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C3B3C" w:rsidRPr="00547E99" w:rsidRDefault="00D33DC4" w:rsidP="00973C09">
      <w:pPr>
        <w:pStyle w:val="Chapter"/>
        <w:rPr>
          <w:rFonts w:ascii="Arial" w:hAnsi="Arial" w:cs="Arial"/>
          <w:sz w:val="22"/>
          <w:szCs w:val="22"/>
        </w:rPr>
      </w:pPr>
      <w:bookmarkStart w:id="0" w:name="_Toc478535868"/>
      <w:bookmarkStart w:id="1" w:name="_Toc13465851"/>
      <w:bookmarkStart w:id="2" w:name="_Toc112646119"/>
      <w:bookmarkStart w:id="3" w:name="_Toc114046855"/>
      <w:bookmarkStart w:id="4" w:name="_Toc114047177"/>
      <w:bookmarkStart w:id="5" w:name="_GoBack"/>
      <w:r w:rsidRPr="00547E99">
        <w:rPr>
          <w:rFonts w:ascii="Arial" w:hAnsi="Arial" w:cs="Arial"/>
          <w:sz w:val="22"/>
          <w:szCs w:val="22"/>
        </w:rPr>
        <w:t>Necesidades de Financiamiento Uruguay 201</w:t>
      </w:r>
      <w:r w:rsidR="009628EE" w:rsidRPr="00547E99">
        <w:rPr>
          <w:rFonts w:ascii="Arial" w:hAnsi="Arial" w:cs="Arial"/>
          <w:sz w:val="22"/>
          <w:szCs w:val="22"/>
        </w:rPr>
        <w:t>7</w:t>
      </w:r>
      <w:r w:rsidR="00547E99">
        <w:rPr>
          <w:rFonts w:ascii="Arial" w:hAnsi="Arial" w:cs="Arial"/>
          <w:sz w:val="22"/>
          <w:szCs w:val="22"/>
        </w:rPr>
        <w:t>-</w:t>
      </w:r>
      <w:r w:rsidRPr="00547E99">
        <w:rPr>
          <w:rFonts w:ascii="Arial" w:hAnsi="Arial" w:cs="Arial"/>
          <w:sz w:val="22"/>
          <w:szCs w:val="22"/>
        </w:rPr>
        <w:t>20</w:t>
      </w:r>
      <w:r w:rsidR="009628EE" w:rsidRPr="00547E99">
        <w:rPr>
          <w:rFonts w:ascii="Arial" w:hAnsi="Arial" w:cs="Arial"/>
          <w:sz w:val="22"/>
          <w:szCs w:val="22"/>
        </w:rPr>
        <w:t>21</w:t>
      </w:r>
      <w:bookmarkEnd w:id="5"/>
    </w:p>
    <w:p w:rsidR="001C6D97" w:rsidRPr="00547E99" w:rsidRDefault="001C6D97" w:rsidP="001C6D97">
      <w:pPr>
        <w:rPr>
          <w:rFonts w:ascii="Arial" w:hAnsi="Arial" w:cs="Arial"/>
          <w:color w:val="000000" w:themeColor="text1"/>
          <w:sz w:val="22"/>
          <w:szCs w:val="22"/>
          <w:lang w:val="es-ES_tradnl"/>
        </w:rPr>
      </w:pPr>
    </w:p>
    <w:p w:rsidR="005A7F51" w:rsidRPr="00547E99" w:rsidRDefault="005A7F51" w:rsidP="00D211BD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z w:val="22"/>
          <w:szCs w:val="22"/>
          <w:lang w:val="es-ES_tradnl"/>
        </w:rPr>
      </w:pPr>
      <w:r w:rsidRPr="00547E99">
        <w:rPr>
          <w:rFonts w:ascii="Arial" w:hAnsi="Arial" w:cs="Arial"/>
          <w:sz w:val="22"/>
          <w:szCs w:val="22"/>
          <w:lang w:val="es-ES_tradnl"/>
        </w:rPr>
        <w:t>En este anexo se presenta una estimación de las necesidades de financiamiento futuras a las que deberá hacer frente el Gobierno de la Rep</w:t>
      </w:r>
      <w:r w:rsidR="00914374" w:rsidRPr="00547E99">
        <w:rPr>
          <w:rFonts w:ascii="Arial" w:hAnsi="Arial" w:cs="Arial"/>
          <w:sz w:val="22"/>
          <w:szCs w:val="22"/>
          <w:lang w:val="es-ES_tradnl"/>
        </w:rPr>
        <w:t>ú</w:t>
      </w:r>
      <w:r w:rsidRPr="00547E99">
        <w:rPr>
          <w:rFonts w:ascii="Arial" w:hAnsi="Arial" w:cs="Arial"/>
          <w:sz w:val="22"/>
          <w:szCs w:val="22"/>
          <w:lang w:val="es-ES_tradnl"/>
        </w:rPr>
        <w:t xml:space="preserve">blica del Uruguay (GROU). Para ello se estimó un escenario base tomando en cuenta </w:t>
      </w:r>
      <w:r w:rsidR="00F53DFE" w:rsidRPr="00547E99">
        <w:rPr>
          <w:rFonts w:ascii="Arial" w:hAnsi="Arial" w:cs="Arial"/>
          <w:sz w:val="22"/>
          <w:szCs w:val="22"/>
          <w:lang w:val="es-ES_tradnl"/>
        </w:rPr>
        <w:t>el calendario de servicio de deuda publicado por el Banco Central del Uruguay (BCU) a fines de 2016</w:t>
      </w:r>
      <w:r w:rsidR="00961F60" w:rsidRPr="00547E99">
        <w:rPr>
          <w:rFonts w:ascii="Arial" w:hAnsi="Arial" w:cs="Arial"/>
          <w:sz w:val="22"/>
          <w:szCs w:val="22"/>
          <w:lang w:val="es-ES_tradnl"/>
        </w:rPr>
        <w:t xml:space="preserve"> y</w:t>
      </w:r>
      <w:r w:rsidR="00F53DFE" w:rsidRPr="00547E9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794024" w:rsidRPr="00547E99">
        <w:rPr>
          <w:rFonts w:ascii="Arial" w:hAnsi="Arial" w:cs="Arial"/>
          <w:sz w:val="22"/>
          <w:szCs w:val="22"/>
          <w:lang w:val="es-ES_tradnl"/>
        </w:rPr>
        <w:t>las últimas estimaciones disponibles del FMI</w:t>
      </w:r>
      <w:r w:rsidR="007D5EB6" w:rsidRPr="00547E99">
        <w:rPr>
          <w:rFonts w:ascii="Arial" w:hAnsi="Arial" w:cs="Arial"/>
          <w:sz w:val="22"/>
          <w:szCs w:val="22"/>
          <w:lang w:val="es-ES_tradnl"/>
        </w:rPr>
        <w:t>, BCU</w:t>
      </w:r>
      <w:r w:rsidR="00914374" w:rsidRPr="00547E99">
        <w:rPr>
          <w:rFonts w:ascii="Arial" w:hAnsi="Arial" w:cs="Arial"/>
          <w:sz w:val="22"/>
          <w:szCs w:val="22"/>
          <w:lang w:val="es-ES_tradnl"/>
        </w:rPr>
        <w:t xml:space="preserve"> y el BID</w:t>
      </w:r>
      <w:r w:rsidR="007D5EB6" w:rsidRPr="00547E99">
        <w:rPr>
          <w:rFonts w:ascii="Arial" w:hAnsi="Arial" w:cs="Arial"/>
          <w:sz w:val="22"/>
          <w:szCs w:val="22"/>
          <w:lang w:val="es-ES_tradnl"/>
        </w:rPr>
        <w:t xml:space="preserve"> a agosto de 2017</w:t>
      </w:r>
      <w:r w:rsidRPr="00547E99">
        <w:rPr>
          <w:rFonts w:ascii="Arial" w:hAnsi="Arial" w:cs="Arial"/>
          <w:sz w:val="22"/>
          <w:szCs w:val="22"/>
          <w:lang w:val="es-ES_tradnl"/>
        </w:rPr>
        <w:t>.</w:t>
      </w:r>
    </w:p>
    <w:p w:rsidR="00D211BD" w:rsidRPr="00547E99" w:rsidRDefault="005A7F51" w:rsidP="00D211BD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547E99">
        <w:rPr>
          <w:rFonts w:ascii="Arial" w:hAnsi="Arial" w:cs="Arial"/>
          <w:sz w:val="22"/>
          <w:szCs w:val="22"/>
          <w:lang w:val="es-ES_tradnl"/>
        </w:rPr>
        <w:t>En el escenario base</w:t>
      </w:r>
      <w:r w:rsidR="00283BC2" w:rsidRPr="00547E99"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547E99">
        <w:rPr>
          <w:rFonts w:ascii="Arial" w:hAnsi="Arial" w:cs="Arial"/>
          <w:sz w:val="22"/>
          <w:szCs w:val="22"/>
          <w:lang w:val="es-ES_tradnl"/>
        </w:rPr>
        <w:t>s</w:t>
      </w:r>
      <w:r w:rsidR="0040361E" w:rsidRPr="00547E99">
        <w:rPr>
          <w:rFonts w:ascii="Arial" w:hAnsi="Arial" w:cs="Arial"/>
          <w:sz w:val="22"/>
          <w:szCs w:val="22"/>
          <w:lang w:val="es-ES_tradnl"/>
        </w:rPr>
        <w:t>e estima que el Sector Público no Financiero (SPNF) enfrentará vencimientos de intereses y amortizaciones de deuda de US$3</w:t>
      </w:r>
      <w:r w:rsidR="009D6755" w:rsidRPr="00547E99">
        <w:rPr>
          <w:rFonts w:ascii="Arial" w:hAnsi="Arial" w:cs="Arial"/>
          <w:sz w:val="22"/>
          <w:szCs w:val="22"/>
          <w:lang w:val="es-ES_tradnl"/>
        </w:rPr>
        <w:t>.</w:t>
      </w:r>
      <w:r w:rsidR="00A33196" w:rsidRPr="00547E99">
        <w:rPr>
          <w:rFonts w:ascii="Arial" w:hAnsi="Arial" w:cs="Arial"/>
          <w:sz w:val="22"/>
          <w:szCs w:val="22"/>
          <w:lang w:val="es-ES_tradnl"/>
        </w:rPr>
        <w:t>33</w:t>
      </w:r>
      <w:r w:rsidR="007D5EB6" w:rsidRPr="00547E99">
        <w:rPr>
          <w:rFonts w:ascii="Arial" w:hAnsi="Arial" w:cs="Arial"/>
          <w:sz w:val="22"/>
          <w:szCs w:val="22"/>
          <w:lang w:val="es-ES_tradnl"/>
        </w:rPr>
        <w:t>6</w:t>
      </w:r>
      <w:r w:rsidR="0040361E" w:rsidRPr="00547E99">
        <w:rPr>
          <w:rFonts w:ascii="Arial" w:hAnsi="Arial" w:cs="Arial"/>
          <w:sz w:val="22"/>
          <w:szCs w:val="22"/>
          <w:lang w:val="es-ES_tradnl"/>
        </w:rPr>
        <w:t xml:space="preserve"> millones promedio anuales entre 20</w:t>
      </w:r>
      <w:r w:rsidR="00A33196" w:rsidRPr="00547E99">
        <w:rPr>
          <w:rFonts w:ascii="Arial" w:hAnsi="Arial" w:cs="Arial"/>
          <w:sz w:val="22"/>
          <w:szCs w:val="22"/>
          <w:lang w:val="es-ES_tradnl"/>
        </w:rPr>
        <w:t>17</w:t>
      </w:r>
      <w:r w:rsidR="0040361E" w:rsidRPr="00547E99">
        <w:rPr>
          <w:rFonts w:ascii="Arial" w:hAnsi="Arial" w:cs="Arial"/>
          <w:sz w:val="22"/>
          <w:szCs w:val="22"/>
          <w:lang w:val="es-ES_tradnl"/>
        </w:rPr>
        <w:t xml:space="preserve"> y 20</w:t>
      </w:r>
      <w:r w:rsidR="00A33196" w:rsidRPr="00547E99">
        <w:rPr>
          <w:rFonts w:ascii="Arial" w:hAnsi="Arial" w:cs="Arial"/>
          <w:sz w:val="22"/>
          <w:szCs w:val="22"/>
          <w:lang w:val="es-ES_tradnl"/>
        </w:rPr>
        <w:t>21</w:t>
      </w:r>
      <w:r w:rsidR="0040361E" w:rsidRPr="00547E99">
        <w:rPr>
          <w:rFonts w:ascii="Arial" w:hAnsi="Arial" w:cs="Arial"/>
          <w:sz w:val="22"/>
          <w:szCs w:val="22"/>
          <w:lang w:val="es-ES_tradnl"/>
        </w:rPr>
        <w:t xml:space="preserve">. Considerando el </w:t>
      </w:r>
      <w:r w:rsidR="00283BC2" w:rsidRPr="00547E99">
        <w:rPr>
          <w:rFonts w:ascii="Arial" w:hAnsi="Arial" w:cs="Arial"/>
          <w:sz w:val="22"/>
          <w:szCs w:val="22"/>
          <w:lang w:val="es-ES_tradnl"/>
        </w:rPr>
        <w:t xml:space="preserve">resultado </w:t>
      </w:r>
      <w:r w:rsidR="0040361E" w:rsidRPr="00547E99">
        <w:rPr>
          <w:rFonts w:ascii="Arial" w:hAnsi="Arial" w:cs="Arial"/>
          <w:sz w:val="22"/>
          <w:szCs w:val="22"/>
          <w:lang w:val="es-ES_tradnl"/>
        </w:rPr>
        <w:t xml:space="preserve"> primario, las necesidades </w:t>
      </w:r>
      <w:r w:rsidR="00E20E44" w:rsidRPr="00547E99">
        <w:rPr>
          <w:rFonts w:ascii="Arial" w:hAnsi="Arial" w:cs="Arial"/>
          <w:sz w:val="22"/>
          <w:szCs w:val="22"/>
          <w:lang w:val="es-ES_tradnl"/>
        </w:rPr>
        <w:t xml:space="preserve">netas </w:t>
      </w:r>
      <w:r w:rsidR="0040361E" w:rsidRPr="00547E99">
        <w:rPr>
          <w:rFonts w:ascii="Arial" w:hAnsi="Arial" w:cs="Arial"/>
          <w:sz w:val="22"/>
          <w:szCs w:val="22"/>
          <w:lang w:val="es-ES_tradnl"/>
        </w:rPr>
        <w:t xml:space="preserve">de financiamiento del SPNF serán </w:t>
      </w:r>
      <w:r w:rsidR="00A33196" w:rsidRPr="00547E99">
        <w:rPr>
          <w:rFonts w:ascii="Arial" w:hAnsi="Arial" w:cs="Arial"/>
          <w:sz w:val="22"/>
          <w:szCs w:val="22"/>
          <w:lang w:val="es-ES_tradnl"/>
        </w:rPr>
        <w:t xml:space="preserve">en promedio </w:t>
      </w:r>
      <w:r w:rsidR="0040361E" w:rsidRPr="00547E99">
        <w:rPr>
          <w:rFonts w:ascii="Arial" w:hAnsi="Arial" w:cs="Arial"/>
          <w:sz w:val="22"/>
          <w:szCs w:val="22"/>
          <w:lang w:val="es-ES_tradnl"/>
        </w:rPr>
        <w:t>de US$</w:t>
      </w:r>
      <w:r w:rsidR="0060306D" w:rsidRPr="00547E99">
        <w:rPr>
          <w:rFonts w:ascii="Arial" w:hAnsi="Arial" w:cs="Arial"/>
          <w:sz w:val="22"/>
          <w:szCs w:val="22"/>
          <w:lang w:val="es-ES_tradnl"/>
        </w:rPr>
        <w:t>2</w:t>
      </w:r>
      <w:r w:rsidR="009D6755" w:rsidRPr="00547E99">
        <w:rPr>
          <w:rFonts w:ascii="Arial" w:hAnsi="Arial" w:cs="Arial"/>
          <w:sz w:val="22"/>
          <w:szCs w:val="22"/>
          <w:lang w:val="es-ES_tradnl"/>
        </w:rPr>
        <w:t>.</w:t>
      </w:r>
      <w:r w:rsidR="00A33196" w:rsidRPr="00547E99">
        <w:rPr>
          <w:rFonts w:ascii="Arial" w:hAnsi="Arial" w:cs="Arial"/>
          <w:sz w:val="22"/>
          <w:szCs w:val="22"/>
          <w:lang w:val="es-ES_tradnl"/>
        </w:rPr>
        <w:t>9</w:t>
      </w:r>
      <w:r w:rsidR="007D5EB6" w:rsidRPr="00547E99">
        <w:rPr>
          <w:rFonts w:ascii="Arial" w:hAnsi="Arial" w:cs="Arial"/>
          <w:sz w:val="22"/>
          <w:szCs w:val="22"/>
          <w:lang w:val="es-ES_tradnl"/>
        </w:rPr>
        <w:t>91</w:t>
      </w:r>
      <w:r w:rsidR="009D6755" w:rsidRPr="00547E9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40361E" w:rsidRPr="00547E99">
        <w:rPr>
          <w:rFonts w:ascii="Arial" w:hAnsi="Arial" w:cs="Arial"/>
          <w:sz w:val="22"/>
          <w:szCs w:val="22"/>
          <w:lang w:val="es-ES_tradnl"/>
        </w:rPr>
        <w:t>millones entre 201</w:t>
      </w:r>
      <w:r w:rsidR="00A33196" w:rsidRPr="00547E99">
        <w:rPr>
          <w:rFonts w:ascii="Arial" w:hAnsi="Arial" w:cs="Arial"/>
          <w:sz w:val="22"/>
          <w:szCs w:val="22"/>
          <w:lang w:val="es-ES_tradnl"/>
        </w:rPr>
        <w:t>7</w:t>
      </w:r>
      <w:r w:rsidR="0040361E" w:rsidRPr="00547E99">
        <w:rPr>
          <w:rFonts w:ascii="Arial" w:hAnsi="Arial" w:cs="Arial"/>
          <w:sz w:val="22"/>
          <w:szCs w:val="22"/>
          <w:lang w:val="es-ES_tradnl"/>
        </w:rPr>
        <w:t xml:space="preserve"> y 20</w:t>
      </w:r>
      <w:r w:rsidR="00A33196" w:rsidRPr="00547E99">
        <w:rPr>
          <w:rFonts w:ascii="Arial" w:hAnsi="Arial" w:cs="Arial"/>
          <w:sz w:val="22"/>
          <w:szCs w:val="22"/>
          <w:lang w:val="es-ES_tradnl"/>
        </w:rPr>
        <w:t>21</w:t>
      </w:r>
      <w:r w:rsidR="007D5EB6" w:rsidRPr="00547E99">
        <w:rPr>
          <w:rFonts w:ascii="Arial" w:hAnsi="Arial" w:cs="Arial"/>
          <w:sz w:val="22"/>
          <w:szCs w:val="22"/>
          <w:lang w:val="es-ES_tradnl"/>
        </w:rPr>
        <w:t xml:space="preserve"> (4,7% del PIB)</w:t>
      </w:r>
      <w:r w:rsidR="0040361E" w:rsidRPr="00547E99">
        <w:rPr>
          <w:rFonts w:ascii="Arial" w:hAnsi="Arial" w:cs="Arial"/>
          <w:sz w:val="22"/>
          <w:szCs w:val="22"/>
          <w:lang w:val="es-ES_tradnl"/>
        </w:rPr>
        <w:t xml:space="preserve">. </w:t>
      </w:r>
      <w:r w:rsidR="00D211BD" w:rsidRPr="00547E99">
        <w:rPr>
          <w:rFonts w:ascii="Arial" w:hAnsi="Arial" w:cs="Arial"/>
          <w:color w:val="000000" w:themeColor="text1"/>
          <w:sz w:val="22"/>
          <w:szCs w:val="22"/>
          <w:lang w:val="es-ES_tradnl"/>
        </w:rPr>
        <w:t>La principal fuente de financiamiento para el periodo lo constituye el mercado de capitales.</w:t>
      </w:r>
    </w:p>
    <w:p w:rsidR="008A47E0" w:rsidRPr="00547E99" w:rsidRDefault="008A47E0" w:rsidP="00D211BD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</w:p>
    <w:p w:rsidR="00283BC2" w:rsidRPr="00547E99" w:rsidRDefault="008A47E0" w:rsidP="003D1D27">
      <w:pPr>
        <w:pStyle w:val="Paragraph"/>
        <w:numPr>
          <w:ilvl w:val="0"/>
          <w:numId w:val="0"/>
        </w:numPr>
        <w:jc w:val="center"/>
        <w:outlineLvl w:val="9"/>
        <w:rPr>
          <w:rFonts w:ascii="Arial" w:hAnsi="Arial" w:cs="Arial"/>
          <w:b/>
          <w:color w:val="000000" w:themeColor="text1"/>
          <w:sz w:val="18"/>
          <w:szCs w:val="18"/>
          <w:lang w:val="es-ES_tradnl"/>
        </w:rPr>
      </w:pPr>
      <w:r w:rsidRPr="00547E99">
        <w:rPr>
          <w:rFonts w:ascii="Arial" w:hAnsi="Arial" w:cs="Arial"/>
          <w:b/>
          <w:color w:val="000000" w:themeColor="text1"/>
          <w:sz w:val="18"/>
          <w:szCs w:val="18"/>
          <w:lang w:val="es-ES_tradnl"/>
        </w:rPr>
        <w:t xml:space="preserve">Cuadro 1: Necesidades de financiamiento </w:t>
      </w:r>
      <w:r w:rsidR="007D5EB6" w:rsidRPr="00547E99">
        <w:rPr>
          <w:rFonts w:ascii="Arial" w:hAnsi="Arial" w:cs="Arial"/>
          <w:b/>
          <w:color w:val="000000" w:themeColor="text1"/>
          <w:sz w:val="18"/>
          <w:szCs w:val="18"/>
          <w:lang w:val="es-ES_tradnl"/>
        </w:rPr>
        <w:t xml:space="preserve">SPNF </w:t>
      </w:r>
      <w:r w:rsidRPr="00547E99">
        <w:rPr>
          <w:rFonts w:ascii="Arial" w:hAnsi="Arial" w:cs="Arial"/>
          <w:b/>
          <w:color w:val="000000" w:themeColor="text1"/>
          <w:sz w:val="18"/>
          <w:szCs w:val="18"/>
          <w:lang w:val="es-ES_tradnl"/>
        </w:rPr>
        <w:t>en el escenario base</w:t>
      </w:r>
    </w:p>
    <w:p w:rsidR="007D5EB6" w:rsidRPr="00547E99" w:rsidRDefault="007D5EB6" w:rsidP="003D1D27">
      <w:pPr>
        <w:pStyle w:val="Paragraph"/>
        <w:numPr>
          <w:ilvl w:val="0"/>
          <w:numId w:val="0"/>
        </w:numPr>
        <w:jc w:val="center"/>
        <w:outlineLvl w:val="9"/>
        <w:rPr>
          <w:rFonts w:ascii="Arial" w:hAnsi="Arial" w:cs="Arial"/>
          <w:b/>
          <w:color w:val="000000" w:themeColor="text1"/>
          <w:sz w:val="18"/>
          <w:szCs w:val="18"/>
          <w:lang w:val="es-ES_tradnl"/>
        </w:rPr>
      </w:pPr>
      <w:r w:rsidRPr="00547E99">
        <w:rPr>
          <w:rFonts w:ascii="Arial" w:hAnsi="Arial" w:cs="Arial"/>
          <w:b/>
          <w:color w:val="000000" w:themeColor="text1"/>
          <w:sz w:val="18"/>
          <w:szCs w:val="18"/>
          <w:lang w:val="es-ES_tradnl"/>
        </w:rPr>
        <w:t>(mil. US$ datos a agosto de 2017)</w:t>
      </w:r>
    </w:p>
    <w:p w:rsidR="00973C09" w:rsidRPr="00547E99" w:rsidRDefault="007D5EB6" w:rsidP="003D1D27">
      <w:pPr>
        <w:pStyle w:val="Paragraph"/>
        <w:numPr>
          <w:ilvl w:val="0"/>
          <w:numId w:val="0"/>
        </w:numPr>
        <w:jc w:val="center"/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6D22842" wp14:editId="075F4E10">
            <wp:extent cx="5188921" cy="20605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921" cy="2060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B20" w:rsidRPr="00547E99" w:rsidRDefault="00F95B20" w:rsidP="00973C09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b/>
          <w:i/>
          <w:spacing w:val="-6"/>
          <w:sz w:val="22"/>
          <w:szCs w:val="22"/>
          <w:lang w:val="es-ES_tradnl"/>
        </w:rPr>
      </w:pPr>
    </w:p>
    <w:p w:rsidR="0068544F" w:rsidRPr="00547E99" w:rsidRDefault="00283BC2" w:rsidP="00973C09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b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b/>
          <w:spacing w:val="-6"/>
          <w:sz w:val="22"/>
          <w:szCs w:val="22"/>
          <w:lang w:val="es-ES_tradnl"/>
        </w:rPr>
        <w:t xml:space="preserve">1.- </w:t>
      </w:r>
      <w:r w:rsidR="00225220" w:rsidRPr="00547E99">
        <w:rPr>
          <w:rFonts w:ascii="Arial" w:hAnsi="Arial" w:cs="Arial"/>
          <w:b/>
          <w:spacing w:val="-6"/>
          <w:sz w:val="22"/>
          <w:szCs w:val="22"/>
          <w:lang w:val="es-ES_tradnl"/>
        </w:rPr>
        <w:t>Escenario Base</w:t>
      </w:r>
    </w:p>
    <w:p w:rsidR="006775B1" w:rsidRPr="00547E99" w:rsidRDefault="00283BC2" w:rsidP="00973C09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En términos generales se </w:t>
      </w:r>
      <w:r w:rsidRPr="00547E99">
        <w:rPr>
          <w:rFonts w:ascii="Arial" w:hAnsi="Arial" w:cs="Arial"/>
          <w:sz w:val="22"/>
          <w:szCs w:val="22"/>
          <w:lang w:val="es-ES_tradnl"/>
        </w:rPr>
        <w:t>utiliz</w:t>
      </w:r>
      <w:r w:rsidR="00287F5F" w:rsidRPr="00547E99">
        <w:rPr>
          <w:rFonts w:ascii="Arial" w:hAnsi="Arial" w:cs="Arial"/>
          <w:sz w:val="22"/>
          <w:szCs w:val="22"/>
          <w:lang w:val="es-ES_tradnl"/>
        </w:rPr>
        <w:t xml:space="preserve">ó </w:t>
      </w:r>
      <w:r w:rsidR="00287F5F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un escenario base </w:t>
      </w:r>
      <w:r w:rsidR="00820684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según </w:t>
      </w:r>
      <w:r w:rsidR="00411F46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los últimos </w:t>
      </w:r>
      <w:r w:rsidR="00463600" w:rsidRPr="00547E99">
        <w:rPr>
          <w:rFonts w:ascii="Arial" w:hAnsi="Arial" w:cs="Arial"/>
          <w:spacing w:val="-6"/>
          <w:sz w:val="22"/>
          <w:szCs w:val="22"/>
          <w:lang w:val="es-ES_tradnl"/>
        </w:rPr>
        <w:t>datos</w:t>
      </w:r>
      <w:r w:rsidR="00411F46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disponibles </w:t>
      </w:r>
      <w:r w:rsidR="00463600" w:rsidRPr="00547E99">
        <w:rPr>
          <w:rFonts w:ascii="Arial" w:hAnsi="Arial" w:cs="Arial"/>
          <w:spacing w:val="-6"/>
          <w:sz w:val="22"/>
          <w:szCs w:val="22"/>
          <w:lang w:val="es-ES_tradnl"/>
        </w:rPr>
        <w:t>del FMI</w:t>
      </w:r>
      <w:r w:rsidR="00D43714" w:rsidRPr="00547E99">
        <w:rPr>
          <w:rFonts w:ascii="Arial" w:hAnsi="Arial" w:cs="Arial"/>
          <w:spacing w:val="-6"/>
          <w:sz w:val="22"/>
          <w:szCs w:val="22"/>
          <w:lang w:val="es-ES_tradnl"/>
        </w:rPr>
        <w:t>, BCU y BID</w:t>
      </w:r>
      <w:r w:rsidR="00820684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. 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>A continuación se describen los principales supuestos detrás de las estimaciones.</w:t>
      </w:r>
      <w:r w:rsidRPr="00547E99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:rsidR="006775B1" w:rsidRPr="00547E99" w:rsidRDefault="00283BC2" w:rsidP="00B80EFF">
      <w:pPr>
        <w:pStyle w:val="Paragraph"/>
        <w:numPr>
          <w:ilvl w:val="0"/>
          <w:numId w:val="26"/>
        </w:numPr>
        <w:outlineLvl w:val="9"/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b/>
          <w:spacing w:val="-6"/>
          <w:sz w:val="22"/>
          <w:szCs w:val="22"/>
          <w:lang w:val="es-ES_tradnl"/>
        </w:rPr>
        <w:t>Balance Primario: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</w:t>
      </w:r>
      <w:r w:rsidR="00411F46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Las proyecciones del 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balance primario del SPNF </w:t>
      </w:r>
      <w:r w:rsidR="00411F46" w:rsidRPr="00547E99">
        <w:rPr>
          <w:rFonts w:ascii="Arial" w:hAnsi="Arial" w:cs="Arial"/>
          <w:spacing w:val="-6"/>
          <w:sz w:val="22"/>
          <w:szCs w:val="22"/>
          <w:lang w:val="es-ES_tradnl"/>
        </w:rPr>
        <w:t>se obtuvieron del Artículo IV del FMI de febrero de 2017.</w:t>
      </w:r>
    </w:p>
    <w:p w:rsidR="0031423C" w:rsidRPr="00547E99" w:rsidRDefault="00283BC2" w:rsidP="0031423C">
      <w:pPr>
        <w:pStyle w:val="Paragraph"/>
        <w:numPr>
          <w:ilvl w:val="0"/>
          <w:numId w:val="26"/>
        </w:numPr>
        <w:outlineLvl w:val="9"/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b/>
          <w:color w:val="0D0D0D" w:themeColor="text1" w:themeTint="F2"/>
          <w:spacing w:val="-6"/>
          <w:sz w:val="22"/>
          <w:szCs w:val="22"/>
          <w:lang w:val="es-ES_tradnl"/>
        </w:rPr>
        <w:t>Desembolsos BID:</w:t>
      </w:r>
      <w:r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</w:t>
      </w:r>
      <w:r w:rsidR="00A85DD6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Para </w:t>
      </w:r>
      <w:r w:rsidR="007B5BE6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el </w:t>
      </w:r>
      <w:r w:rsidR="00EC1DED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período</w:t>
      </w:r>
      <w:r w:rsidR="007B5BE6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</w:t>
      </w:r>
      <w:r w:rsidR="00A85DD6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201</w:t>
      </w:r>
      <w:r w:rsidR="00BF74ED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7</w:t>
      </w:r>
      <w:r w:rsidR="007B5BE6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-20</w:t>
      </w:r>
      <w:r w:rsidR="00BF74ED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21</w:t>
      </w:r>
      <w:r w:rsidR="00A85DD6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se cuenta con proyecciones</w:t>
      </w:r>
      <w:r w:rsidR="002B1D6F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de desembolsos</w:t>
      </w:r>
      <w:r w:rsidR="00A85DD6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internas del Banco</w:t>
      </w:r>
      <w:r w:rsidR="002B1D6F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sobre la cartera activa</w:t>
      </w:r>
      <w:r w:rsidR="00A85DD6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. Se asume </w:t>
      </w:r>
      <w:r w:rsidR="002B1D6F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además </w:t>
      </w:r>
      <w:r w:rsidR="00A85DD6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que </w:t>
      </w:r>
      <w:r w:rsidR="00510862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cada año</w:t>
      </w:r>
      <w:r w:rsidR="002B1D6F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se </w:t>
      </w:r>
      <w:r w:rsidR="00C444EE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desembolsa </w:t>
      </w:r>
      <w:r w:rsidR="00510862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una proporción c</w:t>
      </w:r>
      <w:r w:rsidR="002B1D6F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onstante </w:t>
      </w:r>
      <w:r w:rsidR="007A321D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correspondiente a nuevos </w:t>
      </w:r>
      <w:r w:rsidR="00D440EC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préstamos</w:t>
      </w:r>
      <w:r w:rsidR="00510862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. </w:t>
      </w:r>
    </w:p>
    <w:p w:rsidR="005A6140" w:rsidRPr="00547E99" w:rsidRDefault="00283BC2" w:rsidP="0031423C">
      <w:pPr>
        <w:pStyle w:val="Paragraph"/>
        <w:numPr>
          <w:ilvl w:val="0"/>
          <w:numId w:val="26"/>
        </w:numPr>
        <w:outlineLvl w:val="9"/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b/>
          <w:color w:val="0D0D0D" w:themeColor="text1" w:themeTint="F2"/>
          <w:spacing w:val="-6"/>
          <w:sz w:val="22"/>
          <w:szCs w:val="22"/>
          <w:lang w:val="es-ES_tradnl"/>
        </w:rPr>
        <w:t>Desembolsos Multilaterales:</w:t>
      </w:r>
      <w:r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</w:t>
      </w:r>
      <w:r w:rsidR="005A6140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Los desembolsos totales de organismos multilaterales se estiman como un porcentaje fijo de los </w:t>
      </w:r>
      <w:r w:rsidR="002B1D6F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desembolsos </w:t>
      </w:r>
      <w:r w:rsidR="005A6140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del BID</w:t>
      </w:r>
      <w:r w:rsidR="00D43714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(excepto para 2017)</w:t>
      </w:r>
      <w:r w:rsidR="005A6140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. </w:t>
      </w:r>
      <w:r w:rsidR="00D43714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Según datos a </w:t>
      </w:r>
      <w:r w:rsidR="002B1D6F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2014 </w:t>
      </w:r>
      <w:r w:rsidR="005A6140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el stock de deuda con el BID representaba el 5</w:t>
      </w:r>
      <w:r w:rsidR="002B1D6F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2</w:t>
      </w:r>
      <w:r w:rsidR="005A6140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% del total de</w:t>
      </w:r>
      <w:r w:rsidR="002B1D6F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deuda con </w:t>
      </w:r>
      <w:r w:rsidR="005A6140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organismos multilaterales</w:t>
      </w:r>
      <w:r w:rsidR="00825934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. Esta proporción se </w:t>
      </w:r>
      <w:r w:rsidR="00D43714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asume </w:t>
      </w:r>
      <w:r w:rsidR="00825934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fija para todos los años. </w:t>
      </w:r>
      <w:r w:rsidR="00DD568A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Además se asume que </w:t>
      </w:r>
      <w:r w:rsidR="00D53412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los nuevos </w:t>
      </w:r>
      <w:r w:rsidR="00D440EC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préstamos</w:t>
      </w:r>
      <w:r w:rsidR="00D53412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</w:t>
      </w:r>
      <w:r w:rsidR="00CF51FA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son a tasas variables y </w:t>
      </w:r>
      <w:r w:rsidR="00DD568A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tiene</w:t>
      </w:r>
      <w:r w:rsidR="00D440EC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n</w:t>
      </w:r>
      <w:r w:rsidR="00DD568A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un </w:t>
      </w:r>
      <w:r w:rsidR="00EC1DED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período</w:t>
      </w:r>
      <w:r w:rsidR="00DD568A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de 5 años de gracia y </w:t>
      </w:r>
      <w:r w:rsidR="00D440EC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una madurez de 2</w:t>
      </w:r>
      <w:r w:rsidR="00CF6FA8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0</w:t>
      </w:r>
      <w:r w:rsidR="00D440EC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años.</w:t>
      </w:r>
      <w:r w:rsidR="00CF51FA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Para proyectar las tasas de </w:t>
      </w:r>
      <w:r w:rsidR="00CF51FA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lastRenderedPageBreak/>
        <w:t>interés de estos préstamos se usan las proyecciones de la tasa Libor a 6 meses del World Economic Outlook para 201</w:t>
      </w:r>
      <w:r w:rsidR="00CF6FA8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7</w:t>
      </w:r>
      <w:r w:rsidR="00CF51FA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y 201</w:t>
      </w:r>
      <w:r w:rsidR="00CF6FA8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8</w:t>
      </w:r>
      <w:r w:rsidR="00CF51FA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y luego se converge </w:t>
      </w:r>
      <w:r w:rsidR="00CF51FA" w:rsidRPr="00547E99">
        <w:rPr>
          <w:rFonts w:ascii="Arial" w:hAnsi="Arial" w:cs="Arial"/>
          <w:spacing w:val="-6"/>
          <w:sz w:val="22"/>
          <w:szCs w:val="22"/>
          <w:lang w:val="es-ES_tradnl"/>
        </w:rPr>
        <w:t>gradualmente a 4% en 20</w:t>
      </w:r>
      <w:r w:rsidR="009A11C7" w:rsidRPr="00547E99">
        <w:rPr>
          <w:rFonts w:ascii="Arial" w:hAnsi="Arial" w:cs="Arial"/>
          <w:spacing w:val="-6"/>
          <w:sz w:val="22"/>
          <w:szCs w:val="22"/>
          <w:lang w:val="es-ES_tradnl"/>
        </w:rPr>
        <w:t>21</w:t>
      </w:r>
      <w:r w:rsidR="00CF51FA" w:rsidRPr="00547E99">
        <w:rPr>
          <w:rFonts w:ascii="Arial" w:hAnsi="Arial" w:cs="Arial"/>
          <w:spacing w:val="-6"/>
          <w:sz w:val="22"/>
          <w:szCs w:val="22"/>
          <w:lang w:val="es-ES_tradnl"/>
        </w:rPr>
        <w:t>. A esto se le</w:t>
      </w:r>
      <w:r w:rsidR="00B314F5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sumó </w:t>
      </w:r>
      <w:r w:rsidR="00CF51FA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el </w:t>
      </w:r>
      <w:r w:rsidR="00B314F5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margen </w:t>
      </w:r>
      <w:r w:rsidR="00CF51FA" w:rsidRPr="00547E99">
        <w:rPr>
          <w:rFonts w:ascii="Arial" w:hAnsi="Arial" w:cs="Arial"/>
          <w:spacing w:val="-6"/>
          <w:sz w:val="22"/>
          <w:szCs w:val="22"/>
          <w:lang w:val="es-ES_tradnl"/>
        </w:rPr>
        <w:t>vigente a la fecha para</w:t>
      </w:r>
      <w:r w:rsidR="00B314F5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los préstamos del BID (0.</w:t>
      </w:r>
      <w:r w:rsidR="009D1CDA" w:rsidRPr="00547E99">
        <w:rPr>
          <w:rFonts w:ascii="Arial" w:hAnsi="Arial" w:cs="Arial"/>
          <w:spacing w:val="-6"/>
          <w:sz w:val="22"/>
          <w:szCs w:val="22"/>
          <w:lang w:val="es-ES_tradnl"/>
        </w:rPr>
        <w:t>93</w:t>
      </w:r>
      <w:r w:rsidR="00B314F5" w:rsidRPr="00547E99">
        <w:rPr>
          <w:rFonts w:ascii="Arial" w:hAnsi="Arial" w:cs="Arial"/>
          <w:spacing w:val="-6"/>
          <w:sz w:val="22"/>
          <w:szCs w:val="22"/>
          <w:lang w:val="es-ES_tradnl"/>
        </w:rPr>
        <w:t>bps).</w:t>
      </w:r>
      <w:r w:rsidR="00DD568A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</w:t>
      </w:r>
    </w:p>
    <w:p w:rsidR="00A74B0F" w:rsidRPr="00547E99" w:rsidRDefault="00283BC2" w:rsidP="00B80EFF">
      <w:pPr>
        <w:pStyle w:val="Paragraph"/>
        <w:numPr>
          <w:ilvl w:val="0"/>
          <w:numId w:val="26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b/>
          <w:color w:val="0D0D0D" w:themeColor="text1" w:themeTint="F2"/>
          <w:spacing w:val="-6"/>
          <w:sz w:val="22"/>
          <w:szCs w:val="22"/>
          <w:lang w:val="es-ES_tradnl"/>
        </w:rPr>
        <w:t xml:space="preserve">Emisión en el Mercado Local o Internacional: </w:t>
      </w:r>
      <w:r w:rsidR="00CE7770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Toda nueva emisión se asume se realiza al principio del año por lo cual paga intereses en el mismo año que se emite</w:t>
      </w:r>
      <w:r w:rsidR="006D5B68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. Se asume que</w:t>
      </w:r>
      <w:r w:rsidR="006D5B68" w:rsidRPr="00547E99">
        <w:rPr>
          <w:rFonts w:ascii="Arial" w:hAnsi="Arial" w:cs="Arial"/>
          <w:color w:val="0D0D0D" w:themeColor="text1" w:themeTint="F2"/>
          <w:sz w:val="22"/>
          <w:szCs w:val="22"/>
          <w:lang w:val="es-ES_tradnl"/>
        </w:rPr>
        <w:t xml:space="preserve"> </w:t>
      </w:r>
      <w:r w:rsidR="006D5B68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la madurez de la nueva emisión se distribuye uniforme en el tiempo hasta un máximo de </w:t>
      </w:r>
      <w:r w:rsidR="0062225E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20</w:t>
      </w:r>
      <w:r w:rsidR="006D5B68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años y la amortización es a</w:t>
      </w:r>
      <w:r w:rsidR="0052089A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l</w:t>
      </w:r>
      <w:r w:rsidR="006D5B68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vencimiento. </w:t>
      </w:r>
      <w:r w:rsidR="00CE7770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 </w:t>
      </w:r>
      <w:r w:rsidR="0052089A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>Además s</w:t>
      </w:r>
      <w:r w:rsidR="006D5B68" w:rsidRPr="00547E99">
        <w:rPr>
          <w:rFonts w:ascii="Arial" w:hAnsi="Arial" w:cs="Arial"/>
          <w:color w:val="0D0D0D" w:themeColor="text1" w:themeTint="F2"/>
          <w:spacing w:val="-6"/>
          <w:sz w:val="22"/>
          <w:szCs w:val="22"/>
          <w:lang w:val="es-ES_tradnl"/>
        </w:rPr>
        <w:t xml:space="preserve">e asume que toda nueva emisión paga una tasa fija la cual se estima </w:t>
      </w:r>
      <w:r w:rsidR="006D5B68" w:rsidRPr="00547E99">
        <w:rPr>
          <w:rFonts w:ascii="Arial" w:hAnsi="Arial" w:cs="Arial"/>
          <w:spacing w:val="-6"/>
          <w:sz w:val="22"/>
          <w:szCs w:val="22"/>
          <w:lang w:val="es-ES_tradnl"/>
        </w:rPr>
        <w:t>es 5,</w:t>
      </w:r>
      <w:r w:rsidR="0062225E" w:rsidRPr="00547E99">
        <w:rPr>
          <w:rFonts w:ascii="Arial" w:hAnsi="Arial" w:cs="Arial"/>
          <w:spacing w:val="-6"/>
          <w:sz w:val="22"/>
          <w:szCs w:val="22"/>
          <w:lang w:val="es-ES_tradnl"/>
        </w:rPr>
        <w:t>2</w:t>
      </w:r>
      <w:r w:rsidR="006D5B68" w:rsidRPr="00547E99">
        <w:rPr>
          <w:rFonts w:ascii="Arial" w:hAnsi="Arial" w:cs="Arial"/>
          <w:spacing w:val="-6"/>
          <w:sz w:val="22"/>
          <w:szCs w:val="22"/>
          <w:lang w:val="es-ES_tradnl"/>
        </w:rPr>
        <w:t>% en 201</w:t>
      </w:r>
      <w:r w:rsidR="0062225E" w:rsidRPr="00547E99">
        <w:rPr>
          <w:rFonts w:ascii="Arial" w:hAnsi="Arial" w:cs="Arial"/>
          <w:spacing w:val="-6"/>
          <w:sz w:val="22"/>
          <w:szCs w:val="22"/>
          <w:lang w:val="es-ES_tradnl"/>
        </w:rPr>
        <w:t>7</w:t>
      </w:r>
      <w:r w:rsidR="0052089A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, </w:t>
      </w:r>
      <w:r w:rsidR="0062225E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y crece hasta converger en 6,5% en 2021. </w:t>
      </w:r>
    </w:p>
    <w:p w:rsidR="00FE5D14" w:rsidRPr="00547E99" w:rsidRDefault="00283BC2" w:rsidP="00B80EFF">
      <w:pPr>
        <w:pStyle w:val="Paragraph"/>
        <w:numPr>
          <w:ilvl w:val="0"/>
          <w:numId w:val="26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b/>
          <w:spacing w:val="-6"/>
          <w:sz w:val="22"/>
          <w:szCs w:val="22"/>
          <w:lang w:val="es-ES_tradnl"/>
        </w:rPr>
        <w:t xml:space="preserve">Uso de Activos: </w:t>
      </w:r>
      <w:r w:rsidR="00CF5B34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Los datos </w:t>
      </w:r>
      <w:r w:rsidR="00D57967" w:rsidRPr="00547E99">
        <w:rPr>
          <w:rFonts w:ascii="Arial" w:hAnsi="Arial" w:cs="Arial"/>
          <w:spacing w:val="-6"/>
          <w:sz w:val="22"/>
          <w:szCs w:val="22"/>
          <w:lang w:val="es-ES_tradnl"/>
        </w:rPr>
        <w:t>para 201</w:t>
      </w:r>
      <w:r w:rsidR="00424A30" w:rsidRPr="00547E99">
        <w:rPr>
          <w:rFonts w:ascii="Arial" w:hAnsi="Arial" w:cs="Arial"/>
          <w:spacing w:val="-6"/>
          <w:sz w:val="22"/>
          <w:szCs w:val="22"/>
          <w:lang w:val="es-ES_tradnl"/>
        </w:rPr>
        <w:t>7</w:t>
      </w:r>
      <w:r w:rsidR="00D57967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</w:t>
      </w:r>
      <w:r w:rsidR="00CD2351" w:rsidRPr="00547E99">
        <w:rPr>
          <w:rFonts w:ascii="Arial" w:hAnsi="Arial" w:cs="Arial"/>
          <w:spacing w:val="-6"/>
          <w:sz w:val="22"/>
          <w:szCs w:val="22"/>
          <w:lang w:val="es-ES_tradnl"/>
        </w:rPr>
        <w:t>y 201</w:t>
      </w:r>
      <w:r w:rsidR="00424A30" w:rsidRPr="00547E99">
        <w:rPr>
          <w:rFonts w:ascii="Arial" w:hAnsi="Arial" w:cs="Arial"/>
          <w:spacing w:val="-6"/>
          <w:sz w:val="22"/>
          <w:szCs w:val="22"/>
          <w:lang w:val="es-ES_tradnl"/>
        </w:rPr>
        <w:t>8</w:t>
      </w:r>
      <w:r w:rsidR="00CD2351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surgen del informe de deuda del MEF publicado en </w:t>
      </w:r>
      <w:r w:rsidR="00424A30" w:rsidRPr="00547E99">
        <w:rPr>
          <w:rFonts w:ascii="Arial" w:hAnsi="Arial" w:cs="Arial"/>
          <w:spacing w:val="-6"/>
          <w:sz w:val="22"/>
          <w:szCs w:val="22"/>
          <w:lang w:val="es-ES_tradnl"/>
        </w:rPr>
        <w:t>junio de 2017</w:t>
      </w:r>
      <w:r w:rsidR="00CD2351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. Para el resto de los años se asume una variación </w:t>
      </w:r>
      <w:r w:rsidR="00424A30" w:rsidRPr="00547E99">
        <w:rPr>
          <w:rFonts w:ascii="Arial" w:hAnsi="Arial" w:cs="Arial"/>
          <w:spacing w:val="-6"/>
          <w:sz w:val="22"/>
          <w:szCs w:val="22"/>
          <w:lang w:val="es-ES_tradnl"/>
        </w:rPr>
        <w:t>similar a 2018 (US$200 millones por año)</w:t>
      </w:r>
      <w:r w:rsidR="00CD2351" w:rsidRPr="00547E99">
        <w:rPr>
          <w:rFonts w:ascii="Arial" w:hAnsi="Arial" w:cs="Arial"/>
          <w:spacing w:val="-6"/>
          <w:sz w:val="22"/>
          <w:szCs w:val="22"/>
          <w:lang w:val="es-ES_tradnl"/>
        </w:rPr>
        <w:t>.</w:t>
      </w:r>
      <w:r w:rsidR="00E7750F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</w:t>
      </w:r>
    </w:p>
    <w:p w:rsidR="005F0B42" w:rsidRPr="00547E99" w:rsidRDefault="00283BC2" w:rsidP="00B80EFF">
      <w:pPr>
        <w:pStyle w:val="Paragraph"/>
        <w:numPr>
          <w:ilvl w:val="0"/>
          <w:numId w:val="26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b/>
          <w:spacing w:val="-6"/>
          <w:sz w:val="22"/>
          <w:szCs w:val="22"/>
          <w:lang w:val="es-ES_tradnl"/>
        </w:rPr>
        <w:t xml:space="preserve">Pago de Intereses y Amortizaciones: </w:t>
      </w:r>
      <w:r w:rsidR="005F0B4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Las proyecciones del pago de intereses y amortizaciones para la deuda existente se obtienen </w:t>
      </w:r>
      <w:r w:rsidR="00AC7BA7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de </w:t>
      </w:r>
      <w:r w:rsidR="005F0B42" w:rsidRPr="00547E99">
        <w:rPr>
          <w:rFonts w:ascii="Arial" w:hAnsi="Arial" w:cs="Arial"/>
          <w:spacing w:val="-6"/>
          <w:sz w:val="22"/>
          <w:szCs w:val="22"/>
          <w:lang w:val="es-ES_tradnl"/>
        </w:rPr>
        <w:t>datos del Banco Central del Uruguay (BCU)</w:t>
      </w:r>
      <w:r w:rsidR="00B07123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publicados en marzo de 2017</w:t>
      </w:r>
      <w:r w:rsidR="005F0B4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. A esto se le suma las amortizaciones e intereses generados por nueva emisión </w:t>
      </w:r>
      <w:r w:rsidR="00AC7BA7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y préstamos </w:t>
      </w:r>
      <w:r w:rsidR="005F0B42" w:rsidRPr="00547E99">
        <w:rPr>
          <w:rFonts w:ascii="Arial" w:hAnsi="Arial" w:cs="Arial"/>
          <w:spacing w:val="-6"/>
          <w:sz w:val="22"/>
          <w:szCs w:val="22"/>
          <w:lang w:val="es-ES_tradnl"/>
        </w:rPr>
        <w:t>lo</w:t>
      </w:r>
      <w:r w:rsidR="00AC7BA7" w:rsidRPr="00547E99">
        <w:rPr>
          <w:rFonts w:ascii="Arial" w:hAnsi="Arial" w:cs="Arial"/>
          <w:spacing w:val="-6"/>
          <w:sz w:val="22"/>
          <w:szCs w:val="22"/>
          <w:lang w:val="es-ES_tradnl"/>
        </w:rPr>
        <w:t>s</w:t>
      </w:r>
      <w:r w:rsidR="005F0B4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cual</w:t>
      </w:r>
      <w:r w:rsidR="00AC7BA7" w:rsidRPr="00547E99">
        <w:rPr>
          <w:rFonts w:ascii="Arial" w:hAnsi="Arial" w:cs="Arial"/>
          <w:spacing w:val="-6"/>
          <w:sz w:val="22"/>
          <w:szCs w:val="22"/>
          <w:lang w:val="es-ES_tradnl"/>
        </w:rPr>
        <w:t>es</w:t>
      </w:r>
      <w:r w:rsidR="005F0B4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se calcula</w:t>
      </w:r>
      <w:r w:rsidR="00AC7BA7" w:rsidRPr="00547E99">
        <w:rPr>
          <w:rFonts w:ascii="Arial" w:hAnsi="Arial" w:cs="Arial"/>
          <w:spacing w:val="-6"/>
          <w:sz w:val="22"/>
          <w:szCs w:val="22"/>
          <w:lang w:val="es-ES_tradnl"/>
        </w:rPr>
        <w:t>n</w:t>
      </w:r>
      <w:r w:rsidR="005F0B4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usando los supuestos anteriormente descriptos</w:t>
      </w:r>
      <w:r w:rsidR="00FF4E84" w:rsidRPr="00547E99">
        <w:rPr>
          <w:rFonts w:ascii="Arial" w:hAnsi="Arial" w:cs="Arial"/>
          <w:spacing w:val="-6"/>
          <w:sz w:val="22"/>
          <w:szCs w:val="22"/>
          <w:lang w:val="es-ES_tradnl"/>
        </w:rPr>
        <w:t>, y amortizaciones anticipadas por US$239 millones efectuadas en junio de 2017.</w:t>
      </w:r>
    </w:p>
    <w:p w:rsidR="005A6140" w:rsidRPr="00547E99" w:rsidRDefault="005A6140" w:rsidP="00973C09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</w:p>
    <w:p w:rsidR="00F046CA" w:rsidRPr="00547E99" w:rsidRDefault="00283BC2" w:rsidP="00F046CA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b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b/>
          <w:spacing w:val="-6"/>
          <w:sz w:val="22"/>
          <w:szCs w:val="22"/>
          <w:lang w:val="es-ES_tradnl"/>
        </w:rPr>
        <w:t xml:space="preserve">2.- </w:t>
      </w:r>
      <w:r w:rsidR="00F046CA" w:rsidRPr="00547E99">
        <w:rPr>
          <w:rFonts w:ascii="Arial" w:hAnsi="Arial" w:cs="Arial"/>
          <w:b/>
          <w:spacing w:val="-6"/>
          <w:sz w:val="22"/>
          <w:szCs w:val="22"/>
          <w:lang w:val="es-ES_tradnl"/>
        </w:rPr>
        <w:t xml:space="preserve">Escenarios Alternativos </w:t>
      </w:r>
    </w:p>
    <w:p w:rsidR="00190D91" w:rsidRPr="00547E99" w:rsidRDefault="00517183" w:rsidP="00973C09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Uruguay enfrenta algunos riesgos macroeconómicos los cuales </w:t>
      </w:r>
      <w:r w:rsidR="00DF78CF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podrían afectar negativamente algunos de los supuestos usados en el escenario base. </w:t>
      </w:r>
      <w:r w:rsidR="00190D91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Por ejemplo, </w:t>
      </w:r>
      <w:r w:rsidR="00D27D76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tasas de crecimiento menores en </w:t>
      </w:r>
      <w:r w:rsidR="007B695D" w:rsidRPr="00547E99">
        <w:rPr>
          <w:rFonts w:ascii="Arial" w:hAnsi="Arial" w:cs="Arial"/>
          <w:spacing w:val="-6"/>
          <w:sz w:val="22"/>
          <w:szCs w:val="22"/>
          <w:lang w:val="es-ES_tradnl"/>
        </w:rPr>
        <w:t>la región</w:t>
      </w:r>
      <w:r w:rsidR="00190D91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o la </w:t>
      </w:r>
      <w:r w:rsidR="007B695D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baja de los precios de los </w:t>
      </w:r>
      <w:r w:rsidR="007B695D" w:rsidRPr="00547E99">
        <w:rPr>
          <w:rFonts w:ascii="Arial" w:hAnsi="Arial" w:cs="Arial"/>
          <w:i/>
          <w:spacing w:val="-6"/>
          <w:sz w:val="22"/>
          <w:szCs w:val="22"/>
          <w:lang w:val="es-ES_tradnl"/>
        </w:rPr>
        <w:t xml:space="preserve">commodities </w:t>
      </w:r>
      <w:r w:rsidR="00190D91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tendrían efectos negativos sobre el balance primario del gobierno así como implicarían un menor crecimiento en el </w:t>
      </w:r>
      <w:r w:rsidR="00942560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largo </w:t>
      </w:r>
      <w:r w:rsidR="00190D91" w:rsidRPr="00547E99">
        <w:rPr>
          <w:rFonts w:ascii="Arial" w:hAnsi="Arial" w:cs="Arial"/>
          <w:spacing w:val="-6"/>
          <w:sz w:val="22"/>
          <w:szCs w:val="22"/>
          <w:lang w:val="es-ES_tradnl"/>
        </w:rPr>
        <w:t>plazo. Del mismo modo</w:t>
      </w:r>
      <w:r w:rsidR="00DF78CF" w:rsidRPr="00547E99">
        <w:rPr>
          <w:rFonts w:ascii="Arial" w:hAnsi="Arial" w:cs="Arial"/>
          <w:spacing w:val="-6"/>
          <w:sz w:val="22"/>
          <w:szCs w:val="22"/>
          <w:lang w:val="es-ES_tradnl"/>
        </w:rPr>
        <w:t>,</w:t>
      </w:r>
      <w:r w:rsidR="00190D91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la </w:t>
      </w:r>
      <w:r w:rsidR="00F40689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mayor </w:t>
      </w:r>
      <w:r w:rsidR="007B695D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suba </w:t>
      </w:r>
      <w:r w:rsidR="00F40689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a lo esperado </w:t>
      </w:r>
      <w:r w:rsidR="007B695D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de la tasa de interés </w:t>
      </w:r>
      <w:r w:rsidR="00DF78CF" w:rsidRPr="00547E99">
        <w:rPr>
          <w:rFonts w:ascii="Arial" w:hAnsi="Arial" w:cs="Arial"/>
          <w:spacing w:val="-6"/>
          <w:sz w:val="22"/>
          <w:szCs w:val="22"/>
          <w:lang w:val="es-ES_tradnl"/>
        </w:rPr>
        <w:t>en U</w:t>
      </w:r>
      <w:r w:rsidR="007B695D" w:rsidRPr="00547E99">
        <w:rPr>
          <w:rFonts w:ascii="Arial" w:hAnsi="Arial" w:cs="Arial"/>
          <w:spacing w:val="-6"/>
          <w:sz w:val="22"/>
          <w:szCs w:val="22"/>
          <w:lang w:val="es-ES_tradnl"/>
        </w:rPr>
        <w:t>SA</w:t>
      </w:r>
      <w:r w:rsidR="00190D91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implicaría una apreciación del dólar, mayores tasas de interés </w:t>
      </w:r>
      <w:r w:rsidR="00DF78CF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sobre el endeudamiento del país </w:t>
      </w:r>
      <w:r w:rsidR="00190D91" w:rsidRPr="00547E99">
        <w:rPr>
          <w:rFonts w:ascii="Arial" w:hAnsi="Arial" w:cs="Arial"/>
          <w:spacing w:val="-6"/>
          <w:sz w:val="22"/>
          <w:szCs w:val="22"/>
          <w:lang w:val="es-ES_tradnl"/>
        </w:rPr>
        <w:t>y probablemente una menor entrada de capitales.</w:t>
      </w:r>
    </w:p>
    <w:p w:rsidR="00283BC2" w:rsidRPr="00547E99" w:rsidRDefault="00190D91" w:rsidP="00973C09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A continuación </w:t>
      </w:r>
      <w:r w:rsidR="00517183" w:rsidRPr="00547E99">
        <w:rPr>
          <w:rFonts w:ascii="Arial" w:hAnsi="Arial" w:cs="Arial"/>
          <w:spacing w:val="-6"/>
          <w:sz w:val="22"/>
          <w:szCs w:val="22"/>
          <w:lang w:val="es-ES_tradnl"/>
        </w:rPr>
        <w:t>se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cuantifican estos </w:t>
      </w:r>
      <w:r w:rsidR="00DF78CF" w:rsidRPr="00547E99">
        <w:rPr>
          <w:rFonts w:ascii="Arial" w:hAnsi="Arial" w:cs="Arial"/>
          <w:spacing w:val="-6"/>
          <w:sz w:val="22"/>
          <w:szCs w:val="22"/>
          <w:lang w:val="es-ES_tradnl"/>
        </w:rPr>
        <w:t>e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fectos </w:t>
      </w:r>
      <w:r w:rsidR="00DF78CF" w:rsidRPr="00547E99">
        <w:rPr>
          <w:rFonts w:ascii="Arial" w:hAnsi="Arial" w:cs="Arial"/>
          <w:i/>
          <w:spacing w:val="-6"/>
          <w:sz w:val="22"/>
          <w:szCs w:val="22"/>
          <w:lang w:val="es-ES_tradnl"/>
        </w:rPr>
        <w:t>c</w:t>
      </w:r>
      <w:r w:rsidRPr="00547E99">
        <w:rPr>
          <w:rFonts w:ascii="Arial" w:hAnsi="Arial" w:cs="Arial"/>
          <w:i/>
          <w:spacing w:val="-6"/>
          <w:sz w:val="22"/>
          <w:szCs w:val="22"/>
          <w:lang w:val="es-ES_tradnl"/>
        </w:rPr>
        <w:t>eteris paribus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, es decir </w:t>
      </w:r>
      <w:r w:rsidR="00DF78CF" w:rsidRPr="00547E99">
        <w:rPr>
          <w:rFonts w:ascii="Arial" w:hAnsi="Arial" w:cs="Arial"/>
          <w:spacing w:val="-6"/>
          <w:sz w:val="22"/>
          <w:szCs w:val="22"/>
          <w:lang w:val="es-ES_tradnl"/>
        </w:rPr>
        <w:t>dejando el resto de los supuestos constantes</w:t>
      </w:r>
      <w:r w:rsidR="007B695D" w:rsidRPr="00547E99">
        <w:rPr>
          <w:rFonts w:ascii="Arial" w:hAnsi="Arial" w:cs="Arial"/>
          <w:spacing w:val="-6"/>
          <w:sz w:val="22"/>
          <w:szCs w:val="22"/>
          <w:lang w:val="es-ES_tradnl"/>
        </w:rPr>
        <w:t>.</w:t>
      </w:r>
    </w:p>
    <w:p w:rsidR="00CF19AB" w:rsidRPr="00547E99" w:rsidRDefault="00CF19AB" w:rsidP="00CF19AB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u w:val="single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u w:val="single"/>
          <w:lang w:val="es-ES_tradnl"/>
        </w:rPr>
        <w:t xml:space="preserve">Deterioro en </w:t>
      </w:r>
      <w:r w:rsidR="002E16E4" w:rsidRPr="00547E99">
        <w:rPr>
          <w:rFonts w:ascii="Arial" w:hAnsi="Arial" w:cs="Arial"/>
          <w:spacing w:val="-6"/>
          <w:sz w:val="22"/>
          <w:szCs w:val="22"/>
          <w:u w:val="single"/>
          <w:lang w:val="es-ES_tradnl"/>
        </w:rPr>
        <w:t>el balance primario</w:t>
      </w:r>
    </w:p>
    <w:p w:rsidR="00CF19AB" w:rsidRPr="00547E99" w:rsidRDefault="00CF19AB" w:rsidP="00CF19AB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>Si se asume un deterioro en las cuentas públicas y un balance primario igual a cero</w:t>
      </w:r>
      <w:r w:rsidR="00A47B80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a partir de 201</w:t>
      </w:r>
      <w:r w:rsidR="00982D1F" w:rsidRPr="00547E99">
        <w:rPr>
          <w:rFonts w:ascii="Arial" w:hAnsi="Arial" w:cs="Arial"/>
          <w:spacing w:val="-6"/>
          <w:sz w:val="22"/>
          <w:szCs w:val="22"/>
          <w:lang w:val="es-ES_tradnl"/>
        </w:rPr>
        <w:t>8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>, las necesidades de financiamiento serían considerablemente mayores y llegarían a US$3.</w:t>
      </w:r>
      <w:r w:rsidR="00A47B80" w:rsidRPr="00547E99">
        <w:rPr>
          <w:rFonts w:ascii="Arial" w:hAnsi="Arial" w:cs="Arial"/>
          <w:spacing w:val="-6"/>
          <w:sz w:val="22"/>
          <w:szCs w:val="22"/>
          <w:lang w:val="es-ES_tradnl"/>
        </w:rPr>
        <w:t>43</w:t>
      </w:r>
      <w:r w:rsidR="00D00DD6" w:rsidRPr="00547E99">
        <w:rPr>
          <w:rFonts w:ascii="Arial" w:hAnsi="Arial" w:cs="Arial"/>
          <w:spacing w:val="-6"/>
          <w:sz w:val="22"/>
          <w:szCs w:val="22"/>
          <w:lang w:val="es-ES_tradnl"/>
        </w:rPr>
        <w:t>3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millones</w:t>
      </w:r>
      <w:r w:rsidR="00CD6B8F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en promedio.</w:t>
      </w:r>
    </w:p>
    <w:p w:rsidR="00705162" w:rsidRPr="00547E99" w:rsidRDefault="00705162" w:rsidP="00705162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u w:val="single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u w:val="single"/>
          <w:lang w:val="es-ES_tradnl"/>
        </w:rPr>
        <w:t xml:space="preserve">Menor crecimiento en el </w:t>
      </w:r>
      <w:r w:rsidR="00942560" w:rsidRPr="00547E99">
        <w:rPr>
          <w:rFonts w:ascii="Arial" w:hAnsi="Arial" w:cs="Arial"/>
          <w:spacing w:val="-6"/>
          <w:sz w:val="22"/>
          <w:szCs w:val="22"/>
          <w:u w:val="single"/>
          <w:lang w:val="es-ES_tradnl"/>
        </w:rPr>
        <w:t xml:space="preserve">largo </w:t>
      </w:r>
      <w:r w:rsidRPr="00547E99">
        <w:rPr>
          <w:rFonts w:ascii="Arial" w:hAnsi="Arial" w:cs="Arial"/>
          <w:spacing w:val="-6"/>
          <w:sz w:val="22"/>
          <w:szCs w:val="22"/>
          <w:u w:val="single"/>
          <w:lang w:val="es-ES_tradnl"/>
        </w:rPr>
        <w:t>plazo</w:t>
      </w:r>
    </w:p>
    <w:p w:rsidR="00FD2EA2" w:rsidRPr="00547E99" w:rsidRDefault="00705162" w:rsidP="00FD2EA2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Bajo el supuesto de un crecimiento de </w:t>
      </w:r>
      <w:r w:rsidR="00D00DD6" w:rsidRPr="00547E99">
        <w:rPr>
          <w:rFonts w:ascii="Arial" w:hAnsi="Arial" w:cs="Arial"/>
          <w:spacing w:val="-6"/>
          <w:sz w:val="22"/>
          <w:szCs w:val="22"/>
          <w:lang w:val="es-ES_tradnl"/>
        </w:rPr>
        <w:t>1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>% a partir de 201</w:t>
      </w:r>
      <w:r w:rsidR="00D00DD6" w:rsidRPr="00547E99">
        <w:rPr>
          <w:rFonts w:ascii="Arial" w:hAnsi="Arial" w:cs="Arial"/>
          <w:spacing w:val="-6"/>
          <w:sz w:val="22"/>
          <w:szCs w:val="22"/>
          <w:lang w:val="es-ES_tradnl"/>
        </w:rPr>
        <w:t>8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(</w:t>
      </w:r>
      <w:r w:rsidR="00D00DD6" w:rsidRPr="00547E99">
        <w:rPr>
          <w:rFonts w:ascii="Arial" w:hAnsi="Arial" w:cs="Arial"/>
          <w:spacing w:val="-6"/>
          <w:sz w:val="22"/>
          <w:szCs w:val="22"/>
          <w:lang w:val="es-ES_tradnl"/>
        </w:rPr>
        <w:t>en el escenario base se estima un crecimiento superior al 3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>%), las necesidades de financiamiento serían de US$</w:t>
      </w:r>
      <w:r w:rsidR="00D00DD6" w:rsidRPr="00547E99">
        <w:rPr>
          <w:rFonts w:ascii="Arial" w:hAnsi="Arial" w:cs="Arial"/>
          <w:spacing w:val="-6"/>
          <w:sz w:val="22"/>
          <w:szCs w:val="22"/>
          <w:lang w:val="es-ES_tradnl"/>
        </w:rPr>
        <w:t>3</w:t>
      </w:r>
      <w:r w:rsidR="0041665B" w:rsidRPr="00547E99">
        <w:rPr>
          <w:rFonts w:ascii="Arial" w:hAnsi="Arial" w:cs="Arial"/>
          <w:spacing w:val="-6"/>
          <w:sz w:val="22"/>
          <w:szCs w:val="22"/>
          <w:lang w:val="es-ES_tradnl"/>
        </w:rPr>
        <w:t>.</w:t>
      </w:r>
      <w:r w:rsidR="00596AE6" w:rsidRPr="00547E99">
        <w:rPr>
          <w:rFonts w:ascii="Arial" w:hAnsi="Arial" w:cs="Arial"/>
          <w:spacing w:val="-6"/>
          <w:sz w:val="22"/>
          <w:szCs w:val="22"/>
          <w:lang w:val="es-ES_tradnl"/>
        </w:rPr>
        <w:t>023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millones. Sin embargo, en este escenario se mantiene el supuesto </w:t>
      </w:r>
      <w:r w:rsidR="00F814A0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del escenario base 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que el balance primario </w:t>
      </w:r>
      <w:r w:rsidR="00F814A0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crecería hasta 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>alcanza</w:t>
      </w:r>
      <w:r w:rsidR="00F814A0" w:rsidRPr="00547E99">
        <w:rPr>
          <w:rFonts w:ascii="Arial" w:hAnsi="Arial" w:cs="Arial"/>
          <w:spacing w:val="-6"/>
          <w:sz w:val="22"/>
          <w:szCs w:val="22"/>
          <w:lang w:val="es-ES_tradnl"/>
        </w:rPr>
        <w:t>r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</w:t>
      </w:r>
      <w:r w:rsidR="00F814A0" w:rsidRPr="00547E99">
        <w:rPr>
          <w:rFonts w:ascii="Arial" w:hAnsi="Arial" w:cs="Arial"/>
          <w:spacing w:val="-6"/>
          <w:sz w:val="22"/>
          <w:szCs w:val="22"/>
          <w:lang w:val="es-ES_tradnl"/>
        </w:rPr>
        <w:t>0,9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% del PBI </w:t>
      </w:r>
      <w:r w:rsidR="00F814A0" w:rsidRPr="00547E99">
        <w:rPr>
          <w:rFonts w:ascii="Arial" w:hAnsi="Arial" w:cs="Arial"/>
          <w:spacing w:val="-6"/>
          <w:sz w:val="22"/>
          <w:szCs w:val="22"/>
          <w:lang w:val="es-ES_tradnl"/>
        </w:rPr>
        <w:t>en 2021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. Para ver los efectos de un resultado más adverso en el balance primario, los resultados serían similares al </w:t>
      </w:r>
      <w:r w:rsidR="00D00DD6" w:rsidRPr="00547E99">
        <w:rPr>
          <w:rFonts w:ascii="Arial" w:hAnsi="Arial" w:cs="Arial"/>
          <w:spacing w:val="-6"/>
          <w:sz w:val="22"/>
          <w:szCs w:val="22"/>
          <w:lang w:val="es-ES_tradnl"/>
        </w:rPr>
        <w:t>escenario anterior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>.</w:t>
      </w:r>
    </w:p>
    <w:p w:rsidR="00FD2EA2" w:rsidRPr="00547E99" w:rsidRDefault="00FD2EA2" w:rsidP="00FD2EA2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u w:val="single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u w:val="single"/>
          <w:lang w:val="es-ES_tradnl"/>
        </w:rPr>
        <w:t>Mayores tasas de interés</w:t>
      </w:r>
    </w:p>
    <w:p w:rsidR="00FD2EA2" w:rsidRPr="00547E99" w:rsidRDefault="00FD2EA2" w:rsidP="00FD2EA2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>En un escenario donde las tasas de interés fueran 100bps mayores al escenario base a partir de 201</w:t>
      </w:r>
      <w:r w:rsidR="00FB1B55" w:rsidRPr="00547E99">
        <w:rPr>
          <w:rFonts w:ascii="Arial" w:hAnsi="Arial" w:cs="Arial"/>
          <w:spacing w:val="-6"/>
          <w:sz w:val="22"/>
          <w:szCs w:val="22"/>
          <w:lang w:val="es-ES_tradnl"/>
        </w:rPr>
        <w:t>8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>, las necesidades de financiamiento ascenderían a US$</w:t>
      </w:r>
      <w:r w:rsidR="00596AE6" w:rsidRPr="00547E99">
        <w:rPr>
          <w:rFonts w:ascii="Arial" w:hAnsi="Arial" w:cs="Arial"/>
          <w:spacing w:val="-6"/>
          <w:sz w:val="22"/>
          <w:szCs w:val="22"/>
          <w:lang w:val="es-ES_tradnl"/>
        </w:rPr>
        <w:t>3.061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millones al año.</w:t>
      </w:r>
      <w:r w:rsidR="000F4C45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Cabe resaltar que dado que la mayor parte de la deuda está a tasa fija, este aumento de tasas no afectaría al stock de deuda sino a la</w:t>
      </w:r>
      <w:r w:rsidR="00FD1211" w:rsidRPr="00547E99">
        <w:rPr>
          <w:rFonts w:ascii="Arial" w:hAnsi="Arial" w:cs="Arial"/>
          <w:spacing w:val="-6"/>
          <w:sz w:val="22"/>
          <w:szCs w:val="22"/>
          <w:lang w:val="es-ES_tradnl"/>
        </w:rPr>
        <w:t>s nuevas emisiones.</w:t>
      </w:r>
    </w:p>
    <w:p w:rsidR="00FD2EA2" w:rsidRPr="00547E99" w:rsidRDefault="00FD2EA2" w:rsidP="00FD2EA2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u w:val="single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u w:val="single"/>
          <w:lang w:val="es-ES_tradnl"/>
        </w:rPr>
        <w:lastRenderedPageBreak/>
        <w:t>Mayor tipo de cambio</w:t>
      </w:r>
    </w:p>
    <w:p w:rsidR="00FD2EA2" w:rsidRPr="00547E99" w:rsidRDefault="00B5254C" w:rsidP="00FD2EA2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Bajo el supuesto de un </w:t>
      </w:r>
      <w:r w:rsidR="00FD2EA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tipo de cambio mayor al </w:t>
      </w: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del </w:t>
      </w:r>
      <w:r w:rsidR="00FD2EA2" w:rsidRPr="00547E99">
        <w:rPr>
          <w:rFonts w:ascii="Arial" w:hAnsi="Arial" w:cs="Arial"/>
          <w:spacing w:val="-6"/>
          <w:sz w:val="22"/>
          <w:szCs w:val="22"/>
          <w:lang w:val="es-ES_tradnl"/>
        </w:rPr>
        <w:t>escenario base, las necesidades de financiamiento se verían afectadas directamente</w:t>
      </w:r>
      <w:r w:rsidR="00FD2EA2" w:rsidRPr="00547E99">
        <w:rPr>
          <w:rStyle w:val="FootnoteReference"/>
          <w:rFonts w:ascii="Arial" w:hAnsi="Arial" w:cs="Arial"/>
          <w:spacing w:val="-6"/>
          <w:sz w:val="22"/>
          <w:szCs w:val="22"/>
          <w:lang w:val="es-ES_tradnl"/>
        </w:rPr>
        <w:footnoteReference w:id="2"/>
      </w:r>
      <w:r w:rsidR="00FD2EA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en dos sentidos contrarios. Primero, a través de un menor resultado primario medido en dólares. Segundo, a través de un menor pago de intereses y amortizaciones expresados en dólares para la deuda en moneda nacional. En este </w:t>
      </w:r>
      <w:r w:rsidR="00D167B0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ejercicio </w:t>
      </w:r>
      <w:r w:rsidR="00FD2EA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se considera solamente el primer efecto y no el segundo. Se asume que </w:t>
      </w:r>
      <w:r w:rsidR="000C2FCE" w:rsidRPr="00547E99">
        <w:rPr>
          <w:rFonts w:ascii="Arial" w:hAnsi="Arial" w:cs="Arial"/>
          <w:spacing w:val="-6"/>
          <w:sz w:val="22"/>
          <w:szCs w:val="22"/>
          <w:lang w:val="es-ES_tradnl"/>
        </w:rPr>
        <w:t>la depreciación es 10pp mayor</w:t>
      </w:r>
      <w:r w:rsidR="00FD2EA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al escenario base en 201</w:t>
      </w:r>
      <w:r w:rsidR="00596AE6" w:rsidRPr="00547E99">
        <w:rPr>
          <w:rFonts w:ascii="Arial" w:hAnsi="Arial" w:cs="Arial"/>
          <w:spacing w:val="-6"/>
          <w:sz w:val="22"/>
          <w:szCs w:val="22"/>
          <w:lang w:val="es-ES_tradnl"/>
        </w:rPr>
        <w:t>8</w:t>
      </w:r>
      <w:r w:rsidR="00FD2EA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y 201</w:t>
      </w:r>
      <w:r w:rsidR="000C2FCE" w:rsidRPr="00547E99">
        <w:rPr>
          <w:rFonts w:ascii="Arial" w:hAnsi="Arial" w:cs="Arial"/>
          <w:spacing w:val="-6"/>
          <w:sz w:val="22"/>
          <w:szCs w:val="22"/>
          <w:lang w:val="es-ES_tradnl"/>
        </w:rPr>
        <w:t>9</w:t>
      </w:r>
      <w:r w:rsidR="00FD2EA2" w:rsidRPr="00547E99">
        <w:rPr>
          <w:rFonts w:ascii="Arial" w:hAnsi="Arial" w:cs="Arial"/>
          <w:spacing w:val="-6"/>
          <w:sz w:val="22"/>
          <w:szCs w:val="22"/>
          <w:lang w:val="es-ES_tradnl"/>
        </w:rPr>
        <w:t>, lo cual llevaría a que las necesidades de financiamiento sean de US$</w:t>
      </w:r>
      <w:r w:rsidR="000C2FCE" w:rsidRPr="00547E99">
        <w:rPr>
          <w:rFonts w:ascii="Arial" w:hAnsi="Arial" w:cs="Arial"/>
          <w:spacing w:val="-6"/>
          <w:sz w:val="22"/>
          <w:szCs w:val="22"/>
          <w:lang w:val="es-ES_tradnl"/>
        </w:rPr>
        <w:t>3</w:t>
      </w:r>
      <w:r w:rsidR="00665DF5" w:rsidRPr="00547E99">
        <w:rPr>
          <w:rFonts w:ascii="Arial" w:hAnsi="Arial" w:cs="Arial"/>
          <w:spacing w:val="-6"/>
          <w:sz w:val="22"/>
          <w:szCs w:val="22"/>
          <w:lang w:val="es-ES_tradnl"/>
        </w:rPr>
        <w:t>.</w:t>
      </w:r>
      <w:r w:rsidR="000C2FCE" w:rsidRPr="00547E99">
        <w:rPr>
          <w:rFonts w:ascii="Arial" w:hAnsi="Arial" w:cs="Arial"/>
          <w:spacing w:val="-6"/>
          <w:sz w:val="22"/>
          <w:szCs w:val="22"/>
          <w:lang w:val="es-ES_tradnl"/>
        </w:rPr>
        <w:t>063</w:t>
      </w:r>
      <w:r w:rsidR="00FD2EA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 millones </w:t>
      </w:r>
      <w:r w:rsidR="00D167B0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en promedio </w:t>
      </w:r>
      <w:r w:rsidR="00FD2EA2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al año. El efecto de una mayor </w:t>
      </w:r>
      <w:r w:rsidR="00596AE6" w:rsidRPr="00547E99">
        <w:rPr>
          <w:rFonts w:ascii="Arial" w:hAnsi="Arial" w:cs="Arial"/>
          <w:spacing w:val="-6"/>
          <w:sz w:val="22"/>
          <w:szCs w:val="22"/>
          <w:lang w:val="es-ES_tradnl"/>
        </w:rPr>
        <w:t xml:space="preserve">depreciación </w:t>
      </w:r>
      <w:r w:rsidR="00FD2EA2" w:rsidRPr="00547E99">
        <w:rPr>
          <w:rFonts w:ascii="Arial" w:hAnsi="Arial" w:cs="Arial"/>
          <w:spacing w:val="-6"/>
          <w:sz w:val="22"/>
          <w:szCs w:val="22"/>
          <w:lang w:val="es-ES_tradnl"/>
        </w:rPr>
        <w:t>de la moneda a través del pago de intereses y amortizaciones haría que estas necesidades fueran menores.</w:t>
      </w:r>
    </w:p>
    <w:p w:rsidR="00582908" w:rsidRPr="00547E99" w:rsidRDefault="00582908" w:rsidP="00973C09">
      <w:pPr>
        <w:pStyle w:val="Paragraph"/>
        <w:numPr>
          <w:ilvl w:val="0"/>
          <w:numId w:val="0"/>
        </w:numPr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spacing w:val="-6"/>
          <w:sz w:val="22"/>
          <w:szCs w:val="22"/>
          <w:lang w:val="es-ES_tradnl"/>
        </w:rPr>
        <w:t>En el gráfico 1 se presenta la evolución temporal de las necesidades de financiamiento bajo los distintos supuestos.</w:t>
      </w:r>
    </w:p>
    <w:bookmarkEnd w:id="0"/>
    <w:bookmarkEnd w:id="1"/>
    <w:bookmarkEnd w:id="2"/>
    <w:bookmarkEnd w:id="3"/>
    <w:bookmarkEnd w:id="4"/>
    <w:p w:rsidR="0026591A" w:rsidRPr="00547E99" w:rsidRDefault="00582908" w:rsidP="0031423C">
      <w:pPr>
        <w:pStyle w:val="Paragraph"/>
        <w:numPr>
          <w:ilvl w:val="0"/>
          <w:numId w:val="0"/>
        </w:numPr>
        <w:jc w:val="center"/>
        <w:outlineLvl w:val="9"/>
        <w:rPr>
          <w:rFonts w:ascii="Arial" w:hAnsi="Arial" w:cs="Arial"/>
          <w:b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b/>
          <w:spacing w:val="-6"/>
          <w:sz w:val="22"/>
          <w:szCs w:val="22"/>
          <w:lang w:val="es-ES_tradnl"/>
        </w:rPr>
        <w:t>Gráfico</w:t>
      </w:r>
      <w:r w:rsidR="00313A9F" w:rsidRPr="00547E99">
        <w:rPr>
          <w:rFonts w:ascii="Arial" w:hAnsi="Arial" w:cs="Arial"/>
          <w:b/>
          <w:spacing w:val="-6"/>
          <w:sz w:val="22"/>
          <w:szCs w:val="22"/>
          <w:lang w:val="es-ES_tradnl"/>
        </w:rPr>
        <w:t xml:space="preserve"> 1: Necesidades de financiamiento </w:t>
      </w:r>
      <w:r w:rsidRPr="00547E99">
        <w:rPr>
          <w:rFonts w:ascii="Arial" w:hAnsi="Arial" w:cs="Arial"/>
          <w:b/>
          <w:spacing w:val="-6"/>
          <w:sz w:val="22"/>
          <w:szCs w:val="22"/>
          <w:lang w:val="es-ES_tradnl"/>
        </w:rPr>
        <w:t>bajo supuestos alternativos</w:t>
      </w:r>
    </w:p>
    <w:p w:rsidR="0031423C" w:rsidRPr="00547E99" w:rsidRDefault="009169A7" w:rsidP="00E73579">
      <w:pPr>
        <w:pStyle w:val="Paragraph"/>
        <w:numPr>
          <w:ilvl w:val="0"/>
          <w:numId w:val="0"/>
        </w:numPr>
        <w:jc w:val="center"/>
        <w:outlineLvl w:val="9"/>
        <w:rPr>
          <w:rFonts w:ascii="Arial" w:hAnsi="Arial" w:cs="Arial"/>
          <w:spacing w:val="-6"/>
          <w:sz w:val="22"/>
          <w:szCs w:val="22"/>
          <w:lang w:val="es-ES_tradnl"/>
        </w:rPr>
      </w:pPr>
      <w:r w:rsidRPr="00547E99">
        <w:rPr>
          <w:rFonts w:ascii="Arial" w:hAnsi="Arial" w:cs="Arial"/>
          <w:noProof/>
          <w:spacing w:val="-6"/>
          <w:sz w:val="22"/>
          <w:szCs w:val="22"/>
        </w:rPr>
        <w:drawing>
          <wp:inline distT="0" distB="0" distL="0" distR="0" wp14:anchorId="6E42665F" wp14:editId="045E2AF3">
            <wp:extent cx="4686300" cy="261585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858" cy="2617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3A9F" w:rsidRPr="00547E99" w:rsidRDefault="00E73579" w:rsidP="0069344B">
      <w:pPr>
        <w:pStyle w:val="Paragraph"/>
        <w:numPr>
          <w:ilvl w:val="0"/>
          <w:numId w:val="0"/>
        </w:numPr>
        <w:ind w:left="1440"/>
        <w:outlineLvl w:val="9"/>
        <w:rPr>
          <w:rFonts w:ascii="Arial" w:hAnsi="Arial" w:cs="Arial"/>
          <w:b/>
          <w:spacing w:val="-6"/>
          <w:sz w:val="18"/>
          <w:szCs w:val="18"/>
          <w:lang w:val="es-ES_tradnl"/>
        </w:rPr>
      </w:pPr>
      <w:r w:rsidRPr="00547E99">
        <w:rPr>
          <w:rFonts w:ascii="Arial" w:hAnsi="Arial" w:cs="Arial"/>
          <w:spacing w:val="-6"/>
          <w:sz w:val="18"/>
          <w:szCs w:val="18"/>
          <w:lang w:val="es-ES_tradnl"/>
        </w:rPr>
        <w:t xml:space="preserve">        </w:t>
      </w:r>
      <w:r w:rsidR="0031423C" w:rsidRPr="00547E99">
        <w:rPr>
          <w:rFonts w:ascii="Arial" w:hAnsi="Arial" w:cs="Arial"/>
          <w:spacing w:val="-6"/>
          <w:sz w:val="18"/>
          <w:szCs w:val="18"/>
          <w:lang w:val="es-ES_tradnl"/>
        </w:rPr>
        <w:t>Fuente: Elaboración Propia.</w:t>
      </w:r>
    </w:p>
    <w:sectPr w:rsidR="00313A9F" w:rsidRPr="00547E99" w:rsidSect="002D7AD7">
      <w:headerReference w:type="default" r:id="rId11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01C" w:rsidRDefault="009F701C">
      <w:r>
        <w:separator/>
      </w:r>
    </w:p>
  </w:endnote>
  <w:endnote w:type="continuationSeparator" w:id="0">
    <w:p w:rsidR="009F701C" w:rsidRDefault="009F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01C" w:rsidRDefault="009F701C">
      <w:r>
        <w:separator/>
      </w:r>
    </w:p>
  </w:footnote>
  <w:footnote w:type="continuationSeparator" w:id="0">
    <w:p w:rsidR="009F701C" w:rsidRDefault="009F701C">
      <w:r>
        <w:continuationSeparator/>
      </w:r>
    </w:p>
  </w:footnote>
  <w:footnote w:type="continuationNotice" w:id="1">
    <w:p w:rsidR="009F701C" w:rsidRDefault="009F701C"/>
  </w:footnote>
  <w:footnote w:id="2">
    <w:p w:rsidR="00FD2EA2" w:rsidRPr="00547E99" w:rsidRDefault="00FD2EA2" w:rsidP="00547E99">
      <w:pPr>
        <w:pStyle w:val="FootnoteText"/>
        <w:ind w:left="288" w:hanging="288"/>
        <w:rPr>
          <w:rFonts w:ascii="Arial" w:hAnsi="Arial" w:cs="Arial"/>
          <w:szCs w:val="18"/>
          <w:lang w:val="es-ES"/>
        </w:rPr>
      </w:pPr>
      <w:r w:rsidRPr="00547E99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547E99">
        <w:rPr>
          <w:rFonts w:ascii="Arial" w:hAnsi="Arial" w:cs="Arial"/>
          <w:szCs w:val="18"/>
          <w:lang w:val="es-ES"/>
        </w:rPr>
        <w:t xml:space="preserve"> </w:t>
      </w:r>
      <w:r w:rsidR="00547E99">
        <w:rPr>
          <w:rFonts w:ascii="Arial" w:hAnsi="Arial" w:cs="Arial"/>
          <w:szCs w:val="18"/>
          <w:lang w:val="es-ES"/>
        </w:rPr>
        <w:tab/>
      </w:r>
      <w:r w:rsidRPr="00547E99">
        <w:rPr>
          <w:rFonts w:ascii="Arial" w:hAnsi="Arial" w:cs="Arial"/>
          <w:szCs w:val="18"/>
          <w:lang w:val="es-ES"/>
        </w:rPr>
        <w:t>No se consideran efectos indirectos sobre el resultado primario debido a cambios en la recaudación o gastos.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275" w:rsidRPr="00547E99" w:rsidRDefault="00547E99">
    <w:pPr>
      <w:pStyle w:val="Header"/>
      <w:jc w:val="right"/>
      <w:rPr>
        <w:rFonts w:ascii="Arial" w:hAnsi="Arial" w:cs="Arial"/>
        <w:sz w:val="18"/>
        <w:szCs w:val="18"/>
        <w:lang w:val="es-ES"/>
      </w:rPr>
    </w:pPr>
    <w:r w:rsidRPr="00547E99">
      <w:rPr>
        <w:rFonts w:ascii="Arial" w:hAnsi="Arial" w:cs="Arial"/>
        <w:sz w:val="18"/>
        <w:szCs w:val="18"/>
        <w:lang w:val="es-ES"/>
      </w:rPr>
      <w:t>Enlace Electrónico – Necesidades de Financiamiento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F639D"/>
    <w:multiLevelType w:val="hybridMultilevel"/>
    <w:tmpl w:val="70EA2C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D71223"/>
    <w:multiLevelType w:val="hybridMultilevel"/>
    <w:tmpl w:val="F2DED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9533A"/>
    <w:multiLevelType w:val="multilevel"/>
    <w:tmpl w:val="7F7666B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</w:lvl>
    <w:lvl w:ilvl="2">
      <w:start w:val="1"/>
      <w:numFmt w:val="lowerLetter"/>
      <w:pStyle w:val="SubHeading1"/>
      <w:lvlText w:val="%3)"/>
      <w:lvlJc w:val="left"/>
      <w:pPr>
        <w:tabs>
          <w:tab w:val="num" w:pos="1872"/>
        </w:tabs>
        <w:ind w:left="1872" w:hanging="576"/>
      </w:p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3F05538"/>
    <w:multiLevelType w:val="hybridMultilevel"/>
    <w:tmpl w:val="CE26035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0144A"/>
    <w:multiLevelType w:val="hybridMultilevel"/>
    <w:tmpl w:val="1F60F9F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EA153B"/>
    <w:multiLevelType w:val="hybridMultilevel"/>
    <w:tmpl w:val="2CDA26F6"/>
    <w:lvl w:ilvl="0" w:tplc="7E30595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04787"/>
    <w:multiLevelType w:val="multilevel"/>
    <w:tmpl w:val="66682D4E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sz w:val="24"/>
        <w:lang w:val="en-US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>
    <w:nsid w:val="354B47B5"/>
    <w:multiLevelType w:val="hybridMultilevel"/>
    <w:tmpl w:val="5F3CD7FA"/>
    <w:lvl w:ilvl="0" w:tplc="3796F57E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545C0"/>
    <w:multiLevelType w:val="multilevel"/>
    <w:tmpl w:val="BFEA0A48"/>
    <w:lvl w:ilvl="0">
      <w:start w:val="1"/>
      <w:numFmt w:val="upperRoman"/>
      <w:pStyle w:val="MSAstyletitles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Garamond" w:hAnsi="Garamond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4D92233D"/>
    <w:multiLevelType w:val="hybridMultilevel"/>
    <w:tmpl w:val="53148996"/>
    <w:lvl w:ilvl="0" w:tplc="7E30595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F6551"/>
    <w:multiLevelType w:val="hybridMultilevel"/>
    <w:tmpl w:val="7C1CB04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F73F99"/>
    <w:multiLevelType w:val="hybridMultilevel"/>
    <w:tmpl w:val="968E74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C2B36"/>
    <w:multiLevelType w:val="hybridMultilevel"/>
    <w:tmpl w:val="2FC27ED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F25B68"/>
    <w:multiLevelType w:val="hybridMultilevel"/>
    <w:tmpl w:val="1E2A953A"/>
    <w:lvl w:ilvl="0" w:tplc="9A321D4A">
      <w:start w:val="1"/>
      <w:numFmt w:val="decimal"/>
      <w:pStyle w:val="Julietita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86773C"/>
    <w:multiLevelType w:val="hybridMultilevel"/>
    <w:tmpl w:val="4114FA1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4668E9"/>
    <w:multiLevelType w:val="hybridMultilevel"/>
    <w:tmpl w:val="E4007D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E82EE2"/>
    <w:multiLevelType w:val="hybridMultilevel"/>
    <w:tmpl w:val="3E9EC37C"/>
    <w:lvl w:ilvl="0" w:tplc="08D08636">
      <w:start w:val="1"/>
      <w:numFmt w:val="decimal"/>
      <w:lvlText w:val="%1."/>
      <w:lvlJc w:val="left"/>
      <w:pPr>
        <w:ind w:left="450" w:hanging="360"/>
      </w:pPr>
      <w:rPr>
        <w:rFonts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85658"/>
    <w:multiLevelType w:val="hybridMultilevel"/>
    <w:tmpl w:val="D6AAE602"/>
    <w:lvl w:ilvl="0" w:tplc="276CDBB2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E30595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74592"/>
    <w:multiLevelType w:val="multilevel"/>
    <w:tmpl w:val="D68E96DE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>
    <w:nsid w:val="7FE30505"/>
    <w:multiLevelType w:val="hybridMultilevel"/>
    <w:tmpl w:val="51280274"/>
    <w:lvl w:ilvl="0" w:tplc="9222CEA2">
      <w:start w:val="1"/>
      <w:numFmt w:val="bullet"/>
      <w:pStyle w:val="Bulletwospa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2"/>
  </w:num>
  <w:num w:numId="5">
    <w:abstractNumId w:val="13"/>
  </w:num>
  <w:num w:numId="6">
    <w:abstractNumId w:val="16"/>
  </w:num>
  <w:num w:numId="7">
    <w:abstractNumId w:val="8"/>
  </w:num>
  <w:num w:numId="8">
    <w:abstractNumId w:val="17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11"/>
  </w:num>
  <w:num w:numId="14">
    <w:abstractNumId w:val="5"/>
  </w:num>
  <w:num w:numId="15">
    <w:abstractNumId w:val="1"/>
  </w:num>
  <w:num w:numId="16">
    <w:abstractNumId w:val="0"/>
  </w:num>
  <w:num w:numId="17">
    <w:abstractNumId w:val="7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6"/>
    </w:lvlOverride>
    <w:lvlOverride w:ilvl="1">
      <w:startOverride w:val="1"/>
    </w:lvlOverride>
  </w:num>
  <w:num w:numId="24">
    <w:abstractNumId w:val="15"/>
  </w:num>
  <w:num w:numId="25">
    <w:abstractNumId w:val="10"/>
  </w:num>
  <w:num w:numId="2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029" w:vendorID="64" w:dllVersion="131078" w:nlCheck="1" w:checkStyle="1"/>
  <w:activeWritingStyle w:appName="MSWord" w:lang="en-CA" w:vendorID="64" w:dllVersion="131077" w:nlCheck="1" w:checkStyle="1"/>
  <w:activeWritingStyle w:appName="MSWord" w:lang="en-CA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AR" w:vendorID="64" w:dllVersion="131078" w:nlCheck="1" w:checkStyle="1"/>
  <w:activeWritingStyle w:appName="MSWord" w:lang="es-CL" w:vendorID="64" w:dllVersion="131078" w:nlCheck="1" w:checkStyle="1"/>
  <w:activeWritingStyle w:appName="MSWord" w:lang="es-UY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 stroke="f">
      <v:stroke on="f"/>
      <o:colormru v:ext="edit" colors="#ddd,#eaeaea"/>
    </o:shapedefaults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BF3"/>
    <w:rsid w:val="000021A2"/>
    <w:rsid w:val="000021CC"/>
    <w:rsid w:val="000025D3"/>
    <w:rsid w:val="00003593"/>
    <w:rsid w:val="00004053"/>
    <w:rsid w:val="00010B37"/>
    <w:rsid w:val="00012F2B"/>
    <w:rsid w:val="00013B98"/>
    <w:rsid w:val="00014B80"/>
    <w:rsid w:val="00017433"/>
    <w:rsid w:val="0001765D"/>
    <w:rsid w:val="00022DB9"/>
    <w:rsid w:val="00022FC9"/>
    <w:rsid w:val="00023154"/>
    <w:rsid w:val="000233D1"/>
    <w:rsid w:val="000241D5"/>
    <w:rsid w:val="0002457E"/>
    <w:rsid w:val="00024C00"/>
    <w:rsid w:val="00025DA4"/>
    <w:rsid w:val="00025F72"/>
    <w:rsid w:val="000302E8"/>
    <w:rsid w:val="000315C0"/>
    <w:rsid w:val="00034452"/>
    <w:rsid w:val="000345A6"/>
    <w:rsid w:val="000358C5"/>
    <w:rsid w:val="00036858"/>
    <w:rsid w:val="00037D2F"/>
    <w:rsid w:val="000406E0"/>
    <w:rsid w:val="00040B46"/>
    <w:rsid w:val="00040FD2"/>
    <w:rsid w:val="00041E82"/>
    <w:rsid w:val="00042C45"/>
    <w:rsid w:val="00043313"/>
    <w:rsid w:val="000437A4"/>
    <w:rsid w:val="000447A2"/>
    <w:rsid w:val="000451ED"/>
    <w:rsid w:val="00045717"/>
    <w:rsid w:val="00047D35"/>
    <w:rsid w:val="00047DEB"/>
    <w:rsid w:val="0005036B"/>
    <w:rsid w:val="000518DF"/>
    <w:rsid w:val="000524C4"/>
    <w:rsid w:val="00054E12"/>
    <w:rsid w:val="00060732"/>
    <w:rsid w:val="00061A8A"/>
    <w:rsid w:val="00061D6A"/>
    <w:rsid w:val="00061E49"/>
    <w:rsid w:val="00063342"/>
    <w:rsid w:val="00063854"/>
    <w:rsid w:val="000640DB"/>
    <w:rsid w:val="0006646A"/>
    <w:rsid w:val="000673EC"/>
    <w:rsid w:val="00070962"/>
    <w:rsid w:val="00072124"/>
    <w:rsid w:val="00072396"/>
    <w:rsid w:val="0007446D"/>
    <w:rsid w:val="000754AC"/>
    <w:rsid w:val="00076536"/>
    <w:rsid w:val="000778B1"/>
    <w:rsid w:val="00077E67"/>
    <w:rsid w:val="000823BF"/>
    <w:rsid w:val="000829A2"/>
    <w:rsid w:val="00090071"/>
    <w:rsid w:val="00091AB4"/>
    <w:rsid w:val="0009275C"/>
    <w:rsid w:val="00093A5D"/>
    <w:rsid w:val="00093B54"/>
    <w:rsid w:val="00095635"/>
    <w:rsid w:val="00097336"/>
    <w:rsid w:val="000A0033"/>
    <w:rsid w:val="000A0D8A"/>
    <w:rsid w:val="000A0DA4"/>
    <w:rsid w:val="000A22EE"/>
    <w:rsid w:val="000A257C"/>
    <w:rsid w:val="000A4C67"/>
    <w:rsid w:val="000A4E2D"/>
    <w:rsid w:val="000A65DF"/>
    <w:rsid w:val="000B0DA4"/>
    <w:rsid w:val="000B1280"/>
    <w:rsid w:val="000B29FA"/>
    <w:rsid w:val="000B301E"/>
    <w:rsid w:val="000B4E24"/>
    <w:rsid w:val="000B63E0"/>
    <w:rsid w:val="000C1E2B"/>
    <w:rsid w:val="000C2FCE"/>
    <w:rsid w:val="000C6A63"/>
    <w:rsid w:val="000D0160"/>
    <w:rsid w:val="000D0C7D"/>
    <w:rsid w:val="000D0E9C"/>
    <w:rsid w:val="000D1859"/>
    <w:rsid w:val="000D18A8"/>
    <w:rsid w:val="000D1B5C"/>
    <w:rsid w:val="000D23DB"/>
    <w:rsid w:val="000D2BFE"/>
    <w:rsid w:val="000D34A5"/>
    <w:rsid w:val="000D3BE0"/>
    <w:rsid w:val="000D496A"/>
    <w:rsid w:val="000D643E"/>
    <w:rsid w:val="000D7A12"/>
    <w:rsid w:val="000E1EC6"/>
    <w:rsid w:val="000E3225"/>
    <w:rsid w:val="000E35C6"/>
    <w:rsid w:val="000E377A"/>
    <w:rsid w:val="000E401B"/>
    <w:rsid w:val="000E44D3"/>
    <w:rsid w:val="000E7B20"/>
    <w:rsid w:val="000E7EB7"/>
    <w:rsid w:val="000F4C45"/>
    <w:rsid w:val="000F561A"/>
    <w:rsid w:val="000F58C5"/>
    <w:rsid w:val="000F5CF1"/>
    <w:rsid w:val="000F5FF3"/>
    <w:rsid w:val="000F630C"/>
    <w:rsid w:val="000F6437"/>
    <w:rsid w:val="000F7C57"/>
    <w:rsid w:val="00100025"/>
    <w:rsid w:val="00100135"/>
    <w:rsid w:val="001003C9"/>
    <w:rsid w:val="001026C9"/>
    <w:rsid w:val="0010272C"/>
    <w:rsid w:val="00103620"/>
    <w:rsid w:val="00104317"/>
    <w:rsid w:val="00104782"/>
    <w:rsid w:val="00104FEA"/>
    <w:rsid w:val="00105351"/>
    <w:rsid w:val="00105DF4"/>
    <w:rsid w:val="0010602D"/>
    <w:rsid w:val="00106A83"/>
    <w:rsid w:val="00106B9C"/>
    <w:rsid w:val="00107249"/>
    <w:rsid w:val="001103AB"/>
    <w:rsid w:val="001107A5"/>
    <w:rsid w:val="00111CFB"/>
    <w:rsid w:val="00111F5B"/>
    <w:rsid w:val="00112B99"/>
    <w:rsid w:val="00115336"/>
    <w:rsid w:val="0011794C"/>
    <w:rsid w:val="00122503"/>
    <w:rsid w:val="00122B12"/>
    <w:rsid w:val="0012362C"/>
    <w:rsid w:val="0012482E"/>
    <w:rsid w:val="00125677"/>
    <w:rsid w:val="00125F62"/>
    <w:rsid w:val="00126CAC"/>
    <w:rsid w:val="00126FD7"/>
    <w:rsid w:val="00130E91"/>
    <w:rsid w:val="00131174"/>
    <w:rsid w:val="00132487"/>
    <w:rsid w:val="0013539C"/>
    <w:rsid w:val="00136078"/>
    <w:rsid w:val="00136270"/>
    <w:rsid w:val="001375C7"/>
    <w:rsid w:val="00140D30"/>
    <w:rsid w:val="00147072"/>
    <w:rsid w:val="0014742C"/>
    <w:rsid w:val="00147782"/>
    <w:rsid w:val="00156674"/>
    <w:rsid w:val="00156962"/>
    <w:rsid w:val="00156B30"/>
    <w:rsid w:val="00156F1A"/>
    <w:rsid w:val="00160264"/>
    <w:rsid w:val="00160B0F"/>
    <w:rsid w:val="00160CC3"/>
    <w:rsid w:val="00160F6D"/>
    <w:rsid w:val="00161B24"/>
    <w:rsid w:val="00161CD0"/>
    <w:rsid w:val="00163C06"/>
    <w:rsid w:val="00164419"/>
    <w:rsid w:val="00165737"/>
    <w:rsid w:val="00167697"/>
    <w:rsid w:val="001709D1"/>
    <w:rsid w:val="00171102"/>
    <w:rsid w:val="0017133C"/>
    <w:rsid w:val="001739C3"/>
    <w:rsid w:val="0017525F"/>
    <w:rsid w:val="001762A8"/>
    <w:rsid w:val="001765DA"/>
    <w:rsid w:val="00177BC9"/>
    <w:rsid w:val="00177CDE"/>
    <w:rsid w:val="00177EA9"/>
    <w:rsid w:val="00181EF7"/>
    <w:rsid w:val="001826B6"/>
    <w:rsid w:val="00182AF8"/>
    <w:rsid w:val="00183099"/>
    <w:rsid w:val="001832FA"/>
    <w:rsid w:val="001835B8"/>
    <w:rsid w:val="00187327"/>
    <w:rsid w:val="00190D91"/>
    <w:rsid w:val="00192814"/>
    <w:rsid w:val="001937BF"/>
    <w:rsid w:val="001956A3"/>
    <w:rsid w:val="001959A8"/>
    <w:rsid w:val="001963CC"/>
    <w:rsid w:val="00196514"/>
    <w:rsid w:val="001974B8"/>
    <w:rsid w:val="001A00A7"/>
    <w:rsid w:val="001A08FC"/>
    <w:rsid w:val="001A15AC"/>
    <w:rsid w:val="001B0C72"/>
    <w:rsid w:val="001B1F3F"/>
    <w:rsid w:val="001B3915"/>
    <w:rsid w:val="001B3991"/>
    <w:rsid w:val="001B52B0"/>
    <w:rsid w:val="001B6419"/>
    <w:rsid w:val="001B6BD6"/>
    <w:rsid w:val="001C0899"/>
    <w:rsid w:val="001C4197"/>
    <w:rsid w:val="001C5FE8"/>
    <w:rsid w:val="001C60FD"/>
    <w:rsid w:val="001C6D97"/>
    <w:rsid w:val="001C7251"/>
    <w:rsid w:val="001C73B2"/>
    <w:rsid w:val="001D1DF0"/>
    <w:rsid w:val="001D2C49"/>
    <w:rsid w:val="001D5412"/>
    <w:rsid w:val="001D689B"/>
    <w:rsid w:val="001E076A"/>
    <w:rsid w:val="001E0CA3"/>
    <w:rsid w:val="001E1C71"/>
    <w:rsid w:val="001E23D0"/>
    <w:rsid w:val="001E33B0"/>
    <w:rsid w:val="001E50D3"/>
    <w:rsid w:val="001E57F4"/>
    <w:rsid w:val="001E5F42"/>
    <w:rsid w:val="001E7556"/>
    <w:rsid w:val="001F2DE7"/>
    <w:rsid w:val="001F33DE"/>
    <w:rsid w:val="001F3769"/>
    <w:rsid w:val="001F419B"/>
    <w:rsid w:val="001F4A92"/>
    <w:rsid w:val="001F75DC"/>
    <w:rsid w:val="00201D62"/>
    <w:rsid w:val="00203927"/>
    <w:rsid w:val="0020459D"/>
    <w:rsid w:val="00204A0D"/>
    <w:rsid w:val="00207973"/>
    <w:rsid w:val="00210214"/>
    <w:rsid w:val="00212360"/>
    <w:rsid w:val="002124E9"/>
    <w:rsid w:val="00212F0A"/>
    <w:rsid w:val="0021412F"/>
    <w:rsid w:val="00214BBE"/>
    <w:rsid w:val="00215CC6"/>
    <w:rsid w:val="002165CC"/>
    <w:rsid w:val="00216691"/>
    <w:rsid w:val="0021734A"/>
    <w:rsid w:val="00220E79"/>
    <w:rsid w:val="00221AA7"/>
    <w:rsid w:val="002228CB"/>
    <w:rsid w:val="00224384"/>
    <w:rsid w:val="00224FC4"/>
    <w:rsid w:val="00225220"/>
    <w:rsid w:val="002256E7"/>
    <w:rsid w:val="00225795"/>
    <w:rsid w:val="00225CE7"/>
    <w:rsid w:val="0022779D"/>
    <w:rsid w:val="002315F7"/>
    <w:rsid w:val="002317AA"/>
    <w:rsid w:val="00231ADE"/>
    <w:rsid w:val="00231BF1"/>
    <w:rsid w:val="00232786"/>
    <w:rsid w:val="00233290"/>
    <w:rsid w:val="00236532"/>
    <w:rsid w:val="002369BA"/>
    <w:rsid w:val="00240749"/>
    <w:rsid w:val="002422CC"/>
    <w:rsid w:val="00242707"/>
    <w:rsid w:val="0024356B"/>
    <w:rsid w:val="002445FC"/>
    <w:rsid w:val="00246F03"/>
    <w:rsid w:val="00247304"/>
    <w:rsid w:val="002508C4"/>
    <w:rsid w:val="00251771"/>
    <w:rsid w:val="00251E4B"/>
    <w:rsid w:val="00253594"/>
    <w:rsid w:val="0025424C"/>
    <w:rsid w:val="00255332"/>
    <w:rsid w:val="0025567C"/>
    <w:rsid w:val="002570DF"/>
    <w:rsid w:val="002574FB"/>
    <w:rsid w:val="002576CE"/>
    <w:rsid w:val="0026081A"/>
    <w:rsid w:val="00261918"/>
    <w:rsid w:val="00261946"/>
    <w:rsid w:val="00261E40"/>
    <w:rsid w:val="0026432A"/>
    <w:rsid w:val="0026591A"/>
    <w:rsid w:val="00265F4A"/>
    <w:rsid w:val="0027005C"/>
    <w:rsid w:val="002712D9"/>
    <w:rsid w:val="00272304"/>
    <w:rsid w:val="00273259"/>
    <w:rsid w:val="002744B1"/>
    <w:rsid w:val="00275945"/>
    <w:rsid w:val="00282A0B"/>
    <w:rsid w:val="00282FED"/>
    <w:rsid w:val="00283716"/>
    <w:rsid w:val="00283BC2"/>
    <w:rsid w:val="002840B3"/>
    <w:rsid w:val="00284528"/>
    <w:rsid w:val="002853A3"/>
    <w:rsid w:val="00285BC4"/>
    <w:rsid w:val="002860A6"/>
    <w:rsid w:val="00287613"/>
    <w:rsid w:val="00287F5F"/>
    <w:rsid w:val="00290263"/>
    <w:rsid w:val="00291E7A"/>
    <w:rsid w:val="0029210F"/>
    <w:rsid w:val="0029240F"/>
    <w:rsid w:val="00292486"/>
    <w:rsid w:val="0029401E"/>
    <w:rsid w:val="00296910"/>
    <w:rsid w:val="00296911"/>
    <w:rsid w:val="002977EF"/>
    <w:rsid w:val="002A21B4"/>
    <w:rsid w:val="002A30EA"/>
    <w:rsid w:val="002A41EE"/>
    <w:rsid w:val="002A5C02"/>
    <w:rsid w:val="002A5D67"/>
    <w:rsid w:val="002A6BCC"/>
    <w:rsid w:val="002A73DF"/>
    <w:rsid w:val="002A73FB"/>
    <w:rsid w:val="002B1CDE"/>
    <w:rsid w:val="002B1D6F"/>
    <w:rsid w:val="002B2757"/>
    <w:rsid w:val="002B3D52"/>
    <w:rsid w:val="002B54EB"/>
    <w:rsid w:val="002B5C08"/>
    <w:rsid w:val="002B5E2C"/>
    <w:rsid w:val="002B6235"/>
    <w:rsid w:val="002C091C"/>
    <w:rsid w:val="002C17F1"/>
    <w:rsid w:val="002C4510"/>
    <w:rsid w:val="002D2626"/>
    <w:rsid w:val="002D28EA"/>
    <w:rsid w:val="002D2A86"/>
    <w:rsid w:val="002D2DF9"/>
    <w:rsid w:val="002D32BB"/>
    <w:rsid w:val="002D3D33"/>
    <w:rsid w:val="002D4077"/>
    <w:rsid w:val="002D4195"/>
    <w:rsid w:val="002D42B2"/>
    <w:rsid w:val="002D4D9A"/>
    <w:rsid w:val="002D5A2E"/>
    <w:rsid w:val="002D5DF9"/>
    <w:rsid w:val="002D60E9"/>
    <w:rsid w:val="002D7AD7"/>
    <w:rsid w:val="002E0A42"/>
    <w:rsid w:val="002E16E4"/>
    <w:rsid w:val="002E428A"/>
    <w:rsid w:val="002E59E6"/>
    <w:rsid w:val="002E78D6"/>
    <w:rsid w:val="002E78E2"/>
    <w:rsid w:val="002F3478"/>
    <w:rsid w:val="002F5945"/>
    <w:rsid w:val="002F764C"/>
    <w:rsid w:val="002F768F"/>
    <w:rsid w:val="0030137D"/>
    <w:rsid w:val="003015BE"/>
    <w:rsid w:val="00301612"/>
    <w:rsid w:val="0030324A"/>
    <w:rsid w:val="00303500"/>
    <w:rsid w:val="003035A3"/>
    <w:rsid w:val="00304407"/>
    <w:rsid w:val="00304E3E"/>
    <w:rsid w:val="00305F9C"/>
    <w:rsid w:val="00306F67"/>
    <w:rsid w:val="00307A3D"/>
    <w:rsid w:val="003106F6"/>
    <w:rsid w:val="003107EC"/>
    <w:rsid w:val="00312551"/>
    <w:rsid w:val="0031279A"/>
    <w:rsid w:val="00313A9F"/>
    <w:rsid w:val="0031423C"/>
    <w:rsid w:val="0031684D"/>
    <w:rsid w:val="0031715C"/>
    <w:rsid w:val="003200B4"/>
    <w:rsid w:val="003209CC"/>
    <w:rsid w:val="003229C5"/>
    <w:rsid w:val="003232F2"/>
    <w:rsid w:val="00324245"/>
    <w:rsid w:val="00324667"/>
    <w:rsid w:val="00324F64"/>
    <w:rsid w:val="003252C4"/>
    <w:rsid w:val="00325AE6"/>
    <w:rsid w:val="00330D7E"/>
    <w:rsid w:val="00331037"/>
    <w:rsid w:val="00331523"/>
    <w:rsid w:val="003344C2"/>
    <w:rsid w:val="0033450A"/>
    <w:rsid w:val="00334B8A"/>
    <w:rsid w:val="003354A9"/>
    <w:rsid w:val="003356DF"/>
    <w:rsid w:val="00337354"/>
    <w:rsid w:val="003378F8"/>
    <w:rsid w:val="00342121"/>
    <w:rsid w:val="00342D02"/>
    <w:rsid w:val="00342F27"/>
    <w:rsid w:val="00342F29"/>
    <w:rsid w:val="003444FF"/>
    <w:rsid w:val="0034513F"/>
    <w:rsid w:val="00345183"/>
    <w:rsid w:val="00345B8F"/>
    <w:rsid w:val="0034651C"/>
    <w:rsid w:val="003508B9"/>
    <w:rsid w:val="0035179D"/>
    <w:rsid w:val="0035182E"/>
    <w:rsid w:val="00352FB0"/>
    <w:rsid w:val="0035348F"/>
    <w:rsid w:val="00353F41"/>
    <w:rsid w:val="003549A2"/>
    <w:rsid w:val="00354B5B"/>
    <w:rsid w:val="00354D8A"/>
    <w:rsid w:val="003555DD"/>
    <w:rsid w:val="00357C33"/>
    <w:rsid w:val="003607F2"/>
    <w:rsid w:val="003609E5"/>
    <w:rsid w:val="00362769"/>
    <w:rsid w:val="00362EA4"/>
    <w:rsid w:val="00363873"/>
    <w:rsid w:val="00363D3A"/>
    <w:rsid w:val="00366AAF"/>
    <w:rsid w:val="00371632"/>
    <w:rsid w:val="0037230C"/>
    <w:rsid w:val="00373BEB"/>
    <w:rsid w:val="0037409F"/>
    <w:rsid w:val="00374FEF"/>
    <w:rsid w:val="003759F1"/>
    <w:rsid w:val="0037645D"/>
    <w:rsid w:val="00380362"/>
    <w:rsid w:val="00381592"/>
    <w:rsid w:val="00381C5E"/>
    <w:rsid w:val="00382338"/>
    <w:rsid w:val="00382F8A"/>
    <w:rsid w:val="00382FC0"/>
    <w:rsid w:val="00383D1E"/>
    <w:rsid w:val="00386C02"/>
    <w:rsid w:val="00386FF4"/>
    <w:rsid w:val="00387E25"/>
    <w:rsid w:val="00391502"/>
    <w:rsid w:val="0039242B"/>
    <w:rsid w:val="00393AF6"/>
    <w:rsid w:val="0039430F"/>
    <w:rsid w:val="0039531B"/>
    <w:rsid w:val="003953FC"/>
    <w:rsid w:val="003955A0"/>
    <w:rsid w:val="00396056"/>
    <w:rsid w:val="0039778D"/>
    <w:rsid w:val="00397C71"/>
    <w:rsid w:val="00397D9D"/>
    <w:rsid w:val="003A21FF"/>
    <w:rsid w:val="003A2B36"/>
    <w:rsid w:val="003A3941"/>
    <w:rsid w:val="003A4A01"/>
    <w:rsid w:val="003A6DB7"/>
    <w:rsid w:val="003A77ED"/>
    <w:rsid w:val="003B09AC"/>
    <w:rsid w:val="003B1681"/>
    <w:rsid w:val="003B173A"/>
    <w:rsid w:val="003B1AD6"/>
    <w:rsid w:val="003B40B6"/>
    <w:rsid w:val="003B415C"/>
    <w:rsid w:val="003B57F4"/>
    <w:rsid w:val="003C1189"/>
    <w:rsid w:val="003C1F65"/>
    <w:rsid w:val="003C2B41"/>
    <w:rsid w:val="003C2F51"/>
    <w:rsid w:val="003C470C"/>
    <w:rsid w:val="003C4B50"/>
    <w:rsid w:val="003C5394"/>
    <w:rsid w:val="003C5CB3"/>
    <w:rsid w:val="003C646D"/>
    <w:rsid w:val="003C64BF"/>
    <w:rsid w:val="003D1166"/>
    <w:rsid w:val="003D147B"/>
    <w:rsid w:val="003D198E"/>
    <w:rsid w:val="003D1CD7"/>
    <w:rsid w:val="003D1D27"/>
    <w:rsid w:val="003D20EF"/>
    <w:rsid w:val="003D374C"/>
    <w:rsid w:val="003D6431"/>
    <w:rsid w:val="003D6475"/>
    <w:rsid w:val="003D6494"/>
    <w:rsid w:val="003D711D"/>
    <w:rsid w:val="003D78E8"/>
    <w:rsid w:val="003D7B41"/>
    <w:rsid w:val="003E09AA"/>
    <w:rsid w:val="003E28D6"/>
    <w:rsid w:val="003E4D34"/>
    <w:rsid w:val="003E596E"/>
    <w:rsid w:val="003E7E8C"/>
    <w:rsid w:val="003F1EBE"/>
    <w:rsid w:val="003F20E9"/>
    <w:rsid w:val="003F3460"/>
    <w:rsid w:val="003F3A0A"/>
    <w:rsid w:val="003F4208"/>
    <w:rsid w:val="003F44DF"/>
    <w:rsid w:val="003F533E"/>
    <w:rsid w:val="003F558A"/>
    <w:rsid w:val="003F5E44"/>
    <w:rsid w:val="003F677E"/>
    <w:rsid w:val="003F6C50"/>
    <w:rsid w:val="003F72D8"/>
    <w:rsid w:val="0040125F"/>
    <w:rsid w:val="00401354"/>
    <w:rsid w:val="00401D15"/>
    <w:rsid w:val="00401E59"/>
    <w:rsid w:val="004029A0"/>
    <w:rsid w:val="00402D05"/>
    <w:rsid w:val="00402DC9"/>
    <w:rsid w:val="004033DF"/>
    <w:rsid w:val="0040361E"/>
    <w:rsid w:val="00404478"/>
    <w:rsid w:val="0040504F"/>
    <w:rsid w:val="004052FC"/>
    <w:rsid w:val="00407E44"/>
    <w:rsid w:val="00411F46"/>
    <w:rsid w:val="0041207A"/>
    <w:rsid w:val="004125A0"/>
    <w:rsid w:val="00412796"/>
    <w:rsid w:val="004146B5"/>
    <w:rsid w:val="0041665B"/>
    <w:rsid w:val="0041727A"/>
    <w:rsid w:val="0041799E"/>
    <w:rsid w:val="00420098"/>
    <w:rsid w:val="00420D67"/>
    <w:rsid w:val="00422A10"/>
    <w:rsid w:val="00423DCB"/>
    <w:rsid w:val="00423E82"/>
    <w:rsid w:val="00424A30"/>
    <w:rsid w:val="004260F1"/>
    <w:rsid w:val="0042783C"/>
    <w:rsid w:val="00427D82"/>
    <w:rsid w:val="00431088"/>
    <w:rsid w:val="00432F5C"/>
    <w:rsid w:val="00433C01"/>
    <w:rsid w:val="00433E09"/>
    <w:rsid w:val="00433E19"/>
    <w:rsid w:val="004373D0"/>
    <w:rsid w:val="0044364F"/>
    <w:rsid w:val="00444CBC"/>
    <w:rsid w:val="00446672"/>
    <w:rsid w:val="00446AF2"/>
    <w:rsid w:val="00447861"/>
    <w:rsid w:val="00447AD9"/>
    <w:rsid w:val="0045099E"/>
    <w:rsid w:val="00451394"/>
    <w:rsid w:val="004542A2"/>
    <w:rsid w:val="00456298"/>
    <w:rsid w:val="00456D34"/>
    <w:rsid w:val="00461DCF"/>
    <w:rsid w:val="00463600"/>
    <w:rsid w:val="00463933"/>
    <w:rsid w:val="0046420F"/>
    <w:rsid w:val="004655AB"/>
    <w:rsid w:val="0046568D"/>
    <w:rsid w:val="00466A4A"/>
    <w:rsid w:val="00466FB7"/>
    <w:rsid w:val="00471467"/>
    <w:rsid w:val="0047229B"/>
    <w:rsid w:val="004728B6"/>
    <w:rsid w:val="00474A65"/>
    <w:rsid w:val="00474C5F"/>
    <w:rsid w:val="00475221"/>
    <w:rsid w:val="004753CB"/>
    <w:rsid w:val="0047621F"/>
    <w:rsid w:val="00476F0B"/>
    <w:rsid w:val="00477E19"/>
    <w:rsid w:val="00477EA3"/>
    <w:rsid w:val="004812E3"/>
    <w:rsid w:val="00482241"/>
    <w:rsid w:val="00482C68"/>
    <w:rsid w:val="00483D84"/>
    <w:rsid w:val="00485263"/>
    <w:rsid w:val="00486DE0"/>
    <w:rsid w:val="0048703F"/>
    <w:rsid w:val="00487ED9"/>
    <w:rsid w:val="0049090C"/>
    <w:rsid w:val="004950AD"/>
    <w:rsid w:val="00495577"/>
    <w:rsid w:val="004971B9"/>
    <w:rsid w:val="00497A83"/>
    <w:rsid w:val="004A0810"/>
    <w:rsid w:val="004A0B5C"/>
    <w:rsid w:val="004A0E4D"/>
    <w:rsid w:val="004A1260"/>
    <w:rsid w:val="004A2BA3"/>
    <w:rsid w:val="004A44CC"/>
    <w:rsid w:val="004A4727"/>
    <w:rsid w:val="004A4DC1"/>
    <w:rsid w:val="004A5677"/>
    <w:rsid w:val="004A5CE6"/>
    <w:rsid w:val="004A5D52"/>
    <w:rsid w:val="004A7B16"/>
    <w:rsid w:val="004B0922"/>
    <w:rsid w:val="004B17E6"/>
    <w:rsid w:val="004B230F"/>
    <w:rsid w:val="004B2A52"/>
    <w:rsid w:val="004B343C"/>
    <w:rsid w:val="004B5552"/>
    <w:rsid w:val="004B5777"/>
    <w:rsid w:val="004B7272"/>
    <w:rsid w:val="004B7A12"/>
    <w:rsid w:val="004B7B1A"/>
    <w:rsid w:val="004C11FD"/>
    <w:rsid w:val="004C2257"/>
    <w:rsid w:val="004C2CE6"/>
    <w:rsid w:val="004C58B9"/>
    <w:rsid w:val="004C62CD"/>
    <w:rsid w:val="004C7053"/>
    <w:rsid w:val="004D0400"/>
    <w:rsid w:val="004D1FA6"/>
    <w:rsid w:val="004D23B6"/>
    <w:rsid w:val="004D244A"/>
    <w:rsid w:val="004D24CE"/>
    <w:rsid w:val="004D33BB"/>
    <w:rsid w:val="004D3CE0"/>
    <w:rsid w:val="004D4CB8"/>
    <w:rsid w:val="004D5691"/>
    <w:rsid w:val="004D6D0C"/>
    <w:rsid w:val="004D710D"/>
    <w:rsid w:val="004D7825"/>
    <w:rsid w:val="004D7913"/>
    <w:rsid w:val="004E04AC"/>
    <w:rsid w:val="004E1275"/>
    <w:rsid w:val="004E160D"/>
    <w:rsid w:val="004E1DB7"/>
    <w:rsid w:val="004E2253"/>
    <w:rsid w:val="004E4683"/>
    <w:rsid w:val="004E52BB"/>
    <w:rsid w:val="004E59B3"/>
    <w:rsid w:val="004E6906"/>
    <w:rsid w:val="004E6FD1"/>
    <w:rsid w:val="004E7749"/>
    <w:rsid w:val="004F1223"/>
    <w:rsid w:val="004F295D"/>
    <w:rsid w:val="004F47F3"/>
    <w:rsid w:val="004F49FE"/>
    <w:rsid w:val="004F5932"/>
    <w:rsid w:val="004F6F13"/>
    <w:rsid w:val="004F7354"/>
    <w:rsid w:val="004F7980"/>
    <w:rsid w:val="00501DBC"/>
    <w:rsid w:val="0050231E"/>
    <w:rsid w:val="00503BA4"/>
    <w:rsid w:val="00504544"/>
    <w:rsid w:val="00504A6E"/>
    <w:rsid w:val="00504DAA"/>
    <w:rsid w:val="00505788"/>
    <w:rsid w:val="0050633C"/>
    <w:rsid w:val="005063E1"/>
    <w:rsid w:val="005072AE"/>
    <w:rsid w:val="00510862"/>
    <w:rsid w:val="005109AD"/>
    <w:rsid w:val="00510F84"/>
    <w:rsid w:val="00511A80"/>
    <w:rsid w:val="0051221D"/>
    <w:rsid w:val="00512288"/>
    <w:rsid w:val="0051246B"/>
    <w:rsid w:val="00513463"/>
    <w:rsid w:val="005143E4"/>
    <w:rsid w:val="00516036"/>
    <w:rsid w:val="00516EA4"/>
    <w:rsid w:val="00517183"/>
    <w:rsid w:val="00517C01"/>
    <w:rsid w:val="00517D67"/>
    <w:rsid w:val="00517DDE"/>
    <w:rsid w:val="005200A0"/>
    <w:rsid w:val="0052089A"/>
    <w:rsid w:val="00523107"/>
    <w:rsid w:val="005234A8"/>
    <w:rsid w:val="0052375A"/>
    <w:rsid w:val="00524124"/>
    <w:rsid w:val="00524F81"/>
    <w:rsid w:val="0052743A"/>
    <w:rsid w:val="00527D40"/>
    <w:rsid w:val="00531D5B"/>
    <w:rsid w:val="005324FE"/>
    <w:rsid w:val="00533305"/>
    <w:rsid w:val="005345CB"/>
    <w:rsid w:val="0053496F"/>
    <w:rsid w:val="005352FD"/>
    <w:rsid w:val="00536840"/>
    <w:rsid w:val="00537D1E"/>
    <w:rsid w:val="00541C41"/>
    <w:rsid w:val="00542A99"/>
    <w:rsid w:val="005467CE"/>
    <w:rsid w:val="005477F4"/>
    <w:rsid w:val="00547E99"/>
    <w:rsid w:val="00550128"/>
    <w:rsid w:val="005518BA"/>
    <w:rsid w:val="00551A7E"/>
    <w:rsid w:val="00551AC5"/>
    <w:rsid w:val="00551C58"/>
    <w:rsid w:val="005534DA"/>
    <w:rsid w:val="005535E0"/>
    <w:rsid w:val="00555966"/>
    <w:rsid w:val="00557225"/>
    <w:rsid w:val="00557688"/>
    <w:rsid w:val="00557D79"/>
    <w:rsid w:val="0056091B"/>
    <w:rsid w:val="00561C33"/>
    <w:rsid w:val="00562DCA"/>
    <w:rsid w:val="00563B8A"/>
    <w:rsid w:val="0056575E"/>
    <w:rsid w:val="00565CBE"/>
    <w:rsid w:val="005669D5"/>
    <w:rsid w:val="005701C8"/>
    <w:rsid w:val="0057038B"/>
    <w:rsid w:val="00571AAB"/>
    <w:rsid w:val="00571D00"/>
    <w:rsid w:val="0057260E"/>
    <w:rsid w:val="005732C0"/>
    <w:rsid w:val="00577358"/>
    <w:rsid w:val="00577E6B"/>
    <w:rsid w:val="00581057"/>
    <w:rsid w:val="00582908"/>
    <w:rsid w:val="005842AA"/>
    <w:rsid w:val="005846C7"/>
    <w:rsid w:val="00584A12"/>
    <w:rsid w:val="00584BFA"/>
    <w:rsid w:val="00584EE6"/>
    <w:rsid w:val="00585026"/>
    <w:rsid w:val="005874C6"/>
    <w:rsid w:val="005908C2"/>
    <w:rsid w:val="00591093"/>
    <w:rsid w:val="005937F5"/>
    <w:rsid w:val="005967A9"/>
    <w:rsid w:val="0059690B"/>
    <w:rsid w:val="00596AE6"/>
    <w:rsid w:val="005A0505"/>
    <w:rsid w:val="005A140E"/>
    <w:rsid w:val="005A161E"/>
    <w:rsid w:val="005A1B9D"/>
    <w:rsid w:val="005A249D"/>
    <w:rsid w:val="005A343D"/>
    <w:rsid w:val="005A6140"/>
    <w:rsid w:val="005A6693"/>
    <w:rsid w:val="005A7F51"/>
    <w:rsid w:val="005B25A6"/>
    <w:rsid w:val="005B4F64"/>
    <w:rsid w:val="005B5680"/>
    <w:rsid w:val="005B6A7C"/>
    <w:rsid w:val="005B70FC"/>
    <w:rsid w:val="005C0438"/>
    <w:rsid w:val="005C1873"/>
    <w:rsid w:val="005C1BF3"/>
    <w:rsid w:val="005C4ED0"/>
    <w:rsid w:val="005C7A20"/>
    <w:rsid w:val="005D1122"/>
    <w:rsid w:val="005D157F"/>
    <w:rsid w:val="005D1EBE"/>
    <w:rsid w:val="005D2CDF"/>
    <w:rsid w:val="005D427A"/>
    <w:rsid w:val="005D589C"/>
    <w:rsid w:val="005D74F2"/>
    <w:rsid w:val="005E0BBE"/>
    <w:rsid w:val="005E1025"/>
    <w:rsid w:val="005E1736"/>
    <w:rsid w:val="005E305C"/>
    <w:rsid w:val="005E5C3F"/>
    <w:rsid w:val="005E7741"/>
    <w:rsid w:val="005F097B"/>
    <w:rsid w:val="005F0A48"/>
    <w:rsid w:val="005F0B42"/>
    <w:rsid w:val="005F13E5"/>
    <w:rsid w:val="005F4151"/>
    <w:rsid w:val="005F4F18"/>
    <w:rsid w:val="005F52C4"/>
    <w:rsid w:val="005F5711"/>
    <w:rsid w:val="005F5FC6"/>
    <w:rsid w:val="005F76D1"/>
    <w:rsid w:val="005F7B7E"/>
    <w:rsid w:val="005F7F99"/>
    <w:rsid w:val="00600AA4"/>
    <w:rsid w:val="006010B3"/>
    <w:rsid w:val="006010DA"/>
    <w:rsid w:val="0060306D"/>
    <w:rsid w:val="00605587"/>
    <w:rsid w:val="0060665A"/>
    <w:rsid w:val="00606714"/>
    <w:rsid w:val="00606C84"/>
    <w:rsid w:val="006074DE"/>
    <w:rsid w:val="00610B41"/>
    <w:rsid w:val="006133A9"/>
    <w:rsid w:val="006136D8"/>
    <w:rsid w:val="006175B6"/>
    <w:rsid w:val="00620421"/>
    <w:rsid w:val="006206AE"/>
    <w:rsid w:val="00620926"/>
    <w:rsid w:val="00620CBB"/>
    <w:rsid w:val="006219E4"/>
    <w:rsid w:val="0062225E"/>
    <w:rsid w:val="00623C6E"/>
    <w:rsid w:val="0062516D"/>
    <w:rsid w:val="006260E3"/>
    <w:rsid w:val="00626A84"/>
    <w:rsid w:val="00626C8F"/>
    <w:rsid w:val="0062709C"/>
    <w:rsid w:val="006309C4"/>
    <w:rsid w:val="00632C54"/>
    <w:rsid w:val="00634B39"/>
    <w:rsid w:val="006372C6"/>
    <w:rsid w:val="006374D3"/>
    <w:rsid w:val="0064012D"/>
    <w:rsid w:val="00642772"/>
    <w:rsid w:val="0064282F"/>
    <w:rsid w:val="00643BE5"/>
    <w:rsid w:val="006454FA"/>
    <w:rsid w:val="00645953"/>
    <w:rsid w:val="006459F2"/>
    <w:rsid w:val="0064683F"/>
    <w:rsid w:val="00646A69"/>
    <w:rsid w:val="00647235"/>
    <w:rsid w:val="00651BC5"/>
    <w:rsid w:val="00653528"/>
    <w:rsid w:val="006545EA"/>
    <w:rsid w:val="006551D5"/>
    <w:rsid w:val="00655ACE"/>
    <w:rsid w:val="0065648F"/>
    <w:rsid w:val="00657F32"/>
    <w:rsid w:val="00660470"/>
    <w:rsid w:val="00660D9D"/>
    <w:rsid w:val="00662572"/>
    <w:rsid w:val="00662769"/>
    <w:rsid w:val="006647BA"/>
    <w:rsid w:val="00665DF5"/>
    <w:rsid w:val="00670144"/>
    <w:rsid w:val="006701D7"/>
    <w:rsid w:val="00671529"/>
    <w:rsid w:val="006717BC"/>
    <w:rsid w:val="00673834"/>
    <w:rsid w:val="006738ED"/>
    <w:rsid w:val="00675497"/>
    <w:rsid w:val="00675D77"/>
    <w:rsid w:val="006775B1"/>
    <w:rsid w:val="00677768"/>
    <w:rsid w:val="00682A57"/>
    <w:rsid w:val="0068359E"/>
    <w:rsid w:val="006843FA"/>
    <w:rsid w:val="0068544F"/>
    <w:rsid w:val="00686158"/>
    <w:rsid w:val="006868C7"/>
    <w:rsid w:val="00690D74"/>
    <w:rsid w:val="006913B3"/>
    <w:rsid w:val="006919C1"/>
    <w:rsid w:val="006926BC"/>
    <w:rsid w:val="00692964"/>
    <w:rsid w:val="006932A3"/>
    <w:rsid w:val="0069344B"/>
    <w:rsid w:val="006937E1"/>
    <w:rsid w:val="0069460D"/>
    <w:rsid w:val="00695338"/>
    <w:rsid w:val="006961AA"/>
    <w:rsid w:val="00697167"/>
    <w:rsid w:val="006A03D3"/>
    <w:rsid w:val="006A0646"/>
    <w:rsid w:val="006A0B4F"/>
    <w:rsid w:val="006A1993"/>
    <w:rsid w:val="006A1AC1"/>
    <w:rsid w:val="006A242D"/>
    <w:rsid w:val="006A2EC7"/>
    <w:rsid w:val="006A300A"/>
    <w:rsid w:val="006A31A3"/>
    <w:rsid w:val="006A4B61"/>
    <w:rsid w:val="006A6AEB"/>
    <w:rsid w:val="006A77CD"/>
    <w:rsid w:val="006B0BE5"/>
    <w:rsid w:val="006B1E5E"/>
    <w:rsid w:val="006B201C"/>
    <w:rsid w:val="006B718F"/>
    <w:rsid w:val="006B71D8"/>
    <w:rsid w:val="006C0002"/>
    <w:rsid w:val="006C112C"/>
    <w:rsid w:val="006C1E9D"/>
    <w:rsid w:val="006C20C2"/>
    <w:rsid w:val="006C2823"/>
    <w:rsid w:val="006C35C1"/>
    <w:rsid w:val="006C43E7"/>
    <w:rsid w:val="006D029E"/>
    <w:rsid w:val="006D2D3E"/>
    <w:rsid w:val="006D55D8"/>
    <w:rsid w:val="006D57BC"/>
    <w:rsid w:val="006D5B68"/>
    <w:rsid w:val="006E12A0"/>
    <w:rsid w:val="006E1825"/>
    <w:rsid w:val="006E194B"/>
    <w:rsid w:val="006E2617"/>
    <w:rsid w:val="006E376C"/>
    <w:rsid w:val="006E4387"/>
    <w:rsid w:val="006E4636"/>
    <w:rsid w:val="006E65CA"/>
    <w:rsid w:val="006F0FD0"/>
    <w:rsid w:val="006F15D7"/>
    <w:rsid w:val="006F1B29"/>
    <w:rsid w:val="006F1FC3"/>
    <w:rsid w:val="006F4428"/>
    <w:rsid w:val="00700FF8"/>
    <w:rsid w:val="0070253A"/>
    <w:rsid w:val="00702894"/>
    <w:rsid w:val="0070395A"/>
    <w:rsid w:val="00703D17"/>
    <w:rsid w:val="00705162"/>
    <w:rsid w:val="00705908"/>
    <w:rsid w:val="00706E68"/>
    <w:rsid w:val="0070735D"/>
    <w:rsid w:val="00707DDA"/>
    <w:rsid w:val="00710042"/>
    <w:rsid w:val="00712F07"/>
    <w:rsid w:val="00713DAD"/>
    <w:rsid w:val="0071435D"/>
    <w:rsid w:val="00714473"/>
    <w:rsid w:val="00715479"/>
    <w:rsid w:val="00723A1B"/>
    <w:rsid w:val="00723B23"/>
    <w:rsid w:val="0072643F"/>
    <w:rsid w:val="007269AD"/>
    <w:rsid w:val="00727635"/>
    <w:rsid w:val="0073057C"/>
    <w:rsid w:val="007316CD"/>
    <w:rsid w:val="00731B7A"/>
    <w:rsid w:val="007337FB"/>
    <w:rsid w:val="00733B1C"/>
    <w:rsid w:val="00734478"/>
    <w:rsid w:val="0073492C"/>
    <w:rsid w:val="00734E8B"/>
    <w:rsid w:val="00735BD0"/>
    <w:rsid w:val="00737D26"/>
    <w:rsid w:val="00740BB1"/>
    <w:rsid w:val="00740D05"/>
    <w:rsid w:val="00740D46"/>
    <w:rsid w:val="00741500"/>
    <w:rsid w:val="00741D7B"/>
    <w:rsid w:val="00743A24"/>
    <w:rsid w:val="007452C5"/>
    <w:rsid w:val="00750AA1"/>
    <w:rsid w:val="00751459"/>
    <w:rsid w:val="007515AD"/>
    <w:rsid w:val="00751742"/>
    <w:rsid w:val="00753DE2"/>
    <w:rsid w:val="007562D6"/>
    <w:rsid w:val="007574B5"/>
    <w:rsid w:val="00760200"/>
    <w:rsid w:val="007614A2"/>
    <w:rsid w:val="00761EAB"/>
    <w:rsid w:val="00762E47"/>
    <w:rsid w:val="007635CD"/>
    <w:rsid w:val="00765016"/>
    <w:rsid w:val="007660DB"/>
    <w:rsid w:val="00766D71"/>
    <w:rsid w:val="00770666"/>
    <w:rsid w:val="007759BD"/>
    <w:rsid w:val="007762D9"/>
    <w:rsid w:val="0077703C"/>
    <w:rsid w:val="00777D76"/>
    <w:rsid w:val="00782E2D"/>
    <w:rsid w:val="00783540"/>
    <w:rsid w:val="007840F9"/>
    <w:rsid w:val="007849E3"/>
    <w:rsid w:val="00785239"/>
    <w:rsid w:val="007863E0"/>
    <w:rsid w:val="007866F2"/>
    <w:rsid w:val="00787CA8"/>
    <w:rsid w:val="007902DA"/>
    <w:rsid w:val="00790F34"/>
    <w:rsid w:val="00791310"/>
    <w:rsid w:val="00791846"/>
    <w:rsid w:val="00794024"/>
    <w:rsid w:val="00794A7B"/>
    <w:rsid w:val="00794D14"/>
    <w:rsid w:val="00795D3A"/>
    <w:rsid w:val="007967D3"/>
    <w:rsid w:val="00796F10"/>
    <w:rsid w:val="007A321D"/>
    <w:rsid w:val="007A3F18"/>
    <w:rsid w:val="007A535A"/>
    <w:rsid w:val="007A5DBE"/>
    <w:rsid w:val="007A6FD6"/>
    <w:rsid w:val="007A71E9"/>
    <w:rsid w:val="007B00B9"/>
    <w:rsid w:val="007B211C"/>
    <w:rsid w:val="007B39EA"/>
    <w:rsid w:val="007B3E27"/>
    <w:rsid w:val="007B3ED9"/>
    <w:rsid w:val="007B5267"/>
    <w:rsid w:val="007B57A4"/>
    <w:rsid w:val="007B5BE6"/>
    <w:rsid w:val="007B5CB1"/>
    <w:rsid w:val="007B5E49"/>
    <w:rsid w:val="007B695D"/>
    <w:rsid w:val="007B6E9E"/>
    <w:rsid w:val="007B7297"/>
    <w:rsid w:val="007C0B38"/>
    <w:rsid w:val="007C1E9B"/>
    <w:rsid w:val="007C3455"/>
    <w:rsid w:val="007C4194"/>
    <w:rsid w:val="007C5127"/>
    <w:rsid w:val="007C5222"/>
    <w:rsid w:val="007C6686"/>
    <w:rsid w:val="007D0507"/>
    <w:rsid w:val="007D1F64"/>
    <w:rsid w:val="007D330D"/>
    <w:rsid w:val="007D5EB6"/>
    <w:rsid w:val="007D61AF"/>
    <w:rsid w:val="007D62EC"/>
    <w:rsid w:val="007D6634"/>
    <w:rsid w:val="007D7DD8"/>
    <w:rsid w:val="007E290C"/>
    <w:rsid w:val="007E36EB"/>
    <w:rsid w:val="007E3EBE"/>
    <w:rsid w:val="007E5E19"/>
    <w:rsid w:val="007E73C7"/>
    <w:rsid w:val="007E746C"/>
    <w:rsid w:val="007F016D"/>
    <w:rsid w:val="007F0416"/>
    <w:rsid w:val="007F09C3"/>
    <w:rsid w:val="007F1243"/>
    <w:rsid w:val="007F3BFF"/>
    <w:rsid w:val="007F4557"/>
    <w:rsid w:val="007F4842"/>
    <w:rsid w:val="007F4DCC"/>
    <w:rsid w:val="007F50A1"/>
    <w:rsid w:val="007F783D"/>
    <w:rsid w:val="00801335"/>
    <w:rsid w:val="00802040"/>
    <w:rsid w:val="00807D2F"/>
    <w:rsid w:val="00810AAC"/>
    <w:rsid w:val="00811A61"/>
    <w:rsid w:val="008120C9"/>
    <w:rsid w:val="008120DB"/>
    <w:rsid w:val="00812494"/>
    <w:rsid w:val="008128EC"/>
    <w:rsid w:val="00820684"/>
    <w:rsid w:val="008206AE"/>
    <w:rsid w:val="00820784"/>
    <w:rsid w:val="008214BA"/>
    <w:rsid w:val="00821959"/>
    <w:rsid w:val="00821D4B"/>
    <w:rsid w:val="00825481"/>
    <w:rsid w:val="00825934"/>
    <w:rsid w:val="0083048A"/>
    <w:rsid w:val="00830603"/>
    <w:rsid w:val="0083081A"/>
    <w:rsid w:val="008308D0"/>
    <w:rsid w:val="00831008"/>
    <w:rsid w:val="00831651"/>
    <w:rsid w:val="00831F21"/>
    <w:rsid w:val="008328B1"/>
    <w:rsid w:val="0083338D"/>
    <w:rsid w:val="008343B3"/>
    <w:rsid w:val="008345DB"/>
    <w:rsid w:val="00836569"/>
    <w:rsid w:val="00837333"/>
    <w:rsid w:val="00837552"/>
    <w:rsid w:val="00841470"/>
    <w:rsid w:val="00841B54"/>
    <w:rsid w:val="008422F4"/>
    <w:rsid w:val="00842A12"/>
    <w:rsid w:val="00843E22"/>
    <w:rsid w:val="00844728"/>
    <w:rsid w:val="00846149"/>
    <w:rsid w:val="00847A4A"/>
    <w:rsid w:val="00847E3F"/>
    <w:rsid w:val="008510EB"/>
    <w:rsid w:val="00854924"/>
    <w:rsid w:val="00855D3B"/>
    <w:rsid w:val="00856298"/>
    <w:rsid w:val="00857E51"/>
    <w:rsid w:val="00861979"/>
    <w:rsid w:val="00861DF0"/>
    <w:rsid w:val="00862D63"/>
    <w:rsid w:val="00863094"/>
    <w:rsid w:val="0086696E"/>
    <w:rsid w:val="0087048A"/>
    <w:rsid w:val="0087079F"/>
    <w:rsid w:val="00870E10"/>
    <w:rsid w:val="00870FB3"/>
    <w:rsid w:val="00872899"/>
    <w:rsid w:val="008739CA"/>
    <w:rsid w:val="00873ED8"/>
    <w:rsid w:val="0087451A"/>
    <w:rsid w:val="00874695"/>
    <w:rsid w:val="0087622E"/>
    <w:rsid w:val="00876587"/>
    <w:rsid w:val="00880E37"/>
    <w:rsid w:val="008810D6"/>
    <w:rsid w:val="00882556"/>
    <w:rsid w:val="0088476E"/>
    <w:rsid w:val="008866C5"/>
    <w:rsid w:val="00891C99"/>
    <w:rsid w:val="00894B4F"/>
    <w:rsid w:val="00894EA5"/>
    <w:rsid w:val="008960BA"/>
    <w:rsid w:val="0089720B"/>
    <w:rsid w:val="0089784A"/>
    <w:rsid w:val="00897E84"/>
    <w:rsid w:val="008A0C33"/>
    <w:rsid w:val="008A27B9"/>
    <w:rsid w:val="008A47E0"/>
    <w:rsid w:val="008A497C"/>
    <w:rsid w:val="008A4C04"/>
    <w:rsid w:val="008A60DD"/>
    <w:rsid w:val="008A7B49"/>
    <w:rsid w:val="008A7DA4"/>
    <w:rsid w:val="008B3361"/>
    <w:rsid w:val="008B3E7A"/>
    <w:rsid w:val="008B449E"/>
    <w:rsid w:val="008B4948"/>
    <w:rsid w:val="008B4AD3"/>
    <w:rsid w:val="008C05A8"/>
    <w:rsid w:val="008C157A"/>
    <w:rsid w:val="008C21BE"/>
    <w:rsid w:val="008C22F3"/>
    <w:rsid w:val="008C3EC5"/>
    <w:rsid w:val="008C44EF"/>
    <w:rsid w:val="008C6CFD"/>
    <w:rsid w:val="008C71C7"/>
    <w:rsid w:val="008C7694"/>
    <w:rsid w:val="008D02E8"/>
    <w:rsid w:val="008D0B10"/>
    <w:rsid w:val="008D1DF7"/>
    <w:rsid w:val="008D1E0E"/>
    <w:rsid w:val="008D2DD9"/>
    <w:rsid w:val="008D49E3"/>
    <w:rsid w:val="008D522F"/>
    <w:rsid w:val="008D7EB3"/>
    <w:rsid w:val="008E0C49"/>
    <w:rsid w:val="008E22DE"/>
    <w:rsid w:val="008E3353"/>
    <w:rsid w:val="008E3502"/>
    <w:rsid w:val="008E4272"/>
    <w:rsid w:val="008E6E71"/>
    <w:rsid w:val="008F1FB2"/>
    <w:rsid w:val="008F2EF2"/>
    <w:rsid w:val="008F61D9"/>
    <w:rsid w:val="008F7212"/>
    <w:rsid w:val="008F7916"/>
    <w:rsid w:val="008F79CC"/>
    <w:rsid w:val="00900013"/>
    <w:rsid w:val="00900797"/>
    <w:rsid w:val="00901778"/>
    <w:rsid w:val="0090209B"/>
    <w:rsid w:val="009048D5"/>
    <w:rsid w:val="0090624F"/>
    <w:rsid w:val="009100E8"/>
    <w:rsid w:val="009117AC"/>
    <w:rsid w:val="00911A16"/>
    <w:rsid w:val="00912541"/>
    <w:rsid w:val="0091268B"/>
    <w:rsid w:val="00912915"/>
    <w:rsid w:val="00913710"/>
    <w:rsid w:val="00914374"/>
    <w:rsid w:val="009164B7"/>
    <w:rsid w:val="009169A7"/>
    <w:rsid w:val="00922FD4"/>
    <w:rsid w:val="00924252"/>
    <w:rsid w:val="00924AF9"/>
    <w:rsid w:val="00925972"/>
    <w:rsid w:val="00925D45"/>
    <w:rsid w:val="009266A0"/>
    <w:rsid w:val="00926F94"/>
    <w:rsid w:val="00927280"/>
    <w:rsid w:val="009272F2"/>
    <w:rsid w:val="00927DD0"/>
    <w:rsid w:val="00930DD1"/>
    <w:rsid w:val="00930E35"/>
    <w:rsid w:val="00932C13"/>
    <w:rsid w:val="00933904"/>
    <w:rsid w:val="00935ED5"/>
    <w:rsid w:val="00936047"/>
    <w:rsid w:val="00936059"/>
    <w:rsid w:val="0093636A"/>
    <w:rsid w:val="009377D5"/>
    <w:rsid w:val="0094084D"/>
    <w:rsid w:val="00940F8A"/>
    <w:rsid w:val="00942560"/>
    <w:rsid w:val="00942C1C"/>
    <w:rsid w:val="0094513F"/>
    <w:rsid w:val="009462E8"/>
    <w:rsid w:val="009469FB"/>
    <w:rsid w:val="009479E2"/>
    <w:rsid w:val="009542D5"/>
    <w:rsid w:val="00955110"/>
    <w:rsid w:val="00956740"/>
    <w:rsid w:val="009604F8"/>
    <w:rsid w:val="009609AD"/>
    <w:rsid w:val="00961610"/>
    <w:rsid w:val="00961E77"/>
    <w:rsid w:val="00961F60"/>
    <w:rsid w:val="00962113"/>
    <w:rsid w:val="009628EE"/>
    <w:rsid w:val="00962B0F"/>
    <w:rsid w:val="0096327D"/>
    <w:rsid w:val="00964271"/>
    <w:rsid w:val="00967B36"/>
    <w:rsid w:val="00967EFB"/>
    <w:rsid w:val="00970FC9"/>
    <w:rsid w:val="00971CDB"/>
    <w:rsid w:val="00973585"/>
    <w:rsid w:val="00973966"/>
    <w:rsid w:val="00973AB8"/>
    <w:rsid w:val="00973C09"/>
    <w:rsid w:val="009740AF"/>
    <w:rsid w:val="00974D29"/>
    <w:rsid w:val="009753CC"/>
    <w:rsid w:val="00976A6F"/>
    <w:rsid w:val="00977728"/>
    <w:rsid w:val="00980C74"/>
    <w:rsid w:val="009818F3"/>
    <w:rsid w:val="00982D1F"/>
    <w:rsid w:val="00983576"/>
    <w:rsid w:val="00983FB3"/>
    <w:rsid w:val="0098419A"/>
    <w:rsid w:val="00984291"/>
    <w:rsid w:val="00985F93"/>
    <w:rsid w:val="00987591"/>
    <w:rsid w:val="00990930"/>
    <w:rsid w:val="00992201"/>
    <w:rsid w:val="0099262D"/>
    <w:rsid w:val="009946E9"/>
    <w:rsid w:val="00995559"/>
    <w:rsid w:val="009A0434"/>
    <w:rsid w:val="009A09A0"/>
    <w:rsid w:val="009A0C53"/>
    <w:rsid w:val="009A11C7"/>
    <w:rsid w:val="009A12B9"/>
    <w:rsid w:val="009A142C"/>
    <w:rsid w:val="009A2FEB"/>
    <w:rsid w:val="009A343F"/>
    <w:rsid w:val="009A3D65"/>
    <w:rsid w:val="009A7047"/>
    <w:rsid w:val="009A781F"/>
    <w:rsid w:val="009A7C2A"/>
    <w:rsid w:val="009B25A9"/>
    <w:rsid w:val="009B2EF5"/>
    <w:rsid w:val="009B3FB4"/>
    <w:rsid w:val="009B75DF"/>
    <w:rsid w:val="009C0D19"/>
    <w:rsid w:val="009C0E49"/>
    <w:rsid w:val="009C1519"/>
    <w:rsid w:val="009C1599"/>
    <w:rsid w:val="009C30EF"/>
    <w:rsid w:val="009D0D62"/>
    <w:rsid w:val="009D0FD7"/>
    <w:rsid w:val="009D1CDA"/>
    <w:rsid w:val="009D5ED3"/>
    <w:rsid w:val="009D6755"/>
    <w:rsid w:val="009E005F"/>
    <w:rsid w:val="009E44A3"/>
    <w:rsid w:val="009E4C71"/>
    <w:rsid w:val="009E5766"/>
    <w:rsid w:val="009E57A9"/>
    <w:rsid w:val="009E5AC1"/>
    <w:rsid w:val="009E7516"/>
    <w:rsid w:val="009E7600"/>
    <w:rsid w:val="009F068F"/>
    <w:rsid w:val="009F0DCC"/>
    <w:rsid w:val="009F1420"/>
    <w:rsid w:val="009F165F"/>
    <w:rsid w:val="009F2F2C"/>
    <w:rsid w:val="009F3261"/>
    <w:rsid w:val="009F3729"/>
    <w:rsid w:val="009F3DC8"/>
    <w:rsid w:val="009F4FC8"/>
    <w:rsid w:val="009F57E4"/>
    <w:rsid w:val="009F701C"/>
    <w:rsid w:val="009F79F8"/>
    <w:rsid w:val="00A00183"/>
    <w:rsid w:val="00A05997"/>
    <w:rsid w:val="00A05EAB"/>
    <w:rsid w:val="00A061BC"/>
    <w:rsid w:val="00A11FFA"/>
    <w:rsid w:val="00A120F7"/>
    <w:rsid w:val="00A124FD"/>
    <w:rsid w:val="00A15FBC"/>
    <w:rsid w:val="00A16126"/>
    <w:rsid w:val="00A1647E"/>
    <w:rsid w:val="00A24A26"/>
    <w:rsid w:val="00A25609"/>
    <w:rsid w:val="00A25D96"/>
    <w:rsid w:val="00A27FB4"/>
    <w:rsid w:val="00A30573"/>
    <w:rsid w:val="00A30768"/>
    <w:rsid w:val="00A309F6"/>
    <w:rsid w:val="00A30E9F"/>
    <w:rsid w:val="00A3102E"/>
    <w:rsid w:val="00A31A96"/>
    <w:rsid w:val="00A327A7"/>
    <w:rsid w:val="00A33196"/>
    <w:rsid w:val="00A33525"/>
    <w:rsid w:val="00A33742"/>
    <w:rsid w:val="00A35A52"/>
    <w:rsid w:val="00A35CA0"/>
    <w:rsid w:val="00A35D21"/>
    <w:rsid w:val="00A3676B"/>
    <w:rsid w:val="00A36EFE"/>
    <w:rsid w:val="00A37E9F"/>
    <w:rsid w:val="00A40917"/>
    <w:rsid w:val="00A42285"/>
    <w:rsid w:val="00A4288B"/>
    <w:rsid w:val="00A47B80"/>
    <w:rsid w:val="00A50E5F"/>
    <w:rsid w:val="00A51AC7"/>
    <w:rsid w:val="00A51C70"/>
    <w:rsid w:val="00A5213A"/>
    <w:rsid w:val="00A55C1E"/>
    <w:rsid w:val="00A560E6"/>
    <w:rsid w:val="00A56249"/>
    <w:rsid w:val="00A604BE"/>
    <w:rsid w:val="00A60E19"/>
    <w:rsid w:val="00A63D38"/>
    <w:rsid w:val="00A65361"/>
    <w:rsid w:val="00A65F87"/>
    <w:rsid w:val="00A6661B"/>
    <w:rsid w:val="00A67861"/>
    <w:rsid w:val="00A67AFF"/>
    <w:rsid w:val="00A70194"/>
    <w:rsid w:val="00A70DFE"/>
    <w:rsid w:val="00A70F35"/>
    <w:rsid w:val="00A72222"/>
    <w:rsid w:val="00A730EC"/>
    <w:rsid w:val="00A74851"/>
    <w:rsid w:val="00A748CE"/>
    <w:rsid w:val="00A74B0F"/>
    <w:rsid w:val="00A76B67"/>
    <w:rsid w:val="00A76F2E"/>
    <w:rsid w:val="00A775DE"/>
    <w:rsid w:val="00A803C8"/>
    <w:rsid w:val="00A807A4"/>
    <w:rsid w:val="00A80A8B"/>
    <w:rsid w:val="00A80B1F"/>
    <w:rsid w:val="00A81ED8"/>
    <w:rsid w:val="00A82381"/>
    <w:rsid w:val="00A8261E"/>
    <w:rsid w:val="00A8436C"/>
    <w:rsid w:val="00A846F0"/>
    <w:rsid w:val="00A84701"/>
    <w:rsid w:val="00A848CE"/>
    <w:rsid w:val="00A8552D"/>
    <w:rsid w:val="00A8594C"/>
    <w:rsid w:val="00A85D18"/>
    <w:rsid w:val="00A85DD6"/>
    <w:rsid w:val="00A86336"/>
    <w:rsid w:val="00A86B2B"/>
    <w:rsid w:val="00A86CB9"/>
    <w:rsid w:val="00A87C76"/>
    <w:rsid w:val="00A907A2"/>
    <w:rsid w:val="00A9091D"/>
    <w:rsid w:val="00A91529"/>
    <w:rsid w:val="00A925A9"/>
    <w:rsid w:val="00A93346"/>
    <w:rsid w:val="00A93FCE"/>
    <w:rsid w:val="00A9499B"/>
    <w:rsid w:val="00A97B63"/>
    <w:rsid w:val="00A97D89"/>
    <w:rsid w:val="00AA09BE"/>
    <w:rsid w:val="00AA19BA"/>
    <w:rsid w:val="00AA1D29"/>
    <w:rsid w:val="00AA1E23"/>
    <w:rsid w:val="00AA1F65"/>
    <w:rsid w:val="00AA2F51"/>
    <w:rsid w:val="00AA4F08"/>
    <w:rsid w:val="00AA4FC1"/>
    <w:rsid w:val="00AB0387"/>
    <w:rsid w:val="00AB1032"/>
    <w:rsid w:val="00AB19C4"/>
    <w:rsid w:val="00AB289C"/>
    <w:rsid w:val="00AB2AA3"/>
    <w:rsid w:val="00AB2F1A"/>
    <w:rsid w:val="00AB5248"/>
    <w:rsid w:val="00AB66DA"/>
    <w:rsid w:val="00AB68C4"/>
    <w:rsid w:val="00AB7D48"/>
    <w:rsid w:val="00AC1C50"/>
    <w:rsid w:val="00AC1E90"/>
    <w:rsid w:val="00AC39EF"/>
    <w:rsid w:val="00AC4E11"/>
    <w:rsid w:val="00AC67E8"/>
    <w:rsid w:val="00AC7BA7"/>
    <w:rsid w:val="00AD009F"/>
    <w:rsid w:val="00AD09BD"/>
    <w:rsid w:val="00AD0C7E"/>
    <w:rsid w:val="00AD147E"/>
    <w:rsid w:val="00AD320E"/>
    <w:rsid w:val="00AD35AA"/>
    <w:rsid w:val="00AD3A03"/>
    <w:rsid w:val="00AD431B"/>
    <w:rsid w:val="00AD5280"/>
    <w:rsid w:val="00AD55CC"/>
    <w:rsid w:val="00AD5C30"/>
    <w:rsid w:val="00AD5ED5"/>
    <w:rsid w:val="00AD6EAE"/>
    <w:rsid w:val="00AE073E"/>
    <w:rsid w:val="00AE2EBA"/>
    <w:rsid w:val="00AE691C"/>
    <w:rsid w:val="00AE6A4C"/>
    <w:rsid w:val="00AE7C33"/>
    <w:rsid w:val="00AF0458"/>
    <w:rsid w:val="00AF0607"/>
    <w:rsid w:val="00AF0BEB"/>
    <w:rsid w:val="00AF0F8F"/>
    <w:rsid w:val="00AF195E"/>
    <w:rsid w:val="00AF3401"/>
    <w:rsid w:val="00AF3910"/>
    <w:rsid w:val="00AF491D"/>
    <w:rsid w:val="00AF6939"/>
    <w:rsid w:val="00AF7D61"/>
    <w:rsid w:val="00B00070"/>
    <w:rsid w:val="00B00DAC"/>
    <w:rsid w:val="00B019E0"/>
    <w:rsid w:val="00B02702"/>
    <w:rsid w:val="00B03BE1"/>
    <w:rsid w:val="00B044B6"/>
    <w:rsid w:val="00B07123"/>
    <w:rsid w:val="00B14BF5"/>
    <w:rsid w:val="00B1529A"/>
    <w:rsid w:val="00B15756"/>
    <w:rsid w:val="00B15CCC"/>
    <w:rsid w:val="00B15D97"/>
    <w:rsid w:val="00B16691"/>
    <w:rsid w:val="00B16A50"/>
    <w:rsid w:val="00B16DE7"/>
    <w:rsid w:val="00B16EC5"/>
    <w:rsid w:val="00B16F21"/>
    <w:rsid w:val="00B21BF0"/>
    <w:rsid w:val="00B2232B"/>
    <w:rsid w:val="00B24FD9"/>
    <w:rsid w:val="00B2637C"/>
    <w:rsid w:val="00B26C9D"/>
    <w:rsid w:val="00B27200"/>
    <w:rsid w:val="00B302D2"/>
    <w:rsid w:val="00B31388"/>
    <w:rsid w:val="00B314F5"/>
    <w:rsid w:val="00B31D78"/>
    <w:rsid w:val="00B3208D"/>
    <w:rsid w:val="00B325F8"/>
    <w:rsid w:val="00B32902"/>
    <w:rsid w:val="00B3572B"/>
    <w:rsid w:val="00B437DA"/>
    <w:rsid w:val="00B43E49"/>
    <w:rsid w:val="00B44F4F"/>
    <w:rsid w:val="00B44FCC"/>
    <w:rsid w:val="00B512E1"/>
    <w:rsid w:val="00B51D56"/>
    <w:rsid w:val="00B51E83"/>
    <w:rsid w:val="00B5254C"/>
    <w:rsid w:val="00B5274D"/>
    <w:rsid w:val="00B535F3"/>
    <w:rsid w:val="00B53D0E"/>
    <w:rsid w:val="00B54473"/>
    <w:rsid w:val="00B544E0"/>
    <w:rsid w:val="00B55313"/>
    <w:rsid w:val="00B55A33"/>
    <w:rsid w:val="00B55DB5"/>
    <w:rsid w:val="00B565C5"/>
    <w:rsid w:val="00B57B21"/>
    <w:rsid w:val="00B57EC6"/>
    <w:rsid w:val="00B60277"/>
    <w:rsid w:val="00B60989"/>
    <w:rsid w:val="00B63793"/>
    <w:rsid w:val="00B6457B"/>
    <w:rsid w:val="00B6541F"/>
    <w:rsid w:val="00B70B4E"/>
    <w:rsid w:val="00B72ED5"/>
    <w:rsid w:val="00B74F0F"/>
    <w:rsid w:val="00B7636A"/>
    <w:rsid w:val="00B76C7C"/>
    <w:rsid w:val="00B775C5"/>
    <w:rsid w:val="00B77A27"/>
    <w:rsid w:val="00B8036D"/>
    <w:rsid w:val="00B80EFF"/>
    <w:rsid w:val="00B824FA"/>
    <w:rsid w:val="00B8295F"/>
    <w:rsid w:val="00B83629"/>
    <w:rsid w:val="00B83C57"/>
    <w:rsid w:val="00B87379"/>
    <w:rsid w:val="00B87DBA"/>
    <w:rsid w:val="00B90101"/>
    <w:rsid w:val="00B916BD"/>
    <w:rsid w:val="00B91AB0"/>
    <w:rsid w:val="00B94722"/>
    <w:rsid w:val="00B94904"/>
    <w:rsid w:val="00B9521C"/>
    <w:rsid w:val="00B96B61"/>
    <w:rsid w:val="00BA0F73"/>
    <w:rsid w:val="00BA1FA3"/>
    <w:rsid w:val="00BA66BF"/>
    <w:rsid w:val="00BA71F3"/>
    <w:rsid w:val="00BB1823"/>
    <w:rsid w:val="00BB3283"/>
    <w:rsid w:val="00BB40B0"/>
    <w:rsid w:val="00BB4619"/>
    <w:rsid w:val="00BB4713"/>
    <w:rsid w:val="00BB5197"/>
    <w:rsid w:val="00BB5719"/>
    <w:rsid w:val="00BB5993"/>
    <w:rsid w:val="00BB698D"/>
    <w:rsid w:val="00BB78CF"/>
    <w:rsid w:val="00BB7913"/>
    <w:rsid w:val="00BC1188"/>
    <w:rsid w:val="00BC13CA"/>
    <w:rsid w:val="00BC159A"/>
    <w:rsid w:val="00BC1D28"/>
    <w:rsid w:val="00BC2D3B"/>
    <w:rsid w:val="00BC391D"/>
    <w:rsid w:val="00BC39E5"/>
    <w:rsid w:val="00BC3BA7"/>
    <w:rsid w:val="00BC42AD"/>
    <w:rsid w:val="00BC47E8"/>
    <w:rsid w:val="00BC4DCA"/>
    <w:rsid w:val="00BC5979"/>
    <w:rsid w:val="00BC7829"/>
    <w:rsid w:val="00BD1A2D"/>
    <w:rsid w:val="00BD1FC0"/>
    <w:rsid w:val="00BD25DC"/>
    <w:rsid w:val="00BD2E78"/>
    <w:rsid w:val="00BD3A9E"/>
    <w:rsid w:val="00BD5B14"/>
    <w:rsid w:val="00BD6E8A"/>
    <w:rsid w:val="00BD6FC7"/>
    <w:rsid w:val="00BD75D3"/>
    <w:rsid w:val="00BD7C8C"/>
    <w:rsid w:val="00BE103C"/>
    <w:rsid w:val="00BE1EF3"/>
    <w:rsid w:val="00BE26A0"/>
    <w:rsid w:val="00BE4BD3"/>
    <w:rsid w:val="00BE4F08"/>
    <w:rsid w:val="00BE5D1B"/>
    <w:rsid w:val="00BE7461"/>
    <w:rsid w:val="00BF056F"/>
    <w:rsid w:val="00BF104C"/>
    <w:rsid w:val="00BF2A7F"/>
    <w:rsid w:val="00BF3C25"/>
    <w:rsid w:val="00BF44C2"/>
    <w:rsid w:val="00BF464C"/>
    <w:rsid w:val="00BF5D08"/>
    <w:rsid w:val="00BF74ED"/>
    <w:rsid w:val="00BF7DD6"/>
    <w:rsid w:val="00C01003"/>
    <w:rsid w:val="00C01F96"/>
    <w:rsid w:val="00C03389"/>
    <w:rsid w:val="00C04F6E"/>
    <w:rsid w:val="00C05937"/>
    <w:rsid w:val="00C05EDD"/>
    <w:rsid w:val="00C075EA"/>
    <w:rsid w:val="00C078A3"/>
    <w:rsid w:val="00C07901"/>
    <w:rsid w:val="00C10550"/>
    <w:rsid w:val="00C10BCE"/>
    <w:rsid w:val="00C12969"/>
    <w:rsid w:val="00C12CA5"/>
    <w:rsid w:val="00C13447"/>
    <w:rsid w:val="00C1595B"/>
    <w:rsid w:val="00C164F3"/>
    <w:rsid w:val="00C16E27"/>
    <w:rsid w:val="00C16E53"/>
    <w:rsid w:val="00C20543"/>
    <w:rsid w:val="00C21A13"/>
    <w:rsid w:val="00C23594"/>
    <w:rsid w:val="00C237DB"/>
    <w:rsid w:val="00C2445E"/>
    <w:rsid w:val="00C24DB3"/>
    <w:rsid w:val="00C252AD"/>
    <w:rsid w:val="00C271C4"/>
    <w:rsid w:val="00C274ED"/>
    <w:rsid w:val="00C27507"/>
    <w:rsid w:val="00C275F8"/>
    <w:rsid w:val="00C32065"/>
    <w:rsid w:val="00C34720"/>
    <w:rsid w:val="00C36D9B"/>
    <w:rsid w:val="00C40ADF"/>
    <w:rsid w:val="00C40FF4"/>
    <w:rsid w:val="00C4125A"/>
    <w:rsid w:val="00C41B8C"/>
    <w:rsid w:val="00C43C1B"/>
    <w:rsid w:val="00C444EE"/>
    <w:rsid w:val="00C4590D"/>
    <w:rsid w:val="00C45E66"/>
    <w:rsid w:val="00C46C3E"/>
    <w:rsid w:val="00C502AD"/>
    <w:rsid w:val="00C50CAB"/>
    <w:rsid w:val="00C50DBD"/>
    <w:rsid w:val="00C511DB"/>
    <w:rsid w:val="00C52B94"/>
    <w:rsid w:val="00C55122"/>
    <w:rsid w:val="00C55719"/>
    <w:rsid w:val="00C564B8"/>
    <w:rsid w:val="00C5730B"/>
    <w:rsid w:val="00C57388"/>
    <w:rsid w:val="00C60173"/>
    <w:rsid w:val="00C61D64"/>
    <w:rsid w:val="00C61F25"/>
    <w:rsid w:val="00C628BE"/>
    <w:rsid w:val="00C63104"/>
    <w:rsid w:val="00C64611"/>
    <w:rsid w:val="00C650E1"/>
    <w:rsid w:val="00C65320"/>
    <w:rsid w:val="00C66E70"/>
    <w:rsid w:val="00C709F5"/>
    <w:rsid w:val="00C71DDB"/>
    <w:rsid w:val="00C72E97"/>
    <w:rsid w:val="00C747FF"/>
    <w:rsid w:val="00C75C1B"/>
    <w:rsid w:val="00C7659F"/>
    <w:rsid w:val="00C7741C"/>
    <w:rsid w:val="00C80E7D"/>
    <w:rsid w:val="00C8132D"/>
    <w:rsid w:val="00C81A46"/>
    <w:rsid w:val="00C829B4"/>
    <w:rsid w:val="00C82DEE"/>
    <w:rsid w:val="00C82FA8"/>
    <w:rsid w:val="00C837A1"/>
    <w:rsid w:val="00C83DE2"/>
    <w:rsid w:val="00C84F0E"/>
    <w:rsid w:val="00C862FE"/>
    <w:rsid w:val="00C86AE0"/>
    <w:rsid w:val="00C86D3E"/>
    <w:rsid w:val="00C8708C"/>
    <w:rsid w:val="00C9029F"/>
    <w:rsid w:val="00C91566"/>
    <w:rsid w:val="00C9245A"/>
    <w:rsid w:val="00C94868"/>
    <w:rsid w:val="00C9596C"/>
    <w:rsid w:val="00C95ABF"/>
    <w:rsid w:val="00C96380"/>
    <w:rsid w:val="00C9652C"/>
    <w:rsid w:val="00CA15FA"/>
    <w:rsid w:val="00CA332F"/>
    <w:rsid w:val="00CA4E2D"/>
    <w:rsid w:val="00CA6B77"/>
    <w:rsid w:val="00CA73EE"/>
    <w:rsid w:val="00CA7DE6"/>
    <w:rsid w:val="00CB04E9"/>
    <w:rsid w:val="00CB1DAC"/>
    <w:rsid w:val="00CB1E03"/>
    <w:rsid w:val="00CB2050"/>
    <w:rsid w:val="00CB21FD"/>
    <w:rsid w:val="00CB4239"/>
    <w:rsid w:val="00CB554B"/>
    <w:rsid w:val="00CB59C2"/>
    <w:rsid w:val="00CB5B9D"/>
    <w:rsid w:val="00CB6433"/>
    <w:rsid w:val="00CB64AE"/>
    <w:rsid w:val="00CB6C06"/>
    <w:rsid w:val="00CC0088"/>
    <w:rsid w:val="00CC1005"/>
    <w:rsid w:val="00CC139E"/>
    <w:rsid w:val="00CC2188"/>
    <w:rsid w:val="00CC3712"/>
    <w:rsid w:val="00CC423C"/>
    <w:rsid w:val="00CC4A45"/>
    <w:rsid w:val="00CC64B9"/>
    <w:rsid w:val="00CC6DAD"/>
    <w:rsid w:val="00CC7ADE"/>
    <w:rsid w:val="00CD0332"/>
    <w:rsid w:val="00CD1229"/>
    <w:rsid w:val="00CD2351"/>
    <w:rsid w:val="00CD2D2F"/>
    <w:rsid w:val="00CD39F0"/>
    <w:rsid w:val="00CD5BF8"/>
    <w:rsid w:val="00CD6B8F"/>
    <w:rsid w:val="00CD7873"/>
    <w:rsid w:val="00CD7FBB"/>
    <w:rsid w:val="00CE09D0"/>
    <w:rsid w:val="00CE0D52"/>
    <w:rsid w:val="00CE121D"/>
    <w:rsid w:val="00CE1D4F"/>
    <w:rsid w:val="00CE2817"/>
    <w:rsid w:val="00CE2BB8"/>
    <w:rsid w:val="00CE3269"/>
    <w:rsid w:val="00CE34B5"/>
    <w:rsid w:val="00CE3D42"/>
    <w:rsid w:val="00CE45CE"/>
    <w:rsid w:val="00CE4958"/>
    <w:rsid w:val="00CE4D45"/>
    <w:rsid w:val="00CE5E96"/>
    <w:rsid w:val="00CE5EC0"/>
    <w:rsid w:val="00CE6DE0"/>
    <w:rsid w:val="00CE7219"/>
    <w:rsid w:val="00CE7770"/>
    <w:rsid w:val="00CF0AFC"/>
    <w:rsid w:val="00CF19AB"/>
    <w:rsid w:val="00CF22E7"/>
    <w:rsid w:val="00CF2FA4"/>
    <w:rsid w:val="00CF35CC"/>
    <w:rsid w:val="00CF3A91"/>
    <w:rsid w:val="00CF3F30"/>
    <w:rsid w:val="00CF4023"/>
    <w:rsid w:val="00CF46D1"/>
    <w:rsid w:val="00CF49F7"/>
    <w:rsid w:val="00CF51FA"/>
    <w:rsid w:val="00CF5B34"/>
    <w:rsid w:val="00CF61E0"/>
    <w:rsid w:val="00CF6349"/>
    <w:rsid w:val="00CF6FA8"/>
    <w:rsid w:val="00CF7D76"/>
    <w:rsid w:val="00D00DD6"/>
    <w:rsid w:val="00D01907"/>
    <w:rsid w:val="00D02370"/>
    <w:rsid w:val="00D0251A"/>
    <w:rsid w:val="00D02EDA"/>
    <w:rsid w:val="00D03064"/>
    <w:rsid w:val="00D0403C"/>
    <w:rsid w:val="00D043EA"/>
    <w:rsid w:val="00D051F8"/>
    <w:rsid w:val="00D05352"/>
    <w:rsid w:val="00D0604E"/>
    <w:rsid w:val="00D07B4A"/>
    <w:rsid w:val="00D100C1"/>
    <w:rsid w:val="00D11926"/>
    <w:rsid w:val="00D11CD1"/>
    <w:rsid w:val="00D11ECF"/>
    <w:rsid w:val="00D123FD"/>
    <w:rsid w:val="00D12710"/>
    <w:rsid w:val="00D12787"/>
    <w:rsid w:val="00D135A6"/>
    <w:rsid w:val="00D148F2"/>
    <w:rsid w:val="00D15CB6"/>
    <w:rsid w:val="00D160D5"/>
    <w:rsid w:val="00D167B0"/>
    <w:rsid w:val="00D16B1C"/>
    <w:rsid w:val="00D17FF7"/>
    <w:rsid w:val="00D211BD"/>
    <w:rsid w:val="00D21F51"/>
    <w:rsid w:val="00D22283"/>
    <w:rsid w:val="00D24BA2"/>
    <w:rsid w:val="00D258A6"/>
    <w:rsid w:val="00D27D76"/>
    <w:rsid w:val="00D30662"/>
    <w:rsid w:val="00D319E1"/>
    <w:rsid w:val="00D32736"/>
    <w:rsid w:val="00D33DC4"/>
    <w:rsid w:val="00D34CD3"/>
    <w:rsid w:val="00D3730E"/>
    <w:rsid w:val="00D43107"/>
    <w:rsid w:val="00D43714"/>
    <w:rsid w:val="00D43E22"/>
    <w:rsid w:val="00D440EC"/>
    <w:rsid w:val="00D442B7"/>
    <w:rsid w:val="00D45280"/>
    <w:rsid w:val="00D45915"/>
    <w:rsid w:val="00D46072"/>
    <w:rsid w:val="00D502A9"/>
    <w:rsid w:val="00D5248A"/>
    <w:rsid w:val="00D52581"/>
    <w:rsid w:val="00D53412"/>
    <w:rsid w:val="00D54093"/>
    <w:rsid w:val="00D55705"/>
    <w:rsid w:val="00D5585C"/>
    <w:rsid w:val="00D55C61"/>
    <w:rsid w:val="00D55CD5"/>
    <w:rsid w:val="00D56C65"/>
    <w:rsid w:val="00D57257"/>
    <w:rsid w:val="00D57967"/>
    <w:rsid w:val="00D601FE"/>
    <w:rsid w:val="00D62568"/>
    <w:rsid w:val="00D62D59"/>
    <w:rsid w:val="00D638BF"/>
    <w:rsid w:val="00D673D1"/>
    <w:rsid w:val="00D67AAF"/>
    <w:rsid w:val="00D710EB"/>
    <w:rsid w:val="00D71368"/>
    <w:rsid w:val="00D719A8"/>
    <w:rsid w:val="00D723A4"/>
    <w:rsid w:val="00D7396C"/>
    <w:rsid w:val="00D744BD"/>
    <w:rsid w:val="00D74586"/>
    <w:rsid w:val="00D8242A"/>
    <w:rsid w:val="00D83E16"/>
    <w:rsid w:val="00D84525"/>
    <w:rsid w:val="00D85260"/>
    <w:rsid w:val="00D858C3"/>
    <w:rsid w:val="00D9159C"/>
    <w:rsid w:val="00D91905"/>
    <w:rsid w:val="00D91D5F"/>
    <w:rsid w:val="00DA0BD1"/>
    <w:rsid w:val="00DA1437"/>
    <w:rsid w:val="00DA2FBF"/>
    <w:rsid w:val="00DA4101"/>
    <w:rsid w:val="00DA5E09"/>
    <w:rsid w:val="00DA5FC9"/>
    <w:rsid w:val="00DA73B2"/>
    <w:rsid w:val="00DA7714"/>
    <w:rsid w:val="00DB12D7"/>
    <w:rsid w:val="00DB141C"/>
    <w:rsid w:val="00DB2F99"/>
    <w:rsid w:val="00DB2F9A"/>
    <w:rsid w:val="00DB30BA"/>
    <w:rsid w:val="00DB3111"/>
    <w:rsid w:val="00DB3148"/>
    <w:rsid w:val="00DB38CC"/>
    <w:rsid w:val="00DB580F"/>
    <w:rsid w:val="00DB5B66"/>
    <w:rsid w:val="00DB6640"/>
    <w:rsid w:val="00DB6A34"/>
    <w:rsid w:val="00DB7208"/>
    <w:rsid w:val="00DC124F"/>
    <w:rsid w:val="00DC3385"/>
    <w:rsid w:val="00DC3B49"/>
    <w:rsid w:val="00DC568C"/>
    <w:rsid w:val="00DD01A1"/>
    <w:rsid w:val="00DD0F8D"/>
    <w:rsid w:val="00DD568A"/>
    <w:rsid w:val="00DD6227"/>
    <w:rsid w:val="00DD6653"/>
    <w:rsid w:val="00DD66EB"/>
    <w:rsid w:val="00DE0DF9"/>
    <w:rsid w:val="00DE21F4"/>
    <w:rsid w:val="00DE2FFF"/>
    <w:rsid w:val="00DE3106"/>
    <w:rsid w:val="00DE3763"/>
    <w:rsid w:val="00DE50C5"/>
    <w:rsid w:val="00DE6968"/>
    <w:rsid w:val="00DE798E"/>
    <w:rsid w:val="00DF0B33"/>
    <w:rsid w:val="00DF2C7B"/>
    <w:rsid w:val="00DF31B6"/>
    <w:rsid w:val="00DF3FD0"/>
    <w:rsid w:val="00DF404E"/>
    <w:rsid w:val="00DF4701"/>
    <w:rsid w:val="00DF5AD7"/>
    <w:rsid w:val="00DF6389"/>
    <w:rsid w:val="00DF78CF"/>
    <w:rsid w:val="00E004A4"/>
    <w:rsid w:val="00E035A3"/>
    <w:rsid w:val="00E03753"/>
    <w:rsid w:val="00E0389C"/>
    <w:rsid w:val="00E042A8"/>
    <w:rsid w:val="00E0655E"/>
    <w:rsid w:val="00E07BD6"/>
    <w:rsid w:val="00E1113A"/>
    <w:rsid w:val="00E13BCE"/>
    <w:rsid w:val="00E14207"/>
    <w:rsid w:val="00E14319"/>
    <w:rsid w:val="00E16056"/>
    <w:rsid w:val="00E17583"/>
    <w:rsid w:val="00E17C36"/>
    <w:rsid w:val="00E2034A"/>
    <w:rsid w:val="00E208B8"/>
    <w:rsid w:val="00E20E44"/>
    <w:rsid w:val="00E22F7E"/>
    <w:rsid w:val="00E24AE5"/>
    <w:rsid w:val="00E24FA2"/>
    <w:rsid w:val="00E2559A"/>
    <w:rsid w:val="00E25BD3"/>
    <w:rsid w:val="00E27177"/>
    <w:rsid w:val="00E276FE"/>
    <w:rsid w:val="00E309F6"/>
    <w:rsid w:val="00E31568"/>
    <w:rsid w:val="00E32132"/>
    <w:rsid w:val="00E33080"/>
    <w:rsid w:val="00E3311B"/>
    <w:rsid w:val="00E35012"/>
    <w:rsid w:val="00E35CF2"/>
    <w:rsid w:val="00E364DC"/>
    <w:rsid w:val="00E375F8"/>
    <w:rsid w:val="00E408ED"/>
    <w:rsid w:val="00E414DC"/>
    <w:rsid w:val="00E42617"/>
    <w:rsid w:val="00E435A2"/>
    <w:rsid w:val="00E4385A"/>
    <w:rsid w:val="00E44BE6"/>
    <w:rsid w:val="00E469C4"/>
    <w:rsid w:val="00E46D36"/>
    <w:rsid w:val="00E47097"/>
    <w:rsid w:val="00E470D3"/>
    <w:rsid w:val="00E50041"/>
    <w:rsid w:val="00E52779"/>
    <w:rsid w:val="00E52D51"/>
    <w:rsid w:val="00E54B0B"/>
    <w:rsid w:val="00E55AF2"/>
    <w:rsid w:val="00E5697B"/>
    <w:rsid w:val="00E60E5E"/>
    <w:rsid w:val="00E63497"/>
    <w:rsid w:val="00E64CEA"/>
    <w:rsid w:val="00E6525A"/>
    <w:rsid w:val="00E65BE6"/>
    <w:rsid w:val="00E66490"/>
    <w:rsid w:val="00E703D1"/>
    <w:rsid w:val="00E705CC"/>
    <w:rsid w:val="00E707B9"/>
    <w:rsid w:val="00E708B2"/>
    <w:rsid w:val="00E722DF"/>
    <w:rsid w:val="00E7236F"/>
    <w:rsid w:val="00E73579"/>
    <w:rsid w:val="00E75684"/>
    <w:rsid w:val="00E75BDF"/>
    <w:rsid w:val="00E7750F"/>
    <w:rsid w:val="00E83182"/>
    <w:rsid w:val="00E83702"/>
    <w:rsid w:val="00E83EE8"/>
    <w:rsid w:val="00E84406"/>
    <w:rsid w:val="00E84735"/>
    <w:rsid w:val="00E850ED"/>
    <w:rsid w:val="00E85E48"/>
    <w:rsid w:val="00E862CE"/>
    <w:rsid w:val="00E90174"/>
    <w:rsid w:val="00E90398"/>
    <w:rsid w:val="00E90530"/>
    <w:rsid w:val="00E91F71"/>
    <w:rsid w:val="00E92AAA"/>
    <w:rsid w:val="00E92E38"/>
    <w:rsid w:val="00E937EC"/>
    <w:rsid w:val="00E9402C"/>
    <w:rsid w:val="00E94DE2"/>
    <w:rsid w:val="00E94E91"/>
    <w:rsid w:val="00EA1AE4"/>
    <w:rsid w:val="00EA2736"/>
    <w:rsid w:val="00EA39AD"/>
    <w:rsid w:val="00EA4884"/>
    <w:rsid w:val="00EA4D5A"/>
    <w:rsid w:val="00EA780E"/>
    <w:rsid w:val="00EA79AB"/>
    <w:rsid w:val="00EA7BB1"/>
    <w:rsid w:val="00EB0745"/>
    <w:rsid w:val="00EB0E60"/>
    <w:rsid w:val="00EB1CC6"/>
    <w:rsid w:val="00EB28B2"/>
    <w:rsid w:val="00EB2C18"/>
    <w:rsid w:val="00EB40AC"/>
    <w:rsid w:val="00EC00E0"/>
    <w:rsid w:val="00EC12D7"/>
    <w:rsid w:val="00EC1AC7"/>
    <w:rsid w:val="00EC1D97"/>
    <w:rsid w:val="00EC1DED"/>
    <w:rsid w:val="00EC246F"/>
    <w:rsid w:val="00EC655D"/>
    <w:rsid w:val="00EC7F2E"/>
    <w:rsid w:val="00ED1037"/>
    <w:rsid w:val="00ED25B6"/>
    <w:rsid w:val="00ED39B9"/>
    <w:rsid w:val="00ED529B"/>
    <w:rsid w:val="00ED55B7"/>
    <w:rsid w:val="00ED6D1A"/>
    <w:rsid w:val="00ED71C2"/>
    <w:rsid w:val="00EE0FEE"/>
    <w:rsid w:val="00EE10BC"/>
    <w:rsid w:val="00EE1168"/>
    <w:rsid w:val="00EE1AA8"/>
    <w:rsid w:val="00EE1C16"/>
    <w:rsid w:val="00EE3A1E"/>
    <w:rsid w:val="00EE414E"/>
    <w:rsid w:val="00EE5073"/>
    <w:rsid w:val="00EE52DB"/>
    <w:rsid w:val="00EE54D4"/>
    <w:rsid w:val="00EE566D"/>
    <w:rsid w:val="00EF105A"/>
    <w:rsid w:val="00EF1D92"/>
    <w:rsid w:val="00EF20A1"/>
    <w:rsid w:val="00EF34AB"/>
    <w:rsid w:val="00EF3E84"/>
    <w:rsid w:val="00EF3F51"/>
    <w:rsid w:val="00EF41FA"/>
    <w:rsid w:val="00EF443E"/>
    <w:rsid w:val="00EF6920"/>
    <w:rsid w:val="00EF6A14"/>
    <w:rsid w:val="00EF724C"/>
    <w:rsid w:val="00EF7D39"/>
    <w:rsid w:val="00F0021B"/>
    <w:rsid w:val="00F00E2C"/>
    <w:rsid w:val="00F01F0D"/>
    <w:rsid w:val="00F01F65"/>
    <w:rsid w:val="00F03828"/>
    <w:rsid w:val="00F03933"/>
    <w:rsid w:val="00F046CA"/>
    <w:rsid w:val="00F05FC5"/>
    <w:rsid w:val="00F06468"/>
    <w:rsid w:val="00F06554"/>
    <w:rsid w:val="00F074CB"/>
    <w:rsid w:val="00F07B86"/>
    <w:rsid w:val="00F1020E"/>
    <w:rsid w:val="00F10FC4"/>
    <w:rsid w:val="00F114E4"/>
    <w:rsid w:val="00F14D73"/>
    <w:rsid w:val="00F1614D"/>
    <w:rsid w:val="00F16163"/>
    <w:rsid w:val="00F1680F"/>
    <w:rsid w:val="00F174A7"/>
    <w:rsid w:val="00F1794F"/>
    <w:rsid w:val="00F17B24"/>
    <w:rsid w:val="00F17B2B"/>
    <w:rsid w:val="00F2155D"/>
    <w:rsid w:val="00F21588"/>
    <w:rsid w:val="00F21C4E"/>
    <w:rsid w:val="00F21CB0"/>
    <w:rsid w:val="00F22720"/>
    <w:rsid w:val="00F231D1"/>
    <w:rsid w:val="00F239CB"/>
    <w:rsid w:val="00F241CD"/>
    <w:rsid w:val="00F2463D"/>
    <w:rsid w:val="00F246F4"/>
    <w:rsid w:val="00F2474B"/>
    <w:rsid w:val="00F24918"/>
    <w:rsid w:val="00F26ADE"/>
    <w:rsid w:val="00F30343"/>
    <w:rsid w:val="00F319EB"/>
    <w:rsid w:val="00F323AA"/>
    <w:rsid w:val="00F32D52"/>
    <w:rsid w:val="00F347AE"/>
    <w:rsid w:val="00F35638"/>
    <w:rsid w:val="00F357A1"/>
    <w:rsid w:val="00F358F5"/>
    <w:rsid w:val="00F40689"/>
    <w:rsid w:val="00F41F6B"/>
    <w:rsid w:val="00F42912"/>
    <w:rsid w:val="00F43150"/>
    <w:rsid w:val="00F445B3"/>
    <w:rsid w:val="00F446C0"/>
    <w:rsid w:val="00F50847"/>
    <w:rsid w:val="00F50881"/>
    <w:rsid w:val="00F5130D"/>
    <w:rsid w:val="00F51BFC"/>
    <w:rsid w:val="00F51D17"/>
    <w:rsid w:val="00F52071"/>
    <w:rsid w:val="00F5295B"/>
    <w:rsid w:val="00F52E0E"/>
    <w:rsid w:val="00F536ED"/>
    <w:rsid w:val="00F538F0"/>
    <w:rsid w:val="00F53DFE"/>
    <w:rsid w:val="00F55260"/>
    <w:rsid w:val="00F57260"/>
    <w:rsid w:val="00F61FE0"/>
    <w:rsid w:val="00F62656"/>
    <w:rsid w:val="00F63443"/>
    <w:rsid w:val="00F646BB"/>
    <w:rsid w:val="00F65A7E"/>
    <w:rsid w:val="00F65E14"/>
    <w:rsid w:val="00F661ED"/>
    <w:rsid w:val="00F668FB"/>
    <w:rsid w:val="00F66DAB"/>
    <w:rsid w:val="00F67481"/>
    <w:rsid w:val="00F70160"/>
    <w:rsid w:val="00F70ED7"/>
    <w:rsid w:val="00F713AF"/>
    <w:rsid w:val="00F73604"/>
    <w:rsid w:val="00F73D21"/>
    <w:rsid w:val="00F73E16"/>
    <w:rsid w:val="00F758C6"/>
    <w:rsid w:val="00F7758E"/>
    <w:rsid w:val="00F80171"/>
    <w:rsid w:val="00F814A0"/>
    <w:rsid w:val="00F81752"/>
    <w:rsid w:val="00F838D3"/>
    <w:rsid w:val="00F8690C"/>
    <w:rsid w:val="00F901F2"/>
    <w:rsid w:val="00F90AEF"/>
    <w:rsid w:val="00F914E5"/>
    <w:rsid w:val="00F91B72"/>
    <w:rsid w:val="00F92404"/>
    <w:rsid w:val="00F95066"/>
    <w:rsid w:val="00F95142"/>
    <w:rsid w:val="00F95B20"/>
    <w:rsid w:val="00F95BC2"/>
    <w:rsid w:val="00F96C63"/>
    <w:rsid w:val="00F96CB7"/>
    <w:rsid w:val="00F97C6B"/>
    <w:rsid w:val="00FA257D"/>
    <w:rsid w:val="00FA2A85"/>
    <w:rsid w:val="00FA5D3A"/>
    <w:rsid w:val="00FA6F16"/>
    <w:rsid w:val="00FA6F42"/>
    <w:rsid w:val="00FA6F4F"/>
    <w:rsid w:val="00FA797B"/>
    <w:rsid w:val="00FB1603"/>
    <w:rsid w:val="00FB1B55"/>
    <w:rsid w:val="00FB1BF3"/>
    <w:rsid w:val="00FB1C69"/>
    <w:rsid w:val="00FB204D"/>
    <w:rsid w:val="00FB20F2"/>
    <w:rsid w:val="00FB58C7"/>
    <w:rsid w:val="00FC034F"/>
    <w:rsid w:val="00FC0A91"/>
    <w:rsid w:val="00FC1F47"/>
    <w:rsid w:val="00FC2804"/>
    <w:rsid w:val="00FC2EE1"/>
    <w:rsid w:val="00FC3B3C"/>
    <w:rsid w:val="00FC3F58"/>
    <w:rsid w:val="00FC4B5C"/>
    <w:rsid w:val="00FC52BD"/>
    <w:rsid w:val="00FD11EA"/>
    <w:rsid w:val="00FD11F8"/>
    <w:rsid w:val="00FD1211"/>
    <w:rsid w:val="00FD25CE"/>
    <w:rsid w:val="00FD2EA2"/>
    <w:rsid w:val="00FD4B04"/>
    <w:rsid w:val="00FD591E"/>
    <w:rsid w:val="00FD7846"/>
    <w:rsid w:val="00FE1C43"/>
    <w:rsid w:val="00FE23BC"/>
    <w:rsid w:val="00FE3D59"/>
    <w:rsid w:val="00FE419F"/>
    <w:rsid w:val="00FE4422"/>
    <w:rsid w:val="00FE44E6"/>
    <w:rsid w:val="00FE4B1A"/>
    <w:rsid w:val="00FE5D14"/>
    <w:rsid w:val="00FE630B"/>
    <w:rsid w:val="00FF0136"/>
    <w:rsid w:val="00FF0909"/>
    <w:rsid w:val="00FF1687"/>
    <w:rsid w:val="00FF2D2E"/>
    <w:rsid w:val="00FF30CA"/>
    <w:rsid w:val="00FF3135"/>
    <w:rsid w:val="00FF3ECE"/>
    <w:rsid w:val="00FF4DC9"/>
    <w:rsid w:val="00FF4E84"/>
    <w:rsid w:val="00FF56C9"/>
    <w:rsid w:val="00FF6EE3"/>
    <w:rsid w:val="00F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stroke="f">
      <v:stroke on="f"/>
      <o:colormru v:ext="edit" colors="#ddd,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Pr>
      <w:caps/>
    </w:rPr>
  </w:style>
  <w:style w:type="paragraph" w:customStyle="1" w:styleId="ABBR">
    <w:name w:val="ABBR"/>
    <w:basedOn w:val="Annex"/>
  </w:style>
  <w:style w:type="paragraph" w:customStyle="1" w:styleId="AbbrDesc">
    <w:name w:val="AbbrDesc"/>
    <w:basedOn w:val="Normal"/>
    <w:pPr>
      <w:tabs>
        <w:tab w:val="left" w:pos="3060"/>
      </w:tabs>
      <w:jc w:val="both"/>
    </w:pPr>
  </w:style>
  <w:style w:type="paragraph" w:styleId="BodyText">
    <w:name w:val="Body Text"/>
    <w:basedOn w:val="Normal"/>
    <w:link w:val="BodyTextChar"/>
    <w:uiPriority w:val="99"/>
    <w:pPr>
      <w:tabs>
        <w:tab w:val="left" w:pos="3060"/>
      </w:tabs>
      <w:jc w:val="center"/>
    </w:pPr>
  </w:style>
  <w:style w:type="paragraph" w:styleId="BodyTextIndent">
    <w:name w:val="Body Text Indent"/>
    <w:basedOn w:val="Normal"/>
    <w:link w:val="BodyTextIndentChar"/>
    <w:uiPriority w:val="99"/>
    <w:pPr>
      <w:spacing w:after="120"/>
      <w:ind w:left="360"/>
    </w:p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</w:rPr>
  </w:style>
  <w:style w:type="paragraph" w:customStyle="1" w:styleId="Chapter">
    <w:name w:val="Chapter"/>
    <w:basedOn w:val="Normal"/>
    <w:next w:val="Normal"/>
    <w:link w:val="ChapterChar"/>
    <w:autoRedefine/>
    <w:rsid w:val="00973C09"/>
    <w:pPr>
      <w:tabs>
        <w:tab w:val="left" w:pos="1440"/>
      </w:tabs>
      <w:spacing w:after="120"/>
      <w:ind w:left="720"/>
      <w:jc w:val="center"/>
    </w:pPr>
    <w:rPr>
      <w:b/>
      <w:smallCaps/>
      <w:noProof/>
      <w:lang w:val="es-ES_trad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rstHeading">
    <w:name w:val="FirstHeading"/>
    <w:basedOn w:val="Normal"/>
    <w:link w:val="FirstHeadingChar"/>
    <w:pPr>
      <w:keepNext/>
      <w:tabs>
        <w:tab w:val="left" w:pos="0"/>
        <w:tab w:val="left" w:pos="90"/>
      </w:tabs>
      <w:spacing w:before="120" w:after="120"/>
    </w:pPr>
    <w:rPr>
      <w:b/>
      <w:noProof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ADB,footnote,single space,fn,FOOTNOTES,Footnote Text Char Char,Footnote Text Char,footnote text"/>
    <w:basedOn w:val="Normal"/>
    <w:link w:val="FootnoteTextChar1"/>
    <w:pPr>
      <w:tabs>
        <w:tab w:val="left" w:pos="360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LineNumber">
    <w:name w:val="line number"/>
    <w:basedOn w:val="DefaultParagraphFont"/>
  </w:style>
  <w:style w:type="paragraph" w:customStyle="1" w:styleId="MasterSourceText">
    <w:name w:val="Master_SourceText"/>
    <w:basedOn w:val="Normal"/>
    <w:pPr>
      <w:tabs>
        <w:tab w:val="left" w:pos="1440"/>
      </w:tabs>
      <w:ind w:left="1440" w:hanging="720"/>
      <w:jc w:val="both"/>
    </w:pPr>
  </w:style>
  <w:style w:type="paragraph" w:customStyle="1" w:styleId="Newpage">
    <w:name w:val="Newpage"/>
    <w:basedOn w:val="Chapter"/>
    <w:pPr>
      <w:tabs>
        <w:tab w:val="left" w:pos="3060"/>
      </w:tabs>
      <w:spacing w:after="0"/>
      <w:ind w:left="0"/>
    </w:pPr>
    <w:rPr>
      <w:noProof w:val="0"/>
    </w:rPr>
  </w:style>
  <w:style w:type="character" w:styleId="PageNumber">
    <w:name w:val="page number"/>
    <w:basedOn w:val="DefaultParagraphFont"/>
  </w:style>
  <w:style w:type="paragraph" w:customStyle="1" w:styleId="Paragraph">
    <w:name w:val="Paragraph"/>
    <w:basedOn w:val="BodyTextIndent"/>
    <w:link w:val="ParagraphChar"/>
    <w:pPr>
      <w:numPr>
        <w:ilvl w:val="1"/>
        <w:numId w:val="3"/>
      </w:numPr>
      <w:spacing w:before="120"/>
      <w:jc w:val="both"/>
      <w:outlineLvl w:val="1"/>
    </w:pPr>
  </w:style>
  <w:style w:type="paragraph" w:customStyle="1" w:styleId="RegheadTab">
    <w:name w:val="RegheadTab"/>
    <w:basedOn w:val="FirstHeading"/>
    <w:pPr>
      <w:tabs>
        <w:tab w:val="num" w:pos="504"/>
      </w:tabs>
      <w:spacing w:after="0"/>
      <w:ind w:left="504" w:hanging="504"/>
      <w:jc w:val="center"/>
    </w:pPr>
  </w:style>
  <w:style w:type="paragraph" w:customStyle="1" w:styleId="SecHeading">
    <w:name w:val="SecHeading"/>
    <w:basedOn w:val="Normal"/>
    <w:next w:val="Paragraph"/>
    <w:link w:val="SecHeadingChar"/>
    <w:pPr>
      <w:keepNext/>
      <w:numPr>
        <w:ilvl w:val="1"/>
        <w:numId w:val="4"/>
      </w:numPr>
      <w:spacing w:before="120" w:after="120"/>
    </w:pPr>
    <w:rPr>
      <w:b/>
    </w:rPr>
  </w:style>
  <w:style w:type="paragraph" w:customStyle="1" w:styleId="SubHeading1">
    <w:name w:val="SubHeading1"/>
    <w:basedOn w:val="SecHeading"/>
    <w:link w:val="SubHeading1Char"/>
    <w:pPr>
      <w:numPr>
        <w:ilvl w:val="2"/>
      </w:numPr>
    </w:pPr>
  </w:style>
  <w:style w:type="paragraph" w:customStyle="1" w:styleId="Subheading2">
    <w:name w:val="Subheading2"/>
    <w:basedOn w:val="SecHeading"/>
    <w:link w:val="Subheading2Char"/>
    <w:pPr>
      <w:numPr>
        <w:ilvl w:val="3"/>
      </w:numPr>
    </w:pPr>
  </w:style>
  <w:style w:type="paragraph" w:customStyle="1" w:styleId="subpar">
    <w:name w:val="subpar"/>
    <w:basedOn w:val="BodyTextIndent3"/>
    <w:link w:val="subparChar"/>
    <w:pPr>
      <w:numPr>
        <w:ilvl w:val="2"/>
        <w:numId w:val="3"/>
      </w:numPr>
      <w:spacing w:before="120"/>
      <w:jc w:val="both"/>
      <w:outlineLvl w:val="2"/>
    </w:pPr>
    <w:rPr>
      <w:sz w:val="24"/>
    </w:rPr>
  </w:style>
  <w:style w:type="paragraph" w:customStyle="1" w:styleId="SubSubPar">
    <w:name w:val="SubSubPar"/>
    <w:basedOn w:val="subpar"/>
    <w:link w:val="SubSubParChar"/>
    <w:pPr>
      <w:numPr>
        <w:ilvl w:val="3"/>
      </w:numPr>
      <w:tabs>
        <w:tab w:val="left" w:pos="0"/>
      </w:tabs>
    </w:pPr>
  </w:style>
  <w:style w:type="paragraph" w:styleId="Title">
    <w:name w:val="Title"/>
    <w:basedOn w:val="Normal"/>
    <w:qFormat/>
    <w:pPr>
      <w:tabs>
        <w:tab w:val="left" w:pos="1440"/>
        <w:tab w:val="left" w:pos="3060"/>
      </w:tabs>
      <w:jc w:val="center"/>
      <w:outlineLvl w:val="0"/>
    </w:pPr>
  </w:style>
  <w:style w:type="paragraph" w:styleId="TOC1">
    <w:name w:val="toc 1"/>
    <w:basedOn w:val="Normal"/>
    <w:next w:val="Normal"/>
    <w:autoRedefine/>
    <w:uiPriority w:val="39"/>
    <w:qFormat/>
    <w:rsid w:val="00216691"/>
    <w:pPr>
      <w:tabs>
        <w:tab w:val="left" w:pos="547"/>
        <w:tab w:val="right" w:leader="dot" w:pos="9360"/>
      </w:tabs>
      <w:spacing w:before="240" w:after="240"/>
      <w:ind w:left="547" w:hanging="547"/>
    </w:pPr>
    <w:rPr>
      <w:smallCaps/>
      <w:noProof/>
    </w:rPr>
  </w:style>
  <w:style w:type="paragraph" w:styleId="TOC2">
    <w:name w:val="toc 2"/>
    <w:basedOn w:val="Normal"/>
    <w:next w:val="Normal"/>
    <w:autoRedefine/>
    <w:uiPriority w:val="39"/>
    <w:qFormat/>
    <w:rsid w:val="00812494"/>
    <w:pPr>
      <w:tabs>
        <w:tab w:val="left" w:pos="1152"/>
        <w:tab w:val="right" w:leader="dot" w:pos="9360"/>
      </w:tabs>
      <w:ind w:left="1167" w:hanging="605"/>
    </w:pPr>
    <w:rPr>
      <w:noProof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8A7DA4"/>
    <w:pPr>
      <w:tabs>
        <w:tab w:val="left" w:pos="1714"/>
        <w:tab w:val="right" w:leader="dot" w:pos="9360"/>
      </w:tabs>
      <w:ind w:left="1714" w:hanging="562"/>
    </w:pPr>
    <w:rPr>
      <w:noProof/>
      <w:szCs w:val="24"/>
    </w:rPr>
  </w:style>
  <w:style w:type="paragraph" w:styleId="TOC4">
    <w:name w:val="toc 4"/>
    <w:basedOn w:val="Normal"/>
    <w:next w:val="Normal"/>
    <w:autoRedefine/>
    <w:semiHidden/>
    <w:pPr>
      <w:ind w:left="400"/>
    </w:pPr>
  </w:style>
  <w:style w:type="paragraph" w:styleId="TOC5">
    <w:name w:val="toc 5"/>
    <w:basedOn w:val="Normal"/>
    <w:next w:val="Normal"/>
    <w:autoRedefine/>
    <w:semiHidden/>
    <w:pPr>
      <w:ind w:left="600"/>
    </w:pPr>
  </w:style>
  <w:style w:type="paragraph" w:styleId="TOC6">
    <w:name w:val="toc 6"/>
    <w:basedOn w:val="Normal"/>
    <w:next w:val="Normal"/>
    <w:autoRedefine/>
    <w:semiHidden/>
    <w:pPr>
      <w:ind w:left="800"/>
    </w:pPr>
  </w:style>
  <w:style w:type="paragraph" w:styleId="TOC7">
    <w:name w:val="toc 7"/>
    <w:basedOn w:val="Normal"/>
    <w:next w:val="Normal"/>
    <w:autoRedefine/>
    <w:semiHidden/>
    <w:pPr>
      <w:ind w:left="1000"/>
    </w:pPr>
  </w:style>
  <w:style w:type="paragraph" w:styleId="TOC8">
    <w:name w:val="toc 8"/>
    <w:basedOn w:val="Normal"/>
    <w:next w:val="Normal"/>
    <w:autoRedefine/>
    <w:semiHidden/>
    <w:pPr>
      <w:ind w:left="1200"/>
    </w:pPr>
  </w:style>
  <w:style w:type="paragraph" w:styleId="TOC9">
    <w:name w:val="toc 9"/>
    <w:basedOn w:val="Normal"/>
    <w:next w:val="Normal"/>
    <w:autoRedefine/>
    <w:semiHidden/>
    <w:pPr>
      <w:ind w:left="1400"/>
    </w:p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odyText3">
    <w:name w:val="Body Text 3"/>
    <w:basedOn w:val="Normal"/>
    <w:pPr>
      <w:jc w:val="both"/>
    </w:pPr>
    <w:rPr>
      <w:i/>
      <w:sz w:val="22"/>
    </w:rPr>
  </w:style>
  <w:style w:type="character" w:styleId="FootnoteReference">
    <w:name w:val="footnote reference"/>
    <w:basedOn w:val="DefaultParagraphFont"/>
    <w:rPr>
      <w:rFonts w:ascii="Times New Roman" w:hAnsi="Times New Roman"/>
      <w:sz w:val="24"/>
      <w:vertAlign w:val="superscript"/>
    </w:rPr>
  </w:style>
  <w:style w:type="paragraph" w:styleId="BodyText2">
    <w:name w:val="Body Text 2"/>
    <w:basedOn w:val="Normal"/>
    <w:pPr>
      <w:jc w:val="both"/>
    </w:pPr>
    <w:rPr>
      <w:sz w:val="15"/>
    </w:rPr>
  </w:style>
  <w:style w:type="paragraph" w:styleId="Caption">
    <w:name w:val="caption"/>
    <w:basedOn w:val="Normal"/>
    <w:next w:val="Normal"/>
    <w:uiPriority w:val="35"/>
    <w:qFormat/>
    <w:pPr>
      <w:spacing w:before="120" w:after="120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  <w:sz w:val="22"/>
    </w:rPr>
  </w:style>
  <w:style w:type="paragraph" w:customStyle="1" w:styleId="StudyHeading1">
    <w:name w:val="Study Heading 1"/>
    <w:basedOn w:val="Normal"/>
    <w:next w:val="Normal"/>
    <w:autoRedefine/>
    <w:pPr>
      <w:spacing w:after="240"/>
      <w:jc w:val="center"/>
      <w:outlineLvl w:val="0"/>
    </w:pPr>
    <w:rPr>
      <w:b/>
      <w:iCs/>
      <w:caps/>
    </w:rPr>
  </w:style>
  <w:style w:type="paragraph" w:customStyle="1" w:styleId="BankNormal">
    <w:name w:val="BankNormal"/>
    <w:basedOn w:val="Normal"/>
    <w:pPr>
      <w:spacing w:after="240"/>
    </w:pPr>
  </w:style>
  <w:style w:type="paragraph" w:customStyle="1" w:styleId="Bulletwospace">
    <w:name w:val="Bullet (w/o space)"/>
    <w:basedOn w:val="Normal"/>
    <w:pPr>
      <w:numPr>
        <w:numId w:val="2"/>
      </w:numPr>
      <w:tabs>
        <w:tab w:val="clear" w:pos="360"/>
      </w:tabs>
      <w:ind w:left="720"/>
    </w:pPr>
    <w:rPr>
      <w:szCs w:val="24"/>
    </w:rPr>
  </w:style>
  <w:style w:type="paragraph" w:customStyle="1" w:styleId="xl24">
    <w:name w:val="xl24"/>
    <w:basedOn w:val="Normal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25">
    <w:name w:val="xl25"/>
    <w:basedOn w:val="Normal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9">
    <w:name w:val="xl29"/>
    <w:basedOn w:val="Normal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0">
    <w:name w:val="xl30"/>
    <w:basedOn w:val="Normal"/>
    <w:pPr>
      <w:pBdr>
        <w:top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3">
    <w:name w:val="xl33"/>
    <w:basedOn w:val="Normal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Cs w:val="24"/>
    </w:rPr>
  </w:style>
  <w:style w:type="paragraph" w:customStyle="1" w:styleId="xl34">
    <w:name w:val="xl34"/>
    <w:basedOn w:val="Normal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xl35">
    <w:name w:val="xl35"/>
    <w:basedOn w:val="Normal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Cs w:val="24"/>
    </w:rPr>
  </w:style>
  <w:style w:type="paragraph" w:customStyle="1" w:styleId="xl36">
    <w:name w:val="xl3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xl37">
    <w:name w:val="xl37"/>
    <w:basedOn w:val="Normal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38">
    <w:name w:val="xl38"/>
    <w:basedOn w:val="Normal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bull1">
    <w:name w:val="bull1"/>
    <w:basedOn w:val="Normal"/>
    <w:pPr>
      <w:tabs>
        <w:tab w:val="left" w:pos="720"/>
      </w:tabs>
      <w:overflowPunct w:val="0"/>
      <w:autoSpaceDE w:val="0"/>
      <w:autoSpaceDN w:val="0"/>
      <w:adjustRightInd w:val="0"/>
      <w:ind w:left="720" w:hanging="360"/>
      <w:textAlignment w:val="baseline"/>
    </w:pPr>
    <w:rPr>
      <w:lang w:val="es-CL"/>
    </w:rPr>
  </w:style>
  <w:style w:type="paragraph" w:customStyle="1" w:styleId="bull2">
    <w:name w:val="bull2"/>
    <w:basedOn w:val="bull1"/>
    <w:pPr>
      <w:tabs>
        <w:tab w:val="clear" w:pos="720"/>
        <w:tab w:val="left" w:pos="360"/>
      </w:tabs>
    </w:pPr>
    <w:rPr>
      <w:lang w:val="en-US"/>
    </w:rPr>
  </w:style>
  <w:style w:type="paragraph" w:styleId="BodyTextIndent2">
    <w:name w:val="Body Text Indent 2"/>
    <w:basedOn w:val="Normal"/>
    <w:pPr>
      <w:ind w:left="-36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small1">
    <w:name w:val="small1"/>
    <w:basedOn w:val="DefaultParagraphFont"/>
    <w:rPr>
      <w:rFonts w:ascii="Verdana" w:hAnsi="Verdana" w:hint="default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3F558A"/>
    <w:rPr>
      <w:sz w:val="24"/>
      <w:lang w:val="en-US" w:eastAsia="en-US" w:bidi="ar-SA"/>
    </w:rPr>
  </w:style>
  <w:style w:type="character" w:customStyle="1" w:styleId="FootnoteTextChar1">
    <w:name w:val="Footnote Text Char1"/>
    <w:aliases w:val="ADB Char,footnote Char,single space Char,fn Char,FOOTNOTES Char,Footnote Text Char Char Char,Footnote Text Char Char1,footnote text Char"/>
    <w:basedOn w:val="DefaultParagraphFont"/>
    <w:link w:val="FootnoteText"/>
    <w:semiHidden/>
    <w:rsid w:val="003F558A"/>
    <w:rPr>
      <w:sz w:val="18"/>
      <w:lang w:val="en-US" w:eastAsia="en-US" w:bidi="ar-SA"/>
    </w:rPr>
  </w:style>
  <w:style w:type="paragraph" w:customStyle="1" w:styleId="Julietita">
    <w:name w:val="Julietita"/>
    <w:basedOn w:val="Normal"/>
    <w:link w:val="JulietitaChar"/>
    <w:rsid w:val="003F558A"/>
    <w:pPr>
      <w:numPr>
        <w:numId w:val="5"/>
      </w:numPr>
      <w:spacing w:before="120" w:after="120" w:line="360" w:lineRule="auto"/>
    </w:pPr>
    <w:rPr>
      <w:rFonts w:ascii="Calibri" w:eastAsia="Calibri" w:hAnsi="Calibri" w:cs="Calibri"/>
      <w:b/>
      <w:bCs/>
      <w:szCs w:val="24"/>
    </w:rPr>
  </w:style>
  <w:style w:type="character" w:customStyle="1" w:styleId="JulietitaChar">
    <w:name w:val="Julietita Char"/>
    <w:basedOn w:val="DefaultParagraphFont"/>
    <w:link w:val="Julietita"/>
    <w:locked/>
    <w:rsid w:val="003F558A"/>
    <w:rPr>
      <w:rFonts w:ascii="Calibri" w:eastAsia="Calibri" w:hAnsi="Calibri" w:cs="Calibri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7D6634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C63104"/>
    <w:rPr>
      <w:sz w:val="24"/>
    </w:rPr>
  </w:style>
  <w:style w:type="character" w:styleId="CommentReference">
    <w:name w:val="annotation reference"/>
    <w:basedOn w:val="DefaultParagraphFont"/>
    <w:uiPriority w:val="99"/>
    <w:rsid w:val="00041E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41E8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1E82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041E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41E82"/>
    <w:rPr>
      <w:b/>
      <w:bCs/>
    </w:rPr>
  </w:style>
  <w:style w:type="table" w:styleId="TableGrid">
    <w:name w:val="Table Grid"/>
    <w:basedOn w:val="TableNormal"/>
    <w:uiPriority w:val="59"/>
    <w:rsid w:val="0048526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Astyletitles">
    <w:name w:val="MSA style titles"/>
    <w:basedOn w:val="Heading1"/>
    <w:link w:val="MSAstyletitlesChar"/>
    <w:qFormat/>
    <w:rsid w:val="000E44D3"/>
    <w:pPr>
      <w:keepLines/>
      <w:numPr>
        <w:numId w:val="19"/>
      </w:numPr>
      <w:spacing w:before="480" w:after="0" w:line="276" w:lineRule="auto"/>
    </w:pPr>
    <w:rPr>
      <w:rFonts w:asciiTheme="majorHAnsi" w:eastAsiaTheme="majorEastAsia" w:hAnsiTheme="majorHAnsi" w:cstheme="majorBidi"/>
      <w:bCs/>
      <w:color w:val="000000" w:themeColor="text1"/>
      <w:kern w:val="0"/>
      <w:szCs w:val="28"/>
      <w:lang w:val="es-ES"/>
    </w:rPr>
  </w:style>
  <w:style w:type="character" w:customStyle="1" w:styleId="MSAstyletitlesChar">
    <w:name w:val="MSA style titles Char"/>
    <w:basedOn w:val="DefaultParagraphFont"/>
    <w:link w:val="MSAstyletitles"/>
    <w:rsid w:val="00C075EA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s-ES"/>
    </w:rPr>
  </w:style>
  <w:style w:type="paragraph" w:styleId="NormalWeb">
    <w:name w:val="Normal (Web)"/>
    <w:basedOn w:val="Normal"/>
    <w:uiPriority w:val="99"/>
    <w:unhideWhenUsed/>
    <w:rsid w:val="00D05352"/>
    <w:pPr>
      <w:spacing w:before="100" w:beforeAutospacing="1" w:after="100" w:afterAutospacing="1"/>
    </w:pPr>
    <w:rPr>
      <w:szCs w:val="24"/>
    </w:rPr>
  </w:style>
  <w:style w:type="paragraph" w:styleId="Revision">
    <w:name w:val="Revision"/>
    <w:hidden/>
    <w:uiPriority w:val="99"/>
    <w:semiHidden/>
    <w:rsid w:val="003D1CD7"/>
    <w:rPr>
      <w:rFonts w:asciiTheme="minorHAnsi" w:eastAsiaTheme="minorHAnsi" w:hAnsiTheme="minorHAnsi" w:cstheme="minorBidi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CD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1CD7"/>
    <w:rPr>
      <w:rFonts w:ascii="Arial" w:hAnsi="Arial"/>
      <w:b/>
      <w:kern w:val="28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D1CD7"/>
    <w:rPr>
      <w:rFonts w:ascii="Arial" w:hAnsi="Arial"/>
      <w:b/>
      <w:i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3D1CD7"/>
    <w:rPr>
      <w:sz w:val="24"/>
    </w:rPr>
  </w:style>
  <w:style w:type="character" w:customStyle="1" w:styleId="ChapterChar">
    <w:name w:val="Chapter Char"/>
    <w:basedOn w:val="DefaultParagraphFont"/>
    <w:link w:val="Chapter"/>
    <w:rsid w:val="00973C09"/>
    <w:rPr>
      <w:b/>
      <w:smallCaps/>
      <w:noProof/>
      <w:sz w:val="24"/>
      <w:lang w:val="es-ES_tradnl"/>
    </w:rPr>
  </w:style>
  <w:style w:type="character" w:customStyle="1" w:styleId="FirstHeadingChar">
    <w:name w:val="FirstHeading Char"/>
    <w:basedOn w:val="DefaultParagraphFont"/>
    <w:link w:val="FirstHeading"/>
    <w:rsid w:val="003D1CD7"/>
    <w:rPr>
      <w:b/>
      <w:noProof/>
      <w:sz w:val="24"/>
    </w:rPr>
  </w:style>
  <w:style w:type="character" w:customStyle="1" w:styleId="SecHeadingChar">
    <w:name w:val="SecHeading Char"/>
    <w:basedOn w:val="DefaultParagraphFont"/>
    <w:link w:val="SecHeading"/>
    <w:rsid w:val="003D1CD7"/>
    <w:rPr>
      <w:b/>
      <w:sz w:val="24"/>
    </w:rPr>
  </w:style>
  <w:style w:type="character" w:customStyle="1" w:styleId="SubHeading1Char">
    <w:name w:val="SubHeading1 Char"/>
    <w:basedOn w:val="DefaultParagraphFont"/>
    <w:link w:val="SubHeading1"/>
    <w:rsid w:val="003D1CD7"/>
    <w:rPr>
      <w:b/>
      <w:sz w:val="24"/>
    </w:rPr>
  </w:style>
  <w:style w:type="character" w:customStyle="1" w:styleId="Subheading2Char">
    <w:name w:val="Subheading2 Char"/>
    <w:basedOn w:val="DefaultParagraphFont"/>
    <w:link w:val="Subheading2"/>
    <w:rsid w:val="003D1CD7"/>
    <w:rPr>
      <w:b/>
      <w:sz w:val="24"/>
    </w:rPr>
  </w:style>
  <w:style w:type="character" w:customStyle="1" w:styleId="ParagraphChar">
    <w:name w:val="Paragraph Char"/>
    <w:basedOn w:val="DefaultParagraphFont"/>
    <w:link w:val="Paragraph"/>
    <w:rsid w:val="003D1CD7"/>
    <w:rPr>
      <w:sz w:val="24"/>
    </w:rPr>
  </w:style>
  <w:style w:type="character" w:customStyle="1" w:styleId="subparChar">
    <w:name w:val="subpar Char"/>
    <w:basedOn w:val="DefaultParagraphFont"/>
    <w:link w:val="subpar"/>
    <w:rsid w:val="003D1CD7"/>
    <w:rPr>
      <w:sz w:val="24"/>
    </w:rPr>
  </w:style>
  <w:style w:type="character" w:customStyle="1" w:styleId="SubSubParChar">
    <w:name w:val="SubSubPar Char"/>
    <w:basedOn w:val="DefaultParagraphFont"/>
    <w:link w:val="SubSubPar"/>
    <w:rsid w:val="003D1CD7"/>
    <w:rPr>
      <w:sz w:val="24"/>
    </w:rPr>
  </w:style>
  <w:style w:type="paragraph" w:customStyle="1" w:styleId="Regtable">
    <w:name w:val="Regtable"/>
    <w:basedOn w:val="Normal"/>
    <w:link w:val="RegtableChar"/>
    <w:rsid w:val="003D1CD7"/>
    <w:pPr>
      <w:keepLines/>
      <w:framePr w:wrap="around" w:vAnchor="text" w:hAnchor="text" w:y="1"/>
      <w:spacing w:before="20" w:after="20"/>
    </w:pPr>
    <w:rPr>
      <w:rFonts w:eastAsiaTheme="minorHAnsi"/>
      <w:sz w:val="20"/>
      <w:szCs w:val="22"/>
      <w:lang w:val="es-ES"/>
    </w:rPr>
  </w:style>
  <w:style w:type="character" w:customStyle="1" w:styleId="RegtableChar">
    <w:name w:val="Regtable Char"/>
    <w:basedOn w:val="DefaultParagraphFont"/>
    <w:link w:val="Regtable"/>
    <w:rsid w:val="003D1CD7"/>
    <w:rPr>
      <w:rFonts w:eastAsiaTheme="minorHAnsi"/>
      <w:szCs w:val="22"/>
      <w:lang w:val="es-ES"/>
    </w:rPr>
  </w:style>
  <w:style w:type="paragraph" w:customStyle="1" w:styleId="TableTitle">
    <w:name w:val="TableTitle"/>
    <w:basedOn w:val="Normal"/>
    <w:link w:val="TableTitleChar"/>
    <w:rsid w:val="003D1CD7"/>
    <w:pPr>
      <w:keepNext/>
      <w:framePr w:wrap="around" w:vAnchor="text" w:hAnchor="text" w:y="1"/>
      <w:spacing w:before="20" w:after="20"/>
      <w:jc w:val="center"/>
    </w:pPr>
    <w:rPr>
      <w:rFonts w:ascii="Times New Roman Bold" w:eastAsiaTheme="minorHAnsi" w:hAnsi="Times New Roman Bold" w:cstheme="minorBidi"/>
      <w:b/>
      <w:spacing w:val="-3"/>
      <w:sz w:val="20"/>
      <w:szCs w:val="22"/>
      <w:lang w:val="es-ES"/>
    </w:rPr>
  </w:style>
  <w:style w:type="character" w:customStyle="1" w:styleId="TableTitleChar">
    <w:name w:val="TableTitle Char"/>
    <w:basedOn w:val="DefaultParagraphFont"/>
    <w:link w:val="TableTitle"/>
    <w:rsid w:val="003D1CD7"/>
    <w:rPr>
      <w:rFonts w:ascii="Times New Roman Bold" w:eastAsiaTheme="minorHAnsi" w:hAnsi="Times New Roman Bold" w:cstheme="minorBidi"/>
      <w:b/>
      <w:spacing w:val="-3"/>
      <w:szCs w:val="22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3D1CD7"/>
    <w:rPr>
      <w:rFonts w:ascii="Arial" w:hAnsi="Arial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D1CD7"/>
    <w:rPr>
      <w:rFonts w:ascii="Arial" w:hAnsi="Arial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D1CD7"/>
    <w:rPr>
      <w:sz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D1CD7"/>
    <w:rPr>
      <w:i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D1CD7"/>
    <w:rPr>
      <w:rFonts w:ascii="Arial" w:hAnsi="Arial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3D1CD7"/>
    <w:rPr>
      <w:rFonts w:ascii="Arial" w:hAnsi="Arial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"/>
    <w:rsid w:val="003D1CD7"/>
    <w:rPr>
      <w:rFonts w:ascii="Arial" w:hAnsi="Arial"/>
      <w:b/>
      <w:i/>
      <w:sz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D1CD7"/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D1CD7"/>
    <w:rPr>
      <w:sz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1CD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  <w:lang w:eastAsia="ja-JP"/>
    </w:rPr>
  </w:style>
  <w:style w:type="character" w:styleId="BookTitle">
    <w:name w:val="Book Title"/>
    <w:basedOn w:val="DefaultParagraphFont"/>
    <w:uiPriority w:val="33"/>
    <w:qFormat/>
    <w:rsid w:val="003D1CD7"/>
    <w:rPr>
      <w:b/>
      <w:bCs/>
      <w:smallCaps/>
      <w:spacing w:val="5"/>
    </w:rPr>
  </w:style>
  <w:style w:type="paragraph" w:customStyle="1" w:styleId="Default">
    <w:name w:val="Default"/>
    <w:rsid w:val="003D1CD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D1CD7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D1CD7"/>
    <w:rPr>
      <w:rFonts w:ascii="Consolas" w:eastAsiaTheme="minorHAnsi" w:hAnsi="Consolas" w:cstheme="minorBidi"/>
      <w:sz w:val="21"/>
      <w:szCs w:val="21"/>
    </w:rPr>
  </w:style>
  <w:style w:type="character" w:customStyle="1" w:styleId="ADBChar1">
    <w:name w:val="ADB Char1"/>
    <w:aliases w:val="footnote Char1,single space Char1,fn Char1,FOOTNOTES Char1,Footnote Text Char Char Char1,footnote text Char1"/>
    <w:basedOn w:val="DefaultParagraphFont"/>
    <w:rsid w:val="005D157F"/>
    <w:rPr>
      <w:rFonts w:ascii="Times New Roman" w:hAnsi="Times New Roman" w:cs="Times New Roman"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Pr>
      <w:caps/>
    </w:rPr>
  </w:style>
  <w:style w:type="paragraph" w:customStyle="1" w:styleId="ABBR">
    <w:name w:val="ABBR"/>
    <w:basedOn w:val="Annex"/>
  </w:style>
  <w:style w:type="paragraph" w:customStyle="1" w:styleId="AbbrDesc">
    <w:name w:val="AbbrDesc"/>
    <w:basedOn w:val="Normal"/>
    <w:pPr>
      <w:tabs>
        <w:tab w:val="left" w:pos="3060"/>
      </w:tabs>
      <w:jc w:val="both"/>
    </w:pPr>
  </w:style>
  <w:style w:type="paragraph" w:styleId="BodyText">
    <w:name w:val="Body Text"/>
    <w:basedOn w:val="Normal"/>
    <w:link w:val="BodyTextChar"/>
    <w:uiPriority w:val="99"/>
    <w:pPr>
      <w:tabs>
        <w:tab w:val="left" w:pos="3060"/>
      </w:tabs>
      <w:jc w:val="center"/>
    </w:pPr>
  </w:style>
  <w:style w:type="paragraph" w:styleId="BodyTextIndent">
    <w:name w:val="Body Text Indent"/>
    <w:basedOn w:val="Normal"/>
    <w:link w:val="BodyTextIndentChar"/>
    <w:uiPriority w:val="99"/>
    <w:pPr>
      <w:spacing w:after="120"/>
      <w:ind w:left="360"/>
    </w:p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360"/>
    </w:pPr>
    <w:rPr>
      <w:sz w:val="16"/>
    </w:rPr>
  </w:style>
  <w:style w:type="paragraph" w:customStyle="1" w:styleId="Chapter">
    <w:name w:val="Chapter"/>
    <w:basedOn w:val="Normal"/>
    <w:next w:val="Normal"/>
    <w:link w:val="ChapterChar"/>
    <w:autoRedefine/>
    <w:rsid w:val="00973C09"/>
    <w:pPr>
      <w:tabs>
        <w:tab w:val="left" w:pos="1440"/>
      </w:tabs>
      <w:spacing w:after="120"/>
      <w:ind w:left="720"/>
      <w:jc w:val="center"/>
    </w:pPr>
    <w:rPr>
      <w:b/>
      <w:smallCaps/>
      <w:noProof/>
      <w:lang w:val="es-ES_trad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rstHeading">
    <w:name w:val="FirstHeading"/>
    <w:basedOn w:val="Normal"/>
    <w:link w:val="FirstHeadingChar"/>
    <w:pPr>
      <w:keepNext/>
      <w:tabs>
        <w:tab w:val="left" w:pos="0"/>
        <w:tab w:val="left" w:pos="90"/>
      </w:tabs>
      <w:spacing w:before="120" w:after="120"/>
    </w:pPr>
    <w:rPr>
      <w:b/>
      <w:noProof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ADB,footnote,single space,fn,FOOTNOTES,Footnote Text Char Char,Footnote Text Char,footnote text"/>
    <w:basedOn w:val="Normal"/>
    <w:link w:val="FootnoteTextChar1"/>
    <w:pPr>
      <w:tabs>
        <w:tab w:val="left" w:pos="360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LineNumber">
    <w:name w:val="line number"/>
    <w:basedOn w:val="DefaultParagraphFont"/>
  </w:style>
  <w:style w:type="paragraph" w:customStyle="1" w:styleId="MasterSourceText">
    <w:name w:val="Master_SourceText"/>
    <w:basedOn w:val="Normal"/>
    <w:pPr>
      <w:tabs>
        <w:tab w:val="left" w:pos="1440"/>
      </w:tabs>
      <w:ind w:left="1440" w:hanging="720"/>
      <w:jc w:val="both"/>
    </w:pPr>
  </w:style>
  <w:style w:type="paragraph" w:customStyle="1" w:styleId="Newpage">
    <w:name w:val="Newpage"/>
    <w:basedOn w:val="Chapter"/>
    <w:pPr>
      <w:tabs>
        <w:tab w:val="left" w:pos="3060"/>
      </w:tabs>
      <w:spacing w:after="0"/>
      <w:ind w:left="0"/>
    </w:pPr>
    <w:rPr>
      <w:noProof w:val="0"/>
    </w:rPr>
  </w:style>
  <w:style w:type="character" w:styleId="PageNumber">
    <w:name w:val="page number"/>
    <w:basedOn w:val="DefaultParagraphFont"/>
  </w:style>
  <w:style w:type="paragraph" w:customStyle="1" w:styleId="Paragraph">
    <w:name w:val="Paragraph"/>
    <w:basedOn w:val="BodyTextIndent"/>
    <w:link w:val="ParagraphChar"/>
    <w:pPr>
      <w:numPr>
        <w:ilvl w:val="1"/>
        <w:numId w:val="3"/>
      </w:numPr>
      <w:spacing w:before="120"/>
      <w:jc w:val="both"/>
      <w:outlineLvl w:val="1"/>
    </w:pPr>
  </w:style>
  <w:style w:type="paragraph" w:customStyle="1" w:styleId="RegheadTab">
    <w:name w:val="RegheadTab"/>
    <w:basedOn w:val="FirstHeading"/>
    <w:pPr>
      <w:tabs>
        <w:tab w:val="num" w:pos="504"/>
      </w:tabs>
      <w:spacing w:after="0"/>
      <w:ind w:left="504" w:hanging="504"/>
      <w:jc w:val="center"/>
    </w:pPr>
  </w:style>
  <w:style w:type="paragraph" w:customStyle="1" w:styleId="SecHeading">
    <w:name w:val="SecHeading"/>
    <w:basedOn w:val="Normal"/>
    <w:next w:val="Paragraph"/>
    <w:link w:val="SecHeadingChar"/>
    <w:pPr>
      <w:keepNext/>
      <w:numPr>
        <w:ilvl w:val="1"/>
        <w:numId w:val="4"/>
      </w:numPr>
      <w:spacing w:before="120" w:after="120"/>
    </w:pPr>
    <w:rPr>
      <w:b/>
    </w:rPr>
  </w:style>
  <w:style w:type="paragraph" w:customStyle="1" w:styleId="SubHeading1">
    <w:name w:val="SubHeading1"/>
    <w:basedOn w:val="SecHeading"/>
    <w:link w:val="SubHeading1Char"/>
    <w:pPr>
      <w:numPr>
        <w:ilvl w:val="2"/>
      </w:numPr>
    </w:pPr>
  </w:style>
  <w:style w:type="paragraph" w:customStyle="1" w:styleId="Subheading2">
    <w:name w:val="Subheading2"/>
    <w:basedOn w:val="SecHeading"/>
    <w:link w:val="Subheading2Char"/>
    <w:pPr>
      <w:numPr>
        <w:ilvl w:val="3"/>
      </w:numPr>
    </w:pPr>
  </w:style>
  <w:style w:type="paragraph" w:customStyle="1" w:styleId="subpar">
    <w:name w:val="subpar"/>
    <w:basedOn w:val="BodyTextIndent3"/>
    <w:link w:val="subparChar"/>
    <w:pPr>
      <w:numPr>
        <w:ilvl w:val="2"/>
        <w:numId w:val="3"/>
      </w:numPr>
      <w:spacing w:before="120"/>
      <w:jc w:val="both"/>
      <w:outlineLvl w:val="2"/>
    </w:pPr>
    <w:rPr>
      <w:sz w:val="24"/>
    </w:rPr>
  </w:style>
  <w:style w:type="paragraph" w:customStyle="1" w:styleId="SubSubPar">
    <w:name w:val="SubSubPar"/>
    <w:basedOn w:val="subpar"/>
    <w:link w:val="SubSubParChar"/>
    <w:pPr>
      <w:numPr>
        <w:ilvl w:val="3"/>
      </w:numPr>
      <w:tabs>
        <w:tab w:val="left" w:pos="0"/>
      </w:tabs>
    </w:pPr>
  </w:style>
  <w:style w:type="paragraph" w:styleId="Title">
    <w:name w:val="Title"/>
    <w:basedOn w:val="Normal"/>
    <w:qFormat/>
    <w:pPr>
      <w:tabs>
        <w:tab w:val="left" w:pos="1440"/>
        <w:tab w:val="left" w:pos="3060"/>
      </w:tabs>
      <w:jc w:val="center"/>
      <w:outlineLvl w:val="0"/>
    </w:pPr>
  </w:style>
  <w:style w:type="paragraph" w:styleId="TOC1">
    <w:name w:val="toc 1"/>
    <w:basedOn w:val="Normal"/>
    <w:next w:val="Normal"/>
    <w:autoRedefine/>
    <w:uiPriority w:val="39"/>
    <w:qFormat/>
    <w:rsid w:val="00216691"/>
    <w:pPr>
      <w:tabs>
        <w:tab w:val="left" w:pos="547"/>
        <w:tab w:val="right" w:leader="dot" w:pos="9360"/>
      </w:tabs>
      <w:spacing w:before="240" w:after="240"/>
      <w:ind w:left="547" w:hanging="547"/>
    </w:pPr>
    <w:rPr>
      <w:smallCaps/>
      <w:noProof/>
    </w:rPr>
  </w:style>
  <w:style w:type="paragraph" w:styleId="TOC2">
    <w:name w:val="toc 2"/>
    <w:basedOn w:val="Normal"/>
    <w:next w:val="Normal"/>
    <w:autoRedefine/>
    <w:uiPriority w:val="39"/>
    <w:qFormat/>
    <w:rsid w:val="00812494"/>
    <w:pPr>
      <w:tabs>
        <w:tab w:val="left" w:pos="1152"/>
        <w:tab w:val="right" w:leader="dot" w:pos="9360"/>
      </w:tabs>
      <w:ind w:left="1167" w:hanging="605"/>
    </w:pPr>
    <w:rPr>
      <w:noProof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8A7DA4"/>
    <w:pPr>
      <w:tabs>
        <w:tab w:val="left" w:pos="1714"/>
        <w:tab w:val="right" w:leader="dot" w:pos="9360"/>
      </w:tabs>
      <w:ind w:left="1714" w:hanging="562"/>
    </w:pPr>
    <w:rPr>
      <w:noProof/>
      <w:szCs w:val="24"/>
    </w:rPr>
  </w:style>
  <w:style w:type="paragraph" w:styleId="TOC4">
    <w:name w:val="toc 4"/>
    <w:basedOn w:val="Normal"/>
    <w:next w:val="Normal"/>
    <w:autoRedefine/>
    <w:semiHidden/>
    <w:pPr>
      <w:ind w:left="400"/>
    </w:pPr>
  </w:style>
  <w:style w:type="paragraph" w:styleId="TOC5">
    <w:name w:val="toc 5"/>
    <w:basedOn w:val="Normal"/>
    <w:next w:val="Normal"/>
    <w:autoRedefine/>
    <w:semiHidden/>
    <w:pPr>
      <w:ind w:left="600"/>
    </w:pPr>
  </w:style>
  <w:style w:type="paragraph" w:styleId="TOC6">
    <w:name w:val="toc 6"/>
    <w:basedOn w:val="Normal"/>
    <w:next w:val="Normal"/>
    <w:autoRedefine/>
    <w:semiHidden/>
    <w:pPr>
      <w:ind w:left="800"/>
    </w:pPr>
  </w:style>
  <w:style w:type="paragraph" w:styleId="TOC7">
    <w:name w:val="toc 7"/>
    <w:basedOn w:val="Normal"/>
    <w:next w:val="Normal"/>
    <w:autoRedefine/>
    <w:semiHidden/>
    <w:pPr>
      <w:ind w:left="1000"/>
    </w:pPr>
  </w:style>
  <w:style w:type="paragraph" w:styleId="TOC8">
    <w:name w:val="toc 8"/>
    <w:basedOn w:val="Normal"/>
    <w:next w:val="Normal"/>
    <w:autoRedefine/>
    <w:semiHidden/>
    <w:pPr>
      <w:ind w:left="1200"/>
    </w:pPr>
  </w:style>
  <w:style w:type="paragraph" w:styleId="TOC9">
    <w:name w:val="toc 9"/>
    <w:basedOn w:val="Normal"/>
    <w:next w:val="Normal"/>
    <w:autoRedefine/>
    <w:semiHidden/>
    <w:pPr>
      <w:ind w:left="1400"/>
    </w:p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odyText3">
    <w:name w:val="Body Text 3"/>
    <w:basedOn w:val="Normal"/>
    <w:pPr>
      <w:jc w:val="both"/>
    </w:pPr>
    <w:rPr>
      <w:i/>
      <w:sz w:val="22"/>
    </w:rPr>
  </w:style>
  <w:style w:type="character" w:styleId="FootnoteReference">
    <w:name w:val="footnote reference"/>
    <w:basedOn w:val="DefaultParagraphFont"/>
    <w:rPr>
      <w:rFonts w:ascii="Times New Roman" w:hAnsi="Times New Roman"/>
      <w:sz w:val="24"/>
      <w:vertAlign w:val="superscript"/>
    </w:rPr>
  </w:style>
  <w:style w:type="paragraph" w:styleId="BodyText2">
    <w:name w:val="Body Text 2"/>
    <w:basedOn w:val="Normal"/>
    <w:pPr>
      <w:jc w:val="both"/>
    </w:pPr>
    <w:rPr>
      <w:sz w:val="15"/>
    </w:rPr>
  </w:style>
  <w:style w:type="paragraph" w:styleId="Caption">
    <w:name w:val="caption"/>
    <w:basedOn w:val="Normal"/>
    <w:next w:val="Normal"/>
    <w:uiPriority w:val="35"/>
    <w:qFormat/>
    <w:pPr>
      <w:spacing w:before="120" w:after="120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  <w:sz w:val="22"/>
    </w:rPr>
  </w:style>
  <w:style w:type="paragraph" w:customStyle="1" w:styleId="StudyHeading1">
    <w:name w:val="Study Heading 1"/>
    <w:basedOn w:val="Normal"/>
    <w:next w:val="Normal"/>
    <w:autoRedefine/>
    <w:pPr>
      <w:spacing w:after="240"/>
      <w:jc w:val="center"/>
      <w:outlineLvl w:val="0"/>
    </w:pPr>
    <w:rPr>
      <w:b/>
      <w:iCs/>
      <w:caps/>
    </w:rPr>
  </w:style>
  <w:style w:type="paragraph" w:customStyle="1" w:styleId="BankNormal">
    <w:name w:val="BankNormal"/>
    <w:basedOn w:val="Normal"/>
    <w:pPr>
      <w:spacing w:after="240"/>
    </w:pPr>
  </w:style>
  <w:style w:type="paragraph" w:customStyle="1" w:styleId="Bulletwospace">
    <w:name w:val="Bullet (w/o space)"/>
    <w:basedOn w:val="Normal"/>
    <w:pPr>
      <w:numPr>
        <w:numId w:val="2"/>
      </w:numPr>
      <w:tabs>
        <w:tab w:val="clear" w:pos="360"/>
      </w:tabs>
      <w:ind w:left="720"/>
    </w:pPr>
    <w:rPr>
      <w:szCs w:val="24"/>
    </w:rPr>
  </w:style>
  <w:style w:type="paragraph" w:customStyle="1" w:styleId="xl24">
    <w:name w:val="xl24"/>
    <w:basedOn w:val="Normal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25">
    <w:name w:val="xl25"/>
    <w:basedOn w:val="Normal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9">
    <w:name w:val="xl29"/>
    <w:basedOn w:val="Normal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0">
    <w:name w:val="xl30"/>
    <w:basedOn w:val="Normal"/>
    <w:pPr>
      <w:pBdr>
        <w:top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3">
    <w:name w:val="xl33"/>
    <w:basedOn w:val="Normal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Cs w:val="24"/>
    </w:rPr>
  </w:style>
  <w:style w:type="paragraph" w:customStyle="1" w:styleId="xl34">
    <w:name w:val="xl34"/>
    <w:basedOn w:val="Normal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xl35">
    <w:name w:val="xl35"/>
    <w:basedOn w:val="Normal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Cs w:val="24"/>
    </w:rPr>
  </w:style>
  <w:style w:type="paragraph" w:customStyle="1" w:styleId="xl36">
    <w:name w:val="xl36"/>
    <w:basedOn w:val="Normal"/>
    <w:pPr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xl37">
    <w:name w:val="xl37"/>
    <w:basedOn w:val="Normal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38">
    <w:name w:val="xl38"/>
    <w:basedOn w:val="Normal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Cs w:val="24"/>
    </w:rPr>
  </w:style>
  <w:style w:type="paragraph" w:customStyle="1" w:styleId="bull1">
    <w:name w:val="bull1"/>
    <w:basedOn w:val="Normal"/>
    <w:pPr>
      <w:tabs>
        <w:tab w:val="left" w:pos="720"/>
      </w:tabs>
      <w:overflowPunct w:val="0"/>
      <w:autoSpaceDE w:val="0"/>
      <w:autoSpaceDN w:val="0"/>
      <w:adjustRightInd w:val="0"/>
      <w:ind w:left="720" w:hanging="360"/>
      <w:textAlignment w:val="baseline"/>
    </w:pPr>
    <w:rPr>
      <w:lang w:val="es-CL"/>
    </w:rPr>
  </w:style>
  <w:style w:type="paragraph" w:customStyle="1" w:styleId="bull2">
    <w:name w:val="bull2"/>
    <w:basedOn w:val="bull1"/>
    <w:pPr>
      <w:tabs>
        <w:tab w:val="clear" w:pos="720"/>
        <w:tab w:val="left" w:pos="360"/>
      </w:tabs>
    </w:pPr>
    <w:rPr>
      <w:lang w:val="en-US"/>
    </w:rPr>
  </w:style>
  <w:style w:type="paragraph" w:styleId="BodyTextIndent2">
    <w:name w:val="Body Text Indent 2"/>
    <w:basedOn w:val="Normal"/>
    <w:pPr>
      <w:ind w:left="-36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small1">
    <w:name w:val="small1"/>
    <w:basedOn w:val="DefaultParagraphFont"/>
    <w:rPr>
      <w:rFonts w:ascii="Verdana" w:hAnsi="Verdana" w:hint="default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3F558A"/>
    <w:rPr>
      <w:sz w:val="24"/>
      <w:lang w:val="en-US" w:eastAsia="en-US" w:bidi="ar-SA"/>
    </w:rPr>
  </w:style>
  <w:style w:type="character" w:customStyle="1" w:styleId="FootnoteTextChar1">
    <w:name w:val="Footnote Text Char1"/>
    <w:aliases w:val="ADB Char,footnote Char,single space Char,fn Char,FOOTNOTES Char,Footnote Text Char Char Char,Footnote Text Char Char1,footnote text Char"/>
    <w:basedOn w:val="DefaultParagraphFont"/>
    <w:link w:val="FootnoteText"/>
    <w:semiHidden/>
    <w:rsid w:val="003F558A"/>
    <w:rPr>
      <w:sz w:val="18"/>
      <w:lang w:val="en-US" w:eastAsia="en-US" w:bidi="ar-SA"/>
    </w:rPr>
  </w:style>
  <w:style w:type="paragraph" w:customStyle="1" w:styleId="Julietita">
    <w:name w:val="Julietita"/>
    <w:basedOn w:val="Normal"/>
    <w:link w:val="JulietitaChar"/>
    <w:rsid w:val="003F558A"/>
    <w:pPr>
      <w:numPr>
        <w:numId w:val="5"/>
      </w:numPr>
      <w:spacing w:before="120" w:after="120" w:line="360" w:lineRule="auto"/>
    </w:pPr>
    <w:rPr>
      <w:rFonts w:ascii="Calibri" w:eastAsia="Calibri" w:hAnsi="Calibri" w:cs="Calibri"/>
      <w:b/>
      <w:bCs/>
      <w:szCs w:val="24"/>
    </w:rPr>
  </w:style>
  <w:style w:type="character" w:customStyle="1" w:styleId="JulietitaChar">
    <w:name w:val="Julietita Char"/>
    <w:basedOn w:val="DefaultParagraphFont"/>
    <w:link w:val="Julietita"/>
    <w:locked/>
    <w:rsid w:val="003F558A"/>
    <w:rPr>
      <w:rFonts w:ascii="Calibri" w:eastAsia="Calibri" w:hAnsi="Calibri" w:cs="Calibri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7D6634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C63104"/>
    <w:rPr>
      <w:sz w:val="24"/>
    </w:rPr>
  </w:style>
  <w:style w:type="character" w:styleId="CommentReference">
    <w:name w:val="annotation reference"/>
    <w:basedOn w:val="DefaultParagraphFont"/>
    <w:uiPriority w:val="99"/>
    <w:rsid w:val="00041E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41E8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1E82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041E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41E82"/>
    <w:rPr>
      <w:b/>
      <w:bCs/>
    </w:rPr>
  </w:style>
  <w:style w:type="table" w:styleId="TableGrid">
    <w:name w:val="Table Grid"/>
    <w:basedOn w:val="TableNormal"/>
    <w:uiPriority w:val="59"/>
    <w:rsid w:val="0048526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Astyletitles">
    <w:name w:val="MSA style titles"/>
    <w:basedOn w:val="Heading1"/>
    <w:link w:val="MSAstyletitlesChar"/>
    <w:qFormat/>
    <w:rsid w:val="000E44D3"/>
    <w:pPr>
      <w:keepLines/>
      <w:numPr>
        <w:numId w:val="19"/>
      </w:numPr>
      <w:spacing w:before="480" w:after="0" w:line="276" w:lineRule="auto"/>
    </w:pPr>
    <w:rPr>
      <w:rFonts w:asciiTheme="majorHAnsi" w:eastAsiaTheme="majorEastAsia" w:hAnsiTheme="majorHAnsi" w:cstheme="majorBidi"/>
      <w:bCs/>
      <w:color w:val="000000" w:themeColor="text1"/>
      <w:kern w:val="0"/>
      <w:szCs w:val="28"/>
      <w:lang w:val="es-ES"/>
    </w:rPr>
  </w:style>
  <w:style w:type="character" w:customStyle="1" w:styleId="MSAstyletitlesChar">
    <w:name w:val="MSA style titles Char"/>
    <w:basedOn w:val="DefaultParagraphFont"/>
    <w:link w:val="MSAstyletitles"/>
    <w:rsid w:val="00C075EA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s-ES"/>
    </w:rPr>
  </w:style>
  <w:style w:type="paragraph" w:styleId="NormalWeb">
    <w:name w:val="Normal (Web)"/>
    <w:basedOn w:val="Normal"/>
    <w:uiPriority w:val="99"/>
    <w:unhideWhenUsed/>
    <w:rsid w:val="00D05352"/>
    <w:pPr>
      <w:spacing w:before="100" w:beforeAutospacing="1" w:after="100" w:afterAutospacing="1"/>
    </w:pPr>
    <w:rPr>
      <w:szCs w:val="24"/>
    </w:rPr>
  </w:style>
  <w:style w:type="paragraph" w:styleId="Revision">
    <w:name w:val="Revision"/>
    <w:hidden/>
    <w:uiPriority w:val="99"/>
    <w:semiHidden/>
    <w:rsid w:val="003D1CD7"/>
    <w:rPr>
      <w:rFonts w:asciiTheme="minorHAnsi" w:eastAsiaTheme="minorHAnsi" w:hAnsiTheme="minorHAnsi" w:cstheme="minorBidi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CD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1CD7"/>
    <w:rPr>
      <w:rFonts w:ascii="Arial" w:hAnsi="Arial"/>
      <w:b/>
      <w:kern w:val="28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D1CD7"/>
    <w:rPr>
      <w:rFonts w:ascii="Arial" w:hAnsi="Arial"/>
      <w:b/>
      <w:i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3D1CD7"/>
    <w:rPr>
      <w:sz w:val="24"/>
    </w:rPr>
  </w:style>
  <w:style w:type="character" w:customStyle="1" w:styleId="ChapterChar">
    <w:name w:val="Chapter Char"/>
    <w:basedOn w:val="DefaultParagraphFont"/>
    <w:link w:val="Chapter"/>
    <w:rsid w:val="00973C09"/>
    <w:rPr>
      <w:b/>
      <w:smallCaps/>
      <w:noProof/>
      <w:sz w:val="24"/>
      <w:lang w:val="es-ES_tradnl"/>
    </w:rPr>
  </w:style>
  <w:style w:type="character" w:customStyle="1" w:styleId="FirstHeadingChar">
    <w:name w:val="FirstHeading Char"/>
    <w:basedOn w:val="DefaultParagraphFont"/>
    <w:link w:val="FirstHeading"/>
    <w:rsid w:val="003D1CD7"/>
    <w:rPr>
      <w:b/>
      <w:noProof/>
      <w:sz w:val="24"/>
    </w:rPr>
  </w:style>
  <w:style w:type="character" w:customStyle="1" w:styleId="SecHeadingChar">
    <w:name w:val="SecHeading Char"/>
    <w:basedOn w:val="DefaultParagraphFont"/>
    <w:link w:val="SecHeading"/>
    <w:rsid w:val="003D1CD7"/>
    <w:rPr>
      <w:b/>
      <w:sz w:val="24"/>
    </w:rPr>
  </w:style>
  <w:style w:type="character" w:customStyle="1" w:styleId="SubHeading1Char">
    <w:name w:val="SubHeading1 Char"/>
    <w:basedOn w:val="DefaultParagraphFont"/>
    <w:link w:val="SubHeading1"/>
    <w:rsid w:val="003D1CD7"/>
    <w:rPr>
      <w:b/>
      <w:sz w:val="24"/>
    </w:rPr>
  </w:style>
  <w:style w:type="character" w:customStyle="1" w:styleId="Subheading2Char">
    <w:name w:val="Subheading2 Char"/>
    <w:basedOn w:val="DefaultParagraphFont"/>
    <w:link w:val="Subheading2"/>
    <w:rsid w:val="003D1CD7"/>
    <w:rPr>
      <w:b/>
      <w:sz w:val="24"/>
    </w:rPr>
  </w:style>
  <w:style w:type="character" w:customStyle="1" w:styleId="ParagraphChar">
    <w:name w:val="Paragraph Char"/>
    <w:basedOn w:val="DefaultParagraphFont"/>
    <w:link w:val="Paragraph"/>
    <w:rsid w:val="003D1CD7"/>
    <w:rPr>
      <w:sz w:val="24"/>
    </w:rPr>
  </w:style>
  <w:style w:type="character" w:customStyle="1" w:styleId="subparChar">
    <w:name w:val="subpar Char"/>
    <w:basedOn w:val="DefaultParagraphFont"/>
    <w:link w:val="subpar"/>
    <w:rsid w:val="003D1CD7"/>
    <w:rPr>
      <w:sz w:val="24"/>
    </w:rPr>
  </w:style>
  <w:style w:type="character" w:customStyle="1" w:styleId="SubSubParChar">
    <w:name w:val="SubSubPar Char"/>
    <w:basedOn w:val="DefaultParagraphFont"/>
    <w:link w:val="SubSubPar"/>
    <w:rsid w:val="003D1CD7"/>
    <w:rPr>
      <w:sz w:val="24"/>
    </w:rPr>
  </w:style>
  <w:style w:type="paragraph" w:customStyle="1" w:styleId="Regtable">
    <w:name w:val="Regtable"/>
    <w:basedOn w:val="Normal"/>
    <w:link w:val="RegtableChar"/>
    <w:rsid w:val="003D1CD7"/>
    <w:pPr>
      <w:keepLines/>
      <w:framePr w:wrap="around" w:vAnchor="text" w:hAnchor="text" w:y="1"/>
      <w:spacing w:before="20" w:after="20"/>
    </w:pPr>
    <w:rPr>
      <w:rFonts w:eastAsiaTheme="minorHAnsi"/>
      <w:sz w:val="20"/>
      <w:szCs w:val="22"/>
      <w:lang w:val="es-ES"/>
    </w:rPr>
  </w:style>
  <w:style w:type="character" w:customStyle="1" w:styleId="RegtableChar">
    <w:name w:val="Regtable Char"/>
    <w:basedOn w:val="DefaultParagraphFont"/>
    <w:link w:val="Regtable"/>
    <w:rsid w:val="003D1CD7"/>
    <w:rPr>
      <w:rFonts w:eastAsiaTheme="minorHAnsi"/>
      <w:szCs w:val="22"/>
      <w:lang w:val="es-ES"/>
    </w:rPr>
  </w:style>
  <w:style w:type="paragraph" w:customStyle="1" w:styleId="TableTitle">
    <w:name w:val="TableTitle"/>
    <w:basedOn w:val="Normal"/>
    <w:link w:val="TableTitleChar"/>
    <w:rsid w:val="003D1CD7"/>
    <w:pPr>
      <w:keepNext/>
      <w:framePr w:wrap="around" w:vAnchor="text" w:hAnchor="text" w:y="1"/>
      <w:spacing w:before="20" w:after="20"/>
      <w:jc w:val="center"/>
    </w:pPr>
    <w:rPr>
      <w:rFonts w:ascii="Times New Roman Bold" w:eastAsiaTheme="minorHAnsi" w:hAnsi="Times New Roman Bold" w:cstheme="minorBidi"/>
      <w:b/>
      <w:spacing w:val="-3"/>
      <w:sz w:val="20"/>
      <w:szCs w:val="22"/>
      <w:lang w:val="es-ES"/>
    </w:rPr>
  </w:style>
  <w:style w:type="character" w:customStyle="1" w:styleId="TableTitleChar">
    <w:name w:val="TableTitle Char"/>
    <w:basedOn w:val="DefaultParagraphFont"/>
    <w:link w:val="TableTitle"/>
    <w:rsid w:val="003D1CD7"/>
    <w:rPr>
      <w:rFonts w:ascii="Times New Roman Bold" w:eastAsiaTheme="minorHAnsi" w:hAnsi="Times New Roman Bold" w:cstheme="minorBidi"/>
      <w:b/>
      <w:spacing w:val="-3"/>
      <w:szCs w:val="22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3D1CD7"/>
    <w:rPr>
      <w:rFonts w:ascii="Arial" w:hAnsi="Arial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D1CD7"/>
    <w:rPr>
      <w:rFonts w:ascii="Arial" w:hAnsi="Arial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D1CD7"/>
    <w:rPr>
      <w:sz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D1CD7"/>
    <w:rPr>
      <w:i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D1CD7"/>
    <w:rPr>
      <w:rFonts w:ascii="Arial" w:hAnsi="Arial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3D1CD7"/>
    <w:rPr>
      <w:rFonts w:ascii="Arial" w:hAnsi="Arial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"/>
    <w:rsid w:val="003D1CD7"/>
    <w:rPr>
      <w:rFonts w:ascii="Arial" w:hAnsi="Arial"/>
      <w:b/>
      <w:i/>
      <w:sz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D1CD7"/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D1CD7"/>
    <w:rPr>
      <w:sz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1CD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  <w:lang w:eastAsia="ja-JP"/>
    </w:rPr>
  </w:style>
  <w:style w:type="character" w:styleId="BookTitle">
    <w:name w:val="Book Title"/>
    <w:basedOn w:val="DefaultParagraphFont"/>
    <w:uiPriority w:val="33"/>
    <w:qFormat/>
    <w:rsid w:val="003D1CD7"/>
    <w:rPr>
      <w:b/>
      <w:bCs/>
      <w:smallCaps/>
      <w:spacing w:val="5"/>
    </w:rPr>
  </w:style>
  <w:style w:type="paragraph" w:customStyle="1" w:styleId="Default">
    <w:name w:val="Default"/>
    <w:rsid w:val="003D1CD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D1CD7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D1CD7"/>
    <w:rPr>
      <w:rFonts w:ascii="Consolas" w:eastAsiaTheme="minorHAnsi" w:hAnsi="Consolas" w:cstheme="minorBidi"/>
      <w:sz w:val="21"/>
      <w:szCs w:val="21"/>
    </w:rPr>
  </w:style>
  <w:style w:type="character" w:customStyle="1" w:styleId="ADBChar1">
    <w:name w:val="ADB Char1"/>
    <w:aliases w:val="footnote Char1,single space Char1,fn Char1,FOOTNOTES Char1,Footnote Text Char Char Char1,footnote text Char1"/>
    <w:basedOn w:val="DefaultParagraphFont"/>
    <w:rsid w:val="005D157F"/>
    <w:rPr>
      <w:rFonts w:ascii="Times New Roman" w:hAnsi="Times New Roman" w:cs="Times New Roman"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Loan%20Document\GENERAL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4BC53-BC3E-491A-AA54-25938969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GENERALeng.dot</Template>
  <TotalTime>665</TotalTime>
  <Pages>3</Pages>
  <Words>1025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OF THE INTERAMERICAN DEVELOPMENT BANK</vt:lpstr>
    </vt:vector>
  </TitlesOfParts>
  <Company>InterAmerican Development Bank</Company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OF THE INTERAMERICAN DEVELOPMENT BANK</dc:title>
  <dc:creator>IVANIAR</dc:creator>
  <cp:lastModifiedBy>Esteves, Yasmin</cp:lastModifiedBy>
  <cp:revision>83</cp:revision>
  <cp:lastPrinted>2014-06-23T14:32:00Z</cp:lastPrinted>
  <dcterms:created xsi:type="dcterms:W3CDTF">2017-06-13T19:56:00Z</dcterms:created>
  <dcterms:modified xsi:type="dcterms:W3CDTF">2017-10-24T23:10:00Z</dcterms:modified>
</cp:coreProperties>
</file>