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E3B" w:rsidRDefault="009D72A4" w:rsidP="0095711B">
      <w:pPr>
        <w:spacing w:after="0" w:line="240" w:lineRule="auto"/>
        <w:jc w:val="center"/>
        <w:rPr>
          <w:b/>
        </w:rPr>
      </w:pPr>
      <w:r>
        <w:rPr>
          <w:b/>
        </w:rPr>
        <w:t xml:space="preserve">Technical Cooperation </w:t>
      </w:r>
    </w:p>
    <w:p w:rsidR="0095711B" w:rsidRDefault="009D72A4" w:rsidP="0095711B">
      <w:pPr>
        <w:spacing w:after="0" w:line="240" w:lineRule="auto"/>
        <w:jc w:val="center"/>
      </w:pPr>
      <w:r w:rsidRPr="00342CC6">
        <w:t>Brazil Infrastructure Project Preparation Fund</w:t>
      </w:r>
      <w:r>
        <w:t xml:space="preserve"> </w:t>
      </w:r>
      <w:r w:rsidR="00A12E3B">
        <w:t>Second Contribution</w:t>
      </w:r>
    </w:p>
    <w:p w:rsidR="00582F56" w:rsidRDefault="00582F56" w:rsidP="0095711B">
      <w:pPr>
        <w:spacing w:after="0" w:line="240" w:lineRule="auto"/>
        <w:jc w:val="center"/>
      </w:pPr>
      <w:r>
        <w:t>(BR-1256)</w:t>
      </w:r>
    </w:p>
    <w:p w:rsidR="0095711B" w:rsidRPr="0095711B" w:rsidRDefault="0095711B" w:rsidP="0095711B">
      <w:pPr>
        <w:pStyle w:val="ListParagraph"/>
        <w:numPr>
          <w:ilvl w:val="0"/>
          <w:numId w:val="5"/>
        </w:numPr>
        <w:rPr>
          <w:b/>
        </w:rPr>
      </w:pPr>
      <w:r w:rsidRPr="0095711B">
        <w:rPr>
          <w:b/>
        </w:rPr>
        <w:t>Basic project data</w:t>
      </w:r>
    </w:p>
    <w:p w:rsidR="0095711B" w:rsidRDefault="0095711B" w:rsidP="0095711B">
      <w:pPr>
        <w:pStyle w:val="ListParagraph"/>
        <w:numPr>
          <w:ilvl w:val="0"/>
          <w:numId w:val="2"/>
        </w:numPr>
      </w:pPr>
      <w:r>
        <w:t>Country/Region</w:t>
      </w:r>
      <w:r w:rsidR="00520F58">
        <w:t>:</w:t>
      </w:r>
      <w:r w:rsidR="00342CC6">
        <w:t xml:space="preserve"> Brazil</w:t>
      </w:r>
    </w:p>
    <w:p w:rsidR="00ED70D1" w:rsidRPr="00342CC6" w:rsidRDefault="00531E51" w:rsidP="0095711B">
      <w:pPr>
        <w:pStyle w:val="ListParagraph"/>
        <w:numPr>
          <w:ilvl w:val="0"/>
          <w:numId w:val="2"/>
        </w:numPr>
      </w:pPr>
      <w:r w:rsidRPr="00342CC6">
        <w:t xml:space="preserve">TC </w:t>
      </w:r>
      <w:r w:rsidR="0095711B" w:rsidRPr="00342CC6">
        <w:t>Name</w:t>
      </w:r>
      <w:r w:rsidR="00CA272D" w:rsidRPr="00342CC6">
        <w:t>:</w:t>
      </w:r>
      <w:r w:rsidR="00342CC6" w:rsidRPr="00342CC6">
        <w:t xml:space="preserve"> Brazil Infrastructure Project Preparation Fund</w:t>
      </w:r>
      <w:r w:rsidR="00342CC6">
        <w:t xml:space="preserve"> </w:t>
      </w:r>
      <w:r w:rsidR="00A12E3B">
        <w:t xml:space="preserve">Second Contribution </w:t>
      </w:r>
    </w:p>
    <w:p w:rsidR="0095711B" w:rsidRDefault="00ED70D1" w:rsidP="0095711B">
      <w:pPr>
        <w:pStyle w:val="ListParagraph"/>
        <w:numPr>
          <w:ilvl w:val="0"/>
          <w:numId w:val="2"/>
        </w:numPr>
      </w:pPr>
      <w:r>
        <w:t xml:space="preserve">TC </w:t>
      </w:r>
      <w:r w:rsidR="0095711B">
        <w:t>Number:</w:t>
      </w:r>
      <w:r w:rsidR="00342CC6">
        <w:t xml:space="preserve"> </w:t>
      </w:r>
      <w:r w:rsidR="009D72A4">
        <w:t>BR-</w:t>
      </w:r>
      <w:r w:rsidR="007A541D">
        <w:t>T</w:t>
      </w:r>
      <w:r w:rsidR="00582F56">
        <w:t>1256</w:t>
      </w:r>
    </w:p>
    <w:p w:rsidR="0095711B" w:rsidRDefault="0095711B" w:rsidP="0095711B">
      <w:pPr>
        <w:pStyle w:val="ListParagraph"/>
        <w:numPr>
          <w:ilvl w:val="0"/>
          <w:numId w:val="2"/>
        </w:numPr>
      </w:pPr>
      <w:r>
        <w:t>Team Leader/Members:</w:t>
      </w:r>
      <w:r w:rsidR="007E620D">
        <w:t xml:space="preserve"> Gaston Astesiano (INE/INE)</w:t>
      </w:r>
    </w:p>
    <w:p w:rsidR="00933A84" w:rsidRPr="003622D9" w:rsidRDefault="00933A84" w:rsidP="0095711B">
      <w:pPr>
        <w:pStyle w:val="ListParagraph"/>
        <w:numPr>
          <w:ilvl w:val="0"/>
          <w:numId w:val="2"/>
        </w:numPr>
      </w:pPr>
      <w:r w:rsidRPr="003622D9">
        <w:t>Indicate if: client support</w:t>
      </w:r>
    </w:p>
    <w:p w:rsidR="00675E7A" w:rsidRDefault="00746260" w:rsidP="0095711B">
      <w:pPr>
        <w:pStyle w:val="ListParagraph"/>
        <w:numPr>
          <w:ilvl w:val="0"/>
          <w:numId w:val="2"/>
        </w:numPr>
      </w:pPr>
      <w:r>
        <w:t>If Operational Support</w:t>
      </w:r>
      <w:r w:rsidR="00124040">
        <w:t>,</w:t>
      </w:r>
      <w:r>
        <w:t xml:space="preserve"> TC give number and </w:t>
      </w:r>
      <w:r w:rsidR="00AF2F55">
        <w:t xml:space="preserve">name of </w:t>
      </w:r>
      <w:r w:rsidR="00675E7A">
        <w:t>Operation Supported by the TC:</w:t>
      </w:r>
    </w:p>
    <w:p w:rsidR="0095711B" w:rsidRDefault="00D95606" w:rsidP="0095711B">
      <w:pPr>
        <w:pStyle w:val="ListParagraph"/>
        <w:numPr>
          <w:ilvl w:val="0"/>
          <w:numId w:val="2"/>
        </w:numPr>
      </w:pPr>
      <w:r>
        <w:t xml:space="preserve">Reference to </w:t>
      </w:r>
      <w:r w:rsidR="0095711B">
        <w:t>Request</w:t>
      </w:r>
      <w:r w:rsidR="00C854FE">
        <w:rPr>
          <w:rStyle w:val="FootnoteReference"/>
        </w:rPr>
        <w:footnoteReference w:id="1"/>
      </w:r>
      <w:r w:rsidR="0095711B">
        <w:t>:</w:t>
      </w:r>
      <w:r w:rsidR="00C43E24">
        <w:t xml:space="preserve"> (IDB docs #)</w:t>
      </w:r>
    </w:p>
    <w:p w:rsidR="00520F58" w:rsidRDefault="00520F58" w:rsidP="0095711B">
      <w:pPr>
        <w:pStyle w:val="ListParagraph"/>
        <w:numPr>
          <w:ilvl w:val="0"/>
          <w:numId w:val="2"/>
        </w:numPr>
      </w:pPr>
      <w:r>
        <w:t xml:space="preserve">Date of TC </w:t>
      </w:r>
      <w:r w:rsidR="001316E2">
        <w:t>Abstract</w:t>
      </w:r>
      <w:r>
        <w:t>:</w:t>
      </w:r>
      <w:r w:rsidR="007E620D">
        <w:t xml:space="preserve"> 10/</w:t>
      </w:r>
      <w:r w:rsidR="00582F56">
        <w:t>2</w:t>
      </w:r>
      <w:r w:rsidR="009D72A4">
        <w:t>3</w:t>
      </w:r>
      <w:r w:rsidR="007E620D">
        <w:t>/2012</w:t>
      </w:r>
    </w:p>
    <w:p w:rsidR="0095711B" w:rsidRDefault="0095711B" w:rsidP="0095711B">
      <w:pPr>
        <w:pStyle w:val="ListParagraph"/>
        <w:numPr>
          <w:ilvl w:val="0"/>
          <w:numId w:val="2"/>
        </w:numPr>
      </w:pPr>
      <w:r>
        <w:t>Beneficiary:</w:t>
      </w:r>
      <w:r w:rsidR="007E620D">
        <w:t xml:space="preserve"> Ministry of Planning, Budget and Management of Brazil and Infrastructure State and Local Agencies.</w:t>
      </w:r>
    </w:p>
    <w:p w:rsidR="00CA3979" w:rsidRDefault="0095711B" w:rsidP="0095711B">
      <w:pPr>
        <w:pStyle w:val="ListParagraph"/>
        <w:numPr>
          <w:ilvl w:val="0"/>
          <w:numId w:val="2"/>
        </w:numPr>
      </w:pPr>
      <w:r>
        <w:t xml:space="preserve">Executing Agency </w:t>
      </w:r>
      <w:r w:rsidR="00340BC1">
        <w:t>and contact name</w:t>
      </w:r>
      <w:r w:rsidR="00CA3979">
        <w:t>: Brazil PSP Development Fund, Paulo de Meira Lins, Investment Officer.</w:t>
      </w:r>
      <w:r>
        <w:t xml:space="preserve"> </w:t>
      </w:r>
    </w:p>
    <w:p w:rsidR="0095711B" w:rsidRDefault="00AF2F55" w:rsidP="0095711B">
      <w:pPr>
        <w:pStyle w:val="ListParagraph"/>
        <w:numPr>
          <w:ilvl w:val="0"/>
          <w:numId w:val="2"/>
        </w:numPr>
      </w:pPr>
      <w:r>
        <w:t>IDB Funding Requested</w:t>
      </w:r>
      <w:r w:rsidR="0095711B">
        <w:t>:</w:t>
      </w:r>
      <w:r w:rsidR="007E620D">
        <w:t xml:space="preserve"> </w:t>
      </w:r>
      <w:proofErr w:type="spellStart"/>
      <w:r w:rsidR="007E620D">
        <w:t>InfraFund</w:t>
      </w:r>
      <w:proofErr w:type="spellEnd"/>
    </w:p>
    <w:p w:rsidR="00EF41CE" w:rsidRDefault="00EF41CE" w:rsidP="0095711B">
      <w:pPr>
        <w:pStyle w:val="ListParagraph"/>
        <w:numPr>
          <w:ilvl w:val="0"/>
          <w:numId w:val="2"/>
        </w:numPr>
      </w:pPr>
      <w:r>
        <w:t>Local counterpart</w:t>
      </w:r>
      <w:r w:rsidR="00AF2F55">
        <w:t xml:space="preserve"> funding</w:t>
      </w:r>
      <w:r w:rsidR="00D95606">
        <w:t>,</w:t>
      </w:r>
      <w:r>
        <w:t xml:space="preserve"> if any:</w:t>
      </w:r>
      <w:r w:rsidR="007E620D">
        <w:t xml:space="preserve"> </w:t>
      </w:r>
      <w:r w:rsidR="00CA3979">
        <w:t xml:space="preserve">US$1 Million from </w:t>
      </w:r>
      <w:r w:rsidR="007E620D">
        <w:t xml:space="preserve">BNDES </w:t>
      </w:r>
    </w:p>
    <w:p w:rsidR="00520F58" w:rsidRDefault="00520F58" w:rsidP="0095711B">
      <w:pPr>
        <w:pStyle w:val="ListParagraph"/>
        <w:numPr>
          <w:ilvl w:val="0"/>
          <w:numId w:val="2"/>
        </w:numPr>
      </w:pPr>
      <w:r>
        <w:t>Disbursement period</w:t>
      </w:r>
      <w:r w:rsidR="00746260">
        <w:t xml:space="preserve"> (which includes execution period)</w:t>
      </w:r>
      <w:r>
        <w:t>:</w:t>
      </w:r>
      <w:r w:rsidR="007E620D">
        <w:t xml:space="preserve"> 12 months</w:t>
      </w:r>
    </w:p>
    <w:p w:rsidR="00520F58" w:rsidRDefault="00520F58" w:rsidP="0095711B">
      <w:pPr>
        <w:pStyle w:val="ListParagraph"/>
        <w:numPr>
          <w:ilvl w:val="0"/>
          <w:numId w:val="2"/>
        </w:numPr>
      </w:pPr>
      <w:r>
        <w:t>Required start date:</w:t>
      </w:r>
      <w:r w:rsidR="007E620D">
        <w:t xml:space="preserve"> </w:t>
      </w:r>
      <w:r w:rsidR="00CF4DDD">
        <w:t>March 12, 2012</w:t>
      </w:r>
    </w:p>
    <w:p w:rsidR="00520F58" w:rsidRDefault="00520F58" w:rsidP="0095711B">
      <w:pPr>
        <w:pStyle w:val="ListParagraph"/>
        <w:numPr>
          <w:ilvl w:val="0"/>
          <w:numId w:val="2"/>
        </w:numPr>
      </w:pPr>
      <w:r>
        <w:t>Types of consultants (firm or individual consultants):</w:t>
      </w:r>
      <w:r w:rsidR="009D72A4">
        <w:t xml:space="preserve"> N/A</w:t>
      </w:r>
    </w:p>
    <w:p w:rsidR="0095711B" w:rsidRDefault="00340BC1" w:rsidP="0095711B">
      <w:pPr>
        <w:pStyle w:val="ListParagraph"/>
        <w:numPr>
          <w:ilvl w:val="0"/>
          <w:numId w:val="2"/>
        </w:numPr>
      </w:pPr>
      <w:r>
        <w:t>Prepared by Unit:</w:t>
      </w:r>
      <w:r w:rsidR="007E620D">
        <w:t xml:space="preserve"> INE/INE</w:t>
      </w:r>
    </w:p>
    <w:p w:rsidR="00340BC1" w:rsidRDefault="00340BC1" w:rsidP="00340BC1">
      <w:pPr>
        <w:pStyle w:val="ListParagraph"/>
        <w:numPr>
          <w:ilvl w:val="0"/>
          <w:numId w:val="2"/>
        </w:numPr>
      </w:pPr>
      <w:r>
        <w:t xml:space="preserve">Unit of Disbursement </w:t>
      </w:r>
      <w:r w:rsidR="0095711B">
        <w:t>Responsibility</w:t>
      </w:r>
      <w:r w:rsidR="00ED70D1">
        <w:t xml:space="preserve"> </w:t>
      </w:r>
      <w:r w:rsidR="00B13125">
        <w:t>:</w:t>
      </w:r>
      <w:r w:rsidR="007E620D">
        <w:t xml:space="preserve"> INE/INE</w:t>
      </w:r>
    </w:p>
    <w:p w:rsidR="00340BC1" w:rsidRDefault="00340BC1" w:rsidP="00340BC1">
      <w:pPr>
        <w:pStyle w:val="ListParagraph"/>
        <w:numPr>
          <w:ilvl w:val="0"/>
          <w:numId w:val="2"/>
        </w:numPr>
      </w:pPr>
      <w:r>
        <w:t>Included in Country Strategy</w:t>
      </w:r>
      <w:r w:rsidR="00746260">
        <w:t xml:space="preserve"> (y/n); </w:t>
      </w:r>
      <w:r w:rsidR="00746260" w:rsidRPr="00746260">
        <w:t xml:space="preserve"> </w:t>
      </w:r>
      <w:r w:rsidR="00746260">
        <w:t>TC included in CPD (y/n)</w:t>
      </w:r>
      <w:r>
        <w:t>:</w:t>
      </w:r>
    </w:p>
    <w:p w:rsidR="0095711B" w:rsidRDefault="00C43E24" w:rsidP="0095711B">
      <w:pPr>
        <w:pStyle w:val="ListParagraph"/>
        <w:numPr>
          <w:ilvl w:val="0"/>
          <w:numId w:val="2"/>
        </w:numPr>
      </w:pPr>
      <w:r>
        <w:t xml:space="preserve">GCI-9 </w:t>
      </w:r>
      <w:r w:rsidR="00340BC1">
        <w:t>Sector Priority:</w:t>
      </w:r>
      <w:r w:rsidR="007E620D">
        <w:t xml:space="preserve"> Infrastructure for competitiveness and </w:t>
      </w:r>
      <w:r w:rsidR="003115D7">
        <w:t xml:space="preserve">social </w:t>
      </w:r>
      <w:r w:rsidR="009D72A4">
        <w:t>welfare</w:t>
      </w:r>
    </w:p>
    <w:p w:rsidR="007A541D" w:rsidRDefault="007A541D" w:rsidP="007A541D">
      <w:pPr>
        <w:pStyle w:val="ListParagraph"/>
      </w:pPr>
    </w:p>
    <w:p w:rsidR="0095711B" w:rsidRPr="0095711B" w:rsidRDefault="00C43E24" w:rsidP="0095711B">
      <w:pPr>
        <w:pStyle w:val="ListParagraph"/>
        <w:numPr>
          <w:ilvl w:val="0"/>
          <w:numId w:val="5"/>
        </w:numPr>
        <w:spacing w:after="0"/>
        <w:rPr>
          <w:b/>
        </w:rPr>
      </w:pPr>
      <w:r>
        <w:rPr>
          <w:b/>
        </w:rPr>
        <w:t>Objective and Justification</w:t>
      </w:r>
    </w:p>
    <w:p w:rsidR="007E620D" w:rsidRDefault="007E620D" w:rsidP="00865A6F">
      <w:pPr>
        <w:jc w:val="both"/>
      </w:pPr>
      <w:r w:rsidRPr="007E620D">
        <w:t xml:space="preserve">The goal of this TC is to finance, jointly with the International Finance Corporation of the World Bank (IFC) and the </w:t>
      </w:r>
      <w:proofErr w:type="spellStart"/>
      <w:r w:rsidRPr="007E620D">
        <w:rPr>
          <w:i/>
        </w:rPr>
        <w:t>Banco</w:t>
      </w:r>
      <w:proofErr w:type="spellEnd"/>
      <w:r w:rsidRPr="007E620D">
        <w:rPr>
          <w:i/>
        </w:rPr>
        <w:t xml:space="preserve"> </w:t>
      </w:r>
      <w:proofErr w:type="spellStart"/>
      <w:r w:rsidRPr="007E620D">
        <w:rPr>
          <w:i/>
        </w:rPr>
        <w:t>Nacional</w:t>
      </w:r>
      <w:proofErr w:type="spellEnd"/>
      <w:r w:rsidRPr="007E620D">
        <w:rPr>
          <w:i/>
        </w:rPr>
        <w:t xml:space="preserve"> de </w:t>
      </w:r>
      <w:proofErr w:type="spellStart"/>
      <w:r w:rsidRPr="007E620D">
        <w:rPr>
          <w:i/>
        </w:rPr>
        <w:t>Desenvolvimento</w:t>
      </w:r>
      <w:proofErr w:type="spellEnd"/>
      <w:r w:rsidRPr="007E620D">
        <w:rPr>
          <w:i/>
        </w:rPr>
        <w:t xml:space="preserve"> </w:t>
      </w:r>
      <w:proofErr w:type="spellStart"/>
      <w:r w:rsidRPr="007E620D">
        <w:rPr>
          <w:i/>
        </w:rPr>
        <w:t>Econômico</w:t>
      </w:r>
      <w:proofErr w:type="spellEnd"/>
      <w:r w:rsidRPr="007E620D">
        <w:rPr>
          <w:i/>
        </w:rPr>
        <w:t xml:space="preserve"> y Social</w:t>
      </w:r>
      <w:r w:rsidRPr="007E620D">
        <w:t xml:space="preserve"> (BNDES) the Brazilian Infrastructure Development Fund (Fund).  The Fund </w:t>
      </w:r>
      <w:r>
        <w:t xml:space="preserve">has been created </w:t>
      </w:r>
      <w:r w:rsidRPr="007E620D">
        <w:t>by the IFC, BNDES and the Bank, with an initial contribution of US$ 1 million each by the IFC and the IADB and US$ 1.9 million by the BNDS.  IFC and IADB commit to contribute up to US$ 3 Million each, and the BNDES up to US$5.9 Million.</w:t>
      </w:r>
      <w:r>
        <w:t xml:space="preserve"> This operation is the second phase of fina</w:t>
      </w:r>
      <w:r w:rsidR="00CF4DDD">
        <w:t>n</w:t>
      </w:r>
      <w:r>
        <w:t>cing</w:t>
      </w:r>
      <w:r w:rsidR="00CF4DDD">
        <w:t xml:space="preserve"> of the Brazil PSP, BNDES and the IFC have already </w:t>
      </w:r>
      <w:r w:rsidR="00B70574">
        <w:t>completed their second financing by contributing US$ 1 Mill</w:t>
      </w:r>
      <w:r w:rsidR="00686820">
        <w:t>i</w:t>
      </w:r>
      <w:r w:rsidR="00B70574">
        <w:t>on BNDES totaling US$2.9 Million and US$0.912 Million totaling US$1.912 Million.</w:t>
      </w:r>
    </w:p>
    <w:p w:rsidR="00967F24" w:rsidRDefault="007E620D" w:rsidP="00865A6F">
      <w:pPr>
        <w:jc w:val="both"/>
      </w:pPr>
      <w:r>
        <w:t xml:space="preserve">The Brazil Infrastructure Development Fund has as main goal to finance preparatory activities and studies for infrastructure </w:t>
      </w:r>
      <w:proofErr w:type="gramStart"/>
      <w:r>
        <w:t>projects,</w:t>
      </w:r>
      <w:proofErr w:type="gramEnd"/>
      <w:r>
        <w:t xml:space="preserve"> therefore this operation is consistent with paragraph 1.4a.i. </w:t>
      </w:r>
      <w:proofErr w:type="gramStart"/>
      <w:r>
        <w:t>of</w:t>
      </w:r>
      <w:proofErr w:type="gramEnd"/>
      <w:r>
        <w:t xml:space="preserve"> the Infrastructure Project Preparation Fund, which set as eligible activities: “Preparatory activities for investment transactions in infrastructure, . . . and project identification activities not related to specific </w:t>
      </w:r>
      <w:r>
        <w:lastRenderedPageBreak/>
        <w:t>projects.”  One the most attractive features of a project such as the Fund steams from the large leverage effect that the Bank participation will generate. For each dollar of Bank’s funding, almost four additional dollars will be brought into the financing of preparation of new infrastructure projects.</w:t>
      </w:r>
    </w:p>
    <w:p w:rsidR="0095711B" w:rsidRPr="0095711B" w:rsidRDefault="00D95606" w:rsidP="0095711B">
      <w:pPr>
        <w:pStyle w:val="ListParagraph"/>
        <w:numPr>
          <w:ilvl w:val="0"/>
          <w:numId w:val="5"/>
        </w:numPr>
        <w:spacing w:after="0"/>
        <w:rPr>
          <w:b/>
        </w:rPr>
      </w:pPr>
      <w:r>
        <w:rPr>
          <w:b/>
        </w:rPr>
        <w:t>D</w:t>
      </w:r>
      <w:r w:rsidR="0095711B" w:rsidRPr="0095711B">
        <w:rPr>
          <w:b/>
        </w:rPr>
        <w:t xml:space="preserve">escription </w:t>
      </w:r>
      <w:r w:rsidR="00A12C27">
        <w:rPr>
          <w:b/>
        </w:rPr>
        <w:t>of activities</w:t>
      </w:r>
    </w:p>
    <w:p w:rsidR="00B70574" w:rsidRDefault="00B70574" w:rsidP="00B70574">
      <w:pPr>
        <w:pStyle w:val="Paragraph"/>
        <w:suppressAutoHyphens/>
        <w:autoSpaceDN w:val="0"/>
        <w:spacing w:before="120" w:line="240" w:lineRule="auto"/>
        <w:ind w:left="0"/>
        <w:jc w:val="both"/>
        <w:textAlignment w:val="baseline"/>
      </w:pPr>
      <w:r>
        <w:t>The Fund’s objective is to promote the development of concessions and public-private partnership projects (“PPPs”) in Brazil by financing project preparation. The Fund would: (</w:t>
      </w:r>
      <w:proofErr w:type="spellStart"/>
      <w:r>
        <w:t>i</w:t>
      </w:r>
      <w:proofErr w:type="spellEnd"/>
      <w:r>
        <w:t>) select eligible projects, following a methodology to be agreed upon with Brazilian authorities, (ii) identify the studies and technical work required to structure the projects so that they could be offered to the private sector for investment; (iii) select and hire consultants to provide the required services; (iv) manage the delivery of consulting services; and (v) pay for the cost of such services.</w:t>
      </w:r>
    </w:p>
    <w:tbl>
      <w:tblPr>
        <w:tblW w:w="11094" w:type="dxa"/>
        <w:tblInd w:w="-866" w:type="dxa"/>
        <w:tblCellMar>
          <w:left w:w="0" w:type="dxa"/>
          <w:right w:w="0" w:type="dxa"/>
        </w:tblCellMar>
        <w:tblLook w:val="04A0"/>
      </w:tblPr>
      <w:tblGrid>
        <w:gridCol w:w="1276"/>
        <w:gridCol w:w="1157"/>
        <w:gridCol w:w="2193"/>
        <w:gridCol w:w="1445"/>
        <w:gridCol w:w="1615"/>
        <w:gridCol w:w="3408"/>
      </w:tblGrid>
      <w:tr w:rsidR="00554CF6" w:rsidRPr="00945D9B" w:rsidTr="00554CF6">
        <w:trPr>
          <w:trHeight w:val="584"/>
        </w:trPr>
        <w:tc>
          <w:tcPr>
            <w:tcW w:w="1278" w:type="dxa"/>
            <w:tcBorders>
              <w:top w:val="single" w:sz="8" w:space="0" w:color="FFFFFF"/>
              <w:left w:val="single" w:sz="8" w:space="0" w:color="FFFFFF"/>
              <w:bottom w:val="single" w:sz="24" w:space="0" w:color="FFFFFF"/>
              <w:right w:val="single" w:sz="8" w:space="0" w:color="FFFFFF"/>
            </w:tcBorders>
            <w:shd w:val="clear" w:color="auto" w:fill="4F81BD"/>
            <w:tcMar>
              <w:top w:w="14" w:type="dxa"/>
              <w:left w:w="108" w:type="dxa"/>
              <w:bottom w:w="0" w:type="dxa"/>
              <w:right w:w="108"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Calibri" w:cs="Times New Roman"/>
                <w:b/>
                <w:bCs/>
                <w:color w:val="FFFFFF"/>
                <w:kern w:val="24"/>
                <w:sz w:val="20"/>
                <w:szCs w:val="20"/>
              </w:rPr>
              <w:t xml:space="preserve">Project </w:t>
            </w:r>
          </w:p>
        </w:tc>
        <w:tc>
          <w:tcPr>
            <w:tcW w:w="1122" w:type="dxa"/>
            <w:tcBorders>
              <w:top w:val="single" w:sz="8" w:space="0" w:color="FFFFFF"/>
              <w:left w:val="single" w:sz="8" w:space="0" w:color="FFFFFF"/>
              <w:bottom w:val="single" w:sz="24" w:space="0" w:color="FFFFFF"/>
              <w:right w:val="single" w:sz="8" w:space="0" w:color="FFFFFF"/>
            </w:tcBorders>
            <w:shd w:val="clear" w:color="auto" w:fill="4F81BD"/>
            <w:tcMar>
              <w:top w:w="14" w:type="dxa"/>
              <w:left w:w="108" w:type="dxa"/>
              <w:bottom w:w="0" w:type="dxa"/>
              <w:right w:w="108" w:type="dxa"/>
            </w:tcMar>
            <w:vAlign w:val="center"/>
            <w:hideMark/>
          </w:tcPr>
          <w:p w:rsidR="003F4208" w:rsidRPr="00945D9B" w:rsidRDefault="00554CF6" w:rsidP="003F4208">
            <w:pPr>
              <w:spacing w:after="0" w:line="240" w:lineRule="auto"/>
              <w:jc w:val="center"/>
              <w:rPr>
                <w:rFonts w:eastAsia="Times New Roman" w:cs="Arial"/>
                <w:sz w:val="20"/>
                <w:szCs w:val="20"/>
              </w:rPr>
            </w:pPr>
            <w:proofErr w:type="spellStart"/>
            <w:r w:rsidRPr="00945D9B">
              <w:rPr>
                <w:rFonts w:eastAsia="Times New Roman" w:cs="Arial"/>
                <w:b/>
                <w:bCs/>
                <w:color w:val="FFFFFF"/>
                <w:kern w:val="24"/>
                <w:sz w:val="20"/>
                <w:szCs w:val="20"/>
                <w:lang w:val="pt-BR"/>
              </w:rPr>
              <w:t>Year</w:t>
            </w:r>
            <w:proofErr w:type="spellEnd"/>
            <w:r w:rsidRPr="00945D9B">
              <w:rPr>
                <w:rFonts w:eastAsia="Times New Roman" w:cs="Arial"/>
                <w:b/>
                <w:bCs/>
                <w:color w:val="FFFFFF"/>
                <w:kern w:val="24"/>
                <w:sz w:val="20"/>
                <w:szCs w:val="20"/>
                <w:lang w:val="pt-BR"/>
              </w:rPr>
              <w:t xml:space="preserve"> of Fin. </w:t>
            </w:r>
            <w:proofErr w:type="spellStart"/>
            <w:r w:rsidRPr="00945D9B">
              <w:rPr>
                <w:rFonts w:eastAsia="Times New Roman" w:cs="Arial"/>
                <w:b/>
                <w:bCs/>
                <w:color w:val="FFFFFF"/>
                <w:kern w:val="24"/>
                <w:sz w:val="20"/>
                <w:szCs w:val="20"/>
                <w:lang w:val="pt-BR"/>
              </w:rPr>
              <w:t>Closure</w:t>
            </w:r>
            <w:proofErr w:type="spellEnd"/>
            <w:r w:rsidRPr="00945D9B">
              <w:rPr>
                <w:rFonts w:eastAsia="Times New Roman" w:cs="Arial"/>
                <w:b/>
                <w:bCs/>
                <w:color w:val="FFFFFF"/>
                <w:kern w:val="24"/>
                <w:sz w:val="20"/>
                <w:szCs w:val="20"/>
              </w:rPr>
              <w:t xml:space="preserve"> </w:t>
            </w:r>
          </w:p>
        </w:tc>
        <w:tc>
          <w:tcPr>
            <w:tcW w:w="2200" w:type="dxa"/>
            <w:tcBorders>
              <w:top w:val="single" w:sz="8" w:space="0" w:color="FFFFFF"/>
              <w:left w:val="single" w:sz="8" w:space="0" w:color="FFFFFF"/>
              <w:bottom w:val="single" w:sz="24" w:space="0" w:color="FFFFFF"/>
              <w:right w:val="single" w:sz="8" w:space="0" w:color="FFFFFF"/>
            </w:tcBorders>
            <w:shd w:val="clear" w:color="auto" w:fill="4F81BD"/>
            <w:tcMar>
              <w:top w:w="14" w:type="dxa"/>
              <w:left w:w="108" w:type="dxa"/>
              <w:bottom w:w="0" w:type="dxa"/>
              <w:right w:w="108" w:type="dxa"/>
            </w:tcMar>
            <w:vAlign w:val="center"/>
            <w:hideMark/>
          </w:tcPr>
          <w:p w:rsidR="003F4208" w:rsidRPr="00945D9B" w:rsidRDefault="00554CF6" w:rsidP="003F4208">
            <w:pPr>
              <w:spacing w:after="0" w:line="240" w:lineRule="auto"/>
              <w:jc w:val="center"/>
              <w:rPr>
                <w:rFonts w:eastAsia="Times New Roman" w:cs="Arial"/>
                <w:sz w:val="20"/>
                <w:szCs w:val="20"/>
              </w:rPr>
            </w:pPr>
            <w:proofErr w:type="spellStart"/>
            <w:r w:rsidRPr="00945D9B">
              <w:rPr>
                <w:rFonts w:eastAsia="Times New Roman" w:cs="Arial"/>
                <w:b/>
                <w:bCs/>
                <w:color w:val="FFFFFF"/>
                <w:kern w:val="24"/>
                <w:sz w:val="20"/>
                <w:szCs w:val="20"/>
                <w:lang w:val="pt-BR"/>
              </w:rPr>
              <w:t>Brief</w:t>
            </w:r>
            <w:proofErr w:type="spellEnd"/>
            <w:r w:rsidRPr="00945D9B">
              <w:rPr>
                <w:rFonts w:eastAsia="Times New Roman" w:cs="Arial"/>
                <w:b/>
                <w:bCs/>
                <w:color w:val="FFFFFF"/>
                <w:kern w:val="24"/>
                <w:sz w:val="20"/>
                <w:szCs w:val="20"/>
                <w:lang w:val="pt-BR"/>
              </w:rPr>
              <w:t xml:space="preserve"> </w:t>
            </w:r>
            <w:proofErr w:type="spellStart"/>
            <w:r w:rsidRPr="00945D9B">
              <w:rPr>
                <w:rFonts w:eastAsia="Times New Roman" w:cs="Arial"/>
                <w:b/>
                <w:bCs/>
                <w:color w:val="FFFFFF"/>
                <w:kern w:val="24"/>
                <w:sz w:val="20"/>
                <w:szCs w:val="20"/>
                <w:lang w:val="pt-BR"/>
              </w:rPr>
              <w:t>Description</w:t>
            </w:r>
            <w:proofErr w:type="spellEnd"/>
            <w:r w:rsidRPr="00945D9B">
              <w:rPr>
                <w:rFonts w:eastAsia="Times New Roman" w:cs="Arial"/>
                <w:b/>
                <w:bCs/>
                <w:color w:val="FFFFFF"/>
                <w:kern w:val="24"/>
                <w:sz w:val="20"/>
                <w:szCs w:val="20"/>
              </w:rPr>
              <w:t xml:space="preserve"> </w:t>
            </w:r>
          </w:p>
        </w:tc>
        <w:tc>
          <w:tcPr>
            <w:tcW w:w="1448" w:type="dxa"/>
            <w:tcBorders>
              <w:top w:val="single" w:sz="8" w:space="0" w:color="FFFFFF"/>
              <w:left w:val="single" w:sz="8" w:space="0" w:color="FFFFFF"/>
              <w:bottom w:val="single" w:sz="24" w:space="0" w:color="FFFFFF"/>
              <w:right w:val="single" w:sz="8" w:space="0" w:color="FFFFFF"/>
            </w:tcBorders>
            <w:shd w:val="clear" w:color="auto" w:fill="4F81BD"/>
            <w:tcMar>
              <w:top w:w="14" w:type="dxa"/>
              <w:left w:w="108" w:type="dxa"/>
              <w:bottom w:w="0" w:type="dxa"/>
              <w:right w:w="108"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Calibri" w:cs="Times New Roman"/>
                <w:b/>
                <w:bCs/>
                <w:color w:val="FFFFFF"/>
                <w:kern w:val="24"/>
                <w:sz w:val="20"/>
                <w:szCs w:val="20"/>
              </w:rPr>
              <w:t xml:space="preserve">Private Sector Investment Mobilized </w:t>
            </w:r>
          </w:p>
        </w:tc>
        <w:tc>
          <w:tcPr>
            <w:tcW w:w="1620" w:type="dxa"/>
            <w:tcBorders>
              <w:top w:val="single" w:sz="8" w:space="0" w:color="FFFFFF"/>
              <w:left w:val="single" w:sz="8" w:space="0" w:color="FFFFFF"/>
              <w:bottom w:val="single" w:sz="24" w:space="0" w:color="FFFFFF"/>
              <w:right w:val="single" w:sz="8" w:space="0" w:color="FFFFFF"/>
            </w:tcBorders>
            <w:shd w:val="clear" w:color="auto" w:fill="4F81BD"/>
            <w:tcMar>
              <w:top w:w="14" w:type="dxa"/>
              <w:left w:w="108" w:type="dxa"/>
              <w:bottom w:w="0" w:type="dxa"/>
              <w:right w:w="108" w:type="dxa"/>
            </w:tcMar>
            <w:vAlign w:val="center"/>
            <w:hideMark/>
          </w:tcPr>
          <w:p w:rsidR="00554CF6" w:rsidRPr="00945D9B" w:rsidRDefault="00554CF6" w:rsidP="003F4208">
            <w:pPr>
              <w:spacing w:after="0" w:line="240" w:lineRule="auto"/>
              <w:jc w:val="center"/>
              <w:rPr>
                <w:rFonts w:eastAsia="Times New Roman" w:cs="Arial"/>
                <w:sz w:val="20"/>
                <w:szCs w:val="20"/>
              </w:rPr>
            </w:pPr>
            <w:r w:rsidRPr="00945D9B">
              <w:rPr>
                <w:rFonts w:eastAsia="Calibri" w:cs="Times New Roman"/>
                <w:b/>
                <w:bCs/>
                <w:color w:val="FFFFFF"/>
                <w:kern w:val="24"/>
                <w:sz w:val="20"/>
                <w:szCs w:val="20"/>
              </w:rPr>
              <w:t>Benefited Population</w:t>
            </w:r>
          </w:p>
          <w:p w:rsidR="003F4208" w:rsidRPr="00945D9B" w:rsidRDefault="00554CF6" w:rsidP="003F4208">
            <w:pPr>
              <w:spacing w:after="0" w:line="240" w:lineRule="auto"/>
              <w:jc w:val="center"/>
              <w:rPr>
                <w:rFonts w:eastAsia="Times New Roman" w:cs="Arial"/>
                <w:sz w:val="20"/>
                <w:szCs w:val="20"/>
              </w:rPr>
            </w:pPr>
            <w:r w:rsidRPr="00945D9B">
              <w:rPr>
                <w:rFonts w:eastAsia="Calibri" w:cs="Times New Roman"/>
                <w:b/>
                <w:bCs/>
                <w:color w:val="FFFFFF"/>
                <w:kern w:val="24"/>
                <w:sz w:val="20"/>
                <w:szCs w:val="20"/>
              </w:rPr>
              <w:t xml:space="preserve">People Per Year </w:t>
            </w:r>
          </w:p>
        </w:tc>
        <w:tc>
          <w:tcPr>
            <w:tcW w:w="3426" w:type="dxa"/>
            <w:tcBorders>
              <w:top w:val="single" w:sz="8" w:space="0" w:color="FFFFFF"/>
              <w:left w:val="single" w:sz="8" w:space="0" w:color="FFFFFF"/>
              <w:bottom w:val="single" w:sz="24" w:space="0" w:color="FFFFFF"/>
              <w:right w:val="single" w:sz="8" w:space="0" w:color="FFFFFF"/>
            </w:tcBorders>
            <w:shd w:val="clear" w:color="auto" w:fill="4F81BD"/>
            <w:tcMar>
              <w:top w:w="14" w:type="dxa"/>
              <w:left w:w="108" w:type="dxa"/>
              <w:bottom w:w="0" w:type="dxa"/>
              <w:right w:w="108"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Calibri" w:cs="Times New Roman"/>
                <w:b/>
                <w:bCs/>
                <w:color w:val="FFFFFF"/>
                <w:kern w:val="24"/>
                <w:sz w:val="20"/>
                <w:szCs w:val="20"/>
              </w:rPr>
              <w:t xml:space="preserve"> Main Features </w:t>
            </w:r>
          </w:p>
        </w:tc>
      </w:tr>
      <w:tr w:rsidR="00554CF6" w:rsidRPr="00945D9B" w:rsidTr="00554CF6">
        <w:trPr>
          <w:trHeight w:val="584"/>
        </w:trPr>
        <w:tc>
          <w:tcPr>
            <w:tcW w:w="127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lang w:val="pt-BR"/>
              </w:rPr>
              <w:t>BR 116/324</w:t>
            </w:r>
            <w:r w:rsidRPr="00945D9B">
              <w:rPr>
                <w:rFonts w:eastAsia="Times New Roman" w:cs="Arial"/>
                <w:color w:val="000000"/>
                <w:kern w:val="24"/>
                <w:sz w:val="20"/>
                <w:szCs w:val="20"/>
              </w:rPr>
              <w:t xml:space="preserve"> </w:t>
            </w:r>
          </w:p>
        </w:tc>
        <w:tc>
          <w:tcPr>
            <w:tcW w:w="112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Times New Roman" w:cs="Arial"/>
                <w:color w:val="000000"/>
                <w:kern w:val="24"/>
                <w:sz w:val="20"/>
                <w:szCs w:val="20"/>
                <w:lang w:val="pt-BR"/>
              </w:rPr>
              <w:t>2009</w:t>
            </w:r>
            <w:r w:rsidRPr="00945D9B">
              <w:rPr>
                <w:rFonts w:eastAsia="Times New Roman" w:cs="Arial"/>
                <w:color w:val="000000"/>
                <w:kern w:val="24"/>
                <w:sz w:val="20"/>
                <w:szCs w:val="20"/>
              </w:rPr>
              <w:t xml:space="preserve"> </w:t>
            </w:r>
          </w:p>
        </w:tc>
        <w:tc>
          <w:tcPr>
            <w:tcW w:w="22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jc w:val="both"/>
              <w:rPr>
                <w:rFonts w:eastAsia="Times New Roman" w:cs="Arial"/>
                <w:sz w:val="20"/>
                <w:szCs w:val="20"/>
              </w:rPr>
            </w:pPr>
            <w:r w:rsidRPr="00945D9B">
              <w:rPr>
                <w:rFonts w:eastAsia="Times New Roman" w:cs="Arial"/>
                <w:i/>
                <w:iCs/>
                <w:color w:val="000000"/>
                <w:kern w:val="24"/>
                <w:sz w:val="20"/>
                <w:szCs w:val="20"/>
              </w:rPr>
              <w:t>Transportation</w:t>
            </w:r>
            <w:r w:rsidRPr="00945D9B">
              <w:rPr>
                <w:rFonts w:eastAsia="Times New Roman" w:cs="Arial"/>
                <w:color w:val="000000"/>
                <w:kern w:val="24"/>
                <w:sz w:val="20"/>
                <w:szCs w:val="20"/>
              </w:rPr>
              <w:t xml:space="preserve">: ROT of 680 km of roads linking the NE and SE of Brazil </w:t>
            </w:r>
          </w:p>
        </w:tc>
        <w:tc>
          <w:tcPr>
            <w:tcW w:w="144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rPr>
              <w:t xml:space="preserve">US$ 615 million </w:t>
            </w:r>
          </w:p>
        </w:tc>
        <w:tc>
          <w:tcPr>
            <w:tcW w:w="16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Times New Roman" w:cs="Arial"/>
                <w:color w:val="000000"/>
                <w:kern w:val="24"/>
                <w:sz w:val="20"/>
                <w:szCs w:val="20"/>
              </w:rPr>
              <w:t xml:space="preserve">912,500 </w:t>
            </w:r>
          </w:p>
        </w:tc>
        <w:tc>
          <w:tcPr>
            <w:tcW w:w="3426"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7A541D" w:rsidP="003F4208">
            <w:pPr>
              <w:spacing w:after="0" w:line="240" w:lineRule="auto"/>
              <w:rPr>
                <w:rFonts w:eastAsia="Times New Roman" w:cs="Arial"/>
                <w:sz w:val="20"/>
                <w:szCs w:val="20"/>
              </w:rPr>
            </w:pPr>
            <w:r>
              <w:rPr>
                <w:rFonts w:eastAsia="Times New Roman" w:cs="Arial"/>
                <w:color w:val="000000"/>
                <w:kern w:val="24"/>
                <w:sz w:val="20"/>
                <w:szCs w:val="20"/>
              </w:rPr>
              <w:t xml:space="preserve"> The </w:t>
            </w:r>
            <w:r w:rsidR="00554CF6" w:rsidRPr="00945D9B">
              <w:rPr>
                <w:rFonts w:eastAsia="Times New Roman" w:cs="Arial"/>
                <w:color w:val="000000"/>
                <w:kern w:val="24"/>
                <w:sz w:val="20"/>
                <w:szCs w:val="20"/>
              </w:rPr>
              <w:t xml:space="preserve">project’s contractual structure based on performance influenced the model used for seven road concessions in Brazil (totaling over 2,600 km). </w:t>
            </w:r>
          </w:p>
        </w:tc>
      </w:tr>
      <w:tr w:rsidR="00554CF6" w:rsidRPr="00945D9B" w:rsidTr="00554CF6">
        <w:trPr>
          <w:trHeight w:val="584"/>
        </w:trPr>
        <w:tc>
          <w:tcPr>
            <w:tcW w:w="127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lang w:val="pt-BR"/>
              </w:rPr>
              <w:t>BA 093</w:t>
            </w:r>
            <w:r w:rsidRPr="00945D9B">
              <w:rPr>
                <w:rFonts w:eastAsia="Times New Roman" w:cs="Arial"/>
                <w:color w:val="000000"/>
                <w:kern w:val="24"/>
                <w:sz w:val="20"/>
                <w:szCs w:val="20"/>
              </w:rPr>
              <w:t xml:space="preserve"> </w:t>
            </w:r>
          </w:p>
        </w:tc>
        <w:tc>
          <w:tcPr>
            <w:tcW w:w="112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Times New Roman" w:cs="Arial"/>
                <w:color w:val="000000"/>
                <w:kern w:val="24"/>
                <w:sz w:val="20"/>
                <w:szCs w:val="20"/>
                <w:lang w:val="pt-BR"/>
              </w:rPr>
              <w:t>2010</w:t>
            </w:r>
            <w:r w:rsidRPr="00945D9B">
              <w:rPr>
                <w:rFonts w:eastAsia="Times New Roman" w:cs="Arial"/>
                <w:color w:val="000000"/>
                <w:kern w:val="24"/>
                <w:sz w:val="20"/>
                <w:szCs w:val="20"/>
              </w:rPr>
              <w:t xml:space="preserve"> </w:t>
            </w:r>
          </w:p>
        </w:tc>
        <w:tc>
          <w:tcPr>
            <w:tcW w:w="2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jc w:val="both"/>
              <w:rPr>
                <w:rFonts w:eastAsia="Times New Roman" w:cs="Arial"/>
                <w:sz w:val="20"/>
                <w:szCs w:val="20"/>
              </w:rPr>
            </w:pPr>
            <w:r w:rsidRPr="00945D9B">
              <w:rPr>
                <w:rFonts w:eastAsia="Times New Roman" w:cs="Arial"/>
                <w:color w:val="000000"/>
                <w:kern w:val="24"/>
                <w:sz w:val="20"/>
                <w:szCs w:val="20"/>
              </w:rPr>
              <w:t>Transportation: ROT of 126 km of roads</w:t>
            </w:r>
          </w:p>
        </w:tc>
        <w:tc>
          <w:tcPr>
            <w:tcW w:w="144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rPr>
              <w:t xml:space="preserve">US$ 95 million </w:t>
            </w:r>
          </w:p>
        </w:tc>
        <w:tc>
          <w:tcPr>
            <w:tcW w:w="16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Times New Roman" w:cs="Arial"/>
                <w:color w:val="000000"/>
                <w:kern w:val="24"/>
                <w:sz w:val="20"/>
                <w:szCs w:val="20"/>
              </w:rPr>
              <w:t xml:space="preserve">2,500,000 </w:t>
            </w:r>
          </w:p>
        </w:tc>
        <w:tc>
          <w:tcPr>
            <w:tcW w:w="342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3F4208" w:rsidP="00554CF6">
            <w:pPr>
              <w:numPr>
                <w:ilvl w:val="0"/>
                <w:numId w:val="11"/>
              </w:numPr>
              <w:spacing w:after="0" w:line="240" w:lineRule="auto"/>
              <w:contextualSpacing/>
              <w:rPr>
                <w:rFonts w:eastAsia="Times New Roman" w:cs="Arial"/>
                <w:sz w:val="20"/>
                <w:szCs w:val="20"/>
              </w:rPr>
            </w:pPr>
            <w:r w:rsidRPr="00945D9B">
              <w:rPr>
                <w:rFonts w:eastAsia="Times New Roman" w:cs="Arial"/>
                <w:color w:val="000000"/>
                <w:kern w:val="24"/>
                <w:sz w:val="20"/>
                <w:szCs w:val="20"/>
              </w:rPr>
              <w:t xml:space="preserve"> 1st concession structured for a network of roads surrounding the metropolitan area of a city;</w:t>
            </w:r>
          </w:p>
          <w:p w:rsidR="003F4208" w:rsidRPr="00945D9B" w:rsidRDefault="003F4208" w:rsidP="00554CF6">
            <w:pPr>
              <w:numPr>
                <w:ilvl w:val="0"/>
                <w:numId w:val="11"/>
              </w:numPr>
              <w:spacing w:after="0" w:line="240" w:lineRule="auto"/>
              <w:contextualSpacing/>
              <w:rPr>
                <w:rFonts w:eastAsia="Times New Roman" w:cs="Arial"/>
                <w:sz w:val="20"/>
                <w:szCs w:val="20"/>
              </w:rPr>
            </w:pPr>
            <w:r w:rsidRPr="00945D9B">
              <w:rPr>
                <w:rFonts w:eastAsia="Times New Roman" w:cs="Arial"/>
                <w:color w:val="000000"/>
                <w:kern w:val="24"/>
                <w:sz w:val="20"/>
                <w:szCs w:val="20"/>
              </w:rPr>
              <w:t xml:space="preserve"> 1st road concession in Brazil in which the contract requires the compliance of Equator Principles. </w:t>
            </w:r>
          </w:p>
        </w:tc>
      </w:tr>
      <w:tr w:rsidR="00554CF6" w:rsidRPr="00945D9B" w:rsidTr="00554CF6">
        <w:trPr>
          <w:trHeight w:val="584"/>
        </w:trPr>
        <w:tc>
          <w:tcPr>
            <w:tcW w:w="127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lang w:val="pt-BR"/>
              </w:rPr>
              <w:t>Hospital do Subúrbio</w:t>
            </w:r>
            <w:r w:rsidRPr="00945D9B">
              <w:rPr>
                <w:rFonts w:eastAsia="Times New Roman" w:cs="Arial"/>
                <w:color w:val="000000"/>
                <w:kern w:val="24"/>
                <w:sz w:val="20"/>
                <w:szCs w:val="20"/>
              </w:rPr>
              <w:t xml:space="preserve"> </w:t>
            </w:r>
          </w:p>
        </w:tc>
        <w:tc>
          <w:tcPr>
            <w:tcW w:w="112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Times New Roman" w:cs="Arial"/>
                <w:color w:val="000000"/>
                <w:kern w:val="24"/>
                <w:sz w:val="20"/>
                <w:szCs w:val="20"/>
                <w:lang w:val="pt-BR"/>
              </w:rPr>
              <w:t>2010</w:t>
            </w:r>
            <w:r w:rsidRPr="00945D9B">
              <w:rPr>
                <w:rFonts w:eastAsia="Times New Roman" w:cs="Arial"/>
                <w:color w:val="000000"/>
                <w:kern w:val="24"/>
                <w:sz w:val="20"/>
                <w:szCs w:val="20"/>
              </w:rPr>
              <w:t xml:space="preserve"> </w:t>
            </w:r>
          </w:p>
        </w:tc>
        <w:tc>
          <w:tcPr>
            <w:tcW w:w="2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jc w:val="both"/>
              <w:rPr>
                <w:rFonts w:eastAsia="Times New Roman" w:cs="Arial"/>
                <w:sz w:val="20"/>
                <w:szCs w:val="20"/>
              </w:rPr>
            </w:pPr>
            <w:r w:rsidRPr="00945D9B">
              <w:rPr>
                <w:rFonts w:eastAsia="Times New Roman" w:cs="Arial"/>
                <w:color w:val="000000"/>
                <w:kern w:val="24"/>
                <w:sz w:val="20"/>
                <w:szCs w:val="20"/>
              </w:rPr>
              <w:t>Healthcare: full PPP of a 298-bed emergency hospital</w:t>
            </w:r>
          </w:p>
        </w:tc>
        <w:tc>
          <w:tcPr>
            <w:tcW w:w="144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rPr>
              <w:t xml:space="preserve">US$ 50 million </w:t>
            </w:r>
          </w:p>
        </w:tc>
        <w:tc>
          <w:tcPr>
            <w:tcW w:w="16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Times New Roman" w:cs="Arial"/>
                <w:color w:val="000000"/>
                <w:kern w:val="24"/>
                <w:sz w:val="20"/>
                <w:szCs w:val="20"/>
              </w:rPr>
              <w:t xml:space="preserve">400,000 </w:t>
            </w:r>
          </w:p>
        </w:tc>
        <w:tc>
          <w:tcPr>
            <w:tcW w:w="342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rPr>
              <w:t>1st Health PPP in Brazil</w:t>
            </w:r>
            <w:proofErr w:type="gramStart"/>
            <w:r w:rsidRPr="00945D9B">
              <w:rPr>
                <w:rFonts w:eastAsia="Times New Roman" w:cs="Arial"/>
                <w:color w:val="000000"/>
                <w:kern w:val="24"/>
                <w:sz w:val="20"/>
                <w:szCs w:val="20"/>
              </w:rPr>
              <w:t>,  being</w:t>
            </w:r>
            <w:proofErr w:type="gramEnd"/>
            <w:r w:rsidRPr="00945D9B">
              <w:rPr>
                <w:rFonts w:eastAsia="Times New Roman" w:cs="Arial"/>
                <w:color w:val="000000"/>
                <w:kern w:val="24"/>
                <w:sz w:val="20"/>
                <w:szCs w:val="20"/>
              </w:rPr>
              <w:t xml:space="preserve"> the pioneer of several other health PPPs in the country. </w:t>
            </w:r>
          </w:p>
        </w:tc>
      </w:tr>
      <w:tr w:rsidR="00554CF6" w:rsidRPr="00945D9B" w:rsidTr="00554CF6">
        <w:trPr>
          <w:trHeight w:val="584"/>
        </w:trPr>
        <w:tc>
          <w:tcPr>
            <w:tcW w:w="127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lang w:val="pt-BR"/>
              </w:rPr>
              <w:t xml:space="preserve">BH </w:t>
            </w:r>
            <w:proofErr w:type="spellStart"/>
            <w:r w:rsidRPr="00945D9B">
              <w:rPr>
                <w:rFonts w:eastAsia="Times New Roman" w:cs="Arial"/>
                <w:color w:val="000000"/>
                <w:kern w:val="24"/>
                <w:sz w:val="20"/>
                <w:szCs w:val="20"/>
                <w:lang w:val="pt-BR"/>
              </w:rPr>
              <w:t>Primary</w:t>
            </w:r>
            <w:proofErr w:type="spellEnd"/>
            <w:r w:rsidRPr="00945D9B">
              <w:rPr>
                <w:rFonts w:eastAsia="Times New Roman" w:cs="Arial"/>
                <w:color w:val="000000"/>
                <w:kern w:val="24"/>
                <w:sz w:val="20"/>
                <w:szCs w:val="20"/>
                <w:lang w:val="pt-BR"/>
              </w:rPr>
              <w:t xml:space="preserve"> </w:t>
            </w:r>
            <w:proofErr w:type="spellStart"/>
            <w:r w:rsidRPr="00945D9B">
              <w:rPr>
                <w:rFonts w:eastAsia="Times New Roman" w:cs="Arial"/>
                <w:color w:val="000000"/>
                <w:kern w:val="24"/>
                <w:sz w:val="20"/>
                <w:szCs w:val="20"/>
                <w:lang w:val="pt-BR"/>
              </w:rPr>
              <w:t>Care</w:t>
            </w:r>
            <w:proofErr w:type="spellEnd"/>
            <w:r w:rsidRPr="00945D9B">
              <w:rPr>
                <w:rFonts w:eastAsia="Times New Roman" w:cs="Arial"/>
                <w:color w:val="000000"/>
                <w:kern w:val="24"/>
                <w:sz w:val="20"/>
                <w:szCs w:val="20"/>
              </w:rPr>
              <w:t xml:space="preserve"> </w:t>
            </w:r>
          </w:p>
        </w:tc>
        <w:tc>
          <w:tcPr>
            <w:tcW w:w="112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E016B9">
            <w:pPr>
              <w:spacing w:after="0" w:line="240" w:lineRule="auto"/>
              <w:jc w:val="center"/>
              <w:rPr>
                <w:rFonts w:eastAsia="Times New Roman" w:cs="Arial"/>
                <w:sz w:val="20"/>
                <w:szCs w:val="20"/>
              </w:rPr>
            </w:pPr>
            <w:r w:rsidRPr="00945D9B">
              <w:rPr>
                <w:rFonts w:eastAsia="Times New Roman" w:cs="Arial"/>
                <w:color w:val="000000"/>
                <w:kern w:val="24"/>
                <w:sz w:val="20"/>
                <w:szCs w:val="20"/>
                <w:lang w:val="pt-BR"/>
              </w:rPr>
              <w:t xml:space="preserve">2011 </w:t>
            </w:r>
            <w:r w:rsidRPr="00945D9B">
              <w:rPr>
                <w:rFonts w:eastAsia="Times New Roman" w:cs="Arial"/>
                <w:color w:val="000000"/>
                <w:kern w:val="24"/>
                <w:sz w:val="20"/>
                <w:szCs w:val="20"/>
              </w:rPr>
              <w:t xml:space="preserve"> </w:t>
            </w:r>
          </w:p>
        </w:tc>
        <w:tc>
          <w:tcPr>
            <w:tcW w:w="2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jc w:val="both"/>
              <w:rPr>
                <w:rFonts w:eastAsia="Times New Roman" w:cs="Arial"/>
                <w:sz w:val="20"/>
                <w:szCs w:val="20"/>
              </w:rPr>
            </w:pPr>
            <w:r w:rsidRPr="00945D9B">
              <w:rPr>
                <w:rFonts w:eastAsia="Times New Roman" w:cs="Arial"/>
                <w:color w:val="000000"/>
                <w:kern w:val="24"/>
                <w:sz w:val="20"/>
                <w:szCs w:val="20"/>
              </w:rPr>
              <w:t>Healthcare: PFI of 147 primary care units in the municipality of Belo Horizonte</w:t>
            </w:r>
          </w:p>
        </w:tc>
        <w:tc>
          <w:tcPr>
            <w:tcW w:w="144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lang w:val="pt-BR"/>
              </w:rPr>
              <w:t>US$</w:t>
            </w:r>
            <w:proofErr w:type="gramStart"/>
            <w:r w:rsidRPr="00945D9B">
              <w:rPr>
                <w:rFonts w:eastAsia="Times New Roman" w:cs="Arial"/>
                <w:color w:val="000000"/>
                <w:kern w:val="24"/>
                <w:sz w:val="20"/>
                <w:szCs w:val="20"/>
                <w:lang w:val="pt-BR"/>
              </w:rPr>
              <w:t xml:space="preserve">  </w:t>
            </w:r>
            <w:proofErr w:type="gramEnd"/>
            <w:r w:rsidRPr="00945D9B">
              <w:rPr>
                <w:rFonts w:eastAsia="Times New Roman" w:cs="Arial"/>
                <w:color w:val="000000"/>
                <w:kern w:val="24"/>
                <w:sz w:val="20"/>
                <w:szCs w:val="20"/>
                <w:lang w:val="pt-BR"/>
              </w:rPr>
              <w:t xml:space="preserve">220 </w:t>
            </w:r>
            <w:proofErr w:type="spellStart"/>
            <w:r w:rsidRPr="00945D9B">
              <w:rPr>
                <w:rFonts w:eastAsia="Times New Roman" w:cs="Arial"/>
                <w:color w:val="000000"/>
                <w:kern w:val="24"/>
                <w:sz w:val="20"/>
                <w:szCs w:val="20"/>
                <w:lang w:val="pt-BR"/>
              </w:rPr>
              <w:t>million</w:t>
            </w:r>
            <w:proofErr w:type="spellEnd"/>
            <w:r w:rsidRPr="00945D9B">
              <w:rPr>
                <w:rFonts w:eastAsia="Times New Roman" w:cs="Arial"/>
                <w:color w:val="000000"/>
                <w:kern w:val="24"/>
                <w:sz w:val="20"/>
                <w:szCs w:val="20"/>
              </w:rPr>
              <w:t xml:space="preserve"> </w:t>
            </w:r>
          </w:p>
        </w:tc>
        <w:tc>
          <w:tcPr>
            <w:tcW w:w="16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jc w:val="center"/>
              <w:rPr>
                <w:rFonts w:eastAsia="Times New Roman" w:cs="Arial"/>
                <w:sz w:val="20"/>
                <w:szCs w:val="20"/>
              </w:rPr>
            </w:pPr>
            <w:proofErr w:type="gramStart"/>
            <w:r w:rsidRPr="00945D9B">
              <w:rPr>
                <w:rFonts w:eastAsia="Times New Roman" w:cs="Arial"/>
                <w:color w:val="000000"/>
                <w:kern w:val="24"/>
                <w:sz w:val="20"/>
                <w:szCs w:val="20"/>
                <w:lang w:val="pt-BR"/>
              </w:rPr>
              <w:t>1,</w:t>
            </w:r>
            <w:proofErr w:type="gramEnd"/>
            <w:r w:rsidRPr="00945D9B">
              <w:rPr>
                <w:rFonts w:eastAsia="Times New Roman" w:cs="Arial"/>
                <w:color w:val="000000"/>
                <w:kern w:val="24"/>
                <w:sz w:val="20"/>
                <w:szCs w:val="20"/>
                <w:lang w:val="pt-BR"/>
              </w:rPr>
              <w:t>700,000</w:t>
            </w:r>
            <w:r w:rsidRPr="00945D9B">
              <w:rPr>
                <w:rFonts w:eastAsia="Times New Roman" w:cs="Arial"/>
                <w:color w:val="000000"/>
                <w:kern w:val="24"/>
                <w:sz w:val="20"/>
                <w:szCs w:val="20"/>
              </w:rPr>
              <w:t xml:space="preserve"> </w:t>
            </w:r>
          </w:p>
        </w:tc>
        <w:tc>
          <w:tcPr>
            <w:tcW w:w="342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rPr>
              <w:t xml:space="preserve">1st PPP involving Primary Care Units in Brazil. </w:t>
            </w:r>
          </w:p>
        </w:tc>
      </w:tr>
      <w:tr w:rsidR="00554CF6" w:rsidRPr="00945D9B" w:rsidTr="00554CF6">
        <w:trPr>
          <w:trHeight w:val="584"/>
        </w:trPr>
        <w:tc>
          <w:tcPr>
            <w:tcW w:w="127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lang w:val="pt-BR"/>
              </w:rPr>
              <w:t xml:space="preserve">BH </w:t>
            </w:r>
            <w:proofErr w:type="spellStart"/>
            <w:r w:rsidRPr="00945D9B">
              <w:rPr>
                <w:rFonts w:eastAsia="Times New Roman" w:cs="Arial"/>
                <w:color w:val="000000"/>
                <w:kern w:val="24"/>
                <w:sz w:val="20"/>
                <w:szCs w:val="20"/>
                <w:lang w:val="pt-BR"/>
              </w:rPr>
              <w:t>Schools</w:t>
            </w:r>
            <w:proofErr w:type="spellEnd"/>
            <w:r w:rsidRPr="00945D9B">
              <w:rPr>
                <w:rFonts w:eastAsia="Times New Roman" w:cs="Arial"/>
                <w:color w:val="000000"/>
                <w:kern w:val="24"/>
                <w:sz w:val="20"/>
                <w:szCs w:val="20"/>
              </w:rPr>
              <w:t xml:space="preserve"> </w:t>
            </w:r>
          </w:p>
        </w:tc>
        <w:tc>
          <w:tcPr>
            <w:tcW w:w="112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E016B9" w:rsidP="003F4208">
            <w:pPr>
              <w:spacing w:after="0" w:line="240" w:lineRule="auto"/>
              <w:jc w:val="center"/>
              <w:rPr>
                <w:rFonts w:eastAsia="Times New Roman" w:cs="Arial"/>
                <w:sz w:val="20"/>
                <w:szCs w:val="20"/>
              </w:rPr>
            </w:pPr>
            <w:r>
              <w:rPr>
                <w:rFonts w:eastAsia="Times New Roman" w:cs="Arial"/>
                <w:color w:val="000000"/>
                <w:kern w:val="24"/>
                <w:sz w:val="20"/>
                <w:szCs w:val="20"/>
                <w:lang w:val="pt-BR"/>
              </w:rPr>
              <w:t>2012</w:t>
            </w:r>
            <w:proofErr w:type="gramStart"/>
            <w:r>
              <w:rPr>
                <w:rFonts w:eastAsia="Times New Roman" w:cs="Arial"/>
                <w:color w:val="000000"/>
                <w:kern w:val="24"/>
                <w:sz w:val="20"/>
                <w:szCs w:val="20"/>
                <w:lang w:val="pt-BR"/>
              </w:rPr>
              <w:t xml:space="preserve"> </w:t>
            </w:r>
            <w:r w:rsidR="00554CF6" w:rsidRPr="00945D9B">
              <w:rPr>
                <w:rFonts w:eastAsia="Times New Roman" w:cs="Arial"/>
                <w:color w:val="000000"/>
                <w:kern w:val="24"/>
                <w:sz w:val="20"/>
                <w:szCs w:val="20"/>
              </w:rPr>
              <w:t xml:space="preserve"> </w:t>
            </w:r>
            <w:proofErr w:type="gramEnd"/>
            <w:r w:rsidR="007A541D">
              <w:rPr>
                <w:rFonts w:eastAsia="Times New Roman" w:cs="Arial"/>
                <w:color w:val="000000"/>
                <w:kern w:val="24"/>
                <w:sz w:val="20"/>
                <w:szCs w:val="20"/>
              </w:rPr>
              <w:t>(expected)</w:t>
            </w:r>
          </w:p>
        </w:tc>
        <w:tc>
          <w:tcPr>
            <w:tcW w:w="2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jc w:val="both"/>
              <w:rPr>
                <w:rFonts w:eastAsia="Times New Roman" w:cs="Arial"/>
                <w:sz w:val="20"/>
                <w:szCs w:val="20"/>
              </w:rPr>
            </w:pPr>
            <w:r w:rsidRPr="00945D9B">
              <w:rPr>
                <w:rFonts w:eastAsia="Times New Roman" w:cs="Arial"/>
                <w:color w:val="000000"/>
                <w:kern w:val="24"/>
                <w:sz w:val="20"/>
                <w:szCs w:val="20"/>
              </w:rPr>
              <w:t>Education: PFI of 32 kindergartens and 5 elementary schools</w:t>
            </w:r>
          </w:p>
        </w:tc>
        <w:tc>
          <w:tcPr>
            <w:tcW w:w="144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lang w:val="pt-BR"/>
              </w:rPr>
              <w:t xml:space="preserve">US$ 100 </w:t>
            </w:r>
            <w:proofErr w:type="spellStart"/>
            <w:r w:rsidRPr="00945D9B">
              <w:rPr>
                <w:rFonts w:eastAsia="Times New Roman" w:cs="Arial"/>
                <w:color w:val="000000"/>
                <w:kern w:val="24"/>
                <w:sz w:val="20"/>
                <w:szCs w:val="20"/>
                <w:lang w:val="pt-BR"/>
              </w:rPr>
              <w:t>million</w:t>
            </w:r>
            <w:proofErr w:type="spellEnd"/>
            <w:r w:rsidRPr="00945D9B">
              <w:rPr>
                <w:rFonts w:eastAsia="Times New Roman" w:cs="Arial"/>
                <w:color w:val="000000"/>
                <w:kern w:val="24"/>
                <w:sz w:val="20"/>
                <w:szCs w:val="20"/>
              </w:rPr>
              <w:t xml:space="preserve"> </w:t>
            </w:r>
          </w:p>
        </w:tc>
        <w:tc>
          <w:tcPr>
            <w:tcW w:w="16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jc w:val="center"/>
              <w:rPr>
                <w:rFonts w:eastAsia="Times New Roman" w:cs="Arial"/>
                <w:sz w:val="20"/>
                <w:szCs w:val="20"/>
              </w:rPr>
            </w:pPr>
            <w:proofErr w:type="gramStart"/>
            <w:r w:rsidRPr="00945D9B">
              <w:rPr>
                <w:rFonts w:eastAsia="Times New Roman" w:cs="Arial"/>
                <w:color w:val="000000"/>
                <w:kern w:val="24"/>
                <w:sz w:val="20"/>
                <w:szCs w:val="20"/>
                <w:lang w:val="pt-BR"/>
              </w:rPr>
              <w:t>18,</w:t>
            </w:r>
            <w:proofErr w:type="gramEnd"/>
            <w:r w:rsidRPr="00945D9B">
              <w:rPr>
                <w:rFonts w:eastAsia="Times New Roman" w:cs="Arial"/>
                <w:color w:val="000000"/>
                <w:kern w:val="24"/>
                <w:sz w:val="20"/>
                <w:szCs w:val="20"/>
                <w:lang w:val="pt-BR"/>
              </w:rPr>
              <w:t>000</w:t>
            </w:r>
            <w:r w:rsidRPr="00945D9B">
              <w:rPr>
                <w:rFonts w:eastAsia="Times New Roman" w:cs="Arial"/>
                <w:color w:val="000000"/>
                <w:kern w:val="24"/>
                <w:sz w:val="20"/>
                <w:szCs w:val="20"/>
              </w:rPr>
              <w:t xml:space="preserve"> </w:t>
            </w:r>
          </w:p>
        </w:tc>
        <w:tc>
          <w:tcPr>
            <w:tcW w:w="342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color w:val="000000"/>
                <w:kern w:val="24"/>
                <w:sz w:val="20"/>
                <w:szCs w:val="20"/>
              </w:rPr>
              <w:t xml:space="preserve">1st Education PPP in Brazil. </w:t>
            </w:r>
          </w:p>
        </w:tc>
      </w:tr>
      <w:tr w:rsidR="00554CF6" w:rsidRPr="00945D9B" w:rsidTr="00554CF6">
        <w:trPr>
          <w:trHeight w:val="584"/>
        </w:trPr>
        <w:tc>
          <w:tcPr>
            <w:tcW w:w="127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b/>
                <w:bCs/>
                <w:color w:val="000000"/>
                <w:kern w:val="24"/>
                <w:sz w:val="20"/>
                <w:szCs w:val="20"/>
              </w:rPr>
              <w:t xml:space="preserve">TOTAL </w:t>
            </w:r>
          </w:p>
        </w:tc>
        <w:tc>
          <w:tcPr>
            <w:tcW w:w="112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554CF6" w:rsidRPr="00945D9B" w:rsidRDefault="00554CF6" w:rsidP="003F4208">
            <w:pPr>
              <w:spacing w:after="0" w:line="240" w:lineRule="auto"/>
              <w:rPr>
                <w:rFonts w:eastAsia="Times New Roman" w:cs="Arial"/>
                <w:sz w:val="20"/>
                <w:szCs w:val="20"/>
              </w:rPr>
            </w:pPr>
          </w:p>
        </w:tc>
        <w:tc>
          <w:tcPr>
            <w:tcW w:w="2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554CF6" w:rsidRPr="00945D9B" w:rsidRDefault="00554CF6" w:rsidP="003F4208">
            <w:pPr>
              <w:spacing w:after="0" w:line="240" w:lineRule="auto"/>
              <w:rPr>
                <w:rFonts w:eastAsia="Times New Roman" w:cs="Arial"/>
                <w:sz w:val="20"/>
                <w:szCs w:val="20"/>
              </w:rPr>
            </w:pPr>
          </w:p>
        </w:tc>
        <w:tc>
          <w:tcPr>
            <w:tcW w:w="144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rPr>
                <w:rFonts w:eastAsia="Times New Roman" w:cs="Arial"/>
                <w:sz w:val="20"/>
                <w:szCs w:val="20"/>
              </w:rPr>
            </w:pPr>
            <w:r w:rsidRPr="00945D9B">
              <w:rPr>
                <w:rFonts w:eastAsia="Times New Roman" w:cs="Arial"/>
                <w:b/>
                <w:bCs/>
                <w:color w:val="000000"/>
                <w:kern w:val="24"/>
                <w:sz w:val="20"/>
                <w:szCs w:val="20"/>
              </w:rPr>
              <w:t xml:space="preserve">US$ 1.08 billion </w:t>
            </w:r>
          </w:p>
        </w:tc>
        <w:tc>
          <w:tcPr>
            <w:tcW w:w="16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3F4208" w:rsidRPr="00945D9B" w:rsidRDefault="00554CF6" w:rsidP="003F4208">
            <w:pPr>
              <w:spacing w:after="0" w:line="240" w:lineRule="auto"/>
              <w:jc w:val="center"/>
              <w:rPr>
                <w:rFonts w:eastAsia="Times New Roman" w:cs="Arial"/>
                <w:sz w:val="20"/>
                <w:szCs w:val="20"/>
              </w:rPr>
            </w:pPr>
            <w:r w:rsidRPr="00945D9B">
              <w:rPr>
                <w:rFonts w:eastAsia="Times New Roman" w:cs="Arial"/>
                <w:b/>
                <w:bCs/>
                <w:color w:val="000000"/>
                <w:kern w:val="24"/>
                <w:sz w:val="20"/>
                <w:szCs w:val="20"/>
              </w:rPr>
              <w:t xml:space="preserve">5,530,500 </w:t>
            </w:r>
          </w:p>
        </w:tc>
        <w:tc>
          <w:tcPr>
            <w:tcW w:w="342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554CF6" w:rsidRPr="00945D9B" w:rsidRDefault="00554CF6" w:rsidP="003F4208">
            <w:pPr>
              <w:spacing w:after="0" w:line="240" w:lineRule="auto"/>
              <w:rPr>
                <w:rFonts w:eastAsia="Times New Roman" w:cs="Arial"/>
                <w:sz w:val="20"/>
                <w:szCs w:val="20"/>
              </w:rPr>
            </w:pPr>
          </w:p>
        </w:tc>
      </w:tr>
    </w:tbl>
    <w:p w:rsidR="00DC1E68" w:rsidRPr="00A12C27" w:rsidRDefault="0095711B" w:rsidP="00F41DD5">
      <w:pPr>
        <w:pStyle w:val="ListParagraph"/>
        <w:numPr>
          <w:ilvl w:val="0"/>
          <w:numId w:val="5"/>
        </w:numPr>
        <w:spacing w:after="0"/>
        <w:rPr>
          <w:b/>
        </w:rPr>
      </w:pPr>
      <w:r w:rsidRPr="00A12C27">
        <w:rPr>
          <w:b/>
        </w:rPr>
        <w:t xml:space="preserve">Budget </w:t>
      </w:r>
      <w:r w:rsidR="00A12C27" w:rsidRPr="00A12C27">
        <w:rPr>
          <w:b/>
        </w:rPr>
        <w:t xml:space="preserve"> </w:t>
      </w:r>
    </w:p>
    <w:p w:rsidR="00686820" w:rsidRDefault="00686820" w:rsidP="00686820">
      <w:pPr>
        <w:pStyle w:val="Paragraph"/>
        <w:suppressAutoHyphens/>
        <w:autoSpaceDN w:val="0"/>
        <w:spacing w:before="120" w:line="240" w:lineRule="auto"/>
        <w:ind w:left="0"/>
        <w:jc w:val="both"/>
        <w:textAlignment w:val="baseline"/>
      </w:pPr>
      <w:r>
        <w:t>The founder</w:t>
      </w:r>
      <w:r w:rsidR="001D5EB7">
        <w:t xml:space="preserve"> Donors</w:t>
      </w:r>
      <w:r>
        <w:t xml:space="preserve"> of the Fund</w:t>
      </w:r>
      <w:r w:rsidR="001D5EB7">
        <w:t xml:space="preserve">; BNDES, IFC and the Bank, agreed that the capital of the Fund would </w:t>
      </w:r>
      <w:r>
        <w:t>be of US$11.9 million. IFC and the Bank committed up to US$3 million each, with an initial contribution of US$ 1 million.  The BNDES commit</w:t>
      </w:r>
      <w:r w:rsidR="001D5EB7">
        <w:t>ted</w:t>
      </w:r>
      <w:r>
        <w:t xml:space="preserve"> up to US$ 5.9 million, with an initial contribution of US$1.9 </w:t>
      </w:r>
      <w:r>
        <w:lastRenderedPageBreak/>
        <w:t>Million. The Fund has a life span of ten years. Upon liquidation, the assets of the Fund will be prorated among donors.</w:t>
      </w:r>
    </w:p>
    <w:tbl>
      <w:tblPr>
        <w:tblW w:w="8136" w:type="dxa"/>
        <w:tblInd w:w="720" w:type="dxa"/>
        <w:tblCellMar>
          <w:left w:w="10" w:type="dxa"/>
          <w:right w:w="10" w:type="dxa"/>
        </w:tblCellMar>
        <w:tblLook w:val="0000"/>
      </w:tblPr>
      <w:tblGrid>
        <w:gridCol w:w="2088"/>
        <w:gridCol w:w="2790"/>
        <w:gridCol w:w="3258"/>
      </w:tblGrid>
      <w:tr w:rsidR="00686820" w:rsidTr="003F4208">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rPr>
                <w:b/>
                <w:bCs/>
              </w:rPr>
            </w:pPr>
            <w:r>
              <w:rPr>
                <w:b/>
                <w:bCs/>
              </w:rPr>
              <w:t>Donor</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rPr>
                <w:b/>
                <w:bCs/>
              </w:rPr>
            </w:pPr>
            <w:r>
              <w:rPr>
                <w:b/>
                <w:bCs/>
              </w:rPr>
              <w:t>Initial Contribution</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rPr>
                <w:b/>
                <w:bCs/>
              </w:rPr>
            </w:pPr>
            <w:r>
              <w:rPr>
                <w:b/>
                <w:bCs/>
              </w:rPr>
              <w:t>Max Contribution</w:t>
            </w:r>
          </w:p>
        </w:tc>
      </w:tr>
      <w:tr w:rsidR="00686820" w:rsidTr="003F4208">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IADB</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US$ 1 Million</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US$ 3 Million</w:t>
            </w:r>
          </w:p>
        </w:tc>
      </w:tr>
      <w:tr w:rsidR="00686820" w:rsidTr="003F4208">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IFC</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US$ 1 Million</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US$ 3 Million</w:t>
            </w:r>
          </w:p>
        </w:tc>
      </w:tr>
      <w:tr w:rsidR="00686820" w:rsidTr="003F4208">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BNDES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US$ 1.9 Million</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US$ 5.9 Million</w:t>
            </w:r>
          </w:p>
        </w:tc>
      </w:tr>
      <w:tr w:rsidR="00686820" w:rsidTr="003F4208">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Total</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US$ 3.9 Million</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6820" w:rsidRDefault="00686820" w:rsidP="003F4208">
            <w:pPr>
              <w:pStyle w:val="Paragraph"/>
            </w:pPr>
            <w:r>
              <w:t>US$ 11.9 Million</w:t>
            </w:r>
          </w:p>
        </w:tc>
      </w:tr>
    </w:tbl>
    <w:p w:rsidR="00686820" w:rsidRDefault="00686820" w:rsidP="00686820">
      <w:pPr>
        <w:pStyle w:val="Paragraph"/>
        <w:ind w:left="720" w:hanging="720"/>
      </w:pPr>
    </w:p>
    <w:p w:rsidR="00686820" w:rsidRDefault="00686820" w:rsidP="00686820">
      <w:pPr>
        <w:jc w:val="both"/>
      </w:pPr>
      <w:r>
        <w:t xml:space="preserve">This second contribution </w:t>
      </w:r>
      <w:r w:rsidR="001D5EB7">
        <w:t xml:space="preserve">of the Bank </w:t>
      </w:r>
      <w:r>
        <w:t xml:space="preserve">will be </w:t>
      </w:r>
      <w:proofErr w:type="gramStart"/>
      <w:r>
        <w:t>of</w:t>
      </w:r>
      <w:proofErr w:type="gramEnd"/>
      <w:r>
        <w:t xml:space="preserve"> was US$ 1 Million. BNDES and the IFC have already completed their second financing by contributing US$ 1.05 Million BNDES totaling US$2.9 Million and US$0.915 Million totaling US$1.915 Million.</w:t>
      </w:r>
    </w:p>
    <w:p w:rsidR="00682716" w:rsidRDefault="00682716" w:rsidP="00682716">
      <w:pPr>
        <w:pStyle w:val="ListParagraph"/>
        <w:spacing w:after="0" w:line="240" w:lineRule="auto"/>
        <w:ind w:left="360"/>
        <w:contextualSpacing w:val="0"/>
        <w:jc w:val="center"/>
        <w:rPr>
          <w:b/>
        </w:rPr>
      </w:pPr>
      <w:r w:rsidRPr="00F6363D">
        <w:rPr>
          <w:b/>
        </w:rPr>
        <w:t>Indicative Budget</w:t>
      </w:r>
      <w:r>
        <w:rPr>
          <w:b/>
        </w:rPr>
        <w:t xml:space="preserve"> </w:t>
      </w:r>
    </w:p>
    <w:tbl>
      <w:tblPr>
        <w:tblStyle w:val="TableGrid"/>
        <w:tblW w:w="0" w:type="auto"/>
        <w:tblInd w:w="360" w:type="dxa"/>
        <w:tblLook w:val="04A0"/>
      </w:tblPr>
      <w:tblGrid>
        <w:gridCol w:w="2088"/>
        <w:gridCol w:w="1980"/>
        <w:gridCol w:w="1620"/>
        <w:gridCol w:w="1710"/>
        <w:gridCol w:w="1818"/>
      </w:tblGrid>
      <w:tr w:rsidR="00682716" w:rsidRPr="0023302F" w:rsidTr="00B70574">
        <w:tc>
          <w:tcPr>
            <w:tcW w:w="2088" w:type="dxa"/>
          </w:tcPr>
          <w:p w:rsidR="00682716" w:rsidRPr="0023302F" w:rsidRDefault="00682716" w:rsidP="003F4208">
            <w:pPr>
              <w:pStyle w:val="ListParagraph"/>
              <w:ind w:left="0"/>
              <w:contextualSpacing w:val="0"/>
              <w:jc w:val="center"/>
              <w:rPr>
                <w:b/>
                <w:sz w:val="20"/>
                <w:szCs w:val="20"/>
              </w:rPr>
            </w:pPr>
            <w:r w:rsidRPr="0023302F">
              <w:rPr>
                <w:b/>
                <w:sz w:val="20"/>
                <w:szCs w:val="20"/>
              </w:rPr>
              <w:t>Activity/Component</w:t>
            </w:r>
          </w:p>
        </w:tc>
        <w:tc>
          <w:tcPr>
            <w:tcW w:w="1980" w:type="dxa"/>
          </w:tcPr>
          <w:p w:rsidR="00682716" w:rsidRPr="0023302F" w:rsidRDefault="00682716" w:rsidP="003F4208">
            <w:pPr>
              <w:pStyle w:val="ListParagraph"/>
              <w:ind w:left="0"/>
              <w:contextualSpacing w:val="0"/>
              <w:jc w:val="center"/>
              <w:rPr>
                <w:b/>
                <w:sz w:val="20"/>
                <w:szCs w:val="20"/>
              </w:rPr>
            </w:pPr>
            <w:r w:rsidRPr="0023302F">
              <w:rPr>
                <w:b/>
                <w:sz w:val="20"/>
                <w:szCs w:val="20"/>
              </w:rPr>
              <w:t>Description</w:t>
            </w:r>
          </w:p>
        </w:tc>
        <w:tc>
          <w:tcPr>
            <w:tcW w:w="1620" w:type="dxa"/>
          </w:tcPr>
          <w:p w:rsidR="00682716" w:rsidRPr="0023302F" w:rsidRDefault="00682716" w:rsidP="003F4208">
            <w:pPr>
              <w:pStyle w:val="ListParagraph"/>
              <w:ind w:left="0"/>
              <w:contextualSpacing w:val="0"/>
              <w:jc w:val="center"/>
              <w:rPr>
                <w:b/>
                <w:sz w:val="20"/>
                <w:szCs w:val="20"/>
              </w:rPr>
            </w:pPr>
            <w:r>
              <w:rPr>
                <w:b/>
                <w:sz w:val="20"/>
                <w:szCs w:val="20"/>
              </w:rPr>
              <w:t>IDB/Fund</w:t>
            </w:r>
            <w:r w:rsidRPr="0023302F">
              <w:rPr>
                <w:b/>
                <w:sz w:val="20"/>
                <w:szCs w:val="20"/>
              </w:rPr>
              <w:t xml:space="preserve"> F</w:t>
            </w:r>
            <w:r>
              <w:rPr>
                <w:b/>
                <w:sz w:val="20"/>
                <w:szCs w:val="20"/>
              </w:rPr>
              <w:t>unding</w:t>
            </w:r>
          </w:p>
        </w:tc>
        <w:tc>
          <w:tcPr>
            <w:tcW w:w="1710" w:type="dxa"/>
          </w:tcPr>
          <w:p w:rsidR="00682716" w:rsidRPr="0023302F" w:rsidRDefault="00682716" w:rsidP="003F4208">
            <w:pPr>
              <w:pStyle w:val="ListParagraph"/>
              <w:ind w:left="0"/>
              <w:contextualSpacing w:val="0"/>
              <w:jc w:val="center"/>
              <w:rPr>
                <w:b/>
                <w:sz w:val="20"/>
                <w:szCs w:val="20"/>
              </w:rPr>
            </w:pPr>
            <w:r>
              <w:rPr>
                <w:b/>
                <w:sz w:val="20"/>
                <w:szCs w:val="20"/>
              </w:rPr>
              <w:t>Counterpart Funding</w:t>
            </w:r>
          </w:p>
        </w:tc>
        <w:tc>
          <w:tcPr>
            <w:tcW w:w="1818" w:type="dxa"/>
          </w:tcPr>
          <w:p w:rsidR="00682716" w:rsidRPr="0023302F" w:rsidRDefault="00682716" w:rsidP="003F4208">
            <w:pPr>
              <w:pStyle w:val="ListParagraph"/>
              <w:ind w:left="0"/>
              <w:contextualSpacing w:val="0"/>
              <w:jc w:val="center"/>
              <w:rPr>
                <w:b/>
                <w:sz w:val="20"/>
                <w:szCs w:val="20"/>
              </w:rPr>
            </w:pPr>
            <w:r>
              <w:rPr>
                <w:b/>
                <w:sz w:val="20"/>
                <w:szCs w:val="20"/>
              </w:rPr>
              <w:t>Total Funding</w:t>
            </w:r>
          </w:p>
        </w:tc>
      </w:tr>
      <w:tr w:rsidR="00682716" w:rsidRPr="0023302F" w:rsidTr="00B70574">
        <w:tc>
          <w:tcPr>
            <w:tcW w:w="2088" w:type="dxa"/>
          </w:tcPr>
          <w:p w:rsidR="00682716" w:rsidRPr="00686820" w:rsidRDefault="00686820" w:rsidP="003F4208">
            <w:pPr>
              <w:pStyle w:val="ListParagraph"/>
              <w:ind w:left="0"/>
              <w:contextualSpacing w:val="0"/>
              <w:jc w:val="center"/>
              <w:rPr>
                <w:sz w:val="20"/>
                <w:szCs w:val="20"/>
              </w:rPr>
            </w:pPr>
            <w:r w:rsidRPr="00686820">
              <w:rPr>
                <w:sz w:val="20"/>
                <w:szCs w:val="20"/>
              </w:rPr>
              <w:t xml:space="preserve">Second </w:t>
            </w:r>
            <w:r w:rsidR="00B70574" w:rsidRPr="00686820">
              <w:rPr>
                <w:sz w:val="20"/>
                <w:szCs w:val="20"/>
              </w:rPr>
              <w:t>Contribution to the PSP Fund</w:t>
            </w:r>
          </w:p>
        </w:tc>
        <w:tc>
          <w:tcPr>
            <w:tcW w:w="1980" w:type="dxa"/>
          </w:tcPr>
          <w:p w:rsidR="00682716" w:rsidRPr="00686820" w:rsidRDefault="00B70574" w:rsidP="00686820">
            <w:pPr>
              <w:pStyle w:val="ListParagraph"/>
              <w:ind w:left="0"/>
              <w:contextualSpacing w:val="0"/>
              <w:jc w:val="center"/>
              <w:rPr>
                <w:sz w:val="20"/>
                <w:szCs w:val="20"/>
              </w:rPr>
            </w:pPr>
            <w:r w:rsidRPr="00686820">
              <w:rPr>
                <w:sz w:val="20"/>
                <w:szCs w:val="20"/>
              </w:rPr>
              <w:t>Support  the development of concessions and public-private partnership projects (“PPPs”) in Brazil by financing project preparation</w:t>
            </w:r>
          </w:p>
        </w:tc>
        <w:tc>
          <w:tcPr>
            <w:tcW w:w="1620" w:type="dxa"/>
          </w:tcPr>
          <w:p w:rsidR="00682716" w:rsidRPr="00686820" w:rsidRDefault="00B70574" w:rsidP="003F4208">
            <w:pPr>
              <w:pStyle w:val="ListParagraph"/>
              <w:ind w:left="0"/>
              <w:contextualSpacing w:val="0"/>
              <w:jc w:val="center"/>
              <w:rPr>
                <w:sz w:val="20"/>
                <w:szCs w:val="20"/>
              </w:rPr>
            </w:pPr>
            <w:r w:rsidRPr="00686820">
              <w:rPr>
                <w:sz w:val="20"/>
                <w:szCs w:val="20"/>
              </w:rPr>
              <w:t>US$ 1 Million</w:t>
            </w:r>
          </w:p>
        </w:tc>
        <w:tc>
          <w:tcPr>
            <w:tcW w:w="1710" w:type="dxa"/>
          </w:tcPr>
          <w:p w:rsidR="00682716" w:rsidRPr="00686820" w:rsidRDefault="00B70574" w:rsidP="00686820">
            <w:pPr>
              <w:pStyle w:val="ListParagraph"/>
              <w:ind w:left="0"/>
              <w:contextualSpacing w:val="0"/>
              <w:jc w:val="center"/>
              <w:rPr>
                <w:sz w:val="20"/>
                <w:szCs w:val="20"/>
              </w:rPr>
            </w:pPr>
            <w:r w:rsidRPr="00686820">
              <w:rPr>
                <w:sz w:val="20"/>
                <w:szCs w:val="20"/>
              </w:rPr>
              <w:t>US$</w:t>
            </w:r>
            <w:r w:rsidR="00686820" w:rsidRPr="00686820">
              <w:rPr>
                <w:sz w:val="20"/>
                <w:szCs w:val="20"/>
              </w:rPr>
              <w:t xml:space="preserve"> </w:t>
            </w:r>
            <w:r w:rsidRPr="00686820">
              <w:rPr>
                <w:sz w:val="20"/>
                <w:szCs w:val="20"/>
              </w:rPr>
              <w:t>1.9</w:t>
            </w:r>
            <w:r w:rsidR="00686820" w:rsidRPr="00686820">
              <w:rPr>
                <w:sz w:val="20"/>
                <w:szCs w:val="20"/>
              </w:rPr>
              <w:t xml:space="preserve">2 </w:t>
            </w:r>
            <w:r w:rsidRPr="00686820">
              <w:rPr>
                <w:sz w:val="20"/>
                <w:szCs w:val="20"/>
              </w:rPr>
              <w:t>Million</w:t>
            </w:r>
          </w:p>
        </w:tc>
        <w:tc>
          <w:tcPr>
            <w:tcW w:w="1818" w:type="dxa"/>
          </w:tcPr>
          <w:p w:rsidR="00682716" w:rsidRPr="00686820" w:rsidRDefault="00686820" w:rsidP="003F4208">
            <w:pPr>
              <w:pStyle w:val="ListParagraph"/>
              <w:ind w:left="0"/>
              <w:contextualSpacing w:val="0"/>
              <w:jc w:val="center"/>
              <w:rPr>
                <w:sz w:val="20"/>
                <w:szCs w:val="20"/>
              </w:rPr>
            </w:pPr>
            <w:r w:rsidRPr="00686820">
              <w:rPr>
                <w:sz w:val="20"/>
                <w:szCs w:val="20"/>
              </w:rPr>
              <w:t>US$ 2.92 Million</w:t>
            </w:r>
          </w:p>
        </w:tc>
      </w:tr>
    </w:tbl>
    <w:p w:rsidR="007A541D" w:rsidRDefault="007A541D" w:rsidP="007A541D">
      <w:pPr>
        <w:pStyle w:val="ListParagraph"/>
        <w:spacing w:after="0"/>
        <w:ind w:left="360"/>
        <w:rPr>
          <w:b/>
        </w:rPr>
      </w:pPr>
    </w:p>
    <w:p w:rsidR="0095711B" w:rsidRPr="0095711B" w:rsidRDefault="0095711B" w:rsidP="0095711B">
      <w:pPr>
        <w:pStyle w:val="ListParagraph"/>
        <w:numPr>
          <w:ilvl w:val="0"/>
          <w:numId w:val="5"/>
        </w:numPr>
        <w:spacing w:after="0"/>
        <w:rPr>
          <w:b/>
        </w:rPr>
      </w:pPr>
      <w:r w:rsidRPr="0095711B">
        <w:rPr>
          <w:b/>
        </w:rPr>
        <w:t xml:space="preserve">Executing </w:t>
      </w:r>
      <w:r w:rsidR="002152FA">
        <w:rPr>
          <w:b/>
        </w:rPr>
        <w:t>agency and execution structure</w:t>
      </w:r>
    </w:p>
    <w:p w:rsidR="00366F15" w:rsidRDefault="00366F15" w:rsidP="00366F15">
      <w:pPr>
        <w:pStyle w:val="Paragraph"/>
        <w:suppressAutoHyphens/>
        <w:autoSpaceDN w:val="0"/>
        <w:spacing w:before="120" w:line="240" w:lineRule="auto"/>
        <w:ind w:left="0"/>
        <w:jc w:val="both"/>
        <w:textAlignment w:val="baseline"/>
      </w:pPr>
      <w:r>
        <w:t>The Fund is managed by the Private Sector Advisory Services Department of the IFC. Since its incorporation the fund has been managed in an efficient, flexible and transparent manner, without conflict of interests, and it is done in accordance with the preferences of many instances of Brazilian authorities (i.e., Fund’s clients).</w:t>
      </w:r>
    </w:p>
    <w:p w:rsidR="002152FA" w:rsidRDefault="002152FA" w:rsidP="00366F15">
      <w:pPr>
        <w:pStyle w:val="Paragraph"/>
        <w:suppressAutoHyphens/>
        <w:autoSpaceDN w:val="0"/>
        <w:spacing w:before="120" w:line="240" w:lineRule="auto"/>
        <w:ind w:left="0"/>
        <w:jc w:val="both"/>
        <w:textAlignment w:val="baseline"/>
      </w:pPr>
      <w:r>
        <w:t>The governing by-laws of the Fund include provisions to assure Donors that key decisions made by management of the Fund are subject to previous approval by the Board of Donors, each Donor has a representative in the Board of Donors of the Fund, see Annex.</w:t>
      </w:r>
    </w:p>
    <w:p w:rsidR="007A541D" w:rsidRDefault="007A541D" w:rsidP="00366F15">
      <w:pPr>
        <w:pStyle w:val="Paragraph"/>
        <w:suppressAutoHyphens/>
        <w:autoSpaceDN w:val="0"/>
        <w:spacing w:before="120" w:line="240" w:lineRule="auto"/>
        <w:ind w:left="0"/>
        <w:jc w:val="both"/>
        <w:textAlignment w:val="baseline"/>
      </w:pPr>
    </w:p>
    <w:p w:rsidR="000F7906" w:rsidRPr="003E62BC" w:rsidRDefault="000F7906" w:rsidP="00B347ED">
      <w:pPr>
        <w:pStyle w:val="ListParagraph"/>
        <w:numPr>
          <w:ilvl w:val="0"/>
          <w:numId w:val="5"/>
        </w:numPr>
        <w:spacing w:after="0"/>
        <w:jc w:val="both"/>
        <w:rPr>
          <w:b/>
        </w:rPr>
      </w:pPr>
      <w:r w:rsidRPr="003E62BC">
        <w:rPr>
          <w:b/>
        </w:rPr>
        <w:t xml:space="preserve">Project Risks and </w:t>
      </w:r>
      <w:r w:rsidR="0095711B" w:rsidRPr="003E62BC">
        <w:rPr>
          <w:b/>
        </w:rPr>
        <w:t xml:space="preserve"> issues</w:t>
      </w:r>
      <w:r w:rsidR="00086CFF" w:rsidRPr="003E62BC">
        <w:rPr>
          <w:b/>
        </w:rPr>
        <w:t xml:space="preserve"> </w:t>
      </w:r>
    </w:p>
    <w:p w:rsidR="0095711B" w:rsidRDefault="001D5EB7" w:rsidP="00CA3979">
      <w:pPr>
        <w:spacing w:after="0"/>
        <w:jc w:val="both"/>
      </w:pPr>
      <w:r>
        <w:t>Not important risk or issues are foreseen in the implementation of the project, the Fund has been created for more than 3 years and have collaborated with 5 projects and have a pipeline of another 5 projects what will consume the majority of the undisbursed balance and the second contribution of the Bank in the next 2 years. In this way, t</w:t>
      </w:r>
      <w:r w:rsidR="003F4208">
        <w:t>he Fund will continue assisting Brazilian authorities in promoting PPPs in its infrastructure sector, through financing the preparation of attractive and relevant projects to be offered to the private sector.</w:t>
      </w:r>
    </w:p>
    <w:p w:rsidR="007A541D" w:rsidRDefault="007A541D" w:rsidP="00CA3979">
      <w:pPr>
        <w:spacing w:after="0"/>
        <w:jc w:val="both"/>
      </w:pPr>
    </w:p>
    <w:p w:rsidR="007A541D" w:rsidRDefault="007A541D" w:rsidP="00CA3979">
      <w:pPr>
        <w:spacing w:after="0"/>
        <w:jc w:val="both"/>
      </w:pPr>
    </w:p>
    <w:p w:rsidR="007A541D" w:rsidRDefault="007A541D" w:rsidP="00CA3979">
      <w:pPr>
        <w:spacing w:after="0"/>
        <w:jc w:val="both"/>
      </w:pPr>
    </w:p>
    <w:p w:rsidR="00CA272D" w:rsidRPr="003E62BC" w:rsidRDefault="0095711B" w:rsidP="000F7906">
      <w:pPr>
        <w:pStyle w:val="ListParagraph"/>
        <w:numPr>
          <w:ilvl w:val="0"/>
          <w:numId w:val="5"/>
        </w:numPr>
        <w:spacing w:after="0" w:line="240" w:lineRule="auto"/>
        <w:contextualSpacing w:val="0"/>
        <w:jc w:val="both"/>
        <w:rPr>
          <w:b/>
        </w:rPr>
      </w:pPr>
      <w:r w:rsidRPr="003E62BC">
        <w:rPr>
          <w:b/>
        </w:rPr>
        <w:t xml:space="preserve">Environmental and Social </w:t>
      </w:r>
      <w:r w:rsidR="00CA272D" w:rsidRPr="003E62BC">
        <w:rPr>
          <w:b/>
        </w:rPr>
        <w:t>Classification</w:t>
      </w:r>
      <w:r w:rsidR="00F41DD5" w:rsidRPr="003E62BC">
        <w:rPr>
          <w:b/>
        </w:rPr>
        <w:t xml:space="preserve"> </w:t>
      </w:r>
    </w:p>
    <w:p w:rsidR="005D6705" w:rsidRDefault="005D6705" w:rsidP="00CA3979">
      <w:pPr>
        <w:jc w:val="both"/>
      </w:pPr>
      <w:r>
        <w:t>The proposed TC will have no environmental or social impacts as it will not finance direct investment in infrastructure, but instead it will finance feasibility studies in the sector, which will include technical economic, legal and environmental and social studies. In general, the projects to be supported by this operation may be for a traditional infrastructure sector</w:t>
      </w:r>
      <w:r w:rsidR="00CA3979">
        <w:t>, a</w:t>
      </w:r>
      <w:r>
        <w:t>s it can be seen from the current portfolio of the Fund</w:t>
      </w:r>
      <w:r w:rsidR="00CA3979">
        <w:t xml:space="preserve"> comprehending</w:t>
      </w:r>
      <w:r>
        <w:t xml:space="preserve"> </w:t>
      </w:r>
      <w:r w:rsidR="00CA3979">
        <w:t xml:space="preserve">the </w:t>
      </w:r>
      <w:r>
        <w:t>roads, ports, airports and more innovative areas like health and education infrastructure.  The terms of reference of the studies to be financed by the Fund will include environmental and social aspects of the projects in accordance with Bank Policies.</w:t>
      </w:r>
    </w:p>
    <w:p w:rsidR="00C854FE" w:rsidRDefault="00C854FE" w:rsidP="0095711B"/>
    <w:p w:rsidR="00C854FE" w:rsidRDefault="00C854FE" w:rsidP="0095711B"/>
    <w:p w:rsidR="00C854FE" w:rsidRDefault="00C854FE" w:rsidP="0095711B"/>
    <w:sectPr w:rsidR="00C854FE" w:rsidSect="00CD109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EB7" w:rsidRDefault="001D5EB7" w:rsidP="0095711B">
      <w:pPr>
        <w:spacing w:after="0" w:line="240" w:lineRule="auto"/>
      </w:pPr>
      <w:r>
        <w:separator/>
      </w:r>
    </w:p>
  </w:endnote>
  <w:endnote w:type="continuationSeparator" w:id="0">
    <w:p w:rsidR="001D5EB7" w:rsidRDefault="001D5EB7" w:rsidP="009571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875126"/>
      <w:docPartObj>
        <w:docPartGallery w:val="Page Numbers (Bottom of Page)"/>
        <w:docPartUnique/>
      </w:docPartObj>
    </w:sdtPr>
    <w:sdtContent>
      <w:p w:rsidR="001D5EB7" w:rsidRDefault="00494329">
        <w:pPr>
          <w:pStyle w:val="Footer"/>
          <w:jc w:val="center"/>
        </w:pPr>
        <w:fldSimple w:instr=" PAGE   \* MERGEFORMAT ">
          <w:r w:rsidR="00406B95">
            <w:rPr>
              <w:noProof/>
            </w:rPr>
            <w:t>1</w:t>
          </w:r>
        </w:fldSimple>
      </w:p>
    </w:sdtContent>
  </w:sdt>
  <w:p w:rsidR="001D5EB7" w:rsidRDefault="001D5E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EB7" w:rsidRDefault="001D5EB7" w:rsidP="0095711B">
      <w:pPr>
        <w:spacing w:after="0" w:line="240" w:lineRule="auto"/>
      </w:pPr>
      <w:r>
        <w:separator/>
      </w:r>
    </w:p>
  </w:footnote>
  <w:footnote w:type="continuationSeparator" w:id="0">
    <w:p w:rsidR="001D5EB7" w:rsidRDefault="001D5EB7" w:rsidP="0095711B">
      <w:pPr>
        <w:spacing w:after="0" w:line="240" w:lineRule="auto"/>
      </w:pPr>
      <w:r>
        <w:continuationSeparator/>
      </w:r>
    </w:p>
  </w:footnote>
  <w:footnote w:id="1">
    <w:p w:rsidR="001D5EB7" w:rsidRDefault="001D5EB7">
      <w:pPr>
        <w:pStyle w:val="FootnoteText"/>
      </w:pPr>
      <w:r>
        <w:rPr>
          <w:rStyle w:val="FootnoteReference"/>
        </w:rPr>
        <w:footnoteRef/>
      </w:r>
      <w:r>
        <w:t xml:space="preserve"> A copy of the Letter of Request, Programming/Portfolio Review Mission Aide Memoire or Report requesting the TC should be submitted with the Abstract.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2B2028CA"/>
    <w:multiLevelType w:val="multilevel"/>
    <w:tmpl w:val="029692AC"/>
    <w:styleLink w:val="LFO10"/>
    <w:lvl w:ilvl="0">
      <w:start w:val="1"/>
      <w:numFmt w:val="upperRoman"/>
      <w:pStyle w:val="SubSubPar"/>
      <w:lvlText w:val="%1."/>
      <w:lvlJc w:val="center"/>
      <w:pPr>
        <w:ind w:left="288" w:firstLine="0"/>
      </w:pPr>
      <w:rPr>
        <w:b/>
        <w:i w:val="0"/>
      </w:rPr>
    </w:lvl>
    <w:lvl w:ilvl="1">
      <w:start w:val="1"/>
      <w:numFmt w:val="decimal"/>
      <w:lvlText w:val="%1.%2"/>
      <w:lvlJc w:val="left"/>
      <w:pPr>
        <w:ind w:left="720" w:hanging="720"/>
      </w:pPr>
    </w:lvl>
    <w:lvl w:ilvl="2">
      <w:start w:val="1"/>
      <w:numFmt w:val="lowerLetter"/>
      <w:lvlText w:val="%3."/>
      <w:lvlJc w:val="left"/>
      <w:pPr>
        <w:ind w:left="1152" w:hanging="432"/>
      </w:pPr>
      <w:rPr>
        <w:b/>
        <w:i w:val="0"/>
      </w:rPr>
    </w:lvl>
    <w:lvl w:ilvl="3">
      <w:start w:val="1"/>
      <w:numFmt w:val="lowerRoman"/>
      <w:lvlText w:val="%4."/>
      <w:lvlJc w:val="right"/>
      <w:pPr>
        <w:ind w:left="1584" w:hanging="288"/>
      </w:p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3">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256E48"/>
    <w:multiLevelType w:val="hybridMultilevel"/>
    <w:tmpl w:val="1E74B88C"/>
    <w:lvl w:ilvl="0" w:tplc="8370F608">
      <w:start w:val="1"/>
      <w:numFmt w:val="bullet"/>
      <w:lvlText w:val=""/>
      <w:lvlJc w:val="left"/>
      <w:pPr>
        <w:tabs>
          <w:tab w:val="num" w:pos="720"/>
        </w:tabs>
        <w:ind w:left="720" w:hanging="360"/>
      </w:pPr>
      <w:rPr>
        <w:rFonts w:ascii="Wingdings" w:hAnsi="Wingdings" w:hint="default"/>
      </w:rPr>
    </w:lvl>
    <w:lvl w:ilvl="1" w:tplc="1ECA7C7A" w:tentative="1">
      <w:start w:val="1"/>
      <w:numFmt w:val="bullet"/>
      <w:lvlText w:val=""/>
      <w:lvlJc w:val="left"/>
      <w:pPr>
        <w:tabs>
          <w:tab w:val="num" w:pos="1440"/>
        </w:tabs>
        <w:ind w:left="1440" w:hanging="360"/>
      </w:pPr>
      <w:rPr>
        <w:rFonts w:ascii="Wingdings" w:hAnsi="Wingdings" w:hint="default"/>
      </w:rPr>
    </w:lvl>
    <w:lvl w:ilvl="2" w:tplc="B83C6D34" w:tentative="1">
      <w:start w:val="1"/>
      <w:numFmt w:val="bullet"/>
      <w:lvlText w:val=""/>
      <w:lvlJc w:val="left"/>
      <w:pPr>
        <w:tabs>
          <w:tab w:val="num" w:pos="2160"/>
        </w:tabs>
        <w:ind w:left="2160" w:hanging="360"/>
      </w:pPr>
      <w:rPr>
        <w:rFonts w:ascii="Wingdings" w:hAnsi="Wingdings" w:hint="default"/>
      </w:rPr>
    </w:lvl>
    <w:lvl w:ilvl="3" w:tplc="D84EE008" w:tentative="1">
      <w:start w:val="1"/>
      <w:numFmt w:val="bullet"/>
      <w:lvlText w:val=""/>
      <w:lvlJc w:val="left"/>
      <w:pPr>
        <w:tabs>
          <w:tab w:val="num" w:pos="2880"/>
        </w:tabs>
        <w:ind w:left="2880" w:hanging="360"/>
      </w:pPr>
      <w:rPr>
        <w:rFonts w:ascii="Wingdings" w:hAnsi="Wingdings" w:hint="default"/>
      </w:rPr>
    </w:lvl>
    <w:lvl w:ilvl="4" w:tplc="3EAE019E" w:tentative="1">
      <w:start w:val="1"/>
      <w:numFmt w:val="bullet"/>
      <w:lvlText w:val=""/>
      <w:lvlJc w:val="left"/>
      <w:pPr>
        <w:tabs>
          <w:tab w:val="num" w:pos="3600"/>
        </w:tabs>
        <w:ind w:left="3600" w:hanging="360"/>
      </w:pPr>
      <w:rPr>
        <w:rFonts w:ascii="Wingdings" w:hAnsi="Wingdings" w:hint="default"/>
      </w:rPr>
    </w:lvl>
    <w:lvl w:ilvl="5" w:tplc="69EE2BB0" w:tentative="1">
      <w:start w:val="1"/>
      <w:numFmt w:val="bullet"/>
      <w:lvlText w:val=""/>
      <w:lvlJc w:val="left"/>
      <w:pPr>
        <w:tabs>
          <w:tab w:val="num" w:pos="4320"/>
        </w:tabs>
        <w:ind w:left="4320" w:hanging="360"/>
      </w:pPr>
      <w:rPr>
        <w:rFonts w:ascii="Wingdings" w:hAnsi="Wingdings" w:hint="default"/>
      </w:rPr>
    </w:lvl>
    <w:lvl w:ilvl="6" w:tplc="7C266336" w:tentative="1">
      <w:start w:val="1"/>
      <w:numFmt w:val="bullet"/>
      <w:lvlText w:val=""/>
      <w:lvlJc w:val="left"/>
      <w:pPr>
        <w:tabs>
          <w:tab w:val="num" w:pos="5040"/>
        </w:tabs>
        <w:ind w:left="5040" w:hanging="360"/>
      </w:pPr>
      <w:rPr>
        <w:rFonts w:ascii="Wingdings" w:hAnsi="Wingdings" w:hint="default"/>
      </w:rPr>
    </w:lvl>
    <w:lvl w:ilvl="7" w:tplc="A7749F3A" w:tentative="1">
      <w:start w:val="1"/>
      <w:numFmt w:val="bullet"/>
      <w:lvlText w:val=""/>
      <w:lvlJc w:val="left"/>
      <w:pPr>
        <w:tabs>
          <w:tab w:val="num" w:pos="5760"/>
        </w:tabs>
        <w:ind w:left="5760" w:hanging="360"/>
      </w:pPr>
      <w:rPr>
        <w:rFonts w:ascii="Wingdings" w:hAnsi="Wingdings" w:hint="default"/>
      </w:rPr>
    </w:lvl>
    <w:lvl w:ilvl="8" w:tplc="0D1E95C0" w:tentative="1">
      <w:start w:val="1"/>
      <w:numFmt w:val="bullet"/>
      <w:lvlText w:val=""/>
      <w:lvlJc w:val="left"/>
      <w:pPr>
        <w:tabs>
          <w:tab w:val="num" w:pos="6480"/>
        </w:tabs>
        <w:ind w:left="6480" w:hanging="360"/>
      </w:pPr>
      <w:rPr>
        <w:rFonts w:ascii="Wingdings" w:hAnsi="Wingdings" w:hint="default"/>
      </w:rPr>
    </w:lvl>
  </w:abstractNum>
  <w:abstractNum w:abstractNumId="8">
    <w:nsid w:val="73DA472B"/>
    <w:multiLevelType w:val="hybridMultilevel"/>
    <w:tmpl w:val="A596F61A"/>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9"/>
  </w:num>
  <w:num w:numId="5">
    <w:abstractNumId w:val="8"/>
  </w:num>
  <w:num w:numId="6">
    <w:abstractNumId w:val="0"/>
  </w:num>
  <w:num w:numId="7">
    <w:abstractNumId w:val="1"/>
  </w:num>
  <w:num w:numId="8">
    <w:abstractNumId w:val="3"/>
  </w:num>
  <w:num w:numId="9">
    <w:abstractNumId w:val="2"/>
  </w:num>
  <w:num w:numId="10">
    <w:abstractNumId w:val="2"/>
    <w:lvlOverride w:ilvl="0">
      <w:startOverride w:val="1"/>
    </w:lvlOverride>
    <w:lvlOverride w:ilvl="1">
      <w:startOverride w:val="4"/>
    </w:lvlOverride>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oNotTrackMoves/>
  <w:doNotTrackFormatting/>
  <w:defaultTabStop w:val="720"/>
  <w:characterSpacingControl w:val="doNotCompress"/>
  <w:footnotePr>
    <w:footnote w:id="-1"/>
    <w:footnote w:id="0"/>
  </w:footnotePr>
  <w:endnotePr>
    <w:endnote w:id="-1"/>
    <w:endnote w:id="0"/>
  </w:endnotePr>
  <w:compat/>
  <w:rsids>
    <w:rsidRoot w:val="0095711B"/>
    <w:rsid w:val="000269F9"/>
    <w:rsid w:val="000725A9"/>
    <w:rsid w:val="00086CFF"/>
    <w:rsid w:val="000C330A"/>
    <w:rsid w:val="000F39D2"/>
    <w:rsid w:val="000F7906"/>
    <w:rsid w:val="00102DAE"/>
    <w:rsid w:val="0011359E"/>
    <w:rsid w:val="00124040"/>
    <w:rsid w:val="001316E2"/>
    <w:rsid w:val="0017216B"/>
    <w:rsid w:val="001C18FD"/>
    <w:rsid w:val="001D5EB7"/>
    <w:rsid w:val="001F7044"/>
    <w:rsid w:val="001F7559"/>
    <w:rsid w:val="00210317"/>
    <w:rsid w:val="002152FA"/>
    <w:rsid w:val="00225B5A"/>
    <w:rsid w:val="00236249"/>
    <w:rsid w:val="00244A9D"/>
    <w:rsid w:val="0028127C"/>
    <w:rsid w:val="002D59A0"/>
    <w:rsid w:val="003115D7"/>
    <w:rsid w:val="00335B4C"/>
    <w:rsid w:val="00340BC1"/>
    <w:rsid w:val="00342CC6"/>
    <w:rsid w:val="00346E79"/>
    <w:rsid w:val="003622D9"/>
    <w:rsid w:val="00366F15"/>
    <w:rsid w:val="0037186A"/>
    <w:rsid w:val="003D2892"/>
    <w:rsid w:val="003D609D"/>
    <w:rsid w:val="003E62BC"/>
    <w:rsid w:val="003F4208"/>
    <w:rsid w:val="00406B95"/>
    <w:rsid w:val="00416432"/>
    <w:rsid w:val="004311D4"/>
    <w:rsid w:val="00482240"/>
    <w:rsid w:val="00494329"/>
    <w:rsid w:val="004D5C5A"/>
    <w:rsid w:val="004F386F"/>
    <w:rsid w:val="0050104A"/>
    <w:rsid w:val="00520F58"/>
    <w:rsid w:val="00531E51"/>
    <w:rsid w:val="005364CE"/>
    <w:rsid w:val="00554CF6"/>
    <w:rsid w:val="0058137A"/>
    <w:rsid w:val="00582F56"/>
    <w:rsid w:val="005A1056"/>
    <w:rsid w:val="005A3A6C"/>
    <w:rsid w:val="005D6705"/>
    <w:rsid w:val="00641ED4"/>
    <w:rsid w:val="00675E7A"/>
    <w:rsid w:val="00682716"/>
    <w:rsid w:val="00686820"/>
    <w:rsid w:val="00702A56"/>
    <w:rsid w:val="00746260"/>
    <w:rsid w:val="007A541D"/>
    <w:rsid w:val="007B6B61"/>
    <w:rsid w:val="007E620D"/>
    <w:rsid w:val="00801D9C"/>
    <w:rsid w:val="008052A0"/>
    <w:rsid w:val="00807C07"/>
    <w:rsid w:val="00816D63"/>
    <w:rsid w:val="00865A6F"/>
    <w:rsid w:val="008813B9"/>
    <w:rsid w:val="008902BA"/>
    <w:rsid w:val="00933A84"/>
    <w:rsid w:val="0095122E"/>
    <w:rsid w:val="0095711B"/>
    <w:rsid w:val="00967F24"/>
    <w:rsid w:val="009D72A4"/>
    <w:rsid w:val="009F3492"/>
    <w:rsid w:val="00A10CD5"/>
    <w:rsid w:val="00A12C27"/>
    <w:rsid w:val="00A12E3B"/>
    <w:rsid w:val="00A13EE1"/>
    <w:rsid w:val="00A20379"/>
    <w:rsid w:val="00A2474F"/>
    <w:rsid w:val="00A368DF"/>
    <w:rsid w:val="00A37C9C"/>
    <w:rsid w:val="00A57185"/>
    <w:rsid w:val="00A876E7"/>
    <w:rsid w:val="00AD3653"/>
    <w:rsid w:val="00AF2F55"/>
    <w:rsid w:val="00B13125"/>
    <w:rsid w:val="00B307EC"/>
    <w:rsid w:val="00B347ED"/>
    <w:rsid w:val="00B70574"/>
    <w:rsid w:val="00BB2778"/>
    <w:rsid w:val="00BB612A"/>
    <w:rsid w:val="00C43E24"/>
    <w:rsid w:val="00C457AE"/>
    <w:rsid w:val="00C5730B"/>
    <w:rsid w:val="00C854FE"/>
    <w:rsid w:val="00C92A5C"/>
    <w:rsid w:val="00CA272D"/>
    <w:rsid w:val="00CA3979"/>
    <w:rsid w:val="00CD109E"/>
    <w:rsid w:val="00CF4DDD"/>
    <w:rsid w:val="00D2491C"/>
    <w:rsid w:val="00D327DC"/>
    <w:rsid w:val="00D800CE"/>
    <w:rsid w:val="00D95606"/>
    <w:rsid w:val="00DC1E68"/>
    <w:rsid w:val="00DF475D"/>
    <w:rsid w:val="00E016B9"/>
    <w:rsid w:val="00E44DC0"/>
    <w:rsid w:val="00E5259A"/>
    <w:rsid w:val="00E65098"/>
    <w:rsid w:val="00E6675A"/>
    <w:rsid w:val="00EA3919"/>
    <w:rsid w:val="00EB435F"/>
    <w:rsid w:val="00ED70D1"/>
    <w:rsid w:val="00EF41CE"/>
    <w:rsid w:val="00F41DD5"/>
    <w:rsid w:val="00F455F8"/>
    <w:rsid w:val="00FE14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0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semiHidden/>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semiHidden/>
    <w:unhideWhenUsed/>
    <w:rsid w:val="00C854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54FE"/>
    <w:rPr>
      <w:sz w:val="20"/>
      <w:szCs w:val="20"/>
    </w:rPr>
  </w:style>
  <w:style w:type="character" w:styleId="FootnoteReference">
    <w:name w:val="footnote reference"/>
    <w:basedOn w:val="DefaultParagraphFont"/>
    <w:uiPriority w:val="99"/>
    <w:semiHidden/>
    <w:unhideWhenUsed/>
    <w:rsid w:val="00C854FE"/>
    <w:rPr>
      <w:vertAlign w:val="superscript"/>
    </w:rPr>
  </w:style>
  <w:style w:type="paragraph" w:customStyle="1" w:styleId="Paragraph">
    <w:name w:val="Paragraph"/>
    <w:basedOn w:val="BodyTextIndent"/>
    <w:rsid w:val="00B70574"/>
  </w:style>
  <w:style w:type="paragraph" w:customStyle="1" w:styleId="SubSubPar">
    <w:name w:val="SubSubPar"/>
    <w:basedOn w:val="Normal"/>
    <w:rsid w:val="00B70574"/>
    <w:pPr>
      <w:numPr>
        <w:numId w:val="9"/>
      </w:numPr>
      <w:tabs>
        <w:tab w:val="left" w:pos="-1224"/>
        <w:tab w:val="left" w:pos="360"/>
      </w:tabs>
      <w:suppressAutoHyphens/>
      <w:autoSpaceDN w:val="0"/>
      <w:spacing w:before="120" w:after="120" w:line="240" w:lineRule="auto"/>
      <w:jc w:val="both"/>
      <w:textAlignment w:val="baseline"/>
      <w:outlineLvl w:val="2"/>
    </w:pPr>
    <w:rPr>
      <w:rFonts w:ascii="Times New Roman" w:eastAsia="Times New Roman" w:hAnsi="Times New Roman" w:cs="Times New Roman"/>
      <w:sz w:val="24"/>
      <w:szCs w:val="20"/>
    </w:rPr>
  </w:style>
  <w:style w:type="numbering" w:customStyle="1" w:styleId="LFO10">
    <w:name w:val="LFO10"/>
    <w:basedOn w:val="NoList"/>
    <w:rsid w:val="00B70574"/>
    <w:pPr>
      <w:numPr>
        <w:numId w:val="9"/>
      </w:numPr>
    </w:pPr>
  </w:style>
  <w:style w:type="paragraph" w:styleId="BodyTextIndent">
    <w:name w:val="Body Text Indent"/>
    <w:basedOn w:val="Normal"/>
    <w:link w:val="BodyTextIndentChar"/>
    <w:uiPriority w:val="99"/>
    <w:semiHidden/>
    <w:unhideWhenUsed/>
    <w:rsid w:val="00B70574"/>
    <w:pPr>
      <w:spacing w:after="120"/>
      <w:ind w:left="360"/>
    </w:pPr>
  </w:style>
  <w:style w:type="character" w:customStyle="1" w:styleId="BodyTextIndentChar">
    <w:name w:val="Body Text Indent Char"/>
    <w:basedOn w:val="DefaultParagraphFont"/>
    <w:link w:val="BodyTextIndent"/>
    <w:uiPriority w:val="99"/>
    <w:semiHidden/>
    <w:rsid w:val="00B70574"/>
  </w:style>
</w:styles>
</file>

<file path=word/webSettings.xml><?xml version="1.0" encoding="utf-8"?>
<w:webSettings xmlns:r="http://schemas.openxmlformats.org/officeDocument/2006/relationships" xmlns:w="http://schemas.openxmlformats.org/wordprocessingml/2006/main">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25667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40138186</IDBDocs_x0020_Number>
    <TaxCatchAll xmlns="cdc7663a-08f0-4737-9e8c-148ce897a09c">
      <Value>69</Value>
      <Value>60</Value>
      <Value>9</Value>
    </TaxCatchAll>
    <Phase xmlns="cdc7663a-08f0-4737-9e8c-148ce897a09c" xsi:nil="true"/>
    <SISCOR_x0020_Number xmlns="cdc7663a-08f0-4737-9e8c-148ce897a09c" xsi:nil="true"/>
    <Division_x0020_or_x0020_Unit xmlns="cdc7663a-08f0-4737-9e8c-148ce897a09c">INE/INE</Division_x0020_or_x0020_Unit>
    <Approval_x0020_Number xmlns="cdc7663a-08f0-4737-9e8c-148ce897a09c" xsi:nil="true"/>
    <Document_x0020_Author xmlns="cdc7663a-08f0-4737-9e8c-148ce897a09c">Astesiano, Gaston</Document_x0020_Author>
    <Fiscal_x0020_Year_x0020_IDB xmlns="cdc7663a-08f0-4737-9e8c-148ce897a09c">2012</Fiscal_x0020_Year_x0020_IDB>
    <Other_x0020_Author xmlns="cdc7663a-08f0-4737-9e8c-148ce897a09c" xsi:nil="true"/>
    <Project_x0020_Number xmlns="cdc7663a-08f0-4737-9e8c-148ce897a09c">BR-T1256</Project_x0020_Number>
    <Package_x0020_Code xmlns="cdc7663a-08f0-4737-9e8c-148ce897a09c" xsi:nil="true"/>
    <Key_x0020_Document xmlns="cdc7663a-08f0-4737-9e8c-148ce897a09c">false</Key_x0020_Document>
    <Migration_x0020_Info xmlns="cdc7663a-08f0-4737-9e8c-148ce897a09c">&lt;div class="ExternalClassBB3884C5DABC4013BBA54D367006AB8D"&gt;MS WORDTC-ABSTRACT TC Abstract0N&lt;/div&gt;</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EZSHARE-1079845749-2158</_dlc_DocId>
    <_dlc_DocIdUrl xmlns="cdc7663a-08f0-4737-9e8c-148ce897a09c">
      <Url>https://idbg.sharepoint.com/teams/ez-ExitedInactiveOperations/_layouts/15/DocIdRedir.aspx?ID=EZSHARE-1079845749-2158</Url>
      <Description>EZSHARE-1079845749-2158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D2CA7B5FB71A264D869715292D8DF0BE" ma:contentTypeVersion="4" ma:contentTypeDescription="The base project type from which other project content types inherit their information." ma:contentTypeScope="" ma:versionID="9845818517549d35dc04666edeb11fe4">
  <xsd:schema xmlns:xsd="http://www.w3.org/2001/XMLSchema" xmlns:xs="http://www.w3.org/2001/XMLSchema" xmlns:p="http://schemas.microsoft.com/office/2006/metadata/properties" xmlns:ns2="cdc7663a-08f0-4737-9e8c-148ce897a09c" targetNamespace="http://schemas.microsoft.com/office/2006/metadata/properties" ma:root="true" ma:fieldsID="28d8e073edeecece253e3fcd726c0a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2895214-276b-4a49-b330-4591213fdcf7}" ma:internalName="TaxCatchAll" ma:showField="CatchAllData"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2895214-276b-4a49-b330-4591213fdcf7}" ma:internalName="TaxCatchAllLabel" ma:readOnly="true" ma:showField="CatchAllDataLabel"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ma:readOnly="false">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true"/>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Props1.xml><?xml version="1.0" encoding="utf-8"?>
<ds:datastoreItem xmlns:ds="http://schemas.openxmlformats.org/officeDocument/2006/customXml" ds:itemID="{B0856BCA-A5F4-4B57-82F5-E550B8E8764C}"/>
</file>

<file path=customXml/itemProps2.xml><?xml version="1.0" encoding="utf-8"?>
<ds:datastoreItem xmlns:ds="http://schemas.openxmlformats.org/officeDocument/2006/customXml" ds:itemID="{E2E1B584-56E6-475F-9289-9D4C76921FE3}"/>
</file>

<file path=customXml/itemProps3.xml><?xml version="1.0" encoding="utf-8"?>
<ds:datastoreItem xmlns:ds="http://schemas.openxmlformats.org/officeDocument/2006/customXml" ds:itemID="{B13405AB-514F-4CD8-8BD1-E4D179F0E26C}"/>
</file>

<file path=customXml/itemProps4.xml><?xml version="1.0" encoding="utf-8"?>
<ds:datastoreItem xmlns:ds="http://schemas.openxmlformats.org/officeDocument/2006/customXml" ds:itemID="{BD81BC29-3C03-49FB-95EE-7510523C19D0}"/>
</file>

<file path=customXml/itemProps5.xml><?xml version="1.0" encoding="utf-8"?>
<ds:datastoreItem xmlns:ds="http://schemas.openxmlformats.org/officeDocument/2006/customXml" ds:itemID="{D849C4A5-C6B5-46EA-8BC5-B85BE85856A9}"/>
</file>

<file path=customXml/itemProps6.xml><?xml version="1.0" encoding="utf-8"?>
<ds:datastoreItem xmlns:ds="http://schemas.openxmlformats.org/officeDocument/2006/customXml" ds:itemID="{48AA2389-1831-4004-BB47-73A1D1268641}"/>
</file>

<file path=customXml/itemProps7.xml><?xml version="1.0" encoding="utf-8"?>
<ds:datastoreItem xmlns:ds="http://schemas.openxmlformats.org/officeDocument/2006/customXml" ds:itemID="{CE4D3AAF-0E8C-43FA-8356-C2C90561FB88}"/>
</file>

<file path=docProps/app.xml><?xml version="1.0" encoding="utf-8"?>
<Properties xmlns="http://schemas.openxmlformats.org/officeDocument/2006/extended-properties" xmlns:vt="http://schemas.openxmlformats.org/officeDocument/2006/docPropsVTypes">
  <Template>Normal.dotm</Template>
  <TotalTime>0</TotalTime>
  <Pages>4</Pages>
  <Words>1139</Words>
  <Characters>6497</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BR-T1256 TC Abstract (for publication)</dc:title>
  <dc:subject/>
  <dc:creator>Yolanda Strachan</dc:creator>
  <cp:keywords/>
  <dc:description/>
  <cp:lastModifiedBy>Romina Kim</cp:lastModifiedBy>
  <cp:revision>2</cp:revision>
  <cp:lastPrinted>2011-03-28T14:34:00Z</cp:lastPrinted>
  <dcterms:created xsi:type="dcterms:W3CDTF">2012-01-26T21:00:00Z</dcterms:created>
  <dcterms:modified xsi:type="dcterms:W3CDTF">2012-01-26T21:00:00Z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0x010100ACF722E9F6B0B149B0CD8BE2560A667200D2CA7B5FB71A264D869715292D8DF0BE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216;#TC Abstract|7d12d2c9-3b07-4a95-a4b4-99c2881b0472</vt:lpwstr>
  </property>
  <property fmtid="{D5CDD505-2E9C-101B-9397-08002B2CF9AE}" pid="8" name="Country">
    <vt:lpwstr>9;#Brazil|7deb27ec-6837-4974-9aa8-6cfbac841ef8</vt:lpwstr>
  </property>
  <property fmtid="{D5CDD505-2E9C-101B-9397-08002B2CF9AE}" pid="9" name="Fund IDB">
    <vt:lpwstr/>
  </property>
  <property fmtid="{D5CDD505-2E9C-101B-9397-08002B2CF9AE}" pid="10" name="Series_x0020_Operations_x0020_IDB">
    <vt:lpwstr>216;#TC Abstract|7d12d2c9-3b07-4a95-a4b4-99c2881b0472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60;#Project Preparation, Planning and Design|29ca0c72-1fc4-435f-a09c-28585cb5eac9</vt:lpwstr>
  </property>
  <property fmtid="{D5CDD505-2E9C-101B-9397-08002B2CF9AE}" pid="15" name="Sub-Sector">
    <vt:lpwstr/>
  </property>
  <property fmtid="{D5CDD505-2E9C-101B-9397-08002B2CF9AE}" pid="16" name="Abstract">
    <vt:lpwstr>The Brazil PSP Development Program has as main goal to contribute to the private participation on infrastructure in Brazil, through financing preparatory activities and studies for infrastructure projects therefore this operation is consistent with paragraph 1.4a.i. of the Infrastructure Project Preparation Fund, which set as eligible activities: ¿Preparatory activities for investment transactions in infrastructure, . . . and project identification activities not related to specific projects.¿ O</vt:lpwstr>
  </property>
  <property fmtid="{D5CDD505-2E9C-101B-9397-08002B2CF9AE}" pid="17" name="Disclosure Activity">
    <vt:lpwstr> TC Abstract</vt:lpwstr>
  </property>
  <property fmtid="{D5CDD505-2E9C-101B-9397-08002B2CF9AE}" pid="18" name="Region">
    <vt:lpwstr/>
  </property>
  <property fmtid="{D5CDD505-2E9C-101B-9397-08002B2CF9AE}" pid="19" name="Webtopic">
    <vt:lpwstr>Water and Sanitation</vt:lpwstr>
  </property>
  <property fmtid="{D5CDD505-2E9C-101B-9397-08002B2CF9AE}" pid="20" name="Publishing House">
    <vt:lpwstr/>
  </property>
  <property fmtid="{D5CDD505-2E9C-101B-9397-08002B2CF9AE}" pid="21" name="Disclosed">
    <vt:bool>false</vt:bool>
  </property>
  <property fmtid="{D5CDD505-2E9C-101B-9397-08002B2CF9AE}" pid="22" name="KP Topics">
    <vt:lpwstr/>
  </property>
  <property fmtid="{D5CDD505-2E9C-101B-9397-08002B2CF9AE}" pid="23" name="Editor1">
    <vt:lpwstr/>
  </property>
  <property fmtid="{D5CDD505-2E9C-101B-9397-08002B2CF9AE}" pid="24" name="URL">
    <vt:lpwstr/>
  </property>
  <property fmtid="{D5CDD505-2E9C-101B-9397-08002B2CF9AE}" pid="25" name="Publication Type">
    <vt:lpwstr/>
  </property>
  <property fmtid="{D5CDD505-2E9C-101B-9397-08002B2CF9AE}" pid="26" name="_dlc_DocIdItemGuid">
    <vt:lpwstr>364de057-183a-410e-843b-efd8b7a4c044</vt:lpwstr>
  </property>
  <property fmtid="{D5CDD505-2E9C-101B-9397-08002B2CF9AE}" pid="27" name="j65ec2e3a7e44c39a1acebfd2a19200a">
    <vt:lpwstr/>
  </property>
  <property fmtid="{D5CDD505-2E9C-101B-9397-08002B2CF9AE}" pid="28" name="cf0f1ca6d90e4583ad80995bcde0e58a">
    <vt:lpwstr/>
  </property>
  <property fmtid="{D5CDD505-2E9C-101B-9397-08002B2CF9AE}" pid="29" name="Function Corporate IDB">
    <vt:lpwstr/>
  </property>
  <property fmtid="{D5CDD505-2E9C-101B-9397-08002B2CF9AE}" pid="30" name="Series Corporate IDB">
    <vt:lpwstr/>
  </property>
</Properties>
</file>