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6.xml" ContentType="application/vnd.openxmlformats-officedocument.drawingml.chart+xml"/>
  <Override PartName="/word/charts/style5.xml" ContentType="application/vnd.ms-office.chartstyle+xml"/>
  <Override PartName="/word/charts/style4.xml" ContentType="application/vnd.ms-office.chartstyle+xml"/>
  <Override PartName="/word/charts/chart5.xml" ContentType="application/vnd.openxmlformats-officedocument.drawingml.chart+xml"/>
  <Override PartName="/word/charts/colors4.xml" ContentType="application/vnd.ms-office.chartcolorstyle+xml"/>
  <Override PartName="/word/theme/theme1.xml" ContentType="application/vnd.openxmlformats-officedocument.theme+xml"/>
  <Override PartName="/word/charts/colors5.xml" ContentType="application/vnd.ms-office.chartcolorstyle+xml"/>
  <Override PartName="/word/charts/style3.xml" ContentType="application/vnd.ms-office.chartstyle+xml"/>
  <Override PartName="/word/charts/chart4.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charts/colors3.xml" ContentType="application/vnd.ms-office.chartcolorstyle+xml"/>
  <Override PartName="/word/charts/style1.xml" ContentType="application/vnd.ms-office.chartstyle+xml"/>
  <Override PartName="/word/charts/colors2.xml" ContentType="application/vnd.ms-office.chartcolor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42F" w:rsidRPr="0013442F" w:rsidRDefault="0013442F" w:rsidP="0013442F">
      <w:bookmarkStart w:id="0" w:name="_Hlk503168270"/>
      <w:bookmarkEnd w:id="0"/>
    </w:p>
    <w:p w:rsidR="005C5B91" w:rsidRPr="00484934" w:rsidRDefault="005C5B91" w:rsidP="00132A36"/>
    <w:tbl>
      <w:tblPr>
        <w:tblW w:w="5000" w:type="pct"/>
        <w:jc w:val="center"/>
        <w:tblLook w:val="04A0" w:firstRow="1" w:lastRow="0" w:firstColumn="1" w:lastColumn="0" w:noHBand="0" w:noVBand="1"/>
      </w:tblPr>
      <w:tblGrid>
        <w:gridCol w:w="8640"/>
      </w:tblGrid>
      <w:tr w:rsidR="00114300" w:rsidRPr="00FA63AC" w:rsidTr="005C5B91">
        <w:trPr>
          <w:trHeight w:val="3843"/>
          <w:jc w:val="center"/>
        </w:trPr>
        <w:tc>
          <w:tcPr>
            <w:tcW w:w="5000" w:type="pct"/>
          </w:tcPr>
          <w:p w:rsidR="00114300" w:rsidRPr="00FA63AC" w:rsidRDefault="00512567" w:rsidP="00A729A2">
            <w:pPr>
              <w:pStyle w:val="NoSpacing"/>
              <w:spacing w:line="276" w:lineRule="auto"/>
              <w:jc w:val="center"/>
              <w:rPr>
                <w:rFonts w:ascii="Cambria" w:hAnsi="Cambria"/>
                <w:caps/>
              </w:rPr>
            </w:pPr>
            <w:r w:rsidRPr="00FA63AC">
              <w:rPr>
                <w:rFonts w:ascii="Times New Roman" w:hAnsi="Times New Roman"/>
                <w:b/>
                <w:sz w:val="28"/>
                <w:szCs w:val="28"/>
              </w:rPr>
              <w:t xml:space="preserve">DOCUMENTO </w:t>
            </w:r>
            <w:r w:rsidR="00F35F42" w:rsidRPr="00FA63AC">
              <w:rPr>
                <w:rFonts w:ascii="Times New Roman" w:hAnsi="Times New Roman"/>
                <w:b/>
                <w:sz w:val="28"/>
                <w:szCs w:val="28"/>
              </w:rPr>
              <w:t>DO BANCO INTERAMENRICANO DE DESENVOLVIMENTO</w:t>
            </w:r>
          </w:p>
        </w:tc>
      </w:tr>
      <w:tr w:rsidR="00114300" w:rsidRPr="00FA63AC" w:rsidTr="005C5B91">
        <w:trPr>
          <w:trHeight w:val="2340"/>
          <w:jc w:val="center"/>
        </w:trPr>
        <w:tc>
          <w:tcPr>
            <w:tcW w:w="5000" w:type="pct"/>
            <w:tcBorders>
              <w:bottom w:val="single" w:sz="4" w:space="0" w:color="4F81BD"/>
            </w:tcBorders>
            <w:vAlign w:val="center"/>
          </w:tcPr>
          <w:p w:rsidR="00114300" w:rsidRPr="00FA63AC" w:rsidRDefault="00591106" w:rsidP="00591106">
            <w:pPr>
              <w:pStyle w:val="NoSpacing"/>
              <w:spacing w:line="276" w:lineRule="auto"/>
              <w:jc w:val="center"/>
              <w:rPr>
                <w:rFonts w:ascii="Cambria" w:hAnsi="Cambria"/>
                <w:b/>
                <w:sz w:val="80"/>
                <w:szCs w:val="80"/>
              </w:rPr>
            </w:pPr>
            <w:r w:rsidRPr="00FA63AC">
              <w:rPr>
                <w:rFonts w:ascii="Cambria" w:hAnsi="Cambria"/>
                <w:b/>
                <w:sz w:val="32"/>
                <w:szCs w:val="32"/>
              </w:rPr>
              <w:t>PERNAMBUCO</w:t>
            </w:r>
          </w:p>
        </w:tc>
      </w:tr>
      <w:tr w:rsidR="00114300" w:rsidRPr="00FA63AC">
        <w:trPr>
          <w:trHeight w:val="720"/>
          <w:jc w:val="center"/>
        </w:trPr>
        <w:tc>
          <w:tcPr>
            <w:tcW w:w="5000" w:type="pct"/>
            <w:tcBorders>
              <w:top w:val="single" w:sz="4" w:space="0" w:color="4F81BD"/>
            </w:tcBorders>
            <w:vAlign w:val="center"/>
          </w:tcPr>
          <w:p w:rsidR="00C67DA1" w:rsidRPr="00FA63AC" w:rsidRDefault="00AA6DB3" w:rsidP="006B3D07">
            <w:pPr>
              <w:pStyle w:val="NoSpacing"/>
              <w:spacing w:line="276" w:lineRule="auto"/>
              <w:jc w:val="center"/>
              <w:rPr>
                <w:rFonts w:ascii="Arial" w:hAnsi="Arial" w:cs="Arial"/>
                <w:sz w:val="20"/>
              </w:rPr>
            </w:pPr>
            <w:r w:rsidRPr="00FA63AC">
              <w:rPr>
                <w:rFonts w:ascii="Arial" w:hAnsi="Arial" w:cs="Arial"/>
                <w:sz w:val="20"/>
              </w:rPr>
              <w:t>P</w:t>
            </w:r>
            <w:r w:rsidR="00C67DA1" w:rsidRPr="00FA63AC">
              <w:rPr>
                <w:rFonts w:ascii="Arial" w:hAnsi="Arial" w:cs="Arial"/>
                <w:sz w:val="20"/>
              </w:rPr>
              <w:t>rojeto de Modernizaç</w:t>
            </w:r>
            <w:r w:rsidR="00591106" w:rsidRPr="00FA63AC">
              <w:rPr>
                <w:rFonts w:ascii="Arial" w:hAnsi="Arial" w:cs="Arial"/>
                <w:sz w:val="20"/>
              </w:rPr>
              <w:t>ão da Gestão Fiscal do Estado de</w:t>
            </w:r>
            <w:r w:rsidR="00C67DA1" w:rsidRPr="00FA63AC">
              <w:rPr>
                <w:rFonts w:ascii="Arial" w:hAnsi="Arial" w:cs="Arial"/>
                <w:sz w:val="20"/>
              </w:rPr>
              <w:t xml:space="preserve"> </w:t>
            </w:r>
            <w:r w:rsidR="00591106" w:rsidRPr="00FA63AC">
              <w:rPr>
                <w:rFonts w:ascii="Arial" w:hAnsi="Arial" w:cs="Arial"/>
                <w:sz w:val="20"/>
              </w:rPr>
              <w:t>Pernambuco</w:t>
            </w:r>
            <w:r w:rsidR="00C67DA1" w:rsidRPr="00FA63AC">
              <w:rPr>
                <w:rFonts w:ascii="Arial" w:hAnsi="Arial" w:cs="Arial"/>
                <w:sz w:val="20"/>
              </w:rPr>
              <w:t xml:space="preserve"> (PROFISCO II </w:t>
            </w:r>
            <w:r w:rsidR="00591106" w:rsidRPr="00FA63AC">
              <w:rPr>
                <w:rFonts w:ascii="Arial" w:hAnsi="Arial" w:cs="Arial"/>
                <w:sz w:val="20"/>
              </w:rPr>
              <w:t>PE</w:t>
            </w:r>
            <w:r w:rsidR="00C67DA1" w:rsidRPr="00FA63AC">
              <w:rPr>
                <w:rFonts w:ascii="Arial" w:hAnsi="Arial" w:cs="Arial"/>
                <w:sz w:val="20"/>
              </w:rPr>
              <w:t>)</w:t>
            </w:r>
          </w:p>
          <w:p w:rsidR="00114300" w:rsidRPr="00FA63AC" w:rsidRDefault="003B5CF7" w:rsidP="00591106">
            <w:pPr>
              <w:pStyle w:val="NoSpacing"/>
              <w:spacing w:line="276" w:lineRule="auto"/>
              <w:jc w:val="center"/>
              <w:rPr>
                <w:rFonts w:ascii="Times New Roman" w:hAnsi="Times New Roman"/>
                <w:b/>
                <w:sz w:val="24"/>
                <w:szCs w:val="24"/>
              </w:rPr>
            </w:pPr>
            <w:r w:rsidRPr="00FA63AC">
              <w:rPr>
                <w:rFonts w:ascii="Arial" w:hAnsi="Arial" w:cs="Arial"/>
              </w:rPr>
              <w:t>BR-L</w:t>
            </w:r>
            <w:r w:rsidR="00582E83" w:rsidRPr="00FA63AC">
              <w:rPr>
                <w:rFonts w:ascii="Arial" w:hAnsi="Arial" w:cs="Arial"/>
              </w:rPr>
              <w:t>1</w:t>
            </w:r>
            <w:r w:rsidR="00C440C9" w:rsidRPr="00FA63AC">
              <w:rPr>
                <w:rFonts w:ascii="Arial" w:hAnsi="Arial" w:cs="Arial"/>
              </w:rPr>
              <w:t>50</w:t>
            </w:r>
            <w:r w:rsidR="00591106" w:rsidRPr="00FA63AC">
              <w:rPr>
                <w:rFonts w:ascii="Arial" w:hAnsi="Arial" w:cs="Arial"/>
              </w:rPr>
              <w:t>1</w:t>
            </w:r>
          </w:p>
        </w:tc>
      </w:tr>
      <w:tr w:rsidR="00114300" w:rsidRPr="00FA63AC">
        <w:trPr>
          <w:trHeight w:val="360"/>
          <w:jc w:val="center"/>
        </w:trPr>
        <w:tc>
          <w:tcPr>
            <w:tcW w:w="5000" w:type="pct"/>
            <w:vAlign w:val="center"/>
          </w:tcPr>
          <w:p w:rsidR="00114300" w:rsidRPr="00FA63AC" w:rsidRDefault="00114300" w:rsidP="00132A36">
            <w:pPr>
              <w:pStyle w:val="NoSpacing"/>
              <w:spacing w:line="276" w:lineRule="auto"/>
              <w:jc w:val="center"/>
            </w:pPr>
          </w:p>
        </w:tc>
      </w:tr>
      <w:tr w:rsidR="00114300" w:rsidRPr="00FA63AC">
        <w:trPr>
          <w:trHeight w:val="360"/>
          <w:jc w:val="center"/>
        </w:trPr>
        <w:tc>
          <w:tcPr>
            <w:tcW w:w="5000" w:type="pct"/>
            <w:vAlign w:val="center"/>
          </w:tcPr>
          <w:p w:rsidR="00A823A7" w:rsidRPr="00FA63AC" w:rsidRDefault="00F35F42" w:rsidP="00132A36">
            <w:pPr>
              <w:pStyle w:val="NoSpacing"/>
              <w:spacing w:line="276" w:lineRule="auto"/>
              <w:jc w:val="center"/>
              <w:rPr>
                <w:rFonts w:ascii="Times New Roman" w:hAnsi="Times New Roman"/>
                <w:b/>
                <w:bCs/>
                <w:sz w:val="24"/>
                <w:szCs w:val="24"/>
              </w:rPr>
            </w:pPr>
            <w:r w:rsidRPr="00FA63AC">
              <w:rPr>
                <w:rFonts w:ascii="Times New Roman" w:hAnsi="Times New Roman"/>
                <w:b/>
                <w:bCs/>
                <w:sz w:val="24"/>
                <w:szCs w:val="24"/>
              </w:rPr>
              <w:t>Avaliação Financeira Ex</w:t>
            </w:r>
            <w:r w:rsidR="00484934" w:rsidRPr="00FA63AC">
              <w:rPr>
                <w:rFonts w:ascii="Times New Roman" w:hAnsi="Times New Roman"/>
                <w:b/>
                <w:bCs/>
                <w:sz w:val="24"/>
                <w:szCs w:val="24"/>
              </w:rPr>
              <w:t>-</w:t>
            </w:r>
            <w:r w:rsidR="00C67DA1" w:rsidRPr="00FA63AC">
              <w:rPr>
                <w:rFonts w:ascii="Times New Roman" w:hAnsi="Times New Roman"/>
                <w:b/>
                <w:bCs/>
                <w:sz w:val="24"/>
                <w:szCs w:val="24"/>
              </w:rPr>
              <w:t>ante</w:t>
            </w:r>
          </w:p>
          <w:p w:rsidR="00114300" w:rsidRPr="00FA63AC" w:rsidRDefault="00114300" w:rsidP="00132A36">
            <w:pPr>
              <w:pStyle w:val="NoSpacing"/>
              <w:spacing w:line="276" w:lineRule="auto"/>
              <w:jc w:val="center"/>
              <w:rPr>
                <w:b/>
                <w:bCs/>
                <w:sz w:val="24"/>
                <w:szCs w:val="24"/>
              </w:rPr>
            </w:pPr>
          </w:p>
        </w:tc>
      </w:tr>
      <w:tr w:rsidR="00114300" w:rsidRPr="00FA63AC">
        <w:trPr>
          <w:trHeight w:val="360"/>
          <w:jc w:val="center"/>
        </w:trPr>
        <w:tc>
          <w:tcPr>
            <w:tcW w:w="5000" w:type="pct"/>
            <w:vAlign w:val="center"/>
          </w:tcPr>
          <w:p w:rsidR="00114300" w:rsidRPr="00FA63AC" w:rsidRDefault="00114300" w:rsidP="00132A36">
            <w:pPr>
              <w:pStyle w:val="NoSpacing"/>
              <w:spacing w:line="276" w:lineRule="auto"/>
              <w:jc w:val="center"/>
              <w:rPr>
                <w:b/>
                <w:bCs/>
                <w:sz w:val="24"/>
                <w:szCs w:val="24"/>
              </w:rPr>
            </w:pPr>
          </w:p>
        </w:tc>
      </w:tr>
    </w:tbl>
    <w:p w:rsidR="003E3913" w:rsidRPr="00FA63AC" w:rsidRDefault="003E3913" w:rsidP="00132A36"/>
    <w:tbl>
      <w:tblPr>
        <w:tblStyle w:val="TableGrid"/>
        <w:tblW w:w="0" w:type="auto"/>
        <w:tblLook w:val="04A0" w:firstRow="1" w:lastRow="0" w:firstColumn="1" w:lastColumn="0" w:noHBand="0" w:noVBand="1"/>
      </w:tblPr>
      <w:tblGrid>
        <w:gridCol w:w="8630"/>
      </w:tblGrid>
      <w:tr w:rsidR="00DD1DEA" w:rsidRPr="00FA63AC" w:rsidTr="00DD1DEA">
        <w:tc>
          <w:tcPr>
            <w:tcW w:w="8630" w:type="dxa"/>
          </w:tcPr>
          <w:p w:rsidR="00DD1DEA" w:rsidRPr="00FA63AC" w:rsidRDefault="00DD1DEA" w:rsidP="00582E83">
            <w:pPr>
              <w:jc w:val="both"/>
              <w:rPr>
                <w:color w:val="000000"/>
              </w:rPr>
            </w:pPr>
            <w:r w:rsidRPr="00FA63AC">
              <w:rPr>
                <w:color w:val="000000"/>
              </w:rPr>
              <w:t>O presente documento foi preparado por</w:t>
            </w:r>
            <w:r w:rsidR="00C67DA1" w:rsidRPr="00FA63AC">
              <w:rPr>
                <w:color w:val="000000"/>
              </w:rPr>
              <w:t xml:space="preserve"> </w:t>
            </w:r>
            <w:r w:rsidR="00582E83" w:rsidRPr="00FA63AC">
              <w:rPr>
                <w:color w:val="000000"/>
              </w:rPr>
              <w:t>Ricardo Gazel</w:t>
            </w:r>
            <w:r w:rsidRPr="00FA63AC">
              <w:rPr>
                <w:color w:val="000000"/>
              </w:rPr>
              <w:t>, com base nas informações forn</w:t>
            </w:r>
            <w:r w:rsidR="00F159EA" w:rsidRPr="00FA63AC">
              <w:rPr>
                <w:color w:val="000000"/>
              </w:rPr>
              <w:t>ecidas pela SEFAZ/PE</w:t>
            </w:r>
            <w:r w:rsidR="00E305E1" w:rsidRPr="00FA63AC">
              <w:rPr>
                <w:color w:val="000000"/>
              </w:rPr>
              <w:t>.</w:t>
            </w:r>
          </w:p>
        </w:tc>
      </w:tr>
    </w:tbl>
    <w:p w:rsidR="00114300" w:rsidRPr="00FA63AC" w:rsidRDefault="00114300" w:rsidP="00132A36">
      <w:pPr>
        <w:jc w:val="both"/>
        <w:rPr>
          <w:color w:val="000000"/>
        </w:rPr>
      </w:pPr>
    </w:p>
    <w:p w:rsidR="00AA6DB3" w:rsidRPr="00FA63AC" w:rsidRDefault="00AA6DB3" w:rsidP="00F35F42">
      <w:pPr>
        <w:spacing w:before="120" w:after="120"/>
        <w:contextualSpacing/>
        <w:jc w:val="center"/>
        <w:rPr>
          <w:caps/>
          <w:smallCaps/>
        </w:rPr>
      </w:pPr>
    </w:p>
    <w:p w:rsidR="00393119" w:rsidRPr="00FA63AC" w:rsidRDefault="00393119" w:rsidP="00F35F42">
      <w:pPr>
        <w:spacing w:before="120" w:after="120"/>
        <w:contextualSpacing/>
        <w:jc w:val="center"/>
        <w:rPr>
          <w:caps/>
          <w:smallCaps/>
        </w:rPr>
      </w:pPr>
      <w:r w:rsidRPr="00FA63AC">
        <w:rPr>
          <w:caps/>
          <w:smallCaps/>
        </w:rPr>
        <w:br w:type="page"/>
      </w:r>
    </w:p>
    <w:sdt>
      <w:sdtPr>
        <w:rPr>
          <w:rFonts w:ascii="Times New Roman" w:eastAsia="Times New Roman" w:hAnsi="Times New Roman" w:cs="Times New Roman"/>
          <w:b w:val="0"/>
          <w:bCs w:val="0"/>
          <w:color w:val="auto"/>
          <w:sz w:val="24"/>
          <w:szCs w:val="24"/>
        </w:rPr>
        <w:id w:val="-533662643"/>
        <w:docPartObj>
          <w:docPartGallery w:val="Table of Contents"/>
          <w:docPartUnique/>
        </w:docPartObj>
      </w:sdtPr>
      <w:sdtEndPr/>
      <w:sdtContent>
        <w:p w:rsidR="00B15F9C" w:rsidRPr="00FA63AC" w:rsidRDefault="00B15F9C">
          <w:pPr>
            <w:pStyle w:val="TOCHeading"/>
          </w:pPr>
          <w:r w:rsidRPr="00FA63AC">
            <w:t>Sumário</w:t>
          </w:r>
        </w:p>
        <w:p w:rsidR="00B15F9C" w:rsidRPr="00FA63AC" w:rsidRDefault="00B15F9C">
          <w:pPr>
            <w:pStyle w:val="TOC1"/>
            <w:tabs>
              <w:tab w:val="left" w:pos="480"/>
              <w:tab w:val="right" w:leader="dot" w:pos="8630"/>
            </w:tabs>
            <w:rPr>
              <w:noProof/>
              <w:sz w:val="28"/>
              <w:szCs w:val="28"/>
            </w:rPr>
          </w:pPr>
          <w:r w:rsidRPr="00FA63AC">
            <w:fldChar w:fldCharType="begin"/>
          </w:r>
          <w:r w:rsidRPr="00FA63AC">
            <w:instrText xml:space="preserve"> TOC \o "1-3" \h \z \u </w:instrText>
          </w:r>
          <w:r w:rsidRPr="00FA63AC">
            <w:fldChar w:fldCharType="separate"/>
          </w:r>
          <w:hyperlink w:anchor="_Toc503777169" w:history="1">
            <w:r w:rsidRPr="00FA63AC">
              <w:rPr>
                <w:rStyle w:val="Hyperlink"/>
                <w:noProof/>
                <w:sz w:val="28"/>
                <w:szCs w:val="28"/>
                <w:lang w:eastAsia="es-ES"/>
              </w:rPr>
              <w:t>I.</w:t>
            </w:r>
            <w:r w:rsidRPr="00FA63AC">
              <w:rPr>
                <w:noProof/>
                <w:sz w:val="28"/>
                <w:szCs w:val="28"/>
              </w:rPr>
              <w:tab/>
            </w:r>
            <w:r w:rsidRPr="00FA63AC">
              <w:rPr>
                <w:rStyle w:val="Hyperlink"/>
                <w:noProof/>
                <w:sz w:val="28"/>
                <w:szCs w:val="28"/>
                <w:lang w:eastAsia="es-ES"/>
              </w:rPr>
              <w:t>Sumário Executivo</w:t>
            </w:r>
            <w:r w:rsidRPr="00FA63AC">
              <w:rPr>
                <w:noProof/>
                <w:webHidden/>
                <w:sz w:val="28"/>
                <w:szCs w:val="28"/>
              </w:rPr>
              <w:tab/>
            </w:r>
            <w:r w:rsidRPr="00FA63AC">
              <w:rPr>
                <w:noProof/>
                <w:webHidden/>
                <w:sz w:val="28"/>
                <w:szCs w:val="28"/>
              </w:rPr>
              <w:fldChar w:fldCharType="begin"/>
            </w:r>
            <w:r w:rsidRPr="00FA63AC">
              <w:rPr>
                <w:noProof/>
                <w:webHidden/>
                <w:sz w:val="28"/>
                <w:szCs w:val="28"/>
              </w:rPr>
              <w:instrText xml:space="preserve"> PAGEREF _Toc503777169 \h </w:instrText>
            </w:r>
            <w:r w:rsidRPr="00FA63AC">
              <w:rPr>
                <w:noProof/>
                <w:webHidden/>
                <w:sz w:val="28"/>
                <w:szCs w:val="28"/>
              </w:rPr>
            </w:r>
            <w:r w:rsidRPr="00FA63AC">
              <w:rPr>
                <w:noProof/>
                <w:webHidden/>
                <w:sz w:val="28"/>
                <w:szCs w:val="28"/>
              </w:rPr>
              <w:fldChar w:fldCharType="separate"/>
            </w:r>
            <w:r w:rsidRPr="00FA63AC">
              <w:rPr>
                <w:noProof/>
                <w:webHidden/>
                <w:sz w:val="28"/>
                <w:szCs w:val="28"/>
              </w:rPr>
              <w:t>3</w:t>
            </w:r>
            <w:r w:rsidRPr="00FA63AC">
              <w:rPr>
                <w:noProof/>
                <w:webHidden/>
                <w:sz w:val="28"/>
                <w:szCs w:val="28"/>
              </w:rPr>
              <w:fldChar w:fldCharType="end"/>
            </w:r>
          </w:hyperlink>
        </w:p>
        <w:p w:rsidR="00B15F9C" w:rsidRPr="00FA63AC" w:rsidRDefault="00134138">
          <w:pPr>
            <w:pStyle w:val="TOC1"/>
            <w:tabs>
              <w:tab w:val="left" w:pos="480"/>
              <w:tab w:val="right" w:leader="dot" w:pos="8630"/>
            </w:tabs>
            <w:rPr>
              <w:noProof/>
              <w:sz w:val="28"/>
              <w:szCs w:val="28"/>
            </w:rPr>
          </w:pPr>
          <w:hyperlink w:anchor="_Toc503777171" w:history="1">
            <w:r w:rsidR="00B15F9C" w:rsidRPr="00FA63AC">
              <w:rPr>
                <w:rStyle w:val="Hyperlink"/>
                <w:noProof/>
                <w:sz w:val="28"/>
                <w:szCs w:val="28"/>
                <w:lang w:eastAsia="es-ES"/>
              </w:rPr>
              <w:t>II.</w:t>
            </w:r>
            <w:r w:rsidR="00B15F9C" w:rsidRPr="00FA63AC">
              <w:rPr>
                <w:noProof/>
                <w:sz w:val="28"/>
                <w:szCs w:val="28"/>
              </w:rPr>
              <w:tab/>
            </w:r>
            <w:r w:rsidR="00B15F9C" w:rsidRPr="00FA63AC">
              <w:rPr>
                <w:rStyle w:val="Hyperlink"/>
                <w:noProof/>
                <w:sz w:val="28"/>
                <w:szCs w:val="28"/>
                <w:lang w:eastAsia="es-ES"/>
              </w:rPr>
              <w:t>O Estado de Pernambuco</w:t>
            </w:r>
            <w:r w:rsidR="00B15F9C" w:rsidRPr="00FA63AC">
              <w:rPr>
                <w:noProof/>
                <w:webHidden/>
                <w:sz w:val="28"/>
                <w:szCs w:val="28"/>
              </w:rPr>
              <w:tab/>
            </w:r>
            <w:r w:rsidR="00B15F9C" w:rsidRPr="00FA63AC">
              <w:rPr>
                <w:noProof/>
                <w:webHidden/>
                <w:sz w:val="28"/>
                <w:szCs w:val="28"/>
              </w:rPr>
              <w:fldChar w:fldCharType="begin"/>
            </w:r>
            <w:r w:rsidR="00B15F9C" w:rsidRPr="00FA63AC">
              <w:rPr>
                <w:noProof/>
                <w:webHidden/>
                <w:sz w:val="28"/>
                <w:szCs w:val="28"/>
              </w:rPr>
              <w:instrText xml:space="preserve"> PAGEREF _Toc503777171 \h </w:instrText>
            </w:r>
            <w:r w:rsidR="00B15F9C" w:rsidRPr="00FA63AC">
              <w:rPr>
                <w:noProof/>
                <w:webHidden/>
                <w:sz w:val="28"/>
                <w:szCs w:val="28"/>
              </w:rPr>
            </w:r>
            <w:r w:rsidR="00B15F9C" w:rsidRPr="00FA63AC">
              <w:rPr>
                <w:noProof/>
                <w:webHidden/>
                <w:sz w:val="28"/>
                <w:szCs w:val="28"/>
              </w:rPr>
              <w:fldChar w:fldCharType="separate"/>
            </w:r>
            <w:r w:rsidR="00B15F9C" w:rsidRPr="00FA63AC">
              <w:rPr>
                <w:noProof/>
                <w:webHidden/>
                <w:sz w:val="28"/>
                <w:szCs w:val="28"/>
              </w:rPr>
              <w:t>7</w:t>
            </w:r>
            <w:r w:rsidR="00B15F9C" w:rsidRPr="00FA63AC">
              <w:rPr>
                <w:noProof/>
                <w:webHidden/>
                <w:sz w:val="28"/>
                <w:szCs w:val="28"/>
              </w:rPr>
              <w:fldChar w:fldCharType="end"/>
            </w:r>
          </w:hyperlink>
        </w:p>
        <w:p w:rsidR="00B15F9C" w:rsidRPr="00FA63AC" w:rsidRDefault="00134138">
          <w:pPr>
            <w:pStyle w:val="TOC1"/>
            <w:tabs>
              <w:tab w:val="left" w:pos="480"/>
              <w:tab w:val="right" w:leader="dot" w:pos="8630"/>
            </w:tabs>
            <w:rPr>
              <w:noProof/>
              <w:sz w:val="28"/>
              <w:szCs w:val="28"/>
            </w:rPr>
          </w:pPr>
          <w:hyperlink w:anchor="_Toc503777172" w:history="1">
            <w:r w:rsidR="00B15F9C" w:rsidRPr="00FA63AC">
              <w:rPr>
                <w:rStyle w:val="Hyperlink"/>
                <w:noProof/>
                <w:sz w:val="28"/>
                <w:szCs w:val="28"/>
                <w:lang w:eastAsia="es-ES"/>
              </w:rPr>
              <w:t>III.</w:t>
            </w:r>
            <w:r w:rsidR="00B15F9C" w:rsidRPr="00FA63AC">
              <w:rPr>
                <w:noProof/>
                <w:sz w:val="28"/>
                <w:szCs w:val="28"/>
              </w:rPr>
              <w:tab/>
            </w:r>
            <w:r w:rsidR="00B15F9C" w:rsidRPr="00FA63AC">
              <w:rPr>
                <w:rStyle w:val="Hyperlink"/>
                <w:noProof/>
                <w:sz w:val="28"/>
                <w:szCs w:val="28"/>
                <w:lang w:eastAsia="es-ES"/>
              </w:rPr>
              <w:t>A Situação Econômica</w:t>
            </w:r>
            <w:r w:rsidR="00B15F9C" w:rsidRPr="00FA63AC">
              <w:rPr>
                <w:noProof/>
                <w:webHidden/>
                <w:sz w:val="28"/>
                <w:szCs w:val="28"/>
              </w:rPr>
              <w:tab/>
            </w:r>
            <w:r w:rsidR="00B15F9C" w:rsidRPr="00FA63AC">
              <w:rPr>
                <w:noProof/>
                <w:webHidden/>
                <w:sz w:val="28"/>
                <w:szCs w:val="28"/>
              </w:rPr>
              <w:fldChar w:fldCharType="begin"/>
            </w:r>
            <w:r w:rsidR="00B15F9C" w:rsidRPr="00FA63AC">
              <w:rPr>
                <w:noProof/>
                <w:webHidden/>
                <w:sz w:val="28"/>
                <w:szCs w:val="28"/>
              </w:rPr>
              <w:instrText xml:space="preserve"> PAGEREF _Toc503777172 \h </w:instrText>
            </w:r>
            <w:r w:rsidR="00B15F9C" w:rsidRPr="00FA63AC">
              <w:rPr>
                <w:noProof/>
                <w:webHidden/>
                <w:sz w:val="28"/>
                <w:szCs w:val="28"/>
              </w:rPr>
            </w:r>
            <w:r w:rsidR="00B15F9C" w:rsidRPr="00FA63AC">
              <w:rPr>
                <w:noProof/>
                <w:webHidden/>
                <w:sz w:val="28"/>
                <w:szCs w:val="28"/>
              </w:rPr>
              <w:fldChar w:fldCharType="separate"/>
            </w:r>
            <w:r w:rsidR="00B15F9C" w:rsidRPr="00FA63AC">
              <w:rPr>
                <w:noProof/>
                <w:webHidden/>
                <w:sz w:val="28"/>
                <w:szCs w:val="28"/>
              </w:rPr>
              <w:t>8</w:t>
            </w:r>
            <w:r w:rsidR="00B15F9C" w:rsidRPr="00FA63AC">
              <w:rPr>
                <w:noProof/>
                <w:webHidden/>
                <w:sz w:val="28"/>
                <w:szCs w:val="28"/>
              </w:rPr>
              <w:fldChar w:fldCharType="end"/>
            </w:r>
          </w:hyperlink>
        </w:p>
        <w:p w:rsidR="00B15F9C" w:rsidRPr="00FA63AC" w:rsidRDefault="00134138">
          <w:pPr>
            <w:pStyle w:val="TOC1"/>
            <w:tabs>
              <w:tab w:val="left" w:pos="480"/>
              <w:tab w:val="right" w:leader="dot" w:pos="8630"/>
            </w:tabs>
            <w:rPr>
              <w:noProof/>
              <w:sz w:val="28"/>
              <w:szCs w:val="28"/>
            </w:rPr>
          </w:pPr>
          <w:hyperlink w:anchor="_Toc503777173" w:history="1">
            <w:r w:rsidR="00B15F9C" w:rsidRPr="00FA63AC">
              <w:rPr>
                <w:rStyle w:val="Hyperlink"/>
                <w:noProof/>
                <w:sz w:val="28"/>
                <w:szCs w:val="28"/>
                <w:lang w:eastAsia="es-ES"/>
              </w:rPr>
              <w:t>IV.</w:t>
            </w:r>
            <w:r w:rsidR="00B15F9C" w:rsidRPr="00FA63AC">
              <w:rPr>
                <w:noProof/>
                <w:sz w:val="28"/>
                <w:szCs w:val="28"/>
              </w:rPr>
              <w:tab/>
            </w:r>
            <w:r w:rsidR="00B15F9C" w:rsidRPr="00FA63AC">
              <w:rPr>
                <w:rStyle w:val="Hyperlink"/>
                <w:noProof/>
                <w:sz w:val="28"/>
                <w:szCs w:val="28"/>
                <w:lang w:eastAsia="es-ES"/>
              </w:rPr>
              <w:t>A Situação Fiscal</w:t>
            </w:r>
            <w:r w:rsidR="00B15F9C" w:rsidRPr="00FA63AC">
              <w:rPr>
                <w:noProof/>
                <w:webHidden/>
                <w:sz w:val="28"/>
                <w:szCs w:val="28"/>
              </w:rPr>
              <w:tab/>
            </w:r>
            <w:r w:rsidR="00B15F9C" w:rsidRPr="00FA63AC">
              <w:rPr>
                <w:noProof/>
                <w:webHidden/>
                <w:sz w:val="28"/>
                <w:szCs w:val="28"/>
              </w:rPr>
              <w:fldChar w:fldCharType="begin"/>
            </w:r>
            <w:r w:rsidR="00B15F9C" w:rsidRPr="00FA63AC">
              <w:rPr>
                <w:noProof/>
                <w:webHidden/>
                <w:sz w:val="28"/>
                <w:szCs w:val="28"/>
              </w:rPr>
              <w:instrText xml:space="preserve"> PAGEREF _Toc503777173 \h </w:instrText>
            </w:r>
            <w:r w:rsidR="00B15F9C" w:rsidRPr="00FA63AC">
              <w:rPr>
                <w:noProof/>
                <w:webHidden/>
                <w:sz w:val="28"/>
                <w:szCs w:val="28"/>
              </w:rPr>
            </w:r>
            <w:r w:rsidR="00B15F9C" w:rsidRPr="00FA63AC">
              <w:rPr>
                <w:noProof/>
                <w:webHidden/>
                <w:sz w:val="28"/>
                <w:szCs w:val="28"/>
              </w:rPr>
              <w:fldChar w:fldCharType="separate"/>
            </w:r>
            <w:r w:rsidR="00B15F9C" w:rsidRPr="00FA63AC">
              <w:rPr>
                <w:noProof/>
                <w:webHidden/>
                <w:sz w:val="28"/>
                <w:szCs w:val="28"/>
              </w:rPr>
              <w:t>10</w:t>
            </w:r>
            <w:r w:rsidR="00B15F9C" w:rsidRPr="00FA63AC">
              <w:rPr>
                <w:noProof/>
                <w:webHidden/>
                <w:sz w:val="28"/>
                <w:szCs w:val="28"/>
              </w:rPr>
              <w:fldChar w:fldCharType="end"/>
            </w:r>
          </w:hyperlink>
        </w:p>
        <w:p w:rsidR="00B15F9C" w:rsidRPr="00FA63AC" w:rsidRDefault="00134138">
          <w:pPr>
            <w:pStyle w:val="TOC1"/>
            <w:tabs>
              <w:tab w:val="left" w:pos="480"/>
              <w:tab w:val="right" w:leader="dot" w:pos="8630"/>
            </w:tabs>
            <w:rPr>
              <w:noProof/>
              <w:sz w:val="28"/>
              <w:szCs w:val="28"/>
            </w:rPr>
          </w:pPr>
          <w:hyperlink w:anchor="_Toc503777174" w:history="1">
            <w:r w:rsidR="00B15F9C" w:rsidRPr="00FA63AC">
              <w:rPr>
                <w:rStyle w:val="Hyperlink"/>
                <w:noProof/>
                <w:sz w:val="28"/>
                <w:szCs w:val="28"/>
                <w:lang w:eastAsia="es-ES"/>
              </w:rPr>
              <w:t>V.</w:t>
            </w:r>
            <w:r w:rsidR="00B15F9C" w:rsidRPr="00FA63AC">
              <w:rPr>
                <w:noProof/>
                <w:sz w:val="28"/>
                <w:szCs w:val="28"/>
              </w:rPr>
              <w:tab/>
            </w:r>
            <w:r w:rsidR="00B15F9C" w:rsidRPr="00FA63AC">
              <w:rPr>
                <w:rStyle w:val="Hyperlink"/>
                <w:noProof/>
                <w:sz w:val="28"/>
                <w:szCs w:val="28"/>
                <w:lang w:eastAsia="es-ES"/>
              </w:rPr>
              <w:t>O Programa PROFISCO II</w:t>
            </w:r>
            <w:r w:rsidR="00B15F9C" w:rsidRPr="00FA63AC">
              <w:rPr>
                <w:noProof/>
                <w:webHidden/>
                <w:sz w:val="28"/>
                <w:szCs w:val="28"/>
              </w:rPr>
              <w:tab/>
            </w:r>
            <w:r w:rsidR="00B15F9C" w:rsidRPr="00FA63AC">
              <w:rPr>
                <w:noProof/>
                <w:webHidden/>
                <w:sz w:val="28"/>
                <w:szCs w:val="28"/>
              </w:rPr>
              <w:fldChar w:fldCharType="begin"/>
            </w:r>
            <w:r w:rsidR="00B15F9C" w:rsidRPr="00FA63AC">
              <w:rPr>
                <w:noProof/>
                <w:webHidden/>
                <w:sz w:val="28"/>
                <w:szCs w:val="28"/>
              </w:rPr>
              <w:instrText xml:space="preserve"> PAGEREF _Toc503777174 \h </w:instrText>
            </w:r>
            <w:r w:rsidR="00B15F9C" w:rsidRPr="00FA63AC">
              <w:rPr>
                <w:noProof/>
                <w:webHidden/>
                <w:sz w:val="28"/>
                <w:szCs w:val="28"/>
              </w:rPr>
            </w:r>
            <w:r w:rsidR="00B15F9C" w:rsidRPr="00FA63AC">
              <w:rPr>
                <w:noProof/>
                <w:webHidden/>
                <w:sz w:val="28"/>
                <w:szCs w:val="28"/>
              </w:rPr>
              <w:fldChar w:fldCharType="separate"/>
            </w:r>
            <w:r w:rsidR="00B15F9C" w:rsidRPr="00FA63AC">
              <w:rPr>
                <w:noProof/>
                <w:webHidden/>
                <w:sz w:val="28"/>
                <w:szCs w:val="28"/>
              </w:rPr>
              <w:t>13</w:t>
            </w:r>
            <w:r w:rsidR="00B15F9C" w:rsidRPr="00FA63AC">
              <w:rPr>
                <w:noProof/>
                <w:webHidden/>
                <w:sz w:val="28"/>
                <w:szCs w:val="28"/>
              </w:rPr>
              <w:fldChar w:fldCharType="end"/>
            </w:r>
          </w:hyperlink>
        </w:p>
        <w:p w:rsidR="00B15F9C" w:rsidRPr="00FA63AC" w:rsidRDefault="00134138">
          <w:pPr>
            <w:pStyle w:val="TOC1"/>
            <w:tabs>
              <w:tab w:val="left" w:pos="480"/>
              <w:tab w:val="right" w:leader="dot" w:pos="8630"/>
            </w:tabs>
            <w:rPr>
              <w:noProof/>
              <w:sz w:val="28"/>
              <w:szCs w:val="28"/>
            </w:rPr>
          </w:pPr>
          <w:hyperlink w:anchor="_Toc503777176" w:history="1">
            <w:r w:rsidR="00B15F9C" w:rsidRPr="00FA63AC">
              <w:rPr>
                <w:rStyle w:val="Hyperlink"/>
                <w:noProof/>
                <w:sz w:val="28"/>
                <w:szCs w:val="28"/>
                <w:lang w:eastAsia="es-ES"/>
              </w:rPr>
              <w:t>VI.</w:t>
            </w:r>
            <w:r w:rsidR="00B15F9C" w:rsidRPr="00FA63AC">
              <w:rPr>
                <w:noProof/>
                <w:sz w:val="28"/>
                <w:szCs w:val="28"/>
              </w:rPr>
              <w:tab/>
            </w:r>
            <w:r w:rsidR="00B15F9C" w:rsidRPr="00FA63AC">
              <w:rPr>
                <w:rStyle w:val="Hyperlink"/>
                <w:noProof/>
                <w:sz w:val="28"/>
                <w:szCs w:val="28"/>
                <w:lang w:eastAsia="es-ES"/>
              </w:rPr>
              <w:t>A análise econômica ex-ante</w:t>
            </w:r>
            <w:r w:rsidR="00B15F9C" w:rsidRPr="00FA63AC">
              <w:rPr>
                <w:noProof/>
                <w:webHidden/>
                <w:sz w:val="28"/>
                <w:szCs w:val="28"/>
              </w:rPr>
              <w:tab/>
            </w:r>
            <w:r w:rsidR="00B15F9C" w:rsidRPr="00FA63AC">
              <w:rPr>
                <w:noProof/>
                <w:webHidden/>
                <w:sz w:val="28"/>
                <w:szCs w:val="28"/>
              </w:rPr>
              <w:fldChar w:fldCharType="begin"/>
            </w:r>
            <w:r w:rsidR="00B15F9C" w:rsidRPr="00FA63AC">
              <w:rPr>
                <w:noProof/>
                <w:webHidden/>
                <w:sz w:val="28"/>
                <w:szCs w:val="28"/>
              </w:rPr>
              <w:instrText xml:space="preserve"> PAGEREF _Toc503777176 \h </w:instrText>
            </w:r>
            <w:r w:rsidR="00B15F9C" w:rsidRPr="00FA63AC">
              <w:rPr>
                <w:noProof/>
                <w:webHidden/>
                <w:sz w:val="28"/>
                <w:szCs w:val="28"/>
              </w:rPr>
            </w:r>
            <w:r w:rsidR="00B15F9C" w:rsidRPr="00FA63AC">
              <w:rPr>
                <w:noProof/>
                <w:webHidden/>
                <w:sz w:val="28"/>
                <w:szCs w:val="28"/>
              </w:rPr>
              <w:fldChar w:fldCharType="separate"/>
            </w:r>
            <w:r w:rsidR="00B15F9C" w:rsidRPr="00FA63AC">
              <w:rPr>
                <w:noProof/>
                <w:webHidden/>
                <w:sz w:val="28"/>
                <w:szCs w:val="28"/>
              </w:rPr>
              <w:t>15</w:t>
            </w:r>
            <w:r w:rsidR="00B15F9C" w:rsidRPr="00FA63AC">
              <w:rPr>
                <w:noProof/>
                <w:webHidden/>
                <w:sz w:val="28"/>
                <w:szCs w:val="28"/>
              </w:rPr>
              <w:fldChar w:fldCharType="end"/>
            </w:r>
          </w:hyperlink>
        </w:p>
        <w:p w:rsidR="00B15F9C" w:rsidRPr="00FA63AC" w:rsidRDefault="00134138">
          <w:pPr>
            <w:pStyle w:val="TOC2"/>
            <w:tabs>
              <w:tab w:val="left" w:pos="880"/>
              <w:tab w:val="right" w:leader="dot" w:pos="8630"/>
            </w:tabs>
            <w:rPr>
              <w:rFonts w:asciiTheme="minorHAnsi" w:eastAsiaTheme="minorEastAsia" w:hAnsiTheme="minorHAnsi" w:cstheme="minorBidi"/>
              <w:noProof/>
            </w:rPr>
          </w:pPr>
          <w:hyperlink w:anchor="_Toc503777177" w:history="1">
            <w:r w:rsidR="00B15F9C" w:rsidRPr="00FA63AC">
              <w:rPr>
                <w:rStyle w:val="Hyperlink"/>
                <w:noProof/>
                <w:lang w:eastAsia="es-ES"/>
              </w:rPr>
              <w:t>A.</w:t>
            </w:r>
            <w:r w:rsidR="00B15F9C" w:rsidRPr="00FA63AC">
              <w:rPr>
                <w:rFonts w:asciiTheme="minorHAnsi" w:eastAsiaTheme="minorEastAsia" w:hAnsiTheme="minorHAnsi" w:cstheme="minorBidi"/>
                <w:noProof/>
              </w:rPr>
              <w:tab/>
            </w:r>
            <w:r w:rsidR="00B15F9C" w:rsidRPr="00FA63AC">
              <w:rPr>
                <w:rStyle w:val="Hyperlink"/>
                <w:noProof/>
                <w:lang w:eastAsia="es-ES"/>
              </w:rPr>
              <w:t>Custos</w:t>
            </w:r>
            <w:r w:rsidR="00B15F9C" w:rsidRPr="00FA63AC">
              <w:rPr>
                <w:noProof/>
                <w:webHidden/>
              </w:rPr>
              <w:tab/>
            </w:r>
            <w:r w:rsidR="00B15F9C" w:rsidRPr="00FA63AC">
              <w:rPr>
                <w:noProof/>
                <w:webHidden/>
              </w:rPr>
              <w:fldChar w:fldCharType="begin"/>
            </w:r>
            <w:r w:rsidR="00B15F9C" w:rsidRPr="00FA63AC">
              <w:rPr>
                <w:noProof/>
                <w:webHidden/>
              </w:rPr>
              <w:instrText xml:space="preserve"> PAGEREF _Toc503777177 \h </w:instrText>
            </w:r>
            <w:r w:rsidR="00B15F9C" w:rsidRPr="00FA63AC">
              <w:rPr>
                <w:noProof/>
                <w:webHidden/>
              </w:rPr>
            </w:r>
            <w:r w:rsidR="00B15F9C" w:rsidRPr="00FA63AC">
              <w:rPr>
                <w:noProof/>
                <w:webHidden/>
              </w:rPr>
              <w:fldChar w:fldCharType="separate"/>
            </w:r>
            <w:r w:rsidR="00B15F9C" w:rsidRPr="00FA63AC">
              <w:rPr>
                <w:noProof/>
                <w:webHidden/>
              </w:rPr>
              <w:t>16</w:t>
            </w:r>
            <w:r w:rsidR="00B15F9C" w:rsidRPr="00FA63AC">
              <w:rPr>
                <w:noProof/>
                <w:webHidden/>
              </w:rPr>
              <w:fldChar w:fldCharType="end"/>
            </w:r>
          </w:hyperlink>
        </w:p>
        <w:p w:rsidR="00B15F9C" w:rsidRPr="00FA63AC" w:rsidRDefault="00134138">
          <w:pPr>
            <w:pStyle w:val="TOC2"/>
            <w:tabs>
              <w:tab w:val="left" w:pos="880"/>
              <w:tab w:val="right" w:leader="dot" w:pos="8630"/>
            </w:tabs>
            <w:rPr>
              <w:rFonts w:asciiTheme="minorHAnsi" w:eastAsiaTheme="minorEastAsia" w:hAnsiTheme="minorHAnsi" w:cstheme="minorBidi"/>
              <w:noProof/>
            </w:rPr>
          </w:pPr>
          <w:hyperlink w:anchor="_Toc503777178" w:history="1">
            <w:r w:rsidR="00B15F9C" w:rsidRPr="00FA63AC">
              <w:rPr>
                <w:rStyle w:val="Hyperlink"/>
                <w:noProof/>
                <w:lang w:eastAsia="es-ES"/>
              </w:rPr>
              <w:t>B.</w:t>
            </w:r>
            <w:r w:rsidR="00B15F9C" w:rsidRPr="00FA63AC">
              <w:rPr>
                <w:rFonts w:asciiTheme="minorHAnsi" w:eastAsiaTheme="minorEastAsia" w:hAnsiTheme="minorHAnsi" w:cstheme="minorBidi"/>
                <w:noProof/>
              </w:rPr>
              <w:tab/>
            </w:r>
            <w:r w:rsidR="00B15F9C" w:rsidRPr="00FA63AC">
              <w:rPr>
                <w:rStyle w:val="Hyperlink"/>
                <w:noProof/>
                <w:lang w:eastAsia="es-ES"/>
              </w:rPr>
              <w:t>Benefícios</w:t>
            </w:r>
            <w:r w:rsidR="00B15F9C" w:rsidRPr="00FA63AC">
              <w:rPr>
                <w:noProof/>
                <w:webHidden/>
              </w:rPr>
              <w:tab/>
            </w:r>
            <w:r w:rsidR="00B15F9C" w:rsidRPr="00FA63AC">
              <w:rPr>
                <w:noProof/>
                <w:webHidden/>
              </w:rPr>
              <w:fldChar w:fldCharType="begin"/>
            </w:r>
            <w:r w:rsidR="00B15F9C" w:rsidRPr="00FA63AC">
              <w:rPr>
                <w:noProof/>
                <w:webHidden/>
              </w:rPr>
              <w:instrText xml:space="preserve"> PAGEREF _Toc503777178 \h </w:instrText>
            </w:r>
            <w:r w:rsidR="00B15F9C" w:rsidRPr="00FA63AC">
              <w:rPr>
                <w:noProof/>
                <w:webHidden/>
              </w:rPr>
            </w:r>
            <w:r w:rsidR="00B15F9C" w:rsidRPr="00FA63AC">
              <w:rPr>
                <w:noProof/>
                <w:webHidden/>
              </w:rPr>
              <w:fldChar w:fldCharType="separate"/>
            </w:r>
            <w:r w:rsidR="00B15F9C" w:rsidRPr="00FA63AC">
              <w:rPr>
                <w:noProof/>
                <w:webHidden/>
              </w:rPr>
              <w:t>18</w:t>
            </w:r>
            <w:r w:rsidR="00B15F9C" w:rsidRPr="00FA63AC">
              <w:rPr>
                <w:noProof/>
                <w:webHidden/>
              </w:rPr>
              <w:fldChar w:fldCharType="end"/>
            </w:r>
          </w:hyperlink>
        </w:p>
        <w:p w:rsidR="00B15F9C" w:rsidRPr="00FA63AC" w:rsidRDefault="00134138">
          <w:pPr>
            <w:pStyle w:val="TOC3"/>
            <w:tabs>
              <w:tab w:val="left" w:pos="1100"/>
              <w:tab w:val="right" w:leader="dot" w:pos="8630"/>
            </w:tabs>
            <w:rPr>
              <w:rFonts w:asciiTheme="minorHAnsi" w:eastAsiaTheme="minorEastAsia" w:hAnsiTheme="minorHAnsi" w:cstheme="minorBidi"/>
              <w:noProof/>
            </w:rPr>
          </w:pPr>
          <w:hyperlink w:anchor="_Toc503777179" w:history="1">
            <w:r w:rsidR="00B15F9C" w:rsidRPr="00FA63AC">
              <w:rPr>
                <w:rStyle w:val="Hyperlink"/>
                <w:noProof/>
                <w:lang w:eastAsia="es-ES"/>
              </w:rPr>
              <w:t>B.1</w:t>
            </w:r>
            <w:r w:rsidR="00B15F9C" w:rsidRPr="00FA63AC">
              <w:rPr>
                <w:rFonts w:asciiTheme="minorHAnsi" w:eastAsiaTheme="minorEastAsia" w:hAnsiTheme="minorHAnsi" w:cstheme="minorBidi"/>
                <w:noProof/>
              </w:rPr>
              <w:tab/>
            </w:r>
            <w:r w:rsidR="00B15F9C" w:rsidRPr="00FA63AC">
              <w:rPr>
                <w:rStyle w:val="Hyperlink"/>
                <w:noProof/>
                <w:lang w:eastAsia="es-ES"/>
              </w:rPr>
              <w:t>Aumento de Arrecadação</w:t>
            </w:r>
            <w:r w:rsidR="00B15F9C" w:rsidRPr="00FA63AC">
              <w:rPr>
                <w:noProof/>
                <w:webHidden/>
              </w:rPr>
              <w:tab/>
            </w:r>
            <w:r w:rsidR="00B15F9C" w:rsidRPr="00FA63AC">
              <w:rPr>
                <w:noProof/>
                <w:webHidden/>
              </w:rPr>
              <w:fldChar w:fldCharType="begin"/>
            </w:r>
            <w:r w:rsidR="00B15F9C" w:rsidRPr="00FA63AC">
              <w:rPr>
                <w:noProof/>
                <w:webHidden/>
              </w:rPr>
              <w:instrText xml:space="preserve"> PAGEREF _Toc503777179 \h </w:instrText>
            </w:r>
            <w:r w:rsidR="00B15F9C" w:rsidRPr="00FA63AC">
              <w:rPr>
                <w:noProof/>
                <w:webHidden/>
              </w:rPr>
            </w:r>
            <w:r w:rsidR="00B15F9C" w:rsidRPr="00FA63AC">
              <w:rPr>
                <w:noProof/>
                <w:webHidden/>
              </w:rPr>
              <w:fldChar w:fldCharType="separate"/>
            </w:r>
            <w:r w:rsidR="00B15F9C" w:rsidRPr="00FA63AC">
              <w:rPr>
                <w:noProof/>
                <w:webHidden/>
              </w:rPr>
              <w:t>18</w:t>
            </w:r>
            <w:r w:rsidR="00B15F9C" w:rsidRPr="00FA63AC">
              <w:rPr>
                <w:noProof/>
                <w:webHidden/>
              </w:rPr>
              <w:fldChar w:fldCharType="end"/>
            </w:r>
          </w:hyperlink>
        </w:p>
        <w:p w:rsidR="00B15F9C" w:rsidRPr="00FA63AC" w:rsidRDefault="00134138">
          <w:pPr>
            <w:pStyle w:val="TOC3"/>
            <w:tabs>
              <w:tab w:val="left" w:pos="1320"/>
              <w:tab w:val="right" w:leader="dot" w:pos="8630"/>
            </w:tabs>
            <w:rPr>
              <w:rFonts w:asciiTheme="minorHAnsi" w:eastAsiaTheme="minorEastAsia" w:hAnsiTheme="minorHAnsi" w:cstheme="minorBidi"/>
              <w:noProof/>
            </w:rPr>
          </w:pPr>
          <w:hyperlink w:anchor="_Toc503777181" w:history="1">
            <w:r w:rsidR="00B15F9C" w:rsidRPr="00FA63AC">
              <w:rPr>
                <w:rStyle w:val="Hyperlink"/>
                <w:noProof/>
                <w:lang w:eastAsia="es-ES"/>
              </w:rPr>
              <w:t>B.2.</w:t>
            </w:r>
            <w:r w:rsidR="00B15F9C" w:rsidRPr="00FA63AC">
              <w:rPr>
                <w:rFonts w:asciiTheme="minorHAnsi" w:eastAsiaTheme="minorEastAsia" w:hAnsiTheme="minorHAnsi" w:cstheme="minorBidi"/>
                <w:noProof/>
              </w:rPr>
              <w:tab/>
            </w:r>
            <w:r w:rsidR="00B15F9C" w:rsidRPr="00FA63AC">
              <w:rPr>
                <w:rStyle w:val="Hyperlink"/>
                <w:noProof/>
                <w:lang w:eastAsia="es-ES"/>
              </w:rPr>
              <w:t xml:space="preserve"> Redução de custos para o Estado com a adoção de um novo sistema de gestão da folha de pagamento</w:t>
            </w:r>
            <w:r w:rsidR="00B15F9C" w:rsidRPr="00FA63AC">
              <w:rPr>
                <w:noProof/>
                <w:webHidden/>
              </w:rPr>
              <w:tab/>
            </w:r>
            <w:r w:rsidR="00B15F9C" w:rsidRPr="00FA63AC">
              <w:rPr>
                <w:noProof/>
                <w:webHidden/>
              </w:rPr>
              <w:fldChar w:fldCharType="begin"/>
            </w:r>
            <w:r w:rsidR="00B15F9C" w:rsidRPr="00FA63AC">
              <w:rPr>
                <w:noProof/>
                <w:webHidden/>
              </w:rPr>
              <w:instrText xml:space="preserve"> PAGEREF _Toc503777181 \h </w:instrText>
            </w:r>
            <w:r w:rsidR="00B15F9C" w:rsidRPr="00FA63AC">
              <w:rPr>
                <w:noProof/>
                <w:webHidden/>
              </w:rPr>
            </w:r>
            <w:r w:rsidR="00B15F9C" w:rsidRPr="00FA63AC">
              <w:rPr>
                <w:noProof/>
                <w:webHidden/>
              </w:rPr>
              <w:fldChar w:fldCharType="separate"/>
            </w:r>
            <w:r w:rsidR="00B15F9C" w:rsidRPr="00FA63AC">
              <w:rPr>
                <w:noProof/>
                <w:webHidden/>
              </w:rPr>
              <w:t>20</w:t>
            </w:r>
            <w:r w:rsidR="00B15F9C" w:rsidRPr="00FA63AC">
              <w:rPr>
                <w:noProof/>
                <w:webHidden/>
              </w:rPr>
              <w:fldChar w:fldCharType="end"/>
            </w:r>
          </w:hyperlink>
        </w:p>
        <w:p w:rsidR="00B15F9C" w:rsidRPr="00FA63AC" w:rsidRDefault="00134138">
          <w:pPr>
            <w:pStyle w:val="TOC3"/>
            <w:tabs>
              <w:tab w:val="left" w:pos="1320"/>
              <w:tab w:val="right" w:leader="dot" w:pos="8630"/>
            </w:tabs>
            <w:rPr>
              <w:rFonts w:asciiTheme="minorHAnsi" w:eastAsiaTheme="minorEastAsia" w:hAnsiTheme="minorHAnsi" w:cstheme="minorBidi"/>
              <w:noProof/>
            </w:rPr>
          </w:pPr>
          <w:hyperlink w:anchor="_Toc503777182" w:history="1">
            <w:r w:rsidR="00B15F9C" w:rsidRPr="00FA63AC">
              <w:rPr>
                <w:rStyle w:val="Hyperlink"/>
                <w:noProof/>
                <w:lang w:eastAsia="es-ES"/>
              </w:rPr>
              <w:t>B.3.</w:t>
            </w:r>
            <w:r w:rsidR="00B15F9C" w:rsidRPr="00FA63AC">
              <w:rPr>
                <w:rFonts w:asciiTheme="minorHAnsi" w:eastAsiaTheme="minorEastAsia" w:hAnsiTheme="minorHAnsi" w:cstheme="minorBidi"/>
                <w:noProof/>
              </w:rPr>
              <w:tab/>
            </w:r>
            <w:r w:rsidR="00B15F9C" w:rsidRPr="00FA63AC">
              <w:rPr>
                <w:rStyle w:val="Hyperlink"/>
                <w:noProof/>
                <w:lang w:eastAsia="es-ES"/>
              </w:rPr>
              <w:t xml:space="preserve"> Redução de custos para o Estado de Pernambuco na sua gestão fiscal</w:t>
            </w:r>
            <w:r w:rsidR="00B15F9C" w:rsidRPr="00FA63AC">
              <w:rPr>
                <w:noProof/>
                <w:webHidden/>
              </w:rPr>
              <w:tab/>
            </w:r>
            <w:r w:rsidR="00B15F9C" w:rsidRPr="00FA63AC">
              <w:rPr>
                <w:noProof/>
                <w:webHidden/>
              </w:rPr>
              <w:fldChar w:fldCharType="begin"/>
            </w:r>
            <w:r w:rsidR="00B15F9C" w:rsidRPr="00FA63AC">
              <w:rPr>
                <w:noProof/>
                <w:webHidden/>
              </w:rPr>
              <w:instrText xml:space="preserve"> PAGEREF _Toc503777182 \h </w:instrText>
            </w:r>
            <w:r w:rsidR="00B15F9C" w:rsidRPr="00FA63AC">
              <w:rPr>
                <w:noProof/>
                <w:webHidden/>
              </w:rPr>
            </w:r>
            <w:r w:rsidR="00B15F9C" w:rsidRPr="00FA63AC">
              <w:rPr>
                <w:noProof/>
                <w:webHidden/>
              </w:rPr>
              <w:fldChar w:fldCharType="separate"/>
            </w:r>
            <w:r w:rsidR="00B15F9C" w:rsidRPr="00FA63AC">
              <w:rPr>
                <w:noProof/>
                <w:webHidden/>
              </w:rPr>
              <w:t>23</w:t>
            </w:r>
            <w:r w:rsidR="00B15F9C" w:rsidRPr="00FA63AC">
              <w:rPr>
                <w:noProof/>
                <w:webHidden/>
              </w:rPr>
              <w:fldChar w:fldCharType="end"/>
            </w:r>
          </w:hyperlink>
        </w:p>
        <w:p w:rsidR="00B15F9C" w:rsidRPr="00FA63AC" w:rsidRDefault="00134138">
          <w:pPr>
            <w:pStyle w:val="TOC1"/>
            <w:tabs>
              <w:tab w:val="left" w:pos="660"/>
              <w:tab w:val="right" w:leader="dot" w:pos="8630"/>
            </w:tabs>
            <w:rPr>
              <w:noProof/>
              <w:sz w:val="28"/>
              <w:szCs w:val="28"/>
            </w:rPr>
          </w:pPr>
          <w:hyperlink w:anchor="_Toc503777183" w:history="1">
            <w:r w:rsidR="00B15F9C" w:rsidRPr="00FA63AC">
              <w:rPr>
                <w:rStyle w:val="Hyperlink"/>
                <w:noProof/>
                <w:sz w:val="28"/>
                <w:szCs w:val="28"/>
                <w:lang w:eastAsia="es-ES"/>
              </w:rPr>
              <w:t>VII.</w:t>
            </w:r>
            <w:r w:rsidR="00B15F9C" w:rsidRPr="00FA63AC">
              <w:rPr>
                <w:noProof/>
                <w:sz w:val="28"/>
                <w:szCs w:val="28"/>
              </w:rPr>
              <w:tab/>
            </w:r>
            <w:r w:rsidR="00B15F9C" w:rsidRPr="00FA63AC">
              <w:rPr>
                <w:rStyle w:val="Hyperlink"/>
                <w:noProof/>
                <w:sz w:val="28"/>
                <w:szCs w:val="28"/>
                <w:lang w:eastAsia="es-ES"/>
              </w:rPr>
              <w:t>Resultado da Análise Custo-Benefício</w:t>
            </w:r>
            <w:r w:rsidR="00B15F9C" w:rsidRPr="00FA63AC">
              <w:rPr>
                <w:noProof/>
                <w:webHidden/>
                <w:sz w:val="28"/>
                <w:szCs w:val="28"/>
              </w:rPr>
              <w:tab/>
            </w:r>
            <w:r w:rsidR="00B15F9C" w:rsidRPr="00FA63AC">
              <w:rPr>
                <w:noProof/>
                <w:webHidden/>
                <w:sz w:val="28"/>
                <w:szCs w:val="28"/>
              </w:rPr>
              <w:fldChar w:fldCharType="begin"/>
            </w:r>
            <w:r w:rsidR="00B15F9C" w:rsidRPr="00FA63AC">
              <w:rPr>
                <w:noProof/>
                <w:webHidden/>
                <w:sz w:val="28"/>
                <w:szCs w:val="28"/>
              </w:rPr>
              <w:instrText xml:space="preserve"> PAGEREF _Toc503777183 \h </w:instrText>
            </w:r>
            <w:r w:rsidR="00B15F9C" w:rsidRPr="00FA63AC">
              <w:rPr>
                <w:noProof/>
                <w:webHidden/>
                <w:sz w:val="28"/>
                <w:szCs w:val="28"/>
              </w:rPr>
            </w:r>
            <w:r w:rsidR="00B15F9C" w:rsidRPr="00FA63AC">
              <w:rPr>
                <w:noProof/>
                <w:webHidden/>
                <w:sz w:val="28"/>
                <w:szCs w:val="28"/>
              </w:rPr>
              <w:fldChar w:fldCharType="separate"/>
            </w:r>
            <w:r w:rsidR="00B15F9C" w:rsidRPr="00FA63AC">
              <w:rPr>
                <w:noProof/>
                <w:webHidden/>
                <w:sz w:val="28"/>
                <w:szCs w:val="28"/>
              </w:rPr>
              <w:t>26</w:t>
            </w:r>
            <w:r w:rsidR="00B15F9C" w:rsidRPr="00FA63AC">
              <w:rPr>
                <w:noProof/>
                <w:webHidden/>
                <w:sz w:val="28"/>
                <w:szCs w:val="28"/>
              </w:rPr>
              <w:fldChar w:fldCharType="end"/>
            </w:r>
          </w:hyperlink>
        </w:p>
        <w:p w:rsidR="00B15F9C" w:rsidRPr="00FA63AC" w:rsidRDefault="00134138">
          <w:pPr>
            <w:pStyle w:val="TOC1"/>
            <w:tabs>
              <w:tab w:val="left" w:pos="660"/>
              <w:tab w:val="right" w:leader="dot" w:pos="8630"/>
            </w:tabs>
            <w:rPr>
              <w:noProof/>
              <w:sz w:val="28"/>
              <w:szCs w:val="28"/>
            </w:rPr>
          </w:pPr>
          <w:hyperlink w:anchor="_Toc503777184" w:history="1">
            <w:r w:rsidR="00B15F9C" w:rsidRPr="00FA63AC">
              <w:rPr>
                <w:rStyle w:val="Hyperlink"/>
                <w:noProof/>
                <w:sz w:val="28"/>
                <w:szCs w:val="28"/>
                <w:lang w:eastAsia="es-ES"/>
              </w:rPr>
              <w:t>VIII.</w:t>
            </w:r>
            <w:r w:rsidR="00B15F9C" w:rsidRPr="00FA63AC">
              <w:rPr>
                <w:noProof/>
                <w:sz w:val="28"/>
                <w:szCs w:val="28"/>
              </w:rPr>
              <w:tab/>
            </w:r>
            <w:r w:rsidR="00B15F9C" w:rsidRPr="00FA63AC">
              <w:rPr>
                <w:rStyle w:val="Hyperlink"/>
                <w:noProof/>
                <w:sz w:val="28"/>
                <w:szCs w:val="28"/>
                <w:lang w:eastAsia="es-ES"/>
              </w:rPr>
              <w:t>Análise de Sensibilidade</w:t>
            </w:r>
            <w:r w:rsidR="00B15F9C" w:rsidRPr="00FA63AC">
              <w:rPr>
                <w:noProof/>
                <w:webHidden/>
                <w:sz w:val="28"/>
                <w:szCs w:val="28"/>
              </w:rPr>
              <w:tab/>
            </w:r>
            <w:r w:rsidR="00B15F9C" w:rsidRPr="00FA63AC">
              <w:rPr>
                <w:noProof/>
                <w:webHidden/>
                <w:sz w:val="28"/>
                <w:szCs w:val="28"/>
              </w:rPr>
              <w:fldChar w:fldCharType="begin"/>
            </w:r>
            <w:r w:rsidR="00B15F9C" w:rsidRPr="00FA63AC">
              <w:rPr>
                <w:noProof/>
                <w:webHidden/>
                <w:sz w:val="28"/>
                <w:szCs w:val="28"/>
              </w:rPr>
              <w:instrText xml:space="preserve"> PAGEREF _Toc503777184 \h </w:instrText>
            </w:r>
            <w:r w:rsidR="00B15F9C" w:rsidRPr="00FA63AC">
              <w:rPr>
                <w:noProof/>
                <w:webHidden/>
                <w:sz w:val="28"/>
                <w:szCs w:val="28"/>
              </w:rPr>
            </w:r>
            <w:r w:rsidR="00B15F9C" w:rsidRPr="00FA63AC">
              <w:rPr>
                <w:noProof/>
                <w:webHidden/>
                <w:sz w:val="28"/>
                <w:szCs w:val="28"/>
              </w:rPr>
              <w:fldChar w:fldCharType="separate"/>
            </w:r>
            <w:r w:rsidR="00B15F9C" w:rsidRPr="00FA63AC">
              <w:rPr>
                <w:noProof/>
                <w:webHidden/>
                <w:sz w:val="28"/>
                <w:szCs w:val="28"/>
              </w:rPr>
              <w:t>26</w:t>
            </w:r>
            <w:r w:rsidR="00B15F9C" w:rsidRPr="00FA63AC">
              <w:rPr>
                <w:noProof/>
                <w:webHidden/>
                <w:sz w:val="28"/>
                <w:szCs w:val="28"/>
              </w:rPr>
              <w:fldChar w:fldCharType="end"/>
            </w:r>
          </w:hyperlink>
        </w:p>
        <w:p w:rsidR="00B15F9C" w:rsidRPr="00FA63AC" w:rsidRDefault="00134138">
          <w:pPr>
            <w:pStyle w:val="TOC1"/>
            <w:tabs>
              <w:tab w:val="left" w:pos="480"/>
              <w:tab w:val="right" w:leader="dot" w:pos="8630"/>
            </w:tabs>
            <w:rPr>
              <w:noProof/>
            </w:rPr>
          </w:pPr>
          <w:hyperlink w:anchor="_Toc503777185" w:history="1">
            <w:r w:rsidR="00B15F9C" w:rsidRPr="00FA63AC">
              <w:rPr>
                <w:rStyle w:val="Hyperlink"/>
                <w:noProof/>
                <w:sz w:val="28"/>
                <w:szCs w:val="28"/>
                <w:lang w:eastAsia="es-ES"/>
              </w:rPr>
              <w:t>IX.</w:t>
            </w:r>
            <w:r w:rsidR="00B15F9C" w:rsidRPr="00FA63AC">
              <w:rPr>
                <w:noProof/>
                <w:sz w:val="28"/>
                <w:szCs w:val="28"/>
              </w:rPr>
              <w:tab/>
            </w:r>
            <w:r w:rsidR="00B15F9C" w:rsidRPr="00FA63AC">
              <w:rPr>
                <w:rStyle w:val="Hyperlink"/>
                <w:noProof/>
                <w:sz w:val="28"/>
                <w:szCs w:val="28"/>
                <w:lang w:eastAsia="es-ES"/>
              </w:rPr>
              <w:t>Conclusões</w:t>
            </w:r>
            <w:r w:rsidR="00B15F9C" w:rsidRPr="00FA63AC">
              <w:rPr>
                <w:noProof/>
                <w:webHidden/>
                <w:sz w:val="28"/>
                <w:szCs w:val="28"/>
              </w:rPr>
              <w:tab/>
            </w:r>
            <w:r w:rsidR="00B15F9C" w:rsidRPr="00FA63AC">
              <w:rPr>
                <w:noProof/>
                <w:webHidden/>
                <w:sz w:val="28"/>
                <w:szCs w:val="28"/>
              </w:rPr>
              <w:fldChar w:fldCharType="begin"/>
            </w:r>
            <w:r w:rsidR="00B15F9C" w:rsidRPr="00FA63AC">
              <w:rPr>
                <w:noProof/>
                <w:webHidden/>
                <w:sz w:val="28"/>
                <w:szCs w:val="28"/>
              </w:rPr>
              <w:instrText xml:space="preserve"> PAGEREF _Toc503777185 \h </w:instrText>
            </w:r>
            <w:r w:rsidR="00B15F9C" w:rsidRPr="00FA63AC">
              <w:rPr>
                <w:noProof/>
                <w:webHidden/>
                <w:sz w:val="28"/>
                <w:szCs w:val="28"/>
              </w:rPr>
            </w:r>
            <w:r w:rsidR="00B15F9C" w:rsidRPr="00FA63AC">
              <w:rPr>
                <w:noProof/>
                <w:webHidden/>
                <w:sz w:val="28"/>
                <w:szCs w:val="28"/>
              </w:rPr>
              <w:fldChar w:fldCharType="separate"/>
            </w:r>
            <w:r w:rsidR="00B15F9C" w:rsidRPr="00FA63AC">
              <w:rPr>
                <w:noProof/>
                <w:webHidden/>
                <w:sz w:val="28"/>
                <w:szCs w:val="28"/>
              </w:rPr>
              <w:t>28</w:t>
            </w:r>
            <w:r w:rsidR="00B15F9C" w:rsidRPr="00FA63AC">
              <w:rPr>
                <w:noProof/>
                <w:webHidden/>
                <w:sz w:val="28"/>
                <w:szCs w:val="28"/>
              </w:rPr>
              <w:fldChar w:fldCharType="end"/>
            </w:r>
          </w:hyperlink>
        </w:p>
        <w:p w:rsidR="00B15F9C" w:rsidRPr="00FA63AC" w:rsidRDefault="00B15F9C">
          <w:r w:rsidRPr="00FA63AC">
            <w:rPr>
              <w:b/>
              <w:bCs/>
            </w:rPr>
            <w:fldChar w:fldCharType="end"/>
          </w:r>
        </w:p>
      </w:sdtContent>
    </w:sdt>
    <w:p w:rsidR="001C018D" w:rsidRPr="00FA63AC" w:rsidRDefault="001C018D">
      <w:pPr>
        <w:rPr>
          <w:caps/>
          <w:smallCaps/>
        </w:rPr>
      </w:pPr>
      <w:r w:rsidRPr="00FA63AC">
        <w:rPr>
          <w:caps/>
          <w:smallCaps/>
        </w:rPr>
        <w:br w:type="page"/>
      </w:r>
    </w:p>
    <w:p w:rsidR="004F7F36" w:rsidRPr="00FA63AC" w:rsidRDefault="004F7F36" w:rsidP="007266FB">
      <w:pPr>
        <w:pStyle w:val="Heading1"/>
        <w:numPr>
          <w:ilvl w:val="0"/>
          <w:numId w:val="2"/>
        </w:numPr>
        <w:rPr>
          <w:lang w:eastAsia="es-ES"/>
        </w:rPr>
      </w:pPr>
      <w:bookmarkStart w:id="1" w:name="_Toc503777169"/>
      <w:r w:rsidRPr="00FA63AC">
        <w:rPr>
          <w:lang w:eastAsia="es-ES"/>
        </w:rPr>
        <w:lastRenderedPageBreak/>
        <w:t>Sumário Executivo</w:t>
      </w:r>
      <w:bookmarkEnd w:id="1"/>
    </w:p>
    <w:p w:rsidR="0016443B" w:rsidRPr="00FA63AC" w:rsidRDefault="0016443B" w:rsidP="0016443B">
      <w:pPr>
        <w:pStyle w:val="ListParagraph"/>
        <w:keepNext/>
        <w:suppressAutoHyphens/>
        <w:spacing w:before="120"/>
        <w:ind w:left="1440"/>
        <w:jc w:val="both"/>
        <w:outlineLvl w:val="3"/>
        <w:rPr>
          <w:rFonts w:ascii="Arial" w:hAnsi="Arial"/>
          <w:b/>
          <w:bCs/>
          <w:szCs w:val="20"/>
          <w:lang w:eastAsia="es-ES"/>
        </w:rPr>
      </w:pPr>
    </w:p>
    <w:p w:rsidR="003B5CF7" w:rsidRPr="00FA63AC" w:rsidRDefault="0087287D" w:rsidP="007266FB">
      <w:pPr>
        <w:pStyle w:val="ListParagraph"/>
        <w:keepNext/>
        <w:numPr>
          <w:ilvl w:val="1"/>
          <w:numId w:val="2"/>
        </w:numPr>
        <w:tabs>
          <w:tab w:val="num" w:pos="851"/>
        </w:tabs>
        <w:suppressAutoHyphens/>
        <w:spacing w:before="120"/>
        <w:ind w:left="851" w:hanging="567"/>
        <w:jc w:val="both"/>
        <w:outlineLvl w:val="3"/>
        <w:rPr>
          <w:bCs/>
          <w:lang w:eastAsia="es-ES"/>
        </w:rPr>
      </w:pPr>
      <w:r w:rsidRPr="00FA63AC">
        <w:rPr>
          <w:bCs/>
          <w:lang w:eastAsia="es-ES"/>
        </w:rPr>
        <w:t xml:space="preserve">O </w:t>
      </w:r>
      <w:r w:rsidR="003B5CF7" w:rsidRPr="00FA63AC">
        <w:rPr>
          <w:bCs/>
          <w:lang w:eastAsia="es-ES"/>
        </w:rPr>
        <w:t>Estado d</w:t>
      </w:r>
      <w:r w:rsidR="002F02C2" w:rsidRPr="00FA63AC">
        <w:rPr>
          <w:bCs/>
          <w:lang w:eastAsia="es-ES"/>
        </w:rPr>
        <w:t>e Pernambuco</w:t>
      </w:r>
      <w:r w:rsidR="003B5CF7" w:rsidRPr="00FA63AC">
        <w:rPr>
          <w:bCs/>
          <w:lang w:eastAsia="es-ES"/>
        </w:rPr>
        <w:t xml:space="preserve"> está desenvolvendo, junto com o Banco Interamericano de Desenvolvimento, o Programa de Modernização da Gestão Fiscal </w:t>
      </w:r>
      <w:r w:rsidR="002A3538" w:rsidRPr="00FA63AC">
        <w:rPr>
          <w:bCs/>
          <w:lang w:eastAsia="es-ES"/>
        </w:rPr>
        <w:t>do Estado d</w:t>
      </w:r>
      <w:r w:rsidR="002F02C2" w:rsidRPr="00FA63AC">
        <w:rPr>
          <w:bCs/>
          <w:lang w:eastAsia="es-ES"/>
        </w:rPr>
        <w:t>e Pernambuco</w:t>
      </w:r>
      <w:r w:rsidR="00C440C9" w:rsidRPr="00FA63AC">
        <w:rPr>
          <w:bCs/>
          <w:lang w:eastAsia="es-ES"/>
        </w:rPr>
        <w:t xml:space="preserve"> (PROFISCO II </w:t>
      </w:r>
      <w:r w:rsidR="002F02C2" w:rsidRPr="00FA63AC">
        <w:rPr>
          <w:bCs/>
          <w:lang w:eastAsia="es-ES"/>
        </w:rPr>
        <w:t>PE</w:t>
      </w:r>
      <w:r w:rsidR="003B5CF7" w:rsidRPr="00FA63AC">
        <w:rPr>
          <w:bCs/>
          <w:lang w:eastAsia="es-ES"/>
        </w:rPr>
        <w:t xml:space="preserve">) </w:t>
      </w:r>
      <w:r w:rsidR="003B5CF7" w:rsidRPr="00FA63AC">
        <w:rPr>
          <w:rFonts w:ascii="Arial" w:hAnsi="Arial" w:cs="Arial"/>
        </w:rPr>
        <w:t>BR-L</w:t>
      </w:r>
      <w:r w:rsidR="00DA65A6" w:rsidRPr="00FA63AC">
        <w:rPr>
          <w:rFonts w:ascii="Arial" w:hAnsi="Arial" w:cs="Arial"/>
        </w:rPr>
        <w:t>1</w:t>
      </w:r>
      <w:r w:rsidR="00C440C9" w:rsidRPr="00FA63AC">
        <w:rPr>
          <w:rFonts w:ascii="Arial" w:hAnsi="Arial" w:cs="Arial"/>
        </w:rPr>
        <w:t>50</w:t>
      </w:r>
      <w:r w:rsidR="002F02C2" w:rsidRPr="00FA63AC">
        <w:rPr>
          <w:rFonts w:ascii="Arial" w:hAnsi="Arial" w:cs="Arial"/>
        </w:rPr>
        <w:t>1</w:t>
      </w:r>
      <w:r w:rsidR="003B5CF7" w:rsidRPr="00FA63AC">
        <w:rPr>
          <w:bCs/>
          <w:lang w:eastAsia="es-ES"/>
        </w:rPr>
        <w:t>. O objetivo do programa é contribuir para a sustentabilidade fiscal do Estado por meio da modernização da gestão fazendária, administração tributária e gestão do gasto público</w:t>
      </w:r>
      <w:r w:rsidR="0000671C" w:rsidRPr="00FA63AC">
        <w:rPr>
          <w:bCs/>
          <w:lang w:eastAsia="es-ES"/>
        </w:rPr>
        <w:t>. Ao potencializar o desempenho da fazenda pública, aumentar a arrecadação tributária, e incrementar a eficiência do gasto público, o Estado d</w:t>
      </w:r>
      <w:r w:rsidR="000F5F34" w:rsidRPr="00FA63AC">
        <w:rPr>
          <w:bCs/>
          <w:lang w:eastAsia="es-ES"/>
        </w:rPr>
        <w:t xml:space="preserve">e Pernambuco </w:t>
      </w:r>
      <w:r w:rsidR="0000671C" w:rsidRPr="00FA63AC">
        <w:rPr>
          <w:bCs/>
          <w:lang w:eastAsia="es-ES"/>
        </w:rPr>
        <w:t xml:space="preserve">poderá melhorar a prestação de serviços de qualidade para seus </w:t>
      </w:r>
      <w:r w:rsidR="003B5CF7" w:rsidRPr="00FA63AC">
        <w:rPr>
          <w:bCs/>
          <w:lang w:eastAsia="es-ES"/>
        </w:rPr>
        <w:t>cidadãos. O investimento total do programa será</w:t>
      </w:r>
      <w:r w:rsidR="00C440C9" w:rsidRPr="00FA63AC">
        <w:rPr>
          <w:bCs/>
          <w:lang w:eastAsia="es-ES"/>
        </w:rPr>
        <w:t xml:space="preserve"> de US </w:t>
      </w:r>
      <w:r w:rsidR="00436F41" w:rsidRPr="00FA63AC">
        <w:rPr>
          <w:bCs/>
          <w:lang w:eastAsia="es-ES"/>
        </w:rPr>
        <w:t>44</w:t>
      </w:r>
      <w:r w:rsidR="005E4780" w:rsidRPr="00FA63AC">
        <w:rPr>
          <w:bCs/>
          <w:lang w:eastAsia="es-ES"/>
        </w:rPr>
        <w:t>,</w:t>
      </w:r>
      <w:r w:rsidR="00BF10D7" w:rsidRPr="00FA63AC">
        <w:rPr>
          <w:bCs/>
          <w:lang w:eastAsia="es-ES"/>
        </w:rPr>
        <w:t>4</w:t>
      </w:r>
      <w:r w:rsidR="005E4780" w:rsidRPr="00FA63AC">
        <w:rPr>
          <w:bCs/>
          <w:lang w:eastAsia="es-ES"/>
        </w:rPr>
        <w:t xml:space="preserve"> </w:t>
      </w:r>
      <w:r w:rsidR="00C440C9" w:rsidRPr="00FA63AC">
        <w:rPr>
          <w:bCs/>
          <w:lang w:eastAsia="es-ES"/>
        </w:rPr>
        <w:t xml:space="preserve">milhões, sendo US$ </w:t>
      </w:r>
      <w:r w:rsidR="00BF10D7" w:rsidRPr="00FA63AC">
        <w:rPr>
          <w:bCs/>
          <w:lang w:eastAsia="es-ES"/>
        </w:rPr>
        <w:t xml:space="preserve">37,0 </w:t>
      </w:r>
      <w:r w:rsidR="003B5CF7" w:rsidRPr="00FA63AC">
        <w:rPr>
          <w:bCs/>
          <w:lang w:eastAsia="es-ES"/>
        </w:rPr>
        <w:t xml:space="preserve">milhões de financiamento BID e US$ </w:t>
      </w:r>
      <w:r w:rsidR="00BF10D7" w:rsidRPr="00FA63AC">
        <w:rPr>
          <w:bCs/>
          <w:lang w:eastAsia="es-ES"/>
        </w:rPr>
        <w:t>7</w:t>
      </w:r>
      <w:r w:rsidR="005D135D" w:rsidRPr="00FA63AC">
        <w:rPr>
          <w:bCs/>
          <w:lang w:eastAsia="es-ES"/>
        </w:rPr>
        <w:t>,4</w:t>
      </w:r>
      <w:r w:rsidR="003B5CF7" w:rsidRPr="00FA63AC">
        <w:rPr>
          <w:bCs/>
          <w:lang w:eastAsia="es-ES"/>
        </w:rPr>
        <w:t xml:space="preserve"> milhões de contrapartida.</w:t>
      </w:r>
      <w:r w:rsidR="003B5CF7" w:rsidRPr="00FA63AC">
        <w:rPr>
          <w:rFonts w:ascii="Arial" w:eastAsia="Arial" w:hAnsi="Arial" w:cs="Arial"/>
          <w:color w:val="000000" w:themeColor="text1"/>
        </w:rPr>
        <w:t xml:space="preserve"> </w:t>
      </w:r>
    </w:p>
    <w:p w:rsidR="00CC00C6" w:rsidRPr="00FA63AC" w:rsidRDefault="00CC00C6" w:rsidP="007266FB">
      <w:pPr>
        <w:pStyle w:val="ListParagraph"/>
        <w:keepNext/>
        <w:numPr>
          <w:ilvl w:val="1"/>
          <w:numId w:val="2"/>
        </w:numPr>
        <w:tabs>
          <w:tab w:val="num" w:pos="851"/>
        </w:tabs>
        <w:suppressAutoHyphens/>
        <w:spacing w:before="120"/>
        <w:ind w:left="851" w:hanging="567"/>
        <w:jc w:val="both"/>
        <w:outlineLvl w:val="3"/>
        <w:rPr>
          <w:bCs/>
          <w:lang w:eastAsia="es-ES"/>
        </w:rPr>
      </w:pPr>
      <w:r w:rsidRPr="00FA63AC">
        <w:rPr>
          <w:bCs/>
          <w:lang w:eastAsia="es-ES"/>
        </w:rPr>
        <w:t>Esta</w:t>
      </w:r>
      <w:r w:rsidR="003F3D36" w:rsidRPr="00FA63AC">
        <w:rPr>
          <w:bCs/>
          <w:lang w:eastAsia="es-ES"/>
        </w:rPr>
        <w:t xml:space="preserve"> análise C</w:t>
      </w:r>
      <w:r w:rsidRPr="00FA63AC">
        <w:rPr>
          <w:bCs/>
          <w:lang w:eastAsia="es-ES"/>
        </w:rPr>
        <w:t>usto</w:t>
      </w:r>
      <w:r w:rsidR="003F3D36" w:rsidRPr="00FA63AC">
        <w:rPr>
          <w:bCs/>
          <w:lang w:eastAsia="es-ES"/>
        </w:rPr>
        <w:t>-B</w:t>
      </w:r>
      <w:r w:rsidRPr="00FA63AC">
        <w:rPr>
          <w:bCs/>
          <w:lang w:eastAsia="es-ES"/>
        </w:rPr>
        <w:t xml:space="preserve">enefício </w:t>
      </w:r>
      <w:r w:rsidR="003F3D36" w:rsidRPr="00FA63AC">
        <w:rPr>
          <w:bCs/>
          <w:lang w:eastAsia="es-ES"/>
        </w:rPr>
        <w:t xml:space="preserve">(C-B) </w:t>
      </w:r>
      <w:r w:rsidRPr="00FA63AC">
        <w:rPr>
          <w:bCs/>
          <w:lang w:eastAsia="es-ES"/>
        </w:rPr>
        <w:t>considera os custos e benefícios financeiros</w:t>
      </w:r>
      <w:r w:rsidR="002422B9" w:rsidRPr="00FA63AC">
        <w:rPr>
          <w:bCs/>
          <w:lang w:eastAsia="es-ES"/>
        </w:rPr>
        <w:t xml:space="preserve"> do programa em um </w:t>
      </w:r>
      <w:r w:rsidRPr="00FA63AC">
        <w:rPr>
          <w:bCs/>
          <w:lang w:eastAsia="es-ES"/>
        </w:rPr>
        <w:t>universo temporal de dez anos a partir do in</w:t>
      </w:r>
      <w:r w:rsidR="00BF10D7" w:rsidRPr="00FA63AC">
        <w:rPr>
          <w:bCs/>
          <w:lang w:eastAsia="es-ES"/>
        </w:rPr>
        <w:t>í</w:t>
      </w:r>
      <w:r w:rsidRPr="00FA63AC">
        <w:rPr>
          <w:bCs/>
          <w:lang w:eastAsia="es-ES"/>
        </w:rPr>
        <w:t xml:space="preserve">cio da execução do programa, independendo do </w:t>
      </w:r>
      <w:r w:rsidR="00C750E2" w:rsidRPr="00FA63AC">
        <w:rPr>
          <w:bCs/>
          <w:lang w:eastAsia="es-ES"/>
        </w:rPr>
        <w:t>começo especí</w:t>
      </w:r>
      <w:r w:rsidRPr="00FA63AC">
        <w:rPr>
          <w:bCs/>
          <w:lang w:eastAsia="es-ES"/>
        </w:rPr>
        <w:t>fico da execução em ano calendário. Assim, a análise vai do ano 1 ao ano 10, que corresponderia aproximadamente aos anos 2018 e 2027, respectivamente.</w:t>
      </w:r>
    </w:p>
    <w:p w:rsidR="00CC00C6" w:rsidRPr="00FA63AC" w:rsidRDefault="00CC00C6" w:rsidP="007266FB">
      <w:pPr>
        <w:pStyle w:val="ListParagraph"/>
        <w:keepNext/>
        <w:numPr>
          <w:ilvl w:val="1"/>
          <w:numId w:val="2"/>
        </w:numPr>
        <w:tabs>
          <w:tab w:val="num" w:pos="851"/>
        </w:tabs>
        <w:suppressAutoHyphens/>
        <w:spacing w:before="120"/>
        <w:ind w:left="851" w:hanging="567"/>
        <w:jc w:val="both"/>
        <w:outlineLvl w:val="3"/>
        <w:rPr>
          <w:bCs/>
          <w:lang w:eastAsia="es-ES"/>
        </w:rPr>
      </w:pPr>
      <w:r w:rsidRPr="00FA63AC">
        <w:rPr>
          <w:bCs/>
          <w:lang w:eastAsia="es-ES"/>
        </w:rPr>
        <w:t>Foram incluídos os custos de financiamento do programa</w:t>
      </w:r>
      <w:r w:rsidR="008D28E9" w:rsidRPr="00FA63AC">
        <w:rPr>
          <w:bCs/>
          <w:lang w:eastAsia="es-ES"/>
        </w:rPr>
        <w:t xml:space="preserve"> e</w:t>
      </w:r>
      <w:r w:rsidRPr="00FA63AC">
        <w:rPr>
          <w:bCs/>
          <w:lang w:eastAsia="es-ES"/>
        </w:rPr>
        <w:t xml:space="preserve"> de contrapartida pelo Estado do </w:t>
      </w:r>
      <w:r w:rsidR="00F159EA" w:rsidRPr="00FA63AC">
        <w:rPr>
          <w:bCs/>
          <w:lang w:eastAsia="es-ES"/>
        </w:rPr>
        <w:t>Pernambuco</w:t>
      </w:r>
      <w:r w:rsidRPr="00FA63AC">
        <w:rPr>
          <w:bCs/>
          <w:lang w:eastAsia="es-ES"/>
        </w:rPr>
        <w:t>; custos financeiros de taxa de crédito para valores não desembolsados</w:t>
      </w:r>
      <w:r w:rsidR="00C750E2" w:rsidRPr="00FA63AC">
        <w:rPr>
          <w:bCs/>
          <w:lang w:eastAsia="es-ES"/>
        </w:rPr>
        <w:t>,</w:t>
      </w:r>
      <w:r w:rsidRPr="00FA63AC">
        <w:rPr>
          <w:bCs/>
          <w:lang w:eastAsia="es-ES"/>
        </w:rPr>
        <w:t xml:space="preserve"> juros para valores desembolsados e custos de manutenção de </w:t>
      </w:r>
      <w:r w:rsidR="007436CD" w:rsidRPr="00FA63AC">
        <w:rPr>
          <w:bCs/>
          <w:lang w:eastAsia="es-ES"/>
        </w:rPr>
        <w:t xml:space="preserve">obras e bens adquiridos, assim como de </w:t>
      </w:r>
      <w:r w:rsidRPr="00FA63AC">
        <w:rPr>
          <w:bCs/>
          <w:lang w:eastAsia="es-ES"/>
        </w:rPr>
        <w:t>sistemas depois de implantados e durante todo o período da avaliação.</w:t>
      </w:r>
    </w:p>
    <w:p w:rsidR="00B15F9C" w:rsidRPr="00FA63AC" w:rsidRDefault="00CC00C6" w:rsidP="00B15F9C">
      <w:pPr>
        <w:pStyle w:val="ListParagraph"/>
        <w:keepNext/>
        <w:numPr>
          <w:ilvl w:val="1"/>
          <w:numId w:val="2"/>
        </w:numPr>
        <w:tabs>
          <w:tab w:val="num" w:pos="851"/>
        </w:tabs>
        <w:suppressAutoHyphens/>
        <w:spacing w:before="120"/>
        <w:ind w:left="851" w:hanging="567"/>
        <w:jc w:val="both"/>
        <w:outlineLvl w:val="3"/>
        <w:rPr>
          <w:bCs/>
          <w:lang w:eastAsia="es-ES"/>
        </w:rPr>
      </w:pPr>
      <w:r w:rsidRPr="00FA63AC">
        <w:rPr>
          <w:bCs/>
          <w:lang w:eastAsia="es-ES"/>
        </w:rPr>
        <w:t xml:space="preserve">Os benefícios foram distribuídos em três áreas específicas: </w:t>
      </w:r>
      <w:r w:rsidR="00543F15" w:rsidRPr="00FA63AC">
        <w:rPr>
          <w:bCs/>
          <w:lang w:eastAsia="es-ES"/>
        </w:rPr>
        <w:t xml:space="preserve">(i) </w:t>
      </w:r>
      <w:r w:rsidRPr="00FA63AC">
        <w:rPr>
          <w:b/>
          <w:bCs/>
          <w:lang w:eastAsia="es-ES"/>
        </w:rPr>
        <w:t>Aumento de arrecadação tributária</w:t>
      </w:r>
      <w:r w:rsidR="00F159EA" w:rsidRPr="00FA63AC">
        <w:rPr>
          <w:b/>
          <w:bCs/>
          <w:lang w:eastAsia="es-ES"/>
        </w:rPr>
        <w:t xml:space="preserve"> através da </w:t>
      </w:r>
      <w:r w:rsidR="002E2553" w:rsidRPr="00FA63AC">
        <w:rPr>
          <w:b/>
          <w:bCs/>
          <w:lang w:eastAsia="es-ES"/>
        </w:rPr>
        <w:t>adoção de nova tecnologia de fiscalização de mercadorias em tr</w:t>
      </w:r>
      <w:r w:rsidR="009E35E0" w:rsidRPr="00FA63AC">
        <w:rPr>
          <w:b/>
          <w:bCs/>
          <w:lang w:eastAsia="es-ES"/>
        </w:rPr>
        <w:t>ânsito</w:t>
      </w:r>
      <w:r w:rsidRPr="00FA63AC">
        <w:rPr>
          <w:b/>
          <w:bCs/>
          <w:lang w:eastAsia="es-ES"/>
        </w:rPr>
        <w:t xml:space="preserve">; </w:t>
      </w:r>
      <w:r w:rsidR="00543F15" w:rsidRPr="00FA63AC">
        <w:rPr>
          <w:b/>
          <w:bCs/>
          <w:lang w:eastAsia="es-ES"/>
        </w:rPr>
        <w:t xml:space="preserve">(ii) </w:t>
      </w:r>
      <w:r w:rsidRPr="00FA63AC">
        <w:rPr>
          <w:b/>
          <w:bCs/>
          <w:lang w:eastAsia="es-ES"/>
        </w:rPr>
        <w:t xml:space="preserve">Redução de custos para o </w:t>
      </w:r>
      <w:r w:rsidR="00AF6510" w:rsidRPr="00FA63AC">
        <w:rPr>
          <w:b/>
          <w:bCs/>
          <w:lang w:eastAsia="es-ES"/>
        </w:rPr>
        <w:t>Estado de Pernambuco com a adoção de um novo sistema de gestão da folha de pagamentos</w:t>
      </w:r>
      <w:r w:rsidR="00325DCC" w:rsidRPr="00FA63AC">
        <w:rPr>
          <w:b/>
          <w:bCs/>
          <w:lang w:eastAsia="es-ES"/>
        </w:rPr>
        <w:t xml:space="preserve"> </w:t>
      </w:r>
      <w:r w:rsidRPr="00FA63AC">
        <w:rPr>
          <w:b/>
          <w:bCs/>
          <w:lang w:eastAsia="es-ES"/>
        </w:rPr>
        <w:t xml:space="preserve">e </w:t>
      </w:r>
      <w:r w:rsidR="00543F15" w:rsidRPr="00FA63AC">
        <w:rPr>
          <w:b/>
          <w:bCs/>
          <w:lang w:eastAsia="es-ES"/>
        </w:rPr>
        <w:t xml:space="preserve">(iii) </w:t>
      </w:r>
      <w:bookmarkStart w:id="2" w:name="_Hlk503192824"/>
      <w:r w:rsidRPr="00FA63AC">
        <w:rPr>
          <w:b/>
          <w:bCs/>
          <w:lang w:eastAsia="es-ES"/>
        </w:rPr>
        <w:t>Redu</w:t>
      </w:r>
      <w:r w:rsidR="00F159EA" w:rsidRPr="00FA63AC">
        <w:rPr>
          <w:b/>
          <w:bCs/>
          <w:lang w:eastAsia="es-ES"/>
        </w:rPr>
        <w:t>ção de custos para o governo de Pernambuco</w:t>
      </w:r>
      <w:r w:rsidRPr="00FA63AC">
        <w:rPr>
          <w:b/>
          <w:bCs/>
          <w:lang w:eastAsia="es-ES"/>
        </w:rPr>
        <w:t xml:space="preserve"> </w:t>
      </w:r>
      <w:r w:rsidR="002D6574" w:rsidRPr="00FA63AC">
        <w:rPr>
          <w:b/>
          <w:bCs/>
          <w:lang w:eastAsia="es-ES"/>
        </w:rPr>
        <w:t>com</w:t>
      </w:r>
      <w:r w:rsidR="00A60BB9" w:rsidRPr="00FA63AC">
        <w:rPr>
          <w:b/>
          <w:bCs/>
          <w:lang w:eastAsia="es-ES"/>
        </w:rPr>
        <w:t xml:space="preserve"> a automatização </w:t>
      </w:r>
      <w:r w:rsidR="00AF6510" w:rsidRPr="00FA63AC">
        <w:rPr>
          <w:b/>
          <w:bCs/>
          <w:lang w:eastAsia="es-ES"/>
        </w:rPr>
        <w:t>do processo de atesto</w:t>
      </w:r>
      <w:r w:rsidR="00FF7E58" w:rsidRPr="00FA63AC">
        <w:rPr>
          <w:rStyle w:val="FootnoteReference"/>
          <w:b/>
          <w:bCs/>
          <w:lang w:eastAsia="es-ES"/>
        </w:rPr>
        <w:footnoteReference w:id="1"/>
      </w:r>
      <w:r w:rsidR="00325DCC" w:rsidRPr="00FA63AC">
        <w:rPr>
          <w:b/>
          <w:bCs/>
          <w:lang w:eastAsia="es-ES"/>
        </w:rPr>
        <w:t>.</w:t>
      </w:r>
      <w:r w:rsidR="00BF10D7" w:rsidRPr="00FA63AC">
        <w:rPr>
          <w:b/>
          <w:bCs/>
          <w:lang w:eastAsia="es-ES"/>
        </w:rPr>
        <w:t xml:space="preserve"> </w:t>
      </w:r>
      <w:bookmarkEnd w:id="2"/>
    </w:p>
    <w:p w:rsidR="00BB09DF" w:rsidRPr="00FA63AC" w:rsidRDefault="003F3D36" w:rsidP="00B15F9C">
      <w:pPr>
        <w:pStyle w:val="ListParagraph"/>
        <w:keepNext/>
        <w:numPr>
          <w:ilvl w:val="1"/>
          <w:numId w:val="2"/>
        </w:numPr>
        <w:tabs>
          <w:tab w:val="num" w:pos="851"/>
        </w:tabs>
        <w:suppressAutoHyphens/>
        <w:spacing w:before="120"/>
        <w:ind w:left="851" w:hanging="567"/>
        <w:jc w:val="both"/>
        <w:outlineLvl w:val="3"/>
        <w:rPr>
          <w:bCs/>
          <w:lang w:eastAsia="es-ES"/>
        </w:rPr>
      </w:pPr>
      <w:r w:rsidRPr="00FA63AC">
        <w:rPr>
          <w:bCs/>
          <w:lang w:eastAsia="es-ES"/>
        </w:rPr>
        <w:t xml:space="preserve">O PROFISCO II inclui três grandes áreas de </w:t>
      </w:r>
      <w:r w:rsidR="004859F8" w:rsidRPr="00FA63AC">
        <w:rPr>
          <w:bCs/>
          <w:lang w:eastAsia="es-ES"/>
        </w:rPr>
        <w:t xml:space="preserve">atuação que incluem </w:t>
      </w:r>
      <w:r w:rsidR="005E4780" w:rsidRPr="00FA63AC">
        <w:rPr>
          <w:bCs/>
          <w:lang w:eastAsia="es-ES"/>
        </w:rPr>
        <w:t>13</w:t>
      </w:r>
      <w:r w:rsidR="004859F8" w:rsidRPr="00FA63AC">
        <w:rPr>
          <w:bCs/>
          <w:lang w:eastAsia="es-ES"/>
        </w:rPr>
        <w:t xml:space="preserve"> produtos</w:t>
      </w:r>
      <w:r w:rsidRPr="00FA63AC">
        <w:rPr>
          <w:bCs/>
          <w:lang w:eastAsia="es-ES"/>
        </w:rPr>
        <w:t>. Quase todos os produtos gerarão aumento de receita</w:t>
      </w:r>
      <w:r w:rsidR="00FE212A" w:rsidRPr="00FA63AC">
        <w:rPr>
          <w:bCs/>
          <w:lang w:eastAsia="es-ES"/>
        </w:rPr>
        <w:t xml:space="preserve"> através da redução da evasão tributária</w:t>
      </w:r>
      <w:r w:rsidRPr="00FA63AC">
        <w:rPr>
          <w:bCs/>
          <w:lang w:eastAsia="es-ES"/>
        </w:rPr>
        <w:t xml:space="preserve">, economia para o contribuinte ou redução de gastos para o governo. Para a análise C-B foram selecionados apenas </w:t>
      </w:r>
      <w:r w:rsidR="00AF6510" w:rsidRPr="00FA63AC">
        <w:rPr>
          <w:bCs/>
          <w:lang w:eastAsia="es-ES"/>
        </w:rPr>
        <w:t xml:space="preserve">três produtos, um de cada componente, </w:t>
      </w:r>
      <w:r w:rsidRPr="00FA63AC">
        <w:rPr>
          <w:bCs/>
          <w:lang w:eastAsia="es-ES"/>
        </w:rPr>
        <w:t xml:space="preserve">que caracterizam bem estes potenciais benefícios e </w:t>
      </w:r>
      <w:r w:rsidR="00787DB6" w:rsidRPr="00FA63AC">
        <w:rPr>
          <w:bCs/>
          <w:lang w:eastAsia="es-ES"/>
        </w:rPr>
        <w:t xml:space="preserve">que contam </w:t>
      </w:r>
      <w:r w:rsidRPr="00FA63AC">
        <w:rPr>
          <w:bCs/>
          <w:lang w:eastAsia="es-ES"/>
        </w:rPr>
        <w:t>com disponibilidade de dados para identificar e quantificar adequadamente os benefícios.</w:t>
      </w:r>
    </w:p>
    <w:p w:rsidR="00360FC6" w:rsidRPr="00FA63AC" w:rsidRDefault="00360FC6" w:rsidP="007266FB">
      <w:pPr>
        <w:pStyle w:val="ListParagraph"/>
        <w:keepNext/>
        <w:numPr>
          <w:ilvl w:val="1"/>
          <w:numId w:val="2"/>
        </w:numPr>
        <w:tabs>
          <w:tab w:val="clear" w:pos="995"/>
          <w:tab w:val="num" w:pos="851"/>
        </w:tabs>
        <w:suppressAutoHyphens/>
        <w:spacing w:before="120"/>
        <w:ind w:left="851" w:hanging="567"/>
        <w:jc w:val="both"/>
        <w:outlineLvl w:val="3"/>
        <w:rPr>
          <w:bCs/>
          <w:lang w:eastAsia="es-ES"/>
        </w:rPr>
      </w:pPr>
      <w:r w:rsidRPr="00FA63AC">
        <w:rPr>
          <w:b/>
          <w:bCs/>
          <w:lang w:eastAsia="es-ES"/>
        </w:rPr>
        <w:t>Na área de aumento da arrecadação,</w:t>
      </w:r>
      <w:r w:rsidRPr="00FA63AC">
        <w:rPr>
          <w:bCs/>
          <w:lang w:eastAsia="es-ES"/>
        </w:rPr>
        <w:t xml:space="preserve"> foi</w:t>
      </w:r>
      <w:r w:rsidR="00C53E37" w:rsidRPr="00FA63AC">
        <w:rPr>
          <w:bCs/>
          <w:lang w:eastAsia="es-ES"/>
        </w:rPr>
        <w:t xml:space="preserve"> escolhido para a análise C-B, uma estimativa de ganhos </w:t>
      </w:r>
      <w:r w:rsidR="00BB09DF" w:rsidRPr="00FA63AC">
        <w:rPr>
          <w:bCs/>
          <w:lang w:eastAsia="es-ES"/>
        </w:rPr>
        <w:t xml:space="preserve">baseada na </w:t>
      </w:r>
      <w:r w:rsidR="000B5FA6" w:rsidRPr="00FA63AC">
        <w:rPr>
          <w:bCs/>
          <w:lang w:eastAsia="es-ES"/>
        </w:rPr>
        <w:t xml:space="preserve">adoção de novas tecnologias </w:t>
      </w:r>
      <w:r w:rsidR="00E70723" w:rsidRPr="00FA63AC">
        <w:rPr>
          <w:bCs/>
          <w:lang w:eastAsia="es-ES"/>
        </w:rPr>
        <w:t>de supervisão de mercadorias em trânsito</w:t>
      </w:r>
      <w:r w:rsidR="00032A07" w:rsidRPr="00FA63AC">
        <w:rPr>
          <w:bCs/>
          <w:lang w:eastAsia="es-ES"/>
        </w:rPr>
        <w:t xml:space="preserve"> que contribuirão para a redução d</w:t>
      </w:r>
      <w:r w:rsidR="00AF6510" w:rsidRPr="00FA63AC">
        <w:rPr>
          <w:bCs/>
          <w:lang w:eastAsia="es-ES"/>
        </w:rPr>
        <w:t>a evasão fiscal e redução de distorções econômicas com a redução do desequilíbrio entre agentes que cumprem suas obrigações fiscais e aqueles que não as cumprem</w:t>
      </w:r>
      <w:r w:rsidR="00032A07" w:rsidRPr="00FA63AC">
        <w:rPr>
          <w:bCs/>
          <w:lang w:eastAsia="es-ES"/>
        </w:rPr>
        <w:t>.</w:t>
      </w:r>
      <w:r w:rsidR="00E70723" w:rsidRPr="00FA63AC">
        <w:rPr>
          <w:bCs/>
          <w:lang w:eastAsia="es-ES"/>
        </w:rPr>
        <w:t xml:space="preserve"> </w:t>
      </w:r>
    </w:p>
    <w:p w:rsidR="00FE3E25" w:rsidRPr="00FA63AC" w:rsidRDefault="00FE3E25"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O </w:t>
      </w:r>
      <w:r w:rsidRPr="00FA63AC">
        <w:t>Componente II (Administração tributária e contencioso fiscal)</w:t>
      </w:r>
      <w:r w:rsidRPr="00FA63AC">
        <w:rPr>
          <w:rFonts w:ascii="Arial" w:hAnsi="Arial" w:cs="Arial"/>
          <w:sz w:val="22"/>
          <w:szCs w:val="22"/>
        </w:rPr>
        <w:t xml:space="preserve"> </w:t>
      </w:r>
      <w:r w:rsidRPr="00FA63AC">
        <w:rPr>
          <w:bCs/>
          <w:lang w:eastAsia="es-ES"/>
        </w:rPr>
        <w:t xml:space="preserve">do PROFISCO II financiará iniciativas que buscam </w:t>
      </w:r>
      <w:r w:rsidR="00FE212A" w:rsidRPr="00FA63AC">
        <w:rPr>
          <w:bCs/>
          <w:lang w:eastAsia="es-ES"/>
        </w:rPr>
        <w:t xml:space="preserve">reduzir a evasão fiscal e, como resultado, </w:t>
      </w:r>
      <w:r w:rsidRPr="00FA63AC">
        <w:rPr>
          <w:bCs/>
          <w:lang w:eastAsia="es-ES"/>
        </w:rPr>
        <w:t>aumentar a arrecadação própria d</w:t>
      </w:r>
      <w:r w:rsidR="00BF10D7" w:rsidRPr="00FA63AC">
        <w:rPr>
          <w:bCs/>
          <w:lang w:eastAsia="es-ES"/>
        </w:rPr>
        <w:t>e</w:t>
      </w:r>
      <w:r w:rsidRPr="00FA63AC">
        <w:rPr>
          <w:bCs/>
          <w:lang w:eastAsia="es-ES"/>
        </w:rPr>
        <w:t xml:space="preserve"> </w:t>
      </w:r>
      <w:r w:rsidR="00FE212A" w:rsidRPr="00FA63AC">
        <w:rPr>
          <w:bCs/>
          <w:lang w:eastAsia="es-ES"/>
        </w:rPr>
        <w:t>Pernambuco</w:t>
      </w:r>
      <w:r w:rsidR="008E51AE" w:rsidRPr="00FA63AC">
        <w:rPr>
          <w:bCs/>
          <w:lang w:eastAsia="es-ES"/>
        </w:rPr>
        <w:t>, incluindo, entre outras:</w:t>
      </w:r>
      <w:r w:rsidRPr="00FA63AC">
        <w:rPr>
          <w:bCs/>
          <w:lang w:eastAsia="es-ES"/>
        </w:rPr>
        <w:t xml:space="preserve"> </w:t>
      </w:r>
      <w:r w:rsidR="008E51AE" w:rsidRPr="00FA63AC">
        <w:rPr>
          <w:bCs/>
          <w:lang w:eastAsia="es-ES"/>
        </w:rPr>
        <w:t>(i)</w:t>
      </w:r>
      <w:r w:rsidR="00FA63AC">
        <w:rPr>
          <w:bCs/>
          <w:lang w:eastAsia="es-ES"/>
        </w:rPr>
        <w:t> </w:t>
      </w:r>
      <w:r w:rsidR="009D29AC" w:rsidRPr="00FA63AC">
        <w:rPr>
          <w:bCs/>
          <w:lang w:eastAsia="es-ES"/>
        </w:rPr>
        <w:t>Monitoramento de grandes contribuintes</w:t>
      </w:r>
      <w:r w:rsidR="008E51AE" w:rsidRPr="00FA63AC">
        <w:rPr>
          <w:bCs/>
          <w:lang w:eastAsia="es-ES"/>
        </w:rPr>
        <w:t xml:space="preserve">; (ii) </w:t>
      </w:r>
      <w:r w:rsidR="009D29AC" w:rsidRPr="00FA63AC">
        <w:rPr>
          <w:bCs/>
          <w:lang w:eastAsia="es-ES"/>
        </w:rPr>
        <w:t xml:space="preserve">Aperfeiçoamento da fiscalização </w:t>
      </w:r>
      <w:r w:rsidR="009D29AC" w:rsidRPr="00FA63AC">
        <w:rPr>
          <w:bCs/>
          <w:lang w:eastAsia="es-ES"/>
        </w:rPr>
        <w:lastRenderedPageBreak/>
        <w:t>e inteligência fiscal; (iii) S</w:t>
      </w:r>
      <w:r w:rsidR="008E51AE" w:rsidRPr="00FA63AC">
        <w:rPr>
          <w:bCs/>
          <w:lang w:eastAsia="es-ES"/>
        </w:rPr>
        <w:t xml:space="preserve">implificação </w:t>
      </w:r>
      <w:r w:rsidR="009D29AC" w:rsidRPr="00FA63AC">
        <w:rPr>
          <w:bCs/>
          <w:lang w:eastAsia="es-ES"/>
        </w:rPr>
        <w:t>das obrigações tributárias; (iv</w:t>
      </w:r>
      <w:r w:rsidR="008E51AE" w:rsidRPr="00FA63AC">
        <w:rPr>
          <w:bCs/>
          <w:lang w:eastAsia="es-ES"/>
        </w:rPr>
        <w:t>)</w:t>
      </w:r>
      <w:r w:rsidR="00FA63AC">
        <w:rPr>
          <w:bCs/>
          <w:lang w:eastAsia="es-ES"/>
        </w:rPr>
        <w:t> </w:t>
      </w:r>
      <w:r w:rsidR="009D29AC" w:rsidRPr="00FA63AC">
        <w:rPr>
          <w:bCs/>
          <w:lang w:eastAsia="es-ES"/>
        </w:rPr>
        <w:t>Aperfeiçoamento do Contencioso Fiscal</w:t>
      </w:r>
      <w:r w:rsidR="008E51AE" w:rsidRPr="00FA63AC">
        <w:rPr>
          <w:bCs/>
          <w:lang w:eastAsia="es-ES"/>
        </w:rPr>
        <w:t xml:space="preserve">; </w:t>
      </w:r>
      <w:r w:rsidR="009D29AC" w:rsidRPr="00FA63AC">
        <w:rPr>
          <w:bCs/>
          <w:lang w:eastAsia="es-ES"/>
        </w:rPr>
        <w:t xml:space="preserve">e </w:t>
      </w:r>
      <w:r w:rsidR="008E51AE" w:rsidRPr="00FA63AC">
        <w:rPr>
          <w:bCs/>
          <w:lang w:eastAsia="es-ES"/>
        </w:rPr>
        <w:t xml:space="preserve">(v) </w:t>
      </w:r>
      <w:r w:rsidR="009D29AC" w:rsidRPr="00FA63AC">
        <w:rPr>
          <w:bCs/>
          <w:lang w:eastAsia="es-ES"/>
        </w:rPr>
        <w:t xml:space="preserve">Aperfeiçoamento dos Serviços de Arrecadação. </w:t>
      </w:r>
    </w:p>
    <w:p w:rsidR="006E12C3" w:rsidRPr="00FA63AC" w:rsidRDefault="00C73631"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Ganhos de arrecadação </w:t>
      </w:r>
      <w:r w:rsidR="006E12C3" w:rsidRPr="00FA63AC">
        <w:rPr>
          <w:bCs/>
          <w:lang w:eastAsia="es-ES"/>
        </w:rPr>
        <w:t>vir</w:t>
      </w:r>
      <w:r w:rsidRPr="00FA63AC">
        <w:rPr>
          <w:bCs/>
          <w:lang w:eastAsia="es-ES"/>
        </w:rPr>
        <w:t>ão</w:t>
      </w:r>
      <w:r w:rsidR="006E12C3" w:rsidRPr="00FA63AC">
        <w:rPr>
          <w:bCs/>
          <w:lang w:eastAsia="es-ES"/>
        </w:rPr>
        <w:t xml:space="preserve"> d</w:t>
      </w:r>
      <w:r w:rsidRPr="00FA63AC">
        <w:rPr>
          <w:bCs/>
          <w:lang w:eastAsia="es-ES"/>
        </w:rPr>
        <w:t>e</w:t>
      </w:r>
      <w:r w:rsidR="006E12C3" w:rsidRPr="00FA63AC">
        <w:rPr>
          <w:bCs/>
          <w:lang w:eastAsia="es-ES"/>
        </w:rPr>
        <w:t xml:space="preserve"> ações de estruturação da fiscalização</w:t>
      </w:r>
      <w:r w:rsidRPr="00FA63AC">
        <w:rPr>
          <w:bCs/>
          <w:lang w:eastAsia="es-ES"/>
        </w:rPr>
        <w:t xml:space="preserve"> do trânsito de mercadorias</w:t>
      </w:r>
      <w:r w:rsidR="006E12C3" w:rsidRPr="00FA63AC">
        <w:rPr>
          <w:bCs/>
          <w:lang w:eastAsia="es-ES"/>
        </w:rPr>
        <w:t xml:space="preserve">, inteligência fiscal, melhoria da cobrança, etc., </w:t>
      </w:r>
      <w:r w:rsidRPr="00FA63AC">
        <w:rPr>
          <w:bCs/>
          <w:lang w:eastAsia="es-ES"/>
        </w:rPr>
        <w:t xml:space="preserve">algumas </w:t>
      </w:r>
      <w:r w:rsidR="006E12C3" w:rsidRPr="00FA63AC">
        <w:rPr>
          <w:bCs/>
          <w:lang w:eastAsia="es-ES"/>
        </w:rPr>
        <w:t xml:space="preserve">mais difíceis de estimar precisamente em uma análise ex-ante. Assim, </w:t>
      </w:r>
      <w:r w:rsidR="00663884" w:rsidRPr="00FA63AC">
        <w:rPr>
          <w:bCs/>
          <w:lang w:eastAsia="es-ES"/>
        </w:rPr>
        <w:t>fo</w:t>
      </w:r>
      <w:r w:rsidR="00D3586D" w:rsidRPr="00FA63AC">
        <w:rPr>
          <w:bCs/>
          <w:lang w:eastAsia="es-ES"/>
        </w:rPr>
        <w:t>i analisado um simples exemplo</w:t>
      </w:r>
      <w:r w:rsidR="00B207EA" w:rsidRPr="00FA63AC">
        <w:rPr>
          <w:bCs/>
          <w:lang w:eastAsia="es-ES"/>
        </w:rPr>
        <w:t xml:space="preserve"> que conta com dados disponíveis e adequados para a medição de </w:t>
      </w:r>
      <w:r w:rsidR="006E12C3" w:rsidRPr="00FA63AC">
        <w:rPr>
          <w:bCs/>
          <w:lang w:eastAsia="es-ES"/>
        </w:rPr>
        <w:t>aumento</w:t>
      </w:r>
      <w:r w:rsidR="00B207EA" w:rsidRPr="00FA63AC">
        <w:rPr>
          <w:bCs/>
          <w:lang w:eastAsia="es-ES"/>
        </w:rPr>
        <w:t>s</w:t>
      </w:r>
      <w:r w:rsidR="006E12C3" w:rsidRPr="00FA63AC">
        <w:rPr>
          <w:bCs/>
          <w:lang w:eastAsia="es-ES"/>
        </w:rPr>
        <w:t xml:space="preserve"> de arrecadação</w:t>
      </w:r>
      <w:r w:rsidR="00D3586D" w:rsidRPr="00FA63AC">
        <w:rPr>
          <w:bCs/>
          <w:lang w:eastAsia="es-ES"/>
        </w:rPr>
        <w:t xml:space="preserve"> frente a uma experiência similar em outro estado.</w:t>
      </w:r>
      <w:r w:rsidR="006E12C3" w:rsidRPr="00FA63AC">
        <w:rPr>
          <w:bCs/>
          <w:lang w:eastAsia="es-ES"/>
        </w:rPr>
        <w:t xml:space="preserve"> </w:t>
      </w:r>
    </w:p>
    <w:p w:rsidR="005E1AEA" w:rsidRPr="00FA63AC" w:rsidRDefault="00D3586D" w:rsidP="007266FB">
      <w:pPr>
        <w:pStyle w:val="ListParagraph"/>
        <w:keepNext/>
        <w:numPr>
          <w:ilvl w:val="1"/>
          <w:numId w:val="2"/>
        </w:numPr>
        <w:shd w:val="clear" w:color="auto" w:fill="FFFFFF"/>
        <w:suppressAutoHyphens/>
        <w:spacing w:after="150"/>
        <w:ind w:left="851" w:hanging="567"/>
        <w:jc w:val="both"/>
        <w:outlineLvl w:val="3"/>
        <w:rPr>
          <w:bCs/>
          <w:lang w:eastAsia="es-ES"/>
        </w:rPr>
      </w:pPr>
      <w:r w:rsidRPr="00FA63AC">
        <w:rPr>
          <w:bCs/>
          <w:lang w:eastAsia="es-ES"/>
        </w:rPr>
        <w:t xml:space="preserve">O Estado de Goiás </w:t>
      </w:r>
      <w:r w:rsidR="005E1AEA" w:rsidRPr="00FA63AC">
        <w:rPr>
          <w:bCs/>
          <w:lang w:eastAsia="es-ES"/>
        </w:rPr>
        <w:t>adotou a Fiscalização Inteligente e Seletiva (FIS) em dezembro de 2016, possibilitando o cruzamento de um grande volume de dados gerando indicadores de identificação de potenciais fraudadores de impostos</w:t>
      </w:r>
      <w:r w:rsidR="00EB7462" w:rsidRPr="00FA63AC">
        <w:rPr>
          <w:bCs/>
          <w:lang w:eastAsia="es-ES"/>
        </w:rPr>
        <w:t xml:space="preserve">, resultando em um sistema de </w:t>
      </w:r>
      <w:r w:rsidR="005E1AEA" w:rsidRPr="00FA63AC">
        <w:rPr>
          <w:bCs/>
          <w:lang w:eastAsia="es-ES"/>
        </w:rPr>
        <w:t xml:space="preserve">alerta </w:t>
      </w:r>
      <w:r w:rsidR="00EB7462" w:rsidRPr="00FA63AC">
        <w:rPr>
          <w:bCs/>
          <w:lang w:eastAsia="es-ES"/>
        </w:rPr>
        <w:t xml:space="preserve">que é </w:t>
      </w:r>
      <w:r w:rsidR="005E1AEA" w:rsidRPr="00FA63AC">
        <w:rPr>
          <w:bCs/>
          <w:lang w:eastAsia="es-ES"/>
        </w:rPr>
        <w:t>emitido para determinada carga</w:t>
      </w:r>
      <w:r w:rsidR="00770A84" w:rsidRPr="00FA63AC">
        <w:rPr>
          <w:bCs/>
          <w:lang w:eastAsia="es-ES"/>
        </w:rPr>
        <w:t xml:space="preserve">, </w:t>
      </w:r>
      <w:r w:rsidR="005E1AEA" w:rsidRPr="00FA63AC">
        <w:rPr>
          <w:bCs/>
          <w:lang w:eastAsia="es-ES"/>
        </w:rPr>
        <w:t xml:space="preserve">via mobile (smartphones) </w:t>
      </w:r>
      <w:r w:rsidR="00770A84" w:rsidRPr="00FA63AC">
        <w:rPr>
          <w:bCs/>
          <w:lang w:eastAsia="es-ES"/>
        </w:rPr>
        <w:t xml:space="preserve">com </w:t>
      </w:r>
      <w:r w:rsidR="005E1AEA" w:rsidRPr="00FA63AC">
        <w:rPr>
          <w:bCs/>
          <w:lang w:eastAsia="es-ES"/>
        </w:rPr>
        <w:t xml:space="preserve">geolocalização e leitura de caracteres de placas de veículos. </w:t>
      </w:r>
      <w:r w:rsidR="00EB7462" w:rsidRPr="00FA63AC">
        <w:rPr>
          <w:bCs/>
          <w:lang w:eastAsia="es-ES"/>
        </w:rPr>
        <w:t>Os resultados são bastante positivos. Com o uso do F</w:t>
      </w:r>
      <w:r w:rsidR="002A3538" w:rsidRPr="00FA63AC">
        <w:rPr>
          <w:bCs/>
          <w:lang w:eastAsia="es-ES"/>
        </w:rPr>
        <w:t>IS, o valor das autuações no trâ</w:t>
      </w:r>
      <w:r w:rsidR="00EB7462" w:rsidRPr="00FA63AC">
        <w:rPr>
          <w:bCs/>
          <w:lang w:eastAsia="es-ES"/>
        </w:rPr>
        <w:t>nsito de mercadoria cresceu 25,4% em termos nominais e 16,7% em termos reais, nos primeiros seis meses de 2017 comparado com igual período do ano anterior, lembrando que o FIS foi implantado em dezembro de 2016.</w:t>
      </w:r>
    </w:p>
    <w:p w:rsidR="006E12C3" w:rsidRPr="00FA63AC" w:rsidRDefault="00EB7462"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O PROFISCO II vai financiar a implantação de um sistema de fiscalização do trânsito de mercadorias </w:t>
      </w:r>
      <w:r w:rsidR="0022492D" w:rsidRPr="00FA63AC">
        <w:rPr>
          <w:bCs/>
          <w:lang w:eastAsia="es-ES"/>
        </w:rPr>
        <w:t xml:space="preserve">em Pernambuco </w:t>
      </w:r>
      <w:r w:rsidRPr="00FA63AC">
        <w:rPr>
          <w:bCs/>
          <w:lang w:eastAsia="es-ES"/>
        </w:rPr>
        <w:t xml:space="preserve">similar ao que foi implantado em Goiás. </w:t>
      </w:r>
      <w:r w:rsidR="002A3538" w:rsidRPr="00FA63AC">
        <w:rPr>
          <w:bCs/>
          <w:lang w:eastAsia="es-ES"/>
        </w:rPr>
        <w:t xml:space="preserve">A arrecadação do trânsito de mercadorias </w:t>
      </w:r>
      <w:r w:rsidR="0022492D" w:rsidRPr="00FA63AC">
        <w:rPr>
          <w:bCs/>
          <w:lang w:eastAsia="es-ES"/>
        </w:rPr>
        <w:t>em Pernambuco</w:t>
      </w:r>
      <w:r w:rsidR="002A3538" w:rsidRPr="00FA63AC">
        <w:rPr>
          <w:bCs/>
          <w:lang w:eastAsia="es-ES"/>
        </w:rPr>
        <w:t xml:space="preserve"> em 2016 foi de R$ </w:t>
      </w:r>
      <w:r w:rsidR="005837D2" w:rsidRPr="00FA63AC">
        <w:rPr>
          <w:bCs/>
          <w:lang w:eastAsia="es-ES"/>
        </w:rPr>
        <w:t>3</w:t>
      </w:r>
      <w:r w:rsidR="00E54D01" w:rsidRPr="00FA63AC">
        <w:rPr>
          <w:bCs/>
          <w:lang w:eastAsia="es-ES"/>
        </w:rPr>
        <w:t>00</w:t>
      </w:r>
      <w:r w:rsidR="00B5156A" w:rsidRPr="00FA63AC">
        <w:rPr>
          <w:bCs/>
          <w:lang w:eastAsia="es-ES"/>
        </w:rPr>
        <w:t xml:space="preserve"> </w:t>
      </w:r>
      <w:r w:rsidR="002A3538" w:rsidRPr="00FA63AC">
        <w:rPr>
          <w:bCs/>
          <w:lang w:eastAsia="es-ES"/>
        </w:rPr>
        <w:t>milhões. A arrecadação de autuações de trânsito de mercadorias é quase 100%, visto que a liberação das cargas só é feito com o recebimento da autuação. Aplicando a mesma taxa de crescimento real daquela verificada em Goiás, isto significaria uma arrecadação adicional de R$</w:t>
      </w:r>
      <w:r w:rsidR="005837D2" w:rsidRPr="00FA63AC">
        <w:rPr>
          <w:bCs/>
          <w:lang w:eastAsia="es-ES"/>
        </w:rPr>
        <w:t>50,1</w:t>
      </w:r>
      <w:r w:rsidR="002A3538" w:rsidRPr="00FA63AC">
        <w:rPr>
          <w:bCs/>
          <w:lang w:eastAsia="es-ES"/>
        </w:rPr>
        <w:t xml:space="preserve"> milhões. No entanto, </w:t>
      </w:r>
      <w:r w:rsidR="00B5156A" w:rsidRPr="00FA63AC">
        <w:rPr>
          <w:bCs/>
          <w:lang w:eastAsia="es-ES"/>
        </w:rPr>
        <w:t>para uma estimativa mais conservadora, a análise usa uma taxa de crescimento equivalente à metade da taxa de Goiás, ou seja 8,35%, equivalente a uma arrecadação adicional de R$</w:t>
      </w:r>
      <w:r w:rsidR="005837D2" w:rsidRPr="00FA63AC">
        <w:rPr>
          <w:bCs/>
          <w:lang w:eastAsia="es-ES"/>
        </w:rPr>
        <w:t>25,05</w:t>
      </w:r>
      <w:r w:rsidR="00B5156A" w:rsidRPr="00FA63AC">
        <w:rPr>
          <w:bCs/>
          <w:lang w:eastAsia="es-ES"/>
        </w:rPr>
        <w:t xml:space="preserve"> milhões. E</w:t>
      </w:r>
      <w:r w:rsidR="002A3538" w:rsidRPr="00FA63AC">
        <w:rPr>
          <w:bCs/>
          <w:lang w:eastAsia="es-ES"/>
        </w:rPr>
        <w:t xml:space="preserve">ste aumento da arrecadação seria gradual à medida que o sistema vá sendo implantado no </w:t>
      </w:r>
      <w:r w:rsidR="00CB544F" w:rsidRPr="00FA63AC">
        <w:rPr>
          <w:bCs/>
          <w:lang w:eastAsia="es-ES"/>
        </w:rPr>
        <w:t>E</w:t>
      </w:r>
      <w:r w:rsidR="002A3538" w:rsidRPr="00FA63AC">
        <w:rPr>
          <w:bCs/>
          <w:lang w:eastAsia="es-ES"/>
        </w:rPr>
        <w:t>stado.</w:t>
      </w:r>
      <w:r w:rsidR="00FA1D9D" w:rsidRPr="00FA63AC">
        <w:rPr>
          <w:bCs/>
          <w:lang w:eastAsia="es-ES"/>
        </w:rPr>
        <w:t xml:space="preserve"> </w:t>
      </w:r>
    </w:p>
    <w:p w:rsidR="00844F49" w:rsidRPr="00FA63AC" w:rsidRDefault="00844F49"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Adicionalmente, a implantação do novo sistema de fiscalização do trânsito de  mercadorias acarretará uma redução substancial de custos para o Estado ao possibilitar a redução do número de postos fiscais fixos</w:t>
      </w:r>
      <w:r w:rsidR="00762A07" w:rsidRPr="00FA63AC">
        <w:rPr>
          <w:bCs/>
          <w:lang w:eastAsia="es-ES"/>
        </w:rPr>
        <w:t>, embora esta economia não foi incluída na análise.</w:t>
      </w:r>
    </w:p>
    <w:p w:rsidR="00083B90" w:rsidRPr="00FA63AC" w:rsidRDefault="000E6588" w:rsidP="007266FB">
      <w:pPr>
        <w:pStyle w:val="ListParagraph"/>
        <w:keepNext/>
        <w:numPr>
          <w:ilvl w:val="1"/>
          <w:numId w:val="2"/>
        </w:numPr>
        <w:tabs>
          <w:tab w:val="clear" w:pos="995"/>
          <w:tab w:val="num" w:pos="851"/>
        </w:tabs>
        <w:suppressAutoHyphens/>
        <w:spacing w:before="120" w:after="240"/>
        <w:ind w:left="851" w:hanging="567"/>
        <w:jc w:val="both"/>
        <w:outlineLvl w:val="3"/>
        <w:rPr>
          <w:bCs/>
          <w:lang w:eastAsia="es-ES"/>
        </w:rPr>
      </w:pPr>
      <w:r w:rsidRPr="00FA63AC">
        <w:rPr>
          <w:b/>
          <w:bCs/>
          <w:lang w:eastAsia="es-ES"/>
        </w:rPr>
        <w:t>Redução d</w:t>
      </w:r>
      <w:r w:rsidR="00564761" w:rsidRPr="00FA63AC">
        <w:rPr>
          <w:b/>
          <w:bCs/>
          <w:lang w:eastAsia="es-ES"/>
        </w:rPr>
        <w:t>e custos para o governo d</w:t>
      </w:r>
      <w:r w:rsidR="00BD5AFE" w:rsidRPr="00FA63AC">
        <w:rPr>
          <w:b/>
          <w:bCs/>
          <w:lang w:eastAsia="es-ES"/>
        </w:rPr>
        <w:t>e Pernambuco com a adoção de um novo sistema de gestão da folha de pagamento</w:t>
      </w:r>
      <w:r w:rsidR="00BB09DF" w:rsidRPr="00FA63AC">
        <w:rPr>
          <w:b/>
          <w:bCs/>
          <w:lang w:eastAsia="es-ES"/>
        </w:rPr>
        <w:t>.</w:t>
      </w:r>
      <w:r w:rsidR="00FA1D9D" w:rsidRPr="00FA63AC">
        <w:rPr>
          <w:bCs/>
          <w:lang w:eastAsia="es-ES"/>
        </w:rPr>
        <w:t xml:space="preserve"> </w:t>
      </w:r>
      <w:r w:rsidR="00083B90" w:rsidRPr="00FA63AC">
        <w:rPr>
          <w:bCs/>
          <w:lang w:eastAsia="es-ES"/>
        </w:rPr>
        <w:t>Atualmente, a despesa mensal do Estado com pagamento de pessoal é da ordem de R$ 800 milhões e contempla em torno de 220 mil servidores, entre ativos e inativos. A ausência de integração contábil resulta no tratamento de dados através de planilha Excel, contendo fórmulas complexas, constituindo um ponto de fragilidade na fidelidade e integridade das informações contabilizadas.</w:t>
      </w:r>
    </w:p>
    <w:p w:rsidR="00083B90" w:rsidRPr="00FA63AC" w:rsidRDefault="00083B90"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Entre outros problemas, pode-se destacar: (i) a complexidade e fragilidade do processo de contabilização das informações da despesa com pessoal da administração direta, ativos e inativos, e pensionistas que utiliza planilhas em Excel; (ii) inexistência de funcionalidade para a provisão dos valores referentes a férias, décimo terceiro e licença prêmio; (iii) inconsistência nas apropriações contábeis quando da criação ou reutilização de verba/rubrica devido a erro de classificação; (iii) ausência de relatórios gerenciais que demonstrem os valores </w:t>
      </w:r>
      <w:r w:rsidRPr="00FA63AC">
        <w:rPr>
          <w:bCs/>
          <w:lang w:eastAsia="es-ES"/>
        </w:rPr>
        <w:lastRenderedPageBreak/>
        <w:t>pagos nos diferentes grupos de despesas a partir da parametrização das verbas e itens de gasto; (iv) ausência de funcionalidade no sistema que permita a extração de relatórios gerenciais que demonstrem de forma consolidada os valores líquidos e encargos, pagos e a pagar, de todas as empresas para subsidiar uma gestão eficiente do fluxo de caixa do Estado.</w:t>
      </w:r>
    </w:p>
    <w:p w:rsidR="00083B90" w:rsidRPr="00FA63AC" w:rsidRDefault="00083B90"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Os custos operacionais e a ineficiência do modelo atual podem ser reduzidos substancialmente com a implantação de uma solução integrada de tecnologia da informação que garanta uma efetiva gestão contábil sobre as despesas de pessoal, possibilitando a sua classificação através do uso de parâmetros e o acompanhamento prévio da sua evolução diante dos eventos futuros, como contratações e progressões, que afetam o seu montante, contribuindo inclusive, para a institucionalização do conhecimento e uma perspectiva mais estratégica por parte dos gestores públicos.</w:t>
      </w:r>
    </w:p>
    <w:p w:rsidR="00083B90" w:rsidRPr="00FA63AC" w:rsidRDefault="00083B90"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 Estado da Bahia</w:t>
      </w:r>
      <w:r w:rsidRPr="00FA63AC">
        <w:t xml:space="preserve"> adotou recentemente um novo modelo de gestão de pessoas incluindo um novo sistema de gestão de folha de pagamentos. Um relatório da </w:t>
      </w:r>
      <w:r w:rsidRPr="00FA63AC">
        <w:rPr>
          <w:bCs/>
          <w:lang w:eastAsia="es-ES"/>
        </w:rPr>
        <w:t xml:space="preserve">Secretaria de Administração do Estado da Bahia (Saeb) registrou uma economia nos últimos nove meses de R$ 1,35 milhão na sua folha de pagamento com a implantação da primeira etapa do RH Bahia, um projeto que visa modernizar a gestão de Recursos Humanos do Estado. O montante representa uma redução mensal de 0,8% no valor bruto médio da folha de pagamento das oito empresas públicas e sociedades de economia do Estado onde o novo sistema entrou em ambiente de produção em janeiro de 2017. O relatório explica que a redução nas despesas com a folha é consequência de um novo padrão de confiabilidade e precisão no processamento dos dados proporcionado pela nova tecnologia. O sistema permite identificar e corrigir erros e inconsistências, na medida em que muitos processos realizados manualmente passam a ser automatizados.  </w:t>
      </w:r>
    </w:p>
    <w:p w:rsidR="005D1952" w:rsidRPr="00FA63AC" w:rsidRDefault="00083B90"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 PROFISCO II financiará a adoção em Pernambuco de sistema similar ao do Estado da Bahia. Relatórios da SEFAZ-PE mostram que a folha de pagamento do Estado, em um período de doze meses (novembro de 2016 a outubro de 2017), totalizou R$ 11,7 bilhões, sendo R$10,6 bilhões com pessoal ativo e R$1,1</w:t>
      </w:r>
      <w:r w:rsidR="00FF7E58" w:rsidRPr="00FA63AC">
        <w:rPr>
          <w:bCs/>
          <w:lang w:eastAsia="es-ES"/>
        </w:rPr>
        <w:t xml:space="preserve"> bilhão</w:t>
      </w:r>
      <w:r w:rsidRPr="00FA63AC">
        <w:rPr>
          <w:bCs/>
          <w:lang w:eastAsia="es-ES"/>
        </w:rPr>
        <w:t xml:space="preserve"> com inativos. Mesmo adotando uma taxa de redução de gastos mais conservadora, equivalente à metade da taxa de economia do Estado da Bahia (0,4% em comparação a 0,8% registrado na Bahia), resultaria em economia de R$ 46,7 milhões anualmente.  </w:t>
      </w:r>
    </w:p>
    <w:p w:rsidR="005D1952" w:rsidRPr="00FA63AC" w:rsidRDefault="005D1952" w:rsidP="007266FB">
      <w:pPr>
        <w:pStyle w:val="ListParagraph"/>
        <w:keepNext/>
        <w:numPr>
          <w:ilvl w:val="1"/>
          <w:numId w:val="2"/>
        </w:numPr>
        <w:tabs>
          <w:tab w:val="clear" w:pos="995"/>
          <w:tab w:val="num" w:pos="851"/>
        </w:tabs>
        <w:suppressAutoHyphens/>
        <w:spacing w:before="120"/>
        <w:ind w:left="851" w:hanging="567"/>
        <w:jc w:val="both"/>
        <w:outlineLvl w:val="3"/>
        <w:rPr>
          <w:bCs/>
          <w:lang w:eastAsia="es-ES"/>
        </w:rPr>
      </w:pPr>
      <w:r w:rsidRPr="00FA63AC">
        <w:rPr>
          <w:b/>
          <w:bCs/>
          <w:lang w:eastAsia="es-ES"/>
        </w:rPr>
        <w:t>Redução de custos para o governo de Pernambuco com a automatização do processo de atesto.</w:t>
      </w:r>
      <w:r w:rsidRPr="00FA63AC">
        <w:rPr>
          <w:bCs/>
          <w:lang w:eastAsia="es-ES"/>
        </w:rPr>
        <w:t xml:space="preserve"> O atual sistema de registro, monitoramento e controle das notas fiscais/faturas de fornecedores (atesto) é manual e extremamente limitado, resultando em alto custo operacional e de baixa confiabilidade. Entre outros problemas, o sistema atual pode gerar informações inconsistentes no passivo do Estado resultante de registros manuais equivocados ou duplicados, além de possibilitar pagamentos indevidos causados por registros de DH</w:t>
      </w:r>
      <w:r w:rsidR="003A53A1" w:rsidRPr="00FA63AC">
        <w:rPr>
          <w:bCs/>
          <w:lang w:eastAsia="es-ES"/>
        </w:rPr>
        <w:t xml:space="preserve"> (documento para liquidação se notas fiscais de fornecedores)</w:t>
      </w:r>
      <w:r w:rsidRPr="00FA63AC">
        <w:rPr>
          <w:bCs/>
          <w:lang w:eastAsia="es-ES"/>
        </w:rPr>
        <w:t xml:space="preserve"> com informações incorretas.</w:t>
      </w:r>
    </w:p>
    <w:p w:rsidR="00F871E1" w:rsidRPr="00FA63AC" w:rsidRDefault="00F871E1" w:rsidP="007266FB">
      <w:pPr>
        <w:pStyle w:val="ListParagraph"/>
        <w:keepNext/>
        <w:numPr>
          <w:ilvl w:val="1"/>
          <w:numId w:val="2"/>
        </w:numPr>
        <w:tabs>
          <w:tab w:val="clear" w:pos="995"/>
          <w:tab w:val="num" w:pos="851"/>
        </w:tabs>
        <w:suppressAutoHyphens/>
        <w:spacing w:before="120" w:after="120"/>
        <w:ind w:left="851" w:right="-6" w:hanging="567"/>
        <w:jc w:val="both"/>
        <w:outlineLvl w:val="3"/>
        <w:rPr>
          <w:bCs/>
          <w:lang w:eastAsia="es-ES"/>
        </w:rPr>
      </w:pPr>
      <w:r w:rsidRPr="00FA63AC">
        <w:rPr>
          <w:bCs/>
          <w:lang w:eastAsia="es-ES"/>
        </w:rPr>
        <w:t>O novo processo recupera as informações necessárias na base de NF do Estado. Ao localiza-la, recuperam-se as informações</w:t>
      </w:r>
      <w:r w:rsidR="003A53A1" w:rsidRPr="00FA63AC">
        <w:rPr>
          <w:bCs/>
          <w:lang w:eastAsia="es-ES"/>
        </w:rPr>
        <w:t xml:space="preserve"> de forma automatizada</w:t>
      </w:r>
      <w:r w:rsidRPr="00FA63AC">
        <w:rPr>
          <w:bCs/>
          <w:lang w:eastAsia="es-ES"/>
        </w:rPr>
        <w:t xml:space="preserve"> e o DH é automaticamente gerado no e-fisco. Com a automação da geração dos DHs os retrabalhos na realização dos ajustes dos lançamentos com erros são eliminados, </w:t>
      </w:r>
      <w:r w:rsidRPr="00FA63AC">
        <w:rPr>
          <w:bCs/>
          <w:lang w:eastAsia="es-ES"/>
        </w:rPr>
        <w:lastRenderedPageBreak/>
        <w:t>assim como duplicidades e inconsistências; o passivo do Estado ficará com dados mais próximo</w:t>
      </w:r>
      <w:r w:rsidR="00DE222E" w:rsidRPr="00FA63AC">
        <w:rPr>
          <w:bCs/>
          <w:lang w:eastAsia="es-ES"/>
        </w:rPr>
        <w:t>s</w:t>
      </w:r>
      <w:r w:rsidRPr="00FA63AC">
        <w:rPr>
          <w:bCs/>
          <w:lang w:eastAsia="es-ES"/>
        </w:rPr>
        <w:t xml:space="preserve"> da realidade unidades gestoras; maior agilidade no processo de  atesto das notas fiscais com o monitoramento das NF´s com DH mas que não foram atestadas; maior previsibilidade das despesas no fluxo de caixa do Tesouro (integridade das informações dos DHs com a eliminação das inconsistências); disponibilidade para consultas e relatórios com informações que auxiliam melhor a gestão financeira  das unidades. </w:t>
      </w:r>
    </w:p>
    <w:p w:rsidR="00BB606F" w:rsidRPr="00FA63AC" w:rsidRDefault="00BB606F" w:rsidP="007266FB">
      <w:pPr>
        <w:pStyle w:val="ListParagraph"/>
        <w:keepNext/>
        <w:numPr>
          <w:ilvl w:val="1"/>
          <w:numId w:val="2"/>
        </w:numPr>
        <w:tabs>
          <w:tab w:val="clear" w:pos="995"/>
          <w:tab w:val="num" w:pos="851"/>
        </w:tabs>
        <w:suppressAutoHyphens/>
        <w:ind w:left="851" w:hanging="567"/>
        <w:jc w:val="both"/>
        <w:outlineLvl w:val="3"/>
        <w:rPr>
          <w:bCs/>
          <w:lang w:eastAsia="es-ES"/>
        </w:rPr>
      </w:pPr>
      <w:r w:rsidRPr="00FA63AC">
        <w:rPr>
          <w:bCs/>
          <w:lang w:eastAsia="es-ES"/>
        </w:rPr>
        <w:t>De acordo com dados da SEFAZ-P</w:t>
      </w:r>
      <w:r w:rsidR="00DE222E" w:rsidRPr="00FA63AC">
        <w:rPr>
          <w:bCs/>
          <w:lang w:eastAsia="es-ES"/>
        </w:rPr>
        <w:t>E</w:t>
      </w:r>
      <w:r w:rsidRPr="00FA63AC">
        <w:rPr>
          <w:bCs/>
          <w:lang w:eastAsia="es-ES"/>
        </w:rPr>
        <w:t>, em 2017, foram gerados manualmente 411,6 mil DHs. Um servidor gera, em média, 15 DHs por hora (4 minutos por DH). Assim, em 2017 foram gastas 27,440 horas na geração de DHs a um custo médio por hora de R$53,13 incluindo encargos, resultando em um gasto total de R$1,46 milh</w:t>
      </w:r>
      <w:r w:rsidR="00DE222E" w:rsidRPr="00FA63AC">
        <w:rPr>
          <w:bCs/>
          <w:lang w:eastAsia="es-ES"/>
        </w:rPr>
        <w:t>ão</w:t>
      </w:r>
      <w:r w:rsidRPr="00FA63AC">
        <w:rPr>
          <w:bCs/>
          <w:lang w:eastAsia="es-ES"/>
        </w:rPr>
        <w:t xml:space="preserve"> anual. </w:t>
      </w:r>
    </w:p>
    <w:p w:rsidR="00BB606F" w:rsidRPr="00FA63AC" w:rsidRDefault="00BB606F" w:rsidP="007266FB">
      <w:pPr>
        <w:pStyle w:val="ListParagraph"/>
        <w:keepNext/>
        <w:numPr>
          <w:ilvl w:val="1"/>
          <w:numId w:val="2"/>
        </w:numPr>
        <w:suppressAutoHyphens/>
        <w:ind w:left="851" w:hanging="567"/>
        <w:jc w:val="both"/>
        <w:outlineLvl w:val="3"/>
        <w:rPr>
          <w:bCs/>
          <w:lang w:eastAsia="es-ES"/>
        </w:rPr>
      </w:pPr>
      <w:r w:rsidRPr="00FA63AC">
        <w:rPr>
          <w:bCs/>
          <w:lang w:eastAsia="es-ES"/>
        </w:rPr>
        <w:t>O novo sistema será implantado gradualmente entre as unidades gestoras, com 25% delas incorporadas a cada ano começando no segundo ano de execução do programa. As economias geradas foram contabilizadas seguindo este mesmo calendário na análise C-B.</w:t>
      </w:r>
    </w:p>
    <w:p w:rsidR="000C3C8E" w:rsidRPr="00FA63AC" w:rsidRDefault="000C3C8E" w:rsidP="007266FB">
      <w:pPr>
        <w:pStyle w:val="ListParagraph"/>
        <w:keepNext/>
        <w:numPr>
          <w:ilvl w:val="1"/>
          <w:numId w:val="2"/>
        </w:numPr>
        <w:tabs>
          <w:tab w:val="num" w:pos="851"/>
        </w:tabs>
        <w:suppressAutoHyphens/>
        <w:spacing w:before="120"/>
        <w:ind w:left="851" w:hanging="567"/>
        <w:jc w:val="both"/>
        <w:outlineLvl w:val="3"/>
        <w:rPr>
          <w:bCs/>
          <w:lang w:eastAsia="es-ES"/>
        </w:rPr>
      </w:pPr>
      <w:r w:rsidRPr="00FA63AC">
        <w:rPr>
          <w:bCs/>
          <w:lang w:eastAsia="es-ES"/>
        </w:rPr>
        <w:t xml:space="preserve">O Cenário 1 (básico) da análise C-B, usando os resultados descritos acima, </w:t>
      </w:r>
      <w:r w:rsidR="00787DB6" w:rsidRPr="00FA63AC">
        <w:rPr>
          <w:bCs/>
          <w:lang w:eastAsia="es-ES"/>
        </w:rPr>
        <w:t>estima</w:t>
      </w:r>
      <w:r w:rsidRPr="00FA63AC">
        <w:rPr>
          <w:bCs/>
          <w:lang w:eastAsia="es-ES"/>
        </w:rPr>
        <w:t xml:space="preserve"> uma taxa interna de retorno </w:t>
      </w:r>
      <w:r w:rsidRPr="00FA63AC">
        <w:rPr>
          <w:b/>
          <w:bCs/>
          <w:lang w:eastAsia="es-ES"/>
        </w:rPr>
        <w:t xml:space="preserve">(TIR) de </w:t>
      </w:r>
      <w:r w:rsidR="00083B90" w:rsidRPr="00FA63AC">
        <w:rPr>
          <w:b/>
          <w:bCs/>
          <w:lang w:eastAsia="es-ES"/>
        </w:rPr>
        <w:t>4</w:t>
      </w:r>
      <w:r w:rsidR="005837D2" w:rsidRPr="00FA63AC">
        <w:rPr>
          <w:b/>
          <w:bCs/>
          <w:lang w:eastAsia="es-ES"/>
        </w:rPr>
        <w:t>6,4</w:t>
      </w:r>
      <w:r w:rsidRPr="00FA63AC">
        <w:rPr>
          <w:b/>
          <w:bCs/>
          <w:lang w:eastAsia="es-ES"/>
        </w:rPr>
        <w:t>%</w:t>
      </w:r>
      <w:r w:rsidRPr="00FA63AC">
        <w:rPr>
          <w:bCs/>
          <w:lang w:eastAsia="es-ES"/>
        </w:rPr>
        <w:t xml:space="preserve"> e um valor presente líquido </w:t>
      </w:r>
      <w:r w:rsidRPr="00FA63AC">
        <w:rPr>
          <w:b/>
          <w:bCs/>
          <w:lang w:eastAsia="es-ES"/>
        </w:rPr>
        <w:t xml:space="preserve">(VPL) de mais de US$ </w:t>
      </w:r>
      <w:r w:rsidR="005837D2" w:rsidRPr="00FA63AC">
        <w:rPr>
          <w:b/>
          <w:bCs/>
          <w:lang w:eastAsia="es-ES"/>
        </w:rPr>
        <w:t>34</w:t>
      </w:r>
      <w:r w:rsidRPr="00FA63AC">
        <w:rPr>
          <w:b/>
          <w:bCs/>
          <w:lang w:eastAsia="es-ES"/>
        </w:rPr>
        <w:t xml:space="preserve"> milhões</w:t>
      </w:r>
      <w:r w:rsidRPr="00FA63AC">
        <w:rPr>
          <w:bCs/>
          <w:lang w:eastAsia="es-ES"/>
        </w:rPr>
        <w:t xml:space="preserve">. </w:t>
      </w:r>
      <w:r w:rsidR="00393119" w:rsidRPr="00FA63AC">
        <w:rPr>
          <w:bCs/>
          <w:lang w:eastAsia="es-ES"/>
        </w:rPr>
        <w:t xml:space="preserve">O fluxo financeiro anual (Benefícios – Custos) passa a ser positivo no </w:t>
      </w:r>
      <w:r w:rsidR="005837D2" w:rsidRPr="00FA63AC">
        <w:rPr>
          <w:bCs/>
          <w:lang w:eastAsia="es-ES"/>
        </w:rPr>
        <w:t>quarto</w:t>
      </w:r>
      <w:r w:rsidR="003C2BB3" w:rsidRPr="00FA63AC">
        <w:rPr>
          <w:bCs/>
          <w:lang w:eastAsia="es-ES"/>
        </w:rPr>
        <w:t xml:space="preserve"> ano</w:t>
      </w:r>
      <w:r w:rsidR="00393119" w:rsidRPr="00FA63AC">
        <w:rPr>
          <w:bCs/>
          <w:lang w:eastAsia="es-ES"/>
        </w:rPr>
        <w:t xml:space="preserve"> do programa e, no acumulado, passa a ser positivo no </w:t>
      </w:r>
      <w:r w:rsidR="003C2BB3" w:rsidRPr="00FA63AC">
        <w:rPr>
          <w:bCs/>
          <w:lang w:eastAsia="es-ES"/>
        </w:rPr>
        <w:t>quinto</w:t>
      </w:r>
      <w:r w:rsidR="00393119" w:rsidRPr="00FA63AC">
        <w:rPr>
          <w:bCs/>
          <w:lang w:eastAsia="es-ES"/>
        </w:rPr>
        <w:t xml:space="preserve"> ano do programa, ou seja, já com retorno positivo para o programa como um todo.</w:t>
      </w:r>
      <w:r w:rsidRPr="00FA63AC">
        <w:rPr>
          <w:bCs/>
          <w:lang w:eastAsia="es-ES"/>
        </w:rPr>
        <w:t xml:space="preserve"> </w:t>
      </w:r>
    </w:p>
    <w:p w:rsidR="00691023" w:rsidRPr="00FA63AC" w:rsidRDefault="000C3C8E" w:rsidP="007266FB">
      <w:pPr>
        <w:pStyle w:val="ListParagraph"/>
        <w:keepNext/>
        <w:numPr>
          <w:ilvl w:val="1"/>
          <w:numId w:val="2"/>
        </w:numPr>
        <w:tabs>
          <w:tab w:val="num" w:pos="851"/>
        </w:tabs>
        <w:suppressAutoHyphens/>
        <w:spacing w:before="120"/>
        <w:ind w:left="851" w:hanging="567"/>
        <w:jc w:val="both"/>
        <w:outlineLvl w:val="2"/>
        <w:rPr>
          <w:bCs/>
          <w:lang w:eastAsia="es-ES"/>
        </w:rPr>
      </w:pPr>
      <w:bookmarkStart w:id="3" w:name="_Toc494137324"/>
      <w:bookmarkStart w:id="4" w:name="_Toc503776901"/>
      <w:bookmarkStart w:id="5" w:name="_Toc503776998"/>
      <w:bookmarkStart w:id="6" w:name="_Toc503777170"/>
      <w:r w:rsidRPr="00FA63AC">
        <w:rPr>
          <w:bCs/>
          <w:lang w:eastAsia="es-ES"/>
        </w:rPr>
        <w:t xml:space="preserve">A Análise de Sensibilidade para o cenário básico inclui três diferentes cenários: uma desvalorização </w:t>
      </w:r>
      <w:r w:rsidR="003C2BB3" w:rsidRPr="00FA63AC">
        <w:rPr>
          <w:bCs/>
          <w:lang w:eastAsia="es-ES"/>
        </w:rPr>
        <w:t xml:space="preserve">de </w:t>
      </w:r>
      <w:r w:rsidR="005837D2" w:rsidRPr="00FA63AC">
        <w:rPr>
          <w:bCs/>
          <w:lang w:eastAsia="es-ES"/>
        </w:rPr>
        <w:t>25</w:t>
      </w:r>
      <w:r w:rsidR="003C2BB3" w:rsidRPr="00FA63AC">
        <w:rPr>
          <w:bCs/>
          <w:lang w:eastAsia="es-ES"/>
        </w:rPr>
        <w:t xml:space="preserve">% </w:t>
      </w:r>
      <w:r w:rsidRPr="00FA63AC">
        <w:rPr>
          <w:bCs/>
          <w:lang w:eastAsia="es-ES"/>
        </w:rPr>
        <w:t xml:space="preserve">do Real, uma redução </w:t>
      </w:r>
      <w:r w:rsidR="00083B90" w:rsidRPr="00FA63AC">
        <w:rPr>
          <w:bCs/>
          <w:lang w:eastAsia="es-ES"/>
        </w:rPr>
        <w:t xml:space="preserve">de 30% para todos os benefícios </w:t>
      </w:r>
      <w:r w:rsidRPr="00FA63AC">
        <w:rPr>
          <w:bCs/>
          <w:lang w:eastAsia="es-ES"/>
        </w:rPr>
        <w:t xml:space="preserve">e um cenário que mistura desvalorização e redução de benefícios. </w:t>
      </w:r>
      <w:r w:rsidR="00656978" w:rsidRPr="00FA63AC">
        <w:rPr>
          <w:bCs/>
          <w:lang w:eastAsia="es-ES"/>
        </w:rPr>
        <w:t xml:space="preserve">A Tabela 1 </w:t>
      </w:r>
      <w:r w:rsidRPr="00FA63AC">
        <w:rPr>
          <w:bCs/>
          <w:lang w:eastAsia="es-ES"/>
        </w:rPr>
        <w:t>abaixo sumariza os quatro cenários da análise de sensibilidade.</w:t>
      </w:r>
      <w:bookmarkEnd w:id="3"/>
      <w:bookmarkEnd w:id="4"/>
      <w:bookmarkEnd w:id="5"/>
      <w:bookmarkEnd w:id="6"/>
      <w:r w:rsidRPr="00FA63AC">
        <w:rPr>
          <w:bCs/>
          <w:lang w:eastAsia="es-ES"/>
        </w:rPr>
        <w:t xml:space="preserve"> </w:t>
      </w:r>
    </w:p>
    <w:p w:rsidR="00684033" w:rsidRPr="00FA63AC" w:rsidRDefault="00684033" w:rsidP="007266FB">
      <w:pPr>
        <w:pStyle w:val="ListParagraph"/>
        <w:keepNext/>
        <w:numPr>
          <w:ilvl w:val="1"/>
          <w:numId w:val="2"/>
        </w:numPr>
        <w:tabs>
          <w:tab w:val="clear" w:pos="995"/>
          <w:tab w:val="num" w:pos="851"/>
        </w:tabs>
        <w:suppressAutoHyphens/>
        <w:spacing w:before="120"/>
        <w:ind w:left="851" w:hanging="567"/>
        <w:jc w:val="both"/>
        <w:outlineLvl w:val="3"/>
        <w:rPr>
          <w:bCs/>
          <w:lang w:eastAsia="es-ES"/>
        </w:rPr>
      </w:pPr>
      <w:r w:rsidRPr="00FA63AC">
        <w:rPr>
          <w:bCs/>
          <w:lang w:eastAsia="es-ES"/>
        </w:rPr>
        <w:t xml:space="preserve">É importante notar que a análise de sensibilidade apenas focou em casos de deterioração do cenário básico. As hipóteses do cenário básico são substancialmente conservadoras. A probabilidade de um retorno maior do que o cenário básico é alta. </w:t>
      </w:r>
    </w:p>
    <w:p w:rsidR="005D77B1" w:rsidRPr="00FA63AC" w:rsidRDefault="005D77B1" w:rsidP="005D77B1">
      <w:pPr>
        <w:pStyle w:val="ListParagraph"/>
        <w:keepNext/>
        <w:suppressAutoHyphens/>
        <w:spacing w:before="120"/>
        <w:ind w:left="851"/>
        <w:jc w:val="both"/>
        <w:outlineLvl w:val="3"/>
        <w:rPr>
          <w:bCs/>
          <w:lang w:eastAsia="es-ES"/>
        </w:rPr>
      </w:pPr>
    </w:p>
    <w:tbl>
      <w:tblPr>
        <w:tblW w:w="7642" w:type="dxa"/>
        <w:tblInd w:w="709" w:type="dxa"/>
        <w:tblCellMar>
          <w:left w:w="70" w:type="dxa"/>
          <w:right w:w="70" w:type="dxa"/>
        </w:tblCellMar>
        <w:tblLook w:val="04A0" w:firstRow="1" w:lastRow="0" w:firstColumn="1" w:lastColumn="0" w:noHBand="0" w:noVBand="1"/>
      </w:tblPr>
      <w:tblGrid>
        <w:gridCol w:w="2268"/>
        <w:gridCol w:w="2126"/>
        <w:gridCol w:w="3248"/>
      </w:tblGrid>
      <w:tr w:rsidR="004F512E" w:rsidRPr="00FA63AC" w:rsidTr="005D77B1">
        <w:trPr>
          <w:trHeight w:val="288"/>
        </w:trPr>
        <w:tc>
          <w:tcPr>
            <w:tcW w:w="7642" w:type="dxa"/>
            <w:gridSpan w:val="3"/>
            <w:tcBorders>
              <w:top w:val="nil"/>
              <w:left w:val="nil"/>
              <w:bottom w:val="nil"/>
              <w:right w:val="nil"/>
            </w:tcBorders>
            <w:shd w:val="clear" w:color="auto" w:fill="auto"/>
            <w:noWrap/>
            <w:vAlign w:val="center"/>
            <w:hideMark/>
          </w:tcPr>
          <w:p w:rsidR="004F512E" w:rsidRPr="00FA63AC" w:rsidRDefault="004F512E">
            <w:pPr>
              <w:rPr>
                <w:b/>
                <w:bCs/>
                <w:color w:val="000000"/>
                <w:sz w:val="20"/>
                <w:szCs w:val="20"/>
              </w:rPr>
            </w:pPr>
            <w:r w:rsidRPr="00FA63AC">
              <w:rPr>
                <w:b/>
                <w:bCs/>
                <w:color w:val="000000"/>
                <w:sz w:val="20"/>
                <w:szCs w:val="20"/>
              </w:rPr>
              <w:t>Tabela 1: Sumário da Análise de Sensibilidade da Análise Custo-Benefício</w:t>
            </w:r>
          </w:p>
        </w:tc>
      </w:tr>
      <w:tr w:rsidR="004F512E" w:rsidRPr="00FA63AC" w:rsidTr="005D77B1">
        <w:trPr>
          <w:trHeight w:val="288"/>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4F512E" w:rsidRPr="00FA63AC" w:rsidRDefault="004F512E">
            <w:pPr>
              <w:jc w:val="center"/>
              <w:rPr>
                <w:rFonts w:ascii="Calibri" w:hAnsi="Calibri" w:cs="Calibri"/>
                <w:color w:val="000000"/>
                <w:sz w:val="22"/>
                <w:szCs w:val="22"/>
              </w:rPr>
            </w:pPr>
            <w:r w:rsidRPr="00FA63AC">
              <w:rPr>
                <w:rFonts w:ascii="Calibri" w:hAnsi="Calibri" w:cs="Calibri"/>
                <w:color w:val="000000"/>
                <w:sz w:val="22"/>
                <w:szCs w:val="22"/>
              </w:rPr>
              <w:t>TIR</w:t>
            </w:r>
          </w:p>
        </w:tc>
        <w:tc>
          <w:tcPr>
            <w:tcW w:w="3248" w:type="dxa"/>
            <w:tcBorders>
              <w:top w:val="single" w:sz="4" w:space="0" w:color="auto"/>
              <w:left w:val="nil"/>
              <w:bottom w:val="single" w:sz="4" w:space="0" w:color="auto"/>
              <w:right w:val="single" w:sz="4" w:space="0" w:color="auto"/>
            </w:tcBorders>
            <w:shd w:val="clear" w:color="auto" w:fill="auto"/>
            <w:noWrap/>
            <w:vAlign w:val="bottom"/>
            <w:hideMark/>
          </w:tcPr>
          <w:p w:rsidR="004F512E" w:rsidRPr="00FA63AC" w:rsidRDefault="004F512E">
            <w:pPr>
              <w:jc w:val="center"/>
              <w:rPr>
                <w:rFonts w:ascii="Calibri" w:hAnsi="Calibri" w:cs="Calibri"/>
                <w:color w:val="000000"/>
                <w:sz w:val="22"/>
                <w:szCs w:val="22"/>
              </w:rPr>
            </w:pPr>
            <w:r w:rsidRPr="00FA63AC">
              <w:rPr>
                <w:rFonts w:ascii="Calibri" w:hAnsi="Calibri" w:cs="Calibri"/>
                <w:color w:val="000000"/>
                <w:sz w:val="22"/>
                <w:szCs w:val="22"/>
              </w:rPr>
              <w:t>VPL</w:t>
            </w:r>
          </w:p>
        </w:tc>
      </w:tr>
      <w:tr w:rsidR="004F512E" w:rsidRPr="00FA63AC" w:rsidTr="005D77B1">
        <w:trPr>
          <w:trHeight w:val="288"/>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Básico</w:t>
            </w:r>
          </w:p>
        </w:tc>
        <w:tc>
          <w:tcPr>
            <w:tcW w:w="2126" w:type="dxa"/>
            <w:tcBorders>
              <w:top w:val="nil"/>
              <w:left w:val="nil"/>
              <w:bottom w:val="single" w:sz="4" w:space="0" w:color="auto"/>
              <w:right w:val="single" w:sz="4" w:space="0" w:color="auto"/>
            </w:tcBorders>
            <w:shd w:val="clear" w:color="auto" w:fill="auto"/>
            <w:noWrap/>
            <w:vAlign w:val="bottom"/>
            <w:hideMark/>
          </w:tcPr>
          <w:p w:rsidR="004F512E" w:rsidRPr="00FA63AC" w:rsidRDefault="004F512E">
            <w:pPr>
              <w:jc w:val="center"/>
              <w:rPr>
                <w:rFonts w:ascii="Calibri" w:hAnsi="Calibri" w:cs="Calibri"/>
                <w:color w:val="000000"/>
                <w:sz w:val="22"/>
                <w:szCs w:val="22"/>
              </w:rPr>
            </w:pPr>
            <w:r w:rsidRPr="00FA63AC">
              <w:rPr>
                <w:rFonts w:ascii="Calibri" w:hAnsi="Calibri" w:cs="Calibri"/>
                <w:color w:val="000000"/>
                <w:sz w:val="22"/>
                <w:szCs w:val="22"/>
              </w:rPr>
              <w:t>46,4%</w:t>
            </w:r>
          </w:p>
        </w:tc>
        <w:tc>
          <w:tcPr>
            <w:tcW w:w="3248" w:type="dxa"/>
            <w:tcBorders>
              <w:top w:val="nil"/>
              <w:left w:val="nil"/>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 xml:space="preserve"> $                    34.498.569 </w:t>
            </w:r>
          </w:p>
        </w:tc>
      </w:tr>
      <w:tr w:rsidR="004F512E" w:rsidRPr="00FA63AC" w:rsidTr="005D77B1">
        <w:trPr>
          <w:trHeight w:val="288"/>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Desvalorização</w:t>
            </w:r>
          </w:p>
        </w:tc>
        <w:tc>
          <w:tcPr>
            <w:tcW w:w="2126" w:type="dxa"/>
            <w:tcBorders>
              <w:top w:val="nil"/>
              <w:left w:val="nil"/>
              <w:bottom w:val="single" w:sz="4" w:space="0" w:color="auto"/>
              <w:right w:val="single" w:sz="4" w:space="0" w:color="auto"/>
            </w:tcBorders>
            <w:shd w:val="clear" w:color="auto" w:fill="auto"/>
            <w:noWrap/>
            <w:vAlign w:val="bottom"/>
            <w:hideMark/>
          </w:tcPr>
          <w:p w:rsidR="004F512E" w:rsidRPr="00FA63AC" w:rsidRDefault="004F512E">
            <w:pPr>
              <w:jc w:val="center"/>
              <w:rPr>
                <w:rFonts w:ascii="Calibri" w:hAnsi="Calibri" w:cs="Calibri"/>
                <w:color w:val="000000"/>
                <w:sz w:val="22"/>
                <w:szCs w:val="22"/>
              </w:rPr>
            </w:pPr>
            <w:r w:rsidRPr="00FA63AC">
              <w:rPr>
                <w:rFonts w:ascii="Calibri" w:hAnsi="Calibri" w:cs="Calibri"/>
                <w:color w:val="000000"/>
                <w:sz w:val="22"/>
                <w:szCs w:val="22"/>
              </w:rPr>
              <w:t>32,3%</w:t>
            </w:r>
          </w:p>
        </w:tc>
        <w:tc>
          <w:tcPr>
            <w:tcW w:w="3248" w:type="dxa"/>
            <w:tcBorders>
              <w:top w:val="nil"/>
              <w:left w:val="nil"/>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 xml:space="preserve"> $                    20.293.089 </w:t>
            </w:r>
          </w:p>
        </w:tc>
      </w:tr>
      <w:tr w:rsidR="004F512E" w:rsidRPr="00FA63AC" w:rsidTr="005D77B1">
        <w:trPr>
          <w:trHeight w:val="288"/>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Redução benefícios</w:t>
            </w:r>
          </w:p>
        </w:tc>
        <w:tc>
          <w:tcPr>
            <w:tcW w:w="2126" w:type="dxa"/>
            <w:tcBorders>
              <w:top w:val="nil"/>
              <w:left w:val="nil"/>
              <w:bottom w:val="single" w:sz="4" w:space="0" w:color="auto"/>
              <w:right w:val="single" w:sz="4" w:space="0" w:color="auto"/>
            </w:tcBorders>
            <w:shd w:val="clear" w:color="auto" w:fill="auto"/>
            <w:noWrap/>
            <w:vAlign w:val="bottom"/>
            <w:hideMark/>
          </w:tcPr>
          <w:p w:rsidR="004F512E" w:rsidRPr="00FA63AC" w:rsidRDefault="004F512E">
            <w:pPr>
              <w:jc w:val="center"/>
              <w:rPr>
                <w:rFonts w:ascii="Calibri" w:hAnsi="Calibri" w:cs="Calibri"/>
                <w:color w:val="000000"/>
                <w:sz w:val="22"/>
                <w:szCs w:val="22"/>
              </w:rPr>
            </w:pPr>
            <w:r w:rsidRPr="00FA63AC">
              <w:rPr>
                <w:rFonts w:ascii="Calibri" w:hAnsi="Calibri" w:cs="Calibri"/>
                <w:color w:val="000000"/>
                <w:sz w:val="22"/>
                <w:szCs w:val="22"/>
              </w:rPr>
              <w:t>21,1%</w:t>
            </w:r>
          </w:p>
        </w:tc>
        <w:tc>
          <w:tcPr>
            <w:tcW w:w="3248" w:type="dxa"/>
            <w:tcBorders>
              <w:top w:val="nil"/>
              <w:left w:val="nil"/>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 xml:space="preserve"> $                      8.778.385 </w:t>
            </w:r>
          </w:p>
        </w:tc>
      </w:tr>
      <w:tr w:rsidR="004F512E" w:rsidRPr="00FA63AC" w:rsidTr="005D77B1">
        <w:trPr>
          <w:trHeight w:val="288"/>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Duplo</w:t>
            </w:r>
          </w:p>
        </w:tc>
        <w:tc>
          <w:tcPr>
            <w:tcW w:w="2126" w:type="dxa"/>
            <w:tcBorders>
              <w:top w:val="nil"/>
              <w:left w:val="nil"/>
              <w:bottom w:val="single" w:sz="4" w:space="0" w:color="auto"/>
              <w:right w:val="single" w:sz="4" w:space="0" w:color="auto"/>
            </w:tcBorders>
            <w:shd w:val="clear" w:color="auto" w:fill="auto"/>
            <w:noWrap/>
            <w:vAlign w:val="bottom"/>
            <w:hideMark/>
          </w:tcPr>
          <w:p w:rsidR="004F512E" w:rsidRPr="00FA63AC" w:rsidRDefault="004F512E">
            <w:pPr>
              <w:jc w:val="center"/>
              <w:rPr>
                <w:rFonts w:ascii="Calibri" w:hAnsi="Calibri" w:cs="Calibri"/>
                <w:color w:val="000000"/>
                <w:sz w:val="22"/>
                <w:szCs w:val="22"/>
              </w:rPr>
            </w:pPr>
            <w:r w:rsidRPr="00FA63AC">
              <w:rPr>
                <w:rFonts w:ascii="Calibri" w:hAnsi="Calibri" w:cs="Calibri"/>
                <w:color w:val="000000"/>
                <w:sz w:val="22"/>
                <w:szCs w:val="22"/>
              </w:rPr>
              <w:t>11,9%</w:t>
            </w:r>
          </w:p>
        </w:tc>
        <w:tc>
          <w:tcPr>
            <w:tcW w:w="3248" w:type="dxa"/>
            <w:tcBorders>
              <w:top w:val="nil"/>
              <w:left w:val="nil"/>
              <w:bottom w:val="single" w:sz="4" w:space="0" w:color="auto"/>
              <w:right w:val="single" w:sz="4" w:space="0" w:color="auto"/>
            </w:tcBorders>
            <w:shd w:val="clear" w:color="auto" w:fill="auto"/>
            <w:noWrap/>
            <w:vAlign w:val="bottom"/>
            <w:hideMark/>
          </w:tcPr>
          <w:p w:rsidR="004F512E" w:rsidRPr="00FA63AC" w:rsidRDefault="004F512E">
            <w:pPr>
              <w:rPr>
                <w:rFonts w:ascii="Calibri" w:hAnsi="Calibri" w:cs="Calibri"/>
                <w:color w:val="000000"/>
                <w:sz w:val="22"/>
                <w:szCs w:val="22"/>
              </w:rPr>
            </w:pPr>
            <w:r w:rsidRPr="00FA63AC">
              <w:rPr>
                <w:rFonts w:ascii="Calibri" w:hAnsi="Calibri" w:cs="Calibri"/>
                <w:color w:val="000000"/>
                <w:sz w:val="22"/>
                <w:szCs w:val="22"/>
              </w:rPr>
              <w:t xml:space="preserve"> $                      1.991.074 </w:t>
            </w:r>
          </w:p>
        </w:tc>
      </w:tr>
      <w:tr w:rsidR="004F512E" w:rsidRPr="00FA63AC" w:rsidTr="005D77B1">
        <w:trPr>
          <w:trHeight w:val="288"/>
        </w:trPr>
        <w:tc>
          <w:tcPr>
            <w:tcW w:w="7642" w:type="dxa"/>
            <w:gridSpan w:val="3"/>
            <w:tcBorders>
              <w:top w:val="single" w:sz="4" w:space="0" w:color="auto"/>
              <w:left w:val="nil"/>
              <w:bottom w:val="nil"/>
              <w:right w:val="nil"/>
            </w:tcBorders>
            <w:shd w:val="clear" w:color="auto" w:fill="auto"/>
            <w:noWrap/>
            <w:vAlign w:val="center"/>
            <w:hideMark/>
          </w:tcPr>
          <w:p w:rsidR="004F512E" w:rsidRPr="00FA63AC" w:rsidRDefault="004F512E">
            <w:pPr>
              <w:jc w:val="center"/>
              <w:rPr>
                <w:rFonts w:ascii="Calibri" w:hAnsi="Calibri" w:cs="Calibri"/>
                <w:sz w:val="18"/>
                <w:szCs w:val="18"/>
              </w:rPr>
            </w:pPr>
            <w:r w:rsidRPr="00FA63AC">
              <w:rPr>
                <w:rFonts w:ascii="Calibri" w:hAnsi="Calibri" w:cs="Calibri"/>
                <w:sz w:val="18"/>
                <w:szCs w:val="18"/>
              </w:rPr>
              <w:t>Fonte: Fonte: Cálculos do autor para o Cenário Básico da Análise Custo-Benefício</w:t>
            </w:r>
          </w:p>
        </w:tc>
      </w:tr>
    </w:tbl>
    <w:p w:rsidR="007E3BD7" w:rsidRPr="00FA63AC" w:rsidRDefault="007E3BD7" w:rsidP="007E3BD7">
      <w:pPr>
        <w:keepNext/>
        <w:suppressAutoHyphens/>
        <w:spacing w:before="120"/>
        <w:ind w:left="1139"/>
        <w:jc w:val="both"/>
        <w:outlineLvl w:val="3"/>
        <w:rPr>
          <w:rFonts w:ascii="Arial" w:hAnsi="Arial"/>
          <w:b/>
          <w:bCs/>
          <w:sz w:val="28"/>
          <w:szCs w:val="28"/>
          <w:lang w:eastAsia="es-ES"/>
        </w:rPr>
      </w:pPr>
    </w:p>
    <w:p w:rsidR="004C23EC" w:rsidRPr="00FA63AC" w:rsidRDefault="007E3BD7" w:rsidP="007266FB">
      <w:pPr>
        <w:pStyle w:val="Heading1"/>
        <w:numPr>
          <w:ilvl w:val="0"/>
          <w:numId w:val="2"/>
        </w:numPr>
        <w:rPr>
          <w:lang w:eastAsia="es-ES"/>
        </w:rPr>
      </w:pPr>
      <w:bookmarkStart w:id="7" w:name="_Toc503777171"/>
      <w:r w:rsidRPr="00FA63AC">
        <w:rPr>
          <w:lang w:eastAsia="es-ES"/>
        </w:rPr>
        <w:t>O Estado de Pernambuco</w:t>
      </w:r>
      <w:bookmarkEnd w:id="7"/>
    </w:p>
    <w:p w:rsidR="004C23EC" w:rsidRPr="00FA63AC" w:rsidRDefault="004C23EC" w:rsidP="007266FB">
      <w:pPr>
        <w:pStyle w:val="ListParagraph"/>
        <w:keepNext/>
        <w:numPr>
          <w:ilvl w:val="1"/>
          <w:numId w:val="2"/>
        </w:numPr>
        <w:tabs>
          <w:tab w:val="clear" w:pos="995"/>
          <w:tab w:val="num" w:pos="851"/>
        </w:tabs>
        <w:suppressAutoHyphens/>
        <w:spacing w:before="120"/>
        <w:ind w:left="851" w:hanging="567"/>
        <w:jc w:val="both"/>
        <w:outlineLvl w:val="3"/>
        <w:rPr>
          <w:bCs/>
          <w:lang w:eastAsia="es-ES"/>
        </w:rPr>
      </w:pPr>
      <w:r w:rsidRPr="00FA63AC">
        <w:rPr>
          <w:bCs/>
          <w:lang w:eastAsia="es-ES"/>
        </w:rPr>
        <w:t xml:space="preserve">O Censo de 2010 mostrou </w:t>
      </w:r>
      <w:r w:rsidR="003C6A3D" w:rsidRPr="00FA63AC">
        <w:rPr>
          <w:bCs/>
          <w:lang w:eastAsia="es-ES"/>
        </w:rPr>
        <w:t>Pernambuco</w:t>
      </w:r>
      <w:r w:rsidRPr="00FA63AC">
        <w:rPr>
          <w:bCs/>
          <w:lang w:eastAsia="es-ES"/>
        </w:rPr>
        <w:t xml:space="preserve"> como o </w:t>
      </w:r>
      <w:r w:rsidR="0004776D" w:rsidRPr="00FA63AC">
        <w:rPr>
          <w:bCs/>
          <w:lang w:eastAsia="es-ES"/>
        </w:rPr>
        <w:t>sétimo</w:t>
      </w:r>
      <w:r w:rsidRPr="00FA63AC">
        <w:rPr>
          <w:bCs/>
          <w:lang w:eastAsia="es-ES"/>
        </w:rPr>
        <w:t xml:space="preserve"> estado m</w:t>
      </w:r>
      <w:r w:rsidR="0004776D" w:rsidRPr="00FA63AC">
        <w:rPr>
          <w:bCs/>
          <w:lang w:eastAsia="es-ES"/>
        </w:rPr>
        <w:t>ais</w:t>
      </w:r>
      <w:r w:rsidRPr="00FA63AC">
        <w:rPr>
          <w:bCs/>
          <w:lang w:eastAsia="es-ES"/>
        </w:rPr>
        <w:t xml:space="preserve"> populoso do país com </w:t>
      </w:r>
      <w:r w:rsidR="0004776D" w:rsidRPr="00FA63AC">
        <w:rPr>
          <w:bCs/>
          <w:lang w:eastAsia="es-ES"/>
        </w:rPr>
        <w:t>8,8</w:t>
      </w:r>
      <w:r w:rsidRPr="00FA63AC">
        <w:rPr>
          <w:bCs/>
          <w:lang w:eastAsia="es-ES"/>
        </w:rPr>
        <w:t xml:space="preserve"> milhões de habitantes, representando </w:t>
      </w:r>
      <w:r w:rsidR="0004776D" w:rsidRPr="00FA63AC">
        <w:rPr>
          <w:bCs/>
          <w:lang w:eastAsia="es-ES"/>
        </w:rPr>
        <w:t>4</w:t>
      </w:r>
      <w:r w:rsidRPr="00FA63AC">
        <w:rPr>
          <w:bCs/>
          <w:lang w:eastAsia="es-ES"/>
        </w:rPr>
        <w:t>,6% da população brasileira.</w:t>
      </w:r>
      <w:r w:rsidRPr="00FA63AC">
        <w:rPr>
          <w:rStyle w:val="FootnoteReference"/>
          <w:bCs/>
          <w:lang w:eastAsia="es-ES"/>
        </w:rPr>
        <w:footnoteReference w:id="2"/>
      </w:r>
      <w:r w:rsidRPr="00FA63AC">
        <w:rPr>
          <w:bCs/>
          <w:lang w:eastAsia="es-ES"/>
        </w:rPr>
        <w:t xml:space="preserve"> O estado teve a </w:t>
      </w:r>
      <w:r w:rsidR="003C6A3D" w:rsidRPr="00FA63AC">
        <w:rPr>
          <w:bCs/>
          <w:lang w:eastAsia="es-ES"/>
        </w:rPr>
        <w:t>oitava</w:t>
      </w:r>
      <w:r w:rsidRPr="00FA63AC">
        <w:rPr>
          <w:bCs/>
          <w:lang w:eastAsia="es-ES"/>
        </w:rPr>
        <w:t xml:space="preserve"> menor taxa de crescimento populacional do país entre 2000 e 2010 (</w:t>
      </w:r>
      <w:r w:rsidR="003C6A3D" w:rsidRPr="00FA63AC">
        <w:rPr>
          <w:bCs/>
          <w:lang w:eastAsia="es-ES"/>
        </w:rPr>
        <w:t>11,2</w:t>
      </w:r>
      <w:r w:rsidRPr="00FA63AC">
        <w:rPr>
          <w:bCs/>
          <w:lang w:eastAsia="es-ES"/>
        </w:rPr>
        <w:t>%), abaixo da média brasileira de 12,5% para o período.</w:t>
      </w:r>
      <w:r w:rsidR="00576DAF" w:rsidRPr="00FA63AC">
        <w:rPr>
          <w:bCs/>
          <w:lang w:eastAsia="es-ES"/>
        </w:rPr>
        <w:t xml:space="preserve"> </w:t>
      </w:r>
      <w:r w:rsidRPr="00FA63AC">
        <w:rPr>
          <w:bCs/>
          <w:lang w:eastAsia="es-ES"/>
        </w:rPr>
        <w:t>Veja Gráfico 1 abaixo.</w:t>
      </w: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Com uma extensão territorial de </w:t>
      </w:r>
      <w:r w:rsidR="00576DAF" w:rsidRPr="00FA63AC">
        <w:rPr>
          <w:bCs/>
          <w:lang w:eastAsia="es-ES"/>
        </w:rPr>
        <w:t>98,1</w:t>
      </w:r>
      <w:r w:rsidRPr="00FA63AC">
        <w:rPr>
          <w:bCs/>
          <w:lang w:eastAsia="es-ES"/>
        </w:rPr>
        <w:t xml:space="preserve"> mil km</w:t>
      </w:r>
      <w:r w:rsidRPr="00FA63AC">
        <w:rPr>
          <w:bCs/>
          <w:vertAlign w:val="superscript"/>
          <w:lang w:eastAsia="es-ES"/>
        </w:rPr>
        <w:t>2</w:t>
      </w:r>
      <w:r w:rsidRPr="00FA63AC">
        <w:rPr>
          <w:bCs/>
          <w:lang w:eastAsia="es-ES"/>
        </w:rPr>
        <w:t xml:space="preserve">, </w:t>
      </w:r>
      <w:r w:rsidR="00576DAF" w:rsidRPr="00FA63AC">
        <w:rPr>
          <w:bCs/>
          <w:lang w:eastAsia="es-ES"/>
        </w:rPr>
        <w:t>Pernambuco</w:t>
      </w:r>
      <w:r w:rsidRPr="00FA63AC">
        <w:rPr>
          <w:bCs/>
          <w:lang w:eastAsia="es-ES"/>
        </w:rPr>
        <w:t xml:space="preserve"> é o décimo-</w:t>
      </w:r>
      <w:r w:rsidR="00576DAF" w:rsidRPr="00FA63AC">
        <w:rPr>
          <w:bCs/>
          <w:lang w:eastAsia="es-ES"/>
        </w:rPr>
        <w:t>nono</w:t>
      </w:r>
      <w:r w:rsidR="00DE222E" w:rsidRPr="00FA63AC">
        <w:rPr>
          <w:bCs/>
          <w:lang w:eastAsia="es-ES"/>
        </w:rPr>
        <w:t xml:space="preserve"> E</w:t>
      </w:r>
      <w:r w:rsidRPr="00FA63AC">
        <w:rPr>
          <w:bCs/>
          <w:lang w:eastAsia="es-ES"/>
        </w:rPr>
        <w:t xml:space="preserve">stado em dimensão, representando </w:t>
      </w:r>
      <w:r w:rsidR="00576DAF" w:rsidRPr="00FA63AC">
        <w:rPr>
          <w:bCs/>
          <w:lang w:eastAsia="es-ES"/>
        </w:rPr>
        <w:t>1,15</w:t>
      </w:r>
      <w:r w:rsidRPr="00FA63AC">
        <w:rPr>
          <w:bCs/>
          <w:lang w:eastAsia="es-ES"/>
        </w:rPr>
        <w:t xml:space="preserve">% do território nacional, com uma densidade demográfica de </w:t>
      </w:r>
      <w:r w:rsidR="00576DAF" w:rsidRPr="00FA63AC">
        <w:rPr>
          <w:bCs/>
          <w:lang w:eastAsia="es-ES"/>
        </w:rPr>
        <w:t>89,7</w:t>
      </w:r>
      <w:r w:rsidRPr="00FA63AC">
        <w:rPr>
          <w:bCs/>
          <w:lang w:eastAsia="es-ES"/>
        </w:rPr>
        <w:t xml:space="preserve"> habitantes por km</w:t>
      </w:r>
      <w:r w:rsidRPr="00FA63AC">
        <w:rPr>
          <w:bCs/>
          <w:vertAlign w:val="superscript"/>
          <w:lang w:eastAsia="es-ES"/>
        </w:rPr>
        <w:t>2</w:t>
      </w:r>
      <w:r w:rsidRPr="00FA63AC">
        <w:rPr>
          <w:bCs/>
          <w:lang w:eastAsia="es-ES"/>
        </w:rPr>
        <w:t xml:space="preserve"> em 2010, </w:t>
      </w:r>
      <w:r w:rsidR="00576DAF" w:rsidRPr="00FA63AC">
        <w:rPr>
          <w:bCs/>
          <w:lang w:eastAsia="es-ES"/>
        </w:rPr>
        <w:t>quatro vezes maior que a</w:t>
      </w:r>
      <w:r w:rsidRPr="00FA63AC">
        <w:rPr>
          <w:bCs/>
          <w:lang w:eastAsia="es-ES"/>
        </w:rPr>
        <w:t xml:space="preserve"> densidade demográfica brasileira de 22,4 habitantes por km</w:t>
      </w:r>
      <w:r w:rsidRPr="00FA63AC">
        <w:rPr>
          <w:bCs/>
          <w:vertAlign w:val="superscript"/>
          <w:lang w:eastAsia="es-ES"/>
        </w:rPr>
        <w:t>2</w:t>
      </w:r>
      <w:r w:rsidRPr="00FA63AC">
        <w:rPr>
          <w:bCs/>
          <w:lang w:eastAsia="es-ES"/>
        </w:rPr>
        <w:t xml:space="preserve">. Seguindo a tendência brasileira, </w:t>
      </w:r>
      <w:r w:rsidR="00576DAF" w:rsidRPr="00FA63AC">
        <w:rPr>
          <w:bCs/>
          <w:lang w:eastAsia="es-ES"/>
        </w:rPr>
        <w:t>Pernambuco</w:t>
      </w:r>
      <w:r w:rsidRPr="00FA63AC">
        <w:rPr>
          <w:bCs/>
          <w:lang w:eastAsia="es-ES"/>
        </w:rPr>
        <w:t xml:space="preserve"> registrou altos níveis de urbanização nos últimos 50 anos passando a população urbana de </w:t>
      </w:r>
      <w:r w:rsidR="003054CC" w:rsidRPr="00FA63AC">
        <w:rPr>
          <w:bCs/>
          <w:lang w:eastAsia="es-ES"/>
        </w:rPr>
        <w:t>45</w:t>
      </w:r>
      <w:r w:rsidRPr="00FA63AC">
        <w:rPr>
          <w:bCs/>
          <w:lang w:eastAsia="es-ES"/>
        </w:rPr>
        <w:t xml:space="preserve">% do total em 1960 para </w:t>
      </w:r>
      <w:r w:rsidR="003054CC" w:rsidRPr="00FA63AC">
        <w:rPr>
          <w:bCs/>
          <w:lang w:eastAsia="es-ES"/>
        </w:rPr>
        <w:t>80</w:t>
      </w:r>
      <w:r w:rsidRPr="00FA63AC">
        <w:rPr>
          <w:bCs/>
          <w:lang w:eastAsia="es-ES"/>
        </w:rPr>
        <w:t xml:space="preserve">% em 2010. </w:t>
      </w:r>
    </w:p>
    <w:p w:rsidR="00741528" w:rsidRPr="00FA63AC" w:rsidRDefault="00741528" w:rsidP="00741528">
      <w:pPr>
        <w:pStyle w:val="ListParagraph"/>
        <w:keepNext/>
        <w:suppressAutoHyphens/>
        <w:spacing w:before="120"/>
        <w:ind w:left="851"/>
        <w:jc w:val="both"/>
        <w:outlineLvl w:val="3"/>
        <w:rPr>
          <w:bCs/>
          <w:lang w:eastAsia="es-ES"/>
        </w:rPr>
      </w:pPr>
    </w:p>
    <w:p w:rsidR="00741528" w:rsidRPr="00FA63AC" w:rsidRDefault="00741528" w:rsidP="00741528">
      <w:pPr>
        <w:pStyle w:val="ListParagraph"/>
        <w:keepNext/>
        <w:suppressAutoHyphens/>
        <w:spacing w:before="120"/>
        <w:ind w:left="851"/>
        <w:jc w:val="both"/>
        <w:outlineLvl w:val="3"/>
        <w:rPr>
          <w:bCs/>
          <w:lang w:eastAsia="es-ES"/>
        </w:rPr>
      </w:pPr>
      <w:r w:rsidRPr="00FA63AC">
        <w:rPr>
          <w:noProof/>
        </w:rPr>
        <w:drawing>
          <wp:inline distT="0" distB="0" distL="0" distR="0" wp14:anchorId="7B7DEBA0" wp14:editId="666B57B2">
            <wp:extent cx="5173980" cy="2918919"/>
            <wp:effectExtent l="0" t="0" r="26670" b="15240"/>
            <wp:docPr id="2" name="Gráfico 2">
              <a:extLst xmlns:a="http://schemas.openxmlformats.org/drawingml/2006/main">
                <a:ext uri="{FF2B5EF4-FFF2-40B4-BE49-F238E27FC236}">
                  <a16:creationId xmlns:a16="http://schemas.microsoft.com/office/drawing/2014/main" id="{5EE09638-A48E-4874-B921-1AC62BD1E4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C23EC" w:rsidRPr="00FA63AC" w:rsidRDefault="00EE3D61" w:rsidP="001B192C">
      <w:pPr>
        <w:keepNext/>
        <w:suppressAutoHyphens/>
        <w:ind w:left="851"/>
        <w:jc w:val="both"/>
        <w:outlineLvl w:val="3"/>
        <w:rPr>
          <w:bCs/>
          <w:lang w:eastAsia="es-ES"/>
        </w:rPr>
      </w:pPr>
      <w:r w:rsidRPr="00FA63AC">
        <w:rPr>
          <w:bCs/>
          <w:lang w:eastAsia="es-ES"/>
        </w:rPr>
        <w:t>Fonte: Instituto Brasileiro de Geografia e Estatística</w:t>
      </w:r>
      <w:r w:rsidR="00576DAF" w:rsidRPr="00FA63AC">
        <w:rPr>
          <w:bCs/>
          <w:lang w:eastAsia="es-ES"/>
        </w:rPr>
        <w:t xml:space="preserve"> (2017_1)</w:t>
      </w:r>
      <w:r w:rsidRPr="00FA63AC">
        <w:rPr>
          <w:bCs/>
          <w:lang w:eastAsia="es-ES"/>
        </w:rPr>
        <w:t xml:space="preserve"> </w:t>
      </w:r>
      <w:r w:rsidR="00576DAF" w:rsidRPr="00FA63AC">
        <w:rPr>
          <w:rStyle w:val="FootnoteReference"/>
          <w:bCs/>
          <w:lang w:eastAsia="es-ES"/>
        </w:rPr>
        <w:footnoteReference w:id="3"/>
      </w: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Os indicadores sociais do Estado em 2010 estavam abaixo da média brasileira—por exemplo, aproximadamente 18,5% da população estava abaixo da linha de extrema pobreza (a média brasileira é de 6,3%)</w:t>
      </w:r>
      <w:r w:rsidRPr="00FA63AC">
        <w:rPr>
          <w:vertAlign w:val="superscript"/>
        </w:rPr>
        <w:footnoteReference w:id="4"/>
      </w:r>
      <w:r w:rsidRPr="00FA63AC">
        <w:rPr>
          <w:bCs/>
          <w:lang w:eastAsia="es-ES"/>
        </w:rPr>
        <w:t xml:space="preserve">.  </w:t>
      </w:r>
      <w:r w:rsidR="00FA40D7" w:rsidRPr="00FA63AC">
        <w:rPr>
          <w:bCs/>
          <w:lang w:eastAsia="es-ES"/>
        </w:rPr>
        <w:t>Segundo dados do</w:t>
      </w:r>
      <w:r w:rsidR="00CF7FED" w:rsidRPr="00FA63AC">
        <w:rPr>
          <w:bCs/>
          <w:lang w:eastAsia="es-ES"/>
        </w:rPr>
        <w:t xml:space="preserve"> Programa das Nações Unidas para o Desenvolvimento (PNUD-2013)</w:t>
      </w:r>
      <w:r w:rsidR="00FA40D7" w:rsidRPr="00FA63AC">
        <w:rPr>
          <w:bCs/>
          <w:lang w:eastAsia="es-ES"/>
        </w:rPr>
        <w:t>, o</w:t>
      </w:r>
      <w:r w:rsidRPr="00FA63AC">
        <w:rPr>
          <w:bCs/>
          <w:lang w:eastAsia="es-ES"/>
        </w:rPr>
        <w:t xml:space="preserve"> Índice de Desenvolvimento Humano em 2010 era de 0,6</w:t>
      </w:r>
      <w:r w:rsidR="00FA40D7" w:rsidRPr="00FA63AC">
        <w:rPr>
          <w:bCs/>
          <w:lang w:eastAsia="es-ES"/>
        </w:rPr>
        <w:t>73 em Pernambuco</w:t>
      </w:r>
      <w:r w:rsidRPr="00FA63AC">
        <w:rPr>
          <w:bCs/>
          <w:lang w:eastAsia="es-ES"/>
        </w:rPr>
        <w:t>, abaixo do índice de 0,727 para o Brasil.</w:t>
      </w:r>
      <w:r w:rsidR="00CF7FED" w:rsidRPr="00FA63AC">
        <w:rPr>
          <w:vertAlign w:val="superscript"/>
        </w:rPr>
        <w:footnoteReference w:id="5"/>
      </w:r>
      <w:r w:rsidRPr="00FA63AC">
        <w:rPr>
          <w:bCs/>
          <w:lang w:eastAsia="es-ES"/>
        </w:rPr>
        <w:t xml:space="preserve"> A taxa de analfabetismo de pessoas com 15 anos </w:t>
      </w:r>
      <w:r w:rsidRPr="00FA63AC">
        <w:rPr>
          <w:bCs/>
          <w:lang w:eastAsia="es-ES"/>
        </w:rPr>
        <w:lastRenderedPageBreak/>
        <w:t>ou mais no Estado em 201</w:t>
      </w:r>
      <w:r w:rsidR="00DF3DCA" w:rsidRPr="00FA63AC">
        <w:rPr>
          <w:bCs/>
          <w:lang w:eastAsia="es-ES"/>
        </w:rPr>
        <w:t>6</w:t>
      </w:r>
      <w:r w:rsidRPr="00FA63AC">
        <w:rPr>
          <w:bCs/>
          <w:lang w:eastAsia="es-ES"/>
        </w:rPr>
        <w:t xml:space="preserve"> era estimada pela PNAD em </w:t>
      </w:r>
      <w:r w:rsidR="00040ADC" w:rsidRPr="00FA63AC">
        <w:rPr>
          <w:bCs/>
          <w:lang w:eastAsia="es-ES"/>
        </w:rPr>
        <w:t>12,8</w:t>
      </w:r>
      <w:r w:rsidRPr="00FA63AC">
        <w:rPr>
          <w:bCs/>
          <w:lang w:eastAsia="es-ES"/>
        </w:rPr>
        <w:t xml:space="preserve">%, substancialmente mais alta que a média brasileira que era de </w:t>
      </w:r>
      <w:r w:rsidR="00040ADC" w:rsidRPr="00FA63AC">
        <w:rPr>
          <w:bCs/>
          <w:lang w:eastAsia="es-ES"/>
        </w:rPr>
        <w:t>7,2</w:t>
      </w:r>
      <w:r w:rsidRPr="00FA63AC">
        <w:rPr>
          <w:bCs/>
          <w:lang w:eastAsia="es-ES"/>
        </w:rPr>
        <w:t xml:space="preserve">%. </w:t>
      </w:r>
    </w:p>
    <w:p w:rsidR="004C23EC" w:rsidRPr="00FA63AC" w:rsidRDefault="004C23EC" w:rsidP="00B15F9C">
      <w:pPr>
        <w:pStyle w:val="Heading1"/>
        <w:numPr>
          <w:ilvl w:val="0"/>
          <w:numId w:val="2"/>
        </w:numPr>
        <w:rPr>
          <w:lang w:eastAsia="es-ES"/>
        </w:rPr>
      </w:pPr>
      <w:bookmarkStart w:id="8" w:name="_Toc503777172"/>
      <w:r w:rsidRPr="00FA63AC">
        <w:rPr>
          <w:lang w:eastAsia="es-ES"/>
        </w:rPr>
        <w:t>A Situação Econômica</w:t>
      </w:r>
      <w:bookmarkEnd w:id="8"/>
    </w:p>
    <w:p w:rsidR="004C23EC" w:rsidRPr="00FA63AC" w:rsidRDefault="004C23EC" w:rsidP="004C23EC">
      <w:pPr>
        <w:pStyle w:val="ListParagraph"/>
        <w:keepNext/>
        <w:suppressAutoHyphens/>
        <w:spacing w:before="120"/>
        <w:ind w:left="1440"/>
        <w:jc w:val="both"/>
        <w:outlineLvl w:val="3"/>
        <w:rPr>
          <w:rFonts w:ascii="Arial" w:hAnsi="Arial" w:cs="Arial"/>
          <w:bCs/>
          <w:lang w:eastAsia="es-ES"/>
        </w:rPr>
      </w:pPr>
    </w:p>
    <w:p w:rsidR="004C23EC" w:rsidRPr="00FA63AC" w:rsidRDefault="00F379C8"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Pernambuco</w:t>
      </w:r>
      <w:r w:rsidR="004C23EC" w:rsidRPr="00FA63AC">
        <w:rPr>
          <w:bCs/>
          <w:lang w:eastAsia="es-ES"/>
        </w:rPr>
        <w:t>, segundo dados do IBGE para 2014</w:t>
      </w:r>
      <w:r w:rsidR="004C23EC" w:rsidRPr="00FA63AC">
        <w:rPr>
          <w:rStyle w:val="FootnoteReference"/>
          <w:bCs/>
          <w:lang w:eastAsia="es-ES"/>
        </w:rPr>
        <w:footnoteReference w:id="6"/>
      </w:r>
      <w:r w:rsidR="004C23EC" w:rsidRPr="00FA63AC">
        <w:rPr>
          <w:bCs/>
          <w:lang w:eastAsia="es-ES"/>
        </w:rPr>
        <w:t xml:space="preserve">, era a </w:t>
      </w:r>
      <w:r w:rsidR="00040ADC" w:rsidRPr="00FA63AC">
        <w:rPr>
          <w:bCs/>
          <w:lang w:eastAsia="es-ES"/>
        </w:rPr>
        <w:t>décima</w:t>
      </w:r>
      <w:r w:rsidR="004C23EC" w:rsidRPr="00FA63AC">
        <w:rPr>
          <w:bCs/>
          <w:lang w:eastAsia="es-ES"/>
        </w:rPr>
        <w:t xml:space="preserve"> economia do país, contribuindo com </w:t>
      </w:r>
      <w:r w:rsidR="00040ADC" w:rsidRPr="00FA63AC">
        <w:rPr>
          <w:bCs/>
          <w:lang w:eastAsia="es-ES"/>
        </w:rPr>
        <w:t>2,7</w:t>
      </w:r>
      <w:r w:rsidR="004C23EC" w:rsidRPr="00FA63AC">
        <w:rPr>
          <w:bCs/>
          <w:lang w:eastAsia="es-ES"/>
        </w:rPr>
        <w:t>% do PIB nacional. O Gráfico 2 mostra claramente que a economia d</w:t>
      </w:r>
      <w:r w:rsidR="00A14D8C" w:rsidRPr="00FA63AC">
        <w:rPr>
          <w:bCs/>
          <w:lang w:eastAsia="es-ES"/>
        </w:rPr>
        <w:t>e Pernambuco</w:t>
      </w:r>
      <w:r w:rsidR="004C23EC" w:rsidRPr="00FA63AC">
        <w:rPr>
          <w:bCs/>
          <w:lang w:eastAsia="es-ES"/>
        </w:rPr>
        <w:t xml:space="preserve"> cresceu proporcionalmente mais que a brasileira, fazendo com que a participação relativa do Estado no PIB nacional aumentasse de </w:t>
      </w:r>
      <w:r w:rsidR="00A14D8C" w:rsidRPr="00FA63AC">
        <w:rPr>
          <w:bCs/>
          <w:lang w:eastAsia="es-ES"/>
        </w:rPr>
        <w:t>2,4</w:t>
      </w:r>
      <w:r w:rsidR="004C23EC" w:rsidRPr="00FA63AC">
        <w:rPr>
          <w:bCs/>
          <w:lang w:eastAsia="es-ES"/>
        </w:rPr>
        <w:t>% em 200</w:t>
      </w:r>
      <w:r w:rsidR="00A14D8C" w:rsidRPr="00FA63AC">
        <w:rPr>
          <w:bCs/>
          <w:lang w:eastAsia="es-ES"/>
        </w:rPr>
        <w:t>2</w:t>
      </w:r>
      <w:r w:rsidR="004C23EC" w:rsidRPr="00FA63AC">
        <w:rPr>
          <w:bCs/>
          <w:lang w:eastAsia="es-ES"/>
        </w:rPr>
        <w:t xml:space="preserve"> para </w:t>
      </w:r>
      <w:r w:rsidR="00A14D8C" w:rsidRPr="00FA63AC">
        <w:rPr>
          <w:bCs/>
          <w:lang w:eastAsia="es-ES"/>
        </w:rPr>
        <w:t>2,7</w:t>
      </w:r>
      <w:r w:rsidR="004C23EC" w:rsidRPr="00FA63AC">
        <w:rPr>
          <w:bCs/>
          <w:lang w:eastAsia="es-ES"/>
        </w:rPr>
        <w:t xml:space="preserve">% em 2014. </w:t>
      </w:r>
    </w:p>
    <w:p w:rsidR="004C23EC" w:rsidRPr="00FA63AC" w:rsidRDefault="004C23EC" w:rsidP="004C23EC">
      <w:pPr>
        <w:pStyle w:val="ListParagraph"/>
        <w:keepNext/>
        <w:tabs>
          <w:tab w:val="num" w:pos="1499"/>
        </w:tabs>
        <w:suppressAutoHyphens/>
        <w:spacing w:before="120"/>
        <w:ind w:left="851"/>
        <w:jc w:val="both"/>
        <w:outlineLvl w:val="3"/>
        <w:rPr>
          <w:bCs/>
          <w:lang w:eastAsia="es-ES"/>
        </w:rPr>
      </w:pPr>
    </w:p>
    <w:p w:rsidR="00040ADC" w:rsidRPr="00FA63AC" w:rsidRDefault="00040ADC" w:rsidP="00A14D8C">
      <w:pPr>
        <w:pStyle w:val="ListParagraph"/>
        <w:keepNext/>
        <w:tabs>
          <w:tab w:val="num" w:pos="1499"/>
        </w:tabs>
        <w:suppressAutoHyphens/>
        <w:spacing w:before="120"/>
        <w:ind w:left="0"/>
        <w:jc w:val="both"/>
        <w:outlineLvl w:val="3"/>
        <w:rPr>
          <w:bCs/>
          <w:lang w:eastAsia="es-ES"/>
        </w:rPr>
      </w:pPr>
      <w:r w:rsidRPr="00FA63AC">
        <w:rPr>
          <w:noProof/>
        </w:rPr>
        <w:drawing>
          <wp:inline distT="0" distB="0" distL="0" distR="0" wp14:anchorId="7637497A" wp14:editId="1B49D6CD">
            <wp:extent cx="6012180" cy="2987675"/>
            <wp:effectExtent l="0" t="0" r="7620" b="3175"/>
            <wp:docPr id="10" name="Gráfico 10">
              <a:extLst xmlns:a="http://schemas.openxmlformats.org/drawingml/2006/main">
                <a:ext uri="{FF2B5EF4-FFF2-40B4-BE49-F238E27FC236}">
                  <a16:creationId xmlns:a16="http://schemas.microsoft.com/office/drawing/2014/main" id="{5E013E58-929D-475B-AF57-B4E27078E1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C23EC" w:rsidRPr="00FA63AC" w:rsidRDefault="002915F3" w:rsidP="004C23EC">
      <w:pPr>
        <w:keepNext/>
        <w:tabs>
          <w:tab w:val="num" w:pos="1499"/>
        </w:tabs>
        <w:suppressAutoHyphens/>
        <w:spacing w:before="120"/>
        <w:jc w:val="both"/>
        <w:outlineLvl w:val="3"/>
        <w:rPr>
          <w:bCs/>
          <w:sz w:val="22"/>
          <w:szCs w:val="22"/>
          <w:lang w:eastAsia="es-ES"/>
        </w:rPr>
      </w:pPr>
      <w:r w:rsidRPr="00FA63AC">
        <w:rPr>
          <w:bCs/>
          <w:sz w:val="22"/>
          <w:szCs w:val="22"/>
          <w:lang w:eastAsia="es-ES"/>
        </w:rPr>
        <w:t>Fonte: IBGE – Contas Regionais - 2017</w:t>
      </w: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A Tabela </w:t>
      </w:r>
      <w:r w:rsidR="00C451BF" w:rsidRPr="00FA63AC">
        <w:rPr>
          <w:bCs/>
          <w:lang w:eastAsia="es-ES"/>
        </w:rPr>
        <w:t>2</w:t>
      </w:r>
      <w:r w:rsidRPr="00FA63AC">
        <w:rPr>
          <w:bCs/>
          <w:lang w:eastAsia="es-ES"/>
        </w:rPr>
        <w:t xml:space="preserve"> mostra que, em 2014, o setor de serviços representava a maior parte da economia do Estado, 7</w:t>
      </w:r>
      <w:r w:rsidR="00C451BF" w:rsidRPr="00FA63AC">
        <w:rPr>
          <w:bCs/>
          <w:lang w:eastAsia="es-ES"/>
        </w:rPr>
        <w:t>8</w:t>
      </w:r>
      <w:r w:rsidRPr="00FA63AC">
        <w:rPr>
          <w:bCs/>
          <w:lang w:eastAsia="es-ES"/>
        </w:rPr>
        <w:t>% do PIB, acima da média brasileira de 71,2%, seguido da indústria (1</w:t>
      </w:r>
      <w:r w:rsidR="00C451BF" w:rsidRPr="00FA63AC">
        <w:rPr>
          <w:bCs/>
          <w:lang w:eastAsia="es-ES"/>
        </w:rPr>
        <w:t>8,6</w:t>
      </w:r>
      <w:r w:rsidRPr="00FA63AC">
        <w:rPr>
          <w:bCs/>
          <w:lang w:eastAsia="es-ES"/>
        </w:rPr>
        <w:t xml:space="preserve">%), abaixo da média brasileira de 23,8% e com a agricultura contando com </w:t>
      </w:r>
      <w:r w:rsidR="00C451BF" w:rsidRPr="00FA63AC">
        <w:rPr>
          <w:bCs/>
          <w:lang w:eastAsia="es-ES"/>
        </w:rPr>
        <w:t>3,3</w:t>
      </w:r>
      <w:r w:rsidRPr="00FA63AC">
        <w:rPr>
          <w:bCs/>
          <w:lang w:eastAsia="es-ES"/>
        </w:rPr>
        <w:t xml:space="preserve">%, </w:t>
      </w:r>
      <w:r w:rsidR="00C451BF" w:rsidRPr="00FA63AC">
        <w:rPr>
          <w:bCs/>
          <w:lang w:eastAsia="es-ES"/>
        </w:rPr>
        <w:t>também abaixo</w:t>
      </w:r>
      <w:r w:rsidRPr="00FA63AC">
        <w:rPr>
          <w:bCs/>
          <w:lang w:eastAsia="es-ES"/>
        </w:rPr>
        <w:t xml:space="preserve"> da mesma média nacional de 5%. Uma grande diferença é a participação da administração pública que, </w:t>
      </w:r>
      <w:r w:rsidR="00C451BF" w:rsidRPr="00FA63AC">
        <w:rPr>
          <w:bCs/>
          <w:lang w:eastAsia="es-ES"/>
        </w:rPr>
        <w:t>em</w:t>
      </w:r>
      <w:r w:rsidRPr="00FA63AC">
        <w:rPr>
          <w:bCs/>
          <w:lang w:eastAsia="es-ES"/>
        </w:rPr>
        <w:t xml:space="preserve"> </w:t>
      </w:r>
      <w:r w:rsidR="00C451BF" w:rsidRPr="00FA63AC">
        <w:rPr>
          <w:bCs/>
          <w:lang w:eastAsia="es-ES"/>
        </w:rPr>
        <w:t>Pernambuco</w:t>
      </w:r>
      <w:r w:rsidRPr="00FA63AC">
        <w:rPr>
          <w:bCs/>
          <w:lang w:eastAsia="es-ES"/>
        </w:rPr>
        <w:t xml:space="preserve">, representa </w:t>
      </w:r>
      <w:r w:rsidR="00C451BF" w:rsidRPr="00FA63AC">
        <w:rPr>
          <w:bCs/>
          <w:lang w:eastAsia="es-ES"/>
        </w:rPr>
        <w:t>23,1</w:t>
      </w:r>
      <w:r w:rsidR="00DE222E" w:rsidRPr="00FA63AC">
        <w:rPr>
          <w:bCs/>
          <w:lang w:eastAsia="es-ES"/>
        </w:rPr>
        <w:t>% do PIB do E</w:t>
      </w:r>
      <w:r w:rsidRPr="00FA63AC">
        <w:rPr>
          <w:bCs/>
          <w:lang w:eastAsia="es-ES"/>
        </w:rPr>
        <w:t xml:space="preserve">stado, </w:t>
      </w:r>
      <w:r w:rsidR="00C451BF" w:rsidRPr="00FA63AC">
        <w:rPr>
          <w:bCs/>
          <w:lang w:eastAsia="es-ES"/>
        </w:rPr>
        <w:t>bem acima</w:t>
      </w:r>
      <w:r w:rsidRPr="00FA63AC">
        <w:rPr>
          <w:bCs/>
          <w:lang w:eastAsia="es-ES"/>
        </w:rPr>
        <w:t xml:space="preserve"> da média nacional de 16,4%. O </w:t>
      </w:r>
      <w:r w:rsidRPr="00FA63AC">
        <w:rPr>
          <w:bCs/>
          <w:lang w:eastAsia="es-ES"/>
        </w:rPr>
        <w:lastRenderedPageBreak/>
        <w:t xml:space="preserve">comércio também tem uma maior participação na economia do </w:t>
      </w:r>
      <w:r w:rsidR="00C451BF" w:rsidRPr="00FA63AC">
        <w:rPr>
          <w:bCs/>
          <w:lang w:eastAsia="es-ES"/>
        </w:rPr>
        <w:t>Pernambuco</w:t>
      </w:r>
      <w:r w:rsidRPr="00FA63AC">
        <w:rPr>
          <w:bCs/>
          <w:lang w:eastAsia="es-ES"/>
        </w:rPr>
        <w:t xml:space="preserve"> (16%) comparado ao país como um todo (13,6%). </w:t>
      </w:r>
    </w:p>
    <w:p w:rsidR="004C23EC" w:rsidRPr="00FA63AC" w:rsidRDefault="004C23EC" w:rsidP="004C23EC">
      <w:pPr>
        <w:pStyle w:val="ListParagraph"/>
        <w:keepNext/>
        <w:tabs>
          <w:tab w:val="num" w:pos="1499"/>
        </w:tabs>
        <w:suppressAutoHyphens/>
        <w:spacing w:before="120"/>
        <w:ind w:left="851"/>
        <w:jc w:val="both"/>
        <w:outlineLvl w:val="3"/>
        <w:rPr>
          <w:bCs/>
          <w:lang w:eastAsia="es-ES"/>
        </w:rPr>
      </w:pPr>
    </w:p>
    <w:p w:rsidR="004C23EC" w:rsidRPr="00FA63AC" w:rsidRDefault="00C451BF" w:rsidP="00C451BF">
      <w:pPr>
        <w:keepNext/>
        <w:suppressAutoHyphens/>
        <w:spacing w:before="120"/>
        <w:ind w:left="-851"/>
        <w:jc w:val="both"/>
        <w:outlineLvl w:val="3"/>
        <w:rPr>
          <w:bCs/>
          <w:lang w:eastAsia="es-ES"/>
        </w:rPr>
      </w:pPr>
      <w:r w:rsidRPr="00FA63AC">
        <w:rPr>
          <w:noProof/>
        </w:rPr>
        <w:drawing>
          <wp:inline distT="0" distB="0" distL="0" distR="0" wp14:anchorId="38E510AF" wp14:editId="77F9A19F">
            <wp:extent cx="6894195" cy="4351020"/>
            <wp:effectExtent l="0" t="0" r="190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17540" cy="4365753"/>
                    </a:xfrm>
                    <a:prstGeom prst="rect">
                      <a:avLst/>
                    </a:prstGeom>
                    <a:noFill/>
                    <a:ln>
                      <a:noFill/>
                    </a:ln>
                  </pic:spPr>
                </pic:pic>
              </a:graphicData>
            </a:graphic>
          </wp:inline>
        </w:drawing>
      </w:r>
    </w:p>
    <w:p w:rsidR="004C23EC" w:rsidRPr="00FA63AC" w:rsidRDefault="004C23EC" w:rsidP="004C23EC">
      <w:pPr>
        <w:pStyle w:val="ListParagraph"/>
        <w:keepNext/>
        <w:tabs>
          <w:tab w:val="num" w:pos="1499"/>
        </w:tabs>
        <w:suppressAutoHyphens/>
        <w:spacing w:before="120"/>
        <w:ind w:left="851"/>
        <w:jc w:val="both"/>
        <w:outlineLvl w:val="3"/>
        <w:rPr>
          <w:bCs/>
          <w:lang w:eastAsia="es-ES"/>
        </w:rPr>
      </w:pPr>
    </w:p>
    <w:p w:rsidR="00B15F9C" w:rsidRPr="00FA63AC" w:rsidRDefault="00B15F9C" w:rsidP="004C23EC">
      <w:pPr>
        <w:pStyle w:val="ListParagraph"/>
        <w:keepNext/>
        <w:tabs>
          <w:tab w:val="num" w:pos="1499"/>
        </w:tabs>
        <w:suppressAutoHyphens/>
        <w:spacing w:before="120"/>
        <w:ind w:left="851"/>
        <w:jc w:val="both"/>
        <w:outlineLvl w:val="3"/>
        <w:rPr>
          <w:bCs/>
          <w:lang w:eastAsia="es-ES"/>
        </w:rPr>
      </w:pPr>
    </w:p>
    <w:p w:rsidR="004C23EC" w:rsidRPr="00FA63AC" w:rsidRDefault="00F60A0B"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Pernambuco </w:t>
      </w:r>
      <w:r w:rsidR="004C23EC" w:rsidRPr="00FA63AC">
        <w:rPr>
          <w:bCs/>
          <w:lang w:eastAsia="es-ES"/>
        </w:rPr>
        <w:t xml:space="preserve">não ficou imune à grave crise econômica brasileira dos últimos </w:t>
      </w:r>
      <w:r w:rsidRPr="00FA63AC">
        <w:rPr>
          <w:bCs/>
          <w:lang w:eastAsia="es-ES"/>
        </w:rPr>
        <w:t>anos</w:t>
      </w:r>
      <w:r w:rsidR="004C23EC" w:rsidRPr="00FA63AC">
        <w:rPr>
          <w:bCs/>
          <w:lang w:eastAsia="es-ES"/>
        </w:rPr>
        <w:t xml:space="preserve">. Há bastante evidência de uma retração da economia estadual. O Gráfico 3, com dados da PNAD contínua do IBGE, mostra uma forte redução do número de pessoas ocupadas, que passou de </w:t>
      </w:r>
      <w:r w:rsidRPr="00FA63AC">
        <w:rPr>
          <w:bCs/>
          <w:lang w:eastAsia="es-ES"/>
        </w:rPr>
        <w:t>3,7</w:t>
      </w:r>
      <w:r w:rsidR="004C23EC" w:rsidRPr="00FA63AC">
        <w:rPr>
          <w:bCs/>
          <w:lang w:eastAsia="es-ES"/>
        </w:rPr>
        <w:t xml:space="preserve"> milhões no </w:t>
      </w:r>
      <w:r w:rsidRPr="00FA63AC">
        <w:rPr>
          <w:bCs/>
          <w:lang w:eastAsia="es-ES"/>
        </w:rPr>
        <w:t xml:space="preserve">segundo e terceiro trimestres de </w:t>
      </w:r>
      <w:r w:rsidR="004C23EC" w:rsidRPr="00FA63AC">
        <w:rPr>
          <w:bCs/>
          <w:lang w:eastAsia="es-ES"/>
        </w:rPr>
        <w:t>201</w:t>
      </w:r>
      <w:r w:rsidRPr="00FA63AC">
        <w:rPr>
          <w:bCs/>
          <w:lang w:eastAsia="es-ES"/>
        </w:rPr>
        <w:t>5</w:t>
      </w:r>
      <w:r w:rsidR="004C23EC" w:rsidRPr="00FA63AC">
        <w:rPr>
          <w:bCs/>
          <w:lang w:eastAsia="es-ES"/>
        </w:rPr>
        <w:t xml:space="preserve"> para </w:t>
      </w:r>
      <w:r w:rsidRPr="00FA63AC">
        <w:rPr>
          <w:bCs/>
          <w:lang w:eastAsia="es-ES"/>
        </w:rPr>
        <w:t>3,3</w:t>
      </w:r>
      <w:r w:rsidR="004C23EC" w:rsidRPr="00FA63AC">
        <w:rPr>
          <w:bCs/>
          <w:lang w:eastAsia="es-ES"/>
        </w:rPr>
        <w:t xml:space="preserve"> milhões no </w:t>
      </w:r>
      <w:r w:rsidRPr="00FA63AC">
        <w:rPr>
          <w:bCs/>
          <w:lang w:eastAsia="es-ES"/>
        </w:rPr>
        <w:t>segundo</w:t>
      </w:r>
      <w:r w:rsidR="004C23EC" w:rsidRPr="00FA63AC">
        <w:rPr>
          <w:bCs/>
          <w:lang w:eastAsia="es-ES"/>
        </w:rPr>
        <w:t xml:space="preserve"> trimestre de 2017. Como consequência, a taxa </w:t>
      </w:r>
      <w:r w:rsidR="004C23EC" w:rsidRPr="00FA63AC">
        <w:rPr>
          <w:bCs/>
          <w:lang w:eastAsia="es-ES"/>
        </w:rPr>
        <w:lastRenderedPageBreak/>
        <w:t xml:space="preserve">de desemprego subiu substancialmente. A taxa, que chegou a alcançar </w:t>
      </w:r>
      <w:r w:rsidRPr="00FA63AC">
        <w:rPr>
          <w:bCs/>
          <w:lang w:eastAsia="es-ES"/>
        </w:rPr>
        <w:t>7,6</w:t>
      </w:r>
      <w:r w:rsidR="004C23EC" w:rsidRPr="00FA63AC">
        <w:rPr>
          <w:bCs/>
          <w:lang w:eastAsia="es-ES"/>
        </w:rPr>
        <w:t xml:space="preserve">% no </w:t>
      </w:r>
      <w:r w:rsidRPr="00FA63AC">
        <w:rPr>
          <w:bCs/>
          <w:lang w:eastAsia="es-ES"/>
        </w:rPr>
        <w:t>quarto trimestre</w:t>
      </w:r>
      <w:r w:rsidR="004C23EC" w:rsidRPr="00FA63AC">
        <w:rPr>
          <w:bCs/>
          <w:lang w:eastAsia="es-ES"/>
        </w:rPr>
        <w:t xml:space="preserve"> de 201</w:t>
      </w:r>
      <w:r w:rsidRPr="00FA63AC">
        <w:rPr>
          <w:bCs/>
          <w:lang w:eastAsia="es-ES"/>
        </w:rPr>
        <w:t>4</w:t>
      </w:r>
      <w:r w:rsidR="004C23EC" w:rsidRPr="00FA63AC">
        <w:rPr>
          <w:bCs/>
          <w:lang w:eastAsia="es-ES"/>
        </w:rPr>
        <w:t>, subiu para 1</w:t>
      </w:r>
      <w:r w:rsidRPr="00FA63AC">
        <w:rPr>
          <w:bCs/>
          <w:lang w:eastAsia="es-ES"/>
        </w:rPr>
        <w:t>8,8</w:t>
      </w:r>
      <w:r w:rsidR="004C23EC" w:rsidRPr="00FA63AC">
        <w:rPr>
          <w:bCs/>
          <w:lang w:eastAsia="es-ES"/>
        </w:rPr>
        <w:t>% no segundo trimestre de 2017.</w:t>
      </w: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Assim como no país como um todo, a economia d</w:t>
      </w:r>
      <w:r w:rsidR="00F60A0B" w:rsidRPr="00FA63AC">
        <w:rPr>
          <w:bCs/>
          <w:lang w:eastAsia="es-ES"/>
        </w:rPr>
        <w:t xml:space="preserve">e Pernambuco </w:t>
      </w:r>
      <w:r w:rsidRPr="00FA63AC">
        <w:rPr>
          <w:bCs/>
          <w:lang w:eastAsia="es-ES"/>
        </w:rPr>
        <w:t xml:space="preserve">começou a registrar alguns sinais de recuperação em 2017.  </w:t>
      </w:r>
    </w:p>
    <w:p w:rsidR="004C23EC" w:rsidRPr="00FA63AC" w:rsidRDefault="00CF1C71" w:rsidP="004C23EC">
      <w:pPr>
        <w:keepNext/>
        <w:tabs>
          <w:tab w:val="num" w:pos="1499"/>
        </w:tabs>
        <w:suppressAutoHyphens/>
        <w:spacing w:before="120"/>
        <w:jc w:val="both"/>
        <w:outlineLvl w:val="3"/>
        <w:rPr>
          <w:bCs/>
          <w:lang w:eastAsia="es-ES"/>
        </w:rPr>
      </w:pPr>
      <w:r w:rsidRPr="00FA63AC">
        <w:rPr>
          <w:noProof/>
        </w:rPr>
        <w:drawing>
          <wp:inline distT="0" distB="0" distL="0" distR="0" wp14:anchorId="2FBA690D" wp14:editId="5D600940">
            <wp:extent cx="5486400" cy="3526790"/>
            <wp:effectExtent l="0" t="0" r="0" b="16510"/>
            <wp:docPr id="12" name="Gráfico 12">
              <a:extLst xmlns:a="http://schemas.openxmlformats.org/drawingml/2006/main">
                <a:ext uri="{FF2B5EF4-FFF2-40B4-BE49-F238E27FC236}">
                  <a16:creationId xmlns:a16="http://schemas.microsoft.com/office/drawing/2014/main" id="{5D8BCA70-E109-4308-B17F-79518F1729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C23EC" w:rsidRPr="00FA63AC" w:rsidRDefault="002915F3" w:rsidP="002915F3">
      <w:pPr>
        <w:keepNext/>
        <w:tabs>
          <w:tab w:val="num" w:pos="1499"/>
        </w:tabs>
        <w:suppressAutoHyphens/>
        <w:spacing w:before="120"/>
        <w:jc w:val="both"/>
        <w:outlineLvl w:val="3"/>
        <w:rPr>
          <w:bCs/>
          <w:lang w:eastAsia="es-ES"/>
        </w:rPr>
      </w:pPr>
      <w:r w:rsidRPr="00FA63AC">
        <w:rPr>
          <w:bCs/>
          <w:lang w:eastAsia="es-ES"/>
        </w:rPr>
        <w:t>Fonte: IBGE – PNAD Continua 2017</w:t>
      </w:r>
    </w:p>
    <w:p w:rsidR="004C23EC" w:rsidRPr="00FA63AC" w:rsidRDefault="004C23EC" w:rsidP="00B15F9C">
      <w:pPr>
        <w:pStyle w:val="Heading1"/>
        <w:numPr>
          <w:ilvl w:val="0"/>
          <w:numId w:val="2"/>
        </w:numPr>
        <w:rPr>
          <w:lang w:eastAsia="es-ES"/>
        </w:rPr>
      </w:pPr>
      <w:bookmarkStart w:id="9" w:name="_Toc503777173"/>
      <w:r w:rsidRPr="00FA63AC">
        <w:rPr>
          <w:lang w:eastAsia="es-ES"/>
        </w:rPr>
        <w:t>A Situação Fiscal</w:t>
      </w:r>
      <w:bookmarkEnd w:id="9"/>
    </w:p>
    <w:p w:rsidR="004C23EC" w:rsidRPr="00FA63AC" w:rsidRDefault="004C23EC" w:rsidP="004C23EC">
      <w:pPr>
        <w:pStyle w:val="ListParagraph"/>
        <w:keepNext/>
        <w:suppressAutoHyphens/>
        <w:spacing w:before="120"/>
        <w:ind w:left="1440"/>
        <w:jc w:val="both"/>
        <w:outlineLvl w:val="3"/>
        <w:rPr>
          <w:rFonts w:ascii="Arial" w:hAnsi="Arial" w:cs="Arial"/>
          <w:b/>
          <w:bCs/>
          <w:sz w:val="28"/>
          <w:szCs w:val="28"/>
          <w:lang w:eastAsia="es-ES"/>
        </w:rPr>
      </w:pP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 Estado d</w:t>
      </w:r>
      <w:r w:rsidR="00E71D77" w:rsidRPr="00FA63AC">
        <w:rPr>
          <w:bCs/>
          <w:lang w:eastAsia="es-ES"/>
        </w:rPr>
        <w:t>e Pernambuco</w:t>
      </w:r>
      <w:r w:rsidRPr="00FA63AC">
        <w:rPr>
          <w:bCs/>
          <w:lang w:eastAsia="es-ES"/>
        </w:rPr>
        <w:t xml:space="preserve">, embora em </w:t>
      </w:r>
      <w:r w:rsidR="00F21C35" w:rsidRPr="00FA63AC">
        <w:rPr>
          <w:bCs/>
          <w:lang w:eastAsia="es-ES"/>
        </w:rPr>
        <w:t>melhor condição que muitos dos E</w:t>
      </w:r>
      <w:r w:rsidRPr="00FA63AC">
        <w:rPr>
          <w:bCs/>
          <w:lang w:eastAsia="es-ES"/>
        </w:rPr>
        <w:t xml:space="preserve">stados brasileiros, </w:t>
      </w:r>
      <w:r w:rsidR="00E71D77" w:rsidRPr="00FA63AC">
        <w:rPr>
          <w:bCs/>
          <w:lang w:eastAsia="es-ES"/>
        </w:rPr>
        <w:t xml:space="preserve">experimentou nos últimos anos </w:t>
      </w:r>
      <w:r w:rsidRPr="00FA63AC">
        <w:rPr>
          <w:bCs/>
          <w:lang w:eastAsia="es-ES"/>
        </w:rPr>
        <w:t xml:space="preserve">uma deterioração da sua situação fiscal, como atesta a evolução dos resultados orçamentários e primários nos últimos anos, apresentados no gráfico abaixo. O Gráfico 4 mostra que o resultado primário, como percentual do PIB estadual, </w:t>
      </w:r>
      <w:r w:rsidR="002E4FF3" w:rsidRPr="00FA63AC">
        <w:rPr>
          <w:bCs/>
          <w:lang w:eastAsia="es-ES"/>
        </w:rPr>
        <w:t xml:space="preserve">veio </w:t>
      </w:r>
      <w:r w:rsidR="000374C2" w:rsidRPr="00FA63AC">
        <w:rPr>
          <w:bCs/>
          <w:lang w:eastAsia="es-ES"/>
        </w:rPr>
        <w:t xml:space="preserve">caindo desde a crise de 2010, chegando a um déficit de 1,4%em 2014, com leve recuperação em 2015 e 2016.  </w:t>
      </w: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Estes resultados derivam do menor crescimento das receitas do que o crescimento das despesas, especialmente em momentos de redução da atividade econômica </w:t>
      </w:r>
      <w:r w:rsidRPr="00FA63AC">
        <w:rPr>
          <w:bCs/>
          <w:lang w:eastAsia="es-ES"/>
        </w:rPr>
        <w:lastRenderedPageBreak/>
        <w:t xml:space="preserve">que impacta imediatamente as receitas enquanto as despesas são substancialmente rígidas. </w:t>
      </w:r>
    </w:p>
    <w:p w:rsidR="004C23EC" w:rsidRPr="00FA63AC" w:rsidRDefault="004C23EC" w:rsidP="004C23EC">
      <w:pPr>
        <w:pStyle w:val="ListParagraph"/>
        <w:keepNext/>
        <w:suppressAutoHyphens/>
        <w:spacing w:before="120"/>
        <w:ind w:left="851"/>
        <w:jc w:val="both"/>
        <w:outlineLvl w:val="3"/>
        <w:rPr>
          <w:bCs/>
          <w:lang w:eastAsia="es-ES"/>
        </w:rPr>
      </w:pPr>
    </w:p>
    <w:p w:rsidR="00B77725" w:rsidRPr="00FA63AC" w:rsidRDefault="00B77725" w:rsidP="004C23EC">
      <w:pPr>
        <w:pStyle w:val="ListParagraph"/>
        <w:keepNext/>
        <w:suppressAutoHyphens/>
        <w:spacing w:before="120"/>
        <w:ind w:left="851"/>
        <w:jc w:val="both"/>
        <w:outlineLvl w:val="3"/>
        <w:rPr>
          <w:bCs/>
          <w:lang w:eastAsia="es-ES"/>
        </w:rPr>
      </w:pPr>
      <w:r w:rsidRPr="00FA63AC">
        <w:rPr>
          <w:noProof/>
        </w:rPr>
        <w:drawing>
          <wp:inline distT="0" distB="0" distL="0" distR="0" wp14:anchorId="10F0480D" wp14:editId="06E1053C">
            <wp:extent cx="5113020" cy="2588895"/>
            <wp:effectExtent l="0" t="0" r="11430" b="1905"/>
            <wp:docPr id="13" name="Gráfico 13">
              <a:extLst xmlns:a="http://schemas.openxmlformats.org/drawingml/2006/main">
                <a:ext uri="{FF2B5EF4-FFF2-40B4-BE49-F238E27FC236}">
                  <a16:creationId xmlns:a16="http://schemas.microsoft.com/office/drawing/2014/main" id="{A62A993C-9E05-40DF-BC69-22D260144A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C23EC" w:rsidRPr="00FA63AC" w:rsidRDefault="002915F3" w:rsidP="004C23EC">
      <w:pPr>
        <w:pStyle w:val="ListParagraph"/>
        <w:keepNext/>
        <w:suppressAutoHyphens/>
        <w:spacing w:before="120"/>
        <w:ind w:left="851"/>
        <w:jc w:val="both"/>
        <w:outlineLvl w:val="3"/>
        <w:rPr>
          <w:bCs/>
          <w:lang w:eastAsia="es-ES"/>
        </w:rPr>
      </w:pPr>
      <w:r w:rsidRPr="00FA63AC">
        <w:rPr>
          <w:bCs/>
          <w:lang w:eastAsia="es-ES"/>
        </w:rPr>
        <w:t>Fonte: SEFAZ-PE 2017</w:t>
      </w:r>
    </w:p>
    <w:p w:rsidR="004C23EC" w:rsidRPr="00FA63AC" w:rsidRDefault="004C23EC" w:rsidP="004C23EC">
      <w:pPr>
        <w:pStyle w:val="ListParagraph"/>
        <w:keepNext/>
        <w:suppressAutoHyphens/>
        <w:spacing w:before="120"/>
        <w:ind w:left="851"/>
        <w:jc w:val="both"/>
        <w:outlineLvl w:val="3"/>
        <w:rPr>
          <w:bCs/>
          <w:lang w:eastAsia="es-ES"/>
        </w:rPr>
      </w:pP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É importante notar que o governo d</w:t>
      </w:r>
      <w:r w:rsidR="00D52AE0" w:rsidRPr="00FA63AC">
        <w:rPr>
          <w:bCs/>
          <w:lang w:eastAsia="es-ES"/>
        </w:rPr>
        <w:t>e Pernambuco</w:t>
      </w:r>
      <w:r w:rsidRPr="00FA63AC">
        <w:rPr>
          <w:bCs/>
          <w:lang w:eastAsia="es-ES"/>
        </w:rPr>
        <w:t xml:space="preserve"> continua dependente de receitas de transferências sobre as quais ele não tem governança, embora esta dependência tenha</w:t>
      </w:r>
      <w:r w:rsidR="00F21C35" w:rsidRPr="00FA63AC">
        <w:rPr>
          <w:bCs/>
          <w:lang w:eastAsia="es-ES"/>
        </w:rPr>
        <w:t xml:space="preserve"> se</w:t>
      </w:r>
      <w:r w:rsidRPr="00FA63AC">
        <w:rPr>
          <w:bCs/>
          <w:lang w:eastAsia="es-ES"/>
        </w:rPr>
        <w:t xml:space="preserve"> reduzido um pouco no tempo. </w:t>
      </w:r>
      <w:r w:rsidR="001D3DF7" w:rsidRPr="00FA63AC">
        <w:rPr>
          <w:bCs/>
          <w:lang w:eastAsia="es-ES"/>
        </w:rPr>
        <w:t xml:space="preserve">No período de dez anos, entre 2007 e 2016, </w:t>
      </w:r>
      <w:r w:rsidRPr="00FA63AC">
        <w:rPr>
          <w:bCs/>
          <w:lang w:eastAsia="es-ES"/>
        </w:rPr>
        <w:t xml:space="preserve">as transferências correntes representaram, em média, </w:t>
      </w:r>
      <w:r w:rsidR="001D3DF7" w:rsidRPr="00FA63AC">
        <w:rPr>
          <w:bCs/>
          <w:lang w:eastAsia="es-ES"/>
        </w:rPr>
        <w:t>37</w:t>
      </w:r>
      <w:r w:rsidRPr="00FA63AC">
        <w:rPr>
          <w:bCs/>
          <w:lang w:eastAsia="es-ES"/>
        </w:rPr>
        <w:t xml:space="preserve">% da receita corrente, </w:t>
      </w:r>
      <w:r w:rsidR="001D3DF7" w:rsidRPr="00FA63AC">
        <w:rPr>
          <w:bCs/>
          <w:lang w:eastAsia="es-ES"/>
        </w:rPr>
        <w:t xml:space="preserve">variando entre um máximo de 40,1% em 2008 e um mínimo de 34,5% em 2015. </w:t>
      </w:r>
      <w:r w:rsidRPr="00FA63AC">
        <w:rPr>
          <w:bCs/>
          <w:lang w:eastAsia="es-ES"/>
        </w:rPr>
        <w:t xml:space="preserve">O crescimento da receita tributária (própria) depende em grande parte do crescimento da arrecadação do ICMS, mesmo que a contribuição do ICMS para o total da Receita Tributária tenha caído nos últimos tempos. O Gráfico 5 mostra </w:t>
      </w:r>
      <w:r w:rsidRPr="00FA63AC">
        <w:rPr>
          <w:bCs/>
          <w:lang w:eastAsia="es-ES"/>
        </w:rPr>
        <w:lastRenderedPageBreak/>
        <w:t xml:space="preserve">que, mesmo assim, o ICMS ainda representa </w:t>
      </w:r>
      <w:r w:rsidR="001D3DF7" w:rsidRPr="00FA63AC">
        <w:rPr>
          <w:bCs/>
          <w:lang w:eastAsia="es-ES"/>
        </w:rPr>
        <w:t xml:space="preserve">um pouco mais de </w:t>
      </w:r>
      <w:r w:rsidRPr="00FA63AC">
        <w:rPr>
          <w:bCs/>
          <w:lang w:eastAsia="es-ES"/>
        </w:rPr>
        <w:t>80% da Receita Tributária d</w:t>
      </w:r>
      <w:r w:rsidR="001D3DF7" w:rsidRPr="00FA63AC">
        <w:rPr>
          <w:bCs/>
          <w:lang w:eastAsia="es-ES"/>
        </w:rPr>
        <w:t>e Pernambuco</w:t>
      </w:r>
      <w:r w:rsidRPr="00FA63AC">
        <w:rPr>
          <w:bCs/>
          <w:lang w:eastAsia="es-ES"/>
        </w:rPr>
        <w:t>, e p</w:t>
      </w:r>
      <w:r w:rsidR="001D3DF7" w:rsidRPr="00FA63AC">
        <w:rPr>
          <w:bCs/>
          <w:lang w:eastAsia="es-ES"/>
        </w:rPr>
        <w:t xml:space="preserve">or volta </w:t>
      </w:r>
      <w:r w:rsidRPr="00FA63AC">
        <w:rPr>
          <w:bCs/>
          <w:lang w:eastAsia="es-ES"/>
        </w:rPr>
        <w:t xml:space="preserve">de </w:t>
      </w:r>
      <w:r w:rsidR="001D3DF7" w:rsidRPr="00FA63AC">
        <w:rPr>
          <w:bCs/>
          <w:lang w:eastAsia="es-ES"/>
        </w:rPr>
        <w:t>4</w:t>
      </w:r>
      <w:r w:rsidRPr="00FA63AC">
        <w:rPr>
          <w:bCs/>
          <w:lang w:eastAsia="es-ES"/>
        </w:rPr>
        <w:t xml:space="preserve">0% da Receita Total. </w:t>
      </w: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Desta forma, o aumento da Receita Própria é fundamental para a gestão do </w:t>
      </w:r>
      <w:r w:rsidR="00F21C35" w:rsidRPr="00FA63AC">
        <w:rPr>
          <w:bCs/>
          <w:lang w:eastAsia="es-ES"/>
        </w:rPr>
        <w:t>E</w:t>
      </w:r>
      <w:r w:rsidRPr="00FA63AC">
        <w:rPr>
          <w:bCs/>
          <w:lang w:eastAsia="es-ES"/>
        </w:rPr>
        <w:t xml:space="preserve">stado, especialmente com a crescente demanda por serviços públicos em um </w:t>
      </w:r>
      <w:r w:rsidR="00F21C35" w:rsidRPr="00FA63AC">
        <w:rPr>
          <w:bCs/>
          <w:lang w:eastAsia="es-ES"/>
        </w:rPr>
        <w:t>E</w:t>
      </w:r>
      <w:r w:rsidRPr="00FA63AC">
        <w:rPr>
          <w:bCs/>
          <w:lang w:eastAsia="es-ES"/>
        </w:rPr>
        <w:t>stado com indicadores sociais que requerem maior investimento público.</w:t>
      </w:r>
    </w:p>
    <w:p w:rsidR="004C23EC" w:rsidRPr="00FA63AC" w:rsidRDefault="004C23EC" w:rsidP="004C23EC">
      <w:pPr>
        <w:keepNext/>
        <w:suppressAutoHyphens/>
        <w:spacing w:before="120"/>
        <w:jc w:val="both"/>
        <w:outlineLvl w:val="3"/>
        <w:rPr>
          <w:bCs/>
          <w:lang w:eastAsia="es-ES"/>
        </w:rPr>
      </w:pPr>
    </w:p>
    <w:p w:rsidR="004C23EC" w:rsidRPr="00FA63AC" w:rsidRDefault="000374C2" w:rsidP="004C23EC">
      <w:pPr>
        <w:keepNext/>
        <w:suppressAutoHyphens/>
        <w:spacing w:before="120"/>
        <w:ind w:left="284"/>
        <w:jc w:val="both"/>
        <w:outlineLvl w:val="3"/>
        <w:rPr>
          <w:bCs/>
          <w:lang w:eastAsia="es-ES"/>
        </w:rPr>
      </w:pPr>
      <w:r w:rsidRPr="00FA63AC">
        <w:rPr>
          <w:noProof/>
        </w:rPr>
        <w:drawing>
          <wp:inline distT="0" distB="0" distL="0" distR="0" wp14:anchorId="02E19E52" wp14:editId="24835BB3">
            <wp:extent cx="4983486" cy="3177540"/>
            <wp:effectExtent l="0" t="0" r="7620" b="3810"/>
            <wp:docPr id="1" name="Gráfico 1">
              <a:extLst xmlns:a="http://schemas.openxmlformats.org/drawingml/2006/main">
                <a:ext uri="{FF2B5EF4-FFF2-40B4-BE49-F238E27FC236}">
                  <a16:creationId xmlns:a16="http://schemas.microsoft.com/office/drawing/2014/main" id="{2CBA9F8C-15B5-4EDE-BEBF-CC39363CEC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C23EC" w:rsidRPr="00FA63AC" w:rsidRDefault="002915F3" w:rsidP="004C23EC">
      <w:pPr>
        <w:keepNext/>
        <w:suppressAutoHyphens/>
        <w:spacing w:before="120"/>
        <w:ind w:left="851"/>
        <w:jc w:val="both"/>
        <w:outlineLvl w:val="3"/>
        <w:rPr>
          <w:bCs/>
          <w:lang w:eastAsia="es-ES"/>
        </w:rPr>
      </w:pPr>
      <w:r w:rsidRPr="00FA63AC">
        <w:rPr>
          <w:bCs/>
          <w:lang w:eastAsia="es-ES"/>
        </w:rPr>
        <w:t>Fonte: SEFAZ-PE 2017</w:t>
      </w:r>
    </w:p>
    <w:p w:rsidR="004C23EC" w:rsidRPr="00FA63AC" w:rsidRDefault="004C23EC" w:rsidP="007266FB">
      <w:pPr>
        <w:pStyle w:val="ListParagraph"/>
        <w:keepNext/>
        <w:numPr>
          <w:ilvl w:val="1"/>
          <w:numId w:val="2"/>
        </w:numPr>
        <w:tabs>
          <w:tab w:val="clear" w:pos="995"/>
          <w:tab w:val="num" w:pos="851"/>
        </w:tabs>
        <w:suppressAutoHyphens/>
        <w:spacing w:before="120"/>
        <w:ind w:left="851" w:hanging="567"/>
        <w:jc w:val="both"/>
        <w:outlineLvl w:val="3"/>
        <w:rPr>
          <w:bCs/>
          <w:lang w:eastAsia="es-ES"/>
        </w:rPr>
      </w:pPr>
      <w:r w:rsidRPr="00FA63AC">
        <w:rPr>
          <w:bCs/>
          <w:lang w:eastAsia="es-ES"/>
        </w:rPr>
        <w:t>Despesas de investimento t</w:t>
      </w:r>
      <w:r w:rsidR="00F21C35" w:rsidRPr="00FA63AC">
        <w:rPr>
          <w:bCs/>
          <w:lang w:eastAsia="es-ES"/>
        </w:rPr>
        <w:t>ê</w:t>
      </w:r>
      <w:r w:rsidRPr="00FA63AC">
        <w:rPr>
          <w:bCs/>
          <w:lang w:eastAsia="es-ES"/>
        </w:rPr>
        <w:t xml:space="preserve">m sido a variável de ajuste nos três níveis de governo nos últimos anos. </w:t>
      </w:r>
      <w:r w:rsidR="000A79D3" w:rsidRPr="00FA63AC">
        <w:rPr>
          <w:bCs/>
          <w:lang w:eastAsia="es-ES"/>
        </w:rPr>
        <w:t>Em Pernambuco</w:t>
      </w:r>
      <w:r w:rsidRPr="00FA63AC">
        <w:rPr>
          <w:bCs/>
          <w:lang w:eastAsia="es-ES"/>
        </w:rPr>
        <w:t xml:space="preserve">, as despesas de investimento que chegaram a 16% do total das despesas em 2013, </w:t>
      </w:r>
      <w:r w:rsidR="000A79D3" w:rsidRPr="00FA63AC">
        <w:rPr>
          <w:bCs/>
          <w:lang w:eastAsia="es-ES"/>
        </w:rPr>
        <w:t>caíram</w:t>
      </w:r>
      <w:r w:rsidRPr="00FA63AC">
        <w:rPr>
          <w:bCs/>
          <w:lang w:eastAsia="es-ES"/>
        </w:rPr>
        <w:t xml:space="preserve"> substancialmente nos últimos anos, chegando a </w:t>
      </w:r>
      <w:r w:rsidR="000A79D3" w:rsidRPr="00FA63AC">
        <w:rPr>
          <w:bCs/>
          <w:lang w:eastAsia="es-ES"/>
        </w:rPr>
        <w:t xml:space="preserve">pouco mais de </w:t>
      </w:r>
      <w:r w:rsidRPr="00FA63AC">
        <w:rPr>
          <w:bCs/>
          <w:lang w:eastAsia="es-ES"/>
        </w:rPr>
        <w:t>7% da despesa total em 201</w:t>
      </w:r>
      <w:r w:rsidR="000A79D3" w:rsidRPr="00FA63AC">
        <w:rPr>
          <w:bCs/>
          <w:lang w:eastAsia="es-ES"/>
        </w:rPr>
        <w:t>6</w:t>
      </w:r>
      <w:r w:rsidR="001D3DF7" w:rsidRPr="00FA63AC">
        <w:rPr>
          <w:bCs/>
          <w:lang w:eastAsia="es-ES"/>
        </w:rPr>
        <w:t>.</w:t>
      </w:r>
      <w:r w:rsidRPr="00FA63AC">
        <w:rPr>
          <w:bCs/>
          <w:lang w:eastAsia="es-ES"/>
        </w:rPr>
        <w:t xml:space="preserve"> Ver Gráfico 6. </w:t>
      </w:r>
      <w:r w:rsidRPr="00FA63AC">
        <w:rPr>
          <w:bCs/>
          <w:lang w:eastAsia="es-ES"/>
        </w:rPr>
        <w:lastRenderedPageBreak/>
        <w:t>Adicionalmente, o pouco espaço fiscal dos últimos anos implicou em</w:t>
      </w:r>
      <w:r w:rsidR="00D52AE0" w:rsidRPr="00FA63AC">
        <w:rPr>
          <w:bCs/>
          <w:lang w:eastAsia="es-ES"/>
        </w:rPr>
        <w:t xml:space="preserve"> que</w:t>
      </w:r>
      <w:r w:rsidRPr="00FA63AC">
        <w:rPr>
          <w:bCs/>
          <w:lang w:eastAsia="es-ES"/>
        </w:rPr>
        <w:t xml:space="preserve"> grande parte do investimento fosse financiado através de operações de crédito.</w:t>
      </w:r>
    </w:p>
    <w:p w:rsidR="000A79D3" w:rsidRPr="00FA63AC" w:rsidRDefault="000A79D3" w:rsidP="000A79D3">
      <w:pPr>
        <w:keepNext/>
        <w:suppressAutoHyphens/>
        <w:spacing w:before="120"/>
        <w:ind w:left="284"/>
        <w:jc w:val="both"/>
        <w:outlineLvl w:val="3"/>
        <w:rPr>
          <w:bCs/>
          <w:lang w:eastAsia="es-ES"/>
        </w:rPr>
      </w:pPr>
      <w:r w:rsidRPr="00FA63AC">
        <w:rPr>
          <w:noProof/>
        </w:rPr>
        <w:drawing>
          <wp:inline distT="0" distB="0" distL="0" distR="0" wp14:anchorId="27888750" wp14:editId="459B1D0F">
            <wp:extent cx="5227320" cy="2750820"/>
            <wp:effectExtent l="0" t="0" r="11430" b="11430"/>
            <wp:docPr id="14" name="Gráfico 14">
              <a:extLst xmlns:a="http://schemas.openxmlformats.org/drawingml/2006/main">
                <a:ext uri="{FF2B5EF4-FFF2-40B4-BE49-F238E27FC236}">
                  <a16:creationId xmlns:a16="http://schemas.microsoft.com/office/drawing/2014/main" id="{C9BE56FF-A44E-48F5-A57D-44866F04C2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C23EC" w:rsidRPr="00FA63AC" w:rsidRDefault="00411EE5" w:rsidP="004C23EC">
      <w:pPr>
        <w:pStyle w:val="ListParagraph"/>
        <w:keepNext/>
        <w:tabs>
          <w:tab w:val="num" w:pos="1499"/>
        </w:tabs>
        <w:suppressAutoHyphens/>
        <w:spacing w:before="120"/>
        <w:ind w:left="851"/>
        <w:jc w:val="both"/>
        <w:outlineLvl w:val="3"/>
        <w:rPr>
          <w:bCs/>
          <w:lang w:eastAsia="es-ES"/>
        </w:rPr>
      </w:pPr>
      <w:r w:rsidRPr="00FA63AC">
        <w:rPr>
          <w:bCs/>
          <w:lang w:eastAsia="es-ES"/>
        </w:rPr>
        <w:t xml:space="preserve">Fonte: SEFAZ-PE </w:t>
      </w:r>
      <w:r w:rsidR="002915F3" w:rsidRPr="00FA63AC">
        <w:rPr>
          <w:bCs/>
          <w:lang w:eastAsia="es-ES"/>
        </w:rPr>
        <w:t>2017</w:t>
      </w:r>
    </w:p>
    <w:p w:rsidR="004C23EC" w:rsidRPr="00FA63AC" w:rsidRDefault="004C23EC" w:rsidP="004C23EC">
      <w:pPr>
        <w:pStyle w:val="ListParagraph"/>
        <w:keepNext/>
        <w:tabs>
          <w:tab w:val="num" w:pos="1499"/>
        </w:tabs>
        <w:suppressAutoHyphens/>
        <w:spacing w:before="120"/>
        <w:ind w:left="284"/>
        <w:jc w:val="both"/>
        <w:outlineLvl w:val="3"/>
        <w:rPr>
          <w:bCs/>
          <w:lang w:eastAsia="es-ES"/>
        </w:rPr>
      </w:pPr>
    </w:p>
    <w:p w:rsidR="004C23EC" w:rsidRPr="00FA63AC" w:rsidRDefault="004C23EC" w:rsidP="004C23EC">
      <w:pPr>
        <w:pStyle w:val="ListParagraph"/>
        <w:keepNext/>
        <w:suppressAutoHyphens/>
        <w:spacing w:before="120"/>
        <w:ind w:left="851"/>
        <w:jc w:val="both"/>
        <w:outlineLvl w:val="3"/>
        <w:rPr>
          <w:bCs/>
          <w:lang w:eastAsia="es-ES"/>
        </w:rPr>
      </w:pPr>
    </w:p>
    <w:p w:rsidR="004C23EC" w:rsidRPr="00FA63AC" w:rsidRDefault="004C23E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Para o governo do P</w:t>
      </w:r>
      <w:r w:rsidR="000A79D3" w:rsidRPr="00FA63AC">
        <w:rPr>
          <w:bCs/>
          <w:lang w:eastAsia="es-ES"/>
        </w:rPr>
        <w:t>ernambuco</w:t>
      </w:r>
      <w:r w:rsidRPr="00FA63AC">
        <w:rPr>
          <w:bCs/>
          <w:lang w:eastAsia="es-ES"/>
        </w:rPr>
        <w:t xml:space="preserve"> é fundamental aumentar o investimento. Para tanto é necessário expandir suas receitas próprias assim como melhorar a qualidade do gasto. O PROFISCO II, como discutido abaixo, ataca estas duas frentes.</w:t>
      </w:r>
    </w:p>
    <w:p w:rsidR="008B5BBD" w:rsidRPr="00FA63AC" w:rsidRDefault="008B5BBD" w:rsidP="007266FB">
      <w:pPr>
        <w:pStyle w:val="Heading1"/>
        <w:numPr>
          <w:ilvl w:val="0"/>
          <w:numId w:val="2"/>
        </w:numPr>
        <w:rPr>
          <w:lang w:eastAsia="es-ES"/>
        </w:rPr>
      </w:pPr>
      <w:bookmarkStart w:id="10" w:name="_Toc503777174"/>
      <w:r w:rsidRPr="00FA63AC">
        <w:rPr>
          <w:lang w:eastAsia="es-ES"/>
        </w:rPr>
        <w:t>O Programa</w:t>
      </w:r>
      <w:r w:rsidR="00AB5F60" w:rsidRPr="00FA63AC">
        <w:rPr>
          <w:lang w:eastAsia="es-ES"/>
        </w:rPr>
        <w:t xml:space="preserve"> PROFISCO II</w:t>
      </w:r>
      <w:bookmarkEnd w:id="10"/>
    </w:p>
    <w:p w:rsidR="0022604D" w:rsidRPr="00FA63AC" w:rsidRDefault="0022604D" w:rsidP="0022604D">
      <w:pPr>
        <w:pStyle w:val="ListParagraph"/>
        <w:keepNext/>
        <w:suppressAutoHyphens/>
        <w:spacing w:before="120"/>
        <w:ind w:left="1440"/>
        <w:jc w:val="both"/>
        <w:outlineLvl w:val="3"/>
        <w:rPr>
          <w:b/>
          <w:bCs/>
          <w:sz w:val="28"/>
          <w:szCs w:val="28"/>
          <w:lang w:eastAsia="es-ES"/>
        </w:rPr>
      </w:pPr>
    </w:p>
    <w:p w:rsidR="00274E2D" w:rsidRPr="00FA63AC" w:rsidRDefault="00CC26E5"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 Progra</w:t>
      </w:r>
      <w:r w:rsidR="00D85A93" w:rsidRPr="00FA63AC">
        <w:rPr>
          <w:bCs/>
          <w:lang w:eastAsia="es-ES"/>
        </w:rPr>
        <w:t>ma está divido em três componentes, a saber:</w:t>
      </w:r>
      <w:r w:rsidR="00BF574E" w:rsidRPr="00FA63AC">
        <w:rPr>
          <w:bCs/>
          <w:lang w:eastAsia="es-ES"/>
        </w:rPr>
        <w:t xml:space="preserve"> </w:t>
      </w:r>
      <w:r w:rsidR="000C3B6E" w:rsidRPr="00FA63AC">
        <w:rPr>
          <w:b/>
          <w:bCs/>
          <w:lang w:eastAsia="es-ES"/>
        </w:rPr>
        <w:t xml:space="preserve">Componente I - </w:t>
      </w:r>
      <w:r w:rsidR="00B044EF" w:rsidRPr="00FA63AC">
        <w:rPr>
          <w:b/>
          <w:bCs/>
          <w:lang w:eastAsia="es-ES"/>
        </w:rPr>
        <w:t>Gest</w:t>
      </w:r>
      <w:r w:rsidR="000C3B6E" w:rsidRPr="00FA63AC">
        <w:rPr>
          <w:b/>
          <w:bCs/>
          <w:lang w:eastAsia="es-ES"/>
        </w:rPr>
        <w:t>ão f</w:t>
      </w:r>
      <w:r w:rsidR="00B044EF" w:rsidRPr="00FA63AC">
        <w:rPr>
          <w:b/>
          <w:bCs/>
          <w:lang w:eastAsia="es-ES"/>
        </w:rPr>
        <w:t xml:space="preserve">azendária </w:t>
      </w:r>
      <w:r w:rsidR="000C3B6E" w:rsidRPr="00FA63AC">
        <w:rPr>
          <w:b/>
          <w:bCs/>
          <w:lang w:eastAsia="es-ES"/>
        </w:rPr>
        <w:t>e transparência fiscal</w:t>
      </w:r>
      <w:r w:rsidR="003C2BB3" w:rsidRPr="00FA63AC">
        <w:rPr>
          <w:b/>
          <w:bCs/>
          <w:lang w:eastAsia="es-ES"/>
        </w:rPr>
        <w:t xml:space="preserve"> (US$</w:t>
      </w:r>
      <w:r w:rsidR="00844F49" w:rsidRPr="00FA63AC">
        <w:rPr>
          <w:b/>
          <w:bCs/>
          <w:lang w:eastAsia="es-ES"/>
        </w:rPr>
        <w:t>1</w:t>
      </w:r>
      <w:r w:rsidR="00F21C35" w:rsidRPr="00FA63AC">
        <w:rPr>
          <w:b/>
          <w:bCs/>
          <w:lang w:eastAsia="es-ES"/>
        </w:rPr>
        <w:t>0</w:t>
      </w:r>
      <w:r w:rsidR="00844F49" w:rsidRPr="00FA63AC">
        <w:rPr>
          <w:b/>
          <w:bCs/>
          <w:lang w:eastAsia="es-ES"/>
        </w:rPr>
        <w:t>,</w:t>
      </w:r>
      <w:r w:rsidR="00A45B09" w:rsidRPr="00FA63AC">
        <w:rPr>
          <w:b/>
          <w:bCs/>
          <w:lang w:eastAsia="es-ES"/>
        </w:rPr>
        <w:t>94</w:t>
      </w:r>
      <w:r w:rsidR="00B044EF" w:rsidRPr="00FA63AC">
        <w:rPr>
          <w:b/>
          <w:bCs/>
          <w:lang w:eastAsia="es-ES"/>
        </w:rPr>
        <w:t xml:space="preserve"> mil</w:t>
      </w:r>
      <w:r w:rsidR="000C3B6E" w:rsidRPr="00FA63AC">
        <w:rPr>
          <w:b/>
          <w:bCs/>
          <w:lang w:eastAsia="es-ES"/>
        </w:rPr>
        <w:t>hões</w:t>
      </w:r>
      <w:r w:rsidR="00B044EF" w:rsidRPr="00FA63AC">
        <w:rPr>
          <w:b/>
          <w:bCs/>
          <w:lang w:eastAsia="es-ES"/>
        </w:rPr>
        <w:t>).</w:t>
      </w:r>
      <w:r w:rsidR="00B044EF" w:rsidRPr="00FA63AC">
        <w:rPr>
          <w:bCs/>
          <w:lang w:eastAsia="es-ES"/>
        </w:rPr>
        <w:t xml:space="preserve"> Este componente </w:t>
      </w:r>
      <w:r w:rsidR="002915CA" w:rsidRPr="00FA63AC">
        <w:rPr>
          <w:bCs/>
          <w:lang w:eastAsia="es-ES"/>
        </w:rPr>
        <w:t xml:space="preserve">está orientado a </w:t>
      </w:r>
      <w:r w:rsidR="00B35A30" w:rsidRPr="00FA63AC">
        <w:rPr>
          <w:bCs/>
          <w:lang w:eastAsia="es-ES"/>
        </w:rPr>
        <w:t xml:space="preserve">melhorar os processos corporativos relacionados com a governança da SEFAZ, sua gestão estratégica, de pessoas, da tecnologia e das aquisições, e a transparência e a cidadania fiscal, </w:t>
      </w:r>
      <w:r w:rsidR="002915CA" w:rsidRPr="00FA63AC">
        <w:rPr>
          <w:bCs/>
          <w:lang w:eastAsia="es-ES"/>
        </w:rPr>
        <w:t xml:space="preserve">através da implantação (i) </w:t>
      </w:r>
      <w:r w:rsidR="00D70A23" w:rsidRPr="00FA63AC">
        <w:rPr>
          <w:bCs/>
          <w:lang w:eastAsia="es-ES"/>
        </w:rPr>
        <w:t>de ferramenta para acompanhamento em tempo real do planejamento estratégico e execução dos projetos da Sefaz, contemplando os mapas setoriais</w:t>
      </w:r>
      <w:r w:rsidR="002915CA" w:rsidRPr="00FA63AC">
        <w:rPr>
          <w:bCs/>
          <w:lang w:eastAsia="es-ES"/>
        </w:rPr>
        <w:t>; (ii</w:t>
      </w:r>
      <w:r w:rsidR="00D70A23" w:rsidRPr="00FA63AC">
        <w:rPr>
          <w:bCs/>
          <w:lang w:eastAsia="es-ES"/>
        </w:rPr>
        <w:t>) de ferramenta de BI para compartilhamento das informações fazendárias com o nível estratégico do governo em um canal consolidador (Estação Digital)</w:t>
      </w:r>
      <w:r w:rsidR="002915CA" w:rsidRPr="00FA63AC">
        <w:rPr>
          <w:bCs/>
          <w:lang w:eastAsia="es-ES"/>
        </w:rPr>
        <w:t xml:space="preserve">; (iii) </w:t>
      </w:r>
      <w:r w:rsidR="00B35A30" w:rsidRPr="00FA63AC">
        <w:rPr>
          <w:bCs/>
          <w:lang w:eastAsia="es-ES"/>
        </w:rPr>
        <w:t xml:space="preserve">de  </w:t>
      </w:r>
      <w:r w:rsidR="00D70A23" w:rsidRPr="00FA63AC">
        <w:rPr>
          <w:bCs/>
          <w:lang w:eastAsia="es-ES"/>
        </w:rPr>
        <w:t xml:space="preserve">redesenho de processos de trabalho fazendários, contemplando processos da programação financeira e da gestão do gasto público, processo de reconhecimento de despesas a pagar (consumo e compras) – Atesto e processos administrativos e financeiros; (iv) </w:t>
      </w:r>
      <w:r w:rsidR="00B35A30" w:rsidRPr="00FA63AC">
        <w:rPr>
          <w:bCs/>
          <w:lang w:eastAsia="es-ES"/>
        </w:rPr>
        <w:t>de um n</w:t>
      </w:r>
      <w:r w:rsidR="00D70A23" w:rsidRPr="00FA63AC">
        <w:rPr>
          <w:bCs/>
          <w:lang w:eastAsia="es-ES"/>
        </w:rPr>
        <w:t>ovo Modelo de Gestão de pessoas implantado</w:t>
      </w:r>
      <w:r w:rsidR="00B35A30" w:rsidRPr="00FA63AC">
        <w:rPr>
          <w:bCs/>
          <w:lang w:eastAsia="es-ES"/>
        </w:rPr>
        <w:t xml:space="preserve"> compreendendo uma nova m</w:t>
      </w:r>
      <w:r w:rsidR="00D70A23" w:rsidRPr="00FA63AC">
        <w:rPr>
          <w:bCs/>
          <w:lang w:eastAsia="es-ES"/>
        </w:rPr>
        <w:t>etodologia para avaliação e dimensionamento da força de trabalho fazendária, contemplando o  regime de contratação, as competências necessárias e o impacto das mudanças de tecnologia e dos processos das áreas de negócio</w:t>
      </w:r>
      <w:r w:rsidR="00B35A30" w:rsidRPr="00FA63AC">
        <w:rPr>
          <w:bCs/>
          <w:lang w:eastAsia="es-ES"/>
        </w:rPr>
        <w:t xml:space="preserve"> e </w:t>
      </w:r>
      <w:r w:rsidR="00B35A30" w:rsidRPr="00FA63AC">
        <w:rPr>
          <w:bCs/>
          <w:lang w:eastAsia="es-ES"/>
        </w:rPr>
        <w:lastRenderedPageBreak/>
        <w:t>um p</w:t>
      </w:r>
      <w:r w:rsidR="00D70A23" w:rsidRPr="00FA63AC">
        <w:rPr>
          <w:bCs/>
          <w:lang w:eastAsia="es-ES"/>
        </w:rPr>
        <w:t>rograma de formação continuada implantado, contemplando a revisão e o desenvolvimento das trilhas de capacitação e a melhoria dos recursos metodológicos, tecnológicos e de infraestrutura da Escola Fazendária</w:t>
      </w:r>
      <w:r w:rsidR="00B35A30" w:rsidRPr="00FA63AC">
        <w:rPr>
          <w:bCs/>
          <w:lang w:eastAsia="es-ES"/>
        </w:rPr>
        <w:t xml:space="preserve">; (v) </w:t>
      </w:r>
      <w:r w:rsidR="00E35DD2" w:rsidRPr="00FA63AC">
        <w:rPr>
          <w:bCs/>
          <w:lang w:eastAsia="es-ES"/>
        </w:rPr>
        <w:t>da atualização da plataforma de tecnologia da informação e comunicação incluindo solução de proteção e recuperação de dados e informações, contemplando a proteção das informações que serão produzidas pela NFC-e, solução tecnológica para monitoramento dos serviços de TI, incluindo medidas de combate à cyber ataques  e infraestrutura de TI ampliada e atualizada</w:t>
      </w:r>
      <w:r w:rsidR="00736D27" w:rsidRPr="00FA63AC">
        <w:rPr>
          <w:bCs/>
          <w:lang w:eastAsia="es-ES"/>
        </w:rPr>
        <w:t>.</w:t>
      </w:r>
      <w:bookmarkStart w:id="11" w:name="_Hlk503121894"/>
      <w:r w:rsidR="00274E2D" w:rsidRPr="00FA63AC">
        <w:rPr>
          <w:bCs/>
          <w:lang w:eastAsia="es-ES"/>
        </w:rPr>
        <w:t xml:space="preserve"> </w:t>
      </w:r>
    </w:p>
    <w:p w:rsidR="00C7041E" w:rsidRPr="00FA63AC" w:rsidRDefault="00EC4C3E" w:rsidP="007266FB">
      <w:pPr>
        <w:pStyle w:val="ListParagraph"/>
        <w:keepNext/>
        <w:numPr>
          <w:ilvl w:val="1"/>
          <w:numId w:val="2"/>
        </w:numPr>
        <w:tabs>
          <w:tab w:val="num" w:pos="2970"/>
        </w:tabs>
        <w:suppressAutoHyphens/>
        <w:autoSpaceDE w:val="0"/>
        <w:autoSpaceDN w:val="0"/>
        <w:adjustRightInd w:val="0"/>
        <w:spacing w:before="120"/>
        <w:ind w:left="851" w:hanging="567"/>
        <w:jc w:val="both"/>
        <w:outlineLvl w:val="3"/>
        <w:rPr>
          <w:bCs/>
          <w:lang w:eastAsia="es-ES"/>
        </w:rPr>
      </w:pPr>
      <w:r w:rsidRPr="00FA63AC">
        <w:rPr>
          <w:rFonts w:ascii="Arial" w:eastAsia="Arial" w:hAnsi="Arial" w:cs="Arial"/>
          <w:b/>
          <w:color w:val="000000" w:themeColor="text1"/>
        </w:rPr>
        <w:t xml:space="preserve">Componente II. Administração tributária e </w:t>
      </w:r>
      <w:r w:rsidR="00D731BE" w:rsidRPr="00FA63AC">
        <w:rPr>
          <w:rFonts w:ascii="Arial" w:eastAsia="Arial" w:hAnsi="Arial" w:cs="Arial"/>
          <w:b/>
          <w:color w:val="000000" w:themeColor="text1"/>
        </w:rPr>
        <w:t xml:space="preserve">contencioso fiscal </w:t>
      </w:r>
      <w:bookmarkEnd w:id="11"/>
      <w:r w:rsidR="00D731BE" w:rsidRPr="00FA63AC">
        <w:rPr>
          <w:rFonts w:ascii="Arial" w:eastAsia="Arial" w:hAnsi="Arial" w:cs="Arial"/>
          <w:b/>
          <w:color w:val="000000" w:themeColor="text1"/>
        </w:rPr>
        <w:t>(US$1</w:t>
      </w:r>
      <w:r w:rsidR="00F21C35" w:rsidRPr="00FA63AC">
        <w:rPr>
          <w:rFonts w:ascii="Arial" w:eastAsia="Arial" w:hAnsi="Arial" w:cs="Arial"/>
          <w:b/>
          <w:color w:val="000000" w:themeColor="text1"/>
        </w:rPr>
        <w:t>6,</w:t>
      </w:r>
      <w:r w:rsidR="00A45B09" w:rsidRPr="00FA63AC">
        <w:rPr>
          <w:rFonts w:ascii="Arial" w:eastAsia="Arial" w:hAnsi="Arial" w:cs="Arial"/>
          <w:b/>
          <w:color w:val="000000" w:themeColor="text1"/>
        </w:rPr>
        <w:t>24</w:t>
      </w:r>
      <w:r w:rsidRPr="00FA63AC">
        <w:rPr>
          <w:rFonts w:ascii="Arial" w:eastAsia="Arial" w:hAnsi="Arial" w:cs="Arial"/>
          <w:b/>
          <w:color w:val="000000" w:themeColor="text1"/>
        </w:rPr>
        <w:t xml:space="preserve"> milhões).</w:t>
      </w:r>
      <w:r w:rsidRPr="00FA63AC">
        <w:rPr>
          <w:rFonts w:ascii="Arial" w:eastAsia="Arial" w:hAnsi="Arial" w:cs="Arial"/>
          <w:color w:val="000000" w:themeColor="text1"/>
        </w:rPr>
        <w:t xml:space="preserve"> </w:t>
      </w:r>
      <w:r w:rsidRPr="00FA63AC">
        <w:rPr>
          <w:bCs/>
          <w:lang w:eastAsia="es-ES"/>
        </w:rPr>
        <w:t>Este componente busca aumentar a arrecadação d</w:t>
      </w:r>
      <w:r w:rsidR="00B207EA" w:rsidRPr="00FA63AC">
        <w:rPr>
          <w:bCs/>
          <w:lang w:eastAsia="es-ES"/>
        </w:rPr>
        <w:t>as</w:t>
      </w:r>
      <w:r w:rsidRPr="00FA63AC">
        <w:rPr>
          <w:bCs/>
          <w:lang w:eastAsia="es-ES"/>
        </w:rPr>
        <w:t xml:space="preserve"> receitas próprias</w:t>
      </w:r>
      <w:r w:rsidR="008C33A6" w:rsidRPr="00FA63AC">
        <w:rPr>
          <w:bCs/>
          <w:lang w:eastAsia="es-ES"/>
        </w:rPr>
        <w:t>, simplifica</w:t>
      </w:r>
      <w:r w:rsidR="00A42DAF" w:rsidRPr="00FA63AC">
        <w:rPr>
          <w:bCs/>
          <w:lang w:eastAsia="es-ES"/>
        </w:rPr>
        <w:t>r o cumprimento</w:t>
      </w:r>
      <w:r w:rsidR="008C33A6" w:rsidRPr="00FA63AC">
        <w:rPr>
          <w:bCs/>
          <w:lang w:eastAsia="es-ES"/>
        </w:rPr>
        <w:t xml:space="preserve"> das obrigações tributárias e melhorar as relações com os contribuintes através (i) </w:t>
      </w:r>
      <w:bookmarkStart w:id="12" w:name="_Hlk503145912"/>
      <w:r w:rsidR="001C4E4F" w:rsidRPr="00FA63AC">
        <w:rPr>
          <w:bCs/>
          <w:lang w:eastAsia="es-ES"/>
        </w:rPr>
        <w:t xml:space="preserve">de um novo sistema para concessão, gestão e monitoramento dos incentivos fiscais implantado, contemplando a notificação automática por descumprimento das condições de concessão de incentivos; (ii) </w:t>
      </w:r>
      <w:r w:rsidR="006374D0" w:rsidRPr="00FA63AC">
        <w:rPr>
          <w:bCs/>
          <w:lang w:eastAsia="es-ES"/>
        </w:rPr>
        <w:t>da implantação de s</w:t>
      </w:r>
      <w:r w:rsidR="00194714" w:rsidRPr="00FA63AC">
        <w:rPr>
          <w:bCs/>
          <w:lang w:eastAsia="es-ES"/>
        </w:rPr>
        <w:t xml:space="preserve">istemas de </w:t>
      </w:r>
      <w:r w:rsidR="006374D0" w:rsidRPr="00FA63AC">
        <w:rPr>
          <w:bCs/>
          <w:lang w:eastAsia="es-ES"/>
        </w:rPr>
        <w:t>o</w:t>
      </w:r>
      <w:r w:rsidR="00194714" w:rsidRPr="00FA63AC">
        <w:rPr>
          <w:bCs/>
          <w:lang w:eastAsia="es-ES"/>
        </w:rPr>
        <w:t xml:space="preserve">brigações </w:t>
      </w:r>
      <w:r w:rsidR="006374D0" w:rsidRPr="00FA63AC">
        <w:rPr>
          <w:bCs/>
          <w:lang w:eastAsia="es-ES"/>
        </w:rPr>
        <w:t>t</w:t>
      </w:r>
      <w:r w:rsidR="00194714" w:rsidRPr="00FA63AC">
        <w:rPr>
          <w:bCs/>
          <w:lang w:eastAsia="es-ES"/>
        </w:rPr>
        <w:t xml:space="preserve">ributárias </w:t>
      </w:r>
      <w:r w:rsidR="006374D0" w:rsidRPr="00FA63AC">
        <w:rPr>
          <w:bCs/>
          <w:lang w:eastAsia="es-ES"/>
        </w:rPr>
        <w:t>incluindo a i</w:t>
      </w:r>
      <w:r w:rsidR="00194714" w:rsidRPr="00FA63AC">
        <w:rPr>
          <w:bCs/>
          <w:lang w:eastAsia="es-ES"/>
        </w:rPr>
        <w:t>ntegração com a REDESIM (Receita Federal, Junta Comercial e municípios)</w:t>
      </w:r>
      <w:r w:rsidR="006374D0" w:rsidRPr="00FA63AC">
        <w:rPr>
          <w:bCs/>
          <w:lang w:eastAsia="es-ES"/>
        </w:rPr>
        <w:t>, a c</w:t>
      </w:r>
      <w:r w:rsidR="00194714" w:rsidRPr="00FA63AC">
        <w:rPr>
          <w:bCs/>
          <w:lang w:eastAsia="es-ES"/>
        </w:rPr>
        <w:t>onsolidação de obrigações acessórias do SPED como única declaração</w:t>
      </w:r>
      <w:r w:rsidR="006374D0" w:rsidRPr="00FA63AC">
        <w:rPr>
          <w:bCs/>
          <w:lang w:eastAsia="es-ES"/>
        </w:rPr>
        <w:t xml:space="preserve"> e a i</w:t>
      </w:r>
      <w:r w:rsidR="00194714" w:rsidRPr="00FA63AC">
        <w:rPr>
          <w:bCs/>
          <w:lang w:eastAsia="es-ES"/>
        </w:rPr>
        <w:t>ntegração com o Portal Único de Comércio Exterior para o pagamento de impostos relacionados às importações e exportações</w:t>
      </w:r>
      <w:r w:rsidR="006374D0" w:rsidRPr="00FA63AC">
        <w:rPr>
          <w:bCs/>
          <w:lang w:eastAsia="es-ES"/>
        </w:rPr>
        <w:t>; (iii) um modelo de fiscalização das mercadorias em trânsito reestruturado, contemplando a criação do posto fiscal virtual de controle de mercadorias em trânsito (ePostoPE) e a ampliação da central de operações estratégicas e uma nova metodologia de análise de riscos dos contribuintes com a incorporação de novas  soluções de mineração de dados implantada; e (iv) implantação de uma nova sistemática de recuperação do crédito incluindo a sistematização da Régua de Cobrança, contemplando a criação  de novas estratégias e prazos para recuperação do crédito tributário, sistema de Gestão de Processos Fiscais (GPF) reestruturado, contemplando a parametrização das regras para  cálculo de juros e multas e o controle sobre os créditos não tributários, novo sistema de controle do cumprimento das decisões judiciais do contencioso tributário (AJ-Sefaz)  integrado com o Sistema de Automação Judicial - SAJ da PGE, sistema de restituição e ressarcimento tributário implantado e sistema de Automação Judicial - SAJ da PGE integrado ao Sistema de Gestão de Processos Fiscais (GPF) da SEFAZ, ao Sistema do Processo Administrativo Tributário eletrônico da SEFAZ (Pat-e) e ao Sistema do Tribunal de Justiça do Estado (PJ-e).</w:t>
      </w:r>
      <w:bookmarkStart w:id="13" w:name="_Toc494137326"/>
      <w:r w:rsidR="00C7041E" w:rsidRPr="00FA63AC">
        <w:rPr>
          <w:bCs/>
          <w:lang w:eastAsia="es-ES"/>
        </w:rPr>
        <w:t xml:space="preserve"> </w:t>
      </w:r>
      <w:bookmarkEnd w:id="12"/>
    </w:p>
    <w:p w:rsidR="00274E2D" w:rsidRPr="00FA63AC" w:rsidRDefault="00B057C6" w:rsidP="007266FB">
      <w:pPr>
        <w:pStyle w:val="ListParagraph"/>
        <w:keepNext/>
        <w:numPr>
          <w:ilvl w:val="1"/>
          <w:numId w:val="2"/>
        </w:numPr>
        <w:tabs>
          <w:tab w:val="num" w:pos="2970"/>
        </w:tabs>
        <w:suppressAutoHyphens/>
        <w:autoSpaceDE w:val="0"/>
        <w:autoSpaceDN w:val="0"/>
        <w:adjustRightInd w:val="0"/>
        <w:spacing w:before="120"/>
        <w:ind w:left="851" w:hanging="567"/>
        <w:jc w:val="both"/>
        <w:outlineLvl w:val="3"/>
        <w:rPr>
          <w:bCs/>
          <w:lang w:eastAsia="es-ES"/>
        </w:rPr>
      </w:pPr>
      <w:r w:rsidRPr="00FA63AC">
        <w:rPr>
          <w:rFonts w:ascii="Arial" w:eastAsia="Arial" w:hAnsi="Arial" w:cs="Arial"/>
          <w:b/>
          <w:color w:val="000000" w:themeColor="text1"/>
        </w:rPr>
        <w:t>Componente III. Administração financeira e gasto púb</w:t>
      </w:r>
      <w:r w:rsidR="007B44E3" w:rsidRPr="00FA63AC">
        <w:rPr>
          <w:rFonts w:ascii="Arial" w:eastAsia="Arial" w:hAnsi="Arial" w:cs="Arial"/>
          <w:b/>
          <w:color w:val="000000" w:themeColor="text1"/>
        </w:rPr>
        <w:t>lico (US$</w:t>
      </w:r>
      <w:r w:rsidR="00274E2D" w:rsidRPr="00FA63AC">
        <w:rPr>
          <w:rFonts w:ascii="Arial" w:eastAsia="Arial" w:hAnsi="Arial" w:cs="Arial"/>
          <w:b/>
          <w:color w:val="000000" w:themeColor="text1"/>
        </w:rPr>
        <w:t>16,</w:t>
      </w:r>
      <w:r w:rsidR="00A42DAF" w:rsidRPr="00FA63AC">
        <w:rPr>
          <w:rFonts w:ascii="Arial" w:eastAsia="Arial" w:hAnsi="Arial" w:cs="Arial"/>
          <w:b/>
          <w:color w:val="000000" w:themeColor="text1"/>
        </w:rPr>
        <w:t>6</w:t>
      </w:r>
      <w:r w:rsidR="006839BB" w:rsidRPr="00FA63AC">
        <w:rPr>
          <w:rFonts w:ascii="Arial" w:eastAsia="Arial" w:hAnsi="Arial" w:cs="Arial"/>
          <w:b/>
          <w:color w:val="000000" w:themeColor="text1"/>
        </w:rPr>
        <w:t>6</w:t>
      </w:r>
      <w:r w:rsidRPr="00FA63AC">
        <w:rPr>
          <w:rFonts w:ascii="Arial" w:eastAsia="Arial" w:hAnsi="Arial" w:cs="Arial"/>
          <w:b/>
          <w:color w:val="000000" w:themeColor="text1"/>
        </w:rPr>
        <w:t xml:space="preserve"> milhões).</w:t>
      </w:r>
      <w:r w:rsidRPr="00FA63AC">
        <w:rPr>
          <w:rFonts w:ascii="Arial" w:eastAsia="Arial" w:hAnsi="Arial" w:cs="Arial"/>
          <w:color w:val="000000" w:themeColor="text1"/>
        </w:rPr>
        <w:t xml:space="preserve"> </w:t>
      </w:r>
      <w:r w:rsidRPr="00FA63AC">
        <w:rPr>
          <w:bCs/>
          <w:lang w:eastAsia="es-ES"/>
        </w:rPr>
        <w:t>Este componente busca contribuir para a disciplina fiscal e aumento da eficiência e efetividade do gasto público</w:t>
      </w:r>
      <w:bookmarkEnd w:id="13"/>
      <w:r w:rsidR="00274E2D" w:rsidRPr="00FA63AC">
        <w:rPr>
          <w:bCs/>
          <w:lang w:eastAsia="es-ES"/>
        </w:rPr>
        <w:t xml:space="preserve"> através</w:t>
      </w:r>
      <w:r w:rsidR="00C7041E" w:rsidRPr="00FA63AC">
        <w:rPr>
          <w:bCs/>
          <w:lang w:eastAsia="es-ES"/>
        </w:rPr>
        <w:t xml:space="preserve"> da implantação de</w:t>
      </w:r>
      <w:r w:rsidR="00274E2D" w:rsidRPr="00FA63AC">
        <w:rPr>
          <w:bCs/>
          <w:lang w:eastAsia="es-ES"/>
        </w:rPr>
        <w:t>: (i) Novo Modelo de Gestão dos recursos financeiros incluindo Fluxo de Caixa Automatizado, contemplando sistema para administração do fluxo de caixa da conta única do Estado, processo de Validação das Contas a Pagar Automatizado, c</w:t>
      </w:r>
      <w:r w:rsidR="00C7041E" w:rsidRPr="00FA63AC">
        <w:rPr>
          <w:bCs/>
          <w:lang w:eastAsia="es-ES"/>
        </w:rPr>
        <w:t>om</w:t>
      </w:r>
      <w:r w:rsidR="00274E2D" w:rsidRPr="00FA63AC">
        <w:rPr>
          <w:bCs/>
          <w:lang w:eastAsia="es-ES"/>
        </w:rPr>
        <w:t xml:space="preserve"> solução que possibilite o registro, monitoramento e controle das notas fiscais/faturas de fornecedores</w:t>
      </w:r>
      <w:r w:rsidR="00C7041E" w:rsidRPr="00FA63AC">
        <w:rPr>
          <w:bCs/>
          <w:lang w:eastAsia="es-ES"/>
        </w:rPr>
        <w:t xml:space="preserve">; (ii) Sistema para Gestão de Transferências Voluntárias; (iii) Novo Modelo de gestão contábil-financeira da folha de pagamento e patrimônio incluindo Sistema de gestão de folha de pagamento, contemplando funcionalidades para a gestão de pessoas do Estado e integrado ao </w:t>
      </w:r>
      <w:r w:rsidR="00C7041E" w:rsidRPr="00FA63AC">
        <w:rPr>
          <w:bCs/>
          <w:lang w:eastAsia="es-ES"/>
        </w:rPr>
        <w:lastRenderedPageBreak/>
        <w:t>e-Fisco e um novo modelo de gestão de patrimônio e materiais implantado, contemplando sistema informatizado integrado ao e-Fisco e serviço de avaliação de imóvel; (iv) Módulo de cálculo da dívida pública implantado no e-Fisco; e (v) Gestão de  custos públicos incluindo Sistema de Informações de Custo (SIC-PE) implantado no e-Fisco com informações de consumo e Modulo Organizacional para Apuração de Custos implantado nos órgãos setoriais.</w:t>
      </w:r>
    </w:p>
    <w:p w:rsidR="000B1D5B" w:rsidRPr="00FA63AC" w:rsidRDefault="000B1D5B" w:rsidP="007266FB">
      <w:pPr>
        <w:pStyle w:val="Paragraph"/>
        <w:numPr>
          <w:ilvl w:val="1"/>
          <w:numId w:val="2"/>
        </w:numPr>
        <w:tabs>
          <w:tab w:val="num" w:pos="2970"/>
        </w:tabs>
        <w:autoSpaceDE w:val="0"/>
        <w:autoSpaceDN w:val="0"/>
        <w:adjustRightInd w:val="0"/>
        <w:ind w:left="851" w:hanging="567"/>
        <w:rPr>
          <w:bCs/>
          <w:szCs w:val="24"/>
          <w:lang w:eastAsia="es-ES"/>
        </w:rPr>
      </w:pPr>
      <w:bookmarkStart w:id="14" w:name="_Toc494137327"/>
      <w:bookmarkStart w:id="15" w:name="_Toc503776904"/>
      <w:bookmarkStart w:id="16" w:name="_Toc503777002"/>
      <w:bookmarkStart w:id="17" w:name="_Toc503777175"/>
      <w:r w:rsidRPr="00FA63AC">
        <w:rPr>
          <w:b/>
          <w:bCs/>
          <w:szCs w:val="24"/>
          <w:lang w:eastAsia="es-ES"/>
        </w:rPr>
        <w:t>Resultados esperados.</w:t>
      </w:r>
      <w:r w:rsidRPr="00FA63AC">
        <w:rPr>
          <w:bCs/>
          <w:szCs w:val="24"/>
          <w:lang w:eastAsia="es-ES"/>
        </w:rPr>
        <w:t xml:space="preserve"> (i)</w:t>
      </w:r>
      <w:r w:rsidR="00A42DAF" w:rsidRPr="00FA63AC">
        <w:rPr>
          <w:bCs/>
          <w:szCs w:val="24"/>
          <w:lang w:eastAsia="es-ES"/>
        </w:rPr>
        <w:t xml:space="preserve"> aumento da relação entre as metas do planejamento estratégico cumpridas e o total de metas planificadas</w:t>
      </w:r>
      <w:r w:rsidR="007B44E3" w:rsidRPr="00FA63AC">
        <w:rPr>
          <w:bCs/>
          <w:szCs w:val="24"/>
          <w:lang w:eastAsia="es-ES"/>
        </w:rPr>
        <w:t xml:space="preserve">; (ii) </w:t>
      </w:r>
      <w:r w:rsidR="00A42DAF" w:rsidRPr="00FA63AC">
        <w:rPr>
          <w:bCs/>
          <w:szCs w:val="24"/>
          <w:lang w:eastAsia="es-ES"/>
        </w:rPr>
        <w:t>diminuição da relação entre o custo para arrecadar e a arrecadação tributária;</w:t>
      </w:r>
      <w:r w:rsidRPr="00FA63AC">
        <w:rPr>
          <w:bCs/>
          <w:szCs w:val="24"/>
          <w:lang w:eastAsia="es-ES"/>
        </w:rPr>
        <w:t xml:space="preserve"> (iii) </w:t>
      </w:r>
      <w:r w:rsidR="00563520" w:rsidRPr="00FA63AC">
        <w:rPr>
          <w:bCs/>
          <w:szCs w:val="24"/>
          <w:lang w:eastAsia="es-ES"/>
        </w:rPr>
        <w:t xml:space="preserve">redução </w:t>
      </w:r>
      <w:r w:rsidR="00B15F9C" w:rsidRPr="00FA63AC">
        <w:rPr>
          <w:bCs/>
          <w:szCs w:val="24"/>
          <w:lang w:eastAsia="es-ES"/>
        </w:rPr>
        <w:t>da discrepância</w:t>
      </w:r>
      <w:r w:rsidRPr="00FA63AC">
        <w:rPr>
          <w:bCs/>
          <w:szCs w:val="24"/>
          <w:lang w:eastAsia="es-ES"/>
        </w:rPr>
        <w:t xml:space="preserve"> entre </w:t>
      </w:r>
      <w:r w:rsidR="00563520" w:rsidRPr="00FA63AC">
        <w:rPr>
          <w:bCs/>
          <w:szCs w:val="24"/>
          <w:lang w:eastAsia="es-ES"/>
        </w:rPr>
        <w:t>o orçamento planejado originalmente e o executado ao final do exercício</w:t>
      </w:r>
      <w:r w:rsidRPr="00FA63AC">
        <w:rPr>
          <w:bCs/>
          <w:szCs w:val="24"/>
          <w:lang w:eastAsia="es-ES"/>
        </w:rPr>
        <w:t>.</w:t>
      </w:r>
      <w:bookmarkEnd w:id="14"/>
      <w:bookmarkEnd w:id="15"/>
      <w:bookmarkEnd w:id="16"/>
      <w:bookmarkEnd w:id="17"/>
    </w:p>
    <w:p w:rsidR="008B5BBD" w:rsidRPr="00FA63AC" w:rsidRDefault="008B5BBD" w:rsidP="007266FB">
      <w:pPr>
        <w:pStyle w:val="Heading1"/>
        <w:numPr>
          <w:ilvl w:val="0"/>
          <w:numId w:val="2"/>
        </w:numPr>
        <w:spacing w:before="120"/>
        <w:ind w:firstLine="289"/>
        <w:rPr>
          <w:lang w:eastAsia="es-ES"/>
        </w:rPr>
      </w:pPr>
      <w:bookmarkStart w:id="18" w:name="_Toc503777176"/>
      <w:r w:rsidRPr="00FA63AC">
        <w:rPr>
          <w:lang w:eastAsia="es-ES"/>
        </w:rPr>
        <w:t>A análise econômica ex-ante</w:t>
      </w:r>
      <w:bookmarkEnd w:id="18"/>
    </w:p>
    <w:p w:rsidR="008B5BBD" w:rsidRPr="00FA63AC" w:rsidRDefault="008B5BBD" w:rsidP="00B207EA">
      <w:pPr>
        <w:pStyle w:val="ListParagraph"/>
        <w:keepNext/>
        <w:suppressAutoHyphens/>
        <w:ind w:left="1440"/>
        <w:jc w:val="both"/>
        <w:outlineLvl w:val="3"/>
        <w:rPr>
          <w:bCs/>
          <w:lang w:eastAsia="es-ES"/>
        </w:rPr>
      </w:pPr>
    </w:p>
    <w:p w:rsidR="00656A17" w:rsidRPr="00FA63AC" w:rsidRDefault="00715F54" w:rsidP="00656A17">
      <w:pPr>
        <w:pStyle w:val="ListParagraph"/>
        <w:keepNext/>
        <w:numPr>
          <w:ilvl w:val="1"/>
          <w:numId w:val="2"/>
        </w:numPr>
        <w:suppressAutoHyphens/>
        <w:spacing w:before="120"/>
        <w:ind w:left="851" w:hanging="567"/>
        <w:jc w:val="both"/>
        <w:outlineLvl w:val="3"/>
        <w:rPr>
          <w:bCs/>
          <w:lang w:eastAsia="es-ES"/>
        </w:rPr>
      </w:pPr>
      <w:r w:rsidRPr="00FA63AC">
        <w:rPr>
          <w:bCs/>
          <w:lang w:eastAsia="es-ES"/>
        </w:rPr>
        <w:t>A análise econômica ex-ante se circunscreve a uma análise Custo</w:t>
      </w:r>
      <w:r w:rsidRPr="00FA63AC">
        <w:rPr>
          <w:bCs/>
          <w:lang w:eastAsia="es-ES"/>
        </w:rPr>
        <w:noBreakHyphen/>
        <w:t>Benefício (C-B) visto que não se pretende medir os impactos do programa nas variáveis macroeconômicas do Estado como, por exemplo, o mercado de trabalho, mesmo porque estes impactos seriam marginais. Por exemplo, em uma análise econômica mais ampla não se poderia considerar um aumento de arrecadação de impostos como benefícios já que representaria uma perda para o contribuinte e o saldo seria nulo ou até mesmo negativo se considerado o efeito “deadweight loss”. No entanto, neste caso específico, o aumento da arrecadação não resulta de um aumento de impostos, mas de uma redução da evasão fiscal que reduz as distorções na economia, já que as empresas que sonegam impostos t</w:t>
      </w:r>
      <w:r w:rsidR="005A234B" w:rsidRPr="00FA63AC">
        <w:rPr>
          <w:bCs/>
          <w:lang w:eastAsia="es-ES"/>
        </w:rPr>
        <w:t>ê</w:t>
      </w:r>
      <w:r w:rsidRPr="00FA63AC">
        <w:rPr>
          <w:bCs/>
          <w:lang w:eastAsia="es-ES"/>
        </w:rPr>
        <w:t>m uma vantagem comparativa ilegal que distorce a competitividade econômica.  Assim, o aumento da arrecadação, resultante da redução da evasão fiscal, red</w:t>
      </w:r>
      <w:r w:rsidR="005A234B" w:rsidRPr="00FA63AC">
        <w:rPr>
          <w:bCs/>
          <w:lang w:eastAsia="es-ES"/>
        </w:rPr>
        <w:t>uz as distorções econômicas no E</w:t>
      </w:r>
      <w:r w:rsidRPr="00FA63AC">
        <w:rPr>
          <w:bCs/>
          <w:lang w:eastAsia="es-ES"/>
        </w:rPr>
        <w:t>stado e, ao mesmo tempo, amplia os fundos estatais para a prestação de serviços aos cidadãos. Em outras palavras, o aumento da arrecadação, neste caso, const</w:t>
      </w:r>
      <w:r w:rsidR="005A234B" w:rsidRPr="00FA63AC">
        <w:rPr>
          <w:bCs/>
          <w:lang w:eastAsia="es-ES"/>
        </w:rPr>
        <w:t>itui um claro benefício para o E</w:t>
      </w:r>
      <w:r w:rsidRPr="00FA63AC">
        <w:rPr>
          <w:bCs/>
          <w:lang w:eastAsia="es-ES"/>
        </w:rPr>
        <w:t>stado d</w:t>
      </w:r>
      <w:r w:rsidR="005A234B" w:rsidRPr="00FA63AC">
        <w:rPr>
          <w:bCs/>
          <w:lang w:eastAsia="es-ES"/>
        </w:rPr>
        <w:t>e</w:t>
      </w:r>
      <w:r w:rsidRPr="00FA63AC">
        <w:rPr>
          <w:bCs/>
          <w:lang w:eastAsia="es-ES"/>
        </w:rPr>
        <w:t xml:space="preserve"> Pernambuco. </w:t>
      </w:r>
    </w:p>
    <w:p w:rsidR="00656A17" w:rsidRPr="00FA63AC" w:rsidRDefault="00656A17" w:rsidP="00656A17">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Bobbio, E (2016) </w:t>
      </w:r>
      <w:r w:rsidR="00813D77" w:rsidRPr="00FA63AC">
        <w:rPr>
          <w:bCs/>
          <w:lang w:eastAsia="es-ES"/>
        </w:rPr>
        <w:t>discute o impacto da evasão fiscal nas taxas de crescimento de longo prazo. “</w:t>
      </w:r>
      <w:r w:rsidRPr="00FA63AC">
        <w:rPr>
          <w:bCs/>
          <w:lang w:eastAsia="es-ES"/>
        </w:rPr>
        <w:t xml:space="preserve">A vantagem de custo obtida por ﬁrmas com um escopo mais elevado para a evasão fiscal resulta em concorrência desleal, reduzindo os incentivos para inovar para todos as ﬁrmas. Ambos os canais deprimem a actividade inovadora das ﬁrmas na economia. Como resultado, há menos seleção em equilíbrio e a economia é povoada por uma maior fração de pequenas, menos produtivas e menos inovadoras ﬁrmas do que seria na ausência de evasão fiscal, reduzindo ainda mais a taxa de crescimento agregado ao longo da extensa margem. Além disso, uma fração maior de pequenas ﬁrms com um maior alcance para a evasão fiscal aumenta o grau de concorrência desleal, potencialmente desencadeando um ciclo vicioso em que o processo de crescimento freia e levam as ﬁrmas a  parar de inovar. Os exercícios contrafactuais com base numa versão calibrada do modelo sugerem que a acões fiscais para reducão da evasão teria aumentado a taxa de </w:t>
      </w:r>
      <w:r w:rsidRPr="00FA63AC">
        <w:rPr>
          <w:bCs/>
          <w:lang w:eastAsia="es-ES"/>
        </w:rPr>
        <w:lastRenderedPageBreak/>
        <w:t>crescimento a longo prazo de 0,9 para 1.1% em Itália, com referência ao período compreendido entre 1995 e 2006.</w:t>
      </w:r>
      <w:r w:rsidR="00813D77" w:rsidRPr="00FA63AC">
        <w:rPr>
          <w:bCs/>
          <w:lang w:eastAsia="es-ES"/>
        </w:rPr>
        <w:t>” (Tradução do autor).</w:t>
      </w:r>
      <w:r w:rsidR="00813D77" w:rsidRPr="00FA63AC">
        <w:rPr>
          <w:rStyle w:val="FootnoteReference"/>
          <w:bCs/>
          <w:lang w:eastAsia="es-ES"/>
        </w:rPr>
        <w:footnoteReference w:id="7"/>
      </w:r>
    </w:p>
    <w:p w:rsidR="00656A17" w:rsidRPr="00FA63AC" w:rsidRDefault="00656A17" w:rsidP="001B7438">
      <w:pPr>
        <w:pStyle w:val="ListParagraph"/>
        <w:keepNext/>
        <w:suppressAutoHyphens/>
        <w:spacing w:before="120"/>
        <w:ind w:left="851"/>
        <w:jc w:val="both"/>
        <w:outlineLvl w:val="3"/>
        <w:rPr>
          <w:bCs/>
          <w:lang w:eastAsia="es-ES"/>
        </w:rPr>
      </w:pPr>
    </w:p>
    <w:p w:rsidR="00715F54" w:rsidRPr="00FA63AC" w:rsidRDefault="00715F54"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Os custos de investimento e manutenção são medidos pelos preços de mercado.</w:t>
      </w:r>
      <w:r w:rsidRPr="00FA63AC">
        <w:rPr>
          <w:bCs/>
          <w:vertAlign w:val="superscript"/>
          <w:lang w:eastAsia="es-ES"/>
        </w:rPr>
        <w:footnoteReference w:id="8"/>
      </w:r>
      <w:r w:rsidRPr="00FA63AC">
        <w:rPr>
          <w:bCs/>
          <w:lang w:eastAsia="es-ES"/>
        </w:rPr>
        <w:t xml:space="preserve"> Esta opção está baseada no entendimento que, neste projeto, os preços de mercado refletem os custos sociais de oportunidade para os recursos. Desta maneira, se optou por elaborar uma análise C-B, estimando os custos e benefícios financeiros ex-ante. Adicionalmente, a maior probabilidade é que a aplicação de preços sombra reduziria os custos totais do investimento e manutenção. Aplicando os preços de mercado torna-se a avaliação mais conservadora, com taxas de retorno menores comparadas às que seriam alcançadas se preços sombras fossem aplicados.</w:t>
      </w:r>
    </w:p>
    <w:p w:rsidR="00B04062" w:rsidRPr="00FA63AC" w:rsidRDefault="00411A48"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Esta</w:t>
      </w:r>
      <w:r w:rsidR="00B04062" w:rsidRPr="00FA63AC">
        <w:rPr>
          <w:bCs/>
          <w:lang w:eastAsia="es-ES"/>
        </w:rPr>
        <w:t xml:space="preserve"> análise considera os custos</w:t>
      </w:r>
      <w:r w:rsidR="00F975FC" w:rsidRPr="00FA63AC">
        <w:rPr>
          <w:bCs/>
          <w:lang w:eastAsia="es-ES"/>
        </w:rPr>
        <w:t xml:space="preserve"> e benefícios financeiros para</w:t>
      </w:r>
      <w:r w:rsidR="00B04062" w:rsidRPr="00FA63AC">
        <w:rPr>
          <w:bCs/>
          <w:lang w:eastAsia="es-ES"/>
        </w:rPr>
        <w:t xml:space="preserve"> </w:t>
      </w:r>
      <w:r w:rsidR="00F975FC" w:rsidRPr="00FA63AC">
        <w:rPr>
          <w:bCs/>
          <w:lang w:eastAsia="es-ES"/>
        </w:rPr>
        <w:t>o governo do E</w:t>
      </w:r>
      <w:r w:rsidR="00585557" w:rsidRPr="00FA63AC">
        <w:rPr>
          <w:bCs/>
          <w:lang w:eastAsia="es-ES"/>
        </w:rPr>
        <w:t>stado d</w:t>
      </w:r>
      <w:r w:rsidR="009A65AE" w:rsidRPr="00FA63AC">
        <w:rPr>
          <w:bCs/>
          <w:lang w:eastAsia="es-ES"/>
        </w:rPr>
        <w:t>e Pernambuco</w:t>
      </w:r>
      <w:r w:rsidR="00F94635" w:rsidRPr="00FA63AC">
        <w:rPr>
          <w:bCs/>
          <w:lang w:eastAsia="es-ES"/>
        </w:rPr>
        <w:t>.</w:t>
      </w:r>
      <w:r w:rsidRPr="00FA63AC">
        <w:rPr>
          <w:bCs/>
          <w:lang w:eastAsia="es-ES"/>
        </w:rPr>
        <w:t xml:space="preserve"> Além do aumento de arrecadação, t</w:t>
      </w:r>
      <w:r w:rsidR="00B04062" w:rsidRPr="00FA63AC">
        <w:rPr>
          <w:bCs/>
          <w:lang w:eastAsia="es-ES"/>
        </w:rPr>
        <w:t xml:space="preserve">ambém se considera </w:t>
      </w:r>
      <w:r w:rsidR="009A65AE" w:rsidRPr="00FA63AC">
        <w:rPr>
          <w:bCs/>
          <w:lang w:eastAsia="es-ES"/>
        </w:rPr>
        <w:t xml:space="preserve">substanciais </w:t>
      </w:r>
      <w:r w:rsidR="00B04062" w:rsidRPr="00FA63AC">
        <w:rPr>
          <w:bCs/>
          <w:lang w:eastAsia="es-ES"/>
        </w:rPr>
        <w:t>economias para</w:t>
      </w:r>
      <w:r w:rsidR="00F975FC" w:rsidRPr="00FA63AC">
        <w:rPr>
          <w:bCs/>
          <w:lang w:eastAsia="es-ES"/>
        </w:rPr>
        <w:t xml:space="preserve"> o governo</w:t>
      </w:r>
      <w:r w:rsidR="00B04062" w:rsidRPr="00FA63AC">
        <w:rPr>
          <w:bCs/>
          <w:lang w:eastAsia="es-ES"/>
        </w:rPr>
        <w:t xml:space="preserve"> com</w:t>
      </w:r>
      <w:r w:rsidR="009A65AE" w:rsidRPr="00FA63AC">
        <w:rPr>
          <w:bCs/>
          <w:lang w:eastAsia="es-ES"/>
        </w:rPr>
        <w:t xml:space="preserve"> a adoção de um novo sistema de gestão da folha de pagamentos</w:t>
      </w:r>
      <w:r w:rsidR="00F94635" w:rsidRPr="00FA63AC">
        <w:rPr>
          <w:bCs/>
          <w:lang w:eastAsia="es-ES"/>
        </w:rPr>
        <w:t xml:space="preserve"> e novo sistema de pagamento a fornecedores</w:t>
      </w:r>
      <w:r w:rsidR="00D731BE" w:rsidRPr="00FA63AC">
        <w:rPr>
          <w:bCs/>
          <w:lang w:eastAsia="es-ES"/>
        </w:rPr>
        <w:t>.</w:t>
      </w:r>
      <w:r w:rsidR="00A2568A" w:rsidRPr="00FA63AC">
        <w:rPr>
          <w:bCs/>
          <w:lang w:eastAsia="es-ES"/>
        </w:rPr>
        <w:t xml:space="preserve"> </w:t>
      </w:r>
    </w:p>
    <w:p w:rsidR="00B043A7" w:rsidRPr="00FA63AC" w:rsidRDefault="00B043A7"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 universo tempor</w:t>
      </w:r>
      <w:r w:rsidR="00BF6194" w:rsidRPr="00FA63AC">
        <w:rPr>
          <w:bCs/>
          <w:lang w:eastAsia="es-ES"/>
        </w:rPr>
        <w:t>al é de dez anos a partir do iní</w:t>
      </w:r>
      <w:r w:rsidRPr="00FA63AC">
        <w:rPr>
          <w:bCs/>
          <w:lang w:eastAsia="es-ES"/>
        </w:rPr>
        <w:t xml:space="preserve">cio da execução </w:t>
      </w:r>
      <w:r w:rsidR="00BF6194" w:rsidRPr="00FA63AC">
        <w:rPr>
          <w:bCs/>
          <w:lang w:eastAsia="es-ES"/>
        </w:rPr>
        <w:t xml:space="preserve">do programa, independendo do </w:t>
      </w:r>
      <w:r w:rsidR="00A2568A" w:rsidRPr="00FA63AC">
        <w:rPr>
          <w:bCs/>
          <w:lang w:eastAsia="es-ES"/>
        </w:rPr>
        <w:t>começo</w:t>
      </w:r>
      <w:r w:rsidRPr="00FA63AC">
        <w:rPr>
          <w:bCs/>
          <w:lang w:eastAsia="es-ES"/>
        </w:rPr>
        <w:t xml:space="preserve"> especifico da execução em ano calendário. Assim, a </w:t>
      </w:r>
      <w:r w:rsidRPr="00FA63AC">
        <w:rPr>
          <w:bCs/>
          <w:lang w:eastAsia="es-ES"/>
        </w:rPr>
        <w:lastRenderedPageBreak/>
        <w:t>análise vai do ano 1 ao ano 10, que corresponderia aproximadamente aos anos 2018 e 2027, respectivamente.</w:t>
      </w:r>
    </w:p>
    <w:p w:rsidR="00B043A7" w:rsidRPr="00FA63AC" w:rsidRDefault="00B043A7"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Os custos incluídos são: </w:t>
      </w:r>
    </w:p>
    <w:p w:rsidR="005D58B6" w:rsidRPr="00FA63AC" w:rsidRDefault="00B043A7" w:rsidP="007266FB">
      <w:pPr>
        <w:pStyle w:val="ListParagraph"/>
        <w:keepNext/>
        <w:numPr>
          <w:ilvl w:val="2"/>
          <w:numId w:val="3"/>
        </w:numPr>
        <w:suppressAutoHyphens/>
        <w:spacing w:before="120"/>
        <w:jc w:val="both"/>
        <w:outlineLvl w:val="3"/>
        <w:rPr>
          <w:bCs/>
          <w:lang w:eastAsia="es-ES"/>
        </w:rPr>
      </w:pPr>
      <w:r w:rsidRPr="00FA63AC">
        <w:rPr>
          <w:bCs/>
          <w:lang w:eastAsia="es-ES"/>
        </w:rPr>
        <w:t>Custo de financiamento do programa de US$</w:t>
      </w:r>
      <w:r w:rsidR="009A65AE" w:rsidRPr="00FA63AC">
        <w:rPr>
          <w:bCs/>
          <w:lang w:eastAsia="es-ES"/>
        </w:rPr>
        <w:t xml:space="preserve"> </w:t>
      </w:r>
      <w:r w:rsidR="005A234B" w:rsidRPr="00FA63AC">
        <w:rPr>
          <w:bCs/>
          <w:lang w:eastAsia="es-ES"/>
        </w:rPr>
        <w:t xml:space="preserve">37,0 </w:t>
      </w:r>
      <w:r w:rsidR="00A65263" w:rsidRPr="00FA63AC">
        <w:rPr>
          <w:bCs/>
          <w:lang w:eastAsia="es-ES"/>
        </w:rPr>
        <w:t xml:space="preserve">milhões </w:t>
      </w:r>
      <w:r w:rsidR="005D58B6" w:rsidRPr="00FA63AC">
        <w:rPr>
          <w:bCs/>
          <w:lang w:eastAsia="es-ES"/>
        </w:rPr>
        <w:t>desembolsado</w:t>
      </w:r>
      <w:r w:rsidR="005A234B" w:rsidRPr="00FA63AC">
        <w:rPr>
          <w:bCs/>
          <w:lang w:eastAsia="es-ES"/>
        </w:rPr>
        <w:t>s</w:t>
      </w:r>
      <w:r w:rsidR="005D58B6" w:rsidRPr="00FA63AC">
        <w:rPr>
          <w:bCs/>
          <w:lang w:eastAsia="es-ES"/>
        </w:rPr>
        <w:t xml:space="preserve"> em cinco anos;</w:t>
      </w:r>
    </w:p>
    <w:p w:rsidR="00411A48" w:rsidRPr="00FA63AC" w:rsidRDefault="005D58B6" w:rsidP="007266FB">
      <w:pPr>
        <w:pStyle w:val="ListParagraph"/>
        <w:keepNext/>
        <w:numPr>
          <w:ilvl w:val="2"/>
          <w:numId w:val="3"/>
        </w:numPr>
        <w:suppressAutoHyphens/>
        <w:spacing w:before="120"/>
        <w:jc w:val="both"/>
        <w:outlineLvl w:val="3"/>
        <w:rPr>
          <w:bCs/>
          <w:lang w:eastAsia="es-ES"/>
        </w:rPr>
      </w:pPr>
      <w:r w:rsidRPr="00FA63AC">
        <w:rPr>
          <w:bCs/>
          <w:lang w:eastAsia="es-ES"/>
        </w:rPr>
        <w:t>Custo de contrapartida pelo Estado d</w:t>
      </w:r>
      <w:r w:rsidR="009A65AE" w:rsidRPr="00FA63AC">
        <w:rPr>
          <w:bCs/>
          <w:lang w:eastAsia="es-ES"/>
        </w:rPr>
        <w:t>e Pernambuco</w:t>
      </w:r>
      <w:r w:rsidRPr="00FA63AC">
        <w:rPr>
          <w:bCs/>
          <w:lang w:eastAsia="es-ES"/>
        </w:rPr>
        <w:t xml:space="preserve"> em um total de US$ </w:t>
      </w:r>
      <w:r w:rsidR="005A234B" w:rsidRPr="00FA63AC">
        <w:rPr>
          <w:bCs/>
          <w:lang w:eastAsia="es-ES"/>
        </w:rPr>
        <w:t>7</w:t>
      </w:r>
      <w:r w:rsidR="009A65AE" w:rsidRPr="00FA63AC">
        <w:rPr>
          <w:bCs/>
          <w:lang w:eastAsia="es-ES"/>
        </w:rPr>
        <w:t>,</w:t>
      </w:r>
      <w:r w:rsidR="005D135D" w:rsidRPr="00FA63AC">
        <w:rPr>
          <w:bCs/>
          <w:lang w:eastAsia="es-ES"/>
        </w:rPr>
        <w:t>4</w:t>
      </w:r>
      <w:r w:rsidRPr="00FA63AC">
        <w:rPr>
          <w:bCs/>
          <w:lang w:eastAsia="es-ES"/>
        </w:rPr>
        <w:t xml:space="preserve"> milhões desembolsado</w:t>
      </w:r>
      <w:r w:rsidR="005A234B" w:rsidRPr="00FA63AC">
        <w:rPr>
          <w:bCs/>
          <w:lang w:eastAsia="es-ES"/>
        </w:rPr>
        <w:t>s</w:t>
      </w:r>
      <w:r w:rsidRPr="00FA63AC">
        <w:rPr>
          <w:bCs/>
          <w:lang w:eastAsia="es-ES"/>
        </w:rPr>
        <w:t xml:space="preserve"> em cinco anos;</w:t>
      </w:r>
    </w:p>
    <w:p w:rsidR="005D58B6" w:rsidRPr="00FA63AC" w:rsidRDefault="00411A48" w:rsidP="007266FB">
      <w:pPr>
        <w:pStyle w:val="ListParagraph"/>
        <w:keepNext/>
        <w:numPr>
          <w:ilvl w:val="2"/>
          <w:numId w:val="3"/>
        </w:numPr>
        <w:suppressAutoHyphens/>
        <w:spacing w:before="120"/>
        <w:jc w:val="both"/>
        <w:outlineLvl w:val="3"/>
        <w:rPr>
          <w:bCs/>
          <w:lang w:eastAsia="es-ES"/>
        </w:rPr>
      </w:pPr>
      <w:r w:rsidRPr="00FA63AC">
        <w:rPr>
          <w:bCs/>
          <w:lang w:eastAsia="es-ES"/>
        </w:rPr>
        <w:t>Custos financeiros associados ao financiamento do programa: taxa de c</w:t>
      </w:r>
      <w:r w:rsidR="002F1B43" w:rsidRPr="00FA63AC">
        <w:rPr>
          <w:bCs/>
          <w:lang w:eastAsia="es-ES"/>
        </w:rPr>
        <w:t>rédito</w:t>
      </w:r>
      <w:r w:rsidRPr="00FA63AC">
        <w:rPr>
          <w:bCs/>
          <w:lang w:eastAsia="es-ES"/>
        </w:rPr>
        <w:t xml:space="preserve"> para valores não desembolsados e juros para valores desembolsados;</w:t>
      </w:r>
      <w:r w:rsidR="005D58B6" w:rsidRPr="00FA63AC">
        <w:rPr>
          <w:bCs/>
          <w:lang w:eastAsia="es-ES"/>
        </w:rPr>
        <w:t xml:space="preserve"> e</w:t>
      </w:r>
    </w:p>
    <w:p w:rsidR="005D58B6" w:rsidRPr="00FA63AC" w:rsidRDefault="005D58B6" w:rsidP="007266FB">
      <w:pPr>
        <w:pStyle w:val="ListParagraph"/>
        <w:keepNext/>
        <w:numPr>
          <w:ilvl w:val="2"/>
          <w:numId w:val="3"/>
        </w:numPr>
        <w:suppressAutoHyphens/>
        <w:spacing w:before="120"/>
        <w:jc w:val="both"/>
        <w:outlineLvl w:val="3"/>
        <w:rPr>
          <w:bCs/>
          <w:lang w:eastAsia="es-ES"/>
        </w:rPr>
      </w:pPr>
      <w:r w:rsidRPr="00FA63AC">
        <w:rPr>
          <w:bCs/>
          <w:lang w:eastAsia="es-ES"/>
        </w:rPr>
        <w:t>Custo de manutenção de sistemas depois de implantados e durante todo o período da avaliação.</w:t>
      </w:r>
    </w:p>
    <w:p w:rsidR="0030158A" w:rsidRPr="00FA63AC" w:rsidRDefault="005D58B6"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Os benefícios estão distribuídos em três áreas e</w:t>
      </w:r>
      <w:r w:rsidR="0030158A" w:rsidRPr="00FA63AC">
        <w:rPr>
          <w:bCs/>
          <w:lang w:eastAsia="es-ES"/>
        </w:rPr>
        <w:t>specíficas:</w:t>
      </w:r>
    </w:p>
    <w:p w:rsidR="0030158A" w:rsidRPr="00FA63AC" w:rsidRDefault="0030158A" w:rsidP="007266FB">
      <w:pPr>
        <w:pStyle w:val="ListParagraph"/>
        <w:keepNext/>
        <w:numPr>
          <w:ilvl w:val="2"/>
          <w:numId w:val="2"/>
        </w:numPr>
        <w:suppressAutoHyphens/>
        <w:spacing w:before="120"/>
        <w:ind w:left="1985"/>
        <w:jc w:val="both"/>
        <w:outlineLvl w:val="3"/>
        <w:rPr>
          <w:bCs/>
          <w:lang w:eastAsia="es-ES"/>
        </w:rPr>
      </w:pPr>
      <w:r w:rsidRPr="00FA63AC">
        <w:rPr>
          <w:bCs/>
          <w:lang w:eastAsia="es-ES"/>
        </w:rPr>
        <w:t>Aumento de arrecadação tributária;</w:t>
      </w:r>
    </w:p>
    <w:p w:rsidR="0030158A" w:rsidRPr="00FA63AC" w:rsidRDefault="0030158A" w:rsidP="007266FB">
      <w:pPr>
        <w:pStyle w:val="ListParagraph"/>
        <w:keepNext/>
        <w:numPr>
          <w:ilvl w:val="2"/>
          <w:numId w:val="2"/>
        </w:numPr>
        <w:suppressAutoHyphens/>
        <w:spacing w:before="120"/>
        <w:ind w:left="1985"/>
        <w:jc w:val="both"/>
        <w:outlineLvl w:val="3"/>
        <w:rPr>
          <w:bCs/>
          <w:lang w:eastAsia="es-ES"/>
        </w:rPr>
      </w:pPr>
      <w:r w:rsidRPr="00FA63AC">
        <w:rPr>
          <w:bCs/>
          <w:lang w:eastAsia="es-ES"/>
        </w:rPr>
        <w:t>Redução de custos</w:t>
      </w:r>
      <w:r w:rsidR="00FA5EDC" w:rsidRPr="00FA63AC">
        <w:rPr>
          <w:bCs/>
          <w:lang w:eastAsia="es-ES"/>
        </w:rPr>
        <w:t xml:space="preserve"> (tempo)</w:t>
      </w:r>
      <w:r w:rsidRPr="00FA63AC">
        <w:rPr>
          <w:bCs/>
          <w:lang w:eastAsia="es-ES"/>
        </w:rPr>
        <w:t xml:space="preserve"> para o contribuinte para cumprir suas obrigações tributárias;</w:t>
      </w:r>
    </w:p>
    <w:p w:rsidR="0030158A" w:rsidRPr="00FA63AC" w:rsidRDefault="0030158A" w:rsidP="007266FB">
      <w:pPr>
        <w:pStyle w:val="ListParagraph"/>
        <w:keepNext/>
        <w:numPr>
          <w:ilvl w:val="2"/>
          <w:numId w:val="2"/>
        </w:numPr>
        <w:suppressAutoHyphens/>
        <w:spacing w:before="120"/>
        <w:ind w:left="1985"/>
        <w:jc w:val="both"/>
        <w:outlineLvl w:val="3"/>
        <w:rPr>
          <w:bCs/>
          <w:lang w:eastAsia="es-ES"/>
        </w:rPr>
      </w:pPr>
      <w:r w:rsidRPr="00FA63AC">
        <w:rPr>
          <w:bCs/>
          <w:lang w:eastAsia="es-ES"/>
        </w:rPr>
        <w:t xml:space="preserve">Redução de custos para o </w:t>
      </w:r>
      <w:r w:rsidR="00CC7984" w:rsidRPr="00FA63AC">
        <w:rPr>
          <w:bCs/>
          <w:lang w:eastAsia="es-ES"/>
        </w:rPr>
        <w:t>governo</w:t>
      </w:r>
      <w:r w:rsidRPr="00FA63AC">
        <w:rPr>
          <w:bCs/>
          <w:lang w:eastAsia="es-ES"/>
        </w:rPr>
        <w:t xml:space="preserve"> </w:t>
      </w:r>
      <w:r w:rsidR="005837D2" w:rsidRPr="00FA63AC">
        <w:rPr>
          <w:bCs/>
          <w:lang w:eastAsia="es-ES"/>
        </w:rPr>
        <w:t>de Pernambuco</w:t>
      </w:r>
      <w:r w:rsidRPr="00FA63AC">
        <w:rPr>
          <w:bCs/>
          <w:lang w:eastAsia="es-ES"/>
        </w:rPr>
        <w:t xml:space="preserve"> na sua gestão fiscal.</w:t>
      </w:r>
    </w:p>
    <w:p w:rsidR="004875C1" w:rsidRPr="00FA63AC" w:rsidRDefault="004875C1"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Os custos, exceto os custos de manutenção foram calculados em dólares. Os custos de manutenção e os benefícios foram calculados em Reais e transformados em dólares usando uma taxa de c</w:t>
      </w:r>
      <w:r w:rsidR="00CC7984" w:rsidRPr="00FA63AC">
        <w:rPr>
          <w:bCs/>
          <w:lang w:eastAsia="es-ES"/>
        </w:rPr>
        <w:t>âmbio de R$3,3 = US$1 (Fonte: Pesquisa Focus do Banco Central com agentes do mercado financeiro – 1º de setembro de 2017 - taxa de câmbio média para 2018).</w:t>
      </w:r>
      <w:r w:rsidRPr="00FA63AC">
        <w:rPr>
          <w:bCs/>
          <w:lang w:eastAsia="es-ES"/>
        </w:rPr>
        <w:t xml:space="preserve"> </w:t>
      </w:r>
    </w:p>
    <w:p w:rsidR="00411A48" w:rsidRPr="00FA63AC" w:rsidRDefault="00411A48" w:rsidP="007266FB">
      <w:pPr>
        <w:pStyle w:val="Heading2"/>
        <w:numPr>
          <w:ilvl w:val="0"/>
          <w:numId w:val="9"/>
        </w:numPr>
        <w:rPr>
          <w:lang w:eastAsia="es-ES"/>
        </w:rPr>
      </w:pPr>
      <w:bookmarkStart w:id="20" w:name="_Toc503777177"/>
      <w:r w:rsidRPr="00FA63AC">
        <w:rPr>
          <w:lang w:eastAsia="es-ES"/>
        </w:rPr>
        <w:t>Custos</w:t>
      </w:r>
      <w:bookmarkEnd w:id="20"/>
    </w:p>
    <w:p w:rsidR="00411A48" w:rsidRPr="00FA63AC" w:rsidRDefault="004875C1"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Os</w:t>
      </w:r>
      <w:r w:rsidR="009F22DD" w:rsidRPr="00FA63AC">
        <w:rPr>
          <w:bCs/>
          <w:lang w:eastAsia="es-ES"/>
        </w:rPr>
        <w:t xml:space="preserve"> custos associados ao programa</w:t>
      </w:r>
      <w:r w:rsidRPr="00FA63AC">
        <w:rPr>
          <w:bCs/>
          <w:lang w:eastAsia="es-ES"/>
        </w:rPr>
        <w:t xml:space="preserve"> foram</w:t>
      </w:r>
      <w:r w:rsidR="009F22DD" w:rsidRPr="00FA63AC">
        <w:rPr>
          <w:bCs/>
          <w:lang w:eastAsia="es-ES"/>
        </w:rPr>
        <w:t xml:space="preserve"> calculados da seguinte forma:</w:t>
      </w:r>
    </w:p>
    <w:p w:rsidR="009F22DD" w:rsidRPr="00FA63AC" w:rsidRDefault="009F22DD" w:rsidP="007266FB">
      <w:pPr>
        <w:pStyle w:val="ListParagraph"/>
        <w:keepNext/>
        <w:numPr>
          <w:ilvl w:val="2"/>
          <w:numId w:val="2"/>
        </w:numPr>
        <w:suppressAutoHyphens/>
        <w:spacing w:before="120"/>
        <w:jc w:val="both"/>
        <w:outlineLvl w:val="3"/>
        <w:rPr>
          <w:bCs/>
          <w:lang w:eastAsia="es-ES"/>
        </w:rPr>
      </w:pPr>
      <w:r w:rsidRPr="00FA63AC">
        <w:rPr>
          <w:bCs/>
          <w:lang w:eastAsia="es-ES"/>
        </w:rPr>
        <w:t xml:space="preserve">Os custos de financiamento estão alocados segundo as previsões de desembolso do Plano de </w:t>
      </w:r>
      <w:r w:rsidR="00F85666" w:rsidRPr="00FA63AC">
        <w:rPr>
          <w:bCs/>
          <w:lang w:eastAsia="es-ES"/>
        </w:rPr>
        <w:t>Execução Plurianual (PEP)</w:t>
      </w:r>
      <w:r w:rsidRPr="00FA63AC">
        <w:rPr>
          <w:bCs/>
          <w:lang w:eastAsia="es-ES"/>
        </w:rPr>
        <w:t xml:space="preserve"> do programa.</w:t>
      </w:r>
    </w:p>
    <w:p w:rsidR="00C87C17" w:rsidRPr="00FA63AC" w:rsidRDefault="009F22DD" w:rsidP="007266FB">
      <w:pPr>
        <w:pStyle w:val="ListParagraph"/>
        <w:keepNext/>
        <w:numPr>
          <w:ilvl w:val="2"/>
          <w:numId w:val="2"/>
        </w:numPr>
        <w:suppressAutoHyphens/>
        <w:spacing w:before="120"/>
        <w:jc w:val="both"/>
        <w:outlineLvl w:val="3"/>
        <w:rPr>
          <w:bCs/>
          <w:lang w:eastAsia="es-ES"/>
        </w:rPr>
      </w:pPr>
      <w:r w:rsidRPr="00FA63AC">
        <w:rPr>
          <w:bCs/>
          <w:lang w:eastAsia="es-ES"/>
        </w:rPr>
        <w:t xml:space="preserve">Os custos de </w:t>
      </w:r>
      <w:r w:rsidR="00977F33" w:rsidRPr="00FA63AC">
        <w:rPr>
          <w:bCs/>
          <w:lang w:eastAsia="es-ES"/>
        </w:rPr>
        <w:t xml:space="preserve">contrapartida </w:t>
      </w:r>
      <w:r w:rsidR="002F1B43" w:rsidRPr="00FA63AC">
        <w:rPr>
          <w:bCs/>
          <w:lang w:eastAsia="es-ES"/>
        </w:rPr>
        <w:t>também estão alocados segundo as previsões de desembolso do P</w:t>
      </w:r>
      <w:r w:rsidR="00F85666" w:rsidRPr="00FA63AC">
        <w:rPr>
          <w:bCs/>
          <w:lang w:eastAsia="es-ES"/>
        </w:rPr>
        <w:t>EP</w:t>
      </w:r>
      <w:r w:rsidR="002F1B43" w:rsidRPr="00FA63AC">
        <w:rPr>
          <w:bCs/>
          <w:lang w:eastAsia="es-ES"/>
        </w:rPr>
        <w:t>.</w:t>
      </w:r>
    </w:p>
    <w:p w:rsidR="00B564EC" w:rsidRPr="00FA63AC" w:rsidRDefault="002F1B43" w:rsidP="007266FB">
      <w:pPr>
        <w:pStyle w:val="ListParagraph"/>
        <w:keepNext/>
        <w:numPr>
          <w:ilvl w:val="2"/>
          <w:numId w:val="2"/>
        </w:numPr>
        <w:suppressAutoHyphens/>
        <w:spacing w:before="120"/>
        <w:jc w:val="both"/>
        <w:outlineLvl w:val="3"/>
        <w:rPr>
          <w:bCs/>
          <w:lang w:eastAsia="es-ES"/>
        </w:rPr>
      </w:pPr>
      <w:r w:rsidRPr="00FA63AC">
        <w:rPr>
          <w:bCs/>
          <w:lang w:eastAsia="es-ES"/>
        </w:rPr>
        <w:t>Os custos financeiros estão divididos entre juros e taxa de crédito. A</w:t>
      </w:r>
      <w:r w:rsidR="00714972" w:rsidRPr="00FA63AC">
        <w:rPr>
          <w:bCs/>
          <w:lang w:eastAsia="es-ES"/>
        </w:rPr>
        <w:t xml:space="preserve"> taxa de juros aplicada é a estabelecida pelo BID para o terceiro trimestre de 2017 para empréstimos com o Capital Ordinário de 2,25% </w:t>
      </w:r>
      <w:r w:rsidRPr="00FA63AC">
        <w:rPr>
          <w:bCs/>
          <w:lang w:eastAsia="es-ES"/>
        </w:rPr>
        <w:t>(taxa libor</w:t>
      </w:r>
      <w:r w:rsidR="00714972" w:rsidRPr="00FA63AC">
        <w:rPr>
          <w:bCs/>
          <w:lang w:eastAsia="es-ES"/>
        </w:rPr>
        <w:t>/</w:t>
      </w:r>
      <w:r w:rsidRPr="00FA63AC">
        <w:rPr>
          <w:bCs/>
          <w:lang w:eastAsia="es-ES"/>
        </w:rPr>
        <w:t xml:space="preserve">3 meses </w:t>
      </w:r>
      <w:r w:rsidR="00714972" w:rsidRPr="00FA63AC">
        <w:rPr>
          <w:bCs/>
          <w:lang w:eastAsia="es-ES"/>
        </w:rPr>
        <w:t xml:space="preserve">(1,30%) </w:t>
      </w:r>
      <w:r w:rsidRPr="00FA63AC">
        <w:rPr>
          <w:bCs/>
          <w:lang w:eastAsia="es-ES"/>
        </w:rPr>
        <w:t xml:space="preserve">+ </w:t>
      </w:r>
      <w:r w:rsidR="00714972" w:rsidRPr="00FA63AC">
        <w:rPr>
          <w:bCs/>
          <w:lang w:eastAsia="es-ES"/>
        </w:rPr>
        <w:t>margem de captação</w:t>
      </w:r>
      <w:r w:rsidRPr="00FA63AC">
        <w:rPr>
          <w:bCs/>
          <w:lang w:eastAsia="es-ES"/>
        </w:rPr>
        <w:t xml:space="preserve"> </w:t>
      </w:r>
      <w:r w:rsidR="00714972" w:rsidRPr="00FA63AC">
        <w:rPr>
          <w:bCs/>
          <w:lang w:eastAsia="es-ES"/>
        </w:rPr>
        <w:t>(0,10%) + spread do BID (0,85%)). A taxa de crédito usada é a estabelecida pelo BID para o segundo semestre de 2017 de 0,5% sobre o total não desembolsado. Assume-se um financiamento de 25 anos com um período de graça de 5 anos. Assim os juros são calculados sobre os valores desembolsados e</w:t>
      </w:r>
      <w:r w:rsidR="00B207EA" w:rsidRPr="00FA63AC">
        <w:rPr>
          <w:bCs/>
          <w:lang w:eastAsia="es-ES"/>
        </w:rPr>
        <w:t>,</w:t>
      </w:r>
      <w:r w:rsidR="00714972" w:rsidRPr="00FA63AC">
        <w:rPr>
          <w:bCs/>
          <w:lang w:eastAsia="es-ES"/>
        </w:rPr>
        <w:t xml:space="preserve"> a partir do sexto ano</w:t>
      </w:r>
      <w:r w:rsidR="00B207EA" w:rsidRPr="00FA63AC">
        <w:rPr>
          <w:bCs/>
          <w:lang w:eastAsia="es-ES"/>
        </w:rPr>
        <w:t>,</w:t>
      </w:r>
      <w:r w:rsidR="00714972" w:rsidRPr="00FA63AC">
        <w:rPr>
          <w:bCs/>
          <w:lang w:eastAsia="es-ES"/>
        </w:rPr>
        <w:t xml:space="preserve"> é calculado sobre o valor total desembolsado menos a amortização (5% do valor do financiamento anual). Por exemplo</w:t>
      </w:r>
      <w:r w:rsidR="00B207EA" w:rsidRPr="00FA63AC">
        <w:rPr>
          <w:bCs/>
          <w:lang w:eastAsia="es-ES"/>
        </w:rPr>
        <w:t>,</w:t>
      </w:r>
      <w:r w:rsidR="00714972" w:rsidRPr="00FA63AC">
        <w:rPr>
          <w:bCs/>
          <w:lang w:eastAsia="es-ES"/>
        </w:rPr>
        <w:t xml:space="preserve"> no sexto ano aplica-se a taxa de juros sobre US$ </w:t>
      </w:r>
      <w:r w:rsidR="005837D2" w:rsidRPr="00FA63AC">
        <w:rPr>
          <w:bCs/>
          <w:lang w:eastAsia="es-ES"/>
        </w:rPr>
        <w:t>37</w:t>
      </w:r>
      <w:r w:rsidR="00714972" w:rsidRPr="00FA63AC">
        <w:rPr>
          <w:bCs/>
          <w:lang w:eastAsia="es-ES"/>
        </w:rPr>
        <w:t xml:space="preserve"> milhões menos US$</w:t>
      </w:r>
      <w:r w:rsidR="005837D2" w:rsidRPr="00FA63AC">
        <w:rPr>
          <w:bCs/>
          <w:lang w:eastAsia="es-ES"/>
        </w:rPr>
        <w:t>1,85</w:t>
      </w:r>
      <w:r w:rsidR="00714972" w:rsidRPr="00FA63AC">
        <w:rPr>
          <w:bCs/>
          <w:lang w:eastAsia="es-ES"/>
        </w:rPr>
        <w:t xml:space="preserve"> milhões de amortização. No </w:t>
      </w:r>
      <w:r w:rsidR="00C87C17" w:rsidRPr="00FA63AC">
        <w:rPr>
          <w:bCs/>
          <w:lang w:eastAsia="es-ES"/>
        </w:rPr>
        <w:t>sétimo</w:t>
      </w:r>
      <w:r w:rsidR="00714972" w:rsidRPr="00FA63AC">
        <w:rPr>
          <w:bCs/>
          <w:lang w:eastAsia="es-ES"/>
        </w:rPr>
        <w:t xml:space="preserve"> ano o valor passa para US$</w:t>
      </w:r>
      <w:r w:rsidR="00055076" w:rsidRPr="00FA63AC">
        <w:rPr>
          <w:bCs/>
          <w:lang w:eastAsia="es-ES"/>
        </w:rPr>
        <w:t>37</w:t>
      </w:r>
      <w:r w:rsidR="00714972" w:rsidRPr="00FA63AC">
        <w:rPr>
          <w:bCs/>
          <w:lang w:eastAsia="es-ES"/>
        </w:rPr>
        <w:t xml:space="preserve"> milhões menos </w:t>
      </w:r>
      <w:r w:rsidR="00B564EC" w:rsidRPr="00FA63AC">
        <w:rPr>
          <w:bCs/>
          <w:lang w:eastAsia="es-ES"/>
        </w:rPr>
        <w:t xml:space="preserve">US$ </w:t>
      </w:r>
      <w:r w:rsidR="00055076" w:rsidRPr="00FA63AC">
        <w:rPr>
          <w:bCs/>
          <w:lang w:eastAsia="es-ES"/>
        </w:rPr>
        <w:t>3,7</w:t>
      </w:r>
      <w:r w:rsidR="00B564EC" w:rsidRPr="00FA63AC">
        <w:rPr>
          <w:bCs/>
          <w:lang w:eastAsia="es-ES"/>
        </w:rPr>
        <w:t xml:space="preserve"> milhões e assim por diante.</w:t>
      </w:r>
    </w:p>
    <w:p w:rsidR="009F22DD" w:rsidRPr="00FA63AC" w:rsidRDefault="00DB044A" w:rsidP="007266FB">
      <w:pPr>
        <w:pStyle w:val="ListParagraph"/>
        <w:keepNext/>
        <w:numPr>
          <w:ilvl w:val="2"/>
          <w:numId w:val="2"/>
        </w:numPr>
        <w:suppressAutoHyphens/>
        <w:spacing w:before="120"/>
        <w:jc w:val="both"/>
        <w:outlineLvl w:val="3"/>
        <w:rPr>
          <w:bCs/>
          <w:lang w:eastAsia="es-ES"/>
        </w:rPr>
      </w:pPr>
      <w:r w:rsidRPr="00FA63AC">
        <w:rPr>
          <w:bCs/>
          <w:lang w:eastAsia="es-ES"/>
        </w:rPr>
        <w:t>Os custos de manutenção foram calculados da seguinte forma:</w:t>
      </w:r>
    </w:p>
    <w:p w:rsidR="00DB044A" w:rsidRPr="00FA63AC" w:rsidRDefault="00BB164C" w:rsidP="007266FB">
      <w:pPr>
        <w:pStyle w:val="ListParagraph"/>
        <w:keepNext/>
        <w:numPr>
          <w:ilvl w:val="3"/>
          <w:numId w:val="2"/>
        </w:numPr>
        <w:suppressAutoHyphens/>
        <w:spacing w:before="120"/>
        <w:jc w:val="both"/>
        <w:outlineLvl w:val="3"/>
        <w:rPr>
          <w:bCs/>
          <w:lang w:eastAsia="es-ES"/>
        </w:rPr>
      </w:pPr>
      <w:r w:rsidRPr="00FA63AC">
        <w:rPr>
          <w:bCs/>
          <w:lang w:eastAsia="es-ES"/>
        </w:rPr>
        <w:t>Custos de manutenção incidem sobre os investimentos em bens</w:t>
      </w:r>
      <w:r w:rsidR="00055076" w:rsidRPr="00FA63AC">
        <w:rPr>
          <w:bCs/>
          <w:lang w:eastAsia="es-ES"/>
        </w:rPr>
        <w:t xml:space="preserve"> e obras</w:t>
      </w:r>
      <w:r w:rsidRPr="00FA63AC">
        <w:rPr>
          <w:bCs/>
          <w:lang w:eastAsia="es-ES"/>
        </w:rPr>
        <w:t xml:space="preserve"> (</w:t>
      </w:r>
      <w:r w:rsidR="00055076" w:rsidRPr="00FA63AC">
        <w:rPr>
          <w:bCs/>
          <w:lang w:eastAsia="es-ES"/>
        </w:rPr>
        <w:t>59</w:t>
      </w:r>
      <w:r w:rsidRPr="00FA63AC">
        <w:rPr>
          <w:bCs/>
          <w:lang w:eastAsia="es-ES"/>
        </w:rPr>
        <w:t xml:space="preserve">% do programa = </w:t>
      </w:r>
      <w:r w:rsidR="005F24B2" w:rsidRPr="00FA63AC">
        <w:rPr>
          <w:bCs/>
          <w:lang w:eastAsia="es-ES"/>
        </w:rPr>
        <w:t>R</w:t>
      </w:r>
      <w:r w:rsidRPr="00FA63AC">
        <w:rPr>
          <w:bCs/>
          <w:lang w:eastAsia="es-ES"/>
        </w:rPr>
        <w:t xml:space="preserve">$ </w:t>
      </w:r>
      <w:r w:rsidR="00D10848" w:rsidRPr="00FA63AC">
        <w:rPr>
          <w:bCs/>
          <w:lang w:eastAsia="es-ES"/>
        </w:rPr>
        <w:t>8</w:t>
      </w:r>
      <w:r w:rsidR="00055076" w:rsidRPr="00FA63AC">
        <w:rPr>
          <w:bCs/>
          <w:lang w:eastAsia="es-ES"/>
        </w:rPr>
        <w:t>2,3</w:t>
      </w:r>
      <w:r w:rsidRPr="00FA63AC">
        <w:rPr>
          <w:bCs/>
          <w:lang w:eastAsia="es-ES"/>
        </w:rPr>
        <w:t xml:space="preserve"> milhões) e sobre contratos de </w:t>
      </w:r>
      <w:r w:rsidRPr="00FA63AC">
        <w:rPr>
          <w:bCs/>
          <w:lang w:eastAsia="es-ES"/>
        </w:rPr>
        <w:lastRenderedPageBreak/>
        <w:t>consultoria para desenvolvimento de sistemas (</w:t>
      </w:r>
      <w:r w:rsidR="00D10848" w:rsidRPr="00FA63AC">
        <w:rPr>
          <w:bCs/>
          <w:lang w:eastAsia="es-ES"/>
        </w:rPr>
        <w:t>3</w:t>
      </w:r>
      <w:r w:rsidR="00055076" w:rsidRPr="00FA63AC">
        <w:rPr>
          <w:bCs/>
          <w:lang w:eastAsia="es-ES"/>
        </w:rPr>
        <w:t>5,3</w:t>
      </w:r>
      <w:r w:rsidRPr="00FA63AC">
        <w:rPr>
          <w:bCs/>
          <w:lang w:eastAsia="es-ES"/>
        </w:rPr>
        <w:t xml:space="preserve">% do programa = </w:t>
      </w:r>
      <w:r w:rsidR="005F24B2" w:rsidRPr="00FA63AC">
        <w:rPr>
          <w:bCs/>
          <w:lang w:eastAsia="es-ES"/>
        </w:rPr>
        <w:t>R</w:t>
      </w:r>
      <w:r w:rsidRPr="00FA63AC">
        <w:rPr>
          <w:bCs/>
          <w:lang w:eastAsia="es-ES"/>
        </w:rPr>
        <w:t xml:space="preserve">$ </w:t>
      </w:r>
      <w:r w:rsidR="00D10848" w:rsidRPr="00FA63AC">
        <w:rPr>
          <w:bCs/>
          <w:lang w:eastAsia="es-ES"/>
        </w:rPr>
        <w:t>4</w:t>
      </w:r>
      <w:r w:rsidR="00055076" w:rsidRPr="00FA63AC">
        <w:rPr>
          <w:bCs/>
          <w:lang w:eastAsia="es-ES"/>
        </w:rPr>
        <w:t>9,3</w:t>
      </w:r>
      <w:r w:rsidRPr="00FA63AC">
        <w:rPr>
          <w:bCs/>
          <w:lang w:eastAsia="es-ES"/>
        </w:rPr>
        <w:t xml:space="preserve"> milhões).</w:t>
      </w:r>
    </w:p>
    <w:p w:rsidR="00BB164C" w:rsidRPr="00FA63AC" w:rsidRDefault="00BB164C" w:rsidP="007266FB">
      <w:pPr>
        <w:pStyle w:val="ListParagraph"/>
        <w:keepNext/>
        <w:numPr>
          <w:ilvl w:val="3"/>
          <w:numId w:val="2"/>
        </w:numPr>
        <w:suppressAutoHyphens/>
        <w:spacing w:before="120"/>
        <w:jc w:val="both"/>
        <w:outlineLvl w:val="3"/>
        <w:rPr>
          <w:bCs/>
          <w:lang w:eastAsia="es-ES"/>
        </w:rPr>
      </w:pPr>
      <w:r w:rsidRPr="00FA63AC">
        <w:rPr>
          <w:bCs/>
          <w:lang w:eastAsia="es-ES"/>
        </w:rPr>
        <w:t>A alocação anual dos investimentos nestas categorias de custo é feita seguindo os percentuais de desembolso para o programa como um todo.</w:t>
      </w:r>
    </w:p>
    <w:p w:rsidR="00BB164C" w:rsidRPr="00FA63AC" w:rsidRDefault="00D731BE" w:rsidP="007266FB">
      <w:pPr>
        <w:pStyle w:val="ListParagraph"/>
        <w:keepNext/>
        <w:numPr>
          <w:ilvl w:val="3"/>
          <w:numId w:val="2"/>
        </w:numPr>
        <w:suppressAutoHyphens/>
        <w:spacing w:before="120"/>
        <w:jc w:val="both"/>
        <w:outlineLvl w:val="3"/>
        <w:rPr>
          <w:bCs/>
          <w:lang w:eastAsia="es-ES"/>
        </w:rPr>
      </w:pPr>
      <w:r w:rsidRPr="00FA63AC">
        <w:rPr>
          <w:bCs/>
          <w:lang w:eastAsia="es-ES"/>
        </w:rPr>
        <w:t>As</w:t>
      </w:r>
      <w:r w:rsidR="00BB164C" w:rsidRPr="00FA63AC">
        <w:rPr>
          <w:bCs/>
          <w:lang w:eastAsia="es-ES"/>
        </w:rPr>
        <w:t xml:space="preserve"> aquisições de bens</w:t>
      </w:r>
      <w:r w:rsidR="005F24B2" w:rsidRPr="00FA63AC">
        <w:rPr>
          <w:bCs/>
          <w:lang w:eastAsia="es-ES"/>
        </w:rPr>
        <w:t xml:space="preserve"> </w:t>
      </w:r>
      <w:r w:rsidR="00BB164C" w:rsidRPr="00FA63AC">
        <w:rPr>
          <w:bCs/>
          <w:lang w:eastAsia="es-ES"/>
        </w:rPr>
        <w:t>refere</w:t>
      </w:r>
      <w:r w:rsidR="005A234B" w:rsidRPr="00FA63AC">
        <w:rPr>
          <w:bCs/>
          <w:lang w:eastAsia="es-ES"/>
        </w:rPr>
        <w:t>m</w:t>
      </w:r>
      <w:r w:rsidR="00BB164C" w:rsidRPr="00FA63AC">
        <w:rPr>
          <w:bCs/>
          <w:lang w:eastAsia="es-ES"/>
        </w:rPr>
        <w:t xml:space="preserve">-se a veículos, balanças para postos fiscais, mobiliário e, equipamentos de TI. Em geral, estima-se em 10 anos a depreciação da maior parte de bens. No entanto, equipamentos de TI tornam-se obsoletos em menor tempo. Adotou-se </w:t>
      </w:r>
      <w:r w:rsidR="007F1132" w:rsidRPr="00FA63AC">
        <w:rPr>
          <w:bCs/>
          <w:lang w:eastAsia="es-ES"/>
        </w:rPr>
        <w:t>8</w:t>
      </w:r>
      <w:r w:rsidR="00BB164C" w:rsidRPr="00FA63AC">
        <w:rPr>
          <w:bCs/>
          <w:lang w:eastAsia="es-ES"/>
        </w:rPr>
        <w:t xml:space="preserve"> anos</w:t>
      </w:r>
      <w:r w:rsidR="007F1132" w:rsidRPr="00FA63AC">
        <w:rPr>
          <w:bCs/>
          <w:lang w:eastAsia="es-ES"/>
        </w:rPr>
        <w:t>,</w:t>
      </w:r>
      <w:r w:rsidR="00BB164C" w:rsidRPr="00FA63AC">
        <w:rPr>
          <w:bCs/>
          <w:lang w:eastAsia="es-ES"/>
        </w:rPr>
        <w:t xml:space="preserve"> como média</w:t>
      </w:r>
      <w:r w:rsidR="007F1132" w:rsidRPr="00FA63AC">
        <w:rPr>
          <w:bCs/>
          <w:lang w:eastAsia="es-ES"/>
        </w:rPr>
        <w:t>,</w:t>
      </w:r>
      <w:r w:rsidR="00BB164C" w:rsidRPr="00FA63AC">
        <w:rPr>
          <w:bCs/>
          <w:lang w:eastAsia="es-ES"/>
        </w:rPr>
        <w:t xml:space="preserve"> para depreciação dos valores alocados para aquisição de bens.</w:t>
      </w:r>
    </w:p>
    <w:p w:rsidR="001C4843" w:rsidRPr="00FA63AC" w:rsidRDefault="001C4843" w:rsidP="007266FB">
      <w:pPr>
        <w:pStyle w:val="ListParagraph"/>
        <w:keepNext/>
        <w:numPr>
          <w:ilvl w:val="3"/>
          <w:numId w:val="2"/>
        </w:numPr>
        <w:suppressAutoHyphens/>
        <w:spacing w:before="120"/>
        <w:jc w:val="both"/>
        <w:outlineLvl w:val="3"/>
        <w:rPr>
          <w:bCs/>
          <w:lang w:eastAsia="es-ES"/>
        </w:rPr>
      </w:pPr>
      <w:r w:rsidRPr="00FA63AC">
        <w:rPr>
          <w:bCs/>
          <w:lang w:eastAsia="es-ES"/>
        </w:rPr>
        <w:t>Para os serviços de consultoria para desenvolvimento de sistemas, adotou-se uma taxa de manutenção de 10% ao ano, o que equivale em dez anos o valor gasto no desenvolvimento dos mesmos. Em outras palavras, seria como substituir o</w:t>
      </w:r>
      <w:r w:rsidR="007F1132" w:rsidRPr="00FA63AC">
        <w:rPr>
          <w:bCs/>
          <w:lang w:eastAsia="es-ES"/>
        </w:rPr>
        <w:t>s</w:t>
      </w:r>
      <w:r w:rsidRPr="00FA63AC">
        <w:rPr>
          <w:bCs/>
          <w:lang w:eastAsia="es-ES"/>
        </w:rPr>
        <w:t xml:space="preserve"> sistema</w:t>
      </w:r>
      <w:r w:rsidR="007F1132" w:rsidRPr="00FA63AC">
        <w:rPr>
          <w:bCs/>
          <w:lang w:eastAsia="es-ES"/>
        </w:rPr>
        <w:t>s</w:t>
      </w:r>
      <w:r w:rsidRPr="00FA63AC">
        <w:rPr>
          <w:bCs/>
          <w:lang w:eastAsia="es-ES"/>
        </w:rPr>
        <w:t xml:space="preserve"> em um prazo de dez anos.</w:t>
      </w:r>
    </w:p>
    <w:p w:rsidR="001C4843" w:rsidRPr="00FA63AC" w:rsidRDefault="001C4843" w:rsidP="007266FB">
      <w:pPr>
        <w:pStyle w:val="ListParagraph"/>
        <w:keepNext/>
        <w:numPr>
          <w:ilvl w:val="3"/>
          <w:numId w:val="2"/>
        </w:numPr>
        <w:suppressAutoHyphens/>
        <w:spacing w:before="120"/>
        <w:jc w:val="both"/>
        <w:outlineLvl w:val="3"/>
        <w:rPr>
          <w:bCs/>
          <w:lang w:eastAsia="es-ES"/>
        </w:rPr>
      </w:pPr>
      <w:r w:rsidRPr="00FA63AC">
        <w:rPr>
          <w:bCs/>
          <w:lang w:eastAsia="es-ES"/>
        </w:rPr>
        <w:t xml:space="preserve">Os gastos de manutenção iniciam no ano seguinte aos investimentos. </w:t>
      </w:r>
      <w:r w:rsidR="00C255BB" w:rsidRPr="00FA63AC">
        <w:rPr>
          <w:bCs/>
          <w:lang w:eastAsia="es-ES"/>
        </w:rPr>
        <w:t xml:space="preserve">A </w:t>
      </w:r>
      <w:r w:rsidR="00CB2799" w:rsidRPr="00FA63AC">
        <w:rPr>
          <w:bCs/>
          <w:lang w:eastAsia="es-ES"/>
        </w:rPr>
        <w:t xml:space="preserve">Tabela </w:t>
      </w:r>
      <w:r w:rsidR="00C451BF" w:rsidRPr="00FA63AC">
        <w:rPr>
          <w:bCs/>
          <w:lang w:eastAsia="es-ES"/>
        </w:rPr>
        <w:t>3</w:t>
      </w:r>
      <w:r w:rsidR="00C255BB" w:rsidRPr="00FA63AC">
        <w:rPr>
          <w:bCs/>
          <w:lang w:eastAsia="es-ES"/>
        </w:rPr>
        <w:t xml:space="preserve"> abaixo</w:t>
      </w:r>
      <w:r w:rsidRPr="00FA63AC">
        <w:rPr>
          <w:bCs/>
          <w:lang w:eastAsia="es-ES"/>
        </w:rPr>
        <w:t xml:space="preserve"> mostra a distribuição dos valores de manutenção em </w:t>
      </w:r>
      <w:r w:rsidR="003852FC" w:rsidRPr="00FA63AC">
        <w:rPr>
          <w:bCs/>
          <w:lang w:eastAsia="es-ES"/>
        </w:rPr>
        <w:t>R$ 1.000</w:t>
      </w:r>
      <w:r w:rsidRPr="00FA63AC">
        <w:rPr>
          <w:bCs/>
          <w:lang w:eastAsia="es-ES"/>
        </w:rPr>
        <w:t>.</w:t>
      </w:r>
      <w:r w:rsidR="00B77A51" w:rsidRPr="00FA63AC">
        <w:rPr>
          <w:bCs/>
          <w:lang w:eastAsia="es-ES"/>
        </w:rPr>
        <w:t xml:space="preserve"> </w:t>
      </w:r>
    </w:p>
    <w:p w:rsidR="00055076" w:rsidRPr="00FA63AC" w:rsidRDefault="00055076" w:rsidP="003B2C32">
      <w:pPr>
        <w:pStyle w:val="ListParagraph"/>
        <w:keepNext/>
        <w:suppressAutoHyphens/>
        <w:spacing w:before="120"/>
        <w:ind w:left="0"/>
        <w:jc w:val="both"/>
        <w:outlineLvl w:val="3"/>
        <w:rPr>
          <w:rFonts w:ascii="Calibri" w:eastAsia="Calibri" w:hAnsi="Calibri"/>
          <w:sz w:val="20"/>
          <w:szCs w:val="20"/>
        </w:rPr>
      </w:pPr>
      <w:r w:rsidRPr="00FA63AC">
        <w:rPr>
          <w:lang w:eastAsia="es-ES"/>
        </w:rPr>
        <w:fldChar w:fldCharType="begin"/>
      </w:r>
      <w:r w:rsidRPr="00FA63AC">
        <w:rPr>
          <w:lang w:eastAsia="es-ES"/>
        </w:rPr>
        <w:instrText xml:space="preserve"> LINK </w:instrText>
      </w:r>
      <w:r w:rsidR="00060E33" w:rsidRPr="00FA63AC">
        <w:rPr>
          <w:lang w:eastAsia="es-ES"/>
        </w:rPr>
        <w:instrText xml:space="preserve">Excel.Sheet.12 C:\\Users\\gazel\\Documents\\Documentos\\profis2-cons\\pernambuco\\impacto\\manutencao.PE.dez12.xlsx Plan1!L26C2:L41C13 </w:instrText>
      </w:r>
      <w:r w:rsidRPr="00FA63AC">
        <w:rPr>
          <w:lang w:eastAsia="es-ES"/>
        </w:rPr>
        <w:instrText xml:space="preserve">\a \f 4 \h  \* MERGEFORMAT </w:instrText>
      </w:r>
      <w:r w:rsidRPr="00FA63AC">
        <w:rPr>
          <w:lang w:eastAsia="es-ES"/>
        </w:rPr>
        <w:fldChar w:fldCharType="separate"/>
      </w:r>
    </w:p>
    <w:tbl>
      <w:tblPr>
        <w:tblW w:w="9781" w:type="dxa"/>
        <w:tblCellMar>
          <w:left w:w="70" w:type="dxa"/>
          <w:right w:w="70" w:type="dxa"/>
        </w:tblCellMar>
        <w:tblLook w:val="04A0" w:firstRow="1" w:lastRow="0" w:firstColumn="1" w:lastColumn="0" w:noHBand="0" w:noVBand="1"/>
      </w:tblPr>
      <w:tblGrid>
        <w:gridCol w:w="2127"/>
        <w:gridCol w:w="850"/>
        <w:gridCol w:w="567"/>
        <w:gridCol w:w="567"/>
        <w:gridCol w:w="709"/>
        <w:gridCol w:w="709"/>
        <w:gridCol w:w="708"/>
        <w:gridCol w:w="709"/>
        <w:gridCol w:w="709"/>
        <w:gridCol w:w="850"/>
        <w:gridCol w:w="567"/>
        <w:gridCol w:w="709"/>
      </w:tblGrid>
      <w:tr w:rsidR="00055076" w:rsidRPr="00FA63AC" w:rsidTr="00055076">
        <w:trPr>
          <w:trHeight w:val="300"/>
        </w:trPr>
        <w:tc>
          <w:tcPr>
            <w:tcW w:w="9781" w:type="dxa"/>
            <w:gridSpan w:val="12"/>
            <w:tcBorders>
              <w:top w:val="nil"/>
              <w:left w:val="nil"/>
              <w:bottom w:val="single" w:sz="8" w:space="0" w:color="auto"/>
              <w:right w:val="nil"/>
            </w:tcBorders>
            <w:shd w:val="clear" w:color="auto" w:fill="auto"/>
            <w:noWrap/>
            <w:vAlign w:val="center"/>
            <w:hideMark/>
          </w:tcPr>
          <w:p w:rsidR="00055076" w:rsidRPr="00FA63AC" w:rsidRDefault="00055076" w:rsidP="00055076">
            <w:pPr>
              <w:rPr>
                <w:rFonts w:ascii="Calibri" w:hAnsi="Calibri" w:cs="Calibri"/>
                <w:b/>
                <w:bCs/>
                <w:color w:val="000000"/>
                <w:sz w:val="20"/>
                <w:szCs w:val="20"/>
              </w:rPr>
            </w:pPr>
            <w:r w:rsidRPr="00FA63AC">
              <w:rPr>
                <w:rFonts w:ascii="Calibri" w:hAnsi="Calibri" w:cs="Calibri"/>
                <w:b/>
                <w:bCs/>
                <w:color w:val="000000"/>
                <w:sz w:val="20"/>
                <w:szCs w:val="20"/>
              </w:rPr>
              <w:t>Tabela 3: Cálculo dos Custos de Manutenção Pernambuco (em R$ 1.000)</w:t>
            </w:r>
          </w:p>
        </w:tc>
      </w:tr>
      <w:tr w:rsidR="00055076" w:rsidRPr="00FA63AC" w:rsidTr="00055076">
        <w:trPr>
          <w:trHeight w:val="300"/>
        </w:trPr>
        <w:tc>
          <w:tcPr>
            <w:tcW w:w="2127" w:type="dxa"/>
            <w:tcBorders>
              <w:top w:val="single" w:sz="8" w:space="0" w:color="auto"/>
              <w:left w:val="single" w:sz="8" w:space="0" w:color="auto"/>
              <w:bottom w:val="nil"/>
              <w:right w:val="nil"/>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Total</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4</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6</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ano 10</w:t>
            </w:r>
          </w:p>
        </w:tc>
      </w:tr>
      <w:tr w:rsidR="00055076" w:rsidRPr="00FA63AC" w:rsidTr="00055076">
        <w:trPr>
          <w:trHeight w:val="300"/>
        </w:trPr>
        <w:tc>
          <w:tcPr>
            <w:tcW w:w="212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Gastos em bens e obras</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82.309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8.231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23.870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23.046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14.816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12.346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Gastos em consultoria</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ind w:left="-213"/>
              <w:jc w:val="right"/>
              <w:rPr>
                <w:rFonts w:ascii="Calibri" w:hAnsi="Calibri" w:cs="Calibri"/>
                <w:color w:val="000000"/>
                <w:sz w:val="14"/>
                <w:szCs w:val="14"/>
              </w:rPr>
            </w:pPr>
            <w:r w:rsidRPr="00FA63AC">
              <w:rPr>
                <w:rFonts w:ascii="Calibri" w:hAnsi="Calibri" w:cs="Calibri"/>
                <w:color w:val="000000"/>
                <w:sz w:val="14"/>
                <w:szCs w:val="14"/>
              </w:rPr>
              <w:t xml:space="preserve">              49.271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4.927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14.289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13.796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8.869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7.391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jc w:val="right"/>
              <w:rPr>
                <w:rFonts w:ascii="Calibri" w:hAnsi="Calibri" w:cs="Calibri"/>
                <w:color w:val="000000"/>
                <w:sz w:val="14"/>
                <w:szCs w:val="14"/>
              </w:rPr>
            </w:pPr>
            <w:r w:rsidRPr="00FA63AC">
              <w:rPr>
                <w:rFonts w:ascii="Calibri" w:hAnsi="Calibri" w:cs="Calibri"/>
                <w:color w:val="000000"/>
                <w:sz w:val="14"/>
                <w:szCs w:val="14"/>
              </w:rPr>
              <w:t xml:space="preserve">                                -   </w:t>
            </w:r>
          </w:p>
        </w:tc>
      </w:tr>
      <w:tr w:rsidR="00055076" w:rsidRPr="00FA63AC" w:rsidTr="00055076">
        <w:trPr>
          <w:trHeight w:val="300"/>
        </w:trPr>
        <w:tc>
          <w:tcPr>
            <w:tcW w:w="9781" w:type="dxa"/>
            <w:gridSpan w:val="12"/>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055076" w:rsidRPr="00FA63AC" w:rsidRDefault="00055076" w:rsidP="00055076">
            <w:pPr>
              <w:jc w:val="center"/>
              <w:rPr>
                <w:rFonts w:ascii="Calibri" w:hAnsi="Calibri" w:cs="Calibri"/>
                <w:b/>
                <w:bCs/>
                <w:i/>
                <w:iCs/>
                <w:color w:val="000000"/>
                <w:sz w:val="20"/>
                <w:szCs w:val="20"/>
              </w:rPr>
            </w:pPr>
            <w:r w:rsidRPr="00FA63AC">
              <w:rPr>
                <w:rFonts w:ascii="Calibri" w:hAnsi="Calibri" w:cs="Calibri"/>
                <w:b/>
                <w:bCs/>
                <w:i/>
                <w:iCs/>
                <w:color w:val="000000"/>
                <w:sz w:val="20"/>
                <w:szCs w:val="20"/>
              </w:rPr>
              <w:t>Gastos manutenção</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Bens e obras  adquiridos no ano 1</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8.231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1.029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1.029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1.029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Bens e obras  adquiridos no ano 2</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23.870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2.984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2.984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2.984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2.984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2.984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2.984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2.984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2.984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Bens e obras  adquiridos no ano 3</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20.166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2.881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2.881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2.881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2.881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2.881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2.881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2.881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Bens e obras  adquiridos no ano 4</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11.112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1.852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1.852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1.852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1.852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1.852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1.852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Bens e obras  adquiridos no ano 5</w:t>
            </w:r>
          </w:p>
        </w:tc>
        <w:tc>
          <w:tcPr>
            <w:tcW w:w="850"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7.716 </w:t>
            </w:r>
          </w:p>
        </w:tc>
        <w:tc>
          <w:tcPr>
            <w:tcW w:w="567"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8"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1.543 </w:t>
            </w:r>
          </w:p>
        </w:tc>
        <w:tc>
          <w:tcPr>
            <w:tcW w:w="709"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1.543 </w:t>
            </w:r>
          </w:p>
        </w:tc>
        <w:tc>
          <w:tcPr>
            <w:tcW w:w="850"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1.543 </w:t>
            </w:r>
          </w:p>
        </w:tc>
        <w:tc>
          <w:tcPr>
            <w:tcW w:w="567"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1.543 </w:t>
            </w:r>
          </w:p>
        </w:tc>
        <w:tc>
          <w:tcPr>
            <w:tcW w:w="709" w:type="dxa"/>
            <w:tcBorders>
              <w:top w:val="nil"/>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1.543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Consultorias pagas no ano 1</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4.434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493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Consultorias pagas no ano 2</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11.431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1.429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1.429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1.429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1.429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1.429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Consultorias pagas no ano 3</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9.657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1.380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1.380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1.380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1.380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1.380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1.380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1.380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Consultorias pagas no ano 4</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5.321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887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887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887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887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887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887 </w:t>
            </w:r>
          </w:p>
        </w:tc>
      </w:tr>
      <w:tr w:rsidR="00055076" w:rsidRPr="00FA63AC" w:rsidTr="00055076">
        <w:trPr>
          <w:trHeight w:val="30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055076" w:rsidRPr="00FA63AC" w:rsidRDefault="00055076" w:rsidP="00055076">
            <w:pPr>
              <w:rPr>
                <w:rFonts w:ascii="Calibri" w:hAnsi="Calibri" w:cs="Calibri"/>
                <w:i/>
                <w:iCs/>
                <w:color w:val="000000"/>
                <w:sz w:val="14"/>
                <w:szCs w:val="14"/>
              </w:rPr>
            </w:pPr>
            <w:r w:rsidRPr="00FA63AC">
              <w:rPr>
                <w:rFonts w:ascii="Calibri" w:hAnsi="Calibri" w:cs="Calibri"/>
                <w:i/>
                <w:iCs/>
                <w:color w:val="000000"/>
                <w:sz w:val="14"/>
                <w:szCs w:val="14"/>
              </w:rPr>
              <w:t>Consultorias pagas no ano 5</w:t>
            </w:r>
          </w:p>
        </w:tc>
        <w:tc>
          <w:tcPr>
            <w:tcW w:w="850" w:type="dxa"/>
            <w:tcBorders>
              <w:top w:val="nil"/>
              <w:left w:val="single" w:sz="4" w:space="0" w:color="auto"/>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3.695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8"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739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739 </w:t>
            </w:r>
          </w:p>
        </w:tc>
        <w:tc>
          <w:tcPr>
            <w:tcW w:w="850"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739 </w:t>
            </w:r>
          </w:p>
        </w:tc>
        <w:tc>
          <w:tcPr>
            <w:tcW w:w="567"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739 </w:t>
            </w:r>
          </w:p>
        </w:tc>
        <w:tc>
          <w:tcPr>
            <w:tcW w:w="709" w:type="dxa"/>
            <w:tcBorders>
              <w:top w:val="nil"/>
              <w:left w:val="nil"/>
              <w:bottom w:val="nil"/>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739 </w:t>
            </w:r>
          </w:p>
        </w:tc>
      </w:tr>
      <w:tr w:rsidR="00055076" w:rsidRPr="00FA63AC" w:rsidTr="00055076">
        <w:trPr>
          <w:trHeight w:val="300"/>
        </w:trPr>
        <w:tc>
          <w:tcPr>
            <w:tcW w:w="2127" w:type="dxa"/>
            <w:tcBorders>
              <w:top w:val="nil"/>
              <w:left w:val="single" w:sz="8" w:space="0" w:color="auto"/>
              <w:bottom w:val="single" w:sz="4" w:space="0" w:color="auto"/>
              <w:right w:val="nil"/>
            </w:tcBorders>
            <w:shd w:val="clear" w:color="auto" w:fill="auto"/>
            <w:noWrap/>
            <w:vAlign w:val="center"/>
            <w:hideMark/>
          </w:tcPr>
          <w:p w:rsidR="00055076" w:rsidRPr="00FA63AC" w:rsidRDefault="00055076" w:rsidP="00055076">
            <w:pPr>
              <w:rPr>
                <w:rFonts w:ascii="Calibri" w:hAnsi="Calibri" w:cs="Calibri"/>
                <w:b/>
                <w:bCs/>
                <w:i/>
                <w:iCs/>
                <w:color w:val="000000"/>
                <w:sz w:val="14"/>
                <w:szCs w:val="14"/>
              </w:rPr>
            </w:pPr>
            <w:r w:rsidRPr="00FA63AC">
              <w:rPr>
                <w:rFonts w:ascii="Calibri" w:hAnsi="Calibri" w:cs="Calibri"/>
                <w:b/>
                <w:bCs/>
                <w:i/>
                <w:iCs/>
                <w:color w:val="000000"/>
                <w:sz w:val="14"/>
                <w:szCs w:val="14"/>
              </w:rPr>
              <w:t>Total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105.633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1.522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5.934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10.195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12.933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15.216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15.216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15.216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15.216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55076" w:rsidRPr="00FA63AC" w:rsidRDefault="00055076" w:rsidP="00055076">
            <w:pPr>
              <w:rPr>
                <w:rFonts w:ascii="Calibri" w:hAnsi="Calibri" w:cs="Calibri"/>
                <w:color w:val="000000"/>
                <w:sz w:val="14"/>
                <w:szCs w:val="14"/>
              </w:rPr>
            </w:pPr>
            <w:r w:rsidRPr="00FA63AC">
              <w:rPr>
                <w:rFonts w:ascii="Calibri" w:hAnsi="Calibri" w:cs="Calibri"/>
                <w:color w:val="000000"/>
                <w:sz w:val="14"/>
                <w:szCs w:val="14"/>
              </w:rPr>
              <w:t xml:space="preserve">                        14.187 </w:t>
            </w:r>
          </w:p>
        </w:tc>
      </w:tr>
      <w:tr w:rsidR="00055076" w:rsidRPr="00FA63AC" w:rsidTr="00055076">
        <w:trPr>
          <w:trHeight w:val="300"/>
        </w:trPr>
        <w:tc>
          <w:tcPr>
            <w:tcW w:w="9781" w:type="dxa"/>
            <w:gridSpan w:val="12"/>
            <w:tcBorders>
              <w:top w:val="single" w:sz="4" w:space="0" w:color="auto"/>
            </w:tcBorders>
            <w:shd w:val="clear" w:color="auto" w:fill="auto"/>
            <w:noWrap/>
            <w:vAlign w:val="center"/>
          </w:tcPr>
          <w:p w:rsidR="00055076" w:rsidRPr="00FA63AC" w:rsidRDefault="00055076" w:rsidP="00055076">
            <w:pPr>
              <w:rPr>
                <w:rFonts w:ascii="Calibri" w:hAnsi="Calibri" w:cs="Calibri"/>
                <w:color w:val="000000"/>
                <w:sz w:val="14"/>
                <w:szCs w:val="14"/>
              </w:rPr>
            </w:pPr>
            <w:r w:rsidRPr="00FA63AC">
              <w:rPr>
                <w:rFonts w:ascii="Calibri" w:hAnsi="Calibri" w:cs="Calibri"/>
                <w:sz w:val="16"/>
                <w:szCs w:val="16"/>
              </w:rPr>
              <w:t>Fonte: Cálculos Próprios baseados nos gastos em bens, obras e consultorias incluídos no PAI e nas taxas de manutenção dos mesmos.</w:t>
            </w:r>
          </w:p>
        </w:tc>
      </w:tr>
    </w:tbl>
    <w:p w:rsidR="008C4A1A" w:rsidRPr="00FA63AC" w:rsidRDefault="00055076" w:rsidP="003B2C32">
      <w:pPr>
        <w:pStyle w:val="ListParagraph"/>
        <w:keepNext/>
        <w:suppressAutoHyphens/>
        <w:spacing w:before="120"/>
        <w:ind w:left="0"/>
        <w:jc w:val="both"/>
        <w:outlineLvl w:val="3"/>
        <w:rPr>
          <w:bCs/>
          <w:lang w:eastAsia="es-ES"/>
        </w:rPr>
      </w:pPr>
      <w:r w:rsidRPr="00FA63AC">
        <w:rPr>
          <w:bCs/>
          <w:lang w:eastAsia="es-ES"/>
        </w:rPr>
        <w:fldChar w:fldCharType="end"/>
      </w:r>
    </w:p>
    <w:p w:rsidR="00FA63AC" w:rsidRPr="00FA63AC" w:rsidRDefault="00C255BB" w:rsidP="00FA63AC">
      <w:pPr>
        <w:pStyle w:val="ListParagraph"/>
        <w:keepNext/>
        <w:numPr>
          <w:ilvl w:val="1"/>
          <w:numId w:val="2"/>
        </w:numPr>
        <w:suppressAutoHyphens/>
        <w:spacing w:before="120"/>
        <w:ind w:left="851" w:hanging="567"/>
        <w:jc w:val="both"/>
        <w:outlineLvl w:val="3"/>
        <w:rPr>
          <w:bCs/>
          <w:lang w:eastAsia="es-ES"/>
        </w:rPr>
      </w:pPr>
      <w:r w:rsidRPr="00FA63AC">
        <w:rPr>
          <w:bCs/>
          <w:lang w:eastAsia="es-ES"/>
        </w:rPr>
        <w:t>As estimativas dos custo</w:t>
      </w:r>
      <w:r w:rsidR="00CC7984" w:rsidRPr="00FA63AC">
        <w:rPr>
          <w:bCs/>
          <w:lang w:eastAsia="es-ES"/>
        </w:rPr>
        <w:t>s</w:t>
      </w:r>
      <w:r w:rsidRPr="00FA63AC">
        <w:rPr>
          <w:bCs/>
          <w:lang w:eastAsia="es-ES"/>
        </w:rPr>
        <w:t xml:space="preserve"> totais</w:t>
      </w:r>
      <w:r w:rsidR="007F1132" w:rsidRPr="00FA63AC">
        <w:rPr>
          <w:bCs/>
          <w:lang w:eastAsia="es-ES"/>
        </w:rPr>
        <w:t>,</w:t>
      </w:r>
      <w:r w:rsidRPr="00FA63AC">
        <w:rPr>
          <w:bCs/>
          <w:lang w:eastAsia="es-ES"/>
        </w:rPr>
        <w:t xml:space="preserve"> incluindo custos de financiamento, contrapartida, financeiros e de manutenção</w:t>
      </w:r>
      <w:r w:rsidR="007F1132" w:rsidRPr="00FA63AC">
        <w:rPr>
          <w:bCs/>
          <w:lang w:eastAsia="es-ES"/>
        </w:rPr>
        <w:t>,</w:t>
      </w:r>
      <w:r w:rsidRPr="00FA63AC">
        <w:rPr>
          <w:bCs/>
          <w:lang w:eastAsia="es-ES"/>
        </w:rPr>
        <w:t xml:space="preserve"> estão apresentadas </w:t>
      </w:r>
      <w:r w:rsidR="00400147" w:rsidRPr="00FA63AC">
        <w:rPr>
          <w:bCs/>
          <w:lang w:eastAsia="es-ES"/>
        </w:rPr>
        <w:t>na Ta</w:t>
      </w:r>
      <w:r w:rsidR="0016041F" w:rsidRPr="00FA63AC">
        <w:rPr>
          <w:bCs/>
          <w:lang w:eastAsia="es-ES"/>
        </w:rPr>
        <w:t xml:space="preserve">bela </w:t>
      </w:r>
      <w:r w:rsidR="00C451BF" w:rsidRPr="00FA63AC">
        <w:rPr>
          <w:bCs/>
          <w:lang w:eastAsia="es-ES"/>
        </w:rPr>
        <w:t>4</w:t>
      </w:r>
      <w:r w:rsidRPr="00FA63AC">
        <w:rPr>
          <w:bCs/>
          <w:lang w:eastAsia="es-ES"/>
        </w:rPr>
        <w:t>.</w:t>
      </w:r>
    </w:p>
    <w:p w:rsidR="002A6724" w:rsidRPr="00FA63AC" w:rsidRDefault="002A6724" w:rsidP="00A47C7A">
      <w:pPr>
        <w:pStyle w:val="ListParagraph"/>
        <w:keepNext/>
        <w:suppressAutoHyphens/>
        <w:spacing w:before="120"/>
        <w:ind w:left="284"/>
        <w:jc w:val="both"/>
        <w:outlineLvl w:val="3"/>
        <w:rPr>
          <w:rFonts w:ascii="Calibri" w:eastAsia="Calibri" w:hAnsi="Calibri"/>
          <w:sz w:val="20"/>
          <w:szCs w:val="20"/>
        </w:rPr>
      </w:pPr>
      <w:r w:rsidRPr="00FA63AC">
        <w:rPr>
          <w:lang w:eastAsia="es-ES"/>
        </w:rPr>
        <w:fldChar w:fldCharType="begin"/>
      </w:r>
      <w:r w:rsidRPr="00FA63AC">
        <w:rPr>
          <w:lang w:eastAsia="es-ES"/>
        </w:rPr>
        <w:instrText xml:space="preserve"> LINK </w:instrText>
      </w:r>
      <w:r w:rsidR="00060E33" w:rsidRPr="00FA63AC">
        <w:rPr>
          <w:lang w:eastAsia="es-ES"/>
        </w:rPr>
        <w:instrText xml:space="preserve">Excel.Sheet.12 C:\\Users\\gazel\\Documents\\Documentos\\profis2-cons\\pernambuco\\impacto\\impacto.PEjan11.total.2.xlsx "custos e beneficios!L2C3:L10C14" </w:instrText>
      </w:r>
      <w:r w:rsidRPr="00FA63AC">
        <w:rPr>
          <w:lang w:eastAsia="es-ES"/>
        </w:rPr>
        <w:instrText xml:space="preserve">\a \f 4 \h  \* MERGEFORMAT </w:instrText>
      </w:r>
      <w:r w:rsidRPr="00FA63AC">
        <w:rPr>
          <w:lang w:eastAsia="es-ES"/>
        </w:rPr>
        <w:fldChar w:fldCharType="separate"/>
      </w:r>
    </w:p>
    <w:tbl>
      <w:tblPr>
        <w:tblW w:w="9606" w:type="dxa"/>
        <w:tblCellMar>
          <w:left w:w="70" w:type="dxa"/>
          <w:right w:w="70" w:type="dxa"/>
        </w:tblCellMar>
        <w:tblLook w:val="04A0" w:firstRow="1" w:lastRow="0" w:firstColumn="1" w:lastColumn="0" w:noHBand="0" w:noVBand="1"/>
      </w:tblPr>
      <w:tblGrid>
        <w:gridCol w:w="1701"/>
        <w:gridCol w:w="709"/>
        <w:gridCol w:w="709"/>
        <w:gridCol w:w="850"/>
        <w:gridCol w:w="709"/>
        <w:gridCol w:w="709"/>
        <w:gridCol w:w="665"/>
        <w:gridCol w:w="665"/>
        <w:gridCol w:w="665"/>
        <w:gridCol w:w="665"/>
        <w:gridCol w:w="742"/>
        <w:gridCol w:w="787"/>
        <w:gridCol w:w="30"/>
      </w:tblGrid>
      <w:tr w:rsidR="002A6724" w:rsidRPr="00FA63AC" w:rsidTr="002A6724">
        <w:trPr>
          <w:trHeight w:val="288"/>
        </w:trPr>
        <w:tc>
          <w:tcPr>
            <w:tcW w:w="9606" w:type="dxa"/>
            <w:gridSpan w:val="13"/>
            <w:tcBorders>
              <w:top w:val="nil"/>
              <w:left w:val="nil"/>
              <w:bottom w:val="single" w:sz="4" w:space="0" w:color="auto"/>
              <w:right w:val="nil"/>
            </w:tcBorders>
            <w:shd w:val="clear" w:color="auto" w:fill="auto"/>
            <w:noWrap/>
            <w:vAlign w:val="bottom"/>
            <w:hideMark/>
          </w:tcPr>
          <w:p w:rsidR="002A6724" w:rsidRPr="00FA63AC" w:rsidRDefault="002A6724" w:rsidP="002A6724">
            <w:pPr>
              <w:rPr>
                <w:rFonts w:ascii="Calibri" w:hAnsi="Calibri" w:cs="Calibri"/>
                <w:b/>
                <w:bCs/>
                <w:color w:val="000000"/>
                <w:sz w:val="22"/>
                <w:szCs w:val="22"/>
              </w:rPr>
            </w:pPr>
            <w:r w:rsidRPr="00FA63AC">
              <w:rPr>
                <w:rFonts w:ascii="Calibri" w:hAnsi="Calibri" w:cs="Calibri"/>
                <w:b/>
                <w:bCs/>
                <w:color w:val="000000"/>
                <w:sz w:val="22"/>
                <w:szCs w:val="22"/>
              </w:rPr>
              <w:t>Tabela 4: Custos PROFISCO II Pernambuco (em mil dólares)</w:t>
            </w:r>
          </w:p>
        </w:tc>
      </w:tr>
      <w:tr w:rsidR="002A6724" w:rsidRPr="00FA63AC" w:rsidTr="002A6724">
        <w:trPr>
          <w:gridAfter w:val="1"/>
          <w:wAfter w:w="3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2A6724" w:rsidRPr="00FA63AC" w:rsidRDefault="002A6724" w:rsidP="002A6724">
            <w:pPr>
              <w:rPr>
                <w:rFonts w:ascii="Calibri" w:hAnsi="Calibri" w:cs="Calibri"/>
                <w:color w:val="000000"/>
                <w:sz w:val="18"/>
                <w:szCs w:val="18"/>
              </w:rPr>
            </w:pPr>
            <w:r w:rsidRPr="00FA63AC">
              <w:rPr>
                <w:rFonts w:ascii="Calibri" w:hAnsi="Calibri" w:cs="Calibri"/>
                <w:color w:val="000000"/>
                <w:sz w:val="18"/>
                <w:szCs w:val="18"/>
              </w:rPr>
              <w:lastRenderedPageBreak/>
              <w:t> </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1</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2</w:t>
            </w:r>
          </w:p>
        </w:tc>
        <w:tc>
          <w:tcPr>
            <w:tcW w:w="850"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3</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4</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5</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6</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7</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8</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9</w:t>
            </w:r>
          </w:p>
        </w:tc>
        <w:tc>
          <w:tcPr>
            <w:tcW w:w="742"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ano 10</w:t>
            </w:r>
          </w:p>
        </w:tc>
        <w:tc>
          <w:tcPr>
            <w:tcW w:w="787"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center"/>
              <w:rPr>
                <w:rFonts w:ascii="Calibri" w:hAnsi="Calibri" w:cs="Calibri"/>
                <w:color w:val="000000"/>
                <w:sz w:val="18"/>
                <w:szCs w:val="18"/>
              </w:rPr>
            </w:pPr>
            <w:r w:rsidRPr="00FA63AC">
              <w:rPr>
                <w:rFonts w:ascii="Calibri" w:hAnsi="Calibri" w:cs="Calibri"/>
                <w:color w:val="000000"/>
                <w:sz w:val="18"/>
                <w:szCs w:val="18"/>
              </w:rPr>
              <w:t>Total</w:t>
            </w:r>
          </w:p>
        </w:tc>
      </w:tr>
      <w:tr w:rsidR="002A6724" w:rsidRPr="00FA63AC" w:rsidTr="002A6724">
        <w:trPr>
          <w:gridAfter w:val="1"/>
          <w:wAfter w:w="3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2A6724" w:rsidRPr="00FA63AC" w:rsidRDefault="002A6724" w:rsidP="002A6724">
            <w:pPr>
              <w:rPr>
                <w:rFonts w:ascii="Calibri" w:hAnsi="Calibri" w:cs="Calibri"/>
                <w:color w:val="000000"/>
                <w:sz w:val="18"/>
                <w:szCs w:val="18"/>
              </w:rPr>
            </w:pPr>
            <w:r w:rsidRPr="00FA63AC">
              <w:rPr>
                <w:rFonts w:ascii="Calibri" w:hAnsi="Calibri" w:cs="Calibri"/>
                <w:color w:val="000000"/>
                <w:sz w:val="18"/>
                <w:szCs w:val="18"/>
              </w:rPr>
              <w:t>Custos totais</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-4.873</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-13.629</w:t>
            </w:r>
          </w:p>
        </w:tc>
        <w:tc>
          <w:tcPr>
            <w:tcW w:w="850"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-14.852</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-11.877</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-11.387</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-5.402</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-5.360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-5.318</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-5.277</w:t>
            </w:r>
          </w:p>
        </w:tc>
        <w:tc>
          <w:tcPr>
            <w:tcW w:w="742"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-4.923</w:t>
            </w:r>
          </w:p>
        </w:tc>
        <w:tc>
          <w:tcPr>
            <w:tcW w:w="787"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-82.897</w:t>
            </w:r>
          </w:p>
        </w:tc>
      </w:tr>
      <w:tr w:rsidR="002A6724" w:rsidRPr="00FA63AC" w:rsidTr="002A6724">
        <w:trPr>
          <w:gridAfter w:val="1"/>
          <w:wAfter w:w="3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2A6724" w:rsidRPr="00FA63AC" w:rsidRDefault="002A6724" w:rsidP="002A6724">
            <w:pPr>
              <w:rPr>
                <w:rFonts w:ascii="Calibri" w:hAnsi="Calibri" w:cs="Calibri"/>
                <w:color w:val="000000"/>
                <w:sz w:val="18"/>
                <w:szCs w:val="18"/>
              </w:rPr>
            </w:pPr>
            <w:r w:rsidRPr="00FA63AC">
              <w:rPr>
                <w:rFonts w:ascii="Calibri" w:hAnsi="Calibri" w:cs="Calibri"/>
                <w:color w:val="000000"/>
                <w:sz w:val="18"/>
                <w:szCs w:val="18"/>
              </w:rPr>
              <w:t>Financiamento</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-4.607</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-10.856</w:t>
            </w:r>
          </w:p>
        </w:tc>
        <w:tc>
          <w:tcPr>
            <w:tcW w:w="850"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-10.563</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-6.189</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ind w:hanging="218"/>
              <w:jc w:val="right"/>
              <w:rPr>
                <w:rFonts w:ascii="Calibri" w:hAnsi="Calibri" w:cs="Calibri"/>
                <w:color w:val="000000"/>
                <w:sz w:val="18"/>
                <w:szCs w:val="18"/>
              </w:rPr>
            </w:pPr>
            <w:r w:rsidRPr="00FA63AC">
              <w:rPr>
                <w:rFonts w:ascii="Calibri" w:hAnsi="Calibri" w:cs="Calibri"/>
                <w:color w:val="000000"/>
                <w:sz w:val="18"/>
                <w:szCs w:val="18"/>
              </w:rPr>
              <w:t>-4.785</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742"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787"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-37.000</w:t>
            </w:r>
          </w:p>
        </w:tc>
      </w:tr>
      <w:tr w:rsidR="002A6724" w:rsidRPr="00FA63AC" w:rsidTr="002A6724">
        <w:trPr>
          <w:gridAfter w:val="1"/>
          <w:wAfter w:w="3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2A6724" w:rsidRPr="00FA63AC" w:rsidRDefault="002A6724" w:rsidP="002A6724">
            <w:pPr>
              <w:rPr>
                <w:rFonts w:ascii="Calibri" w:hAnsi="Calibri" w:cs="Calibri"/>
                <w:color w:val="000000"/>
                <w:sz w:val="18"/>
                <w:szCs w:val="18"/>
              </w:rPr>
            </w:pPr>
            <w:r w:rsidRPr="00FA63AC">
              <w:rPr>
                <w:rFonts w:ascii="Calibri" w:hAnsi="Calibri" w:cs="Calibri"/>
                <w:color w:val="000000"/>
                <w:sz w:val="18"/>
                <w:szCs w:val="18"/>
              </w:rPr>
              <w:t>Contrapartida local</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-1.850</w:t>
            </w:r>
          </w:p>
        </w:tc>
        <w:tc>
          <w:tcPr>
            <w:tcW w:w="850"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-1.850</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-1.850</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-1.850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742"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787"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-7.400</w:t>
            </w:r>
          </w:p>
        </w:tc>
      </w:tr>
      <w:tr w:rsidR="002A6724" w:rsidRPr="00FA63AC" w:rsidTr="002A6724">
        <w:trPr>
          <w:gridAfter w:val="1"/>
          <w:wAfter w:w="3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2A6724" w:rsidRPr="00FA63AC" w:rsidRDefault="002A6724" w:rsidP="002A6724">
            <w:pPr>
              <w:rPr>
                <w:rFonts w:ascii="Calibri" w:hAnsi="Calibri" w:cs="Calibri"/>
                <w:color w:val="000000"/>
                <w:sz w:val="18"/>
                <w:szCs w:val="18"/>
              </w:rPr>
            </w:pPr>
            <w:r w:rsidRPr="00FA63AC">
              <w:rPr>
                <w:rFonts w:ascii="Calibri" w:hAnsi="Calibri" w:cs="Calibri"/>
                <w:color w:val="000000"/>
                <w:sz w:val="18"/>
                <w:szCs w:val="18"/>
              </w:rPr>
              <w:t>Juros</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-104</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-354</w:t>
            </w:r>
          </w:p>
        </w:tc>
        <w:tc>
          <w:tcPr>
            <w:tcW w:w="850"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-586</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-725</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-833</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-791</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-749</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-708</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-666</w:t>
            </w:r>
          </w:p>
        </w:tc>
        <w:tc>
          <w:tcPr>
            <w:tcW w:w="742"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-624</w:t>
            </w:r>
          </w:p>
        </w:tc>
        <w:tc>
          <w:tcPr>
            <w:tcW w:w="787"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-6.139</w:t>
            </w:r>
          </w:p>
        </w:tc>
      </w:tr>
      <w:tr w:rsidR="002A6724" w:rsidRPr="00FA63AC" w:rsidTr="002A6724">
        <w:trPr>
          <w:gridAfter w:val="1"/>
          <w:wAfter w:w="3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2A6724" w:rsidRPr="00FA63AC" w:rsidRDefault="002A6724" w:rsidP="002A6724">
            <w:pPr>
              <w:rPr>
                <w:rFonts w:ascii="Calibri" w:hAnsi="Calibri" w:cs="Calibri"/>
                <w:color w:val="000000"/>
                <w:sz w:val="18"/>
                <w:szCs w:val="18"/>
              </w:rPr>
            </w:pPr>
            <w:r w:rsidRPr="00FA63AC">
              <w:rPr>
                <w:rFonts w:ascii="Calibri" w:hAnsi="Calibri" w:cs="Calibri"/>
                <w:color w:val="000000"/>
                <w:sz w:val="18"/>
                <w:szCs w:val="18"/>
              </w:rPr>
              <w:t>Comissão de crédito</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-162</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-108</w:t>
            </w:r>
          </w:p>
        </w:tc>
        <w:tc>
          <w:tcPr>
            <w:tcW w:w="850"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-55</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-24</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742"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787"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-348</w:t>
            </w:r>
          </w:p>
        </w:tc>
      </w:tr>
      <w:tr w:rsidR="002A6724" w:rsidRPr="00FA63AC" w:rsidTr="002A6724">
        <w:trPr>
          <w:gridAfter w:val="1"/>
          <w:wAfter w:w="3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2A6724" w:rsidRPr="00FA63AC" w:rsidRDefault="002A6724" w:rsidP="002A6724">
            <w:pPr>
              <w:rPr>
                <w:rFonts w:ascii="Calibri" w:hAnsi="Calibri" w:cs="Calibri"/>
                <w:color w:val="000000"/>
                <w:sz w:val="18"/>
                <w:szCs w:val="18"/>
              </w:rPr>
            </w:pPr>
            <w:r w:rsidRPr="00FA63AC">
              <w:rPr>
                <w:rFonts w:ascii="Calibri" w:hAnsi="Calibri" w:cs="Calibri"/>
                <w:color w:val="000000"/>
                <w:sz w:val="18"/>
                <w:szCs w:val="18"/>
              </w:rPr>
              <w:t>Manutenção</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-461</w:t>
            </w:r>
          </w:p>
        </w:tc>
        <w:tc>
          <w:tcPr>
            <w:tcW w:w="850"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-1.798</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-3.089</w:t>
            </w:r>
          </w:p>
        </w:tc>
        <w:tc>
          <w:tcPr>
            <w:tcW w:w="709"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-3.919</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-4.611</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-4.611</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-4.611</w:t>
            </w:r>
          </w:p>
        </w:tc>
        <w:tc>
          <w:tcPr>
            <w:tcW w:w="665"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-4.611</w:t>
            </w:r>
          </w:p>
        </w:tc>
        <w:tc>
          <w:tcPr>
            <w:tcW w:w="742"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-4.299</w:t>
            </w:r>
          </w:p>
        </w:tc>
        <w:tc>
          <w:tcPr>
            <w:tcW w:w="787" w:type="dxa"/>
            <w:tcBorders>
              <w:top w:val="nil"/>
              <w:left w:val="nil"/>
              <w:bottom w:val="single" w:sz="4" w:space="0" w:color="auto"/>
              <w:right w:val="single" w:sz="4" w:space="0" w:color="auto"/>
            </w:tcBorders>
            <w:shd w:val="clear" w:color="auto" w:fill="auto"/>
            <w:noWrap/>
            <w:vAlign w:val="bottom"/>
            <w:hideMark/>
          </w:tcPr>
          <w:p w:rsidR="002A6724" w:rsidRPr="00FA63AC" w:rsidRDefault="002A6724" w:rsidP="002A6724">
            <w:pPr>
              <w:jc w:val="right"/>
              <w:rPr>
                <w:rFonts w:ascii="Calibri" w:hAnsi="Calibri" w:cs="Calibri"/>
                <w:color w:val="000000"/>
                <w:sz w:val="18"/>
                <w:szCs w:val="18"/>
              </w:rPr>
            </w:pPr>
            <w:r w:rsidRPr="00FA63AC">
              <w:rPr>
                <w:rFonts w:ascii="Calibri" w:hAnsi="Calibri" w:cs="Calibri"/>
                <w:color w:val="000000"/>
                <w:sz w:val="18"/>
                <w:szCs w:val="18"/>
              </w:rPr>
              <w:t>-32.010</w:t>
            </w:r>
          </w:p>
        </w:tc>
      </w:tr>
      <w:tr w:rsidR="002A6724" w:rsidRPr="00FA63AC" w:rsidTr="002A6724">
        <w:trPr>
          <w:trHeight w:val="288"/>
        </w:trPr>
        <w:tc>
          <w:tcPr>
            <w:tcW w:w="9606" w:type="dxa"/>
            <w:gridSpan w:val="13"/>
            <w:tcBorders>
              <w:top w:val="single" w:sz="4" w:space="0" w:color="auto"/>
              <w:left w:val="nil"/>
              <w:bottom w:val="nil"/>
              <w:right w:val="nil"/>
            </w:tcBorders>
            <w:shd w:val="clear" w:color="auto" w:fill="auto"/>
            <w:noWrap/>
            <w:vAlign w:val="center"/>
            <w:hideMark/>
          </w:tcPr>
          <w:p w:rsidR="002A6724" w:rsidRPr="00FA63AC" w:rsidRDefault="002A6724" w:rsidP="002A6724">
            <w:pPr>
              <w:rPr>
                <w:rFonts w:ascii="Calibri" w:hAnsi="Calibri" w:cs="Calibri"/>
                <w:color w:val="000000"/>
                <w:sz w:val="18"/>
                <w:szCs w:val="18"/>
              </w:rPr>
            </w:pPr>
            <w:r w:rsidRPr="00FA63AC">
              <w:rPr>
                <w:rFonts w:ascii="Calibri" w:hAnsi="Calibri" w:cs="Calibri"/>
                <w:color w:val="000000"/>
                <w:sz w:val="18"/>
                <w:szCs w:val="18"/>
              </w:rPr>
              <w:t>Fonte: Cálculos do autor baseados nos Custos totais do projeto.</w:t>
            </w:r>
          </w:p>
        </w:tc>
      </w:tr>
    </w:tbl>
    <w:p w:rsidR="00A81E05" w:rsidRPr="00FA63AC" w:rsidRDefault="002A6724" w:rsidP="002A6724">
      <w:pPr>
        <w:pStyle w:val="ListParagraph"/>
        <w:keepNext/>
        <w:suppressAutoHyphens/>
        <w:spacing w:before="120"/>
        <w:ind w:left="284"/>
        <w:jc w:val="both"/>
        <w:outlineLvl w:val="3"/>
        <w:rPr>
          <w:bCs/>
          <w:lang w:eastAsia="es-ES"/>
        </w:rPr>
      </w:pPr>
      <w:r w:rsidRPr="00FA63AC">
        <w:rPr>
          <w:bCs/>
          <w:lang w:eastAsia="es-ES"/>
        </w:rPr>
        <w:fldChar w:fldCharType="end"/>
      </w:r>
    </w:p>
    <w:p w:rsidR="0030158A" w:rsidRPr="00FA63AC" w:rsidRDefault="0030158A" w:rsidP="007266FB">
      <w:pPr>
        <w:pStyle w:val="Heading2"/>
        <w:numPr>
          <w:ilvl w:val="0"/>
          <w:numId w:val="9"/>
        </w:numPr>
        <w:rPr>
          <w:lang w:eastAsia="es-ES"/>
        </w:rPr>
      </w:pPr>
      <w:bookmarkStart w:id="21" w:name="_Toc503777178"/>
      <w:r w:rsidRPr="00FA63AC">
        <w:rPr>
          <w:lang w:eastAsia="es-ES"/>
        </w:rPr>
        <w:t>Benefícios</w:t>
      </w:r>
      <w:bookmarkEnd w:id="21"/>
    </w:p>
    <w:p w:rsidR="003703C4" w:rsidRPr="00FA63AC" w:rsidRDefault="003703C4"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O PROFISCO II inclui três grandes áreas de atuação </w:t>
      </w:r>
      <w:r w:rsidR="000E3923" w:rsidRPr="00FA63AC">
        <w:rPr>
          <w:bCs/>
          <w:lang w:eastAsia="es-ES"/>
        </w:rPr>
        <w:t>divididas em um total de 13</w:t>
      </w:r>
      <w:r w:rsidR="00A81E05" w:rsidRPr="00FA63AC">
        <w:rPr>
          <w:bCs/>
          <w:lang w:eastAsia="es-ES"/>
        </w:rPr>
        <w:t xml:space="preserve"> </w:t>
      </w:r>
      <w:r w:rsidRPr="00FA63AC">
        <w:rPr>
          <w:bCs/>
          <w:lang w:eastAsia="es-ES"/>
        </w:rPr>
        <w:t xml:space="preserve">produtos. Quase todos os produtos gerarão aumento de receita, economia para o contribuinte ou redução de gastos para o governo. Para a análise C-B foram selecionados apenas </w:t>
      </w:r>
      <w:r w:rsidR="000E3923" w:rsidRPr="00FA63AC">
        <w:rPr>
          <w:bCs/>
          <w:lang w:eastAsia="es-ES"/>
        </w:rPr>
        <w:t>três produtos, um por cada componente, que c</w:t>
      </w:r>
      <w:r w:rsidRPr="00FA63AC">
        <w:rPr>
          <w:bCs/>
          <w:lang w:eastAsia="es-ES"/>
        </w:rPr>
        <w:t xml:space="preserve">aracterizam bem </w:t>
      </w:r>
      <w:r w:rsidR="000E3923" w:rsidRPr="00FA63AC">
        <w:rPr>
          <w:bCs/>
          <w:lang w:eastAsia="es-ES"/>
        </w:rPr>
        <w:t>os</w:t>
      </w:r>
      <w:r w:rsidRPr="00FA63AC">
        <w:rPr>
          <w:bCs/>
          <w:lang w:eastAsia="es-ES"/>
        </w:rPr>
        <w:t xml:space="preserve"> </w:t>
      </w:r>
      <w:r w:rsidR="007F1132" w:rsidRPr="00FA63AC">
        <w:rPr>
          <w:bCs/>
          <w:lang w:eastAsia="es-ES"/>
        </w:rPr>
        <w:t xml:space="preserve">ganhos </w:t>
      </w:r>
      <w:r w:rsidRPr="00FA63AC">
        <w:rPr>
          <w:bCs/>
          <w:lang w:eastAsia="es-ES"/>
        </w:rPr>
        <w:t>potenciais e que contam com disponibilidade de dados para identificar e quantificar adequadamente os benefícios.</w:t>
      </w:r>
    </w:p>
    <w:p w:rsidR="002D7848" w:rsidRPr="00FA63AC" w:rsidRDefault="002D7848" w:rsidP="002D7848">
      <w:pPr>
        <w:pStyle w:val="ListParagraph"/>
        <w:keepNext/>
        <w:tabs>
          <w:tab w:val="num" w:pos="1499"/>
        </w:tabs>
        <w:suppressAutoHyphens/>
        <w:spacing w:before="120"/>
        <w:ind w:left="851"/>
        <w:jc w:val="both"/>
        <w:outlineLvl w:val="3"/>
        <w:rPr>
          <w:bCs/>
          <w:lang w:eastAsia="es-ES"/>
        </w:rPr>
      </w:pPr>
    </w:p>
    <w:p w:rsidR="0030158A" w:rsidRPr="00FA63AC" w:rsidRDefault="000A1E09" w:rsidP="007F1132">
      <w:pPr>
        <w:pStyle w:val="Heading3"/>
        <w:spacing w:before="120"/>
        <w:rPr>
          <w:lang w:eastAsia="es-ES"/>
        </w:rPr>
      </w:pPr>
      <w:bookmarkStart w:id="22" w:name="_Toc503777179"/>
      <w:r w:rsidRPr="00FA63AC">
        <w:rPr>
          <w:lang w:eastAsia="es-ES"/>
        </w:rPr>
        <w:t>B.1</w:t>
      </w:r>
      <w:r w:rsidRPr="00FA63AC">
        <w:rPr>
          <w:lang w:eastAsia="es-ES"/>
        </w:rPr>
        <w:tab/>
      </w:r>
      <w:r w:rsidR="0030158A" w:rsidRPr="00FA63AC">
        <w:rPr>
          <w:lang w:eastAsia="es-ES"/>
        </w:rPr>
        <w:t>Aumento de Arrecadação</w:t>
      </w:r>
      <w:bookmarkEnd w:id="22"/>
    </w:p>
    <w:p w:rsidR="003502B5" w:rsidRPr="00FA63AC" w:rsidRDefault="003502B5" w:rsidP="003502B5">
      <w:pPr>
        <w:pStyle w:val="ListParagraph"/>
        <w:keepNext/>
        <w:suppressAutoHyphens/>
        <w:spacing w:before="120" w:after="120"/>
        <w:ind w:left="851"/>
        <w:jc w:val="both"/>
        <w:outlineLvl w:val="2"/>
        <w:rPr>
          <w:bCs/>
          <w:lang w:eastAsia="es-ES"/>
        </w:rPr>
      </w:pPr>
      <w:bookmarkStart w:id="23" w:name="_Toc494137332"/>
    </w:p>
    <w:p w:rsidR="008759BC" w:rsidRPr="00FA63AC" w:rsidRDefault="008759BC"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O </w:t>
      </w:r>
      <w:r w:rsidRPr="00FA63AC">
        <w:rPr>
          <w:rFonts w:ascii="Arial" w:hAnsi="Arial" w:cs="Arial"/>
          <w:sz w:val="22"/>
          <w:szCs w:val="22"/>
        </w:rPr>
        <w:t xml:space="preserve">Componente II (Administração tributária e contencioso fiscal) </w:t>
      </w:r>
      <w:r w:rsidRPr="00FA63AC">
        <w:rPr>
          <w:bCs/>
          <w:lang w:eastAsia="es-ES"/>
        </w:rPr>
        <w:t>do PROFISCO II financiará iniciativas que buscam aumentar a arrecadação própria d</w:t>
      </w:r>
      <w:r w:rsidR="00271751" w:rsidRPr="00FA63AC">
        <w:rPr>
          <w:bCs/>
          <w:lang w:eastAsia="es-ES"/>
        </w:rPr>
        <w:t>e Pernambuco</w:t>
      </w:r>
      <w:r w:rsidRPr="00FA63AC">
        <w:rPr>
          <w:bCs/>
          <w:lang w:eastAsia="es-ES"/>
        </w:rPr>
        <w:t xml:space="preserve">, incluindo, entre outras: </w:t>
      </w:r>
      <w:r w:rsidR="00271751" w:rsidRPr="00FA63AC">
        <w:rPr>
          <w:bCs/>
          <w:lang w:eastAsia="es-ES"/>
        </w:rPr>
        <w:t>(i) um novo sistema para concessão, gestão e monitoramento dos incentivos fiscais; (ii) a integração com o Portal Único de Comércio Exterior para o pagamento de impostos relacionados às importações e exportações; (iii) um modelo de fiscalização das mercadorias em trânsito reestruturado, contemplando a criação do posto fiscal virtual de controle de mercadorias em trânsito (ePostoPE)</w:t>
      </w:r>
      <w:r w:rsidR="00DC262D" w:rsidRPr="00FA63AC">
        <w:rPr>
          <w:bCs/>
          <w:lang w:eastAsia="es-ES"/>
        </w:rPr>
        <w:t>; (iv)</w:t>
      </w:r>
      <w:r w:rsidR="00271751" w:rsidRPr="00FA63AC">
        <w:rPr>
          <w:bCs/>
          <w:lang w:eastAsia="es-ES"/>
        </w:rPr>
        <w:t xml:space="preserve"> ampliação da central de operações estratégicas</w:t>
      </w:r>
      <w:r w:rsidR="00DC262D" w:rsidRPr="00FA63AC">
        <w:rPr>
          <w:bCs/>
          <w:lang w:eastAsia="es-ES"/>
        </w:rPr>
        <w:t xml:space="preserve">, </w:t>
      </w:r>
      <w:r w:rsidR="00271751" w:rsidRPr="00FA63AC">
        <w:rPr>
          <w:bCs/>
          <w:lang w:eastAsia="es-ES"/>
        </w:rPr>
        <w:t>nova metodologia de análise de riscos dos contribuintes com a incorporação de novas  soluções de mineração de dados implantada; e (iv) implantação de uma nova sistemática de recuperação do crédito incluindo a sistematização da Régua de Cobrança, contemplando a criação  de novas estratégias e prazos para recuperação do crédito tributário</w:t>
      </w:r>
      <w:r w:rsidR="00DC262D" w:rsidRPr="00FA63AC">
        <w:rPr>
          <w:bCs/>
          <w:lang w:eastAsia="es-ES"/>
        </w:rPr>
        <w:t>.</w:t>
      </w:r>
      <w:r w:rsidR="00CE6A29" w:rsidRPr="00FA63AC">
        <w:rPr>
          <w:bCs/>
          <w:lang w:eastAsia="es-ES"/>
        </w:rPr>
        <w:t>.</w:t>
      </w:r>
    </w:p>
    <w:p w:rsidR="003502B5" w:rsidRPr="00FA63AC" w:rsidRDefault="002B08A7" w:rsidP="007266FB">
      <w:pPr>
        <w:pStyle w:val="ListParagraph"/>
        <w:keepNext/>
        <w:numPr>
          <w:ilvl w:val="1"/>
          <w:numId w:val="2"/>
        </w:numPr>
        <w:suppressAutoHyphens/>
        <w:spacing w:before="120"/>
        <w:ind w:left="851" w:hanging="567"/>
        <w:jc w:val="both"/>
        <w:outlineLvl w:val="2"/>
        <w:rPr>
          <w:bCs/>
          <w:lang w:eastAsia="es-ES"/>
        </w:rPr>
      </w:pPr>
      <w:bookmarkStart w:id="24" w:name="_Toc503777007"/>
      <w:bookmarkStart w:id="25" w:name="_Toc503777180"/>
      <w:bookmarkStart w:id="26" w:name="_Toc494137333"/>
      <w:bookmarkEnd w:id="23"/>
      <w:r w:rsidRPr="00FA63AC">
        <w:rPr>
          <w:bCs/>
          <w:lang w:eastAsia="es-ES"/>
        </w:rPr>
        <w:t>Todas as ações descritas acima</w:t>
      </w:r>
      <w:r w:rsidR="003502B5" w:rsidRPr="00FA63AC">
        <w:rPr>
          <w:bCs/>
          <w:lang w:eastAsia="es-ES"/>
        </w:rPr>
        <w:t>, especialmente o uso mais intensivo de tecnologia na gestão tributária,</w:t>
      </w:r>
      <w:r w:rsidRPr="00FA63AC">
        <w:rPr>
          <w:bCs/>
          <w:lang w:eastAsia="es-ES"/>
        </w:rPr>
        <w:t xml:space="preserve"> irão impactar n</w:t>
      </w:r>
      <w:r w:rsidR="00DC262D" w:rsidRPr="00FA63AC">
        <w:rPr>
          <w:bCs/>
          <w:lang w:eastAsia="es-ES"/>
        </w:rPr>
        <w:t>o aumento da arrecadação através da redução da evasão fiscal</w:t>
      </w:r>
      <w:r w:rsidRPr="00FA63AC">
        <w:rPr>
          <w:bCs/>
          <w:lang w:eastAsia="es-ES"/>
        </w:rPr>
        <w:t>.</w:t>
      </w:r>
      <w:r w:rsidR="006F1E49" w:rsidRPr="00FA63AC">
        <w:rPr>
          <w:rStyle w:val="FootnoteReference"/>
          <w:bCs/>
          <w:lang w:eastAsia="es-ES"/>
        </w:rPr>
        <w:footnoteReference w:id="9"/>
      </w:r>
      <w:bookmarkEnd w:id="24"/>
      <w:bookmarkEnd w:id="25"/>
      <w:r w:rsidRPr="00FA63AC">
        <w:rPr>
          <w:bCs/>
          <w:lang w:eastAsia="es-ES"/>
        </w:rPr>
        <w:t xml:space="preserve"> </w:t>
      </w:r>
    </w:p>
    <w:p w:rsidR="002D26A2" w:rsidRPr="00FA63AC" w:rsidRDefault="00532631" w:rsidP="007266FB">
      <w:pPr>
        <w:pStyle w:val="ListParagraph"/>
        <w:keepNext/>
        <w:numPr>
          <w:ilvl w:val="1"/>
          <w:numId w:val="2"/>
        </w:numPr>
        <w:suppressAutoHyphens/>
        <w:spacing w:before="120"/>
        <w:ind w:left="851" w:hanging="711"/>
        <w:jc w:val="both"/>
        <w:outlineLvl w:val="3"/>
        <w:rPr>
          <w:bCs/>
          <w:lang w:eastAsia="es-ES"/>
        </w:rPr>
      </w:pPr>
      <w:r w:rsidRPr="00FA63AC">
        <w:rPr>
          <w:bCs/>
          <w:lang w:eastAsia="es-ES"/>
        </w:rPr>
        <w:t>Para a análise</w:t>
      </w:r>
      <w:r w:rsidR="002B08A7" w:rsidRPr="00FA63AC">
        <w:rPr>
          <w:bCs/>
          <w:lang w:eastAsia="es-ES"/>
        </w:rPr>
        <w:t xml:space="preserve"> C-B, </w:t>
      </w:r>
      <w:bookmarkEnd w:id="26"/>
      <w:r w:rsidR="008759BC" w:rsidRPr="00FA63AC">
        <w:rPr>
          <w:bCs/>
          <w:lang w:eastAsia="es-ES"/>
        </w:rPr>
        <w:t xml:space="preserve">foi analisado um simples exemplo que conta com dados disponíveis e adequados para a medição de aumentos de arrecadação frente a uma experiência similar em outro estado. </w:t>
      </w:r>
    </w:p>
    <w:p w:rsidR="008759BC" w:rsidRPr="00FA63AC" w:rsidRDefault="007538DA" w:rsidP="007266FB">
      <w:pPr>
        <w:pStyle w:val="ListParagraph"/>
        <w:keepNext/>
        <w:numPr>
          <w:ilvl w:val="1"/>
          <w:numId w:val="2"/>
        </w:numPr>
        <w:shd w:val="clear" w:color="auto" w:fill="FFFFFF"/>
        <w:suppressAutoHyphens/>
        <w:spacing w:before="120" w:after="150"/>
        <w:ind w:left="851" w:hanging="567"/>
        <w:jc w:val="both"/>
        <w:outlineLvl w:val="3"/>
        <w:rPr>
          <w:bCs/>
          <w:lang w:eastAsia="es-ES"/>
        </w:rPr>
      </w:pPr>
      <w:r w:rsidRPr="00FA63AC">
        <w:rPr>
          <w:b/>
          <w:bCs/>
          <w:lang w:eastAsia="es-ES"/>
        </w:rPr>
        <w:t>Exemplo</w:t>
      </w:r>
      <w:r w:rsidRPr="00FA63AC">
        <w:rPr>
          <w:bCs/>
          <w:lang w:eastAsia="es-ES"/>
        </w:rPr>
        <w:t xml:space="preserve">: O Estado de Goiás adotou a Fiscalização Inteligente e Seletiva (FIS) em dezembro de 2016, possibilitando o cruzamento de um grande volume de dados gerando indicadores de identificação de potenciais fraudadores de </w:t>
      </w:r>
      <w:r w:rsidRPr="00FA63AC">
        <w:rPr>
          <w:bCs/>
          <w:lang w:eastAsia="es-ES"/>
        </w:rPr>
        <w:lastRenderedPageBreak/>
        <w:t>impostos. O sistema inclui informações de todos os envolvidos com a movimentação de mercadorias: industriais, distribuidores, varejistas, transportadoras, motoristas e contadores. Se um deles for citado em autos de infração, multas ou irregularidades, o cadastro é incluído como potencial fraudador</w:t>
      </w:r>
      <w:r w:rsidR="008759BC" w:rsidRPr="00FA63AC">
        <w:rPr>
          <w:bCs/>
          <w:lang w:eastAsia="es-ES"/>
        </w:rPr>
        <w:t>. Q</w:t>
      </w:r>
      <w:r w:rsidRPr="00FA63AC">
        <w:rPr>
          <w:bCs/>
          <w:lang w:eastAsia="es-ES"/>
        </w:rPr>
        <w:t>uanto mais frequentes as ocorrências registradas e maior o número de sonegadores contumazes envolvidos, maior é o alerta emitido para determinada carga, via mobile (smartphones) com geolocalização e leitura de caracteres de placas de veículos. Assim, a mercadoria é acompanhada em tempo real pelas rodovias a partir do momento em que a nota fiscal é emitida. Os fiscais abordam especificamente os veículos com cargas suspeitas de sonegação. Os auditores, por sua vez, têm acesso em tempo real a outros processos e podem incluir novos registros imediatamente.</w:t>
      </w:r>
    </w:p>
    <w:p w:rsidR="008759BC" w:rsidRPr="00FA63AC" w:rsidRDefault="008759BC" w:rsidP="007266FB">
      <w:pPr>
        <w:pStyle w:val="ListParagraph"/>
        <w:keepNext/>
        <w:numPr>
          <w:ilvl w:val="1"/>
          <w:numId w:val="2"/>
        </w:numPr>
        <w:shd w:val="clear" w:color="auto" w:fill="FFFFFF"/>
        <w:suppressAutoHyphens/>
        <w:spacing w:before="120" w:after="150"/>
        <w:ind w:left="851" w:hanging="567"/>
        <w:jc w:val="both"/>
        <w:outlineLvl w:val="3"/>
        <w:rPr>
          <w:bCs/>
          <w:lang w:eastAsia="es-ES"/>
        </w:rPr>
      </w:pPr>
      <w:r w:rsidRPr="00FA63AC">
        <w:rPr>
          <w:bCs/>
          <w:lang w:eastAsia="es-ES"/>
        </w:rPr>
        <w:t xml:space="preserve">Os resultados são bastante positivos. Com o uso do FIS, o valor das autuações no transito de mercadoria cresceu 25,4% </w:t>
      </w:r>
      <w:r w:rsidR="00C976B8" w:rsidRPr="00FA63AC">
        <w:rPr>
          <w:bCs/>
          <w:lang w:eastAsia="es-ES"/>
        </w:rPr>
        <w:t>em termos nominais e 16,7% em termos reais, nos primeiros seis meses de 2017 comparado com igual período do ano anterior, lembrando que o FIS foi implantado em dezembro de 2016</w:t>
      </w:r>
      <w:r w:rsidR="00171A3D" w:rsidRPr="00FA63AC">
        <w:rPr>
          <w:bCs/>
          <w:lang w:eastAsia="es-ES"/>
        </w:rPr>
        <w:t>, como mostra a Tabela 5</w:t>
      </w:r>
      <w:r w:rsidR="00C976B8" w:rsidRPr="00FA63AC">
        <w:rPr>
          <w:bCs/>
          <w:lang w:eastAsia="es-ES"/>
        </w:rPr>
        <w:t>.</w:t>
      </w:r>
    </w:p>
    <w:tbl>
      <w:tblPr>
        <w:tblW w:w="7539" w:type="dxa"/>
        <w:tblInd w:w="1169" w:type="dxa"/>
        <w:tblLook w:val="04A0" w:firstRow="1" w:lastRow="0" w:firstColumn="1" w:lastColumn="0" w:noHBand="0" w:noVBand="1"/>
      </w:tblPr>
      <w:tblGrid>
        <w:gridCol w:w="2200"/>
        <w:gridCol w:w="2551"/>
        <w:gridCol w:w="2552"/>
        <w:gridCol w:w="236"/>
      </w:tblGrid>
      <w:tr w:rsidR="002A3538" w:rsidRPr="00FA63AC" w:rsidTr="0049487D">
        <w:trPr>
          <w:trHeight w:val="300"/>
        </w:trPr>
        <w:tc>
          <w:tcPr>
            <w:tcW w:w="7303" w:type="dxa"/>
            <w:gridSpan w:val="3"/>
            <w:tcBorders>
              <w:top w:val="nil"/>
              <w:left w:val="nil"/>
              <w:bottom w:val="single" w:sz="4" w:space="0" w:color="auto"/>
              <w:right w:val="nil"/>
            </w:tcBorders>
            <w:shd w:val="clear" w:color="auto" w:fill="auto"/>
            <w:noWrap/>
            <w:vAlign w:val="bottom"/>
            <w:hideMark/>
          </w:tcPr>
          <w:p w:rsidR="002A3538" w:rsidRPr="00FA63AC" w:rsidRDefault="002A3538" w:rsidP="00F159EA">
            <w:pPr>
              <w:rPr>
                <w:rFonts w:ascii="Calibri" w:hAnsi="Calibri" w:cs="Calibri"/>
                <w:b/>
                <w:color w:val="000000"/>
                <w:sz w:val="22"/>
                <w:szCs w:val="22"/>
              </w:rPr>
            </w:pPr>
            <w:r w:rsidRPr="00FA63AC">
              <w:rPr>
                <w:rFonts w:ascii="Calibri" w:hAnsi="Calibri" w:cs="Calibri"/>
                <w:b/>
                <w:color w:val="000000"/>
                <w:sz w:val="22"/>
                <w:szCs w:val="22"/>
              </w:rPr>
              <w:t>Tabela 5: Crescimento autuação trânsito mercadorias - Goiás - R$ e %</w:t>
            </w:r>
          </w:p>
        </w:tc>
        <w:tc>
          <w:tcPr>
            <w:tcW w:w="236" w:type="dxa"/>
            <w:tcBorders>
              <w:top w:val="nil"/>
              <w:left w:val="nil"/>
              <w:bottom w:val="nil"/>
              <w:right w:val="nil"/>
            </w:tcBorders>
            <w:shd w:val="clear" w:color="auto" w:fill="auto"/>
            <w:noWrap/>
            <w:vAlign w:val="bottom"/>
            <w:hideMark/>
          </w:tcPr>
          <w:p w:rsidR="002A3538" w:rsidRPr="00FA63AC" w:rsidRDefault="002A3538" w:rsidP="00F159EA">
            <w:pPr>
              <w:rPr>
                <w:rFonts w:ascii="Calibri" w:hAnsi="Calibri" w:cs="Calibri"/>
                <w:b/>
                <w:color w:val="000000"/>
                <w:sz w:val="22"/>
                <w:szCs w:val="22"/>
              </w:rPr>
            </w:pPr>
          </w:p>
        </w:tc>
      </w:tr>
      <w:tr w:rsidR="002A3538" w:rsidRPr="00FA63AC" w:rsidTr="0049487D">
        <w:trPr>
          <w:gridAfter w:val="1"/>
          <w:wAfter w:w="236" w:type="dxa"/>
          <w:trHeight w:val="300"/>
        </w:trPr>
        <w:tc>
          <w:tcPr>
            <w:tcW w:w="2200" w:type="dxa"/>
            <w:tcBorders>
              <w:top w:val="nil"/>
              <w:left w:val="single" w:sz="4" w:space="0" w:color="auto"/>
              <w:bottom w:val="single" w:sz="4" w:space="0" w:color="auto"/>
              <w:right w:val="nil"/>
            </w:tcBorders>
            <w:shd w:val="clear" w:color="auto" w:fill="auto"/>
            <w:noWrap/>
            <w:vAlign w:val="bottom"/>
            <w:hideMark/>
          </w:tcPr>
          <w:p w:rsidR="002A3538" w:rsidRPr="00FA63AC" w:rsidRDefault="002A3538" w:rsidP="00F159EA">
            <w:pPr>
              <w:rPr>
                <w:rFonts w:ascii="Calibri" w:hAnsi="Calibri" w:cs="Calibri"/>
                <w:color w:val="000000"/>
                <w:sz w:val="22"/>
                <w:szCs w:val="22"/>
              </w:rPr>
            </w:pPr>
            <w:r w:rsidRPr="00FA63AC">
              <w:rPr>
                <w:rFonts w:ascii="Calibri" w:hAnsi="Calibri" w:cs="Calibri"/>
                <w:color w:val="000000"/>
                <w:sz w:val="22"/>
                <w:szCs w:val="22"/>
              </w:rPr>
              <w:t> </w:t>
            </w:r>
          </w:p>
        </w:tc>
        <w:tc>
          <w:tcPr>
            <w:tcW w:w="2551" w:type="dxa"/>
            <w:tcBorders>
              <w:top w:val="nil"/>
              <w:left w:val="single" w:sz="4" w:space="0" w:color="auto"/>
              <w:bottom w:val="single" w:sz="4" w:space="0" w:color="auto"/>
              <w:right w:val="single" w:sz="4" w:space="0" w:color="auto"/>
            </w:tcBorders>
            <w:shd w:val="clear" w:color="auto" w:fill="auto"/>
            <w:noWrap/>
            <w:vAlign w:val="bottom"/>
            <w:hideMark/>
          </w:tcPr>
          <w:p w:rsidR="002A3538" w:rsidRPr="00FA63AC" w:rsidRDefault="002A3538" w:rsidP="00F159EA">
            <w:pPr>
              <w:jc w:val="center"/>
              <w:rPr>
                <w:rFonts w:ascii="Calibri" w:hAnsi="Calibri" w:cs="Calibri"/>
                <w:color w:val="000000"/>
                <w:sz w:val="22"/>
                <w:szCs w:val="22"/>
              </w:rPr>
            </w:pPr>
            <w:r w:rsidRPr="00FA63AC">
              <w:rPr>
                <w:rFonts w:ascii="Calibri" w:hAnsi="Calibri" w:cs="Calibri"/>
                <w:color w:val="000000"/>
                <w:sz w:val="22"/>
                <w:szCs w:val="22"/>
              </w:rPr>
              <w:t>Nominal</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2A3538" w:rsidRPr="00FA63AC" w:rsidRDefault="002A3538" w:rsidP="00F159EA">
            <w:pPr>
              <w:jc w:val="center"/>
              <w:rPr>
                <w:rFonts w:ascii="Calibri" w:hAnsi="Calibri" w:cs="Calibri"/>
                <w:color w:val="000000"/>
                <w:sz w:val="22"/>
                <w:szCs w:val="22"/>
              </w:rPr>
            </w:pPr>
            <w:r w:rsidRPr="00FA63AC">
              <w:rPr>
                <w:rFonts w:ascii="Calibri" w:hAnsi="Calibri" w:cs="Calibri"/>
                <w:color w:val="000000"/>
                <w:sz w:val="22"/>
                <w:szCs w:val="22"/>
              </w:rPr>
              <w:t>Real</w:t>
            </w:r>
          </w:p>
        </w:tc>
      </w:tr>
      <w:tr w:rsidR="002A3538" w:rsidRPr="00FA63AC" w:rsidTr="0049487D">
        <w:trPr>
          <w:gridAfter w:val="1"/>
          <w:wAfter w:w="236" w:type="dxa"/>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2A3538" w:rsidRPr="00FA63AC" w:rsidRDefault="002A3538" w:rsidP="00F159EA">
            <w:pPr>
              <w:rPr>
                <w:rFonts w:ascii="Calibri" w:hAnsi="Calibri" w:cs="Calibri"/>
                <w:color w:val="000000"/>
                <w:sz w:val="22"/>
                <w:szCs w:val="22"/>
              </w:rPr>
            </w:pPr>
            <w:r w:rsidRPr="00FA63AC">
              <w:rPr>
                <w:rFonts w:ascii="Calibri" w:hAnsi="Calibri" w:cs="Calibri"/>
                <w:color w:val="000000"/>
                <w:sz w:val="22"/>
                <w:szCs w:val="22"/>
              </w:rPr>
              <w:t>Jan-Jun 2016</w:t>
            </w:r>
          </w:p>
        </w:tc>
        <w:tc>
          <w:tcPr>
            <w:tcW w:w="2551" w:type="dxa"/>
            <w:tcBorders>
              <w:top w:val="nil"/>
              <w:left w:val="nil"/>
              <w:bottom w:val="single" w:sz="4" w:space="0" w:color="auto"/>
              <w:right w:val="nil"/>
            </w:tcBorders>
            <w:shd w:val="clear" w:color="auto" w:fill="auto"/>
            <w:noWrap/>
            <w:vAlign w:val="bottom"/>
            <w:hideMark/>
          </w:tcPr>
          <w:p w:rsidR="002A3538" w:rsidRPr="00FA63AC" w:rsidRDefault="002A3538" w:rsidP="00F159EA">
            <w:pPr>
              <w:jc w:val="right"/>
              <w:rPr>
                <w:rFonts w:ascii="Calibri" w:hAnsi="Calibri" w:cs="Calibri"/>
                <w:color w:val="000000"/>
                <w:sz w:val="22"/>
                <w:szCs w:val="22"/>
              </w:rPr>
            </w:pPr>
            <w:r w:rsidRPr="00FA63AC">
              <w:rPr>
                <w:rFonts w:ascii="Calibri" w:hAnsi="Calibri" w:cs="Calibri"/>
                <w:color w:val="000000"/>
                <w:sz w:val="22"/>
                <w:szCs w:val="22"/>
              </w:rPr>
              <w:t xml:space="preserve">       126.579.235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2A3538" w:rsidRPr="00FA63AC" w:rsidRDefault="002A3538" w:rsidP="00F159EA">
            <w:pPr>
              <w:jc w:val="right"/>
              <w:rPr>
                <w:rFonts w:ascii="Calibri" w:hAnsi="Calibri" w:cs="Calibri"/>
                <w:color w:val="000000"/>
                <w:sz w:val="22"/>
                <w:szCs w:val="22"/>
              </w:rPr>
            </w:pPr>
            <w:r w:rsidRPr="00FA63AC">
              <w:rPr>
                <w:rFonts w:ascii="Calibri" w:hAnsi="Calibri" w:cs="Calibri"/>
                <w:color w:val="000000"/>
                <w:sz w:val="22"/>
                <w:szCs w:val="22"/>
              </w:rPr>
              <w:t xml:space="preserve">135.003.700,5 </w:t>
            </w:r>
          </w:p>
        </w:tc>
      </w:tr>
      <w:tr w:rsidR="002A3538" w:rsidRPr="00FA63AC" w:rsidTr="0049487D">
        <w:trPr>
          <w:gridAfter w:val="1"/>
          <w:wAfter w:w="236" w:type="dxa"/>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2A3538" w:rsidRPr="00FA63AC" w:rsidRDefault="002A3538" w:rsidP="00F159EA">
            <w:pPr>
              <w:rPr>
                <w:rFonts w:ascii="Calibri" w:hAnsi="Calibri" w:cs="Calibri"/>
                <w:color w:val="000000"/>
                <w:sz w:val="22"/>
                <w:szCs w:val="22"/>
              </w:rPr>
            </w:pPr>
            <w:r w:rsidRPr="00FA63AC">
              <w:rPr>
                <w:rFonts w:ascii="Calibri" w:hAnsi="Calibri" w:cs="Calibri"/>
                <w:color w:val="000000"/>
                <w:sz w:val="22"/>
                <w:szCs w:val="22"/>
              </w:rPr>
              <w:t>Jan-Jun 2017</w:t>
            </w:r>
          </w:p>
        </w:tc>
        <w:tc>
          <w:tcPr>
            <w:tcW w:w="2551" w:type="dxa"/>
            <w:tcBorders>
              <w:top w:val="nil"/>
              <w:left w:val="nil"/>
              <w:bottom w:val="single" w:sz="4" w:space="0" w:color="auto"/>
              <w:right w:val="single" w:sz="4" w:space="0" w:color="auto"/>
            </w:tcBorders>
            <w:shd w:val="clear" w:color="auto" w:fill="auto"/>
            <w:noWrap/>
            <w:vAlign w:val="bottom"/>
            <w:hideMark/>
          </w:tcPr>
          <w:p w:rsidR="002A3538" w:rsidRPr="00FA63AC" w:rsidRDefault="002A3538" w:rsidP="00F159EA">
            <w:pPr>
              <w:jc w:val="right"/>
              <w:rPr>
                <w:rFonts w:ascii="Calibri" w:hAnsi="Calibri" w:cs="Calibri"/>
                <w:color w:val="000000"/>
                <w:sz w:val="22"/>
                <w:szCs w:val="22"/>
              </w:rPr>
            </w:pPr>
            <w:r w:rsidRPr="00FA63AC">
              <w:rPr>
                <w:rFonts w:ascii="Calibri" w:hAnsi="Calibri" w:cs="Calibri"/>
                <w:color w:val="000000"/>
                <w:sz w:val="22"/>
                <w:szCs w:val="22"/>
              </w:rPr>
              <w:t xml:space="preserve">       157.506.741 </w:t>
            </w:r>
          </w:p>
        </w:tc>
        <w:tc>
          <w:tcPr>
            <w:tcW w:w="2552" w:type="dxa"/>
            <w:tcBorders>
              <w:top w:val="nil"/>
              <w:left w:val="nil"/>
              <w:bottom w:val="single" w:sz="4" w:space="0" w:color="auto"/>
              <w:right w:val="single" w:sz="4" w:space="0" w:color="auto"/>
            </w:tcBorders>
            <w:shd w:val="clear" w:color="auto" w:fill="auto"/>
            <w:noWrap/>
            <w:vAlign w:val="bottom"/>
            <w:hideMark/>
          </w:tcPr>
          <w:p w:rsidR="002A3538" w:rsidRPr="00FA63AC" w:rsidRDefault="002A3538" w:rsidP="00F159EA">
            <w:pPr>
              <w:jc w:val="right"/>
              <w:rPr>
                <w:rFonts w:ascii="Calibri" w:hAnsi="Calibri" w:cs="Calibri"/>
                <w:color w:val="000000"/>
                <w:sz w:val="22"/>
                <w:szCs w:val="22"/>
              </w:rPr>
            </w:pPr>
            <w:r w:rsidRPr="00FA63AC">
              <w:rPr>
                <w:rFonts w:ascii="Calibri" w:hAnsi="Calibri" w:cs="Calibri"/>
                <w:color w:val="000000"/>
                <w:sz w:val="22"/>
                <w:szCs w:val="22"/>
              </w:rPr>
              <w:t xml:space="preserve">157.506.741 </w:t>
            </w:r>
          </w:p>
        </w:tc>
      </w:tr>
      <w:tr w:rsidR="002A3538" w:rsidRPr="00FA63AC" w:rsidTr="0049487D">
        <w:trPr>
          <w:gridAfter w:val="1"/>
          <w:wAfter w:w="236" w:type="dxa"/>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3538" w:rsidRPr="00FA63AC" w:rsidRDefault="002A3538" w:rsidP="00F159EA">
            <w:pPr>
              <w:rPr>
                <w:rFonts w:ascii="Calibri" w:hAnsi="Calibri" w:cs="Calibri"/>
                <w:color w:val="000000"/>
                <w:sz w:val="22"/>
                <w:szCs w:val="22"/>
              </w:rPr>
            </w:pPr>
            <w:r w:rsidRPr="00FA63AC">
              <w:rPr>
                <w:rFonts w:ascii="Calibri" w:hAnsi="Calibri" w:cs="Calibri"/>
                <w:color w:val="000000"/>
                <w:sz w:val="22"/>
                <w:szCs w:val="22"/>
              </w:rPr>
              <w:t xml:space="preserve">Crescimento </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2A3538" w:rsidRPr="00FA63AC" w:rsidRDefault="002A3538" w:rsidP="00F159EA">
            <w:pPr>
              <w:jc w:val="center"/>
              <w:rPr>
                <w:rFonts w:ascii="Calibri" w:hAnsi="Calibri" w:cs="Calibri"/>
                <w:color w:val="000000"/>
                <w:sz w:val="22"/>
                <w:szCs w:val="22"/>
              </w:rPr>
            </w:pPr>
            <w:r w:rsidRPr="00FA63AC">
              <w:rPr>
                <w:rFonts w:ascii="Calibri" w:hAnsi="Calibri" w:cs="Calibri"/>
                <w:color w:val="000000"/>
                <w:sz w:val="22"/>
                <w:szCs w:val="22"/>
              </w:rPr>
              <w:t>24,4%</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2A3538" w:rsidRPr="00FA63AC" w:rsidRDefault="002A3538" w:rsidP="00F159EA">
            <w:pPr>
              <w:jc w:val="center"/>
              <w:rPr>
                <w:rFonts w:ascii="Calibri" w:hAnsi="Calibri" w:cs="Calibri"/>
                <w:color w:val="000000"/>
                <w:sz w:val="22"/>
                <w:szCs w:val="22"/>
              </w:rPr>
            </w:pPr>
            <w:r w:rsidRPr="00FA63AC">
              <w:rPr>
                <w:rFonts w:ascii="Calibri" w:hAnsi="Calibri" w:cs="Calibri"/>
                <w:color w:val="000000"/>
                <w:sz w:val="22"/>
                <w:szCs w:val="22"/>
              </w:rPr>
              <w:t>16,7%</w:t>
            </w:r>
          </w:p>
        </w:tc>
      </w:tr>
      <w:tr w:rsidR="000C0074" w:rsidRPr="00FA63AC" w:rsidTr="0049487D">
        <w:trPr>
          <w:gridAfter w:val="1"/>
          <w:wAfter w:w="236" w:type="dxa"/>
          <w:trHeight w:val="300"/>
        </w:trPr>
        <w:tc>
          <w:tcPr>
            <w:tcW w:w="7303" w:type="dxa"/>
            <w:gridSpan w:val="3"/>
            <w:tcBorders>
              <w:top w:val="single" w:sz="4" w:space="0" w:color="auto"/>
            </w:tcBorders>
            <w:shd w:val="clear" w:color="auto" w:fill="auto"/>
            <w:noWrap/>
            <w:vAlign w:val="bottom"/>
          </w:tcPr>
          <w:p w:rsidR="000C0074" w:rsidRPr="00FA63AC" w:rsidRDefault="000C0074" w:rsidP="000C0074">
            <w:pPr>
              <w:ind w:left="-30"/>
              <w:jc w:val="both"/>
              <w:rPr>
                <w:rFonts w:ascii="Calibri" w:hAnsi="Calibri" w:cs="Calibri"/>
                <w:color w:val="000000"/>
                <w:sz w:val="22"/>
                <w:szCs w:val="22"/>
              </w:rPr>
            </w:pPr>
            <w:r w:rsidRPr="00FA63AC">
              <w:rPr>
                <w:rFonts w:ascii="Arial" w:hAnsi="Arial" w:cs="Arial"/>
                <w:sz w:val="18"/>
                <w:szCs w:val="18"/>
              </w:rPr>
              <w:t>Fonte: SEFAZ-GO 2016/17 – Relatórios Fiscais semestrais de Arrecadação do Trânsito</w:t>
            </w:r>
          </w:p>
        </w:tc>
      </w:tr>
    </w:tbl>
    <w:p w:rsidR="002A3538" w:rsidRPr="00FA63AC" w:rsidRDefault="002A3538" w:rsidP="007A2A48">
      <w:pPr>
        <w:pStyle w:val="ListParagraph"/>
        <w:keepNext/>
        <w:shd w:val="clear" w:color="auto" w:fill="FFFFFF"/>
        <w:suppressAutoHyphens/>
        <w:ind w:left="851"/>
        <w:jc w:val="both"/>
        <w:outlineLvl w:val="3"/>
        <w:rPr>
          <w:bCs/>
          <w:lang w:eastAsia="es-ES"/>
        </w:rPr>
      </w:pPr>
    </w:p>
    <w:p w:rsidR="00366F5B" w:rsidRPr="00FA63AC" w:rsidRDefault="00C976B8" w:rsidP="007266FB">
      <w:pPr>
        <w:pStyle w:val="ListParagraph"/>
        <w:keepNext/>
        <w:numPr>
          <w:ilvl w:val="1"/>
          <w:numId w:val="2"/>
        </w:numPr>
        <w:shd w:val="clear" w:color="auto" w:fill="FFFFFF"/>
        <w:suppressAutoHyphens/>
        <w:spacing w:before="120"/>
        <w:ind w:left="851" w:hanging="567"/>
        <w:jc w:val="both"/>
        <w:outlineLvl w:val="3"/>
        <w:rPr>
          <w:bCs/>
          <w:lang w:eastAsia="es-ES"/>
        </w:rPr>
      </w:pPr>
      <w:r w:rsidRPr="00FA63AC">
        <w:rPr>
          <w:bCs/>
          <w:lang w:eastAsia="es-ES"/>
        </w:rPr>
        <w:t xml:space="preserve">O PROFISCO II vai financiar a implantação de um sistema de fiscalização do trânsito de mercadorias </w:t>
      </w:r>
      <w:r w:rsidR="001D55E3" w:rsidRPr="00FA63AC">
        <w:rPr>
          <w:bCs/>
          <w:lang w:eastAsia="es-ES"/>
        </w:rPr>
        <w:t>em Pernambuco</w:t>
      </w:r>
      <w:r w:rsidRPr="00FA63AC">
        <w:rPr>
          <w:bCs/>
          <w:lang w:eastAsia="es-ES"/>
        </w:rPr>
        <w:t xml:space="preserve"> similar ao que foi implantado em Goiás. </w:t>
      </w:r>
      <w:r w:rsidR="009B30EC" w:rsidRPr="00FA63AC">
        <w:rPr>
          <w:bCs/>
          <w:lang w:eastAsia="es-ES"/>
        </w:rPr>
        <w:t xml:space="preserve">A arrecadação do trânsito de mercadorias </w:t>
      </w:r>
      <w:r w:rsidR="000C0074" w:rsidRPr="00FA63AC">
        <w:rPr>
          <w:bCs/>
          <w:lang w:eastAsia="es-ES"/>
        </w:rPr>
        <w:t>em Pernambuco</w:t>
      </w:r>
      <w:r w:rsidR="009B30EC" w:rsidRPr="00FA63AC">
        <w:rPr>
          <w:bCs/>
          <w:lang w:eastAsia="es-ES"/>
        </w:rPr>
        <w:t xml:space="preserve"> em 2016 foi de </w:t>
      </w:r>
      <w:r w:rsidR="00D7747B" w:rsidRPr="00FA63AC">
        <w:rPr>
          <w:bCs/>
          <w:lang w:eastAsia="es-ES"/>
        </w:rPr>
        <w:t xml:space="preserve">R$ </w:t>
      </w:r>
      <w:r w:rsidR="002A6724" w:rsidRPr="00FA63AC">
        <w:rPr>
          <w:bCs/>
          <w:lang w:eastAsia="es-ES"/>
        </w:rPr>
        <w:t>3</w:t>
      </w:r>
      <w:r w:rsidR="000C0074" w:rsidRPr="00FA63AC">
        <w:rPr>
          <w:bCs/>
          <w:lang w:eastAsia="es-ES"/>
        </w:rPr>
        <w:t xml:space="preserve">00 </w:t>
      </w:r>
      <w:r w:rsidR="00366F5B" w:rsidRPr="00FA63AC">
        <w:rPr>
          <w:bCs/>
          <w:lang w:eastAsia="es-ES"/>
        </w:rPr>
        <w:t>milhões</w:t>
      </w:r>
      <w:r w:rsidR="009B30EC" w:rsidRPr="00FA63AC">
        <w:rPr>
          <w:bCs/>
          <w:lang w:eastAsia="es-ES"/>
        </w:rPr>
        <w:t>.</w:t>
      </w:r>
      <w:r w:rsidR="005B734E" w:rsidRPr="00FA63AC">
        <w:rPr>
          <w:bCs/>
          <w:lang w:eastAsia="es-ES"/>
        </w:rPr>
        <w:t xml:space="preserve"> </w:t>
      </w:r>
      <w:r w:rsidR="00B974BC" w:rsidRPr="00FA63AC">
        <w:rPr>
          <w:bCs/>
          <w:lang w:eastAsia="es-ES"/>
        </w:rPr>
        <w:t xml:space="preserve">A arrecadação </w:t>
      </w:r>
      <w:r w:rsidR="005B734E" w:rsidRPr="00FA63AC">
        <w:rPr>
          <w:bCs/>
          <w:lang w:eastAsia="es-ES"/>
        </w:rPr>
        <w:t xml:space="preserve">de autuações </w:t>
      </w:r>
      <w:r w:rsidR="00B974BC" w:rsidRPr="00FA63AC">
        <w:rPr>
          <w:bCs/>
          <w:lang w:eastAsia="es-ES"/>
        </w:rPr>
        <w:t xml:space="preserve">de trânsito de mercadorias é quase 100%, visto que a liberação das cargas só é </w:t>
      </w:r>
      <w:r w:rsidR="00CE159E" w:rsidRPr="00FA63AC">
        <w:rPr>
          <w:bCs/>
          <w:lang w:eastAsia="es-ES"/>
        </w:rPr>
        <w:t>feita</w:t>
      </w:r>
      <w:r w:rsidR="00B974BC" w:rsidRPr="00FA63AC">
        <w:rPr>
          <w:bCs/>
          <w:lang w:eastAsia="es-ES"/>
        </w:rPr>
        <w:t xml:space="preserve"> com o recebimento da autuação. </w:t>
      </w:r>
      <w:r w:rsidR="000C0074" w:rsidRPr="00FA63AC">
        <w:rPr>
          <w:bCs/>
          <w:lang w:eastAsia="es-ES"/>
        </w:rPr>
        <w:t xml:space="preserve">Assumindo uma taxa de crescimento conservadora equivalente </w:t>
      </w:r>
      <w:r w:rsidR="002A6724" w:rsidRPr="00FA63AC">
        <w:rPr>
          <w:bCs/>
          <w:lang w:eastAsia="es-ES"/>
        </w:rPr>
        <w:t>à</w:t>
      </w:r>
      <w:r w:rsidR="000C0074" w:rsidRPr="00FA63AC">
        <w:rPr>
          <w:bCs/>
          <w:lang w:eastAsia="es-ES"/>
        </w:rPr>
        <w:t xml:space="preserve"> metade </w:t>
      </w:r>
      <w:r w:rsidR="00B974BC" w:rsidRPr="00FA63AC">
        <w:rPr>
          <w:bCs/>
          <w:lang w:eastAsia="es-ES"/>
        </w:rPr>
        <w:t>da</w:t>
      </w:r>
      <w:r w:rsidR="00366F5B" w:rsidRPr="00FA63AC">
        <w:rPr>
          <w:bCs/>
          <w:lang w:eastAsia="es-ES"/>
        </w:rPr>
        <w:t>quela</w:t>
      </w:r>
      <w:r w:rsidR="00B974BC" w:rsidRPr="00FA63AC">
        <w:rPr>
          <w:bCs/>
          <w:lang w:eastAsia="es-ES"/>
        </w:rPr>
        <w:t xml:space="preserve"> verificada em Goiás, isto significaria uma arrecadação adicional de R$</w:t>
      </w:r>
      <w:r w:rsidR="006B200D" w:rsidRPr="00FA63AC">
        <w:rPr>
          <w:bCs/>
          <w:lang w:eastAsia="es-ES"/>
        </w:rPr>
        <w:t>25,05</w:t>
      </w:r>
      <w:r w:rsidR="00366F5B" w:rsidRPr="00FA63AC">
        <w:rPr>
          <w:bCs/>
          <w:lang w:eastAsia="es-ES"/>
        </w:rPr>
        <w:t xml:space="preserve"> milhões. No entanto, este aumento da arrecadação seria gradual à medida que o sistema vá sendo implantado no estado. A Tabela 6 mostra este aumento gradual</w:t>
      </w:r>
      <w:r w:rsidR="0049487D" w:rsidRPr="00FA63AC">
        <w:rPr>
          <w:bCs/>
          <w:lang w:eastAsia="es-ES"/>
        </w:rPr>
        <w:t xml:space="preserve"> iniciando no ano 3</w:t>
      </w:r>
      <w:r w:rsidR="000A49F1" w:rsidRPr="00FA63AC">
        <w:rPr>
          <w:bCs/>
          <w:lang w:eastAsia="es-ES"/>
        </w:rPr>
        <w:t xml:space="preserve"> da execução do programa</w:t>
      </w:r>
      <w:r w:rsidR="00B974BC" w:rsidRPr="00FA63AC">
        <w:rPr>
          <w:bCs/>
          <w:lang w:eastAsia="es-ES"/>
        </w:rPr>
        <w:t xml:space="preserve">. </w:t>
      </w:r>
    </w:p>
    <w:p w:rsidR="0049487D" w:rsidRPr="00FA63AC" w:rsidRDefault="0049487D" w:rsidP="0049487D">
      <w:pPr>
        <w:pStyle w:val="ListParagraph"/>
        <w:keepNext/>
        <w:shd w:val="clear" w:color="auto" w:fill="FFFFFF"/>
        <w:suppressAutoHyphens/>
        <w:spacing w:before="120"/>
        <w:ind w:left="851"/>
        <w:jc w:val="both"/>
        <w:outlineLvl w:val="3"/>
        <w:rPr>
          <w:bCs/>
          <w:lang w:eastAsia="es-ES"/>
        </w:rPr>
      </w:pPr>
    </w:p>
    <w:tbl>
      <w:tblPr>
        <w:tblW w:w="8363" w:type="dxa"/>
        <w:tblInd w:w="354" w:type="dxa"/>
        <w:tblCellMar>
          <w:left w:w="70" w:type="dxa"/>
          <w:right w:w="70" w:type="dxa"/>
        </w:tblCellMar>
        <w:tblLook w:val="04A0" w:firstRow="1" w:lastRow="0" w:firstColumn="1" w:lastColumn="0" w:noHBand="0" w:noVBand="1"/>
      </w:tblPr>
      <w:tblGrid>
        <w:gridCol w:w="708"/>
        <w:gridCol w:w="1985"/>
        <w:gridCol w:w="851"/>
        <w:gridCol w:w="992"/>
        <w:gridCol w:w="709"/>
        <w:gridCol w:w="992"/>
        <w:gridCol w:w="850"/>
        <w:gridCol w:w="1276"/>
      </w:tblGrid>
      <w:tr w:rsidR="000A49F1" w:rsidRPr="00FA63AC" w:rsidTr="000A49F1">
        <w:trPr>
          <w:trHeight w:val="300"/>
        </w:trPr>
        <w:tc>
          <w:tcPr>
            <w:tcW w:w="708" w:type="dxa"/>
            <w:tcBorders>
              <w:top w:val="nil"/>
              <w:left w:val="nil"/>
              <w:bottom w:val="single" w:sz="8" w:space="0" w:color="auto"/>
              <w:right w:val="single" w:sz="8" w:space="0" w:color="D8D8D8"/>
            </w:tcBorders>
            <w:shd w:val="clear" w:color="000000" w:fill="FFFFFF"/>
          </w:tcPr>
          <w:p w:rsidR="000A49F1" w:rsidRPr="00FA63AC" w:rsidRDefault="000A49F1" w:rsidP="0049487D">
            <w:pPr>
              <w:rPr>
                <w:rFonts w:ascii="Calibri" w:hAnsi="Calibri" w:cs="Calibri"/>
                <w:b/>
                <w:bCs/>
                <w:color w:val="000000"/>
                <w:sz w:val="18"/>
                <w:szCs w:val="18"/>
              </w:rPr>
            </w:pPr>
          </w:p>
        </w:tc>
        <w:tc>
          <w:tcPr>
            <w:tcW w:w="7655" w:type="dxa"/>
            <w:gridSpan w:val="7"/>
            <w:tcBorders>
              <w:top w:val="nil"/>
              <w:left w:val="nil"/>
              <w:bottom w:val="single" w:sz="8" w:space="0" w:color="auto"/>
              <w:right w:val="single" w:sz="8" w:space="0" w:color="D8D8D8"/>
            </w:tcBorders>
            <w:shd w:val="clear" w:color="000000" w:fill="FFFFFF"/>
            <w:noWrap/>
            <w:vAlign w:val="center"/>
            <w:hideMark/>
          </w:tcPr>
          <w:p w:rsidR="000A49F1" w:rsidRPr="00FA63AC" w:rsidRDefault="000A49F1" w:rsidP="0049487D">
            <w:pPr>
              <w:rPr>
                <w:rFonts w:ascii="Calibri" w:hAnsi="Calibri" w:cs="Calibri"/>
                <w:b/>
                <w:bCs/>
                <w:color w:val="000000"/>
                <w:sz w:val="18"/>
                <w:szCs w:val="18"/>
              </w:rPr>
            </w:pPr>
            <w:r w:rsidRPr="00FA63AC">
              <w:rPr>
                <w:rFonts w:ascii="Calibri" w:hAnsi="Calibri" w:cs="Calibri"/>
                <w:b/>
                <w:bCs/>
                <w:color w:val="000000"/>
                <w:sz w:val="18"/>
                <w:szCs w:val="18"/>
              </w:rPr>
              <w:t>Tabela 6: Aumento da Arrecadação do Trânsito de Mercadorias (R$1000)</w:t>
            </w:r>
          </w:p>
        </w:tc>
      </w:tr>
      <w:tr w:rsidR="000A49F1" w:rsidRPr="00FA63AC" w:rsidTr="000A49F1">
        <w:trPr>
          <w:trHeight w:val="420"/>
        </w:trPr>
        <w:tc>
          <w:tcPr>
            <w:tcW w:w="2693" w:type="dxa"/>
            <w:gridSpan w:val="2"/>
            <w:tcBorders>
              <w:top w:val="nil"/>
              <w:left w:val="single" w:sz="8" w:space="0" w:color="auto"/>
              <w:bottom w:val="single" w:sz="8" w:space="0" w:color="auto"/>
              <w:right w:val="single" w:sz="4" w:space="0" w:color="auto"/>
            </w:tcBorders>
            <w:shd w:val="clear" w:color="000000" w:fill="FFFFFF"/>
            <w:noWrap/>
            <w:vAlign w:val="center"/>
            <w:hideMark/>
          </w:tcPr>
          <w:p w:rsidR="000A49F1" w:rsidRPr="00FA63AC" w:rsidRDefault="000A49F1" w:rsidP="000A49F1">
            <w:pPr>
              <w:rPr>
                <w:rFonts w:ascii="Calibri" w:hAnsi="Calibri" w:cs="Calibri"/>
                <w:color w:val="000000"/>
                <w:sz w:val="16"/>
                <w:szCs w:val="16"/>
              </w:rPr>
            </w:pPr>
            <w:r w:rsidRPr="00FA63AC">
              <w:rPr>
                <w:rFonts w:ascii="Calibri" w:hAnsi="Calibri" w:cs="Calibri"/>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0A49F1" w:rsidRPr="00FA63AC" w:rsidRDefault="000A49F1" w:rsidP="000A49F1">
            <w:pPr>
              <w:jc w:val="center"/>
              <w:rPr>
                <w:rFonts w:ascii="Calibri" w:hAnsi="Calibri" w:cs="Calibri"/>
                <w:color w:val="000000"/>
                <w:sz w:val="16"/>
                <w:szCs w:val="16"/>
              </w:rPr>
            </w:pPr>
            <w:r w:rsidRPr="00FA63AC">
              <w:rPr>
                <w:rFonts w:ascii="Calibri" w:hAnsi="Calibri" w:cs="Calibri"/>
                <w:color w:val="000000"/>
                <w:sz w:val="16"/>
                <w:szCs w:val="16"/>
              </w:rPr>
              <w:t>ano 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A49F1" w:rsidRPr="00FA63AC" w:rsidRDefault="000A49F1" w:rsidP="000A49F1">
            <w:pPr>
              <w:jc w:val="center"/>
              <w:rPr>
                <w:rFonts w:ascii="Calibri" w:hAnsi="Calibri" w:cs="Calibri"/>
                <w:color w:val="000000"/>
                <w:sz w:val="16"/>
                <w:szCs w:val="16"/>
              </w:rPr>
            </w:pPr>
            <w:r w:rsidRPr="00FA63AC">
              <w:rPr>
                <w:rFonts w:ascii="Calibri" w:hAnsi="Calibri" w:cs="Calibri"/>
                <w:color w:val="000000"/>
                <w:sz w:val="16"/>
                <w:szCs w:val="16"/>
              </w:rPr>
              <w:t>ano 2</w:t>
            </w:r>
          </w:p>
        </w:tc>
        <w:tc>
          <w:tcPr>
            <w:tcW w:w="709" w:type="dxa"/>
            <w:tcBorders>
              <w:top w:val="nil"/>
              <w:left w:val="single" w:sz="4" w:space="0" w:color="auto"/>
              <w:bottom w:val="single" w:sz="8" w:space="0" w:color="auto"/>
              <w:right w:val="single" w:sz="8" w:space="0" w:color="auto"/>
            </w:tcBorders>
            <w:shd w:val="clear" w:color="000000" w:fill="FFFFFF"/>
            <w:noWrap/>
            <w:vAlign w:val="center"/>
            <w:hideMark/>
          </w:tcPr>
          <w:p w:rsidR="000A49F1" w:rsidRPr="00FA63AC" w:rsidRDefault="000A49F1" w:rsidP="000A49F1">
            <w:pPr>
              <w:jc w:val="center"/>
              <w:rPr>
                <w:rFonts w:ascii="Calibri" w:hAnsi="Calibri" w:cs="Calibri"/>
                <w:color w:val="000000"/>
                <w:sz w:val="16"/>
                <w:szCs w:val="16"/>
              </w:rPr>
            </w:pPr>
            <w:r w:rsidRPr="00FA63AC">
              <w:rPr>
                <w:rFonts w:ascii="Calibri" w:hAnsi="Calibri" w:cs="Calibri"/>
                <w:color w:val="000000"/>
                <w:sz w:val="16"/>
                <w:szCs w:val="16"/>
              </w:rPr>
              <w:t>ano 3</w:t>
            </w:r>
          </w:p>
        </w:tc>
        <w:tc>
          <w:tcPr>
            <w:tcW w:w="992" w:type="dxa"/>
            <w:tcBorders>
              <w:top w:val="nil"/>
              <w:left w:val="nil"/>
              <w:bottom w:val="single" w:sz="8" w:space="0" w:color="auto"/>
              <w:right w:val="single" w:sz="8" w:space="0" w:color="auto"/>
            </w:tcBorders>
            <w:shd w:val="clear" w:color="000000" w:fill="FFFFFF"/>
            <w:noWrap/>
            <w:vAlign w:val="center"/>
            <w:hideMark/>
          </w:tcPr>
          <w:p w:rsidR="000A49F1" w:rsidRPr="00FA63AC" w:rsidRDefault="000A49F1" w:rsidP="000A49F1">
            <w:pPr>
              <w:jc w:val="center"/>
              <w:rPr>
                <w:rFonts w:ascii="Calibri" w:hAnsi="Calibri" w:cs="Calibri"/>
                <w:color w:val="000000"/>
                <w:sz w:val="16"/>
                <w:szCs w:val="16"/>
              </w:rPr>
            </w:pPr>
            <w:r w:rsidRPr="00FA63AC">
              <w:rPr>
                <w:rFonts w:ascii="Calibri" w:hAnsi="Calibri" w:cs="Calibri"/>
                <w:color w:val="000000"/>
                <w:sz w:val="16"/>
                <w:szCs w:val="16"/>
              </w:rPr>
              <w:t>ano 4</w:t>
            </w:r>
          </w:p>
        </w:tc>
        <w:tc>
          <w:tcPr>
            <w:tcW w:w="850" w:type="dxa"/>
            <w:tcBorders>
              <w:top w:val="nil"/>
              <w:left w:val="nil"/>
              <w:bottom w:val="single" w:sz="8" w:space="0" w:color="auto"/>
              <w:right w:val="single" w:sz="8" w:space="0" w:color="auto"/>
            </w:tcBorders>
            <w:shd w:val="clear" w:color="000000" w:fill="FFFFFF"/>
            <w:noWrap/>
            <w:vAlign w:val="center"/>
            <w:hideMark/>
          </w:tcPr>
          <w:p w:rsidR="000A49F1" w:rsidRPr="00FA63AC" w:rsidRDefault="000A49F1" w:rsidP="000A49F1">
            <w:pPr>
              <w:jc w:val="center"/>
              <w:rPr>
                <w:rFonts w:ascii="Calibri" w:hAnsi="Calibri" w:cs="Calibri"/>
                <w:color w:val="000000"/>
                <w:sz w:val="16"/>
                <w:szCs w:val="16"/>
              </w:rPr>
            </w:pPr>
            <w:r w:rsidRPr="00FA63AC">
              <w:rPr>
                <w:rFonts w:ascii="Calibri" w:hAnsi="Calibri" w:cs="Calibri"/>
                <w:color w:val="000000"/>
                <w:sz w:val="16"/>
                <w:szCs w:val="16"/>
              </w:rPr>
              <w:t xml:space="preserve">Ano 5 </w:t>
            </w:r>
          </w:p>
        </w:tc>
        <w:tc>
          <w:tcPr>
            <w:tcW w:w="1276" w:type="dxa"/>
            <w:tcBorders>
              <w:top w:val="nil"/>
              <w:left w:val="nil"/>
              <w:bottom w:val="single" w:sz="8" w:space="0" w:color="auto"/>
              <w:right w:val="single" w:sz="8" w:space="0" w:color="auto"/>
            </w:tcBorders>
            <w:shd w:val="clear" w:color="000000" w:fill="FFFFFF"/>
            <w:vAlign w:val="center"/>
            <w:hideMark/>
          </w:tcPr>
          <w:p w:rsidR="000A49F1" w:rsidRPr="00FA63AC" w:rsidRDefault="000A49F1" w:rsidP="000A49F1">
            <w:pPr>
              <w:jc w:val="center"/>
              <w:rPr>
                <w:rFonts w:ascii="Calibri" w:hAnsi="Calibri" w:cs="Calibri"/>
                <w:color w:val="000000"/>
                <w:sz w:val="16"/>
                <w:szCs w:val="16"/>
              </w:rPr>
            </w:pPr>
            <w:r w:rsidRPr="00FA63AC">
              <w:rPr>
                <w:rFonts w:ascii="Calibri" w:hAnsi="Calibri" w:cs="Calibri"/>
                <w:color w:val="000000"/>
                <w:sz w:val="16"/>
                <w:szCs w:val="16"/>
              </w:rPr>
              <w:t>Ano 6 em diante</w:t>
            </w:r>
          </w:p>
        </w:tc>
      </w:tr>
      <w:tr w:rsidR="000A49F1" w:rsidRPr="00FA63AC" w:rsidTr="000A49F1">
        <w:trPr>
          <w:trHeight w:val="300"/>
        </w:trPr>
        <w:tc>
          <w:tcPr>
            <w:tcW w:w="2693" w:type="dxa"/>
            <w:gridSpan w:val="2"/>
            <w:tcBorders>
              <w:top w:val="nil"/>
              <w:left w:val="single" w:sz="8" w:space="0" w:color="auto"/>
              <w:bottom w:val="single" w:sz="8" w:space="0" w:color="auto"/>
              <w:right w:val="single" w:sz="4" w:space="0" w:color="auto"/>
            </w:tcBorders>
            <w:shd w:val="clear" w:color="000000" w:fill="FFFFFF"/>
            <w:noWrap/>
            <w:vAlign w:val="center"/>
            <w:hideMark/>
          </w:tcPr>
          <w:p w:rsidR="000A49F1" w:rsidRPr="00FA63AC" w:rsidRDefault="000A49F1" w:rsidP="000A49F1">
            <w:pPr>
              <w:rPr>
                <w:rFonts w:ascii="Calibri" w:hAnsi="Calibri" w:cs="Calibri"/>
                <w:color w:val="000000"/>
                <w:sz w:val="16"/>
                <w:szCs w:val="16"/>
              </w:rPr>
            </w:pPr>
            <w:r w:rsidRPr="00FA63AC">
              <w:rPr>
                <w:rFonts w:ascii="Calibri" w:hAnsi="Calibri" w:cs="Calibri"/>
                <w:color w:val="000000"/>
                <w:sz w:val="16"/>
                <w:szCs w:val="16"/>
              </w:rPr>
              <w:t>Trânsito de Mercadorias (R$ 1000)</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0A49F1" w:rsidRPr="00FA63AC" w:rsidRDefault="000A49F1" w:rsidP="000A49F1">
            <w:pPr>
              <w:rPr>
                <w:rFonts w:ascii="Calibri"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A49F1" w:rsidRPr="00FA63AC" w:rsidRDefault="000A49F1" w:rsidP="000A49F1">
            <w:pPr>
              <w:rPr>
                <w:rFonts w:ascii="Calibri" w:hAnsi="Calibri" w:cs="Calibri"/>
                <w:color w:val="000000"/>
                <w:sz w:val="16"/>
                <w:szCs w:val="16"/>
              </w:rPr>
            </w:pPr>
            <w:r w:rsidRPr="00FA63AC">
              <w:rPr>
                <w:rFonts w:ascii="Calibri" w:hAnsi="Calibri" w:cs="Calibri"/>
                <w:color w:val="000000"/>
                <w:sz w:val="16"/>
                <w:szCs w:val="16"/>
              </w:rPr>
              <w:t> </w:t>
            </w:r>
          </w:p>
        </w:tc>
        <w:tc>
          <w:tcPr>
            <w:tcW w:w="709" w:type="dxa"/>
            <w:tcBorders>
              <w:top w:val="nil"/>
              <w:left w:val="single" w:sz="4" w:space="0" w:color="auto"/>
              <w:bottom w:val="single" w:sz="8" w:space="0" w:color="auto"/>
              <w:right w:val="single" w:sz="8" w:space="0" w:color="auto"/>
            </w:tcBorders>
            <w:shd w:val="clear" w:color="000000" w:fill="FFFFFF"/>
            <w:noWrap/>
            <w:vAlign w:val="center"/>
            <w:hideMark/>
          </w:tcPr>
          <w:p w:rsidR="000A49F1" w:rsidRPr="00FA63AC" w:rsidRDefault="002A6724" w:rsidP="000A49F1">
            <w:pPr>
              <w:jc w:val="right"/>
              <w:rPr>
                <w:rFonts w:ascii="Calibri" w:hAnsi="Calibri" w:cs="Calibri"/>
                <w:color w:val="000000"/>
                <w:sz w:val="16"/>
                <w:szCs w:val="16"/>
              </w:rPr>
            </w:pPr>
            <w:r w:rsidRPr="00FA63AC">
              <w:rPr>
                <w:rFonts w:ascii="Calibri" w:hAnsi="Calibri" w:cs="Calibri"/>
                <w:color w:val="000000"/>
                <w:sz w:val="16"/>
                <w:szCs w:val="16"/>
              </w:rPr>
              <w:t>12.525</w:t>
            </w:r>
          </w:p>
        </w:tc>
        <w:tc>
          <w:tcPr>
            <w:tcW w:w="992" w:type="dxa"/>
            <w:tcBorders>
              <w:top w:val="nil"/>
              <w:left w:val="nil"/>
              <w:bottom w:val="single" w:sz="8" w:space="0" w:color="auto"/>
              <w:right w:val="single" w:sz="8" w:space="0" w:color="auto"/>
            </w:tcBorders>
            <w:shd w:val="clear" w:color="000000" w:fill="FFFFFF"/>
            <w:noWrap/>
            <w:vAlign w:val="center"/>
            <w:hideMark/>
          </w:tcPr>
          <w:p w:rsidR="000A49F1" w:rsidRPr="00FA63AC" w:rsidRDefault="002A6724" w:rsidP="000A49F1">
            <w:pPr>
              <w:jc w:val="right"/>
              <w:rPr>
                <w:rFonts w:ascii="Calibri" w:hAnsi="Calibri" w:cs="Calibri"/>
                <w:color w:val="000000"/>
                <w:sz w:val="16"/>
                <w:szCs w:val="16"/>
              </w:rPr>
            </w:pPr>
            <w:r w:rsidRPr="00FA63AC">
              <w:rPr>
                <w:rFonts w:ascii="Calibri" w:hAnsi="Calibri" w:cs="Calibri"/>
                <w:color w:val="000000"/>
                <w:sz w:val="16"/>
                <w:szCs w:val="16"/>
              </w:rPr>
              <w:t>15.030</w:t>
            </w:r>
          </w:p>
        </w:tc>
        <w:tc>
          <w:tcPr>
            <w:tcW w:w="850" w:type="dxa"/>
            <w:tcBorders>
              <w:top w:val="nil"/>
              <w:left w:val="nil"/>
              <w:bottom w:val="single" w:sz="8" w:space="0" w:color="auto"/>
              <w:right w:val="single" w:sz="8" w:space="0" w:color="auto"/>
            </w:tcBorders>
            <w:shd w:val="clear" w:color="000000" w:fill="FFFFFF"/>
            <w:noWrap/>
            <w:vAlign w:val="center"/>
            <w:hideMark/>
          </w:tcPr>
          <w:p w:rsidR="000A49F1" w:rsidRPr="00FA63AC" w:rsidRDefault="002A6724" w:rsidP="000A49F1">
            <w:pPr>
              <w:jc w:val="right"/>
              <w:rPr>
                <w:rFonts w:ascii="Calibri" w:hAnsi="Calibri" w:cs="Calibri"/>
                <w:color w:val="000000"/>
                <w:sz w:val="16"/>
                <w:szCs w:val="16"/>
              </w:rPr>
            </w:pPr>
            <w:r w:rsidRPr="00FA63AC">
              <w:rPr>
                <w:rFonts w:ascii="Calibri" w:hAnsi="Calibri" w:cs="Calibri"/>
                <w:color w:val="000000"/>
                <w:sz w:val="16"/>
                <w:szCs w:val="16"/>
              </w:rPr>
              <w:t>17.535</w:t>
            </w:r>
          </w:p>
        </w:tc>
        <w:tc>
          <w:tcPr>
            <w:tcW w:w="1276" w:type="dxa"/>
            <w:tcBorders>
              <w:top w:val="nil"/>
              <w:left w:val="nil"/>
              <w:bottom w:val="single" w:sz="8" w:space="0" w:color="auto"/>
              <w:right w:val="single" w:sz="8" w:space="0" w:color="auto"/>
            </w:tcBorders>
            <w:shd w:val="clear" w:color="000000" w:fill="FFFFFF"/>
            <w:noWrap/>
            <w:vAlign w:val="center"/>
            <w:hideMark/>
          </w:tcPr>
          <w:p w:rsidR="000A49F1" w:rsidRPr="00FA63AC" w:rsidRDefault="002A6724" w:rsidP="000A49F1">
            <w:pPr>
              <w:jc w:val="right"/>
              <w:rPr>
                <w:rFonts w:ascii="Calibri" w:hAnsi="Calibri" w:cs="Calibri"/>
                <w:color w:val="000000"/>
                <w:sz w:val="16"/>
                <w:szCs w:val="16"/>
              </w:rPr>
            </w:pPr>
            <w:r w:rsidRPr="00FA63AC">
              <w:rPr>
                <w:rFonts w:ascii="Calibri" w:hAnsi="Calibri" w:cs="Calibri"/>
                <w:color w:val="000000"/>
                <w:sz w:val="16"/>
                <w:szCs w:val="16"/>
              </w:rPr>
              <w:t>25.050</w:t>
            </w:r>
          </w:p>
        </w:tc>
      </w:tr>
      <w:tr w:rsidR="000A49F1" w:rsidRPr="00FA63AC" w:rsidTr="000A49F1">
        <w:trPr>
          <w:trHeight w:val="300"/>
        </w:trPr>
        <w:tc>
          <w:tcPr>
            <w:tcW w:w="2693" w:type="dxa"/>
            <w:gridSpan w:val="2"/>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0A49F1" w:rsidRPr="00FA63AC" w:rsidRDefault="000A49F1" w:rsidP="000A49F1">
            <w:pPr>
              <w:jc w:val="center"/>
              <w:rPr>
                <w:rFonts w:ascii="Calibri" w:hAnsi="Calibri" w:cs="Calibri"/>
                <w:color w:val="000000"/>
                <w:sz w:val="16"/>
                <w:szCs w:val="16"/>
              </w:rPr>
            </w:pPr>
            <w:r w:rsidRPr="00FA63AC">
              <w:rPr>
                <w:rFonts w:ascii="Calibri" w:hAnsi="Calibri" w:cs="Calibri"/>
                <w:color w:val="000000"/>
                <w:sz w:val="16"/>
                <w:szCs w:val="16"/>
              </w:rPr>
              <w:t>Incrementos</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0A49F1" w:rsidRPr="00FA63AC" w:rsidRDefault="000A49F1" w:rsidP="000A49F1">
            <w:pPr>
              <w:jc w:val="right"/>
              <w:rPr>
                <w:rFonts w:ascii="Calibri" w:hAnsi="Calibri" w:cs="Calibri"/>
                <w:color w:val="000000"/>
                <w:sz w:val="16"/>
                <w:szCs w:val="16"/>
              </w:rPr>
            </w:pPr>
            <w:r w:rsidRPr="00FA63AC">
              <w:rPr>
                <w:rFonts w:ascii="Calibri" w:hAnsi="Calibri" w:cs="Calibri"/>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A49F1" w:rsidRPr="00FA63AC" w:rsidRDefault="000A49F1" w:rsidP="000A49F1">
            <w:pPr>
              <w:jc w:val="right"/>
              <w:rPr>
                <w:rFonts w:ascii="Calibri" w:hAnsi="Calibri" w:cs="Calibri"/>
                <w:color w:val="000000"/>
                <w:sz w:val="16"/>
                <w:szCs w:val="16"/>
              </w:rPr>
            </w:pPr>
            <w:r w:rsidRPr="00FA63AC">
              <w:rPr>
                <w:rFonts w:ascii="Calibri" w:hAnsi="Calibri" w:cs="Calibri"/>
                <w:color w:val="000000"/>
                <w:sz w:val="16"/>
                <w:szCs w:val="16"/>
              </w:rPr>
              <w:t>0%</w:t>
            </w:r>
          </w:p>
        </w:tc>
        <w:tc>
          <w:tcPr>
            <w:tcW w:w="709" w:type="dxa"/>
            <w:tcBorders>
              <w:top w:val="nil"/>
              <w:left w:val="single" w:sz="4" w:space="0" w:color="auto"/>
              <w:bottom w:val="single" w:sz="4" w:space="0" w:color="auto"/>
              <w:right w:val="single" w:sz="8" w:space="0" w:color="auto"/>
            </w:tcBorders>
            <w:shd w:val="clear" w:color="000000" w:fill="FFFFFF"/>
            <w:noWrap/>
            <w:vAlign w:val="center"/>
            <w:hideMark/>
          </w:tcPr>
          <w:p w:rsidR="000A49F1" w:rsidRPr="00FA63AC" w:rsidRDefault="000A49F1" w:rsidP="000A49F1">
            <w:pPr>
              <w:jc w:val="right"/>
              <w:rPr>
                <w:rFonts w:ascii="Calibri" w:hAnsi="Calibri" w:cs="Calibri"/>
                <w:color w:val="000000"/>
                <w:sz w:val="16"/>
                <w:szCs w:val="16"/>
              </w:rPr>
            </w:pPr>
            <w:r w:rsidRPr="00FA63AC">
              <w:rPr>
                <w:rFonts w:ascii="Calibri" w:hAnsi="Calibri" w:cs="Calibri"/>
                <w:color w:val="000000"/>
                <w:sz w:val="16"/>
                <w:szCs w:val="16"/>
              </w:rPr>
              <w:t>50%</w:t>
            </w:r>
          </w:p>
        </w:tc>
        <w:tc>
          <w:tcPr>
            <w:tcW w:w="992" w:type="dxa"/>
            <w:tcBorders>
              <w:top w:val="nil"/>
              <w:left w:val="nil"/>
              <w:bottom w:val="single" w:sz="4" w:space="0" w:color="auto"/>
              <w:right w:val="single" w:sz="8" w:space="0" w:color="auto"/>
            </w:tcBorders>
            <w:shd w:val="clear" w:color="000000" w:fill="FFFFFF"/>
            <w:noWrap/>
            <w:vAlign w:val="center"/>
            <w:hideMark/>
          </w:tcPr>
          <w:p w:rsidR="000A49F1" w:rsidRPr="00FA63AC" w:rsidRDefault="000A49F1" w:rsidP="000A49F1">
            <w:pPr>
              <w:jc w:val="right"/>
              <w:rPr>
                <w:rFonts w:ascii="Calibri" w:hAnsi="Calibri" w:cs="Calibri"/>
                <w:color w:val="000000"/>
                <w:sz w:val="16"/>
                <w:szCs w:val="16"/>
              </w:rPr>
            </w:pPr>
            <w:r w:rsidRPr="00FA63AC">
              <w:rPr>
                <w:rFonts w:ascii="Calibri" w:hAnsi="Calibri" w:cs="Calibri"/>
                <w:color w:val="000000"/>
                <w:sz w:val="16"/>
                <w:szCs w:val="16"/>
              </w:rPr>
              <w:t>60%</w:t>
            </w:r>
          </w:p>
        </w:tc>
        <w:tc>
          <w:tcPr>
            <w:tcW w:w="850" w:type="dxa"/>
            <w:tcBorders>
              <w:top w:val="nil"/>
              <w:left w:val="nil"/>
              <w:bottom w:val="single" w:sz="4" w:space="0" w:color="auto"/>
              <w:right w:val="single" w:sz="8" w:space="0" w:color="auto"/>
            </w:tcBorders>
            <w:shd w:val="clear" w:color="000000" w:fill="FFFFFF"/>
            <w:noWrap/>
            <w:vAlign w:val="center"/>
            <w:hideMark/>
          </w:tcPr>
          <w:p w:rsidR="000A49F1" w:rsidRPr="00FA63AC" w:rsidRDefault="000A49F1" w:rsidP="000A49F1">
            <w:pPr>
              <w:jc w:val="right"/>
              <w:rPr>
                <w:rFonts w:ascii="Calibri" w:hAnsi="Calibri" w:cs="Calibri"/>
                <w:color w:val="000000"/>
                <w:sz w:val="16"/>
                <w:szCs w:val="16"/>
              </w:rPr>
            </w:pPr>
            <w:r w:rsidRPr="00FA63AC">
              <w:rPr>
                <w:rFonts w:ascii="Calibri" w:hAnsi="Calibri" w:cs="Calibri"/>
                <w:color w:val="000000"/>
                <w:sz w:val="16"/>
                <w:szCs w:val="16"/>
              </w:rPr>
              <w:t>70%</w:t>
            </w:r>
          </w:p>
        </w:tc>
        <w:tc>
          <w:tcPr>
            <w:tcW w:w="1276" w:type="dxa"/>
            <w:tcBorders>
              <w:top w:val="nil"/>
              <w:left w:val="nil"/>
              <w:bottom w:val="single" w:sz="4" w:space="0" w:color="auto"/>
              <w:right w:val="single" w:sz="8" w:space="0" w:color="auto"/>
            </w:tcBorders>
            <w:shd w:val="clear" w:color="000000" w:fill="FFFFFF"/>
            <w:noWrap/>
            <w:vAlign w:val="center"/>
            <w:hideMark/>
          </w:tcPr>
          <w:p w:rsidR="000A49F1" w:rsidRPr="00FA63AC" w:rsidRDefault="000A49F1" w:rsidP="000A49F1">
            <w:pPr>
              <w:jc w:val="right"/>
              <w:rPr>
                <w:rFonts w:ascii="Calibri" w:hAnsi="Calibri" w:cs="Calibri"/>
                <w:color w:val="000000"/>
                <w:sz w:val="16"/>
                <w:szCs w:val="16"/>
              </w:rPr>
            </w:pPr>
            <w:r w:rsidRPr="00FA63AC">
              <w:rPr>
                <w:rFonts w:ascii="Calibri" w:hAnsi="Calibri" w:cs="Calibri"/>
                <w:color w:val="000000"/>
                <w:sz w:val="16"/>
                <w:szCs w:val="16"/>
              </w:rPr>
              <w:t>100%</w:t>
            </w:r>
          </w:p>
        </w:tc>
      </w:tr>
      <w:tr w:rsidR="000A49F1" w:rsidRPr="00FA63AC" w:rsidTr="000A49F1">
        <w:trPr>
          <w:trHeight w:val="492"/>
        </w:trPr>
        <w:tc>
          <w:tcPr>
            <w:tcW w:w="8363" w:type="dxa"/>
            <w:gridSpan w:val="8"/>
            <w:tcBorders>
              <w:top w:val="single" w:sz="4" w:space="0" w:color="auto"/>
              <w:left w:val="nil"/>
              <w:bottom w:val="nil"/>
              <w:right w:val="nil"/>
            </w:tcBorders>
          </w:tcPr>
          <w:p w:rsidR="000A49F1" w:rsidRPr="00FA63AC" w:rsidRDefault="000A49F1" w:rsidP="000A49F1">
            <w:pPr>
              <w:rPr>
                <w:rFonts w:ascii="Calibri" w:hAnsi="Calibri" w:cs="Calibri"/>
                <w:sz w:val="16"/>
                <w:szCs w:val="16"/>
              </w:rPr>
            </w:pPr>
            <w:r w:rsidRPr="00FA63AC">
              <w:rPr>
                <w:rFonts w:ascii="Calibri" w:hAnsi="Calibri" w:cs="Calibri"/>
                <w:sz w:val="16"/>
                <w:szCs w:val="16"/>
              </w:rPr>
              <w:t>Fonte: Cálculos do autor baseados na arrecadação de transito em 2016 (SEFAZ-PE) e ganhos de arrecadação em Goiás (SEFAZ-GO).</w:t>
            </w:r>
          </w:p>
        </w:tc>
      </w:tr>
    </w:tbl>
    <w:p w:rsidR="0049487D" w:rsidRPr="00FA63AC" w:rsidRDefault="00994A9B" w:rsidP="007266FB">
      <w:pPr>
        <w:pStyle w:val="ListParagraph"/>
        <w:keepNext/>
        <w:numPr>
          <w:ilvl w:val="1"/>
          <w:numId w:val="2"/>
        </w:numPr>
        <w:shd w:val="clear" w:color="auto" w:fill="FFFFFF"/>
        <w:suppressAutoHyphens/>
        <w:spacing w:before="120"/>
        <w:ind w:left="851" w:hanging="567"/>
        <w:jc w:val="both"/>
        <w:outlineLvl w:val="3"/>
        <w:rPr>
          <w:bCs/>
          <w:lang w:eastAsia="es-ES"/>
        </w:rPr>
      </w:pPr>
      <w:r w:rsidRPr="00FA63AC">
        <w:rPr>
          <w:bCs/>
          <w:lang w:eastAsia="es-ES"/>
        </w:rPr>
        <w:t xml:space="preserve">A fiscalização </w:t>
      </w:r>
      <w:r w:rsidR="00851E48" w:rsidRPr="00FA63AC">
        <w:rPr>
          <w:bCs/>
          <w:lang w:eastAsia="es-ES"/>
        </w:rPr>
        <w:t xml:space="preserve">do trânsito de mercadorias em Pernambuco </w:t>
      </w:r>
      <w:r w:rsidRPr="00FA63AC">
        <w:rPr>
          <w:bCs/>
          <w:lang w:eastAsia="es-ES"/>
        </w:rPr>
        <w:t xml:space="preserve">conta com uma estrutura composta de </w:t>
      </w:r>
      <w:r w:rsidR="00851E48" w:rsidRPr="00FA63AC">
        <w:rPr>
          <w:bCs/>
          <w:lang w:eastAsia="es-ES"/>
        </w:rPr>
        <w:t>10</w:t>
      </w:r>
      <w:r w:rsidRPr="00FA63AC">
        <w:rPr>
          <w:bCs/>
          <w:lang w:eastAsia="es-ES"/>
        </w:rPr>
        <w:t xml:space="preserve"> </w:t>
      </w:r>
      <w:r w:rsidR="00851E48" w:rsidRPr="00FA63AC">
        <w:rPr>
          <w:bCs/>
          <w:lang w:eastAsia="es-ES"/>
        </w:rPr>
        <w:t>p</w:t>
      </w:r>
      <w:r w:rsidRPr="00FA63AC">
        <w:rPr>
          <w:bCs/>
          <w:lang w:eastAsia="es-ES"/>
        </w:rPr>
        <w:t xml:space="preserve">ostos </w:t>
      </w:r>
      <w:r w:rsidR="00851E48" w:rsidRPr="00FA63AC">
        <w:rPr>
          <w:bCs/>
          <w:lang w:eastAsia="es-ES"/>
        </w:rPr>
        <w:t>f</w:t>
      </w:r>
      <w:r w:rsidRPr="00FA63AC">
        <w:rPr>
          <w:bCs/>
          <w:lang w:eastAsia="es-ES"/>
        </w:rPr>
        <w:t xml:space="preserve">iscais. Por essas unidades circulam em torno de 130.000 cargas por mês, as quais incorporam cerca de 600.000 documentos fiscais </w:t>
      </w:r>
      <w:r w:rsidRPr="00FA63AC">
        <w:rPr>
          <w:bCs/>
          <w:lang w:eastAsia="es-ES"/>
        </w:rPr>
        <w:lastRenderedPageBreak/>
        <w:t xml:space="preserve">para serem tratados. A atividade de trânsito utiliza ao todo 490 funcionários, dos quais 194 são </w:t>
      </w:r>
      <w:r w:rsidR="00851E48" w:rsidRPr="00FA63AC">
        <w:rPr>
          <w:bCs/>
          <w:lang w:eastAsia="es-ES"/>
        </w:rPr>
        <w:t>a</w:t>
      </w:r>
      <w:r w:rsidRPr="00FA63AC">
        <w:rPr>
          <w:bCs/>
          <w:lang w:eastAsia="es-ES"/>
        </w:rPr>
        <w:t xml:space="preserve">uditores, 90 são </w:t>
      </w:r>
      <w:r w:rsidR="00851E48" w:rsidRPr="00FA63AC">
        <w:rPr>
          <w:bCs/>
          <w:lang w:eastAsia="es-ES"/>
        </w:rPr>
        <w:t>p</w:t>
      </w:r>
      <w:r w:rsidRPr="00FA63AC">
        <w:rPr>
          <w:bCs/>
          <w:lang w:eastAsia="es-ES"/>
        </w:rPr>
        <w:t>oliciais e 206 são terceirizados</w:t>
      </w:r>
      <w:r w:rsidR="00851E48" w:rsidRPr="00FA63AC">
        <w:rPr>
          <w:bCs/>
          <w:lang w:eastAsia="es-ES"/>
        </w:rPr>
        <w:t xml:space="preserve">. </w:t>
      </w:r>
      <w:r w:rsidR="00F46DD7" w:rsidRPr="00FA63AC">
        <w:rPr>
          <w:bCs/>
          <w:lang w:eastAsia="es-ES"/>
        </w:rPr>
        <w:t xml:space="preserve">Com a adoção do novo sistema, ao menos quatro postos físicos serão fechados ou bastante reduzidos, resultando em redução substantiva de custos para o Estado, estimada em volta de R$ 500 mil mensais. A análise C-B não incluiu </w:t>
      </w:r>
      <w:r w:rsidR="008843B8" w:rsidRPr="00FA63AC">
        <w:rPr>
          <w:bCs/>
          <w:lang w:eastAsia="es-ES"/>
        </w:rPr>
        <w:t xml:space="preserve">estas </w:t>
      </w:r>
      <w:r w:rsidR="00F46DD7" w:rsidRPr="00FA63AC">
        <w:rPr>
          <w:bCs/>
          <w:lang w:eastAsia="es-ES"/>
        </w:rPr>
        <w:t>economia</w:t>
      </w:r>
      <w:r w:rsidR="008843B8" w:rsidRPr="00FA63AC">
        <w:rPr>
          <w:bCs/>
          <w:lang w:eastAsia="es-ES"/>
        </w:rPr>
        <w:t>s</w:t>
      </w:r>
      <w:r w:rsidR="00F46DD7" w:rsidRPr="00FA63AC">
        <w:rPr>
          <w:bCs/>
          <w:lang w:eastAsia="es-ES"/>
        </w:rPr>
        <w:t xml:space="preserve"> de gastos</w:t>
      </w:r>
      <w:r w:rsidR="008843B8" w:rsidRPr="00FA63AC">
        <w:rPr>
          <w:bCs/>
          <w:lang w:eastAsia="es-ES"/>
        </w:rPr>
        <w:t xml:space="preserve">, visto a dificuldade de estimar mais precisamente estes números. Assim, a </w:t>
      </w:r>
      <w:r w:rsidR="00F46DD7" w:rsidRPr="00FA63AC">
        <w:rPr>
          <w:bCs/>
          <w:lang w:eastAsia="es-ES"/>
        </w:rPr>
        <w:t>análise C-B</w:t>
      </w:r>
      <w:r w:rsidR="008843B8" w:rsidRPr="00FA63AC">
        <w:rPr>
          <w:bCs/>
          <w:lang w:eastAsia="es-ES"/>
        </w:rPr>
        <w:t xml:space="preserve"> inclui apenas as estimativas de redução de evasão fiscal.</w:t>
      </w:r>
      <w:r w:rsidR="00F46DD7" w:rsidRPr="00FA63AC">
        <w:rPr>
          <w:bCs/>
          <w:lang w:eastAsia="es-ES"/>
        </w:rPr>
        <w:t xml:space="preserve">  </w:t>
      </w:r>
    </w:p>
    <w:p w:rsidR="0049487D" w:rsidRPr="00FA63AC" w:rsidRDefault="0049487D" w:rsidP="0049487D">
      <w:pPr>
        <w:pStyle w:val="ListParagraph"/>
        <w:keepNext/>
        <w:shd w:val="clear" w:color="auto" w:fill="FFFFFF"/>
        <w:suppressAutoHyphens/>
        <w:spacing w:before="120"/>
        <w:ind w:left="851"/>
        <w:jc w:val="both"/>
        <w:outlineLvl w:val="3"/>
        <w:rPr>
          <w:bCs/>
          <w:lang w:eastAsia="es-ES"/>
        </w:rPr>
      </w:pPr>
    </w:p>
    <w:p w:rsidR="00FA60F6" w:rsidRPr="00FA63AC" w:rsidRDefault="000A1E09" w:rsidP="000A1E09">
      <w:pPr>
        <w:pStyle w:val="Heading3"/>
        <w:rPr>
          <w:lang w:eastAsia="es-ES"/>
        </w:rPr>
      </w:pPr>
      <w:bookmarkStart w:id="27" w:name="_Toc503777181"/>
      <w:r w:rsidRPr="00FA63AC">
        <w:rPr>
          <w:lang w:eastAsia="es-ES"/>
        </w:rPr>
        <w:t>B.2.</w:t>
      </w:r>
      <w:r w:rsidRPr="00FA63AC">
        <w:rPr>
          <w:lang w:eastAsia="es-ES"/>
        </w:rPr>
        <w:tab/>
      </w:r>
      <w:r w:rsidR="00FA60F6" w:rsidRPr="00FA63AC">
        <w:rPr>
          <w:lang w:eastAsia="es-ES"/>
        </w:rPr>
        <w:t xml:space="preserve"> Redução de custos para o </w:t>
      </w:r>
      <w:r w:rsidR="003F1D44" w:rsidRPr="00FA63AC">
        <w:rPr>
          <w:lang w:eastAsia="es-ES"/>
        </w:rPr>
        <w:t xml:space="preserve">Estado </w:t>
      </w:r>
      <w:r w:rsidR="00F94635" w:rsidRPr="00FA63AC">
        <w:rPr>
          <w:lang w:eastAsia="es-ES"/>
        </w:rPr>
        <w:t>com a adoção de um novo sistema de gestão da folha de pagamento</w:t>
      </w:r>
      <w:bookmarkEnd w:id="27"/>
    </w:p>
    <w:p w:rsidR="0073038D" w:rsidRPr="00FA63AC" w:rsidRDefault="00F94635"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Atualmente, a despesa mensal do Estado com pagamento de pessoal é da ordem de R$ 800 milhões e contempla em torno de 220 mil servidores, entre ativos e inativos. </w:t>
      </w:r>
    </w:p>
    <w:p w:rsidR="0073038D" w:rsidRPr="00FA63AC" w:rsidRDefault="0073038D"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A</w:t>
      </w:r>
      <w:r w:rsidR="007E1B60" w:rsidRPr="00FA63AC">
        <w:rPr>
          <w:bCs/>
          <w:lang w:eastAsia="es-ES"/>
        </w:rPr>
        <w:t xml:space="preserve"> ausência de integração contábil entre os sistemas estaduais de folha de pagamento (SADRH) e de gestão contábil e financeira (eFisco) resulta no tratamento de dados através de planilha Excel, contendo fórmulas  complexas, tanto para a sua elaboração como para a sua manutenção, constituindo um ponto de fragilidade na fidelidade e integridade das informações contabilizadas, bem como, na limitação da sua utilização que atualmente contempla apenas os órgãos da administração direta, deixando de fora todas as entidades da administração indireta, cuja contabilização se dá através do empenho.</w:t>
      </w:r>
    </w:p>
    <w:p w:rsidR="0073038D" w:rsidRPr="00FA63AC" w:rsidRDefault="0073038D"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Entre outros problemas, pode-se destacar: (i) a complexidade e fragilidade do processo de contabilização das informações da despesa com pessoal da administração direta, ativos e inativos, e pensionistas que utiliza planilhas em Excel; (ii) inexistência de funcionalidade para a provisão dos valores referentes a férias, décimo terceiro e licença prêmio; (iii) inconsistência nas apropriações contábeis quando da criação ou reutilização de verba/rubrica devido a erro de classificação; (iii) ausência de relatórios gerenciais que demonstrem os valores pagos nos grupos de despesas: 1 (despesa de pessoal) e 3 (outras despesas correntes), a partir da parametrização das verbas e itens de gasto; (iv) ausência de funcionalidade no sistema que permita a extração de relatórios gerenciais que demonstrem de forma consolidada os valores líquidos e encargos, pagos e a pagar, de todas as empresas para subsidiar uma gestão eficiente do fluxo de caixa do Estado.</w:t>
      </w:r>
    </w:p>
    <w:p w:rsidR="007E1B60" w:rsidRPr="00FA63AC" w:rsidRDefault="002162BD"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w:t>
      </w:r>
      <w:r w:rsidR="007E1B60" w:rsidRPr="00FA63AC">
        <w:rPr>
          <w:bCs/>
          <w:lang w:eastAsia="es-ES"/>
        </w:rPr>
        <w:t xml:space="preserve"> atual sistema de pessoal do Estado (SADRH) tem o seu escopo limitado à manutenção cadastral e execução da folha de pagamento, o que resulta no desenvolvimento descentralizado de aplicações de tecnologia da informação para atender às necessidades dos diversos órgãos e entidades que buscam resolver demandas operacionais não suportadas pelo SADRH, gerando redundâncias e inconsistências de informações, dificuldades no controle de gastos com desenvolvimento e manutenção, resultando na ineficiência dos processos de trabalho, limitando uma melhor gestão da maior despesa do Estado.</w:t>
      </w:r>
    </w:p>
    <w:p w:rsidR="007E1B60" w:rsidRPr="00FA63AC" w:rsidRDefault="007E1B60"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Os custos operacionais e a ineficiência do modelo atual podem ser reduzidos substancialmente com a implantação de uma solução integrada de tecnologia da informação que garanta uma efetiva gestão contábil sobre as despesas de pessoal, </w:t>
      </w:r>
      <w:r w:rsidRPr="00FA63AC">
        <w:rPr>
          <w:bCs/>
          <w:lang w:eastAsia="es-ES"/>
        </w:rPr>
        <w:lastRenderedPageBreak/>
        <w:t>possibilitando a sua classificação através do uso de parâmetros e o acompanhamento prévio da sua evolução diante dos eventos futuros, como contratações e progressões, que afetam o seu montante, contribuindo inclusive, para a institucionalização do conhecimento e uma perspectiva mais estratégica por parte dos gestores públicos.</w:t>
      </w:r>
    </w:p>
    <w:p w:rsidR="002162BD" w:rsidRPr="00FA63AC" w:rsidRDefault="00D62E03"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O</w:t>
      </w:r>
      <w:r w:rsidR="002162BD" w:rsidRPr="00FA63AC">
        <w:rPr>
          <w:bCs/>
          <w:lang w:eastAsia="es-ES"/>
        </w:rPr>
        <w:t xml:space="preserve"> Estado da Bahia</w:t>
      </w:r>
      <w:r w:rsidRPr="00FA63AC">
        <w:t xml:space="preserve"> adotou recentemente um novo modelo de gestão de pessoas incluindo um novo sistema de gestão de folha de pagamentos. Um relatório da </w:t>
      </w:r>
      <w:r w:rsidRPr="00FA63AC">
        <w:rPr>
          <w:bCs/>
          <w:lang w:eastAsia="es-ES"/>
        </w:rPr>
        <w:t>Secretaria de Administração do Estado da Bahia (Saeb)</w:t>
      </w:r>
      <w:r w:rsidR="00A76818" w:rsidRPr="00FA63AC">
        <w:rPr>
          <w:bCs/>
          <w:lang w:eastAsia="es-ES"/>
        </w:rPr>
        <w:t xml:space="preserve"> registrou uma economia </w:t>
      </w:r>
      <w:r w:rsidRPr="00FA63AC">
        <w:rPr>
          <w:bCs/>
          <w:lang w:eastAsia="es-ES"/>
        </w:rPr>
        <w:t xml:space="preserve">nos últimos nove meses </w:t>
      </w:r>
      <w:r w:rsidR="00A76818" w:rsidRPr="00FA63AC">
        <w:rPr>
          <w:bCs/>
          <w:lang w:eastAsia="es-ES"/>
        </w:rPr>
        <w:t xml:space="preserve">de </w:t>
      </w:r>
      <w:r w:rsidRPr="00FA63AC">
        <w:rPr>
          <w:bCs/>
          <w:lang w:eastAsia="es-ES"/>
        </w:rPr>
        <w:t>R$ 1,35 milhão na sua folha de pagamento</w:t>
      </w:r>
      <w:r w:rsidR="00A76818" w:rsidRPr="00FA63AC">
        <w:rPr>
          <w:bCs/>
          <w:lang w:eastAsia="es-ES"/>
        </w:rPr>
        <w:t xml:space="preserve"> com a implantação da</w:t>
      </w:r>
      <w:r w:rsidRPr="00FA63AC">
        <w:rPr>
          <w:bCs/>
          <w:lang w:eastAsia="es-ES"/>
        </w:rPr>
        <w:t xml:space="preserve"> primeira etapa do RH Bahia, um projeto que visa modernizar a gestão de Recursos Humanos do Estado por meio do módulo Human Capital Management (HCM) do SAP. O montante representa uma redução mensal de 0,8% no valor bruto médio da folha de pagamento das oito empresas públicas e sociedades de economia do Estado onde o novo sistema entrou em ambiente de produção em janeiro de 2017.</w:t>
      </w:r>
      <w:r w:rsidR="00A76818" w:rsidRPr="00FA63AC">
        <w:rPr>
          <w:bCs/>
          <w:lang w:eastAsia="es-ES"/>
        </w:rPr>
        <w:t xml:space="preserve"> O relatório explica que </w:t>
      </w:r>
      <w:r w:rsidRPr="00FA63AC">
        <w:rPr>
          <w:bCs/>
          <w:lang w:eastAsia="es-ES"/>
        </w:rPr>
        <w:t>a redução nas despesas com a folha é consequência de um novo padrão de confiabilidade e precisão no processamento dos dados proporcionado pela nova tecnologia. O sistema permite identificar e corrigir erros e inconsistências, na medida em que muitos processos realizados manualmente passam a ser automatizados</w:t>
      </w:r>
      <w:r w:rsidR="00A76818" w:rsidRPr="00FA63AC">
        <w:rPr>
          <w:bCs/>
          <w:lang w:eastAsia="es-ES"/>
        </w:rPr>
        <w:t xml:space="preserve">. </w:t>
      </w:r>
      <w:r w:rsidR="002162BD" w:rsidRPr="00FA63AC">
        <w:rPr>
          <w:bCs/>
          <w:lang w:eastAsia="es-ES"/>
        </w:rPr>
        <w:t xml:space="preserve"> </w:t>
      </w:r>
    </w:p>
    <w:p w:rsidR="00A76818" w:rsidRPr="00FA63AC" w:rsidRDefault="00757A17"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O PROFISCO II financiará </w:t>
      </w:r>
      <w:r w:rsidR="00A76818" w:rsidRPr="00FA63AC">
        <w:rPr>
          <w:bCs/>
          <w:lang w:eastAsia="es-ES"/>
        </w:rPr>
        <w:t>a adoção em Pernambuco de sistema similar ao do Estado da Bahia. Relatórios da SEFAZ-PE mostram que a folha de pagamento do Estado, em um período de doze meses (novembro de 2016 a outubro de 2017)</w:t>
      </w:r>
      <w:r w:rsidR="005A6343" w:rsidRPr="00FA63AC">
        <w:rPr>
          <w:bCs/>
          <w:lang w:eastAsia="es-ES"/>
        </w:rPr>
        <w:t>,</w:t>
      </w:r>
      <w:r w:rsidR="00A76818" w:rsidRPr="00FA63AC">
        <w:rPr>
          <w:bCs/>
          <w:lang w:eastAsia="es-ES"/>
        </w:rPr>
        <w:t xml:space="preserve"> totalizou R$ 11,7 bilhões, sendo R$10,6 bilhões com pessoal ativo e R$1,1</w:t>
      </w:r>
      <w:r w:rsidR="005A234B" w:rsidRPr="00FA63AC">
        <w:rPr>
          <w:bCs/>
          <w:lang w:eastAsia="es-ES"/>
        </w:rPr>
        <w:t xml:space="preserve"> bilhão</w:t>
      </w:r>
      <w:r w:rsidR="00A76818" w:rsidRPr="00FA63AC">
        <w:rPr>
          <w:bCs/>
          <w:lang w:eastAsia="es-ES"/>
        </w:rPr>
        <w:t xml:space="preserve"> com inativos. Mesmo adotando um</w:t>
      </w:r>
      <w:r w:rsidR="005A6343" w:rsidRPr="00FA63AC">
        <w:rPr>
          <w:bCs/>
          <w:lang w:eastAsia="es-ES"/>
        </w:rPr>
        <w:t xml:space="preserve">a taxa de redução de gastos mais conservadora, equivalente à metade da taxa de economia do Estado da Bahia (0,4% em comparação a 0,8% registrado na Bahia), resultaria em economia de R$ 46,7 milhões anualmente.    </w:t>
      </w:r>
    </w:p>
    <w:p w:rsidR="000E2F26" w:rsidRPr="00FA63AC" w:rsidRDefault="005A6343"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A implantação do novo sistema será gradual. </w:t>
      </w:r>
      <w:r w:rsidR="000E2F26" w:rsidRPr="00FA63AC">
        <w:rPr>
          <w:bCs/>
          <w:lang w:eastAsia="es-ES"/>
        </w:rPr>
        <w:t xml:space="preserve">A Tabela 7 mostra as estimativas de economia para o Estado de Pernambuco com a adoção do novo sistema de gestão da folha de pagamentos. No primeiro ano o sistema abrangerá por volta de 2% da folha, com incrementos anuais </w:t>
      </w:r>
      <w:r w:rsidR="00F170BD" w:rsidRPr="00FA63AC">
        <w:rPr>
          <w:bCs/>
          <w:lang w:eastAsia="es-ES"/>
        </w:rPr>
        <w:t>até</w:t>
      </w:r>
      <w:r w:rsidR="000E2F26" w:rsidRPr="00FA63AC">
        <w:rPr>
          <w:bCs/>
          <w:lang w:eastAsia="es-ES"/>
        </w:rPr>
        <w:t xml:space="preserve"> chegar a 100% da folha no ano 5 de execução do programa.</w:t>
      </w:r>
    </w:p>
    <w:p w:rsidR="005A6343" w:rsidRPr="00FA63AC" w:rsidRDefault="005A6343" w:rsidP="005A6343">
      <w:pPr>
        <w:pStyle w:val="ListParagraph"/>
        <w:keepNext/>
        <w:suppressAutoHyphens/>
        <w:spacing w:before="120"/>
        <w:ind w:left="851"/>
        <w:jc w:val="both"/>
        <w:outlineLvl w:val="3"/>
        <w:rPr>
          <w:bCs/>
          <w:lang w:eastAsia="es-ES"/>
        </w:rPr>
      </w:pPr>
    </w:p>
    <w:tbl>
      <w:tblPr>
        <w:tblW w:w="9370" w:type="dxa"/>
        <w:tblInd w:w="70" w:type="dxa"/>
        <w:tblCellMar>
          <w:left w:w="70" w:type="dxa"/>
          <w:right w:w="70" w:type="dxa"/>
        </w:tblCellMar>
        <w:tblLook w:val="04A0" w:firstRow="1" w:lastRow="0" w:firstColumn="1" w:lastColumn="0" w:noHBand="0" w:noVBand="1"/>
      </w:tblPr>
      <w:tblGrid>
        <w:gridCol w:w="2977"/>
        <w:gridCol w:w="992"/>
        <w:gridCol w:w="1276"/>
        <w:gridCol w:w="1276"/>
        <w:gridCol w:w="1290"/>
        <w:gridCol w:w="1559"/>
      </w:tblGrid>
      <w:tr w:rsidR="005A6343" w:rsidRPr="00FA63AC" w:rsidTr="000E2F26">
        <w:trPr>
          <w:trHeight w:val="288"/>
        </w:trPr>
        <w:tc>
          <w:tcPr>
            <w:tcW w:w="9370" w:type="dxa"/>
            <w:gridSpan w:val="6"/>
            <w:tcBorders>
              <w:top w:val="nil"/>
              <w:left w:val="nil"/>
              <w:bottom w:val="nil"/>
              <w:right w:val="nil"/>
            </w:tcBorders>
            <w:shd w:val="clear" w:color="auto" w:fill="auto"/>
            <w:noWrap/>
            <w:vAlign w:val="bottom"/>
            <w:hideMark/>
          </w:tcPr>
          <w:p w:rsidR="005A6343" w:rsidRPr="00FA63AC" w:rsidRDefault="005A6343" w:rsidP="005A6343">
            <w:pPr>
              <w:rPr>
                <w:rFonts w:ascii="Calibri" w:hAnsi="Calibri" w:cs="Calibri"/>
                <w:b/>
                <w:color w:val="000000"/>
                <w:sz w:val="20"/>
                <w:szCs w:val="20"/>
              </w:rPr>
            </w:pPr>
            <w:r w:rsidRPr="00FA63AC">
              <w:rPr>
                <w:rFonts w:ascii="Calibri" w:hAnsi="Calibri" w:cs="Calibri"/>
                <w:b/>
                <w:color w:val="000000"/>
                <w:sz w:val="20"/>
                <w:szCs w:val="20"/>
              </w:rPr>
              <w:t xml:space="preserve">Tabela 7 - </w:t>
            </w:r>
            <w:r w:rsidR="000E2F26" w:rsidRPr="00FA63AC">
              <w:rPr>
                <w:rFonts w:ascii="Calibri" w:hAnsi="Calibri" w:cs="Calibri"/>
                <w:b/>
                <w:color w:val="000000"/>
                <w:sz w:val="20"/>
                <w:szCs w:val="20"/>
              </w:rPr>
              <w:t>Redução</w:t>
            </w:r>
            <w:r w:rsidRPr="00FA63AC">
              <w:rPr>
                <w:rFonts w:ascii="Calibri" w:hAnsi="Calibri" w:cs="Calibri"/>
                <w:b/>
                <w:color w:val="000000"/>
                <w:sz w:val="20"/>
                <w:szCs w:val="20"/>
              </w:rPr>
              <w:t xml:space="preserve"> nos gastos de pessoal com a </w:t>
            </w:r>
            <w:r w:rsidR="000E2F26" w:rsidRPr="00FA63AC">
              <w:rPr>
                <w:rFonts w:ascii="Calibri" w:hAnsi="Calibri" w:cs="Calibri"/>
                <w:b/>
                <w:color w:val="000000"/>
                <w:sz w:val="20"/>
                <w:szCs w:val="20"/>
              </w:rPr>
              <w:t>adoção</w:t>
            </w:r>
            <w:r w:rsidRPr="00FA63AC">
              <w:rPr>
                <w:rFonts w:ascii="Calibri" w:hAnsi="Calibri" w:cs="Calibri"/>
                <w:b/>
                <w:color w:val="000000"/>
                <w:sz w:val="20"/>
                <w:szCs w:val="20"/>
              </w:rPr>
              <w:t xml:space="preserve"> do novo sistema de folha de pagamentos</w:t>
            </w:r>
          </w:p>
        </w:tc>
      </w:tr>
      <w:tr w:rsidR="000E2F26" w:rsidRPr="00FA63AC" w:rsidTr="000E2F26">
        <w:trPr>
          <w:trHeight w:val="288"/>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6343" w:rsidRPr="00FA63AC" w:rsidRDefault="005A6343" w:rsidP="005A6343">
            <w:pPr>
              <w:rPr>
                <w:rFonts w:ascii="Calibri" w:hAnsi="Calibri" w:cs="Calibri"/>
                <w:color w:val="000000"/>
                <w:sz w:val="22"/>
                <w:szCs w:val="22"/>
              </w:rPr>
            </w:pPr>
            <w:r w:rsidRPr="00FA63AC">
              <w:rPr>
                <w:rFonts w:ascii="Calibri" w:hAnsi="Calibri" w:cs="Calibri"/>
                <w:color w:val="000000"/>
                <w:sz w:val="22"/>
                <w:szCs w:val="22"/>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0"/>
                <w:szCs w:val="20"/>
              </w:rPr>
            </w:pPr>
            <w:r w:rsidRPr="00FA63AC">
              <w:rPr>
                <w:rFonts w:ascii="Calibri" w:hAnsi="Calibri" w:cs="Calibri"/>
                <w:color w:val="000000"/>
                <w:sz w:val="20"/>
                <w:szCs w:val="20"/>
              </w:rPr>
              <w:t>ano 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0"/>
                <w:szCs w:val="20"/>
              </w:rPr>
            </w:pPr>
            <w:r w:rsidRPr="00FA63AC">
              <w:rPr>
                <w:rFonts w:ascii="Calibri" w:hAnsi="Calibri" w:cs="Calibri"/>
                <w:color w:val="000000"/>
                <w:sz w:val="20"/>
                <w:szCs w:val="20"/>
              </w:rPr>
              <w:t>ano 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0"/>
                <w:szCs w:val="20"/>
              </w:rPr>
            </w:pPr>
            <w:r w:rsidRPr="00FA63AC">
              <w:rPr>
                <w:rFonts w:ascii="Calibri" w:hAnsi="Calibri" w:cs="Calibri"/>
                <w:color w:val="000000"/>
                <w:sz w:val="20"/>
                <w:szCs w:val="20"/>
              </w:rPr>
              <w:t>ano 3</w:t>
            </w:r>
          </w:p>
        </w:tc>
        <w:tc>
          <w:tcPr>
            <w:tcW w:w="1290" w:type="dxa"/>
            <w:tcBorders>
              <w:top w:val="single" w:sz="4" w:space="0" w:color="auto"/>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0"/>
                <w:szCs w:val="20"/>
              </w:rPr>
            </w:pPr>
            <w:r w:rsidRPr="00FA63AC">
              <w:rPr>
                <w:rFonts w:ascii="Calibri" w:hAnsi="Calibri" w:cs="Calibri"/>
                <w:color w:val="000000"/>
                <w:sz w:val="20"/>
                <w:szCs w:val="20"/>
              </w:rPr>
              <w:t>ano 4</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0"/>
                <w:szCs w:val="20"/>
              </w:rPr>
            </w:pPr>
            <w:r w:rsidRPr="00FA63AC">
              <w:rPr>
                <w:rFonts w:ascii="Calibri" w:hAnsi="Calibri" w:cs="Calibri"/>
                <w:color w:val="000000"/>
                <w:sz w:val="20"/>
                <w:szCs w:val="20"/>
              </w:rPr>
              <w:t>ano 5 em diante</w:t>
            </w:r>
          </w:p>
        </w:tc>
      </w:tr>
      <w:tr w:rsidR="000E2F26" w:rsidRPr="00FA63AC" w:rsidTr="000E2F26">
        <w:trPr>
          <w:trHeight w:val="288"/>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5A6343" w:rsidRPr="00FA63AC" w:rsidRDefault="005A6343" w:rsidP="005A6343">
            <w:pPr>
              <w:rPr>
                <w:rFonts w:ascii="Calibri" w:hAnsi="Calibri" w:cs="Calibri"/>
                <w:color w:val="000000"/>
                <w:sz w:val="18"/>
                <w:szCs w:val="18"/>
              </w:rPr>
            </w:pPr>
            <w:r w:rsidRPr="00FA63AC">
              <w:rPr>
                <w:rFonts w:ascii="Calibri" w:hAnsi="Calibri" w:cs="Calibri"/>
                <w:color w:val="000000"/>
                <w:sz w:val="18"/>
                <w:szCs w:val="18"/>
              </w:rPr>
              <w:t>percentual da folha</w:t>
            </w:r>
            <w:r w:rsidR="000E2F26" w:rsidRPr="00FA63AC">
              <w:rPr>
                <w:rFonts w:ascii="Calibri" w:hAnsi="Calibri" w:cs="Calibri"/>
                <w:color w:val="000000"/>
                <w:sz w:val="18"/>
                <w:szCs w:val="18"/>
              </w:rPr>
              <w:t xml:space="preserve"> com novo sistema</w:t>
            </w:r>
          </w:p>
        </w:tc>
        <w:tc>
          <w:tcPr>
            <w:tcW w:w="992"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2"/>
                <w:szCs w:val="22"/>
              </w:rPr>
            </w:pPr>
            <w:r w:rsidRPr="00FA63AC">
              <w:rPr>
                <w:rFonts w:ascii="Calibri" w:hAnsi="Calibri" w:cs="Calibri"/>
                <w:color w:val="000000"/>
                <w:sz w:val="22"/>
                <w:szCs w:val="22"/>
              </w:rPr>
              <w:t>2%</w:t>
            </w:r>
          </w:p>
        </w:tc>
        <w:tc>
          <w:tcPr>
            <w:tcW w:w="1276"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2"/>
                <w:szCs w:val="22"/>
              </w:rPr>
            </w:pPr>
            <w:r w:rsidRPr="00FA63AC">
              <w:rPr>
                <w:rFonts w:ascii="Calibri" w:hAnsi="Calibri" w:cs="Calibri"/>
                <w:color w:val="000000"/>
                <w:sz w:val="22"/>
                <w:szCs w:val="22"/>
              </w:rPr>
              <w:t>25%</w:t>
            </w:r>
          </w:p>
        </w:tc>
        <w:tc>
          <w:tcPr>
            <w:tcW w:w="1276"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2"/>
                <w:szCs w:val="22"/>
              </w:rPr>
            </w:pPr>
            <w:r w:rsidRPr="00FA63AC">
              <w:rPr>
                <w:rFonts w:ascii="Calibri" w:hAnsi="Calibri" w:cs="Calibri"/>
                <w:color w:val="000000"/>
                <w:sz w:val="22"/>
                <w:szCs w:val="22"/>
              </w:rPr>
              <w:t>38%</w:t>
            </w:r>
          </w:p>
        </w:tc>
        <w:tc>
          <w:tcPr>
            <w:tcW w:w="1290"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2"/>
                <w:szCs w:val="22"/>
              </w:rPr>
            </w:pPr>
            <w:r w:rsidRPr="00FA63AC">
              <w:rPr>
                <w:rFonts w:ascii="Calibri" w:hAnsi="Calibri" w:cs="Calibri"/>
                <w:color w:val="000000"/>
                <w:sz w:val="22"/>
                <w:szCs w:val="22"/>
              </w:rPr>
              <w:t>20%</w:t>
            </w:r>
          </w:p>
        </w:tc>
        <w:tc>
          <w:tcPr>
            <w:tcW w:w="1559"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5A6343">
            <w:pPr>
              <w:jc w:val="right"/>
              <w:rPr>
                <w:rFonts w:ascii="Calibri" w:hAnsi="Calibri" w:cs="Calibri"/>
                <w:color w:val="000000"/>
                <w:sz w:val="22"/>
                <w:szCs w:val="22"/>
              </w:rPr>
            </w:pPr>
            <w:r w:rsidRPr="00FA63AC">
              <w:rPr>
                <w:rFonts w:ascii="Calibri" w:hAnsi="Calibri" w:cs="Calibri"/>
                <w:color w:val="000000"/>
                <w:sz w:val="22"/>
                <w:szCs w:val="22"/>
              </w:rPr>
              <w:t>15%</w:t>
            </w:r>
          </w:p>
        </w:tc>
      </w:tr>
      <w:tr w:rsidR="000E2F26" w:rsidRPr="00FA63AC" w:rsidTr="002A6724">
        <w:trPr>
          <w:trHeight w:val="113"/>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5A6343" w:rsidRPr="00FA63AC" w:rsidRDefault="000E2F26" w:rsidP="005A6343">
            <w:pPr>
              <w:rPr>
                <w:rFonts w:ascii="Calibri" w:hAnsi="Calibri" w:cs="Calibri"/>
                <w:color w:val="000000"/>
                <w:sz w:val="18"/>
                <w:szCs w:val="18"/>
              </w:rPr>
            </w:pPr>
            <w:r w:rsidRPr="00FA63AC">
              <w:rPr>
                <w:rFonts w:ascii="Calibri" w:hAnsi="Calibri" w:cs="Calibri"/>
                <w:color w:val="000000"/>
                <w:sz w:val="18"/>
                <w:szCs w:val="18"/>
              </w:rPr>
              <w:t>Economia anual</w:t>
            </w:r>
          </w:p>
        </w:tc>
        <w:tc>
          <w:tcPr>
            <w:tcW w:w="992"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935.027 </w:t>
            </w:r>
          </w:p>
        </w:tc>
        <w:tc>
          <w:tcPr>
            <w:tcW w:w="1276"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11.687.841 </w:t>
            </w:r>
          </w:p>
        </w:tc>
        <w:tc>
          <w:tcPr>
            <w:tcW w:w="1276"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17.765.518 </w:t>
            </w:r>
          </w:p>
        </w:tc>
        <w:tc>
          <w:tcPr>
            <w:tcW w:w="1290"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9.350.273 </w:t>
            </w:r>
          </w:p>
        </w:tc>
        <w:tc>
          <w:tcPr>
            <w:tcW w:w="1559"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7.012.705 </w:t>
            </w:r>
          </w:p>
        </w:tc>
      </w:tr>
      <w:tr w:rsidR="000E2F26" w:rsidRPr="00FA63AC" w:rsidTr="000E2F26">
        <w:trPr>
          <w:trHeight w:val="288"/>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5A6343" w:rsidRPr="00FA63AC" w:rsidRDefault="000E2F26" w:rsidP="005A6343">
            <w:pPr>
              <w:rPr>
                <w:rFonts w:ascii="Calibri" w:hAnsi="Calibri" w:cs="Calibri"/>
                <w:color w:val="000000"/>
                <w:sz w:val="18"/>
                <w:szCs w:val="18"/>
              </w:rPr>
            </w:pPr>
            <w:r w:rsidRPr="00FA63AC">
              <w:rPr>
                <w:rFonts w:ascii="Calibri" w:hAnsi="Calibri" w:cs="Calibri"/>
                <w:color w:val="000000"/>
                <w:sz w:val="18"/>
                <w:szCs w:val="18"/>
              </w:rPr>
              <w:t>Economia acumulada</w:t>
            </w:r>
          </w:p>
        </w:tc>
        <w:tc>
          <w:tcPr>
            <w:tcW w:w="992"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935.027 </w:t>
            </w:r>
          </w:p>
        </w:tc>
        <w:tc>
          <w:tcPr>
            <w:tcW w:w="1276"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12.622.868 </w:t>
            </w:r>
          </w:p>
        </w:tc>
        <w:tc>
          <w:tcPr>
            <w:tcW w:w="1276"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30.388.386 </w:t>
            </w:r>
          </w:p>
        </w:tc>
        <w:tc>
          <w:tcPr>
            <w:tcW w:w="1290"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39.738.659 </w:t>
            </w:r>
          </w:p>
        </w:tc>
        <w:tc>
          <w:tcPr>
            <w:tcW w:w="1559" w:type="dxa"/>
            <w:tcBorders>
              <w:top w:val="nil"/>
              <w:left w:val="nil"/>
              <w:bottom w:val="single" w:sz="4" w:space="0" w:color="auto"/>
              <w:right w:val="single" w:sz="4" w:space="0" w:color="auto"/>
            </w:tcBorders>
            <w:shd w:val="clear" w:color="auto" w:fill="auto"/>
            <w:noWrap/>
            <w:vAlign w:val="bottom"/>
            <w:hideMark/>
          </w:tcPr>
          <w:p w:rsidR="005A6343" w:rsidRPr="00FA63AC" w:rsidRDefault="005A6343" w:rsidP="000E2F26">
            <w:pPr>
              <w:jc w:val="right"/>
              <w:rPr>
                <w:rFonts w:ascii="Calibri" w:hAnsi="Calibri" w:cs="Calibri"/>
                <w:color w:val="000000"/>
                <w:sz w:val="22"/>
                <w:szCs w:val="22"/>
              </w:rPr>
            </w:pPr>
            <w:r w:rsidRPr="00FA63AC">
              <w:rPr>
                <w:rFonts w:ascii="Calibri" w:hAnsi="Calibri" w:cs="Calibri"/>
                <w:color w:val="000000"/>
                <w:sz w:val="22"/>
                <w:szCs w:val="22"/>
              </w:rPr>
              <w:t xml:space="preserve">   46.751.364 </w:t>
            </w:r>
          </w:p>
        </w:tc>
      </w:tr>
      <w:tr w:rsidR="005A6343" w:rsidRPr="00FA63AC" w:rsidTr="000E2F26">
        <w:trPr>
          <w:trHeight w:val="288"/>
        </w:trPr>
        <w:tc>
          <w:tcPr>
            <w:tcW w:w="9370" w:type="dxa"/>
            <w:gridSpan w:val="6"/>
            <w:tcBorders>
              <w:top w:val="nil"/>
              <w:left w:val="nil"/>
              <w:bottom w:val="nil"/>
              <w:right w:val="nil"/>
            </w:tcBorders>
            <w:shd w:val="clear" w:color="auto" w:fill="auto"/>
            <w:noWrap/>
            <w:vAlign w:val="bottom"/>
            <w:hideMark/>
          </w:tcPr>
          <w:p w:rsidR="005A6343" w:rsidRPr="00FA63AC" w:rsidRDefault="005A6343" w:rsidP="005A6343">
            <w:pPr>
              <w:rPr>
                <w:rFonts w:ascii="Calibri" w:hAnsi="Calibri" w:cs="Calibri"/>
                <w:color w:val="000000"/>
                <w:sz w:val="16"/>
                <w:szCs w:val="16"/>
              </w:rPr>
            </w:pPr>
            <w:r w:rsidRPr="00FA63AC">
              <w:rPr>
                <w:rFonts w:ascii="Calibri" w:hAnsi="Calibri" w:cs="Calibri"/>
                <w:color w:val="000000"/>
                <w:sz w:val="16"/>
                <w:szCs w:val="16"/>
              </w:rPr>
              <w:t>Fonte: Cálculos do autor baseados n</w:t>
            </w:r>
            <w:r w:rsidR="000E2F26" w:rsidRPr="00FA63AC">
              <w:rPr>
                <w:rFonts w:ascii="Calibri" w:hAnsi="Calibri" w:cs="Calibri"/>
                <w:color w:val="000000"/>
                <w:sz w:val="16"/>
                <w:szCs w:val="16"/>
              </w:rPr>
              <w:t xml:space="preserve">os custos da folha de pagamento do Estado de Pernambuco </w:t>
            </w:r>
            <w:r w:rsidRPr="00FA63AC">
              <w:rPr>
                <w:rFonts w:ascii="Calibri" w:hAnsi="Calibri" w:cs="Calibri"/>
                <w:color w:val="000000"/>
                <w:sz w:val="16"/>
                <w:szCs w:val="16"/>
              </w:rPr>
              <w:t>(SEFA</w:t>
            </w:r>
            <w:r w:rsidR="000E2F26" w:rsidRPr="00FA63AC">
              <w:rPr>
                <w:rFonts w:ascii="Calibri" w:hAnsi="Calibri" w:cs="Calibri"/>
                <w:color w:val="000000"/>
                <w:sz w:val="16"/>
                <w:szCs w:val="16"/>
              </w:rPr>
              <w:t>Z</w:t>
            </w:r>
            <w:r w:rsidRPr="00FA63AC">
              <w:rPr>
                <w:rFonts w:ascii="Calibri" w:hAnsi="Calibri" w:cs="Calibri"/>
                <w:color w:val="000000"/>
                <w:sz w:val="16"/>
                <w:szCs w:val="16"/>
              </w:rPr>
              <w:t>-P</w:t>
            </w:r>
            <w:r w:rsidR="000E2F26" w:rsidRPr="00FA63AC">
              <w:rPr>
                <w:rFonts w:ascii="Calibri" w:hAnsi="Calibri" w:cs="Calibri"/>
                <w:color w:val="000000"/>
                <w:sz w:val="16"/>
                <w:szCs w:val="16"/>
              </w:rPr>
              <w:t>E, 2017</w:t>
            </w:r>
            <w:r w:rsidRPr="00FA63AC">
              <w:rPr>
                <w:rFonts w:ascii="Calibri" w:hAnsi="Calibri" w:cs="Calibri"/>
                <w:color w:val="000000"/>
                <w:sz w:val="16"/>
                <w:szCs w:val="16"/>
              </w:rPr>
              <w:t>) e</w:t>
            </w:r>
            <w:r w:rsidR="000E2F26" w:rsidRPr="00FA63AC">
              <w:rPr>
                <w:rFonts w:ascii="Calibri" w:hAnsi="Calibri" w:cs="Calibri"/>
                <w:color w:val="000000"/>
                <w:sz w:val="16"/>
                <w:szCs w:val="16"/>
              </w:rPr>
              <w:t xml:space="preserve"> economias registradas na folha de pagamentos do Estado da Bahia </w:t>
            </w:r>
            <w:r w:rsidRPr="00FA63AC">
              <w:rPr>
                <w:rFonts w:ascii="Calibri" w:hAnsi="Calibri" w:cs="Calibri"/>
                <w:color w:val="000000"/>
                <w:sz w:val="16"/>
                <w:szCs w:val="16"/>
              </w:rPr>
              <w:t>(SEFAZ-</w:t>
            </w:r>
            <w:r w:rsidR="000E2F26" w:rsidRPr="00FA63AC">
              <w:rPr>
                <w:rFonts w:ascii="Calibri" w:hAnsi="Calibri" w:cs="Calibri"/>
                <w:color w:val="000000"/>
                <w:sz w:val="16"/>
                <w:szCs w:val="16"/>
              </w:rPr>
              <w:t>BA, 2017</w:t>
            </w:r>
            <w:r w:rsidRPr="00FA63AC">
              <w:rPr>
                <w:rFonts w:ascii="Calibri" w:hAnsi="Calibri" w:cs="Calibri"/>
                <w:color w:val="000000"/>
                <w:sz w:val="16"/>
                <w:szCs w:val="16"/>
              </w:rPr>
              <w:t>).</w:t>
            </w:r>
          </w:p>
        </w:tc>
      </w:tr>
    </w:tbl>
    <w:p w:rsidR="005A6343" w:rsidRPr="00FA63AC" w:rsidRDefault="005A6343" w:rsidP="005A6343">
      <w:pPr>
        <w:pStyle w:val="ListParagraph"/>
        <w:keepNext/>
        <w:suppressAutoHyphens/>
        <w:spacing w:before="120"/>
        <w:ind w:left="851"/>
        <w:jc w:val="both"/>
        <w:outlineLvl w:val="3"/>
        <w:rPr>
          <w:bCs/>
          <w:lang w:eastAsia="es-ES"/>
        </w:rPr>
      </w:pPr>
    </w:p>
    <w:p w:rsidR="005A6343" w:rsidRPr="00FA63AC" w:rsidRDefault="00E219FA"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O atual sistema de folha de pagamentos demanda um grande número de servidores para sua </w:t>
      </w:r>
      <w:r w:rsidR="001E753B" w:rsidRPr="00FA63AC">
        <w:rPr>
          <w:bCs/>
          <w:lang w:eastAsia="es-ES"/>
        </w:rPr>
        <w:t xml:space="preserve">preparação e execução. A Tabela 8 mostra que, em 2017, 731 servidores trabalhavam em tempo integral na preparação e execução da folha de pagamentos. </w:t>
      </w:r>
      <w:r w:rsidR="00352D3A" w:rsidRPr="00FA63AC">
        <w:rPr>
          <w:bCs/>
          <w:lang w:eastAsia="es-ES"/>
        </w:rPr>
        <w:lastRenderedPageBreak/>
        <w:t xml:space="preserve">Cada servidor custa ao governo, em média, R$6,7 mil mensal, incluindo encargos. Por ano, estes gastos totalizam R$59 milhões. </w:t>
      </w:r>
    </w:p>
    <w:p w:rsidR="00352D3A" w:rsidRPr="00FA63AC" w:rsidRDefault="00352D3A"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A SEFAZ-PE estima uma redução entre 7% e 12% de horas trabalhadas na folha de pagamento. Tomando a estimativa mais baixa, esta redução é, equivalente a uma economia de R$4,13 milhões anualmente. A economia de gasto com pessoal está também dividida no tempo, seguindo a mesma proporção registrada na Tabela 7 acima, de 2% no primeiro ano até alcançar 100</w:t>
      </w:r>
      <w:r w:rsidR="00A733AE" w:rsidRPr="00FA63AC">
        <w:rPr>
          <w:bCs/>
          <w:lang w:eastAsia="es-ES"/>
        </w:rPr>
        <w:t>% no quinto ano de execução do programa.</w:t>
      </w:r>
      <w:r w:rsidRPr="00FA63AC">
        <w:rPr>
          <w:bCs/>
          <w:lang w:eastAsia="es-ES"/>
        </w:rPr>
        <w:t xml:space="preserve">  </w:t>
      </w:r>
    </w:p>
    <w:p w:rsidR="001E753B" w:rsidRPr="00FA63AC" w:rsidRDefault="001E753B" w:rsidP="001E753B">
      <w:pPr>
        <w:keepNext/>
        <w:suppressAutoHyphens/>
        <w:spacing w:before="120"/>
        <w:jc w:val="both"/>
        <w:outlineLvl w:val="3"/>
        <w:rPr>
          <w:bCs/>
          <w:lang w:eastAsia="es-ES"/>
        </w:rPr>
      </w:pPr>
    </w:p>
    <w:p w:rsidR="006A72B0" w:rsidRPr="00FA63AC" w:rsidRDefault="006A72B0" w:rsidP="001E753B">
      <w:pPr>
        <w:keepNext/>
        <w:suppressAutoHyphens/>
        <w:spacing w:before="120"/>
        <w:jc w:val="both"/>
        <w:outlineLvl w:val="3"/>
        <w:rPr>
          <w:bCs/>
          <w:lang w:eastAsia="es-ES"/>
        </w:rPr>
      </w:pPr>
      <w:r w:rsidRPr="00FA63AC">
        <w:rPr>
          <w:noProof/>
        </w:rPr>
        <w:drawing>
          <wp:inline distT="0" distB="0" distL="0" distR="0" wp14:anchorId="33056CDB" wp14:editId="2F9C018F">
            <wp:extent cx="4245610" cy="5735782"/>
            <wp:effectExtent l="0" t="0" r="6985" b="571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45610" cy="5735782"/>
                    </a:xfrm>
                    <a:prstGeom prst="rect">
                      <a:avLst/>
                    </a:prstGeom>
                    <a:noFill/>
                    <a:ln>
                      <a:noFill/>
                    </a:ln>
                  </pic:spPr>
                </pic:pic>
              </a:graphicData>
            </a:graphic>
          </wp:inline>
        </w:drawing>
      </w:r>
    </w:p>
    <w:p w:rsidR="006A72B0" w:rsidRPr="00FA63AC" w:rsidRDefault="006A72B0" w:rsidP="001E753B">
      <w:pPr>
        <w:keepNext/>
        <w:suppressAutoHyphens/>
        <w:spacing w:before="120"/>
        <w:jc w:val="both"/>
        <w:outlineLvl w:val="3"/>
        <w:rPr>
          <w:bCs/>
          <w:lang w:eastAsia="es-ES"/>
        </w:rPr>
      </w:pPr>
    </w:p>
    <w:p w:rsidR="000B764F" w:rsidRPr="00FA63AC" w:rsidRDefault="000A1E09" w:rsidP="000A1E09">
      <w:pPr>
        <w:pStyle w:val="Heading3"/>
        <w:rPr>
          <w:lang w:eastAsia="es-ES"/>
        </w:rPr>
      </w:pPr>
      <w:bookmarkStart w:id="28" w:name="_Toc503777182"/>
      <w:r w:rsidRPr="00FA63AC">
        <w:rPr>
          <w:lang w:eastAsia="es-ES"/>
        </w:rPr>
        <w:t>B.3.</w:t>
      </w:r>
      <w:r w:rsidRPr="00FA63AC">
        <w:rPr>
          <w:lang w:eastAsia="es-ES"/>
        </w:rPr>
        <w:tab/>
      </w:r>
      <w:r w:rsidR="000B764F" w:rsidRPr="00FA63AC">
        <w:rPr>
          <w:lang w:eastAsia="es-ES"/>
        </w:rPr>
        <w:t xml:space="preserve"> Redução de custos para o Estado d</w:t>
      </w:r>
      <w:r w:rsidR="000739C9" w:rsidRPr="00FA63AC">
        <w:rPr>
          <w:lang w:eastAsia="es-ES"/>
        </w:rPr>
        <w:t xml:space="preserve">e Pernambuco </w:t>
      </w:r>
      <w:r w:rsidR="000B764F" w:rsidRPr="00FA63AC">
        <w:rPr>
          <w:lang w:eastAsia="es-ES"/>
        </w:rPr>
        <w:t>na sua gestão fiscal</w:t>
      </w:r>
      <w:bookmarkEnd w:id="28"/>
    </w:p>
    <w:p w:rsidR="001A16CE" w:rsidRPr="00FA63AC" w:rsidRDefault="001A16CE" w:rsidP="001A16CE">
      <w:pPr>
        <w:rPr>
          <w:bCs/>
          <w:lang w:eastAsia="es-ES"/>
        </w:rPr>
      </w:pPr>
    </w:p>
    <w:p w:rsidR="00E70323" w:rsidRPr="00FA63AC" w:rsidRDefault="001A16CE"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lastRenderedPageBreak/>
        <w:t xml:space="preserve">O atual sistema de registro, monitoramento e controle das notas fiscais/faturas de fornecedores (atesto) é manual e extremamente limitado resultando em alto custo operacional e de baixa confiabilidade.  O processo atual se inicia com a chegada da nota fiscal (nf) na Unidade Gestora. Após as devidas </w:t>
      </w:r>
      <w:r w:rsidR="00F170BD" w:rsidRPr="00FA63AC">
        <w:rPr>
          <w:bCs/>
          <w:lang w:eastAsia="es-ES"/>
        </w:rPr>
        <w:t>conferências, a</w:t>
      </w:r>
      <w:r w:rsidRPr="00FA63AC">
        <w:rPr>
          <w:bCs/>
          <w:lang w:eastAsia="es-ES"/>
        </w:rPr>
        <w:t xml:space="preserve"> nf  é encaminhada para o setor financeiro, onde são digitados  os dados do DH (processo que registra o contas a pagar do Estado). O Atesto (confirmação que o serviço foi prestado ou o bem foi entregue) é feito após a geração do DH. Somente após o Atesto e a geração do DH, é que a Liquidação pode ser finalizada. </w:t>
      </w:r>
      <w:r w:rsidR="00E70323" w:rsidRPr="00FA63AC">
        <w:rPr>
          <w:bCs/>
          <w:lang w:eastAsia="es-ES"/>
        </w:rPr>
        <w:t>Entre outros problemas, o sistema atual pode gerar informações inconsistentes no passivo do Estado resultante de registros manuais equivocados ou duplicados, além de possibilitar pagamentos indevidos causados por registros de DH com informações incorretas.</w:t>
      </w:r>
    </w:p>
    <w:p w:rsidR="00E70323" w:rsidRPr="00FA63AC" w:rsidRDefault="00E70323" w:rsidP="00E70323">
      <w:pPr>
        <w:pStyle w:val="ListParagraph"/>
        <w:keepNext/>
        <w:suppressAutoHyphens/>
        <w:spacing w:before="120" w:after="240"/>
        <w:ind w:left="851"/>
        <w:jc w:val="both"/>
        <w:outlineLvl w:val="3"/>
        <w:rPr>
          <w:bCs/>
          <w:lang w:eastAsia="es-ES"/>
        </w:rPr>
      </w:pPr>
    </w:p>
    <w:p w:rsidR="001A16CE" w:rsidRPr="00FA63AC" w:rsidRDefault="001A16CE" w:rsidP="001A16CE">
      <w:pPr>
        <w:pStyle w:val="ListParagraph"/>
        <w:keepNext/>
        <w:suppressAutoHyphens/>
        <w:spacing w:before="120" w:after="240"/>
        <w:ind w:left="851"/>
        <w:jc w:val="both"/>
        <w:outlineLvl w:val="3"/>
        <w:rPr>
          <w:bCs/>
          <w:lang w:eastAsia="es-ES"/>
        </w:rPr>
      </w:pPr>
      <w:r w:rsidRPr="00FA63AC">
        <w:rPr>
          <w:bCs/>
          <w:lang w:eastAsia="es-ES"/>
        </w:rPr>
        <w:t>Figura 1</w:t>
      </w:r>
      <w:r w:rsidR="00E70323" w:rsidRPr="00FA63AC">
        <w:rPr>
          <w:bCs/>
          <w:lang w:eastAsia="es-ES"/>
        </w:rPr>
        <w:t>: Fluxograma do Sistema Atual do Atesto</w:t>
      </w:r>
    </w:p>
    <w:p w:rsidR="001A16CE" w:rsidRPr="00FA63AC" w:rsidRDefault="001A16CE" w:rsidP="001A16CE">
      <w:pPr>
        <w:pStyle w:val="ListParagraph"/>
        <w:keepNext/>
        <w:suppressAutoHyphens/>
        <w:spacing w:before="120" w:after="240"/>
        <w:ind w:left="851"/>
        <w:jc w:val="both"/>
        <w:outlineLvl w:val="3"/>
        <w:rPr>
          <w:bCs/>
          <w:lang w:eastAsia="es-ES"/>
        </w:rPr>
      </w:pPr>
      <w:r w:rsidRPr="00FA63AC">
        <w:rPr>
          <w:rFonts w:ascii="Calibri" w:hAnsi="Calibri"/>
          <w:noProof/>
          <w:sz w:val="20"/>
          <w:szCs w:val="20"/>
        </w:rPr>
        <w:drawing>
          <wp:inline distT="0" distB="0" distL="0" distR="0" wp14:anchorId="3BD80537" wp14:editId="1F4D47E0">
            <wp:extent cx="5486192" cy="2029691"/>
            <wp:effectExtent l="0" t="0" r="635" b="8890"/>
            <wp:docPr id="5" name="Imagem 5" descr="processo atual de monit e controle de 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cesso atual de monit e controle de n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93548" cy="2032412"/>
                    </a:xfrm>
                    <a:prstGeom prst="rect">
                      <a:avLst/>
                    </a:prstGeom>
                    <a:noFill/>
                    <a:ln>
                      <a:noFill/>
                    </a:ln>
                  </pic:spPr>
                </pic:pic>
              </a:graphicData>
            </a:graphic>
          </wp:inline>
        </w:drawing>
      </w:r>
    </w:p>
    <w:p w:rsidR="00213889" w:rsidRPr="00FA63AC" w:rsidRDefault="0024100E" w:rsidP="007266FB">
      <w:pPr>
        <w:pStyle w:val="ListParagraph"/>
        <w:keepNext/>
        <w:numPr>
          <w:ilvl w:val="1"/>
          <w:numId w:val="2"/>
        </w:numPr>
        <w:suppressAutoHyphens/>
        <w:spacing w:before="120" w:after="120"/>
        <w:ind w:left="851" w:right="-6" w:hanging="567"/>
        <w:jc w:val="both"/>
        <w:outlineLvl w:val="3"/>
        <w:rPr>
          <w:bCs/>
          <w:lang w:eastAsia="es-ES"/>
        </w:rPr>
      </w:pPr>
      <w:r w:rsidRPr="00FA63AC">
        <w:rPr>
          <w:bCs/>
          <w:lang w:eastAsia="es-ES"/>
        </w:rPr>
        <w:t xml:space="preserve">O </w:t>
      </w:r>
      <w:r w:rsidR="00B42A2B" w:rsidRPr="00FA63AC">
        <w:rPr>
          <w:bCs/>
          <w:lang w:eastAsia="es-ES"/>
        </w:rPr>
        <w:t xml:space="preserve">novo </w:t>
      </w:r>
      <w:r w:rsidRPr="00FA63AC">
        <w:rPr>
          <w:bCs/>
          <w:lang w:eastAsia="es-ES"/>
        </w:rPr>
        <w:t>processo também</w:t>
      </w:r>
      <w:r w:rsidR="00D6201F" w:rsidRPr="00FA63AC">
        <w:rPr>
          <w:bCs/>
          <w:lang w:eastAsia="es-ES"/>
        </w:rPr>
        <w:t xml:space="preserve"> se</w:t>
      </w:r>
      <w:r w:rsidRPr="00FA63AC">
        <w:rPr>
          <w:bCs/>
          <w:lang w:eastAsia="es-ES"/>
        </w:rPr>
        <w:t xml:space="preserve"> inicia com a chegada da nota fiscal na Unidade Gestora.  O usuário entra no sistema PE-Integrado com os dados do fornecedor e nf, para recuperar as informações da mesma na base de NF do Estado. Ao localiza-la, recuperam-se as informações e o DH </w:t>
      </w:r>
      <w:r w:rsidR="00B42A2B" w:rsidRPr="00FA63AC">
        <w:rPr>
          <w:bCs/>
          <w:lang w:eastAsia="es-ES"/>
        </w:rPr>
        <w:t>é automaticamente gerado no</w:t>
      </w:r>
      <w:r w:rsidRPr="00FA63AC">
        <w:rPr>
          <w:bCs/>
          <w:lang w:eastAsia="es-ES"/>
        </w:rPr>
        <w:t xml:space="preserve"> no e-fisco. A partir deste momento, o Atesto já poderá ser feito no P</w:t>
      </w:r>
      <w:r w:rsidR="00D6201F" w:rsidRPr="00FA63AC">
        <w:rPr>
          <w:bCs/>
          <w:lang w:eastAsia="es-ES"/>
        </w:rPr>
        <w:t>E</w:t>
      </w:r>
      <w:r w:rsidRPr="00FA63AC">
        <w:rPr>
          <w:bCs/>
          <w:lang w:eastAsia="es-ES"/>
        </w:rPr>
        <w:t xml:space="preserve">-Integrado, passando o mesmo a ser monitorado através das atualizações dos campos da NF. Após o Atesto ser realizado, a informação é enviada para o e-fisco e a partir deste momento, a liquidação já poderá ser feita no </w:t>
      </w:r>
      <w:r w:rsidR="00B42A2B" w:rsidRPr="00FA63AC">
        <w:rPr>
          <w:bCs/>
          <w:lang w:eastAsia="es-ES"/>
        </w:rPr>
        <w:t xml:space="preserve">próprio </w:t>
      </w:r>
      <w:r w:rsidRPr="00FA63AC">
        <w:rPr>
          <w:bCs/>
          <w:lang w:eastAsia="es-ES"/>
        </w:rPr>
        <w:t>e-fisco.</w:t>
      </w:r>
      <w:r w:rsidR="00B42A2B" w:rsidRPr="00FA63AC">
        <w:rPr>
          <w:bCs/>
          <w:lang w:eastAsia="es-ES"/>
        </w:rPr>
        <w:t xml:space="preserve"> A Figura 2 ilustra este fluxograma. </w:t>
      </w:r>
      <w:r w:rsidR="00213889" w:rsidRPr="00FA63AC">
        <w:rPr>
          <w:bCs/>
          <w:lang w:eastAsia="es-ES"/>
        </w:rPr>
        <w:t>Com a automação da geração dos DHs</w:t>
      </w:r>
      <w:r w:rsidR="0097026F" w:rsidRPr="00FA63AC">
        <w:rPr>
          <w:bCs/>
          <w:lang w:eastAsia="es-ES"/>
        </w:rPr>
        <w:t xml:space="preserve">: </w:t>
      </w:r>
      <w:r w:rsidR="00213889" w:rsidRPr="00FA63AC">
        <w:rPr>
          <w:bCs/>
          <w:lang w:eastAsia="es-ES"/>
        </w:rPr>
        <w:t>os retrabalhos na realização dos ajustes dos lançamentos com erros</w:t>
      </w:r>
      <w:r w:rsidR="0097026F" w:rsidRPr="00FA63AC">
        <w:rPr>
          <w:bCs/>
          <w:lang w:eastAsia="es-ES"/>
        </w:rPr>
        <w:t xml:space="preserve"> são eliminados</w:t>
      </w:r>
      <w:r w:rsidR="00213889" w:rsidRPr="00FA63AC">
        <w:rPr>
          <w:bCs/>
          <w:lang w:eastAsia="es-ES"/>
        </w:rPr>
        <w:t xml:space="preserve">, assim como duplicidades e inconsistências; o passivo do Estado ficará com dados mais próximo da realidade </w:t>
      </w:r>
      <w:r w:rsidR="0097026F" w:rsidRPr="00FA63AC">
        <w:rPr>
          <w:bCs/>
          <w:lang w:eastAsia="es-ES"/>
        </w:rPr>
        <w:t>unidades gestoras</w:t>
      </w:r>
      <w:r w:rsidR="00213889" w:rsidRPr="00FA63AC">
        <w:rPr>
          <w:bCs/>
          <w:lang w:eastAsia="es-ES"/>
        </w:rPr>
        <w:t xml:space="preserve">; </w:t>
      </w:r>
      <w:r w:rsidR="0097026F" w:rsidRPr="00FA63AC">
        <w:rPr>
          <w:bCs/>
          <w:lang w:eastAsia="es-ES"/>
        </w:rPr>
        <w:t>maior a</w:t>
      </w:r>
      <w:r w:rsidR="00213889" w:rsidRPr="00FA63AC">
        <w:rPr>
          <w:bCs/>
          <w:lang w:eastAsia="es-ES"/>
        </w:rPr>
        <w:t>gilidade no processo de  atesto das notas fiscais</w:t>
      </w:r>
      <w:r w:rsidR="0097026F" w:rsidRPr="00FA63AC">
        <w:rPr>
          <w:bCs/>
          <w:lang w:eastAsia="es-ES"/>
        </w:rPr>
        <w:t xml:space="preserve"> com o monitoramento das</w:t>
      </w:r>
      <w:r w:rsidR="00213889" w:rsidRPr="00FA63AC">
        <w:rPr>
          <w:bCs/>
          <w:lang w:eastAsia="es-ES"/>
        </w:rPr>
        <w:t xml:space="preserve"> NF´s </w:t>
      </w:r>
      <w:r w:rsidR="0097026F" w:rsidRPr="00FA63AC">
        <w:rPr>
          <w:bCs/>
          <w:lang w:eastAsia="es-ES"/>
        </w:rPr>
        <w:t>com</w:t>
      </w:r>
      <w:r w:rsidR="00213889" w:rsidRPr="00FA63AC">
        <w:rPr>
          <w:bCs/>
          <w:lang w:eastAsia="es-ES"/>
        </w:rPr>
        <w:t xml:space="preserve"> DH mas que não foram atestadas</w:t>
      </w:r>
      <w:r w:rsidR="0097026F" w:rsidRPr="00FA63AC">
        <w:rPr>
          <w:bCs/>
          <w:lang w:eastAsia="es-ES"/>
        </w:rPr>
        <w:t>; m</w:t>
      </w:r>
      <w:r w:rsidR="00213889" w:rsidRPr="00FA63AC">
        <w:rPr>
          <w:bCs/>
          <w:lang w:eastAsia="es-ES"/>
        </w:rPr>
        <w:t>aior previsibilidade das despesas no fluxo de caixa do Tesouro ( integridade</w:t>
      </w:r>
      <w:r w:rsidR="0097026F" w:rsidRPr="00FA63AC">
        <w:rPr>
          <w:bCs/>
          <w:lang w:eastAsia="es-ES"/>
        </w:rPr>
        <w:t xml:space="preserve"> d</w:t>
      </w:r>
      <w:r w:rsidR="00213889" w:rsidRPr="00FA63AC">
        <w:rPr>
          <w:bCs/>
          <w:lang w:eastAsia="es-ES"/>
        </w:rPr>
        <w:t xml:space="preserve">as informações dos DHs </w:t>
      </w:r>
      <w:r w:rsidR="0097026F" w:rsidRPr="00FA63AC">
        <w:rPr>
          <w:bCs/>
          <w:lang w:eastAsia="es-ES"/>
        </w:rPr>
        <w:t>com a eliminação da</w:t>
      </w:r>
      <w:r w:rsidR="00213889" w:rsidRPr="00FA63AC">
        <w:rPr>
          <w:bCs/>
          <w:lang w:eastAsia="es-ES"/>
        </w:rPr>
        <w:t>s inconsistências);</w:t>
      </w:r>
      <w:r w:rsidR="0097026F" w:rsidRPr="00FA63AC">
        <w:rPr>
          <w:bCs/>
          <w:lang w:eastAsia="es-ES"/>
        </w:rPr>
        <w:t xml:space="preserve"> disponibilidade para consultas e </w:t>
      </w:r>
      <w:r w:rsidR="00213889" w:rsidRPr="00FA63AC">
        <w:rPr>
          <w:bCs/>
          <w:lang w:eastAsia="es-ES"/>
        </w:rPr>
        <w:t xml:space="preserve">relatórios com informações que auxiliam melhor a gestão financeira  das </w:t>
      </w:r>
      <w:r w:rsidR="0097026F" w:rsidRPr="00FA63AC">
        <w:rPr>
          <w:bCs/>
          <w:lang w:eastAsia="es-ES"/>
        </w:rPr>
        <w:t>unidades gestoras (tempo decorrido da emissão de N</w:t>
      </w:r>
      <w:r w:rsidR="00213889" w:rsidRPr="00FA63AC">
        <w:rPr>
          <w:bCs/>
          <w:lang w:eastAsia="es-ES"/>
        </w:rPr>
        <w:t xml:space="preserve">F´s pelos fornecedores </w:t>
      </w:r>
      <w:r w:rsidR="0097026F" w:rsidRPr="00FA63AC">
        <w:rPr>
          <w:bCs/>
          <w:lang w:eastAsia="es-ES"/>
        </w:rPr>
        <w:t xml:space="preserve">e </w:t>
      </w:r>
      <w:r w:rsidR="00213889" w:rsidRPr="00FA63AC">
        <w:rPr>
          <w:bCs/>
          <w:lang w:eastAsia="es-ES"/>
        </w:rPr>
        <w:t xml:space="preserve">que </w:t>
      </w:r>
      <w:r w:rsidR="0097026F" w:rsidRPr="00FA63AC">
        <w:rPr>
          <w:bCs/>
          <w:lang w:eastAsia="es-ES"/>
        </w:rPr>
        <w:t xml:space="preserve">não tem </w:t>
      </w:r>
      <w:r w:rsidR="00213889" w:rsidRPr="00FA63AC">
        <w:rPr>
          <w:bCs/>
          <w:lang w:eastAsia="es-ES"/>
        </w:rPr>
        <w:t>DHs</w:t>
      </w:r>
      <w:r w:rsidR="0097026F" w:rsidRPr="00FA63AC">
        <w:rPr>
          <w:bCs/>
          <w:lang w:eastAsia="es-ES"/>
        </w:rPr>
        <w:t xml:space="preserve"> gerados; tempo decorrido entre DHs gerados mas sem atesto; tempo decorrido entre </w:t>
      </w:r>
      <w:r w:rsidR="00213889" w:rsidRPr="00FA63AC">
        <w:rPr>
          <w:bCs/>
          <w:lang w:eastAsia="es-ES"/>
        </w:rPr>
        <w:t xml:space="preserve">NFs atestadas e que não foram </w:t>
      </w:r>
      <w:r w:rsidR="00213889" w:rsidRPr="00FA63AC">
        <w:rPr>
          <w:bCs/>
          <w:lang w:eastAsia="es-ES"/>
        </w:rPr>
        <w:lastRenderedPageBreak/>
        <w:t>liquidadas</w:t>
      </w:r>
      <w:r w:rsidR="0097026F" w:rsidRPr="00FA63AC">
        <w:rPr>
          <w:bCs/>
          <w:lang w:eastAsia="es-ES"/>
        </w:rPr>
        <w:t xml:space="preserve">; tempo decorrido entre liquidação de </w:t>
      </w:r>
      <w:r w:rsidR="00213889" w:rsidRPr="00FA63AC">
        <w:rPr>
          <w:bCs/>
          <w:lang w:eastAsia="es-ES"/>
        </w:rPr>
        <w:t>NFs liquidadas e que não foram paga</w:t>
      </w:r>
      <w:r w:rsidR="0097026F" w:rsidRPr="00FA63AC">
        <w:rPr>
          <w:bCs/>
          <w:lang w:eastAsia="es-ES"/>
        </w:rPr>
        <w:t>s)</w:t>
      </w:r>
      <w:r w:rsidR="00213889" w:rsidRPr="00FA63AC">
        <w:rPr>
          <w:bCs/>
          <w:lang w:eastAsia="es-ES"/>
        </w:rPr>
        <w:t xml:space="preserve">. </w:t>
      </w:r>
    </w:p>
    <w:p w:rsidR="00B42A2B" w:rsidRPr="00FA63AC" w:rsidRDefault="00B42A2B" w:rsidP="00B42A2B">
      <w:pPr>
        <w:pStyle w:val="ListParagraph"/>
        <w:keepNext/>
        <w:suppressAutoHyphens/>
        <w:spacing w:before="120" w:after="240"/>
        <w:ind w:left="851"/>
        <w:jc w:val="both"/>
        <w:outlineLvl w:val="3"/>
        <w:rPr>
          <w:bCs/>
          <w:lang w:eastAsia="es-ES"/>
        </w:rPr>
      </w:pPr>
    </w:p>
    <w:p w:rsidR="00B42A2B" w:rsidRPr="00FA63AC" w:rsidRDefault="00B42A2B" w:rsidP="00B42A2B">
      <w:pPr>
        <w:pStyle w:val="ListParagraph"/>
        <w:keepNext/>
        <w:suppressAutoHyphens/>
        <w:spacing w:before="120" w:after="240"/>
        <w:ind w:left="851"/>
        <w:jc w:val="both"/>
        <w:outlineLvl w:val="3"/>
        <w:rPr>
          <w:bCs/>
          <w:lang w:eastAsia="es-ES"/>
        </w:rPr>
      </w:pPr>
      <w:r w:rsidRPr="00FA63AC">
        <w:rPr>
          <w:bCs/>
          <w:lang w:eastAsia="es-ES"/>
        </w:rPr>
        <w:t>Figura 2: Fluxograma do Novo Processo do Atesto</w:t>
      </w:r>
    </w:p>
    <w:p w:rsidR="00B42A2B" w:rsidRPr="00FA63AC" w:rsidRDefault="00B42A2B" w:rsidP="00B42A2B">
      <w:pPr>
        <w:keepNext/>
        <w:suppressAutoHyphens/>
        <w:spacing w:before="120" w:after="240"/>
        <w:ind w:left="284"/>
        <w:jc w:val="both"/>
        <w:outlineLvl w:val="3"/>
        <w:rPr>
          <w:bCs/>
          <w:lang w:eastAsia="es-ES"/>
        </w:rPr>
      </w:pPr>
      <w:r w:rsidRPr="00FA63AC">
        <w:rPr>
          <w:noProof/>
        </w:rPr>
        <w:drawing>
          <wp:inline distT="0" distB="0" distL="0" distR="0" wp14:anchorId="18D64F76" wp14:editId="29CE1F93">
            <wp:extent cx="5486400" cy="3171729"/>
            <wp:effectExtent l="0" t="0" r="0" b="0"/>
            <wp:docPr id="9" name="Imagem 9" descr="processo atual de monit e controle de n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cesso atual de monit e controle de n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3171729"/>
                    </a:xfrm>
                    <a:prstGeom prst="rect">
                      <a:avLst/>
                    </a:prstGeom>
                    <a:noFill/>
                    <a:ln>
                      <a:noFill/>
                    </a:ln>
                  </pic:spPr>
                </pic:pic>
              </a:graphicData>
            </a:graphic>
          </wp:inline>
        </w:drawing>
      </w:r>
    </w:p>
    <w:p w:rsidR="00F5283E" w:rsidRPr="00FA63AC" w:rsidRDefault="00F5283E" w:rsidP="00F5283E">
      <w:pPr>
        <w:keepNext/>
        <w:suppressAutoHyphens/>
        <w:jc w:val="both"/>
        <w:outlineLvl w:val="3"/>
        <w:rPr>
          <w:bCs/>
          <w:lang w:eastAsia="es-ES"/>
        </w:rPr>
      </w:pPr>
    </w:p>
    <w:p w:rsidR="006A72B0" w:rsidRPr="00FA63AC" w:rsidRDefault="006A72B0" w:rsidP="007266FB">
      <w:pPr>
        <w:pStyle w:val="ListParagraph"/>
        <w:keepNext/>
        <w:numPr>
          <w:ilvl w:val="1"/>
          <w:numId w:val="2"/>
        </w:numPr>
        <w:suppressAutoHyphens/>
        <w:ind w:left="851" w:hanging="567"/>
        <w:jc w:val="both"/>
        <w:outlineLvl w:val="3"/>
        <w:rPr>
          <w:bCs/>
          <w:lang w:eastAsia="es-ES"/>
        </w:rPr>
      </w:pPr>
      <w:r w:rsidRPr="00FA63AC">
        <w:rPr>
          <w:bCs/>
          <w:lang w:eastAsia="es-ES"/>
        </w:rPr>
        <w:t>De acordo com dados da SEFAZ-P</w:t>
      </w:r>
      <w:r w:rsidR="00D6201F" w:rsidRPr="00FA63AC">
        <w:rPr>
          <w:bCs/>
          <w:lang w:eastAsia="es-ES"/>
        </w:rPr>
        <w:t>E</w:t>
      </w:r>
      <w:r w:rsidRPr="00FA63AC">
        <w:rPr>
          <w:bCs/>
          <w:lang w:eastAsia="es-ES"/>
        </w:rPr>
        <w:t>, em 2017, foram gerados manualmente 411,6 mil DHs. Um servidor gera</w:t>
      </w:r>
      <w:r w:rsidR="00DD11B8" w:rsidRPr="00FA63AC">
        <w:rPr>
          <w:bCs/>
          <w:lang w:eastAsia="es-ES"/>
        </w:rPr>
        <w:t>, em média</w:t>
      </w:r>
      <w:r w:rsidR="003E303C" w:rsidRPr="00FA63AC">
        <w:rPr>
          <w:bCs/>
          <w:lang w:eastAsia="es-ES"/>
        </w:rPr>
        <w:t xml:space="preserve">, </w:t>
      </w:r>
      <w:r w:rsidRPr="00FA63AC">
        <w:rPr>
          <w:bCs/>
          <w:lang w:eastAsia="es-ES"/>
        </w:rPr>
        <w:t>15 D</w:t>
      </w:r>
      <w:r w:rsidR="003E303C" w:rsidRPr="00FA63AC">
        <w:rPr>
          <w:bCs/>
          <w:lang w:eastAsia="es-ES"/>
        </w:rPr>
        <w:t>H</w:t>
      </w:r>
      <w:r w:rsidRPr="00FA63AC">
        <w:rPr>
          <w:bCs/>
          <w:lang w:eastAsia="es-ES"/>
        </w:rPr>
        <w:t>s por hora (4 minutos p</w:t>
      </w:r>
      <w:r w:rsidR="003E303C" w:rsidRPr="00FA63AC">
        <w:rPr>
          <w:bCs/>
          <w:lang w:eastAsia="es-ES"/>
        </w:rPr>
        <w:t>or DH). Assim, em 2017 foram gastas 27,440 horas na geração de DHs a um custo médio por hora de R$53,13 incluindo encargos, resultando em um gasto total de R$1,46 milh</w:t>
      </w:r>
      <w:r w:rsidR="00D6201F" w:rsidRPr="00FA63AC">
        <w:rPr>
          <w:bCs/>
          <w:lang w:eastAsia="es-ES"/>
        </w:rPr>
        <w:t>ão</w:t>
      </w:r>
      <w:r w:rsidR="003E303C" w:rsidRPr="00FA63AC">
        <w:rPr>
          <w:bCs/>
          <w:lang w:eastAsia="es-ES"/>
        </w:rPr>
        <w:t xml:space="preserve"> anual. </w:t>
      </w:r>
    </w:p>
    <w:p w:rsidR="006A72B0" w:rsidRPr="00FA63AC" w:rsidRDefault="003E303C" w:rsidP="007266FB">
      <w:pPr>
        <w:pStyle w:val="ListParagraph"/>
        <w:keepNext/>
        <w:numPr>
          <w:ilvl w:val="1"/>
          <w:numId w:val="2"/>
        </w:numPr>
        <w:suppressAutoHyphens/>
        <w:ind w:left="851" w:hanging="567"/>
        <w:jc w:val="both"/>
        <w:outlineLvl w:val="3"/>
        <w:rPr>
          <w:bCs/>
          <w:lang w:eastAsia="es-ES"/>
        </w:rPr>
      </w:pPr>
      <w:r w:rsidRPr="00FA63AC">
        <w:rPr>
          <w:bCs/>
          <w:lang w:eastAsia="es-ES"/>
        </w:rPr>
        <w:t>O novo sistema será implantado gradualmente entre as unidades gestoras, com 25% delas incorporadas a cada ano começando no segundo ano de execução do programa. As economias geradas foram contabilizadas seguindo este mesmo calendário na análise C-B.</w:t>
      </w:r>
    </w:p>
    <w:p w:rsidR="00B42A2B" w:rsidRPr="00FA63AC" w:rsidRDefault="00B42A2B" w:rsidP="006A72B0">
      <w:pPr>
        <w:pStyle w:val="ListParagraph"/>
        <w:keepNext/>
        <w:suppressAutoHyphens/>
        <w:ind w:left="851"/>
        <w:jc w:val="both"/>
        <w:outlineLvl w:val="3"/>
        <w:rPr>
          <w:bCs/>
          <w:lang w:eastAsia="es-ES"/>
        </w:rPr>
      </w:pPr>
    </w:p>
    <w:p w:rsidR="00F2268B" w:rsidRPr="00FA63AC" w:rsidRDefault="00F2268B" w:rsidP="007266FB">
      <w:pPr>
        <w:pStyle w:val="ListParagraph"/>
        <w:keepNext/>
        <w:numPr>
          <w:ilvl w:val="1"/>
          <w:numId w:val="2"/>
        </w:numPr>
        <w:suppressAutoHyphens/>
        <w:ind w:left="851" w:hanging="567"/>
        <w:jc w:val="both"/>
        <w:outlineLvl w:val="3"/>
        <w:rPr>
          <w:bCs/>
          <w:lang w:eastAsia="es-ES"/>
        </w:rPr>
      </w:pPr>
      <w:r w:rsidRPr="00FA63AC">
        <w:rPr>
          <w:bCs/>
          <w:lang w:eastAsia="es-ES"/>
        </w:rPr>
        <w:t xml:space="preserve">A Tabela </w:t>
      </w:r>
      <w:r w:rsidR="00171A3D" w:rsidRPr="00FA63AC">
        <w:rPr>
          <w:bCs/>
          <w:lang w:eastAsia="es-ES"/>
        </w:rPr>
        <w:t>9</w:t>
      </w:r>
      <w:r w:rsidRPr="00FA63AC">
        <w:rPr>
          <w:bCs/>
          <w:lang w:eastAsia="es-ES"/>
        </w:rPr>
        <w:t xml:space="preserve"> sumariza os benefícios estimados para os produtos incluídos na análise C-B para os 10 anos que a análise cobre, em </w:t>
      </w:r>
      <w:r w:rsidR="00DB3B42" w:rsidRPr="00FA63AC">
        <w:rPr>
          <w:bCs/>
          <w:lang w:eastAsia="es-ES"/>
        </w:rPr>
        <w:t>US$ 1000</w:t>
      </w:r>
      <w:r w:rsidRPr="00FA63AC">
        <w:rPr>
          <w:bCs/>
          <w:lang w:eastAsia="es-ES"/>
        </w:rPr>
        <w:t xml:space="preserve">. </w:t>
      </w:r>
    </w:p>
    <w:p w:rsidR="00A7638D" w:rsidRPr="00FA63AC" w:rsidRDefault="00A7638D" w:rsidP="00A7638D">
      <w:pPr>
        <w:pStyle w:val="ListParagraph"/>
        <w:rPr>
          <w:bCs/>
          <w:lang w:eastAsia="es-ES"/>
        </w:rPr>
      </w:pPr>
    </w:p>
    <w:tbl>
      <w:tblPr>
        <w:tblW w:w="8007" w:type="dxa"/>
        <w:tblCellMar>
          <w:left w:w="70" w:type="dxa"/>
          <w:right w:w="70" w:type="dxa"/>
        </w:tblCellMar>
        <w:tblLook w:val="04A0" w:firstRow="1" w:lastRow="0" w:firstColumn="1" w:lastColumn="0" w:noHBand="0" w:noVBand="1"/>
      </w:tblPr>
      <w:tblGrid>
        <w:gridCol w:w="1701"/>
        <w:gridCol w:w="567"/>
        <w:gridCol w:w="505"/>
        <w:gridCol w:w="566"/>
        <w:gridCol w:w="566"/>
        <w:gridCol w:w="566"/>
        <w:gridCol w:w="566"/>
        <w:gridCol w:w="566"/>
        <w:gridCol w:w="566"/>
        <w:gridCol w:w="566"/>
        <w:gridCol w:w="636"/>
        <w:gridCol w:w="626"/>
        <w:gridCol w:w="10"/>
      </w:tblGrid>
      <w:tr w:rsidR="006B200D" w:rsidRPr="00FA63AC" w:rsidTr="006B200D">
        <w:trPr>
          <w:trHeight w:val="288"/>
        </w:trPr>
        <w:tc>
          <w:tcPr>
            <w:tcW w:w="8007" w:type="dxa"/>
            <w:gridSpan w:val="13"/>
            <w:tcBorders>
              <w:top w:val="nil"/>
              <w:left w:val="nil"/>
              <w:bottom w:val="single" w:sz="4" w:space="0" w:color="auto"/>
              <w:right w:val="nil"/>
            </w:tcBorders>
            <w:shd w:val="clear" w:color="auto" w:fill="auto"/>
            <w:noWrap/>
            <w:vAlign w:val="bottom"/>
            <w:hideMark/>
          </w:tcPr>
          <w:p w:rsidR="006B200D" w:rsidRPr="00FA63AC" w:rsidRDefault="006B200D">
            <w:pPr>
              <w:rPr>
                <w:rFonts w:ascii="Calibri" w:hAnsi="Calibri" w:cs="Calibri"/>
                <w:b/>
                <w:bCs/>
                <w:color w:val="000000"/>
                <w:sz w:val="20"/>
                <w:szCs w:val="20"/>
              </w:rPr>
            </w:pPr>
            <w:r w:rsidRPr="00FA63AC">
              <w:rPr>
                <w:rFonts w:ascii="Calibri" w:hAnsi="Calibri" w:cs="Calibri"/>
                <w:b/>
                <w:bCs/>
                <w:color w:val="000000"/>
                <w:sz w:val="20"/>
                <w:szCs w:val="20"/>
              </w:rPr>
              <w:t>Tabela 9: Benefícios PROFISCO II (em mil dólares)</w:t>
            </w:r>
          </w:p>
        </w:tc>
      </w:tr>
      <w:tr w:rsidR="006B200D" w:rsidRPr="00FA63AC" w:rsidTr="006B200D">
        <w:trPr>
          <w:gridAfter w:val="1"/>
          <w:wAfter w:w="1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w:t>
            </w:r>
          </w:p>
        </w:tc>
        <w:tc>
          <w:tcPr>
            <w:tcW w:w="567"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1</w:t>
            </w:r>
          </w:p>
        </w:tc>
        <w:tc>
          <w:tcPr>
            <w:tcW w:w="505"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2</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3</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4</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5</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6</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7</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8</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9</w:t>
            </w:r>
          </w:p>
        </w:tc>
        <w:tc>
          <w:tcPr>
            <w:tcW w:w="63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ano 10</w:t>
            </w:r>
          </w:p>
        </w:tc>
        <w:tc>
          <w:tcPr>
            <w:tcW w:w="62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Total</w:t>
            </w:r>
          </w:p>
        </w:tc>
      </w:tr>
      <w:tr w:rsidR="006B200D" w:rsidRPr="00FA63AC" w:rsidTr="006B200D">
        <w:trPr>
          <w:gridAfter w:val="1"/>
          <w:wAfter w:w="1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Folha de Pagamento</w:t>
            </w:r>
          </w:p>
        </w:tc>
        <w:tc>
          <w:tcPr>
            <w:tcW w:w="567"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283,3 </w:t>
            </w:r>
          </w:p>
        </w:tc>
        <w:tc>
          <w:tcPr>
            <w:tcW w:w="505"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.825,1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9.208,6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12.042,0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14.167,1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14.167,1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14.167,1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14.167,1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14.167,1 </w:t>
            </w:r>
          </w:p>
        </w:tc>
        <w:tc>
          <w:tcPr>
            <w:tcW w:w="63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14.167,1 </w:t>
            </w:r>
          </w:p>
        </w:tc>
        <w:tc>
          <w:tcPr>
            <w:tcW w:w="62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110.361,6 </w:t>
            </w:r>
          </w:p>
        </w:tc>
      </w:tr>
      <w:tr w:rsidR="006B200D" w:rsidRPr="00FA63AC" w:rsidTr="006B200D">
        <w:trPr>
          <w:gridAfter w:val="1"/>
          <w:wAfter w:w="1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Economia pessoal folha</w:t>
            </w:r>
          </w:p>
        </w:tc>
        <w:tc>
          <w:tcPr>
            <w:tcW w:w="567"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25,0 </w:t>
            </w:r>
          </w:p>
        </w:tc>
        <w:tc>
          <w:tcPr>
            <w:tcW w:w="505"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337,9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813,5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1.063,8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1.251,5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1.251,5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1.251,5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1.251,5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1.251,5 </w:t>
            </w:r>
          </w:p>
        </w:tc>
        <w:tc>
          <w:tcPr>
            <w:tcW w:w="63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1.251,5 </w:t>
            </w:r>
          </w:p>
        </w:tc>
        <w:tc>
          <w:tcPr>
            <w:tcW w:w="62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9.749,3 </w:t>
            </w:r>
          </w:p>
        </w:tc>
      </w:tr>
      <w:tr w:rsidR="006B200D" w:rsidRPr="00FA63AC" w:rsidTr="006B200D">
        <w:trPr>
          <w:gridAfter w:val="1"/>
          <w:wAfter w:w="1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atesto</w:t>
            </w:r>
          </w:p>
        </w:tc>
        <w:tc>
          <w:tcPr>
            <w:tcW w:w="567"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   </w:t>
            </w:r>
          </w:p>
        </w:tc>
        <w:tc>
          <w:tcPr>
            <w:tcW w:w="505"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110,4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220,9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331,3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441,8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441,8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441,8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441,8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441,8 </w:t>
            </w:r>
          </w:p>
        </w:tc>
        <w:tc>
          <w:tcPr>
            <w:tcW w:w="63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441,8 </w:t>
            </w:r>
          </w:p>
        </w:tc>
        <w:tc>
          <w:tcPr>
            <w:tcW w:w="62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3.313,4 </w:t>
            </w:r>
          </w:p>
        </w:tc>
      </w:tr>
      <w:tr w:rsidR="006B200D" w:rsidRPr="00FA63AC" w:rsidTr="006B200D">
        <w:trPr>
          <w:gridAfter w:val="1"/>
          <w:wAfter w:w="10" w:type="dxa"/>
          <w:trHeight w:val="288"/>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transito</w:t>
            </w:r>
          </w:p>
        </w:tc>
        <w:tc>
          <w:tcPr>
            <w:tcW w:w="567"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   </w:t>
            </w:r>
          </w:p>
        </w:tc>
        <w:tc>
          <w:tcPr>
            <w:tcW w:w="505"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3.795,5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4.554,5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5.313,6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7.590,9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7.590,9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7.590,9 </w:t>
            </w:r>
          </w:p>
        </w:tc>
        <w:tc>
          <w:tcPr>
            <w:tcW w:w="56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7.590,9 </w:t>
            </w:r>
          </w:p>
        </w:tc>
        <w:tc>
          <w:tcPr>
            <w:tcW w:w="63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7.590,9 </w:t>
            </w:r>
          </w:p>
        </w:tc>
        <w:tc>
          <w:tcPr>
            <w:tcW w:w="626" w:type="dxa"/>
            <w:tcBorders>
              <w:top w:val="nil"/>
              <w:left w:val="nil"/>
              <w:bottom w:val="single" w:sz="4" w:space="0" w:color="auto"/>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51.618,2 </w:t>
            </w:r>
          </w:p>
        </w:tc>
      </w:tr>
      <w:tr w:rsidR="006B200D" w:rsidRPr="00FA63AC" w:rsidTr="006B200D">
        <w:trPr>
          <w:gridAfter w:val="1"/>
          <w:wAfter w:w="10" w:type="dxa"/>
          <w:trHeight w:val="288"/>
        </w:trPr>
        <w:tc>
          <w:tcPr>
            <w:tcW w:w="1701" w:type="dxa"/>
            <w:tcBorders>
              <w:top w:val="nil"/>
              <w:left w:val="single" w:sz="4" w:space="0" w:color="auto"/>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6"/>
                <w:szCs w:val="16"/>
              </w:rPr>
              <w:t>Total</w:t>
            </w:r>
          </w:p>
        </w:tc>
        <w:tc>
          <w:tcPr>
            <w:tcW w:w="567"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308,4 </w:t>
            </w:r>
          </w:p>
        </w:tc>
        <w:tc>
          <w:tcPr>
            <w:tcW w:w="505"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4.273,5 </w:t>
            </w:r>
          </w:p>
        </w:tc>
        <w:tc>
          <w:tcPr>
            <w:tcW w:w="56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14.038,4 </w:t>
            </w:r>
          </w:p>
        </w:tc>
        <w:tc>
          <w:tcPr>
            <w:tcW w:w="56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17.991,7 </w:t>
            </w:r>
          </w:p>
        </w:tc>
        <w:tc>
          <w:tcPr>
            <w:tcW w:w="56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21.174,0 </w:t>
            </w:r>
          </w:p>
        </w:tc>
        <w:tc>
          <w:tcPr>
            <w:tcW w:w="56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23.451,3 </w:t>
            </w:r>
          </w:p>
        </w:tc>
        <w:tc>
          <w:tcPr>
            <w:tcW w:w="56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23.451,3 </w:t>
            </w:r>
          </w:p>
        </w:tc>
        <w:tc>
          <w:tcPr>
            <w:tcW w:w="56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23.451,3 </w:t>
            </w:r>
          </w:p>
        </w:tc>
        <w:tc>
          <w:tcPr>
            <w:tcW w:w="56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23.451,3 </w:t>
            </w:r>
          </w:p>
        </w:tc>
        <w:tc>
          <w:tcPr>
            <w:tcW w:w="63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23.451,3 </w:t>
            </w:r>
          </w:p>
        </w:tc>
        <w:tc>
          <w:tcPr>
            <w:tcW w:w="626" w:type="dxa"/>
            <w:tcBorders>
              <w:top w:val="nil"/>
              <w:left w:val="nil"/>
              <w:bottom w:val="nil"/>
              <w:right w:val="single" w:sz="4" w:space="0" w:color="auto"/>
            </w:tcBorders>
            <w:shd w:val="clear" w:color="auto" w:fill="auto"/>
            <w:noWrap/>
            <w:vAlign w:val="bottom"/>
            <w:hideMark/>
          </w:tcPr>
          <w:p w:rsidR="006B200D" w:rsidRPr="00FA63AC" w:rsidRDefault="006B200D">
            <w:pPr>
              <w:rPr>
                <w:rFonts w:ascii="Calibri" w:hAnsi="Calibri" w:cs="Calibri"/>
                <w:color w:val="000000"/>
                <w:sz w:val="12"/>
                <w:szCs w:val="12"/>
              </w:rPr>
            </w:pPr>
            <w:r w:rsidRPr="00FA63AC">
              <w:rPr>
                <w:rFonts w:ascii="Calibri" w:hAnsi="Calibri" w:cs="Calibri"/>
                <w:color w:val="000000"/>
                <w:sz w:val="12"/>
                <w:szCs w:val="12"/>
              </w:rPr>
              <w:t xml:space="preserve"> 175.042,4 </w:t>
            </w:r>
          </w:p>
        </w:tc>
      </w:tr>
      <w:tr w:rsidR="006B200D" w:rsidRPr="00FA63AC" w:rsidTr="006B200D">
        <w:trPr>
          <w:trHeight w:val="288"/>
        </w:trPr>
        <w:tc>
          <w:tcPr>
            <w:tcW w:w="8007" w:type="dxa"/>
            <w:gridSpan w:val="13"/>
            <w:tcBorders>
              <w:top w:val="single" w:sz="4" w:space="0" w:color="auto"/>
              <w:left w:val="nil"/>
              <w:bottom w:val="nil"/>
              <w:right w:val="nil"/>
            </w:tcBorders>
            <w:shd w:val="clear" w:color="auto" w:fill="auto"/>
            <w:noWrap/>
            <w:vAlign w:val="bottom"/>
            <w:hideMark/>
          </w:tcPr>
          <w:p w:rsidR="006B200D" w:rsidRPr="00FA63AC" w:rsidRDefault="006B200D">
            <w:pPr>
              <w:rPr>
                <w:rFonts w:ascii="Calibri" w:hAnsi="Calibri" w:cs="Calibri"/>
                <w:color w:val="000000"/>
                <w:sz w:val="16"/>
                <w:szCs w:val="16"/>
              </w:rPr>
            </w:pPr>
            <w:r w:rsidRPr="00FA63AC">
              <w:rPr>
                <w:rFonts w:ascii="Calibri" w:hAnsi="Calibri" w:cs="Calibri"/>
                <w:color w:val="000000"/>
                <w:sz w:val="16"/>
                <w:szCs w:val="16"/>
              </w:rPr>
              <w:t>Fonte: Cálculos do autor baseados nos benefícios estimados para o projeto</w:t>
            </w:r>
          </w:p>
        </w:tc>
      </w:tr>
    </w:tbl>
    <w:p w:rsidR="002A5FB7" w:rsidRPr="00FA63AC" w:rsidRDefault="005D0A66" w:rsidP="007266FB">
      <w:pPr>
        <w:pStyle w:val="Heading1"/>
        <w:numPr>
          <w:ilvl w:val="0"/>
          <w:numId w:val="2"/>
        </w:numPr>
        <w:rPr>
          <w:lang w:eastAsia="es-ES"/>
        </w:rPr>
      </w:pPr>
      <w:bookmarkStart w:id="29" w:name="_Toc503777183"/>
      <w:r w:rsidRPr="00FA63AC">
        <w:rPr>
          <w:lang w:eastAsia="es-ES"/>
        </w:rPr>
        <w:lastRenderedPageBreak/>
        <w:t>Resultado da Análise Custo-Benefício</w:t>
      </w:r>
      <w:bookmarkEnd w:id="29"/>
    </w:p>
    <w:p w:rsidR="002A5FB7" w:rsidRPr="00FA63AC" w:rsidRDefault="002A5FB7" w:rsidP="002A5FB7">
      <w:pPr>
        <w:pStyle w:val="ListParagraph"/>
        <w:keepNext/>
        <w:suppressAutoHyphens/>
        <w:spacing w:before="120"/>
        <w:ind w:left="1139"/>
        <w:jc w:val="both"/>
        <w:outlineLvl w:val="3"/>
        <w:rPr>
          <w:bCs/>
          <w:lang w:eastAsia="es-ES"/>
        </w:rPr>
      </w:pPr>
    </w:p>
    <w:p w:rsidR="0080625B" w:rsidRPr="00FA63AC" w:rsidRDefault="001519E3"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A análise C-B mostra que</w:t>
      </w:r>
      <w:r w:rsidR="009D0CCC" w:rsidRPr="00FA63AC">
        <w:rPr>
          <w:bCs/>
          <w:lang w:eastAsia="es-ES"/>
        </w:rPr>
        <w:t>,</w:t>
      </w:r>
      <w:r w:rsidRPr="00FA63AC">
        <w:rPr>
          <w:bCs/>
          <w:lang w:eastAsia="es-ES"/>
        </w:rPr>
        <w:t xml:space="preserve"> no horizonte de 10 anos, usando todos os custos e os benefícios estimados </w:t>
      </w:r>
      <w:r w:rsidR="009D0CCC" w:rsidRPr="00FA63AC">
        <w:rPr>
          <w:bCs/>
          <w:lang w:eastAsia="es-ES"/>
        </w:rPr>
        <w:t>para</w:t>
      </w:r>
      <w:r w:rsidRPr="00FA63AC">
        <w:rPr>
          <w:bCs/>
          <w:lang w:eastAsia="es-ES"/>
        </w:rPr>
        <w:t xml:space="preserve"> </w:t>
      </w:r>
      <w:r w:rsidR="00A733AE" w:rsidRPr="00FA63AC">
        <w:rPr>
          <w:bCs/>
          <w:lang w:eastAsia="es-ES"/>
        </w:rPr>
        <w:t>três produtos (um para cada componente)</w:t>
      </w:r>
      <w:r w:rsidR="002A481B" w:rsidRPr="00FA63AC">
        <w:rPr>
          <w:bCs/>
          <w:lang w:eastAsia="es-ES"/>
        </w:rPr>
        <w:t xml:space="preserve"> </w:t>
      </w:r>
      <w:r w:rsidRPr="00FA63AC">
        <w:rPr>
          <w:bCs/>
          <w:lang w:eastAsia="es-ES"/>
        </w:rPr>
        <w:t>produtos</w:t>
      </w:r>
      <w:r w:rsidR="009D0CCC" w:rsidRPr="00FA63AC">
        <w:rPr>
          <w:bCs/>
          <w:lang w:eastAsia="es-ES"/>
        </w:rPr>
        <w:t>, o PROFISCO II</w:t>
      </w:r>
      <w:r w:rsidR="00604517" w:rsidRPr="00FA63AC">
        <w:rPr>
          <w:bCs/>
          <w:lang w:eastAsia="es-ES"/>
        </w:rPr>
        <w:t xml:space="preserve"> </w:t>
      </w:r>
      <w:r w:rsidR="002324CC" w:rsidRPr="00FA63AC">
        <w:rPr>
          <w:bCs/>
          <w:lang w:eastAsia="es-ES"/>
        </w:rPr>
        <w:t>tem uma taxa interna de retorn</w:t>
      </w:r>
      <w:r w:rsidR="00CC1577" w:rsidRPr="00FA63AC">
        <w:rPr>
          <w:bCs/>
          <w:lang w:eastAsia="es-ES"/>
        </w:rPr>
        <w:t>o</w:t>
      </w:r>
      <w:r w:rsidR="002324CC" w:rsidRPr="00FA63AC">
        <w:rPr>
          <w:bCs/>
          <w:lang w:eastAsia="es-ES"/>
        </w:rPr>
        <w:t xml:space="preserve"> bastante sólida</w:t>
      </w:r>
      <w:r w:rsidR="00333252" w:rsidRPr="00FA63AC">
        <w:rPr>
          <w:bCs/>
          <w:lang w:eastAsia="es-ES"/>
        </w:rPr>
        <w:t xml:space="preserve">. </w:t>
      </w:r>
      <w:r w:rsidR="003B5504" w:rsidRPr="00FA63AC">
        <w:rPr>
          <w:bCs/>
          <w:lang w:eastAsia="es-ES"/>
        </w:rPr>
        <w:t xml:space="preserve">A Tabela </w:t>
      </w:r>
      <w:r w:rsidR="00171A3D" w:rsidRPr="00FA63AC">
        <w:rPr>
          <w:bCs/>
          <w:lang w:eastAsia="es-ES"/>
        </w:rPr>
        <w:t>10</w:t>
      </w:r>
      <w:r w:rsidR="003B5504" w:rsidRPr="00FA63AC">
        <w:rPr>
          <w:bCs/>
          <w:lang w:eastAsia="es-ES"/>
        </w:rPr>
        <w:t xml:space="preserve"> mostra que, n</w:t>
      </w:r>
      <w:r w:rsidR="00333252" w:rsidRPr="00FA63AC">
        <w:rPr>
          <w:bCs/>
          <w:lang w:eastAsia="es-ES"/>
        </w:rPr>
        <w:t>o Cenário 1 (básico)</w:t>
      </w:r>
      <w:r w:rsidRPr="00FA63AC">
        <w:rPr>
          <w:bCs/>
          <w:lang w:eastAsia="es-ES"/>
        </w:rPr>
        <w:t xml:space="preserve">, </w:t>
      </w:r>
      <w:r w:rsidR="00333252" w:rsidRPr="00FA63AC">
        <w:rPr>
          <w:bCs/>
          <w:lang w:eastAsia="es-ES"/>
        </w:rPr>
        <w:t>usando os resultados descritos acima</w:t>
      </w:r>
      <w:r w:rsidR="00604517" w:rsidRPr="00FA63AC">
        <w:rPr>
          <w:bCs/>
          <w:lang w:eastAsia="es-ES"/>
        </w:rPr>
        <w:t xml:space="preserve"> e uma taxa de desconto de 12%, </w:t>
      </w:r>
      <w:r w:rsidRPr="00FA63AC">
        <w:rPr>
          <w:bCs/>
          <w:lang w:eastAsia="es-ES"/>
        </w:rPr>
        <w:t xml:space="preserve">o programa obtém uma taxa interna de retorno (TIR) de </w:t>
      </w:r>
      <w:r w:rsidR="00584E08" w:rsidRPr="00FA63AC">
        <w:rPr>
          <w:bCs/>
          <w:lang w:eastAsia="es-ES"/>
        </w:rPr>
        <w:t>4</w:t>
      </w:r>
      <w:r w:rsidR="002E1C6B" w:rsidRPr="00FA63AC">
        <w:rPr>
          <w:bCs/>
          <w:lang w:eastAsia="es-ES"/>
        </w:rPr>
        <w:t>6,4</w:t>
      </w:r>
      <w:r w:rsidRPr="00FA63AC">
        <w:rPr>
          <w:bCs/>
          <w:lang w:eastAsia="es-ES"/>
        </w:rPr>
        <w:t xml:space="preserve">% e um valor presente </w:t>
      </w:r>
      <w:r w:rsidR="00730DAA" w:rsidRPr="00FA63AC">
        <w:rPr>
          <w:bCs/>
          <w:lang w:eastAsia="es-ES"/>
        </w:rPr>
        <w:t>líquido</w:t>
      </w:r>
      <w:r w:rsidRPr="00FA63AC">
        <w:rPr>
          <w:bCs/>
          <w:lang w:eastAsia="es-ES"/>
        </w:rPr>
        <w:t xml:space="preserve"> (VPL) de US$ </w:t>
      </w:r>
      <w:r w:rsidR="002E1C6B" w:rsidRPr="00FA63AC">
        <w:rPr>
          <w:bCs/>
          <w:lang w:eastAsia="es-ES"/>
        </w:rPr>
        <w:t>34,5</w:t>
      </w:r>
      <w:r w:rsidRPr="00FA63AC">
        <w:rPr>
          <w:bCs/>
          <w:lang w:eastAsia="es-ES"/>
        </w:rPr>
        <w:t xml:space="preserve"> milhões. </w:t>
      </w:r>
      <w:r w:rsidR="00730DAA" w:rsidRPr="00FA63AC">
        <w:rPr>
          <w:bCs/>
          <w:lang w:eastAsia="es-ES"/>
        </w:rPr>
        <w:t>O fluxo financeiro anual (Benefícios – Custos) passa a ser positivo</w:t>
      </w:r>
      <w:r w:rsidRPr="00FA63AC">
        <w:rPr>
          <w:bCs/>
          <w:lang w:eastAsia="es-ES"/>
        </w:rPr>
        <w:t xml:space="preserve"> </w:t>
      </w:r>
      <w:r w:rsidR="00730DAA" w:rsidRPr="00FA63AC">
        <w:rPr>
          <w:bCs/>
          <w:lang w:eastAsia="es-ES"/>
        </w:rPr>
        <w:t xml:space="preserve">no </w:t>
      </w:r>
      <w:r w:rsidR="002E1C6B" w:rsidRPr="00FA63AC">
        <w:rPr>
          <w:bCs/>
          <w:lang w:eastAsia="es-ES"/>
        </w:rPr>
        <w:t>quarto</w:t>
      </w:r>
      <w:r w:rsidR="00730DAA" w:rsidRPr="00FA63AC">
        <w:rPr>
          <w:bCs/>
          <w:lang w:eastAsia="es-ES"/>
        </w:rPr>
        <w:t xml:space="preserve"> ano do programa e, no acumulado, passa a ser positivo no </w:t>
      </w:r>
      <w:r w:rsidR="00775CAB" w:rsidRPr="00FA63AC">
        <w:rPr>
          <w:bCs/>
          <w:lang w:eastAsia="es-ES"/>
        </w:rPr>
        <w:t>quinto</w:t>
      </w:r>
      <w:r w:rsidR="00730DAA" w:rsidRPr="00FA63AC">
        <w:rPr>
          <w:bCs/>
          <w:lang w:eastAsia="es-ES"/>
        </w:rPr>
        <w:t xml:space="preserve"> ano do programa, ou seja, já com retorno positivo para o programa como um todo.</w:t>
      </w:r>
    </w:p>
    <w:p w:rsidR="00EA0C4C" w:rsidRPr="00FA63AC" w:rsidRDefault="00EA0C4C" w:rsidP="00EA0C4C">
      <w:pPr>
        <w:pStyle w:val="ListParagraph"/>
        <w:keepNext/>
        <w:suppressAutoHyphens/>
        <w:spacing w:before="120"/>
        <w:ind w:left="1139"/>
        <w:jc w:val="both"/>
        <w:outlineLvl w:val="3"/>
        <w:rPr>
          <w:bCs/>
          <w:lang w:eastAsia="es-ES"/>
        </w:rPr>
      </w:pPr>
    </w:p>
    <w:tbl>
      <w:tblPr>
        <w:tblW w:w="8554" w:type="dxa"/>
        <w:tblCellMar>
          <w:left w:w="70" w:type="dxa"/>
          <w:right w:w="70" w:type="dxa"/>
        </w:tblCellMar>
        <w:tblLook w:val="04A0" w:firstRow="1" w:lastRow="0" w:firstColumn="1" w:lastColumn="0" w:noHBand="0" w:noVBand="1"/>
      </w:tblPr>
      <w:tblGrid>
        <w:gridCol w:w="1134"/>
        <w:gridCol w:w="709"/>
        <w:gridCol w:w="709"/>
        <w:gridCol w:w="709"/>
        <w:gridCol w:w="708"/>
        <w:gridCol w:w="709"/>
        <w:gridCol w:w="642"/>
        <w:gridCol w:w="642"/>
        <w:gridCol w:w="642"/>
        <w:gridCol w:w="642"/>
        <w:gridCol w:w="642"/>
        <w:gridCol w:w="733"/>
      </w:tblGrid>
      <w:tr w:rsidR="0046416B" w:rsidRPr="00FA63AC" w:rsidTr="003F7923">
        <w:trPr>
          <w:trHeight w:val="288"/>
        </w:trPr>
        <w:tc>
          <w:tcPr>
            <w:tcW w:w="8554" w:type="dxa"/>
            <w:gridSpan w:val="12"/>
            <w:tcBorders>
              <w:top w:val="nil"/>
              <w:left w:val="nil"/>
              <w:bottom w:val="nil"/>
              <w:right w:val="nil"/>
            </w:tcBorders>
            <w:shd w:val="clear" w:color="auto" w:fill="auto"/>
            <w:noWrap/>
            <w:vAlign w:val="bottom"/>
            <w:hideMark/>
          </w:tcPr>
          <w:p w:rsidR="0046416B" w:rsidRPr="00FA63AC" w:rsidRDefault="0046416B" w:rsidP="003F7923">
            <w:pPr>
              <w:rPr>
                <w:rFonts w:ascii="Calibri" w:hAnsi="Calibri" w:cs="Calibri"/>
                <w:b/>
                <w:bCs/>
                <w:color w:val="000000"/>
                <w:sz w:val="22"/>
                <w:szCs w:val="22"/>
              </w:rPr>
            </w:pPr>
            <w:r w:rsidRPr="00FA63AC">
              <w:rPr>
                <w:rFonts w:ascii="Calibri" w:hAnsi="Calibri" w:cs="Calibri"/>
                <w:b/>
                <w:bCs/>
                <w:color w:val="000000"/>
                <w:sz w:val="22"/>
                <w:szCs w:val="22"/>
              </w:rPr>
              <w:t>Tabe</w:t>
            </w:r>
            <w:r w:rsidRPr="00FA63AC">
              <w:rPr>
                <w:rFonts w:ascii="Calibri" w:hAnsi="Calibri" w:cs="Calibri"/>
                <w:b/>
                <w:bCs/>
                <w:sz w:val="22"/>
                <w:szCs w:val="22"/>
              </w:rPr>
              <w:t>la 10: Ce</w:t>
            </w:r>
            <w:r w:rsidRPr="00FA63AC">
              <w:rPr>
                <w:rFonts w:ascii="Calibri" w:hAnsi="Calibri" w:cs="Calibri"/>
                <w:b/>
                <w:bCs/>
                <w:color w:val="000000"/>
                <w:sz w:val="22"/>
                <w:szCs w:val="22"/>
              </w:rPr>
              <w:t>nário Básico da Análise Custo-Benefício (em US$1000)</w:t>
            </w:r>
          </w:p>
        </w:tc>
      </w:tr>
      <w:tr w:rsidR="0046416B" w:rsidRPr="00FA63AC" w:rsidTr="003F7923">
        <w:trPr>
          <w:trHeight w:val="288"/>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5</w:t>
            </w:r>
          </w:p>
        </w:tc>
        <w:tc>
          <w:tcPr>
            <w:tcW w:w="575"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6</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7</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8</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9</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ano 10</w:t>
            </w: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Total</w:t>
            </w:r>
          </w:p>
        </w:tc>
      </w:tr>
      <w:tr w:rsidR="0046416B" w:rsidRPr="00FA63AC" w:rsidTr="003F7923">
        <w:trPr>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Custos totais</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-4.873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-13.629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-14.852 </w:t>
            </w:r>
          </w:p>
        </w:tc>
        <w:tc>
          <w:tcPr>
            <w:tcW w:w="708"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-11.877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-11.387 </w:t>
            </w:r>
          </w:p>
        </w:tc>
        <w:tc>
          <w:tcPr>
            <w:tcW w:w="575"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-5.402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-5.360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-5.318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-5.277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-4.923 </w:t>
            </w:r>
          </w:p>
        </w:tc>
        <w:tc>
          <w:tcPr>
            <w:tcW w:w="733"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-82.897 </w:t>
            </w:r>
          </w:p>
        </w:tc>
      </w:tr>
      <w:tr w:rsidR="0046416B" w:rsidRPr="00FA63AC" w:rsidTr="003F7923">
        <w:trPr>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Benefícios</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308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4.273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14.038 </w:t>
            </w:r>
          </w:p>
        </w:tc>
        <w:tc>
          <w:tcPr>
            <w:tcW w:w="708"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17.992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21.174 </w:t>
            </w:r>
          </w:p>
        </w:tc>
        <w:tc>
          <w:tcPr>
            <w:tcW w:w="575"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733"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175.042 </w:t>
            </w:r>
          </w:p>
        </w:tc>
      </w:tr>
      <w:tr w:rsidR="0046416B" w:rsidRPr="00FA63AC" w:rsidTr="003F7923">
        <w:trPr>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6416B" w:rsidRPr="00FA63AC" w:rsidRDefault="0046416B" w:rsidP="003F7923">
            <w:pPr>
              <w:rPr>
                <w:rFonts w:ascii="Calibri" w:hAnsi="Calibri" w:cs="Calibri"/>
                <w:color w:val="000000"/>
                <w:sz w:val="18"/>
                <w:szCs w:val="18"/>
              </w:rPr>
            </w:pPr>
            <w:r w:rsidRPr="00FA63AC">
              <w:rPr>
                <w:rFonts w:ascii="Calibri" w:hAnsi="Calibri" w:cs="Calibri"/>
                <w:color w:val="000000"/>
                <w:sz w:val="18"/>
                <w:szCs w:val="18"/>
              </w:rPr>
              <w:t>Fluxo</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-4.564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-9.355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-813 </w:t>
            </w:r>
          </w:p>
        </w:tc>
        <w:tc>
          <w:tcPr>
            <w:tcW w:w="708"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6.115 </w:t>
            </w:r>
          </w:p>
        </w:tc>
        <w:tc>
          <w:tcPr>
            <w:tcW w:w="70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9.787 </w:t>
            </w:r>
          </w:p>
        </w:tc>
        <w:tc>
          <w:tcPr>
            <w:tcW w:w="575"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18.050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18.091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18.133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18.174 </w:t>
            </w:r>
          </w:p>
        </w:tc>
        <w:tc>
          <w:tcPr>
            <w:tcW w:w="642"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18.528 </w:t>
            </w:r>
          </w:p>
        </w:tc>
        <w:tc>
          <w:tcPr>
            <w:tcW w:w="733"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3F7923">
            <w:pPr>
              <w:jc w:val="right"/>
              <w:rPr>
                <w:rFonts w:ascii="Calibri" w:hAnsi="Calibri" w:cs="Calibri"/>
                <w:color w:val="000000"/>
                <w:sz w:val="18"/>
                <w:szCs w:val="18"/>
              </w:rPr>
            </w:pPr>
            <w:r w:rsidRPr="00FA63AC">
              <w:rPr>
                <w:rFonts w:ascii="Calibri" w:hAnsi="Calibri" w:cs="Calibri"/>
                <w:color w:val="000000"/>
                <w:sz w:val="18"/>
                <w:szCs w:val="18"/>
              </w:rPr>
              <w:t xml:space="preserve">92.145 </w:t>
            </w:r>
          </w:p>
        </w:tc>
      </w:tr>
      <w:tr w:rsidR="0046416B" w:rsidRPr="00FA63AC" w:rsidTr="003F7923">
        <w:trPr>
          <w:trHeight w:val="288"/>
        </w:trPr>
        <w:tc>
          <w:tcPr>
            <w:tcW w:w="2552" w:type="dxa"/>
            <w:gridSpan w:val="3"/>
            <w:tcBorders>
              <w:top w:val="single" w:sz="4" w:space="0" w:color="auto"/>
              <w:left w:val="nil"/>
              <w:bottom w:val="nil"/>
              <w:right w:val="nil"/>
            </w:tcBorders>
            <w:shd w:val="clear" w:color="auto" w:fill="auto"/>
            <w:noWrap/>
            <w:vAlign w:val="bottom"/>
            <w:hideMark/>
          </w:tcPr>
          <w:p w:rsidR="0046416B" w:rsidRPr="00FA63AC" w:rsidRDefault="0046416B" w:rsidP="003F7923">
            <w:pPr>
              <w:jc w:val="center"/>
              <w:rPr>
                <w:rFonts w:ascii="Calibri" w:hAnsi="Calibri" w:cs="Calibri"/>
                <w:b/>
                <w:bCs/>
                <w:color w:val="000000"/>
                <w:sz w:val="18"/>
                <w:szCs w:val="18"/>
              </w:rPr>
            </w:pPr>
            <w:r w:rsidRPr="00FA63AC">
              <w:rPr>
                <w:rFonts w:ascii="Calibri" w:hAnsi="Calibri" w:cs="Calibri"/>
                <w:b/>
                <w:bCs/>
                <w:color w:val="000000"/>
                <w:sz w:val="18"/>
                <w:szCs w:val="18"/>
              </w:rPr>
              <w:t>Valor Presente Líquido</w:t>
            </w:r>
          </w:p>
        </w:tc>
        <w:tc>
          <w:tcPr>
            <w:tcW w:w="709" w:type="dxa"/>
            <w:tcBorders>
              <w:top w:val="nil"/>
              <w:left w:val="nil"/>
              <w:bottom w:val="nil"/>
              <w:right w:val="nil"/>
            </w:tcBorders>
            <w:shd w:val="clear" w:color="auto" w:fill="auto"/>
            <w:noWrap/>
            <w:vAlign w:val="bottom"/>
            <w:hideMark/>
          </w:tcPr>
          <w:p w:rsidR="0046416B" w:rsidRPr="00FA63AC" w:rsidRDefault="0046416B" w:rsidP="003F7923">
            <w:pPr>
              <w:rPr>
                <w:rFonts w:ascii="Calibri" w:hAnsi="Calibri" w:cs="Calibri"/>
                <w:b/>
                <w:bCs/>
                <w:color w:val="000000"/>
                <w:sz w:val="18"/>
                <w:szCs w:val="18"/>
              </w:rPr>
            </w:pPr>
            <w:r w:rsidRPr="00FA63AC">
              <w:rPr>
                <w:rFonts w:ascii="Calibri" w:hAnsi="Calibri" w:cs="Calibri"/>
                <w:b/>
                <w:bCs/>
                <w:color w:val="000000"/>
                <w:sz w:val="18"/>
                <w:szCs w:val="18"/>
              </w:rPr>
              <w:t xml:space="preserve">        34.499 </w:t>
            </w:r>
          </w:p>
        </w:tc>
        <w:tc>
          <w:tcPr>
            <w:tcW w:w="708" w:type="dxa"/>
            <w:tcBorders>
              <w:top w:val="nil"/>
              <w:left w:val="nil"/>
              <w:bottom w:val="nil"/>
              <w:right w:val="nil"/>
            </w:tcBorders>
            <w:shd w:val="clear" w:color="auto" w:fill="auto"/>
            <w:noWrap/>
            <w:vAlign w:val="bottom"/>
            <w:hideMark/>
          </w:tcPr>
          <w:p w:rsidR="0046416B" w:rsidRPr="00FA63AC" w:rsidRDefault="0046416B" w:rsidP="003F7923">
            <w:pPr>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575"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642"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642"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642"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642"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733"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r>
      <w:tr w:rsidR="0046416B" w:rsidRPr="00FA63AC" w:rsidTr="003F7923">
        <w:trPr>
          <w:trHeight w:val="288"/>
        </w:trPr>
        <w:tc>
          <w:tcPr>
            <w:tcW w:w="2552" w:type="dxa"/>
            <w:gridSpan w:val="3"/>
            <w:tcBorders>
              <w:top w:val="nil"/>
              <w:left w:val="nil"/>
              <w:bottom w:val="nil"/>
              <w:right w:val="nil"/>
            </w:tcBorders>
            <w:shd w:val="clear" w:color="auto" w:fill="auto"/>
            <w:noWrap/>
            <w:vAlign w:val="bottom"/>
            <w:hideMark/>
          </w:tcPr>
          <w:p w:rsidR="0046416B" w:rsidRPr="00FA63AC" w:rsidRDefault="0046416B" w:rsidP="003F7923">
            <w:pPr>
              <w:jc w:val="center"/>
              <w:rPr>
                <w:rFonts w:ascii="Calibri" w:hAnsi="Calibri" w:cs="Calibri"/>
                <w:b/>
                <w:bCs/>
                <w:color w:val="000000"/>
                <w:sz w:val="18"/>
                <w:szCs w:val="18"/>
              </w:rPr>
            </w:pPr>
            <w:r w:rsidRPr="00FA63AC">
              <w:rPr>
                <w:rFonts w:ascii="Calibri" w:hAnsi="Calibri" w:cs="Calibri"/>
                <w:b/>
                <w:bCs/>
                <w:color w:val="000000"/>
                <w:sz w:val="18"/>
                <w:szCs w:val="18"/>
              </w:rPr>
              <w:t>TIR</w:t>
            </w:r>
          </w:p>
        </w:tc>
        <w:tc>
          <w:tcPr>
            <w:tcW w:w="709" w:type="dxa"/>
            <w:tcBorders>
              <w:top w:val="nil"/>
              <w:left w:val="nil"/>
              <w:bottom w:val="nil"/>
              <w:right w:val="nil"/>
            </w:tcBorders>
            <w:shd w:val="clear" w:color="auto" w:fill="auto"/>
            <w:noWrap/>
            <w:vAlign w:val="bottom"/>
            <w:hideMark/>
          </w:tcPr>
          <w:p w:rsidR="0046416B" w:rsidRPr="00FA63AC" w:rsidRDefault="0046416B" w:rsidP="003F7923">
            <w:pPr>
              <w:jc w:val="right"/>
              <w:rPr>
                <w:rFonts w:ascii="Calibri" w:hAnsi="Calibri" w:cs="Calibri"/>
                <w:b/>
                <w:bCs/>
                <w:color w:val="000000"/>
                <w:sz w:val="18"/>
                <w:szCs w:val="18"/>
              </w:rPr>
            </w:pPr>
            <w:r w:rsidRPr="00FA63AC">
              <w:rPr>
                <w:rFonts w:ascii="Calibri" w:hAnsi="Calibri" w:cs="Calibri"/>
                <w:b/>
                <w:bCs/>
                <w:color w:val="000000"/>
                <w:sz w:val="18"/>
                <w:szCs w:val="18"/>
              </w:rPr>
              <w:t>46,4%</w:t>
            </w:r>
          </w:p>
        </w:tc>
        <w:tc>
          <w:tcPr>
            <w:tcW w:w="708" w:type="dxa"/>
            <w:tcBorders>
              <w:top w:val="nil"/>
              <w:left w:val="nil"/>
              <w:bottom w:val="nil"/>
              <w:right w:val="nil"/>
            </w:tcBorders>
            <w:shd w:val="clear" w:color="auto" w:fill="auto"/>
            <w:noWrap/>
            <w:vAlign w:val="bottom"/>
            <w:hideMark/>
          </w:tcPr>
          <w:p w:rsidR="0046416B" w:rsidRPr="00FA63AC" w:rsidRDefault="0046416B" w:rsidP="003F7923">
            <w:pPr>
              <w:jc w:val="right"/>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575"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642"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642"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642"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642"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c>
          <w:tcPr>
            <w:tcW w:w="733" w:type="dxa"/>
            <w:tcBorders>
              <w:top w:val="nil"/>
              <w:left w:val="nil"/>
              <w:bottom w:val="nil"/>
              <w:right w:val="nil"/>
            </w:tcBorders>
            <w:shd w:val="clear" w:color="auto" w:fill="auto"/>
            <w:noWrap/>
            <w:vAlign w:val="bottom"/>
            <w:hideMark/>
          </w:tcPr>
          <w:p w:rsidR="0046416B" w:rsidRPr="00FA63AC" w:rsidRDefault="0046416B" w:rsidP="003F7923">
            <w:pPr>
              <w:rPr>
                <w:sz w:val="20"/>
                <w:szCs w:val="20"/>
              </w:rPr>
            </w:pPr>
          </w:p>
        </w:tc>
      </w:tr>
      <w:tr w:rsidR="0046416B" w:rsidRPr="00FA63AC" w:rsidTr="003F7923">
        <w:trPr>
          <w:trHeight w:val="288"/>
        </w:trPr>
        <w:tc>
          <w:tcPr>
            <w:tcW w:w="8554" w:type="dxa"/>
            <w:gridSpan w:val="12"/>
            <w:tcBorders>
              <w:top w:val="nil"/>
              <w:left w:val="nil"/>
              <w:bottom w:val="nil"/>
              <w:right w:val="nil"/>
            </w:tcBorders>
            <w:shd w:val="clear" w:color="auto" w:fill="auto"/>
            <w:noWrap/>
            <w:vAlign w:val="center"/>
            <w:hideMark/>
          </w:tcPr>
          <w:p w:rsidR="0046416B" w:rsidRPr="00FA63AC" w:rsidRDefault="0046416B" w:rsidP="003F7923">
            <w:pPr>
              <w:rPr>
                <w:rFonts w:ascii="Calibri" w:hAnsi="Calibri" w:cs="Calibri"/>
                <w:sz w:val="18"/>
                <w:szCs w:val="18"/>
              </w:rPr>
            </w:pPr>
            <w:r w:rsidRPr="00FA63AC">
              <w:rPr>
                <w:rFonts w:ascii="Calibri" w:hAnsi="Calibri" w:cs="Calibri"/>
                <w:sz w:val="18"/>
                <w:szCs w:val="18"/>
              </w:rPr>
              <w:t>Fonte: Fonte: Cálculos do autor para o Cenário Básico da Análise Custo-Benefício</w:t>
            </w:r>
          </w:p>
        </w:tc>
      </w:tr>
    </w:tbl>
    <w:p w:rsidR="00EA0C4C" w:rsidRPr="00FA63AC" w:rsidRDefault="00EA0C4C" w:rsidP="00EA0C4C">
      <w:pPr>
        <w:pStyle w:val="ListParagraph"/>
        <w:keepNext/>
        <w:suppressAutoHyphens/>
        <w:spacing w:before="120"/>
        <w:ind w:left="1139"/>
        <w:jc w:val="both"/>
        <w:outlineLvl w:val="3"/>
        <w:rPr>
          <w:bCs/>
          <w:lang w:eastAsia="es-ES"/>
        </w:rPr>
      </w:pPr>
    </w:p>
    <w:p w:rsidR="0046416B" w:rsidRPr="00FA63AC" w:rsidRDefault="007B773B" w:rsidP="007266FB">
      <w:pPr>
        <w:pStyle w:val="ListParagraph"/>
        <w:keepNext/>
        <w:numPr>
          <w:ilvl w:val="1"/>
          <w:numId w:val="2"/>
        </w:numPr>
        <w:suppressAutoHyphens/>
        <w:spacing w:before="120"/>
        <w:ind w:left="851" w:hanging="567"/>
        <w:jc w:val="both"/>
        <w:outlineLvl w:val="3"/>
        <w:rPr>
          <w:bCs/>
          <w:lang w:eastAsia="es-ES"/>
        </w:rPr>
      </w:pPr>
      <w:bookmarkStart w:id="30" w:name="_Hlk508270219"/>
      <w:r w:rsidRPr="00FA63AC">
        <w:rPr>
          <w:bCs/>
          <w:lang w:eastAsia="es-ES"/>
        </w:rPr>
        <w:t>O Cenário B</w:t>
      </w:r>
      <w:r w:rsidR="00DC66FC" w:rsidRPr="00FA63AC">
        <w:rPr>
          <w:bCs/>
          <w:lang w:eastAsia="es-ES"/>
        </w:rPr>
        <w:t xml:space="preserve">ásico descrito na Tabela 10 inclui quantificação de quatro benefícios (folha de pagamento, economia </w:t>
      </w:r>
      <w:r w:rsidR="00133DBB" w:rsidRPr="00FA63AC">
        <w:rPr>
          <w:bCs/>
          <w:lang w:eastAsia="es-ES"/>
        </w:rPr>
        <w:t xml:space="preserve">de </w:t>
      </w:r>
      <w:r w:rsidR="00DC66FC" w:rsidRPr="00FA63AC">
        <w:rPr>
          <w:bCs/>
          <w:lang w:eastAsia="es-ES"/>
        </w:rPr>
        <w:t xml:space="preserve">pessoal </w:t>
      </w:r>
      <w:r w:rsidR="00133DBB" w:rsidRPr="00FA63AC">
        <w:rPr>
          <w:bCs/>
          <w:lang w:eastAsia="es-ES"/>
        </w:rPr>
        <w:t xml:space="preserve">que prepara a </w:t>
      </w:r>
      <w:r w:rsidR="00DC66FC" w:rsidRPr="00FA63AC">
        <w:rPr>
          <w:bCs/>
          <w:lang w:eastAsia="es-ES"/>
        </w:rPr>
        <w:t>folha</w:t>
      </w:r>
      <w:r w:rsidR="00133DBB" w:rsidRPr="00FA63AC">
        <w:rPr>
          <w:bCs/>
          <w:lang w:eastAsia="es-ES"/>
        </w:rPr>
        <w:t xml:space="preserve"> de pagamento</w:t>
      </w:r>
      <w:r w:rsidR="00DC66FC" w:rsidRPr="00FA63AC">
        <w:rPr>
          <w:bCs/>
          <w:lang w:eastAsia="es-ES"/>
        </w:rPr>
        <w:t xml:space="preserve">, atesto e trânsito), sendo que o trânsito representa o benefício esperado de aumento de arrecadação com a implantação da nova metodologia de fiscalização de mercadorias em trânsito.  </w:t>
      </w:r>
      <w:r w:rsidR="00813D77" w:rsidRPr="00FA63AC">
        <w:rPr>
          <w:bCs/>
          <w:lang w:eastAsia="es-ES"/>
        </w:rPr>
        <w:t xml:space="preserve">A Tabela 10.1 abaixo apresenta os resultados da análise Custo-Benefício quando os benefícios com a arrecadação adicional são excluídos. Neste caso, a TIR é de 23,8% e o VPL é de US$10,36 milhões. O fluxo financeiro se torna positivo a partir do quarto ano e, no acumulado, </w:t>
      </w:r>
      <w:r w:rsidR="00B3276C" w:rsidRPr="00FA63AC">
        <w:rPr>
          <w:bCs/>
          <w:lang w:eastAsia="es-ES"/>
        </w:rPr>
        <w:t>o retorno é positivo a partir do sétimo ano.</w:t>
      </w:r>
      <w:r w:rsidR="00813D77" w:rsidRPr="00FA63AC">
        <w:rPr>
          <w:bCs/>
          <w:lang w:eastAsia="es-ES"/>
        </w:rPr>
        <w:t xml:space="preserve"> </w:t>
      </w:r>
    </w:p>
    <w:bookmarkEnd w:id="30"/>
    <w:p w:rsidR="00EA0C4C" w:rsidRPr="00FA63AC" w:rsidRDefault="0046416B" w:rsidP="0046416B">
      <w:pPr>
        <w:pStyle w:val="ListParagraph"/>
        <w:keepNext/>
        <w:suppressAutoHyphens/>
        <w:spacing w:before="120"/>
        <w:ind w:left="851"/>
        <w:jc w:val="both"/>
        <w:outlineLvl w:val="3"/>
        <w:rPr>
          <w:bCs/>
          <w:lang w:eastAsia="es-ES"/>
        </w:rPr>
      </w:pPr>
      <w:r w:rsidRPr="00FA63AC">
        <w:rPr>
          <w:bCs/>
          <w:lang w:eastAsia="es-ES"/>
        </w:rPr>
        <w:t xml:space="preserve"> </w:t>
      </w:r>
    </w:p>
    <w:tbl>
      <w:tblPr>
        <w:tblW w:w="8904" w:type="dxa"/>
        <w:tblCellMar>
          <w:left w:w="70" w:type="dxa"/>
          <w:right w:w="70" w:type="dxa"/>
        </w:tblCellMar>
        <w:tblLook w:val="04A0" w:firstRow="1" w:lastRow="0" w:firstColumn="1" w:lastColumn="0" w:noHBand="0" w:noVBand="1"/>
      </w:tblPr>
      <w:tblGrid>
        <w:gridCol w:w="1085"/>
        <w:gridCol w:w="719"/>
        <w:gridCol w:w="890"/>
        <w:gridCol w:w="798"/>
        <w:gridCol w:w="152"/>
        <w:gridCol w:w="583"/>
        <w:gridCol w:w="713"/>
        <w:gridCol w:w="70"/>
        <w:gridCol w:w="642"/>
        <w:gridCol w:w="150"/>
        <w:gridCol w:w="492"/>
        <w:gridCol w:w="150"/>
        <w:gridCol w:w="492"/>
        <w:gridCol w:w="150"/>
        <w:gridCol w:w="492"/>
        <w:gridCol w:w="150"/>
        <w:gridCol w:w="492"/>
        <w:gridCol w:w="151"/>
        <w:gridCol w:w="582"/>
        <w:gridCol w:w="10"/>
      </w:tblGrid>
      <w:tr w:rsidR="0046416B" w:rsidRPr="00FA63AC" w:rsidTr="0046416B">
        <w:trPr>
          <w:trHeight w:val="288"/>
        </w:trPr>
        <w:tc>
          <w:tcPr>
            <w:tcW w:w="8904" w:type="dxa"/>
            <w:gridSpan w:val="20"/>
            <w:tcBorders>
              <w:top w:val="nil"/>
              <w:left w:val="nil"/>
              <w:bottom w:val="nil"/>
              <w:right w:val="nil"/>
            </w:tcBorders>
            <w:shd w:val="clear" w:color="auto" w:fill="auto"/>
            <w:noWrap/>
            <w:vAlign w:val="bottom"/>
            <w:hideMark/>
          </w:tcPr>
          <w:p w:rsidR="0046416B" w:rsidRPr="00FA63AC" w:rsidRDefault="0046416B" w:rsidP="0046416B">
            <w:pPr>
              <w:rPr>
                <w:rFonts w:ascii="Calibri" w:hAnsi="Calibri" w:cs="Calibri"/>
                <w:b/>
                <w:bCs/>
                <w:color w:val="000000"/>
                <w:sz w:val="22"/>
                <w:szCs w:val="22"/>
              </w:rPr>
            </w:pPr>
            <w:r w:rsidRPr="00FA63AC">
              <w:rPr>
                <w:rFonts w:ascii="Calibri" w:hAnsi="Calibri" w:cs="Calibri"/>
                <w:b/>
                <w:bCs/>
                <w:color w:val="000000"/>
                <w:sz w:val="22"/>
                <w:szCs w:val="22"/>
              </w:rPr>
              <w:t>Tabe</w:t>
            </w:r>
            <w:r w:rsidRPr="00FA63AC">
              <w:rPr>
                <w:rFonts w:ascii="Calibri" w:hAnsi="Calibri" w:cs="Calibri"/>
                <w:b/>
                <w:bCs/>
                <w:sz w:val="22"/>
                <w:szCs w:val="22"/>
              </w:rPr>
              <w:t>la 10.1: Ce</w:t>
            </w:r>
            <w:r w:rsidRPr="00FA63AC">
              <w:rPr>
                <w:rFonts w:ascii="Calibri" w:hAnsi="Calibri" w:cs="Calibri"/>
                <w:b/>
                <w:bCs/>
                <w:color w:val="000000"/>
                <w:sz w:val="22"/>
                <w:szCs w:val="22"/>
              </w:rPr>
              <w:t>nário Básico Excluindo Arrecadação (em US$1000)</w:t>
            </w:r>
          </w:p>
        </w:tc>
      </w:tr>
      <w:tr w:rsidR="00A50CCE" w:rsidRPr="00FA63AC" w:rsidTr="0046416B">
        <w:trPr>
          <w:gridAfter w:val="1"/>
          <w:wAfter w:w="10" w:type="dxa"/>
          <w:trHeight w:val="288"/>
        </w:trPr>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 </w:t>
            </w:r>
          </w:p>
        </w:tc>
        <w:tc>
          <w:tcPr>
            <w:tcW w:w="719"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1</w:t>
            </w:r>
          </w:p>
        </w:tc>
        <w:tc>
          <w:tcPr>
            <w:tcW w:w="890"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2</w:t>
            </w:r>
          </w:p>
        </w:tc>
        <w:tc>
          <w:tcPr>
            <w:tcW w:w="798"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3</w:t>
            </w:r>
          </w:p>
        </w:tc>
        <w:tc>
          <w:tcPr>
            <w:tcW w:w="735" w:type="dxa"/>
            <w:gridSpan w:val="2"/>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4</w:t>
            </w:r>
          </w:p>
        </w:tc>
        <w:tc>
          <w:tcPr>
            <w:tcW w:w="783" w:type="dxa"/>
            <w:gridSpan w:val="2"/>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5</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6</w:t>
            </w:r>
          </w:p>
        </w:tc>
        <w:tc>
          <w:tcPr>
            <w:tcW w:w="633" w:type="dxa"/>
            <w:gridSpan w:val="2"/>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7</w:t>
            </w:r>
          </w:p>
        </w:tc>
        <w:tc>
          <w:tcPr>
            <w:tcW w:w="633" w:type="dxa"/>
            <w:gridSpan w:val="2"/>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8</w:t>
            </w:r>
          </w:p>
        </w:tc>
        <w:tc>
          <w:tcPr>
            <w:tcW w:w="633" w:type="dxa"/>
            <w:gridSpan w:val="2"/>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9</w:t>
            </w:r>
          </w:p>
        </w:tc>
        <w:tc>
          <w:tcPr>
            <w:tcW w:w="633" w:type="dxa"/>
            <w:gridSpan w:val="2"/>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ano 10</w:t>
            </w:r>
          </w:p>
        </w:tc>
        <w:tc>
          <w:tcPr>
            <w:tcW w:w="722" w:type="dxa"/>
            <w:gridSpan w:val="2"/>
            <w:tcBorders>
              <w:top w:val="single" w:sz="4" w:space="0" w:color="auto"/>
              <w:left w:val="nil"/>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Total</w:t>
            </w:r>
          </w:p>
        </w:tc>
      </w:tr>
      <w:tr w:rsidR="00A50CCE" w:rsidRPr="00FA63AC" w:rsidTr="0046416B">
        <w:trPr>
          <w:gridAfter w:val="1"/>
          <w:wAfter w:w="10" w:type="dxa"/>
          <w:trHeight w:val="288"/>
        </w:trPr>
        <w:tc>
          <w:tcPr>
            <w:tcW w:w="1085" w:type="dxa"/>
            <w:tcBorders>
              <w:top w:val="nil"/>
              <w:left w:val="single" w:sz="4" w:space="0" w:color="auto"/>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Custos totais</w:t>
            </w:r>
          </w:p>
        </w:tc>
        <w:tc>
          <w:tcPr>
            <w:tcW w:w="71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-4.873 </w:t>
            </w:r>
          </w:p>
        </w:tc>
        <w:tc>
          <w:tcPr>
            <w:tcW w:w="890"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-13.629 </w:t>
            </w:r>
          </w:p>
        </w:tc>
        <w:tc>
          <w:tcPr>
            <w:tcW w:w="798"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-14.852 </w:t>
            </w:r>
          </w:p>
        </w:tc>
        <w:tc>
          <w:tcPr>
            <w:tcW w:w="735"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-11.877 </w:t>
            </w:r>
          </w:p>
        </w:tc>
        <w:tc>
          <w:tcPr>
            <w:tcW w:w="78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-11.387 </w:t>
            </w:r>
          </w:p>
        </w:tc>
        <w:tc>
          <w:tcPr>
            <w:tcW w:w="630"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-5.402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-5.360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-5.318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-5.277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-4.923 </w:t>
            </w:r>
          </w:p>
        </w:tc>
        <w:tc>
          <w:tcPr>
            <w:tcW w:w="722"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-82.897 </w:t>
            </w:r>
          </w:p>
        </w:tc>
      </w:tr>
      <w:tr w:rsidR="00A50CCE" w:rsidRPr="00FA63AC" w:rsidTr="0046416B">
        <w:trPr>
          <w:gridAfter w:val="1"/>
          <w:wAfter w:w="10" w:type="dxa"/>
          <w:trHeight w:val="288"/>
        </w:trPr>
        <w:tc>
          <w:tcPr>
            <w:tcW w:w="1085" w:type="dxa"/>
            <w:tcBorders>
              <w:top w:val="nil"/>
              <w:left w:val="single" w:sz="4" w:space="0" w:color="auto"/>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Benefícios</w:t>
            </w:r>
          </w:p>
        </w:tc>
        <w:tc>
          <w:tcPr>
            <w:tcW w:w="71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308 </w:t>
            </w:r>
          </w:p>
        </w:tc>
        <w:tc>
          <w:tcPr>
            <w:tcW w:w="890"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4.273 </w:t>
            </w:r>
          </w:p>
        </w:tc>
        <w:tc>
          <w:tcPr>
            <w:tcW w:w="798"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10.243 </w:t>
            </w:r>
          </w:p>
        </w:tc>
        <w:tc>
          <w:tcPr>
            <w:tcW w:w="735"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13.437 </w:t>
            </w:r>
          </w:p>
        </w:tc>
        <w:tc>
          <w:tcPr>
            <w:tcW w:w="78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15.860 </w:t>
            </w:r>
          </w:p>
        </w:tc>
        <w:tc>
          <w:tcPr>
            <w:tcW w:w="630"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15.860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15.860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15.860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15.860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15.860 </w:t>
            </w:r>
          </w:p>
        </w:tc>
        <w:tc>
          <w:tcPr>
            <w:tcW w:w="722"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123.424 </w:t>
            </w:r>
          </w:p>
        </w:tc>
      </w:tr>
      <w:tr w:rsidR="00A50CCE" w:rsidRPr="00FA63AC" w:rsidTr="0046416B">
        <w:trPr>
          <w:gridAfter w:val="1"/>
          <w:wAfter w:w="10" w:type="dxa"/>
          <w:trHeight w:val="288"/>
        </w:trPr>
        <w:tc>
          <w:tcPr>
            <w:tcW w:w="1085" w:type="dxa"/>
            <w:tcBorders>
              <w:top w:val="nil"/>
              <w:left w:val="single" w:sz="4" w:space="0" w:color="auto"/>
              <w:bottom w:val="single" w:sz="4" w:space="0" w:color="auto"/>
              <w:right w:val="single" w:sz="4" w:space="0" w:color="auto"/>
            </w:tcBorders>
            <w:shd w:val="clear" w:color="auto" w:fill="auto"/>
            <w:noWrap/>
            <w:vAlign w:val="bottom"/>
            <w:hideMark/>
          </w:tcPr>
          <w:p w:rsidR="0046416B" w:rsidRPr="00FA63AC" w:rsidRDefault="0046416B" w:rsidP="0046416B">
            <w:pPr>
              <w:rPr>
                <w:rFonts w:ascii="Calibri" w:hAnsi="Calibri" w:cs="Calibri"/>
                <w:color w:val="000000"/>
                <w:sz w:val="18"/>
                <w:szCs w:val="18"/>
              </w:rPr>
            </w:pPr>
            <w:r w:rsidRPr="00FA63AC">
              <w:rPr>
                <w:rFonts w:ascii="Calibri" w:hAnsi="Calibri" w:cs="Calibri"/>
                <w:color w:val="000000"/>
                <w:sz w:val="18"/>
                <w:szCs w:val="18"/>
              </w:rPr>
              <w:t>Fluxo</w:t>
            </w:r>
          </w:p>
        </w:tc>
        <w:tc>
          <w:tcPr>
            <w:tcW w:w="719"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-4.564 </w:t>
            </w:r>
          </w:p>
        </w:tc>
        <w:tc>
          <w:tcPr>
            <w:tcW w:w="890"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-9.355 </w:t>
            </w:r>
          </w:p>
        </w:tc>
        <w:tc>
          <w:tcPr>
            <w:tcW w:w="798"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-4.609 </w:t>
            </w:r>
          </w:p>
        </w:tc>
        <w:tc>
          <w:tcPr>
            <w:tcW w:w="735"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1.560 </w:t>
            </w:r>
          </w:p>
        </w:tc>
        <w:tc>
          <w:tcPr>
            <w:tcW w:w="78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4.474 </w:t>
            </w:r>
          </w:p>
        </w:tc>
        <w:tc>
          <w:tcPr>
            <w:tcW w:w="630" w:type="dxa"/>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10.459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10.500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10.542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10.584 </w:t>
            </w:r>
          </w:p>
        </w:tc>
        <w:tc>
          <w:tcPr>
            <w:tcW w:w="633"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10.937 </w:t>
            </w:r>
          </w:p>
        </w:tc>
        <w:tc>
          <w:tcPr>
            <w:tcW w:w="722" w:type="dxa"/>
            <w:gridSpan w:val="2"/>
            <w:tcBorders>
              <w:top w:val="nil"/>
              <w:left w:val="nil"/>
              <w:bottom w:val="single" w:sz="4" w:space="0" w:color="auto"/>
              <w:right w:val="single" w:sz="4" w:space="0" w:color="auto"/>
            </w:tcBorders>
            <w:shd w:val="clear" w:color="auto" w:fill="auto"/>
            <w:noWrap/>
            <w:vAlign w:val="bottom"/>
            <w:hideMark/>
          </w:tcPr>
          <w:p w:rsidR="0046416B" w:rsidRPr="00FA63AC" w:rsidRDefault="0046416B" w:rsidP="0046416B">
            <w:pPr>
              <w:jc w:val="right"/>
              <w:rPr>
                <w:rFonts w:ascii="Calibri" w:hAnsi="Calibri" w:cs="Calibri"/>
                <w:color w:val="000000"/>
                <w:sz w:val="18"/>
                <w:szCs w:val="18"/>
              </w:rPr>
            </w:pPr>
            <w:r w:rsidRPr="00FA63AC">
              <w:rPr>
                <w:rFonts w:ascii="Calibri" w:hAnsi="Calibri" w:cs="Calibri"/>
                <w:color w:val="000000"/>
                <w:sz w:val="18"/>
                <w:szCs w:val="18"/>
              </w:rPr>
              <w:t xml:space="preserve">40.527 </w:t>
            </w:r>
          </w:p>
        </w:tc>
      </w:tr>
      <w:tr w:rsidR="0046416B" w:rsidRPr="00FA63AC" w:rsidTr="0046416B">
        <w:trPr>
          <w:trHeight w:val="288"/>
        </w:trPr>
        <w:tc>
          <w:tcPr>
            <w:tcW w:w="2694" w:type="dxa"/>
            <w:gridSpan w:val="3"/>
            <w:tcBorders>
              <w:top w:val="single" w:sz="4" w:space="0" w:color="auto"/>
              <w:left w:val="nil"/>
              <w:bottom w:val="nil"/>
              <w:right w:val="nil"/>
            </w:tcBorders>
            <w:shd w:val="clear" w:color="auto" w:fill="auto"/>
            <w:noWrap/>
            <w:vAlign w:val="bottom"/>
            <w:hideMark/>
          </w:tcPr>
          <w:p w:rsidR="0046416B" w:rsidRPr="00FA63AC" w:rsidRDefault="0046416B" w:rsidP="0046416B">
            <w:pPr>
              <w:jc w:val="center"/>
              <w:rPr>
                <w:rFonts w:ascii="Calibri" w:hAnsi="Calibri" w:cs="Calibri"/>
                <w:b/>
                <w:bCs/>
                <w:color w:val="000000"/>
                <w:sz w:val="18"/>
                <w:szCs w:val="18"/>
              </w:rPr>
            </w:pPr>
            <w:r w:rsidRPr="00FA63AC">
              <w:rPr>
                <w:rFonts w:ascii="Calibri" w:hAnsi="Calibri" w:cs="Calibri"/>
                <w:b/>
                <w:bCs/>
                <w:color w:val="000000"/>
                <w:sz w:val="18"/>
                <w:szCs w:val="18"/>
              </w:rPr>
              <w:t>Valor Presente Líquido</w:t>
            </w:r>
          </w:p>
        </w:tc>
        <w:tc>
          <w:tcPr>
            <w:tcW w:w="950" w:type="dxa"/>
            <w:gridSpan w:val="2"/>
            <w:tcBorders>
              <w:top w:val="nil"/>
              <w:left w:val="nil"/>
              <w:bottom w:val="nil"/>
              <w:right w:val="nil"/>
            </w:tcBorders>
            <w:shd w:val="clear" w:color="auto" w:fill="auto"/>
            <w:noWrap/>
            <w:vAlign w:val="bottom"/>
            <w:hideMark/>
          </w:tcPr>
          <w:p w:rsidR="0046416B" w:rsidRPr="00FA63AC" w:rsidRDefault="0046416B" w:rsidP="0046416B">
            <w:pPr>
              <w:rPr>
                <w:rFonts w:ascii="Calibri" w:hAnsi="Calibri" w:cs="Calibri"/>
                <w:b/>
                <w:bCs/>
                <w:color w:val="000000"/>
                <w:sz w:val="18"/>
                <w:szCs w:val="18"/>
              </w:rPr>
            </w:pPr>
            <w:r w:rsidRPr="00FA63AC">
              <w:rPr>
                <w:rFonts w:ascii="Calibri" w:hAnsi="Calibri" w:cs="Calibri"/>
                <w:b/>
                <w:bCs/>
                <w:color w:val="000000"/>
                <w:sz w:val="18"/>
                <w:szCs w:val="18"/>
              </w:rPr>
              <w:t xml:space="preserve">      10.36</w:t>
            </w:r>
            <w:r w:rsidR="00A50CCE" w:rsidRPr="00FA63AC">
              <w:rPr>
                <w:rFonts w:ascii="Calibri" w:hAnsi="Calibri" w:cs="Calibri"/>
                <w:b/>
                <w:bCs/>
                <w:color w:val="000000"/>
                <w:sz w:val="18"/>
                <w:szCs w:val="18"/>
              </w:rPr>
              <w:t>1</w:t>
            </w:r>
            <w:r w:rsidRPr="00FA63AC">
              <w:rPr>
                <w:rFonts w:ascii="Calibri" w:hAnsi="Calibri" w:cs="Calibri"/>
                <w:b/>
                <w:bCs/>
                <w:color w:val="000000"/>
                <w:sz w:val="18"/>
                <w:szCs w:val="18"/>
              </w:rPr>
              <w:t xml:space="preserve"> </w:t>
            </w:r>
          </w:p>
        </w:tc>
        <w:tc>
          <w:tcPr>
            <w:tcW w:w="583" w:type="dxa"/>
            <w:tcBorders>
              <w:top w:val="nil"/>
              <w:left w:val="nil"/>
              <w:bottom w:val="nil"/>
              <w:right w:val="nil"/>
            </w:tcBorders>
            <w:shd w:val="clear" w:color="auto" w:fill="auto"/>
            <w:noWrap/>
            <w:vAlign w:val="bottom"/>
            <w:hideMark/>
          </w:tcPr>
          <w:p w:rsidR="0046416B" w:rsidRPr="00FA63AC" w:rsidRDefault="0046416B" w:rsidP="0046416B">
            <w:pPr>
              <w:rPr>
                <w:rFonts w:ascii="Calibri" w:hAnsi="Calibri" w:cs="Calibri"/>
                <w:b/>
                <w:bCs/>
                <w:color w:val="000000"/>
                <w:sz w:val="18"/>
                <w:szCs w:val="18"/>
              </w:rPr>
            </w:pPr>
          </w:p>
        </w:tc>
        <w:tc>
          <w:tcPr>
            <w:tcW w:w="713" w:type="dxa"/>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848" w:type="dxa"/>
            <w:gridSpan w:val="3"/>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633"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633"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633"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634"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579"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r>
      <w:tr w:rsidR="0046416B" w:rsidRPr="00FA63AC" w:rsidTr="0046416B">
        <w:trPr>
          <w:trHeight w:val="288"/>
        </w:trPr>
        <w:tc>
          <w:tcPr>
            <w:tcW w:w="2694" w:type="dxa"/>
            <w:gridSpan w:val="3"/>
            <w:tcBorders>
              <w:top w:val="nil"/>
              <w:left w:val="nil"/>
              <w:bottom w:val="nil"/>
              <w:right w:val="nil"/>
            </w:tcBorders>
            <w:shd w:val="clear" w:color="auto" w:fill="auto"/>
            <w:noWrap/>
            <w:vAlign w:val="bottom"/>
            <w:hideMark/>
          </w:tcPr>
          <w:p w:rsidR="0046416B" w:rsidRPr="00FA63AC" w:rsidRDefault="0046416B" w:rsidP="0046416B">
            <w:pPr>
              <w:jc w:val="center"/>
              <w:rPr>
                <w:rFonts w:ascii="Calibri" w:hAnsi="Calibri" w:cs="Calibri"/>
                <w:b/>
                <w:bCs/>
                <w:color w:val="000000"/>
                <w:sz w:val="18"/>
                <w:szCs w:val="18"/>
              </w:rPr>
            </w:pPr>
            <w:r w:rsidRPr="00FA63AC">
              <w:rPr>
                <w:rFonts w:ascii="Calibri" w:hAnsi="Calibri" w:cs="Calibri"/>
                <w:b/>
                <w:bCs/>
                <w:color w:val="000000"/>
                <w:sz w:val="18"/>
                <w:szCs w:val="18"/>
              </w:rPr>
              <w:t>TIR</w:t>
            </w:r>
          </w:p>
        </w:tc>
        <w:tc>
          <w:tcPr>
            <w:tcW w:w="950" w:type="dxa"/>
            <w:gridSpan w:val="2"/>
            <w:tcBorders>
              <w:top w:val="nil"/>
              <w:left w:val="nil"/>
              <w:bottom w:val="nil"/>
              <w:right w:val="nil"/>
            </w:tcBorders>
            <w:shd w:val="clear" w:color="auto" w:fill="auto"/>
            <w:noWrap/>
            <w:vAlign w:val="bottom"/>
            <w:hideMark/>
          </w:tcPr>
          <w:p w:rsidR="0046416B" w:rsidRPr="00FA63AC" w:rsidRDefault="0046416B" w:rsidP="0046416B">
            <w:pPr>
              <w:jc w:val="right"/>
              <w:rPr>
                <w:rFonts w:ascii="Calibri" w:hAnsi="Calibri" w:cs="Calibri"/>
                <w:b/>
                <w:bCs/>
                <w:color w:val="000000"/>
                <w:sz w:val="18"/>
                <w:szCs w:val="18"/>
              </w:rPr>
            </w:pPr>
            <w:r w:rsidRPr="00FA63AC">
              <w:rPr>
                <w:rFonts w:ascii="Calibri" w:hAnsi="Calibri" w:cs="Calibri"/>
                <w:b/>
                <w:bCs/>
                <w:color w:val="000000"/>
                <w:sz w:val="18"/>
                <w:szCs w:val="18"/>
              </w:rPr>
              <w:t>23,8%</w:t>
            </w:r>
          </w:p>
        </w:tc>
        <w:tc>
          <w:tcPr>
            <w:tcW w:w="583" w:type="dxa"/>
            <w:tcBorders>
              <w:top w:val="nil"/>
              <w:left w:val="nil"/>
              <w:bottom w:val="nil"/>
              <w:right w:val="nil"/>
            </w:tcBorders>
            <w:shd w:val="clear" w:color="auto" w:fill="auto"/>
            <w:noWrap/>
            <w:vAlign w:val="bottom"/>
            <w:hideMark/>
          </w:tcPr>
          <w:p w:rsidR="0046416B" w:rsidRPr="00FA63AC" w:rsidRDefault="0046416B" w:rsidP="0046416B">
            <w:pPr>
              <w:jc w:val="right"/>
              <w:rPr>
                <w:rFonts w:ascii="Calibri" w:hAnsi="Calibri" w:cs="Calibri"/>
                <w:b/>
                <w:bCs/>
                <w:color w:val="000000"/>
                <w:sz w:val="18"/>
                <w:szCs w:val="18"/>
              </w:rPr>
            </w:pPr>
          </w:p>
        </w:tc>
        <w:tc>
          <w:tcPr>
            <w:tcW w:w="713" w:type="dxa"/>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848" w:type="dxa"/>
            <w:gridSpan w:val="3"/>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633"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633"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633"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634"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c>
          <w:tcPr>
            <w:tcW w:w="579" w:type="dxa"/>
            <w:gridSpan w:val="2"/>
            <w:tcBorders>
              <w:top w:val="nil"/>
              <w:left w:val="nil"/>
              <w:bottom w:val="nil"/>
              <w:right w:val="nil"/>
            </w:tcBorders>
            <w:shd w:val="clear" w:color="auto" w:fill="auto"/>
            <w:noWrap/>
            <w:vAlign w:val="bottom"/>
            <w:hideMark/>
          </w:tcPr>
          <w:p w:rsidR="0046416B" w:rsidRPr="00FA63AC" w:rsidRDefault="0046416B" w:rsidP="0046416B">
            <w:pPr>
              <w:rPr>
                <w:sz w:val="20"/>
                <w:szCs w:val="20"/>
              </w:rPr>
            </w:pPr>
          </w:p>
        </w:tc>
      </w:tr>
      <w:tr w:rsidR="0046416B" w:rsidRPr="00FA63AC" w:rsidTr="0046416B">
        <w:trPr>
          <w:trHeight w:val="288"/>
        </w:trPr>
        <w:tc>
          <w:tcPr>
            <w:tcW w:w="8904" w:type="dxa"/>
            <w:gridSpan w:val="20"/>
            <w:tcBorders>
              <w:top w:val="nil"/>
              <w:left w:val="nil"/>
              <w:bottom w:val="nil"/>
              <w:right w:val="nil"/>
            </w:tcBorders>
            <w:shd w:val="clear" w:color="auto" w:fill="auto"/>
            <w:noWrap/>
            <w:vAlign w:val="center"/>
            <w:hideMark/>
          </w:tcPr>
          <w:p w:rsidR="0046416B" w:rsidRPr="00FA63AC" w:rsidRDefault="0046416B" w:rsidP="0046416B">
            <w:pPr>
              <w:rPr>
                <w:rFonts w:ascii="Calibri" w:hAnsi="Calibri" w:cs="Calibri"/>
                <w:sz w:val="18"/>
                <w:szCs w:val="18"/>
              </w:rPr>
            </w:pPr>
            <w:r w:rsidRPr="00FA63AC">
              <w:rPr>
                <w:rFonts w:ascii="Calibri" w:hAnsi="Calibri" w:cs="Calibri"/>
                <w:sz w:val="18"/>
                <w:szCs w:val="18"/>
              </w:rPr>
              <w:t>Fonte: Fonte: Cálculos do autor para o Cenário Básico da Análise Custo-Benefício</w:t>
            </w:r>
          </w:p>
        </w:tc>
      </w:tr>
    </w:tbl>
    <w:p w:rsidR="00EA0C4C" w:rsidRPr="00FA63AC" w:rsidRDefault="00EA0C4C" w:rsidP="00EA0C4C">
      <w:pPr>
        <w:keepNext/>
        <w:suppressAutoHyphens/>
        <w:spacing w:before="120"/>
        <w:jc w:val="both"/>
        <w:outlineLvl w:val="3"/>
        <w:rPr>
          <w:bCs/>
          <w:lang w:eastAsia="es-ES"/>
        </w:rPr>
      </w:pPr>
    </w:p>
    <w:p w:rsidR="00EA0C4C" w:rsidRPr="00FA63AC" w:rsidRDefault="00A50CCE" w:rsidP="007266FB">
      <w:pPr>
        <w:pStyle w:val="ListParagraph"/>
        <w:keepNext/>
        <w:numPr>
          <w:ilvl w:val="1"/>
          <w:numId w:val="2"/>
        </w:numPr>
        <w:suppressAutoHyphens/>
        <w:spacing w:before="120"/>
        <w:ind w:left="851" w:hanging="567"/>
        <w:jc w:val="both"/>
        <w:outlineLvl w:val="3"/>
        <w:rPr>
          <w:bCs/>
          <w:lang w:eastAsia="es-ES"/>
        </w:rPr>
      </w:pPr>
      <w:r w:rsidRPr="00FA63AC">
        <w:rPr>
          <w:bCs/>
          <w:lang w:eastAsia="es-ES"/>
        </w:rPr>
        <w:t xml:space="preserve">Um risco presente está associado às demoras na implementação do programa, resultando no adiamento da geração de benefícios. A Tabela 10.2 </w:t>
      </w:r>
      <w:r w:rsidR="00202556" w:rsidRPr="00FA63AC">
        <w:rPr>
          <w:bCs/>
          <w:lang w:eastAsia="es-ES"/>
        </w:rPr>
        <w:t xml:space="preserve">assume que todos os benefícios são adiados por um ano, embora os custos permaneçam como </w:t>
      </w:r>
      <w:r w:rsidR="00202556" w:rsidRPr="00FA63AC">
        <w:rPr>
          <w:bCs/>
          <w:lang w:eastAsia="es-ES"/>
        </w:rPr>
        <w:lastRenderedPageBreak/>
        <w:t xml:space="preserve">no cenário original, caracterizando uma hipótese bastante conservadora. Neste sentido, a TIR fica em 25,8%, o VPL em US$18,6 milhões, o fluxo financeiro fica positivo a partir do quarto ano e o fluxo acumulado a partir do sétimo ano.  </w:t>
      </w:r>
    </w:p>
    <w:p w:rsidR="00EA0C4C" w:rsidRPr="00FA63AC" w:rsidRDefault="00EA0C4C" w:rsidP="00EA0C4C">
      <w:pPr>
        <w:pStyle w:val="ListParagraph"/>
        <w:keepNext/>
        <w:suppressAutoHyphens/>
        <w:spacing w:before="120"/>
        <w:ind w:left="1139"/>
        <w:jc w:val="both"/>
        <w:outlineLvl w:val="3"/>
        <w:rPr>
          <w:bCs/>
          <w:lang w:eastAsia="es-ES"/>
        </w:rPr>
      </w:pPr>
    </w:p>
    <w:tbl>
      <w:tblPr>
        <w:tblW w:w="8931" w:type="dxa"/>
        <w:tblCellMar>
          <w:left w:w="70" w:type="dxa"/>
          <w:right w:w="70" w:type="dxa"/>
        </w:tblCellMar>
        <w:tblLook w:val="04A0" w:firstRow="1" w:lastRow="0" w:firstColumn="1" w:lastColumn="0" w:noHBand="0" w:noVBand="1"/>
      </w:tblPr>
      <w:tblGrid>
        <w:gridCol w:w="1134"/>
        <w:gridCol w:w="709"/>
        <w:gridCol w:w="709"/>
        <w:gridCol w:w="709"/>
        <w:gridCol w:w="708"/>
        <w:gridCol w:w="709"/>
        <w:gridCol w:w="709"/>
        <w:gridCol w:w="709"/>
        <w:gridCol w:w="708"/>
        <w:gridCol w:w="709"/>
        <w:gridCol w:w="709"/>
        <w:gridCol w:w="733"/>
      </w:tblGrid>
      <w:tr w:rsidR="00801B3D" w:rsidRPr="00FA63AC" w:rsidTr="00A50CCE">
        <w:trPr>
          <w:trHeight w:val="288"/>
        </w:trPr>
        <w:tc>
          <w:tcPr>
            <w:tcW w:w="8931" w:type="dxa"/>
            <w:gridSpan w:val="12"/>
            <w:tcBorders>
              <w:top w:val="nil"/>
              <w:left w:val="nil"/>
              <w:bottom w:val="nil"/>
              <w:right w:val="nil"/>
            </w:tcBorders>
            <w:shd w:val="clear" w:color="auto" w:fill="auto"/>
            <w:noWrap/>
            <w:vAlign w:val="bottom"/>
            <w:hideMark/>
          </w:tcPr>
          <w:p w:rsidR="00801B3D" w:rsidRPr="00FA63AC" w:rsidRDefault="00801B3D" w:rsidP="00801B3D">
            <w:pPr>
              <w:rPr>
                <w:rFonts w:ascii="Calibri" w:hAnsi="Calibri" w:cs="Calibri"/>
                <w:b/>
                <w:bCs/>
                <w:color w:val="000000"/>
                <w:sz w:val="22"/>
                <w:szCs w:val="22"/>
              </w:rPr>
            </w:pPr>
            <w:r w:rsidRPr="00FA63AC">
              <w:rPr>
                <w:rFonts w:ascii="Calibri" w:hAnsi="Calibri" w:cs="Calibri"/>
                <w:b/>
                <w:bCs/>
                <w:color w:val="000000"/>
                <w:sz w:val="22"/>
                <w:szCs w:val="22"/>
              </w:rPr>
              <w:t>Tabe</w:t>
            </w:r>
            <w:r w:rsidRPr="00FA63AC">
              <w:rPr>
                <w:rFonts w:ascii="Calibri" w:hAnsi="Calibri" w:cs="Calibri"/>
                <w:b/>
                <w:bCs/>
                <w:sz w:val="22"/>
                <w:szCs w:val="22"/>
              </w:rPr>
              <w:t>la 10.2: Ce</w:t>
            </w:r>
            <w:r w:rsidRPr="00FA63AC">
              <w:rPr>
                <w:rFonts w:ascii="Calibri" w:hAnsi="Calibri" w:cs="Calibri"/>
                <w:b/>
                <w:bCs/>
                <w:color w:val="000000"/>
                <w:sz w:val="22"/>
                <w:szCs w:val="22"/>
              </w:rPr>
              <w:t>nário Básico - Início de todos os benefícios adiado em um ano (em US$1000)</w:t>
            </w:r>
          </w:p>
        </w:tc>
      </w:tr>
      <w:tr w:rsidR="00A50CCE" w:rsidRPr="00FA63AC" w:rsidTr="00A50CCE">
        <w:trPr>
          <w:trHeight w:val="288"/>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6</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7</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8</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ano 10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Total</w:t>
            </w:r>
          </w:p>
        </w:tc>
      </w:tr>
      <w:tr w:rsidR="00A50CCE" w:rsidRPr="00FA63AC" w:rsidTr="00A50CCE">
        <w:trPr>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Custos totais</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-4.873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-13.629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-14.852 </w:t>
            </w:r>
          </w:p>
        </w:tc>
        <w:tc>
          <w:tcPr>
            <w:tcW w:w="708"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-11.877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-11.387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-5.402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-5.360 </w:t>
            </w:r>
          </w:p>
        </w:tc>
        <w:tc>
          <w:tcPr>
            <w:tcW w:w="708"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-5.318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-5.277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-4.923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-82.897 </w:t>
            </w:r>
          </w:p>
        </w:tc>
      </w:tr>
      <w:tr w:rsidR="00A50CCE" w:rsidRPr="00FA63AC" w:rsidTr="00A50CCE">
        <w:trPr>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Benefícios</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0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308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4.273 </w:t>
            </w:r>
          </w:p>
        </w:tc>
        <w:tc>
          <w:tcPr>
            <w:tcW w:w="708"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14.038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17.992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21.174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708"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23.451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151.591 </w:t>
            </w:r>
          </w:p>
        </w:tc>
      </w:tr>
      <w:tr w:rsidR="00A50CCE" w:rsidRPr="00FA63AC" w:rsidTr="00A50CCE">
        <w:trPr>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01B3D" w:rsidRPr="00FA63AC" w:rsidRDefault="00801B3D" w:rsidP="00801B3D">
            <w:pPr>
              <w:rPr>
                <w:rFonts w:ascii="Calibri" w:hAnsi="Calibri" w:cs="Calibri"/>
                <w:color w:val="000000"/>
                <w:sz w:val="18"/>
                <w:szCs w:val="18"/>
              </w:rPr>
            </w:pPr>
            <w:r w:rsidRPr="00FA63AC">
              <w:rPr>
                <w:rFonts w:ascii="Calibri" w:hAnsi="Calibri" w:cs="Calibri"/>
                <w:color w:val="000000"/>
                <w:sz w:val="18"/>
                <w:szCs w:val="18"/>
              </w:rPr>
              <w:t>Fluxo</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-4.873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-13.320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-10.578 </w:t>
            </w:r>
          </w:p>
        </w:tc>
        <w:tc>
          <w:tcPr>
            <w:tcW w:w="708"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2.161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6.605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15.772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18.091 </w:t>
            </w:r>
          </w:p>
        </w:tc>
        <w:tc>
          <w:tcPr>
            <w:tcW w:w="708"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18.133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18.174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18.528 </w:t>
            </w:r>
          </w:p>
        </w:tc>
        <w:tc>
          <w:tcPr>
            <w:tcW w:w="709" w:type="dxa"/>
            <w:tcBorders>
              <w:top w:val="nil"/>
              <w:left w:val="nil"/>
              <w:bottom w:val="single" w:sz="4" w:space="0" w:color="auto"/>
              <w:right w:val="single" w:sz="4" w:space="0" w:color="auto"/>
            </w:tcBorders>
            <w:shd w:val="clear" w:color="auto" w:fill="auto"/>
            <w:noWrap/>
            <w:vAlign w:val="bottom"/>
            <w:hideMark/>
          </w:tcPr>
          <w:p w:rsidR="00801B3D" w:rsidRPr="00FA63AC" w:rsidRDefault="00801B3D" w:rsidP="00801B3D">
            <w:pPr>
              <w:jc w:val="right"/>
              <w:rPr>
                <w:rFonts w:ascii="Calibri" w:hAnsi="Calibri" w:cs="Calibri"/>
                <w:color w:val="000000"/>
                <w:sz w:val="18"/>
                <w:szCs w:val="18"/>
              </w:rPr>
            </w:pPr>
            <w:r w:rsidRPr="00FA63AC">
              <w:rPr>
                <w:rFonts w:ascii="Calibri" w:hAnsi="Calibri" w:cs="Calibri"/>
                <w:color w:val="000000"/>
                <w:sz w:val="18"/>
                <w:szCs w:val="18"/>
              </w:rPr>
              <w:t xml:space="preserve">68.694 </w:t>
            </w:r>
          </w:p>
        </w:tc>
      </w:tr>
      <w:tr w:rsidR="00A50CCE" w:rsidRPr="00FA63AC" w:rsidTr="00A50CCE">
        <w:trPr>
          <w:trHeight w:val="288"/>
        </w:trPr>
        <w:tc>
          <w:tcPr>
            <w:tcW w:w="2552" w:type="dxa"/>
            <w:gridSpan w:val="3"/>
            <w:tcBorders>
              <w:top w:val="single" w:sz="4" w:space="0" w:color="auto"/>
              <w:left w:val="nil"/>
              <w:bottom w:val="nil"/>
              <w:right w:val="nil"/>
            </w:tcBorders>
            <w:shd w:val="clear" w:color="auto" w:fill="auto"/>
            <w:noWrap/>
            <w:vAlign w:val="bottom"/>
            <w:hideMark/>
          </w:tcPr>
          <w:p w:rsidR="00801B3D" w:rsidRPr="00FA63AC" w:rsidRDefault="00801B3D" w:rsidP="00801B3D">
            <w:pPr>
              <w:jc w:val="center"/>
              <w:rPr>
                <w:rFonts w:ascii="Calibri" w:hAnsi="Calibri" w:cs="Calibri"/>
                <w:b/>
                <w:bCs/>
                <w:color w:val="000000"/>
                <w:sz w:val="18"/>
                <w:szCs w:val="18"/>
              </w:rPr>
            </w:pPr>
            <w:r w:rsidRPr="00FA63AC">
              <w:rPr>
                <w:rFonts w:ascii="Calibri" w:hAnsi="Calibri" w:cs="Calibri"/>
                <w:b/>
                <w:bCs/>
                <w:color w:val="000000"/>
                <w:sz w:val="18"/>
                <w:szCs w:val="18"/>
              </w:rPr>
              <w:t>Valor Presente Líquido</w:t>
            </w: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rFonts w:ascii="Calibri" w:hAnsi="Calibri" w:cs="Calibri"/>
                <w:b/>
                <w:bCs/>
                <w:color w:val="000000"/>
                <w:sz w:val="18"/>
                <w:szCs w:val="18"/>
              </w:rPr>
            </w:pPr>
            <w:r w:rsidRPr="00FA63AC">
              <w:rPr>
                <w:rFonts w:ascii="Calibri" w:hAnsi="Calibri" w:cs="Calibri"/>
                <w:b/>
                <w:bCs/>
                <w:color w:val="000000"/>
                <w:sz w:val="18"/>
                <w:szCs w:val="18"/>
              </w:rPr>
              <w:t xml:space="preserve">              18.640 </w:t>
            </w:r>
          </w:p>
        </w:tc>
        <w:tc>
          <w:tcPr>
            <w:tcW w:w="708" w:type="dxa"/>
            <w:tcBorders>
              <w:top w:val="nil"/>
              <w:left w:val="nil"/>
              <w:bottom w:val="nil"/>
              <w:right w:val="nil"/>
            </w:tcBorders>
            <w:shd w:val="clear" w:color="auto" w:fill="auto"/>
            <w:noWrap/>
            <w:vAlign w:val="bottom"/>
            <w:hideMark/>
          </w:tcPr>
          <w:p w:rsidR="00801B3D" w:rsidRPr="00FA63AC" w:rsidRDefault="00801B3D" w:rsidP="00801B3D">
            <w:pPr>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8"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r>
      <w:tr w:rsidR="00A50CCE" w:rsidRPr="00FA63AC" w:rsidTr="00A50CCE">
        <w:trPr>
          <w:trHeight w:val="288"/>
        </w:trPr>
        <w:tc>
          <w:tcPr>
            <w:tcW w:w="2552" w:type="dxa"/>
            <w:gridSpan w:val="3"/>
            <w:tcBorders>
              <w:top w:val="nil"/>
              <w:left w:val="nil"/>
              <w:bottom w:val="nil"/>
              <w:right w:val="nil"/>
            </w:tcBorders>
            <w:shd w:val="clear" w:color="auto" w:fill="auto"/>
            <w:noWrap/>
            <w:vAlign w:val="bottom"/>
            <w:hideMark/>
          </w:tcPr>
          <w:p w:rsidR="00801B3D" w:rsidRPr="00FA63AC" w:rsidRDefault="00801B3D" w:rsidP="00801B3D">
            <w:pPr>
              <w:jc w:val="center"/>
              <w:rPr>
                <w:rFonts w:ascii="Calibri" w:hAnsi="Calibri" w:cs="Calibri"/>
                <w:b/>
                <w:bCs/>
                <w:color w:val="000000"/>
                <w:sz w:val="18"/>
                <w:szCs w:val="18"/>
              </w:rPr>
            </w:pPr>
            <w:r w:rsidRPr="00FA63AC">
              <w:rPr>
                <w:rFonts w:ascii="Calibri" w:hAnsi="Calibri" w:cs="Calibri"/>
                <w:b/>
                <w:bCs/>
                <w:color w:val="000000"/>
                <w:sz w:val="18"/>
                <w:szCs w:val="18"/>
              </w:rPr>
              <w:t>TIR</w:t>
            </w:r>
          </w:p>
        </w:tc>
        <w:tc>
          <w:tcPr>
            <w:tcW w:w="709" w:type="dxa"/>
            <w:tcBorders>
              <w:top w:val="nil"/>
              <w:left w:val="nil"/>
              <w:bottom w:val="nil"/>
              <w:right w:val="nil"/>
            </w:tcBorders>
            <w:shd w:val="clear" w:color="auto" w:fill="auto"/>
            <w:noWrap/>
            <w:vAlign w:val="bottom"/>
            <w:hideMark/>
          </w:tcPr>
          <w:p w:rsidR="00801B3D" w:rsidRPr="00FA63AC" w:rsidRDefault="00801B3D" w:rsidP="00801B3D">
            <w:pPr>
              <w:jc w:val="right"/>
              <w:rPr>
                <w:rFonts w:ascii="Calibri" w:hAnsi="Calibri" w:cs="Calibri"/>
                <w:b/>
                <w:bCs/>
                <w:color w:val="000000"/>
                <w:sz w:val="18"/>
                <w:szCs w:val="18"/>
              </w:rPr>
            </w:pPr>
            <w:r w:rsidRPr="00FA63AC">
              <w:rPr>
                <w:rFonts w:ascii="Calibri" w:hAnsi="Calibri" w:cs="Calibri"/>
                <w:b/>
                <w:bCs/>
                <w:color w:val="000000"/>
                <w:sz w:val="18"/>
                <w:szCs w:val="18"/>
              </w:rPr>
              <w:t>25,8%</w:t>
            </w:r>
          </w:p>
        </w:tc>
        <w:tc>
          <w:tcPr>
            <w:tcW w:w="708" w:type="dxa"/>
            <w:tcBorders>
              <w:top w:val="nil"/>
              <w:left w:val="nil"/>
              <w:bottom w:val="nil"/>
              <w:right w:val="nil"/>
            </w:tcBorders>
            <w:shd w:val="clear" w:color="auto" w:fill="auto"/>
            <w:noWrap/>
            <w:vAlign w:val="bottom"/>
            <w:hideMark/>
          </w:tcPr>
          <w:p w:rsidR="00801B3D" w:rsidRPr="00FA63AC" w:rsidRDefault="00801B3D" w:rsidP="00801B3D">
            <w:pPr>
              <w:jc w:val="right"/>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8"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c>
          <w:tcPr>
            <w:tcW w:w="709" w:type="dxa"/>
            <w:tcBorders>
              <w:top w:val="nil"/>
              <w:left w:val="nil"/>
              <w:bottom w:val="nil"/>
              <w:right w:val="nil"/>
            </w:tcBorders>
            <w:shd w:val="clear" w:color="auto" w:fill="auto"/>
            <w:noWrap/>
            <w:vAlign w:val="bottom"/>
            <w:hideMark/>
          </w:tcPr>
          <w:p w:rsidR="00801B3D" w:rsidRPr="00FA63AC" w:rsidRDefault="00801B3D" w:rsidP="00801B3D">
            <w:pPr>
              <w:rPr>
                <w:sz w:val="20"/>
                <w:szCs w:val="20"/>
              </w:rPr>
            </w:pPr>
          </w:p>
        </w:tc>
      </w:tr>
      <w:tr w:rsidR="00801B3D" w:rsidRPr="00801B3D" w:rsidTr="00A50CCE">
        <w:trPr>
          <w:trHeight w:val="288"/>
        </w:trPr>
        <w:tc>
          <w:tcPr>
            <w:tcW w:w="8931" w:type="dxa"/>
            <w:gridSpan w:val="12"/>
            <w:tcBorders>
              <w:top w:val="nil"/>
              <w:left w:val="nil"/>
              <w:bottom w:val="nil"/>
              <w:right w:val="nil"/>
            </w:tcBorders>
            <w:shd w:val="clear" w:color="auto" w:fill="auto"/>
            <w:noWrap/>
            <w:vAlign w:val="center"/>
            <w:hideMark/>
          </w:tcPr>
          <w:p w:rsidR="00801B3D" w:rsidRPr="00801B3D" w:rsidRDefault="00801B3D" w:rsidP="00801B3D">
            <w:pPr>
              <w:rPr>
                <w:rFonts w:ascii="Calibri" w:hAnsi="Calibri" w:cs="Calibri"/>
                <w:sz w:val="18"/>
                <w:szCs w:val="18"/>
              </w:rPr>
            </w:pPr>
            <w:r w:rsidRPr="00FA63AC">
              <w:rPr>
                <w:rFonts w:ascii="Calibri" w:hAnsi="Calibri" w:cs="Calibri"/>
                <w:sz w:val="18"/>
                <w:szCs w:val="18"/>
              </w:rPr>
              <w:t>Fonte: Fonte: Cálculos do autor para o Cenário Básico da Análise Custo-Benefício</w:t>
            </w:r>
          </w:p>
        </w:tc>
      </w:tr>
    </w:tbl>
    <w:p w:rsidR="00775CAB" w:rsidRDefault="00775CAB" w:rsidP="00775CAB">
      <w:pPr>
        <w:pStyle w:val="ListParagraph"/>
        <w:keepNext/>
        <w:suppressAutoHyphens/>
        <w:spacing w:before="120"/>
        <w:ind w:left="851"/>
        <w:jc w:val="both"/>
        <w:outlineLvl w:val="3"/>
        <w:rPr>
          <w:bCs/>
          <w:lang w:eastAsia="es-ES"/>
        </w:rPr>
      </w:pPr>
    </w:p>
    <w:p w:rsidR="00CA7074" w:rsidRDefault="00CA7074" w:rsidP="00CA7074">
      <w:pPr>
        <w:pStyle w:val="ListParagraph"/>
        <w:keepNext/>
        <w:suppressAutoHyphens/>
        <w:spacing w:before="120"/>
        <w:ind w:left="851"/>
        <w:jc w:val="both"/>
        <w:outlineLvl w:val="3"/>
        <w:rPr>
          <w:bCs/>
          <w:lang w:eastAsia="es-ES"/>
        </w:rPr>
      </w:pPr>
    </w:p>
    <w:p w:rsidR="00EA0C4C" w:rsidRDefault="00EA0C4C" w:rsidP="00CA7074">
      <w:pPr>
        <w:pStyle w:val="ListParagraph"/>
        <w:keepNext/>
        <w:suppressAutoHyphens/>
        <w:spacing w:before="120"/>
        <w:ind w:left="851"/>
        <w:jc w:val="both"/>
        <w:outlineLvl w:val="3"/>
        <w:rPr>
          <w:bCs/>
          <w:lang w:eastAsia="es-ES"/>
        </w:rPr>
      </w:pPr>
    </w:p>
    <w:p w:rsidR="0080625B" w:rsidRPr="00731E55" w:rsidRDefault="00730DAA" w:rsidP="007266FB">
      <w:pPr>
        <w:pStyle w:val="Heading1"/>
        <w:numPr>
          <w:ilvl w:val="0"/>
          <w:numId w:val="2"/>
        </w:numPr>
        <w:spacing w:before="120"/>
        <w:ind w:firstLine="289"/>
        <w:rPr>
          <w:lang w:eastAsia="es-ES"/>
        </w:rPr>
      </w:pPr>
      <w:bookmarkStart w:id="31" w:name="_Toc503777184"/>
      <w:r w:rsidRPr="00C33D5B">
        <w:rPr>
          <w:lang w:eastAsia="es-ES"/>
        </w:rPr>
        <w:t>Análise de Sensibilidade</w:t>
      </w:r>
      <w:bookmarkEnd w:id="31"/>
    </w:p>
    <w:p w:rsidR="00301567" w:rsidRPr="00C33D5B" w:rsidRDefault="006E70FB" w:rsidP="007266FB">
      <w:pPr>
        <w:pStyle w:val="ListParagraph"/>
        <w:keepNext/>
        <w:numPr>
          <w:ilvl w:val="1"/>
          <w:numId w:val="2"/>
        </w:numPr>
        <w:suppressAutoHyphens/>
        <w:spacing w:before="120"/>
        <w:ind w:left="851" w:hanging="567"/>
        <w:jc w:val="both"/>
        <w:outlineLvl w:val="3"/>
        <w:rPr>
          <w:bCs/>
          <w:lang w:eastAsia="es-ES"/>
        </w:rPr>
      </w:pPr>
      <w:r w:rsidRPr="00C33D5B">
        <w:rPr>
          <w:bCs/>
          <w:lang w:eastAsia="es-ES"/>
        </w:rPr>
        <w:t>Toda análise C-B ex-ante está associada a riscos de diferentes tipos</w:t>
      </w:r>
      <w:r w:rsidR="00AB12AB">
        <w:rPr>
          <w:bCs/>
          <w:lang w:eastAsia="es-ES"/>
        </w:rPr>
        <w:t>. Neste case específico, os riscos estão relacionados a</w:t>
      </w:r>
      <w:r w:rsidRPr="00C33D5B">
        <w:rPr>
          <w:bCs/>
          <w:lang w:eastAsia="es-ES"/>
        </w:rPr>
        <w:t xml:space="preserve"> benefícios menores do que esperados</w:t>
      </w:r>
      <w:r w:rsidR="00AB12AB">
        <w:rPr>
          <w:bCs/>
          <w:lang w:eastAsia="es-ES"/>
        </w:rPr>
        <w:t xml:space="preserve"> e uma possível desvalorização do Real, visto que os benefícios serão obtidos nesta moeda enquanto os custos são fixos em dólares.</w:t>
      </w:r>
      <w:r w:rsidRPr="00C33D5B">
        <w:rPr>
          <w:bCs/>
          <w:lang w:eastAsia="es-ES"/>
        </w:rPr>
        <w:t xml:space="preserve"> Uma análise de sensibilidade mudando alguns parâmetros usados no cenário básico pode melhor contextualizar estes riscos.</w:t>
      </w:r>
    </w:p>
    <w:p w:rsidR="006E70FB" w:rsidRDefault="006E70FB" w:rsidP="007266FB">
      <w:pPr>
        <w:pStyle w:val="ListParagraph"/>
        <w:keepNext/>
        <w:numPr>
          <w:ilvl w:val="1"/>
          <w:numId w:val="2"/>
        </w:numPr>
        <w:suppressAutoHyphens/>
        <w:spacing w:before="120"/>
        <w:ind w:left="851" w:hanging="567"/>
        <w:jc w:val="both"/>
        <w:outlineLvl w:val="3"/>
        <w:rPr>
          <w:bCs/>
          <w:lang w:eastAsia="es-ES"/>
        </w:rPr>
      </w:pPr>
      <w:r>
        <w:rPr>
          <w:bCs/>
          <w:lang w:eastAsia="es-ES"/>
        </w:rPr>
        <w:t>Três diferentes cenários foram</w:t>
      </w:r>
      <w:r w:rsidR="000C3C8E">
        <w:rPr>
          <w:bCs/>
          <w:lang w:eastAsia="es-ES"/>
        </w:rPr>
        <w:t xml:space="preserve"> desenhados: </w:t>
      </w:r>
      <w:r w:rsidR="00301567">
        <w:rPr>
          <w:bCs/>
          <w:lang w:eastAsia="es-ES"/>
        </w:rPr>
        <w:t>uma desvalorização do Real, uma redução de benefícios e um cenário que mistura desvalorização e redução de benefícios.</w:t>
      </w:r>
      <w:r w:rsidR="00411420">
        <w:rPr>
          <w:bCs/>
          <w:lang w:eastAsia="es-ES"/>
        </w:rPr>
        <w:t xml:space="preserve"> Todos os cenários usam uma taxa de desconto de 12%.</w:t>
      </w:r>
    </w:p>
    <w:p w:rsidR="006E70FB" w:rsidRDefault="00333252" w:rsidP="007266FB">
      <w:pPr>
        <w:pStyle w:val="ListParagraph"/>
        <w:keepNext/>
        <w:numPr>
          <w:ilvl w:val="1"/>
          <w:numId w:val="2"/>
        </w:numPr>
        <w:suppressAutoHyphens/>
        <w:spacing w:before="120"/>
        <w:ind w:left="851" w:hanging="567"/>
        <w:jc w:val="both"/>
        <w:outlineLvl w:val="3"/>
        <w:rPr>
          <w:bCs/>
          <w:lang w:eastAsia="es-ES"/>
        </w:rPr>
      </w:pPr>
      <w:r w:rsidRPr="00583265">
        <w:rPr>
          <w:b/>
          <w:bCs/>
          <w:lang w:eastAsia="es-ES"/>
        </w:rPr>
        <w:t xml:space="preserve">Cenário 2: </w:t>
      </w:r>
      <w:r w:rsidR="00E12AEE" w:rsidRPr="00583265">
        <w:rPr>
          <w:b/>
          <w:bCs/>
          <w:lang w:eastAsia="es-ES"/>
        </w:rPr>
        <w:t>Desvalorização</w:t>
      </w:r>
      <w:r w:rsidR="00E12AEE" w:rsidRPr="002324CC">
        <w:rPr>
          <w:b/>
          <w:bCs/>
          <w:lang w:eastAsia="es-ES"/>
        </w:rPr>
        <w:t xml:space="preserve"> de </w:t>
      </w:r>
      <w:r w:rsidR="00385881">
        <w:rPr>
          <w:b/>
          <w:bCs/>
          <w:lang w:eastAsia="es-ES"/>
        </w:rPr>
        <w:t>25</w:t>
      </w:r>
      <w:r w:rsidR="00E12AEE" w:rsidRPr="002324CC">
        <w:rPr>
          <w:b/>
          <w:bCs/>
          <w:lang w:eastAsia="es-ES"/>
        </w:rPr>
        <w:t>% do Real.</w:t>
      </w:r>
      <w:r w:rsidR="00E12AEE" w:rsidRPr="00DA4C55">
        <w:rPr>
          <w:bCs/>
          <w:lang w:eastAsia="es-ES"/>
        </w:rPr>
        <w:t xml:space="preserve"> Como os custos, exceto manutenção, s</w:t>
      </w:r>
      <w:r w:rsidR="005E3342" w:rsidRPr="00DA4C55">
        <w:rPr>
          <w:bCs/>
          <w:lang w:eastAsia="es-ES"/>
        </w:rPr>
        <w:t>ão fix</w:t>
      </w:r>
      <w:r w:rsidR="00E12AEE" w:rsidRPr="00DA4C55">
        <w:rPr>
          <w:bCs/>
          <w:lang w:eastAsia="es-ES"/>
        </w:rPr>
        <w:t xml:space="preserve">os em dólares e os benefícios </w:t>
      </w:r>
      <w:r w:rsidR="005E3342" w:rsidRPr="00DA4C55">
        <w:rPr>
          <w:bCs/>
          <w:lang w:eastAsia="es-ES"/>
        </w:rPr>
        <w:t>são aferidos em Reais, uma desvalorização do Real implica em uma redução dos benefícios medidos em dólares.</w:t>
      </w:r>
      <w:r w:rsidR="002324CC">
        <w:rPr>
          <w:bCs/>
          <w:lang w:eastAsia="es-ES"/>
        </w:rPr>
        <w:t xml:space="preserve"> Assumindo uma desvalorização de </w:t>
      </w:r>
      <w:r w:rsidR="00E8628A">
        <w:rPr>
          <w:bCs/>
          <w:lang w:eastAsia="es-ES"/>
        </w:rPr>
        <w:t>25</w:t>
      </w:r>
      <w:r w:rsidR="002324CC">
        <w:rPr>
          <w:bCs/>
          <w:lang w:eastAsia="es-ES"/>
        </w:rPr>
        <w:t xml:space="preserve">% do Real, </w:t>
      </w:r>
      <w:r w:rsidR="00301567" w:rsidRPr="00DA4C55">
        <w:rPr>
          <w:bCs/>
          <w:lang w:eastAsia="es-ES"/>
        </w:rPr>
        <w:t xml:space="preserve">a TIR cai para </w:t>
      </w:r>
      <w:r w:rsidR="000F619D">
        <w:rPr>
          <w:bCs/>
          <w:lang w:eastAsia="es-ES"/>
        </w:rPr>
        <w:t>3</w:t>
      </w:r>
      <w:r w:rsidR="00F77DB4">
        <w:rPr>
          <w:bCs/>
          <w:lang w:eastAsia="es-ES"/>
        </w:rPr>
        <w:t>2,3</w:t>
      </w:r>
      <w:r w:rsidR="00301567" w:rsidRPr="00DA4C55">
        <w:rPr>
          <w:bCs/>
          <w:lang w:eastAsia="es-ES"/>
        </w:rPr>
        <w:t xml:space="preserve">%, o VPL para </w:t>
      </w:r>
      <w:r w:rsidR="002324CC">
        <w:rPr>
          <w:bCs/>
          <w:lang w:eastAsia="es-ES"/>
        </w:rPr>
        <w:t xml:space="preserve">US$ </w:t>
      </w:r>
      <w:r w:rsidR="000F619D">
        <w:rPr>
          <w:bCs/>
          <w:lang w:eastAsia="es-ES"/>
        </w:rPr>
        <w:t>2</w:t>
      </w:r>
      <w:r w:rsidR="00F77DB4">
        <w:rPr>
          <w:bCs/>
          <w:lang w:eastAsia="es-ES"/>
        </w:rPr>
        <w:t>0,3</w:t>
      </w:r>
      <w:r w:rsidR="00385881">
        <w:rPr>
          <w:bCs/>
          <w:lang w:eastAsia="es-ES"/>
        </w:rPr>
        <w:t xml:space="preserve"> </w:t>
      </w:r>
      <w:r w:rsidR="002324CC">
        <w:rPr>
          <w:bCs/>
          <w:lang w:eastAsia="es-ES"/>
        </w:rPr>
        <w:t>milhões, o</w:t>
      </w:r>
      <w:r w:rsidR="00301567" w:rsidRPr="00DA4C55">
        <w:rPr>
          <w:bCs/>
          <w:lang w:eastAsia="es-ES"/>
        </w:rPr>
        <w:t xml:space="preserve"> fluxo passa a ser positivo no </w:t>
      </w:r>
      <w:r w:rsidR="000F619D">
        <w:rPr>
          <w:bCs/>
          <w:lang w:eastAsia="es-ES"/>
        </w:rPr>
        <w:t>quarto</w:t>
      </w:r>
      <w:r w:rsidR="00411420">
        <w:rPr>
          <w:bCs/>
          <w:lang w:eastAsia="es-ES"/>
        </w:rPr>
        <w:t xml:space="preserve"> ano e o acumulado no </w:t>
      </w:r>
      <w:r w:rsidR="000F619D">
        <w:rPr>
          <w:bCs/>
          <w:lang w:eastAsia="es-ES"/>
        </w:rPr>
        <w:t>sexto</w:t>
      </w:r>
      <w:r w:rsidR="00301567" w:rsidRPr="00DA4C55">
        <w:rPr>
          <w:bCs/>
          <w:lang w:eastAsia="es-ES"/>
        </w:rPr>
        <w:t xml:space="preserve">. Mesmo </w:t>
      </w:r>
      <w:r w:rsidR="00E314FA">
        <w:rPr>
          <w:bCs/>
          <w:lang w:eastAsia="es-ES"/>
        </w:rPr>
        <w:t xml:space="preserve">com um choque extremo que levasse a uma </w:t>
      </w:r>
      <w:r w:rsidR="00301567" w:rsidRPr="00DA4C55">
        <w:rPr>
          <w:bCs/>
          <w:lang w:eastAsia="es-ES"/>
        </w:rPr>
        <w:t xml:space="preserve">desvalorização do Real </w:t>
      </w:r>
      <w:r w:rsidR="00E314FA">
        <w:rPr>
          <w:bCs/>
          <w:lang w:eastAsia="es-ES"/>
        </w:rPr>
        <w:t xml:space="preserve">de </w:t>
      </w:r>
      <w:r w:rsidR="00F77DB4">
        <w:rPr>
          <w:bCs/>
          <w:lang w:eastAsia="es-ES"/>
        </w:rPr>
        <w:t>90</w:t>
      </w:r>
      <w:r w:rsidR="00301567" w:rsidRPr="00DA4C55">
        <w:rPr>
          <w:bCs/>
          <w:lang w:eastAsia="es-ES"/>
        </w:rPr>
        <w:t xml:space="preserve">%, a TIR continuaria sólida em </w:t>
      </w:r>
      <w:r w:rsidR="00B979B9">
        <w:rPr>
          <w:bCs/>
          <w:lang w:eastAsia="es-ES"/>
        </w:rPr>
        <w:t>1</w:t>
      </w:r>
      <w:r w:rsidR="00F77DB4">
        <w:rPr>
          <w:bCs/>
          <w:lang w:eastAsia="es-ES"/>
        </w:rPr>
        <w:t>3</w:t>
      </w:r>
      <w:r w:rsidR="00301567" w:rsidRPr="00DA4C55">
        <w:rPr>
          <w:bCs/>
          <w:lang w:eastAsia="es-ES"/>
        </w:rPr>
        <w:t>%.</w:t>
      </w:r>
    </w:p>
    <w:p w:rsidR="00B709A1" w:rsidRDefault="00B709A1" w:rsidP="007A2A48">
      <w:pPr>
        <w:pStyle w:val="ListParagraph"/>
        <w:keepNext/>
        <w:suppressAutoHyphens/>
        <w:ind w:left="851"/>
        <w:jc w:val="both"/>
        <w:outlineLvl w:val="3"/>
        <w:rPr>
          <w:bCs/>
          <w:lang w:eastAsia="es-ES"/>
        </w:rPr>
      </w:pPr>
    </w:p>
    <w:tbl>
      <w:tblPr>
        <w:tblW w:w="8658" w:type="dxa"/>
        <w:tblCellMar>
          <w:left w:w="70" w:type="dxa"/>
          <w:right w:w="70" w:type="dxa"/>
        </w:tblCellMar>
        <w:tblLook w:val="04A0" w:firstRow="1" w:lastRow="0" w:firstColumn="1" w:lastColumn="0" w:noHBand="0" w:noVBand="1"/>
      </w:tblPr>
      <w:tblGrid>
        <w:gridCol w:w="1134"/>
        <w:gridCol w:w="709"/>
        <w:gridCol w:w="709"/>
        <w:gridCol w:w="709"/>
        <w:gridCol w:w="708"/>
        <w:gridCol w:w="709"/>
        <w:gridCol w:w="642"/>
        <w:gridCol w:w="642"/>
        <w:gridCol w:w="642"/>
        <w:gridCol w:w="642"/>
        <w:gridCol w:w="642"/>
        <w:gridCol w:w="733"/>
        <w:gridCol w:w="37"/>
      </w:tblGrid>
      <w:tr w:rsidR="00B23B86" w:rsidRPr="00B23B86" w:rsidTr="00F77DB4">
        <w:trPr>
          <w:trHeight w:val="288"/>
        </w:trPr>
        <w:tc>
          <w:tcPr>
            <w:tcW w:w="8658" w:type="dxa"/>
            <w:gridSpan w:val="13"/>
            <w:tcBorders>
              <w:top w:val="nil"/>
              <w:left w:val="nil"/>
              <w:bottom w:val="nil"/>
              <w:right w:val="nil"/>
            </w:tcBorders>
            <w:shd w:val="clear" w:color="auto" w:fill="auto"/>
            <w:noWrap/>
            <w:vAlign w:val="bottom"/>
            <w:hideMark/>
          </w:tcPr>
          <w:p w:rsidR="00B23B86" w:rsidRPr="00B23B86" w:rsidRDefault="00B23B86" w:rsidP="00B23B86">
            <w:pPr>
              <w:rPr>
                <w:rFonts w:ascii="Calibri" w:hAnsi="Calibri" w:cs="Calibri"/>
                <w:b/>
                <w:bCs/>
                <w:color w:val="000000"/>
                <w:sz w:val="22"/>
                <w:szCs w:val="22"/>
              </w:rPr>
            </w:pPr>
            <w:r w:rsidRPr="00B23B86">
              <w:rPr>
                <w:rFonts w:ascii="Calibri" w:hAnsi="Calibri" w:cs="Calibri"/>
                <w:b/>
                <w:bCs/>
                <w:color w:val="000000"/>
                <w:sz w:val="22"/>
                <w:szCs w:val="22"/>
              </w:rPr>
              <w:t>Tabela 11: Cenário 2 - Análise Custo-Benefício - Desvalorização do Real em 25% (Em US$ 1000)</w:t>
            </w:r>
          </w:p>
        </w:tc>
      </w:tr>
      <w:tr w:rsidR="00B23B86" w:rsidRPr="00B23B86" w:rsidTr="00F77DB4">
        <w:trPr>
          <w:gridAfter w:val="1"/>
          <w:wAfter w:w="37" w:type="dxa"/>
          <w:trHeight w:val="288"/>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3B86" w:rsidRPr="00B23B86" w:rsidRDefault="00B23B86" w:rsidP="00B23B86">
            <w:pPr>
              <w:rPr>
                <w:rFonts w:ascii="Calibri" w:hAnsi="Calibri" w:cs="Calibri"/>
                <w:color w:val="000000"/>
                <w:sz w:val="18"/>
                <w:szCs w:val="18"/>
              </w:rPr>
            </w:pPr>
            <w:r w:rsidRPr="00B23B86">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5</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6</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7</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8</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9</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ano 10</w:t>
            </w: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rsidR="00B23B86" w:rsidRPr="00B23B86" w:rsidRDefault="00B23B86" w:rsidP="00B23B86">
            <w:pPr>
              <w:jc w:val="center"/>
              <w:rPr>
                <w:rFonts w:ascii="Calibri" w:hAnsi="Calibri" w:cs="Calibri"/>
                <w:color w:val="000000"/>
                <w:sz w:val="18"/>
                <w:szCs w:val="18"/>
              </w:rPr>
            </w:pPr>
            <w:r w:rsidRPr="00B23B86">
              <w:rPr>
                <w:rFonts w:ascii="Calibri" w:hAnsi="Calibri" w:cs="Calibri"/>
                <w:color w:val="000000"/>
                <w:sz w:val="18"/>
                <w:szCs w:val="18"/>
              </w:rPr>
              <w:t>Total</w:t>
            </w:r>
          </w:p>
        </w:tc>
      </w:tr>
      <w:tr w:rsidR="00B23B86" w:rsidRPr="00B23B86" w:rsidTr="00F77DB4">
        <w:trPr>
          <w:gridAfter w:val="1"/>
          <w:wAfter w:w="37"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23B86" w:rsidRPr="00B23B86" w:rsidRDefault="00B23B86" w:rsidP="00B23B86">
            <w:pPr>
              <w:rPr>
                <w:rFonts w:ascii="Calibri" w:hAnsi="Calibri" w:cs="Calibri"/>
                <w:color w:val="000000"/>
                <w:sz w:val="18"/>
                <w:szCs w:val="18"/>
              </w:rPr>
            </w:pPr>
            <w:r w:rsidRPr="00B23B86">
              <w:rPr>
                <w:rFonts w:ascii="Calibri" w:hAnsi="Calibri" w:cs="Calibri"/>
                <w:color w:val="000000"/>
                <w:sz w:val="18"/>
                <w:szCs w:val="18"/>
              </w:rPr>
              <w:t>Custos totais</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-4.873</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-13.536</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-14.492</w:t>
            </w:r>
          </w:p>
        </w:tc>
        <w:tc>
          <w:tcPr>
            <w:tcW w:w="708"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-11.259</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-10.603</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-4.480</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-4.438</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-4.396</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-4.355</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-4.064</w:t>
            </w:r>
          </w:p>
        </w:tc>
        <w:tc>
          <w:tcPr>
            <w:tcW w:w="733"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-76.495</w:t>
            </w:r>
          </w:p>
        </w:tc>
      </w:tr>
      <w:tr w:rsidR="00B23B86" w:rsidRPr="00B23B86" w:rsidTr="00F77DB4">
        <w:trPr>
          <w:gridAfter w:val="1"/>
          <w:wAfter w:w="37"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23B86" w:rsidRPr="00B23B86" w:rsidRDefault="00B23B86" w:rsidP="00B23B86">
            <w:pPr>
              <w:rPr>
                <w:rFonts w:ascii="Calibri" w:hAnsi="Calibri" w:cs="Calibri"/>
                <w:color w:val="000000"/>
                <w:sz w:val="18"/>
                <w:szCs w:val="18"/>
              </w:rPr>
            </w:pPr>
            <w:r w:rsidRPr="00B23B86">
              <w:rPr>
                <w:rFonts w:ascii="Calibri" w:hAnsi="Calibri" w:cs="Calibri"/>
                <w:color w:val="000000"/>
                <w:sz w:val="18"/>
                <w:szCs w:val="18"/>
              </w:rPr>
              <w:t>Benefícios</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3.419</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11.231</w:t>
            </w:r>
          </w:p>
        </w:tc>
        <w:tc>
          <w:tcPr>
            <w:tcW w:w="708"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14.393</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16.939</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18.761</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18.761</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18.761</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18.761</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18.761</w:t>
            </w:r>
          </w:p>
        </w:tc>
        <w:tc>
          <w:tcPr>
            <w:tcW w:w="733"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139.787</w:t>
            </w:r>
          </w:p>
        </w:tc>
      </w:tr>
      <w:tr w:rsidR="00B23B86" w:rsidRPr="00B23B86" w:rsidTr="00F77DB4">
        <w:trPr>
          <w:gridAfter w:val="1"/>
          <w:wAfter w:w="37"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23B86" w:rsidRPr="00B23B86" w:rsidRDefault="00B23B86" w:rsidP="00B23B86">
            <w:pPr>
              <w:rPr>
                <w:rFonts w:ascii="Calibri" w:hAnsi="Calibri" w:cs="Calibri"/>
                <w:color w:val="000000"/>
                <w:sz w:val="18"/>
                <w:szCs w:val="18"/>
              </w:rPr>
            </w:pPr>
            <w:r w:rsidRPr="00B23B86">
              <w:rPr>
                <w:rFonts w:ascii="Calibri" w:hAnsi="Calibri" w:cs="Calibri"/>
                <w:color w:val="000000"/>
                <w:sz w:val="18"/>
                <w:szCs w:val="18"/>
              </w:rPr>
              <w:t>Fluxo</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-4.873</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-10.118</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-3.261</w:t>
            </w:r>
          </w:p>
        </w:tc>
        <w:tc>
          <w:tcPr>
            <w:tcW w:w="708"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3.134</w:t>
            </w:r>
          </w:p>
        </w:tc>
        <w:tc>
          <w:tcPr>
            <w:tcW w:w="709"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6.336</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14.282</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14.323</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14.365</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14.406</w:t>
            </w:r>
          </w:p>
        </w:tc>
        <w:tc>
          <w:tcPr>
            <w:tcW w:w="642"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14.697</w:t>
            </w:r>
          </w:p>
        </w:tc>
        <w:tc>
          <w:tcPr>
            <w:tcW w:w="733" w:type="dxa"/>
            <w:tcBorders>
              <w:top w:val="nil"/>
              <w:left w:val="nil"/>
              <w:bottom w:val="single" w:sz="4" w:space="0" w:color="auto"/>
              <w:right w:val="single" w:sz="4" w:space="0" w:color="auto"/>
            </w:tcBorders>
            <w:shd w:val="clear" w:color="auto" w:fill="auto"/>
            <w:noWrap/>
            <w:vAlign w:val="bottom"/>
            <w:hideMark/>
          </w:tcPr>
          <w:p w:rsidR="00B23B86" w:rsidRPr="00B23B86" w:rsidRDefault="00B23B86" w:rsidP="00B23B86">
            <w:pPr>
              <w:jc w:val="right"/>
              <w:rPr>
                <w:rFonts w:ascii="Calibri" w:hAnsi="Calibri" w:cs="Calibri"/>
                <w:color w:val="000000"/>
                <w:sz w:val="18"/>
                <w:szCs w:val="18"/>
              </w:rPr>
            </w:pPr>
            <w:r w:rsidRPr="00B23B86">
              <w:rPr>
                <w:rFonts w:ascii="Calibri" w:hAnsi="Calibri" w:cs="Calibri"/>
                <w:color w:val="000000"/>
                <w:sz w:val="18"/>
                <w:szCs w:val="18"/>
              </w:rPr>
              <w:t>63.292</w:t>
            </w:r>
          </w:p>
        </w:tc>
      </w:tr>
      <w:tr w:rsidR="00B23B86" w:rsidRPr="00B23B86" w:rsidTr="00F77DB4">
        <w:trPr>
          <w:gridAfter w:val="1"/>
          <w:wAfter w:w="37" w:type="dxa"/>
          <w:trHeight w:val="288"/>
        </w:trPr>
        <w:tc>
          <w:tcPr>
            <w:tcW w:w="2552" w:type="dxa"/>
            <w:gridSpan w:val="3"/>
            <w:tcBorders>
              <w:top w:val="single" w:sz="4" w:space="0" w:color="auto"/>
              <w:left w:val="nil"/>
              <w:bottom w:val="nil"/>
              <w:right w:val="nil"/>
            </w:tcBorders>
            <w:shd w:val="clear" w:color="auto" w:fill="auto"/>
            <w:noWrap/>
            <w:vAlign w:val="bottom"/>
            <w:hideMark/>
          </w:tcPr>
          <w:p w:rsidR="00B23B86" w:rsidRPr="00B23B86" w:rsidRDefault="00B23B86" w:rsidP="00B23B86">
            <w:pPr>
              <w:jc w:val="center"/>
              <w:rPr>
                <w:rFonts w:ascii="Calibri" w:hAnsi="Calibri" w:cs="Calibri"/>
                <w:b/>
                <w:bCs/>
                <w:color w:val="000000"/>
                <w:sz w:val="18"/>
                <w:szCs w:val="18"/>
              </w:rPr>
            </w:pPr>
            <w:r w:rsidRPr="00B23B86">
              <w:rPr>
                <w:rFonts w:ascii="Calibri" w:hAnsi="Calibri" w:cs="Calibri"/>
                <w:b/>
                <w:bCs/>
                <w:color w:val="000000"/>
                <w:sz w:val="18"/>
                <w:szCs w:val="18"/>
              </w:rPr>
              <w:t>Valor Presente Líquido</w:t>
            </w:r>
          </w:p>
        </w:tc>
        <w:tc>
          <w:tcPr>
            <w:tcW w:w="709" w:type="dxa"/>
            <w:tcBorders>
              <w:top w:val="nil"/>
              <w:left w:val="nil"/>
              <w:bottom w:val="nil"/>
              <w:right w:val="nil"/>
            </w:tcBorders>
            <w:shd w:val="clear" w:color="auto" w:fill="auto"/>
            <w:noWrap/>
            <w:vAlign w:val="bottom"/>
            <w:hideMark/>
          </w:tcPr>
          <w:p w:rsidR="00B23B86" w:rsidRPr="00B23B86" w:rsidRDefault="00B23B86" w:rsidP="00B23B86">
            <w:pPr>
              <w:rPr>
                <w:rFonts w:ascii="Calibri" w:hAnsi="Calibri" w:cs="Calibri"/>
                <w:b/>
                <w:bCs/>
                <w:color w:val="000000"/>
                <w:sz w:val="18"/>
                <w:szCs w:val="18"/>
              </w:rPr>
            </w:pPr>
            <w:r w:rsidRPr="00B23B86">
              <w:rPr>
                <w:rFonts w:ascii="Calibri" w:hAnsi="Calibri" w:cs="Calibri"/>
                <w:b/>
                <w:bCs/>
                <w:color w:val="000000"/>
                <w:sz w:val="18"/>
                <w:szCs w:val="18"/>
              </w:rPr>
              <w:t xml:space="preserve">        20.293 </w:t>
            </w:r>
          </w:p>
        </w:tc>
        <w:tc>
          <w:tcPr>
            <w:tcW w:w="708" w:type="dxa"/>
            <w:tcBorders>
              <w:top w:val="nil"/>
              <w:left w:val="nil"/>
              <w:bottom w:val="nil"/>
              <w:right w:val="nil"/>
            </w:tcBorders>
            <w:shd w:val="clear" w:color="auto" w:fill="auto"/>
            <w:noWrap/>
            <w:vAlign w:val="bottom"/>
            <w:hideMark/>
          </w:tcPr>
          <w:p w:rsidR="00B23B86" w:rsidRPr="00B23B86" w:rsidRDefault="00B23B86" w:rsidP="00B23B86">
            <w:pPr>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733"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r>
      <w:tr w:rsidR="00B23B86" w:rsidRPr="00B23B86" w:rsidTr="00F77DB4">
        <w:trPr>
          <w:gridAfter w:val="1"/>
          <w:wAfter w:w="37" w:type="dxa"/>
          <w:trHeight w:val="288"/>
        </w:trPr>
        <w:tc>
          <w:tcPr>
            <w:tcW w:w="2552" w:type="dxa"/>
            <w:gridSpan w:val="3"/>
            <w:tcBorders>
              <w:top w:val="nil"/>
              <w:left w:val="nil"/>
              <w:bottom w:val="nil"/>
              <w:right w:val="nil"/>
            </w:tcBorders>
            <w:shd w:val="clear" w:color="auto" w:fill="auto"/>
            <w:noWrap/>
            <w:vAlign w:val="bottom"/>
            <w:hideMark/>
          </w:tcPr>
          <w:p w:rsidR="00B23B86" w:rsidRPr="00B23B86" w:rsidRDefault="00B23B86" w:rsidP="00B23B86">
            <w:pPr>
              <w:jc w:val="center"/>
              <w:rPr>
                <w:rFonts w:ascii="Calibri" w:hAnsi="Calibri" w:cs="Calibri"/>
                <w:b/>
                <w:bCs/>
                <w:color w:val="000000"/>
                <w:sz w:val="18"/>
                <w:szCs w:val="18"/>
              </w:rPr>
            </w:pPr>
            <w:r w:rsidRPr="00B23B86">
              <w:rPr>
                <w:rFonts w:ascii="Calibri" w:hAnsi="Calibri" w:cs="Calibri"/>
                <w:b/>
                <w:bCs/>
                <w:color w:val="000000"/>
                <w:sz w:val="18"/>
                <w:szCs w:val="18"/>
              </w:rPr>
              <w:t>TIR</w:t>
            </w:r>
          </w:p>
        </w:tc>
        <w:tc>
          <w:tcPr>
            <w:tcW w:w="709" w:type="dxa"/>
            <w:tcBorders>
              <w:top w:val="nil"/>
              <w:left w:val="nil"/>
              <w:bottom w:val="nil"/>
              <w:right w:val="nil"/>
            </w:tcBorders>
            <w:shd w:val="clear" w:color="auto" w:fill="auto"/>
            <w:noWrap/>
            <w:vAlign w:val="bottom"/>
            <w:hideMark/>
          </w:tcPr>
          <w:p w:rsidR="00B23B86" w:rsidRPr="00B23B86" w:rsidRDefault="00B23B86" w:rsidP="00B23B86">
            <w:pPr>
              <w:jc w:val="right"/>
              <w:rPr>
                <w:rFonts w:ascii="Calibri" w:hAnsi="Calibri" w:cs="Calibri"/>
                <w:b/>
                <w:bCs/>
                <w:color w:val="000000"/>
                <w:sz w:val="18"/>
                <w:szCs w:val="18"/>
              </w:rPr>
            </w:pPr>
            <w:r w:rsidRPr="00B23B86">
              <w:rPr>
                <w:rFonts w:ascii="Calibri" w:hAnsi="Calibri" w:cs="Calibri"/>
                <w:b/>
                <w:bCs/>
                <w:color w:val="000000"/>
                <w:sz w:val="18"/>
                <w:szCs w:val="18"/>
              </w:rPr>
              <w:t>32,3%</w:t>
            </w:r>
          </w:p>
        </w:tc>
        <w:tc>
          <w:tcPr>
            <w:tcW w:w="708" w:type="dxa"/>
            <w:tcBorders>
              <w:top w:val="nil"/>
              <w:left w:val="nil"/>
              <w:bottom w:val="nil"/>
              <w:right w:val="nil"/>
            </w:tcBorders>
            <w:shd w:val="clear" w:color="auto" w:fill="auto"/>
            <w:noWrap/>
            <w:vAlign w:val="bottom"/>
            <w:hideMark/>
          </w:tcPr>
          <w:p w:rsidR="00B23B86" w:rsidRPr="00B23B86" w:rsidRDefault="00B23B86" w:rsidP="00B23B86">
            <w:pPr>
              <w:jc w:val="right"/>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642"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c>
          <w:tcPr>
            <w:tcW w:w="733" w:type="dxa"/>
            <w:tcBorders>
              <w:top w:val="nil"/>
              <w:left w:val="nil"/>
              <w:bottom w:val="nil"/>
              <w:right w:val="nil"/>
            </w:tcBorders>
            <w:shd w:val="clear" w:color="auto" w:fill="auto"/>
            <w:noWrap/>
            <w:vAlign w:val="bottom"/>
            <w:hideMark/>
          </w:tcPr>
          <w:p w:rsidR="00B23B86" w:rsidRPr="00B23B86" w:rsidRDefault="00B23B86" w:rsidP="00B23B86">
            <w:pPr>
              <w:rPr>
                <w:sz w:val="20"/>
                <w:szCs w:val="20"/>
              </w:rPr>
            </w:pPr>
          </w:p>
        </w:tc>
      </w:tr>
      <w:tr w:rsidR="00B23B86" w:rsidRPr="00B23B86" w:rsidTr="00F77DB4">
        <w:trPr>
          <w:trHeight w:val="288"/>
        </w:trPr>
        <w:tc>
          <w:tcPr>
            <w:tcW w:w="8658" w:type="dxa"/>
            <w:gridSpan w:val="13"/>
            <w:tcBorders>
              <w:top w:val="nil"/>
              <w:left w:val="nil"/>
              <w:bottom w:val="nil"/>
              <w:right w:val="nil"/>
            </w:tcBorders>
            <w:shd w:val="clear" w:color="auto" w:fill="auto"/>
            <w:noWrap/>
            <w:vAlign w:val="center"/>
            <w:hideMark/>
          </w:tcPr>
          <w:p w:rsidR="00B23B86" w:rsidRPr="00B23B86" w:rsidRDefault="00B23B86" w:rsidP="00B23B86">
            <w:pPr>
              <w:rPr>
                <w:rFonts w:ascii="Calibri" w:hAnsi="Calibri" w:cs="Calibri"/>
                <w:sz w:val="18"/>
                <w:szCs w:val="18"/>
              </w:rPr>
            </w:pPr>
            <w:r w:rsidRPr="00B23B86">
              <w:rPr>
                <w:rFonts w:ascii="Calibri" w:hAnsi="Calibri" w:cs="Calibri"/>
                <w:sz w:val="18"/>
                <w:szCs w:val="18"/>
              </w:rPr>
              <w:t>Fonte: Fonte: Cálculos do autor para o Cenário Básico da Análise Custo-Benefício</w:t>
            </w:r>
          </w:p>
        </w:tc>
      </w:tr>
    </w:tbl>
    <w:p w:rsidR="00E8628A" w:rsidRDefault="00E8628A" w:rsidP="00B23B86">
      <w:pPr>
        <w:pStyle w:val="ListParagraph"/>
        <w:keepNext/>
        <w:suppressAutoHyphens/>
        <w:ind w:left="0"/>
        <w:jc w:val="both"/>
        <w:outlineLvl w:val="3"/>
        <w:rPr>
          <w:bCs/>
          <w:lang w:eastAsia="es-ES"/>
        </w:rPr>
      </w:pPr>
    </w:p>
    <w:p w:rsidR="005E3342" w:rsidRDefault="00333252" w:rsidP="007266FB">
      <w:pPr>
        <w:pStyle w:val="ListParagraph"/>
        <w:keepNext/>
        <w:numPr>
          <w:ilvl w:val="1"/>
          <w:numId w:val="2"/>
        </w:numPr>
        <w:suppressAutoHyphens/>
        <w:spacing w:before="120"/>
        <w:ind w:left="284" w:hanging="567"/>
        <w:jc w:val="both"/>
        <w:outlineLvl w:val="3"/>
        <w:rPr>
          <w:bCs/>
          <w:lang w:eastAsia="es-ES"/>
        </w:rPr>
      </w:pPr>
      <w:r w:rsidRPr="00583265">
        <w:rPr>
          <w:b/>
          <w:bCs/>
          <w:lang w:eastAsia="es-ES"/>
        </w:rPr>
        <w:t xml:space="preserve">Cenário 3: </w:t>
      </w:r>
      <w:r w:rsidR="005E3342" w:rsidRPr="00583265">
        <w:rPr>
          <w:b/>
          <w:bCs/>
          <w:lang w:eastAsia="es-ES"/>
        </w:rPr>
        <w:t>Redução de Benefícios</w:t>
      </w:r>
      <w:r w:rsidR="005E3342">
        <w:rPr>
          <w:bCs/>
          <w:lang w:eastAsia="es-ES"/>
        </w:rPr>
        <w:t xml:space="preserve">. </w:t>
      </w:r>
      <w:r w:rsidR="00411420">
        <w:rPr>
          <w:bCs/>
          <w:lang w:eastAsia="es-ES"/>
        </w:rPr>
        <w:t>A</w:t>
      </w:r>
      <w:r w:rsidR="000F619D">
        <w:rPr>
          <w:bCs/>
          <w:lang w:eastAsia="es-ES"/>
        </w:rPr>
        <w:t xml:space="preserve"> economia com o novo sistema de folha de pagamento e o aumento da arrecadação com o novo sistema de fiscalização do trânsito de mercadorias </w:t>
      </w:r>
      <w:r w:rsidR="005E3342">
        <w:rPr>
          <w:bCs/>
          <w:lang w:eastAsia="es-ES"/>
        </w:rPr>
        <w:t>r</w:t>
      </w:r>
      <w:r w:rsidR="008A544B">
        <w:rPr>
          <w:bCs/>
          <w:lang w:eastAsia="es-ES"/>
        </w:rPr>
        <w:t>epresenta</w:t>
      </w:r>
      <w:r w:rsidR="000F619D">
        <w:rPr>
          <w:bCs/>
          <w:lang w:eastAsia="es-ES"/>
        </w:rPr>
        <w:t>m</w:t>
      </w:r>
      <w:r w:rsidR="008A544B">
        <w:rPr>
          <w:bCs/>
          <w:lang w:eastAsia="es-ES"/>
        </w:rPr>
        <w:t xml:space="preserve">, no cenário básico, </w:t>
      </w:r>
      <w:r w:rsidR="00B62CB8">
        <w:rPr>
          <w:bCs/>
          <w:lang w:eastAsia="es-ES"/>
        </w:rPr>
        <w:t>63</w:t>
      </w:r>
      <w:r w:rsidR="000F619D">
        <w:rPr>
          <w:bCs/>
          <w:lang w:eastAsia="es-ES"/>
        </w:rPr>
        <w:t xml:space="preserve">% e </w:t>
      </w:r>
      <w:r w:rsidR="00B62CB8">
        <w:rPr>
          <w:bCs/>
          <w:lang w:eastAsia="es-ES"/>
        </w:rPr>
        <w:t>29</w:t>
      </w:r>
      <w:r w:rsidR="000F619D">
        <w:rPr>
          <w:bCs/>
          <w:lang w:eastAsia="es-ES"/>
        </w:rPr>
        <w:t>%, respectivamente,</w:t>
      </w:r>
      <w:r w:rsidR="005E3342">
        <w:rPr>
          <w:bCs/>
          <w:lang w:eastAsia="es-ES"/>
        </w:rPr>
        <w:t xml:space="preserve"> do total dos benefícios medidos. </w:t>
      </w:r>
      <w:r w:rsidR="00301567">
        <w:rPr>
          <w:bCs/>
          <w:lang w:eastAsia="es-ES"/>
        </w:rPr>
        <w:t xml:space="preserve">No cenário básico </w:t>
      </w:r>
      <w:r>
        <w:rPr>
          <w:bCs/>
          <w:lang w:eastAsia="es-ES"/>
        </w:rPr>
        <w:t>assumiu-se</w:t>
      </w:r>
      <w:r w:rsidR="00F47855">
        <w:rPr>
          <w:bCs/>
          <w:lang w:eastAsia="es-ES"/>
        </w:rPr>
        <w:t>, conservadoramente,</w:t>
      </w:r>
      <w:r>
        <w:rPr>
          <w:bCs/>
          <w:lang w:eastAsia="es-ES"/>
        </w:rPr>
        <w:t xml:space="preserve"> </w:t>
      </w:r>
      <w:r w:rsidR="00411420">
        <w:rPr>
          <w:bCs/>
          <w:lang w:eastAsia="es-ES"/>
        </w:rPr>
        <w:t xml:space="preserve">uma redução </w:t>
      </w:r>
      <w:r w:rsidR="00F47855">
        <w:rPr>
          <w:bCs/>
          <w:lang w:eastAsia="es-ES"/>
        </w:rPr>
        <w:t xml:space="preserve">de 0,4% na folha de pagamento e um crescimento de 8,35% da arrecadação </w:t>
      </w:r>
      <w:r w:rsidR="00411420">
        <w:rPr>
          <w:bCs/>
          <w:lang w:eastAsia="es-ES"/>
        </w:rPr>
        <w:t>d</w:t>
      </w:r>
      <w:r w:rsidR="00B62CB8">
        <w:rPr>
          <w:bCs/>
          <w:lang w:eastAsia="es-ES"/>
        </w:rPr>
        <w:t>o</w:t>
      </w:r>
      <w:r w:rsidR="00F47855">
        <w:rPr>
          <w:bCs/>
          <w:lang w:eastAsia="es-ES"/>
        </w:rPr>
        <w:t xml:space="preserve"> trânsito ao fim do programa. </w:t>
      </w:r>
      <w:r>
        <w:rPr>
          <w:bCs/>
          <w:lang w:eastAsia="es-ES"/>
        </w:rPr>
        <w:t>N</w:t>
      </w:r>
      <w:r w:rsidR="00583265">
        <w:rPr>
          <w:bCs/>
          <w:lang w:eastAsia="es-ES"/>
        </w:rPr>
        <w:t>o cenário 3, assume-se uma</w:t>
      </w:r>
      <w:r w:rsidR="00610C60">
        <w:rPr>
          <w:bCs/>
          <w:lang w:eastAsia="es-ES"/>
        </w:rPr>
        <w:t xml:space="preserve"> </w:t>
      </w:r>
      <w:r w:rsidR="00B53B52">
        <w:rPr>
          <w:bCs/>
          <w:lang w:eastAsia="es-ES"/>
        </w:rPr>
        <w:t xml:space="preserve">redução </w:t>
      </w:r>
      <w:r w:rsidR="00612D3A">
        <w:rPr>
          <w:bCs/>
          <w:lang w:eastAsia="es-ES"/>
        </w:rPr>
        <w:t xml:space="preserve">dos </w:t>
      </w:r>
      <w:r w:rsidR="00F47855">
        <w:rPr>
          <w:bCs/>
          <w:lang w:eastAsia="es-ES"/>
        </w:rPr>
        <w:t xml:space="preserve">todos os </w:t>
      </w:r>
      <w:r w:rsidR="00612D3A">
        <w:rPr>
          <w:bCs/>
          <w:lang w:eastAsia="es-ES"/>
        </w:rPr>
        <w:t xml:space="preserve">benefícios </w:t>
      </w:r>
      <w:r w:rsidR="008A544B">
        <w:rPr>
          <w:bCs/>
          <w:lang w:eastAsia="es-ES"/>
        </w:rPr>
        <w:t>em 30%</w:t>
      </w:r>
      <w:r w:rsidR="00F47855">
        <w:rPr>
          <w:bCs/>
          <w:lang w:eastAsia="es-ES"/>
        </w:rPr>
        <w:t xml:space="preserve">. </w:t>
      </w:r>
    </w:p>
    <w:p w:rsidR="00CC1577" w:rsidRDefault="00CC1577" w:rsidP="00CC1577">
      <w:pPr>
        <w:pStyle w:val="ListParagraph"/>
        <w:keepNext/>
        <w:suppressAutoHyphens/>
        <w:spacing w:before="120"/>
        <w:ind w:left="284"/>
        <w:jc w:val="both"/>
        <w:outlineLvl w:val="3"/>
        <w:rPr>
          <w:bCs/>
          <w:lang w:eastAsia="es-ES"/>
        </w:rPr>
      </w:pPr>
    </w:p>
    <w:p w:rsidR="006114AD" w:rsidRDefault="0082059D" w:rsidP="007266FB">
      <w:pPr>
        <w:pStyle w:val="ListParagraph"/>
        <w:keepNext/>
        <w:numPr>
          <w:ilvl w:val="1"/>
          <w:numId w:val="2"/>
        </w:numPr>
        <w:suppressAutoHyphens/>
        <w:spacing w:before="120"/>
        <w:ind w:left="284" w:hanging="567"/>
        <w:jc w:val="both"/>
        <w:outlineLvl w:val="3"/>
        <w:rPr>
          <w:bCs/>
          <w:lang w:eastAsia="es-ES"/>
        </w:rPr>
      </w:pPr>
      <w:r w:rsidRPr="00CC1577">
        <w:rPr>
          <w:bCs/>
          <w:lang w:eastAsia="es-ES"/>
        </w:rPr>
        <w:t xml:space="preserve">Neste cenário, a TIR passa para </w:t>
      </w:r>
      <w:r w:rsidR="00347411">
        <w:rPr>
          <w:bCs/>
          <w:lang w:eastAsia="es-ES"/>
        </w:rPr>
        <w:t>21</w:t>
      </w:r>
      <w:r w:rsidRPr="00CC1577">
        <w:rPr>
          <w:bCs/>
          <w:lang w:eastAsia="es-ES"/>
        </w:rPr>
        <w:t xml:space="preserve">%, o VPL reduz para US$ </w:t>
      </w:r>
      <w:r w:rsidR="00347411">
        <w:rPr>
          <w:bCs/>
          <w:lang w:eastAsia="es-ES"/>
        </w:rPr>
        <w:t>8</w:t>
      </w:r>
      <w:r w:rsidR="00BA69DB">
        <w:rPr>
          <w:bCs/>
          <w:lang w:eastAsia="es-ES"/>
        </w:rPr>
        <w:t>,8</w:t>
      </w:r>
      <w:r w:rsidRPr="00CC1577">
        <w:rPr>
          <w:bCs/>
          <w:lang w:eastAsia="es-ES"/>
        </w:rPr>
        <w:t xml:space="preserve"> milhões, </w:t>
      </w:r>
      <w:r w:rsidR="000E768E" w:rsidRPr="00CC1577">
        <w:rPr>
          <w:bCs/>
          <w:lang w:eastAsia="es-ES"/>
        </w:rPr>
        <w:t xml:space="preserve">o fluxo se torna positivo no </w:t>
      </w:r>
      <w:r w:rsidR="00347411">
        <w:rPr>
          <w:bCs/>
          <w:lang w:eastAsia="es-ES"/>
        </w:rPr>
        <w:t>quarto</w:t>
      </w:r>
      <w:r w:rsidR="000E768E" w:rsidRPr="00CC1577">
        <w:rPr>
          <w:bCs/>
          <w:lang w:eastAsia="es-ES"/>
        </w:rPr>
        <w:t xml:space="preserve"> ano, mas o fluxo acumulado (retorno) só fica positivo a partir do </w:t>
      </w:r>
      <w:r w:rsidR="00347411">
        <w:rPr>
          <w:bCs/>
          <w:lang w:eastAsia="es-ES"/>
        </w:rPr>
        <w:t>sétimo</w:t>
      </w:r>
      <w:r w:rsidR="000E768E" w:rsidRPr="00CC1577">
        <w:rPr>
          <w:bCs/>
          <w:lang w:eastAsia="es-ES"/>
        </w:rPr>
        <w:t xml:space="preserve"> ano.</w:t>
      </w:r>
    </w:p>
    <w:p w:rsidR="00F47855" w:rsidRDefault="00F47855" w:rsidP="00F47855">
      <w:pPr>
        <w:pStyle w:val="ListParagraph"/>
        <w:rPr>
          <w:bCs/>
          <w:lang w:eastAsia="es-ES"/>
        </w:rPr>
      </w:pPr>
    </w:p>
    <w:tbl>
      <w:tblPr>
        <w:tblW w:w="8657" w:type="dxa"/>
        <w:tblCellMar>
          <w:left w:w="70" w:type="dxa"/>
          <w:right w:w="70" w:type="dxa"/>
        </w:tblCellMar>
        <w:tblLook w:val="04A0" w:firstRow="1" w:lastRow="0" w:firstColumn="1" w:lastColumn="0" w:noHBand="0" w:noVBand="1"/>
      </w:tblPr>
      <w:tblGrid>
        <w:gridCol w:w="1134"/>
        <w:gridCol w:w="709"/>
        <w:gridCol w:w="709"/>
        <w:gridCol w:w="709"/>
        <w:gridCol w:w="708"/>
        <w:gridCol w:w="709"/>
        <w:gridCol w:w="642"/>
        <w:gridCol w:w="642"/>
        <w:gridCol w:w="642"/>
        <w:gridCol w:w="642"/>
        <w:gridCol w:w="642"/>
        <w:gridCol w:w="733"/>
        <w:gridCol w:w="36"/>
      </w:tblGrid>
      <w:tr w:rsidR="00347411" w:rsidRPr="00347411" w:rsidTr="00347411">
        <w:trPr>
          <w:trHeight w:val="288"/>
        </w:trPr>
        <w:tc>
          <w:tcPr>
            <w:tcW w:w="8657" w:type="dxa"/>
            <w:gridSpan w:val="13"/>
            <w:tcBorders>
              <w:top w:val="nil"/>
              <w:left w:val="nil"/>
              <w:bottom w:val="nil"/>
              <w:right w:val="nil"/>
            </w:tcBorders>
            <w:shd w:val="clear" w:color="auto" w:fill="auto"/>
            <w:noWrap/>
            <w:vAlign w:val="bottom"/>
            <w:hideMark/>
          </w:tcPr>
          <w:p w:rsidR="00347411" w:rsidRPr="00347411" w:rsidRDefault="00347411" w:rsidP="00347411">
            <w:pPr>
              <w:rPr>
                <w:rFonts w:ascii="Calibri" w:hAnsi="Calibri" w:cs="Calibri"/>
                <w:b/>
                <w:bCs/>
                <w:color w:val="000000"/>
                <w:sz w:val="22"/>
                <w:szCs w:val="22"/>
              </w:rPr>
            </w:pPr>
            <w:r w:rsidRPr="00347411">
              <w:rPr>
                <w:rFonts w:ascii="Calibri" w:hAnsi="Calibri" w:cs="Calibri"/>
                <w:b/>
                <w:bCs/>
                <w:color w:val="000000"/>
                <w:sz w:val="22"/>
                <w:szCs w:val="22"/>
              </w:rPr>
              <w:t>Tabela 12: Cenário 3 - Análise Custo-Benefício - Redução de Benefícios em 30% (Em US$ 1000)</w:t>
            </w:r>
          </w:p>
        </w:tc>
      </w:tr>
      <w:tr w:rsidR="00347411" w:rsidRPr="00347411" w:rsidTr="00347411">
        <w:trPr>
          <w:gridAfter w:val="1"/>
          <w:wAfter w:w="36" w:type="dxa"/>
          <w:trHeight w:val="288"/>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5</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6</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7</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8</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9</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ano 10</w:t>
            </w: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Total</w:t>
            </w:r>
          </w:p>
        </w:tc>
      </w:tr>
      <w:tr w:rsidR="00347411" w:rsidRPr="00347411" w:rsidTr="00347411">
        <w:trPr>
          <w:gridAfter w:val="1"/>
          <w:wAfter w:w="36"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Custos totais</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-4.873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-13.629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-14.852 </w:t>
            </w:r>
          </w:p>
        </w:tc>
        <w:tc>
          <w:tcPr>
            <w:tcW w:w="708"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-11.877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-11.387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-5.402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-5.360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-5.318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-5.277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-4.923 </w:t>
            </w:r>
          </w:p>
        </w:tc>
        <w:tc>
          <w:tcPr>
            <w:tcW w:w="733"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-82.897 </w:t>
            </w:r>
          </w:p>
        </w:tc>
      </w:tr>
      <w:tr w:rsidR="00347411" w:rsidRPr="00347411" w:rsidTr="00347411">
        <w:trPr>
          <w:gridAfter w:val="1"/>
          <w:wAfter w:w="36"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Benefícios</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0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2.991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9.827 </w:t>
            </w:r>
          </w:p>
        </w:tc>
        <w:tc>
          <w:tcPr>
            <w:tcW w:w="708"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12.594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14.822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16.416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16.416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16.416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16.416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16.416 </w:t>
            </w:r>
          </w:p>
        </w:tc>
        <w:tc>
          <w:tcPr>
            <w:tcW w:w="733"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122.314 </w:t>
            </w:r>
          </w:p>
        </w:tc>
      </w:tr>
      <w:tr w:rsidR="00347411" w:rsidRPr="00347411" w:rsidTr="00347411">
        <w:trPr>
          <w:gridAfter w:val="1"/>
          <w:wAfter w:w="36"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Fluxo</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-4.873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-10.637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-5.025 </w:t>
            </w:r>
          </w:p>
        </w:tc>
        <w:tc>
          <w:tcPr>
            <w:tcW w:w="708"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717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3.435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11.014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11.056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11.097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11.139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11.492 </w:t>
            </w:r>
          </w:p>
        </w:tc>
        <w:tc>
          <w:tcPr>
            <w:tcW w:w="733"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39.417 </w:t>
            </w:r>
          </w:p>
        </w:tc>
      </w:tr>
      <w:tr w:rsidR="00347411" w:rsidRPr="00347411" w:rsidTr="00347411">
        <w:trPr>
          <w:gridAfter w:val="1"/>
          <w:wAfter w:w="36" w:type="dxa"/>
          <w:trHeight w:val="288"/>
        </w:trPr>
        <w:tc>
          <w:tcPr>
            <w:tcW w:w="2552" w:type="dxa"/>
            <w:gridSpan w:val="3"/>
            <w:tcBorders>
              <w:top w:val="single" w:sz="4" w:space="0" w:color="auto"/>
              <w:left w:val="nil"/>
              <w:bottom w:val="nil"/>
              <w:right w:val="nil"/>
            </w:tcBorders>
            <w:shd w:val="clear" w:color="auto" w:fill="auto"/>
            <w:noWrap/>
            <w:vAlign w:val="bottom"/>
            <w:hideMark/>
          </w:tcPr>
          <w:p w:rsidR="00347411" w:rsidRPr="00347411" w:rsidRDefault="00347411" w:rsidP="00347411">
            <w:pPr>
              <w:jc w:val="center"/>
              <w:rPr>
                <w:rFonts w:ascii="Calibri" w:hAnsi="Calibri" w:cs="Calibri"/>
                <w:b/>
                <w:bCs/>
                <w:color w:val="000000"/>
                <w:sz w:val="18"/>
                <w:szCs w:val="18"/>
              </w:rPr>
            </w:pPr>
            <w:r w:rsidRPr="00347411">
              <w:rPr>
                <w:rFonts w:ascii="Calibri" w:hAnsi="Calibri" w:cs="Calibri"/>
                <w:b/>
                <w:bCs/>
                <w:color w:val="000000"/>
                <w:sz w:val="18"/>
                <w:szCs w:val="18"/>
              </w:rPr>
              <w:t>Valor Presente Líquido</w:t>
            </w:r>
          </w:p>
        </w:tc>
        <w:tc>
          <w:tcPr>
            <w:tcW w:w="709" w:type="dxa"/>
            <w:tcBorders>
              <w:top w:val="nil"/>
              <w:left w:val="nil"/>
              <w:bottom w:val="nil"/>
              <w:right w:val="nil"/>
            </w:tcBorders>
            <w:shd w:val="clear" w:color="auto" w:fill="auto"/>
            <w:noWrap/>
            <w:vAlign w:val="bottom"/>
            <w:hideMark/>
          </w:tcPr>
          <w:p w:rsidR="00347411" w:rsidRPr="00347411" w:rsidRDefault="00347411" w:rsidP="00347411">
            <w:pPr>
              <w:rPr>
                <w:rFonts w:ascii="Calibri" w:hAnsi="Calibri" w:cs="Calibri"/>
                <w:b/>
                <w:bCs/>
                <w:color w:val="000000"/>
                <w:sz w:val="18"/>
                <w:szCs w:val="18"/>
              </w:rPr>
            </w:pPr>
            <w:r w:rsidRPr="00347411">
              <w:rPr>
                <w:rFonts w:ascii="Calibri" w:hAnsi="Calibri" w:cs="Calibri"/>
                <w:b/>
                <w:bCs/>
                <w:color w:val="000000"/>
                <w:sz w:val="18"/>
                <w:szCs w:val="18"/>
              </w:rPr>
              <w:t xml:space="preserve">          8.778 </w:t>
            </w:r>
          </w:p>
        </w:tc>
        <w:tc>
          <w:tcPr>
            <w:tcW w:w="708" w:type="dxa"/>
            <w:tcBorders>
              <w:top w:val="nil"/>
              <w:left w:val="nil"/>
              <w:bottom w:val="nil"/>
              <w:right w:val="nil"/>
            </w:tcBorders>
            <w:shd w:val="clear" w:color="auto" w:fill="auto"/>
            <w:noWrap/>
            <w:vAlign w:val="bottom"/>
            <w:hideMark/>
          </w:tcPr>
          <w:p w:rsidR="00347411" w:rsidRPr="00347411" w:rsidRDefault="00347411" w:rsidP="00347411">
            <w:pPr>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733"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r>
      <w:tr w:rsidR="00347411" w:rsidRPr="00347411" w:rsidTr="00347411">
        <w:trPr>
          <w:gridAfter w:val="1"/>
          <w:wAfter w:w="36" w:type="dxa"/>
          <w:trHeight w:val="288"/>
        </w:trPr>
        <w:tc>
          <w:tcPr>
            <w:tcW w:w="2552" w:type="dxa"/>
            <w:gridSpan w:val="3"/>
            <w:tcBorders>
              <w:top w:val="nil"/>
              <w:left w:val="nil"/>
              <w:bottom w:val="nil"/>
              <w:right w:val="nil"/>
            </w:tcBorders>
            <w:shd w:val="clear" w:color="auto" w:fill="auto"/>
            <w:noWrap/>
            <w:vAlign w:val="bottom"/>
            <w:hideMark/>
          </w:tcPr>
          <w:p w:rsidR="00347411" w:rsidRPr="00347411" w:rsidRDefault="00347411" w:rsidP="00347411">
            <w:pPr>
              <w:jc w:val="center"/>
              <w:rPr>
                <w:rFonts w:ascii="Calibri" w:hAnsi="Calibri" w:cs="Calibri"/>
                <w:b/>
                <w:bCs/>
                <w:color w:val="000000"/>
                <w:sz w:val="18"/>
                <w:szCs w:val="18"/>
              </w:rPr>
            </w:pPr>
            <w:r w:rsidRPr="00347411">
              <w:rPr>
                <w:rFonts w:ascii="Calibri" w:hAnsi="Calibri" w:cs="Calibri"/>
                <w:b/>
                <w:bCs/>
                <w:color w:val="000000"/>
                <w:sz w:val="18"/>
                <w:szCs w:val="18"/>
              </w:rPr>
              <w:t>TIR</w:t>
            </w:r>
          </w:p>
        </w:tc>
        <w:tc>
          <w:tcPr>
            <w:tcW w:w="709" w:type="dxa"/>
            <w:tcBorders>
              <w:top w:val="nil"/>
              <w:left w:val="nil"/>
              <w:bottom w:val="nil"/>
              <w:right w:val="nil"/>
            </w:tcBorders>
            <w:shd w:val="clear" w:color="auto" w:fill="auto"/>
            <w:noWrap/>
            <w:vAlign w:val="bottom"/>
            <w:hideMark/>
          </w:tcPr>
          <w:p w:rsidR="00347411" w:rsidRPr="00347411" w:rsidRDefault="00347411" w:rsidP="00347411">
            <w:pPr>
              <w:jc w:val="right"/>
              <w:rPr>
                <w:rFonts w:ascii="Calibri" w:hAnsi="Calibri" w:cs="Calibri"/>
                <w:b/>
                <w:bCs/>
                <w:color w:val="000000"/>
                <w:sz w:val="18"/>
                <w:szCs w:val="18"/>
              </w:rPr>
            </w:pPr>
            <w:r w:rsidRPr="00347411">
              <w:rPr>
                <w:rFonts w:ascii="Calibri" w:hAnsi="Calibri" w:cs="Calibri"/>
                <w:b/>
                <w:bCs/>
                <w:color w:val="000000"/>
                <w:sz w:val="18"/>
                <w:szCs w:val="18"/>
              </w:rPr>
              <w:t>21,1%</w:t>
            </w:r>
          </w:p>
        </w:tc>
        <w:tc>
          <w:tcPr>
            <w:tcW w:w="708" w:type="dxa"/>
            <w:tcBorders>
              <w:top w:val="nil"/>
              <w:left w:val="nil"/>
              <w:bottom w:val="nil"/>
              <w:right w:val="nil"/>
            </w:tcBorders>
            <w:shd w:val="clear" w:color="auto" w:fill="auto"/>
            <w:noWrap/>
            <w:vAlign w:val="bottom"/>
            <w:hideMark/>
          </w:tcPr>
          <w:p w:rsidR="00347411" w:rsidRPr="00347411" w:rsidRDefault="00347411" w:rsidP="00347411">
            <w:pPr>
              <w:jc w:val="right"/>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733"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r>
      <w:tr w:rsidR="00347411" w:rsidRPr="00347411" w:rsidTr="00347411">
        <w:trPr>
          <w:trHeight w:val="288"/>
        </w:trPr>
        <w:tc>
          <w:tcPr>
            <w:tcW w:w="8657" w:type="dxa"/>
            <w:gridSpan w:val="13"/>
            <w:tcBorders>
              <w:top w:val="nil"/>
              <w:left w:val="nil"/>
              <w:bottom w:val="nil"/>
              <w:right w:val="nil"/>
            </w:tcBorders>
            <w:shd w:val="clear" w:color="auto" w:fill="auto"/>
            <w:noWrap/>
            <w:vAlign w:val="center"/>
            <w:hideMark/>
          </w:tcPr>
          <w:p w:rsidR="00347411" w:rsidRPr="00347411" w:rsidRDefault="00347411" w:rsidP="00347411">
            <w:pPr>
              <w:rPr>
                <w:rFonts w:ascii="Calibri" w:hAnsi="Calibri" w:cs="Calibri"/>
                <w:sz w:val="18"/>
                <w:szCs w:val="18"/>
              </w:rPr>
            </w:pPr>
            <w:r w:rsidRPr="00347411">
              <w:rPr>
                <w:rFonts w:ascii="Calibri" w:hAnsi="Calibri" w:cs="Calibri"/>
                <w:sz w:val="18"/>
                <w:szCs w:val="18"/>
              </w:rPr>
              <w:t>Fonte: Fonte: Cálculos do autor para o Cenário Básico da Análise Custo-Benefício</w:t>
            </w:r>
          </w:p>
        </w:tc>
      </w:tr>
    </w:tbl>
    <w:p w:rsidR="00BA69DB" w:rsidRDefault="00BA69DB" w:rsidP="007A2A48">
      <w:pPr>
        <w:pStyle w:val="ListParagraph"/>
        <w:keepNext/>
        <w:suppressAutoHyphens/>
        <w:ind w:left="284"/>
        <w:jc w:val="both"/>
        <w:outlineLvl w:val="3"/>
        <w:rPr>
          <w:bCs/>
          <w:lang w:eastAsia="es-ES"/>
        </w:rPr>
      </w:pPr>
    </w:p>
    <w:p w:rsidR="00C05113" w:rsidRPr="00F47855" w:rsidRDefault="000E59CF" w:rsidP="007266FB">
      <w:pPr>
        <w:pStyle w:val="ListParagraph"/>
        <w:keepNext/>
        <w:numPr>
          <w:ilvl w:val="1"/>
          <w:numId w:val="2"/>
        </w:numPr>
        <w:suppressAutoHyphens/>
        <w:spacing w:before="240" w:after="120"/>
        <w:ind w:left="283" w:hanging="567"/>
        <w:jc w:val="both"/>
        <w:outlineLvl w:val="3"/>
        <w:rPr>
          <w:b/>
          <w:bCs/>
          <w:lang w:eastAsia="es-ES"/>
        </w:rPr>
      </w:pPr>
      <w:r w:rsidRPr="00C05113">
        <w:rPr>
          <w:b/>
          <w:bCs/>
          <w:lang w:eastAsia="es-ES"/>
        </w:rPr>
        <w:t>Cenário 4: Desvalorização e Redução de Benefícios</w:t>
      </w:r>
      <w:r w:rsidRPr="00C05113">
        <w:rPr>
          <w:bCs/>
          <w:lang w:eastAsia="es-ES"/>
        </w:rPr>
        <w:t xml:space="preserve">. Este cenário assume uma desvalorização do Real em </w:t>
      </w:r>
      <w:r w:rsidR="00347411">
        <w:rPr>
          <w:bCs/>
          <w:lang w:eastAsia="es-ES"/>
        </w:rPr>
        <w:t>25</w:t>
      </w:r>
      <w:r w:rsidRPr="00C05113">
        <w:rPr>
          <w:bCs/>
          <w:lang w:eastAsia="es-ES"/>
        </w:rPr>
        <w:t xml:space="preserve">% e a </w:t>
      </w:r>
      <w:r w:rsidR="00613638" w:rsidRPr="00C05113">
        <w:rPr>
          <w:bCs/>
          <w:lang w:eastAsia="es-ES"/>
        </w:rPr>
        <w:t xml:space="preserve">redução </w:t>
      </w:r>
      <w:r w:rsidR="00F47855">
        <w:rPr>
          <w:bCs/>
          <w:lang w:eastAsia="es-ES"/>
        </w:rPr>
        <w:t>de todos os benefícios em 30%.</w:t>
      </w:r>
      <w:r w:rsidR="00613638" w:rsidRPr="00C05113">
        <w:rPr>
          <w:bCs/>
          <w:lang w:eastAsia="es-ES"/>
        </w:rPr>
        <w:t xml:space="preserve"> </w:t>
      </w:r>
      <w:r w:rsidRPr="00C05113">
        <w:rPr>
          <w:bCs/>
          <w:lang w:eastAsia="es-ES"/>
        </w:rPr>
        <w:t xml:space="preserve">Neste caso a TIR passa para </w:t>
      </w:r>
      <w:r w:rsidR="00AD64E2" w:rsidRPr="00C05113">
        <w:rPr>
          <w:bCs/>
          <w:lang w:eastAsia="es-ES"/>
        </w:rPr>
        <w:t>12</w:t>
      </w:r>
      <w:r w:rsidRPr="00C05113">
        <w:rPr>
          <w:bCs/>
          <w:lang w:eastAsia="es-ES"/>
        </w:rPr>
        <w:t>%, o VPL cai para US$</w:t>
      </w:r>
      <w:r w:rsidR="00347411">
        <w:rPr>
          <w:bCs/>
          <w:lang w:eastAsia="es-ES"/>
        </w:rPr>
        <w:t>2</w:t>
      </w:r>
      <w:r w:rsidR="00AD64E2" w:rsidRPr="00C05113">
        <w:rPr>
          <w:bCs/>
          <w:lang w:eastAsia="es-ES"/>
        </w:rPr>
        <w:t xml:space="preserve"> milhões</w:t>
      </w:r>
      <w:r w:rsidRPr="00C05113">
        <w:rPr>
          <w:bCs/>
          <w:lang w:eastAsia="es-ES"/>
        </w:rPr>
        <w:t xml:space="preserve">, o fluxo anual passa a ser positivo no </w:t>
      </w:r>
      <w:r w:rsidR="004402DD">
        <w:rPr>
          <w:bCs/>
          <w:lang w:eastAsia="es-ES"/>
        </w:rPr>
        <w:t>qu</w:t>
      </w:r>
      <w:r w:rsidR="00347411">
        <w:rPr>
          <w:bCs/>
          <w:lang w:eastAsia="es-ES"/>
        </w:rPr>
        <w:t>into</w:t>
      </w:r>
      <w:r w:rsidR="00AD64E2" w:rsidRPr="00C05113">
        <w:rPr>
          <w:bCs/>
          <w:lang w:eastAsia="es-ES"/>
        </w:rPr>
        <w:t xml:space="preserve"> </w:t>
      </w:r>
      <w:r w:rsidRPr="00C05113">
        <w:rPr>
          <w:bCs/>
          <w:lang w:eastAsia="es-ES"/>
        </w:rPr>
        <w:t>ano</w:t>
      </w:r>
      <w:r w:rsidR="00285064" w:rsidRPr="00C05113">
        <w:rPr>
          <w:bCs/>
          <w:lang w:eastAsia="es-ES"/>
        </w:rPr>
        <w:t>, e o acumulado no ano</w:t>
      </w:r>
      <w:r w:rsidR="00AD64E2" w:rsidRPr="00C05113">
        <w:rPr>
          <w:bCs/>
          <w:lang w:eastAsia="es-ES"/>
        </w:rPr>
        <w:t xml:space="preserve"> oito</w:t>
      </w:r>
      <w:r w:rsidRPr="00C05113">
        <w:rPr>
          <w:bCs/>
          <w:lang w:eastAsia="es-ES"/>
        </w:rPr>
        <w:t>. Mesmo neste cenário extremamente pessimista, o programa ainda tem uma taxa interna de retorno aceitável.</w:t>
      </w:r>
      <w:r w:rsidR="003B5504" w:rsidRPr="00C05113">
        <w:rPr>
          <w:bCs/>
          <w:lang w:eastAsia="es-ES"/>
        </w:rPr>
        <w:t xml:space="preserve"> </w:t>
      </w:r>
    </w:p>
    <w:p w:rsidR="00F47855" w:rsidRDefault="00F47855" w:rsidP="00F47855">
      <w:pPr>
        <w:pStyle w:val="ListParagraph"/>
        <w:keepNext/>
        <w:suppressAutoHyphens/>
        <w:spacing w:before="240" w:after="120"/>
        <w:ind w:left="283"/>
        <w:jc w:val="both"/>
        <w:outlineLvl w:val="3"/>
        <w:rPr>
          <w:b/>
          <w:bCs/>
          <w:lang w:eastAsia="es-ES"/>
        </w:rPr>
      </w:pPr>
    </w:p>
    <w:tbl>
      <w:tblPr>
        <w:tblW w:w="8838" w:type="dxa"/>
        <w:tblCellMar>
          <w:left w:w="70" w:type="dxa"/>
          <w:right w:w="70" w:type="dxa"/>
        </w:tblCellMar>
        <w:tblLook w:val="04A0" w:firstRow="1" w:lastRow="0" w:firstColumn="1" w:lastColumn="0" w:noHBand="0" w:noVBand="1"/>
      </w:tblPr>
      <w:tblGrid>
        <w:gridCol w:w="1134"/>
        <w:gridCol w:w="709"/>
        <w:gridCol w:w="851"/>
        <w:gridCol w:w="708"/>
        <w:gridCol w:w="709"/>
        <w:gridCol w:w="709"/>
        <w:gridCol w:w="642"/>
        <w:gridCol w:w="642"/>
        <w:gridCol w:w="642"/>
        <w:gridCol w:w="642"/>
        <w:gridCol w:w="642"/>
        <w:gridCol w:w="759"/>
        <w:gridCol w:w="49"/>
      </w:tblGrid>
      <w:tr w:rsidR="00347411" w:rsidRPr="00347411" w:rsidTr="00347411">
        <w:trPr>
          <w:trHeight w:val="288"/>
        </w:trPr>
        <w:tc>
          <w:tcPr>
            <w:tcW w:w="8838" w:type="dxa"/>
            <w:gridSpan w:val="13"/>
            <w:tcBorders>
              <w:top w:val="nil"/>
              <w:left w:val="nil"/>
              <w:bottom w:val="single" w:sz="4" w:space="0" w:color="auto"/>
              <w:right w:val="nil"/>
            </w:tcBorders>
            <w:shd w:val="clear" w:color="auto" w:fill="auto"/>
            <w:noWrap/>
            <w:vAlign w:val="bottom"/>
            <w:hideMark/>
          </w:tcPr>
          <w:p w:rsidR="00347411" w:rsidRPr="00347411" w:rsidRDefault="00347411" w:rsidP="00347411">
            <w:pPr>
              <w:rPr>
                <w:rFonts w:ascii="Calibri" w:hAnsi="Calibri" w:cs="Calibri"/>
                <w:b/>
                <w:bCs/>
                <w:color w:val="000000"/>
                <w:sz w:val="22"/>
                <w:szCs w:val="22"/>
              </w:rPr>
            </w:pPr>
            <w:r w:rsidRPr="00347411">
              <w:rPr>
                <w:rFonts w:ascii="Calibri" w:hAnsi="Calibri" w:cs="Calibri"/>
                <w:b/>
                <w:bCs/>
                <w:color w:val="000000"/>
                <w:sz w:val="22"/>
                <w:szCs w:val="22"/>
              </w:rPr>
              <w:t>Tabela 13: Cenário 4 - Análise Custo-Benefício - Desvalorização em 25% e Redução de Benefícios em 30%</w:t>
            </w:r>
          </w:p>
        </w:tc>
      </w:tr>
      <w:tr w:rsidR="00347411" w:rsidRPr="00347411" w:rsidTr="00347411">
        <w:trPr>
          <w:gridAfter w:val="1"/>
          <w:wAfter w:w="49"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1</w:t>
            </w:r>
          </w:p>
        </w:tc>
        <w:tc>
          <w:tcPr>
            <w:tcW w:w="851"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2</w:t>
            </w:r>
          </w:p>
        </w:tc>
        <w:tc>
          <w:tcPr>
            <w:tcW w:w="708"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3</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4</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5</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6</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7</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8</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9</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ano 10</w:t>
            </w:r>
          </w:p>
        </w:tc>
        <w:tc>
          <w:tcPr>
            <w:tcW w:w="75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center"/>
              <w:rPr>
                <w:rFonts w:ascii="Calibri" w:hAnsi="Calibri" w:cs="Calibri"/>
                <w:color w:val="000000"/>
                <w:sz w:val="18"/>
                <w:szCs w:val="18"/>
              </w:rPr>
            </w:pPr>
            <w:r w:rsidRPr="00347411">
              <w:rPr>
                <w:rFonts w:ascii="Calibri" w:hAnsi="Calibri" w:cs="Calibri"/>
                <w:color w:val="000000"/>
                <w:sz w:val="18"/>
                <w:szCs w:val="18"/>
              </w:rPr>
              <w:t>Total</w:t>
            </w:r>
          </w:p>
        </w:tc>
      </w:tr>
      <w:tr w:rsidR="00347411" w:rsidRPr="00347411" w:rsidTr="00347411">
        <w:trPr>
          <w:gridAfter w:val="1"/>
          <w:wAfter w:w="49"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Custos totais</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-4.873 </w:t>
            </w:r>
          </w:p>
        </w:tc>
        <w:tc>
          <w:tcPr>
            <w:tcW w:w="851"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-13.536 </w:t>
            </w:r>
          </w:p>
        </w:tc>
        <w:tc>
          <w:tcPr>
            <w:tcW w:w="708"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-14.492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-11.259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-10.603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-4.480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-4.438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-4.396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-4.355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-4.064 </w:t>
            </w:r>
          </w:p>
        </w:tc>
        <w:tc>
          <w:tcPr>
            <w:tcW w:w="75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-76.495 </w:t>
            </w:r>
          </w:p>
        </w:tc>
      </w:tr>
      <w:tr w:rsidR="00347411" w:rsidRPr="00347411" w:rsidTr="00347411">
        <w:trPr>
          <w:gridAfter w:val="1"/>
          <w:wAfter w:w="49"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Benefícios</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0 </w:t>
            </w:r>
          </w:p>
        </w:tc>
        <w:tc>
          <w:tcPr>
            <w:tcW w:w="851"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2.393 </w:t>
            </w:r>
          </w:p>
        </w:tc>
        <w:tc>
          <w:tcPr>
            <w:tcW w:w="708"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7.862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10.075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11.857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13.133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13.133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13.133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13.133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13.133 </w:t>
            </w:r>
          </w:p>
        </w:tc>
        <w:tc>
          <w:tcPr>
            <w:tcW w:w="75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97.851 </w:t>
            </w:r>
          </w:p>
        </w:tc>
      </w:tr>
      <w:tr w:rsidR="00347411" w:rsidRPr="00347411" w:rsidTr="00347411">
        <w:trPr>
          <w:gridAfter w:val="1"/>
          <w:wAfter w:w="49" w:type="dxa"/>
          <w:trHeight w:val="288"/>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47411" w:rsidRPr="00347411" w:rsidRDefault="00347411" w:rsidP="00347411">
            <w:pPr>
              <w:rPr>
                <w:rFonts w:ascii="Calibri" w:hAnsi="Calibri" w:cs="Calibri"/>
                <w:color w:val="000000"/>
                <w:sz w:val="18"/>
                <w:szCs w:val="18"/>
              </w:rPr>
            </w:pPr>
            <w:r w:rsidRPr="00347411">
              <w:rPr>
                <w:rFonts w:ascii="Calibri" w:hAnsi="Calibri" w:cs="Calibri"/>
                <w:color w:val="000000"/>
                <w:sz w:val="18"/>
                <w:szCs w:val="18"/>
              </w:rPr>
              <w:t>Fluxo</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-4.873 </w:t>
            </w:r>
          </w:p>
        </w:tc>
        <w:tc>
          <w:tcPr>
            <w:tcW w:w="851"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-11.143 </w:t>
            </w:r>
          </w:p>
        </w:tc>
        <w:tc>
          <w:tcPr>
            <w:tcW w:w="708"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-6.631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-1.184 </w:t>
            </w:r>
          </w:p>
        </w:tc>
        <w:tc>
          <w:tcPr>
            <w:tcW w:w="70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1.255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8.653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8.695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8.736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8.778 </w:t>
            </w:r>
          </w:p>
        </w:tc>
        <w:tc>
          <w:tcPr>
            <w:tcW w:w="642"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9.069 </w:t>
            </w:r>
          </w:p>
        </w:tc>
        <w:tc>
          <w:tcPr>
            <w:tcW w:w="759" w:type="dxa"/>
            <w:tcBorders>
              <w:top w:val="nil"/>
              <w:left w:val="nil"/>
              <w:bottom w:val="single" w:sz="4" w:space="0" w:color="auto"/>
              <w:right w:val="single" w:sz="4" w:space="0" w:color="auto"/>
            </w:tcBorders>
            <w:shd w:val="clear" w:color="auto" w:fill="auto"/>
            <w:noWrap/>
            <w:vAlign w:val="bottom"/>
            <w:hideMark/>
          </w:tcPr>
          <w:p w:rsidR="00347411" w:rsidRPr="00347411" w:rsidRDefault="00347411" w:rsidP="00347411">
            <w:pPr>
              <w:jc w:val="right"/>
              <w:rPr>
                <w:rFonts w:ascii="Calibri" w:hAnsi="Calibri" w:cs="Calibri"/>
                <w:color w:val="000000"/>
                <w:sz w:val="18"/>
                <w:szCs w:val="18"/>
              </w:rPr>
            </w:pPr>
            <w:r w:rsidRPr="00347411">
              <w:rPr>
                <w:rFonts w:ascii="Calibri" w:hAnsi="Calibri" w:cs="Calibri"/>
                <w:color w:val="000000"/>
                <w:sz w:val="18"/>
                <w:szCs w:val="18"/>
              </w:rPr>
              <w:t xml:space="preserve">21.356 </w:t>
            </w:r>
          </w:p>
        </w:tc>
      </w:tr>
      <w:tr w:rsidR="00347411" w:rsidRPr="00347411" w:rsidTr="00347411">
        <w:trPr>
          <w:gridAfter w:val="1"/>
          <w:wAfter w:w="49" w:type="dxa"/>
          <w:trHeight w:val="288"/>
        </w:trPr>
        <w:tc>
          <w:tcPr>
            <w:tcW w:w="2694" w:type="dxa"/>
            <w:gridSpan w:val="3"/>
            <w:tcBorders>
              <w:top w:val="single" w:sz="4" w:space="0" w:color="auto"/>
              <w:left w:val="nil"/>
              <w:bottom w:val="nil"/>
              <w:right w:val="nil"/>
            </w:tcBorders>
            <w:shd w:val="clear" w:color="auto" w:fill="auto"/>
            <w:noWrap/>
            <w:vAlign w:val="bottom"/>
            <w:hideMark/>
          </w:tcPr>
          <w:p w:rsidR="00347411" w:rsidRPr="00347411" w:rsidRDefault="00347411" w:rsidP="00347411">
            <w:pPr>
              <w:jc w:val="center"/>
              <w:rPr>
                <w:rFonts w:ascii="Calibri" w:hAnsi="Calibri" w:cs="Calibri"/>
                <w:b/>
                <w:bCs/>
                <w:color w:val="000000"/>
                <w:sz w:val="18"/>
                <w:szCs w:val="18"/>
              </w:rPr>
            </w:pPr>
            <w:r w:rsidRPr="00347411">
              <w:rPr>
                <w:rFonts w:ascii="Calibri" w:hAnsi="Calibri" w:cs="Calibri"/>
                <w:b/>
                <w:bCs/>
                <w:color w:val="000000"/>
                <w:sz w:val="18"/>
                <w:szCs w:val="18"/>
              </w:rPr>
              <w:t>Valor Presente Líquido</w:t>
            </w:r>
          </w:p>
        </w:tc>
        <w:tc>
          <w:tcPr>
            <w:tcW w:w="708" w:type="dxa"/>
            <w:tcBorders>
              <w:top w:val="nil"/>
              <w:left w:val="nil"/>
              <w:bottom w:val="nil"/>
              <w:right w:val="nil"/>
            </w:tcBorders>
            <w:shd w:val="clear" w:color="auto" w:fill="auto"/>
            <w:noWrap/>
            <w:vAlign w:val="bottom"/>
            <w:hideMark/>
          </w:tcPr>
          <w:p w:rsidR="00347411" w:rsidRPr="00347411" w:rsidRDefault="00347411" w:rsidP="00347411">
            <w:pPr>
              <w:rPr>
                <w:rFonts w:ascii="Calibri" w:hAnsi="Calibri" w:cs="Calibri"/>
                <w:b/>
                <w:bCs/>
                <w:color w:val="000000"/>
                <w:sz w:val="18"/>
                <w:szCs w:val="18"/>
              </w:rPr>
            </w:pPr>
            <w:r w:rsidRPr="00347411">
              <w:rPr>
                <w:rFonts w:ascii="Calibri" w:hAnsi="Calibri" w:cs="Calibri"/>
                <w:b/>
                <w:bCs/>
                <w:color w:val="000000"/>
                <w:sz w:val="18"/>
                <w:szCs w:val="18"/>
              </w:rPr>
              <w:t xml:space="preserve">          1.991 </w:t>
            </w:r>
          </w:p>
        </w:tc>
        <w:tc>
          <w:tcPr>
            <w:tcW w:w="709" w:type="dxa"/>
            <w:tcBorders>
              <w:top w:val="nil"/>
              <w:left w:val="nil"/>
              <w:bottom w:val="nil"/>
              <w:right w:val="nil"/>
            </w:tcBorders>
            <w:shd w:val="clear" w:color="auto" w:fill="auto"/>
            <w:noWrap/>
            <w:vAlign w:val="bottom"/>
            <w:hideMark/>
          </w:tcPr>
          <w:p w:rsidR="00347411" w:rsidRPr="00347411" w:rsidRDefault="00347411" w:rsidP="00347411">
            <w:pPr>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759"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r>
      <w:tr w:rsidR="00347411" w:rsidRPr="00347411" w:rsidTr="00347411">
        <w:trPr>
          <w:gridAfter w:val="1"/>
          <w:wAfter w:w="49" w:type="dxa"/>
          <w:trHeight w:val="288"/>
        </w:trPr>
        <w:tc>
          <w:tcPr>
            <w:tcW w:w="2694" w:type="dxa"/>
            <w:gridSpan w:val="3"/>
            <w:tcBorders>
              <w:top w:val="nil"/>
              <w:left w:val="nil"/>
              <w:bottom w:val="nil"/>
              <w:right w:val="nil"/>
            </w:tcBorders>
            <w:shd w:val="clear" w:color="auto" w:fill="auto"/>
            <w:noWrap/>
            <w:vAlign w:val="bottom"/>
            <w:hideMark/>
          </w:tcPr>
          <w:p w:rsidR="00347411" w:rsidRPr="00347411" w:rsidRDefault="00347411" w:rsidP="00347411">
            <w:pPr>
              <w:jc w:val="center"/>
              <w:rPr>
                <w:rFonts w:ascii="Calibri" w:hAnsi="Calibri" w:cs="Calibri"/>
                <w:b/>
                <w:bCs/>
                <w:color w:val="000000"/>
                <w:sz w:val="18"/>
                <w:szCs w:val="18"/>
              </w:rPr>
            </w:pPr>
            <w:r w:rsidRPr="00347411">
              <w:rPr>
                <w:rFonts w:ascii="Calibri" w:hAnsi="Calibri" w:cs="Calibri"/>
                <w:b/>
                <w:bCs/>
                <w:color w:val="000000"/>
                <w:sz w:val="18"/>
                <w:szCs w:val="18"/>
              </w:rPr>
              <w:t>TIR</w:t>
            </w:r>
          </w:p>
        </w:tc>
        <w:tc>
          <w:tcPr>
            <w:tcW w:w="708" w:type="dxa"/>
            <w:tcBorders>
              <w:top w:val="nil"/>
              <w:left w:val="nil"/>
              <w:bottom w:val="nil"/>
              <w:right w:val="nil"/>
            </w:tcBorders>
            <w:shd w:val="clear" w:color="auto" w:fill="auto"/>
            <w:noWrap/>
            <w:vAlign w:val="bottom"/>
            <w:hideMark/>
          </w:tcPr>
          <w:p w:rsidR="00347411" w:rsidRPr="00347411" w:rsidRDefault="00347411" w:rsidP="00347411">
            <w:pPr>
              <w:jc w:val="right"/>
              <w:rPr>
                <w:rFonts w:ascii="Calibri" w:hAnsi="Calibri" w:cs="Calibri"/>
                <w:b/>
                <w:bCs/>
                <w:color w:val="000000"/>
                <w:sz w:val="18"/>
                <w:szCs w:val="18"/>
              </w:rPr>
            </w:pPr>
            <w:r w:rsidRPr="00347411">
              <w:rPr>
                <w:rFonts w:ascii="Calibri" w:hAnsi="Calibri" w:cs="Calibri"/>
                <w:b/>
                <w:bCs/>
                <w:color w:val="000000"/>
                <w:sz w:val="18"/>
                <w:szCs w:val="18"/>
              </w:rPr>
              <w:t>11,9%</w:t>
            </w:r>
          </w:p>
        </w:tc>
        <w:tc>
          <w:tcPr>
            <w:tcW w:w="709" w:type="dxa"/>
            <w:tcBorders>
              <w:top w:val="nil"/>
              <w:left w:val="nil"/>
              <w:bottom w:val="nil"/>
              <w:right w:val="nil"/>
            </w:tcBorders>
            <w:shd w:val="clear" w:color="auto" w:fill="auto"/>
            <w:noWrap/>
            <w:vAlign w:val="bottom"/>
            <w:hideMark/>
          </w:tcPr>
          <w:p w:rsidR="00347411" w:rsidRPr="00347411" w:rsidRDefault="00347411" w:rsidP="00347411">
            <w:pPr>
              <w:jc w:val="right"/>
              <w:rPr>
                <w:rFonts w:ascii="Calibri" w:hAnsi="Calibri" w:cs="Calibri"/>
                <w:b/>
                <w:bCs/>
                <w:color w:val="000000"/>
                <w:sz w:val="18"/>
                <w:szCs w:val="18"/>
              </w:rPr>
            </w:pPr>
          </w:p>
        </w:tc>
        <w:tc>
          <w:tcPr>
            <w:tcW w:w="709"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642"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c>
          <w:tcPr>
            <w:tcW w:w="759" w:type="dxa"/>
            <w:tcBorders>
              <w:top w:val="nil"/>
              <w:left w:val="nil"/>
              <w:bottom w:val="nil"/>
              <w:right w:val="nil"/>
            </w:tcBorders>
            <w:shd w:val="clear" w:color="auto" w:fill="auto"/>
            <w:noWrap/>
            <w:vAlign w:val="bottom"/>
            <w:hideMark/>
          </w:tcPr>
          <w:p w:rsidR="00347411" w:rsidRPr="00347411" w:rsidRDefault="00347411" w:rsidP="00347411">
            <w:pPr>
              <w:rPr>
                <w:sz w:val="20"/>
                <w:szCs w:val="20"/>
              </w:rPr>
            </w:pPr>
          </w:p>
        </w:tc>
      </w:tr>
      <w:tr w:rsidR="00347411" w:rsidRPr="00347411" w:rsidTr="00347411">
        <w:trPr>
          <w:trHeight w:val="288"/>
        </w:trPr>
        <w:tc>
          <w:tcPr>
            <w:tcW w:w="8838" w:type="dxa"/>
            <w:gridSpan w:val="13"/>
            <w:tcBorders>
              <w:top w:val="nil"/>
              <w:left w:val="nil"/>
              <w:bottom w:val="nil"/>
              <w:right w:val="nil"/>
            </w:tcBorders>
            <w:shd w:val="clear" w:color="auto" w:fill="auto"/>
            <w:noWrap/>
            <w:vAlign w:val="center"/>
            <w:hideMark/>
          </w:tcPr>
          <w:p w:rsidR="00347411" w:rsidRPr="00347411" w:rsidRDefault="00347411" w:rsidP="00347411">
            <w:pPr>
              <w:rPr>
                <w:rFonts w:ascii="Calibri" w:hAnsi="Calibri" w:cs="Calibri"/>
                <w:sz w:val="18"/>
                <w:szCs w:val="18"/>
              </w:rPr>
            </w:pPr>
            <w:r w:rsidRPr="00347411">
              <w:rPr>
                <w:rFonts w:ascii="Calibri" w:hAnsi="Calibri" w:cs="Calibri"/>
                <w:sz w:val="18"/>
                <w:szCs w:val="18"/>
              </w:rPr>
              <w:t>Fonte: Fonte: Cálculos do autor para o Cenário Básico da Análise Custo-Benefício</w:t>
            </w:r>
          </w:p>
        </w:tc>
      </w:tr>
    </w:tbl>
    <w:p w:rsidR="00562D79" w:rsidRPr="00731E55" w:rsidRDefault="00562D79" w:rsidP="007266FB">
      <w:pPr>
        <w:pStyle w:val="Heading1"/>
        <w:numPr>
          <w:ilvl w:val="0"/>
          <w:numId w:val="2"/>
        </w:numPr>
        <w:spacing w:before="0"/>
        <w:ind w:firstLine="289"/>
        <w:rPr>
          <w:lang w:eastAsia="es-ES"/>
        </w:rPr>
      </w:pPr>
      <w:bookmarkStart w:id="32" w:name="_Toc503777185"/>
      <w:r w:rsidRPr="00690C6C">
        <w:rPr>
          <w:lang w:eastAsia="es-ES"/>
        </w:rPr>
        <w:t>Conclusões</w:t>
      </w:r>
      <w:bookmarkEnd w:id="32"/>
    </w:p>
    <w:p w:rsidR="00562D79" w:rsidRDefault="00562D79" w:rsidP="00562D79">
      <w:pPr>
        <w:pStyle w:val="ListParagraph"/>
        <w:keepNext/>
        <w:suppressAutoHyphens/>
        <w:spacing w:before="120"/>
        <w:ind w:left="1440"/>
        <w:jc w:val="both"/>
        <w:outlineLvl w:val="3"/>
        <w:rPr>
          <w:bCs/>
          <w:lang w:eastAsia="es-ES"/>
        </w:rPr>
      </w:pPr>
    </w:p>
    <w:p w:rsidR="00FF5302" w:rsidRPr="00393119" w:rsidRDefault="00562D79" w:rsidP="007266FB">
      <w:pPr>
        <w:pStyle w:val="ListParagraph"/>
        <w:keepNext/>
        <w:numPr>
          <w:ilvl w:val="1"/>
          <w:numId w:val="2"/>
        </w:numPr>
        <w:suppressAutoHyphens/>
        <w:spacing w:before="120"/>
        <w:ind w:left="284" w:hanging="567"/>
        <w:jc w:val="both"/>
        <w:outlineLvl w:val="3"/>
        <w:rPr>
          <w:bCs/>
          <w:lang w:eastAsia="es-ES"/>
        </w:rPr>
      </w:pPr>
      <w:r w:rsidRPr="00393119">
        <w:rPr>
          <w:bCs/>
          <w:lang w:eastAsia="es-ES"/>
        </w:rPr>
        <w:t xml:space="preserve">O </w:t>
      </w:r>
      <w:r w:rsidRPr="00347411">
        <w:rPr>
          <w:bCs/>
          <w:lang w:eastAsia="es-ES"/>
        </w:rPr>
        <w:t>PROFISCO II para o Estado d</w:t>
      </w:r>
      <w:r w:rsidR="004402DD" w:rsidRPr="00347411">
        <w:rPr>
          <w:bCs/>
          <w:lang w:eastAsia="es-ES"/>
        </w:rPr>
        <w:t>e Pernambuco</w:t>
      </w:r>
      <w:r w:rsidRPr="00347411">
        <w:rPr>
          <w:bCs/>
          <w:lang w:eastAsia="es-ES"/>
        </w:rPr>
        <w:t xml:space="preserve"> está desenhado para atuar nas áreas de gestão fazendária e transparência fiscal; </w:t>
      </w:r>
      <w:r w:rsidR="00FF5302" w:rsidRPr="00347411">
        <w:rPr>
          <w:bCs/>
          <w:lang w:eastAsia="es-ES"/>
        </w:rPr>
        <w:t xml:space="preserve">administração tributária e contencioso fiscal; e </w:t>
      </w:r>
      <w:r w:rsidR="00FF5302" w:rsidRPr="00347411">
        <w:rPr>
          <w:bCs/>
          <w:lang w:eastAsia="es-ES"/>
        </w:rPr>
        <w:lastRenderedPageBreak/>
        <w:t xml:space="preserve">administração financeira e gasto público. O programa conta com um financiamento de </w:t>
      </w:r>
      <w:r w:rsidR="00393119" w:rsidRPr="00347411">
        <w:rPr>
          <w:bCs/>
          <w:lang w:eastAsia="es-ES"/>
        </w:rPr>
        <w:t xml:space="preserve">US$ </w:t>
      </w:r>
      <w:r w:rsidR="00D6201F" w:rsidRPr="00347411">
        <w:rPr>
          <w:bCs/>
          <w:lang w:eastAsia="es-ES"/>
        </w:rPr>
        <w:t xml:space="preserve">37,0 </w:t>
      </w:r>
      <w:r w:rsidR="00393119" w:rsidRPr="00347411">
        <w:rPr>
          <w:bCs/>
          <w:lang w:eastAsia="es-ES"/>
        </w:rPr>
        <w:t xml:space="preserve">milhões de financiamento BID e US$ </w:t>
      </w:r>
      <w:r w:rsidR="00D6201F" w:rsidRPr="00347411">
        <w:rPr>
          <w:bCs/>
          <w:lang w:eastAsia="es-ES"/>
        </w:rPr>
        <w:t>7</w:t>
      </w:r>
      <w:r w:rsidR="004402DD" w:rsidRPr="00347411">
        <w:rPr>
          <w:bCs/>
          <w:lang w:eastAsia="es-ES"/>
        </w:rPr>
        <w:t>,4</w:t>
      </w:r>
      <w:r w:rsidR="00393119" w:rsidRPr="00347411">
        <w:rPr>
          <w:bCs/>
          <w:lang w:eastAsia="es-ES"/>
        </w:rPr>
        <w:t xml:space="preserve"> milhões de contrapartida </w:t>
      </w:r>
      <w:r w:rsidR="00FF5302" w:rsidRPr="00347411">
        <w:rPr>
          <w:bCs/>
          <w:lang w:eastAsia="es-ES"/>
        </w:rPr>
        <w:t>local.</w:t>
      </w:r>
      <w:r w:rsidR="00FF5302" w:rsidRPr="00393119">
        <w:rPr>
          <w:bCs/>
          <w:lang w:eastAsia="es-ES"/>
        </w:rPr>
        <w:t xml:space="preserve"> </w:t>
      </w:r>
    </w:p>
    <w:p w:rsidR="00FF5302" w:rsidRPr="00393119" w:rsidRDefault="00FF5302" w:rsidP="007266FB">
      <w:pPr>
        <w:pStyle w:val="ListParagraph"/>
        <w:keepNext/>
        <w:numPr>
          <w:ilvl w:val="1"/>
          <w:numId w:val="2"/>
        </w:numPr>
        <w:suppressAutoHyphens/>
        <w:spacing w:before="120"/>
        <w:ind w:left="284" w:hanging="567"/>
        <w:jc w:val="both"/>
        <w:outlineLvl w:val="3"/>
        <w:rPr>
          <w:bCs/>
          <w:lang w:eastAsia="es-ES"/>
        </w:rPr>
      </w:pPr>
      <w:r w:rsidRPr="00393119">
        <w:rPr>
          <w:bCs/>
          <w:lang w:eastAsia="es-ES"/>
        </w:rPr>
        <w:t xml:space="preserve">A análise C-B incluiu </w:t>
      </w:r>
      <w:r w:rsidR="004402DD">
        <w:rPr>
          <w:bCs/>
          <w:lang w:eastAsia="es-ES"/>
        </w:rPr>
        <w:t>um produto de cada componente</w:t>
      </w:r>
      <w:r w:rsidRPr="00393119">
        <w:rPr>
          <w:bCs/>
          <w:lang w:eastAsia="es-ES"/>
        </w:rPr>
        <w:t xml:space="preserve"> do programa. Os cri</w:t>
      </w:r>
      <w:r w:rsidR="00393119" w:rsidRPr="00393119">
        <w:rPr>
          <w:bCs/>
          <w:lang w:eastAsia="es-ES"/>
        </w:rPr>
        <w:t xml:space="preserve">térios para a escolha destes </w:t>
      </w:r>
      <w:r w:rsidRPr="00393119">
        <w:rPr>
          <w:bCs/>
          <w:lang w:eastAsia="es-ES"/>
        </w:rPr>
        <w:t>produtos foram principalmente a representatividade deles para a arrecadação fiscal, o impacto para a eficiência da administração fiscal e a disponibilidade de dados consistentes para s</w:t>
      </w:r>
      <w:r w:rsidR="00393119" w:rsidRPr="00393119">
        <w:rPr>
          <w:bCs/>
          <w:lang w:eastAsia="es-ES"/>
        </w:rPr>
        <w:t xml:space="preserve">e realizar a análise. Na arrecadação fiscal, </w:t>
      </w:r>
      <w:r w:rsidRPr="00393119">
        <w:rPr>
          <w:bCs/>
          <w:lang w:eastAsia="es-ES"/>
        </w:rPr>
        <w:t xml:space="preserve">produtos relacionados à inteligência fiscal, gestão da dívida ativa, </w:t>
      </w:r>
      <w:r w:rsidR="00393119" w:rsidRPr="00393119">
        <w:rPr>
          <w:bCs/>
          <w:lang w:eastAsia="es-ES"/>
        </w:rPr>
        <w:t xml:space="preserve">cobrança, </w:t>
      </w:r>
      <w:r w:rsidRPr="00393119">
        <w:rPr>
          <w:bCs/>
          <w:lang w:eastAsia="es-ES"/>
        </w:rPr>
        <w:t xml:space="preserve">contencioso fiscal, </w:t>
      </w:r>
      <w:r w:rsidR="00393119" w:rsidRPr="00393119">
        <w:rPr>
          <w:bCs/>
          <w:lang w:eastAsia="es-ES"/>
        </w:rPr>
        <w:t xml:space="preserve">modernização de postos fiscais, melhoria e ampliação de monitoramento móvel do trânsito de mercadorias, melhoria da gestão do ICMS dobre as importações internacionais, </w:t>
      </w:r>
      <w:r w:rsidRPr="00393119">
        <w:rPr>
          <w:bCs/>
          <w:lang w:eastAsia="es-ES"/>
        </w:rPr>
        <w:t xml:space="preserve">entre outros, gerarão aumento de arrecadação. </w:t>
      </w:r>
      <w:r w:rsidR="00393119" w:rsidRPr="00393119">
        <w:rPr>
          <w:bCs/>
          <w:lang w:eastAsia="es-ES"/>
        </w:rPr>
        <w:t xml:space="preserve">No entanto, se optou por </w:t>
      </w:r>
      <w:r w:rsidR="004402DD">
        <w:rPr>
          <w:bCs/>
          <w:lang w:eastAsia="es-ES"/>
        </w:rPr>
        <w:t xml:space="preserve">medir apenas o impacto do novo modelo de fiscalização do trânsito de mercadorias. </w:t>
      </w:r>
      <w:r w:rsidRPr="00393119">
        <w:rPr>
          <w:bCs/>
          <w:lang w:eastAsia="es-ES"/>
        </w:rPr>
        <w:t xml:space="preserve">Outros produtos de integração de sistemas e redesenho de processos irão melhorar </w:t>
      </w:r>
      <w:r w:rsidR="004402DD">
        <w:rPr>
          <w:bCs/>
          <w:lang w:eastAsia="es-ES"/>
        </w:rPr>
        <w:t>a eficiência do gasto público com pessoal e gerar economias de tempo e mais confiabilidade no processo de liquidação de gastos com fornecedores</w:t>
      </w:r>
      <w:r w:rsidRPr="00393119">
        <w:rPr>
          <w:bCs/>
          <w:lang w:eastAsia="es-ES"/>
        </w:rPr>
        <w:t xml:space="preserve">. </w:t>
      </w:r>
    </w:p>
    <w:p w:rsidR="00FF5302" w:rsidRDefault="00562D79" w:rsidP="007266FB">
      <w:pPr>
        <w:pStyle w:val="ListParagraph"/>
        <w:keepNext/>
        <w:numPr>
          <w:ilvl w:val="1"/>
          <w:numId w:val="2"/>
        </w:numPr>
        <w:suppressAutoHyphens/>
        <w:spacing w:before="120"/>
        <w:ind w:left="284" w:hanging="567"/>
        <w:jc w:val="both"/>
        <w:outlineLvl w:val="3"/>
        <w:rPr>
          <w:bCs/>
          <w:lang w:eastAsia="es-ES"/>
        </w:rPr>
      </w:pPr>
      <w:r w:rsidRPr="00393119">
        <w:rPr>
          <w:bCs/>
          <w:lang w:eastAsia="es-ES"/>
        </w:rPr>
        <w:t xml:space="preserve">A tabela abaixo sumariza os quatro cenários da análise de sensibilidade. Lembrando que a análise apenas focou em casos de deterioração do cenário básico. </w:t>
      </w:r>
      <w:r w:rsidR="00FF5302" w:rsidRPr="00393119">
        <w:rPr>
          <w:bCs/>
          <w:lang w:eastAsia="es-ES"/>
        </w:rPr>
        <w:t xml:space="preserve">Como mencionado acima, as hipóteses do cenário básico são substancialmente conservadoras. A probabilidade de um retorno maior do que o cenário básico é alta. </w:t>
      </w:r>
    </w:p>
    <w:p w:rsidR="00347411" w:rsidRDefault="00347411" w:rsidP="00347411">
      <w:pPr>
        <w:pStyle w:val="ListParagraph"/>
        <w:keepNext/>
        <w:suppressAutoHyphens/>
        <w:spacing w:before="120"/>
        <w:ind w:left="284"/>
        <w:jc w:val="both"/>
        <w:outlineLvl w:val="3"/>
        <w:rPr>
          <w:bCs/>
          <w:lang w:eastAsia="es-ES"/>
        </w:rPr>
      </w:pPr>
    </w:p>
    <w:tbl>
      <w:tblPr>
        <w:tblW w:w="7642" w:type="dxa"/>
        <w:tblInd w:w="709" w:type="dxa"/>
        <w:tblCellMar>
          <w:left w:w="70" w:type="dxa"/>
          <w:right w:w="70" w:type="dxa"/>
        </w:tblCellMar>
        <w:tblLook w:val="04A0" w:firstRow="1" w:lastRow="0" w:firstColumn="1" w:lastColumn="0" w:noHBand="0" w:noVBand="1"/>
      </w:tblPr>
      <w:tblGrid>
        <w:gridCol w:w="4678"/>
        <w:gridCol w:w="1417"/>
        <w:gridCol w:w="1547"/>
      </w:tblGrid>
      <w:tr w:rsidR="00347411" w:rsidTr="00B15F9C">
        <w:trPr>
          <w:trHeight w:val="288"/>
        </w:trPr>
        <w:tc>
          <w:tcPr>
            <w:tcW w:w="7642" w:type="dxa"/>
            <w:gridSpan w:val="3"/>
            <w:tcBorders>
              <w:top w:val="nil"/>
              <w:left w:val="nil"/>
              <w:bottom w:val="nil"/>
              <w:right w:val="nil"/>
            </w:tcBorders>
            <w:shd w:val="clear" w:color="auto" w:fill="auto"/>
            <w:noWrap/>
            <w:vAlign w:val="center"/>
            <w:hideMark/>
          </w:tcPr>
          <w:p w:rsidR="00347411" w:rsidRDefault="00347411" w:rsidP="00B15F9C">
            <w:pPr>
              <w:rPr>
                <w:b/>
                <w:bCs/>
                <w:color w:val="000000"/>
                <w:sz w:val="20"/>
                <w:szCs w:val="20"/>
              </w:rPr>
            </w:pPr>
            <w:r>
              <w:rPr>
                <w:b/>
                <w:bCs/>
                <w:color w:val="000000"/>
                <w:sz w:val="20"/>
                <w:szCs w:val="20"/>
              </w:rPr>
              <w:t>Tabela 15: Sumário da Análise de Sensibilidade da Análise Custo-Benefício</w:t>
            </w:r>
          </w:p>
        </w:tc>
      </w:tr>
      <w:tr w:rsidR="00347411" w:rsidTr="00202556">
        <w:trPr>
          <w:trHeight w:val="288"/>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7411" w:rsidRDefault="00347411" w:rsidP="00B15F9C">
            <w:pPr>
              <w:rPr>
                <w:rFonts w:ascii="Calibri" w:hAnsi="Calibri" w:cs="Calibri"/>
                <w:color w:val="000000"/>
                <w:sz w:val="22"/>
                <w:szCs w:val="22"/>
              </w:rPr>
            </w:pPr>
            <w:r>
              <w:rPr>
                <w:rFonts w:ascii="Calibri" w:hAnsi="Calibri" w:cs="Calibri"/>
                <w:color w:val="000000"/>
                <w:sz w:val="22"/>
                <w:szCs w:val="22"/>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347411" w:rsidRDefault="00347411" w:rsidP="00B15F9C">
            <w:pPr>
              <w:jc w:val="center"/>
              <w:rPr>
                <w:rFonts w:ascii="Calibri" w:hAnsi="Calibri" w:cs="Calibri"/>
                <w:color w:val="000000"/>
                <w:sz w:val="22"/>
                <w:szCs w:val="22"/>
              </w:rPr>
            </w:pPr>
            <w:r>
              <w:rPr>
                <w:rFonts w:ascii="Calibri" w:hAnsi="Calibri" w:cs="Calibri"/>
                <w:color w:val="000000"/>
                <w:sz w:val="22"/>
                <w:szCs w:val="22"/>
              </w:rPr>
              <w:t>TIR</w:t>
            </w:r>
          </w:p>
        </w:tc>
        <w:tc>
          <w:tcPr>
            <w:tcW w:w="1547" w:type="dxa"/>
            <w:tcBorders>
              <w:top w:val="single" w:sz="4" w:space="0" w:color="auto"/>
              <w:left w:val="nil"/>
              <w:bottom w:val="single" w:sz="4" w:space="0" w:color="auto"/>
              <w:right w:val="single" w:sz="4" w:space="0" w:color="auto"/>
            </w:tcBorders>
            <w:shd w:val="clear" w:color="auto" w:fill="auto"/>
            <w:noWrap/>
            <w:vAlign w:val="bottom"/>
            <w:hideMark/>
          </w:tcPr>
          <w:p w:rsidR="00347411" w:rsidRDefault="00347411" w:rsidP="00B15F9C">
            <w:pPr>
              <w:jc w:val="center"/>
              <w:rPr>
                <w:rFonts w:ascii="Calibri" w:hAnsi="Calibri" w:cs="Calibri"/>
                <w:color w:val="000000"/>
                <w:sz w:val="22"/>
                <w:szCs w:val="22"/>
              </w:rPr>
            </w:pPr>
            <w:r>
              <w:rPr>
                <w:rFonts w:ascii="Calibri" w:hAnsi="Calibri" w:cs="Calibri"/>
                <w:color w:val="000000"/>
                <w:sz w:val="22"/>
                <w:szCs w:val="22"/>
              </w:rPr>
              <w:t>VPL</w:t>
            </w:r>
          </w:p>
        </w:tc>
      </w:tr>
      <w:tr w:rsidR="00347411" w:rsidTr="00202556">
        <w:trPr>
          <w:trHeight w:val="288"/>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rsidR="00347411" w:rsidRDefault="00347411" w:rsidP="00B15F9C">
            <w:pPr>
              <w:rPr>
                <w:rFonts w:ascii="Calibri" w:hAnsi="Calibri" w:cs="Calibri"/>
                <w:color w:val="000000"/>
                <w:sz w:val="22"/>
                <w:szCs w:val="22"/>
              </w:rPr>
            </w:pPr>
            <w:r>
              <w:rPr>
                <w:rFonts w:ascii="Calibri" w:hAnsi="Calibri" w:cs="Calibri"/>
                <w:color w:val="000000"/>
                <w:sz w:val="22"/>
                <w:szCs w:val="22"/>
              </w:rPr>
              <w:t>Básico</w:t>
            </w:r>
          </w:p>
        </w:tc>
        <w:tc>
          <w:tcPr>
            <w:tcW w:w="1417" w:type="dxa"/>
            <w:tcBorders>
              <w:top w:val="nil"/>
              <w:left w:val="nil"/>
              <w:bottom w:val="single" w:sz="4" w:space="0" w:color="auto"/>
              <w:right w:val="single" w:sz="4" w:space="0" w:color="auto"/>
            </w:tcBorders>
            <w:shd w:val="clear" w:color="auto" w:fill="auto"/>
            <w:noWrap/>
            <w:vAlign w:val="bottom"/>
            <w:hideMark/>
          </w:tcPr>
          <w:p w:rsidR="00347411" w:rsidRDefault="00347411" w:rsidP="00B15F9C">
            <w:pPr>
              <w:jc w:val="center"/>
              <w:rPr>
                <w:rFonts w:ascii="Calibri" w:hAnsi="Calibri" w:cs="Calibri"/>
                <w:color w:val="000000"/>
                <w:sz w:val="22"/>
                <w:szCs w:val="22"/>
              </w:rPr>
            </w:pPr>
            <w:r>
              <w:rPr>
                <w:rFonts w:ascii="Calibri" w:hAnsi="Calibri" w:cs="Calibri"/>
                <w:color w:val="000000"/>
                <w:sz w:val="22"/>
                <w:szCs w:val="22"/>
              </w:rPr>
              <w:t>46,4%</w:t>
            </w:r>
          </w:p>
        </w:tc>
        <w:tc>
          <w:tcPr>
            <w:tcW w:w="1547" w:type="dxa"/>
            <w:tcBorders>
              <w:top w:val="nil"/>
              <w:left w:val="nil"/>
              <w:bottom w:val="single" w:sz="4" w:space="0" w:color="auto"/>
              <w:right w:val="single" w:sz="4" w:space="0" w:color="auto"/>
            </w:tcBorders>
            <w:shd w:val="clear" w:color="auto" w:fill="auto"/>
            <w:noWrap/>
            <w:vAlign w:val="bottom"/>
            <w:hideMark/>
          </w:tcPr>
          <w:p w:rsidR="00347411" w:rsidRDefault="00347411" w:rsidP="00B15F9C">
            <w:pPr>
              <w:rPr>
                <w:rFonts w:ascii="Calibri" w:hAnsi="Calibri" w:cs="Calibri"/>
                <w:color w:val="000000"/>
                <w:sz w:val="22"/>
                <w:szCs w:val="22"/>
              </w:rPr>
            </w:pPr>
            <w:r>
              <w:rPr>
                <w:rFonts w:ascii="Calibri" w:hAnsi="Calibri" w:cs="Calibri"/>
                <w:color w:val="000000"/>
                <w:sz w:val="22"/>
                <w:szCs w:val="22"/>
              </w:rPr>
              <w:t xml:space="preserve"> $ 34.498.569 </w:t>
            </w:r>
          </w:p>
        </w:tc>
      </w:tr>
      <w:tr w:rsidR="00202556" w:rsidTr="00202556">
        <w:trPr>
          <w:trHeight w:val="288"/>
        </w:trPr>
        <w:tc>
          <w:tcPr>
            <w:tcW w:w="4678" w:type="dxa"/>
            <w:tcBorders>
              <w:top w:val="nil"/>
              <w:left w:val="single" w:sz="4" w:space="0" w:color="auto"/>
              <w:bottom w:val="single" w:sz="4" w:space="0" w:color="auto"/>
              <w:right w:val="single" w:sz="4" w:space="0" w:color="auto"/>
            </w:tcBorders>
            <w:shd w:val="clear" w:color="auto" w:fill="auto"/>
            <w:noWrap/>
            <w:vAlign w:val="bottom"/>
          </w:tcPr>
          <w:p w:rsidR="00202556" w:rsidRDefault="00202556" w:rsidP="00B15F9C">
            <w:pPr>
              <w:rPr>
                <w:rFonts w:ascii="Calibri" w:hAnsi="Calibri" w:cs="Calibri"/>
                <w:color w:val="000000"/>
                <w:sz w:val="22"/>
                <w:szCs w:val="22"/>
              </w:rPr>
            </w:pPr>
            <w:r>
              <w:rPr>
                <w:rFonts w:ascii="Calibri" w:hAnsi="Calibri" w:cs="Calibri"/>
                <w:color w:val="000000"/>
                <w:sz w:val="22"/>
                <w:szCs w:val="22"/>
              </w:rPr>
              <w:t xml:space="preserve">Básico – excluindo aumento na arrecadação </w:t>
            </w:r>
          </w:p>
        </w:tc>
        <w:tc>
          <w:tcPr>
            <w:tcW w:w="1417" w:type="dxa"/>
            <w:tcBorders>
              <w:top w:val="nil"/>
              <w:left w:val="nil"/>
              <w:bottom w:val="single" w:sz="4" w:space="0" w:color="auto"/>
              <w:right w:val="single" w:sz="4" w:space="0" w:color="auto"/>
            </w:tcBorders>
            <w:shd w:val="clear" w:color="auto" w:fill="auto"/>
            <w:noWrap/>
            <w:vAlign w:val="bottom"/>
          </w:tcPr>
          <w:p w:rsidR="00202556" w:rsidRDefault="00202556" w:rsidP="00B15F9C">
            <w:pPr>
              <w:jc w:val="center"/>
              <w:rPr>
                <w:rFonts w:ascii="Calibri" w:hAnsi="Calibri" w:cs="Calibri"/>
                <w:color w:val="000000"/>
                <w:sz w:val="22"/>
                <w:szCs w:val="22"/>
              </w:rPr>
            </w:pPr>
            <w:r>
              <w:rPr>
                <w:rFonts w:ascii="Calibri" w:hAnsi="Calibri" w:cs="Calibri"/>
                <w:color w:val="000000"/>
                <w:sz w:val="22"/>
                <w:szCs w:val="22"/>
              </w:rPr>
              <w:t>23.8%</w:t>
            </w:r>
          </w:p>
        </w:tc>
        <w:tc>
          <w:tcPr>
            <w:tcW w:w="1547" w:type="dxa"/>
            <w:tcBorders>
              <w:top w:val="nil"/>
              <w:left w:val="nil"/>
              <w:bottom w:val="single" w:sz="4" w:space="0" w:color="auto"/>
              <w:right w:val="single" w:sz="4" w:space="0" w:color="auto"/>
            </w:tcBorders>
            <w:shd w:val="clear" w:color="auto" w:fill="auto"/>
            <w:noWrap/>
            <w:vAlign w:val="bottom"/>
          </w:tcPr>
          <w:p w:rsidR="00202556" w:rsidRDefault="00202556" w:rsidP="00B15F9C">
            <w:pPr>
              <w:rPr>
                <w:rFonts w:ascii="Calibri" w:hAnsi="Calibri" w:cs="Calibri"/>
                <w:color w:val="000000"/>
                <w:sz w:val="22"/>
                <w:szCs w:val="22"/>
              </w:rPr>
            </w:pPr>
            <w:r>
              <w:rPr>
                <w:rFonts w:ascii="Calibri" w:hAnsi="Calibri" w:cs="Calibri"/>
                <w:color w:val="000000"/>
                <w:sz w:val="22"/>
                <w:szCs w:val="22"/>
              </w:rPr>
              <w:t>$ 10.360.643</w:t>
            </w:r>
          </w:p>
        </w:tc>
      </w:tr>
      <w:tr w:rsidR="00202556" w:rsidTr="00202556">
        <w:trPr>
          <w:trHeight w:val="288"/>
        </w:trPr>
        <w:tc>
          <w:tcPr>
            <w:tcW w:w="4678" w:type="dxa"/>
            <w:tcBorders>
              <w:top w:val="nil"/>
              <w:left w:val="single" w:sz="4" w:space="0" w:color="auto"/>
              <w:bottom w:val="single" w:sz="4" w:space="0" w:color="auto"/>
              <w:right w:val="single" w:sz="4" w:space="0" w:color="auto"/>
            </w:tcBorders>
            <w:shd w:val="clear" w:color="auto" w:fill="auto"/>
            <w:noWrap/>
            <w:vAlign w:val="bottom"/>
          </w:tcPr>
          <w:p w:rsidR="00202556" w:rsidRDefault="00202556" w:rsidP="00B15F9C">
            <w:pPr>
              <w:rPr>
                <w:rFonts w:ascii="Calibri" w:hAnsi="Calibri" w:cs="Calibri"/>
                <w:color w:val="000000"/>
                <w:sz w:val="22"/>
                <w:szCs w:val="22"/>
              </w:rPr>
            </w:pPr>
            <w:r>
              <w:rPr>
                <w:rFonts w:ascii="Calibri" w:hAnsi="Calibri" w:cs="Calibri"/>
                <w:color w:val="000000"/>
                <w:sz w:val="22"/>
                <w:szCs w:val="22"/>
              </w:rPr>
              <w:t xml:space="preserve">Básico – benefícios adiados em um ano </w:t>
            </w:r>
          </w:p>
        </w:tc>
        <w:tc>
          <w:tcPr>
            <w:tcW w:w="1417" w:type="dxa"/>
            <w:tcBorders>
              <w:top w:val="nil"/>
              <w:left w:val="nil"/>
              <w:bottom w:val="single" w:sz="4" w:space="0" w:color="auto"/>
              <w:right w:val="single" w:sz="4" w:space="0" w:color="auto"/>
            </w:tcBorders>
            <w:shd w:val="clear" w:color="auto" w:fill="auto"/>
            <w:noWrap/>
            <w:vAlign w:val="bottom"/>
          </w:tcPr>
          <w:p w:rsidR="00202556" w:rsidRDefault="00202556" w:rsidP="00B15F9C">
            <w:pPr>
              <w:jc w:val="center"/>
              <w:rPr>
                <w:rFonts w:ascii="Calibri" w:hAnsi="Calibri" w:cs="Calibri"/>
                <w:color w:val="000000"/>
                <w:sz w:val="22"/>
                <w:szCs w:val="22"/>
              </w:rPr>
            </w:pPr>
            <w:r>
              <w:rPr>
                <w:rFonts w:ascii="Calibri" w:hAnsi="Calibri" w:cs="Calibri"/>
                <w:color w:val="000000"/>
                <w:sz w:val="22"/>
                <w:szCs w:val="22"/>
              </w:rPr>
              <w:t>25,8%</w:t>
            </w:r>
          </w:p>
        </w:tc>
        <w:tc>
          <w:tcPr>
            <w:tcW w:w="1547" w:type="dxa"/>
            <w:tcBorders>
              <w:top w:val="nil"/>
              <w:left w:val="nil"/>
              <w:bottom w:val="single" w:sz="4" w:space="0" w:color="auto"/>
              <w:right w:val="single" w:sz="4" w:space="0" w:color="auto"/>
            </w:tcBorders>
            <w:shd w:val="clear" w:color="auto" w:fill="auto"/>
            <w:noWrap/>
            <w:vAlign w:val="bottom"/>
          </w:tcPr>
          <w:p w:rsidR="00202556" w:rsidRDefault="00202556" w:rsidP="00B15F9C">
            <w:pPr>
              <w:rPr>
                <w:rFonts w:ascii="Calibri" w:hAnsi="Calibri" w:cs="Calibri"/>
                <w:color w:val="000000"/>
                <w:sz w:val="22"/>
                <w:szCs w:val="22"/>
              </w:rPr>
            </w:pPr>
            <w:r>
              <w:rPr>
                <w:rFonts w:ascii="Calibri" w:hAnsi="Calibri" w:cs="Calibri"/>
                <w:color w:val="000000"/>
                <w:sz w:val="22"/>
                <w:szCs w:val="22"/>
              </w:rPr>
              <w:t>$ 18.639.937</w:t>
            </w:r>
          </w:p>
        </w:tc>
      </w:tr>
      <w:tr w:rsidR="00347411" w:rsidTr="00202556">
        <w:trPr>
          <w:trHeight w:val="288"/>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rsidR="00347411" w:rsidRDefault="00347411" w:rsidP="00B15F9C">
            <w:pPr>
              <w:rPr>
                <w:rFonts w:ascii="Calibri" w:hAnsi="Calibri" w:cs="Calibri"/>
                <w:color w:val="000000"/>
                <w:sz w:val="22"/>
                <w:szCs w:val="22"/>
              </w:rPr>
            </w:pPr>
            <w:r>
              <w:rPr>
                <w:rFonts w:ascii="Calibri" w:hAnsi="Calibri" w:cs="Calibri"/>
                <w:color w:val="000000"/>
                <w:sz w:val="22"/>
                <w:szCs w:val="22"/>
              </w:rPr>
              <w:t>Desvalorização</w:t>
            </w:r>
          </w:p>
        </w:tc>
        <w:tc>
          <w:tcPr>
            <w:tcW w:w="1417" w:type="dxa"/>
            <w:tcBorders>
              <w:top w:val="nil"/>
              <w:left w:val="nil"/>
              <w:bottom w:val="single" w:sz="4" w:space="0" w:color="auto"/>
              <w:right w:val="single" w:sz="4" w:space="0" w:color="auto"/>
            </w:tcBorders>
            <w:shd w:val="clear" w:color="auto" w:fill="auto"/>
            <w:noWrap/>
            <w:vAlign w:val="bottom"/>
            <w:hideMark/>
          </w:tcPr>
          <w:p w:rsidR="00347411" w:rsidRDefault="00347411" w:rsidP="00B15F9C">
            <w:pPr>
              <w:jc w:val="center"/>
              <w:rPr>
                <w:rFonts w:ascii="Calibri" w:hAnsi="Calibri" w:cs="Calibri"/>
                <w:color w:val="000000"/>
                <w:sz w:val="22"/>
                <w:szCs w:val="22"/>
              </w:rPr>
            </w:pPr>
            <w:r>
              <w:rPr>
                <w:rFonts w:ascii="Calibri" w:hAnsi="Calibri" w:cs="Calibri"/>
                <w:color w:val="000000"/>
                <w:sz w:val="22"/>
                <w:szCs w:val="22"/>
              </w:rPr>
              <w:t>32,3%</w:t>
            </w:r>
          </w:p>
        </w:tc>
        <w:tc>
          <w:tcPr>
            <w:tcW w:w="1547" w:type="dxa"/>
            <w:tcBorders>
              <w:top w:val="nil"/>
              <w:left w:val="nil"/>
              <w:bottom w:val="single" w:sz="4" w:space="0" w:color="auto"/>
              <w:right w:val="single" w:sz="4" w:space="0" w:color="auto"/>
            </w:tcBorders>
            <w:shd w:val="clear" w:color="auto" w:fill="auto"/>
            <w:noWrap/>
            <w:vAlign w:val="bottom"/>
            <w:hideMark/>
          </w:tcPr>
          <w:p w:rsidR="00347411" w:rsidRDefault="00202556" w:rsidP="00B15F9C">
            <w:pPr>
              <w:rPr>
                <w:rFonts w:ascii="Calibri" w:hAnsi="Calibri" w:cs="Calibri"/>
                <w:color w:val="000000"/>
                <w:sz w:val="22"/>
                <w:szCs w:val="22"/>
              </w:rPr>
            </w:pPr>
            <w:r>
              <w:rPr>
                <w:rFonts w:ascii="Calibri" w:hAnsi="Calibri" w:cs="Calibri"/>
                <w:color w:val="000000"/>
                <w:sz w:val="22"/>
                <w:szCs w:val="22"/>
              </w:rPr>
              <w:t>$ 20.293.089</w:t>
            </w:r>
            <w:r w:rsidR="00347411">
              <w:rPr>
                <w:rFonts w:ascii="Calibri" w:hAnsi="Calibri" w:cs="Calibri"/>
                <w:color w:val="000000"/>
                <w:sz w:val="22"/>
                <w:szCs w:val="22"/>
              </w:rPr>
              <w:t xml:space="preserve"> </w:t>
            </w:r>
          </w:p>
        </w:tc>
      </w:tr>
      <w:tr w:rsidR="00347411" w:rsidTr="00202556">
        <w:trPr>
          <w:trHeight w:val="288"/>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rsidR="00347411" w:rsidRDefault="00347411" w:rsidP="00B15F9C">
            <w:pPr>
              <w:rPr>
                <w:rFonts w:ascii="Calibri" w:hAnsi="Calibri" w:cs="Calibri"/>
                <w:color w:val="000000"/>
                <w:sz w:val="22"/>
                <w:szCs w:val="22"/>
              </w:rPr>
            </w:pPr>
            <w:r>
              <w:rPr>
                <w:rFonts w:ascii="Calibri" w:hAnsi="Calibri" w:cs="Calibri"/>
                <w:color w:val="000000"/>
                <w:sz w:val="22"/>
                <w:szCs w:val="22"/>
              </w:rPr>
              <w:t>Redução benefícios</w:t>
            </w:r>
          </w:p>
        </w:tc>
        <w:tc>
          <w:tcPr>
            <w:tcW w:w="1417" w:type="dxa"/>
            <w:tcBorders>
              <w:top w:val="nil"/>
              <w:left w:val="nil"/>
              <w:bottom w:val="single" w:sz="4" w:space="0" w:color="auto"/>
              <w:right w:val="single" w:sz="4" w:space="0" w:color="auto"/>
            </w:tcBorders>
            <w:shd w:val="clear" w:color="auto" w:fill="auto"/>
            <w:noWrap/>
            <w:vAlign w:val="bottom"/>
            <w:hideMark/>
          </w:tcPr>
          <w:p w:rsidR="00347411" w:rsidRDefault="00347411" w:rsidP="00B15F9C">
            <w:pPr>
              <w:jc w:val="center"/>
              <w:rPr>
                <w:rFonts w:ascii="Calibri" w:hAnsi="Calibri" w:cs="Calibri"/>
                <w:color w:val="000000"/>
                <w:sz w:val="22"/>
                <w:szCs w:val="22"/>
              </w:rPr>
            </w:pPr>
            <w:r>
              <w:rPr>
                <w:rFonts w:ascii="Calibri" w:hAnsi="Calibri" w:cs="Calibri"/>
                <w:color w:val="000000"/>
                <w:sz w:val="22"/>
                <w:szCs w:val="22"/>
              </w:rPr>
              <w:t>21,1%</w:t>
            </w:r>
          </w:p>
        </w:tc>
        <w:tc>
          <w:tcPr>
            <w:tcW w:w="1547" w:type="dxa"/>
            <w:tcBorders>
              <w:top w:val="nil"/>
              <w:left w:val="nil"/>
              <w:bottom w:val="single" w:sz="4" w:space="0" w:color="auto"/>
              <w:right w:val="single" w:sz="4" w:space="0" w:color="auto"/>
            </w:tcBorders>
            <w:shd w:val="clear" w:color="auto" w:fill="auto"/>
            <w:noWrap/>
            <w:vAlign w:val="bottom"/>
            <w:hideMark/>
          </w:tcPr>
          <w:p w:rsidR="00347411" w:rsidRDefault="00347411" w:rsidP="00B15F9C">
            <w:pPr>
              <w:rPr>
                <w:rFonts w:ascii="Calibri" w:hAnsi="Calibri" w:cs="Calibri"/>
                <w:color w:val="000000"/>
                <w:sz w:val="22"/>
                <w:szCs w:val="22"/>
              </w:rPr>
            </w:pPr>
            <w:r>
              <w:rPr>
                <w:rFonts w:ascii="Calibri" w:hAnsi="Calibri" w:cs="Calibri"/>
                <w:color w:val="000000"/>
                <w:sz w:val="22"/>
                <w:szCs w:val="22"/>
              </w:rPr>
              <w:t xml:space="preserve">$    8.778.385 </w:t>
            </w:r>
          </w:p>
        </w:tc>
      </w:tr>
      <w:tr w:rsidR="00347411" w:rsidTr="00202556">
        <w:trPr>
          <w:trHeight w:val="288"/>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rsidR="00347411" w:rsidRDefault="00347411" w:rsidP="00B15F9C">
            <w:pPr>
              <w:rPr>
                <w:rFonts w:ascii="Calibri" w:hAnsi="Calibri" w:cs="Calibri"/>
                <w:color w:val="000000"/>
                <w:sz w:val="22"/>
                <w:szCs w:val="22"/>
              </w:rPr>
            </w:pPr>
            <w:r>
              <w:rPr>
                <w:rFonts w:ascii="Calibri" w:hAnsi="Calibri" w:cs="Calibri"/>
                <w:color w:val="000000"/>
                <w:sz w:val="22"/>
                <w:szCs w:val="22"/>
              </w:rPr>
              <w:t>Duplo</w:t>
            </w:r>
          </w:p>
        </w:tc>
        <w:tc>
          <w:tcPr>
            <w:tcW w:w="1417" w:type="dxa"/>
            <w:tcBorders>
              <w:top w:val="nil"/>
              <w:left w:val="nil"/>
              <w:bottom w:val="single" w:sz="4" w:space="0" w:color="auto"/>
              <w:right w:val="single" w:sz="4" w:space="0" w:color="auto"/>
            </w:tcBorders>
            <w:shd w:val="clear" w:color="auto" w:fill="auto"/>
            <w:noWrap/>
            <w:vAlign w:val="bottom"/>
            <w:hideMark/>
          </w:tcPr>
          <w:p w:rsidR="00347411" w:rsidRDefault="00347411" w:rsidP="00B15F9C">
            <w:pPr>
              <w:jc w:val="center"/>
              <w:rPr>
                <w:rFonts w:ascii="Calibri" w:hAnsi="Calibri" w:cs="Calibri"/>
                <w:color w:val="000000"/>
                <w:sz w:val="22"/>
                <w:szCs w:val="22"/>
              </w:rPr>
            </w:pPr>
            <w:r>
              <w:rPr>
                <w:rFonts w:ascii="Calibri" w:hAnsi="Calibri" w:cs="Calibri"/>
                <w:color w:val="000000"/>
                <w:sz w:val="22"/>
                <w:szCs w:val="22"/>
              </w:rPr>
              <w:t>11,9%</w:t>
            </w:r>
          </w:p>
        </w:tc>
        <w:tc>
          <w:tcPr>
            <w:tcW w:w="1547" w:type="dxa"/>
            <w:tcBorders>
              <w:top w:val="nil"/>
              <w:left w:val="nil"/>
              <w:bottom w:val="single" w:sz="4" w:space="0" w:color="auto"/>
              <w:right w:val="single" w:sz="4" w:space="0" w:color="auto"/>
            </w:tcBorders>
            <w:shd w:val="clear" w:color="auto" w:fill="auto"/>
            <w:noWrap/>
            <w:vAlign w:val="bottom"/>
            <w:hideMark/>
          </w:tcPr>
          <w:p w:rsidR="00347411" w:rsidRDefault="00347411" w:rsidP="00B15F9C">
            <w:pPr>
              <w:rPr>
                <w:rFonts w:ascii="Calibri" w:hAnsi="Calibri" w:cs="Calibri"/>
                <w:color w:val="000000"/>
                <w:sz w:val="22"/>
                <w:szCs w:val="22"/>
              </w:rPr>
            </w:pPr>
            <w:r>
              <w:rPr>
                <w:rFonts w:ascii="Calibri" w:hAnsi="Calibri" w:cs="Calibri"/>
                <w:color w:val="000000"/>
                <w:sz w:val="22"/>
                <w:szCs w:val="22"/>
              </w:rPr>
              <w:t xml:space="preserve">$    1.991.074 </w:t>
            </w:r>
          </w:p>
        </w:tc>
      </w:tr>
      <w:tr w:rsidR="00347411" w:rsidTr="00B15F9C">
        <w:trPr>
          <w:trHeight w:val="288"/>
        </w:trPr>
        <w:tc>
          <w:tcPr>
            <w:tcW w:w="7642" w:type="dxa"/>
            <w:gridSpan w:val="3"/>
            <w:tcBorders>
              <w:top w:val="single" w:sz="4" w:space="0" w:color="auto"/>
              <w:left w:val="nil"/>
              <w:bottom w:val="nil"/>
              <w:right w:val="nil"/>
            </w:tcBorders>
            <w:shd w:val="clear" w:color="auto" w:fill="auto"/>
            <w:noWrap/>
            <w:vAlign w:val="center"/>
            <w:hideMark/>
          </w:tcPr>
          <w:p w:rsidR="00347411" w:rsidRDefault="00347411" w:rsidP="00B15F9C">
            <w:pPr>
              <w:jc w:val="center"/>
              <w:rPr>
                <w:rFonts w:ascii="Calibri" w:hAnsi="Calibri" w:cs="Calibri"/>
                <w:sz w:val="18"/>
                <w:szCs w:val="18"/>
              </w:rPr>
            </w:pPr>
            <w:r>
              <w:rPr>
                <w:rFonts w:ascii="Calibri" w:hAnsi="Calibri" w:cs="Calibri"/>
                <w:sz w:val="18"/>
                <w:szCs w:val="18"/>
              </w:rPr>
              <w:t>Fonte: Fonte: Cálculos do autor para o Cenário Básico da Análise Custo-Benefício</w:t>
            </w:r>
          </w:p>
        </w:tc>
      </w:tr>
    </w:tbl>
    <w:p w:rsidR="004402DD" w:rsidRDefault="004402DD" w:rsidP="004402DD">
      <w:pPr>
        <w:keepNext/>
        <w:suppressAutoHyphens/>
        <w:spacing w:before="120"/>
        <w:jc w:val="both"/>
        <w:outlineLvl w:val="3"/>
        <w:rPr>
          <w:bCs/>
          <w:lang w:eastAsia="es-ES"/>
        </w:rPr>
      </w:pPr>
    </w:p>
    <w:p w:rsidR="00E56A90" w:rsidRPr="00BF10D7" w:rsidRDefault="00E56A90" w:rsidP="00E56A90">
      <w:pPr>
        <w:spacing w:before="120" w:after="120"/>
        <w:contextualSpacing/>
        <w:rPr>
          <w:rFonts w:ascii="Arial" w:hAnsi="Arial" w:cs="Arial"/>
          <w:b/>
          <w:smallCaps/>
          <w:lang w:val="es-ES_tradnl"/>
        </w:rPr>
      </w:pPr>
      <w:r w:rsidRPr="00BF10D7">
        <w:rPr>
          <w:rFonts w:ascii="Arial" w:hAnsi="Arial" w:cs="Arial"/>
          <w:b/>
          <w:smallCaps/>
          <w:lang w:val="es-ES_tradnl"/>
        </w:rPr>
        <w:t>Referencias</w:t>
      </w:r>
    </w:p>
    <w:p w:rsidR="00E56A90" w:rsidRPr="00BF10D7" w:rsidRDefault="00E56A90" w:rsidP="00E56A90">
      <w:pPr>
        <w:spacing w:before="120" w:after="120"/>
        <w:contextualSpacing/>
        <w:rPr>
          <w:rFonts w:ascii="Arial" w:hAnsi="Arial" w:cs="Arial"/>
          <w:b/>
          <w:smallCaps/>
          <w:sz w:val="22"/>
          <w:szCs w:val="22"/>
          <w:lang w:val="es-ES_tradnl"/>
        </w:rPr>
      </w:pPr>
    </w:p>
    <w:p w:rsidR="00E56A90" w:rsidRPr="00B4232F" w:rsidRDefault="00E56A90" w:rsidP="00B4232F">
      <w:pPr>
        <w:pStyle w:val="ListParagraph"/>
        <w:numPr>
          <w:ilvl w:val="0"/>
          <w:numId w:val="14"/>
        </w:numPr>
        <w:spacing w:before="60" w:after="60"/>
        <w:ind w:left="273" w:hanging="187"/>
        <w:rPr>
          <w:rFonts w:ascii="Arial" w:eastAsiaTheme="minorHAnsi" w:hAnsi="Arial" w:cs="Arial"/>
          <w:spacing w:val="-3"/>
          <w:sz w:val="22"/>
          <w:szCs w:val="22"/>
          <w:lang w:val="es-ES_tradnl" w:eastAsia="zh-CN"/>
        </w:rPr>
      </w:pPr>
      <w:r w:rsidRPr="00B4232F">
        <w:rPr>
          <w:rFonts w:ascii="Arial" w:eastAsiaTheme="minorHAnsi" w:hAnsi="Arial" w:cs="Arial"/>
          <w:spacing w:val="-3"/>
          <w:sz w:val="22"/>
          <w:szCs w:val="22"/>
          <w:lang w:val="es-ES_tradnl" w:eastAsia="zh-CN"/>
        </w:rPr>
        <w:t xml:space="preserve">Comissão Europeia (2003) - </w:t>
      </w:r>
      <w:hyperlink r:id="rId19" w:history="1">
        <w:r w:rsidRPr="00B4232F">
          <w:rPr>
            <w:rStyle w:val="Hyperlink"/>
            <w:rFonts w:ascii="Arial" w:eastAsiaTheme="minorHAnsi" w:hAnsi="Arial" w:cs="Arial"/>
            <w:spacing w:val="-3"/>
            <w:sz w:val="22"/>
            <w:szCs w:val="22"/>
            <w:lang w:val="es-ES_tradnl" w:eastAsia="zh-CN"/>
          </w:rPr>
          <w:t>Guía del análisis costos-beneficios de los proyectos de inversión” de la Comisión Europea</w:t>
        </w:r>
      </w:hyperlink>
      <w:r w:rsidRPr="00B4232F">
        <w:rPr>
          <w:rFonts w:ascii="Arial" w:eastAsiaTheme="minorHAnsi" w:hAnsi="Arial" w:cs="Arial"/>
          <w:spacing w:val="-3"/>
          <w:sz w:val="22"/>
          <w:szCs w:val="22"/>
          <w:lang w:val="es-ES_tradnl" w:eastAsia="zh-CN"/>
        </w:rPr>
        <w:t xml:space="preserve">. </w:t>
      </w:r>
    </w:p>
    <w:p w:rsidR="00E56A90" w:rsidRPr="00B4232F" w:rsidRDefault="00E56A90" w:rsidP="00B4232F">
      <w:pPr>
        <w:pStyle w:val="ListParagraph"/>
        <w:numPr>
          <w:ilvl w:val="0"/>
          <w:numId w:val="14"/>
        </w:numPr>
        <w:spacing w:before="60" w:after="60"/>
        <w:ind w:left="273" w:hanging="187"/>
        <w:rPr>
          <w:rFonts w:ascii="Arial" w:hAnsi="Arial" w:cs="Arial"/>
          <w:sz w:val="22"/>
          <w:szCs w:val="22"/>
        </w:rPr>
      </w:pPr>
      <w:r w:rsidRPr="00B4232F">
        <w:rPr>
          <w:rFonts w:ascii="Arial" w:hAnsi="Arial" w:cs="Arial"/>
          <w:sz w:val="22"/>
          <w:szCs w:val="22"/>
        </w:rPr>
        <w:t>IBGE (2016) – Contas Regionais do Brasil link: ttps://ww2.ibge.gov.br/home/estatistica/economia/contasregionais/2014/default_xls.shtm</w:t>
      </w:r>
      <w:r w:rsidR="00B4232F">
        <w:rPr>
          <w:rFonts w:ascii="Arial" w:hAnsi="Arial" w:cs="Arial"/>
          <w:sz w:val="22"/>
          <w:szCs w:val="22"/>
        </w:rPr>
        <w:t>.</w:t>
      </w:r>
    </w:p>
    <w:p w:rsidR="00E56A90" w:rsidRPr="00B4232F" w:rsidRDefault="00E56A90" w:rsidP="00B4232F">
      <w:pPr>
        <w:pStyle w:val="ListParagraph"/>
        <w:numPr>
          <w:ilvl w:val="0"/>
          <w:numId w:val="14"/>
        </w:numPr>
        <w:spacing w:before="60" w:after="60"/>
        <w:ind w:left="273" w:hanging="187"/>
        <w:jc w:val="both"/>
        <w:rPr>
          <w:rFonts w:ascii="Arial" w:eastAsiaTheme="minorHAnsi" w:hAnsi="Arial" w:cs="Arial"/>
          <w:spacing w:val="-3"/>
          <w:sz w:val="22"/>
          <w:szCs w:val="22"/>
          <w:lang w:eastAsia="zh-CN"/>
        </w:rPr>
      </w:pPr>
      <w:r w:rsidRPr="00B4232F">
        <w:rPr>
          <w:rFonts w:ascii="Arial" w:eastAsiaTheme="minorHAnsi" w:hAnsi="Arial" w:cs="Arial"/>
          <w:spacing w:val="-3"/>
          <w:sz w:val="22"/>
          <w:szCs w:val="22"/>
          <w:lang w:eastAsia="zh-CN"/>
        </w:rPr>
        <w:t>Secretaria do Tesouro Nacional (2017). Boletim de Finanças subnacionais 2016. Agosto de 2017.</w:t>
      </w:r>
    </w:p>
    <w:p w:rsidR="00E56A90" w:rsidRPr="00B4232F" w:rsidRDefault="00E56A90" w:rsidP="00B4232F">
      <w:pPr>
        <w:pStyle w:val="ListParagraph"/>
        <w:numPr>
          <w:ilvl w:val="0"/>
          <w:numId w:val="14"/>
        </w:numPr>
        <w:spacing w:before="60" w:after="60"/>
        <w:ind w:left="273" w:hanging="187"/>
        <w:jc w:val="both"/>
        <w:rPr>
          <w:rFonts w:ascii="Arial" w:hAnsi="Arial" w:cs="Arial"/>
          <w:bCs/>
          <w:sz w:val="22"/>
          <w:szCs w:val="22"/>
          <w:lang w:eastAsia="es-ES"/>
        </w:rPr>
      </w:pPr>
      <w:r w:rsidRPr="00B4232F">
        <w:rPr>
          <w:rFonts w:ascii="Arial" w:hAnsi="Arial" w:cs="Arial"/>
          <w:bCs/>
          <w:sz w:val="22"/>
          <w:szCs w:val="22"/>
          <w:lang w:eastAsia="es-ES"/>
        </w:rPr>
        <w:t>SEFAZ-PE (2016-2) - Relatórios Fiscais da SEFAZ/PE para a arrecadação da área de trânsito de mercadorias para 2016. Secretaria de Estado Da Fazenda, Estado de Pernambuco, Dezembro de 2016.</w:t>
      </w:r>
    </w:p>
    <w:p w:rsidR="004402DD" w:rsidRPr="00B4232F" w:rsidRDefault="00E56A90" w:rsidP="00B4232F">
      <w:pPr>
        <w:pStyle w:val="ListParagraph"/>
        <w:numPr>
          <w:ilvl w:val="0"/>
          <w:numId w:val="14"/>
        </w:numPr>
        <w:spacing w:before="60" w:after="60"/>
        <w:ind w:left="273" w:hanging="187"/>
        <w:jc w:val="both"/>
        <w:rPr>
          <w:bCs/>
          <w:lang w:eastAsia="es-ES"/>
        </w:rPr>
      </w:pPr>
      <w:r w:rsidRPr="00B4232F">
        <w:rPr>
          <w:rFonts w:ascii="Arial" w:hAnsi="Arial" w:cs="Arial"/>
          <w:bCs/>
          <w:sz w:val="22"/>
          <w:szCs w:val="22"/>
          <w:lang w:eastAsia="es-ES"/>
        </w:rPr>
        <w:t>SEFAZ-GO 2016/17 – Relatórios Fiscais semestrais de Arrecadação do Trânsito dos primeiros semestres de 2016 e</w:t>
      </w:r>
      <w:bookmarkStart w:id="33" w:name="_GoBack"/>
      <w:bookmarkEnd w:id="33"/>
      <w:r w:rsidRPr="00B4232F">
        <w:rPr>
          <w:rFonts w:ascii="Arial" w:hAnsi="Arial" w:cs="Arial"/>
          <w:bCs/>
          <w:sz w:val="22"/>
          <w:szCs w:val="22"/>
          <w:lang w:eastAsia="es-ES"/>
        </w:rPr>
        <w:t xml:space="preserve"> 2017. Estado de Goiás.</w:t>
      </w:r>
      <w:r w:rsidR="009D3A39" w:rsidRPr="00B4232F">
        <w:rPr>
          <w:rFonts w:ascii="Arial" w:hAnsi="Arial" w:cs="Arial"/>
          <w:bCs/>
          <w:sz w:val="22"/>
          <w:szCs w:val="22"/>
          <w:lang w:eastAsia="es-ES"/>
        </w:rPr>
        <w:t xml:space="preserve"> </w:t>
      </w:r>
    </w:p>
    <w:sectPr w:rsidR="004402DD" w:rsidRPr="00B4232F" w:rsidSect="007459E7">
      <w:head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4138" w:rsidRDefault="00134138" w:rsidP="00D60DB6">
      <w:r>
        <w:separator/>
      </w:r>
    </w:p>
  </w:endnote>
  <w:endnote w:type="continuationSeparator" w:id="0">
    <w:p w:rsidR="00134138" w:rsidRDefault="00134138" w:rsidP="00D6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4138" w:rsidRDefault="00134138" w:rsidP="00D60DB6">
      <w:r>
        <w:separator/>
      </w:r>
    </w:p>
  </w:footnote>
  <w:footnote w:type="continuationSeparator" w:id="0">
    <w:p w:rsidR="00134138" w:rsidRDefault="00134138" w:rsidP="00D60DB6">
      <w:r>
        <w:continuationSeparator/>
      </w:r>
    </w:p>
  </w:footnote>
  <w:footnote w:id="1">
    <w:p w:rsidR="001B7438" w:rsidRPr="00FA63AC" w:rsidRDefault="001B7438" w:rsidP="00FA63AC">
      <w:pPr>
        <w:pStyle w:val="FootnoteText"/>
        <w:ind w:left="374" w:hanging="187"/>
        <w:jc w:val="both"/>
        <w:rPr>
          <w:sz w:val="18"/>
          <w:szCs w:val="18"/>
        </w:rPr>
      </w:pPr>
      <w:r w:rsidRPr="00FA63AC">
        <w:rPr>
          <w:rStyle w:val="FootnoteReference"/>
          <w:sz w:val="18"/>
          <w:szCs w:val="18"/>
        </w:rPr>
        <w:footnoteRef/>
      </w:r>
      <w:r w:rsidRPr="00FA63AC">
        <w:rPr>
          <w:sz w:val="18"/>
          <w:szCs w:val="18"/>
        </w:rPr>
        <w:t xml:space="preserve"> </w:t>
      </w:r>
      <w:r w:rsidR="00FA63AC" w:rsidRPr="00FA63AC">
        <w:rPr>
          <w:sz w:val="18"/>
          <w:szCs w:val="18"/>
        </w:rPr>
        <w:tab/>
      </w:r>
      <w:r w:rsidRPr="00FA63AC">
        <w:rPr>
          <w:bCs/>
          <w:sz w:val="18"/>
          <w:szCs w:val="18"/>
          <w:lang w:eastAsia="es-ES"/>
        </w:rPr>
        <w:t>Sistema de registro, monitoramento e controle das notas fiscais/faturas de fornecedores</w:t>
      </w:r>
      <w:r w:rsidR="00FA63AC" w:rsidRPr="00FA63AC">
        <w:rPr>
          <w:bCs/>
          <w:sz w:val="18"/>
          <w:szCs w:val="18"/>
          <w:lang w:eastAsia="es-ES"/>
        </w:rPr>
        <w:t>.</w:t>
      </w:r>
    </w:p>
  </w:footnote>
  <w:footnote w:id="2">
    <w:p w:rsidR="001B7438" w:rsidRPr="00FA63AC" w:rsidRDefault="001B7438" w:rsidP="00FA63AC">
      <w:pPr>
        <w:pStyle w:val="FootnoteText"/>
        <w:ind w:left="374" w:hanging="187"/>
        <w:jc w:val="both"/>
        <w:rPr>
          <w:sz w:val="18"/>
          <w:szCs w:val="18"/>
        </w:rPr>
      </w:pPr>
      <w:r w:rsidRPr="00FA63AC">
        <w:rPr>
          <w:rStyle w:val="FootnoteReference"/>
          <w:sz w:val="18"/>
          <w:szCs w:val="18"/>
        </w:rPr>
        <w:footnoteRef/>
      </w:r>
      <w:r w:rsidRPr="00FA63AC">
        <w:rPr>
          <w:sz w:val="18"/>
          <w:szCs w:val="18"/>
        </w:rPr>
        <w:t xml:space="preserve"> </w:t>
      </w:r>
      <w:r w:rsidR="00FA63AC" w:rsidRPr="00FA63AC">
        <w:rPr>
          <w:sz w:val="18"/>
          <w:szCs w:val="18"/>
        </w:rPr>
        <w:tab/>
      </w:r>
      <w:r w:rsidRPr="00FA63AC">
        <w:rPr>
          <w:sz w:val="18"/>
          <w:szCs w:val="18"/>
        </w:rPr>
        <w:t>O IBGE estima uma população de 9.473.266 habitantes em 2017.</w:t>
      </w:r>
    </w:p>
  </w:footnote>
  <w:footnote w:id="3">
    <w:p w:rsidR="001B7438" w:rsidRPr="00FA63AC" w:rsidRDefault="001B7438" w:rsidP="00FA63AC">
      <w:pPr>
        <w:pStyle w:val="FootnoteText"/>
        <w:ind w:left="374" w:hanging="187"/>
        <w:jc w:val="both"/>
        <w:rPr>
          <w:sz w:val="18"/>
          <w:szCs w:val="18"/>
        </w:rPr>
      </w:pPr>
      <w:r w:rsidRPr="00FA63AC">
        <w:rPr>
          <w:rStyle w:val="FootnoteReference"/>
          <w:sz w:val="18"/>
          <w:szCs w:val="18"/>
        </w:rPr>
        <w:footnoteRef/>
      </w:r>
      <w:r w:rsidRPr="00FA63AC">
        <w:rPr>
          <w:sz w:val="18"/>
          <w:szCs w:val="18"/>
        </w:rPr>
        <w:t xml:space="preserve"> </w:t>
      </w:r>
      <w:r w:rsidR="00FA63AC" w:rsidRPr="00FA63AC">
        <w:rPr>
          <w:sz w:val="18"/>
          <w:szCs w:val="18"/>
        </w:rPr>
        <w:tab/>
      </w:r>
      <w:hyperlink r:id="rId1" w:history="1">
        <w:r w:rsidR="00FA63AC" w:rsidRPr="00FA63AC">
          <w:rPr>
            <w:rStyle w:val="Hyperlink"/>
            <w:sz w:val="18"/>
            <w:szCs w:val="18"/>
          </w:rPr>
          <w:t>https://sidra.ibge.gov.br/tabela/1286#resultado</w:t>
        </w:r>
      </w:hyperlink>
      <w:r w:rsidRPr="00FA63AC">
        <w:rPr>
          <w:sz w:val="18"/>
          <w:szCs w:val="18"/>
        </w:rPr>
        <w:t xml:space="preserve">. </w:t>
      </w:r>
    </w:p>
  </w:footnote>
  <w:footnote w:id="4">
    <w:p w:rsidR="001B7438" w:rsidRPr="00FA63AC" w:rsidRDefault="001B7438" w:rsidP="00FA63AC">
      <w:pPr>
        <w:pStyle w:val="FootnoteText"/>
        <w:ind w:left="374" w:hanging="187"/>
        <w:jc w:val="both"/>
        <w:rPr>
          <w:sz w:val="18"/>
          <w:szCs w:val="18"/>
        </w:rPr>
      </w:pPr>
      <w:r w:rsidRPr="00FA63AC">
        <w:rPr>
          <w:rStyle w:val="FootnoteReference"/>
          <w:sz w:val="18"/>
          <w:szCs w:val="18"/>
        </w:rPr>
        <w:footnoteRef/>
      </w:r>
      <w:r w:rsidRPr="00FA63AC">
        <w:rPr>
          <w:sz w:val="18"/>
          <w:szCs w:val="18"/>
        </w:rPr>
        <w:t xml:space="preserve"> </w:t>
      </w:r>
      <w:r w:rsidR="00FA63AC" w:rsidRPr="00FA63AC">
        <w:rPr>
          <w:sz w:val="18"/>
          <w:szCs w:val="18"/>
        </w:rPr>
        <w:tab/>
      </w:r>
      <w:r w:rsidRPr="00FA63AC">
        <w:rPr>
          <w:sz w:val="18"/>
          <w:szCs w:val="18"/>
        </w:rPr>
        <w:t>A linha de extrema pobreza considerada era equivalente ao rendimento mensal domiciliar per capita nominal até R$70.</w:t>
      </w:r>
    </w:p>
  </w:footnote>
  <w:footnote w:id="5">
    <w:p w:rsidR="001B7438" w:rsidRPr="00FA63AC" w:rsidRDefault="001B7438" w:rsidP="00FA63AC">
      <w:pPr>
        <w:pStyle w:val="FootnoteText"/>
        <w:ind w:left="374" w:hanging="187"/>
        <w:jc w:val="both"/>
        <w:rPr>
          <w:sz w:val="18"/>
          <w:szCs w:val="18"/>
        </w:rPr>
      </w:pPr>
      <w:r w:rsidRPr="00FA63AC">
        <w:rPr>
          <w:rStyle w:val="FootnoteReference"/>
          <w:sz w:val="18"/>
          <w:szCs w:val="18"/>
        </w:rPr>
        <w:footnoteRef/>
      </w:r>
      <w:r w:rsidR="00FA63AC" w:rsidRPr="00FA63AC">
        <w:rPr>
          <w:sz w:val="18"/>
          <w:szCs w:val="18"/>
        </w:rPr>
        <w:t xml:space="preserve"> </w:t>
      </w:r>
      <w:r w:rsidR="00FA63AC" w:rsidRPr="00FA63AC">
        <w:rPr>
          <w:sz w:val="18"/>
          <w:szCs w:val="18"/>
        </w:rPr>
        <w:tab/>
      </w:r>
      <w:r w:rsidRPr="00FA63AC">
        <w:rPr>
          <w:sz w:val="18"/>
          <w:szCs w:val="18"/>
        </w:rPr>
        <w:t xml:space="preserve">PNUD-2013 - </w:t>
      </w:r>
      <w:hyperlink r:id="rId2" w:history="1">
        <w:r w:rsidRPr="00FA63AC">
          <w:rPr>
            <w:rStyle w:val="Hyperlink"/>
            <w:sz w:val="18"/>
            <w:szCs w:val="18"/>
          </w:rPr>
          <w:t>Atlas do Desenvolvimento Humano no Brasil</w:t>
        </w:r>
      </w:hyperlink>
      <w:r w:rsidRPr="00FA63AC">
        <w:rPr>
          <w:sz w:val="18"/>
          <w:szCs w:val="18"/>
        </w:rPr>
        <w:t>.</w:t>
      </w:r>
    </w:p>
  </w:footnote>
  <w:footnote w:id="6">
    <w:p w:rsidR="001B7438" w:rsidRPr="00FA63AC" w:rsidRDefault="001B7438" w:rsidP="00FA63AC">
      <w:pPr>
        <w:pStyle w:val="FootnoteText"/>
        <w:ind w:left="374" w:hanging="187"/>
        <w:jc w:val="both"/>
        <w:rPr>
          <w:sz w:val="18"/>
          <w:szCs w:val="18"/>
        </w:rPr>
      </w:pPr>
      <w:r w:rsidRPr="00FA63AC">
        <w:rPr>
          <w:rStyle w:val="FootnoteReference"/>
          <w:sz w:val="18"/>
          <w:szCs w:val="18"/>
        </w:rPr>
        <w:footnoteRef/>
      </w:r>
      <w:r w:rsidRPr="00FA63AC">
        <w:rPr>
          <w:sz w:val="18"/>
          <w:szCs w:val="18"/>
        </w:rPr>
        <w:t xml:space="preserve"> </w:t>
      </w:r>
      <w:r w:rsidR="00FA63AC" w:rsidRPr="00FA63AC">
        <w:rPr>
          <w:sz w:val="18"/>
          <w:szCs w:val="18"/>
        </w:rPr>
        <w:tab/>
      </w:r>
      <w:r w:rsidRPr="00FA63AC">
        <w:rPr>
          <w:sz w:val="18"/>
          <w:szCs w:val="18"/>
        </w:rPr>
        <w:t>2014 é o último ano com dados do PIB por estado disponibilizado pelo IBGE</w:t>
      </w:r>
      <w:r w:rsidR="00FA63AC" w:rsidRPr="00FA63AC">
        <w:rPr>
          <w:sz w:val="18"/>
          <w:szCs w:val="18"/>
        </w:rPr>
        <w:t>.</w:t>
      </w:r>
    </w:p>
  </w:footnote>
  <w:footnote w:id="7">
    <w:p w:rsidR="001B7438" w:rsidRPr="00FA63AC" w:rsidRDefault="001B7438" w:rsidP="00FA63AC">
      <w:pPr>
        <w:ind w:left="374" w:hanging="187"/>
        <w:jc w:val="both"/>
        <w:rPr>
          <w:i/>
          <w:sz w:val="18"/>
          <w:szCs w:val="18"/>
          <w:lang w:val="en-US"/>
        </w:rPr>
      </w:pPr>
      <w:r w:rsidRPr="00FA63AC">
        <w:rPr>
          <w:rStyle w:val="FootnoteReference"/>
          <w:sz w:val="18"/>
          <w:szCs w:val="18"/>
        </w:rPr>
        <w:footnoteRef/>
      </w:r>
      <w:r w:rsidRPr="00FA63AC">
        <w:rPr>
          <w:sz w:val="18"/>
          <w:szCs w:val="18"/>
          <w:lang w:val="en-US"/>
        </w:rPr>
        <w:t xml:space="preserve"> </w:t>
      </w:r>
      <w:bookmarkStart w:id="19" w:name="_Hlk508266271"/>
      <w:r w:rsidR="00FA63AC" w:rsidRPr="00FA63AC">
        <w:rPr>
          <w:sz w:val="18"/>
          <w:szCs w:val="18"/>
          <w:lang w:val="en-US"/>
        </w:rPr>
        <w:tab/>
      </w:r>
      <w:r w:rsidRPr="00FA63AC">
        <w:rPr>
          <w:rFonts w:eastAsia="Calibri"/>
          <w:i/>
          <w:sz w:val="18"/>
          <w:szCs w:val="18"/>
          <w:lang w:val="en-US"/>
        </w:rPr>
        <w:t>Bobbio, E (2016)</w:t>
      </w:r>
      <w:bookmarkEnd w:id="19"/>
      <w:r w:rsidRPr="00FA63AC">
        <w:rPr>
          <w:rFonts w:eastAsia="Calibri"/>
          <w:i/>
          <w:sz w:val="18"/>
          <w:szCs w:val="18"/>
          <w:lang w:val="en-US"/>
        </w:rPr>
        <w:t>, "</w:t>
      </w:r>
      <w:hyperlink r:id="rId3" w:tgtFrame="_blank" w:history="1">
        <w:r w:rsidRPr="00FA63AC">
          <w:rPr>
            <w:rFonts w:eastAsia="Calibri"/>
            <w:i/>
            <w:sz w:val="18"/>
            <w:szCs w:val="18"/>
            <w:lang w:val="en-US"/>
          </w:rPr>
          <w:t>Tax evasion, firm dynamics and growth</w:t>
        </w:r>
      </w:hyperlink>
      <w:r w:rsidRPr="00FA63AC">
        <w:rPr>
          <w:rFonts w:eastAsia="Calibri"/>
          <w:i/>
          <w:sz w:val="18"/>
          <w:szCs w:val="18"/>
          <w:lang w:val="en-US"/>
        </w:rPr>
        <w:t xml:space="preserve">", Bank of Italy Occassional Paper No 357. “The cost advantage enjoyed by </w:t>
      </w:r>
      <w:r w:rsidRPr="00FA63AC">
        <w:rPr>
          <w:rFonts w:eastAsia="Calibri"/>
          <w:i/>
          <w:sz w:val="18"/>
          <w:szCs w:val="18"/>
        </w:rPr>
        <w:t>ﬁ</w:t>
      </w:r>
      <w:r w:rsidRPr="00FA63AC">
        <w:rPr>
          <w:rFonts w:eastAsia="Calibri"/>
          <w:i/>
          <w:sz w:val="18"/>
          <w:szCs w:val="18"/>
          <w:lang w:val="en-US"/>
        </w:rPr>
        <w:t xml:space="preserve">rms with a higher scope for tax evasion results in unfair competition, lowering the incentives to innovate for all </w:t>
      </w:r>
      <w:r w:rsidRPr="00FA63AC">
        <w:rPr>
          <w:rFonts w:eastAsia="Calibri"/>
          <w:i/>
          <w:sz w:val="18"/>
          <w:szCs w:val="18"/>
        </w:rPr>
        <w:t>ﬁ</w:t>
      </w:r>
      <w:r w:rsidRPr="00FA63AC">
        <w:rPr>
          <w:rFonts w:eastAsia="Calibri"/>
          <w:i/>
          <w:sz w:val="18"/>
          <w:szCs w:val="18"/>
          <w:lang w:val="en-US"/>
        </w:rPr>
        <w:t xml:space="preserve">rms. Both these channels depress the innovative activity of incumbent </w:t>
      </w:r>
      <w:r w:rsidRPr="00FA63AC">
        <w:rPr>
          <w:rFonts w:eastAsia="Calibri"/>
          <w:i/>
          <w:sz w:val="18"/>
          <w:szCs w:val="18"/>
        </w:rPr>
        <w:t>ﬁ</w:t>
      </w:r>
      <w:r w:rsidRPr="00FA63AC">
        <w:rPr>
          <w:rFonts w:eastAsia="Calibri"/>
          <w:i/>
          <w:sz w:val="18"/>
          <w:szCs w:val="18"/>
          <w:lang w:val="en-US"/>
        </w:rPr>
        <w:t xml:space="preserve">rms in the economy. As a result there is less selection in equilibrium and the economy is populated by higher fraction of small, less productive and less innovative </w:t>
      </w:r>
      <w:r w:rsidRPr="00FA63AC">
        <w:rPr>
          <w:rFonts w:eastAsia="Calibri"/>
          <w:i/>
          <w:sz w:val="18"/>
          <w:szCs w:val="18"/>
        </w:rPr>
        <w:t>ﬁ</w:t>
      </w:r>
      <w:r w:rsidRPr="00FA63AC">
        <w:rPr>
          <w:rFonts w:eastAsia="Calibri"/>
          <w:i/>
          <w:sz w:val="18"/>
          <w:szCs w:val="18"/>
          <w:lang w:val="en-US"/>
        </w:rPr>
        <w:t xml:space="preserve">rms than it would be in the absence of tax evasion, further reducing the aggregate growth rate along the extensive margin. In addition a larger fraction of small </w:t>
      </w:r>
      <w:r w:rsidRPr="00FA63AC">
        <w:rPr>
          <w:rFonts w:eastAsia="Calibri"/>
          <w:i/>
          <w:sz w:val="18"/>
          <w:szCs w:val="18"/>
        </w:rPr>
        <w:t>ﬁ</w:t>
      </w:r>
      <w:r w:rsidRPr="00FA63AC">
        <w:rPr>
          <w:rFonts w:eastAsia="Calibri"/>
          <w:i/>
          <w:sz w:val="18"/>
          <w:szCs w:val="18"/>
          <w:lang w:val="en-US"/>
        </w:rPr>
        <w:t xml:space="preserve">rms with a higher scope for tax evasion increases the degree of unfair competition, potentially triggering a vicious cycle where the growth process brakes down and incumbent </w:t>
      </w:r>
      <w:r w:rsidRPr="00FA63AC">
        <w:rPr>
          <w:rFonts w:eastAsia="Calibri"/>
          <w:i/>
          <w:sz w:val="18"/>
          <w:szCs w:val="18"/>
        </w:rPr>
        <w:t>ﬁ</w:t>
      </w:r>
      <w:r w:rsidRPr="00FA63AC">
        <w:rPr>
          <w:rFonts w:eastAsia="Calibri"/>
          <w:i/>
          <w:sz w:val="18"/>
          <w:szCs w:val="18"/>
          <w:lang w:val="en-US"/>
        </w:rPr>
        <w:t>rms stop innovating. Counterfactual exercises based on a calibrated version of the model suggest that enforcing taxes would have increased the long-run growth rate from 0.9 to 1.1% in Italy, with reference to the period between 1995 and 2006.”</w:t>
      </w:r>
    </w:p>
  </w:footnote>
  <w:footnote w:id="8">
    <w:p w:rsidR="001B7438" w:rsidRPr="00FA63AC" w:rsidRDefault="001B7438" w:rsidP="00FA63AC">
      <w:pPr>
        <w:pStyle w:val="FootnoteText"/>
        <w:ind w:left="374" w:hanging="187"/>
        <w:jc w:val="both"/>
        <w:rPr>
          <w:sz w:val="18"/>
          <w:szCs w:val="18"/>
          <w:lang w:val="es-ES_tradnl"/>
        </w:rPr>
      </w:pPr>
      <w:r w:rsidRPr="00FA63AC">
        <w:rPr>
          <w:rStyle w:val="FootnoteReference"/>
          <w:sz w:val="18"/>
          <w:szCs w:val="18"/>
        </w:rPr>
        <w:footnoteRef/>
      </w:r>
      <w:r w:rsidRPr="00FA63AC">
        <w:rPr>
          <w:sz w:val="18"/>
          <w:szCs w:val="18"/>
        </w:rPr>
        <w:t xml:space="preserve"> </w:t>
      </w:r>
      <w:r w:rsidR="00FA63AC">
        <w:rPr>
          <w:sz w:val="18"/>
          <w:szCs w:val="18"/>
        </w:rPr>
        <w:tab/>
      </w:r>
      <w:r w:rsidRPr="00FA63AC">
        <w:rPr>
          <w:rFonts w:eastAsia="Calibri"/>
          <w:sz w:val="18"/>
          <w:szCs w:val="18"/>
        </w:rPr>
        <w:t>Em uma avaliação econômica, se os custos dos bens e serviços são afetados por fortes distorções de preços, preços sombra devem ser aplicados, pois mais adequadamente refletem os custos sociais de oportunidade dos recursos</w:t>
      </w:r>
      <w:r w:rsidRPr="00FA63AC">
        <w:rPr>
          <w:sz w:val="18"/>
          <w:szCs w:val="18"/>
        </w:rPr>
        <w:t xml:space="preserve">. Por exemplo, quando os preços reais dos bens e serviços utilizados no projeto estão distorcidos devido a deficiências do mercado ou os salários não guardam relação com a produtividade da mão de obra. </w:t>
      </w:r>
      <w:r w:rsidRPr="00FA63AC">
        <w:rPr>
          <w:sz w:val="18"/>
          <w:szCs w:val="18"/>
          <w:lang w:val="es-ES_tradnl"/>
        </w:rPr>
        <w:t xml:space="preserve">Ver Comissão Europeia (2003),  </w:t>
      </w:r>
      <w:r w:rsidRPr="00FA63AC">
        <w:rPr>
          <w:i/>
          <w:sz w:val="18"/>
          <w:szCs w:val="18"/>
          <w:lang w:val="es-ES_tradnl"/>
        </w:rPr>
        <w:t>“Guía del análisis costes-beneficios de los proyectos de inversión” de la Comisión Europea</w:t>
      </w:r>
      <w:r w:rsidR="00FA63AC" w:rsidRPr="00FA63AC">
        <w:rPr>
          <w:i/>
          <w:sz w:val="18"/>
          <w:szCs w:val="18"/>
          <w:lang w:val="es-ES_tradnl"/>
        </w:rPr>
        <w:t>”.</w:t>
      </w:r>
    </w:p>
  </w:footnote>
  <w:footnote w:id="9">
    <w:p w:rsidR="001B7438" w:rsidRPr="00FA63AC" w:rsidRDefault="001B7438" w:rsidP="00FA63AC">
      <w:pPr>
        <w:pStyle w:val="FootnoteText"/>
        <w:ind w:left="374" w:hanging="187"/>
        <w:jc w:val="both"/>
        <w:rPr>
          <w:rStyle w:val="FootnoteReference"/>
          <w:sz w:val="18"/>
          <w:szCs w:val="18"/>
        </w:rPr>
      </w:pPr>
      <w:r w:rsidRPr="00FA63AC">
        <w:rPr>
          <w:rStyle w:val="FootnoteReference"/>
          <w:sz w:val="18"/>
          <w:szCs w:val="18"/>
        </w:rPr>
        <w:footnoteRef/>
      </w:r>
      <w:r w:rsidRPr="00FA63AC">
        <w:rPr>
          <w:sz w:val="18"/>
          <w:szCs w:val="18"/>
        </w:rPr>
        <w:t xml:space="preserve"> </w:t>
      </w:r>
      <w:r w:rsidR="00FA63AC" w:rsidRPr="00FA63AC">
        <w:rPr>
          <w:sz w:val="18"/>
          <w:szCs w:val="18"/>
        </w:rPr>
        <w:tab/>
      </w:r>
      <w:r w:rsidRPr="00FA63AC">
        <w:rPr>
          <w:rStyle w:val="FootnoteReference"/>
          <w:sz w:val="18"/>
          <w:szCs w:val="18"/>
        </w:rPr>
        <w:t xml:space="preserve">Um estudo publicado este ano pela OECD, </w:t>
      </w:r>
      <w:hyperlink r:id="rId4" w:history="1">
        <w:r w:rsidR="00FA63AC" w:rsidRPr="00FA63AC">
          <w:rPr>
            <w:rStyle w:val="Hyperlink"/>
            <w:sz w:val="18"/>
            <w:szCs w:val="18"/>
            <w:vertAlign w:val="superscript"/>
          </w:rPr>
          <w:t>“Technology Tools to Tackle Tax Evasion and Tax Fraud”, provê exemplos de sucesso em diversos países com o uso de tecnologia no cambate à evasão e fraude fiscais".</w:t>
        </w:r>
      </w:hyperlink>
      <w:r w:rsidRPr="00FA63AC">
        <w:rPr>
          <w:rStyle w:val="FootnoteReference"/>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438" w:rsidRDefault="001B7438">
    <w:pPr>
      <w:pStyle w:val="Header"/>
      <w:jc w:val="center"/>
    </w:pPr>
    <w:r>
      <w:fldChar w:fldCharType="begin"/>
    </w:r>
    <w:r>
      <w:instrText xml:space="preserve"> PAGE   \* MERGEFORMAT </w:instrText>
    </w:r>
    <w:r>
      <w:fldChar w:fldCharType="separate"/>
    </w:r>
    <w:r>
      <w:rPr>
        <w:noProof/>
      </w:rPr>
      <w:t>27</w:t>
    </w:r>
    <w:r>
      <w:fldChar w:fldCharType="end"/>
    </w:r>
  </w:p>
  <w:p w:rsidR="001B7438" w:rsidRDefault="001B7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DAB7FC9"/>
    <w:multiLevelType w:val="multilevel"/>
    <w:tmpl w:val="EA1E1C68"/>
    <w:lvl w:ilvl="0">
      <w:start w:val="1"/>
      <w:numFmt w:val="upperRoman"/>
      <w:pStyle w:val="Chapter"/>
      <w:lvlText w:val="%1."/>
      <w:lvlJc w:val="center"/>
      <w:pPr>
        <w:tabs>
          <w:tab w:val="num" w:pos="2070"/>
        </w:tabs>
        <w:ind w:left="1422" w:firstLine="288"/>
      </w:pPr>
      <w:rPr>
        <w:rFonts w:ascii="Times New Roman" w:eastAsia="Times New Roman" w:hAnsi="Times New Roman" w:cs="Times New Roman"/>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B8D1908"/>
    <w:multiLevelType w:val="multilevel"/>
    <w:tmpl w:val="8D428D24"/>
    <w:styleLink w:val="Estilo5"/>
    <w:lvl w:ilvl="0">
      <w:start w:val="3"/>
      <w:numFmt w:val="decimal"/>
      <w:lvlText w:val="%1"/>
      <w:lvlJc w:val="left"/>
      <w:pPr>
        <w:ind w:left="405" w:hanging="405"/>
      </w:pPr>
      <w:rPr>
        <w:rFonts w:hint="default"/>
        <w:b w:val="0"/>
      </w:rPr>
    </w:lvl>
    <w:lvl w:ilvl="1">
      <w:start w:val="3"/>
      <w:numFmt w:val="decimal"/>
      <w:lvlText w:val="%1.%2"/>
      <w:lvlJc w:val="left"/>
      <w:pPr>
        <w:ind w:left="405" w:hanging="4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15:restartNumberingAfterBreak="0">
    <w:nsid w:val="1B967E0A"/>
    <w:multiLevelType w:val="multilevel"/>
    <w:tmpl w:val="97089E40"/>
    <w:styleLink w:val="Estilo12"/>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 w15:restartNumberingAfterBreak="0">
    <w:nsid w:val="26065E6A"/>
    <w:multiLevelType w:val="multilevel"/>
    <w:tmpl w:val="0416001F"/>
    <w:styleLink w:val="Estilo21"/>
    <w:lvl w:ilvl="0">
      <w:start w:val="2"/>
      <w:numFmt w:val="decimal"/>
      <w:lvlText w:val="%1."/>
      <w:lvlJc w:val="left"/>
      <w:pPr>
        <w:ind w:left="360" w:hanging="360"/>
      </w:pPr>
    </w:lvl>
    <w:lvl w:ilvl="1">
      <w:start w:val="4"/>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30141F"/>
    <w:multiLevelType w:val="multilevel"/>
    <w:tmpl w:val="D1645E5C"/>
    <w:styleLink w:val="Estilo6"/>
    <w:lvl w:ilvl="0">
      <w:start w:val="3"/>
      <w:numFmt w:val="decimal"/>
      <w:lvlText w:val="%1"/>
      <w:lvlJc w:val="left"/>
      <w:pPr>
        <w:ind w:left="405" w:hanging="405"/>
      </w:pPr>
      <w:rPr>
        <w:rFonts w:hint="default"/>
        <w:b w:val="0"/>
      </w:rPr>
    </w:lvl>
    <w:lvl w:ilvl="1">
      <w:start w:val="5"/>
      <w:numFmt w:val="decimal"/>
      <w:lvlText w:val="%1.5"/>
      <w:lvlJc w:val="left"/>
      <w:pPr>
        <w:ind w:left="405" w:hanging="405"/>
      </w:pPr>
      <w:rPr>
        <w:rFonts w:hint="default"/>
        <w:b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15:restartNumberingAfterBreak="0">
    <w:nsid w:val="38A9671B"/>
    <w:multiLevelType w:val="hybridMultilevel"/>
    <w:tmpl w:val="42C4AC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1C6440"/>
    <w:multiLevelType w:val="multilevel"/>
    <w:tmpl w:val="922C3D12"/>
    <w:styleLink w:val="Estilo4"/>
    <w:lvl w:ilvl="0">
      <w:start w:val="4"/>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8" w15:restartNumberingAfterBreak="0">
    <w:nsid w:val="406A5102"/>
    <w:multiLevelType w:val="multilevel"/>
    <w:tmpl w:val="0409001D"/>
    <w:styleLink w:val="Estilo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4AF41C1"/>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pStyle w:val="Heading9"/>
      <w:lvlText w:val="%9."/>
      <w:lvlJc w:val="left"/>
      <w:pPr>
        <w:tabs>
          <w:tab w:val="num" w:pos="1287"/>
        </w:tabs>
        <w:ind w:left="0" w:firstLine="567"/>
      </w:pPr>
      <w:rPr>
        <w:rFonts w:ascii="Arial" w:hAnsi="Arial" w:hint="default"/>
        <w:b w:val="0"/>
        <w:i w:val="0"/>
        <w:sz w:val="24"/>
      </w:rPr>
    </w:lvl>
  </w:abstractNum>
  <w:abstractNum w:abstractNumId="10" w15:restartNumberingAfterBreak="0">
    <w:nsid w:val="5D317449"/>
    <w:multiLevelType w:val="multilevel"/>
    <w:tmpl w:val="04160027"/>
    <w:styleLink w:val="Estilo1"/>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15:restartNumberingAfterBreak="0">
    <w:nsid w:val="61555454"/>
    <w:multiLevelType w:val="multilevel"/>
    <w:tmpl w:val="04160027"/>
    <w:styleLink w:val="Estilo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 w15:restartNumberingAfterBreak="0">
    <w:nsid w:val="6E40588F"/>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3" w15:restartNumberingAfterBreak="0">
    <w:nsid w:val="72184DF6"/>
    <w:multiLevelType w:val="multilevel"/>
    <w:tmpl w:val="D66EF6A2"/>
    <w:lvl w:ilvl="0">
      <w:start w:val="1"/>
      <w:numFmt w:val="upperRoman"/>
      <w:lvlText w:val="%1."/>
      <w:lvlJc w:val="center"/>
      <w:pPr>
        <w:tabs>
          <w:tab w:val="num" w:pos="1499"/>
        </w:tabs>
        <w:ind w:left="851" w:firstLine="288"/>
      </w:pPr>
      <w:rPr>
        <w:b/>
        <w:i w:val="0"/>
        <w:sz w:val="24"/>
        <w:szCs w:val="24"/>
      </w:rPr>
    </w:lvl>
    <w:lvl w:ilvl="1">
      <w:start w:val="1"/>
      <w:numFmt w:val="decimal"/>
      <w:isLgl/>
      <w:lvlText w:val="%1.%2"/>
      <w:lvlJc w:val="left"/>
      <w:pPr>
        <w:tabs>
          <w:tab w:val="num" w:pos="995"/>
        </w:tabs>
        <w:ind w:left="995" w:hanging="1296"/>
      </w:pPr>
    </w:lvl>
    <w:lvl w:ilvl="2">
      <w:start w:val="1"/>
      <w:numFmt w:val="lowerLetter"/>
      <w:lvlText w:val="%3."/>
      <w:lvlJc w:val="left"/>
      <w:pPr>
        <w:tabs>
          <w:tab w:val="num" w:pos="2003"/>
        </w:tabs>
        <w:ind w:left="2003" w:hanging="432"/>
      </w:pPr>
      <w:rPr>
        <w:color w:val="auto"/>
      </w:rPr>
    </w:lvl>
    <w:lvl w:ilvl="3">
      <w:start w:val="1"/>
      <w:numFmt w:val="lowerRoman"/>
      <w:lvlText w:val="%4."/>
      <w:lvlJc w:val="right"/>
      <w:pPr>
        <w:tabs>
          <w:tab w:val="num" w:pos="2435"/>
        </w:tabs>
        <w:ind w:left="2435" w:hanging="288"/>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14" w15:restartNumberingAfterBreak="0">
    <w:nsid w:val="726446EF"/>
    <w:multiLevelType w:val="hybridMultilevel"/>
    <w:tmpl w:val="1DC80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3"/>
  </w:num>
  <w:num w:numId="4">
    <w:abstractNumId w:val="9"/>
  </w:num>
  <w:num w:numId="5">
    <w:abstractNumId w:val="10"/>
  </w:num>
  <w:num w:numId="6">
    <w:abstractNumId w:val="11"/>
  </w:num>
  <w:num w:numId="7">
    <w:abstractNumId w:val="8"/>
  </w:num>
  <w:num w:numId="8">
    <w:abstractNumId w:val="7"/>
  </w:num>
  <w:num w:numId="9">
    <w:abstractNumId w:val="6"/>
  </w:num>
  <w:num w:numId="10">
    <w:abstractNumId w:val="3"/>
  </w:num>
  <w:num w:numId="11">
    <w:abstractNumId w:val="4"/>
  </w:num>
  <w:num w:numId="12">
    <w:abstractNumId w:val="2"/>
  </w:num>
  <w:num w:numId="13">
    <w:abstractNumId w:val="5"/>
  </w:num>
  <w:num w:numId="14">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34"/>
    <w:rsid w:val="00004B24"/>
    <w:rsid w:val="00005D70"/>
    <w:rsid w:val="0000671C"/>
    <w:rsid w:val="00006889"/>
    <w:rsid w:val="00014CAC"/>
    <w:rsid w:val="00020533"/>
    <w:rsid w:val="0002458C"/>
    <w:rsid w:val="00024DF4"/>
    <w:rsid w:val="000256DE"/>
    <w:rsid w:val="00025999"/>
    <w:rsid w:val="00032A07"/>
    <w:rsid w:val="000374C2"/>
    <w:rsid w:val="000378DF"/>
    <w:rsid w:val="00037ACA"/>
    <w:rsid w:val="00040ADC"/>
    <w:rsid w:val="00040E35"/>
    <w:rsid w:val="00041082"/>
    <w:rsid w:val="0004770A"/>
    <w:rsid w:val="0004776D"/>
    <w:rsid w:val="00052FE8"/>
    <w:rsid w:val="00054043"/>
    <w:rsid w:val="000548B3"/>
    <w:rsid w:val="0005505E"/>
    <w:rsid w:val="00055076"/>
    <w:rsid w:val="00060E33"/>
    <w:rsid w:val="000643A8"/>
    <w:rsid w:val="00066607"/>
    <w:rsid w:val="00070DE4"/>
    <w:rsid w:val="00071EDA"/>
    <w:rsid w:val="0007257B"/>
    <w:rsid w:val="000739C9"/>
    <w:rsid w:val="00073B05"/>
    <w:rsid w:val="0007543E"/>
    <w:rsid w:val="00077F7F"/>
    <w:rsid w:val="00083B90"/>
    <w:rsid w:val="00084539"/>
    <w:rsid w:val="000853E0"/>
    <w:rsid w:val="00087454"/>
    <w:rsid w:val="00087EA5"/>
    <w:rsid w:val="0009031D"/>
    <w:rsid w:val="00090FD1"/>
    <w:rsid w:val="000952B0"/>
    <w:rsid w:val="000A1E09"/>
    <w:rsid w:val="000A2970"/>
    <w:rsid w:val="000A31A6"/>
    <w:rsid w:val="000A49F1"/>
    <w:rsid w:val="000A6E8E"/>
    <w:rsid w:val="000A79D3"/>
    <w:rsid w:val="000B01E8"/>
    <w:rsid w:val="000B13FC"/>
    <w:rsid w:val="000B191E"/>
    <w:rsid w:val="000B1D5B"/>
    <w:rsid w:val="000B3BEC"/>
    <w:rsid w:val="000B54BB"/>
    <w:rsid w:val="000B5FA6"/>
    <w:rsid w:val="000B72C3"/>
    <w:rsid w:val="000B764F"/>
    <w:rsid w:val="000C0074"/>
    <w:rsid w:val="000C0FE7"/>
    <w:rsid w:val="000C3097"/>
    <w:rsid w:val="000C3AB7"/>
    <w:rsid w:val="000C3B6E"/>
    <w:rsid w:val="000C3C8E"/>
    <w:rsid w:val="000C57F7"/>
    <w:rsid w:val="000C66C4"/>
    <w:rsid w:val="000C6E15"/>
    <w:rsid w:val="000C7109"/>
    <w:rsid w:val="000C72D7"/>
    <w:rsid w:val="000C7848"/>
    <w:rsid w:val="000D4C7A"/>
    <w:rsid w:val="000D4CE6"/>
    <w:rsid w:val="000D674F"/>
    <w:rsid w:val="000D7734"/>
    <w:rsid w:val="000E2F26"/>
    <w:rsid w:val="000E3923"/>
    <w:rsid w:val="000E53CB"/>
    <w:rsid w:val="000E59CF"/>
    <w:rsid w:val="000E6588"/>
    <w:rsid w:val="000E768E"/>
    <w:rsid w:val="000F367D"/>
    <w:rsid w:val="000F5F34"/>
    <w:rsid w:val="000F619D"/>
    <w:rsid w:val="000F6863"/>
    <w:rsid w:val="000F75D3"/>
    <w:rsid w:val="00100B3E"/>
    <w:rsid w:val="00112AEC"/>
    <w:rsid w:val="00114300"/>
    <w:rsid w:val="00116430"/>
    <w:rsid w:val="00121B3C"/>
    <w:rsid w:val="00121EFE"/>
    <w:rsid w:val="00132A36"/>
    <w:rsid w:val="00132EDC"/>
    <w:rsid w:val="00133057"/>
    <w:rsid w:val="00133DBB"/>
    <w:rsid w:val="00134138"/>
    <w:rsid w:val="0013442F"/>
    <w:rsid w:val="00134CAA"/>
    <w:rsid w:val="00135425"/>
    <w:rsid w:val="00137613"/>
    <w:rsid w:val="001421C8"/>
    <w:rsid w:val="001440A0"/>
    <w:rsid w:val="0014500E"/>
    <w:rsid w:val="001468B3"/>
    <w:rsid w:val="00151315"/>
    <w:rsid w:val="001519E3"/>
    <w:rsid w:val="00153308"/>
    <w:rsid w:val="00155ED6"/>
    <w:rsid w:val="00156467"/>
    <w:rsid w:val="00157017"/>
    <w:rsid w:val="0016041F"/>
    <w:rsid w:val="0016443B"/>
    <w:rsid w:val="00166A1B"/>
    <w:rsid w:val="00170345"/>
    <w:rsid w:val="0017172D"/>
    <w:rsid w:val="00171A3D"/>
    <w:rsid w:val="0017289C"/>
    <w:rsid w:val="00174603"/>
    <w:rsid w:val="001805B7"/>
    <w:rsid w:val="00183791"/>
    <w:rsid w:val="00183D4B"/>
    <w:rsid w:val="0018501B"/>
    <w:rsid w:val="00194714"/>
    <w:rsid w:val="001964CE"/>
    <w:rsid w:val="001A16CE"/>
    <w:rsid w:val="001A35E8"/>
    <w:rsid w:val="001A5FA3"/>
    <w:rsid w:val="001B1049"/>
    <w:rsid w:val="001B192C"/>
    <w:rsid w:val="001B1B23"/>
    <w:rsid w:val="001B29B2"/>
    <w:rsid w:val="001B2B74"/>
    <w:rsid w:val="001B6AF9"/>
    <w:rsid w:val="001B6F28"/>
    <w:rsid w:val="001B7438"/>
    <w:rsid w:val="001C018D"/>
    <w:rsid w:val="001C23B6"/>
    <w:rsid w:val="001C3FDC"/>
    <w:rsid w:val="001C4843"/>
    <w:rsid w:val="001C4E4F"/>
    <w:rsid w:val="001C574F"/>
    <w:rsid w:val="001C6AF8"/>
    <w:rsid w:val="001D1637"/>
    <w:rsid w:val="001D3DF7"/>
    <w:rsid w:val="001D55E3"/>
    <w:rsid w:val="001D7E2F"/>
    <w:rsid w:val="001E0051"/>
    <w:rsid w:val="001E0606"/>
    <w:rsid w:val="001E1A26"/>
    <w:rsid w:val="001E3977"/>
    <w:rsid w:val="001E7189"/>
    <w:rsid w:val="001E753B"/>
    <w:rsid w:val="001F051C"/>
    <w:rsid w:val="001F0D8E"/>
    <w:rsid w:val="001F1038"/>
    <w:rsid w:val="001F1912"/>
    <w:rsid w:val="001F53B4"/>
    <w:rsid w:val="001F5C78"/>
    <w:rsid w:val="001F71A7"/>
    <w:rsid w:val="00201AC4"/>
    <w:rsid w:val="00202008"/>
    <w:rsid w:val="00202556"/>
    <w:rsid w:val="002054C9"/>
    <w:rsid w:val="00205DC0"/>
    <w:rsid w:val="00211836"/>
    <w:rsid w:val="0021384E"/>
    <w:rsid w:val="00213889"/>
    <w:rsid w:val="00214402"/>
    <w:rsid w:val="00214966"/>
    <w:rsid w:val="0021500F"/>
    <w:rsid w:val="002162BD"/>
    <w:rsid w:val="002176D4"/>
    <w:rsid w:val="002215AF"/>
    <w:rsid w:val="0022492D"/>
    <w:rsid w:val="0022604D"/>
    <w:rsid w:val="00227EDA"/>
    <w:rsid w:val="002324CC"/>
    <w:rsid w:val="00232C72"/>
    <w:rsid w:val="002332CD"/>
    <w:rsid w:val="0024100E"/>
    <w:rsid w:val="002422B9"/>
    <w:rsid w:val="0024742D"/>
    <w:rsid w:val="00260BC5"/>
    <w:rsid w:val="00262986"/>
    <w:rsid w:val="0026409A"/>
    <w:rsid w:val="00264EFD"/>
    <w:rsid w:val="00265154"/>
    <w:rsid w:val="00265B22"/>
    <w:rsid w:val="0026650D"/>
    <w:rsid w:val="002666AF"/>
    <w:rsid w:val="00270639"/>
    <w:rsid w:val="00271704"/>
    <w:rsid w:val="00271751"/>
    <w:rsid w:val="00274E2D"/>
    <w:rsid w:val="00275D05"/>
    <w:rsid w:val="002775DF"/>
    <w:rsid w:val="0028269B"/>
    <w:rsid w:val="00282722"/>
    <w:rsid w:val="002848A6"/>
    <w:rsid w:val="00285064"/>
    <w:rsid w:val="002879B6"/>
    <w:rsid w:val="002915CA"/>
    <w:rsid w:val="002915F3"/>
    <w:rsid w:val="0029174A"/>
    <w:rsid w:val="00296B0F"/>
    <w:rsid w:val="002970CC"/>
    <w:rsid w:val="0029797A"/>
    <w:rsid w:val="002A3538"/>
    <w:rsid w:val="002A3658"/>
    <w:rsid w:val="002A3D3B"/>
    <w:rsid w:val="002A481B"/>
    <w:rsid w:val="002A53E9"/>
    <w:rsid w:val="002A574C"/>
    <w:rsid w:val="002A5FB7"/>
    <w:rsid w:val="002A6724"/>
    <w:rsid w:val="002A6907"/>
    <w:rsid w:val="002A6AEE"/>
    <w:rsid w:val="002B08A7"/>
    <w:rsid w:val="002B08D3"/>
    <w:rsid w:val="002B12F8"/>
    <w:rsid w:val="002B5550"/>
    <w:rsid w:val="002B5A5C"/>
    <w:rsid w:val="002B5C7F"/>
    <w:rsid w:val="002B70A4"/>
    <w:rsid w:val="002B7322"/>
    <w:rsid w:val="002C01D6"/>
    <w:rsid w:val="002C3EEF"/>
    <w:rsid w:val="002C4C41"/>
    <w:rsid w:val="002C6237"/>
    <w:rsid w:val="002D0BBC"/>
    <w:rsid w:val="002D12C5"/>
    <w:rsid w:val="002D26A2"/>
    <w:rsid w:val="002D41B7"/>
    <w:rsid w:val="002D4AD3"/>
    <w:rsid w:val="002D4DDD"/>
    <w:rsid w:val="002D6574"/>
    <w:rsid w:val="002D7848"/>
    <w:rsid w:val="002E0DA4"/>
    <w:rsid w:val="002E1C6B"/>
    <w:rsid w:val="002E2553"/>
    <w:rsid w:val="002E3E06"/>
    <w:rsid w:val="002E4363"/>
    <w:rsid w:val="002E4E61"/>
    <w:rsid w:val="002E4EF2"/>
    <w:rsid w:val="002E4FF3"/>
    <w:rsid w:val="002E72A6"/>
    <w:rsid w:val="002E7382"/>
    <w:rsid w:val="002F02C2"/>
    <w:rsid w:val="002F1B43"/>
    <w:rsid w:val="002F3A0B"/>
    <w:rsid w:val="002F4B06"/>
    <w:rsid w:val="002F57DB"/>
    <w:rsid w:val="002F7340"/>
    <w:rsid w:val="00301567"/>
    <w:rsid w:val="0030158A"/>
    <w:rsid w:val="003017DF"/>
    <w:rsid w:val="003054CC"/>
    <w:rsid w:val="0031235D"/>
    <w:rsid w:val="00312978"/>
    <w:rsid w:val="0031314D"/>
    <w:rsid w:val="0031606F"/>
    <w:rsid w:val="00316EAB"/>
    <w:rsid w:val="00321038"/>
    <w:rsid w:val="0032166E"/>
    <w:rsid w:val="00321C2C"/>
    <w:rsid w:val="00323E14"/>
    <w:rsid w:val="00325DCC"/>
    <w:rsid w:val="00333252"/>
    <w:rsid w:val="0034382A"/>
    <w:rsid w:val="003453F8"/>
    <w:rsid w:val="003458D4"/>
    <w:rsid w:val="00345E3E"/>
    <w:rsid w:val="00346DC5"/>
    <w:rsid w:val="00347411"/>
    <w:rsid w:val="00347C79"/>
    <w:rsid w:val="003502B5"/>
    <w:rsid w:val="003527CA"/>
    <w:rsid w:val="00352B22"/>
    <w:rsid w:val="00352D3A"/>
    <w:rsid w:val="0035353B"/>
    <w:rsid w:val="003566C7"/>
    <w:rsid w:val="00360FC6"/>
    <w:rsid w:val="00361FC8"/>
    <w:rsid w:val="003620D1"/>
    <w:rsid w:val="00363AF9"/>
    <w:rsid w:val="00364457"/>
    <w:rsid w:val="00366F5B"/>
    <w:rsid w:val="0036722A"/>
    <w:rsid w:val="00370073"/>
    <w:rsid w:val="003703C4"/>
    <w:rsid w:val="003713F0"/>
    <w:rsid w:val="00371932"/>
    <w:rsid w:val="00372435"/>
    <w:rsid w:val="00372591"/>
    <w:rsid w:val="00372F6A"/>
    <w:rsid w:val="003759A4"/>
    <w:rsid w:val="00380C92"/>
    <w:rsid w:val="003825E1"/>
    <w:rsid w:val="003852FC"/>
    <w:rsid w:val="00385881"/>
    <w:rsid w:val="00391EB5"/>
    <w:rsid w:val="00393119"/>
    <w:rsid w:val="00393D03"/>
    <w:rsid w:val="0039473C"/>
    <w:rsid w:val="00395356"/>
    <w:rsid w:val="003960FC"/>
    <w:rsid w:val="0039643E"/>
    <w:rsid w:val="003A1831"/>
    <w:rsid w:val="003A1E34"/>
    <w:rsid w:val="003A3B77"/>
    <w:rsid w:val="003A4F81"/>
    <w:rsid w:val="003A53A1"/>
    <w:rsid w:val="003A58B7"/>
    <w:rsid w:val="003B152F"/>
    <w:rsid w:val="003B24F1"/>
    <w:rsid w:val="003B27CA"/>
    <w:rsid w:val="003B2C32"/>
    <w:rsid w:val="003B415D"/>
    <w:rsid w:val="003B5504"/>
    <w:rsid w:val="003B5CF7"/>
    <w:rsid w:val="003C05E0"/>
    <w:rsid w:val="003C0F68"/>
    <w:rsid w:val="003C2BB3"/>
    <w:rsid w:val="003C36F1"/>
    <w:rsid w:val="003C5FD4"/>
    <w:rsid w:val="003C65F7"/>
    <w:rsid w:val="003C674F"/>
    <w:rsid w:val="003C6A3D"/>
    <w:rsid w:val="003C74F0"/>
    <w:rsid w:val="003D01FC"/>
    <w:rsid w:val="003D0971"/>
    <w:rsid w:val="003D0EBF"/>
    <w:rsid w:val="003D48BB"/>
    <w:rsid w:val="003E1C0A"/>
    <w:rsid w:val="003E1FBB"/>
    <w:rsid w:val="003E303C"/>
    <w:rsid w:val="003E3913"/>
    <w:rsid w:val="003E4FB1"/>
    <w:rsid w:val="003E6EA7"/>
    <w:rsid w:val="003E754E"/>
    <w:rsid w:val="003F1B79"/>
    <w:rsid w:val="003F1D44"/>
    <w:rsid w:val="003F23EC"/>
    <w:rsid w:val="003F3BBE"/>
    <w:rsid w:val="003F3D36"/>
    <w:rsid w:val="003F51F4"/>
    <w:rsid w:val="003F532E"/>
    <w:rsid w:val="003F7923"/>
    <w:rsid w:val="003F7999"/>
    <w:rsid w:val="00400147"/>
    <w:rsid w:val="00400908"/>
    <w:rsid w:val="0040144E"/>
    <w:rsid w:val="0040235A"/>
    <w:rsid w:val="00402577"/>
    <w:rsid w:val="00411420"/>
    <w:rsid w:val="00411A48"/>
    <w:rsid w:val="00411EE5"/>
    <w:rsid w:val="0041272E"/>
    <w:rsid w:val="00414C77"/>
    <w:rsid w:val="00416445"/>
    <w:rsid w:val="00417009"/>
    <w:rsid w:val="00417A6F"/>
    <w:rsid w:val="004207E2"/>
    <w:rsid w:val="00421279"/>
    <w:rsid w:val="0042176B"/>
    <w:rsid w:val="00436F41"/>
    <w:rsid w:val="004402DD"/>
    <w:rsid w:val="004450DF"/>
    <w:rsid w:val="00447A25"/>
    <w:rsid w:val="00451D35"/>
    <w:rsid w:val="00455BB8"/>
    <w:rsid w:val="004566B8"/>
    <w:rsid w:val="0046117F"/>
    <w:rsid w:val="0046416B"/>
    <w:rsid w:val="0046720D"/>
    <w:rsid w:val="00470C9D"/>
    <w:rsid w:val="00471E17"/>
    <w:rsid w:val="00473B0F"/>
    <w:rsid w:val="00475166"/>
    <w:rsid w:val="00481112"/>
    <w:rsid w:val="00482527"/>
    <w:rsid w:val="00484934"/>
    <w:rsid w:val="004859F8"/>
    <w:rsid w:val="004875C1"/>
    <w:rsid w:val="004914B1"/>
    <w:rsid w:val="004923A8"/>
    <w:rsid w:val="0049487D"/>
    <w:rsid w:val="00496B86"/>
    <w:rsid w:val="004A006C"/>
    <w:rsid w:val="004A0219"/>
    <w:rsid w:val="004A091D"/>
    <w:rsid w:val="004A2760"/>
    <w:rsid w:val="004A3737"/>
    <w:rsid w:val="004B197D"/>
    <w:rsid w:val="004B31F7"/>
    <w:rsid w:val="004B43CB"/>
    <w:rsid w:val="004B4717"/>
    <w:rsid w:val="004B48CF"/>
    <w:rsid w:val="004B4FC9"/>
    <w:rsid w:val="004C06AC"/>
    <w:rsid w:val="004C23EC"/>
    <w:rsid w:val="004C360E"/>
    <w:rsid w:val="004C557F"/>
    <w:rsid w:val="004D377C"/>
    <w:rsid w:val="004D48F3"/>
    <w:rsid w:val="004D749A"/>
    <w:rsid w:val="004E4768"/>
    <w:rsid w:val="004E4BD6"/>
    <w:rsid w:val="004E4EC7"/>
    <w:rsid w:val="004E55BB"/>
    <w:rsid w:val="004E675C"/>
    <w:rsid w:val="004F402D"/>
    <w:rsid w:val="004F42D5"/>
    <w:rsid w:val="004F493E"/>
    <w:rsid w:val="004F512E"/>
    <w:rsid w:val="004F58FA"/>
    <w:rsid w:val="004F7F36"/>
    <w:rsid w:val="00500743"/>
    <w:rsid w:val="005014D4"/>
    <w:rsid w:val="00502046"/>
    <w:rsid w:val="005071B0"/>
    <w:rsid w:val="00512567"/>
    <w:rsid w:val="0051420D"/>
    <w:rsid w:val="00515B69"/>
    <w:rsid w:val="00515F21"/>
    <w:rsid w:val="00516063"/>
    <w:rsid w:val="00516322"/>
    <w:rsid w:val="005171C5"/>
    <w:rsid w:val="00517C80"/>
    <w:rsid w:val="00521E38"/>
    <w:rsid w:val="005227F8"/>
    <w:rsid w:val="00524F42"/>
    <w:rsid w:val="00525C73"/>
    <w:rsid w:val="00525CDF"/>
    <w:rsid w:val="0052635A"/>
    <w:rsid w:val="005311C8"/>
    <w:rsid w:val="00531DFC"/>
    <w:rsid w:val="00532631"/>
    <w:rsid w:val="0053580E"/>
    <w:rsid w:val="005363CE"/>
    <w:rsid w:val="00536BB4"/>
    <w:rsid w:val="00540E43"/>
    <w:rsid w:val="00541703"/>
    <w:rsid w:val="0054286A"/>
    <w:rsid w:val="00543F15"/>
    <w:rsid w:val="00545683"/>
    <w:rsid w:val="00546B41"/>
    <w:rsid w:val="0054734B"/>
    <w:rsid w:val="00552023"/>
    <w:rsid w:val="0055289E"/>
    <w:rsid w:val="00552C9D"/>
    <w:rsid w:val="00556416"/>
    <w:rsid w:val="00562D79"/>
    <w:rsid w:val="00563520"/>
    <w:rsid w:val="00564761"/>
    <w:rsid w:val="00567AA6"/>
    <w:rsid w:val="0057129C"/>
    <w:rsid w:val="00576DAF"/>
    <w:rsid w:val="00577167"/>
    <w:rsid w:val="00580BEF"/>
    <w:rsid w:val="0058269A"/>
    <w:rsid w:val="00582E83"/>
    <w:rsid w:val="00583265"/>
    <w:rsid w:val="005837D2"/>
    <w:rsid w:val="00584442"/>
    <w:rsid w:val="00584E08"/>
    <w:rsid w:val="00585557"/>
    <w:rsid w:val="005876CB"/>
    <w:rsid w:val="00591106"/>
    <w:rsid w:val="00595BCA"/>
    <w:rsid w:val="00596300"/>
    <w:rsid w:val="00596E1F"/>
    <w:rsid w:val="005A19EC"/>
    <w:rsid w:val="005A234B"/>
    <w:rsid w:val="005A2F78"/>
    <w:rsid w:val="005A4F3F"/>
    <w:rsid w:val="005A6343"/>
    <w:rsid w:val="005A665E"/>
    <w:rsid w:val="005B3F87"/>
    <w:rsid w:val="005B734E"/>
    <w:rsid w:val="005C13AE"/>
    <w:rsid w:val="005C221D"/>
    <w:rsid w:val="005C243F"/>
    <w:rsid w:val="005C3BCC"/>
    <w:rsid w:val="005C5B91"/>
    <w:rsid w:val="005C7BEB"/>
    <w:rsid w:val="005D06F0"/>
    <w:rsid w:val="005D0A66"/>
    <w:rsid w:val="005D135D"/>
    <w:rsid w:val="005D1952"/>
    <w:rsid w:val="005D3D2E"/>
    <w:rsid w:val="005D58B6"/>
    <w:rsid w:val="005D5DDD"/>
    <w:rsid w:val="005D77B1"/>
    <w:rsid w:val="005D7DB6"/>
    <w:rsid w:val="005E1AEA"/>
    <w:rsid w:val="005E3342"/>
    <w:rsid w:val="005E4780"/>
    <w:rsid w:val="005E6DDC"/>
    <w:rsid w:val="005E717E"/>
    <w:rsid w:val="005F24B2"/>
    <w:rsid w:val="005F33A1"/>
    <w:rsid w:val="005F4DAC"/>
    <w:rsid w:val="005F5D80"/>
    <w:rsid w:val="005F6CA2"/>
    <w:rsid w:val="00602376"/>
    <w:rsid w:val="00604517"/>
    <w:rsid w:val="00604C3D"/>
    <w:rsid w:val="00610598"/>
    <w:rsid w:val="00610C60"/>
    <w:rsid w:val="006114AD"/>
    <w:rsid w:val="00612D3A"/>
    <w:rsid w:val="00613638"/>
    <w:rsid w:val="0061459D"/>
    <w:rsid w:val="00614BB4"/>
    <w:rsid w:val="00614DDC"/>
    <w:rsid w:val="00615103"/>
    <w:rsid w:val="00615CB0"/>
    <w:rsid w:val="00615FD7"/>
    <w:rsid w:val="0062086B"/>
    <w:rsid w:val="00623FFE"/>
    <w:rsid w:val="006316B2"/>
    <w:rsid w:val="00634D77"/>
    <w:rsid w:val="00634FED"/>
    <w:rsid w:val="0063504D"/>
    <w:rsid w:val="006374D0"/>
    <w:rsid w:val="00642F28"/>
    <w:rsid w:val="00647CD5"/>
    <w:rsid w:val="00656978"/>
    <w:rsid w:val="00656A05"/>
    <w:rsid w:val="00656A17"/>
    <w:rsid w:val="00657071"/>
    <w:rsid w:val="0065799F"/>
    <w:rsid w:val="00663884"/>
    <w:rsid w:val="00664620"/>
    <w:rsid w:val="00667083"/>
    <w:rsid w:val="006741DC"/>
    <w:rsid w:val="0067740C"/>
    <w:rsid w:val="00677C04"/>
    <w:rsid w:val="006839BB"/>
    <w:rsid w:val="00683A98"/>
    <w:rsid w:val="00684033"/>
    <w:rsid w:val="006845C5"/>
    <w:rsid w:val="00687CBE"/>
    <w:rsid w:val="00687E31"/>
    <w:rsid w:val="00690C6C"/>
    <w:rsid w:val="00691023"/>
    <w:rsid w:val="00694393"/>
    <w:rsid w:val="006A1DBB"/>
    <w:rsid w:val="006A3961"/>
    <w:rsid w:val="006A6C58"/>
    <w:rsid w:val="006A6D73"/>
    <w:rsid w:val="006A72B0"/>
    <w:rsid w:val="006B200D"/>
    <w:rsid w:val="006B228D"/>
    <w:rsid w:val="006B2639"/>
    <w:rsid w:val="006B3D07"/>
    <w:rsid w:val="006B5333"/>
    <w:rsid w:val="006B6C7A"/>
    <w:rsid w:val="006C2556"/>
    <w:rsid w:val="006C44D8"/>
    <w:rsid w:val="006C4555"/>
    <w:rsid w:val="006C48A4"/>
    <w:rsid w:val="006C496D"/>
    <w:rsid w:val="006C59C8"/>
    <w:rsid w:val="006C6B57"/>
    <w:rsid w:val="006C6ED0"/>
    <w:rsid w:val="006C7CCD"/>
    <w:rsid w:val="006D5D4E"/>
    <w:rsid w:val="006D7C90"/>
    <w:rsid w:val="006D7D26"/>
    <w:rsid w:val="006E0F6B"/>
    <w:rsid w:val="006E12C3"/>
    <w:rsid w:val="006E162B"/>
    <w:rsid w:val="006E2F4E"/>
    <w:rsid w:val="006E3B85"/>
    <w:rsid w:val="006E4CD9"/>
    <w:rsid w:val="006E6197"/>
    <w:rsid w:val="006E6A59"/>
    <w:rsid w:val="006E70FB"/>
    <w:rsid w:val="006E74CF"/>
    <w:rsid w:val="006F1E49"/>
    <w:rsid w:val="006F2267"/>
    <w:rsid w:val="006F22A1"/>
    <w:rsid w:val="006F3675"/>
    <w:rsid w:val="006F7C37"/>
    <w:rsid w:val="0070310C"/>
    <w:rsid w:val="00704FFF"/>
    <w:rsid w:val="0070580A"/>
    <w:rsid w:val="007125AB"/>
    <w:rsid w:val="00713058"/>
    <w:rsid w:val="00713F6B"/>
    <w:rsid w:val="00714972"/>
    <w:rsid w:val="00715F54"/>
    <w:rsid w:val="007174F6"/>
    <w:rsid w:val="00717F79"/>
    <w:rsid w:val="007266FB"/>
    <w:rsid w:val="0073038D"/>
    <w:rsid w:val="00730DAA"/>
    <w:rsid w:val="00731E55"/>
    <w:rsid w:val="00734AF4"/>
    <w:rsid w:val="00736D27"/>
    <w:rsid w:val="007379F1"/>
    <w:rsid w:val="007409A2"/>
    <w:rsid w:val="00741528"/>
    <w:rsid w:val="00741A42"/>
    <w:rsid w:val="007436CD"/>
    <w:rsid w:val="007444A4"/>
    <w:rsid w:val="007459E7"/>
    <w:rsid w:val="0075283D"/>
    <w:rsid w:val="007538DA"/>
    <w:rsid w:val="00756D3D"/>
    <w:rsid w:val="00756E5C"/>
    <w:rsid w:val="007570BF"/>
    <w:rsid w:val="00757A17"/>
    <w:rsid w:val="00760EB1"/>
    <w:rsid w:val="007613E5"/>
    <w:rsid w:val="007617F5"/>
    <w:rsid w:val="00761B1D"/>
    <w:rsid w:val="00762A07"/>
    <w:rsid w:val="00764B8C"/>
    <w:rsid w:val="007706B1"/>
    <w:rsid w:val="00770A84"/>
    <w:rsid w:val="00771C5B"/>
    <w:rsid w:val="007742B6"/>
    <w:rsid w:val="00774B18"/>
    <w:rsid w:val="00775CAB"/>
    <w:rsid w:val="007803EE"/>
    <w:rsid w:val="007831A1"/>
    <w:rsid w:val="007836AF"/>
    <w:rsid w:val="00784D35"/>
    <w:rsid w:val="00786759"/>
    <w:rsid w:val="007870AB"/>
    <w:rsid w:val="00787DB6"/>
    <w:rsid w:val="00794D29"/>
    <w:rsid w:val="00796548"/>
    <w:rsid w:val="0079690E"/>
    <w:rsid w:val="007979E1"/>
    <w:rsid w:val="007A01B7"/>
    <w:rsid w:val="007A2A48"/>
    <w:rsid w:val="007A4F51"/>
    <w:rsid w:val="007A5FB8"/>
    <w:rsid w:val="007B25ED"/>
    <w:rsid w:val="007B2891"/>
    <w:rsid w:val="007B44E3"/>
    <w:rsid w:val="007B5092"/>
    <w:rsid w:val="007B689F"/>
    <w:rsid w:val="007B773B"/>
    <w:rsid w:val="007C4B67"/>
    <w:rsid w:val="007C7B21"/>
    <w:rsid w:val="007D057B"/>
    <w:rsid w:val="007D220D"/>
    <w:rsid w:val="007D29A5"/>
    <w:rsid w:val="007D2BD4"/>
    <w:rsid w:val="007D2DA5"/>
    <w:rsid w:val="007D3547"/>
    <w:rsid w:val="007D4DBD"/>
    <w:rsid w:val="007D52BD"/>
    <w:rsid w:val="007D596F"/>
    <w:rsid w:val="007E12BB"/>
    <w:rsid w:val="007E1B60"/>
    <w:rsid w:val="007E284F"/>
    <w:rsid w:val="007E3BD7"/>
    <w:rsid w:val="007E3D7C"/>
    <w:rsid w:val="007E6345"/>
    <w:rsid w:val="007F1132"/>
    <w:rsid w:val="007F1D88"/>
    <w:rsid w:val="007F34DC"/>
    <w:rsid w:val="007F3722"/>
    <w:rsid w:val="007F3F0C"/>
    <w:rsid w:val="007F4929"/>
    <w:rsid w:val="007F4DCB"/>
    <w:rsid w:val="007F5376"/>
    <w:rsid w:val="007F63AE"/>
    <w:rsid w:val="007F689B"/>
    <w:rsid w:val="00800E73"/>
    <w:rsid w:val="00801B3D"/>
    <w:rsid w:val="00803DB3"/>
    <w:rsid w:val="00805D1F"/>
    <w:rsid w:val="0080625B"/>
    <w:rsid w:val="00806B57"/>
    <w:rsid w:val="00806E89"/>
    <w:rsid w:val="008076FE"/>
    <w:rsid w:val="00812080"/>
    <w:rsid w:val="0081343E"/>
    <w:rsid w:val="00813D77"/>
    <w:rsid w:val="00813E99"/>
    <w:rsid w:val="00817FA1"/>
    <w:rsid w:val="0082059D"/>
    <w:rsid w:val="00826229"/>
    <w:rsid w:val="00827559"/>
    <w:rsid w:val="00827D19"/>
    <w:rsid w:val="0083565D"/>
    <w:rsid w:val="00835681"/>
    <w:rsid w:val="0084023A"/>
    <w:rsid w:val="00844F49"/>
    <w:rsid w:val="00845BCC"/>
    <w:rsid w:val="00847017"/>
    <w:rsid w:val="00851E48"/>
    <w:rsid w:val="008528F9"/>
    <w:rsid w:val="00852F1D"/>
    <w:rsid w:val="00853464"/>
    <w:rsid w:val="0085788F"/>
    <w:rsid w:val="008607AE"/>
    <w:rsid w:val="00861A4B"/>
    <w:rsid w:val="00862434"/>
    <w:rsid w:val="00863BD3"/>
    <w:rsid w:val="008642F4"/>
    <w:rsid w:val="0086509D"/>
    <w:rsid w:val="00865D93"/>
    <w:rsid w:val="008664A6"/>
    <w:rsid w:val="00866E69"/>
    <w:rsid w:val="00867F04"/>
    <w:rsid w:val="00870117"/>
    <w:rsid w:val="00872148"/>
    <w:rsid w:val="0087287D"/>
    <w:rsid w:val="008755B1"/>
    <w:rsid w:val="008759BC"/>
    <w:rsid w:val="008807F4"/>
    <w:rsid w:val="008816F0"/>
    <w:rsid w:val="00882619"/>
    <w:rsid w:val="008843B8"/>
    <w:rsid w:val="0088775C"/>
    <w:rsid w:val="00887EF6"/>
    <w:rsid w:val="00890612"/>
    <w:rsid w:val="00892A95"/>
    <w:rsid w:val="0089407F"/>
    <w:rsid w:val="008975AE"/>
    <w:rsid w:val="0089788A"/>
    <w:rsid w:val="008A3760"/>
    <w:rsid w:val="008A544B"/>
    <w:rsid w:val="008A6216"/>
    <w:rsid w:val="008B025F"/>
    <w:rsid w:val="008B0F10"/>
    <w:rsid w:val="008B1AAD"/>
    <w:rsid w:val="008B248A"/>
    <w:rsid w:val="008B4BDC"/>
    <w:rsid w:val="008B5BBD"/>
    <w:rsid w:val="008C14E5"/>
    <w:rsid w:val="008C33A6"/>
    <w:rsid w:val="008C4A1A"/>
    <w:rsid w:val="008D1500"/>
    <w:rsid w:val="008D28E9"/>
    <w:rsid w:val="008D4DA8"/>
    <w:rsid w:val="008D5AD8"/>
    <w:rsid w:val="008D6728"/>
    <w:rsid w:val="008D7A70"/>
    <w:rsid w:val="008E24D4"/>
    <w:rsid w:val="008E51AE"/>
    <w:rsid w:val="008E6002"/>
    <w:rsid w:val="008E6C22"/>
    <w:rsid w:val="008E7EA8"/>
    <w:rsid w:val="008F0973"/>
    <w:rsid w:val="008F0FD2"/>
    <w:rsid w:val="008F1DF3"/>
    <w:rsid w:val="008F2530"/>
    <w:rsid w:val="008F3CAD"/>
    <w:rsid w:val="008F430F"/>
    <w:rsid w:val="008F5566"/>
    <w:rsid w:val="008F72A7"/>
    <w:rsid w:val="00900208"/>
    <w:rsid w:val="0090266C"/>
    <w:rsid w:val="0090441D"/>
    <w:rsid w:val="0091072B"/>
    <w:rsid w:val="00912590"/>
    <w:rsid w:val="0091386C"/>
    <w:rsid w:val="00914AA1"/>
    <w:rsid w:val="00915CCF"/>
    <w:rsid w:val="00920082"/>
    <w:rsid w:val="00921927"/>
    <w:rsid w:val="009219D9"/>
    <w:rsid w:val="00922591"/>
    <w:rsid w:val="009237A7"/>
    <w:rsid w:val="00925701"/>
    <w:rsid w:val="00925C36"/>
    <w:rsid w:val="009306C3"/>
    <w:rsid w:val="00931A51"/>
    <w:rsid w:val="00932A38"/>
    <w:rsid w:val="0093526E"/>
    <w:rsid w:val="00935526"/>
    <w:rsid w:val="0093712A"/>
    <w:rsid w:val="00942CAE"/>
    <w:rsid w:val="00947A1A"/>
    <w:rsid w:val="00951470"/>
    <w:rsid w:val="00953E28"/>
    <w:rsid w:val="0095672C"/>
    <w:rsid w:val="009600ED"/>
    <w:rsid w:val="00960C65"/>
    <w:rsid w:val="00960DDD"/>
    <w:rsid w:val="00961FE0"/>
    <w:rsid w:val="00963148"/>
    <w:rsid w:val="0097026F"/>
    <w:rsid w:val="00970590"/>
    <w:rsid w:val="009744F1"/>
    <w:rsid w:val="00975208"/>
    <w:rsid w:val="00975D56"/>
    <w:rsid w:val="00977F33"/>
    <w:rsid w:val="00980B81"/>
    <w:rsid w:val="009853B9"/>
    <w:rsid w:val="00986C05"/>
    <w:rsid w:val="00987036"/>
    <w:rsid w:val="00990F07"/>
    <w:rsid w:val="00991E4B"/>
    <w:rsid w:val="009932AC"/>
    <w:rsid w:val="00994A9B"/>
    <w:rsid w:val="009960BB"/>
    <w:rsid w:val="00996458"/>
    <w:rsid w:val="00996D81"/>
    <w:rsid w:val="009A0796"/>
    <w:rsid w:val="009A1895"/>
    <w:rsid w:val="009A2235"/>
    <w:rsid w:val="009A65AE"/>
    <w:rsid w:val="009A720F"/>
    <w:rsid w:val="009A73BB"/>
    <w:rsid w:val="009A7F5F"/>
    <w:rsid w:val="009B13B8"/>
    <w:rsid w:val="009B250B"/>
    <w:rsid w:val="009B30C4"/>
    <w:rsid w:val="009B30EC"/>
    <w:rsid w:val="009B508F"/>
    <w:rsid w:val="009B6A49"/>
    <w:rsid w:val="009C4479"/>
    <w:rsid w:val="009C6665"/>
    <w:rsid w:val="009C6C00"/>
    <w:rsid w:val="009C7251"/>
    <w:rsid w:val="009D0CCC"/>
    <w:rsid w:val="009D147E"/>
    <w:rsid w:val="009D29AC"/>
    <w:rsid w:val="009D3A39"/>
    <w:rsid w:val="009D4698"/>
    <w:rsid w:val="009D6289"/>
    <w:rsid w:val="009D6A32"/>
    <w:rsid w:val="009E0986"/>
    <w:rsid w:val="009E1A58"/>
    <w:rsid w:val="009E29B6"/>
    <w:rsid w:val="009E2FA5"/>
    <w:rsid w:val="009E3354"/>
    <w:rsid w:val="009E35DF"/>
    <w:rsid w:val="009E35E0"/>
    <w:rsid w:val="009F116B"/>
    <w:rsid w:val="009F1849"/>
    <w:rsid w:val="009F22DD"/>
    <w:rsid w:val="009F2DE1"/>
    <w:rsid w:val="009F4E06"/>
    <w:rsid w:val="009F56EC"/>
    <w:rsid w:val="009F65E8"/>
    <w:rsid w:val="009F7E00"/>
    <w:rsid w:val="00A002E6"/>
    <w:rsid w:val="00A0181C"/>
    <w:rsid w:val="00A02DF9"/>
    <w:rsid w:val="00A032F3"/>
    <w:rsid w:val="00A07A6C"/>
    <w:rsid w:val="00A10D3A"/>
    <w:rsid w:val="00A14D8C"/>
    <w:rsid w:val="00A15002"/>
    <w:rsid w:val="00A16736"/>
    <w:rsid w:val="00A23467"/>
    <w:rsid w:val="00A2362B"/>
    <w:rsid w:val="00A23CCD"/>
    <w:rsid w:val="00A2568A"/>
    <w:rsid w:val="00A26F80"/>
    <w:rsid w:val="00A30BCB"/>
    <w:rsid w:val="00A31BCC"/>
    <w:rsid w:val="00A31BF3"/>
    <w:rsid w:val="00A32C18"/>
    <w:rsid w:val="00A33E61"/>
    <w:rsid w:val="00A33F2D"/>
    <w:rsid w:val="00A34C51"/>
    <w:rsid w:val="00A36115"/>
    <w:rsid w:val="00A42821"/>
    <w:rsid w:val="00A42DAF"/>
    <w:rsid w:val="00A43C59"/>
    <w:rsid w:val="00A45B09"/>
    <w:rsid w:val="00A46ADD"/>
    <w:rsid w:val="00A472B6"/>
    <w:rsid w:val="00A47C7A"/>
    <w:rsid w:val="00A50CCE"/>
    <w:rsid w:val="00A5130F"/>
    <w:rsid w:val="00A51B2C"/>
    <w:rsid w:val="00A525EE"/>
    <w:rsid w:val="00A53C46"/>
    <w:rsid w:val="00A54B32"/>
    <w:rsid w:val="00A55E3F"/>
    <w:rsid w:val="00A56C6E"/>
    <w:rsid w:val="00A57859"/>
    <w:rsid w:val="00A60BB9"/>
    <w:rsid w:val="00A6349E"/>
    <w:rsid w:val="00A63935"/>
    <w:rsid w:val="00A6413C"/>
    <w:rsid w:val="00A64D8A"/>
    <w:rsid w:val="00A65263"/>
    <w:rsid w:val="00A70A1D"/>
    <w:rsid w:val="00A70D0C"/>
    <w:rsid w:val="00A729A2"/>
    <w:rsid w:val="00A72F09"/>
    <w:rsid w:val="00A733AE"/>
    <w:rsid w:val="00A7385E"/>
    <w:rsid w:val="00A742E1"/>
    <w:rsid w:val="00A74EE1"/>
    <w:rsid w:val="00A7638D"/>
    <w:rsid w:val="00A76818"/>
    <w:rsid w:val="00A778FB"/>
    <w:rsid w:val="00A77E82"/>
    <w:rsid w:val="00A81491"/>
    <w:rsid w:val="00A81E05"/>
    <w:rsid w:val="00A823A7"/>
    <w:rsid w:val="00A83D29"/>
    <w:rsid w:val="00A84E92"/>
    <w:rsid w:val="00A923F9"/>
    <w:rsid w:val="00A93697"/>
    <w:rsid w:val="00A95CAF"/>
    <w:rsid w:val="00A96D7A"/>
    <w:rsid w:val="00A96E6A"/>
    <w:rsid w:val="00AA0E87"/>
    <w:rsid w:val="00AA1296"/>
    <w:rsid w:val="00AA1A19"/>
    <w:rsid w:val="00AA42E3"/>
    <w:rsid w:val="00AA4451"/>
    <w:rsid w:val="00AA4F5D"/>
    <w:rsid w:val="00AA574B"/>
    <w:rsid w:val="00AA6DB3"/>
    <w:rsid w:val="00AB12AB"/>
    <w:rsid w:val="00AB2548"/>
    <w:rsid w:val="00AB421C"/>
    <w:rsid w:val="00AB4F45"/>
    <w:rsid w:val="00AB550A"/>
    <w:rsid w:val="00AB5F60"/>
    <w:rsid w:val="00AC0FDC"/>
    <w:rsid w:val="00AC24BB"/>
    <w:rsid w:val="00AC3AC8"/>
    <w:rsid w:val="00AC6DF7"/>
    <w:rsid w:val="00AD1E94"/>
    <w:rsid w:val="00AD2742"/>
    <w:rsid w:val="00AD3E68"/>
    <w:rsid w:val="00AD64E2"/>
    <w:rsid w:val="00AD669A"/>
    <w:rsid w:val="00AE0CC0"/>
    <w:rsid w:val="00AE1FF6"/>
    <w:rsid w:val="00AE2CE2"/>
    <w:rsid w:val="00AE31E3"/>
    <w:rsid w:val="00AE31F3"/>
    <w:rsid w:val="00AE3615"/>
    <w:rsid w:val="00AE3ADB"/>
    <w:rsid w:val="00AE5277"/>
    <w:rsid w:val="00AE6192"/>
    <w:rsid w:val="00AE760B"/>
    <w:rsid w:val="00AF0709"/>
    <w:rsid w:val="00AF2ABA"/>
    <w:rsid w:val="00AF2B6A"/>
    <w:rsid w:val="00AF3D71"/>
    <w:rsid w:val="00AF4514"/>
    <w:rsid w:val="00AF6510"/>
    <w:rsid w:val="00AF7107"/>
    <w:rsid w:val="00B04062"/>
    <w:rsid w:val="00B043A7"/>
    <w:rsid w:val="00B044EF"/>
    <w:rsid w:val="00B057C6"/>
    <w:rsid w:val="00B106C2"/>
    <w:rsid w:val="00B11085"/>
    <w:rsid w:val="00B1410C"/>
    <w:rsid w:val="00B14C92"/>
    <w:rsid w:val="00B15164"/>
    <w:rsid w:val="00B154BC"/>
    <w:rsid w:val="00B15F9C"/>
    <w:rsid w:val="00B207EA"/>
    <w:rsid w:val="00B214EF"/>
    <w:rsid w:val="00B219DB"/>
    <w:rsid w:val="00B21EBB"/>
    <w:rsid w:val="00B23A25"/>
    <w:rsid w:val="00B23B86"/>
    <w:rsid w:val="00B26B4B"/>
    <w:rsid w:val="00B27D9B"/>
    <w:rsid w:val="00B27EF1"/>
    <w:rsid w:val="00B3145E"/>
    <w:rsid w:val="00B3276C"/>
    <w:rsid w:val="00B3316B"/>
    <w:rsid w:val="00B33A3B"/>
    <w:rsid w:val="00B34E45"/>
    <w:rsid w:val="00B35A30"/>
    <w:rsid w:val="00B373D1"/>
    <w:rsid w:val="00B4232F"/>
    <w:rsid w:val="00B42798"/>
    <w:rsid w:val="00B42A2B"/>
    <w:rsid w:val="00B433C7"/>
    <w:rsid w:val="00B4761E"/>
    <w:rsid w:val="00B5156A"/>
    <w:rsid w:val="00B52D4E"/>
    <w:rsid w:val="00B53B52"/>
    <w:rsid w:val="00B548EE"/>
    <w:rsid w:val="00B549A8"/>
    <w:rsid w:val="00B5555C"/>
    <w:rsid w:val="00B564EC"/>
    <w:rsid w:val="00B57B6F"/>
    <w:rsid w:val="00B6109B"/>
    <w:rsid w:val="00B625FD"/>
    <w:rsid w:val="00B62CB8"/>
    <w:rsid w:val="00B63038"/>
    <w:rsid w:val="00B6396B"/>
    <w:rsid w:val="00B645DC"/>
    <w:rsid w:val="00B65E5D"/>
    <w:rsid w:val="00B65E87"/>
    <w:rsid w:val="00B66158"/>
    <w:rsid w:val="00B709A1"/>
    <w:rsid w:val="00B7162F"/>
    <w:rsid w:val="00B72339"/>
    <w:rsid w:val="00B72BFD"/>
    <w:rsid w:val="00B75BB6"/>
    <w:rsid w:val="00B77725"/>
    <w:rsid w:val="00B778A9"/>
    <w:rsid w:val="00B77A51"/>
    <w:rsid w:val="00B80AFB"/>
    <w:rsid w:val="00B854DC"/>
    <w:rsid w:val="00B92905"/>
    <w:rsid w:val="00B93D9B"/>
    <w:rsid w:val="00B95670"/>
    <w:rsid w:val="00B96C12"/>
    <w:rsid w:val="00B974BC"/>
    <w:rsid w:val="00B979B9"/>
    <w:rsid w:val="00BA0B99"/>
    <w:rsid w:val="00BA49EB"/>
    <w:rsid w:val="00BA54F6"/>
    <w:rsid w:val="00BA69DB"/>
    <w:rsid w:val="00BB09DF"/>
    <w:rsid w:val="00BB164C"/>
    <w:rsid w:val="00BB1C0B"/>
    <w:rsid w:val="00BB606F"/>
    <w:rsid w:val="00BB67B7"/>
    <w:rsid w:val="00BC17EC"/>
    <w:rsid w:val="00BC3192"/>
    <w:rsid w:val="00BC766D"/>
    <w:rsid w:val="00BD0211"/>
    <w:rsid w:val="00BD1442"/>
    <w:rsid w:val="00BD1685"/>
    <w:rsid w:val="00BD44C4"/>
    <w:rsid w:val="00BD51EC"/>
    <w:rsid w:val="00BD59F4"/>
    <w:rsid w:val="00BD5AFE"/>
    <w:rsid w:val="00BD761A"/>
    <w:rsid w:val="00BE183E"/>
    <w:rsid w:val="00BE38E3"/>
    <w:rsid w:val="00BE4A1F"/>
    <w:rsid w:val="00BE7529"/>
    <w:rsid w:val="00BF10D7"/>
    <w:rsid w:val="00BF13BD"/>
    <w:rsid w:val="00BF574E"/>
    <w:rsid w:val="00BF618C"/>
    <w:rsid w:val="00BF6194"/>
    <w:rsid w:val="00BF6C41"/>
    <w:rsid w:val="00C01662"/>
    <w:rsid w:val="00C02558"/>
    <w:rsid w:val="00C05113"/>
    <w:rsid w:val="00C05506"/>
    <w:rsid w:val="00C05725"/>
    <w:rsid w:val="00C07266"/>
    <w:rsid w:val="00C07433"/>
    <w:rsid w:val="00C104E9"/>
    <w:rsid w:val="00C110EC"/>
    <w:rsid w:val="00C11F64"/>
    <w:rsid w:val="00C15584"/>
    <w:rsid w:val="00C16016"/>
    <w:rsid w:val="00C171E2"/>
    <w:rsid w:val="00C240B6"/>
    <w:rsid w:val="00C255BB"/>
    <w:rsid w:val="00C255EE"/>
    <w:rsid w:val="00C2603C"/>
    <w:rsid w:val="00C26DB5"/>
    <w:rsid w:val="00C272B8"/>
    <w:rsid w:val="00C33D5B"/>
    <w:rsid w:val="00C34ED4"/>
    <w:rsid w:val="00C4082C"/>
    <w:rsid w:val="00C40AEA"/>
    <w:rsid w:val="00C418B3"/>
    <w:rsid w:val="00C440C9"/>
    <w:rsid w:val="00C44972"/>
    <w:rsid w:val="00C44B53"/>
    <w:rsid w:val="00C451BF"/>
    <w:rsid w:val="00C45808"/>
    <w:rsid w:val="00C526C7"/>
    <w:rsid w:val="00C53E37"/>
    <w:rsid w:val="00C55248"/>
    <w:rsid w:val="00C56105"/>
    <w:rsid w:val="00C56863"/>
    <w:rsid w:val="00C6008A"/>
    <w:rsid w:val="00C6385F"/>
    <w:rsid w:val="00C648DC"/>
    <w:rsid w:val="00C64E31"/>
    <w:rsid w:val="00C6518C"/>
    <w:rsid w:val="00C65546"/>
    <w:rsid w:val="00C66F4A"/>
    <w:rsid w:val="00C67DA1"/>
    <w:rsid w:val="00C7041E"/>
    <w:rsid w:val="00C711F1"/>
    <w:rsid w:val="00C7130E"/>
    <w:rsid w:val="00C725E6"/>
    <w:rsid w:val="00C73631"/>
    <w:rsid w:val="00C73C05"/>
    <w:rsid w:val="00C73C2B"/>
    <w:rsid w:val="00C750E2"/>
    <w:rsid w:val="00C75C6D"/>
    <w:rsid w:val="00C75F11"/>
    <w:rsid w:val="00C75F72"/>
    <w:rsid w:val="00C76512"/>
    <w:rsid w:val="00C77FDE"/>
    <w:rsid w:val="00C82D9B"/>
    <w:rsid w:val="00C83BD1"/>
    <w:rsid w:val="00C85F56"/>
    <w:rsid w:val="00C87C17"/>
    <w:rsid w:val="00C90E53"/>
    <w:rsid w:val="00C911AA"/>
    <w:rsid w:val="00C92461"/>
    <w:rsid w:val="00C93A82"/>
    <w:rsid w:val="00C9497B"/>
    <w:rsid w:val="00C957BC"/>
    <w:rsid w:val="00C976B8"/>
    <w:rsid w:val="00CA0358"/>
    <w:rsid w:val="00CA3254"/>
    <w:rsid w:val="00CA50ED"/>
    <w:rsid w:val="00CA7074"/>
    <w:rsid w:val="00CB0485"/>
    <w:rsid w:val="00CB2799"/>
    <w:rsid w:val="00CB3F87"/>
    <w:rsid w:val="00CB544F"/>
    <w:rsid w:val="00CB64C4"/>
    <w:rsid w:val="00CB696C"/>
    <w:rsid w:val="00CC00C6"/>
    <w:rsid w:val="00CC051B"/>
    <w:rsid w:val="00CC07B5"/>
    <w:rsid w:val="00CC0C62"/>
    <w:rsid w:val="00CC1577"/>
    <w:rsid w:val="00CC189E"/>
    <w:rsid w:val="00CC238A"/>
    <w:rsid w:val="00CC26E5"/>
    <w:rsid w:val="00CC3545"/>
    <w:rsid w:val="00CC52F8"/>
    <w:rsid w:val="00CC5D18"/>
    <w:rsid w:val="00CC7984"/>
    <w:rsid w:val="00CD2120"/>
    <w:rsid w:val="00CD577A"/>
    <w:rsid w:val="00CE1192"/>
    <w:rsid w:val="00CE1271"/>
    <w:rsid w:val="00CE159E"/>
    <w:rsid w:val="00CE1DEB"/>
    <w:rsid w:val="00CE2968"/>
    <w:rsid w:val="00CE3225"/>
    <w:rsid w:val="00CE6A29"/>
    <w:rsid w:val="00CF1BCF"/>
    <w:rsid w:val="00CF1C71"/>
    <w:rsid w:val="00CF7FED"/>
    <w:rsid w:val="00D04E1D"/>
    <w:rsid w:val="00D0664A"/>
    <w:rsid w:val="00D06EB9"/>
    <w:rsid w:val="00D07D78"/>
    <w:rsid w:val="00D07DE7"/>
    <w:rsid w:val="00D10848"/>
    <w:rsid w:val="00D112B0"/>
    <w:rsid w:val="00D152AD"/>
    <w:rsid w:val="00D15AA8"/>
    <w:rsid w:val="00D163D3"/>
    <w:rsid w:val="00D22071"/>
    <w:rsid w:val="00D225DE"/>
    <w:rsid w:val="00D22855"/>
    <w:rsid w:val="00D23651"/>
    <w:rsid w:val="00D2669B"/>
    <w:rsid w:val="00D27893"/>
    <w:rsid w:val="00D33B61"/>
    <w:rsid w:val="00D34045"/>
    <w:rsid w:val="00D3586D"/>
    <w:rsid w:val="00D43076"/>
    <w:rsid w:val="00D454BC"/>
    <w:rsid w:val="00D469F5"/>
    <w:rsid w:val="00D46DCA"/>
    <w:rsid w:val="00D47708"/>
    <w:rsid w:val="00D505F4"/>
    <w:rsid w:val="00D52820"/>
    <w:rsid w:val="00D52AE0"/>
    <w:rsid w:val="00D5377D"/>
    <w:rsid w:val="00D55BB0"/>
    <w:rsid w:val="00D60DB6"/>
    <w:rsid w:val="00D61F12"/>
    <w:rsid w:val="00D6201F"/>
    <w:rsid w:val="00D62E03"/>
    <w:rsid w:val="00D6795B"/>
    <w:rsid w:val="00D70A23"/>
    <w:rsid w:val="00D731BE"/>
    <w:rsid w:val="00D7747B"/>
    <w:rsid w:val="00D8171F"/>
    <w:rsid w:val="00D82503"/>
    <w:rsid w:val="00D82638"/>
    <w:rsid w:val="00D834E4"/>
    <w:rsid w:val="00D85A93"/>
    <w:rsid w:val="00D87CB0"/>
    <w:rsid w:val="00D87DC6"/>
    <w:rsid w:val="00D910B9"/>
    <w:rsid w:val="00D935C5"/>
    <w:rsid w:val="00D9400B"/>
    <w:rsid w:val="00D96F3F"/>
    <w:rsid w:val="00D97C23"/>
    <w:rsid w:val="00DA1559"/>
    <w:rsid w:val="00DA15CD"/>
    <w:rsid w:val="00DA26ED"/>
    <w:rsid w:val="00DA4C55"/>
    <w:rsid w:val="00DA65A6"/>
    <w:rsid w:val="00DA6CB0"/>
    <w:rsid w:val="00DB044A"/>
    <w:rsid w:val="00DB3AEB"/>
    <w:rsid w:val="00DB3B42"/>
    <w:rsid w:val="00DB4D88"/>
    <w:rsid w:val="00DB4E9F"/>
    <w:rsid w:val="00DC1BBD"/>
    <w:rsid w:val="00DC262D"/>
    <w:rsid w:val="00DC3A4F"/>
    <w:rsid w:val="00DC3D38"/>
    <w:rsid w:val="00DC56F5"/>
    <w:rsid w:val="00DC6601"/>
    <w:rsid w:val="00DC66FC"/>
    <w:rsid w:val="00DC7DD4"/>
    <w:rsid w:val="00DD11B8"/>
    <w:rsid w:val="00DD1DEA"/>
    <w:rsid w:val="00DD53F2"/>
    <w:rsid w:val="00DE222E"/>
    <w:rsid w:val="00DE3C48"/>
    <w:rsid w:val="00DE5503"/>
    <w:rsid w:val="00DE57A6"/>
    <w:rsid w:val="00DF13C5"/>
    <w:rsid w:val="00DF157A"/>
    <w:rsid w:val="00DF230A"/>
    <w:rsid w:val="00DF3DCA"/>
    <w:rsid w:val="00DF55BD"/>
    <w:rsid w:val="00DF65EA"/>
    <w:rsid w:val="00E040C1"/>
    <w:rsid w:val="00E050E6"/>
    <w:rsid w:val="00E070CA"/>
    <w:rsid w:val="00E10524"/>
    <w:rsid w:val="00E12AEE"/>
    <w:rsid w:val="00E160CD"/>
    <w:rsid w:val="00E20A93"/>
    <w:rsid w:val="00E20EF1"/>
    <w:rsid w:val="00E219FA"/>
    <w:rsid w:val="00E22440"/>
    <w:rsid w:val="00E26DE9"/>
    <w:rsid w:val="00E27DC5"/>
    <w:rsid w:val="00E305E1"/>
    <w:rsid w:val="00E314FA"/>
    <w:rsid w:val="00E34EA0"/>
    <w:rsid w:val="00E35DD2"/>
    <w:rsid w:val="00E370C1"/>
    <w:rsid w:val="00E4105A"/>
    <w:rsid w:val="00E41A01"/>
    <w:rsid w:val="00E5337C"/>
    <w:rsid w:val="00E54D01"/>
    <w:rsid w:val="00E56113"/>
    <w:rsid w:val="00E56A90"/>
    <w:rsid w:val="00E57380"/>
    <w:rsid w:val="00E60857"/>
    <w:rsid w:val="00E60BF6"/>
    <w:rsid w:val="00E6397E"/>
    <w:rsid w:val="00E6718D"/>
    <w:rsid w:val="00E70323"/>
    <w:rsid w:val="00E70723"/>
    <w:rsid w:val="00E709A7"/>
    <w:rsid w:val="00E71D77"/>
    <w:rsid w:val="00E7291C"/>
    <w:rsid w:val="00E730F1"/>
    <w:rsid w:val="00E73E28"/>
    <w:rsid w:val="00E76E5B"/>
    <w:rsid w:val="00E81A0C"/>
    <w:rsid w:val="00E83490"/>
    <w:rsid w:val="00E8628A"/>
    <w:rsid w:val="00E918B1"/>
    <w:rsid w:val="00EA0C4C"/>
    <w:rsid w:val="00EA17C0"/>
    <w:rsid w:val="00EA3F2A"/>
    <w:rsid w:val="00EA516E"/>
    <w:rsid w:val="00EA5E9A"/>
    <w:rsid w:val="00EB0B74"/>
    <w:rsid w:val="00EB1C74"/>
    <w:rsid w:val="00EB1CDF"/>
    <w:rsid w:val="00EB7462"/>
    <w:rsid w:val="00EB7D6D"/>
    <w:rsid w:val="00EC444A"/>
    <w:rsid w:val="00EC4C3E"/>
    <w:rsid w:val="00ED15FF"/>
    <w:rsid w:val="00EE3310"/>
    <w:rsid w:val="00EE3D61"/>
    <w:rsid w:val="00EF0661"/>
    <w:rsid w:val="00EF69F9"/>
    <w:rsid w:val="00F000BD"/>
    <w:rsid w:val="00F02272"/>
    <w:rsid w:val="00F02FA6"/>
    <w:rsid w:val="00F0410E"/>
    <w:rsid w:val="00F04AFF"/>
    <w:rsid w:val="00F0756D"/>
    <w:rsid w:val="00F076DD"/>
    <w:rsid w:val="00F11805"/>
    <w:rsid w:val="00F13CE2"/>
    <w:rsid w:val="00F13FAF"/>
    <w:rsid w:val="00F14C9E"/>
    <w:rsid w:val="00F159EA"/>
    <w:rsid w:val="00F16BB4"/>
    <w:rsid w:val="00F170BD"/>
    <w:rsid w:val="00F21489"/>
    <w:rsid w:val="00F21A5E"/>
    <w:rsid w:val="00F21C35"/>
    <w:rsid w:val="00F21D9E"/>
    <w:rsid w:val="00F2268B"/>
    <w:rsid w:val="00F2374C"/>
    <w:rsid w:val="00F2478B"/>
    <w:rsid w:val="00F32F16"/>
    <w:rsid w:val="00F35D9E"/>
    <w:rsid w:val="00F35F42"/>
    <w:rsid w:val="00F379C8"/>
    <w:rsid w:val="00F4196E"/>
    <w:rsid w:val="00F44535"/>
    <w:rsid w:val="00F4468D"/>
    <w:rsid w:val="00F45673"/>
    <w:rsid w:val="00F46DD7"/>
    <w:rsid w:val="00F47855"/>
    <w:rsid w:val="00F47CBA"/>
    <w:rsid w:val="00F50C5A"/>
    <w:rsid w:val="00F51C68"/>
    <w:rsid w:val="00F5283E"/>
    <w:rsid w:val="00F53C06"/>
    <w:rsid w:val="00F54E0C"/>
    <w:rsid w:val="00F555DA"/>
    <w:rsid w:val="00F55DC8"/>
    <w:rsid w:val="00F56CBA"/>
    <w:rsid w:val="00F57380"/>
    <w:rsid w:val="00F60A0B"/>
    <w:rsid w:val="00F619DC"/>
    <w:rsid w:val="00F61A56"/>
    <w:rsid w:val="00F6203A"/>
    <w:rsid w:val="00F63F49"/>
    <w:rsid w:val="00F64785"/>
    <w:rsid w:val="00F6540A"/>
    <w:rsid w:val="00F657D5"/>
    <w:rsid w:val="00F71ABA"/>
    <w:rsid w:val="00F735A1"/>
    <w:rsid w:val="00F73A66"/>
    <w:rsid w:val="00F75140"/>
    <w:rsid w:val="00F7736B"/>
    <w:rsid w:val="00F77DB4"/>
    <w:rsid w:val="00F83512"/>
    <w:rsid w:val="00F84FA6"/>
    <w:rsid w:val="00F85666"/>
    <w:rsid w:val="00F871E1"/>
    <w:rsid w:val="00F94635"/>
    <w:rsid w:val="00F95D5F"/>
    <w:rsid w:val="00F975FC"/>
    <w:rsid w:val="00FA0D54"/>
    <w:rsid w:val="00FA1040"/>
    <w:rsid w:val="00FA129A"/>
    <w:rsid w:val="00FA1D9D"/>
    <w:rsid w:val="00FA40D7"/>
    <w:rsid w:val="00FA5EDC"/>
    <w:rsid w:val="00FA60F6"/>
    <w:rsid w:val="00FA63AC"/>
    <w:rsid w:val="00FA7819"/>
    <w:rsid w:val="00FB096C"/>
    <w:rsid w:val="00FB25F2"/>
    <w:rsid w:val="00FB570F"/>
    <w:rsid w:val="00FB5B25"/>
    <w:rsid w:val="00FB6C08"/>
    <w:rsid w:val="00FC4556"/>
    <w:rsid w:val="00FC5F72"/>
    <w:rsid w:val="00FC72FB"/>
    <w:rsid w:val="00FC7D09"/>
    <w:rsid w:val="00FD102C"/>
    <w:rsid w:val="00FD3025"/>
    <w:rsid w:val="00FD325F"/>
    <w:rsid w:val="00FD4109"/>
    <w:rsid w:val="00FD4A49"/>
    <w:rsid w:val="00FD4EDD"/>
    <w:rsid w:val="00FD6A22"/>
    <w:rsid w:val="00FD6DA2"/>
    <w:rsid w:val="00FE212A"/>
    <w:rsid w:val="00FE29BC"/>
    <w:rsid w:val="00FE3E25"/>
    <w:rsid w:val="00FE51E8"/>
    <w:rsid w:val="00FF275F"/>
    <w:rsid w:val="00FF2CF5"/>
    <w:rsid w:val="00FF3EBE"/>
    <w:rsid w:val="00FF5302"/>
    <w:rsid w:val="00FF7E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7BFB6"/>
  <w15:docId w15:val="{3EDFCD5B-70B5-4AC3-9F43-9CDF2B4E0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12E"/>
    <w:rPr>
      <w:rFonts w:ascii="Times New Roman" w:eastAsia="Times New Roman" w:hAnsi="Times New Roman"/>
      <w:sz w:val="24"/>
      <w:szCs w:val="24"/>
    </w:rPr>
  </w:style>
  <w:style w:type="paragraph" w:styleId="Heading1">
    <w:name w:val="heading 1"/>
    <w:basedOn w:val="Normal"/>
    <w:next w:val="Normal"/>
    <w:link w:val="Heading1Char"/>
    <w:uiPriority w:val="9"/>
    <w:qFormat/>
    <w:rsid w:val="00C7130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1E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A1E0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D410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BF574E"/>
    <w:pPr>
      <w:spacing w:before="240" w:after="60"/>
      <w:ind w:left="5112" w:hanging="432"/>
      <w:outlineLvl w:val="4"/>
    </w:pPr>
    <w:rPr>
      <w:szCs w:val="20"/>
      <w:lang w:val="es-ES_tradnl"/>
    </w:rPr>
  </w:style>
  <w:style w:type="paragraph" w:styleId="Heading6">
    <w:name w:val="heading 6"/>
    <w:basedOn w:val="Normal"/>
    <w:next w:val="Normal"/>
    <w:link w:val="Heading6Char"/>
    <w:qFormat/>
    <w:rsid w:val="00BF574E"/>
    <w:pPr>
      <w:spacing w:before="240" w:after="60"/>
      <w:ind w:left="5256" w:hanging="432"/>
      <w:outlineLvl w:val="5"/>
    </w:pPr>
    <w:rPr>
      <w:i/>
      <w:szCs w:val="20"/>
      <w:lang w:val="es-ES_tradnl"/>
    </w:rPr>
  </w:style>
  <w:style w:type="paragraph" w:styleId="Heading7">
    <w:name w:val="heading 7"/>
    <w:basedOn w:val="Normal"/>
    <w:next w:val="Normal"/>
    <w:link w:val="Heading7Char"/>
    <w:qFormat/>
    <w:rsid w:val="00BF574E"/>
    <w:pPr>
      <w:spacing w:before="240" w:after="60"/>
      <w:ind w:left="5400" w:hanging="288"/>
      <w:outlineLvl w:val="6"/>
    </w:pPr>
    <w:rPr>
      <w:rFonts w:ascii="Arial" w:hAnsi="Arial"/>
      <w:szCs w:val="20"/>
      <w:lang w:val="es-ES_tradnl"/>
    </w:rPr>
  </w:style>
  <w:style w:type="paragraph" w:styleId="Heading8">
    <w:name w:val="heading 8"/>
    <w:basedOn w:val="Normal"/>
    <w:next w:val="Normal"/>
    <w:link w:val="Heading8Char"/>
    <w:qFormat/>
    <w:rsid w:val="00BF574E"/>
    <w:pPr>
      <w:spacing w:before="240" w:after="60"/>
      <w:ind w:left="5544" w:hanging="432"/>
      <w:outlineLvl w:val="7"/>
    </w:pPr>
    <w:rPr>
      <w:rFonts w:ascii="Arial" w:hAnsi="Arial"/>
      <w:i/>
      <w:szCs w:val="20"/>
      <w:lang w:val="es-ES_tradnl"/>
    </w:rPr>
  </w:style>
  <w:style w:type="paragraph" w:styleId="Heading9">
    <w:name w:val="heading 9"/>
    <w:basedOn w:val="Normal"/>
    <w:next w:val="Normal"/>
    <w:link w:val="Heading9Char"/>
    <w:qFormat/>
    <w:rsid w:val="000853E0"/>
    <w:pPr>
      <w:numPr>
        <w:ilvl w:val="8"/>
        <w:numId w:val="4"/>
      </w:numPr>
      <w:spacing w:before="240" w:after="60"/>
      <w:outlineLvl w:val="8"/>
    </w:pPr>
    <w:rPr>
      <w:rFonts w:ascii="Arial" w:hAnsi="Arial"/>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62434"/>
    <w:pPr>
      <w:ind w:left="720"/>
      <w:contextualSpacing/>
    </w:pPr>
  </w:style>
  <w:style w:type="paragraph" w:customStyle="1" w:styleId="Chapter">
    <w:name w:val="Chapter"/>
    <w:basedOn w:val="Normal"/>
    <w:next w:val="Normal"/>
    <w:link w:val="ChapterChar"/>
    <w:rsid w:val="008E7EA8"/>
    <w:pPr>
      <w:numPr>
        <w:numId w:val="1"/>
      </w:numPr>
      <w:tabs>
        <w:tab w:val="left" w:pos="1440"/>
      </w:tabs>
      <w:spacing w:after="240"/>
      <w:jc w:val="center"/>
    </w:pPr>
    <w:rPr>
      <w:b/>
      <w:smallCaps/>
      <w:szCs w:val="20"/>
    </w:rPr>
  </w:style>
  <w:style w:type="paragraph" w:customStyle="1" w:styleId="Paragraph">
    <w:name w:val="Paragraph"/>
    <w:aliases w:val="paragraph,p,PARAGRAPH,PG,pa,at"/>
    <w:basedOn w:val="BodyTextIndent"/>
    <w:link w:val="ParagraphChar"/>
    <w:qFormat/>
    <w:rsid w:val="008E7EA8"/>
    <w:pPr>
      <w:numPr>
        <w:ilvl w:val="1"/>
        <w:numId w:val="1"/>
      </w:numPr>
      <w:spacing w:before="120"/>
      <w:jc w:val="both"/>
      <w:outlineLvl w:val="1"/>
    </w:pPr>
    <w:rPr>
      <w:szCs w:val="20"/>
    </w:rPr>
  </w:style>
  <w:style w:type="paragraph" w:customStyle="1" w:styleId="subpar">
    <w:name w:val="subpar"/>
    <w:basedOn w:val="BodyTextIndent3"/>
    <w:uiPriority w:val="99"/>
    <w:rsid w:val="008E7EA8"/>
    <w:pPr>
      <w:numPr>
        <w:ilvl w:val="2"/>
        <w:numId w:val="1"/>
      </w:numPr>
    </w:pPr>
  </w:style>
  <w:style w:type="paragraph" w:customStyle="1" w:styleId="SubSubPar">
    <w:name w:val="SubSubPar"/>
    <w:basedOn w:val="subpar"/>
    <w:rsid w:val="008E7EA8"/>
    <w:pPr>
      <w:numPr>
        <w:ilvl w:val="3"/>
      </w:numPr>
      <w:tabs>
        <w:tab w:val="clear" w:pos="1584"/>
      </w:tabs>
      <w:ind w:left="360" w:firstLine="0"/>
    </w:pPr>
  </w:style>
  <w:style w:type="character" w:customStyle="1" w:styleId="ChapterChar">
    <w:name w:val="Chapter Char"/>
    <w:link w:val="Chapter"/>
    <w:locked/>
    <w:rsid w:val="008E7EA8"/>
    <w:rPr>
      <w:rFonts w:ascii="Times New Roman" w:eastAsia="Times New Roman" w:hAnsi="Times New Roman"/>
      <w:b/>
      <w:smallCaps/>
      <w:sz w:val="24"/>
      <w:lang w:val="en-US" w:eastAsia="en-US"/>
    </w:rPr>
  </w:style>
  <w:style w:type="paragraph" w:styleId="BodyTextIndent">
    <w:name w:val="Body Text Indent"/>
    <w:basedOn w:val="Normal"/>
    <w:link w:val="BodyTextIndentChar"/>
    <w:uiPriority w:val="99"/>
    <w:semiHidden/>
    <w:unhideWhenUsed/>
    <w:rsid w:val="008E7EA8"/>
    <w:pPr>
      <w:spacing w:after="120"/>
      <w:ind w:left="360"/>
    </w:pPr>
  </w:style>
  <w:style w:type="character" w:customStyle="1" w:styleId="BodyTextIndentChar">
    <w:name w:val="Body Text Indent Char"/>
    <w:basedOn w:val="DefaultParagraphFont"/>
    <w:link w:val="BodyTextIndent"/>
    <w:uiPriority w:val="99"/>
    <w:semiHidden/>
    <w:rsid w:val="008E7EA8"/>
  </w:style>
  <w:style w:type="paragraph" w:styleId="BodyTextIndent3">
    <w:name w:val="Body Text Indent 3"/>
    <w:basedOn w:val="Normal"/>
    <w:link w:val="BodyTextIndent3Char"/>
    <w:uiPriority w:val="99"/>
    <w:semiHidden/>
    <w:unhideWhenUsed/>
    <w:rsid w:val="008E7EA8"/>
    <w:pPr>
      <w:spacing w:after="120"/>
      <w:ind w:left="360"/>
    </w:pPr>
    <w:rPr>
      <w:sz w:val="16"/>
      <w:szCs w:val="16"/>
    </w:rPr>
  </w:style>
  <w:style w:type="character" w:customStyle="1" w:styleId="BodyTextIndent3Char">
    <w:name w:val="Body Text Indent 3 Char"/>
    <w:link w:val="BodyTextIndent3"/>
    <w:uiPriority w:val="99"/>
    <w:semiHidden/>
    <w:rsid w:val="008E7EA8"/>
    <w:rPr>
      <w:sz w:val="16"/>
      <w:szCs w:val="16"/>
    </w:rPr>
  </w:style>
  <w:style w:type="paragraph" w:styleId="EndnoteText">
    <w:name w:val="endnote text"/>
    <w:basedOn w:val="Normal"/>
    <w:link w:val="EndnoteTextChar"/>
    <w:uiPriority w:val="99"/>
    <w:semiHidden/>
    <w:unhideWhenUsed/>
    <w:rsid w:val="00D60DB6"/>
    <w:rPr>
      <w:sz w:val="20"/>
      <w:szCs w:val="20"/>
    </w:rPr>
  </w:style>
  <w:style w:type="character" w:customStyle="1" w:styleId="EndnoteTextChar">
    <w:name w:val="Endnote Text Char"/>
    <w:link w:val="EndnoteText"/>
    <w:uiPriority w:val="99"/>
    <w:semiHidden/>
    <w:rsid w:val="00D60DB6"/>
    <w:rPr>
      <w:sz w:val="20"/>
      <w:szCs w:val="20"/>
    </w:rPr>
  </w:style>
  <w:style w:type="character" w:styleId="EndnoteReference">
    <w:name w:val="endnote reference"/>
    <w:uiPriority w:val="99"/>
    <w:semiHidden/>
    <w:unhideWhenUsed/>
    <w:rsid w:val="00D60DB6"/>
    <w:rPr>
      <w:vertAlign w:val="superscript"/>
    </w:rPr>
  </w:style>
  <w:style w:type="paragraph" w:styleId="FootnoteText">
    <w:name w:val="footnote text"/>
    <w:aliases w:val="fn,Texto de rodapé,nota_rodapé,nota de rodapé,FOOTNOTES,single space,footnote text,Footnote Text Char Char,footnote,ADB,foottextfra,F,Texto nota pie Car Car,Texto nota pie IIRSA,Style 25,Texto nota piepddes Car Car,f,ft,Char"/>
    <w:basedOn w:val="Normal"/>
    <w:link w:val="FootnoteTextChar"/>
    <w:unhideWhenUsed/>
    <w:qFormat/>
    <w:rsid w:val="00D60DB6"/>
    <w:rPr>
      <w:sz w:val="20"/>
      <w:szCs w:val="20"/>
    </w:rPr>
  </w:style>
  <w:style w:type="character" w:customStyle="1" w:styleId="FootnoteTextChar">
    <w:name w:val="Footnote Text Char"/>
    <w:aliases w:val="fn Char,Texto de rodapé Char,nota_rodapé Char,nota de rodapé Char,FOOTNOTES Char,single space Char,footnote text Char,Footnote Text Char Char Char,footnote Char,ADB Char,foottextfra Char,F Char,Texto nota pie Car Car Char,f Char"/>
    <w:link w:val="FootnoteText"/>
    <w:rsid w:val="00D60DB6"/>
    <w:rPr>
      <w:sz w:val="20"/>
      <w:szCs w:val="20"/>
    </w:rPr>
  </w:style>
  <w:style w:type="character" w:styleId="FootnoteReference">
    <w:name w:val="footnote reference"/>
    <w:aliases w:val="Footnotes refss,ftref,Ref. de nota al pie.,Ref,de nota al pie,referencia nota al pie,16 Point,Superscript 6 Point,(Ref. de nota al pie),Texto de nota al pie,Fußnotenzeichen DISS,FC,Style 24,Footnote Reference1,Referência de rodapé"/>
    <w:link w:val="Char2"/>
    <w:unhideWhenUsed/>
    <w:qFormat/>
    <w:rsid w:val="00D60DB6"/>
    <w:rPr>
      <w:vertAlign w:val="superscript"/>
    </w:rPr>
  </w:style>
  <w:style w:type="paragraph" w:styleId="Caption">
    <w:name w:val="caption"/>
    <w:basedOn w:val="Normal"/>
    <w:next w:val="Normal"/>
    <w:qFormat/>
    <w:rsid w:val="00F44535"/>
    <w:rPr>
      <w:b/>
      <w:bCs/>
      <w:sz w:val="20"/>
      <w:szCs w:val="20"/>
      <w:lang w:eastAsia="es-ES"/>
    </w:rPr>
  </w:style>
  <w:style w:type="character" w:customStyle="1" w:styleId="Heading9Char">
    <w:name w:val="Heading 9 Char"/>
    <w:link w:val="Heading9"/>
    <w:rsid w:val="000853E0"/>
    <w:rPr>
      <w:rFonts w:ascii="Arial" w:eastAsia="Times New Roman" w:hAnsi="Arial"/>
      <w:lang w:val="en-US"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nhideWhenUsed/>
    <w:rsid w:val="009E2FA5"/>
    <w:pPr>
      <w:tabs>
        <w:tab w:val="center" w:pos="4680"/>
        <w:tab w:val="right" w:pos="9360"/>
      </w:tabs>
    </w:pPr>
  </w:style>
  <w:style w:type="character" w:customStyle="1" w:styleId="HeaderChar">
    <w:name w:val="Header Char"/>
    <w:basedOn w:val="DefaultParagraphFont"/>
    <w:link w:val="Header"/>
    <w:rsid w:val="009E2FA5"/>
  </w:style>
  <w:style w:type="paragraph" w:styleId="Footer">
    <w:name w:val="footer"/>
    <w:basedOn w:val="Normal"/>
    <w:link w:val="FooterChar"/>
    <w:uiPriority w:val="99"/>
    <w:unhideWhenUsed/>
    <w:rsid w:val="009E2FA5"/>
    <w:pPr>
      <w:tabs>
        <w:tab w:val="center" w:pos="4680"/>
        <w:tab w:val="right" w:pos="9360"/>
      </w:tabs>
    </w:pPr>
  </w:style>
  <w:style w:type="character" w:customStyle="1" w:styleId="FooterChar">
    <w:name w:val="Footer Char"/>
    <w:basedOn w:val="DefaultParagraphFont"/>
    <w:link w:val="Footer"/>
    <w:uiPriority w:val="99"/>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lang w:val="en-US" w:eastAsia="en-US"/>
    </w:rPr>
  </w:style>
  <w:style w:type="table" w:styleId="LightList-Accent2">
    <w:name w:val="Light List Accent 2"/>
    <w:basedOn w:val="TableNormal"/>
    <w:uiPriority w:val="61"/>
    <w:rsid w:val="0075283D"/>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59"/>
    <w:rsid w:val="00752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eNormal"/>
    <w:uiPriority w:val="61"/>
    <w:rsid w:val="0075283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sid w:val="007D52BD"/>
    <w:rPr>
      <w:smallCaps/>
      <w:color w:val="C0504D"/>
      <w:u w:val="single"/>
    </w:rPr>
  </w:style>
  <w:style w:type="paragraph" w:styleId="BalloonText">
    <w:name w:val="Balloon Text"/>
    <w:basedOn w:val="Normal"/>
    <w:link w:val="BalloonTextChar"/>
    <w:uiPriority w:val="99"/>
    <w:semiHidden/>
    <w:unhideWhenUsed/>
    <w:rsid w:val="00D47708"/>
    <w:rPr>
      <w:rFonts w:ascii="Tahoma" w:hAnsi="Tahoma"/>
      <w:sz w:val="16"/>
      <w:szCs w:val="16"/>
    </w:rPr>
  </w:style>
  <w:style w:type="character" w:customStyle="1" w:styleId="BalloonTextChar">
    <w:name w:val="Balloon Text Char"/>
    <w:link w:val="BalloonText"/>
    <w:uiPriority w:val="99"/>
    <w:semiHidden/>
    <w:rsid w:val="00D47708"/>
    <w:rPr>
      <w:rFonts w:ascii="Tahoma" w:hAnsi="Tahoma" w:cs="Tahoma"/>
      <w:sz w:val="16"/>
      <w:szCs w:val="16"/>
    </w:rPr>
  </w:style>
  <w:style w:type="character" w:customStyle="1" w:styleId="ParagraphChar">
    <w:name w:val="Paragraph Char"/>
    <w:aliases w:val="p Char,PARAGRAPH Char,PG Char,pa Char,at Char,paragraph Char"/>
    <w:link w:val="Paragraph"/>
    <w:locked/>
    <w:rsid w:val="006B5333"/>
    <w:rPr>
      <w:rFonts w:ascii="Times New Roman" w:eastAsia="Times New Roman" w:hAnsi="Times New Roman"/>
      <w:sz w:val="24"/>
      <w:lang w:val="en-US" w:eastAsia="en-US"/>
    </w:rPr>
  </w:style>
  <w:style w:type="paragraph" w:styleId="z-TopofForm">
    <w:name w:val="HTML Top of Form"/>
    <w:basedOn w:val="Normal"/>
    <w:next w:val="Normal"/>
    <w:link w:val="z-TopofFormChar"/>
    <w:hidden/>
    <w:uiPriority w:val="99"/>
    <w:semiHidden/>
    <w:unhideWhenUsed/>
    <w:rsid w:val="00391EB5"/>
    <w:pPr>
      <w:pBdr>
        <w:bottom w:val="single" w:sz="6" w:space="1" w:color="auto"/>
      </w:pBdr>
      <w:jc w:val="center"/>
    </w:pPr>
    <w:rPr>
      <w:rFonts w:ascii="Arial" w:hAnsi="Arial"/>
      <w:vanish/>
      <w:sz w:val="16"/>
      <w:szCs w:val="16"/>
    </w:rPr>
  </w:style>
  <w:style w:type="character" w:customStyle="1" w:styleId="z-TopofFormChar">
    <w:name w:val="z-Top of Form Char"/>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jc w:val="center"/>
    </w:pPr>
    <w:rPr>
      <w:rFonts w:ascii="Arial" w:hAnsi="Arial"/>
      <w:vanish/>
      <w:sz w:val="16"/>
      <w:szCs w:val="16"/>
    </w:rPr>
  </w:style>
  <w:style w:type="character" w:customStyle="1" w:styleId="z-BottomofFormChar">
    <w:name w:val="z-Bottom of Form Char"/>
    <w:link w:val="z-BottomofForm"/>
    <w:uiPriority w:val="99"/>
    <w:rsid w:val="00391EB5"/>
    <w:rPr>
      <w:rFonts w:ascii="Arial" w:eastAsia="Times New Roman" w:hAnsi="Arial" w:cs="Arial"/>
      <w:vanish/>
      <w:sz w:val="16"/>
      <w:szCs w:val="16"/>
    </w:rPr>
  </w:style>
  <w:style w:type="paragraph" w:styleId="NoSpacing">
    <w:name w:val="No Spacing"/>
    <w:link w:val="NoSpacingChar"/>
    <w:uiPriority w:val="1"/>
    <w:qFormat/>
    <w:rsid w:val="00114300"/>
    <w:rPr>
      <w:rFonts w:eastAsia="Times New Roman"/>
      <w:sz w:val="22"/>
      <w:szCs w:val="22"/>
      <w:lang w:eastAsia="en-US"/>
    </w:rPr>
  </w:style>
  <w:style w:type="character" w:customStyle="1" w:styleId="NoSpacingChar">
    <w:name w:val="No Spacing Char"/>
    <w:link w:val="NoSpacing"/>
    <w:uiPriority w:val="1"/>
    <w:rsid w:val="00114300"/>
    <w:rPr>
      <w:rFonts w:eastAsia="Times New Roman"/>
      <w:sz w:val="22"/>
      <w:szCs w:val="22"/>
      <w:lang w:val="pt-BR" w:eastAsia="en-US" w:bidi="ar-SA"/>
    </w:rPr>
  </w:style>
  <w:style w:type="character" w:styleId="CommentReference">
    <w:name w:val="annotation reference"/>
    <w:semiHidden/>
    <w:unhideWhenUsed/>
    <w:rsid w:val="00BC3192"/>
    <w:rPr>
      <w:sz w:val="16"/>
      <w:szCs w:val="16"/>
    </w:rPr>
  </w:style>
  <w:style w:type="paragraph" w:styleId="CommentText">
    <w:name w:val="annotation text"/>
    <w:basedOn w:val="Normal"/>
    <w:link w:val="CommentTextChar"/>
    <w:semiHidden/>
    <w:unhideWhenUsed/>
    <w:rsid w:val="00BC3192"/>
    <w:rPr>
      <w:sz w:val="20"/>
      <w:szCs w:val="20"/>
    </w:rPr>
  </w:style>
  <w:style w:type="character" w:customStyle="1" w:styleId="CommentTextChar">
    <w:name w:val="Comment Text Char"/>
    <w:link w:val="CommentText"/>
    <w:semiHidden/>
    <w:rsid w:val="00BC3192"/>
    <w:rPr>
      <w:noProof/>
      <w:lang w:val="es-ES"/>
    </w:rPr>
  </w:style>
  <w:style w:type="paragraph" w:styleId="CommentSubject">
    <w:name w:val="annotation subject"/>
    <w:basedOn w:val="CommentText"/>
    <w:next w:val="CommentText"/>
    <w:link w:val="CommentSubjectChar"/>
    <w:uiPriority w:val="99"/>
    <w:semiHidden/>
    <w:unhideWhenUsed/>
    <w:rsid w:val="00BC3192"/>
    <w:rPr>
      <w:b/>
      <w:bCs/>
    </w:rPr>
  </w:style>
  <w:style w:type="character" w:customStyle="1" w:styleId="CommentSubjectChar">
    <w:name w:val="Comment Subject Char"/>
    <w:link w:val="CommentSubject"/>
    <w:uiPriority w:val="99"/>
    <w:semiHidden/>
    <w:rsid w:val="00BC3192"/>
    <w:rPr>
      <w:b/>
      <w:bCs/>
      <w:noProof/>
      <w:lang w:val="es-ES"/>
    </w:rPr>
  </w:style>
  <w:style w:type="paragraph" w:styleId="Revision">
    <w:name w:val="Revision"/>
    <w:hidden/>
    <w:uiPriority w:val="99"/>
    <w:semiHidden/>
    <w:rsid w:val="0067740C"/>
    <w:rPr>
      <w:noProof/>
      <w:sz w:val="22"/>
      <w:szCs w:val="22"/>
      <w:lang w:val="es-ES" w:eastAsia="en-US"/>
    </w:rPr>
  </w:style>
  <w:style w:type="character" w:customStyle="1" w:styleId="Heading4Char">
    <w:name w:val="Heading 4 Char"/>
    <w:basedOn w:val="DefaultParagraphFont"/>
    <w:link w:val="Heading4"/>
    <w:uiPriority w:val="9"/>
    <w:semiHidden/>
    <w:rsid w:val="00FD4109"/>
    <w:rPr>
      <w:rFonts w:asciiTheme="majorHAnsi" w:eastAsiaTheme="majorEastAsia" w:hAnsiTheme="majorHAnsi" w:cstheme="majorBidi"/>
      <w:b/>
      <w:bCs/>
      <w:i/>
      <w:iCs/>
      <w:noProof/>
      <w:color w:val="4F81BD" w:themeColor="accent1"/>
      <w:sz w:val="22"/>
      <w:szCs w:val="22"/>
      <w:lang w:val="es-ES" w:eastAsia="en-US"/>
    </w:rPr>
  </w:style>
  <w:style w:type="paragraph" w:styleId="NormalWeb">
    <w:name w:val="Normal (Web)"/>
    <w:basedOn w:val="Normal"/>
    <w:uiPriority w:val="99"/>
    <w:semiHidden/>
    <w:unhideWhenUsed/>
    <w:rsid w:val="001F71A7"/>
    <w:pPr>
      <w:spacing w:before="100" w:beforeAutospacing="1" w:after="100" w:afterAutospacing="1"/>
    </w:pPr>
  </w:style>
  <w:style w:type="character" w:styleId="Emphasis">
    <w:name w:val="Emphasis"/>
    <w:basedOn w:val="DefaultParagraphFont"/>
    <w:uiPriority w:val="20"/>
    <w:qFormat/>
    <w:rsid w:val="001F71A7"/>
    <w:rPr>
      <w:i/>
      <w:iCs/>
    </w:rPr>
  </w:style>
  <w:style w:type="paragraph" w:styleId="BodyText">
    <w:name w:val="Body Text"/>
    <w:basedOn w:val="Normal"/>
    <w:link w:val="BodyTextChar"/>
    <w:uiPriority w:val="99"/>
    <w:semiHidden/>
    <w:unhideWhenUsed/>
    <w:rsid w:val="00B72339"/>
    <w:pPr>
      <w:spacing w:after="120"/>
    </w:pPr>
  </w:style>
  <w:style w:type="character" w:customStyle="1" w:styleId="BodyTextChar">
    <w:name w:val="Body Text Char"/>
    <w:basedOn w:val="DefaultParagraphFont"/>
    <w:link w:val="BodyText"/>
    <w:uiPriority w:val="99"/>
    <w:semiHidden/>
    <w:rsid w:val="00B72339"/>
    <w:rPr>
      <w:noProof/>
      <w:sz w:val="22"/>
      <w:szCs w:val="22"/>
      <w:lang w:val="es-ES" w:eastAsia="en-US"/>
    </w:rPr>
  </w:style>
  <w:style w:type="character" w:customStyle="1" w:styleId="Heading5Char">
    <w:name w:val="Heading 5 Char"/>
    <w:basedOn w:val="DefaultParagraphFont"/>
    <w:link w:val="Heading5"/>
    <w:rsid w:val="00BF574E"/>
    <w:rPr>
      <w:rFonts w:ascii="Times New Roman" w:eastAsia="Times New Roman" w:hAnsi="Times New Roman"/>
      <w:sz w:val="22"/>
      <w:lang w:val="es-ES_tradnl" w:eastAsia="en-US"/>
    </w:rPr>
  </w:style>
  <w:style w:type="character" w:customStyle="1" w:styleId="Heading6Char">
    <w:name w:val="Heading 6 Char"/>
    <w:basedOn w:val="DefaultParagraphFont"/>
    <w:link w:val="Heading6"/>
    <w:rsid w:val="00BF574E"/>
    <w:rPr>
      <w:rFonts w:ascii="Times New Roman" w:eastAsia="Times New Roman" w:hAnsi="Times New Roman"/>
      <w:i/>
      <w:sz w:val="22"/>
      <w:lang w:val="es-ES_tradnl" w:eastAsia="en-US"/>
    </w:rPr>
  </w:style>
  <w:style w:type="character" w:customStyle="1" w:styleId="Heading7Char">
    <w:name w:val="Heading 7 Char"/>
    <w:basedOn w:val="DefaultParagraphFont"/>
    <w:link w:val="Heading7"/>
    <w:rsid w:val="00BF574E"/>
    <w:rPr>
      <w:rFonts w:ascii="Arial" w:eastAsia="Times New Roman" w:hAnsi="Arial"/>
      <w:sz w:val="24"/>
      <w:lang w:val="es-ES_tradnl" w:eastAsia="en-US"/>
    </w:rPr>
  </w:style>
  <w:style w:type="character" w:customStyle="1" w:styleId="Heading8Char">
    <w:name w:val="Heading 8 Char"/>
    <w:basedOn w:val="DefaultParagraphFont"/>
    <w:link w:val="Heading8"/>
    <w:rsid w:val="00BF574E"/>
    <w:rPr>
      <w:rFonts w:ascii="Arial" w:eastAsia="Times New Roman" w:hAnsi="Arial"/>
      <w:i/>
      <w:sz w:val="24"/>
      <w:lang w:val="es-ES_tradnl" w:eastAsia="en-US"/>
    </w:rPr>
  </w:style>
  <w:style w:type="paragraph" w:customStyle="1" w:styleId="FirstHeading">
    <w:name w:val="FirstHeading"/>
    <w:basedOn w:val="Normal"/>
    <w:next w:val="Normal"/>
    <w:rsid w:val="00BF574E"/>
    <w:pPr>
      <w:keepNext/>
      <w:tabs>
        <w:tab w:val="left" w:pos="0"/>
        <w:tab w:val="left" w:pos="86"/>
      </w:tabs>
      <w:spacing w:before="120" w:after="120"/>
      <w:ind w:left="720" w:hanging="720"/>
    </w:pPr>
    <w:rPr>
      <w:b/>
      <w:szCs w:val="20"/>
      <w:lang w:val="es-ES_tradnl"/>
    </w:rPr>
  </w:style>
  <w:style w:type="paragraph" w:customStyle="1" w:styleId="SecHeading">
    <w:name w:val="SecHeading"/>
    <w:basedOn w:val="Normal"/>
    <w:next w:val="Paragraph"/>
    <w:rsid w:val="00BF574E"/>
    <w:pPr>
      <w:keepNext/>
      <w:tabs>
        <w:tab w:val="num" w:pos="1296"/>
      </w:tabs>
      <w:spacing w:before="120" w:after="120"/>
      <w:ind w:left="1296" w:hanging="576"/>
    </w:pPr>
    <w:rPr>
      <w:b/>
      <w:szCs w:val="20"/>
      <w:lang w:val="es-ES_tradnl"/>
    </w:rPr>
  </w:style>
  <w:style w:type="paragraph" w:customStyle="1" w:styleId="SubHeading1">
    <w:name w:val="SubHeading1"/>
    <w:basedOn w:val="SecHeading"/>
    <w:rsid w:val="00BF574E"/>
    <w:pPr>
      <w:tabs>
        <w:tab w:val="clear" w:pos="1296"/>
        <w:tab w:val="num" w:pos="1872"/>
      </w:tabs>
      <w:ind w:left="1872"/>
    </w:pPr>
  </w:style>
  <w:style w:type="paragraph" w:customStyle="1" w:styleId="Subheading2">
    <w:name w:val="Subheading2"/>
    <w:basedOn w:val="SecHeading"/>
    <w:rsid w:val="00BF574E"/>
    <w:pPr>
      <w:tabs>
        <w:tab w:val="clear" w:pos="1296"/>
        <w:tab w:val="num" w:pos="2376"/>
      </w:tabs>
      <w:ind w:left="2376" w:hanging="288"/>
    </w:pPr>
  </w:style>
  <w:style w:type="character" w:styleId="Hyperlink">
    <w:name w:val="Hyperlink"/>
    <w:uiPriority w:val="99"/>
    <w:rsid w:val="00BF574E"/>
    <w:rPr>
      <w:color w:val="0000FF"/>
      <w:u w:val="single"/>
    </w:rPr>
  </w:style>
  <w:style w:type="paragraph" w:customStyle="1" w:styleId="Char2">
    <w:name w:val="Char2"/>
    <w:basedOn w:val="Normal"/>
    <w:link w:val="FootnoteReference"/>
    <w:rsid w:val="00BF574E"/>
    <w:pPr>
      <w:spacing w:after="160" w:line="240" w:lineRule="exact"/>
    </w:pPr>
    <w:rPr>
      <w:sz w:val="20"/>
      <w:szCs w:val="20"/>
      <w:vertAlign w:val="superscript"/>
    </w:rPr>
  </w:style>
  <w:style w:type="character" w:customStyle="1" w:styleId="Heading1Char">
    <w:name w:val="Heading 1 Char"/>
    <w:basedOn w:val="DefaultParagraphFont"/>
    <w:link w:val="Heading1"/>
    <w:uiPriority w:val="9"/>
    <w:rsid w:val="00C7130E"/>
    <w:rPr>
      <w:rFonts w:asciiTheme="majorHAnsi" w:eastAsiaTheme="majorEastAsia" w:hAnsiTheme="majorHAnsi" w:cstheme="majorBidi"/>
      <w:b/>
      <w:bCs/>
      <w:color w:val="365F91" w:themeColor="accent1" w:themeShade="BF"/>
      <w:sz w:val="28"/>
      <w:szCs w:val="28"/>
      <w:lang w:val="en-US" w:eastAsia="en-US"/>
    </w:rPr>
  </w:style>
  <w:style w:type="paragraph" w:styleId="TOCHeading">
    <w:name w:val="TOC Heading"/>
    <w:basedOn w:val="Heading1"/>
    <w:next w:val="Normal"/>
    <w:uiPriority w:val="39"/>
    <w:unhideWhenUsed/>
    <w:qFormat/>
    <w:rsid w:val="00C7130E"/>
    <w:pPr>
      <w:spacing w:line="276" w:lineRule="auto"/>
      <w:outlineLvl w:val="9"/>
    </w:pPr>
  </w:style>
  <w:style w:type="paragraph" w:styleId="TOC3">
    <w:name w:val="toc 3"/>
    <w:basedOn w:val="Normal"/>
    <w:next w:val="Normal"/>
    <w:autoRedefine/>
    <w:uiPriority w:val="39"/>
    <w:unhideWhenUsed/>
    <w:qFormat/>
    <w:rsid w:val="00C7130E"/>
    <w:pPr>
      <w:spacing w:after="100"/>
      <w:ind w:left="480"/>
    </w:pPr>
  </w:style>
  <w:style w:type="paragraph" w:styleId="TOC2">
    <w:name w:val="toc 2"/>
    <w:basedOn w:val="Normal"/>
    <w:next w:val="Normal"/>
    <w:autoRedefine/>
    <w:uiPriority w:val="39"/>
    <w:unhideWhenUsed/>
    <w:qFormat/>
    <w:rsid w:val="00C7130E"/>
    <w:pPr>
      <w:spacing w:after="100"/>
      <w:ind w:left="240"/>
    </w:pPr>
  </w:style>
  <w:style w:type="paragraph" w:styleId="TOC1">
    <w:name w:val="toc 1"/>
    <w:basedOn w:val="Normal"/>
    <w:next w:val="Normal"/>
    <w:autoRedefine/>
    <w:uiPriority w:val="39"/>
    <w:unhideWhenUsed/>
    <w:qFormat/>
    <w:rsid w:val="00C7130E"/>
    <w:pPr>
      <w:spacing w:after="100" w:line="276" w:lineRule="auto"/>
    </w:pPr>
    <w:rPr>
      <w:rFonts w:asciiTheme="minorHAnsi" w:eastAsiaTheme="minorEastAsia" w:hAnsiTheme="minorHAnsi" w:cstheme="minorBidi"/>
      <w:sz w:val="22"/>
      <w:szCs w:val="22"/>
    </w:rPr>
  </w:style>
  <w:style w:type="paragraph" w:styleId="Index1">
    <w:name w:val="index 1"/>
    <w:basedOn w:val="Normal"/>
    <w:next w:val="Normal"/>
    <w:autoRedefine/>
    <w:uiPriority w:val="99"/>
    <w:semiHidden/>
    <w:unhideWhenUsed/>
    <w:rsid w:val="00C7130E"/>
    <w:pPr>
      <w:ind w:left="240" w:hanging="240"/>
    </w:pPr>
  </w:style>
  <w:style w:type="numbering" w:customStyle="1" w:styleId="Estilo1">
    <w:name w:val="Estilo1"/>
    <w:uiPriority w:val="99"/>
    <w:rsid w:val="00731E55"/>
    <w:pPr>
      <w:numPr>
        <w:numId w:val="5"/>
      </w:numPr>
    </w:pPr>
  </w:style>
  <w:style w:type="numbering" w:customStyle="1" w:styleId="Estilo2">
    <w:name w:val="Estilo2"/>
    <w:uiPriority w:val="99"/>
    <w:rsid w:val="00731E55"/>
    <w:pPr>
      <w:numPr>
        <w:numId w:val="6"/>
      </w:numPr>
    </w:pPr>
  </w:style>
  <w:style w:type="numbering" w:customStyle="1" w:styleId="Estilo3">
    <w:name w:val="Estilo3"/>
    <w:uiPriority w:val="99"/>
    <w:rsid w:val="00731E55"/>
    <w:pPr>
      <w:numPr>
        <w:numId w:val="7"/>
      </w:numPr>
    </w:pPr>
  </w:style>
  <w:style w:type="numbering" w:customStyle="1" w:styleId="Estilo4">
    <w:name w:val="Estilo4"/>
    <w:uiPriority w:val="99"/>
    <w:rsid w:val="00731E55"/>
    <w:pPr>
      <w:numPr>
        <w:numId w:val="8"/>
      </w:numPr>
    </w:pPr>
  </w:style>
  <w:style w:type="character" w:customStyle="1" w:styleId="Heading2Char">
    <w:name w:val="Heading 2 Char"/>
    <w:basedOn w:val="DefaultParagraphFont"/>
    <w:link w:val="Heading2"/>
    <w:uiPriority w:val="9"/>
    <w:rsid w:val="000A1E09"/>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0A1E09"/>
    <w:rPr>
      <w:rFonts w:asciiTheme="majorHAnsi" w:eastAsiaTheme="majorEastAsia" w:hAnsiTheme="majorHAnsi" w:cstheme="majorBidi"/>
      <w:b/>
      <w:bCs/>
      <w:color w:val="4F81BD" w:themeColor="accent1"/>
      <w:sz w:val="24"/>
      <w:szCs w:val="24"/>
      <w:lang w:val="en-US" w:eastAsia="en-US"/>
    </w:rPr>
  </w:style>
  <w:style w:type="character" w:customStyle="1" w:styleId="ListParagraphChar">
    <w:name w:val="List Paragraph Char"/>
    <w:link w:val="ListParagraph"/>
    <w:uiPriority w:val="34"/>
    <w:locked/>
    <w:rsid w:val="00D70A23"/>
    <w:rPr>
      <w:rFonts w:ascii="Times New Roman" w:eastAsia="Times New Roman" w:hAnsi="Times New Roman"/>
      <w:sz w:val="24"/>
      <w:szCs w:val="24"/>
      <w:lang w:val="en-US" w:eastAsia="en-US"/>
    </w:rPr>
  </w:style>
  <w:style w:type="numbering" w:customStyle="1" w:styleId="Estilo12">
    <w:name w:val="Estilo12"/>
    <w:uiPriority w:val="99"/>
    <w:rsid w:val="00D70A23"/>
    <w:pPr>
      <w:numPr>
        <w:numId w:val="10"/>
      </w:numPr>
    </w:pPr>
  </w:style>
  <w:style w:type="numbering" w:customStyle="1" w:styleId="Estilo21">
    <w:name w:val="Estilo21"/>
    <w:uiPriority w:val="99"/>
    <w:rsid w:val="006374D0"/>
    <w:pPr>
      <w:numPr>
        <w:numId w:val="11"/>
      </w:numPr>
    </w:pPr>
  </w:style>
  <w:style w:type="numbering" w:customStyle="1" w:styleId="Estilo5">
    <w:name w:val="Estilo5"/>
    <w:uiPriority w:val="99"/>
    <w:rsid w:val="00274E2D"/>
    <w:pPr>
      <w:numPr>
        <w:numId w:val="12"/>
      </w:numPr>
    </w:pPr>
  </w:style>
  <w:style w:type="numbering" w:customStyle="1" w:styleId="Estilo6">
    <w:name w:val="Estilo6"/>
    <w:uiPriority w:val="99"/>
    <w:rsid w:val="00274E2D"/>
    <w:pPr>
      <w:numPr>
        <w:numId w:val="13"/>
      </w:numPr>
    </w:pPr>
  </w:style>
  <w:style w:type="character" w:styleId="UnresolvedMention">
    <w:name w:val="Unresolved Mention"/>
    <w:basedOn w:val="DefaultParagraphFont"/>
    <w:uiPriority w:val="99"/>
    <w:semiHidden/>
    <w:unhideWhenUsed/>
    <w:rsid w:val="00FA63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15497543">
      <w:bodyDiv w:val="1"/>
      <w:marLeft w:val="0"/>
      <w:marRight w:val="0"/>
      <w:marTop w:val="0"/>
      <w:marBottom w:val="0"/>
      <w:divBdr>
        <w:top w:val="none" w:sz="0" w:space="0" w:color="auto"/>
        <w:left w:val="none" w:sz="0" w:space="0" w:color="auto"/>
        <w:bottom w:val="none" w:sz="0" w:space="0" w:color="auto"/>
        <w:right w:val="none" w:sz="0" w:space="0" w:color="auto"/>
      </w:divBdr>
    </w:div>
    <w:div w:id="33695470">
      <w:bodyDiv w:val="1"/>
      <w:marLeft w:val="0"/>
      <w:marRight w:val="0"/>
      <w:marTop w:val="0"/>
      <w:marBottom w:val="0"/>
      <w:divBdr>
        <w:top w:val="none" w:sz="0" w:space="0" w:color="auto"/>
        <w:left w:val="none" w:sz="0" w:space="0" w:color="auto"/>
        <w:bottom w:val="none" w:sz="0" w:space="0" w:color="auto"/>
        <w:right w:val="none" w:sz="0" w:space="0" w:color="auto"/>
      </w:divBdr>
    </w:div>
    <w:div w:id="38434214">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49421953">
      <w:bodyDiv w:val="1"/>
      <w:marLeft w:val="0"/>
      <w:marRight w:val="0"/>
      <w:marTop w:val="0"/>
      <w:marBottom w:val="0"/>
      <w:divBdr>
        <w:top w:val="none" w:sz="0" w:space="0" w:color="auto"/>
        <w:left w:val="none" w:sz="0" w:space="0" w:color="auto"/>
        <w:bottom w:val="none" w:sz="0" w:space="0" w:color="auto"/>
        <w:right w:val="none" w:sz="0" w:space="0" w:color="auto"/>
      </w:divBdr>
    </w:div>
    <w:div w:id="57749341">
      <w:bodyDiv w:val="1"/>
      <w:marLeft w:val="0"/>
      <w:marRight w:val="0"/>
      <w:marTop w:val="0"/>
      <w:marBottom w:val="0"/>
      <w:divBdr>
        <w:top w:val="none" w:sz="0" w:space="0" w:color="auto"/>
        <w:left w:val="none" w:sz="0" w:space="0" w:color="auto"/>
        <w:bottom w:val="none" w:sz="0" w:space="0" w:color="auto"/>
        <w:right w:val="none" w:sz="0" w:space="0" w:color="auto"/>
      </w:divBdr>
    </w:div>
    <w:div w:id="59715532">
      <w:bodyDiv w:val="1"/>
      <w:marLeft w:val="0"/>
      <w:marRight w:val="0"/>
      <w:marTop w:val="0"/>
      <w:marBottom w:val="0"/>
      <w:divBdr>
        <w:top w:val="none" w:sz="0" w:space="0" w:color="auto"/>
        <w:left w:val="none" w:sz="0" w:space="0" w:color="auto"/>
        <w:bottom w:val="none" w:sz="0" w:space="0" w:color="auto"/>
        <w:right w:val="none" w:sz="0" w:space="0" w:color="auto"/>
      </w:divBdr>
    </w:div>
    <w:div w:id="62067190">
      <w:bodyDiv w:val="1"/>
      <w:marLeft w:val="0"/>
      <w:marRight w:val="0"/>
      <w:marTop w:val="0"/>
      <w:marBottom w:val="0"/>
      <w:divBdr>
        <w:top w:val="none" w:sz="0" w:space="0" w:color="auto"/>
        <w:left w:val="none" w:sz="0" w:space="0" w:color="auto"/>
        <w:bottom w:val="none" w:sz="0" w:space="0" w:color="auto"/>
        <w:right w:val="none" w:sz="0" w:space="0" w:color="auto"/>
      </w:divBdr>
    </w:div>
    <w:div w:id="99572726">
      <w:bodyDiv w:val="1"/>
      <w:marLeft w:val="0"/>
      <w:marRight w:val="0"/>
      <w:marTop w:val="0"/>
      <w:marBottom w:val="0"/>
      <w:divBdr>
        <w:top w:val="none" w:sz="0" w:space="0" w:color="auto"/>
        <w:left w:val="none" w:sz="0" w:space="0" w:color="auto"/>
        <w:bottom w:val="none" w:sz="0" w:space="0" w:color="auto"/>
        <w:right w:val="none" w:sz="0" w:space="0" w:color="auto"/>
      </w:divBdr>
    </w:div>
    <w:div w:id="153188118">
      <w:bodyDiv w:val="1"/>
      <w:marLeft w:val="0"/>
      <w:marRight w:val="0"/>
      <w:marTop w:val="0"/>
      <w:marBottom w:val="0"/>
      <w:divBdr>
        <w:top w:val="none" w:sz="0" w:space="0" w:color="auto"/>
        <w:left w:val="none" w:sz="0" w:space="0" w:color="auto"/>
        <w:bottom w:val="none" w:sz="0" w:space="0" w:color="auto"/>
        <w:right w:val="none" w:sz="0" w:space="0" w:color="auto"/>
      </w:divBdr>
    </w:div>
    <w:div w:id="154422195">
      <w:bodyDiv w:val="1"/>
      <w:marLeft w:val="0"/>
      <w:marRight w:val="0"/>
      <w:marTop w:val="0"/>
      <w:marBottom w:val="0"/>
      <w:divBdr>
        <w:top w:val="none" w:sz="0" w:space="0" w:color="auto"/>
        <w:left w:val="none" w:sz="0" w:space="0" w:color="auto"/>
        <w:bottom w:val="none" w:sz="0" w:space="0" w:color="auto"/>
        <w:right w:val="none" w:sz="0" w:space="0" w:color="auto"/>
      </w:divBdr>
    </w:div>
    <w:div w:id="162547380">
      <w:bodyDiv w:val="1"/>
      <w:marLeft w:val="0"/>
      <w:marRight w:val="0"/>
      <w:marTop w:val="0"/>
      <w:marBottom w:val="0"/>
      <w:divBdr>
        <w:top w:val="none" w:sz="0" w:space="0" w:color="auto"/>
        <w:left w:val="none" w:sz="0" w:space="0" w:color="auto"/>
        <w:bottom w:val="none" w:sz="0" w:space="0" w:color="auto"/>
        <w:right w:val="none" w:sz="0" w:space="0" w:color="auto"/>
      </w:divBdr>
    </w:div>
    <w:div w:id="171536263">
      <w:bodyDiv w:val="1"/>
      <w:marLeft w:val="0"/>
      <w:marRight w:val="0"/>
      <w:marTop w:val="0"/>
      <w:marBottom w:val="0"/>
      <w:divBdr>
        <w:top w:val="none" w:sz="0" w:space="0" w:color="auto"/>
        <w:left w:val="none" w:sz="0" w:space="0" w:color="auto"/>
        <w:bottom w:val="none" w:sz="0" w:space="0" w:color="auto"/>
        <w:right w:val="none" w:sz="0" w:space="0" w:color="auto"/>
      </w:divBdr>
    </w:div>
    <w:div w:id="176237920">
      <w:bodyDiv w:val="1"/>
      <w:marLeft w:val="0"/>
      <w:marRight w:val="0"/>
      <w:marTop w:val="0"/>
      <w:marBottom w:val="0"/>
      <w:divBdr>
        <w:top w:val="none" w:sz="0" w:space="0" w:color="auto"/>
        <w:left w:val="none" w:sz="0" w:space="0" w:color="auto"/>
        <w:bottom w:val="none" w:sz="0" w:space="0" w:color="auto"/>
        <w:right w:val="none" w:sz="0" w:space="0" w:color="auto"/>
      </w:divBdr>
    </w:div>
    <w:div w:id="190995879">
      <w:bodyDiv w:val="1"/>
      <w:marLeft w:val="0"/>
      <w:marRight w:val="0"/>
      <w:marTop w:val="0"/>
      <w:marBottom w:val="0"/>
      <w:divBdr>
        <w:top w:val="none" w:sz="0" w:space="0" w:color="auto"/>
        <w:left w:val="none" w:sz="0" w:space="0" w:color="auto"/>
        <w:bottom w:val="none" w:sz="0" w:space="0" w:color="auto"/>
        <w:right w:val="none" w:sz="0" w:space="0" w:color="auto"/>
      </w:divBdr>
    </w:div>
    <w:div w:id="200168868">
      <w:bodyDiv w:val="1"/>
      <w:marLeft w:val="0"/>
      <w:marRight w:val="0"/>
      <w:marTop w:val="0"/>
      <w:marBottom w:val="0"/>
      <w:divBdr>
        <w:top w:val="none" w:sz="0" w:space="0" w:color="auto"/>
        <w:left w:val="none" w:sz="0" w:space="0" w:color="auto"/>
        <w:bottom w:val="none" w:sz="0" w:space="0" w:color="auto"/>
        <w:right w:val="none" w:sz="0" w:space="0" w:color="auto"/>
      </w:divBdr>
    </w:div>
    <w:div w:id="211818771">
      <w:bodyDiv w:val="1"/>
      <w:marLeft w:val="0"/>
      <w:marRight w:val="0"/>
      <w:marTop w:val="0"/>
      <w:marBottom w:val="0"/>
      <w:divBdr>
        <w:top w:val="none" w:sz="0" w:space="0" w:color="auto"/>
        <w:left w:val="none" w:sz="0" w:space="0" w:color="auto"/>
        <w:bottom w:val="none" w:sz="0" w:space="0" w:color="auto"/>
        <w:right w:val="none" w:sz="0" w:space="0" w:color="auto"/>
      </w:divBdr>
    </w:div>
    <w:div w:id="219243851">
      <w:bodyDiv w:val="1"/>
      <w:marLeft w:val="0"/>
      <w:marRight w:val="0"/>
      <w:marTop w:val="0"/>
      <w:marBottom w:val="0"/>
      <w:divBdr>
        <w:top w:val="none" w:sz="0" w:space="0" w:color="auto"/>
        <w:left w:val="none" w:sz="0" w:space="0" w:color="auto"/>
        <w:bottom w:val="none" w:sz="0" w:space="0" w:color="auto"/>
        <w:right w:val="none" w:sz="0" w:space="0" w:color="auto"/>
      </w:divBdr>
    </w:div>
    <w:div w:id="231701058">
      <w:bodyDiv w:val="1"/>
      <w:marLeft w:val="0"/>
      <w:marRight w:val="0"/>
      <w:marTop w:val="0"/>
      <w:marBottom w:val="0"/>
      <w:divBdr>
        <w:top w:val="none" w:sz="0" w:space="0" w:color="auto"/>
        <w:left w:val="none" w:sz="0" w:space="0" w:color="auto"/>
        <w:bottom w:val="none" w:sz="0" w:space="0" w:color="auto"/>
        <w:right w:val="none" w:sz="0" w:space="0" w:color="auto"/>
      </w:divBdr>
    </w:div>
    <w:div w:id="253831773">
      <w:bodyDiv w:val="1"/>
      <w:marLeft w:val="0"/>
      <w:marRight w:val="0"/>
      <w:marTop w:val="0"/>
      <w:marBottom w:val="0"/>
      <w:divBdr>
        <w:top w:val="none" w:sz="0" w:space="0" w:color="auto"/>
        <w:left w:val="none" w:sz="0" w:space="0" w:color="auto"/>
        <w:bottom w:val="none" w:sz="0" w:space="0" w:color="auto"/>
        <w:right w:val="none" w:sz="0" w:space="0" w:color="auto"/>
      </w:divBdr>
    </w:div>
    <w:div w:id="284392775">
      <w:bodyDiv w:val="1"/>
      <w:marLeft w:val="0"/>
      <w:marRight w:val="0"/>
      <w:marTop w:val="0"/>
      <w:marBottom w:val="0"/>
      <w:divBdr>
        <w:top w:val="none" w:sz="0" w:space="0" w:color="auto"/>
        <w:left w:val="none" w:sz="0" w:space="0" w:color="auto"/>
        <w:bottom w:val="none" w:sz="0" w:space="0" w:color="auto"/>
        <w:right w:val="none" w:sz="0" w:space="0" w:color="auto"/>
      </w:divBdr>
    </w:div>
    <w:div w:id="314143544">
      <w:bodyDiv w:val="1"/>
      <w:marLeft w:val="0"/>
      <w:marRight w:val="0"/>
      <w:marTop w:val="0"/>
      <w:marBottom w:val="0"/>
      <w:divBdr>
        <w:top w:val="none" w:sz="0" w:space="0" w:color="auto"/>
        <w:left w:val="none" w:sz="0" w:space="0" w:color="auto"/>
        <w:bottom w:val="none" w:sz="0" w:space="0" w:color="auto"/>
        <w:right w:val="none" w:sz="0" w:space="0" w:color="auto"/>
      </w:divBdr>
    </w:div>
    <w:div w:id="373583969">
      <w:bodyDiv w:val="1"/>
      <w:marLeft w:val="0"/>
      <w:marRight w:val="0"/>
      <w:marTop w:val="0"/>
      <w:marBottom w:val="0"/>
      <w:divBdr>
        <w:top w:val="none" w:sz="0" w:space="0" w:color="auto"/>
        <w:left w:val="none" w:sz="0" w:space="0" w:color="auto"/>
        <w:bottom w:val="none" w:sz="0" w:space="0" w:color="auto"/>
        <w:right w:val="none" w:sz="0" w:space="0" w:color="auto"/>
      </w:divBdr>
    </w:div>
    <w:div w:id="382489136">
      <w:bodyDiv w:val="1"/>
      <w:marLeft w:val="0"/>
      <w:marRight w:val="0"/>
      <w:marTop w:val="0"/>
      <w:marBottom w:val="0"/>
      <w:divBdr>
        <w:top w:val="none" w:sz="0" w:space="0" w:color="auto"/>
        <w:left w:val="none" w:sz="0" w:space="0" w:color="auto"/>
        <w:bottom w:val="none" w:sz="0" w:space="0" w:color="auto"/>
        <w:right w:val="none" w:sz="0" w:space="0" w:color="auto"/>
      </w:divBdr>
    </w:div>
    <w:div w:id="408309297">
      <w:bodyDiv w:val="1"/>
      <w:marLeft w:val="0"/>
      <w:marRight w:val="0"/>
      <w:marTop w:val="0"/>
      <w:marBottom w:val="0"/>
      <w:divBdr>
        <w:top w:val="none" w:sz="0" w:space="0" w:color="auto"/>
        <w:left w:val="none" w:sz="0" w:space="0" w:color="auto"/>
        <w:bottom w:val="none" w:sz="0" w:space="0" w:color="auto"/>
        <w:right w:val="none" w:sz="0" w:space="0" w:color="auto"/>
      </w:divBdr>
    </w:div>
    <w:div w:id="419911844">
      <w:bodyDiv w:val="1"/>
      <w:marLeft w:val="0"/>
      <w:marRight w:val="0"/>
      <w:marTop w:val="0"/>
      <w:marBottom w:val="0"/>
      <w:divBdr>
        <w:top w:val="none" w:sz="0" w:space="0" w:color="auto"/>
        <w:left w:val="none" w:sz="0" w:space="0" w:color="auto"/>
        <w:bottom w:val="none" w:sz="0" w:space="0" w:color="auto"/>
        <w:right w:val="none" w:sz="0" w:space="0" w:color="auto"/>
      </w:divBdr>
    </w:div>
    <w:div w:id="423653231">
      <w:bodyDiv w:val="1"/>
      <w:marLeft w:val="0"/>
      <w:marRight w:val="0"/>
      <w:marTop w:val="0"/>
      <w:marBottom w:val="0"/>
      <w:divBdr>
        <w:top w:val="none" w:sz="0" w:space="0" w:color="auto"/>
        <w:left w:val="none" w:sz="0" w:space="0" w:color="auto"/>
        <w:bottom w:val="none" w:sz="0" w:space="0" w:color="auto"/>
        <w:right w:val="none" w:sz="0" w:space="0" w:color="auto"/>
      </w:divBdr>
    </w:div>
    <w:div w:id="425149377">
      <w:bodyDiv w:val="1"/>
      <w:marLeft w:val="0"/>
      <w:marRight w:val="0"/>
      <w:marTop w:val="0"/>
      <w:marBottom w:val="0"/>
      <w:divBdr>
        <w:top w:val="none" w:sz="0" w:space="0" w:color="auto"/>
        <w:left w:val="none" w:sz="0" w:space="0" w:color="auto"/>
        <w:bottom w:val="none" w:sz="0" w:space="0" w:color="auto"/>
        <w:right w:val="none" w:sz="0" w:space="0" w:color="auto"/>
      </w:divBdr>
    </w:div>
    <w:div w:id="430391756">
      <w:bodyDiv w:val="1"/>
      <w:marLeft w:val="0"/>
      <w:marRight w:val="0"/>
      <w:marTop w:val="0"/>
      <w:marBottom w:val="0"/>
      <w:divBdr>
        <w:top w:val="none" w:sz="0" w:space="0" w:color="auto"/>
        <w:left w:val="none" w:sz="0" w:space="0" w:color="auto"/>
        <w:bottom w:val="none" w:sz="0" w:space="0" w:color="auto"/>
        <w:right w:val="none" w:sz="0" w:space="0" w:color="auto"/>
      </w:divBdr>
    </w:div>
    <w:div w:id="437213311">
      <w:bodyDiv w:val="1"/>
      <w:marLeft w:val="0"/>
      <w:marRight w:val="0"/>
      <w:marTop w:val="0"/>
      <w:marBottom w:val="0"/>
      <w:divBdr>
        <w:top w:val="none" w:sz="0" w:space="0" w:color="auto"/>
        <w:left w:val="none" w:sz="0" w:space="0" w:color="auto"/>
        <w:bottom w:val="none" w:sz="0" w:space="0" w:color="auto"/>
        <w:right w:val="none" w:sz="0" w:space="0" w:color="auto"/>
      </w:divBdr>
    </w:div>
    <w:div w:id="446851295">
      <w:bodyDiv w:val="1"/>
      <w:marLeft w:val="0"/>
      <w:marRight w:val="0"/>
      <w:marTop w:val="0"/>
      <w:marBottom w:val="0"/>
      <w:divBdr>
        <w:top w:val="none" w:sz="0" w:space="0" w:color="auto"/>
        <w:left w:val="none" w:sz="0" w:space="0" w:color="auto"/>
        <w:bottom w:val="none" w:sz="0" w:space="0" w:color="auto"/>
        <w:right w:val="none" w:sz="0" w:space="0" w:color="auto"/>
      </w:divBdr>
    </w:div>
    <w:div w:id="475532121">
      <w:bodyDiv w:val="1"/>
      <w:marLeft w:val="0"/>
      <w:marRight w:val="0"/>
      <w:marTop w:val="0"/>
      <w:marBottom w:val="0"/>
      <w:divBdr>
        <w:top w:val="none" w:sz="0" w:space="0" w:color="auto"/>
        <w:left w:val="none" w:sz="0" w:space="0" w:color="auto"/>
        <w:bottom w:val="none" w:sz="0" w:space="0" w:color="auto"/>
        <w:right w:val="none" w:sz="0" w:space="0" w:color="auto"/>
      </w:divBdr>
    </w:div>
    <w:div w:id="482240433">
      <w:bodyDiv w:val="1"/>
      <w:marLeft w:val="0"/>
      <w:marRight w:val="0"/>
      <w:marTop w:val="0"/>
      <w:marBottom w:val="0"/>
      <w:divBdr>
        <w:top w:val="none" w:sz="0" w:space="0" w:color="auto"/>
        <w:left w:val="none" w:sz="0" w:space="0" w:color="auto"/>
        <w:bottom w:val="none" w:sz="0" w:space="0" w:color="auto"/>
        <w:right w:val="none" w:sz="0" w:space="0" w:color="auto"/>
      </w:divBdr>
    </w:div>
    <w:div w:id="484052989">
      <w:bodyDiv w:val="1"/>
      <w:marLeft w:val="0"/>
      <w:marRight w:val="0"/>
      <w:marTop w:val="0"/>
      <w:marBottom w:val="0"/>
      <w:divBdr>
        <w:top w:val="none" w:sz="0" w:space="0" w:color="auto"/>
        <w:left w:val="none" w:sz="0" w:space="0" w:color="auto"/>
        <w:bottom w:val="none" w:sz="0" w:space="0" w:color="auto"/>
        <w:right w:val="none" w:sz="0" w:space="0" w:color="auto"/>
      </w:divBdr>
    </w:div>
    <w:div w:id="491675355">
      <w:bodyDiv w:val="1"/>
      <w:marLeft w:val="0"/>
      <w:marRight w:val="0"/>
      <w:marTop w:val="0"/>
      <w:marBottom w:val="0"/>
      <w:divBdr>
        <w:top w:val="none" w:sz="0" w:space="0" w:color="auto"/>
        <w:left w:val="none" w:sz="0" w:space="0" w:color="auto"/>
        <w:bottom w:val="none" w:sz="0" w:space="0" w:color="auto"/>
        <w:right w:val="none" w:sz="0" w:space="0" w:color="auto"/>
      </w:divBdr>
    </w:div>
    <w:div w:id="493884154">
      <w:bodyDiv w:val="1"/>
      <w:marLeft w:val="0"/>
      <w:marRight w:val="0"/>
      <w:marTop w:val="0"/>
      <w:marBottom w:val="0"/>
      <w:divBdr>
        <w:top w:val="none" w:sz="0" w:space="0" w:color="auto"/>
        <w:left w:val="none" w:sz="0" w:space="0" w:color="auto"/>
        <w:bottom w:val="none" w:sz="0" w:space="0" w:color="auto"/>
        <w:right w:val="none" w:sz="0" w:space="0" w:color="auto"/>
      </w:divBdr>
    </w:div>
    <w:div w:id="507064876">
      <w:bodyDiv w:val="1"/>
      <w:marLeft w:val="0"/>
      <w:marRight w:val="0"/>
      <w:marTop w:val="0"/>
      <w:marBottom w:val="0"/>
      <w:divBdr>
        <w:top w:val="none" w:sz="0" w:space="0" w:color="auto"/>
        <w:left w:val="none" w:sz="0" w:space="0" w:color="auto"/>
        <w:bottom w:val="none" w:sz="0" w:space="0" w:color="auto"/>
        <w:right w:val="none" w:sz="0" w:space="0" w:color="auto"/>
      </w:divBdr>
    </w:div>
    <w:div w:id="507135428">
      <w:bodyDiv w:val="1"/>
      <w:marLeft w:val="0"/>
      <w:marRight w:val="0"/>
      <w:marTop w:val="0"/>
      <w:marBottom w:val="0"/>
      <w:divBdr>
        <w:top w:val="none" w:sz="0" w:space="0" w:color="auto"/>
        <w:left w:val="none" w:sz="0" w:space="0" w:color="auto"/>
        <w:bottom w:val="none" w:sz="0" w:space="0" w:color="auto"/>
        <w:right w:val="none" w:sz="0" w:space="0" w:color="auto"/>
      </w:divBdr>
    </w:div>
    <w:div w:id="523634427">
      <w:bodyDiv w:val="1"/>
      <w:marLeft w:val="0"/>
      <w:marRight w:val="0"/>
      <w:marTop w:val="0"/>
      <w:marBottom w:val="0"/>
      <w:divBdr>
        <w:top w:val="none" w:sz="0" w:space="0" w:color="auto"/>
        <w:left w:val="none" w:sz="0" w:space="0" w:color="auto"/>
        <w:bottom w:val="none" w:sz="0" w:space="0" w:color="auto"/>
        <w:right w:val="none" w:sz="0" w:space="0" w:color="auto"/>
      </w:divBdr>
    </w:div>
    <w:div w:id="535310352">
      <w:bodyDiv w:val="1"/>
      <w:marLeft w:val="0"/>
      <w:marRight w:val="0"/>
      <w:marTop w:val="0"/>
      <w:marBottom w:val="0"/>
      <w:divBdr>
        <w:top w:val="none" w:sz="0" w:space="0" w:color="auto"/>
        <w:left w:val="none" w:sz="0" w:space="0" w:color="auto"/>
        <w:bottom w:val="none" w:sz="0" w:space="0" w:color="auto"/>
        <w:right w:val="none" w:sz="0" w:space="0" w:color="auto"/>
      </w:divBdr>
    </w:div>
    <w:div w:id="538054917">
      <w:bodyDiv w:val="1"/>
      <w:marLeft w:val="0"/>
      <w:marRight w:val="0"/>
      <w:marTop w:val="0"/>
      <w:marBottom w:val="0"/>
      <w:divBdr>
        <w:top w:val="none" w:sz="0" w:space="0" w:color="auto"/>
        <w:left w:val="none" w:sz="0" w:space="0" w:color="auto"/>
        <w:bottom w:val="none" w:sz="0" w:space="0" w:color="auto"/>
        <w:right w:val="none" w:sz="0" w:space="0" w:color="auto"/>
      </w:divBdr>
    </w:div>
    <w:div w:id="554046252">
      <w:bodyDiv w:val="1"/>
      <w:marLeft w:val="0"/>
      <w:marRight w:val="0"/>
      <w:marTop w:val="0"/>
      <w:marBottom w:val="0"/>
      <w:divBdr>
        <w:top w:val="none" w:sz="0" w:space="0" w:color="auto"/>
        <w:left w:val="none" w:sz="0" w:space="0" w:color="auto"/>
        <w:bottom w:val="none" w:sz="0" w:space="0" w:color="auto"/>
        <w:right w:val="none" w:sz="0" w:space="0" w:color="auto"/>
      </w:divBdr>
    </w:div>
    <w:div w:id="555627875">
      <w:bodyDiv w:val="1"/>
      <w:marLeft w:val="0"/>
      <w:marRight w:val="0"/>
      <w:marTop w:val="0"/>
      <w:marBottom w:val="0"/>
      <w:divBdr>
        <w:top w:val="none" w:sz="0" w:space="0" w:color="auto"/>
        <w:left w:val="none" w:sz="0" w:space="0" w:color="auto"/>
        <w:bottom w:val="none" w:sz="0" w:space="0" w:color="auto"/>
        <w:right w:val="none" w:sz="0" w:space="0" w:color="auto"/>
      </w:divBdr>
    </w:div>
    <w:div w:id="575364391">
      <w:bodyDiv w:val="1"/>
      <w:marLeft w:val="0"/>
      <w:marRight w:val="0"/>
      <w:marTop w:val="0"/>
      <w:marBottom w:val="0"/>
      <w:divBdr>
        <w:top w:val="none" w:sz="0" w:space="0" w:color="auto"/>
        <w:left w:val="none" w:sz="0" w:space="0" w:color="auto"/>
        <w:bottom w:val="none" w:sz="0" w:space="0" w:color="auto"/>
        <w:right w:val="none" w:sz="0" w:space="0" w:color="auto"/>
      </w:divBdr>
    </w:div>
    <w:div w:id="576936165">
      <w:bodyDiv w:val="1"/>
      <w:marLeft w:val="0"/>
      <w:marRight w:val="0"/>
      <w:marTop w:val="0"/>
      <w:marBottom w:val="0"/>
      <w:divBdr>
        <w:top w:val="none" w:sz="0" w:space="0" w:color="auto"/>
        <w:left w:val="none" w:sz="0" w:space="0" w:color="auto"/>
        <w:bottom w:val="none" w:sz="0" w:space="0" w:color="auto"/>
        <w:right w:val="none" w:sz="0" w:space="0" w:color="auto"/>
      </w:divBdr>
    </w:div>
    <w:div w:id="596013735">
      <w:bodyDiv w:val="1"/>
      <w:marLeft w:val="0"/>
      <w:marRight w:val="0"/>
      <w:marTop w:val="0"/>
      <w:marBottom w:val="0"/>
      <w:divBdr>
        <w:top w:val="none" w:sz="0" w:space="0" w:color="auto"/>
        <w:left w:val="none" w:sz="0" w:space="0" w:color="auto"/>
        <w:bottom w:val="none" w:sz="0" w:space="0" w:color="auto"/>
        <w:right w:val="none" w:sz="0" w:space="0" w:color="auto"/>
      </w:divBdr>
    </w:div>
    <w:div w:id="598680971">
      <w:bodyDiv w:val="1"/>
      <w:marLeft w:val="0"/>
      <w:marRight w:val="0"/>
      <w:marTop w:val="0"/>
      <w:marBottom w:val="0"/>
      <w:divBdr>
        <w:top w:val="none" w:sz="0" w:space="0" w:color="auto"/>
        <w:left w:val="none" w:sz="0" w:space="0" w:color="auto"/>
        <w:bottom w:val="none" w:sz="0" w:space="0" w:color="auto"/>
        <w:right w:val="none" w:sz="0" w:space="0" w:color="auto"/>
      </w:divBdr>
    </w:div>
    <w:div w:id="610551005">
      <w:bodyDiv w:val="1"/>
      <w:marLeft w:val="0"/>
      <w:marRight w:val="0"/>
      <w:marTop w:val="0"/>
      <w:marBottom w:val="0"/>
      <w:divBdr>
        <w:top w:val="none" w:sz="0" w:space="0" w:color="auto"/>
        <w:left w:val="none" w:sz="0" w:space="0" w:color="auto"/>
        <w:bottom w:val="none" w:sz="0" w:space="0" w:color="auto"/>
        <w:right w:val="none" w:sz="0" w:space="0" w:color="auto"/>
      </w:divBdr>
    </w:div>
    <w:div w:id="610741600">
      <w:bodyDiv w:val="1"/>
      <w:marLeft w:val="0"/>
      <w:marRight w:val="0"/>
      <w:marTop w:val="0"/>
      <w:marBottom w:val="0"/>
      <w:divBdr>
        <w:top w:val="none" w:sz="0" w:space="0" w:color="auto"/>
        <w:left w:val="none" w:sz="0" w:space="0" w:color="auto"/>
        <w:bottom w:val="none" w:sz="0" w:space="0" w:color="auto"/>
        <w:right w:val="none" w:sz="0" w:space="0" w:color="auto"/>
      </w:divBdr>
    </w:div>
    <w:div w:id="634023591">
      <w:bodyDiv w:val="1"/>
      <w:marLeft w:val="0"/>
      <w:marRight w:val="0"/>
      <w:marTop w:val="0"/>
      <w:marBottom w:val="0"/>
      <w:divBdr>
        <w:top w:val="none" w:sz="0" w:space="0" w:color="auto"/>
        <w:left w:val="none" w:sz="0" w:space="0" w:color="auto"/>
        <w:bottom w:val="none" w:sz="0" w:space="0" w:color="auto"/>
        <w:right w:val="none" w:sz="0" w:space="0" w:color="auto"/>
      </w:divBdr>
    </w:div>
    <w:div w:id="643699473">
      <w:bodyDiv w:val="1"/>
      <w:marLeft w:val="0"/>
      <w:marRight w:val="0"/>
      <w:marTop w:val="0"/>
      <w:marBottom w:val="0"/>
      <w:divBdr>
        <w:top w:val="none" w:sz="0" w:space="0" w:color="auto"/>
        <w:left w:val="none" w:sz="0" w:space="0" w:color="auto"/>
        <w:bottom w:val="none" w:sz="0" w:space="0" w:color="auto"/>
        <w:right w:val="none" w:sz="0" w:space="0" w:color="auto"/>
      </w:divBdr>
    </w:div>
    <w:div w:id="690228339">
      <w:bodyDiv w:val="1"/>
      <w:marLeft w:val="0"/>
      <w:marRight w:val="0"/>
      <w:marTop w:val="0"/>
      <w:marBottom w:val="0"/>
      <w:divBdr>
        <w:top w:val="none" w:sz="0" w:space="0" w:color="auto"/>
        <w:left w:val="none" w:sz="0" w:space="0" w:color="auto"/>
        <w:bottom w:val="none" w:sz="0" w:space="0" w:color="auto"/>
        <w:right w:val="none" w:sz="0" w:space="0" w:color="auto"/>
      </w:divBdr>
    </w:div>
    <w:div w:id="691959361">
      <w:bodyDiv w:val="1"/>
      <w:marLeft w:val="0"/>
      <w:marRight w:val="0"/>
      <w:marTop w:val="0"/>
      <w:marBottom w:val="0"/>
      <w:divBdr>
        <w:top w:val="none" w:sz="0" w:space="0" w:color="auto"/>
        <w:left w:val="none" w:sz="0" w:space="0" w:color="auto"/>
        <w:bottom w:val="none" w:sz="0" w:space="0" w:color="auto"/>
        <w:right w:val="none" w:sz="0" w:space="0" w:color="auto"/>
      </w:divBdr>
    </w:div>
    <w:div w:id="699941782">
      <w:bodyDiv w:val="1"/>
      <w:marLeft w:val="0"/>
      <w:marRight w:val="0"/>
      <w:marTop w:val="0"/>
      <w:marBottom w:val="0"/>
      <w:divBdr>
        <w:top w:val="none" w:sz="0" w:space="0" w:color="auto"/>
        <w:left w:val="none" w:sz="0" w:space="0" w:color="auto"/>
        <w:bottom w:val="none" w:sz="0" w:space="0" w:color="auto"/>
        <w:right w:val="none" w:sz="0" w:space="0" w:color="auto"/>
      </w:divBdr>
    </w:div>
    <w:div w:id="710114100">
      <w:bodyDiv w:val="1"/>
      <w:marLeft w:val="0"/>
      <w:marRight w:val="0"/>
      <w:marTop w:val="0"/>
      <w:marBottom w:val="0"/>
      <w:divBdr>
        <w:top w:val="none" w:sz="0" w:space="0" w:color="auto"/>
        <w:left w:val="none" w:sz="0" w:space="0" w:color="auto"/>
        <w:bottom w:val="none" w:sz="0" w:space="0" w:color="auto"/>
        <w:right w:val="none" w:sz="0" w:space="0" w:color="auto"/>
      </w:divBdr>
    </w:div>
    <w:div w:id="711539709">
      <w:bodyDiv w:val="1"/>
      <w:marLeft w:val="0"/>
      <w:marRight w:val="0"/>
      <w:marTop w:val="0"/>
      <w:marBottom w:val="0"/>
      <w:divBdr>
        <w:top w:val="none" w:sz="0" w:space="0" w:color="auto"/>
        <w:left w:val="none" w:sz="0" w:space="0" w:color="auto"/>
        <w:bottom w:val="none" w:sz="0" w:space="0" w:color="auto"/>
        <w:right w:val="none" w:sz="0" w:space="0" w:color="auto"/>
      </w:divBdr>
    </w:div>
    <w:div w:id="739208665">
      <w:bodyDiv w:val="1"/>
      <w:marLeft w:val="0"/>
      <w:marRight w:val="0"/>
      <w:marTop w:val="0"/>
      <w:marBottom w:val="0"/>
      <w:divBdr>
        <w:top w:val="none" w:sz="0" w:space="0" w:color="auto"/>
        <w:left w:val="none" w:sz="0" w:space="0" w:color="auto"/>
        <w:bottom w:val="none" w:sz="0" w:space="0" w:color="auto"/>
        <w:right w:val="none" w:sz="0" w:space="0" w:color="auto"/>
      </w:divBdr>
    </w:div>
    <w:div w:id="749276949">
      <w:bodyDiv w:val="1"/>
      <w:marLeft w:val="0"/>
      <w:marRight w:val="0"/>
      <w:marTop w:val="0"/>
      <w:marBottom w:val="0"/>
      <w:divBdr>
        <w:top w:val="none" w:sz="0" w:space="0" w:color="auto"/>
        <w:left w:val="none" w:sz="0" w:space="0" w:color="auto"/>
        <w:bottom w:val="none" w:sz="0" w:space="0" w:color="auto"/>
        <w:right w:val="none" w:sz="0" w:space="0" w:color="auto"/>
      </w:divBdr>
    </w:div>
    <w:div w:id="750736386">
      <w:bodyDiv w:val="1"/>
      <w:marLeft w:val="0"/>
      <w:marRight w:val="0"/>
      <w:marTop w:val="0"/>
      <w:marBottom w:val="0"/>
      <w:divBdr>
        <w:top w:val="none" w:sz="0" w:space="0" w:color="auto"/>
        <w:left w:val="none" w:sz="0" w:space="0" w:color="auto"/>
        <w:bottom w:val="none" w:sz="0" w:space="0" w:color="auto"/>
        <w:right w:val="none" w:sz="0" w:space="0" w:color="auto"/>
      </w:divBdr>
    </w:div>
    <w:div w:id="754595402">
      <w:bodyDiv w:val="1"/>
      <w:marLeft w:val="0"/>
      <w:marRight w:val="0"/>
      <w:marTop w:val="0"/>
      <w:marBottom w:val="0"/>
      <w:divBdr>
        <w:top w:val="none" w:sz="0" w:space="0" w:color="auto"/>
        <w:left w:val="none" w:sz="0" w:space="0" w:color="auto"/>
        <w:bottom w:val="none" w:sz="0" w:space="0" w:color="auto"/>
        <w:right w:val="none" w:sz="0" w:space="0" w:color="auto"/>
      </w:divBdr>
    </w:div>
    <w:div w:id="764613517">
      <w:bodyDiv w:val="1"/>
      <w:marLeft w:val="0"/>
      <w:marRight w:val="0"/>
      <w:marTop w:val="0"/>
      <w:marBottom w:val="0"/>
      <w:divBdr>
        <w:top w:val="none" w:sz="0" w:space="0" w:color="auto"/>
        <w:left w:val="none" w:sz="0" w:space="0" w:color="auto"/>
        <w:bottom w:val="none" w:sz="0" w:space="0" w:color="auto"/>
        <w:right w:val="none" w:sz="0" w:space="0" w:color="auto"/>
      </w:divBdr>
    </w:div>
    <w:div w:id="773400727">
      <w:bodyDiv w:val="1"/>
      <w:marLeft w:val="0"/>
      <w:marRight w:val="0"/>
      <w:marTop w:val="0"/>
      <w:marBottom w:val="0"/>
      <w:divBdr>
        <w:top w:val="none" w:sz="0" w:space="0" w:color="auto"/>
        <w:left w:val="none" w:sz="0" w:space="0" w:color="auto"/>
        <w:bottom w:val="none" w:sz="0" w:space="0" w:color="auto"/>
        <w:right w:val="none" w:sz="0" w:space="0" w:color="auto"/>
      </w:divBdr>
    </w:div>
    <w:div w:id="814762813">
      <w:bodyDiv w:val="1"/>
      <w:marLeft w:val="0"/>
      <w:marRight w:val="0"/>
      <w:marTop w:val="0"/>
      <w:marBottom w:val="0"/>
      <w:divBdr>
        <w:top w:val="none" w:sz="0" w:space="0" w:color="auto"/>
        <w:left w:val="none" w:sz="0" w:space="0" w:color="auto"/>
        <w:bottom w:val="none" w:sz="0" w:space="0" w:color="auto"/>
        <w:right w:val="none" w:sz="0" w:space="0" w:color="auto"/>
      </w:divBdr>
    </w:div>
    <w:div w:id="817261377">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45704194">
      <w:bodyDiv w:val="1"/>
      <w:marLeft w:val="0"/>
      <w:marRight w:val="0"/>
      <w:marTop w:val="0"/>
      <w:marBottom w:val="0"/>
      <w:divBdr>
        <w:top w:val="none" w:sz="0" w:space="0" w:color="auto"/>
        <w:left w:val="none" w:sz="0" w:space="0" w:color="auto"/>
        <w:bottom w:val="none" w:sz="0" w:space="0" w:color="auto"/>
        <w:right w:val="none" w:sz="0" w:space="0" w:color="auto"/>
      </w:divBdr>
    </w:div>
    <w:div w:id="845945247">
      <w:bodyDiv w:val="1"/>
      <w:marLeft w:val="0"/>
      <w:marRight w:val="0"/>
      <w:marTop w:val="0"/>
      <w:marBottom w:val="0"/>
      <w:divBdr>
        <w:top w:val="none" w:sz="0" w:space="0" w:color="auto"/>
        <w:left w:val="none" w:sz="0" w:space="0" w:color="auto"/>
        <w:bottom w:val="none" w:sz="0" w:space="0" w:color="auto"/>
        <w:right w:val="none" w:sz="0" w:space="0" w:color="auto"/>
      </w:divBdr>
    </w:div>
    <w:div w:id="856193492">
      <w:bodyDiv w:val="1"/>
      <w:marLeft w:val="0"/>
      <w:marRight w:val="0"/>
      <w:marTop w:val="0"/>
      <w:marBottom w:val="0"/>
      <w:divBdr>
        <w:top w:val="none" w:sz="0" w:space="0" w:color="auto"/>
        <w:left w:val="none" w:sz="0" w:space="0" w:color="auto"/>
        <w:bottom w:val="none" w:sz="0" w:space="0" w:color="auto"/>
        <w:right w:val="none" w:sz="0" w:space="0" w:color="auto"/>
      </w:divBdr>
    </w:div>
    <w:div w:id="862716575">
      <w:bodyDiv w:val="1"/>
      <w:marLeft w:val="0"/>
      <w:marRight w:val="0"/>
      <w:marTop w:val="0"/>
      <w:marBottom w:val="0"/>
      <w:divBdr>
        <w:top w:val="none" w:sz="0" w:space="0" w:color="auto"/>
        <w:left w:val="none" w:sz="0" w:space="0" w:color="auto"/>
        <w:bottom w:val="none" w:sz="0" w:space="0" w:color="auto"/>
        <w:right w:val="none" w:sz="0" w:space="0" w:color="auto"/>
      </w:divBdr>
    </w:div>
    <w:div w:id="880821355">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905184070">
      <w:bodyDiv w:val="1"/>
      <w:marLeft w:val="0"/>
      <w:marRight w:val="0"/>
      <w:marTop w:val="0"/>
      <w:marBottom w:val="0"/>
      <w:divBdr>
        <w:top w:val="none" w:sz="0" w:space="0" w:color="auto"/>
        <w:left w:val="none" w:sz="0" w:space="0" w:color="auto"/>
        <w:bottom w:val="none" w:sz="0" w:space="0" w:color="auto"/>
        <w:right w:val="none" w:sz="0" w:space="0" w:color="auto"/>
      </w:divBdr>
    </w:div>
    <w:div w:id="913706210">
      <w:bodyDiv w:val="1"/>
      <w:marLeft w:val="0"/>
      <w:marRight w:val="0"/>
      <w:marTop w:val="0"/>
      <w:marBottom w:val="0"/>
      <w:divBdr>
        <w:top w:val="none" w:sz="0" w:space="0" w:color="auto"/>
        <w:left w:val="none" w:sz="0" w:space="0" w:color="auto"/>
        <w:bottom w:val="none" w:sz="0" w:space="0" w:color="auto"/>
        <w:right w:val="none" w:sz="0" w:space="0" w:color="auto"/>
      </w:divBdr>
    </w:div>
    <w:div w:id="914246995">
      <w:bodyDiv w:val="1"/>
      <w:marLeft w:val="0"/>
      <w:marRight w:val="0"/>
      <w:marTop w:val="0"/>
      <w:marBottom w:val="0"/>
      <w:divBdr>
        <w:top w:val="none" w:sz="0" w:space="0" w:color="auto"/>
        <w:left w:val="none" w:sz="0" w:space="0" w:color="auto"/>
        <w:bottom w:val="none" w:sz="0" w:space="0" w:color="auto"/>
        <w:right w:val="none" w:sz="0" w:space="0" w:color="auto"/>
      </w:divBdr>
    </w:div>
    <w:div w:id="952591830">
      <w:bodyDiv w:val="1"/>
      <w:marLeft w:val="0"/>
      <w:marRight w:val="0"/>
      <w:marTop w:val="0"/>
      <w:marBottom w:val="0"/>
      <w:divBdr>
        <w:top w:val="none" w:sz="0" w:space="0" w:color="auto"/>
        <w:left w:val="none" w:sz="0" w:space="0" w:color="auto"/>
        <w:bottom w:val="none" w:sz="0" w:space="0" w:color="auto"/>
        <w:right w:val="none" w:sz="0" w:space="0" w:color="auto"/>
      </w:divBdr>
    </w:div>
    <w:div w:id="955336045">
      <w:bodyDiv w:val="1"/>
      <w:marLeft w:val="0"/>
      <w:marRight w:val="0"/>
      <w:marTop w:val="0"/>
      <w:marBottom w:val="0"/>
      <w:divBdr>
        <w:top w:val="none" w:sz="0" w:space="0" w:color="auto"/>
        <w:left w:val="none" w:sz="0" w:space="0" w:color="auto"/>
        <w:bottom w:val="none" w:sz="0" w:space="0" w:color="auto"/>
        <w:right w:val="none" w:sz="0" w:space="0" w:color="auto"/>
      </w:divBdr>
    </w:div>
    <w:div w:id="1001929243">
      <w:bodyDiv w:val="1"/>
      <w:marLeft w:val="0"/>
      <w:marRight w:val="0"/>
      <w:marTop w:val="0"/>
      <w:marBottom w:val="0"/>
      <w:divBdr>
        <w:top w:val="none" w:sz="0" w:space="0" w:color="auto"/>
        <w:left w:val="none" w:sz="0" w:space="0" w:color="auto"/>
        <w:bottom w:val="none" w:sz="0" w:space="0" w:color="auto"/>
        <w:right w:val="none" w:sz="0" w:space="0" w:color="auto"/>
      </w:divBdr>
    </w:div>
    <w:div w:id="1018460749">
      <w:bodyDiv w:val="1"/>
      <w:marLeft w:val="0"/>
      <w:marRight w:val="0"/>
      <w:marTop w:val="0"/>
      <w:marBottom w:val="0"/>
      <w:divBdr>
        <w:top w:val="none" w:sz="0" w:space="0" w:color="auto"/>
        <w:left w:val="none" w:sz="0" w:space="0" w:color="auto"/>
        <w:bottom w:val="none" w:sz="0" w:space="0" w:color="auto"/>
        <w:right w:val="none" w:sz="0" w:space="0" w:color="auto"/>
      </w:divBdr>
    </w:div>
    <w:div w:id="1030184466">
      <w:bodyDiv w:val="1"/>
      <w:marLeft w:val="0"/>
      <w:marRight w:val="0"/>
      <w:marTop w:val="0"/>
      <w:marBottom w:val="0"/>
      <w:divBdr>
        <w:top w:val="none" w:sz="0" w:space="0" w:color="auto"/>
        <w:left w:val="none" w:sz="0" w:space="0" w:color="auto"/>
        <w:bottom w:val="none" w:sz="0" w:space="0" w:color="auto"/>
        <w:right w:val="none" w:sz="0" w:space="0" w:color="auto"/>
      </w:divBdr>
    </w:div>
    <w:div w:id="1035040663">
      <w:bodyDiv w:val="1"/>
      <w:marLeft w:val="0"/>
      <w:marRight w:val="0"/>
      <w:marTop w:val="0"/>
      <w:marBottom w:val="0"/>
      <w:divBdr>
        <w:top w:val="none" w:sz="0" w:space="0" w:color="auto"/>
        <w:left w:val="none" w:sz="0" w:space="0" w:color="auto"/>
        <w:bottom w:val="none" w:sz="0" w:space="0" w:color="auto"/>
        <w:right w:val="none" w:sz="0" w:space="0" w:color="auto"/>
      </w:divBdr>
    </w:div>
    <w:div w:id="1039628793">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050501330">
      <w:bodyDiv w:val="1"/>
      <w:marLeft w:val="0"/>
      <w:marRight w:val="0"/>
      <w:marTop w:val="0"/>
      <w:marBottom w:val="0"/>
      <w:divBdr>
        <w:top w:val="none" w:sz="0" w:space="0" w:color="auto"/>
        <w:left w:val="none" w:sz="0" w:space="0" w:color="auto"/>
        <w:bottom w:val="none" w:sz="0" w:space="0" w:color="auto"/>
        <w:right w:val="none" w:sz="0" w:space="0" w:color="auto"/>
      </w:divBdr>
    </w:div>
    <w:div w:id="1077676028">
      <w:bodyDiv w:val="1"/>
      <w:marLeft w:val="0"/>
      <w:marRight w:val="0"/>
      <w:marTop w:val="0"/>
      <w:marBottom w:val="0"/>
      <w:divBdr>
        <w:top w:val="none" w:sz="0" w:space="0" w:color="auto"/>
        <w:left w:val="none" w:sz="0" w:space="0" w:color="auto"/>
        <w:bottom w:val="none" w:sz="0" w:space="0" w:color="auto"/>
        <w:right w:val="none" w:sz="0" w:space="0" w:color="auto"/>
      </w:divBdr>
    </w:div>
    <w:div w:id="1107047292">
      <w:bodyDiv w:val="1"/>
      <w:marLeft w:val="0"/>
      <w:marRight w:val="0"/>
      <w:marTop w:val="0"/>
      <w:marBottom w:val="0"/>
      <w:divBdr>
        <w:top w:val="none" w:sz="0" w:space="0" w:color="auto"/>
        <w:left w:val="none" w:sz="0" w:space="0" w:color="auto"/>
        <w:bottom w:val="none" w:sz="0" w:space="0" w:color="auto"/>
        <w:right w:val="none" w:sz="0" w:space="0" w:color="auto"/>
      </w:divBdr>
    </w:div>
    <w:div w:id="1119448906">
      <w:bodyDiv w:val="1"/>
      <w:marLeft w:val="0"/>
      <w:marRight w:val="0"/>
      <w:marTop w:val="0"/>
      <w:marBottom w:val="0"/>
      <w:divBdr>
        <w:top w:val="none" w:sz="0" w:space="0" w:color="auto"/>
        <w:left w:val="none" w:sz="0" w:space="0" w:color="auto"/>
        <w:bottom w:val="none" w:sz="0" w:space="0" w:color="auto"/>
        <w:right w:val="none" w:sz="0" w:space="0" w:color="auto"/>
      </w:divBdr>
    </w:div>
    <w:div w:id="1141069651">
      <w:bodyDiv w:val="1"/>
      <w:marLeft w:val="0"/>
      <w:marRight w:val="0"/>
      <w:marTop w:val="0"/>
      <w:marBottom w:val="0"/>
      <w:divBdr>
        <w:top w:val="none" w:sz="0" w:space="0" w:color="auto"/>
        <w:left w:val="none" w:sz="0" w:space="0" w:color="auto"/>
        <w:bottom w:val="none" w:sz="0" w:space="0" w:color="auto"/>
        <w:right w:val="none" w:sz="0" w:space="0" w:color="auto"/>
      </w:divBdr>
    </w:div>
    <w:div w:id="1146823496">
      <w:bodyDiv w:val="1"/>
      <w:marLeft w:val="0"/>
      <w:marRight w:val="0"/>
      <w:marTop w:val="0"/>
      <w:marBottom w:val="0"/>
      <w:divBdr>
        <w:top w:val="none" w:sz="0" w:space="0" w:color="auto"/>
        <w:left w:val="none" w:sz="0" w:space="0" w:color="auto"/>
        <w:bottom w:val="none" w:sz="0" w:space="0" w:color="auto"/>
        <w:right w:val="none" w:sz="0" w:space="0" w:color="auto"/>
      </w:divBdr>
    </w:div>
    <w:div w:id="1164784524">
      <w:bodyDiv w:val="1"/>
      <w:marLeft w:val="0"/>
      <w:marRight w:val="0"/>
      <w:marTop w:val="0"/>
      <w:marBottom w:val="0"/>
      <w:divBdr>
        <w:top w:val="none" w:sz="0" w:space="0" w:color="auto"/>
        <w:left w:val="none" w:sz="0" w:space="0" w:color="auto"/>
        <w:bottom w:val="none" w:sz="0" w:space="0" w:color="auto"/>
        <w:right w:val="none" w:sz="0" w:space="0" w:color="auto"/>
      </w:divBdr>
    </w:div>
    <w:div w:id="1176109959">
      <w:bodyDiv w:val="1"/>
      <w:marLeft w:val="0"/>
      <w:marRight w:val="0"/>
      <w:marTop w:val="0"/>
      <w:marBottom w:val="0"/>
      <w:divBdr>
        <w:top w:val="none" w:sz="0" w:space="0" w:color="auto"/>
        <w:left w:val="none" w:sz="0" w:space="0" w:color="auto"/>
        <w:bottom w:val="none" w:sz="0" w:space="0" w:color="auto"/>
        <w:right w:val="none" w:sz="0" w:space="0" w:color="auto"/>
      </w:divBdr>
    </w:div>
    <w:div w:id="1177890451">
      <w:bodyDiv w:val="1"/>
      <w:marLeft w:val="0"/>
      <w:marRight w:val="0"/>
      <w:marTop w:val="0"/>
      <w:marBottom w:val="0"/>
      <w:divBdr>
        <w:top w:val="none" w:sz="0" w:space="0" w:color="auto"/>
        <w:left w:val="none" w:sz="0" w:space="0" w:color="auto"/>
        <w:bottom w:val="none" w:sz="0" w:space="0" w:color="auto"/>
        <w:right w:val="none" w:sz="0" w:space="0" w:color="auto"/>
      </w:divBdr>
    </w:div>
    <w:div w:id="1188829096">
      <w:bodyDiv w:val="1"/>
      <w:marLeft w:val="0"/>
      <w:marRight w:val="0"/>
      <w:marTop w:val="0"/>
      <w:marBottom w:val="0"/>
      <w:divBdr>
        <w:top w:val="none" w:sz="0" w:space="0" w:color="auto"/>
        <w:left w:val="none" w:sz="0" w:space="0" w:color="auto"/>
        <w:bottom w:val="none" w:sz="0" w:space="0" w:color="auto"/>
        <w:right w:val="none" w:sz="0" w:space="0" w:color="auto"/>
      </w:divBdr>
    </w:div>
    <w:div w:id="1189640761">
      <w:bodyDiv w:val="1"/>
      <w:marLeft w:val="0"/>
      <w:marRight w:val="0"/>
      <w:marTop w:val="0"/>
      <w:marBottom w:val="0"/>
      <w:divBdr>
        <w:top w:val="none" w:sz="0" w:space="0" w:color="auto"/>
        <w:left w:val="none" w:sz="0" w:space="0" w:color="auto"/>
        <w:bottom w:val="none" w:sz="0" w:space="0" w:color="auto"/>
        <w:right w:val="none" w:sz="0" w:space="0" w:color="auto"/>
      </w:divBdr>
    </w:div>
    <w:div w:id="1193761895">
      <w:bodyDiv w:val="1"/>
      <w:marLeft w:val="0"/>
      <w:marRight w:val="0"/>
      <w:marTop w:val="0"/>
      <w:marBottom w:val="0"/>
      <w:divBdr>
        <w:top w:val="none" w:sz="0" w:space="0" w:color="auto"/>
        <w:left w:val="none" w:sz="0" w:space="0" w:color="auto"/>
        <w:bottom w:val="none" w:sz="0" w:space="0" w:color="auto"/>
        <w:right w:val="none" w:sz="0" w:space="0" w:color="auto"/>
      </w:divBdr>
    </w:div>
    <w:div w:id="1256018964">
      <w:bodyDiv w:val="1"/>
      <w:marLeft w:val="0"/>
      <w:marRight w:val="0"/>
      <w:marTop w:val="0"/>
      <w:marBottom w:val="0"/>
      <w:divBdr>
        <w:top w:val="none" w:sz="0" w:space="0" w:color="auto"/>
        <w:left w:val="none" w:sz="0" w:space="0" w:color="auto"/>
        <w:bottom w:val="none" w:sz="0" w:space="0" w:color="auto"/>
        <w:right w:val="none" w:sz="0" w:space="0" w:color="auto"/>
      </w:divBdr>
    </w:div>
    <w:div w:id="1263807873">
      <w:bodyDiv w:val="1"/>
      <w:marLeft w:val="0"/>
      <w:marRight w:val="0"/>
      <w:marTop w:val="0"/>
      <w:marBottom w:val="0"/>
      <w:divBdr>
        <w:top w:val="none" w:sz="0" w:space="0" w:color="auto"/>
        <w:left w:val="none" w:sz="0" w:space="0" w:color="auto"/>
        <w:bottom w:val="none" w:sz="0" w:space="0" w:color="auto"/>
        <w:right w:val="none" w:sz="0" w:space="0" w:color="auto"/>
      </w:divBdr>
    </w:div>
    <w:div w:id="1264533241">
      <w:bodyDiv w:val="1"/>
      <w:marLeft w:val="0"/>
      <w:marRight w:val="0"/>
      <w:marTop w:val="0"/>
      <w:marBottom w:val="0"/>
      <w:divBdr>
        <w:top w:val="none" w:sz="0" w:space="0" w:color="auto"/>
        <w:left w:val="none" w:sz="0" w:space="0" w:color="auto"/>
        <w:bottom w:val="none" w:sz="0" w:space="0" w:color="auto"/>
        <w:right w:val="none" w:sz="0" w:space="0" w:color="auto"/>
      </w:divBdr>
    </w:div>
    <w:div w:id="1273127780">
      <w:bodyDiv w:val="1"/>
      <w:marLeft w:val="0"/>
      <w:marRight w:val="0"/>
      <w:marTop w:val="0"/>
      <w:marBottom w:val="0"/>
      <w:divBdr>
        <w:top w:val="none" w:sz="0" w:space="0" w:color="auto"/>
        <w:left w:val="none" w:sz="0" w:space="0" w:color="auto"/>
        <w:bottom w:val="none" w:sz="0" w:space="0" w:color="auto"/>
        <w:right w:val="none" w:sz="0" w:space="0" w:color="auto"/>
      </w:divBdr>
    </w:div>
    <w:div w:id="1278563742">
      <w:bodyDiv w:val="1"/>
      <w:marLeft w:val="0"/>
      <w:marRight w:val="0"/>
      <w:marTop w:val="0"/>
      <w:marBottom w:val="0"/>
      <w:divBdr>
        <w:top w:val="none" w:sz="0" w:space="0" w:color="auto"/>
        <w:left w:val="none" w:sz="0" w:space="0" w:color="auto"/>
        <w:bottom w:val="none" w:sz="0" w:space="0" w:color="auto"/>
        <w:right w:val="none" w:sz="0" w:space="0" w:color="auto"/>
      </w:divBdr>
    </w:div>
    <w:div w:id="1285386138">
      <w:bodyDiv w:val="1"/>
      <w:marLeft w:val="0"/>
      <w:marRight w:val="0"/>
      <w:marTop w:val="0"/>
      <w:marBottom w:val="0"/>
      <w:divBdr>
        <w:top w:val="none" w:sz="0" w:space="0" w:color="auto"/>
        <w:left w:val="none" w:sz="0" w:space="0" w:color="auto"/>
        <w:bottom w:val="none" w:sz="0" w:space="0" w:color="auto"/>
        <w:right w:val="none" w:sz="0" w:space="0" w:color="auto"/>
      </w:divBdr>
    </w:div>
    <w:div w:id="1331953867">
      <w:bodyDiv w:val="1"/>
      <w:marLeft w:val="0"/>
      <w:marRight w:val="0"/>
      <w:marTop w:val="0"/>
      <w:marBottom w:val="0"/>
      <w:divBdr>
        <w:top w:val="none" w:sz="0" w:space="0" w:color="auto"/>
        <w:left w:val="none" w:sz="0" w:space="0" w:color="auto"/>
        <w:bottom w:val="none" w:sz="0" w:space="0" w:color="auto"/>
        <w:right w:val="none" w:sz="0" w:space="0" w:color="auto"/>
      </w:divBdr>
    </w:div>
    <w:div w:id="1357928029">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381586851">
      <w:bodyDiv w:val="1"/>
      <w:marLeft w:val="0"/>
      <w:marRight w:val="0"/>
      <w:marTop w:val="0"/>
      <w:marBottom w:val="0"/>
      <w:divBdr>
        <w:top w:val="none" w:sz="0" w:space="0" w:color="auto"/>
        <w:left w:val="none" w:sz="0" w:space="0" w:color="auto"/>
        <w:bottom w:val="none" w:sz="0" w:space="0" w:color="auto"/>
        <w:right w:val="none" w:sz="0" w:space="0" w:color="auto"/>
      </w:divBdr>
    </w:div>
    <w:div w:id="1401447051">
      <w:bodyDiv w:val="1"/>
      <w:marLeft w:val="0"/>
      <w:marRight w:val="0"/>
      <w:marTop w:val="0"/>
      <w:marBottom w:val="0"/>
      <w:divBdr>
        <w:top w:val="none" w:sz="0" w:space="0" w:color="auto"/>
        <w:left w:val="none" w:sz="0" w:space="0" w:color="auto"/>
        <w:bottom w:val="none" w:sz="0" w:space="0" w:color="auto"/>
        <w:right w:val="none" w:sz="0" w:space="0" w:color="auto"/>
      </w:divBdr>
    </w:div>
    <w:div w:id="1404841379">
      <w:bodyDiv w:val="1"/>
      <w:marLeft w:val="0"/>
      <w:marRight w:val="0"/>
      <w:marTop w:val="0"/>
      <w:marBottom w:val="0"/>
      <w:divBdr>
        <w:top w:val="none" w:sz="0" w:space="0" w:color="auto"/>
        <w:left w:val="none" w:sz="0" w:space="0" w:color="auto"/>
        <w:bottom w:val="none" w:sz="0" w:space="0" w:color="auto"/>
        <w:right w:val="none" w:sz="0" w:space="0" w:color="auto"/>
      </w:divBdr>
    </w:div>
    <w:div w:id="1405103039">
      <w:bodyDiv w:val="1"/>
      <w:marLeft w:val="0"/>
      <w:marRight w:val="0"/>
      <w:marTop w:val="0"/>
      <w:marBottom w:val="0"/>
      <w:divBdr>
        <w:top w:val="none" w:sz="0" w:space="0" w:color="auto"/>
        <w:left w:val="none" w:sz="0" w:space="0" w:color="auto"/>
        <w:bottom w:val="none" w:sz="0" w:space="0" w:color="auto"/>
        <w:right w:val="none" w:sz="0" w:space="0" w:color="auto"/>
      </w:divBdr>
    </w:div>
    <w:div w:id="1406684037">
      <w:bodyDiv w:val="1"/>
      <w:marLeft w:val="0"/>
      <w:marRight w:val="0"/>
      <w:marTop w:val="0"/>
      <w:marBottom w:val="0"/>
      <w:divBdr>
        <w:top w:val="none" w:sz="0" w:space="0" w:color="auto"/>
        <w:left w:val="none" w:sz="0" w:space="0" w:color="auto"/>
        <w:bottom w:val="none" w:sz="0" w:space="0" w:color="auto"/>
        <w:right w:val="none" w:sz="0" w:space="0" w:color="auto"/>
      </w:divBdr>
    </w:div>
    <w:div w:id="1421216463">
      <w:bodyDiv w:val="1"/>
      <w:marLeft w:val="0"/>
      <w:marRight w:val="0"/>
      <w:marTop w:val="0"/>
      <w:marBottom w:val="0"/>
      <w:divBdr>
        <w:top w:val="none" w:sz="0" w:space="0" w:color="auto"/>
        <w:left w:val="none" w:sz="0" w:space="0" w:color="auto"/>
        <w:bottom w:val="none" w:sz="0" w:space="0" w:color="auto"/>
        <w:right w:val="none" w:sz="0" w:space="0" w:color="auto"/>
      </w:divBdr>
    </w:div>
    <w:div w:id="1460148954">
      <w:bodyDiv w:val="1"/>
      <w:marLeft w:val="0"/>
      <w:marRight w:val="0"/>
      <w:marTop w:val="0"/>
      <w:marBottom w:val="0"/>
      <w:divBdr>
        <w:top w:val="none" w:sz="0" w:space="0" w:color="auto"/>
        <w:left w:val="none" w:sz="0" w:space="0" w:color="auto"/>
        <w:bottom w:val="none" w:sz="0" w:space="0" w:color="auto"/>
        <w:right w:val="none" w:sz="0" w:space="0" w:color="auto"/>
      </w:divBdr>
    </w:div>
    <w:div w:id="1473520060">
      <w:bodyDiv w:val="1"/>
      <w:marLeft w:val="0"/>
      <w:marRight w:val="0"/>
      <w:marTop w:val="0"/>
      <w:marBottom w:val="0"/>
      <w:divBdr>
        <w:top w:val="none" w:sz="0" w:space="0" w:color="auto"/>
        <w:left w:val="none" w:sz="0" w:space="0" w:color="auto"/>
        <w:bottom w:val="none" w:sz="0" w:space="0" w:color="auto"/>
        <w:right w:val="none" w:sz="0" w:space="0" w:color="auto"/>
      </w:divBdr>
    </w:div>
    <w:div w:id="1485589275">
      <w:bodyDiv w:val="1"/>
      <w:marLeft w:val="0"/>
      <w:marRight w:val="0"/>
      <w:marTop w:val="0"/>
      <w:marBottom w:val="0"/>
      <w:divBdr>
        <w:top w:val="none" w:sz="0" w:space="0" w:color="auto"/>
        <w:left w:val="none" w:sz="0" w:space="0" w:color="auto"/>
        <w:bottom w:val="none" w:sz="0" w:space="0" w:color="auto"/>
        <w:right w:val="none" w:sz="0" w:space="0" w:color="auto"/>
      </w:divBdr>
    </w:div>
    <w:div w:id="1514300888">
      <w:bodyDiv w:val="1"/>
      <w:marLeft w:val="0"/>
      <w:marRight w:val="0"/>
      <w:marTop w:val="0"/>
      <w:marBottom w:val="0"/>
      <w:divBdr>
        <w:top w:val="none" w:sz="0" w:space="0" w:color="auto"/>
        <w:left w:val="none" w:sz="0" w:space="0" w:color="auto"/>
        <w:bottom w:val="none" w:sz="0" w:space="0" w:color="auto"/>
        <w:right w:val="none" w:sz="0" w:space="0" w:color="auto"/>
      </w:divBdr>
    </w:div>
    <w:div w:id="1517302235">
      <w:bodyDiv w:val="1"/>
      <w:marLeft w:val="0"/>
      <w:marRight w:val="0"/>
      <w:marTop w:val="0"/>
      <w:marBottom w:val="0"/>
      <w:divBdr>
        <w:top w:val="none" w:sz="0" w:space="0" w:color="auto"/>
        <w:left w:val="none" w:sz="0" w:space="0" w:color="auto"/>
        <w:bottom w:val="none" w:sz="0" w:space="0" w:color="auto"/>
        <w:right w:val="none" w:sz="0" w:space="0" w:color="auto"/>
      </w:divBdr>
    </w:div>
    <w:div w:id="1533877753">
      <w:bodyDiv w:val="1"/>
      <w:marLeft w:val="0"/>
      <w:marRight w:val="0"/>
      <w:marTop w:val="0"/>
      <w:marBottom w:val="0"/>
      <w:divBdr>
        <w:top w:val="none" w:sz="0" w:space="0" w:color="auto"/>
        <w:left w:val="none" w:sz="0" w:space="0" w:color="auto"/>
        <w:bottom w:val="none" w:sz="0" w:space="0" w:color="auto"/>
        <w:right w:val="none" w:sz="0" w:space="0" w:color="auto"/>
      </w:divBdr>
    </w:div>
    <w:div w:id="1540900950">
      <w:bodyDiv w:val="1"/>
      <w:marLeft w:val="0"/>
      <w:marRight w:val="0"/>
      <w:marTop w:val="0"/>
      <w:marBottom w:val="0"/>
      <w:divBdr>
        <w:top w:val="none" w:sz="0" w:space="0" w:color="auto"/>
        <w:left w:val="none" w:sz="0" w:space="0" w:color="auto"/>
        <w:bottom w:val="none" w:sz="0" w:space="0" w:color="auto"/>
        <w:right w:val="none" w:sz="0" w:space="0" w:color="auto"/>
      </w:divBdr>
    </w:div>
    <w:div w:id="1547525839">
      <w:bodyDiv w:val="1"/>
      <w:marLeft w:val="0"/>
      <w:marRight w:val="0"/>
      <w:marTop w:val="0"/>
      <w:marBottom w:val="0"/>
      <w:divBdr>
        <w:top w:val="none" w:sz="0" w:space="0" w:color="auto"/>
        <w:left w:val="none" w:sz="0" w:space="0" w:color="auto"/>
        <w:bottom w:val="none" w:sz="0" w:space="0" w:color="auto"/>
        <w:right w:val="none" w:sz="0" w:space="0" w:color="auto"/>
      </w:divBdr>
    </w:div>
    <w:div w:id="1564758905">
      <w:bodyDiv w:val="1"/>
      <w:marLeft w:val="0"/>
      <w:marRight w:val="0"/>
      <w:marTop w:val="0"/>
      <w:marBottom w:val="0"/>
      <w:divBdr>
        <w:top w:val="none" w:sz="0" w:space="0" w:color="auto"/>
        <w:left w:val="none" w:sz="0" w:space="0" w:color="auto"/>
        <w:bottom w:val="none" w:sz="0" w:space="0" w:color="auto"/>
        <w:right w:val="none" w:sz="0" w:space="0" w:color="auto"/>
      </w:divBdr>
    </w:div>
    <w:div w:id="1574506714">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580482634">
      <w:bodyDiv w:val="1"/>
      <w:marLeft w:val="0"/>
      <w:marRight w:val="0"/>
      <w:marTop w:val="0"/>
      <w:marBottom w:val="0"/>
      <w:divBdr>
        <w:top w:val="none" w:sz="0" w:space="0" w:color="auto"/>
        <w:left w:val="none" w:sz="0" w:space="0" w:color="auto"/>
        <w:bottom w:val="none" w:sz="0" w:space="0" w:color="auto"/>
        <w:right w:val="none" w:sz="0" w:space="0" w:color="auto"/>
      </w:divBdr>
    </w:div>
    <w:div w:id="1589345795">
      <w:bodyDiv w:val="1"/>
      <w:marLeft w:val="0"/>
      <w:marRight w:val="0"/>
      <w:marTop w:val="0"/>
      <w:marBottom w:val="0"/>
      <w:divBdr>
        <w:top w:val="none" w:sz="0" w:space="0" w:color="auto"/>
        <w:left w:val="none" w:sz="0" w:space="0" w:color="auto"/>
        <w:bottom w:val="none" w:sz="0" w:space="0" w:color="auto"/>
        <w:right w:val="none" w:sz="0" w:space="0" w:color="auto"/>
      </w:divBdr>
    </w:div>
    <w:div w:id="1596858214">
      <w:bodyDiv w:val="1"/>
      <w:marLeft w:val="0"/>
      <w:marRight w:val="0"/>
      <w:marTop w:val="0"/>
      <w:marBottom w:val="0"/>
      <w:divBdr>
        <w:top w:val="none" w:sz="0" w:space="0" w:color="auto"/>
        <w:left w:val="none" w:sz="0" w:space="0" w:color="auto"/>
        <w:bottom w:val="none" w:sz="0" w:space="0" w:color="auto"/>
        <w:right w:val="none" w:sz="0" w:space="0" w:color="auto"/>
      </w:divBdr>
    </w:div>
    <w:div w:id="1604459842">
      <w:bodyDiv w:val="1"/>
      <w:marLeft w:val="0"/>
      <w:marRight w:val="0"/>
      <w:marTop w:val="0"/>
      <w:marBottom w:val="0"/>
      <w:divBdr>
        <w:top w:val="none" w:sz="0" w:space="0" w:color="auto"/>
        <w:left w:val="none" w:sz="0" w:space="0" w:color="auto"/>
        <w:bottom w:val="none" w:sz="0" w:space="0" w:color="auto"/>
        <w:right w:val="none" w:sz="0" w:space="0" w:color="auto"/>
      </w:divBdr>
    </w:div>
    <w:div w:id="1642540879">
      <w:bodyDiv w:val="1"/>
      <w:marLeft w:val="0"/>
      <w:marRight w:val="0"/>
      <w:marTop w:val="0"/>
      <w:marBottom w:val="0"/>
      <w:divBdr>
        <w:top w:val="none" w:sz="0" w:space="0" w:color="auto"/>
        <w:left w:val="none" w:sz="0" w:space="0" w:color="auto"/>
        <w:bottom w:val="none" w:sz="0" w:space="0" w:color="auto"/>
        <w:right w:val="none" w:sz="0" w:space="0" w:color="auto"/>
      </w:divBdr>
    </w:div>
    <w:div w:id="1647323448">
      <w:bodyDiv w:val="1"/>
      <w:marLeft w:val="0"/>
      <w:marRight w:val="0"/>
      <w:marTop w:val="0"/>
      <w:marBottom w:val="0"/>
      <w:divBdr>
        <w:top w:val="none" w:sz="0" w:space="0" w:color="auto"/>
        <w:left w:val="none" w:sz="0" w:space="0" w:color="auto"/>
        <w:bottom w:val="none" w:sz="0" w:space="0" w:color="auto"/>
        <w:right w:val="none" w:sz="0" w:space="0" w:color="auto"/>
      </w:divBdr>
    </w:div>
    <w:div w:id="1658071156">
      <w:bodyDiv w:val="1"/>
      <w:marLeft w:val="0"/>
      <w:marRight w:val="0"/>
      <w:marTop w:val="0"/>
      <w:marBottom w:val="0"/>
      <w:divBdr>
        <w:top w:val="none" w:sz="0" w:space="0" w:color="auto"/>
        <w:left w:val="none" w:sz="0" w:space="0" w:color="auto"/>
        <w:bottom w:val="none" w:sz="0" w:space="0" w:color="auto"/>
        <w:right w:val="none" w:sz="0" w:space="0" w:color="auto"/>
      </w:divBdr>
    </w:div>
    <w:div w:id="1692949445">
      <w:bodyDiv w:val="1"/>
      <w:marLeft w:val="0"/>
      <w:marRight w:val="0"/>
      <w:marTop w:val="0"/>
      <w:marBottom w:val="0"/>
      <w:divBdr>
        <w:top w:val="none" w:sz="0" w:space="0" w:color="auto"/>
        <w:left w:val="none" w:sz="0" w:space="0" w:color="auto"/>
        <w:bottom w:val="none" w:sz="0" w:space="0" w:color="auto"/>
        <w:right w:val="none" w:sz="0" w:space="0" w:color="auto"/>
      </w:divBdr>
    </w:div>
    <w:div w:id="1704482522">
      <w:bodyDiv w:val="1"/>
      <w:marLeft w:val="0"/>
      <w:marRight w:val="0"/>
      <w:marTop w:val="0"/>
      <w:marBottom w:val="0"/>
      <w:divBdr>
        <w:top w:val="none" w:sz="0" w:space="0" w:color="auto"/>
        <w:left w:val="none" w:sz="0" w:space="0" w:color="auto"/>
        <w:bottom w:val="none" w:sz="0" w:space="0" w:color="auto"/>
        <w:right w:val="none" w:sz="0" w:space="0" w:color="auto"/>
      </w:divBdr>
    </w:div>
    <w:div w:id="1734620544">
      <w:bodyDiv w:val="1"/>
      <w:marLeft w:val="0"/>
      <w:marRight w:val="0"/>
      <w:marTop w:val="0"/>
      <w:marBottom w:val="0"/>
      <w:divBdr>
        <w:top w:val="none" w:sz="0" w:space="0" w:color="auto"/>
        <w:left w:val="none" w:sz="0" w:space="0" w:color="auto"/>
        <w:bottom w:val="none" w:sz="0" w:space="0" w:color="auto"/>
        <w:right w:val="none" w:sz="0" w:space="0" w:color="auto"/>
      </w:divBdr>
    </w:div>
    <w:div w:id="1750737777">
      <w:bodyDiv w:val="1"/>
      <w:marLeft w:val="0"/>
      <w:marRight w:val="0"/>
      <w:marTop w:val="0"/>
      <w:marBottom w:val="0"/>
      <w:divBdr>
        <w:top w:val="none" w:sz="0" w:space="0" w:color="auto"/>
        <w:left w:val="none" w:sz="0" w:space="0" w:color="auto"/>
        <w:bottom w:val="none" w:sz="0" w:space="0" w:color="auto"/>
        <w:right w:val="none" w:sz="0" w:space="0" w:color="auto"/>
      </w:divBdr>
    </w:div>
    <w:div w:id="1764492163">
      <w:bodyDiv w:val="1"/>
      <w:marLeft w:val="0"/>
      <w:marRight w:val="0"/>
      <w:marTop w:val="0"/>
      <w:marBottom w:val="0"/>
      <w:divBdr>
        <w:top w:val="none" w:sz="0" w:space="0" w:color="auto"/>
        <w:left w:val="none" w:sz="0" w:space="0" w:color="auto"/>
        <w:bottom w:val="none" w:sz="0" w:space="0" w:color="auto"/>
        <w:right w:val="none" w:sz="0" w:space="0" w:color="auto"/>
      </w:divBdr>
    </w:div>
    <w:div w:id="1789664251">
      <w:bodyDiv w:val="1"/>
      <w:marLeft w:val="0"/>
      <w:marRight w:val="0"/>
      <w:marTop w:val="0"/>
      <w:marBottom w:val="0"/>
      <w:divBdr>
        <w:top w:val="none" w:sz="0" w:space="0" w:color="auto"/>
        <w:left w:val="none" w:sz="0" w:space="0" w:color="auto"/>
        <w:bottom w:val="none" w:sz="0" w:space="0" w:color="auto"/>
        <w:right w:val="none" w:sz="0" w:space="0" w:color="auto"/>
      </w:divBdr>
    </w:div>
    <w:div w:id="1811358871">
      <w:bodyDiv w:val="1"/>
      <w:marLeft w:val="0"/>
      <w:marRight w:val="0"/>
      <w:marTop w:val="0"/>
      <w:marBottom w:val="0"/>
      <w:divBdr>
        <w:top w:val="none" w:sz="0" w:space="0" w:color="auto"/>
        <w:left w:val="none" w:sz="0" w:space="0" w:color="auto"/>
        <w:bottom w:val="none" w:sz="0" w:space="0" w:color="auto"/>
        <w:right w:val="none" w:sz="0" w:space="0" w:color="auto"/>
      </w:divBdr>
    </w:div>
    <w:div w:id="1825008585">
      <w:bodyDiv w:val="1"/>
      <w:marLeft w:val="0"/>
      <w:marRight w:val="0"/>
      <w:marTop w:val="0"/>
      <w:marBottom w:val="0"/>
      <w:divBdr>
        <w:top w:val="none" w:sz="0" w:space="0" w:color="auto"/>
        <w:left w:val="none" w:sz="0" w:space="0" w:color="auto"/>
        <w:bottom w:val="none" w:sz="0" w:space="0" w:color="auto"/>
        <w:right w:val="none" w:sz="0" w:space="0" w:color="auto"/>
      </w:divBdr>
    </w:div>
    <w:div w:id="1834485297">
      <w:bodyDiv w:val="1"/>
      <w:marLeft w:val="0"/>
      <w:marRight w:val="0"/>
      <w:marTop w:val="0"/>
      <w:marBottom w:val="0"/>
      <w:divBdr>
        <w:top w:val="none" w:sz="0" w:space="0" w:color="auto"/>
        <w:left w:val="none" w:sz="0" w:space="0" w:color="auto"/>
        <w:bottom w:val="none" w:sz="0" w:space="0" w:color="auto"/>
        <w:right w:val="none" w:sz="0" w:space="0" w:color="auto"/>
      </w:divBdr>
    </w:div>
    <w:div w:id="1844123318">
      <w:bodyDiv w:val="1"/>
      <w:marLeft w:val="0"/>
      <w:marRight w:val="0"/>
      <w:marTop w:val="0"/>
      <w:marBottom w:val="0"/>
      <w:divBdr>
        <w:top w:val="none" w:sz="0" w:space="0" w:color="auto"/>
        <w:left w:val="none" w:sz="0" w:space="0" w:color="auto"/>
        <w:bottom w:val="none" w:sz="0" w:space="0" w:color="auto"/>
        <w:right w:val="none" w:sz="0" w:space="0" w:color="auto"/>
      </w:divBdr>
    </w:div>
    <w:div w:id="1855652899">
      <w:bodyDiv w:val="1"/>
      <w:marLeft w:val="0"/>
      <w:marRight w:val="0"/>
      <w:marTop w:val="0"/>
      <w:marBottom w:val="0"/>
      <w:divBdr>
        <w:top w:val="none" w:sz="0" w:space="0" w:color="auto"/>
        <w:left w:val="none" w:sz="0" w:space="0" w:color="auto"/>
        <w:bottom w:val="none" w:sz="0" w:space="0" w:color="auto"/>
        <w:right w:val="none" w:sz="0" w:space="0" w:color="auto"/>
      </w:divBdr>
    </w:div>
    <w:div w:id="1885630618">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08149704">
      <w:bodyDiv w:val="1"/>
      <w:marLeft w:val="0"/>
      <w:marRight w:val="0"/>
      <w:marTop w:val="0"/>
      <w:marBottom w:val="0"/>
      <w:divBdr>
        <w:top w:val="none" w:sz="0" w:space="0" w:color="auto"/>
        <w:left w:val="none" w:sz="0" w:space="0" w:color="auto"/>
        <w:bottom w:val="none" w:sz="0" w:space="0" w:color="auto"/>
        <w:right w:val="none" w:sz="0" w:space="0" w:color="auto"/>
      </w:divBdr>
    </w:div>
    <w:div w:id="1939678556">
      <w:bodyDiv w:val="1"/>
      <w:marLeft w:val="0"/>
      <w:marRight w:val="0"/>
      <w:marTop w:val="0"/>
      <w:marBottom w:val="0"/>
      <w:divBdr>
        <w:top w:val="none" w:sz="0" w:space="0" w:color="auto"/>
        <w:left w:val="none" w:sz="0" w:space="0" w:color="auto"/>
        <w:bottom w:val="none" w:sz="0" w:space="0" w:color="auto"/>
        <w:right w:val="none" w:sz="0" w:space="0" w:color="auto"/>
      </w:divBdr>
    </w:div>
    <w:div w:id="1948737239">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1956206860">
      <w:bodyDiv w:val="1"/>
      <w:marLeft w:val="0"/>
      <w:marRight w:val="0"/>
      <w:marTop w:val="0"/>
      <w:marBottom w:val="0"/>
      <w:divBdr>
        <w:top w:val="none" w:sz="0" w:space="0" w:color="auto"/>
        <w:left w:val="none" w:sz="0" w:space="0" w:color="auto"/>
        <w:bottom w:val="none" w:sz="0" w:space="0" w:color="auto"/>
        <w:right w:val="none" w:sz="0" w:space="0" w:color="auto"/>
      </w:divBdr>
    </w:div>
    <w:div w:id="1967269889">
      <w:bodyDiv w:val="1"/>
      <w:marLeft w:val="0"/>
      <w:marRight w:val="0"/>
      <w:marTop w:val="0"/>
      <w:marBottom w:val="0"/>
      <w:divBdr>
        <w:top w:val="none" w:sz="0" w:space="0" w:color="auto"/>
        <w:left w:val="none" w:sz="0" w:space="0" w:color="auto"/>
        <w:bottom w:val="none" w:sz="0" w:space="0" w:color="auto"/>
        <w:right w:val="none" w:sz="0" w:space="0" w:color="auto"/>
      </w:divBdr>
    </w:div>
    <w:div w:id="1980761006">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 w:id="2036928648">
      <w:bodyDiv w:val="1"/>
      <w:marLeft w:val="0"/>
      <w:marRight w:val="0"/>
      <w:marTop w:val="0"/>
      <w:marBottom w:val="0"/>
      <w:divBdr>
        <w:top w:val="none" w:sz="0" w:space="0" w:color="auto"/>
        <w:left w:val="none" w:sz="0" w:space="0" w:color="auto"/>
        <w:bottom w:val="none" w:sz="0" w:space="0" w:color="auto"/>
        <w:right w:val="none" w:sz="0" w:space="0" w:color="auto"/>
      </w:divBdr>
    </w:div>
    <w:div w:id="2040206462">
      <w:bodyDiv w:val="1"/>
      <w:marLeft w:val="0"/>
      <w:marRight w:val="0"/>
      <w:marTop w:val="0"/>
      <w:marBottom w:val="0"/>
      <w:divBdr>
        <w:top w:val="none" w:sz="0" w:space="0" w:color="auto"/>
        <w:left w:val="none" w:sz="0" w:space="0" w:color="auto"/>
        <w:bottom w:val="none" w:sz="0" w:space="0" w:color="auto"/>
        <w:right w:val="none" w:sz="0" w:space="0" w:color="auto"/>
      </w:divBdr>
    </w:div>
    <w:div w:id="2055157321">
      <w:bodyDiv w:val="1"/>
      <w:marLeft w:val="0"/>
      <w:marRight w:val="0"/>
      <w:marTop w:val="0"/>
      <w:marBottom w:val="0"/>
      <w:divBdr>
        <w:top w:val="none" w:sz="0" w:space="0" w:color="auto"/>
        <w:left w:val="none" w:sz="0" w:space="0" w:color="auto"/>
        <w:bottom w:val="none" w:sz="0" w:space="0" w:color="auto"/>
        <w:right w:val="none" w:sz="0" w:space="0" w:color="auto"/>
      </w:divBdr>
    </w:div>
    <w:div w:id="2057510542">
      <w:bodyDiv w:val="1"/>
      <w:marLeft w:val="0"/>
      <w:marRight w:val="0"/>
      <w:marTop w:val="0"/>
      <w:marBottom w:val="0"/>
      <w:divBdr>
        <w:top w:val="none" w:sz="0" w:space="0" w:color="auto"/>
        <w:left w:val="none" w:sz="0" w:space="0" w:color="auto"/>
        <w:bottom w:val="none" w:sz="0" w:space="0" w:color="auto"/>
        <w:right w:val="none" w:sz="0" w:space="0" w:color="auto"/>
      </w:divBdr>
    </w:div>
    <w:div w:id="2065367962">
      <w:bodyDiv w:val="1"/>
      <w:marLeft w:val="0"/>
      <w:marRight w:val="0"/>
      <w:marTop w:val="0"/>
      <w:marBottom w:val="0"/>
      <w:divBdr>
        <w:top w:val="none" w:sz="0" w:space="0" w:color="auto"/>
        <w:left w:val="none" w:sz="0" w:space="0" w:color="auto"/>
        <w:bottom w:val="none" w:sz="0" w:space="0" w:color="auto"/>
        <w:right w:val="none" w:sz="0" w:space="0" w:color="auto"/>
      </w:divBdr>
    </w:div>
    <w:div w:id="2076121838">
      <w:bodyDiv w:val="1"/>
      <w:marLeft w:val="0"/>
      <w:marRight w:val="0"/>
      <w:marTop w:val="0"/>
      <w:marBottom w:val="0"/>
      <w:divBdr>
        <w:top w:val="none" w:sz="0" w:space="0" w:color="auto"/>
        <w:left w:val="none" w:sz="0" w:space="0" w:color="auto"/>
        <w:bottom w:val="none" w:sz="0" w:space="0" w:color="auto"/>
        <w:right w:val="none" w:sz="0" w:space="0" w:color="auto"/>
      </w:divBdr>
    </w:div>
    <w:div w:id="2100563139">
      <w:bodyDiv w:val="1"/>
      <w:marLeft w:val="0"/>
      <w:marRight w:val="0"/>
      <w:marTop w:val="0"/>
      <w:marBottom w:val="0"/>
      <w:divBdr>
        <w:top w:val="none" w:sz="0" w:space="0" w:color="auto"/>
        <w:left w:val="none" w:sz="0" w:space="0" w:color="auto"/>
        <w:bottom w:val="none" w:sz="0" w:space="0" w:color="auto"/>
        <w:right w:val="none" w:sz="0" w:space="0" w:color="auto"/>
      </w:divBdr>
    </w:div>
    <w:div w:id="2120949800">
      <w:bodyDiv w:val="1"/>
      <w:marLeft w:val="0"/>
      <w:marRight w:val="0"/>
      <w:marTop w:val="0"/>
      <w:marBottom w:val="0"/>
      <w:divBdr>
        <w:top w:val="none" w:sz="0" w:space="0" w:color="auto"/>
        <w:left w:val="none" w:sz="0" w:space="0" w:color="auto"/>
        <w:bottom w:val="none" w:sz="0" w:space="0" w:color="auto"/>
        <w:right w:val="none" w:sz="0" w:space="0" w:color="auto"/>
      </w:divBdr>
    </w:div>
    <w:div w:id="2139032878">
      <w:bodyDiv w:val="1"/>
      <w:marLeft w:val="0"/>
      <w:marRight w:val="0"/>
      <w:marTop w:val="0"/>
      <w:marBottom w:val="0"/>
      <w:divBdr>
        <w:top w:val="none" w:sz="0" w:space="0" w:color="auto"/>
        <w:left w:val="none" w:sz="0" w:space="0" w:color="auto"/>
        <w:bottom w:val="none" w:sz="0" w:space="0" w:color="auto"/>
        <w:right w:val="none" w:sz="0" w:space="0" w:color="auto"/>
      </w:divBdr>
    </w:div>
    <w:div w:id="21420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image" Target="media/image4.png"/><Relationship Id="rId26" Type="http://schemas.openxmlformats.org/officeDocument/2006/relationships/customXml" Target="../customXml/item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3.png"/><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ustomXml" Target="../customXml/item3.xml"/><Relationship Id="rId28" Type="http://schemas.openxmlformats.org/officeDocument/2006/relationships/customXml" Target="../customXml/item8.xml"/><Relationship Id="rId10" Type="http://schemas.openxmlformats.org/officeDocument/2006/relationships/chart" Target="charts/chart2.xml"/><Relationship Id="rId19" Type="http://schemas.openxmlformats.org/officeDocument/2006/relationships/hyperlink" Target="http://ec.europa.eu/regional_policy/sources/docgener/guides/cost/guide02_es.pdf" TargetMode="Externa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theme" Target="theme/theme1.xml"/><Relationship Id="rId27"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3" Type="http://schemas.openxmlformats.org/officeDocument/2006/relationships/hyperlink" Target="https://www.bancaditalia.it/pubblicazioni/qef/2016-0357/index.html?com.dotmarketing.htmlpage.language=1" TargetMode="External"/><Relationship Id="rId2" Type="http://schemas.openxmlformats.org/officeDocument/2006/relationships/hyperlink" Target="http://www.atlasbrasil.org.br/2013/pt" TargetMode="External"/><Relationship Id="rId1" Type="http://schemas.openxmlformats.org/officeDocument/2006/relationships/hyperlink" Target="https://sidra.ibge.gov.br/tabela/1286#resultado" TargetMode="External"/><Relationship Id="rId4" Type="http://schemas.openxmlformats.org/officeDocument/2006/relationships/hyperlink" Target="https://www.oecd.org/tax/crime/technology-tools-to-tackle-tax-evasion-and-tax-fraud.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embeddings/oleObject3.bin"/><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US" sz="1200"/>
              <a:t>Gráfico 1: População Pernambuco e % da População do Brasil</a:t>
            </a:r>
          </a:p>
        </c:rich>
      </c:tx>
      <c:layout>
        <c:manualLayout>
          <c:xMode val="edge"/>
          <c:yMode val="edge"/>
          <c:x val="7.0054000981836048E-2"/>
          <c:y val="1.3719221781350438E-2"/>
        </c:manualLayout>
      </c:layout>
      <c:overlay val="0"/>
      <c:spPr>
        <a:noFill/>
        <a:ln>
          <a:noFill/>
        </a:ln>
        <a:effectLst/>
      </c:spPr>
    </c:title>
    <c:autoTitleDeleted val="0"/>
    <c:plotArea>
      <c:layout/>
      <c:barChart>
        <c:barDir val="col"/>
        <c:grouping val="clustered"/>
        <c:varyColors val="0"/>
        <c:ser>
          <c:idx val="0"/>
          <c:order val="0"/>
          <c:tx>
            <c:strRef>
              <c:f>Plan6!$A$43</c:f>
              <c:strCache>
                <c:ptCount val="1"/>
                <c:pt idx="0">
                  <c:v>Pernambuco</c:v>
                </c:pt>
              </c:strCache>
            </c:strRef>
          </c:tx>
          <c:spPr>
            <a:solidFill>
              <a:schemeClr val="accent1"/>
            </a:solidFill>
            <a:ln>
              <a:noFill/>
            </a:ln>
            <a:effectLst/>
          </c:spPr>
          <c:invertIfNegative val="0"/>
          <c:cat>
            <c:numRef>
              <c:f>Plan6!$B$42:$K$42</c:f>
              <c:numCache>
                <c:formatCode>General</c:formatCode>
                <c:ptCount val="10"/>
                <c:pt idx="0">
                  <c:v>1900</c:v>
                </c:pt>
                <c:pt idx="1">
                  <c:v>1920</c:v>
                </c:pt>
                <c:pt idx="2">
                  <c:v>1940</c:v>
                </c:pt>
                <c:pt idx="3">
                  <c:v>1950</c:v>
                </c:pt>
                <c:pt idx="4">
                  <c:v>1960</c:v>
                </c:pt>
                <c:pt idx="5">
                  <c:v>1970</c:v>
                </c:pt>
                <c:pt idx="6">
                  <c:v>1980</c:v>
                </c:pt>
                <c:pt idx="7">
                  <c:v>1991</c:v>
                </c:pt>
                <c:pt idx="8">
                  <c:v>2000</c:v>
                </c:pt>
                <c:pt idx="9">
                  <c:v>2010</c:v>
                </c:pt>
              </c:numCache>
            </c:numRef>
          </c:cat>
          <c:val>
            <c:numRef>
              <c:f>Plan6!$B$43:$K$43</c:f>
              <c:numCache>
                <c:formatCode>General</c:formatCode>
                <c:ptCount val="10"/>
                <c:pt idx="0">
                  <c:v>1178150</c:v>
                </c:pt>
                <c:pt idx="1">
                  <c:v>2154835</c:v>
                </c:pt>
                <c:pt idx="2">
                  <c:v>2688240</c:v>
                </c:pt>
                <c:pt idx="3">
                  <c:v>3395766</c:v>
                </c:pt>
                <c:pt idx="4">
                  <c:v>4138289</c:v>
                </c:pt>
                <c:pt idx="5">
                  <c:v>5253901</c:v>
                </c:pt>
                <c:pt idx="6">
                  <c:v>6244275</c:v>
                </c:pt>
                <c:pt idx="7">
                  <c:v>7122548</c:v>
                </c:pt>
                <c:pt idx="8">
                  <c:v>7911937</c:v>
                </c:pt>
                <c:pt idx="9">
                  <c:v>8796448</c:v>
                </c:pt>
              </c:numCache>
            </c:numRef>
          </c:val>
          <c:extLst>
            <c:ext xmlns:c16="http://schemas.microsoft.com/office/drawing/2014/chart" uri="{C3380CC4-5D6E-409C-BE32-E72D297353CC}">
              <c16:uniqueId val="{00000000-2D88-497E-B20D-70CC497086CC}"/>
            </c:ext>
          </c:extLst>
        </c:ser>
        <c:dLbls>
          <c:showLegendKey val="0"/>
          <c:showVal val="0"/>
          <c:showCatName val="0"/>
          <c:showSerName val="0"/>
          <c:showPercent val="0"/>
          <c:showBubbleSize val="0"/>
        </c:dLbls>
        <c:gapWidth val="219"/>
        <c:axId val="313584256"/>
        <c:axId val="41779584"/>
      </c:barChart>
      <c:lineChart>
        <c:grouping val="standard"/>
        <c:varyColors val="0"/>
        <c:ser>
          <c:idx val="1"/>
          <c:order val="1"/>
          <c:tx>
            <c:strRef>
              <c:f>Plan6!$A$44</c:f>
              <c:strCache>
                <c:ptCount val="1"/>
                <c:pt idx="0">
                  <c:v>% Brasil</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Plan6!$B$42:$K$42</c:f>
              <c:numCache>
                <c:formatCode>General</c:formatCode>
                <c:ptCount val="10"/>
                <c:pt idx="0">
                  <c:v>1900</c:v>
                </c:pt>
                <c:pt idx="1">
                  <c:v>1920</c:v>
                </c:pt>
                <c:pt idx="2">
                  <c:v>1940</c:v>
                </c:pt>
                <c:pt idx="3">
                  <c:v>1950</c:v>
                </c:pt>
                <c:pt idx="4">
                  <c:v>1960</c:v>
                </c:pt>
                <c:pt idx="5">
                  <c:v>1970</c:v>
                </c:pt>
                <c:pt idx="6">
                  <c:v>1980</c:v>
                </c:pt>
                <c:pt idx="7">
                  <c:v>1991</c:v>
                </c:pt>
                <c:pt idx="8">
                  <c:v>2000</c:v>
                </c:pt>
                <c:pt idx="9">
                  <c:v>2010</c:v>
                </c:pt>
              </c:numCache>
            </c:numRef>
          </c:cat>
          <c:val>
            <c:numRef>
              <c:f>Plan6!$B$44:$K$44</c:f>
              <c:numCache>
                <c:formatCode>0.0%</c:formatCode>
                <c:ptCount val="10"/>
                <c:pt idx="0">
                  <c:v>6.7560538979589566E-2</c:v>
                </c:pt>
                <c:pt idx="1">
                  <c:v>7.0337602276827893E-2</c:v>
                </c:pt>
                <c:pt idx="2">
                  <c:v>6.5191082180839868E-2</c:v>
                </c:pt>
                <c:pt idx="3">
                  <c:v>6.5373095003875004E-2</c:v>
                </c:pt>
                <c:pt idx="4">
                  <c:v>5.8292047073301975E-2</c:v>
                </c:pt>
                <c:pt idx="5">
                  <c:v>5.5591786832736662E-2</c:v>
                </c:pt>
                <c:pt idx="6">
                  <c:v>5.1541440088772837E-2</c:v>
                </c:pt>
                <c:pt idx="7">
                  <c:v>4.8479929128096344E-2</c:v>
                </c:pt>
                <c:pt idx="8">
                  <c:v>4.6653132079600618E-2</c:v>
                </c:pt>
                <c:pt idx="9">
                  <c:v>4.6113659695346927E-2</c:v>
                </c:pt>
              </c:numCache>
            </c:numRef>
          </c:val>
          <c:smooth val="0"/>
          <c:extLst>
            <c:ext xmlns:c16="http://schemas.microsoft.com/office/drawing/2014/chart" uri="{C3380CC4-5D6E-409C-BE32-E72D297353CC}">
              <c16:uniqueId val="{00000001-2D88-497E-B20D-70CC497086CC}"/>
            </c:ext>
          </c:extLst>
        </c:ser>
        <c:dLbls>
          <c:showLegendKey val="0"/>
          <c:showVal val="0"/>
          <c:showCatName val="0"/>
          <c:showSerName val="0"/>
          <c:showPercent val="0"/>
          <c:showBubbleSize val="0"/>
        </c:dLbls>
        <c:marker val="1"/>
        <c:smooth val="0"/>
        <c:axId val="41783296"/>
        <c:axId val="41781504"/>
      </c:lineChart>
      <c:catAx>
        <c:axId val="313584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779584"/>
        <c:crosses val="autoZero"/>
        <c:auto val="1"/>
        <c:lblAlgn val="ctr"/>
        <c:lblOffset val="100"/>
        <c:noMultiLvlLbl val="0"/>
      </c:catAx>
      <c:valAx>
        <c:axId val="41779584"/>
        <c:scaling>
          <c:orientation val="minMax"/>
          <c:max val="90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t-BR"/>
                  <a:t>População Pernambuco</a:t>
                </a:r>
              </a:p>
            </c:rich>
          </c:tx>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3584256"/>
        <c:crosses val="autoZero"/>
        <c:crossBetween val="between"/>
      </c:valAx>
      <c:valAx>
        <c:axId val="41781504"/>
        <c:scaling>
          <c:orientation val="minMax"/>
        </c:scaling>
        <c:delete val="0"/>
        <c:axPos val="r"/>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783296"/>
        <c:crosses val="max"/>
        <c:crossBetween val="between"/>
      </c:valAx>
      <c:catAx>
        <c:axId val="41783296"/>
        <c:scaling>
          <c:orientation val="minMax"/>
        </c:scaling>
        <c:delete val="1"/>
        <c:axPos val="b"/>
        <c:numFmt formatCode="General" sourceLinked="1"/>
        <c:majorTickMark val="out"/>
        <c:minorTickMark val="none"/>
        <c:tickLblPos val="nextTo"/>
        <c:crossAx val="4178150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US"/>
              <a:t>Gráfico 2: Evolucão do PIB nominal do Brasil e Pernambuco </a:t>
            </a:r>
          </a:p>
          <a:p>
            <a:pPr algn="ctr">
              <a:defRPr/>
            </a:pPr>
            <a:r>
              <a:rPr lang="en-US"/>
              <a:t>2002 = 100</a:t>
            </a:r>
          </a:p>
        </c:rich>
      </c:tx>
      <c:layout>
        <c:manualLayout>
          <c:xMode val="edge"/>
          <c:yMode val="edge"/>
          <c:x val="0.13520833333333332"/>
          <c:y val="4.250797024442083E-2"/>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Plan1!$A$41</c:f>
              <c:strCache>
                <c:ptCount val="1"/>
                <c:pt idx="0">
                  <c:v>               Brasil</c:v>
                </c:pt>
              </c:strCache>
            </c:strRef>
          </c:tx>
          <c:spPr>
            <a:ln w="28575" cap="rnd">
              <a:solidFill>
                <a:schemeClr val="accent1"/>
              </a:solidFill>
              <a:round/>
            </a:ln>
            <a:effectLst/>
          </c:spPr>
          <c:marker>
            <c:symbol val="none"/>
          </c:marker>
          <c:dLbls>
            <c:dLbl>
              <c:idx val="12"/>
              <c:tx>
                <c:rich>
                  <a:bodyPr/>
                  <a:lstStyle/>
                  <a:p>
                    <a:r>
                      <a:rPr lang="en-US"/>
                      <a:t>388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503-43BF-80D7-039C4CDE325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Plan1!$B$40:$N$40</c:f>
              <c:numCache>
                <c:formatCode>General</c:formatCode>
                <c:ptCount val="13"/>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numCache>
            </c:numRef>
          </c:cat>
          <c:val>
            <c:numRef>
              <c:f>Plan1!$B$41:$N$41</c:f>
              <c:numCache>
                <c:formatCode>General</c:formatCode>
                <c:ptCount val="13"/>
                <c:pt idx="0">
                  <c:v>100</c:v>
                </c:pt>
                <c:pt idx="1">
                  <c:v>115.39260266994529</c:v>
                </c:pt>
                <c:pt idx="2">
                  <c:v>131.49972837426029</c:v>
                </c:pt>
                <c:pt idx="3">
                  <c:v>145.79547648929935</c:v>
                </c:pt>
                <c:pt idx="4">
                  <c:v>161.83977085195394</c:v>
                </c:pt>
                <c:pt idx="5">
                  <c:v>182.71669799757092</c:v>
                </c:pt>
                <c:pt idx="6">
                  <c:v>208.88162782345901</c:v>
                </c:pt>
                <c:pt idx="7">
                  <c:v>223.87613009884672</c:v>
                </c:pt>
                <c:pt idx="8">
                  <c:v>261.00753697747837</c:v>
                </c:pt>
                <c:pt idx="9">
                  <c:v>293.9561662341755</c:v>
                </c:pt>
                <c:pt idx="10">
                  <c:v>323.4014743086081</c:v>
                </c:pt>
                <c:pt idx="11">
                  <c:v>358.11825117579275</c:v>
                </c:pt>
                <c:pt idx="12">
                  <c:v>388.16511082833563</c:v>
                </c:pt>
              </c:numCache>
            </c:numRef>
          </c:val>
          <c:smooth val="0"/>
          <c:extLst>
            <c:ext xmlns:c16="http://schemas.microsoft.com/office/drawing/2014/chart" uri="{C3380CC4-5D6E-409C-BE32-E72D297353CC}">
              <c16:uniqueId val="{00000000-E503-43BF-80D7-039C4CDE3250}"/>
            </c:ext>
          </c:extLst>
        </c:ser>
        <c:ser>
          <c:idx val="1"/>
          <c:order val="1"/>
          <c:tx>
            <c:strRef>
              <c:f>Plan1!$A$42</c:f>
              <c:strCache>
                <c:ptCount val="1"/>
                <c:pt idx="0">
                  <c:v>Pernambuco</c:v>
                </c:pt>
              </c:strCache>
            </c:strRef>
          </c:tx>
          <c:spPr>
            <a:ln w="28575" cap="rnd">
              <a:solidFill>
                <a:schemeClr val="accent2"/>
              </a:solidFill>
              <a:round/>
            </a:ln>
            <a:effectLst/>
          </c:spPr>
          <c:marker>
            <c:symbol val="none"/>
          </c:marker>
          <c:dLbls>
            <c:dLbl>
              <c:idx val="12"/>
              <c:tx>
                <c:rich>
                  <a:bodyPr/>
                  <a:lstStyle/>
                  <a:p>
                    <a:r>
                      <a:rPr lang="en-US"/>
                      <a:t>430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503-43BF-80D7-039C4CDE325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Plan1!$B$40:$N$40</c:f>
              <c:numCache>
                <c:formatCode>General</c:formatCode>
                <c:ptCount val="13"/>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numCache>
            </c:numRef>
          </c:cat>
          <c:val>
            <c:numRef>
              <c:f>Plan1!$B$42:$N$42</c:f>
              <c:numCache>
                <c:formatCode>General</c:formatCode>
                <c:ptCount val="13"/>
                <c:pt idx="0">
                  <c:v>100</c:v>
                </c:pt>
                <c:pt idx="1">
                  <c:v>107.65423574688803</c:v>
                </c:pt>
                <c:pt idx="2">
                  <c:v>124.75772312169806</c:v>
                </c:pt>
                <c:pt idx="3">
                  <c:v>139.33958599956947</c:v>
                </c:pt>
                <c:pt idx="4">
                  <c:v>153.88630003925516</c:v>
                </c:pt>
                <c:pt idx="5">
                  <c:v>173.2285062437879</c:v>
                </c:pt>
                <c:pt idx="6">
                  <c:v>195.29031720603513</c:v>
                </c:pt>
                <c:pt idx="7">
                  <c:v>221.21391196191834</c:v>
                </c:pt>
                <c:pt idx="8">
                  <c:v>269.55201691069868</c:v>
                </c:pt>
                <c:pt idx="9">
                  <c:v>305.52879500687862</c:v>
                </c:pt>
                <c:pt idx="10">
                  <c:v>354.97262887368731</c:v>
                </c:pt>
                <c:pt idx="11">
                  <c:v>391.47472814989555</c:v>
                </c:pt>
                <c:pt idx="12">
                  <c:v>430.28209406947911</c:v>
                </c:pt>
              </c:numCache>
            </c:numRef>
          </c:val>
          <c:smooth val="0"/>
          <c:extLst>
            <c:ext xmlns:c16="http://schemas.microsoft.com/office/drawing/2014/chart" uri="{C3380CC4-5D6E-409C-BE32-E72D297353CC}">
              <c16:uniqueId val="{00000001-E503-43BF-80D7-039C4CDE3250}"/>
            </c:ext>
          </c:extLst>
        </c:ser>
        <c:dLbls>
          <c:showLegendKey val="0"/>
          <c:showVal val="0"/>
          <c:showCatName val="0"/>
          <c:showSerName val="0"/>
          <c:showPercent val="0"/>
          <c:showBubbleSize val="0"/>
        </c:dLbls>
        <c:smooth val="0"/>
        <c:axId val="283198552"/>
        <c:axId val="283200192"/>
      </c:lineChart>
      <c:catAx>
        <c:axId val="283198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3200192"/>
        <c:crosses val="autoZero"/>
        <c:auto val="1"/>
        <c:lblAlgn val="ctr"/>
        <c:lblOffset val="100"/>
        <c:noMultiLvlLbl val="0"/>
      </c:catAx>
      <c:valAx>
        <c:axId val="283200192"/>
        <c:scaling>
          <c:orientation val="minMax"/>
          <c:max val="450"/>
          <c:min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3198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t-BR"/>
              <a:t>Gráfico 3: Pessoas Ocupadas e Taxa de desemprego - Pernambuco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tabela4093!$A$72</c:f>
              <c:strCache>
                <c:ptCount val="1"/>
                <c:pt idx="0">
                  <c:v>pessoas 14 anos ou mais ocupadas (mil)</c:v>
                </c:pt>
              </c:strCache>
            </c:strRef>
          </c:tx>
          <c:spPr>
            <a:solidFill>
              <a:schemeClr val="accent1"/>
            </a:solidFill>
            <a:ln>
              <a:noFill/>
            </a:ln>
            <a:effectLst/>
          </c:spPr>
          <c:invertIfNegative val="0"/>
          <c:cat>
            <c:strRef>
              <c:f>tabela4093!$B$71:$X$71</c:f>
              <c:strCache>
                <c:ptCount val="23"/>
                <c:pt idx="0">
                  <c:v>2012_1</c:v>
                </c:pt>
                <c:pt idx="1">
                  <c:v>2012_2</c:v>
                </c:pt>
                <c:pt idx="2">
                  <c:v>2012_3</c:v>
                </c:pt>
                <c:pt idx="3">
                  <c:v>2012_4</c:v>
                </c:pt>
                <c:pt idx="4">
                  <c:v>2013_1</c:v>
                </c:pt>
                <c:pt idx="5">
                  <c:v>2013_2</c:v>
                </c:pt>
                <c:pt idx="6">
                  <c:v>2013_3</c:v>
                </c:pt>
                <c:pt idx="7">
                  <c:v>2013_4</c:v>
                </c:pt>
                <c:pt idx="8">
                  <c:v>2014_1</c:v>
                </c:pt>
                <c:pt idx="9">
                  <c:v>2014_2</c:v>
                </c:pt>
                <c:pt idx="10">
                  <c:v>2014_3</c:v>
                </c:pt>
                <c:pt idx="11">
                  <c:v>2014_4</c:v>
                </c:pt>
                <c:pt idx="12">
                  <c:v>2015_1</c:v>
                </c:pt>
                <c:pt idx="13">
                  <c:v>2015_2</c:v>
                </c:pt>
                <c:pt idx="14">
                  <c:v>2015_3</c:v>
                </c:pt>
                <c:pt idx="15">
                  <c:v>2015_4</c:v>
                </c:pt>
                <c:pt idx="16">
                  <c:v>2016_1</c:v>
                </c:pt>
                <c:pt idx="17">
                  <c:v>2016_2</c:v>
                </c:pt>
                <c:pt idx="18">
                  <c:v>2016_3</c:v>
                </c:pt>
                <c:pt idx="19">
                  <c:v>2016_4</c:v>
                </c:pt>
                <c:pt idx="20">
                  <c:v>2017_1</c:v>
                </c:pt>
                <c:pt idx="21">
                  <c:v>2017_2</c:v>
                </c:pt>
                <c:pt idx="22">
                  <c:v>2017_3</c:v>
                </c:pt>
              </c:strCache>
            </c:strRef>
          </c:cat>
          <c:val>
            <c:numRef>
              <c:f>tabela4093!$B$72:$X$72</c:f>
              <c:numCache>
                <c:formatCode>General</c:formatCode>
                <c:ptCount val="23"/>
                <c:pt idx="0">
                  <c:v>3539</c:v>
                </c:pt>
                <c:pt idx="1">
                  <c:v>3514</c:v>
                </c:pt>
                <c:pt idx="2">
                  <c:v>3578</c:v>
                </c:pt>
                <c:pt idx="3">
                  <c:v>3521</c:v>
                </c:pt>
                <c:pt idx="4">
                  <c:v>3424</c:v>
                </c:pt>
                <c:pt idx="5">
                  <c:v>3456</c:v>
                </c:pt>
                <c:pt idx="6">
                  <c:v>3554</c:v>
                </c:pt>
                <c:pt idx="7">
                  <c:v>3642</c:v>
                </c:pt>
                <c:pt idx="8">
                  <c:v>3543</c:v>
                </c:pt>
                <c:pt idx="9">
                  <c:v>3622</c:v>
                </c:pt>
                <c:pt idx="10">
                  <c:v>3635</c:v>
                </c:pt>
                <c:pt idx="11">
                  <c:v>3684</c:v>
                </c:pt>
                <c:pt idx="12">
                  <c:v>3669</c:v>
                </c:pt>
                <c:pt idx="13">
                  <c:v>3716</c:v>
                </c:pt>
                <c:pt idx="14">
                  <c:v>3714</c:v>
                </c:pt>
                <c:pt idx="15">
                  <c:v>3613</c:v>
                </c:pt>
                <c:pt idx="16">
                  <c:v>3539</c:v>
                </c:pt>
                <c:pt idx="17">
                  <c:v>3510</c:v>
                </c:pt>
                <c:pt idx="18">
                  <c:v>3389</c:v>
                </c:pt>
                <c:pt idx="19">
                  <c:v>3427</c:v>
                </c:pt>
                <c:pt idx="20">
                  <c:v>3345</c:v>
                </c:pt>
                <c:pt idx="21">
                  <c:v>3302</c:v>
                </c:pt>
                <c:pt idx="22">
                  <c:v>3367</c:v>
                </c:pt>
              </c:numCache>
            </c:numRef>
          </c:val>
          <c:extLst>
            <c:ext xmlns:c16="http://schemas.microsoft.com/office/drawing/2014/chart" uri="{C3380CC4-5D6E-409C-BE32-E72D297353CC}">
              <c16:uniqueId val="{00000000-B81F-4590-95DD-522E8DA479B2}"/>
            </c:ext>
          </c:extLst>
        </c:ser>
        <c:dLbls>
          <c:showLegendKey val="0"/>
          <c:showVal val="0"/>
          <c:showCatName val="0"/>
          <c:showSerName val="0"/>
          <c:showPercent val="0"/>
          <c:showBubbleSize val="0"/>
        </c:dLbls>
        <c:gapWidth val="150"/>
        <c:axId val="646886616"/>
        <c:axId val="646884648"/>
      </c:barChart>
      <c:lineChart>
        <c:grouping val="standard"/>
        <c:varyColors val="0"/>
        <c:ser>
          <c:idx val="1"/>
          <c:order val="1"/>
          <c:tx>
            <c:strRef>
              <c:f>tabela4093!$A$73</c:f>
              <c:strCache>
                <c:ptCount val="1"/>
                <c:pt idx="0">
                  <c:v>desemprego</c:v>
                </c:pt>
              </c:strCache>
            </c:strRef>
          </c:tx>
          <c:spPr>
            <a:ln w="28575" cap="rnd">
              <a:solidFill>
                <a:schemeClr val="accent2"/>
              </a:solidFill>
              <a:round/>
            </a:ln>
            <a:effectLst/>
          </c:spPr>
          <c:marker>
            <c:symbol val="none"/>
          </c:marker>
          <c:cat>
            <c:strRef>
              <c:f>tabela4093!$B$71:$X$71</c:f>
              <c:strCache>
                <c:ptCount val="23"/>
                <c:pt idx="0">
                  <c:v>2012_1</c:v>
                </c:pt>
                <c:pt idx="1">
                  <c:v>2012_2</c:v>
                </c:pt>
                <c:pt idx="2">
                  <c:v>2012_3</c:v>
                </c:pt>
                <c:pt idx="3">
                  <c:v>2012_4</c:v>
                </c:pt>
                <c:pt idx="4">
                  <c:v>2013_1</c:v>
                </c:pt>
                <c:pt idx="5">
                  <c:v>2013_2</c:v>
                </c:pt>
                <c:pt idx="6">
                  <c:v>2013_3</c:v>
                </c:pt>
                <c:pt idx="7">
                  <c:v>2013_4</c:v>
                </c:pt>
                <c:pt idx="8">
                  <c:v>2014_1</c:v>
                </c:pt>
                <c:pt idx="9">
                  <c:v>2014_2</c:v>
                </c:pt>
                <c:pt idx="10">
                  <c:v>2014_3</c:v>
                </c:pt>
                <c:pt idx="11">
                  <c:v>2014_4</c:v>
                </c:pt>
                <c:pt idx="12">
                  <c:v>2015_1</c:v>
                </c:pt>
                <c:pt idx="13">
                  <c:v>2015_2</c:v>
                </c:pt>
                <c:pt idx="14">
                  <c:v>2015_3</c:v>
                </c:pt>
                <c:pt idx="15">
                  <c:v>2015_4</c:v>
                </c:pt>
                <c:pt idx="16">
                  <c:v>2016_1</c:v>
                </c:pt>
                <c:pt idx="17">
                  <c:v>2016_2</c:v>
                </c:pt>
                <c:pt idx="18">
                  <c:v>2016_3</c:v>
                </c:pt>
                <c:pt idx="19">
                  <c:v>2016_4</c:v>
                </c:pt>
                <c:pt idx="20">
                  <c:v>2017_1</c:v>
                </c:pt>
                <c:pt idx="21">
                  <c:v>2017_2</c:v>
                </c:pt>
                <c:pt idx="22">
                  <c:v>2017_3</c:v>
                </c:pt>
              </c:strCache>
            </c:strRef>
          </c:cat>
          <c:val>
            <c:numRef>
              <c:f>tabela4093!$B$73:$X$73</c:f>
              <c:numCache>
                <c:formatCode>General</c:formatCode>
                <c:ptCount val="23"/>
                <c:pt idx="0">
                  <c:v>9.6</c:v>
                </c:pt>
                <c:pt idx="1">
                  <c:v>8.1999999999999993</c:v>
                </c:pt>
                <c:pt idx="2">
                  <c:v>9.3000000000000007</c:v>
                </c:pt>
                <c:pt idx="3">
                  <c:v>9.1999999999999993</c:v>
                </c:pt>
                <c:pt idx="4">
                  <c:v>10.6</c:v>
                </c:pt>
                <c:pt idx="5">
                  <c:v>9.6</c:v>
                </c:pt>
                <c:pt idx="6">
                  <c:v>8.4</c:v>
                </c:pt>
                <c:pt idx="7">
                  <c:v>7.3</c:v>
                </c:pt>
                <c:pt idx="8">
                  <c:v>8.8000000000000007</c:v>
                </c:pt>
                <c:pt idx="9">
                  <c:v>7.9</c:v>
                </c:pt>
                <c:pt idx="10">
                  <c:v>8.3000000000000007</c:v>
                </c:pt>
                <c:pt idx="11">
                  <c:v>7.6</c:v>
                </c:pt>
                <c:pt idx="12">
                  <c:v>8.1999999999999993</c:v>
                </c:pt>
                <c:pt idx="13">
                  <c:v>9.1</c:v>
                </c:pt>
                <c:pt idx="14">
                  <c:v>11.2</c:v>
                </c:pt>
                <c:pt idx="15">
                  <c:v>11</c:v>
                </c:pt>
                <c:pt idx="16">
                  <c:v>13.3</c:v>
                </c:pt>
                <c:pt idx="17">
                  <c:v>14</c:v>
                </c:pt>
                <c:pt idx="18">
                  <c:v>15.3</c:v>
                </c:pt>
                <c:pt idx="19">
                  <c:v>15.6</c:v>
                </c:pt>
                <c:pt idx="20">
                  <c:v>17.100000000000001</c:v>
                </c:pt>
                <c:pt idx="21">
                  <c:v>18.8</c:v>
                </c:pt>
                <c:pt idx="22">
                  <c:v>17.899999999999999</c:v>
                </c:pt>
              </c:numCache>
            </c:numRef>
          </c:val>
          <c:smooth val="0"/>
          <c:extLst>
            <c:ext xmlns:c16="http://schemas.microsoft.com/office/drawing/2014/chart" uri="{C3380CC4-5D6E-409C-BE32-E72D297353CC}">
              <c16:uniqueId val="{00000001-B81F-4590-95DD-522E8DA479B2}"/>
            </c:ext>
          </c:extLst>
        </c:ser>
        <c:dLbls>
          <c:showLegendKey val="0"/>
          <c:showVal val="0"/>
          <c:showCatName val="0"/>
          <c:showSerName val="0"/>
          <c:showPercent val="0"/>
          <c:showBubbleSize val="0"/>
        </c:dLbls>
        <c:marker val="1"/>
        <c:smooth val="0"/>
        <c:axId val="648597616"/>
        <c:axId val="648600240"/>
      </c:lineChart>
      <c:catAx>
        <c:axId val="646886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6884648"/>
        <c:crosses val="autoZero"/>
        <c:auto val="1"/>
        <c:lblAlgn val="ctr"/>
        <c:lblOffset val="100"/>
        <c:noMultiLvlLbl val="0"/>
      </c:catAx>
      <c:valAx>
        <c:axId val="646884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6886616"/>
        <c:crosses val="autoZero"/>
        <c:crossBetween val="between"/>
      </c:valAx>
      <c:valAx>
        <c:axId val="648600240"/>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8597616"/>
        <c:crosses val="max"/>
        <c:crossBetween val="between"/>
      </c:valAx>
      <c:catAx>
        <c:axId val="648597616"/>
        <c:scaling>
          <c:orientation val="minMax"/>
        </c:scaling>
        <c:delete val="1"/>
        <c:axPos val="b"/>
        <c:numFmt formatCode="General" sourceLinked="1"/>
        <c:majorTickMark val="out"/>
        <c:minorTickMark val="none"/>
        <c:tickLblPos val="nextTo"/>
        <c:crossAx val="64860024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Gráfico 4: Resultados Orcamentário e Primário como % do PIB - Pernambuco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'[PROFISCO - II Dados Fiscais -agosto 2017. geral v1808.xls]Resumo Setor Fiscal'!$D$46</c:f>
              <c:strCache>
                <c:ptCount val="1"/>
                <c:pt idx="0">
                  <c:v>Resultado Orçamentário</c:v>
                </c:pt>
              </c:strCache>
            </c:strRef>
          </c:tx>
          <c:spPr>
            <a:ln w="28575" cap="rnd">
              <a:solidFill>
                <a:schemeClr val="accent1"/>
              </a:solidFill>
              <a:round/>
            </a:ln>
            <a:effectLst/>
          </c:spPr>
          <c:marker>
            <c:symbol val="none"/>
          </c:marker>
          <c:cat>
            <c:numRef>
              <c:f>'[PROFISCO - II Dados Fiscais -agosto 2017. geral v1808.xls]Resumo Setor Fiscal'!$E$45:$O$45</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-agosto 2017. geral v1808.xls]Resumo Setor Fiscal'!$E$46:$O$46</c:f>
              <c:numCache>
                <c:formatCode>0.00%</c:formatCode>
                <c:ptCount val="11"/>
                <c:pt idx="0">
                  <c:v>3.2750896505225366E-3</c:v>
                </c:pt>
                <c:pt idx="1">
                  <c:v>4.8207019850178426E-3</c:v>
                </c:pt>
                <c:pt idx="2">
                  <c:v>5.7969824500749001E-3</c:v>
                </c:pt>
                <c:pt idx="3">
                  <c:v>-2.0432172689923049E-3</c:v>
                </c:pt>
                <c:pt idx="4">
                  <c:v>4.529705345925175E-3</c:v>
                </c:pt>
                <c:pt idx="5">
                  <c:v>-2.4476012353670477E-3</c:v>
                </c:pt>
                <c:pt idx="6">
                  <c:v>3.9884133290035125E-3</c:v>
                </c:pt>
                <c:pt idx="7">
                  <c:v>6.2125945698668457E-3</c:v>
                </c:pt>
                <c:pt idx="8">
                  <c:v>-7.0969276596991645E-3</c:v>
                </c:pt>
                <c:pt idx="9">
                  <c:v>-2.7142850293561185E-3</c:v>
                </c:pt>
                <c:pt idx="10">
                  <c:v>6.6021829619865486E-4</c:v>
                </c:pt>
              </c:numCache>
            </c:numRef>
          </c:val>
          <c:smooth val="0"/>
          <c:extLst>
            <c:ext xmlns:c16="http://schemas.microsoft.com/office/drawing/2014/chart" uri="{C3380CC4-5D6E-409C-BE32-E72D297353CC}">
              <c16:uniqueId val="{00000000-BA77-4BF0-850A-BAACEC270FCA}"/>
            </c:ext>
          </c:extLst>
        </c:ser>
        <c:ser>
          <c:idx val="1"/>
          <c:order val="1"/>
          <c:tx>
            <c:strRef>
              <c:f>'[PROFISCO - II Dados Fiscais -agosto 2017. geral v1808.xls]Resumo Setor Fiscal'!$D$47</c:f>
              <c:strCache>
                <c:ptCount val="1"/>
                <c:pt idx="0">
                  <c:v>Resultado Primário</c:v>
                </c:pt>
              </c:strCache>
            </c:strRef>
          </c:tx>
          <c:spPr>
            <a:ln w="28575" cap="rnd">
              <a:solidFill>
                <a:schemeClr val="accent2"/>
              </a:solidFill>
              <a:round/>
            </a:ln>
            <a:effectLst/>
          </c:spPr>
          <c:marker>
            <c:symbol val="none"/>
          </c:marker>
          <c:cat>
            <c:numRef>
              <c:f>'[PROFISCO - II Dados Fiscais -agosto 2017. geral v1808.xls]Resumo Setor Fiscal'!$E$45:$O$45</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-agosto 2017. geral v1808.xls]Resumo Setor Fiscal'!$E$47:$O$47</c:f>
              <c:numCache>
                <c:formatCode>0.00%</c:formatCode>
                <c:ptCount val="11"/>
                <c:pt idx="0">
                  <c:v>1.2769655964095482E-2</c:v>
                </c:pt>
                <c:pt idx="1">
                  <c:v>1.2604206240378569E-2</c:v>
                </c:pt>
                <c:pt idx="2">
                  <c:v>1.0386828684340798E-2</c:v>
                </c:pt>
                <c:pt idx="3">
                  <c:v>-8.5412524092787004E-3</c:v>
                </c:pt>
                <c:pt idx="4">
                  <c:v>2.2560400644036005E-3</c:v>
                </c:pt>
                <c:pt idx="5">
                  <c:v>-3.2459808037682567E-3</c:v>
                </c:pt>
                <c:pt idx="6">
                  <c:v>-8.7918672536429973E-3</c:v>
                </c:pt>
                <c:pt idx="7">
                  <c:v>-8.3006301644726593E-3</c:v>
                </c:pt>
                <c:pt idx="8">
                  <c:v>-1.3724510418428515E-2</c:v>
                </c:pt>
                <c:pt idx="9">
                  <c:v>1.585011199810553E-3</c:v>
                </c:pt>
                <c:pt idx="10">
                  <c:v>4.4443369652973691E-3</c:v>
                </c:pt>
              </c:numCache>
            </c:numRef>
          </c:val>
          <c:smooth val="0"/>
          <c:extLst>
            <c:ext xmlns:c16="http://schemas.microsoft.com/office/drawing/2014/chart" uri="{C3380CC4-5D6E-409C-BE32-E72D297353CC}">
              <c16:uniqueId val="{00000001-BA77-4BF0-850A-BAACEC270FCA}"/>
            </c:ext>
          </c:extLst>
        </c:ser>
        <c:dLbls>
          <c:showLegendKey val="0"/>
          <c:showVal val="0"/>
          <c:showCatName val="0"/>
          <c:showSerName val="0"/>
          <c:showPercent val="0"/>
          <c:showBubbleSize val="0"/>
        </c:dLbls>
        <c:smooth val="0"/>
        <c:axId val="418097136"/>
        <c:axId val="418097464"/>
      </c:lineChart>
      <c:catAx>
        <c:axId val="418097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8097464"/>
        <c:crosses val="autoZero"/>
        <c:auto val="1"/>
        <c:lblAlgn val="ctr"/>
        <c:lblOffset val="100"/>
        <c:noMultiLvlLbl val="0"/>
      </c:catAx>
      <c:valAx>
        <c:axId val="4180974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8097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Gráfico 5: Participacão Tributária/Corrente e ICMS/Tributária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'[PROFISCO - II Dados Fiscais -agosto 2017. geral v1808.xls]Resumo Setor Fiscal'!$D$50</c:f>
              <c:strCache>
                <c:ptCount val="1"/>
                <c:pt idx="0">
                  <c:v>Receita Tributária/Corrente</c:v>
                </c:pt>
              </c:strCache>
            </c:strRef>
          </c:tx>
          <c:spPr>
            <a:ln w="28575" cap="rnd">
              <a:solidFill>
                <a:schemeClr val="accent1"/>
              </a:solidFill>
              <a:round/>
            </a:ln>
            <a:effectLst/>
          </c:spPr>
          <c:marker>
            <c:symbol val="none"/>
          </c:marker>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36C-45A4-AC8C-3152D7387129}"/>
                </c:ext>
              </c:extLst>
            </c:dLbl>
            <c:dLbl>
              <c:idx val="10"/>
              <c:layout>
                <c:manualLayout>
                  <c:x val="-2.7777777777777779E-3"/>
                  <c:y val="3.70370370370369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36C-45A4-AC8C-3152D738712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'[PROFISCO - II Dados Fiscais -agosto 2017. geral v1808.xls]Resumo Setor Fiscal'!$E$49:$O$49</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-agosto 2017. geral v1808.xls]Resumo Setor Fiscal'!$E$50:$O$50</c:f>
              <c:numCache>
                <c:formatCode>0.0%</c:formatCode>
                <c:ptCount val="11"/>
                <c:pt idx="0">
                  <c:v>0.48990754502626088</c:v>
                </c:pt>
                <c:pt idx="1">
                  <c:v>0.54662655339424238</c:v>
                </c:pt>
                <c:pt idx="2">
                  <c:v>0.52244928465503182</c:v>
                </c:pt>
                <c:pt idx="3">
                  <c:v>0.53021501869565901</c:v>
                </c:pt>
                <c:pt idx="4">
                  <c:v>0.55135965569686929</c:v>
                </c:pt>
                <c:pt idx="5">
                  <c:v>0.5498146322753199</c:v>
                </c:pt>
                <c:pt idx="6">
                  <c:v>0.5574843683362517</c:v>
                </c:pt>
                <c:pt idx="7">
                  <c:v>0.5613594306673485</c:v>
                </c:pt>
                <c:pt idx="8">
                  <c:v>0.5651576521977234</c:v>
                </c:pt>
                <c:pt idx="9">
                  <c:v>0.55066881662402423</c:v>
                </c:pt>
                <c:pt idx="10">
                  <c:v>0.56073025240258989</c:v>
                </c:pt>
              </c:numCache>
            </c:numRef>
          </c:val>
          <c:smooth val="0"/>
          <c:extLst>
            <c:ext xmlns:c16="http://schemas.microsoft.com/office/drawing/2014/chart" uri="{C3380CC4-5D6E-409C-BE32-E72D297353CC}">
              <c16:uniqueId val="{00000002-536C-45A4-AC8C-3152D7387129}"/>
            </c:ext>
          </c:extLst>
        </c:ser>
        <c:ser>
          <c:idx val="1"/>
          <c:order val="1"/>
          <c:tx>
            <c:strRef>
              <c:f>'[PROFISCO - II Dados Fiscais -agosto 2017. geral v1808.xls]Resumo Setor Fiscal'!$D$51</c:f>
              <c:strCache>
                <c:ptCount val="1"/>
                <c:pt idx="0">
                  <c:v>ICMS/Tributária</c:v>
                </c:pt>
              </c:strCache>
            </c:strRef>
          </c:tx>
          <c:spPr>
            <a:ln w="28575" cap="rnd">
              <a:solidFill>
                <a:schemeClr val="accent2"/>
              </a:solidFill>
              <a:round/>
            </a:ln>
            <a:effectLst/>
          </c:spPr>
          <c:marker>
            <c:symbol val="none"/>
          </c:marker>
          <c:dLbls>
            <c:dLbl>
              <c:idx val="0"/>
              <c:layout>
                <c:manualLayout>
                  <c:x val="-3.3333333333333361E-2"/>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36C-45A4-AC8C-3152D7387129}"/>
                </c:ext>
              </c:extLst>
            </c:dLbl>
            <c:dLbl>
              <c:idx val="10"/>
              <c:layout>
                <c:manualLayout>
                  <c:x val="-1.9444444444444545E-2"/>
                  <c:y val="6.01851851851851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36C-45A4-AC8C-3152D738712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'[PROFISCO - II Dados Fiscais -agosto 2017. geral v1808.xls]Resumo Setor Fiscal'!$E$49:$O$49</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-agosto 2017. geral v1808.xls]Resumo Setor Fiscal'!$E$51:$O$51</c:f>
              <c:numCache>
                <c:formatCode>0.0%</c:formatCode>
                <c:ptCount val="11"/>
                <c:pt idx="0">
                  <c:v>0.87181635715398276</c:v>
                </c:pt>
                <c:pt idx="1">
                  <c:v>0.8708791325160663</c:v>
                </c:pt>
                <c:pt idx="2">
                  <c:v>0.85867043931418219</c:v>
                </c:pt>
                <c:pt idx="3">
                  <c:v>0.86343267005633761</c:v>
                </c:pt>
                <c:pt idx="4">
                  <c:v>0.86977576499655251</c:v>
                </c:pt>
                <c:pt idx="5">
                  <c:v>0.87173083171087751</c:v>
                </c:pt>
                <c:pt idx="6">
                  <c:v>0.86223537124370997</c:v>
                </c:pt>
                <c:pt idx="7">
                  <c:v>0.85874360861855759</c:v>
                </c:pt>
                <c:pt idx="8">
                  <c:v>0.8548620701402867</c:v>
                </c:pt>
                <c:pt idx="9">
                  <c:v>0.84435900834024114</c:v>
                </c:pt>
                <c:pt idx="10">
                  <c:v>0.82147377219141082</c:v>
                </c:pt>
              </c:numCache>
            </c:numRef>
          </c:val>
          <c:smooth val="0"/>
          <c:extLst>
            <c:ext xmlns:c16="http://schemas.microsoft.com/office/drawing/2014/chart" uri="{C3380CC4-5D6E-409C-BE32-E72D297353CC}">
              <c16:uniqueId val="{00000005-536C-45A4-AC8C-3152D7387129}"/>
            </c:ext>
          </c:extLst>
        </c:ser>
        <c:dLbls>
          <c:showLegendKey val="0"/>
          <c:showVal val="0"/>
          <c:showCatName val="0"/>
          <c:showSerName val="0"/>
          <c:showPercent val="0"/>
          <c:showBubbleSize val="0"/>
        </c:dLbls>
        <c:smooth val="0"/>
        <c:axId val="589451640"/>
        <c:axId val="589452296"/>
      </c:lineChart>
      <c:catAx>
        <c:axId val="589451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9452296"/>
        <c:crosses val="autoZero"/>
        <c:auto val="1"/>
        <c:lblAlgn val="ctr"/>
        <c:lblOffset val="100"/>
        <c:noMultiLvlLbl val="0"/>
      </c:catAx>
      <c:valAx>
        <c:axId val="589452296"/>
        <c:scaling>
          <c:orientation val="minMax"/>
          <c:min val="0.4"/>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9451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Gráfico 6: Investimento/Despesas Torais - Pernambuco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'[PROFISCO - II Dados Fiscais -agosto 2017. geral v1808.xls]Resumo Setor Fiscal'!$D$54</c:f>
              <c:strCache>
                <c:ptCount val="1"/>
                <c:pt idx="0">
                  <c:v>Investimento</c:v>
                </c:pt>
              </c:strCache>
            </c:strRef>
          </c:tx>
          <c:spPr>
            <a:ln w="28575" cap="rnd">
              <a:solidFill>
                <a:schemeClr val="accent1"/>
              </a:solidFill>
              <a:round/>
            </a:ln>
            <a:effectLst/>
          </c:spPr>
          <c:marker>
            <c:symbol val="none"/>
          </c:marker>
          <c:dLbls>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CDA-4937-ACC8-F74F506DD223}"/>
                </c:ext>
              </c:extLst>
            </c:dLbl>
            <c:dLbl>
              <c:idx val="7"/>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CDA-4937-ACC8-F74F506DD223}"/>
                </c:ext>
              </c:extLst>
            </c:dLbl>
            <c:dLbl>
              <c:idx val="1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CDA-4937-ACC8-F74F506DD22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'[PROFISCO - II Dados Fiscais -agosto 2017. geral v1808.xls]Resumo Setor Fiscal'!$E$53:$O$53</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'[PROFISCO - II Dados Fiscais -agosto 2017. geral v1808.xls]Resumo Setor Fiscal'!$E$54:$O$54</c:f>
              <c:numCache>
                <c:formatCode>0.0%</c:formatCode>
                <c:ptCount val="11"/>
                <c:pt idx="0">
                  <c:v>0.11038597282644225</c:v>
                </c:pt>
                <c:pt idx="1">
                  <c:v>9.518121252716949E-2</c:v>
                </c:pt>
                <c:pt idx="2">
                  <c:v>0.1120826184697441</c:v>
                </c:pt>
                <c:pt idx="3">
                  <c:v>0.14697648112660175</c:v>
                </c:pt>
                <c:pt idx="4">
                  <c:v>0.14281685822524953</c:v>
                </c:pt>
                <c:pt idx="5">
                  <c:v>0.13309580097888515</c:v>
                </c:pt>
                <c:pt idx="6">
                  <c:v>0.14069682538468803</c:v>
                </c:pt>
                <c:pt idx="7">
                  <c:v>0.16117000819912405</c:v>
                </c:pt>
                <c:pt idx="8">
                  <c:v>0.1255588312505094</c:v>
                </c:pt>
                <c:pt idx="9">
                  <c:v>7.4287183284844224E-2</c:v>
                </c:pt>
                <c:pt idx="10">
                  <c:v>7.2993005079547493E-2</c:v>
                </c:pt>
              </c:numCache>
            </c:numRef>
          </c:val>
          <c:smooth val="0"/>
          <c:extLst>
            <c:ext xmlns:c16="http://schemas.microsoft.com/office/drawing/2014/chart" uri="{C3380CC4-5D6E-409C-BE32-E72D297353CC}">
              <c16:uniqueId val="{00000003-0CDA-4937-ACC8-F74F506DD223}"/>
            </c:ext>
          </c:extLst>
        </c:ser>
        <c:dLbls>
          <c:showLegendKey val="0"/>
          <c:showVal val="0"/>
          <c:showCatName val="0"/>
          <c:showSerName val="0"/>
          <c:showPercent val="0"/>
          <c:showBubbleSize val="0"/>
        </c:dLbls>
        <c:smooth val="0"/>
        <c:axId val="474475000"/>
        <c:axId val="474470408"/>
      </c:lineChart>
      <c:catAx>
        <c:axId val="474475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4470408"/>
        <c:crosses val="autoZero"/>
        <c:auto val="1"/>
        <c:lblAlgn val="ctr"/>
        <c:lblOffset val="100"/>
        <c:noMultiLvlLbl val="0"/>
      </c:catAx>
      <c:valAx>
        <c:axId val="474470408"/>
        <c:scaling>
          <c:orientation val="minMax"/>
          <c:min val="6.0000000000000012E-2"/>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44750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2011-05-31T00:00:00</PublishDate>
  <Abstract>El presente estudio fue preparado por Luiz Villela (IFD/FMM) y Javier Beverinottil (Consultor IFD/FMM).</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3044B4AD5C10943BC7B602B1C9DC085" ma:contentTypeVersion="668" ma:contentTypeDescription="A content type to manage public (operations) IDB documents" ma:contentTypeScope="" ma:versionID="674a92bdf613e306e4cada34b08c7114">
  <xsd:schema xmlns:xsd="http://www.w3.org/2001/XMLSchema" xmlns:xs="http://www.w3.org/2001/XMLSchema" xmlns:p="http://schemas.microsoft.com/office/2006/metadata/properties" xmlns:ns2="cdc7663a-08f0-4737-9e8c-148ce897a09c" targetNamespace="http://schemas.microsoft.com/office/2006/metadata/properties" ma:root="true" ma:fieldsID="d8bf8af2248117887a00285f927447e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R0002015444</Record_x0020_Number>
    <Division_x0020_or_x0020_Unit xmlns="cdc7663a-08f0-4737-9e8c-148ce897a09c">IFD/FMM</Division_x0020_or_x0020_Unit>
    <Other_x0020_Author xmlns="cdc7663a-08f0-4737-9e8c-148ce897a09c">Patricia Bakaj</Other_x0020_Author>
    <Key_x0020_Document xmlns="cdc7663a-08f0-4737-9e8c-148ce897a09c" xsi:nil="true"/>
    <IDBDocs_x0020_Number xmlns="cdc7663a-08f0-4737-9e8c-148ce897a09c" xsi:nil="true"/>
    <Document_x0020_Author xmlns="cdc7663a-08f0-4737-9e8c-148ce897a09c">Kevish, Maria Lorena</Document_x0020_Author>
    <_dlc_DocId xmlns="cdc7663a-08f0-4737-9e8c-148ce897a09c">EZSHARE-108688034-6</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Fiscal_x0020_Year_x0020_IDB xmlns="cdc7663a-08f0-4737-9e8c-148ce897a09c">2018</Fiscal_x0020_Year_x0020_IDB>
    <TaxCatchAll xmlns="cdc7663a-08f0-4737-9e8c-148ce897a09c">
      <Value>33</Value>
      <Value>32</Value>
      <Value>31</Value>
      <Value>30</Value>
      <Value>1</Value>
    </TaxCatchAll>
    <Operation_x0020_Type xmlns="cdc7663a-08f0-4737-9e8c-148ce897a09c">Loan Operation</Operation_x0020_Type>
    <b26cdb1da78c4bb4b1c1bac2f6ac5911 xmlns="cdc7663a-08f0-4737-9e8c-148ce897a09c">
      <Terms xmlns="http://schemas.microsoft.com/office/infopath/2007/PartnerControls"/>
    </b26cdb1da78c4bb4b1c1bac2f6ac5911>
    <Project_x0020_Number xmlns="cdc7663a-08f0-4737-9e8c-148ce897a09c">BR-L1501</Project_x0020_Number>
    <Migration_x0020_Info xmlns="cdc7663a-08f0-4737-9e8c-148ce897a09c" xsi:nil="true"/>
    <Related_x0020_SisCor_x0020_Number xmlns="cdc7663a-08f0-4737-9e8c-148ce897a09c" xsi:nil="true"/>
    <Package_x0020_Code xmlns="cdc7663a-08f0-4737-9e8c-148ce897a09c" xsi:nil="true"/>
    <Approval_x0020_Number xmlns="cdc7663a-08f0-4737-9e8c-148ce897a09c">4554/OC-BR;</Approval_x0020_Number>
    <Access_x0020_to_x0020_Information_x00a0_Policy xmlns="cdc7663a-08f0-4737-9e8c-148ce897a09c">Public</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usiness_x0020_Area xmlns="cdc7663a-08f0-4737-9e8c-148ce897a09c" xsi:nil="true"/>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https://idbg.sharepoint.com/teams/EZ-BR-LON/BR-L1501/_layouts/15/DocIdRedir.aspx?ID=EZSHARE-108688034-6</Url>
      <Description>EZSHARE-108688034-6</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9BC8EF-B5B0-4363-88F7-D56C22B23F03}">
  <ds:schemaRefs>
    <ds:schemaRef ds:uri="http://schemas.openxmlformats.org/officeDocument/2006/bibliography"/>
  </ds:schemaRefs>
</ds:datastoreItem>
</file>

<file path=customXml/itemProps3.xml><?xml version="1.0" encoding="utf-8"?>
<ds:datastoreItem xmlns:ds="http://schemas.openxmlformats.org/officeDocument/2006/customXml" ds:itemID="{43E07FAA-ED3A-4E23-B4F7-6235656AD5B5}"/>
</file>

<file path=customXml/itemProps4.xml><?xml version="1.0" encoding="utf-8"?>
<ds:datastoreItem xmlns:ds="http://schemas.openxmlformats.org/officeDocument/2006/customXml" ds:itemID="{943197ED-7753-42C8-AD7E-ED333C34125D}"/>
</file>

<file path=customXml/itemProps5.xml><?xml version="1.0" encoding="utf-8"?>
<ds:datastoreItem xmlns:ds="http://schemas.openxmlformats.org/officeDocument/2006/customXml" ds:itemID="{D8779D9D-62A4-42E9-8B3E-51EFEBA33899}"/>
</file>

<file path=customXml/itemProps6.xml><?xml version="1.0" encoding="utf-8"?>
<ds:datastoreItem xmlns:ds="http://schemas.openxmlformats.org/officeDocument/2006/customXml" ds:itemID="{13FBFCBE-190E-40E2-BD9E-10CEFFFD1613}"/>
</file>

<file path=customXml/itemProps7.xml><?xml version="1.0" encoding="utf-8"?>
<ds:datastoreItem xmlns:ds="http://schemas.openxmlformats.org/officeDocument/2006/customXml" ds:itemID="{563D61DA-C382-4129-A7B4-059E0A309AC6}"/>
</file>

<file path=customXml/itemProps8.xml><?xml version="1.0" encoding="utf-8"?>
<ds:datastoreItem xmlns:ds="http://schemas.openxmlformats.org/officeDocument/2006/customXml" ds:itemID="{0B3577E6-C840-4740-AA37-F53386776065}"/>
</file>

<file path=docProps/app.xml><?xml version="1.0" encoding="utf-8"?>
<Properties xmlns="http://schemas.openxmlformats.org/officeDocument/2006/extended-properties" xmlns:vt="http://schemas.openxmlformats.org/officeDocument/2006/docPropsVTypes">
  <Template>Normal.dotm</Template>
  <TotalTime>2</TotalTime>
  <Pages>29</Pages>
  <Words>9541</Words>
  <Characters>54389</Characters>
  <Application>Microsoft Office Word</Application>
  <DocSecurity>0</DocSecurity>
  <Lines>453</Lines>
  <Paragraphs>127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Colombia</vt:lpstr>
      <vt:lpstr>Colombia</vt:lpstr>
    </vt:vector>
  </TitlesOfParts>
  <Company>Grizli777</Company>
  <LinksUpToDate>false</LinksUpToDate>
  <CharactersWithSpaces>63803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Colombia</dc:title>
  <dc:subject>PROGRAMA DE CONSOLIDACIÓN DE LA RESPONSABILIDAD FISCAL TERRITORIAL II (CO-L1117))</dc:subject>
  <dc:creator>Anexo de Análisis Económico</dc:creator>
  <cp:keywords/>
  <dc:description/>
  <cp:lastModifiedBy>Kevish, Maria Lorena</cp:lastModifiedBy>
  <cp:revision>3</cp:revision>
  <cp:lastPrinted>2011-06-07T12:21:00Z</cp:lastPrinted>
  <dcterms:created xsi:type="dcterms:W3CDTF">2018-03-12T17:57:00Z</dcterms:created>
  <dcterms:modified xsi:type="dcterms:W3CDTF">2018-03-12T17:58:00Z</dcterms:modified>
  <cp:category>Estúdio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32;#FISCAL POLICY FOR SUSTAINABILITY AND GROWTH|6e15b5e0-ae82-4b06-920a-eef6dd27cc8b</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_dlc_DocIdItemGuid">
    <vt:lpwstr>f8b294fe-6834-45bf-a2b4-b45b184b9c99</vt:lpwstr>
  </property>
  <property fmtid="{D5CDD505-2E9C-101B-9397-08002B2CF9AE}" pid="10" name="Sector IDB">
    <vt:lpwstr>31;#REFORM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3" name="RecordStorageActiveId">
    <vt:lpwstr>e321fc6f-b49a-4742-a21f-7bba8ce1a9fe</vt:lpwstr>
  </property>
  <property fmtid="{D5CDD505-2E9C-101B-9397-08002B2CF9AE}" pid="14" name="ContentTypeId">
    <vt:lpwstr>0x0101001A458A224826124E8B45B1D613300CFC0093044B4AD5C10943BC7B602B1C9DC085</vt:lpwstr>
  </property>
</Properties>
</file>