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75092A" w14:textId="77777777" w:rsidR="00FB60D7" w:rsidRPr="00C0298F" w:rsidRDefault="00FB60D7" w:rsidP="00FB60D7">
      <w:pPr>
        <w:spacing w:after="0"/>
        <w:jc w:val="center"/>
        <w:rPr>
          <w:b/>
          <w:lang w:val="es-ES_tradnl"/>
        </w:rPr>
      </w:pPr>
    </w:p>
    <w:p w14:paraId="2AED5651" w14:textId="77777777" w:rsidR="00FB60D7" w:rsidRPr="00FB60D7" w:rsidRDefault="00FB60D7" w:rsidP="00FB60D7">
      <w:pPr>
        <w:spacing w:after="0"/>
        <w:jc w:val="center"/>
        <w:rPr>
          <w:b/>
          <w:lang w:val="es-ES_tradnl"/>
        </w:rPr>
      </w:pPr>
      <w:r>
        <w:rPr>
          <w:b/>
          <w:lang w:val="es-ES_tradnl"/>
        </w:rPr>
        <w:t xml:space="preserve">Haití: </w:t>
      </w:r>
      <w:r w:rsidRPr="00FB60D7">
        <w:rPr>
          <w:b/>
          <w:lang w:val="es-ES_tradnl"/>
        </w:rPr>
        <w:t>Experiencias recientes en programas de retiro voluntario</w:t>
      </w:r>
    </w:p>
    <w:p w14:paraId="6E1534E5" w14:textId="77777777" w:rsidR="00FB60D7" w:rsidRPr="00FB60D7" w:rsidRDefault="00FB60D7" w:rsidP="00EF77E1">
      <w:pPr>
        <w:spacing w:after="0"/>
        <w:jc w:val="both"/>
        <w:rPr>
          <w:lang w:val="es-ES_tradnl"/>
        </w:rPr>
      </w:pPr>
    </w:p>
    <w:p w14:paraId="3E9B1C5E" w14:textId="326CAADD" w:rsidR="00FB60D7" w:rsidRDefault="00FB60D7" w:rsidP="00EF77E1">
      <w:pPr>
        <w:spacing w:after="0"/>
        <w:jc w:val="both"/>
        <w:rPr>
          <w:lang w:val="es-ES_tradnl"/>
        </w:rPr>
      </w:pPr>
    </w:p>
    <w:p w14:paraId="0DE3C0B9" w14:textId="77777777" w:rsidR="00BD7396" w:rsidRPr="00FB60D7" w:rsidRDefault="00BD7396" w:rsidP="00EF77E1">
      <w:pPr>
        <w:spacing w:after="0"/>
        <w:jc w:val="both"/>
        <w:rPr>
          <w:lang w:val="es-ES_tradnl"/>
        </w:rPr>
      </w:pPr>
    </w:p>
    <w:p w14:paraId="5F9C20A2" w14:textId="15B64E7E" w:rsidR="00FB60D7" w:rsidRPr="00FB60D7" w:rsidRDefault="0061758A" w:rsidP="00EF77E1">
      <w:pPr>
        <w:spacing w:after="0"/>
        <w:jc w:val="both"/>
        <w:rPr>
          <w:lang w:val="es-ES_tradnl"/>
        </w:rPr>
      </w:pPr>
      <w:r>
        <w:rPr>
          <w:lang w:val="es-ES_tradnl"/>
        </w:rPr>
        <w:t xml:space="preserve">Se identifican dos experiencias en los últimos años de incentivos al retiro voluntario. </w:t>
      </w:r>
      <w:r w:rsidR="00EF77E1">
        <w:rPr>
          <w:lang w:val="es-ES_tradnl"/>
        </w:rPr>
        <w:t>Éstas s</w:t>
      </w:r>
      <w:r>
        <w:rPr>
          <w:lang w:val="es-ES_tradnl"/>
        </w:rPr>
        <w:t>on las siguientes:</w:t>
      </w:r>
    </w:p>
    <w:p w14:paraId="039CC291" w14:textId="066B12F0" w:rsidR="00FB60D7" w:rsidRDefault="00FB60D7" w:rsidP="00EF77E1">
      <w:pPr>
        <w:spacing w:after="0"/>
        <w:jc w:val="both"/>
        <w:rPr>
          <w:lang w:val="es-ES_tradnl"/>
        </w:rPr>
      </w:pPr>
    </w:p>
    <w:p w14:paraId="54C23A95" w14:textId="77777777" w:rsidR="003F615A" w:rsidRPr="00FB60D7" w:rsidRDefault="003F615A" w:rsidP="00EF77E1">
      <w:pPr>
        <w:spacing w:after="0"/>
        <w:jc w:val="both"/>
        <w:rPr>
          <w:lang w:val="es-ES_tradnl"/>
        </w:rPr>
      </w:pPr>
      <w:bookmarkStart w:id="0" w:name="_GoBack"/>
      <w:bookmarkEnd w:id="0"/>
    </w:p>
    <w:p w14:paraId="2FE0F4BE" w14:textId="77777777" w:rsidR="00FB60D7" w:rsidRPr="0061758A" w:rsidRDefault="00FB60D7" w:rsidP="00EF77E1">
      <w:pPr>
        <w:pStyle w:val="ListParagraph"/>
        <w:numPr>
          <w:ilvl w:val="0"/>
          <w:numId w:val="1"/>
        </w:numPr>
        <w:spacing w:after="0"/>
        <w:jc w:val="both"/>
        <w:rPr>
          <w:b/>
          <w:lang w:val="es-ES_tradnl"/>
        </w:rPr>
      </w:pPr>
      <w:r w:rsidRPr="0061758A">
        <w:rPr>
          <w:b/>
          <w:lang w:val="es-ES_tradnl"/>
        </w:rPr>
        <w:t xml:space="preserve">Ministerio de Agricultura, </w:t>
      </w:r>
      <w:r w:rsidR="00EE6A5B" w:rsidRPr="0061758A">
        <w:rPr>
          <w:b/>
          <w:lang w:val="es-ES_tradnl"/>
        </w:rPr>
        <w:t>Recursos naturales y Desarrollo Rural (MARNDR)</w:t>
      </w:r>
    </w:p>
    <w:p w14:paraId="6419DC1C" w14:textId="77777777" w:rsidR="00FB60D7" w:rsidRDefault="00FB60D7" w:rsidP="00EF77E1">
      <w:pPr>
        <w:spacing w:after="0"/>
        <w:jc w:val="both"/>
        <w:rPr>
          <w:lang w:val="es-ES_tradnl"/>
        </w:rPr>
      </w:pPr>
    </w:p>
    <w:p w14:paraId="4F1E1C20" w14:textId="288152EB" w:rsidR="00D353F0" w:rsidRDefault="00D353F0" w:rsidP="00EF77E1">
      <w:pPr>
        <w:spacing w:after="0"/>
        <w:ind w:left="360"/>
        <w:jc w:val="both"/>
        <w:rPr>
          <w:lang w:val="es-ES_tradnl"/>
        </w:rPr>
      </w:pPr>
      <w:r>
        <w:rPr>
          <w:lang w:val="es-ES_tradnl"/>
        </w:rPr>
        <w:t>A mediados de 201</w:t>
      </w:r>
      <w:r w:rsidR="00427DE1">
        <w:rPr>
          <w:lang w:val="es-ES_tradnl"/>
        </w:rPr>
        <w:t>4</w:t>
      </w:r>
      <w:r>
        <w:rPr>
          <w:lang w:val="es-ES_tradnl"/>
        </w:rPr>
        <w:t xml:space="preserve">, </w:t>
      </w:r>
      <w:r w:rsidR="00EE6A5B" w:rsidRPr="00EE6A5B">
        <w:rPr>
          <w:lang w:val="es-ES_tradnl"/>
        </w:rPr>
        <w:t xml:space="preserve">el MARNDR </w:t>
      </w:r>
      <w:r>
        <w:rPr>
          <w:lang w:val="es-ES_tradnl"/>
        </w:rPr>
        <w:t>dispuso de</w:t>
      </w:r>
      <w:r w:rsidR="00EE6A5B" w:rsidRPr="00EE6A5B">
        <w:rPr>
          <w:lang w:val="es-ES_tradnl"/>
        </w:rPr>
        <w:t xml:space="preserve"> incentivos </w:t>
      </w:r>
      <w:r>
        <w:rPr>
          <w:lang w:val="es-ES_tradnl"/>
        </w:rPr>
        <w:t>a</w:t>
      </w:r>
      <w:r w:rsidR="00EE6A5B" w:rsidRPr="00EE6A5B">
        <w:rPr>
          <w:lang w:val="es-ES_tradnl"/>
        </w:rPr>
        <w:t xml:space="preserve">l retiro de funcionarios del </w:t>
      </w:r>
      <w:r>
        <w:rPr>
          <w:lang w:val="es-ES_tradnl"/>
        </w:rPr>
        <w:t>ministerio</w:t>
      </w:r>
      <w:r w:rsidR="00EE6A5B" w:rsidRPr="00EE6A5B">
        <w:rPr>
          <w:lang w:val="es-ES_tradnl"/>
        </w:rPr>
        <w:t xml:space="preserve"> </w:t>
      </w:r>
      <w:r w:rsidRPr="00D353F0">
        <w:rPr>
          <w:lang w:val="es-ES_tradnl"/>
        </w:rPr>
        <w:t xml:space="preserve">de niveles medio-altos </w:t>
      </w:r>
      <w:r>
        <w:rPr>
          <w:lang w:val="es-ES_tradnl"/>
        </w:rPr>
        <w:t xml:space="preserve">que pudiesen ser prescindibles. En este proceso se contó con el apoyo del </w:t>
      </w:r>
      <w:r w:rsidR="00EE6A5B" w:rsidRPr="00EE6A5B">
        <w:rPr>
          <w:lang w:val="es-ES_tradnl"/>
        </w:rPr>
        <w:t>OMRH</w:t>
      </w:r>
      <w:r>
        <w:rPr>
          <w:lang w:val="es-ES_tradnl"/>
        </w:rPr>
        <w:t>.</w:t>
      </w:r>
    </w:p>
    <w:p w14:paraId="5129DE6D" w14:textId="7FA7C403" w:rsidR="00D353F0" w:rsidRDefault="00D353F0" w:rsidP="00EF77E1">
      <w:pPr>
        <w:spacing w:after="0"/>
        <w:ind w:left="360"/>
        <w:jc w:val="both"/>
        <w:rPr>
          <w:lang w:val="es-ES_tradnl"/>
        </w:rPr>
      </w:pPr>
      <w:bookmarkStart w:id="1" w:name="_Hlk520466411"/>
    </w:p>
    <w:p w14:paraId="6217A604" w14:textId="7B00C0E7" w:rsidR="00C0298F" w:rsidRDefault="00C0298F" w:rsidP="00EF77E1">
      <w:pPr>
        <w:spacing w:after="0"/>
        <w:ind w:left="360"/>
        <w:jc w:val="both"/>
        <w:rPr>
          <w:lang w:val="es-ES_tradnl"/>
        </w:rPr>
      </w:pPr>
      <w:r>
        <w:rPr>
          <w:lang w:val="es-ES_tradnl"/>
        </w:rPr>
        <w:t>Los beneficia</w:t>
      </w:r>
      <w:r w:rsidR="003F615A">
        <w:rPr>
          <w:lang w:val="es-ES_tradnl"/>
        </w:rPr>
        <w:t>ri</w:t>
      </w:r>
      <w:r>
        <w:rPr>
          <w:lang w:val="es-ES_tradnl"/>
        </w:rPr>
        <w:t xml:space="preserve">os tenían </w:t>
      </w:r>
      <w:r w:rsidR="003F615A">
        <w:rPr>
          <w:lang w:val="es-ES_tradnl"/>
        </w:rPr>
        <w:t xml:space="preserve">que tener </w:t>
      </w:r>
      <w:r>
        <w:rPr>
          <w:lang w:val="es-ES_tradnl"/>
        </w:rPr>
        <w:t xml:space="preserve">más de 55 </w:t>
      </w:r>
      <w:proofErr w:type="gramStart"/>
      <w:r>
        <w:rPr>
          <w:lang w:val="es-ES_tradnl"/>
        </w:rPr>
        <w:t>años de edad</w:t>
      </w:r>
      <w:proofErr w:type="gramEnd"/>
      <w:r>
        <w:rPr>
          <w:lang w:val="es-ES_tradnl"/>
        </w:rPr>
        <w:t xml:space="preserve"> y </w:t>
      </w:r>
      <w:r w:rsidR="003F615A">
        <w:rPr>
          <w:lang w:val="es-ES_tradnl"/>
        </w:rPr>
        <w:t xml:space="preserve">haber servido </w:t>
      </w:r>
      <w:r>
        <w:rPr>
          <w:lang w:val="es-ES_tradnl"/>
        </w:rPr>
        <w:t>más de 25 años en el ministerio.</w:t>
      </w:r>
      <w:bookmarkEnd w:id="1"/>
      <w:r>
        <w:rPr>
          <w:rStyle w:val="FootnoteReference"/>
          <w:lang w:val="es-ES_tradnl"/>
        </w:rPr>
        <w:footnoteReference w:id="1"/>
      </w:r>
    </w:p>
    <w:p w14:paraId="4636FD5C" w14:textId="77777777" w:rsidR="00C0298F" w:rsidRDefault="00C0298F" w:rsidP="00EF77E1">
      <w:pPr>
        <w:spacing w:after="0"/>
        <w:ind w:left="360"/>
        <w:jc w:val="both"/>
        <w:rPr>
          <w:lang w:val="es-ES_tradnl"/>
        </w:rPr>
      </w:pPr>
    </w:p>
    <w:p w14:paraId="30044C85" w14:textId="5CBE40EB" w:rsidR="00C0298F" w:rsidRDefault="00D353F0" w:rsidP="00EF77E1">
      <w:pPr>
        <w:spacing w:after="0"/>
        <w:ind w:left="360"/>
        <w:jc w:val="both"/>
        <w:rPr>
          <w:lang w:val="es-ES_tradnl"/>
        </w:rPr>
      </w:pPr>
      <w:r>
        <w:rPr>
          <w:lang w:val="es-ES_tradnl"/>
        </w:rPr>
        <w:t>S</w:t>
      </w:r>
      <w:r w:rsidR="00EE6A5B" w:rsidRPr="00EE6A5B">
        <w:rPr>
          <w:lang w:val="es-ES_tradnl"/>
        </w:rPr>
        <w:t xml:space="preserve">e procedió a determinar el retiro de </w:t>
      </w:r>
      <w:r w:rsidR="00EE6A5B" w:rsidRPr="00831477">
        <w:rPr>
          <w:b/>
          <w:lang w:val="es-ES_tradnl"/>
        </w:rPr>
        <w:t>77 funcionarios</w:t>
      </w:r>
      <w:r w:rsidR="00EE6A5B" w:rsidRPr="00EE6A5B">
        <w:rPr>
          <w:lang w:val="es-ES_tradnl"/>
        </w:rPr>
        <w:t xml:space="preserve"> (</w:t>
      </w:r>
      <w:r w:rsidR="00576164">
        <w:rPr>
          <w:lang w:val="es-ES_tradnl"/>
        </w:rPr>
        <w:t xml:space="preserve">de </w:t>
      </w:r>
      <w:r w:rsidR="00EE6A5B" w:rsidRPr="00EE6A5B">
        <w:rPr>
          <w:lang w:val="es-ES_tradnl"/>
        </w:rPr>
        <w:t>nivel</w:t>
      </w:r>
      <w:r w:rsidR="00576164">
        <w:rPr>
          <w:lang w:val="es-ES_tradnl"/>
        </w:rPr>
        <w:t>es</w:t>
      </w:r>
      <w:r w:rsidR="00EE6A5B" w:rsidRPr="00EE6A5B">
        <w:rPr>
          <w:lang w:val="es-ES_tradnl"/>
        </w:rPr>
        <w:t xml:space="preserve"> superior 1, superior 2, superior 3 y nivel medio).</w:t>
      </w:r>
    </w:p>
    <w:p w14:paraId="64C2DFBF" w14:textId="77777777" w:rsidR="00C0298F" w:rsidRDefault="00C0298F" w:rsidP="00EF77E1">
      <w:pPr>
        <w:spacing w:after="0"/>
        <w:ind w:left="360"/>
        <w:jc w:val="both"/>
        <w:rPr>
          <w:lang w:val="es-ES_tradnl"/>
        </w:rPr>
      </w:pPr>
    </w:p>
    <w:p w14:paraId="02BFB532" w14:textId="422A9CB0" w:rsidR="00C0298F" w:rsidRDefault="00C0298F" w:rsidP="00EF77E1">
      <w:pPr>
        <w:spacing w:after="0"/>
        <w:ind w:left="360"/>
        <w:jc w:val="both"/>
        <w:rPr>
          <w:lang w:val="es-ES_tradnl"/>
        </w:rPr>
      </w:pPr>
      <w:r>
        <w:rPr>
          <w:lang w:val="es-ES_tradnl"/>
        </w:rPr>
        <w:t>El cálculo del bono se realizó de la siguiente manera:</w:t>
      </w:r>
    </w:p>
    <w:p w14:paraId="30D66706" w14:textId="6C99368B" w:rsidR="00C0298F" w:rsidRDefault="00C0298F" w:rsidP="00EF77E1">
      <w:pPr>
        <w:pStyle w:val="ListParagraph"/>
        <w:numPr>
          <w:ilvl w:val="0"/>
          <w:numId w:val="2"/>
        </w:numPr>
        <w:spacing w:after="0"/>
        <w:jc w:val="both"/>
        <w:rPr>
          <w:lang w:val="es-ES_tradnl"/>
        </w:rPr>
      </w:pPr>
      <w:r w:rsidRPr="00C0298F">
        <w:rPr>
          <w:lang w:val="es-ES_tradnl"/>
        </w:rPr>
        <w:t>US$20.000 (</w:t>
      </w:r>
      <w:proofErr w:type="spellStart"/>
      <w:r w:rsidRPr="00C0298F">
        <w:rPr>
          <w:lang w:val="es-ES_tradnl"/>
        </w:rPr>
        <w:t>eq</w:t>
      </w:r>
      <w:proofErr w:type="spellEnd"/>
      <w:r w:rsidRPr="00C0298F">
        <w:rPr>
          <w:lang w:val="es-ES_tradnl"/>
        </w:rPr>
        <w:t>.) a qui</w:t>
      </w:r>
      <w:r>
        <w:rPr>
          <w:lang w:val="es-ES_tradnl"/>
        </w:rPr>
        <w:t>e</w:t>
      </w:r>
      <w:r w:rsidRPr="00C0298F">
        <w:rPr>
          <w:lang w:val="es-ES_tradnl"/>
        </w:rPr>
        <w:t>nes tuviera</w:t>
      </w:r>
      <w:r>
        <w:rPr>
          <w:lang w:val="es-ES_tradnl"/>
        </w:rPr>
        <w:t>n sueldos mensuales superiores a 53.500 G (</w:t>
      </w:r>
      <w:r w:rsidR="00486EA2">
        <w:rPr>
          <w:lang w:val="es-ES_tradnl"/>
        </w:rPr>
        <w:t>14 funcionarios</w:t>
      </w:r>
      <w:r>
        <w:rPr>
          <w:lang w:val="es-ES_tradnl"/>
        </w:rPr>
        <w:t>);</w:t>
      </w:r>
    </w:p>
    <w:p w14:paraId="6E2E334E" w14:textId="0ED0F795" w:rsidR="00C0298F" w:rsidRDefault="00C0298F" w:rsidP="00EF77E1">
      <w:pPr>
        <w:pStyle w:val="ListParagraph"/>
        <w:numPr>
          <w:ilvl w:val="0"/>
          <w:numId w:val="2"/>
        </w:numPr>
        <w:spacing w:after="0"/>
        <w:jc w:val="both"/>
        <w:rPr>
          <w:lang w:val="es-ES_tradnl"/>
        </w:rPr>
      </w:pPr>
      <w:r>
        <w:rPr>
          <w:lang w:val="es-ES_tradnl"/>
        </w:rPr>
        <w:t>US$10.000 (</w:t>
      </w:r>
      <w:proofErr w:type="spellStart"/>
      <w:r>
        <w:rPr>
          <w:lang w:val="es-ES_tradnl"/>
        </w:rPr>
        <w:t>eq</w:t>
      </w:r>
      <w:proofErr w:type="spellEnd"/>
      <w:r>
        <w:rPr>
          <w:lang w:val="es-ES_tradnl"/>
        </w:rPr>
        <w:t>.) a quienes recibieran un sueldo mensual menor a 53.500 G y mayor a 41.000 G (</w:t>
      </w:r>
      <w:r w:rsidR="00576164">
        <w:rPr>
          <w:lang w:val="es-ES_tradnl"/>
        </w:rPr>
        <w:t>30 funcionarios)</w:t>
      </w:r>
      <w:r>
        <w:rPr>
          <w:lang w:val="es-ES_tradnl"/>
        </w:rPr>
        <w:t>; y</w:t>
      </w:r>
    </w:p>
    <w:p w14:paraId="4EEC6F0E" w14:textId="21FB72F9" w:rsidR="00C0298F" w:rsidRDefault="00C0298F" w:rsidP="00EF77E1">
      <w:pPr>
        <w:pStyle w:val="ListParagraph"/>
        <w:numPr>
          <w:ilvl w:val="0"/>
          <w:numId w:val="2"/>
        </w:numPr>
        <w:spacing w:after="0"/>
        <w:jc w:val="both"/>
        <w:rPr>
          <w:lang w:val="es-ES_tradnl"/>
        </w:rPr>
      </w:pPr>
      <w:r>
        <w:rPr>
          <w:lang w:val="es-ES_tradnl"/>
        </w:rPr>
        <w:t>US$7.000 (</w:t>
      </w:r>
      <w:proofErr w:type="spellStart"/>
      <w:r>
        <w:rPr>
          <w:lang w:val="es-ES_tradnl"/>
        </w:rPr>
        <w:t>eq</w:t>
      </w:r>
      <w:proofErr w:type="spellEnd"/>
      <w:r>
        <w:rPr>
          <w:lang w:val="es-ES_tradnl"/>
        </w:rPr>
        <w:t>.) a los que tuvieran un sueldo inferior a los 41.000 G</w:t>
      </w:r>
      <w:r w:rsidR="00427DE1">
        <w:rPr>
          <w:lang w:val="es-ES_tradnl"/>
        </w:rPr>
        <w:t xml:space="preserve"> (</w:t>
      </w:r>
      <w:r w:rsidR="00576164">
        <w:rPr>
          <w:lang w:val="es-ES_tradnl"/>
        </w:rPr>
        <w:t>33 funcionarios</w:t>
      </w:r>
      <w:r w:rsidR="00427DE1">
        <w:rPr>
          <w:lang w:val="es-ES_tradnl"/>
        </w:rPr>
        <w:t>)</w:t>
      </w:r>
      <w:r>
        <w:rPr>
          <w:lang w:val="es-ES_tradnl"/>
        </w:rPr>
        <w:t>.</w:t>
      </w:r>
    </w:p>
    <w:p w14:paraId="5FC4BB7C" w14:textId="6A5B18EF" w:rsidR="00C0298F" w:rsidRDefault="00C0298F" w:rsidP="00EF77E1">
      <w:pPr>
        <w:spacing w:after="0"/>
        <w:ind w:left="360"/>
        <w:jc w:val="both"/>
        <w:rPr>
          <w:lang w:val="es-ES_tradnl"/>
        </w:rPr>
      </w:pPr>
    </w:p>
    <w:p w14:paraId="43D88248" w14:textId="60387158" w:rsidR="00C0298F" w:rsidRPr="00C0298F" w:rsidRDefault="00C0298F" w:rsidP="00EF77E1">
      <w:pPr>
        <w:spacing w:after="0"/>
        <w:ind w:left="360"/>
        <w:jc w:val="both"/>
        <w:rPr>
          <w:lang w:val="es-ES_tradnl"/>
        </w:rPr>
      </w:pPr>
      <w:r>
        <w:rPr>
          <w:lang w:val="es-ES_tradnl"/>
        </w:rPr>
        <w:t xml:space="preserve">Sobre la base de una tasa de cambio de 45 G/US$, cada retirado recibió </w:t>
      </w:r>
      <w:r w:rsidR="00486EA2">
        <w:rPr>
          <w:lang w:val="es-ES_tradnl"/>
        </w:rPr>
        <w:t xml:space="preserve">como promedio </w:t>
      </w:r>
      <w:r>
        <w:rPr>
          <w:lang w:val="es-ES_tradnl"/>
        </w:rPr>
        <w:t xml:space="preserve">un bono </w:t>
      </w:r>
      <w:r w:rsidR="00427DE1">
        <w:rPr>
          <w:lang w:val="es-ES_tradnl"/>
        </w:rPr>
        <w:t xml:space="preserve">equivalente a </w:t>
      </w:r>
      <w:r w:rsidR="00486EA2">
        <w:rPr>
          <w:lang w:val="es-ES_tradnl"/>
        </w:rPr>
        <w:t xml:space="preserve">cerca de </w:t>
      </w:r>
      <w:r w:rsidR="00427DE1">
        <w:rPr>
          <w:lang w:val="es-ES_tradnl"/>
        </w:rPr>
        <w:t>1</w:t>
      </w:r>
      <w:r w:rsidR="00486EA2">
        <w:rPr>
          <w:lang w:val="es-ES_tradnl"/>
        </w:rPr>
        <w:t>1</w:t>
      </w:r>
      <w:r w:rsidR="00427DE1">
        <w:rPr>
          <w:lang w:val="es-ES_tradnl"/>
        </w:rPr>
        <w:t xml:space="preserve"> sueldos mensuales.</w:t>
      </w:r>
    </w:p>
    <w:p w14:paraId="2DF862F8" w14:textId="77777777" w:rsidR="00C0298F" w:rsidRPr="00C0298F" w:rsidRDefault="00C0298F" w:rsidP="00EF77E1">
      <w:pPr>
        <w:spacing w:after="0"/>
        <w:ind w:left="360"/>
        <w:jc w:val="both"/>
        <w:rPr>
          <w:lang w:val="es-ES_tradnl"/>
        </w:rPr>
      </w:pPr>
    </w:p>
    <w:p w14:paraId="4E46DD87" w14:textId="049A0ABE" w:rsidR="00EE6A5B" w:rsidRPr="00EE6A5B" w:rsidRDefault="00EE6A5B" w:rsidP="00EF77E1">
      <w:pPr>
        <w:spacing w:after="0"/>
        <w:ind w:left="360"/>
        <w:jc w:val="both"/>
        <w:rPr>
          <w:lang w:val="es-ES_tradnl"/>
        </w:rPr>
      </w:pPr>
      <w:r w:rsidRPr="00EE6A5B">
        <w:rPr>
          <w:lang w:val="es-ES_tradnl"/>
        </w:rPr>
        <w:t xml:space="preserve">Estos retiros tuvieron un costo total </w:t>
      </w:r>
      <w:r w:rsidR="00427DE1">
        <w:rPr>
          <w:lang w:val="es-ES_tradnl"/>
        </w:rPr>
        <w:t>cerc</w:t>
      </w:r>
      <w:r w:rsidR="00486EA2">
        <w:rPr>
          <w:lang w:val="es-ES_tradnl"/>
        </w:rPr>
        <w:t>ano a los</w:t>
      </w:r>
      <w:r w:rsidR="00427DE1">
        <w:rPr>
          <w:lang w:val="es-ES_tradnl"/>
        </w:rPr>
        <w:t xml:space="preserve"> </w:t>
      </w:r>
      <w:r w:rsidRPr="00EE6A5B">
        <w:rPr>
          <w:lang w:val="es-ES_tradnl"/>
        </w:rPr>
        <w:t>US</w:t>
      </w:r>
      <w:r w:rsidR="00D353F0">
        <w:rPr>
          <w:lang w:val="es-ES_tradnl"/>
        </w:rPr>
        <w:t xml:space="preserve">$ </w:t>
      </w:r>
      <w:r w:rsidR="00427DE1">
        <w:rPr>
          <w:lang w:val="es-ES_tradnl"/>
        </w:rPr>
        <w:t>80</w:t>
      </w:r>
      <w:r w:rsidRPr="00EE6A5B">
        <w:rPr>
          <w:lang w:val="es-ES_tradnl"/>
        </w:rPr>
        <w:t>0 mil</w:t>
      </w:r>
      <w:r w:rsidR="00427DE1">
        <w:rPr>
          <w:lang w:val="es-ES_tradnl"/>
        </w:rPr>
        <w:t xml:space="preserve">. </w:t>
      </w:r>
      <w:r w:rsidRPr="00EE6A5B">
        <w:rPr>
          <w:lang w:val="es-ES_tradnl"/>
        </w:rPr>
        <w:t xml:space="preserve">Fueron financiados con recursos </w:t>
      </w:r>
      <w:r w:rsidR="00D353F0">
        <w:rPr>
          <w:lang w:val="es-ES_tradnl"/>
        </w:rPr>
        <w:t>provenientes de la cooperación internacional</w:t>
      </w:r>
      <w:r w:rsidRPr="00EE6A5B">
        <w:rPr>
          <w:lang w:val="es-ES_tradnl"/>
        </w:rPr>
        <w:t>.</w:t>
      </w:r>
      <w:r w:rsidR="00EF77E1">
        <w:rPr>
          <w:rStyle w:val="FootnoteReference"/>
          <w:lang w:val="es-ES_tradnl"/>
        </w:rPr>
        <w:footnoteReference w:id="2"/>
      </w:r>
    </w:p>
    <w:p w14:paraId="0FAD6D65" w14:textId="77777777" w:rsidR="00EE6A5B" w:rsidRPr="00EE6A5B" w:rsidRDefault="00EE6A5B" w:rsidP="00EF77E1">
      <w:pPr>
        <w:spacing w:after="0"/>
        <w:ind w:left="360"/>
        <w:jc w:val="both"/>
        <w:rPr>
          <w:lang w:val="es-ES_tradnl"/>
        </w:rPr>
      </w:pPr>
    </w:p>
    <w:p w14:paraId="0B4A7E02" w14:textId="77777777" w:rsidR="00EE6A5B" w:rsidRDefault="00EE6A5B" w:rsidP="00EF77E1">
      <w:pPr>
        <w:spacing w:after="0"/>
        <w:ind w:left="360"/>
        <w:jc w:val="both"/>
        <w:rPr>
          <w:lang w:val="es-ES_tradnl"/>
        </w:rPr>
      </w:pPr>
      <w:r w:rsidRPr="00EE6A5B">
        <w:rPr>
          <w:lang w:val="es-ES_tradnl"/>
        </w:rPr>
        <w:t xml:space="preserve">Se acordó que los funcionarios retirados no podían ser recontratados como funcionarios. Algunos de estos funcionarios </w:t>
      </w:r>
      <w:r w:rsidR="00D353F0">
        <w:rPr>
          <w:lang w:val="es-ES_tradnl"/>
        </w:rPr>
        <w:t>volvieron</w:t>
      </w:r>
      <w:r w:rsidRPr="00EE6A5B">
        <w:rPr>
          <w:lang w:val="es-ES_tradnl"/>
        </w:rPr>
        <w:t xml:space="preserve"> </w:t>
      </w:r>
      <w:r w:rsidR="00D353F0">
        <w:rPr>
          <w:lang w:val="es-ES_tradnl"/>
        </w:rPr>
        <w:t xml:space="preserve">al MARNDR </w:t>
      </w:r>
      <w:r w:rsidRPr="00EE6A5B">
        <w:rPr>
          <w:lang w:val="es-ES_tradnl"/>
        </w:rPr>
        <w:t xml:space="preserve">como consultores </w:t>
      </w:r>
      <w:r w:rsidR="00D353F0">
        <w:rPr>
          <w:lang w:val="es-ES_tradnl"/>
        </w:rPr>
        <w:t>para desempeñarse</w:t>
      </w:r>
      <w:r w:rsidRPr="00EE6A5B">
        <w:rPr>
          <w:lang w:val="es-ES_tradnl"/>
        </w:rPr>
        <w:t xml:space="preserve"> en funciones técnicas.</w:t>
      </w:r>
    </w:p>
    <w:p w14:paraId="43D0BCB0" w14:textId="77777777" w:rsidR="00EE6A5B" w:rsidRPr="00FB60D7" w:rsidRDefault="00EE6A5B" w:rsidP="00EF77E1">
      <w:pPr>
        <w:spacing w:after="0"/>
        <w:jc w:val="both"/>
        <w:rPr>
          <w:lang w:val="es-ES_tradnl"/>
        </w:rPr>
      </w:pPr>
    </w:p>
    <w:p w14:paraId="39E37AFD" w14:textId="3A4E4537" w:rsidR="00FB60D7" w:rsidRDefault="00FB60D7" w:rsidP="00EF77E1">
      <w:pPr>
        <w:spacing w:after="0"/>
        <w:jc w:val="both"/>
        <w:rPr>
          <w:lang w:val="es-ES_tradnl"/>
        </w:rPr>
      </w:pPr>
    </w:p>
    <w:p w14:paraId="67C215B6" w14:textId="29DD655B" w:rsidR="003F615A" w:rsidRDefault="003F615A" w:rsidP="00EF77E1">
      <w:pPr>
        <w:spacing w:after="0"/>
        <w:jc w:val="both"/>
        <w:rPr>
          <w:lang w:val="es-ES_tradnl"/>
        </w:rPr>
      </w:pPr>
    </w:p>
    <w:p w14:paraId="2D8623EF" w14:textId="77777777" w:rsidR="003F615A" w:rsidRDefault="003F615A" w:rsidP="00EF77E1">
      <w:pPr>
        <w:spacing w:after="0"/>
        <w:jc w:val="both"/>
        <w:rPr>
          <w:lang w:val="es-ES_tradnl"/>
        </w:rPr>
      </w:pPr>
    </w:p>
    <w:p w14:paraId="66F20796" w14:textId="77777777" w:rsidR="007B26F4" w:rsidRPr="0061758A" w:rsidRDefault="007B26F4" w:rsidP="00EF77E1">
      <w:pPr>
        <w:pStyle w:val="ListParagraph"/>
        <w:numPr>
          <w:ilvl w:val="0"/>
          <w:numId w:val="1"/>
        </w:numPr>
        <w:spacing w:after="0"/>
        <w:jc w:val="both"/>
        <w:rPr>
          <w:b/>
          <w:lang w:val="es-ES_tradnl"/>
        </w:rPr>
      </w:pPr>
      <w:r w:rsidRPr="0061758A">
        <w:rPr>
          <w:b/>
          <w:lang w:val="es-ES_tradnl"/>
        </w:rPr>
        <w:t>Ministerio de Economía y Finanzas (MEF)</w:t>
      </w:r>
    </w:p>
    <w:p w14:paraId="6E19F0DD" w14:textId="77777777" w:rsidR="007B26F4" w:rsidRDefault="007B26F4" w:rsidP="00EF77E1">
      <w:pPr>
        <w:spacing w:after="0"/>
        <w:jc w:val="both"/>
        <w:rPr>
          <w:lang w:val="es-ES_tradnl"/>
        </w:rPr>
      </w:pPr>
    </w:p>
    <w:p w14:paraId="743A3349" w14:textId="2DCFF710" w:rsidR="007B26F4" w:rsidRDefault="007B26F4" w:rsidP="00EF77E1">
      <w:pPr>
        <w:spacing w:after="0"/>
        <w:ind w:left="360"/>
        <w:jc w:val="both"/>
        <w:rPr>
          <w:lang w:val="es-ES_tradnl"/>
        </w:rPr>
      </w:pPr>
      <w:r>
        <w:rPr>
          <w:lang w:val="es-ES_tradnl"/>
        </w:rPr>
        <w:t xml:space="preserve">A fines de 2017, se </w:t>
      </w:r>
      <w:r w:rsidR="000C6AB1">
        <w:rPr>
          <w:lang w:val="es-ES_tradnl"/>
        </w:rPr>
        <w:t xml:space="preserve">implementó un programa de retiro voluntario que benefició a </w:t>
      </w:r>
      <w:r w:rsidR="000C6AB1" w:rsidRPr="00831477">
        <w:rPr>
          <w:b/>
          <w:lang w:val="es-ES_tradnl"/>
        </w:rPr>
        <w:t>1</w:t>
      </w:r>
      <w:r w:rsidR="009F0113">
        <w:rPr>
          <w:b/>
          <w:lang w:val="es-ES_tradnl"/>
        </w:rPr>
        <w:t>82</w:t>
      </w:r>
      <w:r w:rsidR="000C6AB1" w:rsidRPr="00831477">
        <w:rPr>
          <w:b/>
          <w:lang w:val="es-ES_tradnl"/>
        </w:rPr>
        <w:t xml:space="preserve"> funcionarios</w:t>
      </w:r>
      <w:r w:rsidR="000C6AB1">
        <w:rPr>
          <w:lang w:val="es-ES_tradnl"/>
        </w:rPr>
        <w:t xml:space="preserve"> de la Administración Fiscal y Aduanera</w:t>
      </w:r>
      <w:r w:rsidR="00FA312E">
        <w:rPr>
          <w:lang w:val="es-ES_tradnl"/>
        </w:rPr>
        <w:t xml:space="preserve">: </w:t>
      </w:r>
      <w:r w:rsidR="009F0113">
        <w:rPr>
          <w:lang w:val="es-ES_tradnl"/>
        </w:rPr>
        <w:t>9</w:t>
      </w:r>
      <w:r w:rsidR="00EF77E1">
        <w:rPr>
          <w:lang w:val="es-ES_tradnl"/>
        </w:rPr>
        <w:t>3 pertenecían a la Dirección General Impositiva (DGI) y 8</w:t>
      </w:r>
      <w:r w:rsidR="009F0113">
        <w:rPr>
          <w:lang w:val="es-ES_tradnl"/>
        </w:rPr>
        <w:t>9</w:t>
      </w:r>
      <w:r w:rsidR="00EF77E1">
        <w:rPr>
          <w:lang w:val="es-ES_tradnl"/>
        </w:rPr>
        <w:t xml:space="preserve"> a la Administración General de Aduanas</w:t>
      </w:r>
      <w:r w:rsidR="000C6AB1">
        <w:rPr>
          <w:lang w:val="es-ES_tradnl"/>
        </w:rPr>
        <w:t xml:space="preserve"> </w:t>
      </w:r>
      <w:r w:rsidR="00EF77E1">
        <w:rPr>
          <w:lang w:val="es-ES_tradnl"/>
        </w:rPr>
        <w:t xml:space="preserve">(AGD). </w:t>
      </w:r>
      <w:r w:rsidR="000C6AB1">
        <w:rPr>
          <w:lang w:val="es-ES_tradnl"/>
        </w:rPr>
        <w:t>El costo de este programa alcanzó a US$ 2,</w:t>
      </w:r>
      <w:r w:rsidR="009F0113">
        <w:rPr>
          <w:lang w:val="es-ES_tradnl"/>
        </w:rPr>
        <w:t>27</w:t>
      </w:r>
      <w:r w:rsidR="000C6AB1">
        <w:rPr>
          <w:lang w:val="es-ES_tradnl"/>
        </w:rPr>
        <w:t xml:space="preserve"> millones; es decir, un beneficio promedio por funcionario equivalente cercano a los US$ 1</w:t>
      </w:r>
      <w:r w:rsidR="009F0113">
        <w:rPr>
          <w:lang w:val="es-ES_tradnl"/>
        </w:rPr>
        <w:t>2,5</w:t>
      </w:r>
      <w:r w:rsidR="000C6AB1">
        <w:rPr>
          <w:lang w:val="es-ES_tradnl"/>
        </w:rPr>
        <w:t xml:space="preserve"> mil.</w:t>
      </w:r>
    </w:p>
    <w:p w14:paraId="77CE7206" w14:textId="0DD91565" w:rsidR="007B26F4" w:rsidRDefault="007B26F4" w:rsidP="00EF77E1">
      <w:pPr>
        <w:spacing w:after="0"/>
        <w:ind w:left="360"/>
        <w:jc w:val="both"/>
        <w:rPr>
          <w:lang w:val="es-ES_tradnl"/>
        </w:rPr>
      </w:pPr>
    </w:p>
    <w:p w14:paraId="5C1679CA" w14:textId="036ACFA8" w:rsidR="003F615A" w:rsidRDefault="003F615A" w:rsidP="003F615A">
      <w:pPr>
        <w:spacing w:after="0"/>
        <w:ind w:left="360"/>
        <w:jc w:val="both"/>
        <w:rPr>
          <w:lang w:val="es-ES_tradnl"/>
        </w:rPr>
      </w:pPr>
      <w:r>
        <w:rPr>
          <w:lang w:val="es-ES_tradnl"/>
        </w:rPr>
        <w:t>Al igual que en el caso anterior, l</w:t>
      </w:r>
      <w:r w:rsidRPr="003F615A">
        <w:rPr>
          <w:lang w:val="es-ES_tradnl"/>
        </w:rPr>
        <w:t>os beneficia</w:t>
      </w:r>
      <w:r>
        <w:rPr>
          <w:lang w:val="es-ES_tradnl"/>
        </w:rPr>
        <w:t>ri</w:t>
      </w:r>
      <w:r w:rsidRPr="003F615A">
        <w:rPr>
          <w:lang w:val="es-ES_tradnl"/>
        </w:rPr>
        <w:t xml:space="preserve">os </w:t>
      </w:r>
      <w:r>
        <w:rPr>
          <w:lang w:val="es-ES_tradnl"/>
        </w:rPr>
        <w:t>debían ser mayores</w:t>
      </w:r>
      <w:r w:rsidRPr="003F615A">
        <w:rPr>
          <w:lang w:val="es-ES_tradnl"/>
        </w:rPr>
        <w:t xml:space="preserve"> de 55 </w:t>
      </w:r>
      <w:proofErr w:type="gramStart"/>
      <w:r w:rsidRPr="003F615A">
        <w:rPr>
          <w:lang w:val="es-ES_tradnl"/>
        </w:rPr>
        <w:t>años de edad</w:t>
      </w:r>
      <w:proofErr w:type="gramEnd"/>
      <w:r w:rsidRPr="003F615A">
        <w:rPr>
          <w:lang w:val="es-ES_tradnl"/>
        </w:rPr>
        <w:t xml:space="preserve"> y </w:t>
      </w:r>
      <w:r>
        <w:rPr>
          <w:lang w:val="es-ES_tradnl"/>
        </w:rPr>
        <w:t xml:space="preserve">con </w:t>
      </w:r>
      <w:r w:rsidRPr="003F615A">
        <w:rPr>
          <w:lang w:val="es-ES_tradnl"/>
        </w:rPr>
        <w:t>más de 25 años de servicio.</w:t>
      </w:r>
    </w:p>
    <w:p w14:paraId="109ACF1C" w14:textId="77777777" w:rsidR="003F615A" w:rsidRDefault="003F615A" w:rsidP="00EF77E1">
      <w:pPr>
        <w:spacing w:after="0"/>
        <w:ind w:left="360"/>
        <w:jc w:val="both"/>
        <w:rPr>
          <w:lang w:val="es-ES_tradnl"/>
        </w:rPr>
      </w:pPr>
    </w:p>
    <w:p w14:paraId="47DA9490" w14:textId="4E2648D2" w:rsidR="00830D2F" w:rsidRDefault="00830D2F" w:rsidP="00EF77E1">
      <w:pPr>
        <w:spacing w:after="0"/>
        <w:ind w:left="360"/>
        <w:jc w:val="both"/>
        <w:rPr>
          <w:lang w:val="es-ES_tradnl"/>
        </w:rPr>
      </w:pPr>
      <w:r>
        <w:rPr>
          <w:lang w:val="es-ES_tradnl"/>
        </w:rPr>
        <w:t xml:space="preserve">La manera de calcular </w:t>
      </w:r>
      <w:r w:rsidR="0061758A">
        <w:rPr>
          <w:lang w:val="es-ES_tradnl"/>
        </w:rPr>
        <w:t>el incentivo fue la siguiente:</w:t>
      </w:r>
    </w:p>
    <w:p w14:paraId="278245C9" w14:textId="0666DB66" w:rsidR="00830D2F" w:rsidRDefault="00830D2F" w:rsidP="00EF77E1">
      <w:pPr>
        <w:spacing w:after="0" w:line="240" w:lineRule="auto"/>
        <w:jc w:val="both"/>
        <w:rPr>
          <w:rFonts w:ascii="Calibri" w:eastAsia="Calibri" w:hAnsi="Calibri" w:cs="Calibri"/>
          <w:lang w:val="es-ES_tradnl"/>
        </w:rPr>
      </w:pPr>
    </w:p>
    <w:p w14:paraId="5194819A" w14:textId="3ACADA8F" w:rsidR="00427DE1" w:rsidRDefault="00427DE1" w:rsidP="00EF77E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Calibri"/>
          <w:lang w:val="es-ES_tradnl"/>
        </w:rPr>
      </w:pPr>
      <w:r>
        <w:rPr>
          <w:rFonts w:ascii="Calibri" w:eastAsia="Calibri" w:hAnsi="Calibri" w:cs="Calibri"/>
          <w:lang w:val="es-ES_tradnl"/>
        </w:rPr>
        <w:t>Menos de 35</w:t>
      </w:r>
      <w:r w:rsidRPr="00427DE1">
        <w:rPr>
          <w:rFonts w:ascii="Calibri" w:eastAsia="Calibri" w:hAnsi="Calibri" w:cs="Calibri"/>
          <w:lang w:val="es-ES_tradnl"/>
        </w:rPr>
        <w:t xml:space="preserve"> años de servicio</w:t>
      </w:r>
      <w:r w:rsidR="00331ACC">
        <w:rPr>
          <w:rFonts w:ascii="Calibri" w:eastAsia="Calibri" w:hAnsi="Calibri" w:cs="Calibri"/>
          <w:lang w:val="es-ES_tradnl"/>
        </w:rPr>
        <w:tab/>
      </w:r>
      <w:r w:rsidRPr="00427DE1">
        <w:rPr>
          <w:rFonts w:ascii="Calibri" w:eastAsia="Calibri" w:hAnsi="Calibri" w:cs="Calibri"/>
          <w:lang w:val="es-ES_tradnl"/>
        </w:rPr>
        <w:t>:</w:t>
      </w:r>
      <w:r w:rsidR="00486EA2">
        <w:rPr>
          <w:rFonts w:ascii="Calibri" w:eastAsia="Calibri" w:hAnsi="Calibri" w:cs="Calibri"/>
          <w:lang w:val="es-ES_tradnl"/>
        </w:rPr>
        <w:tab/>
      </w:r>
      <w:r w:rsidRPr="00427DE1">
        <w:rPr>
          <w:rFonts w:ascii="Calibri" w:eastAsia="Calibri" w:hAnsi="Calibri" w:cs="Calibri"/>
          <w:lang w:val="es-ES_tradnl"/>
        </w:rPr>
        <w:t>un bono de 24 meses de sueldo</w:t>
      </w:r>
    </w:p>
    <w:p w14:paraId="2B51CF54" w14:textId="488F17C6" w:rsidR="00427DE1" w:rsidRPr="00427DE1" w:rsidRDefault="00427DE1" w:rsidP="00EF77E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Calibri"/>
          <w:lang w:val="es-ES_tradnl"/>
        </w:rPr>
      </w:pPr>
      <w:r>
        <w:rPr>
          <w:rFonts w:ascii="Calibri" w:eastAsia="Calibri" w:hAnsi="Calibri" w:cs="Calibri"/>
          <w:lang w:val="es-ES_tradnl"/>
        </w:rPr>
        <w:t>Má</w:t>
      </w:r>
      <w:r w:rsidRPr="00427DE1">
        <w:rPr>
          <w:rFonts w:ascii="Calibri" w:eastAsia="Calibri" w:hAnsi="Calibri" w:cs="Calibri"/>
          <w:lang w:val="es-ES_tradnl"/>
        </w:rPr>
        <w:t>s de 35 años de servicio</w:t>
      </w:r>
      <w:r w:rsidR="00486EA2">
        <w:rPr>
          <w:rFonts w:ascii="Calibri" w:eastAsia="Calibri" w:hAnsi="Calibri" w:cs="Calibri"/>
          <w:lang w:val="es-ES_tradnl"/>
        </w:rPr>
        <w:tab/>
      </w:r>
      <w:r w:rsidRPr="00427DE1">
        <w:rPr>
          <w:rFonts w:ascii="Calibri" w:eastAsia="Calibri" w:hAnsi="Calibri" w:cs="Calibri"/>
          <w:lang w:val="es-ES_tradnl"/>
        </w:rPr>
        <w:t>:</w:t>
      </w:r>
      <w:r w:rsidR="00486EA2">
        <w:rPr>
          <w:rFonts w:ascii="Calibri" w:eastAsia="Calibri" w:hAnsi="Calibri" w:cs="Calibri"/>
          <w:lang w:val="es-ES_tradnl"/>
        </w:rPr>
        <w:tab/>
      </w:r>
      <w:r w:rsidRPr="00427DE1">
        <w:rPr>
          <w:rFonts w:ascii="Calibri" w:eastAsia="Calibri" w:hAnsi="Calibri" w:cs="Calibri"/>
          <w:lang w:val="es-ES_tradnl"/>
        </w:rPr>
        <w:t>un bono de 18 meses de sueldo</w:t>
      </w:r>
    </w:p>
    <w:p w14:paraId="38DF65FC" w14:textId="77777777" w:rsidR="00830D2F" w:rsidRDefault="00830D2F" w:rsidP="00EF77E1">
      <w:pPr>
        <w:spacing w:after="0"/>
        <w:jc w:val="both"/>
        <w:rPr>
          <w:lang w:val="es-ES_tradnl"/>
        </w:rPr>
      </w:pPr>
    </w:p>
    <w:p w14:paraId="6EA1ED5C" w14:textId="77777777" w:rsidR="003F615A" w:rsidRDefault="003F615A" w:rsidP="003F615A">
      <w:pPr>
        <w:spacing w:after="0"/>
        <w:ind w:left="360"/>
        <w:jc w:val="both"/>
        <w:rPr>
          <w:lang w:val="es-ES_tradnl"/>
        </w:rPr>
      </w:pPr>
      <w:r>
        <w:rPr>
          <w:lang w:val="es-ES_tradnl"/>
        </w:rPr>
        <w:t xml:space="preserve">Estas indemnizaciones fueron financiadas </w:t>
      </w:r>
      <w:r w:rsidRPr="00EF77E1">
        <w:rPr>
          <w:lang w:val="es-ES_tradnl"/>
        </w:rPr>
        <w:t>con recursos provenientes de la cooperación internaciona</w:t>
      </w:r>
      <w:r>
        <w:rPr>
          <w:lang w:val="es-ES_tradnl"/>
        </w:rPr>
        <w:t>l.</w:t>
      </w:r>
      <w:r>
        <w:rPr>
          <w:rStyle w:val="FootnoteReference"/>
          <w:lang w:val="es-ES_tradnl"/>
        </w:rPr>
        <w:footnoteReference w:id="3"/>
      </w:r>
    </w:p>
    <w:p w14:paraId="6D583E46" w14:textId="50F1B1CB" w:rsidR="00830D2F" w:rsidRDefault="00830D2F" w:rsidP="00EF77E1">
      <w:pPr>
        <w:spacing w:after="0"/>
        <w:jc w:val="both"/>
        <w:rPr>
          <w:lang w:val="es-ES_tradnl"/>
        </w:rPr>
      </w:pPr>
    </w:p>
    <w:sectPr w:rsidR="00830D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B75F91" w14:textId="77777777" w:rsidR="009B1060" w:rsidRDefault="009B1060" w:rsidP="00C0298F">
      <w:pPr>
        <w:spacing w:after="0" w:line="240" w:lineRule="auto"/>
      </w:pPr>
      <w:r>
        <w:separator/>
      </w:r>
    </w:p>
  </w:endnote>
  <w:endnote w:type="continuationSeparator" w:id="0">
    <w:p w14:paraId="00A52A9E" w14:textId="77777777" w:rsidR="009B1060" w:rsidRDefault="009B1060" w:rsidP="00C02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1E2EEF" w14:textId="77777777" w:rsidR="009B1060" w:rsidRDefault="009B1060" w:rsidP="00C0298F">
      <w:pPr>
        <w:spacing w:after="0" w:line="240" w:lineRule="auto"/>
      </w:pPr>
      <w:r>
        <w:separator/>
      </w:r>
    </w:p>
  </w:footnote>
  <w:footnote w:type="continuationSeparator" w:id="0">
    <w:p w14:paraId="0086F69D" w14:textId="77777777" w:rsidR="009B1060" w:rsidRDefault="009B1060" w:rsidP="00C0298F">
      <w:pPr>
        <w:spacing w:after="0" w:line="240" w:lineRule="auto"/>
      </w:pPr>
      <w:r>
        <w:continuationSeparator/>
      </w:r>
    </w:p>
  </w:footnote>
  <w:footnote w:id="1">
    <w:p w14:paraId="778213EE" w14:textId="0D964214" w:rsidR="00C0298F" w:rsidRPr="00C0298F" w:rsidRDefault="00C0298F" w:rsidP="00467512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C0298F">
        <w:rPr>
          <w:lang w:val="es-ES_tradnl"/>
        </w:rPr>
        <w:t xml:space="preserve"> En promedio: 64 </w:t>
      </w:r>
      <w:proofErr w:type="gramStart"/>
      <w:r w:rsidRPr="00C0298F">
        <w:rPr>
          <w:lang w:val="es-ES_tradnl"/>
        </w:rPr>
        <w:t>años de edad</w:t>
      </w:r>
      <w:proofErr w:type="gramEnd"/>
      <w:r w:rsidRPr="00C0298F">
        <w:rPr>
          <w:lang w:val="es-ES_tradnl"/>
        </w:rPr>
        <w:t xml:space="preserve"> y</w:t>
      </w:r>
      <w:r>
        <w:rPr>
          <w:lang w:val="es-ES_tradnl"/>
        </w:rPr>
        <w:t xml:space="preserve"> 34 como funcionarios.</w:t>
      </w:r>
    </w:p>
  </w:footnote>
  <w:footnote w:id="2">
    <w:p w14:paraId="06B0D180" w14:textId="20828162" w:rsidR="00EF77E1" w:rsidRPr="00EF77E1" w:rsidRDefault="00EF77E1" w:rsidP="00EF2758">
      <w:pPr>
        <w:pStyle w:val="FootnoteText"/>
        <w:jc w:val="both"/>
        <w:rPr>
          <w:lang w:val="es-ES_tradnl"/>
        </w:rPr>
      </w:pPr>
      <w:r>
        <w:rPr>
          <w:rStyle w:val="FootnoteReference"/>
        </w:rPr>
        <w:footnoteRef/>
      </w:r>
      <w:r w:rsidRPr="00EF77E1">
        <w:rPr>
          <w:lang w:val="es-ES_tradnl"/>
        </w:rPr>
        <w:t xml:space="preserve"> En particular con fondos de p</w:t>
      </w:r>
      <w:r>
        <w:rPr>
          <w:lang w:val="es-ES_tradnl"/>
        </w:rPr>
        <w:t>royectos del BID con el MARNDR</w:t>
      </w:r>
      <w:r w:rsidR="00467512">
        <w:rPr>
          <w:lang w:val="es-ES_tradnl"/>
        </w:rPr>
        <w:t>.</w:t>
      </w:r>
      <w:r>
        <w:rPr>
          <w:lang w:val="es-ES_tradnl"/>
        </w:rPr>
        <w:t xml:space="preserve"> </w:t>
      </w:r>
      <w:r w:rsidR="00467512">
        <w:rPr>
          <w:lang w:val="es-ES_tradnl"/>
        </w:rPr>
        <w:t>Esta actividad</w:t>
      </w:r>
      <w:r>
        <w:rPr>
          <w:lang w:val="es-ES_tradnl"/>
        </w:rPr>
        <w:t xml:space="preserve"> no </w:t>
      </w:r>
      <w:r w:rsidR="00EF2758">
        <w:rPr>
          <w:lang w:val="es-ES_tradnl"/>
        </w:rPr>
        <w:t xml:space="preserve">estaba incorporada en detalle en los proyectos mencionados, aunque </w:t>
      </w:r>
      <w:r>
        <w:rPr>
          <w:lang w:val="es-ES_tradnl"/>
        </w:rPr>
        <w:t>formaba parte de</w:t>
      </w:r>
      <w:r w:rsidR="00EF2758">
        <w:rPr>
          <w:lang w:val="es-ES_tradnl"/>
        </w:rPr>
        <w:t xml:space="preserve"> su objetivo de</w:t>
      </w:r>
      <w:r w:rsidR="00467512">
        <w:rPr>
          <w:lang w:val="es-ES_tradnl"/>
        </w:rPr>
        <w:t xml:space="preserve"> fortalec</w:t>
      </w:r>
      <w:r w:rsidR="00EF2758">
        <w:rPr>
          <w:lang w:val="es-ES_tradnl"/>
        </w:rPr>
        <w:t>imiento de</w:t>
      </w:r>
      <w:r w:rsidR="00467512">
        <w:rPr>
          <w:lang w:val="es-ES_tradnl"/>
        </w:rPr>
        <w:t xml:space="preserve"> la capacidad institucional del ministerio</w:t>
      </w:r>
      <w:r>
        <w:rPr>
          <w:lang w:val="es-ES_tradnl"/>
        </w:rPr>
        <w:t>.</w:t>
      </w:r>
    </w:p>
  </w:footnote>
  <w:footnote w:id="3">
    <w:p w14:paraId="551BE2EC" w14:textId="0ED4BC84" w:rsidR="003F615A" w:rsidRPr="00EF77E1" w:rsidRDefault="003F615A" w:rsidP="00467512">
      <w:pPr>
        <w:pStyle w:val="FootnoteText"/>
        <w:jc w:val="both"/>
        <w:rPr>
          <w:lang w:val="es-ES_tradnl"/>
        </w:rPr>
      </w:pPr>
      <w:r>
        <w:rPr>
          <w:rStyle w:val="FootnoteReference"/>
        </w:rPr>
        <w:footnoteRef/>
      </w:r>
      <w:r w:rsidRPr="00EF77E1">
        <w:rPr>
          <w:lang w:val="es-ES_tradnl"/>
        </w:rPr>
        <w:t xml:space="preserve"> </w:t>
      </w:r>
      <w:r>
        <w:rPr>
          <w:lang w:val="es-ES_tradnl"/>
        </w:rPr>
        <w:t xml:space="preserve">En particular </w:t>
      </w:r>
      <w:r w:rsidRPr="00EF77E1">
        <w:rPr>
          <w:lang w:val="es-ES_tradnl"/>
        </w:rPr>
        <w:t>mediante el pro</w:t>
      </w:r>
      <w:r>
        <w:rPr>
          <w:lang w:val="es-ES_tradnl"/>
        </w:rPr>
        <w:t xml:space="preserve">yecto </w:t>
      </w:r>
      <w:r w:rsidRPr="00EF77E1">
        <w:rPr>
          <w:lang w:val="es-ES_tradnl"/>
        </w:rPr>
        <w:t>del B</w:t>
      </w:r>
      <w:r>
        <w:rPr>
          <w:lang w:val="es-ES_tradnl"/>
        </w:rPr>
        <w:t>ID</w:t>
      </w:r>
      <w:r w:rsidRPr="00EF77E1">
        <w:rPr>
          <w:lang w:val="es-ES_tradnl"/>
        </w:rPr>
        <w:t>, titulado “Desarrollo del Sector Privado mediante la Promoción de la Inversión” (HA-L1078)</w:t>
      </w:r>
      <w:r w:rsidR="00467512">
        <w:rPr>
          <w:lang w:val="es-ES_tradnl"/>
        </w:rPr>
        <w:t>.</w:t>
      </w:r>
      <w:r w:rsidRPr="00EF77E1">
        <w:rPr>
          <w:lang w:val="es-ES_tradnl"/>
        </w:rPr>
        <w:t xml:space="preserve"> </w:t>
      </w:r>
      <w:r w:rsidR="00467512">
        <w:rPr>
          <w:lang w:val="es-ES_tradnl"/>
        </w:rPr>
        <w:t>Esta actividad</w:t>
      </w:r>
      <w:r>
        <w:rPr>
          <w:lang w:val="es-ES_tradnl"/>
        </w:rPr>
        <w:t xml:space="preserve"> no </w:t>
      </w:r>
      <w:r w:rsidR="00914840">
        <w:rPr>
          <w:lang w:val="es-ES_tradnl"/>
        </w:rPr>
        <w:t>estaba incorporada en detalle en</w:t>
      </w:r>
      <w:r w:rsidR="00467512">
        <w:rPr>
          <w:lang w:val="es-ES_tradnl"/>
        </w:rPr>
        <w:t xml:space="preserve"> este proyecto, </w:t>
      </w:r>
      <w:r w:rsidR="00914840">
        <w:rPr>
          <w:lang w:val="es-ES_tradnl"/>
        </w:rPr>
        <w:t>aunque formaba parte de su objetivo de</w:t>
      </w:r>
      <w:r w:rsidR="00467512">
        <w:rPr>
          <w:lang w:val="es-ES_tradnl"/>
        </w:rPr>
        <w:t xml:space="preserve"> fortalec</w:t>
      </w:r>
      <w:r w:rsidR="00914840">
        <w:rPr>
          <w:lang w:val="es-ES_tradnl"/>
        </w:rPr>
        <w:t>imiento de</w:t>
      </w:r>
      <w:r w:rsidR="00467512">
        <w:rPr>
          <w:lang w:val="es-ES_tradnl"/>
        </w:rPr>
        <w:t xml:space="preserve"> la capacidad institucional de ambas agencias del MEF</w:t>
      </w:r>
      <w:r w:rsidRPr="00EF77E1">
        <w:rPr>
          <w:lang w:val="es-ES_tradn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94329"/>
    <w:multiLevelType w:val="hybridMultilevel"/>
    <w:tmpl w:val="E014D8E2"/>
    <w:lvl w:ilvl="0" w:tplc="1E1C5A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961456"/>
    <w:multiLevelType w:val="hybridMultilevel"/>
    <w:tmpl w:val="3A9016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0D7"/>
    <w:rsid w:val="000250A7"/>
    <w:rsid w:val="000A5E19"/>
    <w:rsid w:val="000B1358"/>
    <w:rsid w:val="000B7524"/>
    <w:rsid w:val="000C6AB1"/>
    <w:rsid w:val="00100FC8"/>
    <w:rsid w:val="001C38E0"/>
    <w:rsid w:val="00331ACC"/>
    <w:rsid w:val="003F615A"/>
    <w:rsid w:val="00427DE1"/>
    <w:rsid w:val="00467512"/>
    <w:rsid w:val="00486EA2"/>
    <w:rsid w:val="00576164"/>
    <w:rsid w:val="00597C9C"/>
    <w:rsid w:val="005A1174"/>
    <w:rsid w:val="0061758A"/>
    <w:rsid w:val="006454A3"/>
    <w:rsid w:val="006E0874"/>
    <w:rsid w:val="006E0EBA"/>
    <w:rsid w:val="007B26F4"/>
    <w:rsid w:val="007C51F3"/>
    <w:rsid w:val="00830D2F"/>
    <w:rsid w:val="00831477"/>
    <w:rsid w:val="00850639"/>
    <w:rsid w:val="008A7EA9"/>
    <w:rsid w:val="00914840"/>
    <w:rsid w:val="00967BE2"/>
    <w:rsid w:val="009B1060"/>
    <w:rsid w:val="009F0113"/>
    <w:rsid w:val="00BC0885"/>
    <w:rsid w:val="00BD7396"/>
    <w:rsid w:val="00C0298F"/>
    <w:rsid w:val="00CD3369"/>
    <w:rsid w:val="00D353F0"/>
    <w:rsid w:val="00EE6A5B"/>
    <w:rsid w:val="00EF2758"/>
    <w:rsid w:val="00EF77E1"/>
    <w:rsid w:val="00F203D1"/>
    <w:rsid w:val="00FA312E"/>
    <w:rsid w:val="00FB60D7"/>
    <w:rsid w:val="00FF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34130"/>
  <w15:chartTrackingRefBased/>
  <w15:docId w15:val="{C173610B-0C2E-4BF2-A6D7-7821A5102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758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0298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298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298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75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5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6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8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settings" Target="settings.xml"/><Relationship Id="rId14" Type="http://schemas.openxmlformats.org/officeDocument/2006/relationships/fontTable" Target="fontTable.xml"/><Relationship Id="rId9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3BE84CF97D9D3F4BA8621B26D2F4A633" ma:contentTypeVersion="3236" ma:contentTypeDescription="A content type to manage public (operations) IDB documents" ma:contentTypeScope="" ma:versionID="c0fef43c4ab7a6901276d3de1e84d70a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0f6d2c54e8d0c01a9b6419b4ab2746b6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HA-L1131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C6EE8D840F786B4A8BAACCB3D2A0BBD4" ma:contentTypeVersion="1675" ma:contentTypeDescription="The base project type from which other project content types inherit their information." ma:contentTypeScope="" ma:versionID="dac46e9df50275423a8e9ef0e5001ab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1e92ce9b7be0bbbe6f432e4ddc19fb9b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HA-L1131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R0002801047</Record_x0020_Number>
    <Key_x0020_Document xmlns="cdc7663a-08f0-4737-9e8c-148ce897a09c">false</Key_x0020_Document>
    <Division_x0020_or_x0020_Unit xmlns="cdc7663a-08f0-4737-9e8c-148ce897a09c">IFD/ICS</Division_x0020_or_x0020_Unit>
    <Document_x0020_Author xmlns="cdc7663a-08f0-4737-9e8c-148ce897a09c">Mahfouz, Giovanna L.</Document_x0020_Author>
    <_dlc_DocId xmlns="cdc7663a-08f0-4737-9e8c-148ce897a09c">EZSHARE-1089081468-18</_dlc_DocId>
    <Operation_x0020_Type xmlns="cdc7663a-08f0-4737-9e8c-148ce897a09c">Loan Operation</Operation_x0020_Type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Haiti</TermName>
          <TermId xmlns="http://schemas.microsoft.com/office/infopath/2007/PartnerControls">77a11ace-c854-4e9c-9e19-c924bca0dd43</TermId>
        </TermInfo>
      </Terms>
    </ic46d7e087fd4a108fb86518ca413cc6>
    <TaxCatchAll xmlns="cdc7663a-08f0-4737-9e8c-148ce897a09c">
      <Value>76</Value>
      <Value>208</Value>
      <Value>1</Value>
      <Value>42</Value>
    </TaxCatchAll>
    <Fiscal_x0020_Year_x0020_IDB xmlns="cdc7663a-08f0-4737-9e8c-148ce897a09c">2019</Fiscal_x0020_Year_x0020_IDB>
    <b26cdb1da78c4bb4b1c1bac2f6ac5911 xmlns="cdc7663a-08f0-4737-9e8c-148ce897a09c">
      <Terms xmlns="http://schemas.microsoft.com/office/infopath/2007/PartnerControls"/>
    </b26cdb1da78c4bb4b1c1bac2f6ac5911>
    <Project_x0020_Number xmlns="cdc7663a-08f0-4737-9e8c-148ce897a09c">HA-L1131</Project_x0020_Number>
    <Related_x0020_SisCor_x0020_Number xmlns="cdc7663a-08f0-4737-9e8c-148ce897a09c" xsi:nil="true"/>
    <Package_x0020_Code xmlns="cdc7663a-08f0-4737-9e8c-148ce897a09c" xsi:nil="true"/>
    <Migration_x0020_Info xmlns="cdc7663a-08f0-4737-9e8c-148ce897a09c" xsi:nil="true"/>
    <Approval_x0020_Number xmlns="cdc7663a-08f0-4737-9e8c-148ce897a09c" xsi:nil="true"/>
    <Business_x0020_Area xmlns="cdc7663a-08f0-4737-9e8c-148ce897a09c" xsi:nil="true"/>
    <SISCOR_x0020_Number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Access_x0020_to_x0020_Information_x00a0_Policy xmlns="cdc7663a-08f0-4737-9e8c-148ce897a09c">Public - Simultaneous Disclosure</Access_x0020_to_x0020_Information_x00a0_Policy>
    <Identifier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AND PUBLIC SECTOR SUPPORT</TermName>
          <TermId xmlns="http://schemas.microsoft.com/office/infopath/2007/PartnerControls">6679f56e-8b55-402b-90a0-8fe4c41c00ba</TermId>
        </TermInfo>
      </Terms>
    </b2ec7cfb18674cb8803df6b262e8b107>
    <Document_x0020_Language_x0020_IDB xmlns="cdc7663a-08f0-4737-9e8c-148ce897a09c">English</Document_x0020_Language_x0020_IDB>
    <_dlc_DocIdUrl xmlns="cdc7663a-08f0-4737-9e8c-148ce897a09c">
      <Url>https://idbg.sharepoint.com/teams/EZ-HA-LON/HA-L1131/_layouts/15/DocIdRedir.aspx?ID=EZSHARE-1089081468-18</Url>
      <Description>EZSHARE-1089081468-18</Description>
    </_dlc_DocIdUrl>
    <Phase xmlns="cdc7663a-08f0-4737-9e8c-148ce897a09c" xsi:nil="true"/>
    <Other_x0020_Author xmlns="cdc7663a-08f0-4737-9e8c-148ce897a09c" xsi:nil="true"/>
    <IDBDocs_x0020_Number xmlns="cdc7663a-08f0-4737-9e8c-148ce897a09c" xsi:nil="true"/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6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8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D4E559C8-399C-4BB6-98A9-8852E4E462B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5D2FB10-805B-4AEB-83D1-488EA2827B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477B63-CB2D-439B-89A5-669283ADC2C2}"/>
</file>

<file path=customXml/itemProps4.xml><?xml version="1.0" encoding="utf-8"?>
<ds:datastoreItem xmlns:ds="http://schemas.openxmlformats.org/officeDocument/2006/customXml" ds:itemID="{B4496C05-4C30-4029-9908-FDC720BEC5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4CC26E2-F34A-4C6A-884C-BEF5A7C575B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dc7663a-08f0-4737-9e8c-148ce897a09c"/>
    <ds:schemaRef ds:uri="http://www.w3.org/XML/1998/namespace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8A1192CB-90C3-4BEE-ACA5-1F4DC7E5B8E4}"/>
</file>

<file path=customXml/itemProps7.xml><?xml version="1.0" encoding="utf-8"?>
<ds:datastoreItem xmlns:ds="http://schemas.openxmlformats.org/officeDocument/2006/customXml" ds:itemID="{2AA8ED27-127C-45A9-A4D9-E541BAC0F0EC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BC08D2F1-602D-4E0D-837A-1A5C15EEDB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Kaufmann, Jorge</dc:creator>
  <cp:keywords/>
  <dc:description/>
  <cp:lastModifiedBy>Mahfouz, Giovanna L.</cp:lastModifiedBy>
  <cp:revision>2</cp:revision>
  <cp:lastPrinted>2019-03-13T22:48:00Z</cp:lastPrinted>
  <dcterms:created xsi:type="dcterms:W3CDTF">2019-03-13T22:52:00Z</dcterms:created>
  <dcterms:modified xsi:type="dcterms:W3CDTF">2019-03-13T22:52:00Z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208;#REFORM AND PUBLIC SECTOR SUPPORT|6679f56e-8b55-402b-90a0-8fe4c41c00ba</vt:lpwstr>
  </property>
  <property fmtid="{D5CDD505-2E9C-101B-9397-08002B2CF9AE}" pid="7" name="Country">
    <vt:lpwstr>42;#Haiti|77a11ace-c854-4e9c-9e19-c924bca0dd43</vt:lpwstr>
  </property>
  <property fmtid="{D5CDD505-2E9C-101B-9397-08002B2CF9AE}" pid="8" name="Fund IDB">
    <vt:lpwstr/>
  </property>
  <property fmtid="{D5CDD505-2E9C-101B-9397-08002B2CF9AE}" pid="9" name="_dlc_DocIdItemGuid">
    <vt:lpwstr>cf1dbbab-9c06-42e9-b9b6-03ce17e0face</vt:lpwstr>
  </property>
  <property fmtid="{D5CDD505-2E9C-101B-9397-08002B2CF9AE}" pid="10" name="Sector IDB">
    <vt:lpwstr>76;#REFORM / MODERNIZATION OF THE STATE|c8fda4a7-691a-4c65-b227-9825197b5cd2</vt:lpwstr>
  </property>
  <property fmtid="{D5CDD505-2E9C-101B-9397-08002B2CF9AE}" pid="11" name="Function Operations IDB">
    <vt:lpwstr>1;#Project Preparation, Planning and Design|29ca0c72-1fc4-435f-a09c-28585cb5eac9</vt:lpwstr>
  </property>
  <property fmtid="{D5CDD505-2E9C-101B-9397-08002B2CF9AE}" pid="12" name="Disclosure Activity">
    <vt:lpwstr>Loan Proposal</vt:lpwstr>
  </property>
  <property fmtid="{D5CDD505-2E9C-101B-9397-08002B2CF9AE}" pid="13" name="ContentTypeId">
    <vt:lpwstr>0x0101001A458A224826124E8B45B1D613300CFC003BE84CF97D9D3F4BA8621B26D2F4A633</vt:lpwstr>
  </property>
</Properties>
</file>