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word/webSettings.xml" ContentType="application/vnd.openxmlformats-officedocument.wordprocessingml.webSetting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19113E" w14:textId="091F0C98" w:rsidR="004C2D3F" w:rsidRDefault="00080866" w:rsidP="00080866">
      <w:pPr>
        <w:ind w:left="720" w:hanging="360"/>
        <w:jc w:val="center"/>
        <w:rPr>
          <w:rFonts w:eastAsia="Times New Roman"/>
          <w:b/>
          <w:bCs/>
          <w:sz w:val="24"/>
          <w:szCs w:val="24"/>
          <w:lang w:val="es-ES"/>
        </w:rPr>
      </w:pPr>
      <w:r w:rsidRPr="00080866">
        <w:rPr>
          <w:rFonts w:eastAsia="Times New Roman"/>
          <w:b/>
          <w:bCs/>
          <w:sz w:val="24"/>
          <w:szCs w:val="24"/>
          <w:lang w:val="es-ES"/>
        </w:rPr>
        <w:t xml:space="preserve">Anexo 11: Gestión del Programa de </w:t>
      </w:r>
      <w:r w:rsidR="00B71023">
        <w:rPr>
          <w:rFonts w:eastAsia="Times New Roman"/>
          <w:b/>
          <w:bCs/>
          <w:sz w:val="24"/>
          <w:szCs w:val="24"/>
          <w:lang w:val="es-ES"/>
        </w:rPr>
        <w:t xml:space="preserve">Incentivos para el </w:t>
      </w:r>
      <w:r w:rsidRPr="00080866">
        <w:rPr>
          <w:rFonts w:eastAsia="Times New Roman"/>
          <w:b/>
          <w:bCs/>
          <w:sz w:val="24"/>
          <w:szCs w:val="24"/>
          <w:lang w:val="es-ES"/>
        </w:rPr>
        <w:t xml:space="preserve">Retiro </w:t>
      </w:r>
      <w:r w:rsidR="00B71023">
        <w:rPr>
          <w:rFonts w:eastAsia="Times New Roman"/>
          <w:b/>
          <w:bCs/>
          <w:sz w:val="24"/>
          <w:szCs w:val="24"/>
          <w:lang w:val="es-ES"/>
        </w:rPr>
        <w:t>de Funcionarios</w:t>
      </w:r>
      <w:r w:rsidRPr="00080866">
        <w:rPr>
          <w:rFonts w:eastAsia="Times New Roman"/>
          <w:b/>
          <w:bCs/>
          <w:sz w:val="24"/>
          <w:szCs w:val="24"/>
          <w:lang w:val="es-ES"/>
        </w:rPr>
        <w:t xml:space="preserve"> y del Pago de Salarios</w:t>
      </w:r>
    </w:p>
    <w:p w14:paraId="12548A5C" w14:textId="77777777" w:rsidR="00F24A20" w:rsidRPr="00F24A20" w:rsidRDefault="00F24A20" w:rsidP="00F24A20">
      <w:pPr>
        <w:rPr>
          <w:rFonts w:eastAsia="Times New Roman"/>
          <w:lang w:val="es-ES_tradnl"/>
        </w:rPr>
      </w:pPr>
    </w:p>
    <w:p w14:paraId="59C1B4C1" w14:textId="46DB9FE2" w:rsidR="008A7E0E" w:rsidRPr="008A7E0E" w:rsidRDefault="004239EA" w:rsidP="008A7E0E">
      <w:pPr>
        <w:pStyle w:val="ListParagraph"/>
        <w:numPr>
          <w:ilvl w:val="0"/>
          <w:numId w:val="12"/>
        </w:numPr>
        <w:spacing w:after="200" w:line="276" w:lineRule="auto"/>
        <w:contextualSpacing/>
        <w:jc w:val="both"/>
        <w:rPr>
          <w:rFonts w:eastAsia="Times New Roman"/>
          <w:b/>
          <w:u w:val="single"/>
          <w:lang w:val="es-ES_tradnl"/>
        </w:rPr>
      </w:pPr>
      <w:r>
        <w:rPr>
          <w:rFonts w:eastAsia="Times New Roman"/>
          <w:b/>
          <w:u w:val="single"/>
          <w:lang w:val="es-ES_tradnl"/>
        </w:rPr>
        <w:t xml:space="preserve">Condiciones y Procedimientos del </w:t>
      </w:r>
      <w:r w:rsidR="008A7E0E" w:rsidRPr="008A7E0E">
        <w:rPr>
          <w:rFonts w:eastAsia="Times New Roman"/>
          <w:b/>
          <w:u w:val="single"/>
          <w:lang w:val="es-ES_tradnl"/>
        </w:rPr>
        <w:t xml:space="preserve">Programa de </w:t>
      </w:r>
      <w:r w:rsidR="00B71023">
        <w:rPr>
          <w:rFonts w:eastAsia="Times New Roman"/>
          <w:b/>
          <w:u w:val="single"/>
          <w:lang w:val="es-ES_tradnl"/>
        </w:rPr>
        <w:t>Incentivos para el R</w:t>
      </w:r>
      <w:r w:rsidR="008A7E0E" w:rsidRPr="008A7E0E">
        <w:rPr>
          <w:rFonts w:eastAsia="Times New Roman"/>
          <w:b/>
          <w:u w:val="single"/>
          <w:lang w:val="es-ES_tradnl"/>
        </w:rPr>
        <w:t xml:space="preserve">etiro </w:t>
      </w:r>
      <w:r w:rsidR="00B71023">
        <w:rPr>
          <w:rFonts w:eastAsia="Times New Roman"/>
          <w:b/>
          <w:u w:val="single"/>
          <w:lang w:val="es-ES_tradnl"/>
        </w:rPr>
        <w:t>de Funcionarios</w:t>
      </w:r>
      <w:r w:rsidR="008A7E0E" w:rsidRPr="008A7E0E">
        <w:rPr>
          <w:rFonts w:eastAsia="Times New Roman"/>
          <w:b/>
          <w:u w:val="single"/>
          <w:lang w:val="es-ES_tradnl"/>
        </w:rPr>
        <w:t xml:space="preserve"> </w:t>
      </w:r>
    </w:p>
    <w:p w14:paraId="787FF6A1" w14:textId="72918893" w:rsidR="00ED2C62" w:rsidRPr="004C2D3F" w:rsidRDefault="004239EA" w:rsidP="004C2D3F">
      <w:pPr>
        <w:spacing w:after="200" w:line="276" w:lineRule="auto"/>
        <w:contextualSpacing/>
        <w:jc w:val="both"/>
        <w:rPr>
          <w:rFonts w:eastAsia="Times New Roman"/>
          <w:b/>
          <w:u w:val="single"/>
          <w:lang w:val="es-ES_tradnl"/>
        </w:rPr>
      </w:pPr>
      <w:r w:rsidRPr="005B37F2">
        <w:rPr>
          <w:rFonts w:eastAsia="Times New Roman"/>
          <w:b/>
          <w:lang w:val="es-ES_tradnl"/>
        </w:rPr>
        <w:t xml:space="preserve">1.1 </w:t>
      </w:r>
      <w:r w:rsidR="00ED2C62" w:rsidRPr="004C2D3F">
        <w:rPr>
          <w:rFonts w:eastAsia="Times New Roman"/>
          <w:b/>
          <w:u w:val="single"/>
          <w:lang w:val="es-ES_tradnl"/>
        </w:rPr>
        <w:t xml:space="preserve">Criterios </w:t>
      </w:r>
      <w:r w:rsidR="004C2D3F">
        <w:rPr>
          <w:rFonts w:eastAsia="Times New Roman"/>
          <w:b/>
          <w:u w:val="single"/>
          <w:lang w:val="es-ES_tradnl"/>
        </w:rPr>
        <w:t>de E</w:t>
      </w:r>
      <w:r w:rsidR="00ED2C62" w:rsidRPr="004C2D3F">
        <w:rPr>
          <w:rFonts w:eastAsia="Times New Roman"/>
          <w:b/>
          <w:u w:val="single"/>
          <w:lang w:val="es-ES_tradnl"/>
        </w:rPr>
        <w:t xml:space="preserve">legibilidad de funcionarios públicos para el Programa de </w:t>
      </w:r>
      <w:r w:rsidR="00B71023">
        <w:rPr>
          <w:rFonts w:eastAsia="Times New Roman"/>
          <w:b/>
          <w:u w:val="single"/>
          <w:lang w:val="es-ES_tradnl"/>
        </w:rPr>
        <w:t xml:space="preserve">Incentivos para el </w:t>
      </w:r>
      <w:r w:rsidR="00ED2C62" w:rsidRPr="004C2D3F">
        <w:rPr>
          <w:rFonts w:eastAsia="Times New Roman"/>
          <w:b/>
          <w:u w:val="single"/>
          <w:lang w:val="es-ES_tradnl"/>
        </w:rPr>
        <w:t xml:space="preserve">Retiro </w:t>
      </w:r>
      <w:r w:rsidR="00B71023">
        <w:rPr>
          <w:rFonts w:eastAsia="Times New Roman"/>
          <w:b/>
          <w:u w:val="single"/>
          <w:lang w:val="es-ES_tradnl"/>
        </w:rPr>
        <w:t>de Funcionarios</w:t>
      </w:r>
    </w:p>
    <w:p w14:paraId="7E16D73A" w14:textId="77777777" w:rsidR="00ED2C62" w:rsidRDefault="00ED2C62" w:rsidP="004C2D3F">
      <w:pPr>
        <w:spacing w:after="200" w:line="276" w:lineRule="auto"/>
        <w:ind w:left="1440"/>
        <w:contextualSpacing/>
        <w:jc w:val="both"/>
        <w:rPr>
          <w:rFonts w:eastAsia="Times New Roman"/>
          <w:lang w:val="es-ES_tradnl"/>
        </w:rPr>
      </w:pPr>
    </w:p>
    <w:p w14:paraId="0981A2F9" w14:textId="543169AF" w:rsidR="00ED2C62" w:rsidRDefault="00ED2C62" w:rsidP="00A159D1">
      <w:pPr>
        <w:numPr>
          <w:ilvl w:val="0"/>
          <w:numId w:val="8"/>
        </w:numPr>
        <w:spacing w:after="200" w:line="276" w:lineRule="auto"/>
        <w:contextualSpacing/>
        <w:jc w:val="both"/>
        <w:rPr>
          <w:rFonts w:eastAsia="Times New Roman"/>
          <w:lang w:val="es-ES_tradnl"/>
        </w:rPr>
      </w:pPr>
      <w:r w:rsidRPr="00ED2C62">
        <w:rPr>
          <w:rFonts w:eastAsia="Times New Roman"/>
          <w:lang w:val="es-ES_tradnl"/>
        </w:rPr>
        <w:t xml:space="preserve">Los </w:t>
      </w:r>
      <w:r w:rsidR="002733C4">
        <w:rPr>
          <w:rFonts w:eastAsia="Times New Roman"/>
          <w:lang w:val="es-ES_tradnl"/>
        </w:rPr>
        <w:t xml:space="preserve">funcionarios públicos interesados en aplicar al Programa de </w:t>
      </w:r>
      <w:r w:rsidR="00B71023">
        <w:rPr>
          <w:rFonts w:eastAsia="Times New Roman"/>
          <w:lang w:val="es-ES_tradnl"/>
        </w:rPr>
        <w:t xml:space="preserve">Incentivos de </w:t>
      </w:r>
      <w:r w:rsidR="002733C4">
        <w:rPr>
          <w:rFonts w:eastAsia="Times New Roman"/>
          <w:lang w:val="es-ES_tradnl"/>
        </w:rPr>
        <w:t xml:space="preserve">Retiro </w:t>
      </w:r>
      <w:r w:rsidR="00B71023">
        <w:rPr>
          <w:rFonts w:eastAsia="Times New Roman"/>
          <w:lang w:val="es-ES_tradnl"/>
        </w:rPr>
        <w:t>de Funcionarios</w:t>
      </w:r>
      <w:r w:rsidR="002733C4">
        <w:rPr>
          <w:rFonts w:eastAsia="Times New Roman"/>
          <w:lang w:val="es-ES_tradnl"/>
        </w:rPr>
        <w:t xml:space="preserve"> </w:t>
      </w:r>
      <w:r w:rsidRPr="00ED2C62">
        <w:rPr>
          <w:rFonts w:eastAsia="Times New Roman"/>
          <w:lang w:val="es-ES_tradnl"/>
        </w:rPr>
        <w:t xml:space="preserve">deben haber cumplido la edad de retiro (58 años) y haber sido funcionario público por un mínimo de (5) </w:t>
      </w:r>
      <w:r w:rsidR="00A159D1" w:rsidRPr="00ED2C62">
        <w:rPr>
          <w:rFonts w:eastAsia="Times New Roman"/>
          <w:lang w:val="es-ES_tradnl"/>
        </w:rPr>
        <w:t>añ</w:t>
      </w:r>
      <w:r w:rsidR="00A159D1">
        <w:rPr>
          <w:rFonts w:eastAsia="Times New Roman"/>
          <w:lang w:val="es-ES_tradnl"/>
        </w:rPr>
        <w:t>o</w:t>
      </w:r>
      <w:r w:rsidR="00A159D1" w:rsidRPr="00ED2C62">
        <w:rPr>
          <w:rFonts w:eastAsia="Times New Roman"/>
          <w:lang w:val="es-ES_tradnl"/>
        </w:rPr>
        <w:t>s</w:t>
      </w:r>
      <w:r w:rsidR="005C4D61">
        <w:rPr>
          <w:rStyle w:val="FootnoteReference"/>
          <w:rFonts w:eastAsia="Times New Roman"/>
          <w:lang w:val="es-ES_tradnl"/>
        </w:rPr>
        <w:footnoteReference w:id="1"/>
      </w:r>
      <w:r w:rsidRPr="00ED2C62">
        <w:rPr>
          <w:rFonts w:eastAsia="Times New Roman"/>
          <w:lang w:val="es-ES_tradnl"/>
        </w:rPr>
        <w:t xml:space="preserve">, </w:t>
      </w:r>
      <w:r w:rsidR="005C4D61">
        <w:rPr>
          <w:rFonts w:eastAsia="Times New Roman"/>
          <w:lang w:val="es-ES_tradnl"/>
        </w:rPr>
        <w:t>lo que es consistente con las normas</w:t>
      </w:r>
      <w:r w:rsidRPr="00ED2C62">
        <w:rPr>
          <w:rFonts w:eastAsia="Times New Roman"/>
          <w:lang w:val="es-ES_tradnl"/>
        </w:rPr>
        <w:t xml:space="preserve"> </w:t>
      </w:r>
      <w:r w:rsidR="005C4D61">
        <w:rPr>
          <w:rFonts w:eastAsia="Times New Roman"/>
          <w:lang w:val="es-ES_tradnl"/>
        </w:rPr>
        <w:t>d</w:t>
      </w:r>
      <w:r w:rsidRPr="00ED2C62">
        <w:rPr>
          <w:rFonts w:eastAsia="Times New Roman"/>
          <w:lang w:val="es-ES_tradnl"/>
        </w:rPr>
        <w:t xml:space="preserve">el artículo 4 del decreto del </w:t>
      </w:r>
      <w:r w:rsidR="005C4D61">
        <w:rPr>
          <w:rFonts w:eastAsia="Times New Roman"/>
          <w:lang w:val="es-ES_tradnl"/>
        </w:rPr>
        <w:t xml:space="preserve">9 de octubre de </w:t>
      </w:r>
      <w:r w:rsidRPr="00ED2C62">
        <w:rPr>
          <w:rFonts w:eastAsia="Times New Roman"/>
          <w:lang w:val="es-ES_tradnl"/>
        </w:rPr>
        <w:t>2015</w:t>
      </w:r>
      <w:r w:rsidR="005C4D61">
        <w:rPr>
          <w:rFonts w:eastAsia="Times New Roman"/>
          <w:lang w:val="es-ES_tradnl"/>
        </w:rPr>
        <w:t>, que establece la elegibilidad para recibir pensión de retiro para los funcionarios públicos</w:t>
      </w:r>
      <w:r w:rsidRPr="00ED2C62">
        <w:rPr>
          <w:rFonts w:eastAsia="Times New Roman"/>
          <w:lang w:val="es-ES_tradnl"/>
        </w:rPr>
        <w:t>.</w:t>
      </w:r>
    </w:p>
    <w:p w14:paraId="5B9EF6FF" w14:textId="4160FABE" w:rsidR="00ED2C62" w:rsidRDefault="00D77BF6" w:rsidP="00A159D1">
      <w:pPr>
        <w:numPr>
          <w:ilvl w:val="0"/>
          <w:numId w:val="8"/>
        </w:numPr>
        <w:spacing w:after="200" w:line="276" w:lineRule="auto"/>
        <w:contextualSpacing/>
        <w:jc w:val="both"/>
        <w:rPr>
          <w:rFonts w:eastAsia="Times New Roman"/>
          <w:lang w:val="es-ES_tradnl"/>
        </w:rPr>
      </w:pPr>
      <w:r>
        <w:rPr>
          <w:rFonts w:eastAsia="Times New Roman"/>
          <w:lang w:val="es-ES_tradnl"/>
        </w:rPr>
        <w:t>Los</w:t>
      </w:r>
      <w:r w:rsidR="00ED2C62" w:rsidRPr="00ED2C62">
        <w:rPr>
          <w:rFonts w:eastAsia="Times New Roman"/>
          <w:lang w:val="es-ES_tradnl"/>
        </w:rPr>
        <w:t xml:space="preserve"> nuevos reclutamientos </w:t>
      </w:r>
      <w:r>
        <w:rPr>
          <w:rFonts w:eastAsia="Times New Roman"/>
          <w:lang w:val="es-ES_tradnl"/>
        </w:rPr>
        <w:t>necesarios para cubri</w:t>
      </w:r>
      <w:r w:rsidR="002733C4">
        <w:rPr>
          <w:rFonts w:eastAsia="Times New Roman"/>
          <w:lang w:val="es-ES_tradnl"/>
        </w:rPr>
        <w:t>r</w:t>
      </w:r>
      <w:r>
        <w:rPr>
          <w:rFonts w:eastAsia="Times New Roman"/>
          <w:lang w:val="es-ES_tradnl"/>
        </w:rPr>
        <w:t xml:space="preserve"> los puestos </w:t>
      </w:r>
      <w:r w:rsidR="0052596E">
        <w:rPr>
          <w:rFonts w:eastAsia="Times New Roman"/>
          <w:lang w:val="es-ES_tradnl"/>
        </w:rPr>
        <w:t xml:space="preserve">de funcionarios que se acojan al programa de </w:t>
      </w:r>
      <w:r w:rsidR="00EB5A39">
        <w:rPr>
          <w:rFonts w:eastAsia="Times New Roman"/>
          <w:lang w:val="es-ES_tradnl"/>
        </w:rPr>
        <w:t xml:space="preserve">incentivos para el </w:t>
      </w:r>
      <w:r w:rsidR="0052596E">
        <w:rPr>
          <w:rFonts w:eastAsia="Times New Roman"/>
          <w:lang w:val="es-ES_tradnl"/>
        </w:rPr>
        <w:t>retiro</w:t>
      </w:r>
      <w:r w:rsidR="002733C4">
        <w:rPr>
          <w:rFonts w:eastAsia="Times New Roman"/>
          <w:lang w:val="es-ES_tradnl"/>
        </w:rPr>
        <w:t xml:space="preserve"> </w:t>
      </w:r>
      <w:r w:rsidR="00ED2C62" w:rsidRPr="00ED2C62">
        <w:rPr>
          <w:rFonts w:eastAsia="Times New Roman"/>
          <w:lang w:val="es-ES_tradnl"/>
        </w:rPr>
        <w:t>deberán ejecutarse conforme a los procesos competitivos, neutrales, publicitados y transparentes establecidos en las normas del Servicio Civil y las disposiciones que dicta la Oficina de Gestión y Recursos Humanos (OMRH). Además, la selección deberá garantizar que los nuevos funcionarios reclutados cumplan los perfiles de puestos para las posiciones directivas o técnicas respectivas.</w:t>
      </w:r>
    </w:p>
    <w:p w14:paraId="477721ED" w14:textId="335E5955" w:rsidR="00ED2C62" w:rsidRPr="00ED2C62" w:rsidRDefault="002733C4" w:rsidP="00A159D1">
      <w:pPr>
        <w:numPr>
          <w:ilvl w:val="0"/>
          <w:numId w:val="8"/>
        </w:numPr>
        <w:spacing w:after="200" w:line="276" w:lineRule="auto"/>
        <w:contextualSpacing/>
        <w:jc w:val="both"/>
        <w:rPr>
          <w:rFonts w:eastAsia="Times New Roman"/>
          <w:lang w:val="es-ES_tradnl"/>
        </w:rPr>
      </w:pPr>
      <w:r>
        <w:rPr>
          <w:rFonts w:eastAsia="Times New Roman"/>
          <w:lang w:val="es-ES_tradnl"/>
        </w:rPr>
        <w:t xml:space="preserve">Los </w:t>
      </w:r>
      <w:r w:rsidR="00ED2C62" w:rsidRPr="00ED2C62">
        <w:rPr>
          <w:rFonts w:eastAsia="Times New Roman"/>
          <w:lang w:val="es-ES_tradnl"/>
        </w:rPr>
        <w:t>funcionario</w:t>
      </w:r>
      <w:r>
        <w:rPr>
          <w:rFonts w:eastAsia="Times New Roman"/>
          <w:lang w:val="es-ES_tradnl"/>
        </w:rPr>
        <w:t>s deberán</w:t>
      </w:r>
      <w:r w:rsidR="00ED2C62" w:rsidRPr="00ED2C62">
        <w:rPr>
          <w:rFonts w:eastAsia="Times New Roman"/>
          <w:lang w:val="es-ES_tradnl"/>
        </w:rPr>
        <w:t xml:space="preserve"> </w:t>
      </w:r>
      <w:r>
        <w:rPr>
          <w:rFonts w:eastAsia="Times New Roman"/>
          <w:lang w:val="es-ES_tradnl"/>
        </w:rPr>
        <w:t>confirmar</w:t>
      </w:r>
      <w:r w:rsidR="00ED2C62" w:rsidRPr="00ED2C62">
        <w:rPr>
          <w:rFonts w:eastAsia="Times New Roman"/>
          <w:lang w:val="es-ES_tradnl"/>
        </w:rPr>
        <w:t xml:space="preserve"> libremente </w:t>
      </w:r>
      <w:r w:rsidR="00A159D1">
        <w:rPr>
          <w:rFonts w:eastAsia="Times New Roman"/>
          <w:lang w:val="es-ES_tradnl"/>
        </w:rPr>
        <w:t xml:space="preserve">y por escrito </w:t>
      </w:r>
      <w:r w:rsidR="00ED2C62" w:rsidRPr="00ED2C62">
        <w:rPr>
          <w:rFonts w:eastAsia="Times New Roman"/>
          <w:lang w:val="es-ES_tradnl"/>
        </w:rPr>
        <w:t>su voluntad de retirarse</w:t>
      </w:r>
      <w:r w:rsidR="0052596E">
        <w:rPr>
          <w:rFonts w:eastAsia="Times New Roman"/>
          <w:lang w:val="es-ES_tradnl"/>
        </w:rPr>
        <w:t>, mediante el formulario elaborado por OMRH</w:t>
      </w:r>
      <w:r w:rsidR="00A159D1">
        <w:rPr>
          <w:rFonts w:eastAsia="Times New Roman"/>
          <w:lang w:val="es-ES_tradnl"/>
        </w:rPr>
        <w:t>.</w:t>
      </w:r>
    </w:p>
    <w:p w14:paraId="25C9661F" w14:textId="77777777" w:rsidR="00ED2C62" w:rsidRDefault="00ED2C62" w:rsidP="004C2D3F">
      <w:pPr>
        <w:spacing w:after="200" w:line="276" w:lineRule="auto"/>
        <w:ind w:left="720"/>
        <w:contextualSpacing/>
        <w:jc w:val="both"/>
        <w:rPr>
          <w:rFonts w:eastAsia="Times New Roman"/>
          <w:lang w:val="es-ES_tradnl"/>
        </w:rPr>
      </w:pPr>
    </w:p>
    <w:p w14:paraId="6F50121A" w14:textId="3C5D8B06" w:rsidR="00ED2C62" w:rsidRPr="004C2D3F" w:rsidRDefault="004239EA" w:rsidP="004C2D3F">
      <w:pPr>
        <w:spacing w:after="200" w:line="276" w:lineRule="auto"/>
        <w:contextualSpacing/>
        <w:jc w:val="both"/>
        <w:rPr>
          <w:rFonts w:eastAsia="Times New Roman"/>
          <w:b/>
          <w:u w:val="single"/>
          <w:lang w:val="es-ES_tradnl"/>
        </w:rPr>
      </w:pPr>
      <w:r w:rsidRPr="005B37F2">
        <w:rPr>
          <w:rFonts w:eastAsia="Times New Roman"/>
          <w:b/>
          <w:lang w:val="es-ES_tradnl"/>
        </w:rPr>
        <w:t xml:space="preserve">1.2 </w:t>
      </w:r>
      <w:r w:rsidR="00ED2C62" w:rsidRPr="004C2D3F">
        <w:rPr>
          <w:rFonts w:eastAsia="Times New Roman"/>
          <w:b/>
          <w:u w:val="single"/>
          <w:lang w:val="es-ES_tradnl"/>
        </w:rPr>
        <w:t>Proce</w:t>
      </w:r>
      <w:r w:rsidR="004C2D3F">
        <w:rPr>
          <w:rFonts w:eastAsia="Times New Roman"/>
          <w:b/>
          <w:u w:val="single"/>
          <w:lang w:val="es-ES_tradnl"/>
        </w:rPr>
        <w:t xml:space="preserve">dimiento </w:t>
      </w:r>
      <w:r w:rsidR="00ED2C62" w:rsidRPr="004C2D3F">
        <w:rPr>
          <w:rFonts w:eastAsia="Times New Roman"/>
          <w:b/>
          <w:u w:val="single"/>
          <w:lang w:val="es-ES_tradnl"/>
        </w:rPr>
        <w:t xml:space="preserve">del Programa de </w:t>
      </w:r>
      <w:r w:rsidR="00B71023">
        <w:rPr>
          <w:rFonts w:eastAsia="Times New Roman"/>
          <w:b/>
          <w:u w:val="single"/>
          <w:lang w:val="es-ES_tradnl"/>
        </w:rPr>
        <w:t xml:space="preserve">Incentivos para el </w:t>
      </w:r>
      <w:r w:rsidR="00ED2C62" w:rsidRPr="004C2D3F">
        <w:rPr>
          <w:rFonts w:eastAsia="Times New Roman"/>
          <w:b/>
          <w:u w:val="single"/>
          <w:lang w:val="es-ES_tradnl"/>
        </w:rPr>
        <w:t xml:space="preserve">Retiro </w:t>
      </w:r>
      <w:r w:rsidR="00B71023">
        <w:rPr>
          <w:rFonts w:eastAsia="Times New Roman"/>
          <w:b/>
          <w:u w:val="single"/>
          <w:lang w:val="es-ES_tradnl"/>
        </w:rPr>
        <w:t>de Funcionarios</w:t>
      </w:r>
    </w:p>
    <w:p w14:paraId="3C4ADE7C" w14:textId="77777777" w:rsidR="00ED2C62" w:rsidRDefault="00ED2C62" w:rsidP="004C2D3F">
      <w:pPr>
        <w:spacing w:after="200" w:line="276" w:lineRule="auto"/>
        <w:contextualSpacing/>
        <w:jc w:val="both"/>
        <w:rPr>
          <w:rFonts w:eastAsia="Times New Roman"/>
          <w:lang w:val="es-ES_tradnl"/>
        </w:rPr>
      </w:pPr>
    </w:p>
    <w:p w14:paraId="3B834DD2" w14:textId="221F25B1" w:rsidR="005162E5" w:rsidRPr="00ED2C62" w:rsidRDefault="00F66E84" w:rsidP="004C2D3F">
      <w:pPr>
        <w:numPr>
          <w:ilvl w:val="0"/>
          <w:numId w:val="8"/>
        </w:numPr>
        <w:spacing w:after="200" w:line="276" w:lineRule="auto"/>
        <w:contextualSpacing/>
        <w:jc w:val="both"/>
        <w:rPr>
          <w:rFonts w:eastAsia="Times New Roman"/>
          <w:lang w:val="es-ES_tradnl"/>
        </w:rPr>
      </w:pPr>
      <w:r w:rsidRPr="004C2D3F">
        <w:rPr>
          <w:rFonts w:eastAsia="Times New Roman"/>
          <w:lang w:val="es-ES_tradnl"/>
        </w:rPr>
        <w:t xml:space="preserve">Reunión entre la Dirección de la Pensión Civil del Ministerio de Economía y Finanzas (DPC/MEF), el Ministerio </w:t>
      </w:r>
      <w:r w:rsidR="00ED2C62">
        <w:rPr>
          <w:rFonts w:eastAsia="Times New Roman"/>
          <w:lang w:val="es-ES_tradnl"/>
        </w:rPr>
        <w:t>interesado en participar en el Programa</w:t>
      </w:r>
      <w:r w:rsidRPr="004C2D3F">
        <w:rPr>
          <w:rFonts w:eastAsia="Times New Roman"/>
          <w:lang w:val="es-ES_tradnl"/>
        </w:rPr>
        <w:t xml:space="preserve"> (Director General y Departamento de Recursos Humanos), </w:t>
      </w:r>
      <w:r w:rsidR="00CA1CC9">
        <w:rPr>
          <w:rFonts w:eastAsia="Times New Roman"/>
          <w:lang w:val="es-ES_tradnl"/>
        </w:rPr>
        <w:t>la</w:t>
      </w:r>
      <w:r w:rsidRPr="004C2D3F">
        <w:rPr>
          <w:rFonts w:eastAsia="Times New Roman"/>
          <w:lang w:val="es-ES_tradnl"/>
        </w:rPr>
        <w:t xml:space="preserve"> OMRH</w:t>
      </w:r>
      <w:r w:rsidR="00B73403" w:rsidRPr="004C2D3F">
        <w:rPr>
          <w:rFonts w:eastAsia="Times New Roman"/>
          <w:lang w:val="es-ES_tradnl"/>
        </w:rPr>
        <w:t xml:space="preserve"> y</w:t>
      </w:r>
      <w:r w:rsidRPr="004C2D3F">
        <w:rPr>
          <w:rFonts w:eastAsia="Times New Roman"/>
          <w:lang w:val="es-ES_tradnl"/>
        </w:rPr>
        <w:t xml:space="preserve"> el </w:t>
      </w:r>
      <w:r w:rsidR="00A159D1">
        <w:rPr>
          <w:rFonts w:eastAsia="Times New Roman"/>
          <w:lang w:val="es-ES_tradnl"/>
        </w:rPr>
        <w:t>BID</w:t>
      </w:r>
      <w:r w:rsidRPr="004C2D3F">
        <w:rPr>
          <w:rFonts w:eastAsia="Times New Roman"/>
          <w:lang w:val="es-ES_tradnl"/>
        </w:rPr>
        <w:t xml:space="preserve"> </w:t>
      </w:r>
      <w:r w:rsidR="00B73403" w:rsidRPr="004C2D3F">
        <w:rPr>
          <w:rFonts w:eastAsia="Times New Roman"/>
          <w:lang w:val="es-ES_tradnl"/>
        </w:rPr>
        <w:t>para revisar el pro</w:t>
      </w:r>
      <w:r w:rsidR="004C2D3F">
        <w:rPr>
          <w:rFonts w:eastAsia="Times New Roman"/>
          <w:lang w:val="es-ES_tradnl"/>
        </w:rPr>
        <w:t>cedimiento</w:t>
      </w:r>
      <w:r w:rsidR="00B73403" w:rsidRPr="004C2D3F">
        <w:rPr>
          <w:rFonts w:eastAsia="Times New Roman"/>
          <w:lang w:val="es-ES_tradnl"/>
        </w:rPr>
        <w:t xml:space="preserve"> </w:t>
      </w:r>
      <w:r w:rsidR="005162E5" w:rsidRPr="004C2D3F">
        <w:rPr>
          <w:rFonts w:eastAsia="Times New Roman"/>
          <w:lang w:val="es-ES_tradnl"/>
        </w:rPr>
        <w:t xml:space="preserve">a ser utilizado para ejecutar </w:t>
      </w:r>
      <w:r w:rsidR="00B73403" w:rsidRPr="004C2D3F">
        <w:rPr>
          <w:rFonts w:eastAsia="Times New Roman"/>
          <w:lang w:val="es-ES_tradnl"/>
        </w:rPr>
        <w:t xml:space="preserve">el Programa de </w:t>
      </w:r>
      <w:r w:rsidR="00B71023">
        <w:rPr>
          <w:rFonts w:eastAsia="Times New Roman"/>
          <w:lang w:val="es-ES_tradnl"/>
        </w:rPr>
        <w:t xml:space="preserve">Incentivos para el </w:t>
      </w:r>
      <w:r w:rsidR="00B73403" w:rsidRPr="004C2D3F">
        <w:rPr>
          <w:rFonts w:eastAsia="Times New Roman"/>
          <w:lang w:val="es-ES_tradnl"/>
        </w:rPr>
        <w:t>Retiro</w:t>
      </w:r>
      <w:r w:rsidR="00B71023">
        <w:rPr>
          <w:rFonts w:eastAsia="Times New Roman"/>
          <w:lang w:val="es-ES_tradnl"/>
        </w:rPr>
        <w:t xml:space="preserve"> de Funcionarios</w:t>
      </w:r>
      <w:r w:rsidR="005162E5" w:rsidRPr="004C2D3F">
        <w:rPr>
          <w:rFonts w:eastAsia="Times New Roman"/>
          <w:lang w:val="es-ES_tradnl"/>
        </w:rPr>
        <w:t>,</w:t>
      </w:r>
      <w:r w:rsidR="00B73403" w:rsidRPr="004C2D3F">
        <w:rPr>
          <w:rFonts w:eastAsia="Times New Roman"/>
          <w:lang w:val="es-ES_tradnl"/>
        </w:rPr>
        <w:t xml:space="preserve"> </w:t>
      </w:r>
      <w:r w:rsidR="005162E5" w:rsidRPr="004C2D3F">
        <w:rPr>
          <w:rFonts w:eastAsia="Times New Roman"/>
          <w:lang w:val="es-ES_tradnl"/>
        </w:rPr>
        <w:t>conforme a los lineamientos</w:t>
      </w:r>
      <w:r w:rsidR="004C2D3F">
        <w:rPr>
          <w:rFonts w:eastAsia="Times New Roman"/>
          <w:lang w:val="es-ES_tradnl"/>
        </w:rPr>
        <w:t xml:space="preserve"> </w:t>
      </w:r>
      <w:r w:rsidR="00B73403" w:rsidRPr="004C2D3F">
        <w:rPr>
          <w:rFonts w:eastAsia="Times New Roman"/>
          <w:lang w:val="es-ES_tradnl"/>
        </w:rPr>
        <w:t>descrito en el Manual de Operaciones del Proyecto.</w:t>
      </w:r>
    </w:p>
    <w:p w14:paraId="29FCA44B" w14:textId="01076B3A" w:rsidR="00ED2C62" w:rsidRDefault="005162E5" w:rsidP="004C2D3F">
      <w:pPr>
        <w:numPr>
          <w:ilvl w:val="0"/>
          <w:numId w:val="8"/>
        </w:numPr>
        <w:spacing w:after="200" w:line="276" w:lineRule="auto"/>
        <w:contextualSpacing/>
        <w:jc w:val="both"/>
        <w:rPr>
          <w:rFonts w:eastAsia="Times New Roman"/>
          <w:lang w:val="es-ES_tradnl"/>
        </w:rPr>
      </w:pPr>
      <w:r w:rsidRPr="005162E5">
        <w:rPr>
          <w:rFonts w:eastAsia="Times New Roman"/>
          <w:lang w:val="es-ES_tradnl"/>
        </w:rPr>
        <w:t xml:space="preserve">Los </w:t>
      </w:r>
      <w:r w:rsidRPr="00ED2C62">
        <w:rPr>
          <w:rFonts w:eastAsia="Times New Roman"/>
          <w:lang w:val="es-ES_tradnl"/>
        </w:rPr>
        <w:t>ministerios</w:t>
      </w:r>
      <w:r w:rsidRPr="005162E5">
        <w:rPr>
          <w:rFonts w:eastAsia="Times New Roman"/>
          <w:lang w:val="es-ES_tradnl"/>
        </w:rPr>
        <w:t xml:space="preserve"> y agencias públicas que quieran acogerse al Programa deberán preparar una revisión funcional de su organizaci</w:t>
      </w:r>
      <w:r w:rsidR="004C2D3F">
        <w:rPr>
          <w:rFonts w:eastAsia="Times New Roman"/>
          <w:lang w:val="es-ES_tradnl"/>
        </w:rPr>
        <w:t xml:space="preserve">ón, cuyos términos de referencia recibirán la no objeción del BID, </w:t>
      </w:r>
      <w:r w:rsidRPr="005162E5">
        <w:rPr>
          <w:rFonts w:eastAsia="Times New Roman"/>
          <w:lang w:val="es-ES_tradnl"/>
        </w:rPr>
        <w:t>con el fin de determinar los puestos necesarios pa</w:t>
      </w:r>
      <w:r w:rsidR="004C2D3F">
        <w:rPr>
          <w:rFonts w:eastAsia="Times New Roman"/>
          <w:lang w:val="es-ES_tradnl"/>
        </w:rPr>
        <w:t>r</w:t>
      </w:r>
      <w:r w:rsidRPr="005162E5">
        <w:rPr>
          <w:rFonts w:eastAsia="Times New Roman"/>
          <w:lang w:val="es-ES_tradnl"/>
        </w:rPr>
        <w:t>a el cumplimiento de sus funciones, así como los que son innecesarios y podrán ser eliminados</w:t>
      </w:r>
      <w:r w:rsidR="00650C75" w:rsidRPr="005162E5">
        <w:rPr>
          <w:rFonts w:eastAsia="Times New Roman"/>
          <w:lang w:val="es-ES_tradnl"/>
        </w:rPr>
        <w:t xml:space="preserve">. </w:t>
      </w:r>
      <w:r w:rsidR="00ED2C62">
        <w:rPr>
          <w:rFonts w:eastAsia="Times New Roman"/>
          <w:lang w:val="es-ES_tradnl"/>
        </w:rPr>
        <w:t xml:space="preserve">En base a este análisis cada Ministerio </w:t>
      </w:r>
      <w:r w:rsidR="00ED2C62">
        <w:rPr>
          <w:rFonts w:eastAsia="Times New Roman"/>
          <w:lang w:val="es-ES_tradnl"/>
        </w:rPr>
        <w:lastRenderedPageBreak/>
        <w:t>prepara</w:t>
      </w:r>
      <w:r w:rsidR="002733C4">
        <w:rPr>
          <w:rFonts w:eastAsia="Times New Roman"/>
          <w:lang w:val="es-ES_tradnl"/>
        </w:rPr>
        <w:t>rá</w:t>
      </w:r>
      <w:r w:rsidR="00ED2C62">
        <w:rPr>
          <w:rFonts w:eastAsia="Times New Roman"/>
          <w:lang w:val="es-ES_tradnl"/>
        </w:rPr>
        <w:t xml:space="preserve"> una lista de los funcionarios </w:t>
      </w:r>
      <w:r w:rsidR="004C2D3F">
        <w:rPr>
          <w:rFonts w:eastAsia="Times New Roman"/>
          <w:lang w:val="es-ES_tradnl"/>
        </w:rPr>
        <w:t>que cumpl</w:t>
      </w:r>
      <w:r w:rsidR="002733C4">
        <w:rPr>
          <w:rFonts w:eastAsia="Times New Roman"/>
          <w:lang w:val="es-ES_tradnl"/>
        </w:rPr>
        <w:t>irían</w:t>
      </w:r>
      <w:r w:rsidR="004C2D3F">
        <w:rPr>
          <w:rFonts w:eastAsia="Times New Roman"/>
          <w:lang w:val="es-ES_tradnl"/>
        </w:rPr>
        <w:t xml:space="preserve"> los Criterios de Elegibilidad </w:t>
      </w:r>
      <w:r w:rsidR="00ED2C62">
        <w:rPr>
          <w:rFonts w:eastAsia="Times New Roman"/>
          <w:lang w:val="es-ES_tradnl"/>
        </w:rPr>
        <w:t>para acogerse al Programa y la remit</w:t>
      </w:r>
      <w:r w:rsidR="002733C4">
        <w:rPr>
          <w:rFonts w:eastAsia="Times New Roman"/>
          <w:lang w:val="es-ES_tradnl"/>
        </w:rPr>
        <w:t>irá</w:t>
      </w:r>
      <w:r w:rsidR="00ED2C62">
        <w:rPr>
          <w:rFonts w:eastAsia="Times New Roman"/>
          <w:lang w:val="es-ES_tradnl"/>
        </w:rPr>
        <w:t xml:space="preserve"> al OMRH.</w:t>
      </w:r>
      <w:r w:rsidR="00157270">
        <w:rPr>
          <w:rStyle w:val="FootnoteReference"/>
          <w:rFonts w:eastAsia="Times New Roman"/>
          <w:lang w:val="es-ES_tradnl"/>
        </w:rPr>
        <w:footnoteReference w:id="2"/>
      </w:r>
    </w:p>
    <w:p w14:paraId="3F599EF8" w14:textId="2345FBCA" w:rsidR="005162E5" w:rsidRDefault="00ED2C62" w:rsidP="004C2D3F">
      <w:pPr>
        <w:numPr>
          <w:ilvl w:val="0"/>
          <w:numId w:val="8"/>
        </w:numPr>
        <w:spacing w:after="200" w:line="276" w:lineRule="auto"/>
        <w:contextualSpacing/>
        <w:jc w:val="both"/>
        <w:rPr>
          <w:rFonts w:eastAsia="Times New Roman"/>
          <w:lang w:val="es-ES_tradnl"/>
        </w:rPr>
      </w:pPr>
      <w:r>
        <w:rPr>
          <w:rFonts w:eastAsia="Times New Roman"/>
          <w:lang w:val="es-ES_tradnl"/>
        </w:rPr>
        <w:t xml:space="preserve">La lista de funcionarios </w:t>
      </w:r>
      <w:r w:rsidR="004C2D3F">
        <w:rPr>
          <w:rFonts w:eastAsia="Times New Roman"/>
          <w:lang w:val="es-ES_tradnl"/>
        </w:rPr>
        <w:t>que cumpl</w:t>
      </w:r>
      <w:r w:rsidR="002733C4">
        <w:rPr>
          <w:rFonts w:eastAsia="Times New Roman"/>
          <w:lang w:val="es-ES_tradnl"/>
        </w:rPr>
        <w:t>irían</w:t>
      </w:r>
      <w:r w:rsidR="004C2D3F">
        <w:rPr>
          <w:rFonts w:eastAsia="Times New Roman"/>
          <w:lang w:val="es-ES_tradnl"/>
        </w:rPr>
        <w:t xml:space="preserve"> los Criterios de Elegibilidad </w:t>
      </w:r>
      <w:r>
        <w:rPr>
          <w:rFonts w:eastAsia="Times New Roman"/>
          <w:lang w:val="es-ES_tradnl"/>
        </w:rPr>
        <w:t>s</w:t>
      </w:r>
      <w:r w:rsidR="002733C4">
        <w:rPr>
          <w:rFonts w:eastAsia="Times New Roman"/>
          <w:lang w:val="es-ES_tradnl"/>
        </w:rPr>
        <w:t>erá</w:t>
      </w:r>
      <w:r>
        <w:rPr>
          <w:rFonts w:eastAsia="Times New Roman"/>
          <w:lang w:val="es-ES_tradnl"/>
        </w:rPr>
        <w:t xml:space="preserve"> auditada por una firma auditora </w:t>
      </w:r>
      <w:r w:rsidR="004C2D3F">
        <w:rPr>
          <w:rFonts w:eastAsia="Times New Roman"/>
          <w:lang w:val="es-ES_tradnl"/>
        </w:rPr>
        <w:t xml:space="preserve">independiente contratada por la OMRH, en base a términos de referencia que reciben la no objeción del BID, </w:t>
      </w:r>
      <w:r>
        <w:rPr>
          <w:rFonts w:eastAsia="Times New Roman"/>
          <w:lang w:val="es-ES_tradnl"/>
        </w:rPr>
        <w:t xml:space="preserve">con el fin de </w:t>
      </w:r>
      <w:r w:rsidR="002733C4">
        <w:rPr>
          <w:rFonts w:eastAsia="Times New Roman"/>
          <w:lang w:val="es-ES_tradnl"/>
        </w:rPr>
        <w:t>confirmar si</w:t>
      </w:r>
      <w:r>
        <w:rPr>
          <w:rFonts w:eastAsia="Times New Roman"/>
          <w:lang w:val="es-ES_tradnl"/>
        </w:rPr>
        <w:t xml:space="preserve"> los funcionarios incluidos </w:t>
      </w:r>
      <w:r w:rsidR="004C2D3F">
        <w:rPr>
          <w:rFonts w:eastAsia="Times New Roman"/>
          <w:lang w:val="es-ES_tradnl"/>
        </w:rPr>
        <w:t xml:space="preserve">en dichas listas </w:t>
      </w:r>
      <w:r>
        <w:rPr>
          <w:rFonts w:eastAsia="Times New Roman"/>
          <w:lang w:val="es-ES_tradnl"/>
        </w:rPr>
        <w:t>cumpl</w:t>
      </w:r>
      <w:r w:rsidR="004C2D3F">
        <w:rPr>
          <w:rFonts w:eastAsia="Times New Roman"/>
          <w:lang w:val="es-ES_tradnl"/>
        </w:rPr>
        <w:t>e</w:t>
      </w:r>
      <w:r>
        <w:rPr>
          <w:rFonts w:eastAsia="Times New Roman"/>
          <w:lang w:val="es-ES_tradnl"/>
        </w:rPr>
        <w:t>n</w:t>
      </w:r>
      <w:r w:rsidR="002733C4">
        <w:rPr>
          <w:rFonts w:eastAsia="Times New Roman"/>
          <w:lang w:val="es-ES_tradnl"/>
        </w:rPr>
        <w:t xml:space="preserve"> efectivamente</w:t>
      </w:r>
      <w:r>
        <w:rPr>
          <w:rFonts w:eastAsia="Times New Roman"/>
          <w:lang w:val="es-ES_tradnl"/>
        </w:rPr>
        <w:t xml:space="preserve"> los Criterios de Elegibilidad. </w:t>
      </w:r>
      <w:r w:rsidR="00CA1CC9">
        <w:rPr>
          <w:rFonts w:eastAsia="Times New Roman"/>
          <w:lang w:val="es-ES_tradnl"/>
        </w:rPr>
        <w:t xml:space="preserve">La </w:t>
      </w:r>
      <w:r>
        <w:rPr>
          <w:rFonts w:eastAsia="Times New Roman"/>
          <w:lang w:val="es-ES_tradnl"/>
        </w:rPr>
        <w:t>OMRH comunica</w:t>
      </w:r>
      <w:r w:rsidR="002733C4">
        <w:rPr>
          <w:rFonts w:eastAsia="Times New Roman"/>
          <w:lang w:val="es-ES_tradnl"/>
        </w:rPr>
        <w:t>rá</w:t>
      </w:r>
      <w:r>
        <w:rPr>
          <w:rFonts w:eastAsia="Times New Roman"/>
          <w:lang w:val="es-ES_tradnl"/>
        </w:rPr>
        <w:t xml:space="preserve"> a los Ministerios los resultados de la auditoría. Solamente los funcionarios confirmados por los resultados de la auditoría son elegibles para el Programa. </w:t>
      </w:r>
    </w:p>
    <w:p w14:paraId="11B2C6DF" w14:textId="600F343E" w:rsidR="00C93F95" w:rsidRDefault="00EB5A39" w:rsidP="00C93F95">
      <w:pPr>
        <w:numPr>
          <w:ilvl w:val="0"/>
          <w:numId w:val="8"/>
        </w:numPr>
        <w:spacing w:after="200" w:line="276" w:lineRule="auto"/>
        <w:contextualSpacing/>
        <w:jc w:val="both"/>
        <w:rPr>
          <w:rFonts w:eastAsia="Times New Roman"/>
          <w:lang w:val="es-ES_tradnl"/>
        </w:rPr>
      </w:pPr>
      <w:r>
        <w:rPr>
          <w:rFonts w:eastAsia="Times New Roman"/>
          <w:lang w:val="es-ES_tradnl"/>
        </w:rPr>
        <w:t xml:space="preserve">La </w:t>
      </w:r>
      <w:r w:rsidR="002733C4">
        <w:rPr>
          <w:rFonts w:eastAsia="Times New Roman"/>
          <w:lang w:val="es-ES_tradnl"/>
        </w:rPr>
        <w:t xml:space="preserve">OMRH diseñará </w:t>
      </w:r>
      <w:r w:rsidR="00F66E84" w:rsidRPr="004C2D3F">
        <w:rPr>
          <w:rFonts w:eastAsia="Times New Roman"/>
          <w:lang w:val="es-ES_tradnl"/>
        </w:rPr>
        <w:t xml:space="preserve">una estrategia de comunicación </w:t>
      </w:r>
      <w:r w:rsidR="005162E5" w:rsidRPr="004C2D3F">
        <w:rPr>
          <w:rFonts w:eastAsia="Times New Roman"/>
          <w:lang w:val="es-ES_tradnl"/>
        </w:rPr>
        <w:t>del Programa para informar a los funcionarios de las entidades</w:t>
      </w:r>
      <w:r w:rsidR="00F66E84" w:rsidRPr="004C2D3F">
        <w:rPr>
          <w:rFonts w:eastAsia="Times New Roman"/>
          <w:lang w:val="es-ES_tradnl"/>
        </w:rPr>
        <w:t>.</w:t>
      </w:r>
      <w:r w:rsidR="00C93F95">
        <w:rPr>
          <w:rFonts w:eastAsia="Times New Roman"/>
          <w:lang w:val="es-ES_tradnl"/>
        </w:rPr>
        <w:t xml:space="preserve"> </w:t>
      </w:r>
      <w:r w:rsidR="006A34E7" w:rsidRPr="00C93F95">
        <w:rPr>
          <w:rFonts w:eastAsia="Times New Roman"/>
          <w:lang w:val="es-ES_tradnl"/>
        </w:rPr>
        <w:t>Los Departamentos de Recursos Humanos de los Ministerios que se acojan al Programa</w:t>
      </w:r>
      <w:r w:rsidR="00C93F95">
        <w:rPr>
          <w:rFonts w:eastAsia="Times New Roman"/>
          <w:lang w:val="es-ES_tradnl"/>
        </w:rPr>
        <w:t>:</w:t>
      </w:r>
    </w:p>
    <w:p w14:paraId="602B1F2E" w14:textId="12840898" w:rsidR="00C93F95" w:rsidRPr="00C93F95" w:rsidRDefault="00C93F95" w:rsidP="00C93F95">
      <w:pPr>
        <w:numPr>
          <w:ilvl w:val="1"/>
          <w:numId w:val="8"/>
        </w:numPr>
        <w:spacing w:after="200" w:line="276" w:lineRule="auto"/>
        <w:contextualSpacing/>
        <w:jc w:val="both"/>
        <w:rPr>
          <w:rFonts w:eastAsia="Times New Roman"/>
          <w:lang w:val="es-ES_tradnl"/>
        </w:rPr>
      </w:pPr>
      <w:r w:rsidRPr="00C93F95">
        <w:rPr>
          <w:rFonts w:eastAsia="Times New Roman"/>
          <w:lang w:val="es-ES_tradnl"/>
        </w:rPr>
        <w:t>publicarán la lista auditada de funcionarios elegibles para el Programa.</w:t>
      </w:r>
    </w:p>
    <w:p w14:paraId="5809D792" w14:textId="77777777" w:rsidR="00C93F95" w:rsidRDefault="004C2D3F" w:rsidP="00C93F95">
      <w:pPr>
        <w:numPr>
          <w:ilvl w:val="1"/>
          <w:numId w:val="8"/>
        </w:numPr>
        <w:spacing w:after="200" w:line="276" w:lineRule="auto"/>
        <w:contextualSpacing/>
        <w:jc w:val="both"/>
        <w:rPr>
          <w:rFonts w:eastAsia="Times New Roman"/>
          <w:lang w:val="es-ES_tradnl"/>
        </w:rPr>
      </w:pPr>
      <w:r w:rsidRPr="004C2D3F">
        <w:rPr>
          <w:rFonts w:eastAsia="Times New Roman"/>
          <w:lang w:val="es-ES_tradnl"/>
        </w:rPr>
        <w:t xml:space="preserve">informarán y </w:t>
      </w:r>
      <w:r w:rsidR="006A34E7" w:rsidRPr="004C2D3F">
        <w:rPr>
          <w:rFonts w:eastAsia="Times New Roman"/>
          <w:lang w:val="es-ES_tradnl"/>
        </w:rPr>
        <w:t xml:space="preserve">entrevistarán </w:t>
      </w:r>
      <w:r w:rsidR="00F66E84" w:rsidRPr="004C2D3F">
        <w:rPr>
          <w:rFonts w:eastAsia="Times New Roman"/>
          <w:lang w:val="es-ES_tradnl"/>
        </w:rPr>
        <w:t xml:space="preserve">a todos los servidores públicos </w:t>
      </w:r>
      <w:r w:rsidR="006A34E7" w:rsidRPr="004C2D3F">
        <w:rPr>
          <w:rFonts w:eastAsia="Times New Roman"/>
          <w:lang w:val="es-ES_tradnl"/>
        </w:rPr>
        <w:t>elegibles</w:t>
      </w:r>
      <w:r w:rsidRPr="004C2D3F">
        <w:rPr>
          <w:rFonts w:eastAsia="Times New Roman"/>
          <w:lang w:val="es-ES_tradnl"/>
        </w:rPr>
        <w:t>,</w:t>
      </w:r>
      <w:r w:rsidR="006A34E7" w:rsidRPr="004C2D3F">
        <w:rPr>
          <w:rFonts w:eastAsia="Times New Roman"/>
          <w:lang w:val="es-ES_tradnl"/>
        </w:rPr>
        <w:t xml:space="preserve"> y entregarán a los funcionarios interesados </w:t>
      </w:r>
      <w:r w:rsidR="00F66E84" w:rsidRPr="004C2D3F">
        <w:rPr>
          <w:rFonts w:eastAsia="Times New Roman"/>
          <w:lang w:val="es-ES_tradnl"/>
        </w:rPr>
        <w:t>la documentación requerida para participar.</w:t>
      </w:r>
    </w:p>
    <w:p w14:paraId="069A99F2" w14:textId="5BF17FA5" w:rsidR="00C93F95" w:rsidRDefault="00C93F95" w:rsidP="00C93F95">
      <w:pPr>
        <w:numPr>
          <w:ilvl w:val="1"/>
          <w:numId w:val="8"/>
        </w:numPr>
        <w:spacing w:after="200" w:line="276" w:lineRule="auto"/>
        <w:contextualSpacing/>
        <w:jc w:val="both"/>
        <w:rPr>
          <w:rFonts w:eastAsia="Times New Roman"/>
          <w:lang w:val="es-ES_tradnl"/>
        </w:rPr>
      </w:pPr>
      <w:r>
        <w:rPr>
          <w:rFonts w:eastAsia="Times New Roman"/>
          <w:lang w:val="es-ES_tradnl"/>
        </w:rPr>
        <w:t xml:space="preserve">Anunciarán públicamente el </w:t>
      </w:r>
      <w:r w:rsidR="006A34E7" w:rsidRPr="00C93F95">
        <w:rPr>
          <w:rFonts w:eastAsia="Times New Roman"/>
          <w:lang w:val="es-ES_tradnl"/>
        </w:rPr>
        <w:t xml:space="preserve">plazo para que los funcionarios públicos elegibles manifiesten </w:t>
      </w:r>
      <w:r w:rsidR="00A159D1">
        <w:rPr>
          <w:rFonts w:eastAsia="Times New Roman"/>
          <w:lang w:val="es-ES_tradnl"/>
        </w:rPr>
        <w:t xml:space="preserve">por escrito </w:t>
      </w:r>
      <w:r w:rsidR="006A34E7" w:rsidRPr="00C93F95">
        <w:rPr>
          <w:rFonts w:eastAsia="Times New Roman"/>
          <w:lang w:val="es-ES_tradnl"/>
        </w:rPr>
        <w:t>su voluntad de acogerse al Programa.</w:t>
      </w:r>
      <w:r w:rsidR="00ED2C62" w:rsidRPr="00C93F95">
        <w:rPr>
          <w:rFonts w:eastAsia="Times New Roman"/>
          <w:lang w:val="es-ES_tradnl"/>
        </w:rPr>
        <w:t xml:space="preserve"> </w:t>
      </w:r>
    </w:p>
    <w:p w14:paraId="18EB6155" w14:textId="2147F664" w:rsidR="00C93F95" w:rsidRDefault="00ED2C62" w:rsidP="00C93F95">
      <w:pPr>
        <w:numPr>
          <w:ilvl w:val="0"/>
          <w:numId w:val="8"/>
        </w:numPr>
        <w:spacing w:after="200" w:line="276" w:lineRule="auto"/>
        <w:contextualSpacing/>
        <w:jc w:val="both"/>
        <w:rPr>
          <w:rFonts w:eastAsia="Times New Roman"/>
          <w:lang w:val="es-ES_tradnl"/>
        </w:rPr>
      </w:pPr>
      <w:r w:rsidRPr="00C93F95">
        <w:rPr>
          <w:rFonts w:eastAsia="Times New Roman"/>
          <w:lang w:val="es-ES_tradnl"/>
        </w:rPr>
        <w:t xml:space="preserve">Los funcionarios </w:t>
      </w:r>
      <w:r w:rsidR="00C93F95">
        <w:rPr>
          <w:rFonts w:eastAsia="Times New Roman"/>
          <w:lang w:val="es-ES_tradnl"/>
        </w:rPr>
        <w:t xml:space="preserve">elegibles e </w:t>
      </w:r>
      <w:r w:rsidRPr="00C93F95">
        <w:rPr>
          <w:rFonts w:eastAsia="Times New Roman"/>
          <w:lang w:val="es-ES_tradnl"/>
        </w:rPr>
        <w:t>interesados deberán manifestar su intención de acogerse al Program</w:t>
      </w:r>
      <w:r w:rsidR="00C93F95">
        <w:rPr>
          <w:rFonts w:eastAsia="Times New Roman"/>
          <w:lang w:val="es-ES_tradnl"/>
        </w:rPr>
        <w:t>a</w:t>
      </w:r>
      <w:r w:rsidRPr="00C93F95">
        <w:rPr>
          <w:rFonts w:eastAsia="Times New Roman"/>
          <w:lang w:val="es-ES_tradnl"/>
        </w:rPr>
        <w:t xml:space="preserve"> mediante documento escrito y firmado</w:t>
      </w:r>
      <w:r w:rsidR="0052596E">
        <w:rPr>
          <w:rFonts w:eastAsia="Times New Roman"/>
          <w:lang w:val="es-ES_tradnl"/>
        </w:rPr>
        <w:t xml:space="preserve">, usando el formulario aprobado por </w:t>
      </w:r>
      <w:r w:rsidR="00CA1CC9">
        <w:rPr>
          <w:rFonts w:eastAsia="Times New Roman"/>
          <w:lang w:val="es-ES_tradnl"/>
        </w:rPr>
        <w:t xml:space="preserve">la </w:t>
      </w:r>
      <w:r w:rsidR="0052596E">
        <w:rPr>
          <w:rFonts w:eastAsia="Times New Roman"/>
          <w:lang w:val="es-ES_tradnl"/>
        </w:rPr>
        <w:t>OMRH.</w:t>
      </w:r>
    </w:p>
    <w:p w14:paraId="3FEB37B0" w14:textId="5ABAB535" w:rsidR="00461766" w:rsidRDefault="00C93F95" w:rsidP="00461766">
      <w:pPr>
        <w:numPr>
          <w:ilvl w:val="0"/>
          <w:numId w:val="8"/>
        </w:numPr>
        <w:spacing w:after="200" w:line="276" w:lineRule="auto"/>
        <w:contextualSpacing/>
        <w:jc w:val="both"/>
        <w:rPr>
          <w:rFonts w:eastAsia="Times New Roman"/>
          <w:lang w:val="es-ES_tradnl"/>
        </w:rPr>
      </w:pPr>
      <w:r w:rsidRPr="00C93F95">
        <w:rPr>
          <w:rFonts w:eastAsia="Times New Roman"/>
          <w:lang w:val="es-ES_tradnl"/>
        </w:rPr>
        <w:t>E</w:t>
      </w:r>
      <w:r w:rsidR="006A34E7" w:rsidRPr="00C93F95">
        <w:rPr>
          <w:rFonts w:eastAsia="Times New Roman"/>
          <w:lang w:val="es-ES_tradnl"/>
        </w:rPr>
        <w:t xml:space="preserve">l Ministerio </w:t>
      </w:r>
      <w:r w:rsidRPr="00C93F95">
        <w:rPr>
          <w:rFonts w:eastAsia="Times New Roman"/>
          <w:lang w:val="es-ES_tradnl"/>
        </w:rPr>
        <w:t xml:space="preserve">confirmará </w:t>
      </w:r>
      <w:r w:rsidR="006A34E7" w:rsidRPr="00C93F95">
        <w:rPr>
          <w:rFonts w:eastAsia="Times New Roman"/>
          <w:lang w:val="es-ES_tradnl"/>
        </w:rPr>
        <w:t xml:space="preserve">la </w:t>
      </w:r>
      <w:r w:rsidR="00F66E84" w:rsidRPr="00C93F95">
        <w:rPr>
          <w:rFonts w:eastAsia="Times New Roman"/>
          <w:lang w:val="es-ES_tradnl"/>
        </w:rPr>
        <w:t>lista de</w:t>
      </w:r>
      <w:r w:rsidR="006A34E7" w:rsidRPr="00C93F95">
        <w:rPr>
          <w:rFonts w:eastAsia="Times New Roman"/>
          <w:lang w:val="es-ES_tradnl"/>
        </w:rPr>
        <w:t xml:space="preserve"> funcionarios cuya solicitud de retiro voluntario es aceptada</w:t>
      </w:r>
      <w:r w:rsidRPr="00C93F95">
        <w:rPr>
          <w:rFonts w:eastAsia="Times New Roman"/>
          <w:lang w:val="es-ES_tradnl"/>
        </w:rPr>
        <w:t xml:space="preserve">. </w:t>
      </w:r>
    </w:p>
    <w:p w14:paraId="0D03F216" w14:textId="1FF5B56B" w:rsidR="00461766" w:rsidRPr="00461766" w:rsidRDefault="006A34E7" w:rsidP="0096457A">
      <w:pPr>
        <w:numPr>
          <w:ilvl w:val="1"/>
          <w:numId w:val="8"/>
        </w:numPr>
        <w:spacing w:after="200" w:line="276" w:lineRule="auto"/>
        <w:contextualSpacing/>
        <w:jc w:val="both"/>
        <w:rPr>
          <w:rFonts w:eastAsia="Times New Roman"/>
          <w:lang w:val="es-ES_tradnl"/>
        </w:rPr>
      </w:pPr>
      <w:r w:rsidRPr="00461766">
        <w:rPr>
          <w:rFonts w:eastAsia="Times New Roman"/>
          <w:lang w:val="es-ES_tradnl"/>
        </w:rPr>
        <w:t xml:space="preserve">Los Departamentos de Recursos Humanos de los Ministerios preparan los archivos de los funcionarios aprobados para acogerse al Programa, a los que incorporarán la información relevante </w:t>
      </w:r>
      <w:r w:rsidR="00F66E84" w:rsidRPr="00461766">
        <w:rPr>
          <w:rFonts w:eastAsia="Times New Roman"/>
          <w:lang w:val="es-ES_tradnl"/>
        </w:rPr>
        <w:t>de la Dirección de la Pensión Civil (DPC/MEF).</w:t>
      </w:r>
      <w:r w:rsidR="00ED2C62" w:rsidRPr="00461766">
        <w:rPr>
          <w:rFonts w:eastAsia="Times New Roman"/>
          <w:lang w:val="es-ES_tradnl"/>
        </w:rPr>
        <w:t xml:space="preserve"> </w:t>
      </w:r>
      <w:r w:rsidR="00461766" w:rsidRPr="00461766">
        <w:rPr>
          <w:rFonts w:eastAsia="Times New Roman"/>
          <w:lang w:val="es-ES_tradnl"/>
        </w:rPr>
        <w:t xml:space="preserve">Los archivos incluyen información sobre </w:t>
      </w:r>
      <w:r w:rsidR="00461766">
        <w:rPr>
          <w:rFonts w:eastAsia="Times New Roman"/>
          <w:lang w:val="es-ES_tradnl"/>
        </w:rPr>
        <w:t>e</w:t>
      </w:r>
      <w:r w:rsidR="00461766" w:rsidRPr="00461766">
        <w:rPr>
          <w:rFonts w:eastAsia="Times New Roman"/>
          <w:lang w:val="es-ES_tradnl"/>
        </w:rPr>
        <w:t xml:space="preserve">l salario bruto, la información clave de cada servidor público (fecha de nacimiento, NIF, fecha de ingreso al puesto de trabajo, </w:t>
      </w:r>
      <w:r w:rsidR="00730FF8">
        <w:rPr>
          <w:rFonts w:eastAsia="Times New Roman"/>
          <w:lang w:val="es-ES_tradnl"/>
        </w:rPr>
        <w:t>puesto ocupado</w:t>
      </w:r>
      <w:r w:rsidR="00AF464D">
        <w:rPr>
          <w:rFonts w:eastAsia="Times New Roman"/>
          <w:lang w:val="es-ES_tradnl"/>
        </w:rPr>
        <w:t>)</w:t>
      </w:r>
      <w:r w:rsidR="00730FF8">
        <w:rPr>
          <w:rFonts w:eastAsia="Times New Roman"/>
          <w:lang w:val="es-ES_tradnl"/>
        </w:rPr>
        <w:t xml:space="preserve"> </w:t>
      </w:r>
      <w:r w:rsidR="00461766" w:rsidRPr="00461766">
        <w:rPr>
          <w:rFonts w:eastAsia="Times New Roman"/>
          <w:lang w:val="es-ES_tradnl"/>
        </w:rPr>
        <w:t>y el monto total del incentivo del retiro</w:t>
      </w:r>
      <w:r w:rsidR="00730FF8">
        <w:rPr>
          <w:rFonts w:eastAsia="Times New Roman"/>
          <w:lang w:val="es-ES_tradnl"/>
        </w:rPr>
        <w:t>. La información salarial es revisada y confirmada por la Dirección de Remuneraciones del MEF (DBG/MEF).</w:t>
      </w:r>
    </w:p>
    <w:p w14:paraId="2B2F154B" w14:textId="0C3B0693" w:rsidR="00461766" w:rsidRDefault="00730FF8" w:rsidP="00461766">
      <w:pPr>
        <w:numPr>
          <w:ilvl w:val="1"/>
          <w:numId w:val="8"/>
        </w:numPr>
        <w:spacing w:after="200" w:line="276" w:lineRule="auto"/>
        <w:contextualSpacing/>
        <w:jc w:val="both"/>
        <w:rPr>
          <w:rFonts w:eastAsia="Times New Roman"/>
          <w:lang w:val="es-ES_tradnl"/>
        </w:rPr>
      </w:pPr>
      <w:r>
        <w:rPr>
          <w:rFonts w:eastAsia="Times New Roman"/>
          <w:lang w:val="es-ES_tradnl"/>
        </w:rPr>
        <w:t xml:space="preserve">El expediente revisado y validado </w:t>
      </w:r>
      <w:r w:rsidR="007863E0">
        <w:rPr>
          <w:rFonts w:eastAsia="Times New Roman"/>
          <w:lang w:val="es-ES_tradnl"/>
        </w:rPr>
        <w:t xml:space="preserve">es </w:t>
      </w:r>
      <w:r w:rsidR="00ED2C62" w:rsidRPr="00C93F95">
        <w:rPr>
          <w:rFonts w:eastAsia="Times New Roman"/>
          <w:lang w:val="es-ES_tradnl"/>
        </w:rPr>
        <w:t>remit</w:t>
      </w:r>
      <w:r w:rsidR="007863E0">
        <w:rPr>
          <w:rFonts w:eastAsia="Times New Roman"/>
          <w:lang w:val="es-ES_tradnl"/>
        </w:rPr>
        <w:t>ido</w:t>
      </w:r>
      <w:r w:rsidR="00ED2C62" w:rsidRPr="00C93F95">
        <w:rPr>
          <w:rFonts w:eastAsia="Times New Roman"/>
          <w:lang w:val="es-ES_tradnl"/>
        </w:rPr>
        <w:t xml:space="preserve"> a </w:t>
      </w:r>
      <w:r w:rsidR="00F66E84" w:rsidRPr="00C93F95">
        <w:rPr>
          <w:rFonts w:eastAsia="Times New Roman"/>
          <w:lang w:val="es-ES_tradnl"/>
        </w:rPr>
        <w:t>DPC/MEF</w:t>
      </w:r>
      <w:r w:rsidR="009704C7">
        <w:rPr>
          <w:rFonts w:eastAsia="Times New Roman"/>
          <w:lang w:val="es-ES_tradnl"/>
        </w:rPr>
        <w:t xml:space="preserve"> y al </w:t>
      </w:r>
      <w:r w:rsidR="002733C4">
        <w:rPr>
          <w:rFonts w:eastAsia="Times New Roman"/>
          <w:lang w:val="es-ES_tradnl"/>
        </w:rPr>
        <w:t>m</w:t>
      </w:r>
      <w:r w:rsidR="009704C7">
        <w:rPr>
          <w:rFonts w:eastAsia="Times New Roman"/>
          <w:lang w:val="es-ES_tradnl"/>
        </w:rPr>
        <w:t>inisterio</w:t>
      </w:r>
      <w:r w:rsidR="002733C4">
        <w:rPr>
          <w:rFonts w:eastAsia="Times New Roman"/>
          <w:lang w:val="es-ES_tradnl"/>
        </w:rPr>
        <w:t xml:space="preserve"> respectivo</w:t>
      </w:r>
      <w:r w:rsidR="009704C7">
        <w:rPr>
          <w:rFonts w:eastAsia="Times New Roman"/>
          <w:lang w:val="es-ES_tradnl"/>
        </w:rPr>
        <w:t>.</w:t>
      </w:r>
    </w:p>
    <w:p w14:paraId="2E14792F" w14:textId="1F1D71BB" w:rsidR="00F66E84" w:rsidRDefault="0035466E" w:rsidP="004C2D3F">
      <w:pPr>
        <w:numPr>
          <w:ilvl w:val="0"/>
          <w:numId w:val="8"/>
        </w:numPr>
        <w:spacing w:after="200" w:line="276" w:lineRule="auto"/>
        <w:contextualSpacing/>
        <w:jc w:val="both"/>
        <w:rPr>
          <w:rFonts w:eastAsia="Times New Roman"/>
          <w:lang w:val="es-ES_tradnl"/>
        </w:rPr>
      </w:pPr>
      <w:r>
        <w:rPr>
          <w:rFonts w:eastAsia="Times New Roman"/>
          <w:lang w:val="es-ES_tradnl"/>
        </w:rPr>
        <w:t xml:space="preserve">El ministerio </w:t>
      </w:r>
      <w:r w:rsidR="00C93F95">
        <w:rPr>
          <w:rFonts w:eastAsia="Times New Roman"/>
          <w:lang w:val="es-ES_tradnl"/>
        </w:rPr>
        <w:t xml:space="preserve">notifica a los funcionarios su incorporación </w:t>
      </w:r>
      <w:r w:rsidR="002733C4">
        <w:rPr>
          <w:rFonts w:eastAsia="Times New Roman"/>
          <w:lang w:val="es-ES_tradnl"/>
        </w:rPr>
        <w:t xml:space="preserve">oficial </w:t>
      </w:r>
      <w:r w:rsidR="00C93F95">
        <w:rPr>
          <w:rFonts w:eastAsia="Times New Roman"/>
          <w:lang w:val="es-ES_tradnl"/>
        </w:rPr>
        <w:t>en el Programa</w:t>
      </w:r>
      <w:r w:rsidR="002733C4">
        <w:rPr>
          <w:rFonts w:eastAsia="Times New Roman"/>
          <w:lang w:val="es-ES_tradnl"/>
        </w:rPr>
        <w:t xml:space="preserve"> y los incentivos económicos que recibirán</w:t>
      </w:r>
      <w:r w:rsidR="00C93F95">
        <w:rPr>
          <w:rFonts w:eastAsia="Times New Roman"/>
          <w:lang w:val="es-ES_tradnl"/>
        </w:rPr>
        <w:t>.</w:t>
      </w:r>
    </w:p>
    <w:p w14:paraId="6279BC9D" w14:textId="676E25CA" w:rsidR="00F66E84" w:rsidRPr="00193AB7" w:rsidRDefault="00461766" w:rsidP="004C2D3F">
      <w:pPr>
        <w:numPr>
          <w:ilvl w:val="0"/>
          <w:numId w:val="8"/>
        </w:numPr>
        <w:spacing w:after="200" w:line="276" w:lineRule="auto"/>
        <w:contextualSpacing/>
        <w:jc w:val="both"/>
        <w:rPr>
          <w:rFonts w:eastAsia="Times New Roman"/>
          <w:lang w:val="es-ES_tradnl"/>
        </w:rPr>
      </w:pPr>
      <w:r>
        <w:rPr>
          <w:rFonts w:eastAsia="Times New Roman"/>
          <w:lang w:val="es-ES_tradnl"/>
        </w:rPr>
        <w:t>La UCP</w:t>
      </w:r>
      <w:r w:rsidR="00B9465B">
        <w:rPr>
          <w:rFonts w:eastAsia="Times New Roman"/>
          <w:lang w:val="es-ES_tradnl"/>
        </w:rPr>
        <w:t>/</w:t>
      </w:r>
      <w:r>
        <w:rPr>
          <w:rFonts w:eastAsia="Times New Roman"/>
          <w:lang w:val="es-ES_tradnl"/>
        </w:rPr>
        <w:t xml:space="preserve">MEF solicitará al BID el </w:t>
      </w:r>
      <w:r w:rsidR="00F66E84">
        <w:rPr>
          <w:rFonts w:eastAsia="Times New Roman"/>
          <w:lang w:val="es-ES_tradnl"/>
        </w:rPr>
        <w:t xml:space="preserve">desembolso por la suma total del incentivo a ser </w:t>
      </w:r>
      <w:r w:rsidR="00F66E84" w:rsidRPr="00E2742A">
        <w:rPr>
          <w:rFonts w:eastAsia="Times New Roman"/>
          <w:lang w:val="es-ES_tradnl"/>
        </w:rPr>
        <w:t>pagado.</w:t>
      </w:r>
      <w:r w:rsidR="00F66E84">
        <w:rPr>
          <w:rFonts w:eastAsia="Times New Roman"/>
          <w:lang w:val="es-ES_tradnl"/>
        </w:rPr>
        <w:t xml:space="preserve"> La solicitud deberá incluir: (i) la lista final de los servidores públicos que recibirán el incentivo con el monto de cada uno</w:t>
      </w:r>
      <w:r>
        <w:rPr>
          <w:rFonts w:eastAsia="Times New Roman"/>
          <w:lang w:val="es-ES_tradnl"/>
        </w:rPr>
        <w:t xml:space="preserve"> y la información de la firma auditora independiente certificando que el funcionario cumple los Criterios de Elegibilidad</w:t>
      </w:r>
      <w:r w:rsidR="00F66E84">
        <w:rPr>
          <w:rFonts w:eastAsia="Times New Roman"/>
          <w:lang w:val="es-ES_tradnl"/>
        </w:rPr>
        <w:t>; (</w:t>
      </w:r>
      <w:proofErr w:type="spellStart"/>
      <w:r w:rsidR="00F66E84">
        <w:rPr>
          <w:rFonts w:eastAsia="Times New Roman"/>
          <w:lang w:val="es-ES_tradnl"/>
        </w:rPr>
        <w:t>ii</w:t>
      </w:r>
      <w:proofErr w:type="spellEnd"/>
      <w:r w:rsidR="00F66E84">
        <w:rPr>
          <w:rFonts w:eastAsia="Times New Roman"/>
          <w:lang w:val="es-ES_tradnl"/>
        </w:rPr>
        <w:t xml:space="preserve">) la confirmación de la Dirección General de Presupuesto (DGB/MEF) de </w:t>
      </w:r>
      <w:r w:rsidR="002733C4">
        <w:rPr>
          <w:rFonts w:eastAsia="Times New Roman"/>
          <w:lang w:val="es-ES_tradnl"/>
        </w:rPr>
        <w:t xml:space="preserve">que </w:t>
      </w:r>
      <w:r w:rsidR="00F66E84">
        <w:rPr>
          <w:rFonts w:eastAsia="Times New Roman"/>
          <w:lang w:val="es-ES_tradnl"/>
        </w:rPr>
        <w:t>la información provista</w:t>
      </w:r>
      <w:r w:rsidR="002733C4">
        <w:rPr>
          <w:rFonts w:eastAsia="Times New Roman"/>
          <w:lang w:val="es-ES_tradnl"/>
        </w:rPr>
        <w:t xml:space="preserve"> sobre cada funcionario elegible es correcta</w:t>
      </w:r>
      <w:r w:rsidR="00F66E84">
        <w:rPr>
          <w:rFonts w:eastAsia="Times New Roman"/>
          <w:lang w:val="es-ES_tradnl"/>
        </w:rPr>
        <w:t>; (</w:t>
      </w:r>
      <w:proofErr w:type="spellStart"/>
      <w:r w:rsidR="00F66E84">
        <w:rPr>
          <w:rFonts w:eastAsia="Times New Roman"/>
          <w:lang w:val="es-ES_tradnl"/>
        </w:rPr>
        <w:t>ii</w:t>
      </w:r>
      <w:proofErr w:type="spellEnd"/>
      <w:r w:rsidR="00F66E84">
        <w:rPr>
          <w:rFonts w:eastAsia="Times New Roman"/>
          <w:lang w:val="es-ES_tradnl"/>
        </w:rPr>
        <w:t xml:space="preserve">) </w:t>
      </w:r>
      <w:r w:rsidR="0035466E">
        <w:rPr>
          <w:rFonts w:eastAsia="Times New Roman"/>
          <w:lang w:val="es-ES_tradnl"/>
        </w:rPr>
        <w:t>el formulario</w:t>
      </w:r>
      <w:r w:rsidR="00F66E84">
        <w:rPr>
          <w:rFonts w:eastAsia="Times New Roman"/>
          <w:lang w:val="es-ES_tradnl"/>
        </w:rPr>
        <w:t xml:space="preserve"> debidamente firmad</w:t>
      </w:r>
      <w:r w:rsidR="0035466E">
        <w:rPr>
          <w:rFonts w:eastAsia="Times New Roman"/>
          <w:lang w:val="es-ES_tradnl"/>
        </w:rPr>
        <w:t>o</w:t>
      </w:r>
      <w:r w:rsidR="00F66E84">
        <w:rPr>
          <w:rFonts w:eastAsia="Times New Roman"/>
          <w:lang w:val="es-ES_tradnl"/>
        </w:rPr>
        <w:t xml:space="preserve"> por el servidor público </w:t>
      </w:r>
      <w:r w:rsidR="002733C4">
        <w:rPr>
          <w:rFonts w:eastAsia="Times New Roman"/>
          <w:lang w:val="es-ES_tradnl"/>
        </w:rPr>
        <w:t>solicitando su incorporación al</w:t>
      </w:r>
      <w:r w:rsidR="00F66E84">
        <w:rPr>
          <w:rFonts w:eastAsia="Times New Roman"/>
          <w:lang w:val="es-ES_tradnl"/>
        </w:rPr>
        <w:t xml:space="preserve"> programa, (</w:t>
      </w:r>
      <w:proofErr w:type="spellStart"/>
      <w:r w:rsidR="00F66E84">
        <w:rPr>
          <w:rFonts w:eastAsia="Times New Roman"/>
          <w:lang w:val="es-ES_tradnl"/>
        </w:rPr>
        <w:t>iii</w:t>
      </w:r>
      <w:proofErr w:type="spellEnd"/>
      <w:r w:rsidR="00F66E84">
        <w:rPr>
          <w:rFonts w:eastAsia="Times New Roman"/>
          <w:lang w:val="es-ES_tradnl"/>
        </w:rPr>
        <w:t>) la confirmación de la Dirección de la Pensión Civil DPC/MEF de la elegibilidad del beneficiario</w:t>
      </w:r>
      <w:r w:rsidR="002733C4">
        <w:rPr>
          <w:rFonts w:eastAsia="Times New Roman"/>
          <w:lang w:val="es-ES_tradnl"/>
        </w:rPr>
        <w:t>,</w:t>
      </w:r>
      <w:r w:rsidR="00F66E84">
        <w:rPr>
          <w:rFonts w:eastAsia="Times New Roman"/>
          <w:lang w:val="es-ES_tradnl"/>
        </w:rPr>
        <w:t xml:space="preserve"> y</w:t>
      </w:r>
      <w:r w:rsidR="002733C4">
        <w:rPr>
          <w:rFonts w:eastAsia="Times New Roman"/>
          <w:lang w:val="es-ES_tradnl"/>
        </w:rPr>
        <w:t>,</w:t>
      </w:r>
      <w:r w:rsidR="00F66E84">
        <w:rPr>
          <w:rFonts w:eastAsia="Times New Roman"/>
          <w:lang w:val="es-ES_tradnl"/>
        </w:rPr>
        <w:t xml:space="preserve"> (</w:t>
      </w:r>
      <w:proofErr w:type="spellStart"/>
      <w:r w:rsidR="00F66E84">
        <w:rPr>
          <w:rFonts w:eastAsia="Times New Roman"/>
          <w:lang w:val="es-ES_tradnl"/>
        </w:rPr>
        <w:t>iv</w:t>
      </w:r>
      <w:proofErr w:type="spellEnd"/>
      <w:r w:rsidR="00F66E84">
        <w:rPr>
          <w:rFonts w:eastAsia="Times New Roman"/>
          <w:lang w:val="es-ES_tradnl"/>
        </w:rPr>
        <w:t xml:space="preserve">) la publicación del nombre del funcionario en el diario oficial </w:t>
      </w:r>
      <w:r w:rsidR="00F66E84">
        <w:rPr>
          <w:rFonts w:eastAsia="Times New Roman"/>
          <w:i/>
          <w:lang w:val="es-ES_tradnl"/>
        </w:rPr>
        <w:t>Le Moniteur</w:t>
      </w:r>
      <w:r w:rsidR="007863E0">
        <w:rPr>
          <w:rFonts w:eastAsia="Times New Roman"/>
          <w:i/>
          <w:lang w:val="es-ES_tradnl"/>
        </w:rPr>
        <w:t>.</w:t>
      </w:r>
    </w:p>
    <w:p w14:paraId="1BC3E09E" w14:textId="448CC452" w:rsidR="00193AB7" w:rsidRDefault="00193AB7" w:rsidP="00193AB7">
      <w:pPr>
        <w:spacing w:after="200" w:line="276" w:lineRule="auto"/>
        <w:contextualSpacing/>
        <w:jc w:val="both"/>
        <w:rPr>
          <w:rFonts w:eastAsia="Times New Roman"/>
          <w:lang w:val="es-ES_tradnl"/>
        </w:rPr>
      </w:pPr>
    </w:p>
    <w:p w14:paraId="181B9DC6" w14:textId="45544A98" w:rsidR="00193AB7" w:rsidRPr="005B37F2" w:rsidRDefault="00193AB7" w:rsidP="005B37F2">
      <w:pPr>
        <w:pStyle w:val="ListParagraph"/>
        <w:numPr>
          <w:ilvl w:val="1"/>
          <w:numId w:val="12"/>
        </w:numPr>
        <w:spacing w:after="200" w:line="276" w:lineRule="auto"/>
        <w:contextualSpacing/>
        <w:jc w:val="both"/>
        <w:rPr>
          <w:b/>
          <w:u w:val="single"/>
          <w:lang w:val="es-ES_tradnl"/>
        </w:rPr>
      </w:pPr>
      <w:r w:rsidRPr="005B37F2">
        <w:rPr>
          <w:b/>
          <w:u w:val="single"/>
          <w:lang w:val="es-ES_tradnl"/>
        </w:rPr>
        <w:t xml:space="preserve">Gestión del </w:t>
      </w:r>
      <w:r w:rsidR="001A5EE0">
        <w:rPr>
          <w:b/>
          <w:u w:val="single"/>
          <w:lang w:val="es-ES_tradnl"/>
        </w:rPr>
        <w:t>Programa de Incentivos para el R</w:t>
      </w:r>
      <w:r w:rsidRPr="005B37F2">
        <w:rPr>
          <w:b/>
          <w:u w:val="single"/>
          <w:lang w:val="es-ES_tradnl"/>
        </w:rPr>
        <w:t xml:space="preserve">etiro </w:t>
      </w:r>
      <w:r w:rsidR="001A5EE0">
        <w:rPr>
          <w:b/>
          <w:u w:val="single"/>
          <w:lang w:val="es-ES_tradnl"/>
        </w:rPr>
        <w:t>de Funcionarios</w:t>
      </w:r>
      <w:r w:rsidRPr="005B37F2">
        <w:rPr>
          <w:b/>
          <w:u w:val="single"/>
          <w:lang w:val="es-ES_tradnl"/>
        </w:rPr>
        <w:t xml:space="preserve"> </w:t>
      </w:r>
    </w:p>
    <w:p w14:paraId="5773F79D" w14:textId="77777777" w:rsidR="004239EA" w:rsidRPr="005B37F2" w:rsidRDefault="004239EA" w:rsidP="005B37F2">
      <w:pPr>
        <w:pStyle w:val="ListParagraph"/>
        <w:spacing w:line="276" w:lineRule="auto"/>
        <w:ind w:left="360"/>
        <w:contextualSpacing/>
        <w:jc w:val="both"/>
        <w:rPr>
          <w:b/>
          <w:u w:val="single"/>
          <w:lang w:val="es-ES_tradnl"/>
        </w:rPr>
      </w:pPr>
    </w:p>
    <w:p w14:paraId="768061E2" w14:textId="77777777" w:rsidR="00193AB7" w:rsidRDefault="00193AB7" w:rsidP="005B37F2">
      <w:pPr>
        <w:spacing w:after="0" w:line="276" w:lineRule="auto"/>
        <w:contextualSpacing/>
        <w:jc w:val="both"/>
        <w:rPr>
          <w:lang w:val="es-ES_tradnl"/>
        </w:rPr>
      </w:pPr>
      <w:r>
        <w:rPr>
          <w:lang w:val="es-ES_tradnl"/>
        </w:rPr>
        <w:t>Para estas estimaciones, el esquema del incentivo para el retiro voluntario es entre 18 y 24 meses de salario</w:t>
      </w:r>
      <w:r>
        <w:rPr>
          <w:rStyle w:val="FootnoteReference"/>
          <w:lang w:val="es-ES_tradnl"/>
        </w:rPr>
        <w:footnoteReference w:id="3"/>
      </w:r>
      <w:r>
        <w:rPr>
          <w:lang w:val="es-ES_tradnl"/>
        </w:rPr>
        <w:t>, para todos los empleados que cumplan con los criterios de elegibilidad del retiro voluntario dictados en la legislatura del Gobierno de Haití.  Se tiene contemplado un salario bruto promedio mensual de $600.00</w:t>
      </w:r>
      <w:r>
        <w:rPr>
          <w:rStyle w:val="FootnoteReference"/>
          <w:lang w:val="es-ES_tradnl"/>
        </w:rPr>
        <w:footnoteReference w:id="4"/>
      </w:r>
      <w:r>
        <w:rPr>
          <w:lang w:val="es-ES_tradnl"/>
        </w:rPr>
        <w:t xml:space="preserve"> dólares (o el equivalente a aproximadamente 40,000 gourdes). Por otra parte, durante la ejecución del proyecto HA-L1131 se realizará una propuesta para una nueva escala salarial para técnicos y personal directivo de los ministerios seleccionados, que será utilizada para nuevas contrataciones a partir de un año a determinar. </w:t>
      </w:r>
    </w:p>
    <w:p w14:paraId="36381AB5" w14:textId="77777777" w:rsidR="00193AB7" w:rsidRDefault="00193AB7" w:rsidP="00193AB7">
      <w:pPr>
        <w:spacing w:after="200" w:line="276" w:lineRule="auto"/>
        <w:contextualSpacing/>
        <w:jc w:val="both"/>
        <w:rPr>
          <w:lang w:val="es-ES_tradnl"/>
        </w:rPr>
      </w:pPr>
    </w:p>
    <w:p w14:paraId="2165521F" w14:textId="77777777" w:rsidR="00193AB7" w:rsidRDefault="00193AB7" w:rsidP="00193AB7">
      <w:pPr>
        <w:spacing w:after="200" w:line="276" w:lineRule="auto"/>
        <w:contextualSpacing/>
        <w:jc w:val="both"/>
        <w:rPr>
          <w:b/>
          <w:lang w:val="pt-BR"/>
        </w:rPr>
      </w:pPr>
      <w:r>
        <w:rPr>
          <w:b/>
          <w:i/>
          <w:lang w:val="pt-BR"/>
        </w:rPr>
        <w:t>Gasto incentivo de retiro voluntario</w:t>
      </w:r>
      <w:r>
        <w:rPr>
          <w:b/>
          <w:lang w:val="pt-BR"/>
        </w:rPr>
        <w:t xml:space="preserve">= </w:t>
      </w:r>
      <w:r>
        <w:rPr>
          <w:rFonts w:ascii="Arial" w:hAnsi="Arial" w:cs="Arial"/>
          <w:b/>
          <w:lang w:val="pt-BR"/>
        </w:rPr>
        <w:t>∑</w:t>
      </w:r>
      <w:r>
        <w:rPr>
          <w:b/>
          <w:lang w:val="pt-BR"/>
        </w:rPr>
        <w:t xml:space="preserve"> i </w:t>
      </w:r>
      <w:proofErr w:type="spellStart"/>
      <w:proofErr w:type="gramStart"/>
      <w:r>
        <w:rPr>
          <w:b/>
          <w:i/>
          <w:lang w:val="pt-BR"/>
        </w:rPr>
        <w:t>salario</w:t>
      </w:r>
      <w:proofErr w:type="spellEnd"/>
      <w:proofErr w:type="gramEnd"/>
      <w:r>
        <w:rPr>
          <w:b/>
          <w:i/>
          <w:lang w:val="pt-BR"/>
        </w:rPr>
        <w:t xml:space="preserve"> </w:t>
      </w:r>
      <w:proofErr w:type="spellStart"/>
      <w:r>
        <w:rPr>
          <w:b/>
          <w:i/>
          <w:lang w:val="pt-BR"/>
        </w:rPr>
        <w:t>mensual</w:t>
      </w:r>
      <w:proofErr w:type="spellEnd"/>
      <w:r>
        <w:rPr>
          <w:b/>
          <w:lang w:val="pt-BR"/>
        </w:rPr>
        <w:t xml:space="preserve"> i * 18</w:t>
      </w:r>
    </w:p>
    <w:p w14:paraId="470C23DC" w14:textId="77777777" w:rsidR="00193AB7" w:rsidRDefault="00193AB7" w:rsidP="00193AB7">
      <w:pPr>
        <w:spacing w:after="200" w:line="276" w:lineRule="auto"/>
        <w:contextualSpacing/>
        <w:jc w:val="both"/>
        <w:rPr>
          <w:b/>
          <w:lang w:val="pt-BR"/>
        </w:rPr>
      </w:pPr>
    </w:p>
    <w:p w14:paraId="37C89C65" w14:textId="77777777" w:rsidR="00193AB7" w:rsidRDefault="00193AB7" w:rsidP="00193AB7">
      <w:pPr>
        <w:spacing w:after="200" w:line="276" w:lineRule="auto"/>
        <w:contextualSpacing/>
        <w:jc w:val="both"/>
        <w:rPr>
          <w:lang w:val="es-ES_tradnl"/>
        </w:rPr>
      </w:pPr>
      <w:r>
        <w:rPr>
          <w:lang w:val="es-ES_tradnl"/>
        </w:rPr>
        <w:t xml:space="preserve">El número total de trabajadores potenciales a retiro, de acuerdo con la estimación efectuada en la evaluación económica, es de un total para todos los ministerios de 925 retirados voluntarios.  </w:t>
      </w:r>
    </w:p>
    <w:p w14:paraId="262490A1" w14:textId="77777777" w:rsidR="00193AB7" w:rsidRDefault="00193AB7" w:rsidP="00193AB7">
      <w:pPr>
        <w:spacing w:after="200" w:line="276" w:lineRule="auto"/>
        <w:contextualSpacing/>
        <w:jc w:val="both"/>
        <w:rPr>
          <w:b/>
          <w:lang w:val="es-ES_tradnl"/>
        </w:rPr>
      </w:pPr>
    </w:p>
    <w:tbl>
      <w:tblPr>
        <w:tblStyle w:val="GridTable4-Accent1"/>
        <w:tblW w:w="0" w:type="auto"/>
        <w:tblLook w:val="04A0" w:firstRow="1" w:lastRow="0" w:firstColumn="1" w:lastColumn="0" w:noHBand="0" w:noVBand="1"/>
      </w:tblPr>
      <w:tblGrid>
        <w:gridCol w:w="1017"/>
        <w:gridCol w:w="1355"/>
        <w:gridCol w:w="2700"/>
      </w:tblGrid>
      <w:tr w:rsidR="00193AB7" w:rsidRPr="004239EA" w14:paraId="56A43F05" w14:textId="77777777" w:rsidTr="00193A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 w:type="dxa"/>
            <w:hideMark/>
          </w:tcPr>
          <w:p w14:paraId="63CD4455" w14:textId="77777777" w:rsidR="00193AB7" w:rsidRDefault="00193AB7">
            <w:pPr>
              <w:spacing w:after="200" w:line="276" w:lineRule="auto"/>
              <w:contextualSpacing/>
              <w:jc w:val="both"/>
              <w:rPr>
                <w:b w:val="0"/>
                <w:lang w:val="pt-BR"/>
              </w:rPr>
            </w:pPr>
            <w:proofErr w:type="spellStart"/>
            <w:r>
              <w:rPr>
                <w:b w:val="0"/>
                <w:lang w:val="pt-BR"/>
              </w:rPr>
              <w:t>A</w:t>
            </w:r>
            <w:r>
              <w:rPr>
                <w:lang w:val="pt-BR"/>
              </w:rPr>
              <w:t>ñ</w:t>
            </w:r>
            <w:r>
              <w:rPr>
                <w:b w:val="0"/>
                <w:lang w:val="pt-BR"/>
              </w:rPr>
              <w:t>o</w:t>
            </w:r>
            <w:proofErr w:type="spellEnd"/>
            <w:r>
              <w:rPr>
                <w:b w:val="0"/>
                <w:lang w:val="pt-BR"/>
              </w:rPr>
              <w:t xml:space="preserve"> del </w:t>
            </w:r>
            <w:proofErr w:type="spellStart"/>
            <w:r>
              <w:rPr>
                <w:b w:val="0"/>
                <w:lang w:val="pt-BR"/>
              </w:rPr>
              <w:t>proyecto</w:t>
            </w:r>
            <w:proofErr w:type="spellEnd"/>
            <w:r>
              <w:rPr>
                <w:b w:val="0"/>
                <w:lang w:val="pt-BR"/>
              </w:rPr>
              <w:t xml:space="preserve"> </w:t>
            </w:r>
          </w:p>
        </w:tc>
        <w:tc>
          <w:tcPr>
            <w:tcW w:w="6" w:type="dxa"/>
            <w:hideMark/>
          </w:tcPr>
          <w:p w14:paraId="54C35488" w14:textId="4F6D6F6F" w:rsidR="00193AB7" w:rsidRDefault="00193AB7">
            <w:pPr>
              <w:spacing w:after="200" w:line="276" w:lineRule="auto"/>
              <w:contextualSpacing/>
              <w:jc w:val="both"/>
              <w:cnfStyle w:val="100000000000" w:firstRow="1" w:lastRow="0" w:firstColumn="0" w:lastColumn="0" w:oddVBand="0" w:evenVBand="0" w:oddHBand="0" w:evenHBand="0" w:firstRowFirstColumn="0" w:firstRowLastColumn="0" w:lastRowFirstColumn="0" w:lastRowLastColumn="0"/>
              <w:rPr>
                <w:b w:val="0"/>
                <w:lang w:val="es-ES_tradnl"/>
              </w:rPr>
            </w:pPr>
            <w:r>
              <w:rPr>
                <w:b w:val="0"/>
                <w:lang w:val="es-ES_tradnl"/>
              </w:rPr>
              <w:t xml:space="preserve">Número de </w:t>
            </w:r>
            <w:r w:rsidR="003A77E9">
              <w:rPr>
                <w:b w:val="0"/>
                <w:lang w:val="es-ES_tradnl"/>
              </w:rPr>
              <w:t>trabajadores</w:t>
            </w:r>
            <w:r>
              <w:rPr>
                <w:b w:val="0"/>
                <w:lang w:val="es-ES_tradnl"/>
              </w:rPr>
              <w:t xml:space="preserve"> potenciales a retiro</w:t>
            </w:r>
          </w:p>
        </w:tc>
        <w:tc>
          <w:tcPr>
            <w:tcW w:w="2700" w:type="dxa"/>
            <w:hideMark/>
          </w:tcPr>
          <w:p w14:paraId="648ED592" w14:textId="79C7244A" w:rsidR="00193AB7" w:rsidRPr="004239EA" w:rsidRDefault="00193AB7">
            <w:pPr>
              <w:spacing w:after="200" w:line="276" w:lineRule="auto"/>
              <w:contextualSpacing/>
              <w:jc w:val="both"/>
              <w:cnfStyle w:val="100000000000" w:firstRow="1" w:lastRow="0" w:firstColumn="0" w:lastColumn="0" w:oddVBand="0" w:evenVBand="0" w:oddHBand="0" w:evenHBand="0" w:firstRowFirstColumn="0" w:firstRowLastColumn="0" w:lastRowFirstColumn="0" w:lastRowLastColumn="0"/>
              <w:rPr>
                <w:b w:val="0"/>
                <w:lang w:val="es-ES_tradnl"/>
              </w:rPr>
            </w:pPr>
            <w:r w:rsidRPr="004239EA">
              <w:rPr>
                <w:b w:val="0"/>
                <w:lang w:val="es-ES_tradnl"/>
              </w:rPr>
              <w:t>Presupuesto por ano para incentivos para el retiro voluntario</w:t>
            </w:r>
            <w:r w:rsidR="003A77E9" w:rsidRPr="004239EA">
              <w:rPr>
                <w:b w:val="0"/>
                <w:lang w:val="es-ES_tradnl"/>
              </w:rPr>
              <w:t xml:space="preserve"> </w:t>
            </w:r>
            <w:r w:rsidR="00256419" w:rsidRPr="00256419">
              <w:rPr>
                <w:b w:val="0"/>
                <w:lang w:val="es-ES_tradnl"/>
              </w:rPr>
              <w:t>(mil. USD$)</w:t>
            </w:r>
          </w:p>
        </w:tc>
      </w:tr>
      <w:tr w:rsidR="00193AB7" w14:paraId="0CD6E831" w14:textId="77777777" w:rsidTr="00193A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hideMark/>
          </w:tcPr>
          <w:p w14:paraId="76127BC1" w14:textId="77777777" w:rsidR="00193AB7" w:rsidRDefault="00193AB7">
            <w:pPr>
              <w:spacing w:after="200" w:line="276" w:lineRule="auto"/>
              <w:contextualSpacing/>
              <w:jc w:val="both"/>
              <w:rPr>
                <w:b w:val="0"/>
                <w:lang w:val="pt-BR"/>
              </w:rPr>
            </w:pPr>
            <w:r>
              <w:rPr>
                <w:b w:val="0"/>
                <w:lang w:val="pt-BR"/>
              </w:rPr>
              <w:t>1</w:t>
            </w:r>
          </w:p>
        </w:tc>
        <w:tc>
          <w:tcPr>
            <w:tcW w:w="6"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hideMark/>
          </w:tcPr>
          <w:p w14:paraId="3E228C41" w14:textId="77777777" w:rsidR="00193AB7" w:rsidRDefault="00193AB7">
            <w:pPr>
              <w:spacing w:after="200" w:line="276" w:lineRule="auto"/>
              <w:contextualSpacing/>
              <w:jc w:val="both"/>
              <w:cnfStyle w:val="000000100000" w:firstRow="0" w:lastRow="0" w:firstColumn="0" w:lastColumn="0" w:oddVBand="0" w:evenVBand="0" w:oddHBand="1" w:evenHBand="0" w:firstRowFirstColumn="0" w:firstRowLastColumn="0" w:lastRowFirstColumn="0" w:lastRowLastColumn="0"/>
              <w:rPr>
                <w:lang w:val="pt-BR"/>
              </w:rPr>
            </w:pPr>
            <w:r>
              <w:rPr>
                <w:lang w:val="pt-BR"/>
              </w:rPr>
              <w:t>0</w:t>
            </w:r>
          </w:p>
        </w:tc>
        <w:tc>
          <w:tcPr>
            <w:tcW w:w="2700"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hideMark/>
          </w:tcPr>
          <w:p w14:paraId="4E6B7E3E" w14:textId="77777777" w:rsidR="00193AB7" w:rsidRDefault="00193AB7">
            <w:pPr>
              <w:spacing w:after="200" w:line="276" w:lineRule="auto"/>
              <w:contextualSpacing/>
              <w:jc w:val="both"/>
              <w:cnfStyle w:val="000000100000" w:firstRow="0" w:lastRow="0" w:firstColumn="0" w:lastColumn="0" w:oddVBand="0" w:evenVBand="0" w:oddHBand="1" w:evenHBand="0" w:firstRowFirstColumn="0" w:firstRowLastColumn="0" w:lastRowFirstColumn="0" w:lastRowLastColumn="0"/>
              <w:rPr>
                <w:lang w:val="pt-BR"/>
              </w:rPr>
            </w:pPr>
            <w:r>
              <w:rPr>
                <w:lang w:val="pt-BR"/>
              </w:rPr>
              <w:t xml:space="preserve"> -</w:t>
            </w:r>
          </w:p>
        </w:tc>
      </w:tr>
      <w:tr w:rsidR="00193AB7" w14:paraId="05FCA9ED" w14:textId="77777777" w:rsidTr="00193AB7">
        <w:tc>
          <w:tcPr>
            <w:cnfStyle w:val="001000000000" w:firstRow="0" w:lastRow="0" w:firstColumn="1" w:lastColumn="0" w:oddVBand="0" w:evenVBand="0" w:oddHBand="0" w:evenHBand="0" w:firstRowFirstColumn="0" w:firstRowLastColumn="0" w:lastRowFirstColumn="0" w:lastRowLastColumn="0"/>
            <w:tcW w:w="6"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hideMark/>
          </w:tcPr>
          <w:p w14:paraId="2B966736" w14:textId="77777777" w:rsidR="00193AB7" w:rsidRDefault="00193AB7">
            <w:pPr>
              <w:spacing w:after="200" w:line="276" w:lineRule="auto"/>
              <w:contextualSpacing/>
              <w:jc w:val="both"/>
              <w:rPr>
                <w:b w:val="0"/>
                <w:lang w:val="pt-BR"/>
              </w:rPr>
            </w:pPr>
            <w:r>
              <w:rPr>
                <w:b w:val="0"/>
                <w:lang w:val="pt-BR"/>
              </w:rPr>
              <w:t>2</w:t>
            </w:r>
          </w:p>
        </w:tc>
        <w:tc>
          <w:tcPr>
            <w:tcW w:w="6"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hideMark/>
          </w:tcPr>
          <w:p w14:paraId="44023A10" w14:textId="0B24256E" w:rsidR="00193AB7" w:rsidRDefault="003A77E9">
            <w:pPr>
              <w:spacing w:after="200" w:line="276" w:lineRule="auto"/>
              <w:contextualSpacing/>
              <w:jc w:val="both"/>
              <w:cnfStyle w:val="000000000000" w:firstRow="0" w:lastRow="0" w:firstColumn="0" w:lastColumn="0" w:oddVBand="0" w:evenVBand="0" w:oddHBand="0" w:evenHBand="0" w:firstRowFirstColumn="0" w:firstRowLastColumn="0" w:lastRowFirstColumn="0" w:lastRowLastColumn="0"/>
              <w:rPr>
                <w:lang w:val="pt-BR"/>
              </w:rPr>
            </w:pPr>
            <w:r>
              <w:rPr>
                <w:lang w:val="pt-BR"/>
              </w:rPr>
              <w:t>278</w:t>
            </w:r>
          </w:p>
        </w:tc>
        <w:tc>
          <w:tcPr>
            <w:tcW w:w="2700"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hideMark/>
          </w:tcPr>
          <w:p w14:paraId="247A618A" w14:textId="7D395A1E" w:rsidR="00193AB7" w:rsidRDefault="00193AB7">
            <w:pPr>
              <w:spacing w:after="200" w:line="276" w:lineRule="auto"/>
              <w:contextualSpacing/>
              <w:jc w:val="both"/>
              <w:cnfStyle w:val="000000000000" w:firstRow="0" w:lastRow="0" w:firstColumn="0" w:lastColumn="0" w:oddVBand="0" w:evenVBand="0" w:oddHBand="0" w:evenHBand="0" w:firstRowFirstColumn="0" w:firstRowLastColumn="0" w:lastRowFirstColumn="0" w:lastRowLastColumn="0"/>
              <w:rPr>
                <w:lang w:val="pt-BR"/>
              </w:rPr>
            </w:pPr>
            <w:r>
              <w:rPr>
                <w:lang w:val="pt-BR"/>
              </w:rPr>
              <w:t xml:space="preserve"> </w:t>
            </w:r>
            <w:r w:rsidR="003A77E9" w:rsidRPr="003A77E9">
              <w:rPr>
                <w:lang w:val="pt-BR"/>
              </w:rPr>
              <w:t>3,000,000</w:t>
            </w:r>
          </w:p>
        </w:tc>
      </w:tr>
      <w:tr w:rsidR="00193AB7" w14:paraId="51C198DA" w14:textId="77777777" w:rsidTr="00193A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hideMark/>
          </w:tcPr>
          <w:p w14:paraId="490FA4D1" w14:textId="77777777" w:rsidR="00193AB7" w:rsidRDefault="00193AB7">
            <w:pPr>
              <w:spacing w:after="200" w:line="276" w:lineRule="auto"/>
              <w:contextualSpacing/>
              <w:jc w:val="both"/>
              <w:rPr>
                <w:b w:val="0"/>
                <w:lang w:val="pt-BR"/>
              </w:rPr>
            </w:pPr>
            <w:r>
              <w:rPr>
                <w:b w:val="0"/>
                <w:lang w:val="pt-BR"/>
              </w:rPr>
              <w:t>3</w:t>
            </w:r>
          </w:p>
        </w:tc>
        <w:tc>
          <w:tcPr>
            <w:tcW w:w="6"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hideMark/>
          </w:tcPr>
          <w:p w14:paraId="7832B6D8" w14:textId="0A8B2231" w:rsidR="00193AB7" w:rsidRDefault="003A77E9">
            <w:pPr>
              <w:spacing w:after="200" w:line="276" w:lineRule="auto"/>
              <w:contextualSpacing/>
              <w:jc w:val="both"/>
              <w:cnfStyle w:val="000000100000" w:firstRow="0" w:lastRow="0" w:firstColumn="0" w:lastColumn="0" w:oddVBand="0" w:evenVBand="0" w:oddHBand="1" w:evenHBand="0" w:firstRowFirstColumn="0" w:firstRowLastColumn="0" w:lastRowFirstColumn="0" w:lastRowLastColumn="0"/>
              <w:rPr>
                <w:lang w:val="pt-BR"/>
              </w:rPr>
            </w:pPr>
            <w:r>
              <w:rPr>
                <w:lang w:val="pt-BR"/>
              </w:rPr>
              <w:t>647</w:t>
            </w:r>
          </w:p>
        </w:tc>
        <w:tc>
          <w:tcPr>
            <w:tcW w:w="2700"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hideMark/>
          </w:tcPr>
          <w:p w14:paraId="4C9D8344" w14:textId="2B03AA64" w:rsidR="00193AB7" w:rsidRDefault="003A77E9">
            <w:pPr>
              <w:spacing w:after="200" w:line="276" w:lineRule="auto"/>
              <w:contextualSpacing/>
              <w:jc w:val="both"/>
              <w:cnfStyle w:val="000000100000" w:firstRow="0" w:lastRow="0" w:firstColumn="0" w:lastColumn="0" w:oddVBand="0" w:evenVBand="0" w:oddHBand="1" w:evenHBand="0" w:firstRowFirstColumn="0" w:firstRowLastColumn="0" w:lastRowFirstColumn="0" w:lastRowLastColumn="0"/>
              <w:rPr>
                <w:lang w:val="pt-BR"/>
              </w:rPr>
            </w:pPr>
            <w:r>
              <w:rPr>
                <w:lang w:val="pt-BR"/>
              </w:rPr>
              <w:t>7,000,000</w:t>
            </w:r>
          </w:p>
        </w:tc>
        <w:bookmarkStart w:id="0" w:name="_GoBack"/>
        <w:bookmarkEnd w:id="0"/>
      </w:tr>
      <w:tr w:rsidR="00193AB7" w14:paraId="45668760" w14:textId="77777777" w:rsidTr="00193AB7">
        <w:tc>
          <w:tcPr>
            <w:cnfStyle w:val="001000000000" w:firstRow="0" w:lastRow="0" w:firstColumn="1" w:lastColumn="0" w:oddVBand="0" w:evenVBand="0" w:oddHBand="0" w:evenHBand="0" w:firstRowFirstColumn="0" w:firstRowLastColumn="0" w:lastRowFirstColumn="0" w:lastRowLastColumn="0"/>
            <w:tcW w:w="6"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hideMark/>
          </w:tcPr>
          <w:p w14:paraId="0B11B22C" w14:textId="77777777" w:rsidR="00193AB7" w:rsidRDefault="00193AB7">
            <w:pPr>
              <w:spacing w:after="200" w:line="276" w:lineRule="auto"/>
              <w:contextualSpacing/>
              <w:jc w:val="both"/>
              <w:rPr>
                <w:b w:val="0"/>
                <w:lang w:val="pt-BR"/>
              </w:rPr>
            </w:pPr>
            <w:r>
              <w:rPr>
                <w:b w:val="0"/>
                <w:lang w:val="pt-BR"/>
              </w:rPr>
              <w:t>4</w:t>
            </w:r>
          </w:p>
        </w:tc>
        <w:tc>
          <w:tcPr>
            <w:tcW w:w="6"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hideMark/>
          </w:tcPr>
          <w:p w14:paraId="40ED06B2" w14:textId="1C5F28F7" w:rsidR="00193AB7" w:rsidRDefault="003A77E9">
            <w:pPr>
              <w:spacing w:after="200" w:line="276" w:lineRule="auto"/>
              <w:contextualSpacing/>
              <w:jc w:val="both"/>
              <w:cnfStyle w:val="000000000000" w:firstRow="0" w:lastRow="0" w:firstColumn="0" w:lastColumn="0" w:oddVBand="0" w:evenVBand="0" w:oddHBand="0" w:evenHBand="0" w:firstRowFirstColumn="0" w:firstRowLastColumn="0" w:lastRowFirstColumn="0" w:lastRowLastColumn="0"/>
              <w:rPr>
                <w:lang w:val="pt-BR"/>
              </w:rPr>
            </w:pPr>
            <w:r>
              <w:rPr>
                <w:lang w:val="pt-BR"/>
              </w:rPr>
              <w:t>-</w:t>
            </w:r>
          </w:p>
        </w:tc>
        <w:tc>
          <w:tcPr>
            <w:tcW w:w="2700"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hideMark/>
          </w:tcPr>
          <w:p w14:paraId="6026A3CB" w14:textId="46AC9266" w:rsidR="00193AB7" w:rsidRDefault="003A77E9">
            <w:pPr>
              <w:jc w:val="both"/>
              <w:outlineLvl w:val="0"/>
              <w:cnfStyle w:val="000000000000" w:firstRow="0" w:lastRow="0" w:firstColumn="0" w:lastColumn="0" w:oddVBand="0" w:evenVBand="0" w:oddHBand="0" w:evenHBand="0" w:firstRowFirstColumn="0" w:firstRowLastColumn="0" w:lastRowFirstColumn="0" w:lastRowLastColumn="0"/>
              <w:rPr>
                <w:rFonts w:ascii="Calibri" w:hAnsi="Calibri" w:cs="Calibri"/>
                <w:bCs/>
                <w:color w:val="000000"/>
              </w:rPr>
            </w:pPr>
            <w:r>
              <w:rPr>
                <w:rFonts w:ascii="Calibri" w:hAnsi="Calibri" w:cs="Calibri"/>
                <w:bCs/>
                <w:color w:val="000000"/>
              </w:rPr>
              <w:t>-</w:t>
            </w:r>
          </w:p>
        </w:tc>
      </w:tr>
      <w:tr w:rsidR="00193AB7" w14:paraId="2D59844C" w14:textId="77777777" w:rsidTr="00193A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hideMark/>
          </w:tcPr>
          <w:p w14:paraId="0964458B" w14:textId="77777777" w:rsidR="00193AB7" w:rsidRDefault="00193AB7">
            <w:pPr>
              <w:spacing w:after="200" w:line="276" w:lineRule="auto"/>
              <w:contextualSpacing/>
              <w:jc w:val="both"/>
              <w:rPr>
                <w:b w:val="0"/>
                <w:lang w:val="pt-BR"/>
              </w:rPr>
            </w:pPr>
            <w:r>
              <w:rPr>
                <w:b w:val="0"/>
                <w:lang w:val="pt-BR"/>
              </w:rPr>
              <w:t>5</w:t>
            </w:r>
          </w:p>
        </w:tc>
        <w:tc>
          <w:tcPr>
            <w:tcW w:w="6"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hideMark/>
          </w:tcPr>
          <w:p w14:paraId="66CCACE7" w14:textId="16AB62A8" w:rsidR="00193AB7" w:rsidRDefault="003A77E9">
            <w:pPr>
              <w:spacing w:after="200" w:line="276" w:lineRule="auto"/>
              <w:contextualSpacing/>
              <w:jc w:val="both"/>
              <w:cnfStyle w:val="000000100000" w:firstRow="0" w:lastRow="0" w:firstColumn="0" w:lastColumn="0" w:oddVBand="0" w:evenVBand="0" w:oddHBand="1" w:evenHBand="0" w:firstRowFirstColumn="0" w:firstRowLastColumn="0" w:lastRowFirstColumn="0" w:lastRowLastColumn="0"/>
              <w:rPr>
                <w:lang w:val="pt-BR"/>
              </w:rPr>
            </w:pPr>
            <w:r>
              <w:rPr>
                <w:lang w:val="pt-BR"/>
              </w:rPr>
              <w:t>-</w:t>
            </w:r>
          </w:p>
        </w:tc>
        <w:tc>
          <w:tcPr>
            <w:tcW w:w="2700"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hideMark/>
          </w:tcPr>
          <w:p w14:paraId="5511F7BA" w14:textId="47633B8A" w:rsidR="00193AB7" w:rsidRDefault="003A77E9">
            <w:pPr>
              <w:jc w:val="both"/>
              <w:outlineLvl w:val="0"/>
              <w:cnfStyle w:val="000000100000" w:firstRow="0" w:lastRow="0" w:firstColumn="0" w:lastColumn="0" w:oddVBand="0" w:evenVBand="0" w:oddHBand="1" w:evenHBand="0" w:firstRowFirstColumn="0" w:firstRowLastColumn="0" w:lastRowFirstColumn="0" w:lastRowLastColumn="0"/>
              <w:rPr>
                <w:rFonts w:ascii="Calibri" w:hAnsi="Calibri" w:cs="Calibri"/>
                <w:bCs/>
                <w:color w:val="000000"/>
              </w:rPr>
            </w:pPr>
            <w:r>
              <w:rPr>
                <w:rFonts w:ascii="Calibri" w:hAnsi="Calibri" w:cs="Calibri"/>
                <w:bCs/>
                <w:color w:val="000000"/>
              </w:rPr>
              <w:t>-</w:t>
            </w:r>
          </w:p>
        </w:tc>
      </w:tr>
      <w:tr w:rsidR="00193AB7" w14:paraId="3B04F1A6" w14:textId="77777777" w:rsidTr="00193AB7">
        <w:tc>
          <w:tcPr>
            <w:cnfStyle w:val="001000000000" w:firstRow="0" w:lastRow="0" w:firstColumn="1" w:lastColumn="0" w:oddVBand="0" w:evenVBand="0" w:oddHBand="0" w:evenHBand="0" w:firstRowFirstColumn="0" w:firstRowLastColumn="0" w:lastRowFirstColumn="0" w:lastRowLastColumn="0"/>
            <w:tcW w:w="6"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hideMark/>
          </w:tcPr>
          <w:p w14:paraId="5E351666" w14:textId="77777777" w:rsidR="00193AB7" w:rsidRDefault="00193AB7">
            <w:pPr>
              <w:spacing w:after="200" w:line="276" w:lineRule="auto"/>
              <w:contextualSpacing/>
              <w:jc w:val="both"/>
              <w:rPr>
                <w:b w:val="0"/>
                <w:lang w:val="pt-BR"/>
              </w:rPr>
            </w:pPr>
            <w:r>
              <w:rPr>
                <w:lang w:val="pt-BR"/>
              </w:rPr>
              <w:t xml:space="preserve">Total </w:t>
            </w:r>
          </w:p>
        </w:tc>
        <w:tc>
          <w:tcPr>
            <w:tcW w:w="6"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hideMark/>
          </w:tcPr>
          <w:p w14:paraId="35A92923" w14:textId="645F8F1A" w:rsidR="00193AB7" w:rsidRDefault="003A77E9">
            <w:pPr>
              <w:spacing w:after="200" w:line="276" w:lineRule="auto"/>
              <w:contextualSpacing/>
              <w:jc w:val="both"/>
              <w:cnfStyle w:val="000000000000" w:firstRow="0" w:lastRow="0" w:firstColumn="0" w:lastColumn="0" w:oddVBand="0" w:evenVBand="0" w:oddHBand="0" w:evenHBand="0" w:firstRowFirstColumn="0" w:firstRowLastColumn="0" w:lastRowFirstColumn="0" w:lastRowLastColumn="0"/>
              <w:rPr>
                <w:lang w:val="pt-BR"/>
              </w:rPr>
            </w:pPr>
            <w:r>
              <w:rPr>
                <w:lang w:val="pt-BR"/>
              </w:rPr>
              <w:t>925</w:t>
            </w:r>
            <w:r w:rsidR="00CD7217">
              <w:rPr>
                <w:rStyle w:val="FootnoteReference"/>
                <w:lang w:val="pt-BR"/>
              </w:rPr>
              <w:footnoteReference w:id="5"/>
            </w:r>
          </w:p>
        </w:tc>
        <w:tc>
          <w:tcPr>
            <w:tcW w:w="2700"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hideMark/>
          </w:tcPr>
          <w:p w14:paraId="359BF4A3" w14:textId="4603C8B8" w:rsidR="00193AB7" w:rsidRDefault="00193AB7">
            <w:pPr>
              <w:spacing w:after="200" w:line="276" w:lineRule="auto"/>
              <w:contextualSpacing/>
              <w:jc w:val="both"/>
              <w:cnfStyle w:val="000000000000" w:firstRow="0" w:lastRow="0" w:firstColumn="0" w:lastColumn="0" w:oddVBand="0" w:evenVBand="0" w:oddHBand="0" w:evenHBand="0" w:firstRowFirstColumn="0" w:firstRowLastColumn="0" w:lastRowFirstColumn="0" w:lastRowLastColumn="0"/>
              <w:rPr>
                <w:lang w:val="pt-BR"/>
              </w:rPr>
            </w:pPr>
            <w:r>
              <w:rPr>
                <w:lang w:val="pt-BR"/>
              </w:rPr>
              <w:t>10</w:t>
            </w:r>
            <w:r w:rsidR="003A77E9">
              <w:rPr>
                <w:lang w:val="pt-BR"/>
              </w:rPr>
              <w:t>,000,000</w:t>
            </w:r>
          </w:p>
        </w:tc>
      </w:tr>
    </w:tbl>
    <w:p w14:paraId="6AD24EBB" w14:textId="0B850273" w:rsidR="008A7E0E" w:rsidRDefault="008A7E0E">
      <w:pPr>
        <w:rPr>
          <w:rFonts w:eastAsia="Times New Roman"/>
          <w:lang w:val="es-ES_tradnl"/>
        </w:rPr>
      </w:pPr>
    </w:p>
    <w:p w14:paraId="29D42649" w14:textId="0387DB65" w:rsidR="00464428" w:rsidRDefault="008A7E0E" w:rsidP="00F16EF6">
      <w:pPr>
        <w:pStyle w:val="ListParagraph"/>
        <w:numPr>
          <w:ilvl w:val="0"/>
          <w:numId w:val="12"/>
        </w:numPr>
        <w:rPr>
          <w:rFonts w:eastAsia="Times New Roman"/>
          <w:b/>
          <w:lang w:val="es-ES_tradnl"/>
        </w:rPr>
      </w:pPr>
      <w:r w:rsidRPr="008A7E0E">
        <w:rPr>
          <w:rFonts w:eastAsia="Times New Roman"/>
          <w:b/>
          <w:lang w:val="es-ES_tradnl"/>
        </w:rPr>
        <w:t xml:space="preserve">Gestión </w:t>
      </w:r>
      <w:r w:rsidR="00464428">
        <w:rPr>
          <w:rFonts w:eastAsia="Times New Roman"/>
          <w:b/>
          <w:lang w:val="es-ES_tradnl"/>
        </w:rPr>
        <w:t>de</w:t>
      </w:r>
      <w:r w:rsidR="004239EA">
        <w:rPr>
          <w:rFonts w:eastAsia="Times New Roman"/>
          <w:b/>
          <w:lang w:val="es-ES_tradnl"/>
        </w:rPr>
        <w:t>l</w:t>
      </w:r>
      <w:r w:rsidRPr="008A7E0E">
        <w:rPr>
          <w:rFonts w:eastAsia="Times New Roman"/>
          <w:b/>
          <w:lang w:val="es-ES_tradnl"/>
        </w:rPr>
        <w:t xml:space="preserve"> pago de salarios</w:t>
      </w:r>
    </w:p>
    <w:p w14:paraId="0DF868FE" w14:textId="77777777" w:rsidR="00F16EF6" w:rsidRPr="00F16EF6" w:rsidRDefault="00F16EF6" w:rsidP="00F16EF6">
      <w:pPr>
        <w:pStyle w:val="ListParagraph"/>
        <w:rPr>
          <w:rFonts w:eastAsia="Times New Roman"/>
          <w:b/>
          <w:lang w:val="es-ES_tradnl"/>
        </w:rPr>
      </w:pPr>
    </w:p>
    <w:p w14:paraId="4ACD8A6C" w14:textId="00E20911" w:rsidR="00464428" w:rsidRDefault="00464428" w:rsidP="00464428">
      <w:pPr>
        <w:spacing w:after="200" w:line="276" w:lineRule="auto"/>
        <w:contextualSpacing/>
        <w:jc w:val="both"/>
        <w:rPr>
          <w:lang w:val="es-ES_tradnl"/>
        </w:rPr>
      </w:pPr>
      <w:r>
        <w:rPr>
          <w:lang w:val="es-ES_tradnl"/>
        </w:rPr>
        <w:t xml:space="preserve">Se tiene contemplado una contratación progresiva del personal </w:t>
      </w:r>
      <w:r w:rsidR="00077E29">
        <w:rPr>
          <w:lang w:val="es-ES_tradnl"/>
        </w:rPr>
        <w:t xml:space="preserve">en los Ministerios seleccionados </w:t>
      </w:r>
      <w:r>
        <w:rPr>
          <w:lang w:val="es-ES_tradnl"/>
        </w:rPr>
        <w:t>con un salario bruto promedio de $750. Además, se financiará con el préstamo como se detalla a continuación</w:t>
      </w:r>
      <w:r w:rsidR="00CA1CC9">
        <w:rPr>
          <w:rStyle w:val="FootnoteReference"/>
          <w:lang w:val="es-ES_tradnl"/>
        </w:rPr>
        <w:footnoteReference w:id="6"/>
      </w:r>
      <w:r>
        <w:rPr>
          <w:lang w:val="es-ES_tradnl"/>
        </w:rPr>
        <w:t xml:space="preserve">: </w:t>
      </w:r>
    </w:p>
    <w:p w14:paraId="4A442B26" w14:textId="77777777" w:rsidR="00464428" w:rsidRDefault="00464428" w:rsidP="00464428">
      <w:pPr>
        <w:spacing w:after="200" w:line="276" w:lineRule="auto"/>
        <w:contextualSpacing/>
        <w:jc w:val="both"/>
        <w:rPr>
          <w:lang w:val="es-ES_tradnl"/>
        </w:rPr>
      </w:pPr>
    </w:p>
    <w:tbl>
      <w:tblPr>
        <w:tblStyle w:val="GridTable4-Accent1"/>
        <w:tblW w:w="0" w:type="auto"/>
        <w:tblLook w:val="04A0" w:firstRow="1" w:lastRow="0" w:firstColumn="1" w:lastColumn="0" w:noHBand="0" w:noVBand="1"/>
      </w:tblPr>
      <w:tblGrid>
        <w:gridCol w:w="1870"/>
        <w:gridCol w:w="1870"/>
        <w:gridCol w:w="1870"/>
        <w:gridCol w:w="1870"/>
      </w:tblGrid>
      <w:tr w:rsidR="00464428" w:rsidRPr="00411B43" w14:paraId="106A0C81" w14:textId="77777777" w:rsidTr="001860B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70" w:type="dxa"/>
          </w:tcPr>
          <w:p w14:paraId="34382972" w14:textId="77777777" w:rsidR="00464428" w:rsidRDefault="00464428" w:rsidP="001860B5">
            <w:pPr>
              <w:spacing w:after="200" w:line="276" w:lineRule="auto"/>
              <w:contextualSpacing/>
              <w:jc w:val="both"/>
              <w:rPr>
                <w:lang w:val="es-ES_tradnl"/>
              </w:rPr>
            </w:pPr>
            <w:proofErr w:type="spellStart"/>
            <w:r>
              <w:rPr>
                <w:b w:val="0"/>
                <w:lang w:val="pt-BR"/>
              </w:rPr>
              <w:lastRenderedPageBreak/>
              <w:t>A</w:t>
            </w:r>
            <w:r w:rsidRPr="00EB2FDE">
              <w:rPr>
                <w:lang w:val="pt-BR"/>
              </w:rPr>
              <w:t>ñ</w:t>
            </w:r>
            <w:r>
              <w:rPr>
                <w:b w:val="0"/>
                <w:lang w:val="pt-BR"/>
              </w:rPr>
              <w:t>o</w:t>
            </w:r>
            <w:proofErr w:type="spellEnd"/>
            <w:r>
              <w:rPr>
                <w:lang w:val="es-ES_tradnl"/>
              </w:rPr>
              <w:t xml:space="preserve"> del proyecto </w:t>
            </w:r>
          </w:p>
        </w:tc>
        <w:tc>
          <w:tcPr>
            <w:tcW w:w="1870" w:type="dxa"/>
          </w:tcPr>
          <w:p w14:paraId="699ACFAE" w14:textId="1466E996" w:rsidR="00464428" w:rsidRDefault="00464428" w:rsidP="001860B5">
            <w:pPr>
              <w:spacing w:after="200" w:line="276" w:lineRule="auto"/>
              <w:contextualSpacing/>
              <w:jc w:val="both"/>
              <w:cnfStyle w:val="100000000000" w:firstRow="1" w:lastRow="0" w:firstColumn="0" w:lastColumn="0" w:oddVBand="0" w:evenVBand="0" w:oddHBand="0" w:evenHBand="0" w:firstRowFirstColumn="0" w:firstRowLastColumn="0" w:lastRowFirstColumn="0" w:lastRowLastColumn="0"/>
              <w:rPr>
                <w:lang w:val="es-ES_tradnl"/>
              </w:rPr>
            </w:pPr>
            <w:r>
              <w:rPr>
                <w:lang w:val="es-ES_tradnl"/>
              </w:rPr>
              <w:t>Número de trabajadores</w:t>
            </w:r>
            <w:r w:rsidR="007D244D">
              <w:rPr>
                <w:lang w:val="es-ES_tradnl"/>
              </w:rPr>
              <w:t xml:space="preserve"> a contratar en ministerios seleccionados</w:t>
            </w:r>
          </w:p>
        </w:tc>
        <w:tc>
          <w:tcPr>
            <w:tcW w:w="1870" w:type="dxa"/>
          </w:tcPr>
          <w:p w14:paraId="731E3B2C" w14:textId="77777777" w:rsidR="00464428" w:rsidRDefault="00464428" w:rsidP="001860B5">
            <w:pPr>
              <w:spacing w:after="200" w:line="276" w:lineRule="auto"/>
              <w:contextualSpacing/>
              <w:jc w:val="both"/>
              <w:cnfStyle w:val="100000000000" w:firstRow="1" w:lastRow="0" w:firstColumn="0" w:lastColumn="0" w:oddVBand="0" w:evenVBand="0" w:oddHBand="0" w:evenHBand="0" w:firstRowFirstColumn="0" w:firstRowLastColumn="0" w:lastRowFirstColumn="0" w:lastRowLastColumn="0"/>
              <w:rPr>
                <w:lang w:val="es-ES_tradnl"/>
              </w:rPr>
            </w:pPr>
            <w:r>
              <w:rPr>
                <w:lang w:val="es-ES_tradnl"/>
              </w:rPr>
              <w:t>Porcentaje del gasto en sueldos a financiar</w:t>
            </w:r>
          </w:p>
        </w:tc>
        <w:tc>
          <w:tcPr>
            <w:tcW w:w="1870" w:type="dxa"/>
          </w:tcPr>
          <w:p w14:paraId="69D0F594" w14:textId="77777777" w:rsidR="00464428" w:rsidRPr="00411B43" w:rsidRDefault="00464428" w:rsidP="001860B5">
            <w:pPr>
              <w:spacing w:after="200" w:line="276" w:lineRule="auto"/>
              <w:contextualSpacing/>
              <w:jc w:val="both"/>
              <w:cnfStyle w:val="100000000000" w:firstRow="1" w:lastRow="0" w:firstColumn="0" w:lastColumn="0" w:oddVBand="0" w:evenVBand="0" w:oddHBand="0" w:evenHBand="0" w:firstRowFirstColumn="0" w:firstRowLastColumn="0" w:lastRowFirstColumn="0" w:lastRowLastColumn="0"/>
              <w:rPr>
                <w:lang w:val="es-ES_tradnl"/>
              </w:rPr>
            </w:pPr>
            <w:r>
              <w:rPr>
                <w:lang w:val="es-ES_tradnl"/>
              </w:rPr>
              <w:t>Gasto anual salario nuevas contrataciones (mil. USD$)</w:t>
            </w:r>
          </w:p>
        </w:tc>
      </w:tr>
      <w:tr w:rsidR="005B37F2" w:rsidRPr="00411B43" w14:paraId="73FB3B39" w14:textId="77777777" w:rsidTr="001860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70" w:type="dxa"/>
          </w:tcPr>
          <w:p w14:paraId="7E9F6834" w14:textId="0686E4AE" w:rsidR="005B37F2" w:rsidRDefault="005B37F2" w:rsidP="001860B5">
            <w:pPr>
              <w:spacing w:after="200" w:line="276" w:lineRule="auto"/>
              <w:contextualSpacing/>
              <w:jc w:val="both"/>
              <w:rPr>
                <w:lang w:val="es-ES_tradnl"/>
              </w:rPr>
            </w:pPr>
            <w:r>
              <w:rPr>
                <w:lang w:val="es-ES_tradnl"/>
              </w:rPr>
              <w:t>Año 1</w:t>
            </w:r>
          </w:p>
        </w:tc>
        <w:tc>
          <w:tcPr>
            <w:tcW w:w="1870" w:type="dxa"/>
          </w:tcPr>
          <w:p w14:paraId="446D8F7F" w14:textId="7FFF8BB3" w:rsidR="005B37F2" w:rsidRDefault="005B37F2" w:rsidP="001860B5">
            <w:pPr>
              <w:spacing w:after="200" w:line="276" w:lineRule="auto"/>
              <w:contextualSpacing/>
              <w:jc w:val="both"/>
              <w:cnfStyle w:val="000000100000" w:firstRow="0" w:lastRow="0" w:firstColumn="0" w:lastColumn="0" w:oddVBand="0" w:evenVBand="0" w:oddHBand="1" w:evenHBand="0" w:firstRowFirstColumn="0" w:firstRowLastColumn="0" w:lastRowFirstColumn="0" w:lastRowLastColumn="0"/>
              <w:rPr>
                <w:lang w:val="es-ES_tradnl"/>
              </w:rPr>
            </w:pPr>
            <w:r>
              <w:rPr>
                <w:lang w:val="es-ES_tradnl"/>
              </w:rPr>
              <w:t>-</w:t>
            </w:r>
          </w:p>
        </w:tc>
        <w:tc>
          <w:tcPr>
            <w:tcW w:w="1870" w:type="dxa"/>
          </w:tcPr>
          <w:p w14:paraId="3A26D7AD" w14:textId="099F3D7A" w:rsidR="005B37F2" w:rsidRDefault="005B37F2" w:rsidP="001860B5">
            <w:pPr>
              <w:spacing w:after="200" w:line="276" w:lineRule="auto"/>
              <w:contextualSpacing/>
              <w:jc w:val="both"/>
              <w:cnfStyle w:val="000000100000" w:firstRow="0" w:lastRow="0" w:firstColumn="0" w:lastColumn="0" w:oddVBand="0" w:evenVBand="0" w:oddHBand="1" w:evenHBand="0" w:firstRowFirstColumn="0" w:firstRowLastColumn="0" w:lastRowFirstColumn="0" w:lastRowLastColumn="0"/>
              <w:rPr>
                <w:lang w:val="es-ES_tradnl"/>
              </w:rPr>
            </w:pPr>
            <w:r>
              <w:rPr>
                <w:lang w:val="es-ES_tradnl"/>
              </w:rPr>
              <w:t>-</w:t>
            </w:r>
          </w:p>
        </w:tc>
        <w:tc>
          <w:tcPr>
            <w:tcW w:w="1870" w:type="dxa"/>
          </w:tcPr>
          <w:p w14:paraId="7F2CC7D5" w14:textId="3D063714" w:rsidR="005B37F2" w:rsidRDefault="005B37F2" w:rsidP="001860B5">
            <w:pPr>
              <w:spacing w:after="200" w:line="276" w:lineRule="auto"/>
              <w:contextualSpacing/>
              <w:jc w:val="both"/>
              <w:cnfStyle w:val="000000100000" w:firstRow="0" w:lastRow="0" w:firstColumn="0" w:lastColumn="0" w:oddVBand="0" w:evenVBand="0" w:oddHBand="1" w:evenHBand="0" w:firstRowFirstColumn="0" w:firstRowLastColumn="0" w:lastRowFirstColumn="0" w:lastRowLastColumn="0"/>
              <w:rPr>
                <w:lang w:val="es-ES_tradnl"/>
              </w:rPr>
            </w:pPr>
            <w:r>
              <w:rPr>
                <w:lang w:val="es-ES_tradnl"/>
              </w:rPr>
              <w:t>-</w:t>
            </w:r>
          </w:p>
        </w:tc>
      </w:tr>
      <w:tr w:rsidR="00464428" w:rsidRPr="00411B43" w14:paraId="56F757A2" w14:textId="77777777" w:rsidTr="001860B5">
        <w:tc>
          <w:tcPr>
            <w:cnfStyle w:val="001000000000" w:firstRow="0" w:lastRow="0" w:firstColumn="1" w:lastColumn="0" w:oddVBand="0" w:evenVBand="0" w:oddHBand="0" w:evenHBand="0" w:firstRowFirstColumn="0" w:firstRowLastColumn="0" w:lastRowFirstColumn="0" w:lastRowLastColumn="0"/>
            <w:tcW w:w="1870" w:type="dxa"/>
          </w:tcPr>
          <w:p w14:paraId="4F6E6D41" w14:textId="77777777" w:rsidR="00464428" w:rsidRDefault="00464428" w:rsidP="001860B5">
            <w:pPr>
              <w:spacing w:after="200" w:line="276" w:lineRule="auto"/>
              <w:contextualSpacing/>
              <w:jc w:val="both"/>
              <w:rPr>
                <w:lang w:val="es-ES_tradnl"/>
              </w:rPr>
            </w:pPr>
            <w:r>
              <w:rPr>
                <w:lang w:val="es-ES_tradnl"/>
              </w:rPr>
              <w:t>Año 2</w:t>
            </w:r>
          </w:p>
        </w:tc>
        <w:tc>
          <w:tcPr>
            <w:tcW w:w="1870" w:type="dxa"/>
          </w:tcPr>
          <w:p w14:paraId="5A623FE3" w14:textId="77777777" w:rsidR="00464428" w:rsidRDefault="00464428" w:rsidP="001860B5">
            <w:pPr>
              <w:spacing w:after="200" w:line="276" w:lineRule="auto"/>
              <w:contextualSpacing/>
              <w:jc w:val="both"/>
              <w:cnfStyle w:val="000000000000" w:firstRow="0" w:lastRow="0" w:firstColumn="0" w:lastColumn="0" w:oddVBand="0" w:evenVBand="0" w:oddHBand="0" w:evenHBand="0" w:firstRowFirstColumn="0" w:firstRowLastColumn="0" w:lastRowFirstColumn="0" w:lastRowLastColumn="0"/>
              <w:rPr>
                <w:lang w:val="es-ES_tradnl"/>
              </w:rPr>
            </w:pPr>
            <w:r>
              <w:rPr>
                <w:lang w:val="es-ES_tradnl"/>
              </w:rPr>
              <w:t>200</w:t>
            </w:r>
          </w:p>
        </w:tc>
        <w:tc>
          <w:tcPr>
            <w:tcW w:w="1870" w:type="dxa"/>
          </w:tcPr>
          <w:p w14:paraId="0639C92D" w14:textId="77777777" w:rsidR="00464428" w:rsidRDefault="00464428" w:rsidP="001860B5">
            <w:pPr>
              <w:spacing w:after="200" w:line="276" w:lineRule="auto"/>
              <w:contextualSpacing/>
              <w:jc w:val="both"/>
              <w:cnfStyle w:val="000000000000" w:firstRow="0" w:lastRow="0" w:firstColumn="0" w:lastColumn="0" w:oddVBand="0" w:evenVBand="0" w:oddHBand="0" w:evenHBand="0" w:firstRowFirstColumn="0" w:firstRowLastColumn="0" w:lastRowFirstColumn="0" w:lastRowLastColumn="0"/>
              <w:rPr>
                <w:lang w:val="es-ES_tradnl"/>
              </w:rPr>
            </w:pPr>
            <w:r>
              <w:rPr>
                <w:lang w:val="es-ES_tradnl"/>
              </w:rPr>
              <w:t>100%</w:t>
            </w:r>
          </w:p>
        </w:tc>
        <w:tc>
          <w:tcPr>
            <w:tcW w:w="1870" w:type="dxa"/>
          </w:tcPr>
          <w:p w14:paraId="71E7716D" w14:textId="4F8FE583" w:rsidR="00464428" w:rsidRDefault="00464428" w:rsidP="001860B5">
            <w:pPr>
              <w:spacing w:after="200" w:line="276" w:lineRule="auto"/>
              <w:contextualSpacing/>
              <w:jc w:val="both"/>
              <w:cnfStyle w:val="000000000000" w:firstRow="0" w:lastRow="0" w:firstColumn="0" w:lastColumn="0" w:oddVBand="0" w:evenVBand="0" w:oddHBand="0" w:evenHBand="0" w:firstRowFirstColumn="0" w:firstRowLastColumn="0" w:lastRowFirstColumn="0" w:lastRowLastColumn="0"/>
              <w:rPr>
                <w:lang w:val="es-ES_tradnl"/>
              </w:rPr>
            </w:pPr>
            <w:r>
              <w:rPr>
                <w:lang w:val="es-ES_tradnl"/>
              </w:rPr>
              <w:t>1</w:t>
            </w:r>
            <w:r w:rsidR="00077E29">
              <w:rPr>
                <w:lang w:val="es-ES_tradnl"/>
              </w:rPr>
              <w:t>,800,000</w:t>
            </w:r>
          </w:p>
        </w:tc>
      </w:tr>
      <w:tr w:rsidR="00464428" w:rsidRPr="00411B43" w14:paraId="2B03B678" w14:textId="77777777" w:rsidTr="001860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70" w:type="dxa"/>
          </w:tcPr>
          <w:p w14:paraId="69E9D790" w14:textId="77777777" w:rsidR="00464428" w:rsidRPr="00411B43" w:rsidRDefault="00464428" w:rsidP="001860B5">
            <w:pPr>
              <w:spacing w:after="200" w:line="276" w:lineRule="auto"/>
              <w:contextualSpacing/>
              <w:jc w:val="both"/>
              <w:rPr>
                <w:lang w:val="es-ES_tradnl"/>
              </w:rPr>
            </w:pPr>
            <w:r>
              <w:rPr>
                <w:lang w:val="es-ES_tradnl"/>
              </w:rPr>
              <w:t xml:space="preserve">Año 3 </w:t>
            </w:r>
          </w:p>
        </w:tc>
        <w:tc>
          <w:tcPr>
            <w:tcW w:w="1870" w:type="dxa"/>
          </w:tcPr>
          <w:p w14:paraId="4AFF96DD" w14:textId="77777777" w:rsidR="00464428" w:rsidRPr="00411B43" w:rsidRDefault="00464428" w:rsidP="001860B5">
            <w:pPr>
              <w:spacing w:after="200" w:line="276" w:lineRule="auto"/>
              <w:contextualSpacing/>
              <w:jc w:val="both"/>
              <w:cnfStyle w:val="000000100000" w:firstRow="0" w:lastRow="0" w:firstColumn="0" w:lastColumn="0" w:oddVBand="0" w:evenVBand="0" w:oddHBand="1" w:evenHBand="0" w:firstRowFirstColumn="0" w:firstRowLastColumn="0" w:lastRowFirstColumn="0" w:lastRowLastColumn="0"/>
              <w:rPr>
                <w:lang w:val="es-ES_tradnl"/>
              </w:rPr>
            </w:pPr>
            <w:r>
              <w:rPr>
                <w:lang w:val="es-ES_tradnl"/>
              </w:rPr>
              <w:t>200</w:t>
            </w:r>
          </w:p>
        </w:tc>
        <w:tc>
          <w:tcPr>
            <w:tcW w:w="1870" w:type="dxa"/>
          </w:tcPr>
          <w:p w14:paraId="4A4B772C" w14:textId="77777777" w:rsidR="00464428" w:rsidRPr="00411B43" w:rsidRDefault="00464428" w:rsidP="001860B5">
            <w:pPr>
              <w:spacing w:after="200" w:line="276" w:lineRule="auto"/>
              <w:contextualSpacing/>
              <w:jc w:val="both"/>
              <w:cnfStyle w:val="000000100000" w:firstRow="0" w:lastRow="0" w:firstColumn="0" w:lastColumn="0" w:oddVBand="0" w:evenVBand="0" w:oddHBand="1" w:evenHBand="0" w:firstRowFirstColumn="0" w:firstRowLastColumn="0" w:lastRowFirstColumn="0" w:lastRowLastColumn="0"/>
              <w:rPr>
                <w:lang w:val="es-ES_tradnl"/>
              </w:rPr>
            </w:pPr>
            <w:r>
              <w:rPr>
                <w:lang w:val="es-ES_tradnl"/>
              </w:rPr>
              <w:t>75%</w:t>
            </w:r>
          </w:p>
        </w:tc>
        <w:tc>
          <w:tcPr>
            <w:tcW w:w="1870" w:type="dxa"/>
          </w:tcPr>
          <w:p w14:paraId="4C27B97C" w14:textId="758061EE" w:rsidR="00464428" w:rsidRPr="00411B43" w:rsidRDefault="00464428" w:rsidP="001860B5">
            <w:pPr>
              <w:spacing w:after="200" w:line="276" w:lineRule="auto"/>
              <w:contextualSpacing/>
              <w:jc w:val="both"/>
              <w:cnfStyle w:val="000000100000" w:firstRow="0" w:lastRow="0" w:firstColumn="0" w:lastColumn="0" w:oddVBand="0" w:evenVBand="0" w:oddHBand="1" w:evenHBand="0" w:firstRowFirstColumn="0" w:firstRowLastColumn="0" w:lastRowFirstColumn="0" w:lastRowLastColumn="0"/>
              <w:rPr>
                <w:lang w:val="es-ES_tradnl"/>
              </w:rPr>
            </w:pPr>
            <w:r>
              <w:rPr>
                <w:lang w:val="es-ES_tradnl"/>
              </w:rPr>
              <w:t>2</w:t>
            </w:r>
            <w:r w:rsidR="00077E29">
              <w:rPr>
                <w:lang w:val="es-ES_tradnl"/>
              </w:rPr>
              <w:t>,700,000</w:t>
            </w:r>
          </w:p>
        </w:tc>
      </w:tr>
      <w:tr w:rsidR="00077E29" w:rsidRPr="00411B43" w14:paraId="06703308" w14:textId="77777777" w:rsidTr="001860B5">
        <w:tc>
          <w:tcPr>
            <w:cnfStyle w:val="001000000000" w:firstRow="0" w:lastRow="0" w:firstColumn="1" w:lastColumn="0" w:oddVBand="0" w:evenVBand="0" w:oddHBand="0" w:evenHBand="0" w:firstRowFirstColumn="0" w:firstRowLastColumn="0" w:lastRowFirstColumn="0" w:lastRowLastColumn="0"/>
            <w:tcW w:w="1870" w:type="dxa"/>
          </w:tcPr>
          <w:p w14:paraId="487BED10" w14:textId="77777777" w:rsidR="00077E29" w:rsidRPr="00411B43" w:rsidRDefault="00077E29" w:rsidP="00077E29">
            <w:pPr>
              <w:spacing w:after="200" w:line="276" w:lineRule="auto"/>
              <w:contextualSpacing/>
              <w:jc w:val="both"/>
              <w:rPr>
                <w:lang w:val="es-ES_tradnl"/>
              </w:rPr>
            </w:pPr>
            <w:r>
              <w:rPr>
                <w:lang w:val="es-ES_tradnl"/>
              </w:rPr>
              <w:t>Año 4</w:t>
            </w:r>
          </w:p>
        </w:tc>
        <w:tc>
          <w:tcPr>
            <w:tcW w:w="1870" w:type="dxa"/>
          </w:tcPr>
          <w:p w14:paraId="554265FD" w14:textId="77777777" w:rsidR="00077E29" w:rsidRPr="00411B43" w:rsidRDefault="00077E29" w:rsidP="00077E29">
            <w:pPr>
              <w:spacing w:after="200" w:line="276" w:lineRule="auto"/>
              <w:contextualSpacing/>
              <w:jc w:val="both"/>
              <w:cnfStyle w:val="000000000000" w:firstRow="0" w:lastRow="0" w:firstColumn="0" w:lastColumn="0" w:oddVBand="0" w:evenVBand="0" w:oddHBand="0" w:evenHBand="0" w:firstRowFirstColumn="0" w:firstRowLastColumn="0" w:lastRowFirstColumn="0" w:lastRowLastColumn="0"/>
              <w:rPr>
                <w:lang w:val="es-ES_tradnl"/>
              </w:rPr>
            </w:pPr>
            <w:r>
              <w:rPr>
                <w:lang w:val="es-ES_tradnl"/>
              </w:rPr>
              <w:t xml:space="preserve"> 0</w:t>
            </w:r>
          </w:p>
        </w:tc>
        <w:tc>
          <w:tcPr>
            <w:tcW w:w="1870" w:type="dxa"/>
          </w:tcPr>
          <w:p w14:paraId="6F4F7951" w14:textId="77777777" w:rsidR="00077E29" w:rsidRPr="00411B43" w:rsidRDefault="00077E29" w:rsidP="00077E29">
            <w:pPr>
              <w:spacing w:after="200" w:line="276" w:lineRule="auto"/>
              <w:contextualSpacing/>
              <w:jc w:val="both"/>
              <w:cnfStyle w:val="000000000000" w:firstRow="0" w:lastRow="0" w:firstColumn="0" w:lastColumn="0" w:oddVBand="0" w:evenVBand="0" w:oddHBand="0" w:evenHBand="0" w:firstRowFirstColumn="0" w:firstRowLastColumn="0" w:lastRowFirstColumn="0" w:lastRowLastColumn="0"/>
              <w:rPr>
                <w:lang w:val="es-ES_tradnl"/>
              </w:rPr>
            </w:pPr>
            <w:r>
              <w:rPr>
                <w:lang w:val="es-ES_tradnl"/>
              </w:rPr>
              <w:t>50%</w:t>
            </w:r>
          </w:p>
        </w:tc>
        <w:tc>
          <w:tcPr>
            <w:tcW w:w="1870" w:type="dxa"/>
          </w:tcPr>
          <w:p w14:paraId="56EE1388" w14:textId="4578F515" w:rsidR="00077E29" w:rsidRPr="00411B43" w:rsidRDefault="00077E29" w:rsidP="00077E29">
            <w:pPr>
              <w:spacing w:after="200" w:line="276" w:lineRule="auto"/>
              <w:contextualSpacing/>
              <w:jc w:val="both"/>
              <w:cnfStyle w:val="000000000000" w:firstRow="0" w:lastRow="0" w:firstColumn="0" w:lastColumn="0" w:oddVBand="0" w:evenVBand="0" w:oddHBand="0" w:evenHBand="0" w:firstRowFirstColumn="0" w:firstRowLastColumn="0" w:lastRowFirstColumn="0" w:lastRowLastColumn="0"/>
              <w:rPr>
                <w:lang w:val="es-ES_tradnl"/>
              </w:rPr>
            </w:pPr>
            <w:r>
              <w:rPr>
                <w:lang w:val="es-ES_tradnl"/>
              </w:rPr>
              <w:t>1,800,000</w:t>
            </w:r>
          </w:p>
        </w:tc>
      </w:tr>
      <w:tr w:rsidR="00464428" w:rsidRPr="00411B43" w14:paraId="4B9E785F" w14:textId="77777777" w:rsidTr="001860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70" w:type="dxa"/>
          </w:tcPr>
          <w:p w14:paraId="19627F98" w14:textId="77777777" w:rsidR="00464428" w:rsidRPr="00411B43" w:rsidRDefault="00464428" w:rsidP="001860B5">
            <w:pPr>
              <w:spacing w:after="200" w:line="276" w:lineRule="auto"/>
              <w:contextualSpacing/>
              <w:jc w:val="both"/>
              <w:rPr>
                <w:lang w:val="es-ES_tradnl"/>
              </w:rPr>
            </w:pPr>
            <w:r>
              <w:rPr>
                <w:lang w:val="es-ES_tradnl"/>
              </w:rPr>
              <w:t xml:space="preserve">Año 5 </w:t>
            </w:r>
          </w:p>
        </w:tc>
        <w:tc>
          <w:tcPr>
            <w:tcW w:w="1870" w:type="dxa"/>
          </w:tcPr>
          <w:p w14:paraId="72C59AD8" w14:textId="77777777" w:rsidR="00464428" w:rsidRPr="00411B43" w:rsidRDefault="00464428" w:rsidP="001860B5">
            <w:pPr>
              <w:spacing w:after="200" w:line="276" w:lineRule="auto"/>
              <w:contextualSpacing/>
              <w:jc w:val="both"/>
              <w:cnfStyle w:val="000000100000" w:firstRow="0" w:lastRow="0" w:firstColumn="0" w:lastColumn="0" w:oddVBand="0" w:evenVBand="0" w:oddHBand="1" w:evenHBand="0" w:firstRowFirstColumn="0" w:firstRowLastColumn="0" w:lastRowFirstColumn="0" w:lastRowLastColumn="0"/>
              <w:rPr>
                <w:lang w:val="es-ES_tradnl"/>
              </w:rPr>
            </w:pPr>
            <w:r>
              <w:rPr>
                <w:lang w:val="es-ES_tradnl"/>
              </w:rPr>
              <w:t xml:space="preserve"> 0</w:t>
            </w:r>
          </w:p>
        </w:tc>
        <w:tc>
          <w:tcPr>
            <w:tcW w:w="1870" w:type="dxa"/>
          </w:tcPr>
          <w:p w14:paraId="21D24C41" w14:textId="38C4F2D9" w:rsidR="00464428" w:rsidRPr="00411B43" w:rsidRDefault="00A240E6" w:rsidP="001860B5">
            <w:pPr>
              <w:spacing w:after="200" w:line="276" w:lineRule="auto"/>
              <w:contextualSpacing/>
              <w:jc w:val="both"/>
              <w:cnfStyle w:val="000000100000" w:firstRow="0" w:lastRow="0" w:firstColumn="0" w:lastColumn="0" w:oddVBand="0" w:evenVBand="0" w:oddHBand="1" w:evenHBand="0" w:firstRowFirstColumn="0" w:firstRowLastColumn="0" w:lastRowFirstColumn="0" w:lastRowLastColumn="0"/>
              <w:rPr>
                <w:lang w:val="es-ES_tradnl"/>
              </w:rPr>
            </w:pPr>
            <w:r>
              <w:rPr>
                <w:lang w:val="es-ES_tradnl"/>
              </w:rPr>
              <w:t>25</w:t>
            </w:r>
            <w:r w:rsidR="00464428">
              <w:rPr>
                <w:lang w:val="es-ES_tradnl"/>
              </w:rPr>
              <w:t xml:space="preserve">% </w:t>
            </w:r>
          </w:p>
        </w:tc>
        <w:tc>
          <w:tcPr>
            <w:tcW w:w="1870" w:type="dxa"/>
          </w:tcPr>
          <w:p w14:paraId="1BC40FCA" w14:textId="61585D9E" w:rsidR="00464428" w:rsidRPr="00411B43" w:rsidRDefault="00077E29" w:rsidP="001860B5">
            <w:pPr>
              <w:spacing w:after="200" w:line="276" w:lineRule="auto"/>
              <w:contextualSpacing/>
              <w:jc w:val="both"/>
              <w:cnfStyle w:val="000000100000" w:firstRow="0" w:lastRow="0" w:firstColumn="0" w:lastColumn="0" w:oddVBand="0" w:evenVBand="0" w:oddHBand="1" w:evenHBand="0" w:firstRowFirstColumn="0" w:firstRowLastColumn="0" w:lastRowFirstColumn="0" w:lastRowLastColumn="0"/>
              <w:rPr>
                <w:lang w:val="es-ES_tradnl"/>
              </w:rPr>
            </w:pPr>
            <w:r>
              <w:rPr>
                <w:lang w:val="es-ES_tradnl"/>
              </w:rPr>
              <w:t>900,000</w:t>
            </w:r>
          </w:p>
        </w:tc>
      </w:tr>
      <w:tr w:rsidR="00464428" w:rsidRPr="00411B43" w14:paraId="1C790534" w14:textId="77777777" w:rsidTr="001860B5">
        <w:tc>
          <w:tcPr>
            <w:cnfStyle w:val="001000000000" w:firstRow="0" w:lastRow="0" w:firstColumn="1" w:lastColumn="0" w:oddVBand="0" w:evenVBand="0" w:oddHBand="0" w:evenHBand="0" w:firstRowFirstColumn="0" w:firstRowLastColumn="0" w:lastRowFirstColumn="0" w:lastRowLastColumn="0"/>
            <w:tcW w:w="1870" w:type="dxa"/>
          </w:tcPr>
          <w:p w14:paraId="197CB300" w14:textId="77777777" w:rsidR="00464428" w:rsidRDefault="00464428" w:rsidP="001860B5">
            <w:pPr>
              <w:spacing w:after="200" w:line="276" w:lineRule="auto"/>
              <w:contextualSpacing/>
              <w:jc w:val="both"/>
              <w:rPr>
                <w:lang w:val="es-ES_tradnl"/>
              </w:rPr>
            </w:pPr>
            <w:r>
              <w:rPr>
                <w:lang w:val="es-ES_tradnl"/>
              </w:rPr>
              <w:t xml:space="preserve">Total </w:t>
            </w:r>
          </w:p>
        </w:tc>
        <w:tc>
          <w:tcPr>
            <w:tcW w:w="1870" w:type="dxa"/>
          </w:tcPr>
          <w:p w14:paraId="5FEBBC59" w14:textId="77777777" w:rsidR="00464428" w:rsidRDefault="00464428" w:rsidP="001860B5">
            <w:pPr>
              <w:spacing w:after="200" w:line="276" w:lineRule="auto"/>
              <w:contextualSpacing/>
              <w:jc w:val="both"/>
              <w:cnfStyle w:val="000000000000" w:firstRow="0" w:lastRow="0" w:firstColumn="0" w:lastColumn="0" w:oddVBand="0" w:evenVBand="0" w:oddHBand="0" w:evenHBand="0" w:firstRowFirstColumn="0" w:firstRowLastColumn="0" w:lastRowFirstColumn="0" w:lastRowLastColumn="0"/>
              <w:rPr>
                <w:lang w:val="es-ES_tradnl"/>
              </w:rPr>
            </w:pPr>
            <w:r>
              <w:rPr>
                <w:lang w:val="es-ES_tradnl"/>
              </w:rPr>
              <w:t>400</w:t>
            </w:r>
          </w:p>
        </w:tc>
        <w:tc>
          <w:tcPr>
            <w:tcW w:w="1870" w:type="dxa"/>
          </w:tcPr>
          <w:p w14:paraId="71A588C2" w14:textId="77777777" w:rsidR="00464428" w:rsidRDefault="00464428" w:rsidP="001860B5">
            <w:pPr>
              <w:spacing w:after="200" w:line="276" w:lineRule="auto"/>
              <w:contextualSpacing/>
              <w:jc w:val="both"/>
              <w:cnfStyle w:val="000000000000" w:firstRow="0" w:lastRow="0" w:firstColumn="0" w:lastColumn="0" w:oddVBand="0" w:evenVBand="0" w:oddHBand="0" w:evenHBand="0" w:firstRowFirstColumn="0" w:firstRowLastColumn="0" w:lastRowFirstColumn="0" w:lastRowLastColumn="0"/>
              <w:rPr>
                <w:lang w:val="es-ES_tradnl"/>
              </w:rPr>
            </w:pPr>
            <w:r>
              <w:rPr>
                <w:lang w:val="es-ES_tradnl"/>
              </w:rPr>
              <w:t>-----</w:t>
            </w:r>
          </w:p>
        </w:tc>
        <w:tc>
          <w:tcPr>
            <w:tcW w:w="1870" w:type="dxa"/>
          </w:tcPr>
          <w:p w14:paraId="767C5FED" w14:textId="6893F7D6" w:rsidR="00464428" w:rsidRDefault="00464428" w:rsidP="001860B5">
            <w:pPr>
              <w:spacing w:after="200" w:line="276" w:lineRule="auto"/>
              <w:contextualSpacing/>
              <w:jc w:val="both"/>
              <w:cnfStyle w:val="000000000000" w:firstRow="0" w:lastRow="0" w:firstColumn="0" w:lastColumn="0" w:oddVBand="0" w:evenVBand="0" w:oddHBand="0" w:evenHBand="0" w:firstRowFirstColumn="0" w:firstRowLastColumn="0" w:lastRowFirstColumn="0" w:lastRowLastColumn="0"/>
              <w:rPr>
                <w:lang w:val="es-ES_tradnl"/>
              </w:rPr>
            </w:pPr>
            <w:r>
              <w:rPr>
                <w:lang w:val="es-ES_tradnl"/>
              </w:rPr>
              <w:t>7</w:t>
            </w:r>
            <w:r w:rsidR="00077E29">
              <w:rPr>
                <w:lang w:val="es-ES_tradnl"/>
              </w:rPr>
              <w:t>,200,000</w:t>
            </w:r>
            <w:r>
              <w:rPr>
                <w:lang w:val="es-ES_tradnl"/>
              </w:rPr>
              <w:t xml:space="preserve"> </w:t>
            </w:r>
          </w:p>
        </w:tc>
      </w:tr>
    </w:tbl>
    <w:p w14:paraId="6C022782" w14:textId="28CA1918" w:rsidR="00764A4D" w:rsidRDefault="00764A4D" w:rsidP="00D63337">
      <w:pPr>
        <w:rPr>
          <w:rFonts w:eastAsia="Times New Roman"/>
          <w:b/>
          <w:lang w:val="es-ES_tradnl"/>
        </w:rPr>
      </w:pPr>
    </w:p>
    <w:p w14:paraId="6EF1F72D" w14:textId="4DB9CFAA" w:rsidR="008A54A5" w:rsidRPr="00604CCB" w:rsidRDefault="00E61390" w:rsidP="00A65FB5">
      <w:pPr>
        <w:rPr>
          <w:rFonts w:eastAsia="Times New Roman"/>
          <w:lang w:val="es-ES_tradnl"/>
        </w:rPr>
      </w:pPr>
      <w:r>
        <w:rPr>
          <w:rFonts w:eastAsia="Times New Roman"/>
          <w:lang w:val="es-ES_tradnl"/>
        </w:rPr>
        <w:t xml:space="preserve">Asimismo, se tiene </w:t>
      </w:r>
      <w:r w:rsidR="00CA1CC9">
        <w:rPr>
          <w:rFonts w:eastAsia="Times New Roman"/>
          <w:lang w:val="es-ES_tradnl"/>
        </w:rPr>
        <w:t>contemplado fortalecer a</w:t>
      </w:r>
      <w:r w:rsidR="007D244D">
        <w:rPr>
          <w:rFonts w:eastAsia="Times New Roman"/>
          <w:lang w:val="es-ES_tradnl"/>
        </w:rPr>
        <w:t xml:space="preserve"> la OMRH con un total de 15 nuevos empleados de mando superior y técnico</w:t>
      </w:r>
      <w:r w:rsidR="00A576F6">
        <w:rPr>
          <w:rFonts w:eastAsia="Times New Roman"/>
          <w:lang w:val="es-ES_tradnl"/>
        </w:rPr>
        <w:t xml:space="preserve">, con un salario base de </w:t>
      </w:r>
      <w:r w:rsidR="00B9465B">
        <w:rPr>
          <w:rFonts w:eastAsia="Times New Roman"/>
          <w:lang w:val="es-ES_tradnl"/>
        </w:rPr>
        <w:t>2,143</w:t>
      </w:r>
      <w:r w:rsidR="00A576F6">
        <w:rPr>
          <w:rFonts w:eastAsia="Times New Roman"/>
          <w:lang w:val="es-ES_tradnl"/>
        </w:rPr>
        <w:t xml:space="preserve"> dólares mensuales</w:t>
      </w:r>
      <w:r w:rsidR="007D244D">
        <w:rPr>
          <w:rStyle w:val="FootnoteReference"/>
          <w:rFonts w:eastAsia="Times New Roman"/>
          <w:lang w:val="es-ES_tradnl"/>
        </w:rPr>
        <w:footnoteReference w:id="7"/>
      </w:r>
      <w:r w:rsidR="00E71953">
        <w:rPr>
          <w:rFonts w:eastAsia="Times New Roman"/>
          <w:lang w:val="es-ES_tradnl"/>
        </w:rPr>
        <w:t xml:space="preserve">, </w:t>
      </w:r>
      <w:r w:rsidR="000209AC">
        <w:rPr>
          <w:rFonts w:eastAsia="Times New Roman"/>
          <w:lang w:val="es-ES_tradnl"/>
        </w:rPr>
        <w:t xml:space="preserve">que se contratarán gradualmente a partir del </w:t>
      </w:r>
      <w:r w:rsidR="000209AC">
        <w:rPr>
          <w:lang w:val="es-ES_tradnl"/>
        </w:rPr>
        <w:t>año 1</w:t>
      </w:r>
      <w:r w:rsidR="00604CCB">
        <w:rPr>
          <w:lang w:val="es-ES_tradnl"/>
        </w:rPr>
        <w:t>.</w:t>
      </w:r>
      <w:r w:rsidR="00604CCB">
        <w:rPr>
          <w:rFonts w:eastAsia="Times New Roman"/>
          <w:lang w:val="es-ES_tradnl"/>
        </w:rPr>
        <w:t xml:space="preserve"> Estas contrataciones tendrán un costo, durante el período del proyecto, de 1,2 millones de dólares; a lo que debería añadirse los complementos salariales por 1,1 millones de dólares. </w:t>
      </w:r>
      <w:r w:rsidR="00781B0C">
        <w:rPr>
          <w:lang w:val="es-ES_tradnl"/>
        </w:rPr>
        <w:t>Por último, también se planea fortalecer la capacidad técnica de</w:t>
      </w:r>
      <w:r w:rsidR="00AD4D2D">
        <w:rPr>
          <w:lang w:val="es-ES_tradnl"/>
        </w:rPr>
        <w:t xml:space="preserve">l Ministerio de Economía y Finanzas </w:t>
      </w:r>
      <w:r w:rsidR="00EB5A39">
        <w:rPr>
          <w:lang w:val="es-ES_tradnl"/>
        </w:rPr>
        <w:t xml:space="preserve">(MEF) </w:t>
      </w:r>
      <w:r w:rsidR="00AD4D2D">
        <w:rPr>
          <w:lang w:val="es-ES_tradnl"/>
        </w:rPr>
        <w:t xml:space="preserve">con un total </w:t>
      </w:r>
      <w:r w:rsidR="00604CCB">
        <w:rPr>
          <w:lang w:val="es-ES_tradnl"/>
        </w:rPr>
        <w:t xml:space="preserve">estimado </w:t>
      </w:r>
      <w:r w:rsidR="00AD4D2D">
        <w:rPr>
          <w:lang w:val="es-ES_tradnl"/>
        </w:rPr>
        <w:t>de 10 nuevas contrataciones</w:t>
      </w:r>
      <w:r w:rsidR="00604CCB">
        <w:rPr>
          <w:lang w:val="es-ES_tradnl"/>
        </w:rPr>
        <w:t xml:space="preserve"> con un costo global, incluyendo complementos salariales, de 1,4 millones.</w:t>
      </w:r>
      <w:r w:rsidR="00ED6279">
        <w:rPr>
          <w:lang w:val="es-ES_tradnl"/>
        </w:rPr>
        <w:t xml:space="preserve"> </w:t>
      </w:r>
      <w:r w:rsidR="00604CCB">
        <w:rPr>
          <w:lang w:val="es-ES_tradnl"/>
        </w:rPr>
        <w:t xml:space="preserve"> </w:t>
      </w:r>
    </w:p>
    <w:p w14:paraId="2E1127E9" w14:textId="604EDA93" w:rsidR="00AD4D2D" w:rsidRDefault="00AD4D2D" w:rsidP="00A65FB5">
      <w:pPr>
        <w:rPr>
          <w:lang w:val="es-ES_tradnl"/>
        </w:rPr>
      </w:pPr>
    </w:p>
    <w:p w14:paraId="4C2425E6" w14:textId="77777777" w:rsidR="0009449C" w:rsidRPr="00917CE9" w:rsidRDefault="0009449C" w:rsidP="00A65FB5">
      <w:pPr>
        <w:rPr>
          <w:lang w:val="es-ES_tradnl"/>
        </w:rPr>
      </w:pPr>
    </w:p>
    <w:sectPr w:rsidR="0009449C" w:rsidRPr="00917CE9">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1FB8B4" w14:textId="77777777" w:rsidR="00DF2901" w:rsidRDefault="00DF2901" w:rsidP="00F66E84">
      <w:pPr>
        <w:spacing w:after="0" w:line="240" w:lineRule="auto"/>
      </w:pPr>
      <w:r>
        <w:separator/>
      </w:r>
    </w:p>
  </w:endnote>
  <w:endnote w:type="continuationSeparator" w:id="0">
    <w:p w14:paraId="6811408D" w14:textId="77777777" w:rsidR="00DF2901" w:rsidRDefault="00DF2901" w:rsidP="00F66E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47230297"/>
      <w:docPartObj>
        <w:docPartGallery w:val="Page Numbers (Bottom of Page)"/>
        <w:docPartUnique/>
      </w:docPartObj>
    </w:sdtPr>
    <w:sdtEndPr>
      <w:rPr>
        <w:noProof/>
      </w:rPr>
    </w:sdtEndPr>
    <w:sdtContent>
      <w:p w14:paraId="2F740970" w14:textId="7EC7F6AD" w:rsidR="009057AE" w:rsidRDefault="009057A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D70D5A5" w14:textId="77777777" w:rsidR="009057AE" w:rsidRDefault="009057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87AA53" w14:textId="77777777" w:rsidR="00DF2901" w:rsidRDefault="00DF2901" w:rsidP="00F66E84">
      <w:pPr>
        <w:spacing w:after="0" w:line="240" w:lineRule="auto"/>
      </w:pPr>
      <w:r>
        <w:separator/>
      </w:r>
    </w:p>
  </w:footnote>
  <w:footnote w:type="continuationSeparator" w:id="0">
    <w:p w14:paraId="70F681A5" w14:textId="77777777" w:rsidR="00DF2901" w:rsidRDefault="00DF2901" w:rsidP="00F66E84">
      <w:pPr>
        <w:spacing w:after="0" w:line="240" w:lineRule="auto"/>
      </w:pPr>
      <w:r>
        <w:continuationSeparator/>
      </w:r>
    </w:p>
  </w:footnote>
  <w:footnote w:id="1">
    <w:p w14:paraId="657BCBCD" w14:textId="5FB31D8A" w:rsidR="005C4D61" w:rsidRPr="007946F9" w:rsidRDefault="005C4D61" w:rsidP="00335DB8">
      <w:pPr>
        <w:pStyle w:val="FootnoteText"/>
        <w:ind w:left="270" w:hanging="270"/>
        <w:jc w:val="both"/>
        <w:rPr>
          <w:sz w:val="18"/>
          <w:szCs w:val="18"/>
          <w:lang w:val="es-ES_tradnl"/>
        </w:rPr>
      </w:pPr>
      <w:r w:rsidRPr="007946F9">
        <w:rPr>
          <w:rStyle w:val="FootnoteReference"/>
          <w:sz w:val="18"/>
          <w:szCs w:val="18"/>
        </w:rPr>
        <w:footnoteRef/>
      </w:r>
      <w:r w:rsidRPr="007946F9">
        <w:rPr>
          <w:sz w:val="18"/>
          <w:szCs w:val="18"/>
          <w:lang w:val="es-ES_tradnl"/>
        </w:rPr>
        <w:t xml:space="preserve"> </w:t>
      </w:r>
      <w:r w:rsidR="00335DB8" w:rsidRPr="009057AE">
        <w:rPr>
          <w:sz w:val="18"/>
          <w:szCs w:val="18"/>
          <w:lang w:val="es-ES_tradnl"/>
        </w:rPr>
        <w:tab/>
      </w:r>
      <w:r w:rsidRPr="007946F9">
        <w:rPr>
          <w:sz w:val="18"/>
          <w:szCs w:val="18"/>
          <w:lang w:val="es-ES_tradnl"/>
        </w:rPr>
        <w:t>Nótese que las experiencias recientes de retiro voluntario establecían haber servido como funcionario público un mínimo de 25 años, pero ser mayores de 55 años.</w:t>
      </w:r>
      <w:r w:rsidR="004C4703" w:rsidRPr="007946F9">
        <w:rPr>
          <w:sz w:val="18"/>
          <w:szCs w:val="18"/>
          <w:lang w:val="es-ES_tradnl"/>
        </w:rPr>
        <w:t xml:space="preserve"> Los criterios seleccionados son similares a los que se les exige a los funcionarios para poder retirarse y recibir una pensión de retiro. Además, el período laboral para acogerse al beneficio se estableció en 5 años pues se incorporaron nuevas condiciones que incluyen el haber cumplido 58 años (antes se exigían 55) y el que la entidad a la que pertenecen los funcionarios ejecute las reformas acordadas en los </w:t>
      </w:r>
      <w:r w:rsidR="00B71023" w:rsidRPr="007946F9">
        <w:rPr>
          <w:sz w:val="18"/>
          <w:szCs w:val="18"/>
          <w:lang w:val="es-ES_tradnl"/>
        </w:rPr>
        <w:t>Acuerdos de Mejora de la Capacidad Institucional (</w:t>
      </w:r>
      <w:r w:rsidR="004C4703" w:rsidRPr="007946F9">
        <w:rPr>
          <w:sz w:val="18"/>
          <w:szCs w:val="18"/>
          <w:lang w:val="es-ES_tradnl"/>
        </w:rPr>
        <w:t>AMCI</w:t>
      </w:r>
      <w:r w:rsidR="00B71023" w:rsidRPr="007946F9">
        <w:rPr>
          <w:sz w:val="18"/>
          <w:szCs w:val="18"/>
          <w:lang w:val="es-ES_tradnl"/>
        </w:rPr>
        <w:t>)</w:t>
      </w:r>
      <w:r w:rsidR="004C4703" w:rsidRPr="007946F9">
        <w:rPr>
          <w:sz w:val="18"/>
          <w:szCs w:val="18"/>
          <w:lang w:val="es-ES_tradnl"/>
        </w:rPr>
        <w:t>.</w:t>
      </w:r>
    </w:p>
  </w:footnote>
  <w:footnote w:id="2">
    <w:p w14:paraId="14A949D8" w14:textId="2F40E346" w:rsidR="00157270" w:rsidRPr="00F44415" w:rsidRDefault="00157270" w:rsidP="00E42C21">
      <w:pPr>
        <w:pStyle w:val="FootnoteText"/>
        <w:ind w:left="270" w:hanging="270"/>
        <w:jc w:val="both"/>
        <w:rPr>
          <w:sz w:val="18"/>
          <w:szCs w:val="18"/>
          <w:lang w:val="es-ES_tradnl"/>
        </w:rPr>
      </w:pPr>
      <w:r w:rsidRPr="00F44415">
        <w:rPr>
          <w:rStyle w:val="FootnoteReference"/>
          <w:sz w:val="18"/>
          <w:szCs w:val="18"/>
        </w:rPr>
        <w:footnoteRef/>
      </w:r>
      <w:r w:rsidRPr="00F44415">
        <w:rPr>
          <w:sz w:val="18"/>
          <w:szCs w:val="18"/>
          <w:lang w:val="es-ES_tradnl"/>
        </w:rPr>
        <w:t xml:space="preserve"> </w:t>
      </w:r>
      <w:r w:rsidR="00C1531F">
        <w:rPr>
          <w:sz w:val="18"/>
          <w:szCs w:val="18"/>
          <w:lang w:val="es-ES_tradnl"/>
        </w:rPr>
        <w:tab/>
      </w:r>
      <w:r w:rsidR="00B00494" w:rsidRPr="00B00494">
        <w:rPr>
          <w:sz w:val="18"/>
          <w:szCs w:val="18"/>
          <w:lang w:val="es-ES_tradnl"/>
        </w:rPr>
        <w:t xml:space="preserve">A la fecha solamente el MARNDR ha elaborado una lista preliminar de potenciales candidatos al Programa de </w:t>
      </w:r>
      <w:r w:rsidR="001A5EE0">
        <w:rPr>
          <w:sz w:val="18"/>
          <w:szCs w:val="18"/>
          <w:lang w:val="es-ES_tradnl"/>
        </w:rPr>
        <w:t xml:space="preserve">Incentivos para el </w:t>
      </w:r>
      <w:r w:rsidR="00B00494" w:rsidRPr="00B00494">
        <w:rPr>
          <w:sz w:val="18"/>
          <w:szCs w:val="18"/>
          <w:lang w:val="es-ES_tradnl"/>
        </w:rPr>
        <w:t xml:space="preserve">Retiro </w:t>
      </w:r>
      <w:r w:rsidR="001A5EE0">
        <w:rPr>
          <w:sz w:val="18"/>
          <w:szCs w:val="18"/>
          <w:lang w:val="es-ES_tradnl"/>
        </w:rPr>
        <w:t>de Funcionarios</w:t>
      </w:r>
      <w:r w:rsidR="00B00494" w:rsidRPr="00B00494">
        <w:rPr>
          <w:sz w:val="18"/>
          <w:szCs w:val="18"/>
          <w:lang w:val="es-ES_tradnl"/>
        </w:rPr>
        <w:t xml:space="preserve">, que será presentada formalmente al Banco oportunamente. Tal como se señala en el párrafo 1.27 del </w:t>
      </w:r>
      <w:r w:rsidR="00C74D42">
        <w:rPr>
          <w:sz w:val="18"/>
          <w:szCs w:val="18"/>
          <w:lang w:val="es-ES_tradnl"/>
        </w:rPr>
        <w:t>documento prin</w:t>
      </w:r>
      <w:r w:rsidR="007B6B54">
        <w:rPr>
          <w:sz w:val="18"/>
          <w:szCs w:val="18"/>
          <w:lang w:val="es-ES_tradnl"/>
        </w:rPr>
        <w:t>cipal</w:t>
      </w:r>
      <w:r w:rsidR="00B00494" w:rsidRPr="00B00494">
        <w:rPr>
          <w:sz w:val="18"/>
          <w:szCs w:val="18"/>
          <w:lang w:val="es-ES_tradnl"/>
        </w:rPr>
        <w:t xml:space="preserve"> se realizará una auditoría de nómina para revisar el cumplimiento de los requisitos para acogerse a este programa por parte de los candidatos propuestos por el Gobierno</w:t>
      </w:r>
      <w:r w:rsidR="00B00494">
        <w:rPr>
          <w:sz w:val="18"/>
          <w:szCs w:val="18"/>
          <w:lang w:val="es-ES_tradnl"/>
        </w:rPr>
        <w:t>.</w:t>
      </w:r>
    </w:p>
  </w:footnote>
  <w:footnote w:id="3">
    <w:p w14:paraId="47B73E61" w14:textId="46D90413" w:rsidR="00193AB7" w:rsidRPr="007946F9" w:rsidRDefault="00193AB7" w:rsidP="007B6B54">
      <w:pPr>
        <w:pStyle w:val="FootnoteText"/>
        <w:ind w:left="288" w:hanging="288"/>
        <w:jc w:val="both"/>
        <w:rPr>
          <w:sz w:val="18"/>
          <w:szCs w:val="18"/>
          <w:lang w:val="es-ES_tradnl"/>
        </w:rPr>
      </w:pPr>
      <w:r w:rsidRPr="007946F9">
        <w:rPr>
          <w:rStyle w:val="FootnoteReference"/>
          <w:sz w:val="18"/>
          <w:szCs w:val="18"/>
        </w:rPr>
        <w:footnoteRef/>
      </w:r>
      <w:r w:rsidRPr="007946F9">
        <w:rPr>
          <w:sz w:val="18"/>
          <w:szCs w:val="18"/>
          <w:lang w:val="es-ES_tradnl"/>
        </w:rPr>
        <w:t xml:space="preserve"> </w:t>
      </w:r>
      <w:r w:rsidR="00A60B1B" w:rsidRPr="007946F9">
        <w:rPr>
          <w:sz w:val="18"/>
          <w:szCs w:val="18"/>
          <w:lang w:val="es-ES_tradnl"/>
        </w:rPr>
        <w:tab/>
      </w:r>
      <w:r w:rsidRPr="009057AE">
        <w:rPr>
          <w:sz w:val="18"/>
          <w:szCs w:val="18"/>
          <w:lang w:val="es-ES_tradnl"/>
        </w:rPr>
        <w:t>Habitualmente se contempla un esquema del incentivo para el retiro voluntario donde personas con menos de 35 años de experiencia reciben 18 meses de salario mientras que trabajadores con más de 35 años de experiencia</w:t>
      </w:r>
      <w:r w:rsidR="00EB5A39" w:rsidRPr="009057AE">
        <w:rPr>
          <w:sz w:val="18"/>
          <w:szCs w:val="18"/>
          <w:lang w:val="es-ES_tradnl"/>
        </w:rPr>
        <w:t xml:space="preserve"> reciben 24 meses de salarios</w:t>
      </w:r>
      <w:r w:rsidRPr="009057AE">
        <w:rPr>
          <w:sz w:val="18"/>
          <w:szCs w:val="18"/>
          <w:lang w:val="es-ES_tradnl"/>
        </w:rPr>
        <w:t>.</w:t>
      </w:r>
      <w:r w:rsidRPr="007946F9">
        <w:rPr>
          <w:sz w:val="18"/>
          <w:szCs w:val="18"/>
          <w:lang w:val="es-ES_tradnl"/>
        </w:rPr>
        <w:t xml:space="preserve"> </w:t>
      </w:r>
    </w:p>
  </w:footnote>
  <w:footnote w:id="4">
    <w:p w14:paraId="5BE0D73E" w14:textId="3812FA95" w:rsidR="00193AB7" w:rsidRPr="007946F9" w:rsidRDefault="00193AB7" w:rsidP="00CD7217">
      <w:pPr>
        <w:pStyle w:val="FootnoteText"/>
        <w:tabs>
          <w:tab w:val="left" w:pos="270"/>
        </w:tabs>
        <w:ind w:left="270" w:hanging="270"/>
        <w:jc w:val="both"/>
        <w:rPr>
          <w:sz w:val="18"/>
          <w:szCs w:val="18"/>
          <w:lang w:val="es-ES_tradnl"/>
        </w:rPr>
      </w:pPr>
      <w:r w:rsidRPr="007946F9">
        <w:rPr>
          <w:rStyle w:val="FootnoteReference"/>
          <w:sz w:val="18"/>
          <w:szCs w:val="18"/>
        </w:rPr>
        <w:footnoteRef/>
      </w:r>
      <w:r w:rsidRPr="007946F9">
        <w:rPr>
          <w:sz w:val="18"/>
          <w:szCs w:val="18"/>
          <w:lang w:val="es-ES_tradnl"/>
        </w:rPr>
        <w:t xml:space="preserve"> </w:t>
      </w:r>
      <w:r w:rsidR="00A60B1B" w:rsidRPr="007946F9">
        <w:rPr>
          <w:sz w:val="18"/>
          <w:szCs w:val="18"/>
          <w:lang w:val="es-ES_tradnl"/>
        </w:rPr>
        <w:tab/>
      </w:r>
      <w:r w:rsidRPr="007946F9">
        <w:rPr>
          <w:sz w:val="18"/>
          <w:szCs w:val="18"/>
          <w:lang w:val="es-ES_tradnl"/>
        </w:rPr>
        <w:t>De acuerdo con la actual planilla salarial brindada por el Ministerio de Economía y Finanzas</w:t>
      </w:r>
      <w:r w:rsidR="00EB5A39" w:rsidRPr="007946F9">
        <w:rPr>
          <w:sz w:val="18"/>
          <w:szCs w:val="18"/>
          <w:lang w:val="es-ES_tradnl"/>
        </w:rPr>
        <w:t xml:space="preserve"> (MEF)</w:t>
      </w:r>
      <w:r w:rsidRPr="007946F9">
        <w:rPr>
          <w:sz w:val="18"/>
          <w:szCs w:val="18"/>
          <w:lang w:val="es-ES_tradnl"/>
        </w:rPr>
        <w:t xml:space="preserve">, el salario promedio en el MARNDR y en el MTPTC es de 600 dólares. </w:t>
      </w:r>
    </w:p>
  </w:footnote>
  <w:footnote w:id="5">
    <w:p w14:paraId="4101BE93" w14:textId="4737929E" w:rsidR="00CD7217" w:rsidRPr="007946F9" w:rsidRDefault="00CD7217" w:rsidP="00E42C21">
      <w:pPr>
        <w:pStyle w:val="FootnoteText"/>
        <w:tabs>
          <w:tab w:val="left" w:pos="270"/>
        </w:tabs>
        <w:ind w:left="270" w:hanging="270"/>
        <w:jc w:val="both"/>
        <w:rPr>
          <w:sz w:val="18"/>
          <w:szCs w:val="18"/>
          <w:lang w:val="es-ES_tradnl"/>
        </w:rPr>
      </w:pPr>
      <w:r w:rsidRPr="007946F9">
        <w:rPr>
          <w:rStyle w:val="FootnoteReference"/>
          <w:sz w:val="18"/>
          <w:szCs w:val="18"/>
        </w:rPr>
        <w:footnoteRef/>
      </w:r>
      <w:r w:rsidRPr="007946F9">
        <w:rPr>
          <w:sz w:val="18"/>
          <w:szCs w:val="18"/>
          <w:lang w:val="es-ES_tradnl"/>
        </w:rPr>
        <w:t xml:space="preserve"> </w:t>
      </w:r>
      <w:r w:rsidR="00CE305D" w:rsidRPr="007946F9">
        <w:rPr>
          <w:sz w:val="18"/>
          <w:szCs w:val="18"/>
          <w:lang w:val="es-ES_tradnl"/>
        </w:rPr>
        <w:tab/>
      </w:r>
      <w:r w:rsidRPr="007946F9">
        <w:rPr>
          <w:sz w:val="18"/>
          <w:szCs w:val="18"/>
          <w:lang w:val="es-ES_tradnl"/>
        </w:rPr>
        <w:t xml:space="preserve">Se estimó que </w:t>
      </w:r>
      <w:r w:rsidR="004C4703" w:rsidRPr="007946F9">
        <w:rPr>
          <w:sz w:val="18"/>
          <w:szCs w:val="18"/>
          <w:lang w:val="es-ES_tradnl"/>
        </w:rPr>
        <w:t>81% de los funcionarios mayores a 58 años del MARNDR podrían solicitar acogerse a</w:t>
      </w:r>
      <w:r w:rsidRPr="007946F9">
        <w:rPr>
          <w:sz w:val="18"/>
          <w:szCs w:val="18"/>
          <w:lang w:val="es-ES_tradnl"/>
        </w:rPr>
        <w:t xml:space="preserve">l </w:t>
      </w:r>
      <w:r w:rsidR="00B71023" w:rsidRPr="007946F9">
        <w:rPr>
          <w:sz w:val="18"/>
          <w:szCs w:val="18"/>
          <w:lang w:val="es-ES_tradnl"/>
        </w:rPr>
        <w:t>P</w:t>
      </w:r>
      <w:r w:rsidRPr="007946F9">
        <w:rPr>
          <w:sz w:val="18"/>
          <w:szCs w:val="18"/>
          <w:lang w:val="es-ES_tradnl"/>
        </w:rPr>
        <w:t xml:space="preserve">rograma de </w:t>
      </w:r>
      <w:r w:rsidR="00B71023" w:rsidRPr="007946F9">
        <w:rPr>
          <w:sz w:val="18"/>
          <w:szCs w:val="18"/>
          <w:lang w:val="es-ES_tradnl"/>
        </w:rPr>
        <w:t>Incentivos para el R</w:t>
      </w:r>
      <w:r w:rsidRPr="007946F9">
        <w:rPr>
          <w:sz w:val="18"/>
          <w:szCs w:val="18"/>
          <w:lang w:val="es-ES_tradnl"/>
        </w:rPr>
        <w:t xml:space="preserve">etiro </w:t>
      </w:r>
      <w:r w:rsidR="00B71023" w:rsidRPr="007946F9">
        <w:rPr>
          <w:sz w:val="18"/>
          <w:szCs w:val="18"/>
          <w:lang w:val="es-ES_tradnl"/>
        </w:rPr>
        <w:t>de Funcionarios</w:t>
      </w:r>
      <w:r w:rsidRPr="007946F9">
        <w:rPr>
          <w:sz w:val="18"/>
          <w:szCs w:val="18"/>
          <w:lang w:val="es-ES_tradnl"/>
        </w:rPr>
        <w:t xml:space="preserve">. </w:t>
      </w:r>
      <w:r w:rsidR="00B71023" w:rsidRPr="007946F9">
        <w:rPr>
          <w:sz w:val="18"/>
          <w:szCs w:val="18"/>
          <w:lang w:val="es-ES_tradnl"/>
        </w:rPr>
        <w:t>Actualmente n</w:t>
      </w:r>
      <w:r w:rsidRPr="007946F9">
        <w:rPr>
          <w:sz w:val="18"/>
          <w:szCs w:val="18"/>
          <w:lang w:val="es-ES_tradnl"/>
        </w:rPr>
        <w:t>o hay una estimación para el MTPTC</w:t>
      </w:r>
      <w:r w:rsidR="00B71023" w:rsidRPr="007946F9">
        <w:rPr>
          <w:sz w:val="18"/>
          <w:szCs w:val="18"/>
          <w:lang w:val="es-ES_tradnl"/>
        </w:rPr>
        <w:t>, pero ésta se realizará durante la ejecución del proyecto</w:t>
      </w:r>
      <w:r w:rsidRPr="007946F9">
        <w:rPr>
          <w:sz w:val="18"/>
          <w:szCs w:val="18"/>
          <w:lang w:val="es-ES_tradnl"/>
        </w:rPr>
        <w:t>.</w:t>
      </w:r>
    </w:p>
  </w:footnote>
  <w:footnote w:id="6">
    <w:p w14:paraId="7A8271EB" w14:textId="230F9A94" w:rsidR="00CA1CC9" w:rsidRPr="00CD7217" w:rsidRDefault="00CA1CC9" w:rsidP="00CD7217">
      <w:pPr>
        <w:pStyle w:val="FootnoteText"/>
        <w:ind w:left="288" w:hanging="288"/>
        <w:jc w:val="both"/>
        <w:rPr>
          <w:lang w:val="es-ES_tradnl"/>
        </w:rPr>
      </w:pPr>
      <w:r w:rsidRPr="007946F9">
        <w:rPr>
          <w:rStyle w:val="FootnoteReference"/>
          <w:sz w:val="18"/>
          <w:szCs w:val="18"/>
        </w:rPr>
        <w:footnoteRef/>
      </w:r>
      <w:r w:rsidRPr="007946F9">
        <w:rPr>
          <w:sz w:val="18"/>
          <w:szCs w:val="18"/>
          <w:lang w:val="es-ES_tradnl"/>
        </w:rPr>
        <w:t xml:space="preserve"> </w:t>
      </w:r>
      <w:r w:rsidR="00A60B1B" w:rsidRPr="007946F9">
        <w:rPr>
          <w:sz w:val="18"/>
          <w:szCs w:val="18"/>
          <w:lang w:val="es-ES_tradnl"/>
        </w:rPr>
        <w:tab/>
      </w:r>
      <w:r w:rsidRPr="007946F9">
        <w:rPr>
          <w:sz w:val="18"/>
          <w:szCs w:val="18"/>
          <w:lang w:val="es-ES_tradnl"/>
        </w:rPr>
        <w:t>Para mayor información sobre distribución de gastos de pagos de salarios en nuevas contrataciones en los ministerios seleccionados consultar actividad 3.4 del PEP</w:t>
      </w:r>
      <w:r w:rsidR="00CE305D" w:rsidRPr="007946F9">
        <w:rPr>
          <w:sz w:val="18"/>
          <w:szCs w:val="18"/>
          <w:lang w:val="es-ES_tradnl"/>
        </w:rPr>
        <w:t>.</w:t>
      </w:r>
    </w:p>
  </w:footnote>
  <w:footnote w:id="7">
    <w:p w14:paraId="3B528478" w14:textId="1D2358F6" w:rsidR="007D244D" w:rsidRPr="007946F9" w:rsidRDefault="007D244D" w:rsidP="00A60B1B">
      <w:pPr>
        <w:pStyle w:val="FootnoteText"/>
        <w:ind w:left="288" w:hanging="288"/>
        <w:jc w:val="both"/>
        <w:rPr>
          <w:sz w:val="18"/>
          <w:szCs w:val="18"/>
        </w:rPr>
      </w:pPr>
      <w:r w:rsidRPr="007946F9">
        <w:rPr>
          <w:rStyle w:val="FootnoteReference"/>
          <w:sz w:val="18"/>
          <w:szCs w:val="18"/>
        </w:rPr>
        <w:footnoteRef/>
      </w:r>
      <w:r w:rsidRPr="007946F9">
        <w:rPr>
          <w:sz w:val="18"/>
          <w:szCs w:val="18"/>
          <w:lang w:val="es-ES_tradnl"/>
        </w:rPr>
        <w:t xml:space="preserve"> </w:t>
      </w:r>
      <w:r w:rsidR="00A60B1B" w:rsidRPr="007946F9">
        <w:rPr>
          <w:sz w:val="18"/>
          <w:szCs w:val="18"/>
          <w:lang w:val="es-ES_tradnl"/>
        </w:rPr>
        <w:tab/>
      </w:r>
      <w:r w:rsidRPr="007946F9">
        <w:rPr>
          <w:sz w:val="18"/>
          <w:szCs w:val="18"/>
          <w:lang w:val="es-ES_tradnl"/>
        </w:rPr>
        <w:t>Se tiene estimado realizar una contratación de 15 nuevos empleados para la OMRH (10 contratados en el 2019 y 5 más en el 2020), @HTG 150K /m cada uno. Se tiene contemplado una reducción en el año 4 y 5 del salario a pagar (50% en el año 4 y 1/3 en el año 5), para ser absorbido por parte del gobierno.</w:t>
      </w:r>
      <w:r w:rsidR="00B979AC" w:rsidRPr="007946F9">
        <w:rPr>
          <w:sz w:val="18"/>
          <w:szCs w:val="18"/>
          <w:lang w:val="es-ES_tradnl"/>
        </w:rPr>
        <w:t xml:space="preserve"> </w:t>
      </w:r>
      <w:r w:rsidR="00B979AC" w:rsidRPr="007946F9">
        <w:rPr>
          <w:sz w:val="18"/>
          <w:szCs w:val="18"/>
          <w:lang w:val="es-ES"/>
        </w:rPr>
        <w:t>Para más información, favor de ver el PEP actividad 1.3.2.</w:t>
      </w:r>
      <w:r w:rsidR="00B979AC" w:rsidRPr="007946F9">
        <w:rPr>
          <w:sz w:val="18"/>
          <w:szCs w:val="18"/>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694329"/>
    <w:multiLevelType w:val="hybridMultilevel"/>
    <w:tmpl w:val="E014D8E2"/>
    <w:lvl w:ilvl="0" w:tplc="1E1C5A9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747746"/>
    <w:multiLevelType w:val="multilevel"/>
    <w:tmpl w:val="DB0A98AE"/>
    <w:lvl w:ilvl="0">
      <w:start w:val="1"/>
      <w:numFmt w:val="upperRoman"/>
      <w:lvlText w:val="%1."/>
      <w:lvlJc w:val="left"/>
      <w:pPr>
        <w:ind w:left="720" w:hanging="720"/>
      </w:pPr>
      <w:rPr>
        <w:rFonts w:hint="default"/>
      </w:rPr>
    </w:lvl>
    <w:lvl w:ilvl="1">
      <w:start w:val="3"/>
      <w:numFmt w:val="decimal"/>
      <w:lvlText w:val="%1.%2"/>
      <w:lvlJc w:val="left"/>
      <w:pPr>
        <w:ind w:left="360" w:hanging="360"/>
      </w:pPr>
      <w:rPr>
        <w:u w:val="none"/>
      </w:rPr>
    </w:lvl>
    <w:lvl w:ilvl="2">
      <w:start w:val="1"/>
      <w:numFmt w:val="decimal"/>
      <w:isLgl/>
      <w:lvlText w:val="%1.%2.%3"/>
      <w:lvlJc w:val="left"/>
      <w:pPr>
        <w:ind w:left="720" w:hanging="720"/>
      </w:pPr>
      <w:rPr>
        <w:rFonts w:hint="default"/>
        <w:u w:val="none"/>
      </w:rPr>
    </w:lvl>
    <w:lvl w:ilvl="3">
      <w:start w:val="1"/>
      <w:numFmt w:val="decimal"/>
      <w:isLgl/>
      <w:lvlText w:val="%1.%2.%3.%4"/>
      <w:lvlJc w:val="left"/>
      <w:pPr>
        <w:ind w:left="720" w:hanging="720"/>
      </w:pPr>
      <w:rPr>
        <w:rFonts w:hint="default"/>
        <w:u w:val="none"/>
      </w:rPr>
    </w:lvl>
    <w:lvl w:ilvl="4">
      <w:start w:val="1"/>
      <w:numFmt w:val="decimal"/>
      <w:isLgl/>
      <w:lvlText w:val="%1.%2.%3.%4.%5"/>
      <w:lvlJc w:val="left"/>
      <w:pPr>
        <w:ind w:left="1080" w:hanging="1080"/>
      </w:pPr>
      <w:rPr>
        <w:rFonts w:hint="default"/>
        <w:u w:val="none"/>
      </w:rPr>
    </w:lvl>
    <w:lvl w:ilvl="5">
      <w:start w:val="1"/>
      <w:numFmt w:val="decimal"/>
      <w:isLgl/>
      <w:lvlText w:val="%1.%2.%3.%4.%5.%6"/>
      <w:lvlJc w:val="left"/>
      <w:pPr>
        <w:ind w:left="1080" w:hanging="1080"/>
      </w:pPr>
      <w:rPr>
        <w:rFonts w:hint="default"/>
        <w:u w:val="none"/>
      </w:rPr>
    </w:lvl>
    <w:lvl w:ilvl="6">
      <w:start w:val="1"/>
      <w:numFmt w:val="decimal"/>
      <w:isLgl/>
      <w:lvlText w:val="%1.%2.%3.%4.%5.%6.%7"/>
      <w:lvlJc w:val="left"/>
      <w:pPr>
        <w:ind w:left="1440" w:hanging="1440"/>
      </w:pPr>
      <w:rPr>
        <w:rFonts w:hint="default"/>
        <w:u w:val="none"/>
      </w:rPr>
    </w:lvl>
    <w:lvl w:ilvl="7">
      <w:start w:val="1"/>
      <w:numFmt w:val="decimal"/>
      <w:isLgl/>
      <w:lvlText w:val="%1.%2.%3.%4.%5.%6.%7.%8"/>
      <w:lvlJc w:val="left"/>
      <w:pPr>
        <w:ind w:left="1440" w:hanging="1440"/>
      </w:pPr>
      <w:rPr>
        <w:rFonts w:hint="default"/>
        <w:u w:val="none"/>
      </w:rPr>
    </w:lvl>
    <w:lvl w:ilvl="8">
      <w:start w:val="1"/>
      <w:numFmt w:val="decimal"/>
      <w:isLgl/>
      <w:lvlText w:val="%1.%2.%3.%4.%5.%6.%7.%8.%9"/>
      <w:lvlJc w:val="left"/>
      <w:pPr>
        <w:ind w:left="1800" w:hanging="1800"/>
      </w:pPr>
      <w:rPr>
        <w:rFonts w:hint="default"/>
        <w:u w:val="none"/>
      </w:rPr>
    </w:lvl>
  </w:abstractNum>
  <w:abstractNum w:abstractNumId="2" w15:restartNumberingAfterBreak="0">
    <w:nsid w:val="2DEE51FC"/>
    <w:multiLevelType w:val="hybridMultilevel"/>
    <w:tmpl w:val="17126B68"/>
    <w:lvl w:ilvl="0" w:tplc="A686CD9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9F17844"/>
    <w:multiLevelType w:val="hybridMultilevel"/>
    <w:tmpl w:val="77FC67FE"/>
    <w:lvl w:ilvl="0" w:tplc="1562956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B705A76"/>
    <w:multiLevelType w:val="hybridMultilevel"/>
    <w:tmpl w:val="0C0A55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C6A5033"/>
    <w:multiLevelType w:val="hybridMultilevel"/>
    <w:tmpl w:val="FADEDDE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13B03F7"/>
    <w:multiLevelType w:val="hybridMultilevel"/>
    <w:tmpl w:val="B1381F1C"/>
    <w:lvl w:ilvl="0" w:tplc="C090C5B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F033C7E"/>
    <w:multiLevelType w:val="hybridMultilevel"/>
    <w:tmpl w:val="D9F87A12"/>
    <w:lvl w:ilvl="0" w:tplc="1556D55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D5E7CBA"/>
    <w:multiLevelType w:val="hybridMultilevel"/>
    <w:tmpl w:val="D3B8D4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6F961456"/>
    <w:multiLevelType w:val="hybridMultilevel"/>
    <w:tmpl w:val="3A9016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7A6846A8"/>
    <w:multiLevelType w:val="hybridMultilevel"/>
    <w:tmpl w:val="1B2CDC4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0"/>
  </w:num>
  <w:num w:numId="4">
    <w:abstractNumId w:val="9"/>
  </w:num>
  <w:num w:numId="5">
    <w:abstractNumId w:val="0"/>
  </w:num>
  <w:num w:numId="6">
    <w:abstractNumId w:val="10"/>
  </w:num>
  <w:num w:numId="7">
    <w:abstractNumId w:val="6"/>
  </w:num>
  <w:num w:numId="8">
    <w:abstractNumId w:val="5"/>
  </w:num>
  <w:num w:numId="9">
    <w:abstractNumId w:val="7"/>
  </w:num>
  <w:num w:numId="10">
    <w:abstractNumId w:val="2"/>
  </w:num>
  <w:num w:numId="11">
    <w:abstractNumId w:val="3"/>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6907"/>
    <w:rsid w:val="000209AC"/>
    <w:rsid w:val="00062DCD"/>
    <w:rsid w:val="00077E29"/>
    <w:rsid w:val="00080866"/>
    <w:rsid w:val="0009449C"/>
    <w:rsid w:val="000B49D9"/>
    <w:rsid w:val="000B6215"/>
    <w:rsid w:val="001138F7"/>
    <w:rsid w:val="001348BE"/>
    <w:rsid w:val="00157270"/>
    <w:rsid w:val="00193AB7"/>
    <w:rsid w:val="001962FD"/>
    <w:rsid w:val="001A5EE0"/>
    <w:rsid w:val="002145C4"/>
    <w:rsid w:val="00230D71"/>
    <w:rsid w:val="00256419"/>
    <w:rsid w:val="002733C4"/>
    <w:rsid w:val="00280C47"/>
    <w:rsid w:val="002E3690"/>
    <w:rsid w:val="002F1391"/>
    <w:rsid w:val="003071D5"/>
    <w:rsid w:val="00316907"/>
    <w:rsid w:val="00335DB8"/>
    <w:rsid w:val="0035466E"/>
    <w:rsid w:val="00382EAB"/>
    <w:rsid w:val="003A77E9"/>
    <w:rsid w:val="003C0A32"/>
    <w:rsid w:val="003C76FB"/>
    <w:rsid w:val="004239EA"/>
    <w:rsid w:val="004352C3"/>
    <w:rsid w:val="00461766"/>
    <w:rsid w:val="00464428"/>
    <w:rsid w:val="00480584"/>
    <w:rsid w:val="004C2D3F"/>
    <w:rsid w:val="004C4703"/>
    <w:rsid w:val="004D2C69"/>
    <w:rsid w:val="004F16C8"/>
    <w:rsid w:val="005162E5"/>
    <w:rsid w:val="0052596E"/>
    <w:rsid w:val="005B37F2"/>
    <w:rsid w:val="005C4D61"/>
    <w:rsid w:val="005F00BC"/>
    <w:rsid w:val="00604CCB"/>
    <w:rsid w:val="006167FD"/>
    <w:rsid w:val="00650C75"/>
    <w:rsid w:val="00660C6B"/>
    <w:rsid w:val="00674DBB"/>
    <w:rsid w:val="006A34E7"/>
    <w:rsid w:val="00730FF8"/>
    <w:rsid w:val="0076018D"/>
    <w:rsid w:val="00764A4D"/>
    <w:rsid w:val="007740B0"/>
    <w:rsid w:val="00777B6E"/>
    <w:rsid w:val="00781B0C"/>
    <w:rsid w:val="007863E0"/>
    <w:rsid w:val="007946F9"/>
    <w:rsid w:val="007B0791"/>
    <w:rsid w:val="007B6B54"/>
    <w:rsid w:val="007D244D"/>
    <w:rsid w:val="007E5C9D"/>
    <w:rsid w:val="00815F51"/>
    <w:rsid w:val="008314D7"/>
    <w:rsid w:val="0083554F"/>
    <w:rsid w:val="00842191"/>
    <w:rsid w:val="00847E9E"/>
    <w:rsid w:val="00883C1A"/>
    <w:rsid w:val="008A54A5"/>
    <w:rsid w:val="008A7E0E"/>
    <w:rsid w:val="008F6BA7"/>
    <w:rsid w:val="009057AE"/>
    <w:rsid w:val="00917CE9"/>
    <w:rsid w:val="0096111D"/>
    <w:rsid w:val="009704C7"/>
    <w:rsid w:val="009C5553"/>
    <w:rsid w:val="00A159D1"/>
    <w:rsid w:val="00A240E6"/>
    <w:rsid w:val="00A31449"/>
    <w:rsid w:val="00A576F6"/>
    <w:rsid w:val="00A60B1B"/>
    <w:rsid w:val="00A65FB5"/>
    <w:rsid w:val="00AB5E83"/>
    <w:rsid w:val="00AD4D2D"/>
    <w:rsid w:val="00AF464D"/>
    <w:rsid w:val="00B00494"/>
    <w:rsid w:val="00B42B08"/>
    <w:rsid w:val="00B549EA"/>
    <w:rsid w:val="00B55F1E"/>
    <w:rsid w:val="00B62E98"/>
    <w:rsid w:val="00B71023"/>
    <w:rsid w:val="00B73403"/>
    <w:rsid w:val="00B849CB"/>
    <w:rsid w:val="00B9465B"/>
    <w:rsid w:val="00B979AC"/>
    <w:rsid w:val="00C1531F"/>
    <w:rsid w:val="00C41E46"/>
    <w:rsid w:val="00C74D42"/>
    <w:rsid w:val="00C755CD"/>
    <w:rsid w:val="00C93F95"/>
    <w:rsid w:val="00CA1CC9"/>
    <w:rsid w:val="00CD29C6"/>
    <w:rsid w:val="00CD7217"/>
    <w:rsid w:val="00CE305D"/>
    <w:rsid w:val="00D27FAF"/>
    <w:rsid w:val="00D51C64"/>
    <w:rsid w:val="00D53401"/>
    <w:rsid w:val="00D57CFC"/>
    <w:rsid w:val="00D63337"/>
    <w:rsid w:val="00D7136F"/>
    <w:rsid w:val="00D77BF6"/>
    <w:rsid w:val="00D86001"/>
    <w:rsid w:val="00DC535C"/>
    <w:rsid w:val="00DF2901"/>
    <w:rsid w:val="00E0467F"/>
    <w:rsid w:val="00E05FC2"/>
    <w:rsid w:val="00E379A5"/>
    <w:rsid w:val="00E42C21"/>
    <w:rsid w:val="00E61390"/>
    <w:rsid w:val="00E71953"/>
    <w:rsid w:val="00E90CF9"/>
    <w:rsid w:val="00EB1F84"/>
    <w:rsid w:val="00EB333C"/>
    <w:rsid w:val="00EB5A39"/>
    <w:rsid w:val="00EC0175"/>
    <w:rsid w:val="00ED2C62"/>
    <w:rsid w:val="00ED6279"/>
    <w:rsid w:val="00F16EF6"/>
    <w:rsid w:val="00F24A20"/>
    <w:rsid w:val="00F44415"/>
    <w:rsid w:val="00F66E84"/>
    <w:rsid w:val="00F77B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49BCBA"/>
  <w15:chartTrackingRefBased/>
  <w15:docId w15:val="{46ED904F-08E3-43DF-B37F-196242DABF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4A20"/>
    <w:pPr>
      <w:spacing w:after="0" w:line="240" w:lineRule="auto"/>
      <w:ind w:left="720"/>
    </w:pPr>
    <w:rPr>
      <w:rFonts w:ascii="Calibri" w:hAnsi="Calibri" w:cs="Calibri"/>
    </w:rPr>
  </w:style>
  <w:style w:type="paragraph" w:styleId="FootnoteText">
    <w:name w:val="footnote text"/>
    <w:basedOn w:val="Normal"/>
    <w:link w:val="FootnoteTextChar"/>
    <w:uiPriority w:val="99"/>
    <w:semiHidden/>
    <w:unhideWhenUsed/>
    <w:rsid w:val="00F66E8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66E84"/>
    <w:rPr>
      <w:sz w:val="20"/>
      <w:szCs w:val="20"/>
    </w:rPr>
  </w:style>
  <w:style w:type="character" w:styleId="FootnoteReference">
    <w:name w:val="footnote reference"/>
    <w:basedOn w:val="DefaultParagraphFont"/>
    <w:uiPriority w:val="99"/>
    <w:semiHidden/>
    <w:unhideWhenUsed/>
    <w:rsid w:val="00F66E84"/>
    <w:rPr>
      <w:vertAlign w:val="superscript"/>
    </w:rPr>
  </w:style>
  <w:style w:type="paragraph" w:styleId="BalloonText">
    <w:name w:val="Balloon Text"/>
    <w:basedOn w:val="Normal"/>
    <w:link w:val="BalloonTextChar"/>
    <w:uiPriority w:val="99"/>
    <w:semiHidden/>
    <w:unhideWhenUsed/>
    <w:rsid w:val="00CD29C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29C6"/>
    <w:rPr>
      <w:rFonts w:ascii="Segoe UI" w:hAnsi="Segoe UI" w:cs="Segoe UI"/>
      <w:sz w:val="18"/>
      <w:szCs w:val="18"/>
    </w:rPr>
  </w:style>
  <w:style w:type="table" w:styleId="GridTable4-Accent1">
    <w:name w:val="Grid Table 4 Accent 1"/>
    <w:basedOn w:val="TableNormal"/>
    <w:uiPriority w:val="49"/>
    <w:rsid w:val="00464428"/>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Header">
    <w:name w:val="header"/>
    <w:basedOn w:val="Normal"/>
    <w:link w:val="HeaderChar"/>
    <w:uiPriority w:val="99"/>
    <w:unhideWhenUsed/>
    <w:rsid w:val="009057AE"/>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57AE"/>
  </w:style>
  <w:style w:type="paragraph" w:styleId="Footer">
    <w:name w:val="footer"/>
    <w:basedOn w:val="Normal"/>
    <w:link w:val="FooterChar"/>
    <w:uiPriority w:val="99"/>
    <w:unhideWhenUsed/>
    <w:rsid w:val="009057AE"/>
    <w:pPr>
      <w:tabs>
        <w:tab w:val="center" w:pos="4680"/>
        <w:tab w:val="right" w:pos="9360"/>
      </w:tabs>
      <w:spacing w:after="0" w:line="240" w:lineRule="auto"/>
    </w:pPr>
  </w:style>
  <w:style w:type="character" w:customStyle="1" w:styleId="FooterChar">
    <w:name w:val="Footer Char"/>
    <w:basedOn w:val="DefaultParagraphFont"/>
    <w:link w:val="Footer"/>
    <w:uiPriority w:val="99"/>
    <w:rsid w:val="009057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3002168">
      <w:bodyDiv w:val="1"/>
      <w:marLeft w:val="0"/>
      <w:marRight w:val="0"/>
      <w:marTop w:val="0"/>
      <w:marBottom w:val="0"/>
      <w:divBdr>
        <w:top w:val="none" w:sz="0" w:space="0" w:color="auto"/>
        <w:left w:val="none" w:sz="0" w:space="0" w:color="auto"/>
        <w:bottom w:val="none" w:sz="0" w:space="0" w:color="auto"/>
        <w:right w:val="none" w:sz="0" w:space="0" w:color="auto"/>
      </w:divBdr>
    </w:div>
    <w:div w:id="382415218">
      <w:bodyDiv w:val="1"/>
      <w:marLeft w:val="0"/>
      <w:marRight w:val="0"/>
      <w:marTop w:val="0"/>
      <w:marBottom w:val="0"/>
      <w:divBdr>
        <w:top w:val="none" w:sz="0" w:space="0" w:color="auto"/>
        <w:left w:val="none" w:sz="0" w:space="0" w:color="auto"/>
        <w:bottom w:val="none" w:sz="0" w:space="0" w:color="auto"/>
        <w:right w:val="none" w:sz="0" w:space="0" w:color="auto"/>
      </w:divBdr>
    </w:div>
    <w:div w:id="399989510">
      <w:bodyDiv w:val="1"/>
      <w:marLeft w:val="0"/>
      <w:marRight w:val="0"/>
      <w:marTop w:val="0"/>
      <w:marBottom w:val="0"/>
      <w:divBdr>
        <w:top w:val="none" w:sz="0" w:space="0" w:color="auto"/>
        <w:left w:val="none" w:sz="0" w:space="0" w:color="auto"/>
        <w:bottom w:val="none" w:sz="0" w:space="0" w:color="auto"/>
        <w:right w:val="none" w:sz="0" w:space="0" w:color="auto"/>
      </w:divBdr>
    </w:div>
    <w:div w:id="458768207">
      <w:bodyDiv w:val="1"/>
      <w:marLeft w:val="0"/>
      <w:marRight w:val="0"/>
      <w:marTop w:val="0"/>
      <w:marBottom w:val="0"/>
      <w:divBdr>
        <w:top w:val="none" w:sz="0" w:space="0" w:color="auto"/>
        <w:left w:val="none" w:sz="0" w:space="0" w:color="auto"/>
        <w:bottom w:val="none" w:sz="0" w:space="0" w:color="auto"/>
        <w:right w:val="none" w:sz="0" w:space="0" w:color="auto"/>
      </w:divBdr>
    </w:div>
    <w:div w:id="747574256">
      <w:bodyDiv w:val="1"/>
      <w:marLeft w:val="0"/>
      <w:marRight w:val="0"/>
      <w:marTop w:val="0"/>
      <w:marBottom w:val="0"/>
      <w:divBdr>
        <w:top w:val="none" w:sz="0" w:space="0" w:color="auto"/>
        <w:left w:val="none" w:sz="0" w:space="0" w:color="auto"/>
        <w:bottom w:val="none" w:sz="0" w:space="0" w:color="auto"/>
        <w:right w:val="none" w:sz="0" w:space="0" w:color="auto"/>
      </w:divBdr>
    </w:div>
    <w:div w:id="878131815">
      <w:bodyDiv w:val="1"/>
      <w:marLeft w:val="0"/>
      <w:marRight w:val="0"/>
      <w:marTop w:val="0"/>
      <w:marBottom w:val="0"/>
      <w:divBdr>
        <w:top w:val="none" w:sz="0" w:space="0" w:color="auto"/>
        <w:left w:val="none" w:sz="0" w:space="0" w:color="auto"/>
        <w:bottom w:val="none" w:sz="0" w:space="0" w:color="auto"/>
        <w:right w:val="none" w:sz="0" w:space="0" w:color="auto"/>
      </w:divBdr>
    </w:div>
    <w:div w:id="1060711659">
      <w:bodyDiv w:val="1"/>
      <w:marLeft w:val="0"/>
      <w:marRight w:val="0"/>
      <w:marTop w:val="0"/>
      <w:marBottom w:val="0"/>
      <w:divBdr>
        <w:top w:val="none" w:sz="0" w:space="0" w:color="auto"/>
        <w:left w:val="none" w:sz="0" w:space="0" w:color="auto"/>
        <w:bottom w:val="none" w:sz="0" w:space="0" w:color="auto"/>
        <w:right w:val="none" w:sz="0" w:space="0" w:color="auto"/>
      </w:divBdr>
    </w:div>
    <w:div w:id="1272661226">
      <w:bodyDiv w:val="1"/>
      <w:marLeft w:val="0"/>
      <w:marRight w:val="0"/>
      <w:marTop w:val="0"/>
      <w:marBottom w:val="0"/>
      <w:divBdr>
        <w:top w:val="none" w:sz="0" w:space="0" w:color="auto"/>
        <w:left w:val="none" w:sz="0" w:space="0" w:color="auto"/>
        <w:bottom w:val="none" w:sz="0" w:space="0" w:color="auto"/>
        <w:right w:val="none" w:sz="0" w:space="0" w:color="auto"/>
      </w:divBdr>
    </w:div>
    <w:div w:id="1281453012">
      <w:bodyDiv w:val="1"/>
      <w:marLeft w:val="0"/>
      <w:marRight w:val="0"/>
      <w:marTop w:val="0"/>
      <w:marBottom w:val="0"/>
      <w:divBdr>
        <w:top w:val="none" w:sz="0" w:space="0" w:color="auto"/>
        <w:left w:val="none" w:sz="0" w:space="0" w:color="auto"/>
        <w:bottom w:val="none" w:sz="0" w:space="0" w:color="auto"/>
        <w:right w:val="none" w:sz="0" w:space="0" w:color="auto"/>
      </w:divBdr>
    </w:div>
    <w:div w:id="1439524720">
      <w:bodyDiv w:val="1"/>
      <w:marLeft w:val="0"/>
      <w:marRight w:val="0"/>
      <w:marTop w:val="0"/>
      <w:marBottom w:val="0"/>
      <w:divBdr>
        <w:top w:val="none" w:sz="0" w:space="0" w:color="auto"/>
        <w:left w:val="none" w:sz="0" w:space="0" w:color="auto"/>
        <w:bottom w:val="none" w:sz="0" w:space="0" w:color="auto"/>
        <w:right w:val="none" w:sz="0" w:space="0" w:color="auto"/>
      </w:divBdr>
    </w:div>
    <w:div w:id="1446003005">
      <w:bodyDiv w:val="1"/>
      <w:marLeft w:val="0"/>
      <w:marRight w:val="0"/>
      <w:marTop w:val="0"/>
      <w:marBottom w:val="0"/>
      <w:divBdr>
        <w:top w:val="none" w:sz="0" w:space="0" w:color="auto"/>
        <w:left w:val="none" w:sz="0" w:space="0" w:color="auto"/>
        <w:bottom w:val="none" w:sz="0" w:space="0" w:color="auto"/>
        <w:right w:val="none" w:sz="0" w:space="0" w:color="auto"/>
      </w:divBdr>
    </w:div>
    <w:div w:id="1511871845">
      <w:bodyDiv w:val="1"/>
      <w:marLeft w:val="0"/>
      <w:marRight w:val="0"/>
      <w:marTop w:val="0"/>
      <w:marBottom w:val="0"/>
      <w:divBdr>
        <w:top w:val="none" w:sz="0" w:space="0" w:color="auto"/>
        <w:left w:val="none" w:sz="0" w:space="0" w:color="auto"/>
        <w:bottom w:val="none" w:sz="0" w:space="0" w:color="auto"/>
        <w:right w:val="none" w:sz="0" w:space="0" w:color="auto"/>
      </w:divBdr>
    </w:div>
    <w:div w:id="1627396448">
      <w:bodyDiv w:val="1"/>
      <w:marLeft w:val="0"/>
      <w:marRight w:val="0"/>
      <w:marTop w:val="0"/>
      <w:marBottom w:val="0"/>
      <w:divBdr>
        <w:top w:val="none" w:sz="0" w:space="0" w:color="auto"/>
        <w:left w:val="none" w:sz="0" w:space="0" w:color="auto"/>
        <w:bottom w:val="none" w:sz="0" w:space="0" w:color="auto"/>
        <w:right w:val="none" w:sz="0" w:space="0" w:color="auto"/>
      </w:divBdr>
    </w:div>
    <w:div w:id="1799563921">
      <w:bodyDiv w:val="1"/>
      <w:marLeft w:val="0"/>
      <w:marRight w:val="0"/>
      <w:marTop w:val="0"/>
      <w:marBottom w:val="0"/>
      <w:divBdr>
        <w:top w:val="none" w:sz="0" w:space="0" w:color="auto"/>
        <w:left w:val="none" w:sz="0" w:space="0" w:color="auto"/>
        <w:bottom w:val="none" w:sz="0" w:space="0" w:color="auto"/>
        <w:right w:val="none" w:sz="0" w:space="0" w:color="auto"/>
      </w:divBdr>
    </w:div>
    <w:div w:id="1827937659">
      <w:bodyDiv w:val="1"/>
      <w:marLeft w:val="0"/>
      <w:marRight w:val="0"/>
      <w:marTop w:val="0"/>
      <w:marBottom w:val="0"/>
      <w:divBdr>
        <w:top w:val="none" w:sz="0" w:space="0" w:color="auto"/>
        <w:left w:val="none" w:sz="0" w:space="0" w:color="auto"/>
        <w:bottom w:val="none" w:sz="0" w:space="0" w:color="auto"/>
        <w:right w:val="none" w:sz="0" w:space="0" w:color="auto"/>
      </w:divBdr>
    </w:div>
    <w:div w:id="1839881401">
      <w:bodyDiv w:val="1"/>
      <w:marLeft w:val="0"/>
      <w:marRight w:val="0"/>
      <w:marTop w:val="0"/>
      <w:marBottom w:val="0"/>
      <w:divBdr>
        <w:top w:val="none" w:sz="0" w:space="0" w:color="auto"/>
        <w:left w:val="none" w:sz="0" w:space="0" w:color="auto"/>
        <w:bottom w:val="none" w:sz="0" w:space="0" w:color="auto"/>
        <w:right w:val="none" w:sz="0" w:space="0" w:color="auto"/>
      </w:divBdr>
    </w:div>
    <w:div w:id="1855412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settings" Target="settings.xml"/><Relationship Id="rId14" Type="http://schemas.openxmlformats.org/officeDocument/2006/relationships/footer" Target="footer1.xml"/><Relationship Id="rId9"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10.xml><?xml version="1.0" encoding="utf-8"?>
<?mso-contentType ?>
<FormUrls xmlns="http://schemas.microsoft.com/sharepoint/v3/contenttype/forms/url">
  <Display>_catalogs/masterpage/ECMForms/OperationsCT/View.aspx</Display>
  <Edit>_catalogs/masterpage/ECMForms/OperationsCT/Edit.aspx</Edit>
</FormUrls>
</file>

<file path=customXml/item11.xml><?xml version="1.0" encoding="utf-8"?>
<?mso-contentType ?>
<FormUrls xmlns="http://schemas.microsoft.com/sharepoint/v3/contenttype/forms/url">
  <Display>_catalogs/masterpage/ECMForms/OperationsCT/View.aspx</Display>
  <Edit>_catalogs/masterpage/ECMForms/OperationsCT/Edit.aspx</Edit>
</FormUrls>
</file>

<file path=customXml/item12.xml><?xml version="1.0" encoding="utf-8"?>
<?mso-contentType ?>
<FormUrls xmlns="http://schemas.microsoft.com/sharepoint/v3/contenttype/forms/url">
  <Display>_catalogs/masterpage/ECMForms/OperationsCT/View.aspx</Display>
  <Edit>_catalogs/masterpage/ECMForms/OperationsCT/Edit.aspx</Edit>
</FormUrls>
</file>

<file path=customXml/item13.xml><?xml version="1.0" encoding="utf-8"?>
<?mso-contentType ?>
<FormUrls xmlns="http://schemas.microsoft.com/sharepoint/v3/contenttype/forms/url">
  <Display>_catalogs/masterpage/ECMForms/OperationsCT/View.aspx</Display>
  <Edit>_catalogs/masterpage/ECMForms/OperationsCT/Edit.aspx</Edit>
</FormUrls>
</file>

<file path=customXml/item1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3BE84CF97D9D3F4BA8621B26D2F4A633" ma:contentTypeVersion="3237" ma:contentTypeDescription="A content type to manage public (operations) IDB documents" ma:contentTypeScope="" ma:versionID="6c0db0f7959261d4bc41cac0ad66e7fb">
  <xsd:schema xmlns:xsd="http://www.w3.org/2001/XMLSchema" xmlns:xs="http://www.w3.org/2001/XMLSchema" xmlns:p="http://schemas.microsoft.com/office/2006/metadata/properties" xmlns:ns2="cdc7663a-08f0-4737-9e8c-148ce897a09c" targetNamespace="http://schemas.microsoft.com/office/2006/metadata/properties" ma:root="true" ma:fieldsID="0f6d2c54e8d0c01a9b6419b4ab2746b6"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HA-L1131"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ct:contentTypeSchema xmlns:ct="http://schemas.microsoft.com/office/2006/metadata/contentType" xmlns:ma="http://schemas.microsoft.com/office/2006/metadata/properties/metaAttributes" ct:_="" ma:_="" ma:contentTypeName="ez-Operations" ma:contentTypeID="0x010100ACF722E9F6B0B149B0CD8BE2560A667200C6EE8D840F786B4A8BAACCB3D2A0BBD4" ma:contentTypeVersion="1675" ma:contentTypeDescription="The base project type from which other project content types inherit their information." ma:contentTypeScope="" ma:versionID="dac46e9df50275423a8e9ef0e5001ab5">
  <xsd:schema xmlns:xsd="http://www.w3.org/2001/XMLSchema" xmlns:xs="http://www.w3.org/2001/XMLSchema" xmlns:p="http://schemas.microsoft.com/office/2006/metadata/properties" xmlns:ns2="cdc7663a-08f0-4737-9e8c-148ce897a09c" targetNamespace="http://schemas.microsoft.com/office/2006/metadata/properties" ma:root="true" ma:fieldsID="1e92ce9b7be0bbbe6f432e4ddc19fb9b"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HA-L1131"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default="Loan Operation"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Haiti</TermName>
          <TermId xmlns="http://schemas.microsoft.com/office/infopath/2007/PartnerControls">77a11ace-c854-4e9c-9e19-c924bca0dd43</TermId>
        </TermInfo>
      </Terms>
    </ic46d7e087fd4a108fb86518ca413cc6>
    <IDBDocs_x0020_Number xmlns="cdc7663a-08f0-4737-9e8c-148ce897a09c" xsi:nil="true"/>
    <Division_x0020_or_x0020_Unit xmlns="cdc7663a-08f0-4737-9e8c-148ce897a09c">IFD/ICS</Division_x0020_or_x0020_Unit>
    <Fiscal_x0020_Year_x0020_IDB xmlns="cdc7663a-08f0-4737-9e8c-148ce897a09c">2019</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Mahfouz, Giovanna L.</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REFORM AND PUBLIC SECTOR SUPPORT</TermName>
          <TermId xmlns="http://schemas.microsoft.com/office/infopath/2007/PartnerControls">6679f56e-8b55-402b-90a0-8fe4c41c00ba</TermId>
        </TermInfo>
      </Terms>
    </b2ec7cfb18674cb8803df6b262e8b107>
    <Business_x0020_Area xmlns="cdc7663a-08f0-4737-9e8c-148ce897a09c" xsi:nil="true"/>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g511464f9e53401d84b16fa9b379a574>
    <Related_x0020_SisCor_x0020_Number xmlns="cdc7663a-08f0-4737-9e8c-148ce897a09c" xsi:nil="true"/>
    <TaxCatchAll xmlns="cdc7663a-08f0-4737-9e8c-148ce897a09c">
      <Value>76</Value>
      <Value>208</Value>
      <Value>1</Value>
      <Value>42</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HA-L1131</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Record_x0020_Number xmlns="cdc7663a-08f0-4737-9e8c-148ce897a09c" xsi:nil="true"/>
    <_dlc_DocId xmlns="cdc7663a-08f0-4737-9e8c-148ce897a09c">EZSHARE-1089081468-44</_dlc_DocId>
    <_dlc_DocIdUrl xmlns="cdc7663a-08f0-4737-9e8c-148ce897a09c">
      <Url>https://idbg.sharepoint.com/teams/EZ-HA-LON/HA-L1131/_layouts/15/DocIdRedir.aspx?ID=EZSHARE-1089081468-44</Url>
      <Description>EZSHARE-1089081468-44</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8.xml><?xml version="1.0" encoding="utf-8"?>
<?mso-contentType ?>
<FormUrls xmlns="http://schemas.microsoft.com/sharepoint/v3/contenttype/forms/url">
  <Display>_catalogs/masterpage/ECMForms/OperationsCT/View.aspx</Display>
  <Edit>_catalogs/masterpage/ECMForms/OperationsCT/Edit.aspx</Edit>
</FormUrls>
</file>

<file path=customXml/item9.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9963FAD6-9B6D-49C8-94B6-589BC6CC9F02}">
  <ds:schemaRefs>
    <ds:schemaRef ds:uri="http://schemas.microsoft.com/sharepoint/events"/>
  </ds:schemaRefs>
</ds:datastoreItem>
</file>

<file path=customXml/itemProps10.xml><?xml version="1.0" encoding="utf-8"?>
<ds:datastoreItem xmlns:ds="http://schemas.openxmlformats.org/officeDocument/2006/customXml" ds:itemID="{F59BFA7F-8F68-4CA6-B642-779CA143B2F2}"/>
</file>

<file path=customXml/itemProps11.xml><?xml version="1.0" encoding="utf-8"?>
<ds:datastoreItem xmlns:ds="http://schemas.openxmlformats.org/officeDocument/2006/customXml" ds:itemID="{551A8E3E-708B-4EB2-934D-436761DFD4C1}"/>
</file>

<file path=customXml/itemProps12.xml><?xml version="1.0" encoding="utf-8"?>
<ds:datastoreItem xmlns:ds="http://schemas.openxmlformats.org/officeDocument/2006/customXml" ds:itemID="{1EAC47D8-05EF-49DA-938A-DD228A7E8E20}"/>
</file>

<file path=customXml/itemProps13.xml><?xml version="1.0" encoding="utf-8"?>
<ds:datastoreItem xmlns:ds="http://schemas.openxmlformats.org/officeDocument/2006/customXml" ds:itemID="{6C93516E-B9DA-4573-A62B-69EAB2277DCC}"/>
</file>

<file path=customXml/itemProps14.xml><?xml version="1.0" encoding="utf-8"?>
<ds:datastoreItem xmlns:ds="http://schemas.openxmlformats.org/officeDocument/2006/customXml" ds:itemID="{36246A85-3D8F-4388-B99E-66BCEEF803E1}"/>
</file>

<file path=customXml/itemProps2.xml><?xml version="1.0" encoding="utf-8"?>
<ds:datastoreItem xmlns:ds="http://schemas.openxmlformats.org/officeDocument/2006/customXml" ds:itemID="{333B3643-6551-4A4B-A7B8-81EAEB754E9F}">
  <ds:schemaRefs>
    <ds:schemaRef ds:uri="http://schemas.microsoft.com/sharepoint/v3/contenttype/forms"/>
  </ds:schemaRefs>
</ds:datastoreItem>
</file>

<file path=customXml/itemProps3.xml><?xml version="1.0" encoding="utf-8"?>
<ds:datastoreItem xmlns:ds="http://schemas.openxmlformats.org/officeDocument/2006/customXml" ds:itemID="{BA05E22D-012D-4BD8-9CFD-9E8002B0F074}"/>
</file>

<file path=customXml/itemProps4.xml><?xml version="1.0" encoding="utf-8"?>
<ds:datastoreItem xmlns:ds="http://schemas.openxmlformats.org/officeDocument/2006/customXml" ds:itemID="{B4BFEA06-86CC-432A-972B-A94DF8FC9A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7663a-08f0-4737-9e8c-148ce897a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E6F333D-BE75-4EC6-97E9-F183A0110933}">
  <ds:schemaRef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cdc7663a-08f0-4737-9e8c-148ce897a09c"/>
    <ds:schemaRef ds:uri="http://www.w3.org/XML/1998/namespace"/>
    <ds:schemaRef ds:uri="http://purl.org/dc/dcmitype/"/>
  </ds:schemaRefs>
</ds:datastoreItem>
</file>

<file path=customXml/itemProps6.xml><?xml version="1.0" encoding="utf-8"?>
<ds:datastoreItem xmlns:ds="http://schemas.openxmlformats.org/officeDocument/2006/customXml" ds:itemID="{83F63E5B-CDFC-4228-87AE-BFEB865B19A6}"/>
</file>

<file path=customXml/itemProps7.xml><?xml version="1.0" encoding="utf-8"?>
<ds:datastoreItem xmlns:ds="http://schemas.openxmlformats.org/officeDocument/2006/customXml" ds:itemID="{E070D73C-771A-4E62-B1E3-4E7F2CEBA45A}">
  <ds:schemaRefs>
    <ds:schemaRef ds:uri="http://schemas.openxmlformats.org/officeDocument/2006/bibliography"/>
  </ds:schemaRefs>
</ds:datastoreItem>
</file>

<file path=customXml/itemProps8.xml><?xml version="1.0" encoding="utf-8"?>
<ds:datastoreItem xmlns:ds="http://schemas.openxmlformats.org/officeDocument/2006/customXml" ds:itemID="{26186318-93F0-45C9-89AF-1B53984B6DE2}"/>
</file>

<file path=customXml/itemProps9.xml><?xml version="1.0" encoding="utf-8"?>
<ds:datastoreItem xmlns:ds="http://schemas.openxmlformats.org/officeDocument/2006/customXml" ds:itemID="{785A412A-49E5-40FE-A865-A46A0F0ED686}"/>
</file>

<file path=docProps/app.xml><?xml version="1.0" encoding="utf-8"?>
<Properties xmlns="http://schemas.openxmlformats.org/officeDocument/2006/extended-properties" xmlns:vt="http://schemas.openxmlformats.org/officeDocument/2006/docPropsVTypes">
  <Template>Normal.dotm</Template>
  <TotalTime>3</TotalTime>
  <Pages>4</Pages>
  <Words>1143</Words>
  <Characters>6519</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Alvarez Huitron, Sharon Michel</dc:creator>
  <cp:keywords/>
  <dc:description/>
  <cp:lastModifiedBy>Mahfouz, Giovanna L.</cp:lastModifiedBy>
  <cp:revision>2</cp:revision>
  <cp:lastPrinted>2019-02-21T19:39:00Z</cp:lastPrinted>
  <dcterms:created xsi:type="dcterms:W3CDTF">2019-03-20T20:30:00Z</dcterms:created>
  <dcterms:modified xsi:type="dcterms:W3CDTF">2019-03-20T20:30:00Z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208;#REFORM AND PUBLIC SECTOR SUPPORT|6679f56e-8b55-402b-90a0-8fe4c41c00ba</vt:lpwstr>
  </property>
  <property fmtid="{D5CDD505-2E9C-101B-9397-08002B2CF9AE}" pid="7" name="Fund IDB">
    <vt:lpwstr/>
  </property>
  <property fmtid="{D5CDD505-2E9C-101B-9397-08002B2CF9AE}" pid="8" name="Country">
    <vt:lpwstr>42;#Haiti|77a11ace-c854-4e9c-9e19-c924bca0dd43</vt:lpwstr>
  </property>
  <property fmtid="{D5CDD505-2E9C-101B-9397-08002B2CF9AE}" pid="9" name="Sector IDB">
    <vt:lpwstr>76;#REFORM / MODERNIZATION OF THE STATE|c8fda4a7-691a-4c65-b227-9825197b5cd2</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395a290a-ce1a-4a66-9308-5b4cd7c1ddcb</vt:lpwstr>
  </property>
  <property fmtid="{D5CDD505-2E9C-101B-9397-08002B2CF9AE}" pid="12" name="AuthorIds_UIVersion_4">
    <vt:lpwstr>1155</vt:lpwstr>
  </property>
  <property fmtid="{D5CDD505-2E9C-101B-9397-08002B2CF9AE}" pid="13" name="AuthorIds_UIVersion_6">
    <vt:lpwstr>1155</vt:lpwstr>
  </property>
  <property fmtid="{D5CDD505-2E9C-101B-9397-08002B2CF9AE}" pid="14" name="AuthorIds_UIVersion_7">
    <vt:lpwstr>1155</vt:lpwstr>
  </property>
  <property fmtid="{D5CDD505-2E9C-101B-9397-08002B2CF9AE}" pid="15" name="Disclosure Activity">
    <vt:lpwstr>Loan Proposal</vt:lpwstr>
  </property>
  <property fmtid="{D5CDD505-2E9C-101B-9397-08002B2CF9AE}" pid="16" name="ContentTypeId">
    <vt:lpwstr>0x0101001A458A224826124E8B45B1D613300CFC003BE84CF97D9D3F4BA8621B26D2F4A633</vt:lpwstr>
  </property>
</Properties>
</file>