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0058A" w14:textId="77777777" w:rsidR="001A3D22" w:rsidRDefault="001A3D22" w:rsidP="001A3D22">
      <w:pPr>
        <w:pBdr>
          <w:top w:val="single" w:sz="4" w:space="1" w:color="auto"/>
          <w:left w:val="single" w:sz="4" w:space="4" w:color="auto"/>
          <w:bottom w:val="single" w:sz="4" w:space="1" w:color="auto"/>
          <w:right w:val="single" w:sz="4" w:space="4" w:color="auto"/>
        </w:pBdr>
        <w:shd w:val="clear" w:color="auto" w:fill="95B3D7"/>
        <w:jc w:val="center"/>
        <w:rPr>
          <w:b/>
          <w:sz w:val="28"/>
          <w:szCs w:val="28"/>
          <w:lang w:val="fr-FR"/>
        </w:rPr>
      </w:pPr>
      <w:r>
        <w:rPr>
          <w:b/>
          <w:sz w:val="28"/>
          <w:szCs w:val="28"/>
          <w:lang w:val="fr-FR"/>
        </w:rPr>
        <w:t>OFFICE DE MANAGEMENT ET DES RESSOURCES HUMAINES</w:t>
      </w:r>
      <w:r w:rsidR="00AE2CBD">
        <w:rPr>
          <w:b/>
          <w:sz w:val="28"/>
          <w:szCs w:val="28"/>
          <w:lang w:val="fr-FR"/>
        </w:rPr>
        <w:t xml:space="preserve"> (OMRH)</w:t>
      </w:r>
    </w:p>
    <w:p w14:paraId="06E16ACF" w14:textId="77777777" w:rsidR="001A3D22" w:rsidRDefault="001A3D22" w:rsidP="001A3D22">
      <w:pPr>
        <w:pBdr>
          <w:top w:val="single" w:sz="4" w:space="1" w:color="auto"/>
          <w:left w:val="single" w:sz="4" w:space="4" w:color="auto"/>
          <w:bottom w:val="single" w:sz="4" w:space="1" w:color="auto"/>
          <w:right w:val="single" w:sz="4" w:space="4" w:color="auto"/>
        </w:pBdr>
        <w:shd w:val="clear" w:color="auto" w:fill="95B3D7"/>
        <w:jc w:val="center"/>
        <w:rPr>
          <w:b/>
          <w:sz w:val="28"/>
          <w:szCs w:val="28"/>
          <w:lang w:val="fr-FR"/>
        </w:rPr>
      </w:pPr>
      <w:r>
        <w:rPr>
          <w:b/>
          <w:sz w:val="28"/>
          <w:szCs w:val="28"/>
          <w:lang w:val="fr-FR"/>
        </w:rPr>
        <w:t>ET</w:t>
      </w:r>
    </w:p>
    <w:p w14:paraId="10CB3B5A" w14:textId="77777777" w:rsidR="0030309E" w:rsidRPr="007278E9" w:rsidRDefault="00635E91" w:rsidP="001A3D22">
      <w:pPr>
        <w:pBdr>
          <w:top w:val="single" w:sz="4" w:space="1" w:color="auto"/>
          <w:left w:val="single" w:sz="4" w:space="4" w:color="auto"/>
          <w:bottom w:val="single" w:sz="4" w:space="1" w:color="auto"/>
          <w:right w:val="single" w:sz="4" w:space="4" w:color="auto"/>
        </w:pBdr>
        <w:shd w:val="clear" w:color="auto" w:fill="95B3D7"/>
        <w:jc w:val="center"/>
        <w:rPr>
          <w:b/>
          <w:sz w:val="28"/>
          <w:szCs w:val="28"/>
          <w:lang w:val="fr-FR"/>
        </w:rPr>
      </w:pPr>
      <w:r w:rsidRPr="007278E9">
        <w:rPr>
          <w:b/>
          <w:sz w:val="28"/>
          <w:szCs w:val="28"/>
          <w:lang w:val="fr-FR"/>
        </w:rPr>
        <w:t>MINISTERE DE L’ECONOMIE ET DES FINA</w:t>
      </w:r>
      <w:r w:rsidR="001A3D22">
        <w:rPr>
          <w:b/>
          <w:sz w:val="28"/>
          <w:szCs w:val="28"/>
          <w:lang w:val="fr-FR"/>
        </w:rPr>
        <w:t>NCES</w:t>
      </w:r>
      <w:r w:rsidR="00330ED7">
        <w:rPr>
          <w:b/>
          <w:sz w:val="28"/>
          <w:szCs w:val="28"/>
          <w:lang w:val="fr-FR"/>
        </w:rPr>
        <w:t xml:space="preserve"> (MEF)</w:t>
      </w:r>
    </w:p>
    <w:p w14:paraId="5FB0AF5B" w14:textId="77777777" w:rsidR="00630100" w:rsidRPr="007278E9" w:rsidRDefault="00630100" w:rsidP="00630100">
      <w:pPr>
        <w:rPr>
          <w:b/>
          <w:sz w:val="28"/>
          <w:szCs w:val="28"/>
          <w:lang w:val="fr-FR"/>
        </w:rPr>
      </w:pPr>
    </w:p>
    <w:p w14:paraId="184410B9" w14:textId="77777777" w:rsidR="00630100" w:rsidRPr="007278E9" w:rsidRDefault="00630100" w:rsidP="00630100">
      <w:pPr>
        <w:rPr>
          <w:b/>
          <w:sz w:val="28"/>
          <w:szCs w:val="28"/>
          <w:lang w:val="fr-FR"/>
        </w:rPr>
      </w:pPr>
    </w:p>
    <w:p w14:paraId="06425ACF" w14:textId="77777777" w:rsidR="00630100" w:rsidRPr="007278E9" w:rsidRDefault="00630100" w:rsidP="00630100">
      <w:pPr>
        <w:jc w:val="center"/>
        <w:rPr>
          <w:b/>
          <w:sz w:val="28"/>
          <w:szCs w:val="28"/>
          <w:lang w:val="fr-FR"/>
        </w:rPr>
      </w:pPr>
    </w:p>
    <w:p w14:paraId="3AA26342" w14:textId="77777777" w:rsidR="0024455A" w:rsidRPr="007278E9" w:rsidRDefault="0024455A" w:rsidP="00630100">
      <w:pPr>
        <w:jc w:val="center"/>
        <w:rPr>
          <w:b/>
          <w:sz w:val="28"/>
          <w:szCs w:val="28"/>
          <w:lang w:val="fr-FR"/>
        </w:rPr>
      </w:pPr>
    </w:p>
    <w:p w14:paraId="02C6AD54" w14:textId="77777777" w:rsidR="0024455A" w:rsidRPr="007278E9" w:rsidRDefault="0024455A" w:rsidP="00630100">
      <w:pPr>
        <w:jc w:val="center"/>
        <w:rPr>
          <w:b/>
          <w:sz w:val="28"/>
          <w:szCs w:val="28"/>
          <w:lang w:val="fr-FR"/>
        </w:rPr>
      </w:pPr>
    </w:p>
    <w:p w14:paraId="1AF41488" w14:textId="77777777" w:rsidR="00630100" w:rsidRPr="007278E9" w:rsidRDefault="00630100" w:rsidP="00630100">
      <w:pPr>
        <w:jc w:val="center"/>
        <w:rPr>
          <w:b/>
          <w:sz w:val="28"/>
          <w:szCs w:val="28"/>
          <w:lang w:val="fr-FR"/>
        </w:rPr>
      </w:pPr>
    </w:p>
    <w:p w14:paraId="20C474E9" w14:textId="77777777" w:rsidR="00630100" w:rsidRPr="007278E9" w:rsidRDefault="00B370C8" w:rsidP="00B370C8">
      <w:pPr>
        <w:tabs>
          <w:tab w:val="left" w:pos="7470"/>
        </w:tabs>
        <w:rPr>
          <w:b/>
          <w:sz w:val="28"/>
          <w:szCs w:val="28"/>
          <w:lang w:val="fr-FR"/>
        </w:rPr>
      </w:pPr>
      <w:r>
        <w:rPr>
          <w:b/>
          <w:sz w:val="28"/>
          <w:szCs w:val="28"/>
          <w:lang w:val="fr-FR"/>
        </w:rPr>
        <w:tab/>
      </w:r>
    </w:p>
    <w:p w14:paraId="2BC5CE69" w14:textId="77777777" w:rsidR="00630100" w:rsidRPr="007278E9" w:rsidRDefault="00630100" w:rsidP="00630100">
      <w:pPr>
        <w:jc w:val="center"/>
        <w:rPr>
          <w:b/>
          <w:sz w:val="28"/>
          <w:szCs w:val="28"/>
          <w:lang w:val="fr-FR"/>
        </w:rPr>
      </w:pPr>
    </w:p>
    <w:p w14:paraId="5E8C5BB9" w14:textId="77777777" w:rsidR="00630100" w:rsidRDefault="002C4D22" w:rsidP="00630100">
      <w:pPr>
        <w:jc w:val="center"/>
        <w:rPr>
          <w:b/>
          <w:color w:val="1F497D"/>
          <w:sz w:val="28"/>
          <w:szCs w:val="28"/>
          <w:lang w:val="fr-FR"/>
        </w:rPr>
      </w:pPr>
      <w:r w:rsidRPr="002C4D22">
        <w:rPr>
          <w:b/>
          <w:color w:val="1F497D"/>
          <w:sz w:val="28"/>
          <w:szCs w:val="28"/>
          <w:lang w:val="fr-FR"/>
        </w:rPr>
        <w:t>PROJET DE RENFORCEMENT DE LA GESTION PUBLIQUE POUR L’AMELIORATION DE LA PRESTATION DE SERVICES</w:t>
      </w:r>
    </w:p>
    <w:p w14:paraId="49A7B048" w14:textId="77777777" w:rsidR="002C4D22" w:rsidRPr="007278E9" w:rsidRDefault="002C4D22" w:rsidP="00630100">
      <w:pPr>
        <w:jc w:val="center"/>
        <w:rPr>
          <w:b/>
          <w:color w:val="1F497D"/>
          <w:sz w:val="28"/>
          <w:szCs w:val="28"/>
          <w:lang w:val="fr-FR"/>
        </w:rPr>
      </w:pPr>
    </w:p>
    <w:p w14:paraId="41229F76" w14:textId="77777777" w:rsidR="00630100" w:rsidRPr="007278E9" w:rsidRDefault="00265BD3" w:rsidP="00630100">
      <w:pPr>
        <w:jc w:val="center"/>
        <w:rPr>
          <w:b/>
          <w:color w:val="1F497D"/>
          <w:sz w:val="28"/>
          <w:szCs w:val="28"/>
          <w:lang w:val="fr-FR"/>
        </w:rPr>
      </w:pPr>
      <w:r w:rsidRPr="007278E9">
        <w:rPr>
          <w:b/>
          <w:color w:val="1F497D"/>
          <w:sz w:val="28"/>
          <w:szCs w:val="28"/>
          <w:lang w:val="fr-FR"/>
        </w:rPr>
        <w:t>MANUEL D’OPERATION DU PROGRAMME</w:t>
      </w:r>
    </w:p>
    <w:p w14:paraId="684C3B85" w14:textId="77777777" w:rsidR="00630100" w:rsidRPr="007278E9" w:rsidRDefault="00630100" w:rsidP="00630100">
      <w:pPr>
        <w:jc w:val="center"/>
        <w:rPr>
          <w:b/>
          <w:color w:val="1F497D"/>
          <w:sz w:val="28"/>
          <w:szCs w:val="28"/>
          <w:lang w:val="fr-FR"/>
        </w:rPr>
      </w:pPr>
      <w:r w:rsidRPr="007278E9">
        <w:rPr>
          <w:b/>
          <w:color w:val="1F497D"/>
          <w:sz w:val="28"/>
          <w:szCs w:val="28"/>
          <w:lang w:val="fr-FR"/>
        </w:rPr>
        <w:t>(HA-L1</w:t>
      </w:r>
      <w:r w:rsidR="002C4D22">
        <w:rPr>
          <w:b/>
          <w:color w:val="1F497D"/>
          <w:sz w:val="28"/>
          <w:szCs w:val="28"/>
          <w:lang w:val="fr-FR"/>
        </w:rPr>
        <w:t>131</w:t>
      </w:r>
      <w:r w:rsidRPr="007278E9">
        <w:rPr>
          <w:b/>
          <w:color w:val="1F497D"/>
          <w:sz w:val="28"/>
          <w:szCs w:val="28"/>
          <w:lang w:val="fr-FR"/>
        </w:rPr>
        <w:t>)</w:t>
      </w:r>
    </w:p>
    <w:p w14:paraId="4F944C5C" w14:textId="77777777" w:rsidR="00630100" w:rsidRPr="007278E9" w:rsidRDefault="00630100" w:rsidP="00630100">
      <w:pPr>
        <w:jc w:val="center"/>
        <w:rPr>
          <w:b/>
          <w:color w:val="1F497D"/>
          <w:sz w:val="28"/>
          <w:szCs w:val="28"/>
          <w:lang w:val="fr-FR"/>
        </w:rPr>
      </w:pPr>
    </w:p>
    <w:p w14:paraId="0742469C" w14:textId="77777777" w:rsidR="00630100" w:rsidRPr="007278E9" w:rsidRDefault="00630100" w:rsidP="0054548E">
      <w:pPr>
        <w:rPr>
          <w:b/>
          <w:sz w:val="28"/>
          <w:szCs w:val="28"/>
          <w:lang w:val="fr-FR"/>
        </w:rPr>
      </w:pPr>
    </w:p>
    <w:p w14:paraId="149B7257" w14:textId="77777777" w:rsidR="00630100" w:rsidRPr="007278E9" w:rsidRDefault="00630100" w:rsidP="00630100">
      <w:pPr>
        <w:jc w:val="center"/>
        <w:rPr>
          <w:b/>
          <w:sz w:val="28"/>
          <w:szCs w:val="28"/>
          <w:lang w:val="fr-FR"/>
        </w:rPr>
      </w:pPr>
    </w:p>
    <w:p w14:paraId="2A7E38C4" w14:textId="77777777" w:rsidR="00630100" w:rsidRPr="007278E9" w:rsidRDefault="00630100" w:rsidP="00630100">
      <w:pPr>
        <w:jc w:val="center"/>
        <w:rPr>
          <w:b/>
          <w:sz w:val="28"/>
          <w:szCs w:val="28"/>
          <w:lang w:val="fr-FR"/>
        </w:rPr>
      </w:pPr>
    </w:p>
    <w:p w14:paraId="475483C8" w14:textId="77777777" w:rsidR="005550BD" w:rsidRDefault="005550BD" w:rsidP="00630100">
      <w:pPr>
        <w:jc w:val="center"/>
        <w:rPr>
          <w:b/>
          <w:color w:val="1F497D"/>
          <w:sz w:val="28"/>
          <w:szCs w:val="28"/>
          <w:lang w:val="fr-FR"/>
        </w:rPr>
      </w:pPr>
    </w:p>
    <w:p w14:paraId="10505B90" w14:textId="77777777" w:rsidR="005550BD" w:rsidRDefault="005550BD" w:rsidP="00630100">
      <w:pPr>
        <w:jc w:val="center"/>
        <w:rPr>
          <w:b/>
          <w:color w:val="1F497D"/>
          <w:sz w:val="28"/>
          <w:szCs w:val="28"/>
          <w:lang w:val="fr-FR"/>
        </w:rPr>
      </w:pPr>
    </w:p>
    <w:p w14:paraId="75D556DC" w14:textId="77777777" w:rsidR="005550BD" w:rsidRDefault="005550BD" w:rsidP="00630100">
      <w:pPr>
        <w:jc w:val="center"/>
        <w:rPr>
          <w:b/>
          <w:color w:val="1F497D"/>
          <w:sz w:val="28"/>
          <w:szCs w:val="28"/>
          <w:lang w:val="fr-FR"/>
        </w:rPr>
      </w:pPr>
    </w:p>
    <w:p w14:paraId="147234EE" w14:textId="77777777" w:rsidR="005550BD" w:rsidRDefault="005550BD" w:rsidP="00630100">
      <w:pPr>
        <w:jc w:val="center"/>
        <w:rPr>
          <w:b/>
          <w:color w:val="1F497D"/>
          <w:sz w:val="28"/>
          <w:szCs w:val="28"/>
          <w:lang w:val="fr-FR"/>
        </w:rPr>
      </w:pPr>
    </w:p>
    <w:p w14:paraId="7C653D70" w14:textId="77777777" w:rsidR="005550BD" w:rsidRDefault="005550BD" w:rsidP="00630100">
      <w:pPr>
        <w:jc w:val="center"/>
        <w:rPr>
          <w:b/>
          <w:color w:val="1F497D"/>
          <w:sz w:val="28"/>
          <w:szCs w:val="28"/>
          <w:lang w:val="fr-FR"/>
        </w:rPr>
      </w:pPr>
    </w:p>
    <w:p w14:paraId="52F2ED9E" w14:textId="77777777" w:rsidR="005550BD" w:rsidRDefault="005550BD" w:rsidP="00630100">
      <w:pPr>
        <w:jc w:val="center"/>
        <w:rPr>
          <w:b/>
          <w:color w:val="1F497D"/>
          <w:sz w:val="28"/>
          <w:szCs w:val="28"/>
          <w:lang w:val="fr-FR"/>
        </w:rPr>
      </w:pPr>
    </w:p>
    <w:p w14:paraId="4C92B105" w14:textId="77777777" w:rsidR="005550BD" w:rsidRDefault="005550BD" w:rsidP="00630100">
      <w:pPr>
        <w:jc w:val="center"/>
        <w:rPr>
          <w:b/>
          <w:color w:val="1F497D"/>
          <w:sz w:val="28"/>
          <w:szCs w:val="28"/>
          <w:lang w:val="fr-FR"/>
        </w:rPr>
      </w:pPr>
    </w:p>
    <w:p w14:paraId="329DF8DD" w14:textId="77777777" w:rsidR="005550BD" w:rsidRDefault="005550BD" w:rsidP="00630100">
      <w:pPr>
        <w:jc w:val="center"/>
        <w:rPr>
          <w:b/>
          <w:color w:val="1F497D"/>
          <w:sz w:val="28"/>
          <w:szCs w:val="28"/>
          <w:lang w:val="fr-FR"/>
        </w:rPr>
      </w:pPr>
    </w:p>
    <w:p w14:paraId="71610D46" w14:textId="77777777" w:rsidR="005550BD" w:rsidRDefault="005550BD" w:rsidP="00630100">
      <w:pPr>
        <w:jc w:val="center"/>
        <w:rPr>
          <w:b/>
          <w:color w:val="1F497D"/>
          <w:sz w:val="28"/>
          <w:szCs w:val="28"/>
          <w:lang w:val="fr-FR"/>
        </w:rPr>
      </w:pPr>
    </w:p>
    <w:p w14:paraId="33473236" w14:textId="77777777" w:rsidR="005550BD" w:rsidRDefault="005550BD" w:rsidP="00630100">
      <w:pPr>
        <w:jc w:val="center"/>
        <w:rPr>
          <w:b/>
          <w:color w:val="1F497D"/>
          <w:sz w:val="28"/>
          <w:szCs w:val="28"/>
          <w:lang w:val="fr-FR"/>
        </w:rPr>
      </w:pPr>
    </w:p>
    <w:p w14:paraId="4D5E1E27" w14:textId="77777777" w:rsidR="005550BD" w:rsidRDefault="005550BD" w:rsidP="00630100">
      <w:pPr>
        <w:jc w:val="center"/>
        <w:rPr>
          <w:b/>
          <w:color w:val="1F497D"/>
          <w:sz w:val="28"/>
          <w:szCs w:val="28"/>
          <w:lang w:val="fr-FR"/>
        </w:rPr>
      </w:pPr>
    </w:p>
    <w:p w14:paraId="2EB7A485" w14:textId="77777777" w:rsidR="005550BD" w:rsidRDefault="005550BD" w:rsidP="00630100">
      <w:pPr>
        <w:jc w:val="center"/>
        <w:rPr>
          <w:b/>
          <w:color w:val="1F497D"/>
          <w:sz w:val="28"/>
          <w:szCs w:val="28"/>
          <w:lang w:val="fr-FR"/>
        </w:rPr>
      </w:pPr>
    </w:p>
    <w:p w14:paraId="562F60CD" w14:textId="77777777" w:rsidR="005550BD" w:rsidRDefault="005550BD" w:rsidP="00630100">
      <w:pPr>
        <w:jc w:val="center"/>
        <w:rPr>
          <w:b/>
          <w:color w:val="1F497D"/>
          <w:sz w:val="28"/>
          <w:szCs w:val="28"/>
          <w:lang w:val="fr-FR"/>
        </w:rPr>
      </w:pPr>
    </w:p>
    <w:p w14:paraId="72A1742F" w14:textId="77777777" w:rsidR="005550BD" w:rsidRDefault="005550BD" w:rsidP="00630100">
      <w:pPr>
        <w:jc w:val="center"/>
        <w:rPr>
          <w:b/>
          <w:color w:val="1F497D"/>
          <w:sz w:val="28"/>
          <w:szCs w:val="28"/>
          <w:lang w:val="fr-FR"/>
        </w:rPr>
      </w:pPr>
    </w:p>
    <w:p w14:paraId="36F31581" w14:textId="77777777" w:rsidR="005550BD" w:rsidRDefault="005550BD" w:rsidP="00630100">
      <w:pPr>
        <w:jc w:val="center"/>
        <w:rPr>
          <w:b/>
          <w:color w:val="1F497D"/>
          <w:sz w:val="28"/>
          <w:szCs w:val="28"/>
          <w:lang w:val="fr-FR"/>
        </w:rPr>
      </w:pPr>
    </w:p>
    <w:p w14:paraId="268CB508" w14:textId="77777777" w:rsidR="00630100" w:rsidRPr="007278E9" w:rsidRDefault="00630100" w:rsidP="00630100">
      <w:pPr>
        <w:jc w:val="center"/>
        <w:rPr>
          <w:b/>
          <w:color w:val="1F497D"/>
          <w:sz w:val="28"/>
          <w:szCs w:val="28"/>
          <w:lang w:val="fr-FR"/>
        </w:rPr>
      </w:pPr>
      <w:r w:rsidRPr="007278E9">
        <w:rPr>
          <w:b/>
          <w:color w:val="1F497D"/>
          <w:sz w:val="28"/>
          <w:szCs w:val="28"/>
          <w:lang w:val="fr-FR"/>
        </w:rPr>
        <w:t xml:space="preserve">Version </w:t>
      </w:r>
      <w:r w:rsidR="00BC2F9B">
        <w:rPr>
          <w:b/>
          <w:color w:val="1F497D"/>
          <w:sz w:val="28"/>
          <w:szCs w:val="28"/>
          <w:lang w:val="fr-FR"/>
        </w:rPr>
        <w:t>Novembre 2018</w:t>
      </w:r>
    </w:p>
    <w:p w14:paraId="7F09AC19" w14:textId="79CDA282" w:rsidR="0024455A" w:rsidRDefault="0024455A" w:rsidP="00630100">
      <w:pPr>
        <w:rPr>
          <w:b/>
          <w:lang w:val="fr-FR"/>
        </w:rPr>
      </w:pPr>
    </w:p>
    <w:p w14:paraId="60E04B89" w14:textId="46F692FF" w:rsidR="00F94CB2" w:rsidRDefault="00F94CB2" w:rsidP="00630100">
      <w:pPr>
        <w:rPr>
          <w:b/>
          <w:lang w:val="fr-FR"/>
        </w:rPr>
      </w:pPr>
    </w:p>
    <w:p w14:paraId="49E3E5E0" w14:textId="77777777" w:rsidR="00F94CB2" w:rsidRPr="007278E9" w:rsidRDefault="00F94CB2" w:rsidP="00630100">
      <w:pPr>
        <w:rPr>
          <w:b/>
          <w:lang w:val="fr-FR"/>
        </w:rPr>
      </w:pPr>
    </w:p>
    <w:p w14:paraId="311C4421" w14:textId="77777777" w:rsidR="00630100" w:rsidRPr="007278E9" w:rsidRDefault="00630100" w:rsidP="00630100">
      <w:pPr>
        <w:jc w:val="center"/>
        <w:rPr>
          <w:rFonts w:eastAsia="Times New Roman"/>
          <w:b/>
          <w:smallCaps/>
          <w:color w:val="4F81BD"/>
          <w:lang w:val="fr-FR"/>
        </w:rPr>
      </w:pPr>
      <w:r w:rsidRPr="007278E9">
        <w:rPr>
          <w:rFonts w:eastAsia="Times New Roman"/>
          <w:b/>
          <w:smallCaps/>
          <w:color w:val="4F81BD"/>
          <w:lang w:val="fr-FR"/>
        </w:rPr>
        <w:t>ACRONYM</w:t>
      </w:r>
      <w:r w:rsidR="00E33CE1" w:rsidRPr="007278E9">
        <w:rPr>
          <w:rFonts w:eastAsia="Times New Roman"/>
          <w:b/>
          <w:smallCaps/>
          <w:color w:val="4F81BD"/>
          <w:lang w:val="fr-FR"/>
        </w:rPr>
        <w:t>E</w:t>
      </w:r>
      <w:r w:rsidRPr="007278E9">
        <w:rPr>
          <w:rFonts w:eastAsia="Times New Roman"/>
          <w:b/>
          <w:smallCaps/>
          <w:color w:val="4F81BD"/>
          <w:lang w:val="fr-FR"/>
        </w:rPr>
        <w:t>S</w:t>
      </w:r>
    </w:p>
    <w:p w14:paraId="246E6202" w14:textId="77777777" w:rsidR="00630100" w:rsidRPr="007278E9" w:rsidRDefault="00630100" w:rsidP="00630100">
      <w:pPr>
        <w:jc w:val="center"/>
        <w:rPr>
          <w:rFonts w:eastAsia="Times New Roman"/>
          <w:b/>
          <w:smallCaps/>
          <w:lang w:val="fr-FR"/>
        </w:rPr>
      </w:pPr>
    </w:p>
    <w:p w14:paraId="39B2AD29" w14:textId="77777777" w:rsidR="00630100" w:rsidRPr="007278E9" w:rsidRDefault="00630100" w:rsidP="00630100">
      <w:pPr>
        <w:rPr>
          <w:rFonts w:eastAsia="Times New Roman"/>
          <w:b/>
          <w:smallCaps/>
          <w:lang w:val="fr-FR"/>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28"/>
        <w:gridCol w:w="7447"/>
      </w:tblGrid>
      <w:tr w:rsidR="00630100" w:rsidRPr="007278E9" w14:paraId="4A6A21EA" w14:textId="77777777" w:rsidTr="002F749D">
        <w:trPr>
          <w:trHeight w:val="359"/>
          <w:jc w:val="center"/>
        </w:trPr>
        <w:tc>
          <w:tcPr>
            <w:tcW w:w="1728" w:type="dxa"/>
            <w:tcBorders>
              <w:bottom w:val="nil"/>
            </w:tcBorders>
          </w:tcPr>
          <w:p w14:paraId="16A9CDD9" w14:textId="77777777" w:rsidR="00630100" w:rsidRPr="007278E9" w:rsidRDefault="00630100" w:rsidP="00630100">
            <w:pPr>
              <w:rPr>
                <w:rFonts w:eastAsia="Times New Roman"/>
                <w:lang w:val="fr-FR"/>
              </w:rPr>
            </w:pPr>
          </w:p>
        </w:tc>
        <w:tc>
          <w:tcPr>
            <w:tcW w:w="7447" w:type="dxa"/>
            <w:tcBorders>
              <w:bottom w:val="nil"/>
            </w:tcBorders>
          </w:tcPr>
          <w:p w14:paraId="0B4AAA0B" w14:textId="77777777" w:rsidR="00630100" w:rsidRPr="007278E9" w:rsidRDefault="00630100" w:rsidP="00630100">
            <w:pPr>
              <w:rPr>
                <w:rFonts w:eastAsia="Times New Roman"/>
                <w:lang w:val="fr-FR"/>
              </w:rPr>
            </w:pPr>
          </w:p>
        </w:tc>
      </w:tr>
      <w:tr w:rsidR="00630100" w:rsidRPr="007B030F" w14:paraId="7D40268E" w14:textId="77777777" w:rsidTr="00711677">
        <w:trPr>
          <w:trHeight w:val="2871"/>
          <w:jc w:val="center"/>
        </w:trPr>
        <w:tc>
          <w:tcPr>
            <w:tcW w:w="1728" w:type="dxa"/>
            <w:tcBorders>
              <w:top w:val="nil"/>
              <w:left w:val="nil"/>
              <w:bottom w:val="nil"/>
              <w:right w:val="nil"/>
            </w:tcBorders>
            <w:shd w:val="clear" w:color="auto" w:fill="auto"/>
          </w:tcPr>
          <w:p w14:paraId="64A3F781" w14:textId="77777777" w:rsidR="00E33CE1" w:rsidRPr="00711677" w:rsidRDefault="00E33CE1" w:rsidP="00630100">
            <w:pPr>
              <w:rPr>
                <w:rFonts w:eastAsia="Times New Roman"/>
              </w:rPr>
            </w:pPr>
            <w:r w:rsidRPr="00711677">
              <w:rPr>
                <w:rFonts w:eastAsia="Times New Roman"/>
              </w:rPr>
              <w:t>AEP</w:t>
            </w:r>
          </w:p>
          <w:p w14:paraId="015B067B" w14:textId="77777777" w:rsidR="00E33CE1" w:rsidRPr="00711677" w:rsidRDefault="00E33CE1" w:rsidP="00630100">
            <w:pPr>
              <w:rPr>
                <w:rFonts w:eastAsia="Times New Roman"/>
              </w:rPr>
            </w:pPr>
            <w:r w:rsidRPr="00711677">
              <w:rPr>
                <w:rFonts w:eastAsia="Times New Roman"/>
              </w:rPr>
              <w:t>BID</w:t>
            </w:r>
          </w:p>
          <w:p w14:paraId="1C143E67" w14:textId="77777777" w:rsidR="002F749D" w:rsidRPr="00711677" w:rsidRDefault="002F749D" w:rsidP="00630100">
            <w:pPr>
              <w:rPr>
                <w:rFonts w:eastAsia="Times New Roman"/>
              </w:rPr>
            </w:pPr>
            <w:r w:rsidRPr="00711677">
              <w:rPr>
                <w:rFonts w:eastAsia="Times New Roman"/>
              </w:rPr>
              <w:t>MARNDR</w:t>
            </w:r>
          </w:p>
          <w:p w14:paraId="4FAAC538" w14:textId="77777777" w:rsidR="00B5459F" w:rsidRPr="00711677" w:rsidRDefault="00B5459F" w:rsidP="00630100">
            <w:pPr>
              <w:rPr>
                <w:rFonts w:eastAsia="Times New Roman"/>
              </w:rPr>
            </w:pPr>
            <w:r w:rsidRPr="00711677">
              <w:rPr>
                <w:rFonts w:eastAsia="Times New Roman"/>
              </w:rPr>
              <w:t>MEF</w:t>
            </w:r>
          </w:p>
          <w:p w14:paraId="655CC57A" w14:textId="77777777" w:rsidR="001431E8" w:rsidRPr="00711677" w:rsidRDefault="001431E8" w:rsidP="00630100">
            <w:pPr>
              <w:rPr>
                <w:rFonts w:eastAsia="Times New Roman"/>
              </w:rPr>
            </w:pPr>
            <w:r w:rsidRPr="00711677">
              <w:rPr>
                <w:rFonts w:eastAsia="Times New Roman"/>
              </w:rPr>
              <w:t>MTPTC</w:t>
            </w:r>
          </w:p>
          <w:p w14:paraId="3310D075" w14:textId="77777777" w:rsidR="00E976BB" w:rsidRPr="00711677" w:rsidRDefault="00E976BB" w:rsidP="00630100">
            <w:pPr>
              <w:rPr>
                <w:rFonts w:eastAsia="Times New Roman"/>
              </w:rPr>
            </w:pPr>
            <w:r w:rsidRPr="00711677">
              <w:rPr>
                <w:rFonts w:eastAsia="Times New Roman"/>
              </w:rPr>
              <w:t>NO</w:t>
            </w:r>
          </w:p>
          <w:p w14:paraId="2719EB00" w14:textId="77777777" w:rsidR="002F749D" w:rsidRPr="00711677" w:rsidRDefault="001431E8" w:rsidP="00630100">
            <w:pPr>
              <w:rPr>
                <w:rFonts w:eastAsia="Times New Roman"/>
              </w:rPr>
            </w:pPr>
            <w:r w:rsidRPr="00711677">
              <w:rPr>
                <w:rFonts w:eastAsia="Times New Roman"/>
              </w:rPr>
              <w:t>OMRH</w:t>
            </w:r>
          </w:p>
          <w:p w14:paraId="28593851" w14:textId="77777777" w:rsidR="00040167" w:rsidRPr="00711677" w:rsidRDefault="00040167" w:rsidP="00630100">
            <w:pPr>
              <w:rPr>
                <w:rFonts w:eastAsia="Times New Roman"/>
              </w:rPr>
            </w:pPr>
            <w:r w:rsidRPr="00711677">
              <w:rPr>
                <w:rFonts w:eastAsia="Times New Roman"/>
              </w:rPr>
              <w:t>UCP/MEF</w:t>
            </w:r>
          </w:p>
          <w:p w14:paraId="01D242B0" w14:textId="77777777" w:rsidR="00D0670B" w:rsidRPr="00711677" w:rsidRDefault="00D0670B" w:rsidP="00630100">
            <w:pPr>
              <w:rPr>
                <w:rFonts w:eastAsia="Times New Roman"/>
              </w:rPr>
            </w:pPr>
          </w:p>
        </w:tc>
        <w:tc>
          <w:tcPr>
            <w:tcW w:w="7447" w:type="dxa"/>
            <w:tcBorders>
              <w:top w:val="nil"/>
              <w:left w:val="nil"/>
              <w:bottom w:val="nil"/>
              <w:right w:val="nil"/>
            </w:tcBorders>
            <w:shd w:val="clear" w:color="auto" w:fill="auto"/>
          </w:tcPr>
          <w:p w14:paraId="7A550372" w14:textId="77777777" w:rsidR="00E33CE1" w:rsidRPr="00711677" w:rsidRDefault="00E33CE1" w:rsidP="00630100">
            <w:pPr>
              <w:rPr>
                <w:rFonts w:eastAsia="Times New Roman"/>
                <w:lang w:val="fr-FR"/>
              </w:rPr>
            </w:pPr>
            <w:r w:rsidRPr="00711677">
              <w:rPr>
                <w:rFonts w:eastAsia="Times New Roman"/>
                <w:lang w:val="fr-FR"/>
              </w:rPr>
              <w:t>Agence d’Exécution du Programme</w:t>
            </w:r>
          </w:p>
          <w:p w14:paraId="2A721E62" w14:textId="77777777" w:rsidR="00E33CE1" w:rsidRPr="00711677" w:rsidRDefault="00E33CE1" w:rsidP="00630100">
            <w:pPr>
              <w:rPr>
                <w:rFonts w:eastAsia="Times New Roman"/>
                <w:lang w:val="fr-FR"/>
              </w:rPr>
            </w:pPr>
            <w:r w:rsidRPr="00711677">
              <w:rPr>
                <w:rFonts w:eastAsia="Times New Roman"/>
                <w:lang w:val="fr-FR"/>
              </w:rPr>
              <w:t>Banque Interaméricaine de Développement</w:t>
            </w:r>
          </w:p>
          <w:p w14:paraId="77046AA4" w14:textId="77777777" w:rsidR="002F749D" w:rsidRPr="00711677" w:rsidRDefault="002F749D" w:rsidP="00630100">
            <w:pPr>
              <w:rPr>
                <w:rFonts w:eastAsia="Times New Roman"/>
                <w:lang w:val="fr-FR"/>
              </w:rPr>
            </w:pPr>
            <w:r w:rsidRPr="00711677">
              <w:rPr>
                <w:rFonts w:eastAsia="Times New Roman"/>
                <w:lang w:val="fr-FR"/>
              </w:rPr>
              <w:t>Ministère de l'Agriculture, des Ressources Naturelles et du Développement Rural</w:t>
            </w:r>
          </w:p>
          <w:p w14:paraId="7F7C1BFF" w14:textId="77777777" w:rsidR="00B5459F" w:rsidRPr="00711677" w:rsidRDefault="00B5459F" w:rsidP="00630100">
            <w:pPr>
              <w:rPr>
                <w:rFonts w:eastAsia="Times New Roman"/>
                <w:lang w:val="fr-FR"/>
              </w:rPr>
            </w:pPr>
            <w:r w:rsidRPr="00711677">
              <w:rPr>
                <w:rFonts w:eastAsia="Times New Roman"/>
                <w:lang w:val="fr-FR"/>
              </w:rPr>
              <w:t>Ministère de l'Economie et des Finances</w:t>
            </w:r>
          </w:p>
          <w:p w14:paraId="574B00BE" w14:textId="77777777" w:rsidR="001431E8" w:rsidRPr="00711677" w:rsidRDefault="001431E8" w:rsidP="00630100">
            <w:pPr>
              <w:rPr>
                <w:rFonts w:eastAsia="Times New Roman"/>
                <w:lang w:val="fr-FR"/>
              </w:rPr>
            </w:pPr>
            <w:r w:rsidRPr="00711677">
              <w:rPr>
                <w:rFonts w:eastAsia="Times New Roman"/>
                <w:lang w:val="fr-FR"/>
              </w:rPr>
              <w:t>Ministère des Travaux Publics, Transports et Communications</w:t>
            </w:r>
          </w:p>
          <w:p w14:paraId="736863A5" w14:textId="77777777" w:rsidR="00ED149E" w:rsidRPr="00711677" w:rsidRDefault="00ED149E" w:rsidP="00630100">
            <w:pPr>
              <w:rPr>
                <w:rFonts w:eastAsia="Times New Roman"/>
                <w:lang w:val="fr-FR"/>
              </w:rPr>
            </w:pPr>
            <w:r w:rsidRPr="00711677">
              <w:rPr>
                <w:rFonts w:eastAsia="Times New Roman"/>
                <w:lang w:val="fr-FR"/>
              </w:rPr>
              <w:t>Non-Objection</w:t>
            </w:r>
          </w:p>
          <w:p w14:paraId="06C39CFE" w14:textId="77777777" w:rsidR="001431E8" w:rsidRPr="00711677" w:rsidRDefault="001431E8" w:rsidP="00630100">
            <w:pPr>
              <w:rPr>
                <w:rFonts w:eastAsia="Times New Roman"/>
                <w:lang w:val="fr-FR"/>
              </w:rPr>
            </w:pPr>
            <w:r w:rsidRPr="00711677">
              <w:rPr>
                <w:rFonts w:eastAsia="Times New Roman"/>
                <w:lang w:val="fr-FR"/>
              </w:rPr>
              <w:t>Office de Management et des Ressources Humaines</w:t>
            </w:r>
          </w:p>
          <w:p w14:paraId="196A6D0E" w14:textId="77777777" w:rsidR="00040167" w:rsidRPr="00711677" w:rsidRDefault="00040167" w:rsidP="00630100">
            <w:pPr>
              <w:rPr>
                <w:rFonts w:eastAsia="Times New Roman"/>
                <w:lang w:val="fr-FR"/>
              </w:rPr>
            </w:pPr>
            <w:r w:rsidRPr="00711677">
              <w:rPr>
                <w:rFonts w:eastAsia="Times New Roman"/>
                <w:lang w:val="fr-FR"/>
              </w:rPr>
              <w:t>Unité de Coordination de Projets du Ministère de l’Economie et des Finances</w:t>
            </w:r>
          </w:p>
          <w:p w14:paraId="22E66F14" w14:textId="77777777" w:rsidR="00D0670B" w:rsidRPr="00711677" w:rsidRDefault="00D0670B" w:rsidP="00630100">
            <w:pPr>
              <w:rPr>
                <w:rFonts w:eastAsia="Times New Roman"/>
                <w:lang w:val="fr-FR"/>
              </w:rPr>
            </w:pPr>
          </w:p>
        </w:tc>
      </w:tr>
      <w:tr w:rsidR="00630100" w:rsidRPr="007B030F" w14:paraId="15150120" w14:textId="77777777" w:rsidTr="002F749D">
        <w:trPr>
          <w:jc w:val="center"/>
        </w:trPr>
        <w:tc>
          <w:tcPr>
            <w:tcW w:w="1728" w:type="dxa"/>
            <w:tcBorders>
              <w:top w:val="nil"/>
              <w:left w:val="nil"/>
              <w:bottom w:val="nil"/>
              <w:right w:val="nil"/>
            </w:tcBorders>
          </w:tcPr>
          <w:p w14:paraId="2114230E" w14:textId="77777777" w:rsidR="00630100" w:rsidRPr="00A36A4D" w:rsidRDefault="00630100" w:rsidP="00630100">
            <w:pPr>
              <w:rPr>
                <w:rFonts w:eastAsia="Times New Roman" w:cs="Calibri"/>
                <w:highlight w:val="yellow"/>
                <w:lang w:val="fr-FR"/>
              </w:rPr>
            </w:pPr>
          </w:p>
        </w:tc>
        <w:tc>
          <w:tcPr>
            <w:tcW w:w="7447" w:type="dxa"/>
            <w:tcBorders>
              <w:top w:val="nil"/>
              <w:left w:val="nil"/>
              <w:bottom w:val="nil"/>
              <w:right w:val="nil"/>
            </w:tcBorders>
          </w:tcPr>
          <w:p w14:paraId="1C91812B" w14:textId="77777777" w:rsidR="00630100" w:rsidRPr="00A36A4D" w:rsidRDefault="00630100" w:rsidP="00630100">
            <w:pPr>
              <w:rPr>
                <w:rFonts w:eastAsia="Times New Roman" w:cs="Calibri"/>
                <w:highlight w:val="yellow"/>
                <w:lang w:val="fr-FR"/>
              </w:rPr>
            </w:pPr>
          </w:p>
        </w:tc>
      </w:tr>
      <w:tr w:rsidR="00630100" w:rsidRPr="007B030F" w14:paraId="64F4BB73" w14:textId="77777777" w:rsidTr="002F749D">
        <w:trPr>
          <w:jc w:val="center"/>
        </w:trPr>
        <w:tc>
          <w:tcPr>
            <w:tcW w:w="1728" w:type="dxa"/>
            <w:tcBorders>
              <w:top w:val="nil"/>
              <w:left w:val="nil"/>
              <w:bottom w:val="nil"/>
              <w:right w:val="nil"/>
            </w:tcBorders>
          </w:tcPr>
          <w:p w14:paraId="61D8EC6F" w14:textId="77777777" w:rsidR="001B6836" w:rsidRPr="00A36A4D" w:rsidRDefault="001B6836" w:rsidP="00630100">
            <w:pPr>
              <w:rPr>
                <w:rFonts w:eastAsia="Times New Roman" w:cs="Calibri"/>
                <w:highlight w:val="yellow"/>
                <w:lang w:val="fr-FR"/>
              </w:rPr>
            </w:pPr>
          </w:p>
        </w:tc>
        <w:tc>
          <w:tcPr>
            <w:tcW w:w="7447" w:type="dxa"/>
            <w:tcBorders>
              <w:top w:val="nil"/>
              <w:left w:val="nil"/>
              <w:bottom w:val="nil"/>
              <w:right w:val="nil"/>
            </w:tcBorders>
          </w:tcPr>
          <w:p w14:paraId="59F346EC" w14:textId="77777777" w:rsidR="001B6836" w:rsidRPr="00A36A4D" w:rsidRDefault="001B6836" w:rsidP="00630100">
            <w:pPr>
              <w:rPr>
                <w:rFonts w:eastAsia="Times New Roman" w:cs="Calibri"/>
                <w:highlight w:val="yellow"/>
                <w:lang w:val="fr-FR"/>
              </w:rPr>
            </w:pPr>
          </w:p>
        </w:tc>
      </w:tr>
      <w:tr w:rsidR="00630100" w:rsidRPr="007B030F" w14:paraId="0F83CAAF" w14:textId="77777777" w:rsidTr="002F749D">
        <w:trPr>
          <w:jc w:val="center"/>
        </w:trPr>
        <w:tc>
          <w:tcPr>
            <w:tcW w:w="1728" w:type="dxa"/>
            <w:tcBorders>
              <w:top w:val="nil"/>
              <w:left w:val="nil"/>
              <w:bottom w:val="nil"/>
              <w:right w:val="nil"/>
            </w:tcBorders>
          </w:tcPr>
          <w:p w14:paraId="1BC82450" w14:textId="77777777" w:rsidR="001B6836" w:rsidRPr="00A36A4D" w:rsidRDefault="001B6836" w:rsidP="00630100">
            <w:pPr>
              <w:rPr>
                <w:rFonts w:eastAsia="Times New Roman" w:cs="Calibri"/>
                <w:highlight w:val="yellow"/>
                <w:lang w:val="fr-FR"/>
              </w:rPr>
            </w:pPr>
          </w:p>
        </w:tc>
        <w:tc>
          <w:tcPr>
            <w:tcW w:w="7447" w:type="dxa"/>
            <w:tcBorders>
              <w:top w:val="nil"/>
              <w:left w:val="nil"/>
              <w:bottom w:val="nil"/>
              <w:right w:val="nil"/>
            </w:tcBorders>
          </w:tcPr>
          <w:p w14:paraId="6825DC5D" w14:textId="77777777" w:rsidR="001B6836" w:rsidRPr="00A36A4D" w:rsidRDefault="001B6836" w:rsidP="00630100">
            <w:pPr>
              <w:rPr>
                <w:rFonts w:eastAsia="Times New Roman" w:cs="Calibri"/>
                <w:highlight w:val="yellow"/>
                <w:lang w:val="fr-FR"/>
              </w:rPr>
            </w:pPr>
          </w:p>
        </w:tc>
      </w:tr>
      <w:tr w:rsidR="00630100" w:rsidRPr="007B030F" w14:paraId="5B48D0B3" w14:textId="77777777" w:rsidTr="002F749D">
        <w:trPr>
          <w:jc w:val="center"/>
        </w:trPr>
        <w:tc>
          <w:tcPr>
            <w:tcW w:w="1728" w:type="dxa"/>
            <w:tcBorders>
              <w:top w:val="nil"/>
              <w:left w:val="nil"/>
              <w:bottom w:val="nil"/>
              <w:right w:val="nil"/>
            </w:tcBorders>
          </w:tcPr>
          <w:p w14:paraId="4E034875" w14:textId="77777777" w:rsidR="00630100" w:rsidRPr="00A36A4D" w:rsidRDefault="00630100" w:rsidP="00630100">
            <w:pPr>
              <w:rPr>
                <w:rFonts w:eastAsia="Times New Roman" w:cs="Calibri"/>
                <w:highlight w:val="yellow"/>
                <w:lang w:val="fr-FR"/>
              </w:rPr>
            </w:pPr>
          </w:p>
        </w:tc>
        <w:tc>
          <w:tcPr>
            <w:tcW w:w="7447" w:type="dxa"/>
            <w:tcBorders>
              <w:top w:val="nil"/>
              <w:left w:val="nil"/>
              <w:bottom w:val="nil"/>
              <w:right w:val="nil"/>
            </w:tcBorders>
          </w:tcPr>
          <w:p w14:paraId="6EFF82C6" w14:textId="77777777" w:rsidR="00630100" w:rsidRPr="00A36A4D" w:rsidRDefault="00630100" w:rsidP="00635E91">
            <w:pPr>
              <w:rPr>
                <w:rFonts w:eastAsia="Times New Roman" w:cs="Calibri"/>
                <w:highlight w:val="yellow"/>
                <w:lang w:val="fr-FR"/>
              </w:rPr>
            </w:pPr>
          </w:p>
        </w:tc>
      </w:tr>
      <w:tr w:rsidR="00630100" w:rsidRPr="007B030F" w14:paraId="176F1A2B" w14:textId="77777777" w:rsidTr="002F749D">
        <w:trPr>
          <w:jc w:val="center"/>
        </w:trPr>
        <w:tc>
          <w:tcPr>
            <w:tcW w:w="1728" w:type="dxa"/>
            <w:tcBorders>
              <w:top w:val="nil"/>
              <w:left w:val="nil"/>
              <w:bottom w:val="nil"/>
              <w:right w:val="nil"/>
            </w:tcBorders>
          </w:tcPr>
          <w:p w14:paraId="137B5D17" w14:textId="77777777" w:rsidR="00630100" w:rsidRPr="007278E9" w:rsidRDefault="00630100" w:rsidP="00630100">
            <w:pPr>
              <w:rPr>
                <w:rFonts w:eastAsia="Times New Roman" w:cs="Calibri"/>
                <w:lang w:val="fr-FR"/>
              </w:rPr>
            </w:pPr>
          </w:p>
        </w:tc>
        <w:tc>
          <w:tcPr>
            <w:tcW w:w="7447" w:type="dxa"/>
            <w:tcBorders>
              <w:top w:val="nil"/>
              <w:left w:val="nil"/>
              <w:bottom w:val="nil"/>
              <w:right w:val="nil"/>
            </w:tcBorders>
          </w:tcPr>
          <w:p w14:paraId="7EAEEAB5" w14:textId="77777777" w:rsidR="00630100" w:rsidRPr="007278E9" w:rsidRDefault="00630100" w:rsidP="00630100">
            <w:pPr>
              <w:rPr>
                <w:rFonts w:eastAsia="Times New Roman" w:cs="Calibri"/>
                <w:lang w:val="fr-FR"/>
              </w:rPr>
            </w:pPr>
          </w:p>
        </w:tc>
      </w:tr>
    </w:tbl>
    <w:p w14:paraId="1C4B9334" w14:textId="77777777" w:rsidR="00630100" w:rsidRPr="007278E9" w:rsidRDefault="00630100" w:rsidP="00630100">
      <w:pPr>
        <w:rPr>
          <w:b/>
          <w:lang w:val="fr-FR"/>
        </w:rPr>
      </w:pPr>
    </w:p>
    <w:p w14:paraId="1A5AF27B" w14:textId="77777777" w:rsidR="00630100" w:rsidRDefault="00630100" w:rsidP="00630100">
      <w:pPr>
        <w:rPr>
          <w:b/>
          <w:lang w:val="fr-FR"/>
        </w:rPr>
      </w:pPr>
    </w:p>
    <w:p w14:paraId="2E152231" w14:textId="77777777" w:rsidR="00711677" w:rsidRDefault="00711677" w:rsidP="00630100">
      <w:pPr>
        <w:rPr>
          <w:b/>
          <w:lang w:val="fr-FR"/>
        </w:rPr>
      </w:pPr>
    </w:p>
    <w:p w14:paraId="7BCD6C8B" w14:textId="77777777" w:rsidR="00711677" w:rsidRDefault="00711677" w:rsidP="00630100">
      <w:pPr>
        <w:rPr>
          <w:b/>
          <w:lang w:val="fr-FR"/>
        </w:rPr>
      </w:pPr>
    </w:p>
    <w:p w14:paraId="12C9F9EC" w14:textId="77777777" w:rsidR="00711677" w:rsidRDefault="00711677" w:rsidP="00630100">
      <w:pPr>
        <w:rPr>
          <w:b/>
          <w:lang w:val="fr-FR"/>
        </w:rPr>
      </w:pPr>
    </w:p>
    <w:p w14:paraId="69859C16" w14:textId="77777777" w:rsidR="00711677" w:rsidRDefault="00711677" w:rsidP="00630100">
      <w:pPr>
        <w:rPr>
          <w:b/>
          <w:lang w:val="fr-FR"/>
        </w:rPr>
      </w:pPr>
    </w:p>
    <w:p w14:paraId="45C1F187" w14:textId="77777777" w:rsidR="00711677" w:rsidRDefault="00711677" w:rsidP="00630100">
      <w:pPr>
        <w:rPr>
          <w:b/>
          <w:lang w:val="fr-FR"/>
        </w:rPr>
      </w:pPr>
    </w:p>
    <w:p w14:paraId="3C5B9359" w14:textId="77777777" w:rsidR="00711677" w:rsidRDefault="00711677" w:rsidP="00630100">
      <w:pPr>
        <w:rPr>
          <w:b/>
          <w:lang w:val="fr-FR"/>
        </w:rPr>
      </w:pPr>
    </w:p>
    <w:p w14:paraId="203085DD" w14:textId="77777777" w:rsidR="00F858E9" w:rsidRDefault="00F858E9">
      <w:pPr>
        <w:rPr>
          <w:rFonts w:eastAsia="MS Gothic"/>
          <w:b/>
          <w:bCs/>
          <w:color w:val="365F91"/>
          <w:lang w:val="fr-FR" w:eastAsia="ja-JP"/>
        </w:rPr>
      </w:pPr>
      <w:r>
        <w:rPr>
          <w:rFonts w:eastAsia="MS Gothic"/>
          <w:b/>
          <w:bCs/>
          <w:color w:val="365F91"/>
          <w:lang w:val="fr-FR" w:eastAsia="ja-JP"/>
        </w:rPr>
        <w:br w:type="page"/>
      </w:r>
    </w:p>
    <w:p w14:paraId="008C4289" w14:textId="77777777" w:rsidR="00630100" w:rsidRPr="007278E9" w:rsidRDefault="00732A7E" w:rsidP="00630100">
      <w:pPr>
        <w:keepNext/>
        <w:keepLines/>
        <w:spacing w:before="480"/>
        <w:jc w:val="center"/>
        <w:rPr>
          <w:rFonts w:eastAsia="MS Gothic"/>
          <w:b/>
          <w:bCs/>
          <w:color w:val="365F91"/>
          <w:lang w:val="fr-FR" w:eastAsia="ja-JP"/>
        </w:rPr>
      </w:pPr>
      <w:r w:rsidRPr="007278E9">
        <w:rPr>
          <w:rFonts w:eastAsia="MS Gothic"/>
          <w:b/>
          <w:bCs/>
          <w:color w:val="365F91"/>
          <w:lang w:val="fr-FR" w:eastAsia="ja-JP"/>
        </w:rPr>
        <w:lastRenderedPageBreak/>
        <w:t>TABLE DES MATIERES</w:t>
      </w:r>
    </w:p>
    <w:p w14:paraId="1FE12DAE" w14:textId="49CBAFF3" w:rsidR="00630100" w:rsidRPr="006603E9" w:rsidRDefault="00630100" w:rsidP="006603E9">
      <w:pPr>
        <w:keepNext/>
        <w:keepLines/>
        <w:rPr>
          <w:rFonts w:eastAsia="MS Gothic"/>
          <w:bCs/>
          <w:lang w:val="fr-FR" w:eastAsia="ja-JP"/>
        </w:rPr>
      </w:pPr>
    </w:p>
    <w:p w14:paraId="188EA193" w14:textId="77777777" w:rsidR="006603E9" w:rsidRPr="006603E9" w:rsidRDefault="006603E9" w:rsidP="006603E9">
      <w:pPr>
        <w:keepNext/>
        <w:keepLines/>
        <w:rPr>
          <w:rFonts w:eastAsia="MS Gothic"/>
          <w:bCs/>
          <w:lang w:val="fr-FR" w:eastAsia="ja-JP"/>
        </w:rPr>
      </w:pPr>
    </w:p>
    <w:p w14:paraId="29A65F58" w14:textId="2E000AD0" w:rsidR="006603E9" w:rsidRPr="000D3EBE" w:rsidRDefault="006B7BF5">
      <w:pPr>
        <w:pStyle w:val="TOC1"/>
        <w:tabs>
          <w:tab w:val="left" w:pos="440"/>
          <w:tab w:val="right" w:leader="dot" w:pos="9350"/>
        </w:tabs>
        <w:rPr>
          <w:rFonts w:asciiTheme="minorHAnsi" w:hAnsiTheme="minorHAnsi" w:cstheme="minorBidi"/>
          <w:noProof/>
        </w:rPr>
      </w:pPr>
      <w:r w:rsidRPr="00C9307C">
        <w:rPr>
          <w:rFonts w:eastAsia="Calibri"/>
          <w:lang w:val="fr-FR"/>
        </w:rPr>
        <w:fldChar w:fldCharType="begin"/>
      </w:r>
      <w:r w:rsidR="00427FCF" w:rsidRPr="00C9307C">
        <w:rPr>
          <w:lang w:val="fr-FR"/>
        </w:rPr>
        <w:instrText>TOC</w:instrText>
      </w:r>
      <w:r w:rsidR="00630100" w:rsidRPr="00C9307C">
        <w:rPr>
          <w:lang w:val="fr-FR"/>
        </w:rPr>
        <w:instrText xml:space="preserve"> \o "1-3" \h \z \u </w:instrText>
      </w:r>
      <w:r w:rsidRPr="00C9307C">
        <w:rPr>
          <w:rFonts w:eastAsia="Calibri"/>
          <w:lang w:val="fr-FR"/>
        </w:rPr>
        <w:fldChar w:fldCharType="separate"/>
      </w:r>
      <w:hyperlink w:anchor="_Toc3810457" w:history="1">
        <w:r w:rsidR="006603E9" w:rsidRPr="000D3EBE">
          <w:rPr>
            <w:rStyle w:val="Hyperlink"/>
            <w:noProof/>
            <w:color w:val="auto"/>
            <w:u w:val="none"/>
            <w:lang w:val="fr-FR"/>
          </w:rPr>
          <w:t>I.</w:t>
        </w:r>
        <w:r w:rsidR="006603E9" w:rsidRPr="000D3EBE">
          <w:rPr>
            <w:rFonts w:asciiTheme="minorHAnsi" w:hAnsiTheme="minorHAnsi" w:cstheme="minorBidi"/>
            <w:noProof/>
          </w:rPr>
          <w:tab/>
        </w:r>
        <w:r w:rsidR="006603E9" w:rsidRPr="000D3EBE">
          <w:rPr>
            <w:rStyle w:val="Hyperlink"/>
            <w:bCs/>
            <w:noProof/>
            <w:color w:val="auto"/>
            <w:u w:val="none"/>
            <w:lang w:val="fr-FR"/>
          </w:rPr>
          <w:t>I</w:t>
        </w:r>
        <w:r w:rsidR="006603E9" w:rsidRPr="000D3EBE">
          <w:rPr>
            <w:rStyle w:val="Hyperlink"/>
            <w:noProof/>
            <w:color w:val="auto"/>
            <w:u w:val="none"/>
            <w:lang w:val="fr-FR"/>
          </w:rPr>
          <w:t>NTRODUCTION ET CONTEXTE DU PROGRAMME</w:t>
        </w:r>
        <w:r w:rsidR="006603E9" w:rsidRPr="000D3EBE">
          <w:rPr>
            <w:noProof/>
            <w:webHidden/>
          </w:rPr>
          <w:tab/>
        </w:r>
      </w:hyperlink>
      <w:r w:rsidR="006603E9" w:rsidRPr="000D3EBE">
        <w:rPr>
          <w:rStyle w:val="Hyperlink"/>
          <w:noProof/>
          <w:color w:val="auto"/>
          <w:u w:val="none"/>
        </w:rPr>
        <w:t>4</w:t>
      </w:r>
    </w:p>
    <w:p w14:paraId="6EA4858A" w14:textId="471A3501" w:rsidR="006603E9" w:rsidRPr="000D3EBE" w:rsidRDefault="00DD16AF" w:rsidP="008909D4">
      <w:pPr>
        <w:pStyle w:val="TOC2"/>
        <w:rPr>
          <w:rFonts w:asciiTheme="minorHAnsi" w:hAnsiTheme="minorHAnsi" w:cstheme="minorBidi"/>
          <w:noProof/>
        </w:rPr>
      </w:pPr>
      <w:hyperlink w:anchor="_Toc3810458" w:history="1">
        <w:r w:rsidR="006603E9" w:rsidRPr="000D3EBE">
          <w:rPr>
            <w:rStyle w:val="Hyperlink"/>
            <w:noProof/>
            <w:color w:val="auto"/>
            <w:u w:val="none"/>
            <w:lang w:val="fr-FR"/>
          </w:rPr>
          <w:t>A.</w:t>
        </w:r>
        <w:r w:rsidR="008909D4">
          <w:rPr>
            <w:rFonts w:asciiTheme="minorHAnsi" w:hAnsiTheme="minorHAnsi" w:cstheme="minorBidi"/>
            <w:noProof/>
          </w:rPr>
          <w:t xml:space="preserve"> </w:t>
        </w:r>
        <w:r w:rsidR="006603E9" w:rsidRPr="000D3EBE">
          <w:rPr>
            <w:rStyle w:val="Hyperlink"/>
            <w:noProof/>
            <w:color w:val="auto"/>
            <w:u w:val="none"/>
            <w:lang w:val="fr-FR"/>
          </w:rPr>
          <w:t>FINALITE DU MANUEL D’OPERATION</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_Toc3810458 \h </w:instrText>
        </w:r>
        <w:r w:rsidR="006603E9" w:rsidRPr="000D3EBE">
          <w:rPr>
            <w:noProof/>
            <w:webHidden/>
          </w:rPr>
        </w:r>
        <w:r w:rsidR="006603E9" w:rsidRPr="000D3EBE">
          <w:rPr>
            <w:noProof/>
            <w:webHidden/>
          </w:rPr>
          <w:fldChar w:fldCharType="separate"/>
        </w:r>
        <w:r w:rsidR="006603E9" w:rsidRPr="000D3EBE">
          <w:rPr>
            <w:noProof/>
            <w:webHidden/>
          </w:rPr>
          <w:t>4</w:t>
        </w:r>
        <w:r w:rsidR="006603E9" w:rsidRPr="000D3EBE">
          <w:rPr>
            <w:noProof/>
            <w:webHidden/>
          </w:rPr>
          <w:fldChar w:fldCharType="end"/>
        </w:r>
      </w:hyperlink>
    </w:p>
    <w:p w14:paraId="38A3DF6B" w14:textId="64D913B5" w:rsidR="006603E9" w:rsidRPr="000D3EBE" w:rsidRDefault="00DD16AF" w:rsidP="008909D4">
      <w:pPr>
        <w:pStyle w:val="TOC2"/>
        <w:rPr>
          <w:rFonts w:asciiTheme="minorHAnsi" w:hAnsiTheme="minorHAnsi" w:cstheme="minorBidi"/>
          <w:noProof/>
        </w:rPr>
      </w:pPr>
      <w:hyperlink w:anchor="_Toc3810459" w:history="1">
        <w:r w:rsidR="006603E9" w:rsidRPr="000D3EBE">
          <w:rPr>
            <w:rStyle w:val="Hyperlink"/>
            <w:noProof/>
            <w:color w:val="auto"/>
            <w:u w:val="none"/>
            <w:lang w:val="fr-FR"/>
          </w:rPr>
          <w:t>B.</w:t>
        </w:r>
        <w:r w:rsidR="008909D4">
          <w:rPr>
            <w:rFonts w:asciiTheme="minorHAnsi" w:hAnsiTheme="minorHAnsi" w:cstheme="minorBidi"/>
            <w:noProof/>
          </w:rPr>
          <w:t xml:space="preserve"> </w:t>
        </w:r>
        <w:r w:rsidR="006603E9" w:rsidRPr="000D3EBE">
          <w:rPr>
            <w:rStyle w:val="Hyperlink"/>
            <w:noProof/>
            <w:color w:val="auto"/>
            <w:u w:val="none"/>
            <w:lang w:val="fr-FR"/>
          </w:rPr>
          <w:t>MODALITES DE MODIFICATIONS DU MANUEL D’OPERATION</w:t>
        </w:r>
        <w:r w:rsidR="006603E9" w:rsidRPr="000D3EBE">
          <w:rPr>
            <w:noProof/>
            <w:webHidden/>
          </w:rPr>
          <w:tab/>
          <w:t>5</w:t>
        </w:r>
      </w:hyperlink>
    </w:p>
    <w:p w14:paraId="01BECF16" w14:textId="1635DF58" w:rsidR="006603E9" w:rsidRPr="000D3EBE" w:rsidRDefault="00DD16AF">
      <w:pPr>
        <w:pStyle w:val="TOC1"/>
        <w:tabs>
          <w:tab w:val="left" w:pos="440"/>
          <w:tab w:val="right" w:leader="dot" w:pos="9350"/>
        </w:tabs>
        <w:rPr>
          <w:rFonts w:asciiTheme="minorHAnsi" w:hAnsiTheme="minorHAnsi" w:cstheme="minorBidi"/>
          <w:noProof/>
        </w:rPr>
      </w:pPr>
      <w:hyperlink w:anchor="_Toc3810460" w:history="1">
        <w:r w:rsidR="006603E9" w:rsidRPr="000D3EBE">
          <w:rPr>
            <w:rStyle w:val="Hyperlink"/>
            <w:noProof/>
            <w:color w:val="auto"/>
            <w:u w:val="none"/>
            <w:lang w:val="fr-FR"/>
          </w:rPr>
          <w:t>II.</w:t>
        </w:r>
        <w:r w:rsidR="006603E9" w:rsidRPr="000D3EBE">
          <w:rPr>
            <w:rFonts w:asciiTheme="minorHAnsi" w:hAnsiTheme="minorHAnsi" w:cstheme="minorBidi"/>
            <w:noProof/>
          </w:rPr>
          <w:tab/>
        </w:r>
        <w:r w:rsidR="006603E9" w:rsidRPr="000D3EBE">
          <w:rPr>
            <w:rStyle w:val="Hyperlink"/>
            <w:noProof/>
            <w:color w:val="auto"/>
            <w:u w:val="none"/>
            <w:lang w:val="fr-FR"/>
          </w:rPr>
          <w:t>DESCRIPTION DU PROGRAMME</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_Toc3810460 \h </w:instrText>
        </w:r>
        <w:r w:rsidR="006603E9" w:rsidRPr="000D3EBE">
          <w:rPr>
            <w:noProof/>
            <w:webHidden/>
          </w:rPr>
        </w:r>
        <w:r w:rsidR="006603E9" w:rsidRPr="000D3EBE">
          <w:rPr>
            <w:noProof/>
            <w:webHidden/>
          </w:rPr>
          <w:fldChar w:fldCharType="separate"/>
        </w:r>
        <w:r w:rsidR="006603E9" w:rsidRPr="000D3EBE">
          <w:rPr>
            <w:noProof/>
            <w:webHidden/>
          </w:rPr>
          <w:t>5</w:t>
        </w:r>
        <w:r w:rsidR="006603E9" w:rsidRPr="000D3EBE">
          <w:rPr>
            <w:noProof/>
            <w:webHidden/>
          </w:rPr>
          <w:fldChar w:fldCharType="end"/>
        </w:r>
      </w:hyperlink>
    </w:p>
    <w:p w14:paraId="101B2FD9" w14:textId="16FD17EC" w:rsidR="006603E9" w:rsidRPr="000D3EBE" w:rsidRDefault="00DD16AF" w:rsidP="008909D4">
      <w:pPr>
        <w:pStyle w:val="TOC2"/>
        <w:rPr>
          <w:rFonts w:asciiTheme="minorHAnsi" w:hAnsiTheme="minorHAnsi" w:cstheme="minorBidi"/>
          <w:noProof/>
        </w:rPr>
      </w:pPr>
      <w:hyperlink w:anchor="_Toc3810461" w:history="1">
        <w:r w:rsidR="006603E9" w:rsidRPr="000D3EBE">
          <w:rPr>
            <w:rStyle w:val="Hyperlink"/>
            <w:noProof/>
            <w:color w:val="auto"/>
            <w:u w:val="none"/>
            <w:lang w:val="fr-FR"/>
          </w:rPr>
          <w:t>OBJECTIFS DUPROGRAMME</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_Toc3810461 \h </w:instrText>
        </w:r>
        <w:r w:rsidR="006603E9" w:rsidRPr="000D3EBE">
          <w:rPr>
            <w:noProof/>
            <w:webHidden/>
          </w:rPr>
        </w:r>
        <w:r w:rsidR="006603E9" w:rsidRPr="000D3EBE">
          <w:rPr>
            <w:noProof/>
            <w:webHidden/>
          </w:rPr>
          <w:fldChar w:fldCharType="separate"/>
        </w:r>
        <w:r w:rsidR="006603E9" w:rsidRPr="000D3EBE">
          <w:rPr>
            <w:noProof/>
            <w:webHidden/>
          </w:rPr>
          <w:t>5</w:t>
        </w:r>
        <w:r w:rsidR="006603E9" w:rsidRPr="000D3EBE">
          <w:rPr>
            <w:noProof/>
            <w:webHidden/>
          </w:rPr>
          <w:fldChar w:fldCharType="end"/>
        </w:r>
      </w:hyperlink>
    </w:p>
    <w:p w14:paraId="7B5961EB" w14:textId="14CBC89F" w:rsidR="006603E9" w:rsidRPr="000D3EBE" w:rsidRDefault="00DD16AF" w:rsidP="008909D4">
      <w:pPr>
        <w:pStyle w:val="TOC2"/>
        <w:rPr>
          <w:rStyle w:val="Hyperlink"/>
          <w:noProof/>
          <w:color w:val="auto"/>
          <w:u w:val="none"/>
        </w:rPr>
      </w:pPr>
      <w:hyperlink w:anchor="_Toc3810463" w:history="1">
        <w:r w:rsidR="006603E9" w:rsidRPr="000D3EBE">
          <w:rPr>
            <w:rStyle w:val="Hyperlink"/>
            <w:noProof/>
            <w:color w:val="auto"/>
            <w:u w:val="none"/>
            <w:lang w:val="fr-FR"/>
          </w:rPr>
          <w:t xml:space="preserve">COMPOSANTE I– </w:t>
        </w:r>
        <w:r w:rsidR="008909D4">
          <w:rPr>
            <w:rStyle w:val="Hyperlink"/>
            <w:noProof/>
            <w:color w:val="auto"/>
            <w:u w:val="none"/>
            <w:lang w:val="fr-FR"/>
          </w:rPr>
          <w:t xml:space="preserve"> </w:t>
        </w:r>
        <w:r w:rsidR="006603E9" w:rsidRPr="000D3EBE">
          <w:rPr>
            <w:rStyle w:val="Hyperlink"/>
            <w:noProof/>
            <w:color w:val="auto"/>
            <w:u w:val="none"/>
            <w:lang w:val="fr-FR"/>
          </w:rPr>
          <w:t>RENFORCEMENT DU REGIME TRANSVERSAL DE LA FONCTION PUBLIQUE ET DE LA GESTION  DES RESSOURCES HUMAINES (US$ 8,94M)</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_Toc3810463 \h </w:instrText>
        </w:r>
        <w:r w:rsidR="006603E9" w:rsidRPr="000D3EBE">
          <w:rPr>
            <w:noProof/>
            <w:webHidden/>
          </w:rPr>
        </w:r>
        <w:r w:rsidR="006603E9" w:rsidRPr="000D3EBE">
          <w:rPr>
            <w:noProof/>
            <w:webHidden/>
          </w:rPr>
          <w:fldChar w:fldCharType="separate"/>
        </w:r>
        <w:r w:rsidR="006603E9" w:rsidRPr="000D3EBE">
          <w:rPr>
            <w:noProof/>
            <w:webHidden/>
          </w:rPr>
          <w:t>5</w:t>
        </w:r>
        <w:r w:rsidR="006603E9" w:rsidRPr="000D3EBE">
          <w:rPr>
            <w:noProof/>
            <w:webHidden/>
          </w:rPr>
          <w:fldChar w:fldCharType="end"/>
        </w:r>
      </w:hyperlink>
    </w:p>
    <w:p w14:paraId="45753885" w14:textId="1796F1ED" w:rsidR="006603E9" w:rsidRPr="000D3EBE" w:rsidRDefault="006603E9" w:rsidP="008909D4">
      <w:pPr>
        <w:ind w:left="450"/>
        <w:rPr>
          <w:lang w:val="fr-FR"/>
        </w:rPr>
      </w:pPr>
      <w:r w:rsidRPr="000D3EBE">
        <w:rPr>
          <w:lang w:val="fr-FR"/>
        </w:rPr>
        <w:t>COMPOSANTE 2 – RENFORCEMENT DES SYSTEMES INFORMATIQUES TRANSVERSAUX D’APPUI A LA GESTION DES RESSOURCES HUMAINES ET DES SALAIRES (US$ 14,21 M)………………………</w:t>
      </w:r>
      <w:r w:rsidR="008909D4">
        <w:rPr>
          <w:lang w:val="fr-FR"/>
        </w:rPr>
        <w:t>.</w:t>
      </w:r>
      <w:r w:rsidRPr="000D3EBE">
        <w:rPr>
          <w:lang w:val="fr-FR"/>
        </w:rPr>
        <w:t>………………..8</w:t>
      </w:r>
    </w:p>
    <w:p w14:paraId="347CFFA8" w14:textId="441C9543" w:rsidR="006603E9" w:rsidRPr="000D3EBE" w:rsidRDefault="006603E9" w:rsidP="008909D4">
      <w:pPr>
        <w:ind w:left="450"/>
        <w:rPr>
          <w:lang w:val="fr-FR"/>
        </w:rPr>
      </w:pPr>
      <w:r w:rsidRPr="000D3EBE">
        <w:rPr>
          <w:lang w:val="fr-FR"/>
        </w:rPr>
        <w:t>COMPOSANTE 3 RENFORCEMENT DE LA CAPACITE DE PRESTATION DE SERVICES DANS LES MINISTERES ET ENTITES DU SECTEUR PUBLIC SELECTIONNES (US$ 27,4</w:t>
      </w:r>
      <w:r w:rsidR="007B030F">
        <w:rPr>
          <w:lang w:val="fr-FR"/>
        </w:rPr>
        <w:t>2</w:t>
      </w:r>
      <w:r w:rsidRPr="000D3EBE">
        <w:rPr>
          <w:lang w:val="fr-FR"/>
        </w:rPr>
        <w:t xml:space="preserve"> M)</w:t>
      </w:r>
      <w:r w:rsidR="000D3EBE" w:rsidRPr="000D3EBE">
        <w:rPr>
          <w:lang w:val="fr-FR"/>
        </w:rPr>
        <w:t>………………</w:t>
      </w:r>
      <w:r w:rsidR="008909D4">
        <w:rPr>
          <w:lang w:val="fr-FR"/>
        </w:rPr>
        <w:t>..</w:t>
      </w:r>
      <w:r w:rsidR="000D3EBE" w:rsidRPr="000D3EBE">
        <w:rPr>
          <w:lang w:val="fr-FR"/>
        </w:rPr>
        <w:t>……………….10</w:t>
      </w:r>
    </w:p>
    <w:p w14:paraId="2F0E7938" w14:textId="12C95D56" w:rsidR="006603E9" w:rsidRPr="000D3EBE" w:rsidRDefault="00DD16AF">
      <w:pPr>
        <w:pStyle w:val="TOC1"/>
        <w:tabs>
          <w:tab w:val="left" w:pos="440"/>
          <w:tab w:val="right" w:leader="dot" w:pos="9350"/>
        </w:tabs>
        <w:rPr>
          <w:rFonts w:asciiTheme="minorHAnsi" w:hAnsiTheme="minorHAnsi" w:cstheme="minorBidi"/>
          <w:noProof/>
        </w:rPr>
      </w:pPr>
      <w:hyperlink w:anchor="_Toc3810464" w:history="1">
        <w:r w:rsidR="006603E9" w:rsidRPr="000D3EBE">
          <w:rPr>
            <w:rStyle w:val="Hyperlink"/>
            <w:noProof/>
            <w:color w:val="auto"/>
            <w:u w:val="none"/>
            <w:lang w:val="fr-FR"/>
          </w:rPr>
          <w:t>2</w:t>
        </w:r>
        <w:r w:rsidR="006603E9" w:rsidRPr="000D3EBE">
          <w:rPr>
            <w:rFonts w:asciiTheme="minorHAnsi" w:hAnsiTheme="minorHAnsi" w:cstheme="minorBidi"/>
            <w:noProof/>
          </w:rPr>
          <w:tab/>
        </w:r>
        <w:r w:rsidR="006603E9" w:rsidRPr="000D3EBE">
          <w:rPr>
            <w:rStyle w:val="Hyperlink"/>
            <w:noProof/>
            <w:color w:val="auto"/>
            <w:u w:val="none"/>
            <w:lang w:val="fr-FR"/>
          </w:rPr>
          <w:t>COUT ET FINANCEMENT</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_Toc3810464 \h </w:instrText>
        </w:r>
        <w:r w:rsidR="006603E9" w:rsidRPr="000D3EBE">
          <w:rPr>
            <w:noProof/>
            <w:webHidden/>
          </w:rPr>
        </w:r>
        <w:r w:rsidR="006603E9" w:rsidRPr="000D3EBE">
          <w:rPr>
            <w:noProof/>
            <w:webHidden/>
          </w:rPr>
          <w:fldChar w:fldCharType="separate"/>
        </w:r>
        <w:r w:rsidR="006603E9" w:rsidRPr="000D3EBE">
          <w:rPr>
            <w:noProof/>
            <w:webHidden/>
          </w:rPr>
          <w:t>14</w:t>
        </w:r>
        <w:r w:rsidR="006603E9" w:rsidRPr="000D3EBE">
          <w:rPr>
            <w:noProof/>
            <w:webHidden/>
          </w:rPr>
          <w:fldChar w:fldCharType="end"/>
        </w:r>
      </w:hyperlink>
    </w:p>
    <w:p w14:paraId="594D3521" w14:textId="7A044751" w:rsidR="006603E9" w:rsidRPr="000D3EBE" w:rsidRDefault="00DD16AF">
      <w:pPr>
        <w:pStyle w:val="TOC1"/>
        <w:tabs>
          <w:tab w:val="left" w:pos="440"/>
          <w:tab w:val="right" w:leader="dot" w:pos="9350"/>
        </w:tabs>
        <w:rPr>
          <w:rFonts w:asciiTheme="minorHAnsi" w:hAnsiTheme="minorHAnsi" w:cstheme="minorBidi"/>
          <w:noProof/>
        </w:rPr>
      </w:pPr>
      <w:hyperlink w:anchor="_Toc3810465" w:history="1">
        <w:r w:rsidR="006603E9" w:rsidRPr="000D3EBE">
          <w:rPr>
            <w:rStyle w:val="Hyperlink"/>
            <w:noProof/>
            <w:color w:val="auto"/>
            <w:u w:val="none"/>
            <w:lang w:val="fr-FR"/>
          </w:rPr>
          <w:t>3</w:t>
        </w:r>
        <w:r w:rsidR="006603E9" w:rsidRPr="000D3EBE">
          <w:rPr>
            <w:rFonts w:asciiTheme="minorHAnsi" w:hAnsiTheme="minorHAnsi" w:cstheme="minorBidi"/>
            <w:noProof/>
          </w:rPr>
          <w:tab/>
        </w:r>
        <w:r w:rsidR="006603E9" w:rsidRPr="000D3EBE">
          <w:rPr>
            <w:rStyle w:val="Hyperlink"/>
            <w:noProof/>
            <w:color w:val="auto"/>
            <w:u w:val="none"/>
            <w:lang w:val="fr-FR"/>
          </w:rPr>
          <w:t>ORGANISATION DU PROJET ET PRINCIPALES RESPONSABILITÉS</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_Toc3810465 \h </w:instrText>
        </w:r>
        <w:r w:rsidR="006603E9" w:rsidRPr="000D3EBE">
          <w:rPr>
            <w:noProof/>
            <w:webHidden/>
          </w:rPr>
        </w:r>
        <w:r w:rsidR="006603E9" w:rsidRPr="000D3EBE">
          <w:rPr>
            <w:noProof/>
            <w:webHidden/>
          </w:rPr>
          <w:fldChar w:fldCharType="separate"/>
        </w:r>
        <w:r w:rsidR="006603E9" w:rsidRPr="000D3EBE">
          <w:rPr>
            <w:noProof/>
            <w:webHidden/>
          </w:rPr>
          <w:t>1</w:t>
        </w:r>
        <w:r w:rsidR="006603E9" w:rsidRPr="000D3EBE">
          <w:rPr>
            <w:noProof/>
            <w:webHidden/>
          </w:rPr>
          <w:t>4</w:t>
        </w:r>
        <w:r w:rsidR="006603E9" w:rsidRPr="000D3EBE">
          <w:rPr>
            <w:noProof/>
            <w:webHidden/>
          </w:rPr>
          <w:fldChar w:fldCharType="end"/>
        </w:r>
      </w:hyperlink>
    </w:p>
    <w:p w14:paraId="32AC9F83" w14:textId="7042CE16" w:rsidR="006603E9" w:rsidRPr="000D3EBE" w:rsidRDefault="00DD16AF">
      <w:pPr>
        <w:pStyle w:val="TOC1"/>
        <w:tabs>
          <w:tab w:val="left" w:pos="440"/>
          <w:tab w:val="right" w:leader="dot" w:pos="9350"/>
        </w:tabs>
        <w:rPr>
          <w:rFonts w:asciiTheme="minorHAnsi" w:hAnsiTheme="minorHAnsi" w:cstheme="minorBidi"/>
          <w:noProof/>
        </w:rPr>
      </w:pPr>
      <w:hyperlink w:anchor="_Toc3810472" w:history="1">
        <w:r w:rsidR="006603E9" w:rsidRPr="000D3EBE">
          <w:rPr>
            <w:rStyle w:val="Hyperlink"/>
            <w:noProof/>
            <w:color w:val="auto"/>
            <w:u w:val="none"/>
            <w:lang w:val="fr-FR"/>
          </w:rPr>
          <w:t>4</w:t>
        </w:r>
        <w:r w:rsidR="006603E9" w:rsidRPr="000D3EBE">
          <w:rPr>
            <w:rFonts w:asciiTheme="minorHAnsi" w:hAnsiTheme="minorHAnsi" w:cstheme="minorBidi"/>
            <w:noProof/>
          </w:rPr>
          <w:tab/>
        </w:r>
        <w:r w:rsidR="006603E9" w:rsidRPr="000D3EBE">
          <w:rPr>
            <w:rStyle w:val="Hyperlink"/>
            <w:noProof/>
            <w:color w:val="auto"/>
            <w:u w:val="none"/>
            <w:lang w:val="fr-FR"/>
          </w:rPr>
          <w:t>GESTION DES RESSOURCES HUMAINES</w:t>
        </w:r>
        <w:r w:rsidR="006603E9" w:rsidRPr="000D3EBE">
          <w:rPr>
            <w:noProof/>
            <w:webHidden/>
          </w:rPr>
          <w:tab/>
        </w:r>
        <w:r w:rsidR="000D3EBE" w:rsidRPr="000D3EBE">
          <w:rPr>
            <w:noProof/>
            <w:webHidden/>
          </w:rPr>
          <w:t>2</w:t>
        </w:r>
        <w:r w:rsidR="000D3EBE" w:rsidRPr="000D3EBE">
          <w:rPr>
            <w:noProof/>
            <w:webHidden/>
          </w:rPr>
          <w:t>0</w:t>
        </w:r>
      </w:hyperlink>
    </w:p>
    <w:p w14:paraId="56E45FB1" w14:textId="1B7DB82F" w:rsidR="006603E9" w:rsidRPr="000D3EBE" w:rsidRDefault="00DD16AF">
      <w:pPr>
        <w:pStyle w:val="TOC1"/>
        <w:tabs>
          <w:tab w:val="left" w:pos="440"/>
          <w:tab w:val="right" w:leader="dot" w:pos="9350"/>
        </w:tabs>
        <w:rPr>
          <w:rFonts w:asciiTheme="minorHAnsi" w:hAnsiTheme="minorHAnsi" w:cstheme="minorBidi"/>
          <w:noProof/>
        </w:rPr>
      </w:pPr>
      <w:hyperlink w:anchor="_Toc3810475" w:history="1">
        <w:r w:rsidR="006603E9" w:rsidRPr="000D3EBE">
          <w:rPr>
            <w:rStyle w:val="Hyperlink"/>
            <w:noProof/>
            <w:color w:val="auto"/>
            <w:u w:val="none"/>
            <w:lang w:val="fr-FR"/>
          </w:rPr>
          <w:t>5</w:t>
        </w:r>
        <w:r w:rsidR="006603E9" w:rsidRPr="000D3EBE">
          <w:rPr>
            <w:rFonts w:asciiTheme="minorHAnsi" w:hAnsiTheme="minorHAnsi" w:cstheme="minorBidi"/>
            <w:noProof/>
          </w:rPr>
          <w:tab/>
        </w:r>
        <w:r w:rsidR="006603E9" w:rsidRPr="000D3EBE">
          <w:rPr>
            <w:rStyle w:val="Hyperlink"/>
            <w:noProof/>
            <w:color w:val="auto"/>
            <w:u w:val="none"/>
            <w:lang w:val="fr-FR"/>
          </w:rPr>
          <w:t>PASSATION DE MARCHES DE BIENS, TRAVAUX ET SERVICES D</w:t>
        </w:r>
        <w:r w:rsidR="006603E9" w:rsidRPr="000D3EBE">
          <w:rPr>
            <w:rStyle w:val="Hyperlink"/>
            <w:noProof/>
            <w:color w:val="auto"/>
            <w:u w:val="none"/>
            <w:lang w:val="fr-FR"/>
          </w:rPr>
          <w:t>E</w:t>
        </w:r>
        <w:r w:rsidR="006603E9" w:rsidRPr="000D3EBE">
          <w:rPr>
            <w:rStyle w:val="Hyperlink"/>
            <w:noProof/>
            <w:color w:val="auto"/>
            <w:u w:val="none"/>
            <w:lang w:val="fr-FR"/>
          </w:rPr>
          <w:t xml:space="preserve"> CONSULTANTS</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_Toc3810475 \h </w:instrText>
        </w:r>
        <w:r w:rsidR="006603E9" w:rsidRPr="000D3EBE">
          <w:rPr>
            <w:noProof/>
            <w:webHidden/>
          </w:rPr>
        </w:r>
        <w:r w:rsidR="006603E9" w:rsidRPr="000D3EBE">
          <w:rPr>
            <w:noProof/>
            <w:webHidden/>
          </w:rPr>
          <w:fldChar w:fldCharType="separate"/>
        </w:r>
        <w:r w:rsidR="006603E9" w:rsidRPr="000D3EBE">
          <w:rPr>
            <w:noProof/>
            <w:webHidden/>
          </w:rPr>
          <w:t>2</w:t>
        </w:r>
        <w:r w:rsidR="006603E9" w:rsidRPr="000D3EBE">
          <w:rPr>
            <w:noProof/>
            <w:webHidden/>
          </w:rPr>
          <w:fldChar w:fldCharType="end"/>
        </w:r>
      </w:hyperlink>
      <w:r w:rsidR="000D3EBE" w:rsidRPr="000D3EBE">
        <w:rPr>
          <w:rStyle w:val="Hyperlink"/>
          <w:noProof/>
          <w:color w:val="auto"/>
          <w:u w:val="none"/>
        </w:rPr>
        <w:t>1</w:t>
      </w:r>
    </w:p>
    <w:p w14:paraId="05C3E5BC" w14:textId="5D413F61" w:rsidR="006603E9" w:rsidRPr="000D3EBE" w:rsidRDefault="00DD16AF">
      <w:pPr>
        <w:pStyle w:val="TOC1"/>
        <w:tabs>
          <w:tab w:val="left" w:pos="440"/>
          <w:tab w:val="right" w:leader="dot" w:pos="9350"/>
        </w:tabs>
        <w:rPr>
          <w:rFonts w:asciiTheme="minorHAnsi" w:hAnsiTheme="minorHAnsi" w:cstheme="minorBidi"/>
          <w:noProof/>
        </w:rPr>
      </w:pPr>
      <w:hyperlink w:anchor="_Toc3810477" w:history="1">
        <w:r w:rsidR="006603E9" w:rsidRPr="000D3EBE">
          <w:rPr>
            <w:rStyle w:val="Hyperlink"/>
            <w:rFonts w:eastAsia="MS Mincho"/>
            <w:noProof/>
            <w:color w:val="auto"/>
            <w:u w:val="none"/>
            <w:lang w:val="fr-FR" w:eastAsia="ja-JP"/>
          </w:rPr>
          <w:t>6</w:t>
        </w:r>
        <w:r w:rsidR="006603E9" w:rsidRPr="000D3EBE">
          <w:rPr>
            <w:rFonts w:asciiTheme="minorHAnsi" w:hAnsiTheme="minorHAnsi" w:cstheme="minorBidi"/>
            <w:noProof/>
          </w:rPr>
          <w:tab/>
        </w:r>
        <w:r w:rsidR="006603E9" w:rsidRPr="000D3EBE">
          <w:rPr>
            <w:rStyle w:val="Hyperlink"/>
            <w:rFonts w:eastAsia="MS Mincho"/>
            <w:noProof/>
            <w:color w:val="auto"/>
            <w:u w:val="none"/>
            <w:lang w:val="fr-FR" w:eastAsia="ja-JP"/>
          </w:rPr>
          <w:t>GESTION DES RESSOURCES FINANCIERES</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_Toc3810477 \h </w:instrText>
        </w:r>
        <w:r w:rsidR="006603E9" w:rsidRPr="000D3EBE">
          <w:rPr>
            <w:noProof/>
            <w:webHidden/>
          </w:rPr>
        </w:r>
        <w:r w:rsidR="006603E9" w:rsidRPr="000D3EBE">
          <w:rPr>
            <w:noProof/>
            <w:webHidden/>
          </w:rPr>
          <w:fldChar w:fldCharType="separate"/>
        </w:r>
        <w:r w:rsidR="006603E9" w:rsidRPr="000D3EBE">
          <w:rPr>
            <w:noProof/>
            <w:webHidden/>
          </w:rPr>
          <w:t>2</w:t>
        </w:r>
        <w:r w:rsidR="006603E9" w:rsidRPr="000D3EBE">
          <w:rPr>
            <w:noProof/>
            <w:webHidden/>
          </w:rPr>
          <w:fldChar w:fldCharType="end"/>
        </w:r>
      </w:hyperlink>
      <w:r w:rsidR="000D3EBE" w:rsidRPr="000D3EBE">
        <w:rPr>
          <w:rStyle w:val="Hyperlink"/>
          <w:noProof/>
          <w:color w:val="auto"/>
          <w:u w:val="none"/>
        </w:rPr>
        <w:t>8</w:t>
      </w:r>
    </w:p>
    <w:p w14:paraId="0DE037E1" w14:textId="37DDC6CA" w:rsidR="006603E9" w:rsidRPr="000D3EBE" w:rsidRDefault="00DD16AF">
      <w:pPr>
        <w:pStyle w:val="TOC1"/>
        <w:tabs>
          <w:tab w:val="left" w:pos="440"/>
          <w:tab w:val="right" w:leader="dot" w:pos="9350"/>
        </w:tabs>
        <w:rPr>
          <w:rFonts w:asciiTheme="minorHAnsi" w:hAnsiTheme="minorHAnsi" w:cstheme="minorBidi"/>
          <w:noProof/>
        </w:rPr>
      </w:pPr>
      <w:hyperlink w:anchor="_Toc3810479" w:history="1">
        <w:r w:rsidR="006603E9" w:rsidRPr="000D3EBE">
          <w:rPr>
            <w:rStyle w:val="Hyperlink"/>
            <w:rFonts w:eastAsia="MS Mincho"/>
            <w:noProof/>
            <w:color w:val="auto"/>
            <w:u w:val="none"/>
            <w:lang w:val="fr-FR" w:eastAsia="ja-JP"/>
          </w:rPr>
          <w:t>7</w:t>
        </w:r>
        <w:r w:rsidR="006603E9" w:rsidRPr="000D3EBE">
          <w:rPr>
            <w:rFonts w:asciiTheme="minorHAnsi" w:hAnsiTheme="minorHAnsi" w:cstheme="minorBidi"/>
            <w:noProof/>
          </w:rPr>
          <w:tab/>
        </w:r>
        <w:r w:rsidR="006603E9" w:rsidRPr="000D3EBE">
          <w:rPr>
            <w:rStyle w:val="Hyperlink"/>
            <w:rFonts w:eastAsia="MS Mincho"/>
            <w:noProof/>
            <w:color w:val="auto"/>
            <w:u w:val="none"/>
            <w:lang w:val="fr-FR" w:eastAsia="ja-JP"/>
          </w:rPr>
          <w:t>SUPERVISION, SUIVI, ET EVALUATION DU PROGRAMME ET SOUMISSION DE RAPPORTS</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_Toc3810479 \h </w:instrText>
        </w:r>
        <w:r w:rsidR="006603E9" w:rsidRPr="000D3EBE">
          <w:rPr>
            <w:noProof/>
            <w:webHidden/>
          </w:rPr>
        </w:r>
        <w:r w:rsidR="006603E9" w:rsidRPr="000D3EBE">
          <w:rPr>
            <w:noProof/>
            <w:webHidden/>
          </w:rPr>
          <w:fldChar w:fldCharType="separate"/>
        </w:r>
        <w:r w:rsidR="006603E9" w:rsidRPr="000D3EBE">
          <w:rPr>
            <w:noProof/>
            <w:webHidden/>
          </w:rPr>
          <w:t>3</w:t>
        </w:r>
        <w:r w:rsidR="006603E9" w:rsidRPr="000D3EBE">
          <w:rPr>
            <w:noProof/>
            <w:webHidden/>
          </w:rPr>
          <w:fldChar w:fldCharType="end"/>
        </w:r>
      </w:hyperlink>
      <w:r w:rsidR="000D3EBE" w:rsidRPr="000D3EBE">
        <w:rPr>
          <w:rStyle w:val="Hyperlink"/>
          <w:noProof/>
          <w:color w:val="auto"/>
          <w:u w:val="none"/>
        </w:rPr>
        <w:t>2</w:t>
      </w:r>
    </w:p>
    <w:p w14:paraId="6DCC63F7" w14:textId="7E3032F0" w:rsidR="006603E9" w:rsidRPr="000D3EBE" w:rsidRDefault="00DD16AF" w:rsidP="008909D4">
      <w:pPr>
        <w:pStyle w:val="TOC2"/>
        <w:rPr>
          <w:rFonts w:asciiTheme="minorHAnsi" w:hAnsiTheme="minorHAnsi" w:cstheme="minorBidi"/>
          <w:noProof/>
        </w:rPr>
      </w:pPr>
      <w:hyperlink w:anchor="_Toc3810480" w:history="1">
        <w:r w:rsidR="006603E9" w:rsidRPr="000D3EBE">
          <w:rPr>
            <w:rStyle w:val="Hyperlink"/>
            <w:rFonts w:eastAsia="MS Mincho"/>
            <w:noProof/>
            <w:color w:val="auto"/>
            <w:u w:val="none"/>
            <w:lang w:val="fr-FR"/>
          </w:rPr>
          <w:t>A.</w:t>
        </w:r>
        <w:r w:rsidR="00FC2094">
          <w:rPr>
            <w:rFonts w:asciiTheme="minorHAnsi" w:hAnsiTheme="minorHAnsi" w:cstheme="minorBidi"/>
            <w:noProof/>
          </w:rPr>
          <w:t xml:space="preserve"> </w:t>
        </w:r>
        <w:r w:rsidR="006603E9" w:rsidRPr="000D3EBE">
          <w:rPr>
            <w:rStyle w:val="Hyperlink"/>
            <w:rFonts w:eastAsia="MS Mincho"/>
            <w:noProof/>
            <w:color w:val="auto"/>
            <w:u w:val="none"/>
            <w:lang w:val="fr-FR"/>
          </w:rPr>
          <w:t>SUPERVISION</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_Toc3810480 \h </w:instrText>
        </w:r>
        <w:r w:rsidR="006603E9" w:rsidRPr="000D3EBE">
          <w:rPr>
            <w:noProof/>
            <w:webHidden/>
          </w:rPr>
        </w:r>
        <w:r w:rsidR="006603E9" w:rsidRPr="000D3EBE">
          <w:rPr>
            <w:noProof/>
            <w:webHidden/>
          </w:rPr>
          <w:fldChar w:fldCharType="separate"/>
        </w:r>
        <w:r w:rsidR="006603E9" w:rsidRPr="000D3EBE">
          <w:rPr>
            <w:noProof/>
            <w:webHidden/>
          </w:rPr>
          <w:t>3</w:t>
        </w:r>
        <w:r w:rsidR="006603E9" w:rsidRPr="000D3EBE">
          <w:rPr>
            <w:noProof/>
            <w:webHidden/>
          </w:rPr>
          <w:fldChar w:fldCharType="end"/>
        </w:r>
      </w:hyperlink>
      <w:r w:rsidR="000D3EBE" w:rsidRPr="000D3EBE">
        <w:rPr>
          <w:rStyle w:val="Hyperlink"/>
          <w:noProof/>
          <w:color w:val="auto"/>
          <w:u w:val="none"/>
        </w:rPr>
        <w:t>2</w:t>
      </w:r>
    </w:p>
    <w:p w14:paraId="5523E188" w14:textId="2D791067" w:rsidR="006603E9" w:rsidRPr="000D3EBE" w:rsidRDefault="00DD16AF" w:rsidP="008909D4">
      <w:pPr>
        <w:pStyle w:val="TOC2"/>
        <w:rPr>
          <w:rFonts w:asciiTheme="minorHAnsi" w:hAnsiTheme="minorHAnsi" w:cstheme="minorBidi"/>
          <w:noProof/>
        </w:rPr>
      </w:pPr>
      <w:hyperlink w:anchor="_Toc3810481" w:history="1">
        <w:r w:rsidR="006603E9" w:rsidRPr="000D3EBE">
          <w:rPr>
            <w:rStyle w:val="Hyperlink"/>
            <w:rFonts w:eastAsia="MS Mincho"/>
            <w:noProof/>
            <w:color w:val="auto"/>
            <w:u w:val="none"/>
            <w:lang w:val="fr-FR"/>
          </w:rPr>
          <w:t>B.</w:t>
        </w:r>
        <w:r w:rsidR="00FC2094">
          <w:rPr>
            <w:rStyle w:val="Hyperlink"/>
            <w:rFonts w:eastAsia="MS Mincho"/>
            <w:noProof/>
            <w:color w:val="auto"/>
            <w:u w:val="none"/>
            <w:lang w:val="fr-FR"/>
          </w:rPr>
          <w:t xml:space="preserve"> </w:t>
        </w:r>
        <w:r w:rsidR="006603E9" w:rsidRPr="000D3EBE">
          <w:rPr>
            <w:rStyle w:val="Hyperlink"/>
            <w:rFonts w:eastAsia="MS Mincho"/>
            <w:noProof/>
            <w:color w:val="auto"/>
            <w:u w:val="none"/>
            <w:lang w:val="fr-FR"/>
          </w:rPr>
          <w:t>SUIVI</w:t>
        </w:r>
        <w:r w:rsidR="006603E9" w:rsidRPr="000D3EBE">
          <w:rPr>
            <w:noProof/>
            <w:webHidden/>
          </w:rPr>
          <w:tab/>
        </w:r>
        <w:r w:rsidR="006603E9" w:rsidRPr="000D3EBE">
          <w:rPr>
            <w:noProof/>
            <w:webHidden/>
          </w:rPr>
          <w:fldChar w:fldCharType="begin"/>
        </w:r>
        <w:r w:rsidR="006603E9" w:rsidRPr="000D3EBE">
          <w:rPr>
            <w:noProof/>
            <w:webHidden/>
          </w:rPr>
          <w:instrText xml:space="preserve"> PAGEREF _Toc3810481 \h </w:instrText>
        </w:r>
        <w:r w:rsidR="006603E9" w:rsidRPr="000D3EBE">
          <w:rPr>
            <w:noProof/>
            <w:webHidden/>
          </w:rPr>
        </w:r>
        <w:r w:rsidR="006603E9" w:rsidRPr="000D3EBE">
          <w:rPr>
            <w:noProof/>
            <w:webHidden/>
          </w:rPr>
          <w:fldChar w:fldCharType="separate"/>
        </w:r>
        <w:r w:rsidR="006603E9" w:rsidRPr="000D3EBE">
          <w:rPr>
            <w:noProof/>
            <w:webHidden/>
          </w:rPr>
          <w:t>3</w:t>
        </w:r>
        <w:r w:rsidR="006603E9" w:rsidRPr="000D3EBE">
          <w:rPr>
            <w:noProof/>
            <w:webHidden/>
          </w:rPr>
          <w:fldChar w:fldCharType="end"/>
        </w:r>
      </w:hyperlink>
      <w:r w:rsidR="000D3EBE" w:rsidRPr="000D3EBE">
        <w:rPr>
          <w:rStyle w:val="Hyperlink"/>
          <w:noProof/>
          <w:color w:val="auto"/>
          <w:u w:val="none"/>
        </w:rPr>
        <w:t>3</w:t>
      </w:r>
    </w:p>
    <w:p w14:paraId="5C900056" w14:textId="10CA48F2" w:rsidR="006603E9" w:rsidRPr="000D3EBE" w:rsidRDefault="006603E9" w:rsidP="008909D4">
      <w:pPr>
        <w:pStyle w:val="TOC2"/>
        <w:rPr>
          <w:noProof/>
        </w:rPr>
      </w:pPr>
    </w:p>
    <w:p w14:paraId="6952C07F" w14:textId="26AFAEB7" w:rsidR="006603E9" w:rsidRPr="000D3EBE" w:rsidRDefault="006603E9">
      <w:pPr>
        <w:rPr>
          <w:lang w:val="fr-FR"/>
        </w:rPr>
      </w:pPr>
      <w:r w:rsidRPr="000D3EBE">
        <w:rPr>
          <w:lang w:val="fr-FR"/>
        </w:rPr>
        <w:br w:type="page"/>
      </w:r>
    </w:p>
    <w:p w14:paraId="3CCE6F82" w14:textId="77777777" w:rsidR="006603E9" w:rsidRPr="000D3EBE" w:rsidRDefault="006603E9" w:rsidP="006603E9">
      <w:pPr>
        <w:rPr>
          <w:lang w:val="fr-FR"/>
        </w:rPr>
      </w:pPr>
    </w:p>
    <w:p w14:paraId="68E9B88C" w14:textId="50856CA9" w:rsidR="00AE2CC7" w:rsidRPr="00AE2CC7" w:rsidRDefault="006B7BF5" w:rsidP="00AE2CC7">
      <w:pPr>
        <w:pStyle w:val="Heading1"/>
        <w:numPr>
          <w:ilvl w:val="0"/>
          <w:numId w:val="3"/>
        </w:numPr>
        <w:jc w:val="center"/>
        <w:rPr>
          <w:rFonts w:ascii="Calibri" w:hAnsi="Calibri"/>
          <w:color w:val="1F497D"/>
          <w:lang w:val="fr-FR"/>
        </w:rPr>
      </w:pPr>
      <w:r w:rsidRPr="00C9307C">
        <w:rPr>
          <w:bCs/>
          <w:noProof/>
          <w:lang w:val="fr-FR"/>
        </w:rPr>
        <w:fldChar w:fldCharType="end"/>
      </w:r>
      <w:bookmarkStart w:id="0" w:name="_Toc3810457"/>
      <w:r w:rsidR="00F858E9">
        <w:rPr>
          <w:bCs/>
          <w:noProof/>
          <w:lang w:val="fr-FR"/>
        </w:rPr>
        <w:t>I</w:t>
      </w:r>
      <w:r w:rsidR="00C452F1" w:rsidRPr="007278E9">
        <w:rPr>
          <w:rFonts w:ascii="Calibri" w:hAnsi="Calibri"/>
          <w:color w:val="1F497D"/>
          <w:lang w:val="fr-FR"/>
        </w:rPr>
        <w:t xml:space="preserve">NTRODUCTION </w:t>
      </w:r>
      <w:r w:rsidR="00265BD3" w:rsidRPr="007278E9">
        <w:rPr>
          <w:rFonts w:ascii="Calibri" w:hAnsi="Calibri"/>
          <w:color w:val="1F497D"/>
          <w:lang w:val="fr-FR"/>
        </w:rPr>
        <w:t>ET CONTEXTE DU PROGRAMME</w:t>
      </w:r>
      <w:bookmarkEnd w:id="0"/>
    </w:p>
    <w:p w14:paraId="6959B995" w14:textId="77777777" w:rsidR="00BF7E5A" w:rsidRPr="007278E9" w:rsidRDefault="00BF7E5A" w:rsidP="00BF7E5A">
      <w:pPr>
        <w:pStyle w:val="ColorfulList-Accent11"/>
        <w:ind w:left="270"/>
        <w:rPr>
          <w:b/>
          <w:lang w:val="fr-FR"/>
        </w:rPr>
      </w:pPr>
    </w:p>
    <w:p w14:paraId="32318A75" w14:textId="50F9BF12" w:rsidR="00B74436" w:rsidRPr="006B5E72" w:rsidRDefault="00265BD3" w:rsidP="00074D3F">
      <w:pPr>
        <w:pStyle w:val="ColorfulList-Accent111"/>
        <w:numPr>
          <w:ilvl w:val="1"/>
          <w:numId w:val="1"/>
        </w:numPr>
        <w:ind w:hanging="540"/>
        <w:jc w:val="both"/>
        <w:rPr>
          <w:sz w:val="24"/>
          <w:szCs w:val="24"/>
          <w:lang w:val="fr-FR"/>
        </w:rPr>
      </w:pPr>
      <w:r w:rsidRPr="007278E9">
        <w:rPr>
          <w:sz w:val="24"/>
          <w:szCs w:val="24"/>
          <w:lang w:val="fr-FR"/>
        </w:rPr>
        <w:t>Ce</w:t>
      </w:r>
      <w:r w:rsidR="00432D0F">
        <w:rPr>
          <w:sz w:val="24"/>
          <w:szCs w:val="24"/>
          <w:lang w:val="fr-FR"/>
        </w:rPr>
        <w:t xml:space="preserve"> </w:t>
      </w:r>
      <w:r w:rsidR="00C037A1" w:rsidRPr="007278E9">
        <w:rPr>
          <w:sz w:val="24"/>
          <w:szCs w:val="24"/>
          <w:lang w:val="fr-FR"/>
        </w:rPr>
        <w:t>P</w:t>
      </w:r>
      <w:r w:rsidR="003852ED" w:rsidRPr="007278E9">
        <w:rPr>
          <w:sz w:val="24"/>
          <w:szCs w:val="24"/>
          <w:lang w:val="fr-FR"/>
        </w:rPr>
        <w:t>rogram</w:t>
      </w:r>
      <w:r w:rsidRPr="007278E9">
        <w:rPr>
          <w:sz w:val="24"/>
          <w:szCs w:val="24"/>
          <w:lang w:val="fr-FR"/>
        </w:rPr>
        <w:t>me</w:t>
      </w:r>
      <w:r w:rsidR="00432D0F">
        <w:rPr>
          <w:sz w:val="24"/>
          <w:szCs w:val="24"/>
          <w:lang w:val="fr-FR"/>
        </w:rPr>
        <w:t xml:space="preserve">, </w:t>
      </w:r>
      <w:r w:rsidR="008F091D">
        <w:rPr>
          <w:sz w:val="24"/>
          <w:szCs w:val="24"/>
          <w:lang w:val="fr-FR"/>
        </w:rPr>
        <w:t>intitulé</w:t>
      </w:r>
      <w:r w:rsidR="008F0A6A">
        <w:rPr>
          <w:sz w:val="24"/>
          <w:szCs w:val="24"/>
          <w:lang w:val="fr-FR"/>
        </w:rPr>
        <w:t>« </w:t>
      </w:r>
      <w:r w:rsidR="008F0A6A" w:rsidRPr="008F0A6A">
        <w:rPr>
          <w:sz w:val="24"/>
          <w:szCs w:val="24"/>
          <w:lang w:val="fr-FR"/>
        </w:rPr>
        <w:t>Projet de Renforcement de la Gestion Publique pour l’Amélioration de la Prestation de Services</w:t>
      </w:r>
      <w:r w:rsidR="008F0A6A">
        <w:rPr>
          <w:sz w:val="24"/>
          <w:szCs w:val="24"/>
          <w:lang w:val="fr-FR"/>
        </w:rPr>
        <w:t> »</w:t>
      </w:r>
      <w:r w:rsidRPr="007278E9">
        <w:rPr>
          <w:sz w:val="24"/>
          <w:szCs w:val="24"/>
          <w:lang w:val="fr-FR"/>
        </w:rPr>
        <w:t xml:space="preserve">, constitue </w:t>
      </w:r>
      <w:r w:rsidR="00F16662" w:rsidRPr="007278E9">
        <w:rPr>
          <w:sz w:val="24"/>
          <w:szCs w:val="24"/>
          <w:lang w:val="fr-FR"/>
        </w:rPr>
        <w:t>un engagement</w:t>
      </w:r>
      <w:r w:rsidRPr="007278E9">
        <w:rPr>
          <w:sz w:val="24"/>
          <w:szCs w:val="24"/>
          <w:lang w:val="fr-FR"/>
        </w:rPr>
        <w:t xml:space="preserve"> pris </w:t>
      </w:r>
      <w:r w:rsidR="00F16662">
        <w:rPr>
          <w:sz w:val="24"/>
          <w:szCs w:val="24"/>
          <w:lang w:val="fr-FR"/>
        </w:rPr>
        <w:t>entre</w:t>
      </w:r>
      <w:r w:rsidRPr="007278E9">
        <w:rPr>
          <w:sz w:val="24"/>
          <w:szCs w:val="24"/>
          <w:lang w:val="fr-FR"/>
        </w:rPr>
        <w:t xml:space="preserve"> le Gouvernement haïtien (GH) et la Banque Interaméricaine de Développement (BID) </w:t>
      </w:r>
      <w:r w:rsidR="008F091D">
        <w:rPr>
          <w:sz w:val="24"/>
          <w:szCs w:val="24"/>
          <w:lang w:val="fr-FR"/>
        </w:rPr>
        <w:t xml:space="preserve">en vue </w:t>
      </w:r>
      <w:r w:rsidR="005550BD">
        <w:rPr>
          <w:sz w:val="24"/>
          <w:szCs w:val="24"/>
          <w:lang w:val="fr-FR"/>
        </w:rPr>
        <w:t xml:space="preserve">de </w:t>
      </w:r>
      <w:r w:rsidR="00C3504E" w:rsidRPr="00C3504E">
        <w:rPr>
          <w:sz w:val="24"/>
          <w:szCs w:val="24"/>
          <w:lang w:val="fr-FR"/>
        </w:rPr>
        <w:t>contribuer à l’amélioration d’un ensemble de services</w:t>
      </w:r>
      <w:r w:rsidR="00694F6E">
        <w:rPr>
          <w:sz w:val="24"/>
          <w:szCs w:val="24"/>
          <w:lang w:val="fr-FR"/>
        </w:rPr>
        <w:t xml:space="preserve"> au sein d’entités</w:t>
      </w:r>
      <w:r w:rsidR="00C3504E" w:rsidRPr="00C3504E">
        <w:rPr>
          <w:sz w:val="24"/>
          <w:szCs w:val="24"/>
          <w:lang w:val="fr-FR"/>
        </w:rPr>
        <w:t xml:space="preserve"> sélectionné</w:t>
      </w:r>
      <w:r w:rsidR="00694F6E">
        <w:rPr>
          <w:sz w:val="24"/>
          <w:szCs w:val="24"/>
          <w:lang w:val="fr-FR"/>
        </w:rPr>
        <w:t>e</w:t>
      </w:r>
      <w:r w:rsidR="00C3504E" w:rsidRPr="00C3504E">
        <w:rPr>
          <w:sz w:val="24"/>
          <w:szCs w:val="24"/>
          <w:lang w:val="fr-FR"/>
        </w:rPr>
        <w:t xml:space="preserve">s, pour </w:t>
      </w:r>
      <w:r w:rsidR="00330ED7" w:rsidRPr="00C3504E">
        <w:rPr>
          <w:sz w:val="24"/>
          <w:szCs w:val="24"/>
          <w:lang w:val="fr-FR"/>
        </w:rPr>
        <w:t>lesque</w:t>
      </w:r>
      <w:r w:rsidR="00330ED7">
        <w:rPr>
          <w:sz w:val="24"/>
          <w:szCs w:val="24"/>
          <w:lang w:val="fr-FR"/>
        </w:rPr>
        <w:t>lles</w:t>
      </w:r>
      <w:r w:rsidR="00C3504E" w:rsidRPr="00C3504E">
        <w:rPr>
          <w:sz w:val="24"/>
          <w:szCs w:val="24"/>
          <w:lang w:val="fr-FR"/>
        </w:rPr>
        <w:t xml:space="preserve"> un appui sera fourni </w:t>
      </w:r>
      <w:r w:rsidR="005550BD">
        <w:rPr>
          <w:sz w:val="24"/>
          <w:szCs w:val="24"/>
          <w:lang w:val="fr-FR"/>
        </w:rPr>
        <w:t>pour</w:t>
      </w:r>
      <w:r w:rsidR="00A744E3">
        <w:rPr>
          <w:sz w:val="24"/>
          <w:szCs w:val="24"/>
          <w:lang w:val="fr-FR"/>
        </w:rPr>
        <w:t xml:space="preserve"> </w:t>
      </w:r>
      <w:r w:rsidR="00C3504E" w:rsidRPr="00C3504E">
        <w:rPr>
          <w:sz w:val="24"/>
          <w:szCs w:val="24"/>
          <w:lang w:val="fr-FR"/>
        </w:rPr>
        <w:t>l</w:t>
      </w:r>
      <w:r w:rsidR="006A2F7E">
        <w:rPr>
          <w:sz w:val="24"/>
          <w:szCs w:val="24"/>
          <w:lang w:val="fr-FR"/>
        </w:rPr>
        <w:t xml:space="preserve">’amélioration de la gestion des ressources humaines, la </w:t>
      </w:r>
      <w:r w:rsidR="00C3504E" w:rsidRPr="00C3504E">
        <w:rPr>
          <w:sz w:val="24"/>
          <w:szCs w:val="24"/>
          <w:lang w:val="fr-FR"/>
        </w:rPr>
        <w:t xml:space="preserve">modernisation de la fonction publique </w:t>
      </w:r>
      <w:r w:rsidR="00EF0BA1">
        <w:rPr>
          <w:sz w:val="24"/>
          <w:szCs w:val="24"/>
          <w:lang w:val="fr-FR"/>
        </w:rPr>
        <w:t>et</w:t>
      </w:r>
      <w:r w:rsidR="002631DC">
        <w:rPr>
          <w:sz w:val="24"/>
          <w:szCs w:val="24"/>
          <w:lang w:val="fr-FR"/>
        </w:rPr>
        <w:t xml:space="preserve"> </w:t>
      </w:r>
      <w:r w:rsidR="00330ED7">
        <w:rPr>
          <w:sz w:val="24"/>
          <w:szCs w:val="24"/>
          <w:lang w:val="fr-FR"/>
        </w:rPr>
        <w:t>le</w:t>
      </w:r>
      <w:r w:rsidR="00116D6F">
        <w:rPr>
          <w:sz w:val="24"/>
          <w:szCs w:val="24"/>
          <w:lang w:val="fr-FR"/>
        </w:rPr>
        <w:t xml:space="preserve"> r</w:t>
      </w:r>
      <w:r w:rsidR="00B67016" w:rsidRPr="00B67016">
        <w:rPr>
          <w:sz w:val="24"/>
          <w:szCs w:val="24"/>
          <w:lang w:val="fr-FR"/>
        </w:rPr>
        <w:t xml:space="preserve">enforcement de la capacité institutionnelle des entités sélectionnées </w:t>
      </w:r>
      <w:r w:rsidR="005550BD">
        <w:rPr>
          <w:sz w:val="24"/>
          <w:szCs w:val="24"/>
          <w:lang w:val="fr-FR"/>
        </w:rPr>
        <w:t xml:space="preserve">en vue de </w:t>
      </w:r>
      <w:r w:rsidR="00B67016" w:rsidRPr="00B67016">
        <w:rPr>
          <w:sz w:val="24"/>
          <w:szCs w:val="24"/>
          <w:lang w:val="fr-FR"/>
        </w:rPr>
        <w:t xml:space="preserve">l'amélioration </w:t>
      </w:r>
      <w:r w:rsidR="005550BD">
        <w:rPr>
          <w:sz w:val="24"/>
          <w:szCs w:val="24"/>
          <w:lang w:val="fr-FR"/>
        </w:rPr>
        <w:t xml:space="preserve">de la fourniture </w:t>
      </w:r>
      <w:r w:rsidR="00B67016" w:rsidRPr="00B67016">
        <w:rPr>
          <w:sz w:val="24"/>
          <w:szCs w:val="24"/>
          <w:lang w:val="fr-FR"/>
        </w:rPr>
        <w:t>des services</w:t>
      </w:r>
      <w:r w:rsidR="00116D6F">
        <w:rPr>
          <w:sz w:val="24"/>
          <w:szCs w:val="24"/>
          <w:lang w:val="fr-FR"/>
        </w:rPr>
        <w:t>.</w:t>
      </w:r>
    </w:p>
    <w:p w14:paraId="3199719D" w14:textId="445B3CD3" w:rsidR="00A06E1B" w:rsidRDefault="00111F8F" w:rsidP="00720B8F">
      <w:pPr>
        <w:pStyle w:val="ColorfulList-Accent11"/>
        <w:numPr>
          <w:ilvl w:val="1"/>
          <w:numId w:val="1"/>
        </w:numPr>
        <w:ind w:hanging="540"/>
        <w:jc w:val="both"/>
        <w:rPr>
          <w:sz w:val="24"/>
          <w:szCs w:val="24"/>
          <w:lang w:val="fr-FR"/>
        </w:rPr>
      </w:pPr>
      <w:r>
        <w:rPr>
          <w:sz w:val="24"/>
          <w:szCs w:val="24"/>
          <w:lang w:val="fr-FR"/>
        </w:rPr>
        <w:t>La méthodologie de travail est importante. En ce sens, il faudra</w:t>
      </w:r>
      <w:r w:rsidR="00A744E3">
        <w:rPr>
          <w:sz w:val="24"/>
          <w:szCs w:val="24"/>
          <w:lang w:val="fr-FR"/>
        </w:rPr>
        <w:t xml:space="preserve"> </w:t>
      </w:r>
      <w:r>
        <w:rPr>
          <w:sz w:val="24"/>
          <w:szCs w:val="24"/>
          <w:lang w:val="fr-FR"/>
        </w:rPr>
        <w:t xml:space="preserve">une </w:t>
      </w:r>
      <w:r w:rsidR="00151AC3" w:rsidRPr="007278E9">
        <w:rPr>
          <w:sz w:val="24"/>
          <w:szCs w:val="24"/>
          <w:lang w:val="fr-FR"/>
        </w:rPr>
        <w:t>administration transparente</w:t>
      </w:r>
      <w:r w:rsidR="00C037A1" w:rsidRPr="007278E9">
        <w:rPr>
          <w:sz w:val="24"/>
          <w:szCs w:val="24"/>
          <w:lang w:val="fr-FR"/>
        </w:rPr>
        <w:t xml:space="preserve"> des ressources du P</w:t>
      </w:r>
      <w:r w:rsidR="00151AC3" w:rsidRPr="007278E9">
        <w:rPr>
          <w:sz w:val="24"/>
          <w:szCs w:val="24"/>
          <w:lang w:val="fr-FR"/>
        </w:rPr>
        <w:t>rogramme ; la libre circulation des informations pour faciliter la coordination et l’action conjointe entre les différentes agences relevant d</w:t>
      </w:r>
      <w:r w:rsidR="00C037A1" w:rsidRPr="007278E9">
        <w:rPr>
          <w:sz w:val="24"/>
          <w:szCs w:val="24"/>
          <w:lang w:val="fr-FR"/>
        </w:rPr>
        <w:t>’</w:t>
      </w:r>
      <w:r w:rsidR="00151AC3" w:rsidRPr="007278E9">
        <w:rPr>
          <w:sz w:val="24"/>
          <w:szCs w:val="24"/>
          <w:lang w:val="fr-FR"/>
        </w:rPr>
        <w:t>u</w:t>
      </w:r>
      <w:r w:rsidR="00C037A1" w:rsidRPr="007278E9">
        <w:rPr>
          <w:sz w:val="24"/>
          <w:szCs w:val="24"/>
          <w:lang w:val="fr-FR"/>
        </w:rPr>
        <w:t>n</w:t>
      </w:r>
      <w:r w:rsidR="00151AC3" w:rsidRPr="007278E9">
        <w:rPr>
          <w:sz w:val="24"/>
          <w:szCs w:val="24"/>
          <w:lang w:val="fr-FR"/>
        </w:rPr>
        <w:t xml:space="preserve"> même ministère et entre </w:t>
      </w:r>
      <w:r w:rsidR="00673C85" w:rsidRPr="007278E9">
        <w:rPr>
          <w:sz w:val="24"/>
          <w:szCs w:val="24"/>
          <w:lang w:val="fr-FR"/>
        </w:rPr>
        <w:t>les différentes entités étatiques</w:t>
      </w:r>
      <w:r w:rsidR="00151AC3" w:rsidRPr="007278E9">
        <w:rPr>
          <w:sz w:val="24"/>
          <w:szCs w:val="24"/>
          <w:lang w:val="fr-FR"/>
        </w:rPr>
        <w:t> ; et la systématisation de protocoles, guides et procédures q</w:t>
      </w:r>
      <w:r w:rsidR="00C037A1" w:rsidRPr="007278E9">
        <w:rPr>
          <w:sz w:val="24"/>
          <w:szCs w:val="24"/>
          <w:lang w:val="fr-FR"/>
        </w:rPr>
        <w:t>ui éliminent plutôt qu’ils ne créent</w:t>
      </w:r>
      <w:r w:rsidR="00151AC3" w:rsidRPr="007278E9">
        <w:rPr>
          <w:sz w:val="24"/>
          <w:szCs w:val="24"/>
          <w:lang w:val="fr-FR"/>
        </w:rPr>
        <w:t xml:space="preserve"> des obstacles à la prise desdites décisions d’investissement porteurs d’emplois et de richesse pour Haïti.</w:t>
      </w:r>
    </w:p>
    <w:p w14:paraId="66A855F8" w14:textId="77777777" w:rsidR="000820C6" w:rsidRPr="007278E9" w:rsidRDefault="00DA29D9" w:rsidP="009A6238">
      <w:pPr>
        <w:pStyle w:val="Heading2"/>
        <w:rPr>
          <w:lang w:val="fr-FR"/>
        </w:rPr>
      </w:pPr>
      <w:bookmarkStart w:id="1" w:name="_Toc3810458"/>
      <w:r w:rsidRPr="007278E9">
        <w:rPr>
          <w:lang w:val="fr-FR"/>
        </w:rPr>
        <w:t>FINALITE DU MANUEL D’OPERATION</w:t>
      </w:r>
      <w:bookmarkEnd w:id="1"/>
    </w:p>
    <w:p w14:paraId="62F7054D" w14:textId="77777777" w:rsidR="000820C6" w:rsidRPr="007278E9" w:rsidRDefault="000820C6" w:rsidP="000820C6">
      <w:pPr>
        <w:rPr>
          <w:rFonts w:cs="Calibri"/>
          <w:lang w:val="fr-FR"/>
        </w:rPr>
      </w:pPr>
    </w:p>
    <w:p w14:paraId="39933EA1" w14:textId="77777777" w:rsidR="00A06E1B" w:rsidRDefault="003E0C50" w:rsidP="00720B8F">
      <w:pPr>
        <w:pStyle w:val="ColorfulList-Accent11"/>
        <w:numPr>
          <w:ilvl w:val="1"/>
          <w:numId w:val="1"/>
        </w:numPr>
        <w:ind w:hanging="540"/>
        <w:jc w:val="both"/>
        <w:rPr>
          <w:sz w:val="24"/>
          <w:szCs w:val="24"/>
          <w:lang w:val="fr-FR"/>
        </w:rPr>
      </w:pPr>
      <w:r w:rsidRPr="007278E9">
        <w:rPr>
          <w:sz w:val="24"/>
          <w:szCs w:val="24"/>
          <w:lang w:val="fr-FR"/>
        </w:rPr>
        <w:t>Le Manuel</w:t>
      </w:r>
      <w:r w:rsidR="00432D0F">
        <w:rPr>
          <w:sz w:val="24"/>
          <w:szCs w:val="24"/>
          <w:lang w:val="fr-FR"/>
        </w:rPr>
        <w:t xml:space="preserve"> </w:t>
      </w:r>
      <w:r w:rsidRPr="007278E9">
        <w:rPr>
          <w:sz w:val="24"/>
          <w:szCs w:val="24"/>
          <w:lang w:val="fr-FR"/>
        </w:rPr>
        <w:t>d’</w:t>
      </w:r>
      <w:r w:rsidR="00DA29D9" w:rsidRPr="007278E9">
        <w:rPr>
          <w:sz w:val="24"/>
          <w:szCs w:val="24"/>
          <w:lang w:val="fr-FR"/>
        </w:rPr>
        <w:t>Opération</w:t>
      </w:r>
      <w:r w:rsidR="00432D0F">
        <w:rPr>
          <w:sz w:val="24"/>
          <w:szCs w:val="24"/>
          <w:lang w:val="fr-FR"/>
        </w:rPr>
        <w:t xml:space="preserve"> </w:t>
      </w:r>
      <w:r w:rsidR="00CA1A1A" w:rsidRPr="007278E9">
        <w:rPr>
          <w:sz w:val="24"/>
          <w:szCs w:val="24"/>
          <w:lang w:val="fr-FR"/>
        </w:rPr>
        <w:t>établit un cadre pour l’exécution transparente, efficace et effective</w:t>
      </w:r>
      <w:r w:rsidR="00DA29D9" w:rsidRPr="007278E9">
        <w:rPr>
          <w:sz w:val="24"/>
          <w:szCs w:val="24"/>
          <w:lang w:val="fr-FR"/>
        </w:rPr>
        <w:t xml:space="preserve"> d</w:t>
      </w:r>
      <w:r w:rsidR="00231A8D">
        <w:rPr>
          <w:sz w:val="24"/>
          <w:szCs w:val="24"/>
          <w:lang w:val="fr-FR"/>
        </w:rPr>
        <w:t xml:space="preserve">u programme </w:t>
      </w:r>
      <w:r w:rsidR="00885EA0">
        <w:rPr>
          <w:sz w:val="24"/>
          <w:szCs w:val="24"/>
          <w:lang w:val="fr-FR"/>
        </w:rPr>
        <w:t>HA-L1131</w:t>
      </w:r>
      <w:r w:rsidR="00DA29D9" w:rsidRPr="007278E9">
        <w:rPr>
          <w:sz w:val="24"/>
          <w:szCs w:val="24"/>
          <w:lang w:val="fr-FR"/>
        </w:rPr>
        <w:t>, et sera utilisé</w:t>
      </w:r>
      <w:r w:rsidR="00CA1A1A" w:rsidRPr="007278E9">
        <w:rPr>
          <w:sz w:val="24"/>
          <w:szCs w:val="24"/>
          <w:lang w:val="fr-FR"/>
        </w:rPr>
        <w:t xml:space="preserve"> particulièrement par </w:t>
      </w:r>
      <w:r w:rsidR="00481826">
        <w:rPr>
          <w:sz w:val="24"/>
          <w:szCs w:val="24"/>
          <w:lang w:val="fr-FR"/>
        </w:rPr>
        <w:t>l’OMRH et l’</w:t>
      </w:r>
      <w:r w:rsidR="00CA1A1A" w:rsidRPr="007278E9">
        <w:rPr>
          <w:sz w:val="24"/>
          <w:szCs w:val="24"/>
          <w:lang w:val="fr-FR"/>
        </w:rPr>
        <w:t>Unité</w:t>
      </w:r>
      <w:r w:rsidR="00481826">
        <w:rPr>
          <w:sz w:val="24"/>
          <w:szCs w:val="24"/>
          <w:lang w:val="fr-FR"/>
        </w:rPr>
        <w:t xml:space="preserve"> de Coordination de Projets </w:t>
      </w:r>
      <w:r w:rsidR="00EA06C1">
        <w:rPr>
          <w:sz w:val="24"/>
          <w:szCs w:val="24"/>
          <w:lang w:val="fr-FR"/>
        </w:rPr>
        <w:t>d</w:t>
      </w:r>
      <w:r w:rsidR="00CA1A1A" w:rsidRPr="007278E9">
        <w:rPr>
          <w:sz w:val="24"/>
          <w:szCs w:val="24"/>
          <w:lang w:val="fr-FR"/>
        </w:rPr>
        <w:t>u Ministère de l’Econ</w:t>
      </w:r>
      <w:r w:rsidR="00DA29D9" w:rsidRPr="007278E9">
        <w:rPr>
          <w:sz w:val="24"/>
          <w:szCs w:val="24"/>
          <w:lang w:val="fr-FR"/>
        </w:rPr>
        <w:t>omie et des Finances (</w:t>
      </w:r>
      <w:r w:rsidR="00040167">
        <w:rPr>
          <w:sz w:val="24"/>
          <w:szCs w:val="24"/>
          <w:lang w:val="fr-FR"/>
        </w:rPr>
        <w:t>UCP/MEF)</w:t>
      </w:r>
      <w:r w:rsidR="005550BD">
        <w:rPr>
          <w:sz w:val="24"/>
          <w:szCs w:val="24"/>
          <w:lang w:val="fr-FR"/>
        </w:rPr>
        <w:t xml:space="preserve">, mais </w:t>
      </w:r>
      <w:r w:rsidR="00A511AA" w:rsidRPr="00720B8F">
        <w:rPr>
          <w:rFonts w:asciiTheme="minorHAnsi" w:hAnsiTheme="minorHAnsi" w:cstheme="minorHAnsi"/>
          <w:sz w:val="24"/>
          <w:szCs w:val="24"/>
          <w:lang w:val="fr-FR"/>
        </w:rPr>
        <w:t>également par les entités bénéficiaires</w:t>
      </w:r>
      <w:r w:rsidR="00DA29D9" w:rsidRPr="007278E9">
        <w:rPr>
          <w:sz w:val="24"/>
          <w:szCs w:val="24"/>
          <w:lang w:val="fr-FR"/>
        </w:rPr>
        <w:t>. Le M</w:t>
      </w:r>
      <w:r w:rsidR="00CA1A1A" w:rsidRPr="007278E9">
        <w:rPr>
          <w:sz w:val="24"/>
          <w:szCs w:val="24"/>
          <w:lang w:val="fr-FR"/>
        </w:rPr>
        <w:t>anuel définit les rôles et responsabilités des entités et parti</w:t>
      </w:r>
      <w:r w:rsidR="005550BD">
        <w:rPr>
          <w:sz w:val="24"/>
          <w:szCs w:val="24"/>
          <w:lang w:val="fr-FR"/>
        </w:rPr>
        <w:t xml:space="preserve">es </w:t>
      </w:r>
      <w:r w:rsidR="00CA1A1A" w:rsidRPr="007278E9">
        <w:rPr>
          <w:sz w:val="24"/>
          <w:szCs w:val="24"/>
          <w:lang w:val="fr-FR"/>
        </w:rPr>
        <w:t>p</w:t>
      </w:r>
      <w:r w:rsidR="005550BD">
        <w:rPr>
          <w:sz w:val="24"/>
          <w:szCs w:val="24"/>
          <w:lang w:val="fr-FR"/>
        </w:rPr>
        <w:t>ren</w:t>
      </w:r>
      <w:r w:rsidR="00CA1A1A" w:rsidRPr="007278E9">
        <w:rPr>
          <w:sz w:val="24"/>
          <w:szCs w:val="24"/>
          <w:lang w:val="fr-FR"/>
        </w:rPr>
        <w:t>ant</w:t>
      </w:r>
      <w:r w:rsidR="005550BD">
        <w:rPr>
          <w:sz w:val="24"/>
          <w:szCs w:val="24"/>
          <w:lang w:val="fr-FR"/>
        </w:rPr>
        <w:t>e</w:t>
      </w:r>
      <w:r w:rsidR="00CA1A1A" w:rsidRPr="007278E9">
        <w:rPr>
          <w:sz w:val="24"/>
          <w:szCs w:val="24"/>
          <w:lang w:val="fr-FR"/>
        </w:rPr>
        <w:t>s pour assurer la qualité administrative, financière et technique des activités du programme.</w:t>
      </w:r>
    </w:p>
    <w:p w14:paraId="60D6704A" w14:textId="63DBE5A2" w:rsidR="00A06E1B" w:rsidRDefault="00CA1A1A" w:rsidP="00720B8F">
      <w:pPr>
        <w:pStyle w:val="ColorfulList-Accent11"/>
        <w:numPr>
          <w:ilvl w:val="1"/>
          <w:numId w:val="1"/>
        </w:numPr>
        <w:ind w:hanging="540"/>
        <w:jc w:val="both"/>
        <w:rPr>
          <w:sz w:val="24"/>
          <w:szCs w:val="24"/>
          <w:lang w:val="fr-FR"/>
        </w:rPr>
      </w:pPr>
      <w:r w:rsidRPr="007278E9">
        <w:rPr>
          <w:sz w:val="24"/>
          <w:szCs w:val="24"/>
          <w:lang w:val="fr-FR"/>
        </w:rPr>
        <w:t>Le Manuel sera utilisé conjointement avec</w:t>
      </w:r>
      <w:r w:rsidR="00933072" w:rsidRPr="00AA5024">
        <w:rPr>
          <w:sz w:val="24"/>
          <w:szCs w:val="24"/>
          <w:lang w:val="fr-FR"/>
        </w:rPr>
        <w:t xml:space="preserve"> l’</w:t>
      </w:r>
      <w:r w:rsidR="00330ED7" w:rsidRPr="00AA5024">
        <w:rPr>
          <w:sz w:val="24"/>
          <w:szCs w:val="24"/>
          <w:lang w:val="fr-FR"/>
        </w:rPr>
        <w:t>Accord de Don</w:t>
      </w:r>
      <w:r w:rsidR="00A744E3">
        <w:rPr>
          <w:sz w:val="24"/>
          <w:szCs w:val="24"/>
          <w:lang w:val="fr-FR"/>
        </w:rPr>
        <w:t xml:space="preserve"> </w:t>
      </w:r>
      <w:r w:rsidRPr="00933072">
        <w:rPr>
          <w:sz w:val="24"/>
          <w:szCs w:val="24"/>
          <w:lang w:val="fr-FR"/>
        </w:rPr>
        <w:t>et le Document de Projet. En cas de différences entre le Manuel</w:t>
      </w:r>
      <w:r w:rsidR="00CD5F93" w:rsidRPr="00933072">
        <w:rPr>
          <w:sz w:val="24"/>
          <w:szCs w:val="24"/>
          <w:lang w:val="fr-FR"/>
        </w:rPr>
        <w:t>,</w:t>
      </w:r>
      <w:r w:rsidR="008F091D" w:rsidRPr="00933072">
        <w:rPr>
          <w:sz w:val="24"/>
          <w:szCs w:val="24"/>
          <w:lang w:val="fr-FR"/>
        </w:rPr>
        <w:t xml:space="preserve"> le </w:t>
      </w:r>
      <w:r w:rsidR="00CD5F93" w:rsidRPr="00933072">
        <w:rPr>
          <w:sz w:val="24"/>
          <w:szCs w:val="24"/>
          <w:lang w:val="fr-FR"/>
        </w:rPr>
        <w:t>D</w:t>
      </w:r>
      <w:r w:rsidR="008F091D" w:rsidRPr="00933072">
        <w:rPr>
          <w:sz w:val="24"/>
          <w:szCs w:val="24"/>
          <w:lang w:val="fr-FR"/>
        </w:rPr>
        <w:t xml:space="preserve">ocument de </w:t>
      </w:r>
      <w:r w:rsidR="00CD5F93" w:rsidRPr="00933072">
        <w:rPr>
          <w:sz w:val="24"/>
          <w:szCs w:val="24"/>
          <w:lang w:val="fr-FR"/>
        </w:rPr>
        <w:t>P</w:t>
      </w:r>
      <w:r w:rsidR="008F091D" w:rsidRPr="00597A05">
        <w:rPr>
          <w:sz w:val="24"/>
          <w:szCs w:val="24"/>
          <w:lang w:val="fr-FR"/>
        </w:rPr>
        <w:t xml:space="preserve">rojet </w:t>
      </w:r>
      <w:r w:rsidR="00CD5F93" w:rsidRPr="00597A05">
        <w:rPr>
          <w:sz w:val="24"/>
          <w:szCs w:val="24"/>
          <w:lang w:val="fr-FR"/>
        </w:rPr>
        <w:t>ou</w:t>
      </w:r>
      <w:r w:rsidR="00A744E3">
        <w:rPr>
          <w:sz w:val="24"/>
          <w:szCs w:val="24"/>
          <w:lang w:val="fr-FR"/>
        </w:rPr>
        <w:t xml:space="preserve"> </w:t>
      </w:r>
      <w:r w:rsidR="00933072" w:rsidRPr="00933072">
        <w:rPr>
          <w:sz w:val="24"/>
          <w:szCs w:val="24"/>
          <w:lang w:val="fr-FR"/>
        </w:rPr>
        <w:t xml:space="preserve">l’Accord de Don, </w:t>
      </w:r>
      <w:r w:rsidRPr="00933072">
        <w:rPr>
          <w:sz w:val="24"/>
          <w:szCs w:val="24"/>
          <w:lang w:val="fr-FR"/>
        </w:rPr>
        <w:t xml:space="preserve">les termes </w:t>
      </w:r>
      <w:r w:rsidR="00CA07A9" w:rsidRPr="00933072">
        <w:rPr>
          <w:sz w:val="24"/>
          <w:szCs w:val="24"/>
          <w:lang w:val="fr-FR"/>
        </w:rPr>
        <w:t xml:space="preserve">de </w:t>
      </w:r>
      <w:r w:rsidR="00CA07A9" w:rsidRPr="00AA5024">
        <w:rPr>
          <w:sz w:val="24"/>
          <w:szCs w:val="24"/>
          <w:lang w:val="fr-FR"/>
        </w:rPr>
        <w:t>l’Accord</w:t>
      </w:r>
      <w:r w:rsidR="00933072" w:rsidRPr="00AA5024">
        <w:rPr>
          <w:sz w:val="24"/>
          <w:szCs w:val="24"/>
          <w:lang w:val="fr-FR"/>
        </w:rPr>
        <w:t xml:space="preserve"> de Don </w:t>
      </w:r>
      <w:r w:rsidRPr="007278E9">
        <w:rPr>
          <w:sz w:val="24"/>
          <w:szCs w:val="24"/>
          <w:lang w:val="fr-FR"/>
        </w:rPr>
        <w:t xml:space="preserve">prévaudront. En cas de différences entre le Manuel </w:t>
      </w:r>
      <w:r w:rsidR="008F091D">
        <w:rPr>
          <w:sz w:val="24"/>
          <w:szCs w:val="24"/>
          <w:lang w:val="fr-FR"/>
        </w:rPr>
        <w:t>et</w:t>
      </w:r>
      <w:r w:rsidRPr="007278E9">
        <w:rPr>
          <w:sz w:val="24"/>
          <w:szCs w:val="24"/>
          <w:lang w:val="fr-FR"/>
        </w:rPr>
        <w:t xml:space="preserve"> le Document de Projet, le</w:t>
      </w:r>
      <w:r w:rsidR="00A744E3">
        <w:rPr>
          <w:sz w:val="24"/>
          <w:szCs w:val="24"/>
          <w:lang w:val="fr-FR"/>
        </w:rPr>
        <w:t xml:space="preserve"> </w:t>
      </w:r>
      <w:r w:rsidR="00275BB0">
        <w:rPr>
          <w:sz w:val="24"/>
          <w:szCs w:val="24"/>
          <w:lang w:val="fr-FR"/>
        </w:rPr>
        <w:t>D</w:t>
      </w:r>
      <w:r w:rsidR="008F091D">
        <w:rPr>
          <w:sz w:val="24"/>
          <w:szCs w:val="24"/>
          <w:lang w:val="fr-FR"/>
        </w:rPr>
        <w:t xml:space="preserve">ocument de </w:t>
      </w:r>
      <w:r w:rsidR="00275BB0">
        <w:rPr>
          <w:sz w:val="24"/>
          <w:szCs w:val="24"/>
          <w:lang w:val="fr-FR"/>
        </w:rPr>
        <w:t>P</w:t>
      </w:r>
      <w:r w:rsidR="008F091D">
        <w:rPr>
          <w:sz w:val="24"/>
          <w:szCs w:val="24"/>
          <w:lang w:val="fr-FR"/>
        </w:rPr>
        <w:t xml:space="preserve">rojet </w:t>
      </w:r>
      <w:r w:rsidRPr="007278E9">
        <w:rPr>
          <w:sz w:val="24"/>
          <w:szCs w:val="24"/>
          <w:lang w:val="fr-FR"/>
        </w:rPr>
        <w:t>prévaudr</w:t>
      </w:r>
      <w:r w:rsidR="008F091D">
        <w:rPr>
          <w:sz w:val="24"/>
          <w:szCs w:val="24"/>
          <w:lang w:val="fr-FR"/>
        </w:rPr>
        <w:t>a</w:t>
      </w:r>
      <w:r w:rsidRPr="007278E9">
        <w:rPr>
          <w:sz w:val="24"/>
          <w:szCs w:val="24"/>
          <w:lang w:val="fr-FR"/>
        </w:rPr>
        <w:t xml:space="preserve">. </w:t>
      </w:r>
      <w:r w:rsidR="002064E6" w:rsidRPr="007278E9">
        <w:rPr>
          <w:sz w:val="24"/>
          <w:szCs w:val="24"/>
          <w:lang w:val="fr-FR"/>
        </w:rPr>
        <w:t>Les règlements généraux de la BID et du Gouvernement haïtien (GH) seront appliqués pour toute procédure d’opération non couverte dans le Manuel.</w:t>
      </w:r>
    </w:p>
    <w:p w14:paraId="1D9EC3DE" w14:textId="16D950EE" w:rsidR="00A06E1B" w:rsidRDefault="005550BD" w:rsidP="00720B8F">
      <w:pPr>
        <w:pStyle w:val="ColorfulList-Accent11"/>
        <w:numPr>
          <w:ilvl w:val="1"/>
          <w:numId w:val="1"/>
        </w:numPr>
        <w:ind w:hanging="540"/>
        <w:jc w:val="both"/>
        <w:rPr>
          <w:sz w:val="24"/>
          <w:szCs w:val="24"/>
          <w:lang w:val="fr-FR"/>
        </w:rPr>
      </w:pPr>
      <w:r>
        <w:rPr>
          <w:sz w:val="24"/>
          <w:szCs w:val="24"/>
          <w:lang w:val="fr-FR"/>
        </w:rPr>
        <w:t>L</w:t>
      </w:r>
      <w:r w:rsidR="002064E6" w:rsidRPr="007278E9">
        <w:rPr>
          <w:sz w:val="24"/>
          <w:szCs w:val="24"/>
          <w:lang w:val="fr-FR"/>
        </w:rPr>
        <w:t>e Manuel sera utilisé par tou</w:t>
      </w:r>
      <w:r w:rsidR="00330ED7">
        <w:rPr>
          <w:sz w:val="24"/>
          <w:szCs w:val="24"/>
          <w:lang w:val="fr-FR"/>
        </w:rPr>
        <w:t>tes</w:t>
      </w:r>
      <w:r w:rsidR="002064E6" w:rsidRPr="007278E9">
        <w:rPr>
          <w:sz w:val="24"/>
          <w:szCs w:val="24"/>
          <w:lang w:val="fr-FR"/>
        </w:rPr>
        <w:t xml:space="preserve"> les </w:t>
      </w:r>
      <w:r>
        <w:rPr>
          <w:sz w:val="24"/>
          <w:szCs w:val="24"/>
          <w:lang w:val="fr-FR"/>
        </w:rPr>
        <w:t>entités</w:t>
      </w:r>
      <w:r w:rsidR="00A744E3">
        <w:rPr>
          <w:sz w:val="24"/>
          <w:szCs w:val="24"/>
          <w:lang w:val="fr-FR"/>
        </w:rPr>
        <w:t xml:space="preserve"> </w:t>
      </w:r>
      <w:r w:rsidR="002064E6" w:rsidRPr="007278E9">
        <w:rPr>
          <w:sz w:val="24"/>
          <w:szCs w:val="24"/>
          <w:lang w:val="fr-FR"/>
        </w:rPr>
        <w:t>impliqué</w:t>
      </w:r>
      <w:r>
        <w:rPr>
          <w:sz w:val="24"/>
          <w:szCs w:val="24"/>
          <w:lang w:val="fr-FR"/>
        </w:rPr>
        <w:t>e</w:t>
      </w:r>
      <w:r w:rsidR="002064E6" w:rsidRPr="007278E9">
        <w:rPr>
          <w:sz w:val="24"/>
          <w:szCs w:val="24"/>
          <w:lang w:val="fr-FR"/>
        </w:rPr>
        <w:t>s dans l’exécution du programme. Les principaux utilisateurs seront les membres du personnel d</w:t>
      </w:r>
      <w:r w:rsidR="00831FE4">
        <w:rPr>
          <w:sz w:val="24"/>
          <w:szCs w:val="24"/>
          <w:lang w:val="fr-FR"/>
        </w:rPr>
        <w:t>e l’OMRH, de l’UCP/MEF</w:t>
      </w:r>
      <w:r w:rsidR="005F2584">
        <w:rPr>
          <w:sz w:val="24"/>
          <w:szCs w:val="24"/>
          <w:lang w:val="fr-FR"/>
        </w:rPr>
        <w:t xml:space="preserve"> et</w:t>
      </w:r>
      <w:r w:rsidR="00831FE4">
        <w:rPr>
          <w:sz w:val="24"/>
          <w:szCs w:val="24"/>
          <w:lang w:val="fr-FR"/>
        </w:rPr>
        <w:t xml:space="preserve"> d</w:t>
      </w:r>
      <w:r w:rsidR="00A87167">
        <w:rPr>
          <w:sz w:val="24"/>
          <w:szCs w:val="24"/>
          <w:lang w:val="fr-FR"/>
        </w:rPr>
        <w:t xml:space="preserve">es </w:t>
      </w:r>
      <w:r>
        <w:rPr>
          <w:sz w:val="24"/>
          <w:szCs w:val="24"/>
          <w:lang w:val="fr-FR"/>
        </w:rPr>
        <w:t xml:space="preserve">entités </w:t>
      </w:r>
      <w:r w:rsidR="00A87167">
        <w:rPr>
          <w:sz w:val="24"/>
          <w:szCs w:val="24"/>
          <w:lang w:val="fr-FR"/>
        </w:rPr>
        <w:t>sélectionné</w:t>
      </w:r>
      <w:r>
        <w:rPr>
          <w:sz w:val="24"/>
          <w:szCs w:val="24"/>
          <w:lang w:val="fr-FR"/>
        </w:rPr>
        <w:t>e</w:t>
      </w:r>
      <w:r w:rsidR="00A87167">
        <w:rPr>
          <w:sz w:val="24"/>
          <w:szCs w:val="24"/>
          <w:lang w:val="fr-FR"/>
        </w:rPr>
        <w:t>s</w:t>
      </w:r>
      <w:r w:rsidR="00A744E3">
        <w:rPr>
          <w:sz w:val="24"/>
          <w:szCs w:val="24"/>
          <w:lang w:val="fr-FR"/>
        </w:rPr>
        <w:t xml:space="preserve"> </w:t>
      </w:r>
      <w:r w:rsidR="002064E6" w:rsidRPr="007278E9">
        <w:rPr>
          <w:sz w:val="24"/>
          <w:szCs w:val="24"/>
          <w:lang w:val="fr-FR"/>
        </w:rPr>
        <w:t>directement impliqué</w:t>
      </w:r>
      <w:r>
        <w:rPr>
          <w:sz w:val="24"/>
          <w:szCs w:val="24"/>
          <w:lang w:val="fr-FR"/>
        </w:rPr>
        <w:t>e</w:t>
      </w:r>
      <w:r w:rsidR="002064E6" w:rsidRPr="007278E9">
        <w:rPr>
          <w:sz w:val="24"/>
          <w:szCs w:val="24"/>
          <w:lang w:val="fr-FR"/>
        </w:rPr>
        <w:t xml:space="preserve">s dans la gestion des ressources du Programme. </w:t>
      </w:r>
    </w:p>
    <w:p w14:paraId="6ECCCE39" w14:textId="77777777" w:rsidR="00A06E1B" w:rsidRDefault="002064E6" w:rsidP="00720B8F">
      <w:pPr>
        <w:pStyle w:val="ColorfulList-Accent11"/>
        <w:numPr>
          <w:ilvl w:val="1"/>
          <w:numId w:val="1"/>
        </w:numPr>
        <w:ind w:hanging="540"/>
        <w:jc w:val="both"/>
        <w:rPr>
          <w:sz w:val="24"/>
          <w:szCs w:val="24"/>
          <w:lang w:val="fr-FR"/>
        </w:rPr>
      </w:pPr>
      <w:r w:rsidRPr="007278E9">
        <w:rPr>
          <w:sz w:val="24"/>
          <w:szCs w:val="24"/>
          <w:lang w:val="fr-FR"/>
        </w:rPr>
        <w:t xml:space="preserve">Le </w:t>
      </w:r>
      <w:r w:rsidRPr="007278E9">
        <w:rPr>
          <w:b/>
          <w:sz w:val="24"/>
          <w:szCs w:val="24"/>
          <w:lang w:val="fr-FR"/>
        </w:rPr>
        <w:t>Manuel d’Opération</w:t>
      </w:r>
      <w:r w:rsidRPr="007278E9">
        <w:rPr>
          <w:sz w:val="24"/>
          <w:szCs w:val="24"/>
          <w:lang w:val="fr-FR"/>
        </w:rPr>
        <w:t xml:space="preserve"> couvre les éléments essentiels suivants :</w:t>
      </w:r>
    </w:p>
    <w:p w14:paraId="421051D9" w14:textId="77777777" w:rsidR="002064E6" w:rsidRPr="007278E9" w:rsidRDefault="0085725A" w:rsidP="00BF3346">
      <w:pPr>
        <w:pStyle w:val="ColorfulList-Accent11"/>
        <w:numPr>
          <w:ilvl w:val="0"/>
          <w:numId w:val="8"/>
        </w:numPr>
        <w:tabs>
          <w:tab w:val="left" w:pos="720"/>
        </w:tabs>
        <w:jc w:val="both"/>
        <w:rPr>
          <w:sz w:val="24"/>
          <w:szCs w:val="24"/>
          <w:lang w:val="fr-FR"/>
        </w:rPr>
      </w:pPr>
      <w:r w:rsidRPr="007278E9">
        <w:rPr>
          <w:sz w:val="24"/>
          <w:szCs w:val="24"/>
          <w:lang w:val="fr-FR"/>
        </w:rPr>
        <w:t>Dispositions relatives à la modification du Manuel d’Opération ;</w:t>
      </w:r>
    </w:p>
    <w:p w14:paraId="0720D677" w14:textId="77777777" w:rsidR="0085725A" w:rsidRPr="007278E9" w:rsidRDefault="0085725A" w:rsidP="00AD6CD3">
      <w:pPr>
        <w:pStyle w:val="ColorfulList-Accent11"/>
        <w:numPr>
          <w:ilvl w:val="0"/>
          <w:numId w:val="8"/>
        </w:numPr>
        <w:jc w:val="both"/>
        <w:rPr>
          <w:sz w:val="24"/>
          <w:szCs w:val="24"/>
          <w:lang w:val="fr-FR"/>
        </w:rPr>
      </w:pPr>
      <w:r w:rsidRPr="007278E9">
        <w:rPr>
          <w:sz w:val="24"/>
          <w:szCs w:val="24"/>
          <w:lang w:val="fr-FR"/>
        </w:rPr>
        <w:t>Description des activités qui seront financées dans le cadre de chacune des composantes et sous-composantes du Programme ;</w:t>
      </w:r>
    </w:p>
    <w:p w14:paraId="11D04489" w14:textId="77777777" w:rsidR="0085725A" w:rsidRPr="007278E9" w:rsidRDefault="0085725A" w:rsidP="00AD6CD3">
      <w:pPr>
        <w:pStyle w:val="ColorfulList-Accent11"/>
        <w:numPr>
          <w:ilvl w:val="0"/>
          <w:numId w:val="8"/>
        </w:numPr>
        <w:jc w:val="both"/>
        <w:rPr>
          <w:sz w:val="24"/>
          <w:szCs w:val="24"/>
          <w:lang w:val="fr-FR"/>
        </w:rPr>
      </w:pPr>
      <w:r w:rsidRPr="007278E9">
        <w:rPr>
          <w:sz w:val="24"/>
          <w:szCs w:val="24"/>
          <w:lang w:val="fr-FR"/>
        </w:rPr>
        <w:t>Cadre institutionnel pour la mise en œuvre du Programme</w:t>
      </w:r>
      <w:r w:rsidR="00B579CE">
        <w:rPr>
          <w:sz w:val="24"/>
          <w:szCs w:val="24"/>
          <w:lang w:val="fr-FR"/>
        </w:rPr>
        <w:t> ;</w:t>
      </w:r>
    </w:p>
    <w:p w14:paraId="7DE2032C" w14:textId="77777777" w:rsidR="0085725A" w:rsidRPr="007278E9" w:rsidRDefault="0085725A" w:rsidP="00AD6CD3">
      <w:pPr>
        <w:pStyle w:val="ColorfulList-Accent11"/>
        <w:numPr>
          <w:ilvl w:val="0"/>
          <w:numId w:val="8"/>
        </w:numPr>
        <w:jc w:val="both"/>
        <w:rPr>
          <w:sz w:val="24"/>
          <w:szCs w:val="24"/>
          <w:lang w:val="fr-FR"/>
        </w:rPr>
      </w:pPr>
      <w:r w:rsidRPr="007278E9">
        <w:rPr>
          <w:sz w:val="24"/>
          <w:szCs w:val="24"/>
          <w:lang w:val="fr-FR"/>
        </w:rPr>
        <w:t xml:space="preserve">Exigences relatives à la gestion des ressources humaines pour les </w:t>
      </w:r>
      <w:r w:rsidR="001C107A">
        <w:rPr>
          <w:sz w:val="24"/>
          <w:szCs w:val="24"/>
          <w:lang w:val="fr-FR"/>
        </w:rPr>
        <w:t>Organism</w:t>
      </w:r>
      <w:r w:rsidR="004C550D">
        <w:rPr>
          <w:sz w:val="24"/>
          <w:szCs w:val="24"/>
          <w:lang w:val="fr-FR"/>
        </w:rPr>
        <w:t>es</w:t>
      </w:r>
      <w:r w:rsidRPr="007278E9">
        <w:rPr>
          <w:sz w:val="24"/>
          <w:szCs w:val="24"/>
          <w:lang w:val="fr-FR"/>
        </w:rPr>
        <w:t xml:space="preserve"> d’Exécution de Projet ;</w:t>
      </w:r>
    </w:p>
    <w:p w14:paraId="62A0B328" w14:textId="77777777" w:rsidR="0085725A" w:rsidRPr="007278E9" w:rsidRDefault="0085725A" w:rsidP="00AD6CD3">
      <w:pPr>
        <w:pStyle w:val="ColorfulList-Accent11"/>
        <w:numPr>
          <w:ilvl w:val="0"/>
          <w:numId w:val="8"/>
        </w:numPr>
        <w:jc w:val="both"/>
        <w:rPr>
          <w:sz w:val="24"/>
          <w:szCs w:val="24"/>
          <w:lang w:val="fr-FR"/>
        </w:rPr>
      </w:pPr>
      <w:r w:rsidRPr="007278E9">
        <w:rPr>
          <w:sz w:val="24"/>
          <w:szCs w:val="24"/>
          <w:lang w:val="fr-FR"/>
        </w:rPr>
        <w:lastRenderedPageBreak/>
        <w:t>Directives financières et administratives ;</w:t>
      </w:r>
    </w:p>
    <w:p w14:paraId="4A05EF41" w14:textId="77777777" w:rsidR="0085725A" w:rsidRDefault="0085725A" w:rsidP="00AD6CD3">
      <w:pPr>
        <w:pStyle w:val="ColorfulList-Accent11"/>
        <w:numPr>
          <w:ilvl w:val="0"/>
          <w:numId w:val="8"/>
        </w:numPr>
        <w:jc w:val="both"/>
        <w:rPr>
          <w:sz w:val="24"/>
          <w:szCs w:val="24"/>
          <w:lang w:val="fr-FR"/>
        </w:rPr>
      </w:pPr>
      <w:r w:rsidRPr="007278E9">
        <w:rPr>
          <w:sz w:val="24"/>
          <w:szCs w:val="24"/>
          <w:lang w:val="fr-FR"/>
        </w:rPr>
        <w:t xml:space="preserve">Mécanismes de supervision, de </w:t>
      </w:r>
      <w:r w:rsidR="00EA06C1">
        <w:rPr>
          <w:sz w:val="24"/>
          <w:szCs w:val="24"/>
          <w:lang w:val="fr-FR"/>
        </w:rPr>
        <w:t>Suivi</w:t>
      </w:r>
      <w:r w:rsidRPr="007278E9">
        <w:rPr>
          <w:sz w:val="24"/>
          <w:szCs w:val="24"/>
          <w:lang w:val="fr-FR"/>
        </w:rPr>
        <w:t xml:space="preserve"> et d’évaluation ;</w:t>
      </w:r>
    </w:p>
    <w:p w14:paraId="60B875C4" w14:textId="77777777" w:rsidR="00EA06C1" w:rsidRPr="007278E9" w:rsidRDefault="00EA06C1" w:rsidP="00AD6CD3">
      <w:pPr>
        <w:pStyle w:val="ColorfulList-Accent11"/>
        <w:numPr>
          <w:ilvl w:val="0"/>
          <w:numId w:val="8"/>
        </w:numPr>
        <w:jc w:val="both"/>
        <w:rPr>
          <w:sz w:val="24"/>
          <w:szCs w:val="24"/>
          <w:lang w:val="fr-FR"/>
        </w:rPr>
      </w:pPr>
      <w:r>
        <w:rPr>
          <w:sz w:val="24"/>
          <w:szCs w:val="24"/>
          <w:lang w:val="fr-FR"/>
        </w:rPr>
        <w:t>Procédures et méthodes de passation de marché ;</w:t>
      </w:r>
    </w:p>
    <w:p w14:paraId="1F8AC249" w14:textId="77777777" w:rsidR="0085725A" w:rsidRPr="007278E9" w:rsidRDefault="0085725A" w:rsidP="00AD6CD3">
      <w:pPr>
        <w:pStyle w:val="ColorfulList-Accent11"/>
        <w:numPr>
          <w:ilvl w:val="0"/>
          <w:numId w:val="8"/>
        </w:numPr>
        <w:jc w:val="both"/>
        <w:rPr>
          <w:sz w:val="24"/>
          <w:szCs w:val="24"/>
          <w:lang w:val="fr-FR"/>
        </w:rPr>
      </w:pPr>
      <w:r w:rsidRPr="007278E9">
        <w:rPr>
          <w:sz w:val="24"/>
          <w:szCs w:val="24"/>
          <w:lang w:val="fr-FR"/>
        </w:rPr>
        <w:t>Stratégies de coordination avec d’autres Projets Financés par des Bailleurs ; et</w:t>
      </w:r>
    </w:p>
    <w:p w14:paraId="294C3B72" w14:textId="77777777" w:rsidR="002064E6" w:rsidRPr="007278E9" w:rsidRDefault="0085725A" w:rsidP="00AD6CD3">
      <w:pPr>
        <w:pStyle w:val="ColorfulList-Accent11"/>
        <w:numPr>
          <w:ilvl w:val="0"/>
          <w:numId w:val="8"/>
        </w:numPr>
        <w:jc w:val="both"/>
        <w:rPr>
          <w:sz w:val="24"/>
          <w:szCs w:val="24"/>
          <w:lang w:val="fr-FR"/>
        </w:rPr>
      </w:pPr>
      <w:r w:rsidRPr="007278E9">
        <w:rPr>
          <w:sz w:val="24"/>
          <w:szCs w:val="24"/>
          <w:lang w:val="fr-FR"/>
        </w:rPr>
        <w:t>Formation et Développement.</w:t>
      </w:r>
    </w:p>
    <w:p w14:paraId="6C913E7B" w14:textId="56679C2F" w:rsidR="00180F98" w:rsidRPr="007278E9" w:rsidRDefault="00990FFE" w:rsidP="009A6238">
      <w:pPr>
        <w:pStyle w:val="Heading2"/>
        <w:rPr>
          <w:lang w:val="fr-FR"/>
        </w:rPr>
      </w:pPr>
      <w:bookmarkStart w:id="2" w:name="_Toc3810459"/>
      <w:r>
        <w:rPr>
          <w:lang w:val="fr-FR"/>
        </w:rPr>
        <w:t xml:space="preserve">MODALITES </w:t>
      </w:r>
      <w:r w:rsidR="004059C2">
        <w:rPr>
          <w:lang w:val="fr-FR"/>
        </w:rPr>
        <w:t xml:space="preserve">DE </w:t>
      </w:r>
      <w:r w:rsidR="004059C2" w:rsidRPr="007278E9">
        <w:rPr>
          <w:lang w:val="fr-FR"/>
        </w:rPr>
        <w:t>MODIFICATIONS</w:t>
      </w:r>
      <w:r w:rsidR="004059C2">
        <w:rPr>
          <w:lang w:val="fr-FR"/>
        </w:rPr>
        <w:t xml:space="preserve"> </w:t>
      </w:r>
      <w:r w:rsidR="004059C2" w:rsidRPr="007278E9">
        <w:rPr>
          <w:lang w:val="fr-FR"/>
        </w:rPr>
        <w:t>DU</w:t>
      </w:r>
      <w:r w:rsidR="003A2A55" w:rsidRPr="007278E9">
        <w:rPr>
          <w:lang w:val="fr-FR"/>
        </w:rPr>
        <w:t xml:space="preserve"> MANUEL D’OPERATION</w:t>
      </w:r>
      <w:bookmarkEnd w:id="2"/>
    </w:p>
    <w:p w14:paraId="1B16EC1F" w14:textId="77777777" w:rsidR="00180F98" w:rsidRPr="007278E9" w:rsidRDefault="00180F98" w:rsidP="00180F98">
      <w:pPr>
        <w:autoSpaceDE w:val="0"/>
        <w:autoSpaceDN w:val="0"/>
        <w:adjustRightInd w:val="0"/>
        <w:jc w:val="both"/>
        <w:rPr>
          <w:rFonts w:cs="Calibri"/>
          <w:lang w:val="fr-FR"/>
        </w:rPr>
      </w:pPr>
    </w:p>
    <w:p w14:paraId="596D296B" w14:textId="35D5C816" w:rsidR="00A06E1B" w:rsidRDefault="003A2A55" w:rsidP="00BF3346">
      <w:pPr>
        <w:pStyle w:val="ColorfulList-Accent11"/>
        <w:numPr>
          <w:ilvl w:val="1"/>
          <w:numId w:val="1"/>
        </w:numPr>
        <w:ind w:hanging="720"/>
        <w:jc w:val="both"/>
        <w:rPr>
          <w:sz w:val="24"/>
          <w:szCs w:val="24"/>
          <w:lang w:val="fr-FR"/>
        </w:rPr>
      </w:pPr>
      <w:r w:rsidRPr="0096457F">
        <w:rPr>
          <w:sz w:val="24"/>
          <w:szCs w:val="24"/>
          <w:lang w:val="fr-FR"/>
        </w:rPr>
        <w:t>Le</w:t>
      </w:r>
      <w:r w:rsidR="000E49A0" w:rsidRPr="002665E2">
        <w:rPr>
          <w:sz w:val="24"/>
          <w:szCs w:val="24"/>
          <w:lang w:val="fr-FR"/>
        </w:rPr>
        <w:t xml:space="preserve">s Coordonnateurs </w:t>
      </w:r>
      <w:r w:rsidR="00635D7E" w:rsidRPr="0096457F">
        <w:rPr>
          <w:sz w:val="24"/>
          <w:szCs w:val="24"/>
          <w:lang w:val="fr-FR"/>
        </w:rPr>
        <w:t>de l’OMRH</w:t>
      </w:r>
      <w:r w:rsidR="000E49A0" w:rsidRPr="002665E2">
        <w:rPr>
          <w:sz w:val="24"/>
          <w:szCs w:val="24"/>
          <w:lang w:val="fr-FR"/>
        </w:rPr>
        <w:t xml:space="preserve"> et </w:t>
      </w:r>
      <w:r w:rsidR="00933072">
        <w:rPr>
          <w:sz w:val="24"/>
          <w:szCs w:val="24"/>
          <w:lang w:val="fr-FR"/>
        </w:rPr>
        <w:t xml:space="preserve">de l’UCP/MEF </w:t>
      </w:r>
      <w:r w:rsidR="00330ED7">
        <w:rPr>
          <w:sz w:val="24"/>
          <w:szCs w:val="24"/>
          <w:lang w:val="fr-FR"/>
        </w:rPr>
        <w:t xml:space="preserve">ont </w:t>
      </w:r>
      <w:r w:rsidR="00330ED7" w:rsidRPr="0096457F">
        <w:rPr>
          <w:sz w:val="24"/>
          <w:szCs w:val="24"/>
          <w:lang w:val="fr-FR"/>
        </w:rPr>
        <w:t>à charge d’assurer</w:t>
      </w:r>
      <w:r w:rsidR="00C7080A" w:rsidRPr="0096457F">
        <w:rPr>
          <w:sz w:val="24"/>
          <w:szCs w:val="24"/>
          <w:lang w:val="fr-FR"/>
        </w:rPr>
        <w:t xml:space="preserve"> l’application du Manuel d’Opératio</w:t>
      </w:r>
      <w:r w:rsidR="00266C7F" w:rsidRPr="0096457F">
        <w:rPr>
          <w:sz w:val="24"/>
          <w:szCs w:val="24"/>
          <w:lang w:val="fr-FR"/>
        </w:rPr>
        <w:t>n</w:t>
      </w:r>
      <w:r w:rsidR="00C7080A" w:rsidRPr="0096457F">
        <w:rPr>
          <w:sz w:val="24"/>
          <w:szCs w:val="24"/>
          <w:lang w:val="fr-FR"/>
        </w:rPr>
        <w:t xml:space="preserve">. </w:t>
      </w:r>
      <w:r w:rsidR="00AD68C1" w:rsidRPr="00F12663">
        <w:rPr>
          <w:sz w:val="24"/>
          <w:szCs w:val="24"/>
          <w:lang w:val="fr-FR"/>
        </w:rPr>
        <w:t xml:space="preserve">Il relève également de la responsabilité </w:t>
      </w:r>
      <w:r w:rsidR="00F12AC5" w:rsidRPr="00EF0BA1">
        <w:rPr>
          <w:sz w:val="24"/>
          <w:szCs w:val="24"/>
          <w:lang w:val="fr-FR"/>
        </w:rPr>
        <w:t>desdits</w:t>
      </w:r>
      <w:r w:rsidR="00A744E3">
        <w:rPr>
          <w:sz w:val="24"/>
          <w:szCs w:val="24"/>
          <w:lang w:val="fr-FR"/>
        </w:rPr>
        <w:t xml:space="preserve"> </w:t>
      </w:r>
      <w:r w:rsidR="00F12AC5" w:rsidRPr="009E3238">
        <w:rPr>
          <w:sz w:val="24"/>
          <w:szCs w:val="24"/>
          <w:lang w:val="fr-FR"/>
        </w:rPr>
        <w:t>représentants</w:t>
      </w:r>
      <w:r w:rsidR="00AD68C1" w:rsidRPr="009E3238">
        <w:rPr>
          <w:sz w:val="24"/>
          <w:szCs w:val="24"/>
          <w:lang w:val="fr-FR"/>
        </w:rPr>
        <w:t xml:space="preserve"> de</w:t>
      </w:r>
      <w:r w:rsidR="00A744E3">
        <w:rPr>
          <w:sz w:val="24"/>
          <w:szCs w:val="24"/>
          <w:lang w:val="fr-FR"/>
        </w:rPr>
        <w:t xml:space="preserve"> </w:t>
      </w:r>
      <w:r w:rsidR="00AD68C1" w:rsidRPr="009E3238">
        <w:rPr>
          <w:sz w:val="24"/>
          <w:szCs w:val="24"/>
          <w:lang w:val="fr-FR"/>
        </w:rPr>
        <w:t xml:space="preserve">faire des recommandations pour </w:t>
      </w:r>
      <w:r w:rsidR="003C73C9" w:rsidRPr="000C75D6">
        <w:rPr>
          <w:sz w:val="24"/>
          <w:szCs w:val="24"/>
          <w:lang w:val="fr-FR"/>
        </w:rPr>
        <w:t>l’</w:t>
      </w:r>
      <w:r w:rsidR="00AD68C1" w:rsidRPr="00596E7F">
        <w:rPr>
          <w:sz w:val="24"/>
          <w:szCs w:val="24"/>
          <w:lang w:val="fr-FR"/>
        </w:rPr>
        <w:t>amélioration</w:t>
      </w:r>
      <w:r w:rsidR="003C73C9" w:rsidRPr="00596E7F">
        <w:rPr>
          <w:sz w:val="24"/>
          <w:szCs w:val="24"/>
          <w:lang w:val="fr-FR"/>
        </w:rPr>
        <w:t xml:space="preserve"> du manuel</w:t>
      </w:r>
      <w:r w:rsidR="00AD68C1" w:rsidRPr="00236EC5">
        <w:rPr>
          <w:sz w:val="24"/>
          <w:szCs w:val="24"/>
          <w:lang w:val="fr-FR"/>
        </w:rPr>
        <w:t xml:space="preserve">. </w:t>
      </w:r>
    </w:p>
    <w:p w14:paraId="4BDAC4A3" w14:textId="04BCF367" w:rsidR="00A06E1B" w:rsidRDefault="005B0991" w:rsidP="00BF3346">
      <w:pPr>
        <w:pStyle w:val="ColorfulList-Accent11"/>
        <w:numPr>
          <w:ilvl w:val="1"/>
          <w:numId w:val="1"/>
        </w:numPr>
        <w:ind w:hanging="720"/>
        <w:jc w:val="both"/>
        <w:rPr>
          <w:sz w:val="24"/>
          <w:szCs w:val="24"/>
          <w:lang w:val="fr-FR"/>
        </w:rPr>
      </w:pPr>
      <w:r w:rsidRPr="007278E9">
        <w:rPr>
          <w:sz w:val="24"/>
          <w:szCs w:val="24"/>
          <w:lang w:val="fr-FR"/>
        </w:rPr>
        <w:t xml:space="preserve">Toute </w:t>
      </w:r>
      <w:r w:rsidR="00A208C3" w:rsidRPr="007278E9">
        <w:rPr>
          <w:sz w:val="24"/>
          <w:szCs w:val="24"/>
          <w:lang w:val="fr-FR"/>
        </w:rPr>
        <w:t>recommandation de modification</w:t>
      </w:r>
      <w:r w:rsidR="00933072">
        <w:rPr>
          <w:sz w:val="24"/>
          <w:szCs w:val="24"/>
          <w:lang w:val="fr-FR"/>
        </w:rPr>
        <w:t xml:space="preserve"> d</w:t>
      </w:r>
      <w:r w:rsidRPr="007278E9">
        <w:rPr>
          <w:sz w:val="24"/>
          <w:szCs w:val="24"/>
          <w:lang w:val="fr-FR"/>
        </w:rPr>
        <w:t xml:space="preserve">u Manuel d’Opération sera transmise sous format électronique (MS Word) par </w:t>
      </w:r>
      <w:r w:rsidRPr="00AA5024">
        <w:rPr>
          <w:sz w:val="24"/>
          <w:szCs w:val="24"/>
          <w:lang w:val="fr-FR"/>
        </w:rPr>
        <w:t xml:space="preserve">courriel par le </w:t>
      </w:r>
      <w:r w:rsidR="00311387" w:rsidRPr="00AA5024">
        <w:rPr>
          <w:sz w:val="24"/>
          <w:szCs w:val="24"/>
          <w:lang w:val="fr-FR"/>
        </w:rPr>
        <w:t>Coordonnateur</w:t>
      </w:r>
      <w:r w:rsidR="00A744E3">
        <w:rPr>
          <w:sz w:val="24"/>
          <w:szCs w:val="24"/>
          <w:lang w:val="fr-FR"/>
        </w:rPr>
        <w:t xml:space="preserve"> </w:t>
      </w:r>
      <w:r w:rsidR="00180586" w:rsidRPr="00AA5024">
        <w:rPr>
          <w:sz w:val="24"/>
          <w:szCs w:val="24"/>
          <w:lang w:val="fr-FR"/>
        </w:rPr>
        <w:t>de</w:t>
      </w:r>
      <w:r w:rsidR="004368FE">
        <w:rPr>
          <w:sz w:val="24"/>
          <w:szCs w:val="24"/>
          <w:lang w:val="fr-FR"/>
        </w:rPr>
        <w:t xml:space="preserve"> l’UCP/MEF</w:t>
      </w:r>
      <w:r w:rsidR="00180586">
        <w:rPr>
          <w:sz w:val="24"/>
          <w:szCs w:val="24"/>
          <w:lang w:val="fr-FR"/>
        </w:rPr>
        <w:t>, qui coordonnera toute modification du manuel</w:t>
      </w:r>
      <w:r w:rsidR="003C73C9">
        <w:rPr>
          <w:sz w:val="24"/>
          <w:szCs w:val="24"/>
          <w:lang w:val="fr-FR"/>
        </w:rPr>
        <w:t>. L</w:t>
      </w:r>
      <w:r w:rsidR="004368FE">
        <w:rPr>
          <w:sz w:val="24"/>
          <w:szCs w:val="24"/>
          <w:lang w:val="fr-FR"/>
        </w:rPr>
        <w:t>’OMRH</w:t>
      </w:r>
      <w:r w:rsidR="003C73C9">
        <w:rPr>
          <w:sz w:val="24"/>
          <w:szCs w:val="24"/>
          <w:lang w:val="fr-FR"/>
        </w:rPr>
        <w:t xml:space="preserve"> et le MEF </w:t>
      </w:r>
      <w:r w:rsidRPr="007278E9">
        <w:rPr>
          <w:sz w:val="24"/>
          <w:szCs w:val="24"/>
          <w:lang w:val="fr-FR"/>
        </w:rPr>
        <w:t>tiendr</w:t>
      </w:r>
      <w:r w:rsidR="003C73C9">
        <w:rPr>
          <w:sz w:val="24"/>
          <w:szCs w:val="24"/>
          <w:lang w:val="fr-FR"/>
        </w:rPr>
        <w:t xml:space="preserve">ont </w:t>
      </w:r>
      <w:r w:rsidR="00804BB3">
        <w:rPr>
          <w:sz w:val="24"/>
          <w:szCs w:val="24"/>
          <w:lang w:val="fr-FR"/>
        </w:rPr>
        <w:t xml:space="preserve">un dossier sur </w:t>
      </w:r>
      <w:r w:rsidR="00FA29A4">
        <w:rPr>
          <w:sz w:val="24"/>
          <w:szCs w:val="24"/>
          <w:lang w:val="fr-FR"/>
        </w:rPr>
        <w:t>les recommandations</w:t>
      </w:r>
      <w:r w:rsidR="00A744E3">
        <w:rPr>
          <w:sz w:val="24"/>
          <w:szCs w:val="24"/>
          <w:lang w:val="fr-FR"/>
        </w:rPr>
        <w:t xml:space="preserve"> </w:t>
      </w:r>
      <w:r w:rsidR="00804BB3">
        <w:rPr>
          <w:sz w:val="24"/>
          <w:szCs w:val="24"/>
          <w:lang w:val="fr-FR"/>
        </w:rPr>
        <w:t xml:space="preserve">proposées </w:t>
      </w:r>
      <w:r w:rsidR="00A208C3" w:rsidRPr="007278E9">
        <w:rPr>
          <w:sz w:val="24"/>
          <w:szCs w:val="24"/>
          <w:lang w:val="fr-FR"/>
        </w:rPr>
        <w:t>en</w:t>
      </w:r>
      <w:r w:rsidR="00A744E3">
        <w:rPr>
          <w:sz w:val="24"/>
          <w:szCs w:val="24"/>
          <w:lang w:val="fr-FR"/>
        </w:rPr>
        <w:t xml:space="preserve"> </w:t>
      </w:r>
      <w:r w:rsidRPr="007278E9">
        <w:rPr>
          <w:sz w:val="24"/>
          <w:szCs w:val="24"/>
          <w:lang w:val="fr-FR"/>
        </w:rPr>
        <w:t>indiquant la source et la date.</w:t>
      </w:r>
    </w:p>
    <w:p w14:paraId="22B68818" w14:textId="24387EC2" w:rsidR="00A06E1B" w:rsidRDefault="005B0991" w:rsidP="00BF3346">
      <w:pPr>
        <w:pStyle w:val="ColorfulList-Accent11"/>
        <w:numPr>
          <w:ilvl w:val="1"/>
          <w:numId w:val="1"/>
        </w:numPr>
        <w:ind w:hanging="720"/>
        <w:jc w:val="both"/>
        <w:rPr>
          <w:sz w:val="24"/>
          <w:szCs w:val="24"/>
          <w:lang w:val="fr-FR"/>
        </w:rPr>
      </w:pPr>
      <w:bookmarkStart w:id="3" w:name="_Hlk516752354"/>
      <w:r w:rsidRPr="00FA29A4">
        <w:rPr>
          <w:sz w:val="24"/>
          <w:szCs w:val="24"/>
          <w:lang w:val="fr-FR"/>
        </w:rPr>
        <w:t>L</w:t>
      </w:r>
      <w:r w:rsidR="00804BB3" w:rsidRPr="00FA29A4">
        <w:rPr>
          <w:sz w:val="24"/>
          <w:szCs w:val="24"/>
          <w:lang w:val="fr-FR"/>
        </w:rPr>
        <w:t>a Banque, l’UCP-MEF et l</w:t>
      </w:r>
      <w:r w:rsidR="00C73604">
        <w:rPr>
          <w:sz w:val="24"/>
          <w:szCs w:val="24"/>
          <w:lang w:val="fr-FR"/>
        </w:rPr>
        <w:t>’OMRH</w:t>
      </w:r>
      <w:r w:rsidRPr="00FA29A4">
        <w:rPr>
          <w:sz w:val="24"/>
          <w:szCs w:val="24"/>
          <w:lang w:val="fr-FR"/>
        </w:rPr>
        <w:t xml:space="preserve"> réviser</w:t>
      </w:r>
      <w:r w:rsidR="00804BB3" w:rsidRPr="00FA29A4">
        <w:rPr>
          <w:sz w:val="24"/>
          <w:szCs w:val="24"/>
          <w:lang w:val="fr-FR"/>
        </w:rPr>
        <w:t>ont</w:t>
      </w:r>
      <w:r w:rsidR="00A744E3">
        <w:rPr>
          <w:sz w:val="24"/>
          <w:szCs w:val="24"/>
          <w:lang w:val="fr-FR"/>
        </w:rPr>
        <w:t xml:space="preserve"> </w:t>
      </w:r>
      <w:r w:rsidR="00804BB3" w:rsidRPr="00FA29A4">
        <w:rPr>
          <w:sz w:val="24"/>
          <w:szCs w:val="24"/>
          <w:lang w:val="fr-FR"/>
        </w:rPr>
        <w:t xml:space="preserve">ensemble </w:t>
      </w:r>
      <w:r w:rsidRPr="00FA29A4">
        <w:rPr>
          <w:sz w:val="24"/>
          <w:szCs w:val="24"/>
          <w:lang w:val="fr-FR"/>
        </w:rPr>
        <w:t xml:space="preserve">chaque </w:t>
      </w:r>
      <w:r w:rsidR="00804BB3" w:rsidRPr="00FA29A4">
        <w:rPr>
          <w:sz w:val="24"/>
          <w:szCs w:val="24"/>
          <w:lang w:val="fr-FR"/>
        </w:rPr>
        <w:t>proposition</w:t>
      </w:r>
      <w:r w:rsidR="00A744E3">
        <w:rPr>
          <w:sz w:val="24"/>
          <w:szCs w:val="24"/>
          <w:lang w:val="fr-FR"/>
        </w:rPr>
        <w:t xml:space="preserve"> </w:t>
      </w:r>
      <w:r w:rsidRPr="00FA29A4">
        <w:rPr>
          <w:sz w:val="24"/>
          <w:szCs w:val="24"/>
          <w:lang w:val="fr-FR"/>
        </w:rPr>
        <w:t>de modification,</w:t>
      </w:r>
      <w:r w:rsidR="00804BB3" w:rsidRPr="00FA29A4">
        <w:rPr>
          <w:sz w:val="24"/>
          <w:szCs w:val="24"/>
          <w:lang w:val="fr-FR"/>
        </w:rPr>
        <w:t xml:space="preserve"> prendront une décision appropriée et le </w:t>
      </w:r>
      <w:r w:rsidR="00933072">
        <w:rPr>
          <w:sz w:val="24"/>
          <w:szCs w:val="24"/>
          <w:lang w:val="fr-FR"/>
        </w:rPr>
        <w:t>M</w:t>
      </w:r>
      <w:r w:rsidR="00804BB3" w:rsidRPr="00FA29A4">
        <w:rPr>
          <w:sz w:val="24"/>
          <w:szCs w:val="24"/>
          <w:lang w:val="fr-FR"/>
        </w:rPr>
        <w:t>anuel d’Opération sera actualisé en conséquence</w:t>
      </w:r>
      <w:r w:rsidRPr="00FA29A4">
        <w:rPr>
          <w:sz w:val="24"/>
          <w:szCs w:val="24"/>
          <w:lang w:val="fr-FR"/>
        </w:rPr>
        <w:t xml:space="preserve">. </w:t>
      </w:r>
      <w:r w:rsidR="00551404" w:rsidRPr="00FA29A4">
        <w:rPr>
          <w:sz w:val="24"/>
          <w:szCs w:val="24"/>
          <w:lang w:val="fr-FR"/>
        </w:rPr>
        <w:t xml:space="preserve">A chaque modification portée à ce Manuel d’Opération, une nouvelle version sera </w:t>
      </w:r>
      <w:r w:rsidR="005268B6">
        <w:rPr>
          <w:sz w:val="24"/>
          <w:szCs w:val="24"/>
          <w:lang w:val="fr-FR"/>
        </w:rPr>
        <w:t xml:space="preserve">transmise </w:t>
      </w:r>
      <w:r w:rsidR="00356D03">
        <w:rPr>
          <w:sz w:val="24"/>
          <w:szCs w:val="24"/>
          <w:lang w:val="fr-FR"/>
        </w:rPr>
        <w:t>à</w:t>
      </w:r>
      <w:r w:rsidR="005268B6">
        <w:rPr>
          <w:sz w:val="24"/>
          <w:szCs w:val="24"/>
          <w:lang w:val="fr-FR"/>
        </w:rPr>
        <w:t xml:space="preserve"> la BID pour Non-Objection</w:t>
      </w:r>
      <w:r w:rsidR="00A2001B">
        <w:rPr>
          <w:sz w:val="24"/>
          <w:szCs w:val="24"/>
          <w:lang w:val="fr-FR"/>
        </w:rPr>
        <w:t xml:space="preserve"> (NO)</w:t>
      </w:r>
      <w:r w:rsidR="000079FD">
        <w:rPr>
          <w:sz w:val="24"/>
          <w:szCs w:val="24"/>
          <w:lang w:val="fr-FR"/>
        </w:rPr>
        <w:t xml:space="preserve"> ; </w:t>
      </w:r>
      <w:proofErr w:type="gramStart"/>
      <w:r w:rsidR="000079FD">
        <w:rPr>
          <w:sz w:val="24"/>
          <w:szCs w:val="24"/>
          <w:lang w:val="fr-FR"/>
        </w:rPr>
        <w:t xml:space="preserve">suite </w:t>
      </w:r>
      <w:r w:rsidR="00356D03">
        <w:rPr>
          <w:sz w:val="24"/>
          <w:szCs w:val="24"/>
          <w:lang w:val="fr-FR"/>
        </w:rPr>
        <w:t>à</w:t>
      </w:r>
      <w:proofErr w:type="gramEnd"/>
      <w:r w:rsidR="000079FD">
        <w:rPr>
          <w:sz w:val="24"/>
          <w:szCs w:val="24"/>
          <w:lang w:val="fr-FR"/>
        </w:rPr>
        <w:t xml:space="preserve"> cette NO, </w:t>
      </w:r>
      <w:r w:rsidR="00356D03">
        <w:rPr>
          <w:sz w:val="24"/>
          <w:szCs w:val="24"/>
          <w:lang w:val="fr-FR"/>
        </w:rPr>
        <w:t>la nouvelle version du manuel</w:t>
      </w:r>
      <w:r w:rsidR="000079FD">
        <w:rPr>
          <w:sz w:val="24"/>
          <w:szCs w:val="24"/>
          <w:lang w:val="fr-FR"/>
        </w:rPr>
        <w:t xml:space="preserve"> sera </w:t>
      </w:r>
      <w:r w:rsidR="00551404" w:rsidRPr="00FA29A4">
        <w:rPr>
          <w:sz w:val="24"/>
          <w:szCs w:val="24"/>
          <w:lang w:val="fr-FR"/>
        </w:rPr>
        <w:t>distribuée, indiquant la date de la version sur la page de couverture du do</w:t>
      </w:r>
      <w:r w:rsidR="00A208C3" w:rsidRPr="00FA29A4">
        <w:rPr>
          <w:sz w:val="24"/>
          <w:szCs w:val="24"/>
          <w:lang w:val="fr-FR"/>
        </w:rPr>
        <w:t>cument et au bas</w:t>
      </w:r>
      <w:r w:rsidR="00551404" w:rsidRPr="00FA29A4">
        <w:rPr>
          <w:sz w:val="24"/>
          <w:szCs w:val="24"/>
          <w:lang w:val="fr-FR"/>
        </w:rPr>
        <w:t xml:space="preserve"> de chaque page</w:t>
      </w:r>
      <w:bookmarkEnd w:id="3"/>
      <w:r w:rsidR="00D365BC" w:rsidRPr="00FA29A4">
        <w:rPr>
          <w:sz w:val="24"/>
          <w:szCs w:val="24"/>
          <w:lang w:val="fr-FR"/>
        </w:rPr>
        <w:t>.</w:t>
      </w:r>
    </w:p>
    <w:p w14:paraId="4F8FC341" w14:textId="77777777" w:rsidR="00C73604" w:rsidRPr="00FA29A4" w:rsidRDefault="00C73604" w:rsidP="00C73604">
      <w:pPr>
        <w:pStyle w:val="ColorfulList-Accent11"/>
        <w:jc w:val="both"/>
        <w:rPr>
          <w:sz w:val="24"/>
          <w:szCs w:val="24"/>
          <w:lang w:val="fr-FR"/>
        </w:rPr>
      </w:pPr>
    </w:p>
    <w:p w14:paraId="594279D7" w14:textId="77777777" w:rsidR="00635E91" w:rsidRPr="00C73604" w:rsidRDefault="00A94653" w:rsidP="00AD6CD3">
      <w:pPr>
        <w:pStyle w:val="Heading1"/>
        <w:numPr>
          <w:ilvl w:val="0"/>
          <w:numId w:val="3"/>
        </w:numPr>
        <w:jc w:val="center"/>
        <w:rPr>
          <w:rFonts w:ascii="Calibri" w:hAnsi="Calibri"/>
          <w:color w:val="1F497D"/>
          <w:lang w:val="fr-FR"/>
        </w:rPr>
      </w:pPr>
      <w:bookmarkStart w:id="4" w:name="_Toc3810460"/>
      <w:r w:rsidRPr="00C73604">
        <w:rPr>
          <w:rFonts w:ascii="Calibri" w:hAnsi="Calibri"/>
          <w:color w:val="1F497D"/>
          <w:lang w:val="fr-FR"/>
        </w:rPr>
        <w:t>DESCRIPTION</w:t>
      </w:r>
      <w:r w:rsidR="00551404" w:rsidRPr="00C73604">
        <w:rPr>
          <w:rFonts w:ascii="Calibri" w:hAnsi="Calibri"/>
          <w:color w:val="1F497D"/>
          <w:lang w:val="fr-FR"/>
        </w:rPr>
        <w:t xml:space="preserve"> DU PROGRAMME</w:t>
      </w:r>
      <w:bookmarkEnd w:id="4"/>
    </w:p>
    <w:p w14:paraId="66491627" w14:textId="6986A86A" w:rsidR="00A97392" w:rsidRPr="007278E9" w:rsidRDefault="00551404" w:rsidP="0068207E">
      <w:pPr>
        <w:pStyle w:val="Heading2"/>
        <w:numPr>
          <w:ilvl w:val="0"/>
          <w:numId w:val="0"/>
        </w:numPr>
        <w:ind w:left="450"/>
        <w:rPr>
          <w:lang w:val="fr-FR"/>
        </w:rPr>
      </w:pPr>
      <w:bookmarkStart w:id="5" w:name="_Toc3810461"/>
      <w:r w:rsidRPr="007278E9">
        <w:rPr>
          <w:lang w:val="fr-FR"/>
        </w:rPr>
        <w:t>OBJECTIFS DU</w:t>
      </w:r>
      <w:r w:rsidR="00EC4C49">
        <w:rPr>
          <w:lang w:val="fr-FR"/>
        </w:rPr>
        <w:t xml:space="preserve"> </w:t>
      </w:r>
      <w:r w:rsidR="001D47D9" w:rsidRPr="007278E9">
        <w:rPr>
          <w:lang w:val="fr-FR"/>
        </w:rPr>
        <w:t>PROGRAM</w:t>
      </w:r>
      <w:r w:rsidRPr="007278E9">
        <w:rPr>
          <w:lang w:val="fr-FR"/>
        </w:rPr>
        <w:t>ME</w:t>
      </w:r>
      <w:bookmarkEnd w:id="5"/>
    </w:p>
    <w:p w14:paraId="1CE3C956" w14:textId="77777777" w:rsidR="00B8242B" w:rsidRPr="007278E9" w:rsidRDefault="00B8242B" w:rsidP="00B8242B">
      <w:pPr>
        <w:pStyle w:val="ColorfulList-Accent11"/>
        <w:rPr>
          <w:b/>
          <w:color w:val="1F497D"/>
          <w:lang w:val="fr-FR"/>
        </w:rPr>
      </w:pPr>
    </w:p>
    <w:p w14:paraId="69AFA2AF" w14:textId="77777777" w:rsidR="00CA3E83" w:rsidRPr="00AA5024" w:rsidRDefault="00BD575B" w:rsidP="00BD575B">
      <w:pPr>
        <w:pStyle w:val="Paragraph"/>
        <w:numPr>
          <w:ilvl w:val="1"/>
          <w:numId w:val="4"/>
        </w:numPr>
        <w:tabs>
          <w:tab w:val="clear" w:pos="2448"/>
        </w:tabs>
        <w:rPr>
          <w:rFonts w:ascii="Arial" w:hAnsi="Arial" w:cs="Arial"/>
          <w:sz w:val="22"/>
        </w:rPr>
      </w:pPr>
      <w:bookmarkStart w:id="6" w:name="_Toc3810462"/>
      <w:r w:rsidRPr="00E713BA">
        <w:rPr>
          <w:rFonts w:ascii="Arial" w:eastAsia="Arial" w:hAnsi="Arial" w:cs="Arial"/>
          <w:b/>
          <w:bCs/>
          <w:sz w:val="22"/>
        </w:rPr>
        <w:t>Objectif.</w:t>
      </w:r>
      <w:bookmarkEnd w:id="6"/>
      <w:r w:rsidRPr="00E713BA">
        <w:rPr>
          <w:rFonts w:ascii="Arial" w:eastAsia="Arial" w:hAnsi="Arial" w:cs="Arial"/>
          <w:b/>
          <w:bCs/>
          <w:sz w:val="22"/>
        </w:rPr>
        <w:t xml:space="preserve"> </w:t>
      </w:r>
    </w:p>
    <w:p w14:paraId="077E912E" w14:textId="77777777" w:rsidR="007B030F" w:rsidRDefault="004059C2" w:rsidP="00BF3346">
      <w:pPr>
        <w:pStyle w:val="BodyText3"/>
        <w:ind w:left="450"/>
        <w:jc w:val="both"/>
        <w:rPr>
          <w:sz w:val="24"/>
          <w:szCs w:val="24"/>
          <w:lang w:val="fr-FR"/>
        </w:rPr>
      </w:pPr>
      <w:r w:rsidRPr="006603E9">
        <w:rPr>
          <w:sz w:val="24"/>
          <w:szCs w:val="24"/>
          <w:lang w:val="fr-FR"/>
        </w:rPr>
        <w:t>L’objectif du Projet est l’expansion de la couverture des services fournis par le Ministère de l’Agriculture, des Ressources Naturelles et du Développement Rural (MARNDR) et le Ministère des Travaux Publics, Transport et Communication (MTPTC) et d’autres entités du secteur public grâce à l’amélioration de : (i) l’efficacité de la gestion des ressources humaines dans l’Administration Publique (AP) (y compris le MARNDR et le MTPTC) ; (ii) l'efficience de la gestion des ressources humaines ; et (iii) la productivité des ressources humaines du MARNDR, du MTPTC et d’autres entités du secteur public.</w:t>
      </w:r>
    </w:p>
    <w:p w14:paraId="0A1B5378" w14:textId="2049674A" w:rsidR="004059C2" w:rsidRPr="006603E9" w:rsidRDefault="007B030F" w:rsidP="00BF3346">
      <w:pPr>
        <w:pStyle w:val="BodyText3"/>
        <w:ind w:left="450"/>
        <w:jc w:val="both"/>
        <w:rPr>
          <w:sz w:val="24"/>
          <w:szCs w:val="24"/>
          <w:lang w:val="fr-FR"/>
        </w:rPr>
      </w:pPr>
      <w:r w:rsidRPr="007B030F">
        <w:rPr>
          <w:sz w:val="24"/>
          <w:szCs w:val="24"/>
          <w:lang w:val="fr-FR"/>
        </w:rPr>
        <w:t xml:space="preserve">Les ministères sélectionnés pour initier le projet sont le MEF, MARNDR et le MTPTC, mais d’autres pourront s’y joindre sur demande du Bureau du Premier Ministre et suivant les procédures dans le Manuel d’Opération du Projet (MOP). Les composantes sont détaillées ci-après.  </w:t>
      </w:r>
    </w:p>
    <w:p w14:paraId="43A4290D" w14:textId="77777777" w:rsidR="00BD575B" w:rsidRDefault="00BD575B" w:rsidP="00BD575B">
      <w:pPr>
        <w:pStyle w:val="ColorfulList-Accent11"/>
        <w:jc w:val="both"/>
        <w:rPr>
          <w:sz w:val="24"/>
          <w:szCs w:val="24"/>
          <w:lang w:val="fr-FR"/>
        </w:rPr>
      </w:pPr>
    </w:p>
    <w:p w14:paraId="0BC7B53D" w14:textId="6BC4594F" w:rsidR="00A06E1B" w:rsidRDefault="0016749F" w:rsidP="00BF3346">
      <w:pPr>
        <w:pStyle w:val="ColorfulList-Accent11"/>
        <w:numPr>
          <w:ilvl w:val="1"/>
          <w:numId w:val="4"/>
        </w:numPr>
        <w:jc w:val="both"/>
        <w:rPr>
          <w:sz w:val="24"/>
          <w:szCs w:val="24"/>
          <w:lang w:val="fr-FR"/>
        </w:rPr>
      </w:pPr>
      <w:r w:rsidRPr="00A406D3">
        <w:rPr>
          <w:b/>
          <w:sz w:val="24"/>
          <w:szCs w:val="24"/>
          <w:lang w:val="fr-FR"/>
        </w:rPr>
        <w:t xml:space="preserve">Le Programme compte </w:t>
      </w:r>
      <w:r w:rsidR="004059C2">
        <w:rPr>
          <w:b/>
          <w:sz w:val="24"/>
          <w:szCs w:val="24"/>
          <w:lang w:val="fr-FR"/>
        </w:rPr>
        <w:t xml:space="preserve">trois </w:t>
      </w:r>
      <w:r w:rsidRPr="00A406D3">
        <w:rPr>
          <w:b/>
          <w:sz w:val="24"/>
          <w:szCs w:val="24"/>
          <w:lang w:val="fr-FR"/>
        </w:rPr>
        <w:t xml:space="preserve">composantes : </w:t>
      </w:r>
      <w:bookmarkStart w:id="7" w:name="_Hlk530811327"/>
      <w:r w:rsidRPr="00A406D3">
        <w:rPr>
          <w:sz w:val="24"/>
          <w:szCs w:val="24"/>
          <w:lang w:val="fr-FR"/>
        </w:rPr>
        <w:t xml:space="preserve">une composante </w:t>
      </w:r>
      <w:r w:rsidR="009E6109" w:rsidRPr="00A406D3">
        <w:rPr>
          <w:sz w:val="24"/>
          <w:szCs w:val="24"/>
          <w:lang w:val="fr-FR"/>
        </w:rPr>
        <w:t xml:space="preserve">visant </w:t>
      </w:r>
      <w:r w:rsidR="000068CB" w:rsidRPr="00A406D3">
        <w:rPr>
          <w:sz w:val="24"/>
          <w:szCs w:val="24"/>
          <w:lang w:val="fr-FR"/>
        </w:rPr>
        <w:t xml:space="preserve">le renforcement de la </w:t>
      </w:r>
      <w:r w:rsidR="004059C2">
        <w:rPr>
          <w:sz w:val="24"/>
          <w:szCs w:val="24"/>
          <w:lang w:val="fr-FR"/>
        </w:rPr>
        <w:t>régime</w:t>
      </w:r>
      <w:r w:rsidR="004059C2" w:rsidRPr="00A406D3">
        <w:rPr>
          <w:sz w:val="24"/>
          <w:szCs w:val="24"/>
          <w:lang w:val="fr-FR"/>
        </w:rPr>
        <w:t xml:space="preserve"> </w:t>
      </w:r>
      <w:r w:rsidR="000068CB" w:rsidRPr="00A406D3">
        <w:rPr>
          <w:sz w:val="24"/>
          <w:szCs w:val="24"/>
          <w:lang w:val="fr-FR"/>
        </w:rPr>
        <w:t>transversal d</w:t>
      </w:r>
      <w:r w:rsidR="005F5964">
        <w:rPr>
          <w:sz w:val="24"/>
          <w:szCs w:val="24"/>
          <w:lang w:val="fr-FR"/>
        </w:rPr>
        <w:t>e la Fonction Publique (FP) et de la gestion d</w:t>
      </w:r>
      <w:r w:rsidR="000068CB" w:rsidRPr="00A406D3">
        <w:rPr>
          <w:sz w:val="24"/>
          <w:szCs w:val="24"/>
          <w:lang w:val="fr-FR"/>
        </w:rPr>
        <w:t xml:space="preserve">es ressources </w:t>
      </w:r>
      <w:proofErr w:type="gramStart"/>
      <w:r w:rsidR="000068CB" w:rsidRPr="00A406D3">
        <w:rPr>
          <w:sz w:val="24"/>
          <w:szCs w:val="24"/>
          <w:lang w:val="fr-FR"/>
        </w:rPr>
        <w:t>humaines</w:t>
      </w:r>
      <w:r w:rsidR="00F327D0">
        <w:rPr>
          <w:sz w:val="24"/>
          <w:szCs w:val="24"/>
          <w:lang w:val="fr-FR"/>
        </w:rPr>
        <w:t>;</w:t>
      </w:r>
      <w:proofErr w:type="gramEnd"/>
      <w:r w:rsidRPr="00A406D3">
        <w:rPr>
          <w:sz w:val="24"/>
          <w:szCs w:val="24"/>
          <w:lang w:val="fr-FR"/>
        </w:rPr>
        <w:t xml:space="preserve"> une</w:t>
      </w:r>
      <w:r w:rsidR="00786E39">
        <w:rPr>
          <w:sz w:val="24"/>
          <w:szCs w:val="24"/>
          <w:lang w:val="fr-FR"/>
        </w:rPr>
        <w:t xml:space="preserve"> deuxième</w:t>
      </w:r>
      <w:r w:rsidRPr="00A406D3">
        <w:rPr>
          <w:sz w:val="24"/>
          <w:szCs w:val="24"/>
          <w:lang w:val="fr-FR"/>
        </w:rPr>
        <w:t xml:space="preserve"> composante ciblant </w:t>
      </w:r>
      <w:r w:rsidR="003C3B63" w:rsidRPr="00A406D3">
        <w:rPr>
          <w:sz w:val="24"/>
          <w:szCs w:val="24"/>
          <w:lang w:val="fr-FR"/>
        </w:rPr>
        <w:t>l’amélioration des systèmes transversaux d</w:t>
      </w:r>
      <w:r w:rsidR="005F5964">
        <w:rPr>
          <w:sz w:val="24"/>
          <w:szCs w:val="24"/>
          <w:lang w:val="fr-FR"/>
        </w:rPr>
        <w:t xml:space="preserve">’appui à la </w:t>
      </w:r>
      <w:r w:rsidR="003C3B63" w:rsidRPr="00A406D3">
        <w:rPr>
          <w:sz w:val="24"/>
          <w:szCs w:val="24"/>
          <w:lang w:val="fr-FR"/>
        </w:rPr>
        <w:lastRenderedPageBreak/>
        <w:t>gestion des ressources humaines</w:t>
      </w:r>
      <w:r w:rsidR="00F327D0">
        <w:rPr>
          <w:sz w:val="24"/>
          <w:szCs w:val="24"/>
          <w:lang w:val="fr-FR"/>
        </w:rPr>
        <w:t> ;</w:t>
      </w:r>
      <w:r w:rsidR="003C3B63" w:rsidRPr="00A406D3">
        <w:rPr>
          <w:sz w:val="24"/>
          <w:szCs w:val="24"/>
          <w:lang w:val="fr-FR"/>
        </w:rPr>
        <w:t xml:space="preserve"> </w:t>
      </w:r>
      <w:r w:rsidR="005F5964">
        <w:rPr>
          <w:sz w:val="24"/>
          <w:szCs w:val="24"/>
          <w:lang w:val="fr-FR"/>
        </w:rPr>
        <w:t xml:space="preserve">et </w:t>
      </w:r>
      <w:r w:rsidR="003C3B63" w:rsidRPr="00A406D3">
        <w:rPr>
          <w:sz w:val="24"/>
          <w:szCs w:val="24"/>
          <w:lang w:val="fr-FR"/>
        </w:rPr>
        <w:t xml:space="preserve">une </w:t>
      </w:r>
      <w:r w:rsidR="009E6109" w:rsidRPr="00A406D3">
        <w:rPr>
          <w:sz w:val="24"/>
          <w:szCs w:val="24"/>
          <w:lang w:val="fr-FR"/>
        </w:rPr>
        <w:t>troisième</w:t>
      </w:r>
      <w:r w:rsidR="003C3B63" w:rsidRPr="00A406D3">
        <w:rPr>
          <w:sz w:val="24"/>
          <w:szCs w:val="24"/>
          <w:lang w:val="fr-FR"/>
        </w:rPr>
        <w:t xml:space="preserve"> composante</w:t>
      </w:r>
      <w:r w:rsidR="009E6109" w:rsidRPr="00A406D3">
        <w:rPr>
          <w:sz w:val="24"/>
          <w:szCs w:val="24"/>
          <w:lang w:val="fr-FR"/>
        </w:rPr>
        <w:t xml:space="preserve"> visant </w:t>
      </w:r>
      <w:r w:rsidR="00EF0BA1" w:rsidRPr="00A406D3">
        <w:rPr>
          <w:sz w:val="24"/>
          <w:szCs w:val="24"/>
          <w:lang w:val="fr-FR"/>
        </w:rPr>
        <w:t xml:space="preserve">le renforcement de la capacité </w:t>
      </w:r>
      <w:r w:rsidR="005F5964">
        <w:rPr>
          <w:sz w:val="24"/>
          <w:szCs w:val="24"/>
          <w:lang w:val="fr-FR"/>
        </w:rPr>
        <w:t>de prestation de services dans les ministères et</w:t>
      </w:r>
      <w:r w:rsidR="00EF0BA1" w:rsidRPr="00A406D3">
        <w:rPr>
          <w:sz w:val="24"/>
          <w:szCs w:val="24"/>
          <w:lang w:val="fr-FR"/>
        </w:rPr>
        <w:t xml:space="preserve"> entités </w:t>
      </w:r>
      <w:r w:rsidR="005F5964">
        <w:rPr>
          <w:sz w:val="24"/>
          <w:szCs w:val="24"/>
          <w:lang w:val="fr-FR"/>
        </w:rPr>
        <w:t xml:space="preserve">du secteur publique </w:t>
      </w:r>
      <w:r w:rsidR="00EF0BA1" w:rsidRPr="00A406D3">
        <w:rPr>
          <w:sz w:val="24"/>
          <w:szCs w:val="24"/>
          <w:lang w:val="fr-FR"/>
        </w:rPr>
        <w:t>sélectionnées</w:t>
      </w:r>
      <w:r w:rsidR="005F5964">
        <w:rPr>
          <w:sz w:val="24"/>
          <w:szCs w:val="24"/>
          <w:lang w:val="fr-FR"/>
        </w:rPr>
        <w:t xml:space="preserve">. De plus, le projet financera </w:t>
      </w:r>
      <w:r w:rsidR="00AA054F">
        <w:rPr>
          <w:sz w:val="24"/>
          <w:szCs w:val="24"/>
          <w:lang w:val="fr-FR"/>
        </w:rPr>
        <w:t>les couts</w:t>
      </w:r>
      <w:r w:rsidR="005F5964">
        <w:rPr>
          <w:sz w:val="24"/>
          <w:szCs w:val="24"/>
          <w:lang w:val="fr-FR"/>
        </w:rPr>
        <w:t xml:space="preserve"> de la gestion du projet.</w:t>
      </w:r>
    </w:p>
    <w:p w14:paraId="07808CA7" w14:textId="41018126" w:rsidR="00A06E1B" w:rsidRPr="00C9307C" w:rsidRDefault="00E153C0" w:rsidP="00720B8F">
      <w:pPr>
        <w:pStyle w:val="Heading2"/>
        <w:numPr>
          <w:ilvl w:val="0"/>
          <w:numId w:val="0"/>
        </w:numPr>
        <w:jc w:val="both"/>
        <w:rPr>
          <w:lang w:val="fr-FR"/>
        </w:rPr>
      </w:pPr>
      <w:bookmarkStart w:id="8" w:name="_Toc3810463"/>
      <w:bookmarkEnd w:id="7"/>
      <w:r w:rsidRPr="007278E9">
        <w:rPr>
          <w:lang w:val="fr-FR"/>
        </w:rPr>
        <w:t xml:space="preserve">COMPOSANTE </w:t>
      </w:r>
      <w:r w:rsidR="00174DE6" w:rsidRPr="007278E9">
        <w:rPr>
          <w:lang w:val="fr-FR"/>
        </w:rPr>
        <w:t>I</w:t>
      </w:r>
      <w:r w:rsidR="00174DE6" w:rsidRPr="00C9307C">
        <w:rPr>
          <w:lang w:val="fr-FR"/>
        </w:rPr>
        <w:t>– RENFORCEMENT</w:t>
      </w:r>
      <w:r w:rsidR="00577C74" w:rsidRPr="00C9307C">
        <w:rPr>
          <w:lang w:val="fr-FR"/>
        </w:rPr>
        <w:t xml:space="preserve"> D</w:t>
      </w:r>
      <w:r w:rsidR="001F1C06" w:rsidRPr="00C9307C">
        <w:rPr>
          <w:lang w:val="fr-FR"/>
        </w:rPr>
        <w:t xml:space="preserve">U REGIME </w:t>
      </w:r>
      <w:r w:rsidR="00577C74" w:rsidRPr="00C9307C">
        <w:rPr>
          <w:lang w:val="fr-FR"/>
        </w:rPr>
        <w:t>TRANSVERSAL</w:t>
      </w:r>
      <w:r w:rsidR="001F1C06" w:rsidRPr="00C9307C">
        <w:rPr>
          <w:lang w:val="fr-FR"/>
        </w:rPr>
        <w:t xml:space="preserve"> DE LA FONCTION PUBLIQUE ET DE LA </w:t>
      </w:r>
      <w:proofErr w:type="gramStart"/>
      <w:r w:rsidR="001F1C06" w:rsidRPr="00C9307C">
        <w:rPr>
          <w:lang w:val="fr-FR"/>
        </w:rPr>
        <w:t xml:space="preserve">GESTION </w:t>
      </w:r>
      <w:r w:rsidR="00577C74" w:rsidRPr="00C9307C">
        <w:rPr>
          <w:lang w:val="fr-FR"/>
        </w:rPr>
        <w:t xml:space="preserve"> DES</w:t>
      </w:r>
      <w:proofErr w:type="gramEnd"/>
      <w:r w:rsidR="00577C74" w:rsidRPr="00C9307C">
        <w:rPr>
          <w:lang w:val="fr-FR"/>
        </w:rPr>
        <w:t xml:space="preserve"> RESSOURCES HUMAINES </w:t>
      </w:r>
      <w:r w:rsidR="0010223A" w:rsidRPr="00C9307C">
        <w:rPr>
          <w:lang w:val="fr-FR"/>
        </w:rPr>
        <w:t>(</w:t>
      </w:r>
      <w:r w:rsidR="0010223A" w:rsidRPr="006603E9">
        <w:rPr>
          <w:lang w:val="fr-FR"/>
        </w:rPr>
        <w:t xml:space="preserve">US$ </w:t>
      </w:r>
      <w:r w:rsidR="005F5964" w:rsidRPr="006603E9">
        <w:rPr>
          <w:lang w:val="fr-FR"/>
        </w:rPr>
        <w:t>8,94</w:t>
      </w:r>
      <w:r w:rsidR="00455F9C" w:rsidRPr="006603E9">
        <w:rPr>
          <w:lang w:val="fr-FR"/>
        </w:rPr>
        <w:t>M</w:t>
      </w:r>
      <w:r w:rsidR="00871B10" w:rsidRPr="00C9307C">
        <w:rPr>
          <w:lang w:val="fr-FR"/>
        </w:rPr>
        <w:t>)</w:t>
      </w:r>
      <w:bookmarkEnd w:id="8"/>
    </w:p>
    <w:p w14:paraId="69A08B94" w14:textId="77777777" w:rsidR="0066404C" w:rsidRPr="00C9307C" w:rsidRDefault="0066404C" w:rsidP="00826134">
      <w:pPr>
        <w:pStyle w:val="ColorfulList-Accent11"/>
        <w:ind w:left="1080"/>
        <w:rPr>
          <w:lang w:val="fr-FR"/>
        </w:rPr>
      </w:pPr>
    </w:p>
    <w:p w14:paraId="4F178D59" w14:textId="55847835" w:rsidR="003276CF" w:rsidRPr="00C9307C" w:rsidRDefault="00E153C0" w:rsidP="00AD6CD3">
      <w:pPr>
        <w:pStyle w:val="ColorfulList-Accent11"/>
        <w:numPr>
          <w:ilvl w:val="1"/>
          <w:numId w:val="4"/>
        </w:numPr>
        <w:ind w:left="720"/>
        <w:jc w:val="both"/>
        <w:rPr>
          <w:sz w:val="24"/>
          <w:szCs w:val="24"/>
          <w:lang w:val="fr-FR"/>
        </w:rPr>
      </w:pPr>
      <w:bookmarkStart w:id="9" w:name="_Hlk516756215"/>
      <w:bookmarkStart w:id="10" w:name="_Hlk516758268"/>
      <w:bookmarkStart w:id="11" w:name="_Hlk516752407"/>
      <w:r w:rsidRPr="00C9307C">
        <w:rPr>
          <w:sz w:val="24"/>
          <w:szCs w:val="24"/>
          <w:lang w:val="fr-FR"/>
        </w:rPr>
        <w:t>Cette</w:t>
      </w:r>
      <w:r w:rsidR="00A744E3" w:rsidRPr="00C9307C">
        <w:rPr>
          <w:sz w:val="24"/>
          <w:szCs w:val="24"/>
          <w:lang w:val="fr-FR"/>
        </w:rPr>
        <w:t xml:space="preserve"> </w:t>
      </w:r>
      <w:r w:rsidRPr="00C9307C">
        <w:rPr>
          <w:sz w:val="24"/>
          <w:szCs w:val="24"/>
          <w:lang w:val="fr-FR"/>
        </w:rPr>
        <w:t xml:space="preserve">composante </w:t>
      </w:r>
      <w:bookmarkEnd w:id="9"/>
      <w:r w:rsidRPr="00C9307C">
        <w:rPr>
          <w:sz w:val="24"/>
          <w:szCs w:val="24"/>
          <w:lang w:val="fr-FR"/>
        </w:rPr>
        <w:t xml:space="preserve">financera </w:t>
      </w:r>
      <w:r w:rsidR="00E976BB" w:rsidRPr="00C9307C">
        <w:rPr>
          <w:sz w:val="24"/>
          <w:szCs w:val="24"/>
          <w:lang w:val="fr-FR"/>
        </w:rPr>
        <w:t xml:space="preserve">en tout ou en partie </w:t>
      </w:r>
      <w:r w:rsidRPr="00C9307C">
        <w:rPr>
          <w:sz w:val="24"/>
          <w:szCs w:val="24"/>
          <w:lang w:val="fr-FR"/>
        </w:rPr>
        <w:t xml:space="preserve">des activités dans </w:t>
      </w:r>
      <w:r w:rsidR="007C6C82" w:rsidRPr="00C9307C">
        <w:rPr>
          <w:sz w:val="24"/>
          <w:szCs w:val="24"/>
          <w:lang w:val="fr-FR"/>
        </w:rPr>
        <w:t>neuf</w:t>
      </w:r>
      <w:r w:rsidR="00F94CB2" w:rsidRPr="00C9307C">
        <w:rPr>
          <w:sz w:val="24"/>
          <w:szCs w:val="24"/>
          <w:lang w:val="fr-FR"/>
        </w:rPr>
        <w:t xml:space="preserve"> </w:t>
      </w:r>
      <w:r w:rsidRPr="00C9307C">
        <w:rPr>
          <w:sz w:val="24"/>
          <w:szCs w:val="24"/>
          <w:lang w:val="fr-FR"/>
        </w:rPr>
        <w:t xml:space="preserve">domaines critiques de </w:t>
      </w:r>
      <w:r w:rsidR="00D004A6" w:rsidRPr="00C9307C">
        <w:rPr>
          <w:sz w:val="24"/>
          <w:szCs w:val="24"/>
          <w:lang w:val="fr-FR"/>
        </w:rPr>
        <w:t>renforcement :</w:t>
      </w:r>
    </w:p>
    <w:bookmarkEnd w:id="10"/>
    <w:p w14:paraId="55966E57" w14:textId="77777777" w:rsidR="00E153C0" w:rsidRPr="00C9307C" w:rsidRDefault="00E153C0" w:rsidP="00E153C0">
      <w:pPr>
        <w:pStyle w:val="ColorfulList-Accent11"/>
        <w:jc w:val="both"/>
        <w:rPr>
          <w:sz w:val="24"/>
          <w:szCs w:val="24"/>
          <w:lang w:val="fr-FR"/>
        </w:rPr>
      </w:pPr>
    </w:p>
    <w:p w14:paraId="0713E5BD" w14:textId="77777777" w:rsidR="00CE1F44" w:rsidRPr="00C9307C" w:rsidRDefault="00D01131" w:rsidP="00AD6CD3">
      <w:pPr>
        <w:pStyle w:val="ColorfulList-Accent11"/>
        <w:numPr>
          <w:ilvl w:val="0"/>
          <w:numId w:val="9"/>
        </w:numPr>
        <w:jc w:val="both"/>
        <w:rPr>
          <w:sz w:val="24"/>
          <w:szCs w:val="24"/>
          <w:lang w:val="fr-FR"/>
        </w:rPr>
      </w:pPr>
      <w:r w:rsidRPr="00C9307C">
        <w:rPr>
          <w:sz w:val="24"/>
          <w:szCs w:val="24"/>
          <w:lang w:val="fr-FR"/>
        </w:rPr>
        <w:t>L’</w:t>
      </w:r>
      <w:r w:rsidR="001F1C06" w:rsidRPr="00C9307C">
        <w:rPr>
          <w:sz w:val="24"/>
          <w:szCs w:val="24"/>
          <w:lang w:val="fr-FR"/>
        </w:rPr>
        <w:t xml:space="preserve">application d’une politique de </w:t>
      </w:r>
      <w:r w:rsidRPr="00C9307C">
        <w:rPr>
          <w:sz w:val="24"/>
          <w:szCs w:val="24"/>
          <w:lang w:val="fr-FR"/>
        </w:rPr>
        <w:t>gestion des R</w:t>
      </w:r>
      <w:r w:rsidR="001F1C06" w:rsidRPr="00C9307C">
        <w:rPr>
          <w:sz w:val="24"/>
          <w:szCs w:val="24"/>
          <w:lang w:val="fr-FR"/>
        </w:rPr>
        <w:t>essources humaines (R</w:t>
      </w:r>
      <w:r w:rsidRPr="00C9307C">
        <w:rPr>
          <w:sz w:val="24"/>
          <w:szCs w:val="24"/>
          <w:lang w:val="fr-FR"/>
        </w:rPr>
        <w:t>H</w:t>
      </w:r>
      <w:proofErr w:type="gramStart"/>
      <w:r w:rsidR="001F1C06" w:rsidRPr="00C9307C">
        <w:rPr>
          <w:sz w:val="24"/>
          <w:szCs w:val="24"/>
          <w:lang w:val="fr-FR"/>
        </w:rPr>
        <w:t>)</w:t>
      </w:r>
      <w:r w:rsidR="007E5D63" w:rsidRPr="00C9307C">
        <w:rPr>
          <w:sz w:val="24"/>
          <w:szCs w:val="24"/>
          <w:lang w:val="fr-FR"/>
        </w:rPr>
        <w:t>;</w:t>
      </w:r>
      <w:proofErr w:type="gramEnd"/>
    </w:p>
    <w:p w14:paraId="216126E1" w14:textId="60143453" w:rsidR="00CE1F44" w:rsidRPr="00C9307C" w:rsidRDefault="007E5D63" w:rsidP="00AD6CD3">
      <w:pPr>
        <w:pStyle w:val="ColorfulList-Accent11"/>
        <w:numPr>
          <w:ilvl w:val="0"/>
          <w:numId w:val="9"/>
        </w:numPr>
        <w:jc w:val="both"/>
        <w:rPr>
          <w:sz w:val="24"/>
          <w:szCs w:val="24"/>
          <w:lang w:val="fr-FR"/>
        </w:rPr>
      </w:pPr>
      <w:r w:rsidRPr="006603E9">
        <w:rPr>
          <w:sz w:val="24"/>
          <w:szCs w:val="24"/>
          <w:lang w:val="fr-FR"/>
        </w:rPr>
        <w:t xml:space="preserve">Le </w:t>
      </w:r>
      <w:r w:rsidR="00CA3E83" w:rsidRPr="006603E9">
        <w:rPr>
          <w:sz w:val="24"/>
          <w:szCs w:val="24"/>
          <w:lang w:val="fr-FR"/>
        </w:rPr>
        <w:t>r</w:t>
      </w:r>
      <w:r w:rsidRPr="006603E9">
        <w:rPr>
          <w:sz w:val="24"/>
          <w:szCs w:val="24"/>
          <w:lang w:val="fr-FR"/>
        </w:rPr>
        <w:t>enforcement du cadre</w:t>
      </w:r>
      <w:r w:rsidR="00221D4B" w:rsidRPr="006603E9">
        <w:rPr>
          <w:sz w:val="24"/>
          <w:szCs w:val="24"/>
          <w:lang w:val="fr-FR"/>
        </w:rPr>
        <w:t xml:space="preserve"> </w:t>
      </w:r>
      <w:r w:rsidR="00FB7F6E">
        <w:rPr>
          <w:sz w:val="24"/>
          <w:szCs w:val="24"/>
          <w:lang w:val="fr-FR"/>
        </w:rPr>
        <w:t>juridique</w:t>
      </w:r>
      <w:r w:rsidR="00FB7F6E" w:rsidRPr="006603E9">
        <w:rPr>
          <w:sz w:val="24"/>
          <w:szCs w:val="24"/>
          <w:lang w:val="fr-FR"/>
        </w:rPr>
        <w:t xml:space="preserve"> </w:t>
      </w:r>
      <w:r w:rsidRPr="006603E9">
        <w:rPr>
          <w:sz w:val="24"/>
          <w:szCs w:val="24"/>
          <w:lang w:val="fr-FR"/>
        </w:rPr>
        <w:t>et réglement</w:t>
      </w:r>
      <w:r w:rsidR="00CA3E83" w:rsidRPr="006603E9">
        <w:rPr>
          <w:sz w:val="24"/>
          <w:szCs w:val="24"/>
          <w:lang w:val="fr-FR"/>
        </w:rPr>
        <w:t xml:space="preserve">aire </w:t>
      </w:r>
      <w:r w:rsidR="001F1C06" w:rsidRPr="006603E9">
        <w:rPr>
          <w:sz w:val="24"/>
          <w:szCs w:val="24"/>
          <w:lang w:val="fr-FR"/>
        </w:rPr>
        <w:t>de</w:t>
      </w:r>
      <w:r w:rsidR="00221D4B" w:rsidRPr="006603E9">
        <w:rPr>
          <w:sz w:val="24"/>
          <w:szCs w:val="24"/>
          <w:lang w:val="fr-FR"/>
        </w:rPr>
        <w:t xml:space="preserve"> </w:t>
      </w:r>
      <w:r w:rsidR="00CA3E83" w:rsidRPr="006603E9">
        <w:rPr>
          <w:sz w:val="24"/>
          <w:szCs w:val="24"/>
          <w:lang w:val="fr-FR"/>
        </w:rPr>
        <w:t>la fonction publique</w:t>
      </w:r>
      <w:r w:rsidR="002631DC" w:rsidRPr="006603E9">
        <w:rPr>
          <w:sz w:val="24"/>
          <w:szCs w:val="24"/>
          <w:lang w:val="fr-FR"/>
        </w:rPr>
        <w:t xml:space="preserve"> </w:t>
      </w:r>
      <w:r w:rsidRPr="006603E9">
        <w:rPr>
          <w:sz w:val="24"/>
          <w:szCs w:val="24"/>
          <w:lang w:val="fr-FR"/>
        </w:rPr>
        <w:t>;</w:t>
      </w:r>
      <w:r w:rsidRPr="00C9307C">
        <w:rPr>
          <w:sz w:val="24"/>
          <w:szCs w:val="24"/>
          <w:lang w:val="fr-FR"/>
        </w:rPr>
        <w:t xml:space="preserve"> </w:t>
      </w:r>
    </w:p>
    <w:p w14:paraId="271D4774" w14:textId="77777777" w:rsidR="00D004A6" w:rsidRPr="007C6C82" w:rsidRDefault="007E5D63" w:rsidP="00AD6CD3">
      <w:pPr>
        <w:pStyle w:val="ColorfulList-Accent11"/>
        <w:numPr>
          <w:ilvl w:val="0"/>
          <w:numId w:val="9"/>
        </w:numPr>
        <w:jc w:val="both"/>
        <w:rPr>
          <w:sz w:val="24"/>
          <w:szCs w:val="24"/>
          <w:lang w:val="fr-FR"/>
        </w:rPr>
      </w:pPr>
      <w:bookmarkStart w:id="12" w:name="_Hlk516754227"/>
      <w:r>
        <w:rPr>
          <w:sz w:val="24"/>
          <w:szCs w:val="24"/>
          <w:lang w:val="fr-FR"/>
        </w:rPr>
        <w:t xml:space="preserve">Le renforcement des capacités </w:t>
      </w:r>
      <w:r w:rsidR="001F1C06">
        <w:rPr>
          <w:sz w:val="24"/>
          <w:szCs w:val="24"/>
          <w:lang w:val="fr-FR"/>
        </w:rPr>
        <w:t>administratives</w:t>
      </w:r>
      <w:r>
        <w:rPr>
          <w:sz w:val="24"/>
          <w:szCs w:val="24"/>
          <w:lang w:val="fr-FR"/>
        </w:rPr>
        <w:t xml:space="preserve"> et techniques de l'OMRH </w:t>
      </w:r>
      <w:bookmarkEnd w:id="12"/>
      <w:r>
        <w:rPr>
          <w:sz w:val="24"/>
          <w:szCs w:val="24"/>
          <w:lang w:val="fr-FR"/>
        </w:rPr>
        <w:t xml:space="preserve">; </w:t>
      </w:r>
    </w:p>
    <w:p w14:paraId="294AEC15" w14:textId="5B67E050" w:rsidR="009424B2" w:rsidRPr="007C6C82" w:rsidRDefault="00A511AA" w:rsidP="00AD6CD3">
      <w:pPr>
        <w:pStyle w:val="ColorfulList-Accent11"/>
        <w:numPr>
          <w:ilvl w:val="0"/>
          <w:numId w:val="9"/>
        </w:numPr>
        <w:jc w:val="both"/>
        <w:rPr>
          <w:sz w:val="24"/>
          <w:szCs w:val="24"/>
          <w:lang w:val="fr-FR"/>
        </w:rPr>
      </w:pPr>
      <w:r w:rsidRPr="00720B8F">
        <w:rPr>
          <w:rFonts w:eastAsia="Times New Roman" w:cs="Calibri"/>
          <w:bCs/>
          <w:color w:val="000000"/>
          <w:sz w:val="24"/>
          <w:szCs w:val="24"/>
          <w:lang w:val="fr-FR"/>
        </w:rPr>
        <w:t>L’</w:t>
      </w:r>
      <w:r w:rsidR="001F1C06">
        <w:rPr>
          <w:rFonts w:eastAsia="Times New Roman" w:cs="Calibri"/>
          <w:bCs/>
          <w:color w:val="000000"/>
          <w:sz w:val="24"/>
          <w:szCs w:val="24"/>
          <w:lang w:val="fr-FR"/>
        </w:rPr>
        <w:t xml:space="preserve">acquisition d’équipements informatiques </w:t>
      </w:r>
      <w:r w:rsidR="00D8424E">
        <w:rPr>
          <w:rFonts w:eastAsia="Times New Roman" w:cs="Calibri"/>
          <w:bCs/>
          <w:color w:val="000000"/>
          <w:sz w:val="24"/>
          <w:szCs w:val="24"/>
          <w:lang w:val="fr-FR"/>
        </w:rPr>
        <w:t>(</w:t>
      </w:r>
      <w:r w:rsidR="001F1C06">
        <w:rPr>
          <w:rFonts w:eastAsia="Times New Roman" w:cs="Calibri"/>
          <w:bCs/>
          <w:color w:val="000000"/>
          <w:sz w:val="24"/>
          <w:szCs w:val="24"/>
          <w:lang w:val="fr-FR"/>
        </w:rPr>
        <w:t>qui seront gérés par</w:t>
      </w:r>
      <w:r w:rsidR="00D8424E">
        <w:rPr>
          <w:rFonts w:eastAsia="Times New Roman" w:cs="Calibri"/>
          <w:bCs/>
          <w:color w:val="000000"/>
          <w:sz w:val="24"/>
          <w:szCs w:val="24"/>
          <w:lang w:val="fr-FR"/>
        </w:rPr>
        <w:t>) au bénéfice de</w:t>
      </w:r>
      <w:r w:rsidR="001F1C06">
        <w:rPr>
          <w:rFonts w:eastAsia="Times New Roman" w:cs="Calibri"/>
          <w:bCs/>
          <w:color w:val="000000"/>
          <w:sz w:val="24"/>
          <w:szCs w:val="24"/>
          <w:lang w:val="fr-FR"/>
        </w:rPr>
        <w:t xml:space="preserve"> l’OMRH</w:t>
      </w:r>
      <w:r w:rsidR="002631DC">
        <w:rPr>
          <w:rFonts w:eastAsia="Times New Roman" w:cs="Calibri"/>
          <w:bCs/>
          <w:color w:val="000000"/>
          <w:sz w:val="24"/>
          <w:szCs w:val="24"/>
          <w:lang w:val="fr-FR"/>
        </w:rPr>
        <w:t xml:space="preserve"> </w:t>
      </w:r>
      <w:r w:rsidR="001F1C06">
        <w:rPr>
          <w:rFonts w:eastAsia="Times New Roman" w:cs="Calibri"/>
          <w:bCs/>
          <w:color w:val="000000"/>
          <w:sz w:val="24"/>
          <w:szCs w:val="24"/>
          <w:lang w:val="fr-FR"/>
        </w:rPr>
        <w:t>;</w:t>
      </w:r>
    </w:p>
    <w:p w14:paraId="3A4FAB49" w14:textId="44DE1F39" w:rsidR="00AF4ADB" w:rsidRPr="007C6C82" w:rsidRDefault="00E03A1D">
      <w:pPr>
        <w:pStyle w:val="ColorfulList-Accent11"/>
        <w:numPr>
          <w:ilvl w:val="0"/>
          <w:numId w:val="9"/>
        </w:numPr>
        <w:jc w:val="both"/>
        <w:rPr>
          <w:sz w:val="24"/>
          <w:szCs w:val="24"/>
          <w:lang w:val="fr-FR"/>
        </w:rPr>
      </w:pPr>
      <w:r w:rsidRPr="007C6C82">
        <w:rPr>
          <w:sz w:val="24"/>
          <w:szCs w:val="24"/>
          <w:lang w:val="fr-FR"/>
        </w:rPr>
        <w:t xml:space="preserve">La </w:t>
      </w:r>
      <w:r w:rsidR="001F1C06">
        <w:rPr>
          <w:sz w:val="24"/>
          <w:szCs w:val="24"/>
          <w:lang w:val="fr-FR"/>
        </w:rPr>
        <w:t>c</w:t>
      </w:r>
      <w:r w:rsidRPr="007C6C82">
        <w:rPr>
          <w:sz w:val="24"/>
          <w:szCs w:val="24"/>
          <w:lang w:val="fr-FR"/>
        </w:rPr>
        <w:t xml:space="preserve">onception d’une nouvelle structure de </w:t>
      </w:r>
      <w:r w:rsidR="001F1C06">
        <w:rPr>
          <w:sz w:val="24"/>
          <w:szCs w:val="24"/>
          <w:lang w:val="fr-FR"/>
        </w:rPr>
        <w:t xml:space="preserve">classification des </w:t>
      </w:r>
      <w:r w:rsidR="006B7814">
        <w:rPr>
          <w:sz w:val="24"/>
          <w:szCs w:val="24"/>
          <w:lang w:val="fr-FR"/>
        </w:rPr>
        <w:t>emplois</w:t>
      </w:r>
      <w:r w:rsidR="00221D4B">
        <w:rPr>
          <w:sz w:val="24"/>
          <w:szCs w:val="24"/>
          <w:lang w:val="fr-FR"/>
        </w:rPr>
        <w:t xml:space="preserve"> </w:t>
      </w:r>
      <w:r w:rsidRPr="007C6C82">
        <w:rPr>
          <w:sz w:val="24"/>
          <w:szCs w:val="24"/>
          <w:lang w:val="fr-FR"/>
        </w:rPr>
        <w:t xml:space="preserve">et </w:t>
      </w:r>
      <w:r w:rsidR="006B7814">
        <w:rPr>
          <w:sz w:val="24"/>
          <w:szCs w:val="24"/>
          <w:lang w:val="fr-FR"/>
        </w:rPr>
        <w:t xml:space="preserve">élaboration et mise en œuvre </w:t>
      </w:r>
      <w:r w:rsidRPr="007C6C82">
        <w:rPr>
          <w:sz w:val="24"/>
          <w:szCs w:val="24"/>
          <w:lang w:val="fr-FR"/>
        </w:rPr>
        <w:t xml:space="preserve">de </w:t>
      </w:r>
      <w:r w:rsidR="001F1C06">
        <w:rPr>
          <w:sz w:val="24"/>
          <w:szCs w:val="24"/>
          <w:lang w:val="fr-FR"/>
        </w:rPr>
        <w:t xml:space="preserve">la grille </w:t>
      </w:r>
      <w:r w:rsidRPr="007C6C82">
        <w:rPr>
          <w:sz w:val="24"/>
          <w:szCs w:val="24"/>
          <w:lang w:val="fr-FR"/>
        </w:rPr>
        <w:t>sala</w:t>
      </w:r>
      <w:r w:rsidR="001F1C06">
        <w:rPr>
          <w:sz w:val="24"/>
          <w:szCs w:val="24"/>
          <w:lang w:val="fr-FR"/>
        </w:rPr>
        <w:t>r</w:t>
      </w:r>
      <w:r w:rsidRPr="007C6C82">
        <w:rPr>
          <w:sz w:val="24"/>
          <w:szCs w:val="24"/>
          <w:lang w:val="fr-FR"/>
        </w:rPr>
        <w:t>i</w:t>
      </w:r>
      <w:r w:rsidR="001F1C06">
        <w:rPr>
          <w:sz w:val="24"/>
          <w:szCs w:val="24"/>
          <w:lang w:val="fr-FR"/>
        </w:rPr>
        <w:t>al</w:t>
      </w:r>
      <w:r w:rsidRPr="007C6C82">
        <w:rPr>
          <w:sz w:val="24"/>
          <w:szCs w:val="24"/>
          <w:lang w:val="fr-FR"/>
        </w:rPr>
        <w:t>e</w:t>
      </w:r>
      <w:bookmarkEnd w:id="11"/>
      <w:r w:rsidR="00221D4B">
        <w:rPr>
          <w:sz w:val="24"/>
          <w:szCs w:val="24"/>
          <w:lang w:val="fr-FR"/>
        </w:rPr>
        <w:t xml:space="preserve"> </w:t>
      </w:r>
    </w:p>
    <w:p w14:paraId="1D6AD834" w14:textId="70267B5C" w:rsidR="009424B2" w:rsidRPr="007C6C82" w:rsidRDefault="007E5D63" w:rsidP="00AD6CD3">
      <w:pPr>
        <w:pStyle w:val="ColorfulList-Accent11"/>
        <w:numPr>
          <w:ilvl w:val="0"/>
          <w:numId w:val="9"/>
        </w:numPr>
        <w:jc w:val="both"/>
        <w:rPr>
          <w:sz w:val="24"/>
          <w:szCs w:val="24"/>
          <w:lang w:val="fr-FR"/>
        </w:rPr>
      </w:pPr>
      <w:r>
        <w:rPr>
          <w:sz w:val="24"/>
          <w:szCs w:val="24"/>
          <w:lang w:val="fr-FR"/>
        </w:rPr>
        <w:t>La conception du programme d’incitation</w:t>
      </w:r>
      <w:r w:rsidR="001F1C06">
        <w:rPr>
          <w:sz w:val="24"/>
          <w:szCs w:val="24"/>
          <w:lang w:val="fr-FR"/>
        </w:rPr>
        <w:t>s</w:t>
      </w:r>
      <w:r w:rsidR="00221D4B">
        <w:rPr>
          <w:sz w:val="24"/>
          <w:szCs w:val="24"/>
          <w:lang w:val="fr-FR"/>
        </w:rPr>
        <w:t xml:space="preserve"> </w:t>
      </w:r>
      <w:r w:rsidR="001F1C06">
        <w:rPr>
          <w:sz w:val="24"/>
          <w:szCs w:val="24"/>
          <w:lang w:val="fr-FR"/>
        </w:rPr>
        <w:t>au</w:t>
      </w:r>
      <w:r>
        <w:rPr>
          <w:sz w:val="24"/>
          <w:szCs w:val="24"/>
          <w:lang w:val="fr-FR"/>
        </w:rPr>
        <w:t xml:space="preserve"> départ à la retraite de fonctionnaires</w:t>
      </w:r>
      <w:r w:rsidR="001F1C06">
        <w:rPr>
          <w:sz w:val="24"/>
          <w:szCs w:val="24"/>
          <w:lang w:val="fr-FR"/>
        </w:rPr>
        <w:t xml:space="preserve"> ;</w:t>
      </w:r>
    </w:p>
    <w:p w14:paraId="26F4FDB6" w14:textId="77777777" w:rsidR="0068207E" w:rsidRPr="00720B8F" w:rsidRDefault="001F1C06" w:rsidP="00AD6CD3">
      <w:pPr>
        <w:pStyle w:val="ColorfulList-Accent11"/>
        <w:numPr>
          <w:ilvl w:val="0"/>
          <w:numId w:val="9"/>
        </w:numPr>
        <w:jc w:val="both"/>
        <w:rPr>
          <w:sz w:val="24"/>
          <w:szCs w:val="24"/>
          <w:lang w:val="fr-FR"/>
        </w:rPr>
      </w:pPr>
      <w:r w:rsidRPr="004C5F60">
        <w:rPr>
          <w:rFonts w:eastAsia="Times New Roman" w:cs="Calibri"/>
          <w:bCs/>
          <w:color w:val="000000"/>
          <w:sz w:val="24"/>
          <w:szCs w:val="24"/>
          <w:lang w:val="fr-FR"/>
        </w:rPr>
        <w:t>Le Renforcement de la</w:t>
      </w:r>
      <w:r w:rsidR="0068207E">
        <w:rPr>
          <w:rFonts w:eastAsia="Times New Roman" w:cs="Calibri"/>
          <w:bCs/>
          <w:color w:val="000000"/>
          <w:sz w:val="24"/>
          <w:szCs w:val="24"/>
          <w:lang w:val="fr-FR"/>
        </w:rPr>
        <w:t xml:space="preserve"> dimension </w:t>
      </w:r>
      <w:r w:rsidRPr="004C5F60">
        <w:rPr>
          <w:rFonts w:eastAsia="Times New Roman" w:cs="Calibri"/>
          <w:bCs/>
          <w:color w:val="000000"/>
          <w:sz w:val="24"/>
          <w:szCs w:val="24"/>
          <w:lang w:val="fr-FR"/>
        </w:rPr>
        <w:t>genre dans la fonction publique</w:t>
      </w:r>
      <w:r w:rsidR="0068207E">
        <w:rPr>
          <w:rFonts w:eastAsia="Times New Roman" w:cs="Calibri"/>
          <w:bCs/>
          <w:color w:val="000000"/>
          <w:sz w:val="24"/>
          <w:szCs w:val="24"/>
          <w:lang w:val="fr-FR"/>
        </w:rPr>
        <w:t> ;</w:t>
      </w:r>
    </w:p>
    <w:p w14:paraId="1FB5F926" w14:textId="4EF6438F" w:rsidR="00380F19" w:rsidRPr="00720B8F" w:rsidRDefault="0068207E" w:rsidP="00AD6CD3">
      <w:pPr>
        <w:pStyle w:val="ColorfulList-Accent11"/>
        <w:numPr>
          <w:ilvl w:val="0"/>
          <w:numId w:val="9"/>
        </w:numPr>
        <w:jc w:val="both"/>
        <w:rPr>
          <w:sz w:val="24"/>
          <w:szCs w:val="24"/>
          <w:lang w:val="fr-FR"/>
        </w:rPr>
      </w:pPr>
      <w:r>
        <w:rPr>
          <w:sz w:val="24"/>
          <w:szCs w:val="24"/>
          <w:lang w:val="fr-FR"/>
        </w:rPr>
        <w:t>La conception et l’application d’un</w:t>
      </w:r>
      <w:r w:rsidR="00221D4B">
        <w:rPr>
          <w:sz w:val="24"/>
          <w:szCs w:val="24"/>
          <w:lang w:val="fr-FR"/>
        </w:rPr>
        <w:t xml:space="preserve"> </w:t>
      </w:r>
      <w:r w:rsidR="00A511AA" w:rsidRPr="00720B8F">
        <w:rPr>
          <w:rFonts w:eastAsia="Times New Roman" w:cs="Calibri"/>
          <w:bCs/>
          <w:color w:val="000000"/>
          <w:sz w:val="24"/>
          <w:szCs w:val="24"/>
          <w:lang w:val="fr-FR"/>
        </w:rPr>
        <w:t xml:space="preserve">Plan de formation et de </w:t>
      </w:r>
      <w:r>
        <w:rPr>
          <w:rFonts w:eastAsia="Times New Roman" w:cs="Calibri"/>
          <w:bCs/>
          <w:color w:val="000000"/>
          <w:sz w:val="24"/>
          <w:szCs w:val="24"/>
          <w:lang w:val="fr-FR"/>
        </w:rPr>
        <w:t>développement continu</w:t>
      </w:r>
      <w:r w:rsidR="00A511AA" w:rsidRPr="00720B8F">
        <w:rPr>
          <w:rFonts w:eastAsia="Times New Roman" w:cs="Calibri"/>
          <w:bCs/>
          <w:color w:val="000000"/>
          <w:sz w:val="24"/>
          <w:szCs w:val="24"/>
          <w:lang w:val="fr-FR"/>
        </w:rPr>
        <w:t xml:space="preserve"> des compétences </w:t>
      </w:r>
      <w:r>
        <w:rPr>
          <w:rFonts w:eastAsia="Times New Roman" w:cs="Calibri"/>
          <w:bCs/>
          <w:color w:val="000000"/>
          <w:sz w:val="24"/>
          <w:szCs w:val="24"/>
          <w:lang w:val="fr-FR"/>
        </w:rPr>
        <w:t>au sein de l’administration publique, et ;</w:t>
      </w:r>
    </w:p>
    <w:p w14:paraId="2323EBF7" w14:textId="77777777" w:rsidR="00380F19" w:rsidRPr="0068207E" w:rsidRDefault="0068207E">
      <w:pPr>
        <w:pStyle w:val="ColorfulList-Accent11"/>
        <w:numPr>
          <w:ilvl w:val="0"/>
          <w:numId w:val="9"/>
        </w:numPr>
        <w:jc w:val="both"/>
        <w:rPr>
          <w:sz w:val="24"/>
          <w:szCs w:val="24"/>
          <w:lang w:val="fr-FR"/>
        </w:rPr>
      </w:pPr>
      <w:r>
        <w:rPr>
          <w:sz w:val="24"/>
          <w:szCs w:val="24"/>
          <w:lang w:val="fr-FR"/>
        </w:rPr>
        <w:t xml:space="preserve">La conception et l’application d’une stratégie de gestion </w:t>
      </w:r>
      <w:r w:rsidR="00A511AA" w:rsidRPr="00720B8F">
        <w:rPr>
          <w:rFonts w:eastAsia="Times New Roman" w:cs="Calibri"/>
          <w:bCs/>
          <w:color w:val="000000"/>
          <w:sz w:val="24"/>
          <w:szCs w:val="24"/>
          <w:lang w:val="fr-FR"/>
        </w:rPr>
        <w:t>d</w:t>
      </w:r>
      <w:r>
        <w:rPr>
          <w:rFonts w:eastAsia="Times New Roman" w:cs="Calibri"/>
          <w:bCs/>
          <w:color w:val="000000"/>
          <w:sz w:val="24"/>
          <w:szCs w:val="24"/>
          <w:lang w:val="fr-FR"/>
        </w:rPr>
        <w:t>u</w:t>
      </w:r>
      <w:r w:rsidR="00A511AA" w:rsidRPr="00720B8F">
        <w:rPr>
          <w:rFonts w:eastAsia="Times New Roman" w:cs="Calibri"/>
          <w:bCs/>
          <w:color w:val="000000"/>
          <w:sz w:val="24"/>
          <w:szCs w:val="24"/>
          <w:lang w:val="fr-FR"/>
        </w:rPr>
        <w:t xml:space="preserve"> changement</w:t>
      </w:r>
      <w:r>
        <w:rPr>
          <w:rFonts w:eastAsia="Times New Roman" w:cs="Calibri"/>
          <w:bCs/>
          <w:color w:val="000000"/>
          <w:sz w:val="24"/>
          <w:szCs w:val="24"/>
          <w:lang w:val="fr-FR"/>
        </w:rPr>
        <w:t xml:space="preserve"> pour les principales entités du projet.</w:t>
      </w:r>
    </w:p>
    <w:p w14:paraId="34202F4F" w14:textId="77777777" w:rsidR="00D84078" w:rsidRDefault="00D84078" w:rsidP="00D84078">
      <w:pPr>
        <w:pStyle w:val="ColorfulList-Accent11"/>
        <w:ind w:left="1080"/>
        <w:jc w:val="both"/>
        <w:rPr>
          <w:sz w:val="24"/>
          <w:szCs w:val="24"/>
          <w:lang w:val="fr-FR"/>
        </w:rPr>
      </w:pPr>
    </w:p>
    <w:p w14:paraId="51C3B59A" w14:textId="77777777" w:rsidR="00E153C0" w:rsidRPr="00AF4ADB" w:rsidRDefault="00B72C1C" w:rsidP="00074D3F">
      <w:pPr>
        <w:pStyle w:val="ColorfulList-Accent11"/>
        <w:tabs>
          <w:tab w:val="left" w:pos="810"/>
          <w:tab w:val="left" w:pos="5220"/>
        </w:tabs>
        <w:ind w:hanging="630"/>
        <w:jc w:val="both"/>
        <w:rPr>
          <w:sz w:val="24"/>
          <w:szCs w:val="24"/>
          <w:lang w:val="fr-FR"/>
        </w:rPr>
      </w:pPr>
      <w:r w:rsidRPr="00B72C1C">
        <w:rPr>
          <w:sz w:val="24"/>
          <w:szCs w:val="24"/>
          <w:lang w:val="fr-FR"/>
        </w:rPr>
        <w:t>2.</w:t>
      </w:r>
      <w:r>
        <w:rPr>
          <w:sz w:val="24"/>
          <w:szCs w:val="24"/>
          <w:lang w:val="fr-FR"/>
        </w:rPr>
        <w:t>4</w:t>
      </w:r>
      <w:r w:rsidRPr="00B72C1C">
        <w:rPr>
          <w:sz w:val="24"/>
          <w:szCs w:val="24"/>
          <w:lang w:val="fr-FR"/>
        </w:rPr>
        <w:tab/>
      </w:r>
      <w:r w:rsidR="00E153C0" w:rsidRPr="00AF4ADB">
        <w:rPr>
          <w:b/>
          <w:sz w:val="24"/>
          <w:szCs w:val="24"/>
          <w:lang w:val="fr-FR"/>
        </w:rPr>
        <w:t xml:space="preserve">A) </w:t>
      </w:r>
      <w:bookmarkStart w:id="13" w:name="_Hlk516755562"/>
      <w:r w:rsidR="00E153C0" w:rsidRPr="00AF4ADB">
        <w:rPr>
          <w:sz w:val="24"/>
          <w:szCs w:val="24"/>
          <w:lang w:val="fr-FR"/>
        </w:rPr>
        <w:t xml:space="preserve">Les activités </w:t>
      </w:r>
      <w:r w:rsidR="00E569FB" w:rsidRPr="00E569FB">
        <w:rPr>
          <w:sz w:val="24"/>
          <w:szCs w:val="24"/>
          <w:lang w:val="fr-FR"/>
        </w:rPr>
        <w:t>d’</w:t>
      </w:r>
      <w:r w:rsidR="00E569FB" w:rsidRPr="00720B8F">
        <w:rPr>
          <w:b/>
          <w:sz w:val="24"/>
          <w:szCs w:val="24"/>
          <w:lang w:val="fr-FR"/>
        </w:rPr>
        <w:t xml:space="preserve">application d’une politique de gestion des Ressources humaines (RH) </w:t>
      </w:r>
      <w:r w:rsidR="00E153C0" w:rsidRPr="00AF4ADB">
        <w:rPr>
          <w:sz w:val="24"/>
          <w:szCs w:val="24"/>
          <w:lang w:val="fr-FR"/>
        </w:rPr>
        <w:t>incluront :</w:t>
      </w:r>
    </w:p>
    <w:p w14:paraId="5C1AAEDC" w14:textId="77777777" w:rsidR="00A06E1B" w:rsidRPr="00A40946" w:rsidRDefault="005145A8" w:rsidP="00720B8F">
      <w:pPr>
        <w:pStyle w:val="ColorfulList-Accent11"/>
        <w:numPr>
          <w:ilvl w:val="0"/>
          <w:numId w:val="10"/>
        </w:numPr>
        <w:ind w:hanging="450"/>
        <w:jc w:val="both"/>
        <w:rPr>
          <w:i/>
          <w:sz w:val="24"/>
          <w:szCs w:val="24"/>
          <w:lang w:val="fr-FR"/>
        </w:rPr>
      </w:pPr>
      <w:r w:rsidRPr="00AA5024">
        <w:rPr>
          <w:i/>
          <w:sz w:val="24"/>
          <w:szCs w:val="24"/>
          <w:lang w:val="fr-FR"/>
        </w:rPr>
        <w:t xml:space="preserve">Le </w:t>
      </w:r>
      <w:r w:rsidR="00D01131" w:rsidRPr="00AA5024">
        <w:rPr>
          <w:i/>
          <w:sz w:val="24"/>
          <w:szCs w:val="24"/>
          <w:lang w:val="fr-FR"/>
        </w:rPr>
        <w:t xml:space="preserve">Recrutement de spécialistes </w:t>
      </w:r>
      <w:proofErr w:type="gramStart"/>
      <w:r w:rsidR="00D01131" w:rsidRPr="00AA5024">
        <w:rPr>
          <w:i/>
          <w:sz w:val="24"/>
          <w:szCs w:val="24"/>
          <w:lang w:val="fr-FR"/>
        </w:rPr>
        <w:t>qui</w:t>
      </w:r>
      <w:r w:rsidR="00D01131" w:rsidRPr="00A40946">
        <w:rPr>
          <w:i/>
          <w:sz w:val="24"/>
          <w:szCs w:val="24"/>
          <w:lang w:val="fr-FR"/>
        </w:rPr>
        <w:t>:</w:t>
      </w:r>
      <w:proofErr w:type="gramEnd"/>
    </w:p>
    <w:p w14:paraId="06B30691" w14:textId="77777777" w:rsidR="00A06E1B" w:rsidRPr="004A437B" w:rsidRDefault="00D01131" w:rsidP="00720B8F">
      <w:pPr>
        <w:pStyle w:val="ColorfulList-Accent11"/>
        <w:ind w:left="1440"/>
        <w:jc w:val="both"/>
        <w:rPr>
          <w:i/>
          <w:sz w:val="24"/>
          <w:szCs w:val="24"/>
          <w:lang w:val="fr-FR"/>
        </w:rPr>
      </w:pPr>
      <w:r w:rsidRPr="005D00B0">
        <w:rPr>
          <w:i/>
          <w:sz w:val="24"/>
          <w:szCs w:val="24"/>
          <w:lang w:val="fr-FR"/>
        </w:rPr>
        <w:t xml:space="preserve">1) Evalueront la fonction des ressources humaines (structures, normes, </w:t>
      </w:r>
      <w:r w:rsidR="00E569FB" w:rsidRPr="004A437B">
        <w:rPr>
          <w:i/>
          <w:sz w:val="24"/>
          <w:szCs w:val="24"/>
          <w:lang w:val="fr-FR"/>
        </w:rPr>
        <w:t>procédures</w:t>
      </w:r>
      <w:r w:rsidRPr="004A437B">
        <w:rPr>
          <w:i/>
          <w:sz w:val="24"/>
          <w:szCs w:val="24"/>
          <w:lang w:val="fr-FR"/>
        </w:rPr>
        <w:t>, pratiques)</w:t>
      </w:r>
    </w:p>
    <w:p w14:paraId="1D0F9795" w14:textId="77777777" w:rsidR="00A06E1B" w:rsidRPr="004A437B" w:rsidRDefault="00D01131" w:rsidP="00720B8F">
      <w:pPr>
        <w:pStyle w:val="ColorfulList-Accent11"/>
        <w:ind w:left="1440"/>
        <w:jc w:val="both"/>
        <w:rPr>
          <w:i/>
          <w:sz w:val="24"/>
          <w:szCs w:val="24"/>
          <w:lang w:val="fr-FR"/>
        </w:rPr>
      </w:pPr>
      <w:r w:rsidRPr="004A437B">
        <w:rPr>
          <w:i/>
          <w:sz w:val="24"/>
          <w:szCs w:val="24"/>
          <w:lang w:val="fr-FR"/>
        </w:rPr>
        <w:t xml:space="preserve">2) </w:t>
      </w:r>
      <w:r w:rsidR="00E569FB" w:rsidRPr="004A437B">
        <w:rPr>
          <w:i/>
          <w:sz w:val="24"/>
          <w:szCs w:val="24"/>
          <w:lang w:val="fr-FR"/>
        </w:rPr>
        <w:t>Pr</w:t>
      </w:r>
      <w:r w:rsidRPr="004A437B">
        <w:rPr>
          <w:i/>
          <w:sz w:val="24"/>
          <w:szCs w:val="24"/>
          <w:lang w:val="fr-FR"/>
        </w:rPr>
        <w:t>o</w:t>
      </w:r>
      <w:r w:rsidR="00E569FB" w:rsidRPr="004A437B">
        <w:rPr>
          <w:i/>
          <w:sz w:val="24"/>
          <w:szCs w:val="24"/>
          <w:lang w:val="fr-FR"/>
        </w:rPr>
        <w:t>d</w:t>
      </w:r>
      <w:r w:rsidRPr="004A437B">
        <w:rPr>
          <w:i/>
          <w:sz w:val="24"/>
          <w:szCs w:val="24"/>
          <w:lang w:val="fr-FR"/>
        </w:rPr>
        <w:t>u</w:t>
      </w:r>
      <w:r w:rsidR="00E569FB" w:rsidRPr="004A437B">
        <w:rPr>
          <w:i/>
          <w:sz w:val="24"/>
          <w:szCs w:val="24"/>
          <w:lang w:val="fr-FR"/>
        </w:rPr>
        <w:t>i</w:t>
      </w:r>
      <w:r w:rsidRPr="004A437B">
        <w:rPr>
          <w:i/>
          <w:sz w:val="24"/>
          <w:szCs w:val="24"/>
          <w:lang w:val="fr-FR"/>
        </w:rPr>
        <w:t>ront des recommandations</w:t>
      </w:r>
    </w:p>
    <w:p w14:paraId="7A36FDBA" w14:textId="77777777" w:rsidR="00A06E1B" w:rsidRPr="004A437B" w:rsidRDefault="00D01131" w:rsidP="00720B8F">
      <w:pPr>
        <w:pStyle w:val="ColorfulList-Accent11"/>
        <w:ind w:left="1440"/>
        <w:jc w:val="both"/>
        <w:rPr>
          <w:sz w:val="24"/>
          <w:szCs w:val="24"/>
          <w:lang w:val="fr-FR"/>
        </w:rPr>
      </w:pPr>
      <w:r w:rsidRPr="004A437B">
        <w:rPr>
          <w:i/>
          <w:sz w:val="24"/>
          <w:szCs w:val="24"/>
          <w:lang w:val="fr-FR"/>
        </w:rPr>
        <w:t xml:space="preserve">3) Elaboreront la politique et le plan de mise en </w:t>
      </w:r>
      <w:r w:rsidR="00E569FB" w:rsidRPr="004A437B">
        <w:rPr>
          <w:i/>
          <w:sz w:val="24"/>
          <w:szCs w:val="24"/>
          <w:lang w:val="fr-FR"/>
        </w:rPr>
        <w:t>œuvre</w:t>
      </w:r>
      <w:r w:rsidRPr="004A437B">
        <w:rPr>
          <w:i/>
          <w:sz w:val="24"/>
          <w:szCs w:val="24"/>
          <w:lang w:val="fr-FR"/>
        </w:rPr>
        <w:t xml:space="preserve"> de GRH</w:t>
      </w:r>
    </w:p>
    <w:p w14:paraId="2AB0B72B" w14:textId="77777777" w:rsidR="00C44D3C" w:rsidRPr="004A437B" w:rsidRDefault="005145A8" w:rsidP="00720B8F">
      <w:pPr>
        <w:pStyle w:val="ColorfulList-Accent11"/>
        <w:numPr>
          <w:ilvl w:val="0"/>
          <w:numId w:val="10"/>
        </w:numPr>
        <w:ind w:hanging="450"/>
        <w:jc w:val="both"/>
        <w:rPr>
          <w:sz w:val="24"/>
          <w:szCs w:val="24"/>
          <w:lang w:val="fr-FR"/>
        </w:rPr>
      </w:pPr>
      <w:r w:rsidRPr="004A437B">
        <w:rPr>
          <w:i/>
          <w:sz w:val="24"/>
          <w:szCs w:val="24"/>
          <w:lang w:val="fr-FR"/>
        </w:rPr>
        <w:t>La réalisation d’</w:t>
      </w:r>
      <w:r w:rsidR="00D01131" w:rsidRPr="004A437B">
        <w:rPr>
          <w:i/>
          <w:sz w:val="24"/>
          <w:szCs w:val="24"/>
          <w:lang w:val="fr-FR"/>
        </w:rPr>
        <w:t>Ateliers de validation</w:t>
      </w:r>
    </w:p>
    <w:p w14:paraId="4DF32A07" w14:textId="77777777" w:rsidR="00876668" w:rsidRPr="004A437B" w:rsidRDefault="00876668" w:rsidP="00876668">
      <w:pPr>
        <w:pStyle w:val="ColorfulList-Accent11"/>
        <w:ind w:left="1440"/>
        <w:jc w:val="both"/>
        <w:rPr>
          <w:sz w:val="24"/>
          <w:szCs w:val="24"/>
          <w:lang w:val="fr-FR"/>
        </w:rPr>
      </w:pPr>
    </w:p>
    <w:bookmarkEnd w:id="13"/>
    <w:p w14:paraId="04A037D2" w14:textId="0F577E2C" w:rsidR="0067653D" w:rsidRPr="004A437B" w:rsidRDefault="00D84078" w:rsidP="00074D3F">
      <w:pPr>
        <w:pStyle w:val="ColorfulList-Accent11"/>
        <w:tabs>
          <w:tab w:val="left" w:pos="2880"/>
        </w:tabs>
        <w:ind w:hanging="630"/>
        <w:jc w:val="both"/>
        <w:rPr>
          <w:b/>
          <w:sz w:val="24"/>
          <w:szCs w:val="24"/>
          <w:lang w:val="fr-FR"/>
        </w:rPr>
      </w:pPr>
      <w:r w:rsidRPr="004A437B">
        <w:rPr>
          <w:sz w:val="24"/>
          <w:szCs w:val="24"/>
          <w:lang w:val="fr-FR"/>
        </w:rPr>
        <w:t>2.</w:t>
      </w:r>
      <w:r w:rsidR="00CE629C" w:rsidRPr="004A437B">
        <w:rPr>
          <w:sz w:val="24"/>
          <w:szCs w:val="24"/>
          <w:lang w:val="fr-FR"/>
        </w:rPr>
        <w:t>5</w:t>
      </w:r>
      <w:r w:rsidRPr="004A437B">
        <w:rPr>
          <w:b/>
          <w:sz w:val="24"/>
          <w:szCs w:val="24"/>
          <w:lang w:val="fr-FR"/>
        </w:rPr>
        <w:tab/>
        <w:t xml:space="preserve">B) </w:t>
      </w:r>
      <w:r w:rsidR="005E3E9F" w:rsidRPr="004A437B">
        <w:rPr>
          <w:sz w:val="24"/>
          <w:szCs w:val="24"/>
          <w:lang w:val="fr-FR"/>
        </w:rPr>
        <w:t>Les activités d</w:t>
      </w:r>
      <w:r w:rsidR="00E569FB" w:rsidRPr="004A437B">
        <w:rPr>
          <w:sz w:val="24"/>
          <w:szCs w:val="24"/>
          <w:lang w:val="fr-FR"/>
        </w:rPr>
        <w:t>e</w:t>
      </w:r>
      <w:r w:rsidR="00221D4B">
        <w:rPr>
          <w:sz w:val="24"/>
          <w:szCs w:val="24"/>
          <w:lang w:val="fr-FR"/>
        </w:rPr>
        <w:t xml:space="preserve"> </w:t>
      </w:r>
      <w:r w:rsidR="00E569FB" w:rsidRPr="004A437B">
        <w:rPr>
          <w:b/>
          <w:sz w:val="24"/>
          <w:szCs w:val="24"/>
          <w:lang w:val="fr-FR"/>
        </w:rPr>
        <w:t xml:space="preserve">renforcement du cadre </w:t>
      </w:r>
      <w:r w:rsidR="00CA3E83" w:rsidRPr="004A437B">
        <w:rPr>
          <w:b/>
          <w:sz w:val="24"/>
          <w:szCs w:val="24"/>
          <w:lang w:val="fr-FR"/>
        </w:rPr>
        <w:t xml:space="preserve">légal </w:t>
      </w:r>
      <w:r w:rsidR="00E569FB" w:rsidRPr="004A437B">
        <w:rPr>
          <w:b/>
          <w:sz w:val="24"/>
          <w:szCs w:val="24"/>
          <w:lang w:val="fr-FR"/>
        </w:rPr>
        <w:t>et réglement</w:t>
      </w:r>
      <w:r w:rsidR="00CA3E83" w:rsidRPr="004A437B">
        <w:rPr>
          <w:b/>
          <w:sz w:val="24"/>
          <w:szCs w:val="24"/>
          <w:lang w:val="fr-FR"/>
        </w:rPr>
        <w:t xml:space="preserve">aire </w:t>
      </w:r>
      <w:r w:rsidR="00E569FB" w:rsidRPr="004A437B">
        <w:rPr>
          <w:b/>
          <w:sz w:val="24"/>
          <w:szCs w:val="24"/>
          <w:lang w:val="fr-FR"/>
        </w:rPr>
        <w:t>de</w:t>
      </w:r>
      <w:r w:rsidR="00221D4B">
        <w:rPr>
          <w:b/>
          <w:sz w:val="24"/>
          <w:szCs w:val="24"/>
          <w:lang w:val="fr-FR"/>
        </w:rPr>
        <w:t xml:space="preserve"> </w:t>
      </w:r>
      <w:r w:rsidR="00CA3E83" w:rsidRPr="004A437B">
        <w:rPr>
          <w:b/>
          <w:sz w:val="24"/>
          <w:szCs w:val="24"/>
          <w:lang w:val="fr-FR"/>
        </w:rPr>
        <w:t xml:space="preserve">la fonction publique </w:t>
      </w:r>
      <w:r w:rsidR="00876668" w:rsidRPr="004A437B">
        <w:rPr>
          <w:sz w:val="24"/>
          <w:szCs w:val="24"/>
          <w:lang w:val="fr-FR"/>
        </w:rPr>
        <w:t>incluront :</w:t>
      </w:r>
    </w:p>
    <w:p w14:paraId="118A2EA3" w14:textId="77777777" w:rsidR="00264E45" w:rsidRPr="00A40946" w:rsidRDefault="00D01131" w:rsidP="00720B8F">
      <w:pPr>
        <w:pStyle w:val="ColorfulList-Accent11"/>
        <w:numPr>
          <w:ilvl w:val="0"/>
          <w:numId w:val="11"/>
        </w:numPr>
        <w:ind w:hanging="360"/>
        <w:jc w:val="both"/>
        <w:rPr>
          <w:i/>
          <w:sz w:val="24"/>
          <w:szCs w:val="24"/>
          <w:lang w:val="fr-FR"/>
        </w:rPr>
      </w:pPr>
      <w:r w:rsidRPr="00AA5024">
        <w:rPr>
          <w:i/>
          <w:sz w:val="24"/>
          <w:szCs w:val="24"/>
          <w:lang w:val="fr-FR"/>
        </w:rPr>
        <w:t xml:space="preserve">Recrutement de </w:t>
      </w:r>
      <w:r w:rsidR="00E569FB" w:rsidRPr="00AA5024">
        <w:rPr>
          <w:i/>
          <w:sz w:val="24"/>
          <w:szCs w:val="24"/>
          <w:lang w:val="fr-FR"/>
        </w:rPr>
        <w:t>spécialistes</w:t>
      </w:r>
      <w:r w:rsidRPr="00AA5024">
        <w:rPr>
          <w:i/>
          <w:sz w:val="24"/>
          <w:szCs w:val="24"/>
          <w:lang w:val="fr-FR"/>
        </w:rPr>
        <w:t xml:space="preserve"> pour élaborer des normes, procédures</w:t>
      </w:r>
      <w:r w:rsidRPr="004A437B">
        <w:rPr>
          <w:i/>
          <w:sz w:val="24"/>
          <w:szCs w:val="24"/>
          <w:lang w:val="fr-FR"/>
        </w:rPr>
        <w:t xml:space="preserve"> et outils de gestion des ressources humaines, sur la base de l'</w:t>
      </w:r>
      <w:r w:rsidR="00E569FB" w:rsidRPr="00A40946">
        <w:rPr>
          <w:i/>
          <w:sz w:val="24"/>
          <w:szCs w:val="24"/>
          <w:lang w:val="fr-FR"/>
        </w:rPr>
        <w:t>activité</w:t>
      </w:r>
      <w:r w:rsidRPr="00A40946">
        <w:rPr>
          <w:i/>
          <w:sz w:val="24"/>
          <w:szCs w:val="24"/>
          <w:lang w:val="fr-FR"/>
        </w:rPr>
        <w:t xml:space="preserve"> 1 de la composante 1.1 </w:t>
      </w:r>
    </w:p>
    <w:p w14:paraId="7D2BD14B" w14:textId="77777777" w:rsidR="00077A1A" w:rsidRPr="005D00B0" w:rsidRDefault="00D01131" w:rsidP="00720B8F">
      <w:pPr>
        <w:pStyle w:val="ColorfulList-Accent11"/>
        <w:numPr>
          <w:ilvl w:val="0"/>
          <w:numId w:val="11"/>
        </w:numPr>
        <w:ind w:hanging="450"/>
        <w:jc w:val="both"/>
        <w:rPr>
          <w:i/>
          <w:sz w:val="24"/>
          <w:szCs w:val="24"/>
          <w:lang w:val="fr-FR"/>
        </w:rPr>
      </w:pPr>
      <w:r w:rsidRPr="005D00B0">
        <w:rPr>
          <w:i/>
          <w:sz w:val="24"/>
          <w:szCs w:val="24"/>
          <w:lang w:val="fr-FR"/>
        </w:rPr>
        <w:t xml:space="preserve">Ateliers de validation </w:t>
      </w:r>
    </w:p>
    <w:p w14:paraId="15091F49" w14:textId="77777777" w:rsidR="00A06E1B" w:rsidRPr="004A437B" w:rsidRDefault="00A06E1B" w:rsidP="00720B8F">
      <w:pPr>
        <w:pStyle w:val="ColorfulList-Accent11"/>
        <w:ind w:left="1440"/>
        <w:jc w:val="both"/>
        <w:rPr>
          <w:i/>
          <w:sz w:val="24"/>
          <w:szCs w:val="24"/>
          <w:lang w:val="fr-FR"/>
        </w:rPr>
      </w:pPr>
    </w:p>
    <w:p w14:paraId="5A34E633" w14:textId="3B509595" w:rsidR="00A06E1B" w:rsidRPr="004A437B" w:rsidRDefault="00CE629C" w:rsidP="00074D3F">
      <w:pPr>
        <w:pStyle w:val="ColorfulList-Accent11"/>
        <w:ind w:hanging="630"/>
        <w:jc w:val="both"/>
        <w:rPr>
          <w:i/>
          <w:sz w:val="24"/>
          <w:szCs w:val="24"/>
          <w:lang w:val="fr-FR"/>
        </w:rPr>
      </w:pPr>
      <w:r w:rsidRPr="004A437B">
        <w:rPr>
          <w:sz w:val="24"/>
          <w:szCs w:val="24"/>
          <w:lang w:val="fr-FR"/>
        </w:rPr>
        <w:t>2.6</w:t>
      </w:r>
      <w:r w:rsidRPr="004A437B">
        <w:rPr>
          <w:b/>
          <w:sz w:val="24"/>
          <w:szCs w:val="24"/>
          <w:lang w:val="fr-FR"/>
        </w:rPr>
        <w:tab/>
        <w:t xml:space="preserve">C) </w:t>
      </w:r>
      <w:r w:rsidR="00B378C3" w:rsidRPr="004A437B">
        <w:rPr>
          <w:sz w:val="24"/>
          <w:szCs w:val="24"/>
          <w:lang w:val="fr-FR"/>
        </w:rPr>
        <w:t xml:space="preserve">Les activités </w:t>
      </w:r>
      <w:r w:rsidR="006B7814" w:rsidRPr="004A437B">
        <w:rPr>
          <w:sz w:val="24"/>
          <w:szCs w:val="24"/>
          <w:lang w:val="fr-FR"/>
        </w:rPr>
        <w:t>du</w:t>
      </w:r>
      <w:r w:rsidR="00221D4B">
        <w:rPr>
          <w:sz w:val="24"/>
          <w:szCs w:val="24"/>
          <w:lang w:val="fr-FR"/>
        </w:rPr>
        <w:t xml:space="preserve"> </w:t>
      </w:r>
      <w:r w:rsidR="00D01131" w:rsidRPr="004A437B">
        <w:rPr>
          <w:b/>
          <w:sz w:val="24"/>
          <w:szCs w:val="24"/>
          <w:lang w:val="fr-FR"/>
        </w:rPr>
        <w:t xml:space="preserve">Renforcement des capacités </w:t>
      </w:r>
      <w:r w:rsidR="00E569FB" w:rsidRPr="004A437B">
        <w:rPr>
          <w:b/>
          <w:sz w:val="24"/>
          <w:szCs w:val="24"/>
          <w:lang w:val="fr-FR"/>
        </w:rPr>
        <w:t>administratives et techniques de l'OMRH</w:t>
      </w:r>
      <w:r w:rsidR="00221D4B">
        <w:rPr>
          <w:b/>
          <w:sz w:val="24"/>
          <w:szCs w:val="24"/>
          <w:lang w:val="fr-FR"/>
        </w:rPr>
        <w:t xml:space="preserve"> </w:t>
      </w:r>
      <w:r w:rsidR="008126B7" w:rsidRPr="004A437B">
        <w:rPr>
          <w:sz w:val="24"/>
          <w:szCs w:val="24"/>
          <w:lang w:val="fr-FR"/>
        </w:rPr>
        <w:t>incluront :</w:t>
      </w:r>
    </w:p>
    <w:p w14:paraId="3A700D6B" w14:textId="77777777" w:rsidR="00E03A1D" w:rsidRPr="004A437B" w:rsidRDefault="00E03A1D" w:rsidP="00720B8F">
      <w:pPr>
        <w:pStyle w:val="ColorfulList-Accent11"/>
        <w:numPr>
          <w:ilvl w:val="0"/>
          <w:numId w:val="14"/>
        </w:numPr>
        <w:ind w:hanging="450"/>
        <w:jc w:val="both"/>
        <w:rPr>
          <w:i/>
          <w:sz w:val="24"/>
          <w:szCs w:val="24"/>
          <w:lang w:val="fr-FR"/>
        </w:rPr>
      </w:pPr>
      <w:r w:rsidRPr="00AA5024">
        <w:rPr>
          <w:i/>
          <w:sz w:val="24"/>
          <w:szCs w:val="24"/>
          <w:lang w:val="fr-FR"/>
        </w:rPr>
        <w:t xml:space="preserve">Recrutement d'un spécialiste pour </w:t>
      </w:r>
      <w:r w:rsidR="00FD4783" w:rsidRPr="00AA5024">
        <w:rPr>
          <w:i/>
          <w:sz w:val="24"/>
          <w:szCs w:val="24"/>
          <w:lang w:val="fr-FR"/>
        </w:rPr>
        <w:t>effectuer</w:t>
      </w:r>
      <w:r w:rsidR="00FD4783" w:rsidRPr="004A437B">
        <w:rPr>
          <w:i/>
          <w:sz w:val="24"/>
          <w:szCs w:val="24"/>
          <w:lang w:val="fr-FR"/>
        </w:rPr>
        <w:t xml:space="preserve"> :</w:t>
      </w:r>
    </w:p>
    <w:p w14:paraId="77BF8202" w14:textId="77777777" w:rsidR="00A06E1B" w:rsidRPr="004A437B" w:rsidRDefault="00E03A1D" w:rsidP="00720B8F">
      <w:pPr>
        <w:pStyle w:val="ColorfulList-Accent11"/>
        <w:ind w:left="1440"/>
        <w:jc w:val="both"/>
        <w:rPr>
          <w:i/>
          <w:sz w:val="24"/>
          <w:szCs w:val="24"/>
          <w:lang w:val="fr-FR"/>
        </w:rPr>
      </w:pPr>
      <w:r w:rsidRPr="005D00B0">
        <w:rPr>
          <w:i/>
          <w:sz w:val="24"/>
          <w:szCs w:val="24"/>
          <w:lang w:val="fr-FR"/>
        </w:rPr>
        <w:t xml:space="preserve">1) </w:t>
      </w:r>
      <w:r w:rsidR="002008FB" w:rsidRPr="005D00B0">
        <w:rPr>
          <w:i/>
          <w:sz w:val="24"/>
          <w:szCs w:val="24"/>
          <w:lang w:val="fr-FR"/>
        </w:rPr>
        <w:t>une a</w:t>
      </w:r>
      <w:r w:rsidRPr="004A437B">
        <w:rPr>
          <w:i/>
          <w:sz w:val="24"/>
          <w:szCs w:val="24"/>
          <w:lang w:val="fr-FR"/>
        </w:rPr>
        <w:t>nalyse de l’écart en ressources humaines de l’OMRH afin de lui fournir le personnel nécessaire pour sa nouvelle organisation fonctionnelle</w:t>
      </w:r>
    </w:p>
    <w:p w14:paraId="08EB7327" w14:textId="77777777" w:rsidR="00A06E1B" w:rsidRPr="004A437B" w:rsidRDefault="00E03A1D" w:rsidP="00720B8F">
      <w:pPr>
        <w:pStyle w:val="ColorfulList-Accent11"/>
        <w:ind w:firstLine="720"/>
        <w:jc w:val="both"/>
        <w:rPr>
          <w:i/>
          <w:sz w:val="24"/>
          <w:szCs w:val="24"/>
          <w:lang w:val="fr-FR"/>
        </w:rPr>
      </w:pPr>
      <w:r w:rsidRPr="004A437B">
        <w:rPr>
          <w:i/>
          <w:sz w:val="24"/>
          <w:szCs w:val="24"/>
          <w:lang w:val="fr-FR"/>
        </w:rPr>
        <w:lastRenderedPageBreak/>
        <w:t xml:space="preserve">2) </w:t>
      </w:r>
      <w:r w:rsidR="002008FB" w:rsidRPr="004A437B">
        <w:rPr>
          <w:i/>
          <w:sz w:val="24"/>
          <w:szCs w:val="24"/>
          <w:lang w:val="fr-FR"/>
        </w:rPr>
        <w:t>la c</w:t>
      </w:r>
      <w:r w:rsidRPr="004A437B">
        <w:rPr>
          <w:i/>
          <w:sz w:val="24"/>
          <w:szCs w:val="24"/>
          <w:lang w:val="fr-FR"/>
        </w:rPr>
        <w:t>once</w:t>
      </w:r>
      <w:r w:rsidR="002008FB" w:rsidRPr="004A437B">
        <w:rPr>
          <w:i/>
          <w:sz w:val="24"/>
          <w:szCs w:val="24"/>
          <w:lang w:val="fr-FR"/>
        </w:rPr>
        <w:t>ption</w:t>
      </w:r>
      <w:r w:rsidRPr="004A437B">
        <w:rPr>
          <w:i/>
          <w:sz w:val="24"/>
          <w:szCs w:val="24"/>
          <w:lang w:val="fr-FR"/>
        </w:rPr>
        <w:t xml:space="preserve"> des profils d'emploi pour l'OMRH</w:t>
      </w:r>
    </w:p>
    <w:p w14:paraId="4BAD4C59" w14:textId="1D8747DA" w:rsidR="00A06E1B" w:rsidRPr="004A437B" w:rsidRDefault="00E03A1D" w:rsidP="00720B8F">
      <w:pPr>
        <w:pStyle w:val="ColorfulList-Accent11"/>
        <w:ind w:firstLine="720"/>
        <w:jc w:val="both"/>
        <w:rPr>
          <w:i/>
          <w:sz w:val="24"/>
          <w:szCs w:val="24"/>
          <w:lang w:val="fr-FR"/>
        </w:rPr>
      </w:pPr>
      <w:r w:rsidRPr="004A437B">
        <w:rPr>
          <w:i/>
          <w:sz w:val="24"/>
          <w:szCs w:val="24"/>
          <w:lang w:val="fr-FR"/>
        </w:rPr>
        <w:t xml:space="preserve">3) </w:t>
      </w:r>
      <w:r w:rsidR="002008FB" w:rsidRPr="004A437B">
        <w:rPr>
          <w:i/>
          <w:sz w:val="24"/>
          <w:szCs w:val="24"/>
          <w:lang w:val="fr-FR"/>
        </w:rPr>
        <w:t>la c</w:t>
      </w:r>
      <w:r w:rsidRPr="004A437B">
        <w:rPr>
          <w:i/>
          <w:sz w:val="24"/>
          <w:szCs w:val="24"/>
          <w:lang w:val="fr-FR"/>
        </w:rPr>
        <w:t>once</w:t>
      </w:r>
      <w:r w:rsidR="002008FB" w:rsidRPr="004A437B">
        <w:rPr>
          <w:i/>
          <w:sz w:val="24"/>
          <w:szCs w:val="24"/>
          <w:lang w:val="fr-FR"/>
        </w:rPr>
        <w:t>pti</w:t>
      </w:r>
      <w:r w:rsidRPr="004A437B">
        <w:rPr>
          <w:i/>
          <w:sz w:val="24"/>
          <w:szCs w:val="24"/>
          <w:lang w:val="fr-FR"/>
        </w:rPr>
        <w:t>o</w:t>
      </w:r>
      <w:r w:rsidR="002008FB" w:rsidRPr="004A437B">
        <w:rPr>
          <w:i/>
          <w:sz w:val="24"/>
          <w:szCs w:val="24"/>
          <w:lang w:val="fr-FR"/>
        </w:rPr>
        <w:t>n</w:t>
      </w:r>
      <w:r w:rsidR="00221D4B">
        <w:rPr>
          <w:i/>
          <w:sz w:val="24"/>
          <w:szCs w:val="24"/>
          <w:lang w:val="fr-FR"/>
        </w:rPr>
        <w:t xml:space="preserve"> </w:t>
      </w:r>
      <w:r w:rsidR="002008FB" w:rsidRPr="004A437B">
        <w:rPr>
          <w:i/>
          <w:sz w:val="24"/>
          <w:szCs w:val="24"/>
          <w:lang w:val="fr-FR"/>
        </w:rPr>
        <w:t>d’</w:t>
      </w:r>
      <w:r w:rsidRPr="004A437B">
        <w:rPr>
          <w:i/>
          <w:sz w:val="24"/>
          <w:szCs w:val="24"/>
          <w:lang w:val="fr-FR"/>
        </w:rPr>
        <w:t xml:space="preserve">un programme de formation technique et des programmes de motivation </w:t>
      </w:r>
    </w:p>
    <w:p w14:paraId="5256E07A" w14:textId="77777777" w:rsidR="00A06E1B" w:rsidRPr="004A437B" w:rsidRDefault="00E03A1D" w:rsidP="00720B8F">
      <w:pPr>
        <w:pStyle w:val="ColorfulList-Accent11"/>
        <w:ind w:firstLine="270"/>
        <w:jc w:val="both"/>
        <w:rPr>
          <w:i/>
          <w:sz w:val="24"/>
          <w:szCs w:val="24"/>
          <w:lang w:val="fr-FR"/>
        </w:rPr>
      </w:pPr>
      <w:r w:rsidRPr="004A437B">
        <w:rPr>
          <w:i/>
          <w:sz w:val="24"/>
          <w:szCs w:val="24"/>
          <w:lang w:val="fr-FR"/>
        </w:rPr>
        <w:t>ii.          Recrutement de personnel pour l'OMRH</w:t>
      </w:r>
    </w:p>
    <w:p w14:paraId="69EE829B" w14:textId="77777777" w:rsidR="00A06E1B" w:rsidRPr="004A437B" w:rsidRDefault="00E03A1D" w:rsidP="00720B8F">
      <w:pPr>
        <w:pStyle w:val="ColorfulList-Accent11"/>
        <w:numPr>
          <w:ilvl w:val="0"/>
          <w:numId w:val="11"/>
        </w:numPr>
        <w:ind w:hanging="450"/>
        <w:jc w:val="both"/>
        <w:rPr>
          <w:i/>
          <w:sz w:val="24"/>
          <w:szCs w:val="24"/>
          <w:lang w:val="fr-FR"/>
        </w:rPr>
      </w:pPr>
      <w:r w:rsidRPr="004A437B">
        <w:rPr>
          <w:i/>
          <w:sz w:val="24"/>
          <w:szCs w:val="24"/>
          <w:lang w:val="fr-FR"/>
        </w:rPr>
        <w:t>Financement de compléments de salaires à l'OMRH</w:t>
      </w:r>
    </w:p>
    <w:p w14:paraId="7E156FC9" w14:textId="77777777" w:rsidR="00A06E1B" w:rsidRPr="004A437B" w:rsidRDefault="00E03A1D" w:rsidP="00720B8F">
      <w:pPr>
        <w:pStyle w:val="ColorfulList-Accent11"/>
        <w:numPr>
          <w:ilvl w:val="0"/>
          <w:numId w:val="11"/>
        </w:numPr>
        <w:ind w:hanging="450"/>
        <w:jc w:val="both"/>
        <w:rPr>
          <w:i/>
          <w:sz w:val="24"/>
          <w:szCs w:val="24"/>
          <w:lang w:val="fr-FR"/>
        </w:rPr>
      </w:pPr>
      <w:r w:rsidRPr="004A437B">
        <w:rPr>
          <w:i/>
          <w:sz w:val="24"/>
          <w:szCs w:val="24"/>
          <w:lang w:val="fr-FR"/>
        </w:rPr>
        <w:t>Formation de formateurs de l'OMRH par les spécialistes recrutés à la composante 1.2 activité 1, sur les procédures et outils de gestion des RH</w:t>
      </w:r>
    </w:p>
    <w:p w14:paraId="176E7F69" w14:textId="77777777" w:rsidR="00A06E1B" w:rsidRPr="004A437B" w:rsidRDefault="00E03A1D" w:rsidP="00720B8F">
      <w:pPr>
        <w:pStyle w:val="ColorfulList-Accent11"/>
        <w:numPr>
          <w:ilvl w:val="0"/>
          <w:numId w:val="11"/>
        </w:numPr>
        <w:ind w:hanging="450"/>
        <w:jc w:val="both"/>
        <w:rPr>
          <w:i/>
          <w:sz w:val="24"/>
          <w:szCs w:val="24"/>
          <w:lang w:val="fr-FR"/>
        </w:rPr>
      </w:pPr>
      <w:r w:rsidRPr="004A437B">
        <w:rPr>
          <w:i/>
          <w:sz w:val="24"/>
          <w:szCs w:val="24"/>
          <w:lang w:val="fr-FR"/>
        </w:rPr>
        <w:t>Réalisation de séances de formations et de programmes de motivation sur la base du recrutement de spécialistes pour élaborer des normes, procédures et outils de gestion des ressources humaines (composante 1.2 activité 1)</w:t>
      </w:r>
    </w:p>
    <w:p w14:paraId="051AAFB2" w14:textId="77777777" w:rsidR="00A06E1B" w:rsidRPr="004A437B" w:rsidRDefault="00A06E1B" w:rsidP="00720B8F">
      <w:pPr>
        <w:pStyle w:val="ColorfulList-Accent11"/>
        <w:ind w:left="1440"/>
        <w:jc w:val="both"/>
        <w:rPr>
          <w:i/>
          <w:sz w:val="24"/>
          <w:szCs w:val="24"/>
          <w:lang w:val="fr-FR"/>
        </w:rPr>
      </w:pPr>
    </w:p>
    <w:p w14:paraId="6BD2FD41" w14:textId="77777777" w:rsidR="00AF70FE" w:rsidRPr="004A437B" w:rsidRDefault="00AF70FE" w:rsidP="00AF70FE">
      <w:pPr>
        <w:pStyle w:val="ColorfulList-Accent11"/>
        <w:ind w:left="0"/>
        <w:jc w:val="both"/>
        <w:rPr>
          <w:i/>
          <w:sz w:val="24"/>
          <w:szCs w:val="24"/>
          <w:lang w:val="fr-FR"/>
        </w:rPr>
      </w:pPr>
    </w:p>
    <w:p w14:paraId="184A8C4B" w14:textId="2A901A4E" w:rsidR="001340D5" w:rsidRPr="004A437B" w:rsidRDefault="00CE629C" w:rsidP="00074D3F">
      <w:pPr>
        <w:pStyle w:val="ColorfulList-Accent11"/>
        <w:tabs>
          <w:tab w:val="left" w:pos="720"/>
        </w:tabs>
        <w:ind w:hanging="630"/>
        <w:jc w:val="both"/>
        <w:rPr>
          <w:sz w:val="24"/>
          <w:szCs w:val="24"/>
          <w:lang w:val="fr-FR"/>
        </w:rPr>
      </w:pPr>
      <w:r w:rsidRPr="004A437B">
        <w:rPr>
          <w:sz w:val="24"/>
          <w:szCs w:val="24"/>
          <w:lang w:val="fr-FR"/>
        </w:rPr>
        <w:t>2.7</w:t>
      </w:r>
      <w:r w:rsidRPr="004A437B">
        <w:rPr>
          <w:b/>
          <w:sz w:val="24"/>
          <w:szCs w:val="24"/>
          <w:lang w:val="fr-FR"/>
        </w:rPr>
        <w:tab/>
      </w:r>
      <w:r w:rsidR="00AF70FE" w:rsidRPr="004A437B">
        <w:rPr>
          <w:b/>
          <w:sz w:val="24"/>
          <w:szCs w:val="24"/>
          <w:lang w:val="fr-FR"/>
        </w:rPr>
        <w:t>D)</w:t>
      </w:r>
      <w:r w:rsidR="00AF70FE" w:rsidRPr="004A437B">
        <w:rPr>
          <w:sz w:val="24"/>
          <w:szCs w:val="24"/>
          <w:lang w:val="fr-FR"/>
        </w:rPr>
        <w:t xml:space="preserve"> Les activités </w:t>
      </w:r>
      <w:r w:rsidR="002008FB" w:rsidRPr="004A437B">
        <w:rPr>
          <w:sz w:val="24"/>
          <w:szCs w:val="24"/>
          <w:lang w:val="fr-FR"/>
        </w:rPr>
        <w:t>d</w:t>
      </w:r>
      <w:r w:rsidR="002008FB" w:rsidRPr="004A437B">
        <w:rPr>
          <w:rFonts w:eastAsia="Times New Roman" w:cs="Calibri"/>
          <w:bCs/>
          <w:color w:val="000000"/>
          <w:sz w:val="24"/>
          <w:szCs w:val="24"/>
          <w:lang w:val="fr-FR"/>
        </w:rPr>
        <w:t>’</w:t>
      </w:r>
      <w:r w:rsidR="002008FB" w:rsidRPr="004A437B">
        <w:rPr>
          <w:rFonts w:eastAsia="Times New Roman" w:cs="Calibri"/>
          <w:b/>
          <w:bCs/>
          <w:color w:val="000000"/>
          <w:sz w:val="24"/>
          <w:szCs w:val="24"/>
          <w:lang w:val="fr-FR"/>
        </w:rPr>
        <w:t xml:space="preserve">acquisition d’équipements informatiques </w:t>
      </w:r>
      <w:r w:rsidR="005145A8" w:rsidRPr="004A437B">
        <w:rPr>
          <w:rFonts w:eastAsia="Times New Roman" w:cs="Calibri"/>
          <w:b/>
          <w:bCs/>
          <w:color w:val="000000"/>
          <w:sz w:val="24"/>
          <w:szCs w:val="24"/>
          <w:lang w:val="fr-FR"/>
        </w:rPr>
        <w:t xml:space="preserve">au bénéfice de </w:t>
      </w:r>
      <w:r w:rsidR="002008FB" w:rsidRPr="004A437B">
        <w:rPr>
          <w:rFonts w:eastAsia="Times New Roman" w:cs="Calibri"/>
          <w:b/>
          <w:bCs/>
          <w:color w:val="000000"/>
          <w:sz w:val="24"/>
          <w:szCs w:val="24"/>
          <w:lang w:val="fr-FR"/>
        </w:rPr>
        <w:t>l’OMRH</w:t>
      </w:r>
      <w:r w:rsidR="001340D5" w:rsidRPr="004A437B">
        <w:rPr>
          <w:sz w:val="24"/>
          <w:szCs w:val="24"/>
          <w:lang w:val="fr-FR"/>
        </w:rPr>
        <w:t xml:space="preserve"> incluront :</w:t>
      </w:r>
    </w:p>
    <w:p w14:paraId="7EF4DF73" w14:textId="77777777" w:rsidR="00A06E1B" w:rsidRPr="004A437B" w:rsidRDefault="001340D5" w:rsidP="00720B8F">
      <w:pPr>
        <w:pStyle w:val="ColorfulList-Accent11"/>
        <w:tabs>
          <w:tab w:val="left" w:pos="990"/>
        </w:tabs>
        <w:ind w:left="1440" w:hanging="450"/>
        <w:jc w:val="both"/>
        <w:rPr>
          <w:sz w:val="24"/>
          <w:szCs w:val="24"/>
          <w:lang w:val="fr-FR"/>
        </w:rPr>
      </w:pPr>
      <w:r w:rsidRPr="004A437B">
        <w:rPr>
          <w:sz w:val="24"/>
          <w:szCs w:val="24"/>
          <w:lang w:val="fr-FR"/>
        </w:rPr>
        <w:t xml:space="preserve">i.     Acquisition de </w:t>
      </w:r>
      <w:r w:rsidR="00E569FB" w:rsidRPr="004A437B">
        <w:rPr>
          <w:sz w:val="24"/>
          <w:szCs w:val="24"/>
          <w:lang w:val="fr-FR"/>
        </w:rPr>
        <w:t>matériels</w:t>
      </w:r>
      <w:r w:rsidRPr="004A437B">
        <w:rPr>
          <w:sz w:val="24"/>
          <w:szCs w:val="24"/>
          <w:lang w:val="fr-FR"/>
        </w:rPr>
        <w:t xml:space="preserve">, </w:t>
      </w:r>
      <w:r w:rsidR="00E569FB" w:rsidRPr="004A437B">
        <w:rPr>
          <w:sz w:val="24"/>
          <w:szCs w:val="24"/>
          <w:lang w:val="fr-FR"/>
        </w:rPr>
        <w:t>équipements</w:t>
      </w:r>
      <w:r w:rsidRPr="004A437B">
        <w:rPr>
          <w:sz w:val="24"/>
          <w:szCs w:val="24"/>
          <w:lang w:val="fr-FR"/>
        </w:rPr>
        <w:t xml:space="preserve"> informatiques, de </w:t>
      </w:r>
      <w:r w:rsidR="00E569FB" w:rsidRPr="004A437B">
        <w:rPr>
          <w:sz w:val="24"/>
          <w:szCs w:val="24"/>
          <w:lang w:val="fr-FR"/>
        </w:rPr>
        <w:t>matériels</w:t>
      </w:r>
      <w:r w:rsidRPr="004A437B">
        <w:rPr>
          <w:sz w:val="24"/>
          <w:szCs w:val="24"/>
          <w:lang w:val="fr-FR"/>
        </w:rPr>
        <w:t xml:space="preserve"> d'installation, de service internet fiable et de mobilier de bureau </w:t>
      </w:r>
    </w:p>
    <w:p w14:paraId="132D468D" w14:textId="77777777" w:rsidR="001340D5" w:rsidRPr="004A437B" w:rsidRDefault="001340D5" w:rsidP="00CE629C">
      <w:pPr>
        <w:pStyle w:val="ColorfulList-Accent11"/>
        <w:ind w:left="0"/>
        <w:jc w:val="both"/>
        <w:rPr>
          <w:sz w:val="24"/>
          <w:szCs w:val="24"/>
          <w:lang w:val="fr-FR"/>
        </w:rPr>
      </w:pPr>
    </w:p>
    <w:p w14:paraId="4AF847CB" w14:textId="1C8367AD" w:rsidR="00AF70FE" w:rsidRPr="004A437B" w:rsidRDefault="001340D5" w:rsidP="00074D3F">
      <w:pPr>
        <w:pStyle w:val="ColorfulList-Accent11"/>
        <w:tabs>
          <w:tab w:val="left" w:pos="720"/>
        </w:tabs>
        <w:ind w:left="810" w:hanging="720"/>
        <w:jc w:val="both"/>
        <w:rPr>
          <w:sz w:val="24"/>
          <w:szCs w:val="24"/>
          <w:lang w:val="fr-FR"/>
        </w:rPr>
      </w:pPr>
      <w:r w:rsidRPr="004A437B">
        <w:rPr>
          <w:sz w:val="24"/>
          <w:szCs w:val="24"/>
          <w:lang w:val="fr-FR"/>
        </w:rPr>
        <w:t>2.8</w:t>
      </w:r>
      <w:r w:rsidRPr="004A437B">
        <w:rPr>
          <w:sz w:val="24"/>
          <w:szCs w:val="24"/>
          <w:lang w:val="fr-FR"/>
        </w:rPr>
        <w:tab/>
      </w:r>
      <w:r w:rsidR="00A511AA" w:rsidRPr="004A437B">
        <w:rPr>
          <w:b/>
          <w:sz w:val="24"/>
          <w:szCs w:val="24"/>
          <w:lang w:val="fr-FR"/>
        </w:rPr>
        <w:t>E)</w:t>
      </w:r>
      <w:r w:rsidRPr="004A437B">
        <w:rPr>
          <w:sz w:val="24"/>
          <w:szCs w:val="24"/>
          <w:lang w:val="fr-FR"/>
        </w:rPr>
        <w:t xml:space="preserve"> Les activités de </w:t>
      </w:r>
      <w:r w:rsidR="002008FB" w:rsidRPr="004A437B">
        <w:rPr>
          <w:sz w:val="24"/>
          <w:szCs w:val="24"/>
          <w:lang w:val="fr-FR"/>
        </w:rPr>
        <w:t>c</w:t>
      </w:r>
      <w:r w:rsidR="00E03A1D" w:rsidRPr="004A437B">
        <w:rPr>
          <w:b/>
          <w:sz w:val="24"/>
          <w:szCs w:val="24"/>
          <w:lang w:val="fr-FR"/>
        </w:rPr>
        <w:t xml:space="preserve">onception d’une nouvelle structure </w:t>
      </w:r>
      <w:r w:rsidR="002008FB" w:rsidRPr="004A437B">
        <w:rPr>
          <w:b/>
          <w:sz w:val="24"/>
          <w:szCs w:val="24"/>
          <w:lang w:val="fr-FR"/>
        </w:rPr>
        <w:t xml:space="preserve">de classification des postes et </w:t>
      </w:r>
      <w:r w:rsidR="00240136" w:rsidRPr="004A437B">
        <w:rPr>
          <w:b/>
          <w:sz w:val="24"/>
          <w:szCs w:val="24"/>
          <w:lang w:val="fr-FR"/>
        </w:rPr>
        <w:t xml:space="preserve">de l’élaboration et mise en </w:t>
      </w:r>
      <w:r w:rsidR="00BC2F9B" w:rsidRPr="004A437B">
        <w:rPr>
          <w:b/>
          <w:sz w:val="24"/>
          <w:szCs w:val="24"/>
          <w:lang w:val="fr-FR"/>
        </w:rPr>
        <w:t>œuvre</w:t>
      </w:r>
      <w:r w:rsidR="00221D4B">
        <w:rPr>
          <w:b/>
          <w:sz w:val="24"/>
          <w:szCs w:val="24"/>
          <w:lang w:val="fr-FR"/>
        </w:rPr>
        <w:t xml:space="preserve"> </w:t>
      </w:r>
      <w:r w:rsidR="002008FB" w:rsidRPr="004A437B">
        <w:rPr>
          <w:b/>
          <w:sz w:val="24"/>
          <w:szCs w:val="24"/>
          <w:lang w:val="fr-FR"/>
        </w:rPr>
        <w:t>de la grille salariale</w:t>
      </w:r>
      <w:r w:rsidR="001B0525" w:rsidRPr="004A437B">
        <w:rPr>
          <w:sz w:val="24"/>
          <w:szCs w:val="24"/>
          <w:lang w:val="fr-FR"/>
        </w:rPr>
        <w:t>, incluront :</w:t>
      </w:r>
    </w:p>
    <w:p w14:paraId="31E715E8" w14:textId="782D2279" w:rsidR="001340D5" w:rsidRPr="004A437B" w:rsidRDefault="001340D5" w:rsidP="00720B8F">
      <w:pPr>
        <w:pStyle w:val="ColorfulList-Accent11"/>
        <w:numPr>
          <w:ilvl w:val="0"/>
          <w:numId w:val="15"/>
        </w:numPr>
        <w:ind w:hanging="450"/>
        <w:jc w:val="both"/>
        <w:rPr>
          <w:i/>
          <w:sz w:val="24"/>
          <w:szCs w:val="24"/>
          <w:lang w:val="fr-FR"/>
        </w:rPr>
      </w:pPr>
      <w:r w:rsidRPr="00AA5024">
        <w:rPr>
          <w:i/>
          <w:sz w:val="24"/>
          <w:szCs w:val="24"/>
          <w:lang w:val="fr-FR"/>
        </w:rPr>
        <w:t>Recrutement d'une firme pour</w:t>
      </w:r>
      <w:r w:rsidR="00221D4B">
        <w:rPr>
          <w:i/>
          <w:sz w:val="24"/>
          <w:szCs w:val="24"/>
          <w:lang w:val="fr-FR"/>
        </w:rPr>
        <w:t xml:space="preserve"> </w:t>
      </w:r>
      <w:r w:rsidRPr="004A437B">
        <w:rPr>
          <w:i/>
          <w:sz w:val="24"/>
          <w:szCs w:val="24"/>
          <w:lang w:val="fr-FR"/>
        </w:rPr>
        <w:t>:</w:t>
      </w:r>
    </w:p>
    <w:p w14:paraId="094032FC" w14:textId="77777777" w:rsidR="00A06E1B" w:rsidRPr="004A437B" w:rsidRDefault="001340D5" w:rsidP="00720B8F">
      <w:pPr>
        <w:pStyle w:val="ColorfulList-Accent11"/>
        <w:ind w:firstLine="720"/>
        <w:jc w:val="both"/>
        <w:rPr>
          <w:i/>
          <w:sz w:val="24"/>
          <w:szCs w:val="24"/>
          <w:lang w:val="fr-FR"/>
        </w:rPr>
      </w:pPr>
      <w:r w:rsidRPr="005D00B0">
        <w:rPr>
          <w:i/>
          <w:sz w:val="24"/>
          <w:szCs w:val="24"/>
          <w:lang w:val="fr-FR"/>
        </w:rPr>
        <w:t>1) Effectuer inventaire de l'existant</w:t>
      </w:r>
      <w:r w:rsidR="009424B2" w:rsidRPr="004A437B">
        <w:rPr>
          <w:i/>
          <w:sz w:val="24"/>
          <w:szCs w:val="24"/>
          <w:lang w:val="fr-FR"/>
        </w:rPr>
        <w:t> ;</w:t>
      </w:r>
    </w:p>
    <w:p w14:paraId="7EF0AEE1" w14:textId="47552F9F" w:rsidR="00A06E1B" w:rsidRPr="004A437B" w:rsidRDefault="001340D5" w:rsidP="00720B8F">
      <w:pPr>
        <w:pStyle w:val="ColorfulList-Accent11"/>
        <w:ind w:firstLine="720"/>
        <w:jc w:val="both"/>
        <w:rPr>
          <w:i/>
          <w:sz w:val="24"/>
          <w:szCs w:val="24"/>
          <w:lang w:val="fr-FR"/>
        </w:rPr>
      </w:pPr>
      <w:r w:rsidRPr="004A437B">
        <w:rPr>
          <w:i/>
          <w:sz w:val="24"/>
          <w:szCs w:val="24"/>
          <w:lang w:val="fr-FR"/>
        </w:rPr>
        <w:t>2) Etablir le</w:t>
      </w:r>
      <w:r w:rsidR="005145A8" w:rsidRPr="004A437B">
        <w:rPr>
          <w:i/>
          <w:sz w:val="24"/>
          <w:szCs w:val="24"/>
          <w:lang w:val="fr-FR"/>
        </w:rPr>
        <w:t xml:space="preserve"> R</w:t>
      </w:r>
      <w:r w:rsidRPr="004A437B">
        <w:rPr>
          <w:i/>
          <w:sz w:val="24"/>
          <w:szCs w:val="24"/>
          <w:lang w:val="fr-FR"/>
        </w:rPr>
        <w:t>éférentiel des</w:t>
      </w:r>
      <w:r w:rsidR="005145A8" w:rsidRPr="004A437B">
        <w:rPr>
          <w:i/>
          <w:sz w:val="24"/>
          <w:szCs w:val="24"/>
          <w:lang w:val="fr-FR"/>
        </w:rPr>
        <w:t xml:space="preserve"> E</w:t>
      </w:r>
      <w:r w:rsidRPr="004A437B">
        <w:rPr>
          <w:i/>
          <w:sz w:val="24"/>
          <w:szCs w:val="24"/>
          <w:lang w:val="fr-FR"/>
        </w:rPr>
        <w:t>mplois et des</w:t>
      </w:r>
      <w:r w:rsidR="00015DBA">
        <w:rPr>
          <w:i/>
          <w:sz w:val="24"/>
          <w:szCs w:val="24"/>
          <w:lang w:val="fr-FR"/>
        </w:rPr>
        <w:t xml:space="preserve"> </w:t>
      </w:r>
      <w:r w:rsidR="005145A8" w:rsidRPr="004A437B">
        <w:rPr>
          <w:i/>
          <w:sz w:val="24"/>
          <w:szCs w:val="24"/>
          <w:lang w:val="fr-FR"/>
        </w:rPr>
        <w:t>C</w:t>
      </w:r>
      <w:r w:rsidRPr="004A437B">
        <w:rPr>
          <w:i/>
          <w:sz w:val="24"/>
          <w:szCs w:val="24"/>
          <w:lang w:val="fr-FR"/>
        </w:rPr>
        <w:t>ompétences (REC) par institution</w:t>
      </w:r>
      <w:r w:rsidR="009424B2" w:rsidRPr="004A437B">
        <w:rPr>
          <w:i/>
          <w:sz w:val="24"/>
          <w:szCs w:val="24"/>
          <w:lang w:val="fr-FR"/>
        </w:rPr>
        <w:t> ;</w:t>
      </w:r>
    </w:p>
    <w:p w14:paraId="7271FCEC" w14:textId="77777777" w:rsidR="00A06E1B" w:rsidRPr="004A437B" w:rsidRDefault="001340D5" w:rsidP="00720B8F">
      <w:pPr>
        <w:pStyle w:val="ColorfulList-Accent11"/>
        <w:ind w:firstLine="720"/>
        <w:jc w:val="both"/>
        <w:rPr>
          <w:i/>
          <w:sz w:val="24"/>
          <w:szCs w:val="24"/>
          <w:lang w:val="fr-FR"/>
        </w:rPr>
      </w:pPr>
      <w:r w:rsidRPr="004A437B">
        <w:rPr>
          <w:i/>
          <w:sz w:val="24"/>
          <w:szCs w:val="24"/>
          <w:lang w:val="fr-FR"/>
        </w:rPr>
        <w:t>3) Elaborer des profils de postes et les classifier</w:t>
      </w:r>
      <w:r w:rsidR="009424B2" w:rsidRPr="004A437B">
        <w:rPr>
          <w:i/>
          <w:sz w:val="24"/>
          <w:szCs w:val="24"/>
          <w:lang w:val="fr-FR"/>
        </w:rPr>
        <w:t> ;</w:t>
      </w:r>
    </w:p>
    <w:p w14:paraId="1A00EE6F" w14:textId="77777777" w:rsidR="00A06E1B" w:rsidRPr="004A437B" w:rsidRDefault="001340D5" w:rsidP="00720B8F">
      <w:pPr>
        <w:pStyle w:val="ColorfulList-Accent11"/>
        <w:ind w:firstLine="720"/>
        <w:jc w:val="both"/>
        <w:rPr>
          <w:i/>
          <w:sz w:val="24"/>
          <w:szCs w:val="24"/>
          <w:lang w:val="fr-FR"/>
        </w:rPr>
      </w:pPr>
      <w:r w:rsidRPr="004A437B">
        <w:rPr>
          <w:i/>
          <w:sz w:val="24"/>
          <w:szCs w:val="24"/>
          <w:lang w:val="fr-FR"/>
        </w:rPr>
        <w:t xml:space="preserve">4) Evaluer, classifier et </w:t>
      </w:r>
      <w:r w:rsidR="009424B2" w:rsidRPr="004A437B">
        <w:rPr>
          <w:i/>
          <w:sz w:val="24"/>
          <w:szCs w:val="24"/>
          <w:lang w:val="fr-FR"/>
        </w:rPr>
        <w:t>catégoriser</w:t>
      </w:r>
      <w:r w:rsidRPr="004A437B">
        <w:rPr>
          <w:i/>
          <w:sz w:val="24"/>
          <w:szCs w:val="24"/>
          <w:lang w:val="fr-FR"/>
        </w:rPr>
        <w:t xml:space="preserve"> les emplois</w:t>
      </w:r>
      <w:r w:rsidR="009424B2" w:rsidRPr="004A437B">
        <w:rPr>
          <w:i/>
          <w:sz w:val="24"/>
          <w:szCs w:val="24"/>
          <w:lang w:val="fr-FR"/>
        </w:rPr>
        <w:t> ;</w:t>
      </w:r>
    </w:p>
    <w:p w14:paraId="30C7E62D" w14:textId="77777777" w:rsidR="00A06E1B" w:rsidRPr="004A437B" w:rsidRDefault="001340D5" w:rsidP="00720B8F">
      <w:pPr>
        <w:pStyle w:val="ColorfulList-Accent11"/>
        <w:ind w:firstLine="720"/>
        <w:jc w:val="both"/>
        <w:rPr>
          <w:i/>
          <w:sz w:val="24"/>
          <w:szCs w:val="24"/>
          <w:lang w:val="fr-FR"/>
        </w:rPr>
      </w:pPr>
      <w:r w:rsidRPr="004A437B">
        <w:rPr>
          <w:i/>
          <w:sz w:val="24"/>
          <w:szCs w:val="24"/>
          <w:lang w:val="fr-FR"/>
        </w:rPr>
        <w:t>5) Identifier et créer des corps d’emplois et leur statut particulier</w:t>
      </w:r>
      <w:r w:rsidR="009424B2" w:rsidRPr="004A437B">
        <w:rPr>
          <w:i/>
          <w:sz w:val="24"/>
          <w:szCs w:val="24"/>
          <w:lang w:val="fr-FR"/>
        </w:rPr>
        <w:t> ;</w:t>
      </w:r>
    </w:p>
    <w:p w14:paraId="7FD61B9E" w14:textId="77777777" w:rsidR="00A06E1B" w:rsidRPr="004A437B" w:rsidRDefault="001340D5" w:rsidP="00720B8F">
      <w:pPr>
        <w:pStyle w:val="ColorfulList-Accent11"/>
        <w:ind w:firstLine="720"/>
        <w:jc w:val="both"/>
        <w:rPr>
          <w:i/>
          <w:sz w:val="24"/>
          <w:szCs w:val="24"/>
          <w:lang w:val="fr-FR"/>
        </w:rPr>
      </w:pPr>
      <w:r w:rsidRPr="004A437B">
        <w:rPr>
          <w:i/>
          <w:sz w:val="24"/>
          <w:szCs w:val="24"/>
          <w:lang w:val="fr-FR"/>
        </w:rPr>
        <w:t xml:space="preserve">6) </w:t>
      </w:r>
      <w:r w:rsidR="009424B2" w:rsidRPr="004A437B">
        <w:rPr>
          <w:i/>
          <w:sz w:val="24"/>
          <w:szCs w:val="24"/>
          <w:lang w:val="fr-FR"/>
        </w:rPr>
        <w:t>Développement</w:t>
      </w:r>
      <w:r w:rsidRPr="004A437B">
        <w:rPr>
          <w:i/>
          <w:sz w:val="24"/>
          <w:szCs w:val="24"/>
          <w:lang w:val="fr-FR"/>
        </w:rPr>
        <w:t xml:space="preserve"> d'un module</w:t>
      </w:r>
      <w:r w:rsidR="00240136" w:rsidRPr="004A437B">
        <w:rPr>
          <w:i/>
          <w:sz w:val="24"/>
          <w:szCs w:val="24"/>
          <w:lang w:val="fr-FR"/>
        </w:rPr>
        <w:t xml:space="preserve"> électronique</w:t>
      </w:r>
      <w:r w:rsidRPr="004A437B">
        <w:rPr>
          <w:i/>
          <w:sz w:val="24"/>
          <w:szCs w:val="24"/>
          <w:lang w:val="fr-FR"/>
        </w:rPr>
        <w:t xml:space="preserve"> d'</w:t>
      </w:r>
      <w:r w:rsidR="009424B2" w:rsidRPr="004A437B">
        <w:rPr>
          <w:i/>
          <w:sz w:val="24"/>
          <w:szCs w:val="24"/>
          <w:lang w:val="fr-FR"/>
        </w:rPr>
        <w:t>évaluation</w:t>
      </w:r>
      <w:r w:rsidRPr="004A437B">
        <w:rPr>
          <w:i/>
          <w:sz w:val="24"/>
          <w:szCs w:val="24"/>
          <w:lang w:val="fr-FR"/>
        </w:rPr>
        <w:t xml:space="preserve"> du personnel</w:t>
      </w:r>
      <w:r w:rsidR="009424B2" w:rsidRPr="004A437B">
        <w:rPr>
          <w:i/>
          <w:sz w:val="24"/>
          <w:szCs w:val="24"/>
          <w:lang w:val="fr-FR"/>
        </w:rPr>
        <w:t> ;</w:t>
      </w:r>
    </w:p>
    <w:p w14:paraId="53EE8358" w14:textId="77777777" w:rsidR="00116569" w:rsidRPr="004A437B" w:rsidRDefault="001340D5" w:rsidP="00720B8F">
      <w:pPr>
        <w:pStyle w:val="ColorfulList-Accent11"/>
        <w:ind w:left="1620" w:hanging="180"/>
        <w:jc w:val="both"/>
        <w:rPr>
          <w:i/>
          <w:sz w:val="24"/>
          <w:szCs w:val="24"/>
          <w:lang w:val="fr-FR"/>
        </w:rPr>
      </w:pPr>
      <w:r w:rsidRPr="004A437B">
        <w:rPr>
          <w:i/>
          <w:sz w:val="24"/>
          <w:szCs w:val="24"/>
          <w:lang w:val="fr-FR"/>
        </w:rPr>
        <w:t>7) Accompagne</w:t>
      </w:r>
      <w:r w:rsidR="004B23F2" w:rsidRPr="004A437B">
        <w:rPr>
          <w:i/>
          <w:sz w:val="24"/>
          <w:szCs w:val="24"/>
          <w:lang w:val="fr-FR"/>
        </w:rPr>
        <w:t>ment de l'OMRH et d</w:t>
      </w:r>
      <w:r w:rsidRPr="004A437B">
        <w:rPr>
          <w:i/>
          <w:sz w:val="24"/>
          <w:szCs w:val="24"/>
          <w:lang w:val="fr-FR"/>
        </w:rPr>
        <w:t xml:space="preserve">es institutions de la FP </w:t>
      </w:r>
      <w:r w:rsidR="004B23F2" w:rsidRPr="004A437B">
        <w:rPr>
          <w:i/>
          <w:sz w:val="24"/>
          <w:szCs w:val="24"/>
          <w:lang w:val="fr-FR"/>
        </w:rPr>
        <w:t>à</w:t>
      </w:r>
      <w:r w:rsidRPr="004A437B">
        <w:rPr>
          <w:i/>
          <w:sz w:val="24"/>
          <w:szCs w:val="24"/>
          <w:lang w:val="fr-FR"/>
        </w:rPr>
        <w:t xml:space="preserve"> effectuer l'</w:t>
      </w:r>
      <w:r w:rsidR="004B23F2" w:rsidRPr="004A437B">
        <w:rPr>
          <w:i/>
          <w:sz w:val="24"/>
          <w:szCs w:val="24"/>
          <w:lang w:val="fr-FR"/>
        </w:rPr>
        <w:t>évaluation</w:t>
      </w:r>
      <w:r w:rsidRPr="004A437B">
        <w:rPr>
          <w:i/>
          <w:sz w:val="24"/>
          <w:szCs w:val="24"/>
          <w:lang w:val="fr-FR"/>
        </w:rPr>
        <w:t xml:space="preserve"> des agents publics</w:t>
      </w:r>
      <w:r w:rsidR="005145A8" w:rsidRPr="004A437B">
        <w:rPr>
          <w:i/>
          <w:sz w:val="24"/>
          <w:szCs w:val="24"/>
          <w:lang w:val="fr-FR"/>
        </w:rPr>
        <w:t> :</w:t>
      </w:r>
    </w:p>
    <w:p w14:paraId="0031A60F" w14:textId="77777777" w:rsidR="00A06E1B" w:rsidRPr="004A437B" w:rsidRDefault="004B23F2" w:rsidP="00720B8F">
      <w:pPr>
        <w:pStyle w:val="ColorfulList-Accent11"/>
        <w:ind w:left="1620" w:hanging="180"/>
        <w:jc w:val="both"/>
        <w:rPr>
          <w:i/>
          <w:sz w:val="24"/>
          <w:szCs w:val="24"/>
          <w:lang w:val="fr-FR"/>
        </w:rPr>
      </w:pPr>
      <w:r w:rsidRPr="004A437B">
        <w:rPr>
          <w:i/>
          <w:sz w:val="24"/>
          <w:szCs w:val="24"/>
          <w:lang w:val="fr-FR"/>
        </w:rPr>
        <w:t>i.       Atelier d'échanges (incluant les expériences des femmes dans la FP) et de validation</w:t>
      </w:r>
      <w:r w:rsidR="009424B2" w:rsidRPr="004A437B">
        <w:rPr>
          <w:i/>
          <w:sz w:val="24"/>
          <w:szCs w:val="24"/>
          <w:lang w:val="fr-FR"/>
        </w:rPr>
        <w:t> ;</w:t>
      </w:r>
    </w:p>
    <w:p w14:paraId="0BBC2DD2" w14:textId="2A10BAE8" w:rsidR="00A06E1B" w:rsidRPr="004A437B" w:rsidRDefault="004B23F2" w:rsidP="00720B8F">
      <w:pPr>
        <w:pStyle w:val="ColorfulList-Accent11"/>
        <w:ind w:left="1440" w:hanging="450"/>
        <w:jc w:val="both"/>
        <w:rPr>
          <w:i/>
          <w:sz w:val="24"/>
          <w:szCs w:val="24"/>
          <w:lang w:val="fr-FR"/>
        </w:rPr>
      </w:pPr>
      <w:r w:rsidRPr="004A437B">
        <w:rPr>
          <w:i/>
          <w:sz w:val="24"/>
          <w:szCs w:val="24"/>
          <w:lang w:val="fr-FR"/>
        </w:rPr>
        <w:t xml:space="preserve">ii.- </w:t>
      </w:r>
      <w:r w:rsidR="00A62C3F" w:rsidRPr="004A437B">
        <w:rPr>
          <w:i/>
          <w:sz w:val="24"/>
          <w:szCs w:val="24"/>
          <w:lang w:val="fr-FR"/>
        </w:rPr>
        <w:t xml:space="preserve">Evaluation du personnel des </w:t>
      </w:r>
      <w:r w:rsidR="00E569FB" w:rsidRPr="004A437B">
        <w:rPr>
          <w:i/>
          <w:sz w:val="24"/>
          <w:szCs w:val="24"/>
          <w:lang w:val="fr-FR"/>
        </w:rPr>
        <w:t>entités</w:t>
      </w:r>
      <w:r w:rsidR="00A62C3F" w:rsidRPr="004A437B">
        <w:rPr>
          <w:i/>
          <w:sz w:val="24"/>
          <w:szCs w:val="24"/>
          <w:lang w:val="fr-FR"/>
        </w:rPr>
        <w:t xml:space="preserve"> gouvernementales par les institutions et l'OMRH avec l'accompagnement de la firme de l'</w:t>
      </w:r>
      <w:r w:rsidR="00E569FB" w:rsidRPr="004A437B">
        <w:rPr>
          <w:i/>
          <w:sz w:val="24"/>
          <w:szCs w:val="24"/>
          <w:lang w:val="fr-FR"/>
        </w:rPr>
        <w:t>activité</w:t>
      </w:r>
      <w:r w:rsidR="00A62C3F" w:rsidRPr="004A437B">
        <w:rPr>
          <w:i/>
          <w:sz w:val="24"/>
          <w:szCs w:val="24"/>
          <w:lang w:val="fr-FR"/>
        </w:rPr>
        <w:t xml:space="preserve"> 1</w:t>
      </w:r>
      <w:r w:rsidR="009424B2" w:rsidRPr="004A437B">
        <w:rPr>
          <w:i/>
          <w:sz w:val="24"/>
          <w:szCs w:val="24"/>
          <w:lang w:val="fr-FR"/>
        </w:rPr>
        <w:t> ;</w:t>
      </w:r>
    </w:p>
    <w:p w14:paraId="4D3696C0" w14:textId="1F196056" w:rsidR="00A06E1B" w:rsidRPr="004A437B" w:rsidRDefault="00E569FB" w:rsidP="00074D3F">
      <w:pPr>
        <w:pStyle w:val="ColorfulList-Accent11"/>
        <w:ind w:left="1260" w:hanging="270"/>
        <w:jc w:val="both"/>
        <w:rPr>
          <w:i/>
          <w:sz w:val="24"/>
          <w:szCs w:val="24"/>
          <w:lang w:val="fr-FR"/>
        </w:rPr>
      </w:pPr>
      <w:r w:rsidRPr="004A437B">
        <w:rPr>
          <w:i/>
          <w:sz w:val="24"/>
          <w:szCs w:val="24"/>
          <w:lang w:val="fr-FR"/>
        </w:rPr>
        <w:t>i</w:t>
      </w:r>
      <w:r w:rsidR="00EC03C3" w:rsidRPr="004A437B">
        <w:rPr>
          <w:i/>
          <w:sz w:val="24"/>
          <w:szCs w:val="24"/>
          <w:lang w:val="fr-FR"/>
        </w:rPr>
        <w:t>ii</w:t>
      </w:r>
      <w:r w:rsidRPr="004A437B">
        <w:rPr>
          <w:i/>
          <w:sz w:val="24"/>
          <w:szCs w:val="24"/>
          <w:lang w:val="fr-FR"/>
        </w:rPr>
        <w:t>.</w:t>
      </w:r>
      <w:r w:rsidR="00221D4B">
        <w:rPr>
          <w:i/>
          <w:sz w:val="24"/>
          <w:szCs w:val="24"/>
          <w:lang w:val="fr-FR"/>
        </w:rPr>
        <w:t xml:space="preserve"> </w:t>
      </w:r>
      <w:r w:rsidRPr="00AA5024">
        <w:rPr>
          <w:rFonts w:eastAsia="Times New Roman" w:cs="Calibri"/>
          <w:color w:val="000000"/>
          <w:lang w:val="fr-FR"/>
        </w:rPr>
        <w:t>Recrutement</w:t>
      </w:r>
      <w:r w:rsidR="00A62C3F" w:rsidRPr="00AA5024">
        <w:rPr>
          <w:rFonts w:eastAsia="Times New Roman" w:cs="Calibri"/>
          <w:color w:val="000000"/>
          <w:lang w:val="fr-FR"/>
        </w:rPr>
        <w:t xml:space="preserve"> de deux experts pour l'</w:t>
      </w:r>
      <w:r w:rsidR="009424B2" w:rsidRPr="00AA5024">
        <w:rPr>
          <w:rFonts w:eastAsia="Times New Roman" w:cs="Calibri"/>
          <w:color w:val="000000"/>
          <w:lang w:val="fr-FR"/>
        </w:rPr>
        <w:t>élaboration</w:t>
      </w:r>
      <w:r w:rsidR="00A62C3F" w:rsidRPr="00AA5024">
        <w:rPr>
          <w:rFonts w:eastAsia="Times New Roman" w:cs="Calibri"/>
          <w:color w:val="000000"/>
          <w:lang w:val="fr-FR"/>
        </w:rPr>
        <w:t xml:space="preserve"> d'un plan de reclassement du personnel (right-</w:t>
      </w:r>
      <w:proofErr w:type="spellStart"/>
      <w:r w:rsidR="00A62C3F" w:rsidRPr="00AA5024">
        <w:rPr>
          <w:rFonts w:eastAsia="Times New Roman" w:cs="Calibri"/>
          <w:color w:val="000000"/>
          <w:lang w:val="fr-FR"/>
        </w:rPr>
        <w:t>sizing</w:t>
      </w:r>
      <w:proofErr w:type="spellEnd"/>
      <w:r w:rsidR="00A62C3F" w:rsidRPr="00AA5024">
        <w:rPr>
          <w:rFonts w:eastAsia="Times New Roman" w:cs="Calibri"/>
          <w:color w:val="000000"/>
          <w:lang w:val="fr-FR"/>
        </w:rPr>
        <w:t>)</w:t>
      </w:r>
      <w:r w:rsidR="009424B2" w:rsidRPr="00AA5024">
        <w:rPr>
          <w:rFonts w:eastAsia="Times New Roman" w:cs="Calibri"/>
          <w:color w:val="000000"/>
          <w:lang w:val="fr-FR"/>
        </w:rPr>
        <w:t> ;</w:t>
      </w:r>
    </w:p>
    <w:p w14:paraId="42421437" w14:textId="77777777" w:rsidR="00A06E1B" w:rsidRPr="004A437B" w:rsidRDefault="00EC03C3" w:rsidP="00720B8F">
      <w:pPr>
        <w:pStyle w:val="ColorfulList-Accent11"/>
        <w:ind w:left="1170" w:hanging="180"/>
        <w:jc w:val="both"/>
        <w:rPr>
          <w:i/>
          <w:sz w:val="24"/>
          <w:szCs w:val="24"/>
          <w:lang w:val="fr-FR"/>
        </w:rPr>
      </w:pPr>
      <w:r w:rsidRPr="004A437B">
        <w:rPr>
          <w:i/>
          <w:sz w:val="24"/>
          <w:szCs w:val="24"/>
          <w:lang w:val="fr-FR"/>
        </w:rPr>
        <w:t>i</w:t>
      </w:r>
      <w:r w:rsidR="00A62C3F" w:rsidRPr="004A437B">
        <w:rPr>
          <w:i/>
          <w:sz w:val="24"/>
          <w:szCs w:val="24"/>
          <w:lang w:val="fr-FR"/>
        </w:rPr>
        <w:t>v</w:t>
      </w:r>
      <w:r w:rsidR="00DC42EA">
        <w:rPr>
          <w:i/>
          <w:sz w:val="24"/>
          <w:szCs w:val="24"/>
          <w:lang w:val="fr-FR"/>
        </w:rPr>
        <w:t xml:space="preserve">.- </w:t>
      </w:r>
      <w:r w:rsidR="00A62C3F" w:rsidRPr="00AA5024">
        <w:rPr>
          <w:i/>
          <w:sz w:val="24"/>
          <w:szCs w:val="24"/>
          <w:lang w:val="fr-FR"/>
        </w:rPr>
        <w:t xml:space="preserve">Recrutement des </w:t>
      </w:r>
      <w:r w:rsidR="009424B2" w:rsidRPr="00AA5024">
        <w:rPr>
          <w:i/>
          <w:sz w:val="24"/>
          <w:szCs w:val="24"/>
          <w:lang w:val="fr-FR"/>
        </w:rPr>
        <w:t>spécialistes</w:t>
      </w:r>
      <w:r w:rsidR="00A62C3F" w:rsidRPr="00AA5024">
        <w:rPr>
          <w:i/>
          <w:sz w:val="24"/>
          <w:szCs w:val="24"/>
          <w:lang w:val="fr-FR"/>
        </w:rPr>
        <w:t xml:space="preserve"> pour appuyer la sous-commission pour l'établissement</w:t>
      </w:r>
      <w:r w:rsidR="00A62C3F" w:rsidRPr="004A437B">
        <w:rPr>
          <w:i/>
          <w:sz w:val="24"/>
          <w:szCs w:val="24"/>
          <w:lang w:val="fr-FR"/>
        </w:rPr>
        <w:t xml:space="preserve"> de la grille de salaire </w:t>
      </w:r>
      <w:r w:rsidR="009424B2" w:rsidRPr="005D00B0">
        <w:rPr>
          <w:i/>
          <w:sz w:val="24"/>
          <w:szCs w:val="24"/>
          <w:lang w:val="fr-FR"/>
        </w:rPr>
        <w:t>ainsi</w:t>
      </w:r>
      <w:r w:rsidR="00A62C3F" w:rsidRPr="005D00B0">
        <w:rPr>
          <w:i/>
          <w:sz w:val="24"/>
          <w:szCs w:val="24"/>
          <w:lang w:val="fr-FR"/>
        </w:rPr>
        <w:t xml:space="preserve"> que la préparation d'un plan de mise en œuvre de la grille</w:t>
      </w:r>
      <w:r w:rsidR="009424B2" w:rsidRPr="004A437B">
        <w:rPr>
          <w:i/>
          <w:sz w:val="24"/>
          <w:szCs w:val="24"/>
          <w:lang w:val="fr-FR"/>
        </w:rPr>
        <w:t> ;</w:t>
      </w:r>
    </w:p>
    <w:p w14:paraId="7C0E4FAE" w14:textId="209F7EB0" w:rsidR="00A06E1B" w:rsidRDefault="00EC03C3" w:rsidP="00EC03C3">
      <w:pPr>
        <w:pStyle w:val="ColorfulList-Accent11"/>
        <w:ind w:firstLine="270"/>
        <w:jc w:val="both"/>
        <w:rPr>
          <w:rFonts w:eastAsia="Times New Roman" w:cs="Calibri"/>
          <w:color w:val="000000"/>
          <w:lang w:val="fr-FR"/>
        </w:rPr>
      </w:pPr>
      <w:bookmarkStart w:id="14" w:name="_Hlk532462132"/>
      <w:r w:rsidRPr="004A437B">
        <w:rPr>
          <w:rFonts w:eastAsia="Times New Roman" w:cs="Calibri"/>
          <w:color w:val="000000"/>
          <w:lang w:val="fr-FR"/>
        </w:rPr>
        <w:t xml:space="preserve">v.- </w:t>
      </w:r>
      <w:r w:rsidR="00A62C3F" w:rsidRPr="004A437B">
        <w:rPr>
          <w:rFonts w:eastAsia="Times New Roman" w:cs="Calibri"/>
          <w:color w:val="000000"/>
          <w:lang w:val="fr-FR"/>
        </w:rPr>
        <w:t>Financement de gratifications aux membres de la sous-commission</w:t>
      </w:r>
      <w:r w:rsidR="00C9307C">
        <w:rPr>
          <w:rFonts w:eastAsia="Times New Roman" w:cs="Calibri"/>
          <w:color w:val="000000"/>
          <w:lang w:val="fr-FR"/>
        </w:rPr>
        <w:t>.</w:t>
      </w:r>
      <w:r w:rsidR="00A76002" w:rsidRPr="00AA5024">
        <w:rPr>
          <w:rFonts w:eastAsia="Times New Roman" w:cs="Calibri"/>
          <w:color w:val="000000"/>
          <w:lang w:val="fr-FR"/>
        </w:rPr>
        <w:t> </w:t>
      </w:r>
    </w:p>
    <w:bookmarkEnd w:id="14"/>
    <w:p w14:paraId="4C13ADE9" w14:textId="77777777" w:rsidR="00C50DB4" w:rsidRDefault="00C50DB4" w:rsidP="00EC03C3">
      <w:pPr>
        <w:pStyle w:val="ColorfulList-Accent11"/>
        <w:ind w:firstLine="270"/>
        <w:jc w:val="both"/>
        <w:rPr>
          <w:rFonts w:eastAsia="Times New Roman" w:cs="Calibri"/>
          <w:color w:val="000000"/>
          <w:lang w:val="fr-FR"/>
        </w:rPr>
      </w:pPr>
    </w:p>
    <w:p w14:paraId="2A03AC79" w14:textId="77777777" w:rsidR="00EC03C3" w:rsidRDefault="00EC03C3" w:rsidP="00720B8F">
      <w:pPr>
        <w:pStyle w:val="ColorfulList-Accent11"/>
        <w:ind w:firstLine="270"/>
        <w:jc w:val="both"/>
        <w:rPr>
          <w:i/>
          <w:sz w:val="24"/>
          <w:szCs w:val="24"/>
          <w:lang w:val="fr-FR"/>
        </w:rPr>
      </w:pPr>
    </w:p>
    <w:p w14:paraId="69FC55DA" w14:textId="2A0F79AA" w:rsidR="00A06E1B" w:rsidRPr="00720B8F" w:rsidRDefault="009424B2" w:rsidP="00074D3F">
      <w:pPr>
        <w:pStyle w:val="ColorfulList-Accent11"/>
        <w:ind w:hanging="540"/>
        <w:jc w:val="both"/>
        <w:rPr>
          <w:i/>
          <w:sz w:val="24"/>
          <w:szCs w:val="24"/>
          <w:lang w:val="fr-FR"/>
        </w:rPr>
      </w:pPr>
      <w:r>
        <w:rPr>
          <w:b/>
          <w:sz w:val="24"/>
          <w:szCs w:val="24"/>
          <w:lang w:val="fr-FR"/>
        </w:rPr>
        <w:t>2.9</w:t>
      </w:r>
      <w:r w:rsidR="00074D3F">
        <w:rPr>
          <w:b/>
          <w:sz w:val="24"/>
          <w:szCs w:val="24"/>
          <w:lang w:val="fr-FR"/>
        </w:rPr>
        <w:tab/>
      </w:r>
      <w:r>
        <w:rPr>
          <w:b/>
          <w:sz w:val="24"/>
          <w:szCs w:val="24"/>
          <w:lang w:val="fr-FR"/>
        </w:rPr>
        <w:t>F</w:t>
      </w:r>
      <w:r w:rsidR="001340D5" w:rsidRPr="00AF70FE">
        <w:rPr>
          <w:b/>
          <w:sz w:val="24"/>
          <w:szCs w:val="24"/>
          <w:lang w:val="fr-FR"/>
        </w:rPr>
        <w:t>)</w:t>
      </w:r>
      <w:r w:rsidR="00F94CB2">
        <w:rPr>
          <w:b/>
          <w:sz w:val="24"/>
          <w:szCs w:val="24"/>
          <w:lang w:val="fr-FR"/>
        </w:rPr>
        <w:t xml:space="preserve"> </w:t>
      </w:r>
      <w:r w:rsidR="001340D5" w:rsidRPr="00AF70FE">
        <w:rPr>
          <w:sz w:val="24"/>
          <w:szCs w:val="24"/>
          <w:lang w:val="fr-FR"/>
        </w:rPr>
        <w:t>Les activités d</w:t>
      </w:r>
      <w:r>
        <w:rPr>
          <w:sz w:val="24"/>
          <w:szCs w:val="24"/>
          <w:lang w:val="fr-FR"/>
        </w:rPr>
        <w:t xml:space="preserve">e la </w:t>
      </w:r>
      <w:r w:rsidR="00A511AA" w:rsidRPr="00720B8F">
        <w:rPr>
          <w:b/>
          <w:sz w:val="24"/>
          <w:szCs w:val="24"/>
          <w:lang w:val="fr-FR"/>
        </w:rPr>
        <w:t>c</w:t>
      </w:r>
      <w:r w:rsidRPr="009424B2">
        <w:rPr>
          <w:b/>
          <w:sz w:val="24"/>
          <w:szCs w:val="24"/>
          <w:lang w:val="fr-FR"/>
        </w:rPr>
        <w:t xml:space="preserve">onception d’un </w:t>
      </w:r>
      <w:r w:rsidRPr="00EC03C3">
        <w:rPr>
          <w:b/>
          <w:sz w:val="24"/>
          <w:szCs w:val="24"/>
          <w:lang w:val="fr-FR"/>
        </w:rPr>
        <w:t xml:space="preserve">programme </w:t>
      </w:r>
      <w:r w:rsidR="00EC03C3" w:rsidRPr="00720B8F">
        <w:rPr>
          <w:b/>
          <w:sz w:val="24"/>
          <w:szCs w:val="24"/>
          <w:lang w:val="fr-FR"/>
        </w:rPr>
        <w:t>d’incitations au départ à la retraite de fonctionnaires publics</w:t>
      </w:r>
      <w:r w:rsidR="001340D5" w:rsidRPr="001B0525">
        <w:rPr>
          <w:sz w:val="24"/>
          <w:szCs w:val="24"/>
          <w:lang w:val="fr-FR"/>
        </w:rPr>
        <w:t xml:space="preserve">, </w:t>
      </w:r>
      <w:r w:rsidR="001340D5">
        <w:rPr>
          <w:sz w:val="24"/>
          <w:szCs w:val="24"/>
          <w:lang w:val="fr-FR"/>
        </w:rPr>
        <w:t>incluront :</w:t>
      </w:r>
    </w:p>
    <w:p w14:paraId="1076795E" w14:textId="09851BBE" w:rsidR="00A06E1B" w:rsidRDefault="009424B2" w:rsidP="00720B8F">
      <w:pPr>
        <w:pStyle w:val="ColorfulList-Accent11"/>
        <w:ind w:left="0" w:firstLine="990"/>
        <w:jc w:val="both"/>
        <w:rPr>
          <w:rFonts w:eastAsia="Times New Roman" w:cs="Calibri"/>
          <w:color w:val="000000"/>
          <w:lang w:val="fr-FR"/>
        </w:rPr>
      </w:pPr>
      <w:r>
        <w:rPr>
          <w:sz w:val="24"/>
          <w:szCs w:val="24"/>
          <w:lang w:val="fr-FR"/>
        </w:rPr>
        <w:t xml:space="preserve">i. </w:t>
      </w:r>
      <w:r w:rsidRPr="00EA1BE6">
        <w:rPr>
          <w:rFonts w:eastAsia="Times New Roman" w:cs="Calibri"/>
          <w:color w:val="000000"/>
          <w:lang w:val="fr-FR"/>
        </w:rPr>
        <w:t xml:space="preserve">Révision des conditions du programme </w:t>
      </w:r>
      <w:r w:rsidR="00C9307C">
        <w:rPr>
          <w:rFonts w:eastAsia="Times New Roman" w:cs="Calibri"/>
          <w:color w:val="000000"/>
          <w:lang w:val="fr-FR"/>
        </w:rPr>
        <w:t xml:space="preserve">d’incitation </w:t>
      </w:r>
      <w:r w:rsidRPr="00EA1BE6">
        <w:rPr>
          <w:rFonts w:eastAsia="Times New Roman" w:cs="Calibri"/>
          <w:color w:val="000000"/>
          <w:lang w:val="fr-FR"/>
        </w:rPr>
        <w:t>de départ à la retraite des fonctionnaires</w:t>
      </w:r>
      <w:r w:rsidR="00116569">
        <w:rPr>
          <w:rFonts w:eastAsia="Times New Roman" w:cs="Calibri"/>
          <w:color w:val="000000"/>
          <w:lang w:val="fr-FR"/>
        </w:rPr>
        <w:t> ;</w:t>
      </w:r>
    </w:p>
    <w:p w14:paraId="2C1AD794" w14:textId="77777777" w:rsidR="00EC03C3" w:rsidRDefault="009424B2" w:rsidP="00BC2F9B">
      <w:pPr>
        <w:pStyle w:val="ColorfulList-Accent11"/>
        <w:ind w:left="1170" w:hanging="180"/>
        <w:jc w:val="both"/>
        <w:rPr>
          <w:rFonts w:eastAsia="Times New Roman" w:cs="Calibri"/>
          <w:color w:val="000000"/>
          <w:lang w:val="fr-FR"/>
        </w:rPr>
      </w:pPr>
      <w:r>
        <w:rPr>
          <w:rFonts w:eastAsia="Times New Roman" w:cs="Calibri"/>
          <w:color w:val="000000"/>
          <w:lang w:val="fr-FR"/>
        </w:rPr>
        <w:t xml:space="preserve">ii. </w:t>
      </w:r>
      <w:r w:rsidRPr="00EA1BE6">
        <w:rPr>
          <w:rFonts w:eastAsia="Times New Roman" w:cs="Calibri"/>
          <w:color w:val="000000"/>
          <w:lang w:val="fr-FR"/>
        </w:rPr>
        <w:t>Identification du personnel éligible au départ à la retraite dans les ministères et institutions publiques</w:t>
      </w:r>
      <w:r>
        <w:rPr>
          <w:rFonts w:eastAsia="Times New Roman" w:cs="Calibri"/>
          <w:color w:val="000000"/>
          <w:lang w:val="fr-FR"/>
        </w:rPr>
        <w:t xml:space="preserve"> ; </w:t>
      </w:r>
    </w:p>
    <w:p w14:paraId="1CCD06BC" w14:textId="77777777" w:rsidR="00A06E1B" w:rsidRDefault="00BC2F9B" w:rsidP="00AA5024">
      <w:pPr>
        <w:pStyle w:val="ColorfulList-Accent11"/>
        <w:ind w:left="0" w:firstLine="990"/>
        <w:jc w:val="both"/>
        <w:rPr>
          <w:rFonts w:eastAsia="Times New Roman" w:cs="Calibri"/>
          <w:color w:val="000000"/>
          <w:lang w:val="fr-FR"/>
        </w:rPr>
      </w:pPr>
      <w:r>
        <w:rPr>
          <w:rFonts w:eastAsia="Times New Roman" w:cs="Calibri"/>
          <w:color w:val="000000"/>
          <w:lang w:val="fr-FR"/>
        </w:rPr>
        <w:lastRenderedPageBreak/>
        <w:t>iii.</w:t>
      </w:r>
      <w:r w:rsidRPr="00EA1BE6">
        <w:rPr>
          <w:rFonts w:eastAsia="Times New Roman" w:cs="Calibri"/>
          <w:color w:val="000000"/>
          <w:lang w:val="fr-FR"/>
        </w:rPr>
        <w:t xml:space="preserve"> Sensibilisation</w:t>
      </w:r>
      <w:r w:rsidR="009424B2" w:rsidRPr="00EA1BE6">
        <w:rPr>
          <w:rFonts w:eastAsia="Times New Roman" w:cs="Calibri"/>
          <w:color w:val="000000"/>
          <w:lang w:val="fr-FR"/>
        </w:rPr>
        <w:t xml:space="preserve"> et information sur le processus</w:t>
      </w:r>
      <w:r w:rsidR="00116569">
        <w:rPr>
          <w:rFonts w:eastAsia="Times New Roman" w:cs="Calibri"/>
          <w:color w:val="000000"/>
          <w:lang w:val="fr-FR"/>
        </w:rPr>
        <w:t> ; et</w:t>
      </w:r>
    </w:p>
    <w:p w14:paraId="00881618" w14:textId="5F1108F9" w:rsidR="00116569" w:rsidRPr="00AA5024" w:rsidRDefault="00116569" w:rsidP="00AA5024">
      <w:pPr>
        <w:pStyle w:val="ColorfulList-Accent11"/>
        <w:numPr>
          <w:ilvl w:val="0"/>
          <w:numId w:val="75"/>
        </w:numPr>
        <w:ind w:left="1260" w:hanging="270"/>
        <w:jc w:val="both"/>
        <w:rPr>
          <w:lang w:val="fr-FR"/>
        </w:rPr>
      </w:pPr>
      <w:r w:rsidRPr="00AA5024">
        <w:rPr>
          <w:lang w:val="fr-FR"/>
        </w:rPr>
        <w:t>Elaboration d’un document fixant les modalités administratives, juridiques et financières du départ à la retraite de</w:t>
      </w:r>
      <w:r w:rsidR="00442760">
        <w:rPr>
          <w:lang w:val="fr-FR"/>
        </w:rPr>
        <w:t>s f</w:t>
      </w:r>
      <w:r w:rsidRPr="00AA5024">
        <w:rPr>
          <w:lang w:val="fr-FR"/>
        </w:rPr>
        <w:t>onctionnaires</w:t>
      </w:r>
      <w:r w:rsidR="00760660">
        <w:rPr>
          <w:lang w:val="fr-FR"/>
        </w:rPr>
        <w:t>.</w:t>
      </w:r>
    </w:p>
    <w:p w14:paraId="28147534" w14:textId="77777777" w:rsidR="00A06E1B" w:rsidRDefault="00A06E1B" w:rsidP="00720B8F">
      <w:pPr>
        <w:pStyle w:val="ColorfulList-Accent11"/>
        <w:ind w:left="0"/>
        <w:jc w:val="both"/>
        <w:rPr>
          <w:i/>
          <w:sz w:val="24"/>
          <w:szCs w:val="24"/>
          <w:lang w:val="fr-FR"/>
        </w:rPr>
      </w:pPr>
    </w:p>
    <w:p w14:paraId="33E10284" w14:textId="77777777" w:rsidR="00A06E1B" w:rsidRDefault="00A511AA" w:rsidP="00074D3F">
      <w:pPr>
        <w:pStyle w:val="ColorfulList-Accent11"/>
        <w:numPr>
          <w:ilvl w:val="1"/>
          <w:numId w:val="3"/>
        </w:numPr>
        <w:ind w:left="810" w:hanging="630"/>
        <w:jc w:val="both"/>
        <w:rPr>
          <w:rFonts w:eastAsia="Times New Roman" w:cs="Calibri"/>
          <w:b/>
          <w:bCs/>
          <w:color w:val="000000"/>
          <w:lang w:val="fr-FR"/>
        </w:rPr>
      </w:pPr>
      <w:r w:rsidRPr="00720B8F">
        <w:rPr>
          <w:rFonts w:eastAsia="Times New Roman" w:cs="Calibri"/>
          <w:b/>
          <w:color w:val="000000"/>
          <w:lang w:val="fr-FR"/>
        </w:rPr>
        <w:t xml:space="preserve">G) </w:t>
      </w:r>
      <w:r w:rsidR="009424B2" w:rsidRPr="009424B2">
        <w:rPr>
          <w:sz w:val="24"/>
          <w:szCs w:val="24"/>
          <w:lang w:val="fr-FR"/>
        </w:rPr>
        <w:t xml:space="preserve">Les activités </w:t>
      </w:r>
      <w:r w:rsidR="00EC03C3" w:rsidRPr="004C5F60">
        <w:rPr>
          <w:rFonts w:eastAsia="Times New Roman" w:cs="Calibri"/>
          <w:bCs/>
          <w:color w:val="000000"/>
          <w:sz w:val="24"/>
          <w:szCs w:val="24"/>
          <w:lang w:val="fr-FR"/>
        </w:rPr>
        <w:t xml:space="preserve">de </w:t>
      </w:r>
      <w:r w:rsidR="00EC03C3" w:rsidRPr="00720B8F">
        <w:rPr>
          <w:rFonts w:eastAsia="Times New Roman" w:cs="Calibri"/>
          <w:b/>
          <w:bCs/>
          <w:color w:val="000000"/>
          <w:sz w:val="24"/>
          <w:szCs w:val="24"/>
          <w:lang w:val="fr-FR"/>
        </w:rPr>
        <w:t>la dimension genre dans la fonction publique</w:t>
      </w:r>
      <w:r w:rsidR="00EC03C3">
        <w:rPr>
          <w:rFonts w:eastAsia="Times New Roman" w:cs="Calibri"/>
          <w:bCs/>
          <w:color w:val="000000"/>
          <w:sz w:val="24"/>
          <w:szCs w:val="24"/>
          <w:lang w:val="fr-FR"/>
        </w:rPr>
        <w:t> </w:t>
      </w:r>
      <w:r w:rsidR="009424B2" w:rsidRPr="00720B8F">
        <w:rPr>
          <w:rFonts w:eastAsia="Times New Roman" w:cs="Calibri"/>
          <w:bCs/>
          <w:color w:val="000000"/>
          <w:lang w:val="fr-FR"/>
        </w:rPr>
        <w:t>incluront</w:t>
      </w:r>
      <w:r w:rsidR="009424B2" w:rsidRPr="009424B2">
        <w:rPr>
          <w:rFonts w:eastAsia="Times New Roman" w:cs="Calibri"/>
          <w:b/>
          <w:bCs/>
          <w:color w:val="000000"/>
          <w:lang w:val="fr-FR"/>
        </w:rPr>
        <w:t> :</w:t>
      </w:r>
    </w:p>
    <w:p w14:paraId="5A2A4563" w14:textId="77777777" w:rsidR="00A06E1B" w:rsidRDefault="009424B2" w:rsidP="00AA5024">
      <w:pPr>
        <w:pStyle w:val="ColorfulList-Accent11"/>
        <w:numPr>
          <w:ilvl w:val="0"/>
          <w:numId w:val="76"/>
        </w:numPr>
        <w:ind w:hanging="180"/>
        <w:jc w:val="both"/>
        <w:rPr>
          <w:rFonts w:eastAsia="Times New Roman" w:cs="Calibri"/>
          <w:color w:val="000000"/>
          <w:lang w:val="fr-FR"/>
        </w:rPr>
      </w:pPr>
      <w:r w:rsidRPr="00EA1BE6">
        <w:rPr>
          <w:rFonts w:eastAsia="Times New Roman" w:cs="Calibri"/>
          <w:color w:val="000000"/>
          <w:lang w:val="fr-FR"/>
        </w:rPr>
        <w:t xml:space="preserve">Forum des femmes cadres de la fonction publique visant </w:t>
      </w:r>
      <w:r>
        <w:rPr>
          <w:rFonts w:eastAsia="Times New Roman" w:cs="Calibri"/>
          <w:color w:val="000000"/>
          <w:lang w:val="fr-FR"/>
        </w:rPr>
        <w:t>à</w:t>
      </w:r>
      <w:r w:rsidRPr="00EA1BE6">
        <w:rPr>
          <w:rFonts w:eastAsia="Times New Roman" w:cs="Calibri"/>
          <w:color w:val="000000"/>
          <w:lang w:val="fr-FR"/>
        </w:rPr>
        <w:t xml:space="preserve"> recueillir leurs expériences, le partage d'informations et de recommandations</w:t>
      </w:r>
      <w:r>
        <w:rPr>
          <w:rFonts w:eastAsia="Times New Roman" w:cs="Calibri"/>
          <w:color w:val="000000"/>
          <w:lang w:val="fr-FR"/>
        </w:rPr>
        <w:t> ;</w:t>
      </w:r>
    </w:p>
    <w:p w14:paraId="22B4D317" w14:textId="06B0BB57" w:rsidR="00BC2F9B" w:rsidRPr="00C9307C" w:rsidRDefault="009424B2" w:rsidP="00AA5024">
      <w:pPr>
        <w:pStyle w:val="ColorfulList-Accent11"/>
        <w:numPr>
          <w:ilvl w:val="0"/>
          <w:numId w:val="76"/>
        </w:numPr>
        <w:ind w:left="1260" w:hanging="270"/>
        <w:jc w:val="both"/>
        <w:rPr>
          <w:rFonts w:eastAsia="Times New Roman" w:cs="Calibri"/>
          <w:color w:val="000000"/>
          <w:lang w:val="fr-FR"/>
        </w:rPr>
      </w:pPr>
      <w:r w:rsidRPr="00AA5024">
        <w:rPr>
          <w:rFonts w:eastAsia="Times New Roman" w:cs="Calibri"/>
          <w:color w:val="000000"/>
          <w:lang w:val="fr-FR"/>
        </w:rPr>
        <w:t xml:space="preserve"> Vulgarisation des programmes existants et lancement de campagnes de sensibilisation aux femmes pour qu'elles participent aux concours (mise en </w:t>
      </w:r>
      <w:r w:rsidR="00E569FB" w:rsidRPr="00AA5024">
        <w:rPr>
          <w:rFonts w:eastAsia="Times New Roman" w:cs="Calibri"/>
          <w:color w:val="000000"/>
          <w:lang w:val="fr-FR"/>
        </w:rPr>
        <w:t>œuvre</w:t>
      </w:r>
      <w:r w:rsidRPr="00AA5024">
        <w:rPr>
          <w:rFonts w:eastAsia="Times New Roman" w:cs="Calibri"/>
          <w:color w:val="000000"/>
          <w:lang w:val="fr-FR"/>
        </w:rPr>
        <w:t xml:space="preserve"> du plan du MCFDF, Validation des </w:t>
      </w:r>
      <w:r w:rsidRPr="00C9307C">
        <w:rPr>
          <w:rFonts w:eastAsia="Times New Roman" w:cs="Calibri"/>
          <w:color w:val="000000"/>
          <w:lang w:val="fr-FR"/>
        </w:rPr>
        <w:t>Acquis e</w:t>
      </w:r>
      <w:r w:rsidR="00380F19" w:rsidRPr="00C9307C">
        <w:rPr>
          <w:rFonts w:eastAsia="Times New Roman" w:cs="Calibri"/>
          <w:color w:val="000000"/>
          <w:lang w:val="fr-FR"/>
        </w:rPr>
        <w:t>t</w:t>
      </w:r>
      <w:r w:rsidR="00221D4B" w:rsidRPr="00C9307C">
        <w:rPr>
          <w:rFonts w:eastAsia="Times New Roman" w:cs="Calibri"/>
          <w:color w:val="000000"/>
          <w:lang w:val="fr-FR"/>
        </w:rPr>
        <w:t xml:space="preserve"> </w:t>
      </w:r>
      <w:r w:rsidR="00E569FB" w:rsidRPr="00C9307C">
        <w:rPr>
          <w:rFonts w:eastAsia="Times New Roman" w:cs="Calibri"/>
          <w:color w:val="000000"/>
          <w:lang w:val="fr-FR"/>
        </w:rPr>
        <w:t>Expériences</w:t>
      </w:r>
      <w:r w:rsidRPr="00C9307C">
        <w:rPr>
          <w:rFonts w:eastAsia="Times New Roman" w:cs="Calibri"/>
          <w:color w:val="000000"/>
          <w:lang w:val="fr-FR"/>
        </w:rPr>
        <w:t xml:space="preserve"> Professionnelles) ;</w:t>
      </w:r>
    </w:p>
    <w:p w14:paraId="0E12D0F5" w14:textId="77777777" w:rsidR="00A06E1B" w:rsidRPr="00C9307C" w:rsidRDefault="00380F19" w:rsidP="00AA5024">
      <w:pPr>
        <w:pStyle w:val="ColorfulList-Accent11"/>
        <w:numPr>
          <w:ilvl w:val="0"/>
          <w:numId w:val="76"/>
        </w:numPr>
        <w:ind w:hanging="180"/>
        <w:jc w:val="both"/>
        <w:rPr>
          <w:rFonts w:eastAsia="Times New Roman" w:cs="Calibri"/>
          <w:color w:val="000000"/>
          <w:lang w:val="fr-FR"/>
        </w:rPr>
      </w:pPr>
      <w:r w:rsidRPr="00C9307C">
        <w:rPr>
          <w:rFonts w:eastAsia="Times New Roman" w:cs="Calibri"/>
          <w:color w:val="000000"/>
          <w:lang w:val="fr-FR"/>
        </w:rPr>
        <w:t xml:space="preserve">Accompagnement et mentorat des femmes pour leur développement professionnel et </w:t>
      </w:r>
      <w:r w:rsidR="00C50DB4" w:rsidRPr="00C9307C">
        <w:rPr>
          <w:rFonts w:eastAsia="Times New Roman" w:cs="Calibri"/>
          <w:color w:val="000000"/>
          <w:lang w:val="fr-FR"/>
        </w:rPr>
        <w:t xml:space="preserve">pour </w:t>
      </w:r>
      <w:r w:rsidRPr="00C9307C">
        <w:rPr>
          <w:rFonts w:eastAsia="Times New Roman" w:cs="Calibri"/>
          <w:color w:val="000000"/>
          <w:lang w:val="fr-FR"/>
        </w:rPr>
        <w:t>les appuyer à la soumission de mémoires de fin d'études.</w:t>
      </w:r>
    </w:p>
    <w:p w14:paraId="02E6F1F1" w14:textId="77777777" w:rsidR="00EC03C3" w:rsidRPr="00C9307C" w:rsidRDefault="00EC03C3" w:rsidP="00720B8F">
      <w:pPr>
        <w:pStyle w:val="ColorfulList-Accent11"/>
        <w:ind w:left="1440"/>
        <w:jc w:val="both"/>
        <w:rPr>
          <w:i/>
          <w:sz w:val="24"/>
          <w:szCs w:val="24"/>
          <w:lang w:val="fr-FR"/>
        </w:rPr>
      </w:pPr>
    </w:p>
    <w:p w14:paraId="70DC6119" w14:textId="23C65EE7" w:rsidR="00A06E1B" w:rsidRPr="00C9307C" w:rsidRDefault="00380F19" w:rsidP="00074D3F">
      <w:pPr>
        <w:pStyle w:val="ColorfulList-Accent11"/>
        <w:ind w:left="900" w:hanging="720"/>
        <w:jc w:val="both"/>
        <w:rPr>
          <w:rFonts w:eastAsia="Times New Roman" w:cs="Calibri"/>
          <w:bCs/>
          <w:color w:val="000000"/>
          <w:lang w:val="fr-FR"/>
        </w:rPr>
      </w:pPr>
      <w:r w:rsidRPr="00C9307C">
        <w:rPr>
          <w:b/>
          <w:sz w:val="24"/>
          <w:szCs w:val="24"/>
          <w:lang w:val="fr-FR"/>
        </w:rPr>
        <w:t>2.11</w:t>
      </w:r>
      <w:r w:rsidR="00074D3F">
        <w:rPr>
          <w:b/>
          <w:sz w:val="24"/>
          <w:szCs w:val="24"/>
          <w:lang w:val="fr-FR"/>
        </w:rPr>
        <w:tab/>
      </w:r>
      <w:r w:rsidRPr="00C9307C">
        <w:rPr>
          <w:b/>
          <w:sz w:val="24"/>
          <w:szCs w:val="24"/>
          <w:lang w:val="fr-FR"/>
        </w:rPr>
        <w:t>H</w:t>
      </w:r>
      <w:r w:rsidR="00DC42EA" w:rsidRPr="00C9307C">
        <w:rPr>
          <w:b/>
          <w:sz w:val="24"/>
          <w:szCs w:val="24"/>
          <w:lang w:val="fr-FR"/>
        </w:rPr>
        <w:t>)</w:t>
      </w:r>
      <w:r w:rsidR="00DC42EA" w:rsidRPr="00C9307C">
        <w:rPr>
          <w:sz w:val="24"/>
          <w:szCs w:val="24"/>
          <w:lang w:val="fr-FR"/>
        </w:rPr>
        <w:t xml:space="preserve"> Les</w:t>
      </w:r>
      <w:r w:rsidRPr="00C9307C">
        <w:rPr>
          <w:sz w:val="24"/>
          <w:szCs w:val="24"/>
          <w:lang w:val="fr-FR"/>
        </w:rPr>
        <w:t xml:space="preserve"> activités d</w:t>
      </w:r>
      <w:r w:rsidR="00360023" w:rsidRPr="00C9307C">
        <w:rPr>
          <w:sz w:val="24"/>
          <w:szCs w:val="24"/>
          <w:lang w:val="fr-FR"/>
        </w:rPr>
        <w:t>e</w:t>
      </w:r>
      <w:r w:rsidR="00DC42EA" w:rsidRPr="00C9307C">
        <w:rPr>
          <w:sz w:val="24"/>
          <w:szCs w:val="24"/>
          <w:lang w:val="fr-FR"/>
        </w:rPr>
        <w:t xml:space="preserve"> </w:t>
      </w:r>
      <w:r w:rsidR="00360023" w:rsidRPr="00C9307C">
        <w:rPr>
          <w:b/>
          <w:sz w:val="24"/>
          <w:szCs w:val="24"/>
          <w:lang w:val="fr-FR"/>
        </w:rPr>
        <w:t>conception et l’application d’un</w:t>
      </w:r>
      <w:r w:rsidR="00DC42EA" w:rsidRPr="00C9307C">
        <w:rPr>
          <w:b/>
          <w:sz w:val="24"/>
          <w:szCs w:val="24"/>
          <w:lang w:val="fr-FR"/>
        </w:rPr>
        <w:t xml:space="preserve"> </w:t>
      </w:r>
      <w:r w:rsidR="00360023" w:rsidRPr="00C9307C">
        <w:rPr>
          <w:rFonts w:eastAsia="Times New Roman" w:cs="Calibri"/>
          <w:b/>
          <w:bCs/>
          <w:color w:val="000000"/>
          <w:sz w:val="24"/>
          <w:szCs w:val="24"/>
          <w:lang w:val="fr-FR"/>
        </w:rPr>
        <w:t>Plan de formation et de développement continu des compétences au sein de l’administration publique</w:t>
      </w:r>
      <w:r w:rsidR="00221D4B" w:rsidRPr="00C9307C">
        <w:rPr>
          <w:rFonts w:eastAsia="Times New Roman" w:cs="Calibri"/>
          <w:b/>
          <w:bCs/>
          <w:color w:val="000000"/>
          <w:sz w:val="24"/>
          <w:szCs w:val="24"/>
          <w:lang w:val="fr-FR"/>
        </w:rPr>
        <w:t xml:space="preserve"> </w:t>
      </w:r>
      <w:r w:rsidR="00A511AA" w:rsidRPr="00C9307C">
        <w:rPr>
          <w:rFonts w:eastAsia="Times New Roman" w:cs="Calibri"/>
          <w:bCs/>
          <w:color w:val="000000"/>
          <w:lang w:val="fr-FR"/>
        </w:rPr>
        <w:t>incluront :</w:t>
      </w:r>
    </w:p>
    <w:p w14:paraId="5185DEEA" w14:textId="77777777" w:rsidR="00A06E1B" w:rsidRPr="00C9307C" w:rsidRDefault="00380F19" w:rsidP="00720B8F">
      <w:pPr>
        <w:pStyle w:val="ColorfulList-Accent11"/>
        <w:ind w:left="1440" w:hanging="450"/>
        <w:jc w:val="both"/>
        <w:rPr>
          <w:rFonts w:eastAsia="Times New Roman" w:cs="Calibri"/>
          <w:color w:val="000000"/>
          <w:lang w:val="fr-FR"/>
        </w:rPr>
      </w:pPr>
      <w:bookmarkStart w:id="15" w:name="_Hlk532462196"/>
      <w:r w:rsidRPr="00C9307C">
        <w:rPr>
          <w:rFonts w:eastAsia="Times New Roman" w:cs="Calibri"/>
          <w:bCs/>
          <w:color w:val="000000"/>
          <w:lang w:val="fr-FR"/>
        </w:rPr>
        <w:t xml:space="preserve">i. </w:t>
      </w:r>
      <w:r w:rsidR="00360023" w:rsidRPr="006603E9">
        <w:rPr>
          <w:rFonts w:eastAsia="Times New Roman" w:cs="Calibri"/>
          <w:bCs/>
          <w:color w:val="000000"/>
          <w:lang w:val="fr-FR"/>
        </w:rPr>
        <w:t xml:space="preserve">Engagement de consultant pour la conception du plan de </w:t>
      </w:r>
      <w:r w:rsidRPr="006603E9">
        <w:rPr>
          <w:rFonts w:eastAsia="Times New Roman" w:cs="Calibri"/>
          <w:color w:val="000000"/>
          <w:lang w:val="fr-FR"/>
        </w:rPr>
        <w:t>Formations offertes aux Directions des RH des entités gouvernementales</w:t>
      </w:r>
      <w:r w:rsidRPr="00C9307C">
        <w:rPr>
          <w:rFonts w:eastAsia="Times New Roman" w:cs="Calibri"/>
          <w:color w:val="000000"/>
          <w:lang w:val="fr-FR"/>
        </w:rPr>
        <w:t xml:space="preserve"> sur la politique de Gestion des Ressources Humaines à Port-au Prince ;</w:t>
      </w:r>
    </w:p>
    <w:bookmarkEnd w:id="15"/>
    <w:p w14:paraId="17C597E5" w14:textId="77777777" w:rsidR="00A06E1B" w:rsidRPr="00C9307C" w:rsidRDefault="00380F19" w:rsidP="00720B8F">
      <w:pPr>
        <w:pStyle w:val="ColorfulList-Accent11"/>
        <w:ind w:left="1440" w:hanging="450"/>
        <w:jc w:val="both"/>
        <w:rPr>
          <w:rFonts w:eastAsia="Times New Roman" w:cs="Calibri"/>
          <w:color w:val="000000"/>
          <w:lang w:val="fr-FR"/>
        </w:rPr>
      </w:pPr>
      <w:r w:rsidRPr="00C9307C">
        <w:rPr>
          <w:rFonts w:eastAsia="Times New Roman" w:cs="Calibri"/>
          <w:color w:val="000000"/>
          <w:lang w:val="fr-FR"/>
        </w:rPr>
        <w:t xml:space="preserve">ii. Formations offertes aux Directions des RH des </w:t>
      </w:r>
      <w:r w:rsidR="00360023" w:rsidRPr="00C9307C">
        <w:rPr>
          <w:rFonts w:eastAsia="Times New Roman" w:cs="Calibri"/>
          <w:color w:val="000000"/>
          <w:lang w:val="fr-FR"/>
        </w:rPr>
        <w:t>entités</w:t>
      </w:r>
      <w:r w:rsidRPr="00C9307C">
        <w:rPr>
          <w:rFonts w:eastAsia="Times New Roman" w:cs="Calibri"/>
          <w:color w:val="000000"/>
          <w:lang w:val="fr-FR"/>
        </w:rPr>
        <w:t xml:space="preserve"> gouvernementales sur la politique de Gestion des Ressources Humaines au niveau des Directions Départementales ;</w:t>
      </w:r>
    </w:p>
    <w:p w14:paraId="1260DA5A" w14:textId="77777777" w:rsidR="00A06E1B" w:rsidRPr="00C9307C" w:rsidRDefault="00380F19" w:rsidP="00AA5024">
      <w:pPr>
        <w:pStyle w:val="ColorfulList-Accent11"/>
        <w:numPr>
          <w:ilvl w:val="0"/>
          <w:numId w:val="14"/>
        </w:numPr>
        <w:ind w:hanging="450"/>
        <w:jc w:val="both"/>
        <w:rPr>
          <w:rFonts w:eastAsia="Times New Roman" w:cs="Calibri"/>
          <w:color w:val="000000"/>
          <w:lang w:val="fr-FR"/>
        </w:rPr>
      </w:pPr>
      <w:r w:rsidRPr="00C9307C">
        <w:rPr>
          <w:rFonts w:eastAsia="Times New Roman" w:cs="Calibri"/>
          <w:color w:val="000000"/>
          <w:lang w:val="fr-FR"/>
        </w:rPr>
        <w:t>Accompagnement des DRH par l'OMRH ;</w:t>
      </w:r>
    </w:p>
    <w:p w14:paraId="28A55DFA" w14:textId="6A2FD037" w:rsidR="00A06E1B" w:rsidRPr="00C9307C" w:rsidRDefault="00380F19" w:rsidP="00AA5024">
      <w:pPr>
        <w:pStyle w:val="ColorfulList-Accent11"/>
        <w:numPr>
          <w:ilvl w:val="0"/>
          <w:numId w:val="14"/>
        </w:numPr>
        <w:ind w:hanging="450"/>
        <w:jc w:val="both"/>
        <w:rPr>
          <w:rFonts w:eastAsia="Times New Roman" w:cs="Calibri"/>
          <w:bCs/>
          <w:color w:val="000000"/>
          <w:lang w:val="fr-FR"/>
        </w:rPr>
      </w:pPr>
      <w:bookmarkStart w:id="16" w:name="_Hlk532462215"/>
      <w:r w:rsidRPr="006603E9">
        <w:rPr>
          <w:rFonts w:eastAsia="Times New Roman" w:cs="Calibri"/>
          <w:color w:val="000000"/>
          <w:lang w:val="fr-FR"/>
        </w:rPr>
        <w:t xml:space="preserve">Recrutement d'experts pour </w:t>
      </w:r>
      <w:r w:rsidR="00E569FB" w:rsidRPr="006603E9">
        <w:rPr>
          <w:rFonts w:eastAsia="Times New Roman" w:cs="Calibri"/>
          <w:color w:val="000000"/>
          <w:lang w:val="fr-FR"/>
        </w:rPr>
        <w:t>élaborer</w:t>
      </w:r>
      <w:r w:rsidRPr="006603E9">
        <w:rPr>
          <w:rFonts w:eastAsia="Times New Roman" w:cs="Calibri"/>
          <w:color w:val="000000"/>
          <w:lang w:val="fr-FR"/>
        </w:rPr>
        <w:t xml:space="preserve"> un plan de </w:t>
      </w:r>
      <w:r w:rsidR="00DC42EA" w:rsidRPr="006603E9">
        <w:rPr>
          <w:rFonts w:eastAsia="Times New Roman" w:cs="Calibri"/>
          <w:color w:val="000000"/>
          <w:lang w:val="fr-FR"/>
        </w:rPr>
        <w:t xml:space="preserve">formation </w:t>
      </w:r>
      <w:r w:rsidRPr="006603E9">
        <w:rPr>
          <w:rFonts w:eastAsia="Times New Roman" w:cs="Calibri"/>
          <w:color w:val="000000"/>
          <w:lang w:val="fr-FR"/>
        </w:rPr>
        <w:t>et de perfectionnemen</w:t>
      </w:r>
      <w:r w:rsidRPr="00C9307C">
        <w:rPr>
          <w:rFonts w:eastAsia="Times New Roman" w:cs="Calibri"/>
          <w:color w:val="000000"/>
          <w:lang w:val="fr-FR"/>
        </w:rPr>
        <w:t xml:space="preserve">t ; </w:t>
      </w:r>
      <w:bookmarkEnd w:id="16"/>
      <w:r w:rsidRPr="00C9307C">
        <w:rPr>
          <w:rFonts w:eastAsia="Times New Roman" w:cs="Calibri"/>
          <w:color w:val="000000"/>
          <w:lang w:val="fr-FR"/>
        </w:rPr>
        <w:t>et</w:t>
      </w:r>
    </w:p>
    <w:p w14:paraId="6B130AE5" w14:textId="77777777" w:rsidR="00A06E1B" w:rsidRPr="00C9307C" w:rsidRDefault="00380F19" w:rsidP="00AA5024">
      <w:pPr>
        <w:pStyle w:val="ColorfulList-Accent11"/>
        <w:numPr>
          <w:ilvl w:val="0"/>
          <w:numId w:val="14"/>
        </w:numPr>
        <w:ind w:hanging="450"/>
        <w:jc w:val="both"/>
        <w:rPr>
          <w:rFonts w:eastAsia="Times New Roman" w:cs="Calibri"/>
          <w:bCs/>
          <w:color w:val="000000"/>
          <w:lang w:val="fr-FR"/>
        </w:rPr>
      </w:pPr>
      <w:r w:rsidRPr="00C9307C">
        <w:rPr>
          <w:rFonts w:eastAsia="Times New Roman" w:cs="Calibri"/>
          <w:color w:val="000000"/>
        </w:rPr>
        <w:t>Atelier de validation</w:t>
      </w:r>
    </w:p>
    <w:p w14:paraId="5495F38B" w14:textId="77777777" w:rsidR="00A06E1B" w:rsidRPr="00C9307C" w:rsidRDefault="00A06E1B" w:rsidP="00720B8F">
      <w:pPr>
        <w:pStyle w:val="ColorfulList-Accent11"/>
        <w:ind w:left="1440"/>
        <w:jc w:val="both"/>
        <w:rPr>
          <w:i/>
          <w:sz w:val="24"/>
          <w:szCs w:val="24"/>
          <w:lang w:val="fr-FR"/>
        </w:rPr>
      </w:pPr>
    </w:p>
    <w:p w14:paraId="17ACFB2F" w14:textId="7EAF7BDC" w:rsidR="00A06E1B" w:rsidRPr="00C9307C" w:rsidRDefault="00380F19" w:rsidP="00074D3F">
      <w:pPr>
        <w:pStyle w:val="ColorfulList-Accent11"/>
        <w:tabs>
          <w:tab w:val="left" w:pos="900"/>
        </w:tabs>
        <w:ind w:left="810" w:hanging="630"/>
        <w:jc w:val="both"/>
        <w:rPr>
          <w:rFonts w:eastAsia="Times New Roman" w:cs="Calibri"/>
          <w:bCs/>
          <w:color w:val="000000"/>
          <w:lang w:val="fr-FR"/>
        </w:rPr>
      </w:pPr>
      <w:r w:rsidRPr="00C9307C">
        <w:rPr>
          <w:b/>
          <w:sz w:val="24"/>
          <w:szCs w:val="24"/>
          <w:lang w:val="fr-FR"/>
        </w:rPr>
        <w:t xml:space="preserve">2.12 </w:t>
      </w:r>
      <w:r w:rsidR="00074D3F">
        <w:rPr>
          <w:b/>
          <w:sz w:val="24"/>
          <w:szCs w:val="24"/>
          <w:lang w:val="fr-FR"/>
        </w:rPr>
        <w:tab/>
      </w:r>
      <w:r w:rsidRPr="00C9307C">
        <w:rPr>
          <w:b/>
          <w:sz w:val="24"/>
          <w:szCs w:val="24"/>
          <w:lang w:val="fr-FR"/>
        </w:rPr>
        <w:t>I)</w:t>
      </w:r>
      <w:r w:rsidR="00221D4B" w:rsidRPr="00C9307C">
        <w:rPr>
          <w:b/>
          <w:sz w:val="24"/>
          <w:szCs w:val="24"/>
          <w:lang w:val="fr-FR"/>
        </w:rPr>
        <w:t xml:space="preserve"> </w:t>
      </w:r>
      <w:r w:rsidRPr="00C9307C">
        <w:rPr>
          <w:sz w:val="24"/>
          <w:szCs w:val="24"/>
          <w:lang w:val="fr-FR"/>
        </w:rPr>
        <w:t xml:space="preserve">Les activités de </w:t>
      </w:r>
      <w:r w:rsidR="00360023" w:rsidRPr="00C9307C">
        <w:rPr>
          <w:b/>
          <w:sz w:val="24"/>
          <w:szCs w:val="24"/>
          <w:lang w:val="fr-FR"/>
        </w:rPr>
        <w:t xml:space="preserve">conception et l’application d’une stratégie de gestion </w:t>
      </w:r>
      <w:r w:rsidR="00360023" w:rsidRPr="00C9307C">
        <w:rPr>
          <w:rFonts w:eastAsia="Times New Roman" w:cs="Calibri"/>
          <w:b/>
          <w:bCs/>
          <w:color w:val="000000"/>
          <w:sz w:val="24"/>
          <w:szCs w:val="24"/>
          <w:lang w:val="fr-FR"/>
        </w:rPr>
        <w:t>du changement pour les principales entités du projet</w:t>
      </w:r>
      <w:r w:rsidR="00221D4B" w:rsidRPr="00C9307C">
        <w:rPr>
          <w:rFonts w:eastAsia="Times New Roman" w:cs="Calibri"/>
          <w:b/>
          <w:bCs/>
          <w:color w:val="000000"/>
          <w:sz w:val="24"/>
          <w:szCs w:val="24"/>
          <w:lang w:val="fr-FR"/>
        </w:rPr>
        <w:t xml:space="preserve"> </w:t>
      </w:r>
      <w:r w:rsidR="00A511AA" w:rsidRPr="00C9307C">
        <w:rPr>
          <w:rFonts w:eastAsia="Times New Roman" w:cs="Calibri"/>
          <w:bCs/>
          <w:color w:val="000000"/>
          <w:lang w:val="fr-FR"/>
        </w:rPr>
        <w:t>incluront :</w:t>
      </w:r>
    </w:p>
    <w:p w14:paraId="622CEBD3" w14:textId="77777777" w:rsidR="00A06E1B" w:rsidRPr="00C9307C" w:rsidRDefault="007C6C82" w:rsidP="00720B8F">
      <w:pPr>
        <w:pStyle w:val="ColorfulList-Accent11"/>
        <w:ind w:left="1440" w:hanging="360"/>
        <w:jc w:val="both"/>
        <w:rPr>
          <w:rFonts w:eastAsia="Times New Roman" w:cs="Calibri"/>
          <w:color w:val="000000"/>
          <w:lang w:val="fr-FR"/>
        </w:rPr>
      </w:pPr>
      <w:r w:rsidRPr="00C9307C">
        <w:rPr>
          <w:i/>
          <w:sz w:val="24"/>
          <w:szCs w:val="24"/>
          <w:lang w:val="fr-FR"/>
        </w:rPr>
        <w:t xml:space="preserve">i. </w:t>
      </w:r>
      <w:r w:rsidRPr="00C9307C">
        <w:rPr>
          <w:rFonts w:eastAsia="Times New Roman" w:cs="Calibri"/>
          <w:color w:val="000000"/>
          <w:lang w:val="fr-FR"/>
        </w:rPr>
        <w:t xml:space="preserve">Recrutement </w:t>
      </w:r>
      <w:r w:rsidR="00360023" w:rsidRPr="00C9307C">
        <w:rPr>
          <w:rFonts w:eastAsia="Times New Roman" w:cs="Calibri"/>
          <w:color w:val="000000"/>
          <w:lang w:val="fr-FR"/>
        </w:rPr>
        <w:t xml:space="preserve">de consultant </w:t>
      </w:r>
      <w:r w:rsidRPr="00C9307C">
        <w:rPr>
          <w:rFonts w:eastAsia="Times New Roman" w:cs="Calibri"/>
          <w:color w:val="000000"/>
          <w:lang w:val="fr-FR"/>
        </w:rPr>
        <w:t>pour élaborer une stratégie de conduite de changement ; et</w:t>
      </w:r>
    </w:p>
    <w:p w14:paraId="705FEEDE" w14:textId="77777777" w:rsidR="00A06E1B" w:rsidRPr="00C9307C" w:rsidRDefault="007C6C82" w:rsidP="00720B8F">
      <w:pPr>
        <w:pStyle w:val="ColorfulList-Accent11"/>
        <w:ind w:left="1440" w:hanging="360"/>
        <w:jc w:val="both"/>
        <w:rPr>
          <w:rFonts w:eastAsia="Times New Roman" w:cs="Calibri"/>
          <w:color w:val="000000"/>
          <w:lang w:val="fr-FR"/>
        </w:rPr>
      </w:pPr>
      <w:r w:rsidRPr="00C9307C">
        <w:rPr>
          <w:i/>
          <w:sz w:val="24"/>
          <w:szCs w:val="24"/>
          <w:lang w:val="fr-FR"/>
        </w:rPr>
        <w:t xml:space="preserve">ii. </w:t>
      </w:r>
      <w:r w:rsidRPr="00C9307C">
        <w:rPr>
          <w:rFonts w:eastAsia="Times New Roman" w:cs="Calibri"/>
          <w:color w:val="000000"/>
          <w:lang w:val="fr-FR"/>
        </w:rPr>
        <w:t>Campagnes de promotion et de sensibilisation.</w:t>
      </w:r>
    </w:p>
    <w:p w14:paraId="2B5BA619" w14:textId="77777777" w:rsidR="00611780" w:rsidRPr="00C9307C" w:rsidRDefault="00611780" w:rsidP="00720B8F">
      <w:pPr>
        <w:pStyle w:val="ColorfulList-Accent11"/>
        <w:ind w:left="1440" w:hanging="360"/>
        <w:jc w:val="both"/>
        <w:rPr>
          <w:i/>
          <w:sz w:val="24"/>
          <w:szCs w:val="24"/>
          <w:lang w:val="fr-FR"/>
        </w:rPr>
      </w:pPr>
    </w:p>
    <w:p w14:paraId="5D9A3D9F" w14:textId="77777777" w:rsidR="002D6620" w:rsidRPr="00C9307C" w:rsidRDefault="002D6620" w:rsidP="002D6620">
      <w:pPr>
        <w:pStyle w:val="ColorfulList-Accent11"/>
        <w:ind w:left="0"/>
        <w:jc w:val="both"/>
        <w:rPr>
          <w:b/>
          <w:sz w:val="24"/>
          <w:szCs w:val="24"/>
          <w:lang w:val="fr-FR"/>
        </w:rPr>
      </w:pPr>
    </w:p>
    <w:p w14:paraId="013AE7B0" w14:textId="02EE3981" w:rsidR="007C6C82" w:rsidRPr="00C9307C" w:rsidRDefault="00A511AA" w:rsidP="002D6620">
      <w:pPr>
        <w:pStyle w:val="ColorfulList-Accent11"/>
        <w:ind w:left="0"/>
        <w:jc w:val="both"/>
        <w:rPr>
          <w:b/>
          <w:sz w:val="24"/>
          <w:szCs w:val="24"/>
          <w:lang w:val="fr-FR"/>
        </w:rPr>
      </w:pPr>
      <w:r w:rsidRPr="00C9307C">
        <w:rPr>
          <w:b/>
          <w:sz w:val="24"/>
          <w:szCs w:val="24"/>
          <w:lang w:val="fr-FR"/>
        </w:rPr>
        <w:t xml:space="preserve">COMPOSANTE </w:t>
      </w:r>
      <w:r w:rsidR="003D521C" w:rsidRPr="00C9307C">
        <w:rPr>
          <w:b/>
          <w:sz w:val="24"/>
          <w:szCs w:val="24"/>
          <w:lang w:val="fr-FR"/>
        </w:rPr>
        <w:t>2 – RENFORCEMENT</w:t>
      </w:r>
      <w:r w:rsidR="00DC42EA" w:rsidRPr="00C9307C">
        <w:rPr>
          <w:b/>
          <w:sz w:val="24"/>
          <w:szCs w:val="24"/>
          <w:lang w:val="fr-FR"/>
        </w:rPr>
        <w:t xml:space="preserve"> </w:t>
      </w:r>
      <w:r w:rsidRPr="00C9307C">
        <w:rPr>
          <w:rFonts w:eastAsia="Times New Roman" w:cs="Calibri"/>
          <w:b/>
          <w:bCs/>
          <w:color w:val="000000"/>
          <w:sz w:val="24"/>
          <w:szCs w:val="24"/>
          <w:lang w:val="fr-FR"/>
        </w:rPr>
        <w:t xml:space="preserve">DES SYSTEMES </w:t>
      </w:r>
      <w:r w:rsidR="0068207E" w:rsidRPr="00C9307C">
        <w:rPr>
          <w:rFonts w:eastAsia="Times New Roman" w:cs="Calibri"/>
          <w:b/>
          <w:bCs/>
          <w:color w:val="000000"/>
          <w:sz w:val="24"/>
          <w:szCs w:val="24"/>
          <w:lang w:val="fr-FR"/>
        </w:rPr>
        <w:t xml:space="preserve">INFORMATIQUES </w:t>
      </w:r>
      <w:r w:rsidRPr="00C9307C">
        <w:rPr>
          <w:rFonts w:eastAsia="Times New Roman" w:cs="Calibri"/>
          <w:b/>
          <w:bCs/>
          <w:color w:val="000000"/>
          <w:sz w:val="24"/>
          <w:szCs w:val="24"/>
          <w:lang w:val="fr-FR"/>
        </w:rPr>
        <w:t>TRANSVERSAUX D</w:t>
      </w:r>
      <w:r w:rsidR="0068207E" w:rsidRPr="00C9307C">
        <w:rPr>
          <w:rFonts w:eastAsia="Times New Roman" w:cs="Calibri"/>
          <w:b/>
          <w:bCs/>
          <w:color w:val="000000"/>
          <w:sz w:val="24"/>
          <w:szCs w:val="24"/>
          <w:lang w:val="fr-FR"/>
        </w:rPr>
        <w:t>’APPUI A LA</w:t>
      </w:r>
      <w:r w:rsidRPr="00C9307C">
        <w:rPr>
          <w:rFonts w:eastAsia="Times New Roman" w:cs="Calibri"/>
          <w:b/>
          <w:bCs/>
          <w:color w:val="000000"/>
          <w:sz w:val="24"/>
          <w:szCs w:val="24"/>
          <w:lang w:val="fr-FR"/>
        </w:rPr>
        <w:t xml:space="preserve"> GESTION DES RESSOURCES HUMAINES </w:t>
      </w:r>
      <w:r w:rsidR="0068207E" w:rsidRPr="00C9307C">
        <w:rPr>
          <w:rFonts w:eastAsia="Times New Roman" w:cs="Calibri"/>
          <w:b/>
          <w:bCs/>
          <w:color w:val="000000"/>
          <w:sz w:val="24"/>
          <w:szCs w:val="24"/>
          <w:lang w:val="fr-FR"/>
        </w:rPr>
        <w:t xml:space="preserve">ET DES SALAIRES </w:t>
      </w:r>
      <w:r w:rsidR="0068207E" w:rsidRPr="00C9307C">
        <w:rPr>
          <w:b/>
          <w:lang w:val="fr-FR"/>
        </w:rPr>
        <w:t>(</w:t>
      </w:r>
      <w:r w:rsidR="0068207E" w:rsidRPr="006603E9">
        <w:rPr>
          <w:b/>
          <w:lang w:val="fr-FR"/>
        </w:rPr>
        <w:t>US$ 1</w:t>
      </w:r>
      <w:r w:rsidR="005F5964" w:rsidRPr="006603E9">
        <w:rPr>
          <w:b/>
          <w:lang w:val="fr-FR"/>
        </w:rPr>
        <w:t>4,21</w:t>
      </w:r>
      <w:r w:rsidR="0068207E" w:rsidRPr="006603E9">
        <w:rPr>
          <w:b/>
          <w:lang w:val="fr-FR"/>
        </w:rPr>
        <w:t xml:space="preserve"> M</w:t>
      </w:r>
      <w:r w:rsidR="0068207E" w:rsidRPr="00C9307C">
        <w:rPr>
          <w:b/>
          <w:lang w:val="fr-FR"/>
        </w:rPr>
        <w:t>)</w:t>
      </w:r>
    </w:p>
    <w:p w14:paraId="4BD70621" w14:textId="77777777" w:rsidR="00A06E1B" w:rsidRPr="00C9307C" w:rsidRDefault="00A06E1B" w:rsidP="00720B8F">
      <w:pPr>
        <w:pStyle w:val="ColorfulList-Accent11"/>
        <w:jc w:val="both"/>
        <w:rPr>
          <w:sz w:val="24"/>
          <w:szCs w:val="24"/>
          <w:lang w:val="fr-FR"/>
        </w:rPr>
      </w:pPr>
    </w:p>
    <w:p w14:paraId="13130CDD" w14:textId="23980E93" w:rsidR="00A06E1B" w:rsidRPr="00C9307C" w:rsidRDefault="005347A4" w:rsidP="00720B8F">
      <w:pPr>
        <w:pStyle w:val="ColorfulList-Accent11"/>
        <w:jc w:val="both"/>
        <w:rPr>
          <w:sz w:val="24"/>
          <w:szCs w:val="24"/>
          <w:lang w:val="fr-FR"/>
        </w:rPr>
      </w:pPr>
      <w:r w:rsidRPr="00C9307C">
        <w:rPr>
          <w:sz w:val="24"/>
          <w:szCs w:val="24"/>
          <w:lang w:val="fr-FR"/>
        </w:rPr>
        <w:t xml:space="preserve">Cette composante financera en tout ou en partie des activités dans </w:t>
      </w:r>
      <w:r w:rsidR="00A511AA" w:rsidRPr="00C9307C">
        <w:rPr>
          <w:b/>
          <w:sz w:val="24"/>
          <w:szCs w:val="24"/>
          <w:lang w:val="fr-FR"/>
        </w:rPr>
        <w:t>sept</w:t>
      </w:r>
      <w:r w:rsidRPr="00C9307C">
        <w:rPr>
          <w:sz w:val="24"/>
          <w:szCs w:val="24"/>
          <w:lang w:val="fr-FR"/>
        </w:rPr>
        <w:t xml:space="preserve"> domaines critiques</w:t>
      </w:r>
      <w:r w:rsidR="00221D4B" w:rsidRPr="00C9307C">
        <w:rPr>
          <w:sz w:val="24"/>
          <w:szCs w:val="24"/>
          <w:lang w:val="fr-FR"/>
        </w:rPr>
        <w:t xml:space="preserve"> </w:t>
      </w:r>
      <w:r w:rsidRPr="00C9307C">
        <w:rPr>
          <w:sz w:val="24"/>
          <w:szCs w:val="24"/>
          <w:lang w:val="fr-FR"/>
        </w:rPr>
        <w:t>:</w:t>
      </w:r>
    </w:p>
    <w:p w14:paraId="5CE1364D" w14:textId="77777777" w:rsidR="00A06E1B" w:rsidRPr="00C9307C" w:rsidRDefault="00A06E1B" w:rsidP="00720B8F">
      <w:pPr>
        <w:pStyle w:val="ColorfulList-Accent11"/>
        <w:jc w:val="both"/>
        <w:rPr>
          <w:sz w:val="24"/>
          <w:szCs w:val="24"/>
          <w:lang w:val="fr-FR"/>
        </w:rPr>
      </w:pPr>
    </w:p>
    <w:p w14:paraId="46ED14C5" w14:textId="1B73E51C" w:rsidR="00A06E1B" w:rsidRPr="00C9307C" w:rsidRDefault="005347A4" w:rsidP="00720B8F">
      <w:pPr>
        <w:pStyle w:val="ColorfulList-Accent11"/>
        <w:numPr>
          <w:ilvl w:val="0"/>
          <w:numId w:val="58"/>
        </w:numPr>
        <w:jc w:val="both"/>
        <w:rPr>
          <w:rFonts w:eastAsia="Times New Roman" w:cs="Calibri"/>
          <w:bCs/>
          <w:color w:val="000000"/>
          <w:lang w:val="fr-FR"/>
        </w:rPr>
      </w:pPr>
      <w:bookmarkStart w:id="17" w:name="_Hlk530902723"/>
      <w:r w:rsidRPr="00C9307C">
        <w:rPr>
          <w:lang w:val="fr-FR"/>
        </w:rPr>
        <w:t>L</w:t>
      </w:r>
      <w:r w:rsidR="0068207E" w:rsidRPr="00C9307C">
        <w:rPr>
          <w:lang w:val="fr-FR"/>
        </w:rPr>
        <w:t xml:space="preserve">a mise </w:t>
      </w:r>
      <w:r w:rsidRPr="00C9307C">
        <w:rPr>
          <w:lang w:val="fr-FR"/>
        </w:rPr>
        <w:t>e</w:t>
      </w:r>
      <w:r w:rsidR="0068207E" w:rsidRPr="00C9307C">
        <w:rPr>
          <w:lang w:val="fr-FR"/>
        </w:rPr>
        <w:t>n œuvre du</w:t>
      </w:r>
      <w:r w:rsidR="00221D4B" w:rsidRPr="00C9307C">
        <w:rPr>
          <w:lang w:val="fr-FR"/>
        </w:rPr>
        <w:t xml:space="preserve"> </w:t>
      </w:r>
      <w:r w:rsidR="00A511AA" w:rsidRPr="00C9307C">
        <w:rPr>
          <w:rFonts w:eastAsia="Times New Roman" w:cs="Calibri"/>
          <w:bCs/>
          <w:color w:val="000000"/>
          <w:lang w:val="fr-FR"/>
        </w:rPr>
        <w:t xml:space="preserve">Système intégré de Gestion des Ressources Humaines (SIGRH) </w:t>
      </w:r>
      <w:r w:rsidR="0068207E" w:rsidRPr="00C9307C">
        <w:rPr>
          <w:rFonts w:eastAsia="Times New Roman" w:cs="Calibri"/>
          <w:bCs/>
          <w:color w:val="000000"/>
          <w:lang w:val="fr-FR"/>
        </w:rPr>
        <w:t xml:space="preserve">incluant des modules </w:t>
      </w:r>
      <w:r w:rsidR="00A511AA" w:rsidRPr="00C9307C">
        <w:rPr>
          <w:rFonts w:eastAsia="Times New Roman" w:cs="Calibri"/>
          <w:bCs/>
          <w:color w:val="000000"/>
          <w:lang w:val="fr-FR"/>
        </w:rPr>
        <w:t>de gestion de</w:t>
      </w:r>
      <w:r w:rsidR="0068207E" w:rsidRPr="00C9307C">
        <w:rPr>
          <w:rFonts w:eastAsia="Times New Roman" w:cs="Calibri"/>
          <w:bCs/>
          <w:color w:val="000000"/>
          <w:lang w:val="fr-FR"/>
        </w:rPr>
        <w:t>s</w:t>
      </w:r>
      <w:r w:rsidR="00A511AA" w:rsidRPr="00C9307C">
        <w:rPr>
          <w:rFonts w:eastAsia="Times New Roman" w:cs="Calibri"/>
          <w:bCs/>
          <w:color w:val="000000"/>
          <w:lang w:val="fr-FR"/>
        </w:rPr>
        <w:t xml:space="preserve"> s</w:t>
      </w:r>
      <w:r w:rsidR="0068207E" w:rsidRPr="00C9307C">
        <w:rPr>
          <w:rFonts w:eastAsia="Times New Roman" w:cs="Calibri"/>
          <w:bCs/>
          <w:color w:val="000000"/>
          <w:lang w:val="fr-FR"/>
        </w:rPr>
        <w:t>a</w:t>
      </w:r>
      <w:r w:rsidR="00A511AA" w:rsidRPr="00C9307C">
        <w:rPr>
          <w:rFonts w:eastAsia="Times New Roman" w:cs="Calibri"/>
          <w:bCs/>
          <w:color w:val="000000"/>
          <w:lang w:val="fr-FR"/>
        </w:rPr>
        <w:t>l</w:t>
      </w:r>
      <w:r w:rsidR="0068207E" w:rsidRPr="00C9307C">
        <w:rPr>
          <w:rFonts w:eastAsia="Times New Roman" w:cs="Calibri"/>
          <w:bCs/>
          <w:color w:val="000000"/>
          <w:lang w:val="fr-FR"/>
        </w:rPr>
        <w:t>air</w:t>
      </w:r>
      <w:r w:rsidR="00A511AA" w:rsidRPr="00C9307C">
        <w:rPr>
          <w:rFonts w:eastAsia="Times New Roman" w:cs="Calibri"/>
          <w:bCs/>
          <w:color w:val="000000"/>
          <w:lang w:val="fr-FR"/>
        </w:rPr>
        <w:t>e</w:t>
      </w:r>
      <w:r w:rsidR="00FD4783" w:rsidRPr="00C9307C">
        <w:rPr>
          <w:rFonts w:eastAsia="Times New Roman" w:cs="Calibri"/>
          <w:bCs/>
          <w:color w:val="000000"/>
          <w:lang w:val="fr-FR"/>
        </w:rPr>
        <w:t>s</w:t>
      </w:r>
      <w:r w:rsidR="00A511AA" w:rsidRPr="00C9307C">
        <w:rPr>
          <w:rFonts w:eastAsia="Times New Roman" w:cs="Calibri"/>
          <w:bCs/>
          <w:color w:val="000000"/>
          <w:lang w:val="fr-FR"/>
        </w:rPr>
        <w:t xml:space="preserve"> et de</w:t>
      </w:r>
      <w:r w:rsidR="00A76002" w:rsidRPr="00C9307C">
        <w:rPr>
          <w:rFonts w:eastAsia="Times New Roman" w:cs="Calibri"/>
          <w:bCs/>
          <w:color w:val="000000"/>
          <w:lang w:val="fr-FR"/>
        </w:rPr>
        <w:t>s</w:t>
      </w:r>
      <w:r w:rsidR="00A511AA" w:rsidRPr="00C9307C">
        <w:rPr>
          <w:rFonts w:eastAsia="Times New Roman" w:cs="Calibri"/>
          <w:bCs/>
          <w:color w:val="000000"/>
          <w:lang w:val="fr-FR"/>
        </w:rPr>
        <w:t xml:space="preserve"> pension</w:t>
      </w:r>
      <w:r w:rsidR="0068207E" w:rsidRPr="00C9307C">
        <w:rPr>
          <w:rFonts w:eastAsia="Times New Roman" w:cs="Calibri"/>
          <w:bCs/>
          <w:color w:val="000000"/>
          <w:lang w:val="fr-FR"/>
        </w:rPr>
        <w:t>s</w:t>
      </w:r>
      <w:r w:rsidRPr="00C9307C">
        <w:rPr>
          <w:rFonts w:eastAsia="Times New Roman" w:cs="Calibri"/>
          <w:bCs/>
          <w:color w:val="000000"/>
          <w:lang w:val="fr-FR"/>
        </w:rPr>
        <w:t> ;</w:t>
      </w:r>
    </w:p>
    <w:p w14:paraId="10429985" w14:textId="4829367E" w:rsidR="00A06E1B" w:rsidRPr="00C9307C" w:rsidRDefault="004B447B" w:rsidP="00720B8F">
      <w:pPr>
        <w:pStyle w:val="ColorfulList-Accent11"/>
        <w:numPr>
          <w:ilvl w:val="0"/>
          <w:numId w:val="58"/>
        </w:numPr>
        <w:jc w:val="both"/>
        <w:rPr>
          <w:rFonts w:eastAsia="Times New Roman" w:cs="Calibri"/>
          <w:bCs/>
          <w:color w:val="000000"/>
          <w:lang w:val="fr-FR"/>
        </w:rPr>
      </w:pPr>
      <w:r w:rsidRPr="00C9307C">
        <w:rPr>
          <w:rFonts w:eastAsia="Times New Roman" w:cs="Calibri"/>
          <w:bCs/>
          <w:color w:val="000000"/>
          <w:lang w:val="fr-FR"/>
        </w:rPr>
        <w:t>La conception et la mise en place d’un</w:t>
      </w:r>
      <w:r w:rsidR="00221D4B" w:rsidRPr="00C9307C">
        <w:rPr>
          <w:rFonts w:eastAsia="Times New Roman" w:cs="Calibri"/>
          <w:bCs/>
          <w:color w:val="000000"/>
          <w:lang w:val="fr-FR"/>
        </w:rPr>
        <w:t xml:space="preserve"> </w:t>
      </w:r>
      <w:r w:rsidR="00A511AA" w:rsidRPr="00C9307C">
        <w:rPr>
          <w:rFonts w:eastAsia="Times New Roman" w:cs="Calibri"/>
          <w:bCs/>
          <w:color w:val="000000"/>
          <w:lang w:val="fr-FR"/>
        </w:rPr>
        <w:t xml:space="preserve">Registre Biométrique </w:t>
      </w:r>
      <w:r w:rsidRPr="00C9307C">
        <w:rPr>
          <w:rFonts w:eastAsia="Times New Roman" w:cs="Calibri"/>
          <w:bCs/>
          <w:color w:val="000000"/>
          <w:lang w:val="fr-FR"/>
        </w:rPr>
        <w:t>o</w:t>
      </w:r>
      <w:r w:rsidR="00A511AA" w:rsidRPr="00C9307C">
        <w:rPr>
          <w:rFonts w:eastAsia="Times New Roman" w:cs="Calibri"/>
          <w:bCs/>
          <w:color w:val="000000"/>
          <w:lang w:val="fr-FR"/>
        </w:rPr>
        <w:t>bligatoire de</w:t>
      </w:r>
      <w:r w:rsidR="003A794B" w:rsidRPr="00C9307C">
        <w:rPr>
          <w:rFonts w:eastAsia="Times New Roman" w:cs="Calibri"/>
          <w:bCs/>
          <w:color w:val="000000"/>
          <w:lang w:val="fr-FR"/>
        </w:rPr>
        <w:t>s</w:t>
      </w:r>
      <w:r w:rsidR="00A511AA" w:rsidRPr="00C9307C">
        <w:rPr>
          <w:rFonts w:eastAsia="Times New Roman" w:cs="Calibri"/>
          <w:bCs/>
          <w:color w:val="000000"/>
          <w:lang w:val="fr-FR"/>
        </w:rPr>
        <w:t xml:space="preserve"> fonctionnaires </w:t>
      </w:r>
      <w:r w:rsidRPr="00C9307C">
        <w:rPr>
          <w:rFonts w:eastAsia="Times New Roman" w:cs="Calibri"/>
          <w:bCs/>
          <w:color w:val="000000"/>
          <w:lang w:val="fr-FR"/>
        </w:rPr>
        <w:t xml:space="preserve">et contractuels publics pour </w:t>
      </w:r>
      <w:r w:rsidR="00A511AA" w:rsidRPr="00C9307C">
        <w:rPr>
          <w:rFonts w:eastAsia="Times New Roman" w:cs="Calibri"/>
          <w:bCs/>
          <w:color w:val="000000"/>
          <w:lang w:val="fr-FR"/>
        </w:rPr>
        <w:t>l</w:t>
      </w:r>
      <w:r w:rsidRPr="00C9307C">
        <w:rPr>
          <w:rFonts w:eastAsia="Times New Roman" w:cs="Calibri"/>
          <w:bCs/>
          <w:color w:val="000000"/>
          <w:lang w:val="fr-FR"/>
        </w:rPr>
        <w:t>’</w:t>
      </w:r>
      <w:r w:rsidR="00A511AA" w:rsidRPr="00C9307C">
        <w:rPr>
          <w:rFonts w:eastAsia="Times New Roman" w:cs="Calibri"/>
          <w:bCs/>
          <w:color w:val="000000"/>
          <w:lang w:val="fr-FR"/>
        </w:rPr>
        <w:t>identifi</w:t>
      </w:r>
      <w:r w:rsidRPr="00C9307C">
        <w:rPr>
          <w:rFonts w:eastAsia="Times New Roman" w:cs="Calibri"/>
          <w:bCs/>
          <w:color w:val="000000"/>
          <w:lang w:val="fr-FR"/>
        </w:rPr>
        <w:t xml:space="preserve">cation </w:t>
      </w:r>
      <w:r w:rsidR="00A511AA" w:rsidRPr="00C9307C">
        <w:rPr>
          <w:rFonts w:eastAsia="Times New Roman" w:cs="Calibri"/>
          <w:bCs/>
          <w:color w:val="000000"/>
          <w:lang w:val="fr-FR"/>
        </w:rPr>
        <w:t xml:space="preserve">et </w:t>
      </w:r>
      <w:r w:rsidRPr="00C9307C">
        <w:rPr>
          <w:rFonts w:eastAsia="Times New Roman" w:cs="Calibri"/>
          <w:bCs/>
          <w:color w:val="000000"/>
          <w:lang w:val="fr-FR"/>
        </w:rPr>
        <w:t>l</w:t>
      </w:r>
      <w:r w:rsidR="00A511AA" w:rsidRPr="00C9307C">
        <w:rPr>
          <w:rFonts w:eastAsia="Times New Roman" w:cs="Calibri"/>
          <w:bCs/>
          <w:color w:val="000000"/>
          <w:lang w:val="fr-FR"/>
        </w:rPr>
        <w:t>’épur</w:t>
      </w:r>
      <w:r w:rsidRPr="00C9307C">
        <w:rPr>
          <w:rFonts w:eastAsia="Times New Roman" w:cs="Calibri"/>
          <w:bCs/>
          <w:color w:val="000000"/>
          <w:lang w:val="fr-FR"/>
        </w:rPr>
        <w:t>ation des</w:t>
      </w:r>
      <w:r w:rsidR="00A511AA" w:rsidRPr="00C9307C">
        <w:rPr>
          <w:rFonts w:eastAsia="Times New Roman" w:cs="Calibri"/>
          <w:bCs/>
          <w:color w:val="000000"/>
          <w:lang w:val="fr-FR"/>
        </w:rPr>
        <w:t xml:space="preserve"> base</w:t>
      </w:r>
      <w:r w:rsidRPr="00C9307C">
        <w:rPr>
          <w:rFonts w:eastAsia="Times New Roman" w:cs="Calibri"/>
          <w:bCs/>
          <w:color w:val="000000"/>
          <w:lang w:val="fr-FR"/>
        </w:rPr>
        <w:t>s</w:t>
      </w:r>
      <w:r w:rsidR="00A511AA" w:rsidRPr="00C9307C">
        <w:rPr>
          <w:rFonts w:eastAsia="Times New Roman" w:cs="Calibri"/>
          <w:bCs/>
          <w:color w:val="000000"/>
          <w:lang w:val="fr-FR"/>
        </w:rPr>
        <w:t xml:space="preserve"> de données </w:t>
      </w:r>
      <w:r w:rsidRPr="00C9307C">
        <w:rPr>
          <w:rFonts w:eastAsia="Times New Roman" w:cs="Calibri"/>
          <w:bCs/>
          <w:color w:val="000000"/>
          <w:lang w:val="fr-FR"/>
        </w:rPr>
        <w:t>sur les fonctionnaires et contractuels</w:t>
      </w:r>
      <w:r w:rsidR="00A76002" w:rsidRPr="00C9307C">
        <w:rPr>
          <w:rFonts w:eastAsia="Times New Roman" w:cs="Calibri"/>
          <w:bCs/>
          <w:color w:val="000000"/>
          <w:lang w:val="fr-FR"/>
        </w:rPr>
        <w:t>.</w:t>
      </w:r>
    </w:p>
    <w:p w14:paraId="66082F86" w14:textId="77777777" w:rsidR="000541A8" w:rsidRPr="00C9307C" w:rsidRDefault="000541A8" w:rsidP="00AA5024">
      <w:pPr>
        <w:pStyle w:val="CommentText"/>
        <w:numPr>
          <w:ilvl w:val="0"/>
          <w:numId w:val="58"/>
        </w:numPr>
        <w:rPr>
          <w:sz w:val="22"/>
          <w:szCs w:val="22"/>
          <w:lang w:val="fr-FR"/>
        </w:rPr>
      </w:pPr>
      <w:r w:rsidRPr="00C9307C">
        <w:rPr>
          <w:rFonts w:eastAsia="Times New Roman" w:cs="Calibri"/>
          <w:bCs/>
          <w:color w:val="000000"/>
          <w:sz w:val="22"/>
          <w:szCs w:val="22"/>
          <w:lang w:val="fr-FR"/>
        </w:rPr>
        <w:t>La réingénierie des processus budgétaires pour les paiements faits par le Trésor Public ;</w:t>
      </w:r>
    </w:p>
    <w:p w14:paraId="631407F6" w14:textId="77777777" w:rsidR="00A06E1B" w:rsidRPr="00C9307C" w:rsidRDefault="00A511AA" w:rsidP="00720B8F">
      <w:pPr>
        <w:pStyle w:val="ColorfulList-Accent11"/>
        <w:numPr>
          <w:ilvl w:val="0"/>
          <w:numId w:val="58"/>
        </w:numPr>
        <w:jc w:val="both"/>
        <w:rPr>
          <w:rFonts w:eastAsia="Times New Roman" w:cs="Calibri"/>
          <w:bCs/>
          <w:color w:val="000000"/>
          <w:lang w:val="fr-FR"/>
        </w:rPr>
      </w:pPr>
      <w:r w:rsidRPr="00C9307C">
        <w:rPr>
          <w:rFonts w:eastAsia="Times New Roman" w:cs="Calibri"/>
          <w:bCs/>
          <w:color w:val="000000"/>
          <w:lang w:val="fr-FR"/>
        </w:rPr>
        <w:t>L</w:t>
      </w:r>
      <w:r w:rsidR="004B447B" w:rsidRPr="00C9307C">
        <w:rPr>
          <w:rFonts w:eastAsia="Times New Roman" w:cs="Calibri"/>
          <w:bCs/>
          <w:color w:val="000000"/>
          <w:lang w:val="fr-FR"/>
        </w:rPr>
        <w:t xml:space="preserve">’équipement pour la connexion interministérielle et </w:t>
      </w:r>
      <w:r w:rsidR="00174DE6" w:rsidRPr="00C9307C">
        <w:rPr>
          <w:rFonts w:eastAsia="Times New Roman" w:cs="Calibri"/>
          <w:bCs/>
          <w:color w:val="000000"/>
          <w:lang w:val="fr-FR"/>
        </w:rPr>
        <w:t>la sécurité</w:t>
      </w:r>
      <w:r w:rsidRPr="00C9307C">
        <w:rPr>
          <w:rFonts w:eastAsia="Times New Roman" w:cs="Calibri"/>
          <w:bCs/>
          <w:color w:val="000000"/>
          <w:lang w:val="fr-FR"/>
        </w:rPr>
        <w:t xml:space="preserve"> des données informatiques</w:t>
      </w:r>
      <w:r w:rsidR="004B447B" w:rsidRPr="00C9307C">
        <w:rPr>
          <w:rFonts w:eastAsia="Times New Roman" w:cs="Calibri"/>
          <w:bCs/>
          <w:color w:val="000000"/>
          <w:lang w:val="fr-FR"/>
        </w:rPr>
        <w:t xml:space="preserve"> de la Direction des Systèmes d’Information (</w:t>
      </w:r>
      <w:r w:rsidRPr="00C9307C">
        <w:rPr>
          <w:rFonts w:eastAsia="Times New Roman" w:cs="Calibri"/>
          <w:bCs/>
          <w:color w:val="000000"/>
          <w:lang w:val="fr-FR"/>
        </w:rPr>
        <w:t>DSI</w:t>
      </w:r>
      <w:r w:rsidR="004B447B" w:rsidRPr="00C9307C">
        <w:rPr>
          <w:rFonts w:eastAsia="Times New Roman" w:cs="Calibri"/>
          <w:bCs/>
          <w:color w:val="000000"/>
          <w:lang w:val="fr-FR"/>
        </w:rPr>
        <w:t>)d</w:t>
      </w:r>
      <w:r w:rsidR="00240136" w:rsidRPr="00C9307C">
        <w:rPr>
          <w:rFonts w:eastAsia="Times New Roman" w:cs="Calibri"/>
          <w:bCs/>
          <w:color w:val="000000"/>
          <w:lang w:val="fr-FR"/>
        </w:rPr>
        <w:t>u</w:t>
      </w:r>
      <w:r w:rsidRPr="00C9307C">
        <w:rPr>
          <w:rFonts w:eastAsia="Times New Roman" w:cs="Calibri"/>
          <w:bCs/>
          <w:color w:val="000000"/>
          <w:lang w:val="fr-FR"/>
        </w:rPr>
        <w:t xml:space="preserve"> MEF</w:t>
      </w:r>
      <w:r w:rsidR="005347A4" w:rsidRPr="00C9307C">
        <w:rPr>
          <w:rFonts w:eastAsia="Times New Roman" w:cs="Calibri"/>
          <w:bCs/>
          <w:color w:val="000000"/>
          <w:lang w:val="fr-FR"/>
        </w:rPr>
        <w:t> ;</w:t>
      </w:r>
    </w:p>
    <w:p w14:paraId="128251DF" w14:textId="77777777" w:rsidR="00A06E1B" w:rsidRPr="00C9307C" w:rsidRDefault="004B447B" w:rsidP="00720B8F">
      <w:pPr>
        <w:pStyle w:val="ColorfulList-Accent11"/>
        <w:numPr>
          <w:ilvl w:val="0"/>
          <w:numId w:val="58"/>
        </w:numPr>
        <w:jc w:val="both"/>
        <w:rPr>
          <w:rFonts w:eastAsia="Times New Roman" w:cs="Calibri"/>
          <w:bCs/>
          <w:color w:val="000000"/>
          <w:lang w:val="fr-FR"/>
        </w:rPr>
      </w:pPr>
      <w:r w:rsidRPr="00C9307C">
        <w:rPr>
          <w:rFonts w:eastAsia="Times New Roman" w:cs="Calibri"/>
          <w:bCs/>
          <w:color w:val="000000"/>
          <w:lang w:val="fr-FR"/>
        </w:rPr>
        <w:lastRenderedPageBreak/>
        <w:t xml:space="preserve">La réalisation d’ateliers de formation pour assurer le </w:t>
      </w:r>
      <w:r w:rsidR="00A511AA" w:rsidRPr="00C9307C">
        <w:rPr>
          <w:rFonts w:eastAsia="Times New Roman" w:cs="Calibri"/>
          <w:bCs/>
          <w:color w:val="000000"/>
          <w:lang w:val="fr-FR"/>
        </w:rPr>
        <w:t>développement continu des compétences en informatique, SIGRH</w:t>
      </w:r>
      <w:r w:rsidRPr="00C9307C">
        <w:rPr>
          <w:rFonts w:eastAsia="Times New Roman" w:cs="Calibri"/>
          <w:bCs/>
          <w:color w:val="000000"/>
          <w:lang w:val="fr-FR"/>
        </w:rPr>
        <w:t xml:space="preserve"> et</w:t>
      </w:r>
      <w:r w:rsidR="00A511AA" w:rsidRPr="00C9307C">
        <w:rPr>
          <w:rFonts w:eastAsia="Times New Roman" w:cs="Calibri"/>
          <w:bCs/>
          <w:color w:val="000000"/>
          <w:lang w:val="fr-FR"/>
        </w:rPr>
        <w:t xml:space="preserve"> identification biométrique, etc.)</w:t>
      </w:r>
      <w:r w:rsidR="005347A4" w:rsidRPr="00C9307C">
        <w:rPr>
          <w:rFonts w:eastAsia="Times New Roman" w:cs="Calibri"/>
          <w:bCs/>
          <w:color w:val="000000"/>
          <w:lang w:val="fr-FR"/>
        </w:rPr>
        <w:t> ;</w:t>
      </w:r>
    </w:p>
    <w:p w14:paraId="2C8B81E6" w14:textId="77777777" w:rsidR="00A06E1B" w:rsidRPr="00C9307C" w:rsidRDefault="00A511AA" w:rsidP="00720B8F">
      <w:pPr>
        <w:pStyle w:val="ColorfulList-Accent11"/>
        <w:numPr>
          <w:ilvl w:val="0"/>
          <w:numId w:val="58"/>
        </w:numPr>
        <w:jc w:val="both"/>
        <w:rPr>
          <w:rFonts w:eastAsia="Times New Roman" w:cs="Calibri"/>
          <w:bCs/>
          <w:color w:val="000000"/>
          <w:lang w:val="fr-FR"/>
        </w:rPr>
      </w:pPr>
      <w:r w:rsidRPr="00C9307C">
        <w:rPr>
          <w:rFonts w:eastAsia="Times New Roman" w:cs="Calibri"/>
          <w:bCs/>
          <w:color w:val="000000"/>
          <w:lang w:val="fr-FR"/>
        </w:rPr>
        <w:t>Le renforcement de</w:t>
      </w:r>
      <w:r w:rsidR="004B447B" w:rsidRPr="00C9307C">
        <w:rPr>
          <w:rFonts w:eastAsia="Times New Roman" w:cs="Calibri"/>
          <w:bCs/>
          <w:color w:val="000000"/>
          <w:lang w:val="fr-FR"/>
        </w:rPr>
        <w:t>s capacit</w:t>
      </w:r>
      <w:r w:rsidR="00232CD2" w:rsidRPr="00C9307C">
        <w:rPr>
          <w:rFonts w:eastAsia="Times New Roman" w:cs="Calibri"/>
          <w:bCs/>
          <w:color w:val="000000"/>
          <w:lang w:val="fr-FR"/>
        </w:rPr>
        <w:t>é</w:t>
      </w:r>
      <w:r w:rsidR="004B447B" w:rsidRPr="00C9307C">
        <w:rPr>
          <w:rFonts w:eastAsia="Times New Roman" w:cs="Calibri"/>
          <w:bCs/>
          <w:color w:val="000000"/>
          <w:lang w:val="fr-FR"/>
        </w:rPr>
        <w:t>s techniques</w:t>
      </w:r>
      <w:r w:rsidR="005347A4" w:rsidRPr="00C9307C">
        <w:rPr>
          <w:rFonts w:eastAsia="Times New Roman" w:cs="Calibri"/>
          <w:bCs/>
          <w:color w:val="000000"/>
          <w:lang w:val="fr-FR"/>
        </w:rPr>
        <w:t xml:space="preserve"> de la DSI</w:t>
      </w:r>
      <w:r w:rsidR="004B447B" w:rsidRPr="00C9307C">
        <w:rPr>
          <w:rFonts w:eastAsia="Times New Roman" w:cs="Calibri"/>
          <w:bCs/>
          <w:color w:val="000000"/>
          <w:lang w:val="fr-FR"/>
        </w:rPr>
        <w:t xml:space="preserve"> de l’OMRH</w:t>
      </w:r>
      <w:r w:rsidR="005347A4" w:rsidRPr="00C9307C">
        <w:rPr>
          <w:rFonts w:eastAsia="Times New Roman" w:cs="Calibri"/>
          <w:bCs/>
          <w:color w:val="000000"/>
          <w:lang w:val="fr-FR"/>
        </w:rPr>
        <w:t> ; et</w:t>
      </w:r>
    </w:p>
    <w:p w14:paraId="7F031CA2" w14:textId="77777777" w:rsidR="00A06E1B" w:rsidRPr="00C9307C" w:rsidRDefault="00A511AA" w:rsidP="00720B8F">
      <w:pPr>
        <w:pStyle w:val="ColorfulList-Accent11"/>
        <w:numPr>
          <w:ilvl w:val="0"/>
          <w:numId w:val="58"/>
        </w:numPr>
        <w:jc w:val="both"/>
        <w:rPr>
          <w:rFonts w:eastAsia="Times New Roman" w:cs="Calibri"/>
          <w:bCs/>
          <w:color w:val="000000"/>
          <w:lang w:val="fr-FR"/>
        </w:rPr>
      </w:pPr>
      <w:r w:rsidRPr="00C9307C">
        <w:rPr>
          <w:rFonts w:eastAsia="Times New Roman" w:cs="Calibri"/>
          <w:bCs/>
          <w:color w:val="000000"/>
          <w:lang w:val="fr-FR"/>
        </w:rPr>
        <w:t xml:space="preserve">Le </w:t>
      </w:r>
      <w:r w:rsidR="00240136" w:rsidRPr="00C9307C">
        <w:rPr>
          <w:rFonts w:eastAsia="Times New Roman" w:cs="Calibri"/>
          <w:bCs/>
          <w:color w:val="000000"/>
          <w:lang w:val="fr-FR"/>
        </w:rPr>
        <w:t>r</w:t>
      </w:r>
      <w:r w:rsidRPr="00C9307C">
        <w:rPr>
          <w:rFonts w:eastAsia="Times New Roman" w:cs="Calibri"/>
          <w:bCs/>
          <w:color w:val="000000"/>
          <w:lang w:val="fr-FR"/>
        </w:rPr>
        <w:t>enfo</w:t>
      </w:r>
      <w:r w:rsidR="005347A4" w:rsidRPr="00C9307C">
        <w:rPr>
          <w:rFonts w:eastAsia="Times New Roman" w:cs="Calibri"/>
          <w:bCs/>
          <w:color w:val="000000"/>
          <w:lang w:val="fr-FR"/>
        </w:rPr>
        <w:t xml:space="preserve">rcement </w:t>
      </w:r>
      <w:r w:rsidR="00232CD2" w:rsidRPr="00C9307C">
        <w:rPr>
          <w:rFonts w:eastAsia="Times New Roman" w:cs="Calibri"/>
          <w:bCs/>
          <w:color w:val="000000"/>
          <w:lang w:val="fr-FR"/>
        </w:rPr>
        <w:t>des capacités techniques de la DSI du MEF</w:t>
      </w:r>
      <w:r w:rsidR="005347A4" w:rsidRPr="00C9307C">
        <w:rPr>
          <w:rFonts w:eastAsia="Times New Roman" w:cs="Calibri"/>
          <w:bCs/>
          <w:color w:val="000000"/>
          <w:lang w:val="fr-FR"/>
        </w:rPr>
        <w:t>.</w:t>
      </w:r>
    </w:p>
    <w:p w14:paraId="356E6904" w14:textId="77777777" w:rsidR="00A76002" w:rsidRPr="006603E9" w:rsidRDefault="00854235" w:rsidP="00720B8F">
      <w:pPr>
        <w:pStyle w:val="ColorfulList-Accent11"/>
        <w:numPr>
          <w:ilvl w:val="0"/>
          <w:numId w:val="58"/>
        </w:numPr>
        <w:jc w:val="both"/>
        <w:rPr>
          <w:rFonts w:eastAsia="Times New Roman" w:cs="Calibri"/>
          <w:bCs/>
          <w:color w:val="000000"/>
          <w:lang w:val="fr-FR"/>
        </w:rPr>
      </w:pPr>
      <w:bookmarkStart w:id="18" w:name="_Hlk532462357"/>
      <w:r w:rsidRPr="006603E9">
        <w:rPr>
          <w:rFonts w:eastAsia="Times New Roman" w:cs="Calibri"/>
          <w:bCs/>
          <w:color w:val="000000"/>
          <w:lang w:val="fr-FR"/>
        </w:rPr>
        <w:t>Le support financier apporté à l’Equipe de projet SIGFIP du MEF.</w:t>
      </w:r>
    </w:p>
    <w:bookmarkEnd w:id="17"/>
    <w:bookmarkEnd w:id="18"/>
    <w:p w14:paraId="67BF8329" w14:textId="77777777" w:rsidR="00A06E1B" w:rsidRPr="00C9307C" w:rsidRDefault="00A06E1B" w:rsidP="00720B8F">
      <w:pPr>
        <w:pStyle w:val="ColorfulList-Accent11"/>
        <w:jc w:val="both"/>
        <w:rPr>
          <w:rFonts w:eastAsia="Times New Roman" w:cs="Calibri"/>
          <w:b/>
          <w:bCs/>
          <w:color w:val="000000"/>
          <w:lang w:val="fr-FR"/>
        </w:rPr>
      </w:pPr>
    </w:p>
    <w:p w14:paraId="3917AB63" w14:textId="4622BB94" w:rsidR="00A06E1B" w:rsidRPr="00C9307C" w:rsidRDefault="005347A4" w:rsidP="00720B8F">
      <w:pPr>
        <w:pStyle w:val="ColorfulList-Accent11"/>
        <w:ind w:hanging="720"/>
        <w:jc w:val="both"/>
        <w:rPr>
          <w:rFonts w:eastAsia="Times New Roman" w:cs="Calibri"/>
          <w:b/>
          <w:bCs/>
          <w:color w:val="000000"/>
          <w:lang w:val="fr-FR"/>
        </w:rPr>
      </w:pPr>
      <w:r w:rsidRPr="00C9307C">
        <w:rPr>
          <w:rFonts w:eastAsia="Times New Roman" w:cs="Calibri"/>
          <w:b/>
          <w:bCs/>
          <w:color w:val="000000"/>
          <w:lang w:val="fr-FR"/>
        </w:rPr>
        <w:t xml:space="preserve">2.13 </w:t>
      </w:r>
      <w:r w:rsidR="00074D3F">
        <w:rPr>
          <w:rFonts w:eastAsia="Times New Roman" w:cs="Calibri"/>
          <w:b/>
          <w:bCs/>
          <w:color w:val="000000"/>
          <w:lang w:val="fr-FR"/>
        </w:rPr>
        <w:tab/>
      </w:r>
      <w:r w:rsidRPr="00C9307C">
        <w:rPr>
          <w:rFonts w:eastAsia="Times New Roman" w:cs="Calibri"/>
          <w:b/>
          <w:bCs/>
          <w:color w:val="000000"/>
          <w:lang w:val="fr-FR"/>
        </w:rPr>
        <w:t xml:space="preserve">A) </w:t>
      </w:r>
      <w:r w:rsidRPr="00C9307C">
        <w:rPr>
          <w:sz w:val="24"/>
          <w:szCs w:val="24"/>
          <w:lang w:val="fr-FR"/>
        </w:rPr>
        <w:t xml:space="preserve">Les activités de mise en œuvre du </w:t>
      </w:r>
      <w:r w:rsidRPr="00C9307C">
        <w:rPr>
          <w:rFonts w:eastAsia="Times New Roman" w:cs="Calibri"/>
          <w:b/>
          <w:bCs/>
          <w:color w:val="000000"/>
          <w:lang w:val="fr-FR"/>
        </w:rPr>
        <w:t xml:space="preserve">Système intégré de Gestion des Ressources Humaines (SIGRH) de l’administration publique incluant </w:t>
      </w:r>
      <w:r w:rsidR="00360023" w:rsidRPr="00C9307C">
        <w:rPr>
          <w:rFonts w:eastAsia="Times New Roman" w:cs="Calibri"/>
          <w:b/>
          <w:bCs/>
          <w:color w:val="000000"/>
          <w:lang w:val="fr-FR"/>
        </w:rPr>
        <w:t>d</w:t>
      </w:r>
      <w:r w:rsidRPr="00C9307C">
        <w:rPr>
          <w:rFonts w:eastAsia="Times New Roman" w:cs="Calibri"/>
          <w:b/>
          <w:bCs/>
          <w:color w:val="000000"/>
          <w:lang w:val="fr-FR"/>
        </w:rPr>
        <w:t>es modules de gestion de</w:t>
      </w:r>
      <w:r w:rsidR="00360023" w:rsidRPr="00C9307C">
        <w:rPr>
          <w:rFonts w:eastAsia="Times New Roman" w:cs="Calibri"/>
          <w:b/>
          <w:bCs/>
          <w:color w:val="000000"/>
          <w:lang w:val="fr-FR"/>
        </w:rPr>
        <w:t>s salaires</w:t>
      </w:r>
      <w:r w:rsidRPr="00C9307C">
        <w:rPr>
          <w:rFonts w:eastAsia="Times New Roman" w:cs="Calibri"/>
          <w:b/>
          <w:bCs/>
          <w:color w:val="000000"/>
          <w:lang w:val="fr-FR"/>
        </w:rPr>
        <w:t xml:space="preserve"> et de pension</w:t>
      </w:r>
      <w:r w:rsidR="00E90EC9" w:rsidRPr="00C9307C">
        <w:rPr>
          <w:rFonts w:eastAsia="Times New Roman" w:cs="Calibri"/>
          <w:b/>
          <w:bCs/>
          <w:color w:val="000000"/>
          <w:lang w:val="fr-FR"/>
        </w:rPr>
        <w:t xml:space="preserve"> </w:t>
      </w:r>
      <w:r w:rsidRPr="00C9307C">
        <w:rPr>
          <w:sz w:val="24"/>
          <w:szCs w:val="24"/>
          <w:lang w:val="fr-FR"/>
        </w:rPr>
        <w:t>incluront :</w:t>
      </w:r>
    </w:p>
    <w:p w14:paraId="5C16D998" w14:textId="77777777" w:rsidR="00A06E1B" w:rsidRPr="00C9307C" w:rsidRDefault="00A511AA" w:rsidP="00720B8F">
      <w:pPr>
        <w:pStyle w:val="ColorfulList-Accent11"/>
        <w:jc w:val="both"/>
        <w:rPr>
          <w:rFonts w:eastAsia="Times New Roman" w:cs="Calibri"/>
          <w:color w:val="000000"/>
          <w:lang w:val="fr-FR"/>
        </w:rPr>
      </w:pPr>
      <w:r w:rsidRPr="00C9307C">
        <w:rPr>
          <w:rFonts w:eastAsia="Times New Roman" w:cs="Calibri"/>
          <w:bCs/>
          <w:color w:val="000000"/>
          <w:lang w:val="fr-FR"/>
        </w:rPr>
        <w:t xml:space="preserve">i. </w:t>
      </w:r>
      <w:r w:rsidR="00174DE6" w:rsidRPr="00C9307C">
        <w:rPr>
          <w:rFonts w:eastAsia="Times New Roman" w:cs="Calibri"/>
          <w:bCs/>
          <w:color w:val="000000"/>
          <w:lang w:val="fr-FR"/>
        </w:rPr>
        <w:t>Recrutement d’un AMOA</w:t>
      </w:r>
      <w:r w:rsidR="0048566E" w:rsidRPr="00C9307C">
        <w:rPr>
          <w:rFonts w:eastAsia="Times New Roman" w:cs="Calibri"/>
          <w:bCs/>
          <w:color w:val="000000"/>
          <w:lang w:val="fr-FR"/>
        </w:rPr>
        <w:t>,</w:t>
      </w:r>
      <w:r w:rsidR="00174DE6" w:rsidRPr="00C9307C">
        <w:rPr>
          <w:rFonts w:eastAsia="Times New Roman" w:cs="Calibri"/>
          <w:bCs/>
          <w:color w:val="000000"/>
          <w:lang w:val="fr-FR"/>
        </w:rPr>
        <w:t xml:space="preserve"> r</w:t>
      </w:r>
      <w:r w:rsidR="00557031" w:rsidRPr="00C9307C">
        <w:rPr>
          <w:rFonts w:eastAsia="Times New Roman" w:cs="Calibri"/>
          <w:color w:val="000000"/>
          <w:lang w:val="fr-FR"/>
        </w:rPr>
        <w:t>évision et validation des Termes de Référence ;</w:t>
      </w:r>
    </w:p>
    <w:p w14:paraId="73A673E2" w14:textId="5AB7FC9A" w:rsidR="00A06E1B" w:rsidRPr="006603E9" w:rsidRDefault="00557031" w:rsidP="00720B8F">
      <w:pPr>
        <w:pStyle w:val="ColorfulList-Accent11"/>
        <w:jc w:val="both"/>
        <w:rPr>
          <w:rFonts w:eastAsia="Times New Roman" w:cs="Calibri"/>
          <w:color w:val="000000"/>
          <w:lang w:val="fr-FR"/>
        </w:rPr>
      </w:pPr>
      <w:r w:rsidRPr="00C9307C">
        <w:rPr>
          <w:rFonts w:eastAsia="Times New Roman" w:cs="Calibri"/>
          <w:color w:val="000000"/>
          <w:lang w:val="fr-FR"/>
        </w:rPr>
        <w:t xml:space="preserve">ii. </w:t>
      </w:r>
      <w:r w:rsidR="00A511AA" w:rsidRPr="006603E9">
        <w:rPr>
          <w:rFonts w:eastAsia="Times New Roman" w:cs="Calibri"/>
          <w:color w:val="000000"/>
          <w:lang w:val="fr-FR"/>
        </w:rPr>
        <w:t>Recrutement de l'</w:t>
      </w:r>
      <w:r w:rsidRPr="006603E9">
        <w:rPr>
          <w:rFonts w:eastAsia="Times New Roman" w:cs="Calibri"/>
          <w:color w:val="000000"/>
          <w:lang w:val="fr-FR"/>
        </w:rPr>
        <w:t>évaluateur</w:t>
      </w:r>
      <w:r w:rsidR="00D00D50" w:rsidRPr="006603E9">
        <w:rPr>
          <w:rFonts w:eastAsia="Times New Roman" w:cs="Calibri"/>
          <w:color w:val="000000"/>
          <w:lang w:val="fr-FR"/>
        </w:rPr>
        <w:t> </w:t>
      </w:r>
      <w:r w:rsidR="00A511AA" w:rsidRPr="006603E9">
        <w:rPr>
          <w:rFonts w:eastAsia="Times New Roman" w:cs="Calibri"/>
          <w:color w:val="000000"/>
          <w:lang w:val="fr-FR"/>
        </w:rPr>
        <w:t>;</w:t>
      </w:r>
    </w:p>
    <w:p w14:paraId="53B892DF" w14:textId="5F628DDD" w:rsidR="00D00D50" w:rsidRPr="006603E9" w:rsidRDefault="00F82770" w:rsidP="00AA5024">
      <w:pPr>
        <w:pStyle w:val="ColorfulList-Accent11"/>
        <w:jc w:val="both"/>
        <w:rPr>
          <w:rFonts w:eastAsia="Times New Roman" w:cs="Calibri"/>
          <w:color w:val="000000"/>
          <w:lang w:val="fr-FR"/>
        </w:rPr>
      </w:pPr>
      <w:bookmarkStart w:id="19" w:name="_Hlk532462464"/>
      <w:r w:rsidRPr="006603E9">
        <w:rPr>
          <w:rFonts w:eastAsia="Times New Roman" w:cs="Calibri"/>
          <w:color w:val="000000"/>
          <w:lang w:val="fr-FR"/>
        </w:rPr>
        <w:t>ii</w:t>
      </w:r>
      <w:r w:rsidR="00432D0F" w:rsidRPr="006603E9">
        <w:rPr>
          <w:rFonts w:eastAsia="Times New Roman" w:cs="Calibri"/>
          <w:color w:val="000000"/>
          <w:lang w:val="fr-FR"/>
        </w:rPr>
        <w:t>.</w:t>
      </w:r>
      <w:r w:rsidR="00D00D50" w:rsidRPr="006603E9">
        <w:rPr>
          <w:rFonts w:eastAsia="Times New Roman" w:cs="Calibri"/>
          <w:color w:val="000000"/>
          <w:lang w:val="fr-FR"/>
        </w:rPr>
        <w:t xml:space="preserve">  Mise en place de l’Equipe de projet SIGRH</w:t>
      </w:r>
    </w:p>
    <w:bookmarkEnd w:id="19"/>
    <w:p w14:paraId="6AE752E5" w14:textId="332EE011" w:rsidR="00A06E1B" w:rsidRPr="00C9307C" w:rsidRDefault="00557031" w:rsidP="00720B8F">
      <w:pPr>
        <w:pStyle w:val="ColorfulList-Accent11"/>
        <w:jc w:val="both"/>
        <w:rPr>
          <w:rFonts w:eastAsia="Times New Roman" w:cs="Calibri"/>
          <w:color w:val="000000"/>
          <w:lang w:val="fr-FR"/>
        </w:rPr>
      </w:pPr>
      <w:r w:rsidRPr="00C9307C">
        <w:rPr>
          <w:rFonts w:eastAsia="Times New Roman" w:cs="Calibri"/>
          <w:bCs/>
          <w:color w:val="000000"/>
          <w:lang w:val="fr-FR"/>
        </w:rPr>
        <w:t>iii</w:t>
      </w:r>
      <w:r w:rsidR="00E90EC9" w:rsidRPr="00C9307C">
        <w:rPr>
          <w:rFonts w:eastAsia="Times New Roman" w:cs="Calibri"/>
          <w:bCs/>
          <w:color w:val="000000"/>
          <w:lang w:val="fr-FR"/>
        </w:rPr>
        <w:t>.</w:t>
      </w:r>
      <w:r w:rsidR="002631DC" w:rsidRPr="00C9307C">
        <w:rPr>
          <w:rFonts w:eastAsia="Times New Roman" w:cs="Calibri"/>
          <w:bCs/>
          <w:color w:val="000000"/>
          <w:lang w:val="fr-FR"/>
        </w:rPr>
        <w:t xml:space="preserve"> </w:t>
      </w:r>
      <w:r w:rsidRPr="00C9307C">
        <w:rPr>
          <w:rFonts w:eastAsia="Times New Roman" w:cs="Calibri"/>
          <w:color w:val="000000"/>
          <w:lang w:val="fr-FR"/>
        </w:rPr>
        <w:t>Préparation des TDR qui inclu</w:t>
      </w:r>
      <w:r w:rsidR="00174DE6" w:rsidRPr="00C9307C">
        <w:rPr>
          <w:rFonts w:eastAsia="Times New Roman" w:cs="Calibri"/>
          <w:color w:val="000000"/>
          <w:lang w:val="fr-FR"/>
        </w:rPr>
        <w:t>t</w:t>
      </w:r>
      <w:r w:rsidRPr="00C9307C">
        <w:rPr>
          <w:rFonts w:eastAsia="Times New Roman" w:cs="Calibri"/>
          <w:color w:val="000000"/>
          <w:lang w:val="fr-FR"/>
        </w:rPr>
        <w:t xml:space="preserve"> que </w:t>
      </w:r>
      <w:r w:rsidR="00E90EC9" w:rsidRPr="00C9307C">
        <w:rPr>
          <w:rFonts w:eastAsia="Times New Roman" w:cs="Calibri"/>
          <w:color w:val="000000"/>
          <w:lang w:val="fr-FR"/>
        </w:rPr>
        <w:t>l’AMOA aura</w:t>
      </w:r>
      <w:r w:rsidRPr="00C9307C">
        <w:rPr>
          <w:rFonts w:eastAsia="Times New Roman" w:cs="Calibri"/>
          <w:color w:val="000000"/>
          <w:lang w:val="fr-FR"/>
        </w:rPr>
        <w:t xml:space="preserve"> à préparer le DAO entre autres</w:t>
      </w:r>
    </w:p>
    <w:p w14:paraId="47640BE2" w14:textId="77777777" w:rsidR="00A06E1B" w:rsidRPr="00C9307C" w:rsidRDefault="00A511AA" w:rsidP="00074D3F">
      <w:pPr>
        <w:pStyle w:val="ColorfulList-Accent11"/>
        <w:numPr>
          <w:ilvl w:val="0"/>
          <w:numId w:val="14"/>
        </w:numPr>
        <w:ind w:left="990" w:hanging="270"/>
        <w:jc w:val="both"/>
        <w:rPr>
          <w:rFonts w:eastAsia="Times New Roman" w:cs="Calibri"/>
          <w:color w:val="000000"/>
          <w:lang w:val="fr-FR"/>
        </w:rPr>
      </w:pPr>
      <w:r w:rsidRPr="00C9307C">
        <w:rPr>
          <w:rFonts w:eastAsia="Times New Roman" w:cs="Calibri"/>
          <w:color w:val="000000"/>
          <w:lang w:val="fr-FR"/>
        </w:rPr>
        <w:t>Recrutement des consultants</w:t>
      </w:r>
      <w:r w:rsidR="003E3B47" w:rsidRPr="00C9307C">
        <w:rPr>
          <w:rFonts w:eastAsia="Times New Roman" w:cs="Calibri"/>
          <w:color w:val="000000"/>
          <w:lang w:val="fr-FR"/>
        </w:rPr>
        <w:t xml:space="preserve"> pour l’AMOA et la préparation du DAO</w:t>
      </w:r>
    </w:p>
    <w:p w14:paraId="6428BE22" w14:textId="77777777" w:rsidR="00A06E1B" w:rsidRPr="00C9307C" w:rsidRDefault="00557031" w:rsidP="00074D3F">
      <w:pPr>
        <w:pStyle w:val="ColorfulList-Accent11"/>
        <w:numPr>
          <w:ilvl w:val="0"/>
          <w:numId w:val="14"/>
        </w:numPr>
        <w:tabs>
          <w:tab w:val="left" w:pos="990"/>
        </w:tabs>
        <w:jc w:val="both"/>
        <w:rPr>
          <w:rFonts w:eastAsia="Times New Roman" w:cs="Calibri"/>
          <w:color w:val="000000"/>
          <w:lang w:val="fr-FR"/>
        </w:rPr>
      </w:pPr>
      <w:r w:rsidRPr="00C9307C">
        <w:rPr>
          <w:rFonts w:eastAsia="Times New Roman" w:cs="Calibri"/>
          <w:color w:val="000000"/>
          <w:lang w:val="fr-FR"/>
        </w:rPr>
        <w:t>Recrutement d'un consultant pour élaborer le cahier des charges</w:t>
      </w:r>
    </w:p>
    <w:p w14:paraId="0A1300D0" w14:textId="452F832B" w:rsidR="00A06E1B" w:rsidRPr="00C9307C" w:rsidRDefault="00221D4B" w:rsidP="00720B8F">
      <w:pPr>
        <w:pStyle w:val="ColorfulList-Accent11"/>
        <w:jc w:val="both"/>
        <w:rPr>
          <w:rFonts w:eastAsia="Times New Roman" w:cs="Calibri"/>
          <w:color w:val="000000"/>
          <w:lang w:val="fr-FR"/>
        </w:rPr>
      </w:pPr>
      <w:r w:rsidRPr="00C9307C">
        <w:rPr>
          <w:rFonts w:eastAsia="Times New Roman" w:cs="Calibri"/>
          <w:color w:val="000000"/>
          <w:lang w:val="fr-FR"/>
        </w:rPr>
        <w:t>V</w:t>
      </w:r>
      <w:r w:rsidR="00557031" w:rsidRPr="00C9307C">
        <w:rPr>
          <w:rFonts w:eastAsia="Times New Roman" w:cs="Calibri"/>
          <w:color w:val="000000"/>
          <w:lang w:val="fr-FR"/>
        </w:rPr>
        <w:t>i</w:t>
      </w:r>
      <w:r w:rsidRPr="00C9307C">
        <w:rPr>
          <w:rFonts w:eastAsia="Times New Roman" w:cs="Calibri"/>
          <w:color w:val="000000"/>
          <w:lang w:val="fr-FR"/>
        </w:rPr>
        <w:t xml:space="preserve"> </w:t>
      </w:r>
      <w:r w:rsidR="00557031" w:rsidRPr="00C9307C">
        <w:rPr>
          <w:rFonts w:eastAsia="Times New Roman" w:cs="Calibri"/>
          <w:color w:val="000000"/>
          <w:lang w:val="fr-FR"/>
        </w:rPr>
        <w:t>Ateliers de validation du cahier de</w:t>
      </w:r>
      <w:r w:rsidR="00854235" w:rsidRPr="00C9307C">
        <w:rPr>
          <w:rFonts w:eastAsia="Times New Roman" w:cs="Calibri"/>
          <w:color w:val="000000"/>
          <w:lang w:val="fr-FR"/>
        </w:rPr>
        <w:t>s</w:t>
      </w:r>
      <w:r w:rsidR="00557031" w:rsidRPr="00C9307C">
        <w:rPr>
          <w:rFonts w:eastAsia="Times New Roman" w:cs="Calibri"/>
          <w:color w:val="000000"/>
          <w:lang w:val="fr-FR"/>
        </w:rPr>
        <w:t xml:space="preserve"> charge</w:t>
      </w:r>
      <w:r w:rsidR="00854235" w:rsidRPr="00C9307C">
        <w:rPr>
          <w:rFonts w:eastAsia="Times New Roman" w:cs="Calibri"/>
          <w:color w:val="000000"/>
          <w:lang w:val="fr-FR"/>
        </w:rPr>
        <w:t>s</w:t>
      </w:r>
      <w:r w:rsidR="00557031" w:rsidRPr="00C9307C">
        <w:rPr>
          <w:rFonts w:eastAsia="Times New Roman" w:cs="Calibri"/>
          <w:color w:val="000000"/>
          <w:lang w:val="fr-FR"/>
        </w:rPr>
        <w:t> ;</w:t>
      </w:r>
    </w:p>
    <w:p w14:paraId="1612D29A" w14:textId="0286C083" w:rsidR="00A06E1B" w:rsidRPr="00C9307C" w:rsidRDefault="00221D4B" w:rsidP="00720B8F">
      <w:pPr>
        <w:pStyle w:val="ColorfulList-Accent11"/>
        <w:jc w:val="both"/>
        <w:rPr>
          <w:rFonts w:eastAsia="Times New Roman" w:cs="Calibri"/>
          <w:color w:val="000000"/>
          <w:lang w:val="fr-FR"/>
        </w:rPr>
      </w:pPr>
      <w:r w:rsidRPr="00C9307C">
        <w:rPr>
          <w:rFonts w:eastAsia="Times New Roman" w:cs="Calibri"/>
          <w:color w:val="000000"/>
          <w:lang w:val="fr-FR"/>
        </w:rPr>
        <w:t>V</w:t>
      </w:r>
      <w:r w:rsidR="00557031" w:rsidRPr="00C9307C">
        <w:rPr>
          <w:rFonts w:eastAsia="Times New Roman" w:cs="Calibri"/>
          <w:color w:val="000000"/>
          <w:lang w:val="fr-FR"/>
        </w:rPr>
        <w:t>ii</w:t>
      </w:r>
      <w:r w:rsidRPr="00C9307C">
        <w:rPr>
          <w:rFonts w:eastAsia="Times New Roman" w:cs="Calibri"/>
          <w:color w:val="000000"/>
          <w:lang w:val="fr-FR"/>
        </w:rPr>
        <w:t xml:space="preserve"> </w:t>
      </w:r>
      <w:r w:rsidR="00557031" w:rsidRPr="00C9307C">
        <w:rPr>
          <w:rFonts w:eastAsia="Times New Roman" w:cs="Calibri"/>
          <w:color w:val="000000"/>
          <w:lang w:val="fr-FR"/>
        </w:rPr>
        <w:t>Finalisation du DAO par le MEF, OMRH, BID sur la base de ce qui sera préparé par l'AMOA ;</w:t>
      </w:r>
    </w:p>
    <w:p w14:paraId="6B2629C5" w14:textId="39530115" w:rsidR="00A06E1B" w:rsidRPr="00C9307C" w:rsidRDefault="00221D4B" w:rsidP="00720B8F">
      <w:pPr>
        <w:pStyle w:val="ColorfulList-Accent11"/>
        <w:jc w:val="both"/>
        <w:rPr>
          <w:rFonts w:eastAsia="Times New Roman" w:cs="Calibri"/>
          <w:color w:val="000000"/>
          <w:lang w:val="fr-FR"/>
        </w:rPr>
      </w:pPr>
      <w:r w:rsidRPr="00C9307C">
        <w:rPr>
          <w:rFonts w:eastAsia="Times New Roman" w:cs="Calibri"/>
          <w:color w:val="000000"/>
          <w:lang w:val="fr-FR"/>
        </w:rPr>
        <w:t>V</w:t>
      </w:r>
      <w:r w:rsidR="00557031" w:rsidRPr="00C9307C">
        <w:rPr>
          <w:rFonts w:eastAsia="Times New Roman" w:cs="Calibri"/>
          <w:color w:val="000000"/>
          <w:lang w:val="fr-FR"/>
        </w:rPr>
        <w:t>iii</w:t>
      </w:r>
      <w:r w:rsidRPr="00C9307C">
        <w:rPr>
          <w:rFonts w:eastAsia="Times New Roman" w:cs="Calibri"/>
          <w:color w:val="000000"/>
          <w:lang w:val="fr-FR"/>
        </w:rPr>
        <w:t xml:space="preserve"> </w:t>
      </w:r>
      <w:r w:rsidR="00557031" w:rsidRPr="00C9307C">
        <w:rPr>
          <w:rFonts w:eastAsia="Times New Roman" w:cs="Calibri"/>
          <w:color w:val="000000"/>
          <w:lang w:val="fr-FR"/>
        </w:rPr>
        <w:t>Ateliers de validation du DAO ;</w:t>
      </w:r>
    </w:p>
    <w:p w14:paraId="321D63E0" w14:textId="77777777" w:rsidR="00A06E1B" w:rsidRPr="00C9307C" w:rsidRDefault="00557031" w:rsidP="00720B8F">
      <w:pPr>
        <w:pStyle w:val="ColorfulList-Accent11"/>
        <w:jc w:val="both"/>
        <w:rPr>
          <w:rFonts w:eastAsia="Times New Roman" w:cs="Calibri"/>
          <w:color w:val="000000"/>
          <w:lang w:val="fr-FR"/>
        </w:rPr>
      </w:pPr>
      <w:r w:rsidRPr="00C9307C">
        <w:rPr>
          <w:rFonts w:eastAsia="Times New Roman" w:cs="Calibri"/>
          <w:color w:val="000000"/>
          <w:lang w:val="fr-FR"/>
        </w:rPr>
        <w:t>ix. Lancement de l'Appel d'Offre sur la base du DAO validé ;</w:t>
      </w:r>
    </w:p>
    <w:p w14:paraId="2C8D6536" w14:textId="77777777" w:rsidR="00A06E1B" w:rsidRPr="00C9307C" w:rsidRDefault="00557031" w:rsidP="00720B8F">
      <w:pPr>
        <w:pStyle w:val="ColorfulList-Accent11"/>
        <w:jc w:val="both"/>
        <w:rPr>
          <w:rFonts w:eastAsia="Times New Roman" w:cs="Calibri"/>
          <w:color w:val="000000"/>
          <w:lang w:val="fr-FR"/>
        </w:rPr>
      </w:pPr>
      <w:r w:rsidRPr="00C9307C">
        <w:rPr>
          <w:rFonts w:eastAsia="Times New Roman" w:cs="Calibri"/>
          <w:color w:val="000000"/>
          <w:lang w:val="fr-FR"/>
        </w:rPr>
        <w:t>x. Assistances spécifiques lors de l'évaluation des offres ;</w:t>
      </w:r>
    </w:p>
    <w:p w14:paraId="4770A47B" w14:textId="77777777" w:rsidR="00A06E1B" w:rsidRPr="00C9307C" w:rsidRDefault="00557031" w:rsidP="00720B8F">
      <w:pPr>
        <w:pStyle w:val="ColorfulList-Accent11"/>
        <w:jc w:val="both"/>
        <w:rPr>
          <w:rFonts w:eastAsia="Times New Roman" w:cs="Calibri"/>
          <w:color w:val="000000"/>
          <w:lang w:val="fr-FR"/>
        </w:rPr>
      </w:pPr>
      <w:r w:rsidRPr="00C9307C">
        <w:rPr>
          <w:rFonts w:eastAsia="Times New Roman" w:cs="Calibri"/>
          <w:color w:val="000000"/>
          <w:lang w:val="fr-FR"/>
        </w:rPr>
        <w:t>xi. Assistance Juridique pour finaliser le modèle contrat ;</w:t>
      </w:r>
    </w:p>
    <w:p w14:paraId="4762D0AF" w14:textId="405D60D0" w:rsidR="00A06E1B" w:rsidRPr="00C9307C" w:rsidRDefault="00557031" w:rsidP="00720B8F">
      <w:pPr>
        <w:pStyle w:val="ColorfulList-Accent11"/>
        <w:jc w:val="both"/>
        <w:rPr>
          <w:rFonts w:eastAsia="Times New Roman" w:cs="Calibri"/>
          <w:color w:val="000000"/>
          <w:lang w:val="fr-FR"/>
        </w:rPr>
      </w:pPr>
      <w:r w:rsidRPr="00C9307C">
        <w:rPr>
          <w:rFonts w:eastAsia="Times New Roman" w:cs="Calibri"/>
          <w:color w:val="000000"/>
          <w:lang w:val="fr-FR"/>
        </w:rPr>
        <w:t xml:space="preserve">xii. Sélection de l'intégrateur pour la fourniture, l’installation, le déploiement et le plan d'entretien du SIGRH (l’intégrateur aura aussi à fournir la liste des </w:t>
      </w:r>
      <w:r w:rsidR="00FF4FA1" w:rsidRPr="00C9307C">
        <w:rPr>
          <w:rFonts w:eastAsia="Times New Roman" w:cs="Calibri"/>
          <w:color w:val="000000"/>
          <w:lang w:val="fr-FR"/>
        </w:rPr>
        <w:t>équipements</w:t>
      </w:r>
      <w:r w:rsidR="00221D4B" w:rsidRPr="00C9307C">
        <w:rPr>
          <w:rFonts w:eastAsia="Times New Roman" w:cs="Calibri"/>
          <w:color w:val="000000"/>
          <w:lang w:val="fr-FR"/>
        </w:rPr>
        <w:t xml:space="preserve"> </w:t>
      </w:r>
      <w:r w:rsidR="00FF4FA1" w:rsidRPr="00C9307C">
        <w:rPr>
          <w:rFonts w:eastAsia="Times New Roman" w:cs="Calibri"/>
          <w:color w:val="000000"/>
          <w:lang w:val="fr-FR"/>
        </w:rPr>
        <w:t>à</w:t>
      </w:r>
      <w:r w:rsidRPr="00C9307C">
        <w:rPr>
          <w:rFonts w:eastAsia="Times New Roman" w:cs="Calibri"/>
          <w:color w:val="000000"/>
          <w:lang w:val="fr-FR"/>
        </w:rPr>
        <w:t xml:space="preserve"> acheter pour le SIGRH)</w:t>
      </w:r>
      <w:r w:rsidR="00FF4FA1" w:rsidRPr="00C9307C">
        <w:rPr>
          <w:rFonts w:eastAsia="Times New Roman" w:cs="Calibri"/>
          <w:color w:val="000000"/>
          <w:lang w:val="fr-FR"/>
        </w:rPr>
        <w:t> ;</w:t>
      </w:r>
    </w:p>
    <w:p w14:paraId="34ECA6C9" w14:textId="77777777"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 xml:space="preserve">xiii. </w:t>
      </w:r>
      <w:r w:rsidR="00A511AA" w:rsidRPr="00C9307C">
        <w:rPr>
          <w:rFonts w:eastAsia="Times New Roman" w:cs="Calibri"/>
          <w:color w:val="000000"/>
          <w:lang w:val="fr-FR"/>
        </w:rPr>
        <w:t xml:space="preserve">Acquisition de 400 </w:t>
      </w:r>
      <w:r w:rsidR="00360023" w:rsidRPr="00C9307C">
        <w:rPr>
          <w:rFonts w:eastAsia="Times New Roman" w:cs="Calibri"/>
          <w:color w:val="000000"/>
          <w:lang w:val="fr-FR"/>
        </w:rPr>
        <w:t>licences ;</w:t>
      </w:r>
    </w:p>
    <w:p w14:paraId="75C7455B" w14:textId="77777777" w:rsidR="00A06E1B" w:rsidRPr="00C9307C" w:rsidRDefault="00A511AA" w:rsidP="00720B8F">
      <w:pPr>
        <w:pStyle w:val="ColorfulList-Accent11"/>
        <w:jc w:val="both"/>
        <w:rPr>
          <w:rFonts w:eastAsia="Times New Roman" w:cs="Calibri"/>
          <w:color w:val="000000"/>
          <w:lang w:val="fr-FR"/>
        </w:rPr>
      </w:pPr>
      <w:r w:rsidRPr="00C9307C">
        <w:rPr>
          <w:rFonts w:eastAsia="Times New Roman" w:cs="Calibri"/>
          <w:color w:val="000000"/>
          <w:lang w:val="fr-FR"/>
        </w:rPr>
        <w:t xml:space="preserve">xiv. </w:t>
      </w:r>
      <w:r w:rsidR="00360023" w:rsidRPr="00C9307C">
        <w:rPr>
          <w:rFonts w:eastAsia="Times New Roman" w:cs="Calibri"/>
          <w:color w:val="000000"/>
          <w:lang w:val="fr-FR"/>
        </w:rPr>
        <w:t>Recrutement</w:t>
      </w:r>
      <w:r w:rsidRPr="00C9307C">
        <w:rPr>
          <w:rFonts w:eastAsia="Times New Roman" w:cs="Calibri"/>
          <w:color w:val="000000"/>
          <w:lang w:val="fr-FR"/>
        </w:rPr>
        <w:t xml:space="preserve"> d’un consultant pour définir le "Business Process Model" (macro-processus</w:t>
      </w:r>
      <w:proofErr w:type="gramStart"/>
      <w:r w:rsidRPr="00C9307C">
        <w:rPr>
          <w:rFonts w:eastAsia="Times New Roman" w:cs="Calibri"/>
          <w:color w:val="000000"/>
          <w:lang w:val="fr-FR"/>
        </w:rPr>
        <w:t>);</w:t>
      </w:r>
      <w:proofErr w:type="gramEnd"/>
    </w:p>
    <w:p w14:paraId="78BCBA2D" w14:textId="77777777"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xv. Acquisition des matériels, logiciels et équipements sur la base du cahier des charges et des recommandations de l'intégrateur ;</w:t>
      </w:r>
    </w:p>
    <w:p w14:paraId="7B3F55F1" w14:textId="77777777"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xvi. Installation et déploiement des Matériels, Equipements et logiciel d'infrastructure ;</w:t>
      </w:r>
    </w:p>
    <w:p w14:paraId="47D0F9A8" w14:textId="77777777"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xvii. Validation du processus d'intégration proposé par l'intégrateur ;</w:t>
      </w:r>
    </w:p>
    <w:p w14:paraId="37068CA8" w14:textId="62CD9ADE"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xviii. Paramétrage</w:t>
      </w:r>
      <w:r w:rsidR="00A511AA" w:rsidRPr="00C9307C">
        <w:rPr>
          <w:rFonts w:eastAsia="Times New Roman" w:cs="Calibri"/>
          <w:color w:val="000000"/>
          <w:lang w:val="fr-FR"/>
        </w:rPr>
        <w:t xml:space="preserve"> de la solution</w:t>
      </w:r>
      <w:r w:rsidR="00221D4B" w:rsidRPr="00C9307C">
        <w:rPr>
          <w:rFonts w:eastAsia="Times New Roman" w:cs="Calibri"/>
          <w:color w:val="000000"/>
          <w:lang w:val="fr-FR"/>
        </w:rPr>
        <w:t xml:space="preserve"> </w:t>
      </w:r>
    </w:p>
    <w:p w14:paraId="114ECEB8" w14:textId="77777777"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 xml:space="preserve">xix. Mise en </w:t>
      </w:r>
      <w:r w:rsidR="00360023" w:rsidRPr="00C9307C">
        <w:rPr>
          <w:rFonts w:eastAsia="Times New Roman" w:cs="Calibri"/>
          <w:color w:val="000000"/>
          <w:lang w:val="fr-FR"/>
        </w:rPr>
        <w:t>œuvre</w:t>
      </w:r>
      <w:r w:rsidRPr="00C9307C">
        <w:rPr>
          <w:rFonts w:eastAsia="Times New Roman" w:cs="Calibri"/>
          <w:color w:val="000000"/>
          <w:lang w:val="fr-FR"/>
        </w:rPr>
        <w:t xml:space="preserve"> de </w:t>
      </w:r>
      <w:r w:rsidR="00360023" w:rsidRPr="00C9307C">
        <w:rPr>
          <w:rFonts w:eastAsia="Times New Roman" w:cs="Calibri"/>
          <w:color w:val="000000"/>
          <w:lang w:val="fr-FR"/>
        </w:rPr>
        <w:t>procédures</w:t>
      </w:r>
      <w:r w:rsidRPr="00C9307C">
        <w:rPr>
          <w:rFonts w:eastAsia="Times New Roman" w:cs="Calibri"/>
          <w:color w:val="000000"/>
          <w:lang w:val="fr-FR"/>
        </w:rPr>
        <w:t xml:space="preserve"> de Tests ;</w:t>
      </w:r>
    </w:p>
    <w:p w14:paraId="175D197A" w14:textId="0AB18519"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xx. Réalisations</w:t>
      </w:r>
      <w:r w:rsidR="00A511AA" w:rsidRPr="00C9307C">
        <w:rPr>
          <w:rFonts w:eastAsia="Times New Roman" w:cs="Calibri"/>
          <w:color w:val="000000"/>
          <w:lang w:val="fr-FR"/>
        </w:rPr>
        <w:t xml:space="preserve"> des </w:t>
      </w:r>
      <w:r w:rsidRPr="00C9307C">
        <w:rPr>
          <w:rFonts w:eastAsia="Times New Roman" w:cs="Calibri"/>
          <w:color w:val="000000"/>
          <w:lang w:val="fr-FR"/>
        </w:rPr>
        <w:t>développements</w:t>
      </w:r>
      <w:r w:rsidR="00221D4B" w:rsidRPr="00C9307C">
        <w:rPr>
          <w:rFonts w:eastAsia="Times New Roman" w:cs="Calibri"/>
          <w:color w:val="000000"/>
          <w:lang w:val="fr-FR"/>
        </w:rPr>
        <w:t xml:space="preserve"> </w:t>
      </w:r>
      <w:r w:rsidRPr="00C9307C">
        <w:rPr>
          <w:rFonts w:eastAsia="Times New Roman" w:cs="Calibri"/>
          <w:color w:val="000000"/>
          <w:lang w:val="fr-FR"/>
        </w:rPr>
        <w:t>spécifiques</w:t>
      </w:r>
      <w:r w:rsidR="00221D4B" w:rsidRPr="00C9307C">
        <w:rPr>
          <w:rFonts w:eastAsia="Times New Roman" w:cs="Calibri"/>
          <w:color w:val="000000"/>
          <w:lang w:val="fr-FR"/>
        </w:rPr>
        <w:t xml:space="preserve"> </w:t>
      </w:r>
      <w:r w:rsidR="00A511AA" w:rsidRPr="00C9307C">
        <w:rPr>
          <w:rFonts w:eastAsia="Times New Roman" w:cs="Calibri"/>
          <w:color w:val="000000"/>
          <w:lang w:val="fr-FR"/>
        </w:rPr>
        <w:t>;</w:t>
      </w:r>
    </w:p>
    <w:p w14:paraId="69A70C60" w14:textId="77777777"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 xml:space="preserve">xxi. Déploiement des </w:t>
      </w:r>
      <w:r w:rsidR="00360023" w:rsidRPr="00C9307C">
        <w:rPr>
          <w:rFonts w:eastAsia="Times New Roman" w:cs="Calibri"/>
          <w:color w:val="000000"/>
          <w:lang w:val="fr-FR"/>
        </w:rPr>
        <w:t>m</w:t>
      </w:r>
      <w:r w:rsidRPr="00C9307C">
        <w:rPr>
          <w:rFonts w:eastAsia="Times New Roman" w:cs="Calibri"/>
          <w:color w:val="000000"/>
          <w:lang w:val="fr-FR"/>
        </w:rPr>
        <w:t>atériels, Equipements et logiciel d'infrastructure ;</w:t>
      </w:r>
    </w:p>
    <w:p w14:paraId="48929B69" w14:textId="77777777"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 xml:space="preserve">xxii. Extension des </w:t>
      </w:r>
      <w:r w:rsidR="00360023" w:rsidRPr="00C9307C">
        <w:rPr>
          <w:rFonts w:eastAsia="Times New Roman" w:cs="Calibri"/>
          <w:color w:val="000000"/>
          <w:lang w:val="fr-FR"/>
        </w:rPr>
        <w:t>matériels</w:t>
      </w:r>
      <w:r w:rsidRPr="00C9307C">
        <w:rPr>
          <w:rFonts w:eastAsia="Times New Roman" w:cs="Calibri"/>
          <w:color w:val="000000"/>
          <w:lang w:val="fr-FR"/>
        </w:rPr>
        <w:t>, Equipements et logiciel d'infrastructure vers les autres institutions concernées ;</w:t>
      </w:r>
    </w:p>
    <w:p w14:paraId="3B60F17F" w14:textId="77777777"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xxiii, Elaboration d'un plan d'entretien par l'intégrateur au-delà du projet (préventif et curatif) ;</w:t>
      </w:r>
    </w:p>
    <w:p w14:paraId="111D73A0" w14:textId="77777777" w:rsidR="00A06E1B" w:rsidRPr="00C9307C" w:rsidRDefault="00FF4FA1" w:rsidP="00720B8F">
      <w:pPr>
        <w:pStyle w:val="ColorfulList-Accent11"/>
        <w:jc w:val="both"/>
        <w:rPr>
          <w:rFonts w:eastAsia="Times New Roman" w:cs="Calibri"/>
          <w:color w:val="000000"/>
          <w:lang w:val="fr-FR"/>
        </w:rPr>
      </w:pPr>
      <w:r w:rsidRPr="00C9307C">
        <w:rPr>
          <w:rFonts w:eastAsia="Times New Roman" w:cs="Calibri"/>
          <w:color w:val="000000"/>
          <w:lang w:val="fr-FR"/>
        </w:rPr>
        <w:t>xxiv. Formation des techniciens de la DSI/MEF et DSI/OMRH à l'entretien du système (prise en charge du système) ;</w:t>
      </w:r>
    </w:p>
    <w:p w14:paraId="31E9767A" w14:textId="77777777" w:rsidR="00A06E1B" w:rsidRPr="00C9307C" w:rsidRDefault="00A06E1B" w:rsidP="00720B8F">
      <w:pPr>
        <w:pStyle w:val="ColorfulList-Accent11"/>
        <w:jc w:val="both"/>
        <w:rPr>
          <w:rFonts w:eastAsia="Times New Roman" w:cs="Calibri"/>
          <w:b/>
          <w:bCs/>
          <w:color w:val="000000"/>
          <w:lang w:val="fr-FR"/>
        </w:rPr>
      </w:pPr>
    </w:p>
    <w:p w14:paraId="6472E662" w14:textId="3D8302E5" w:rsidR="00A06E1B" w:rsidRPr="00C9307C" w:rsidRDefault="005347A4" w:rsidP="00720B8F">
      <w:pPr>
        <w:pStyle w:val="ColorfulList-Accent11"/>
        <w:ind w:hanging="720"/>
        <w:jc w:val="both"/>
        <w:rPr>
          <w:sz w:val="24"/>
          <w:szCs w:val="24"/>
          <w:lang w:val="fr-FR"/>
        </w:rPr>
      </w:pPr>
      <w:r w:rsidRPr="00C9307C">
        <w:rPr>
          <w:rFonts w:eastAsia="Times New Roman" w:cs="Calibri"/>
          <w:b/>
          <w:bCs/>
          <w:color w:val="000000"/>
          <w:lang w:val="fr-FR"/>
        </w:rPr>
        <w:t xml:space="preserve">2.14 </w:t>
      </w:r>
      <w:r w:rsidR="00074D3F">
        <w:rPr>
          <w:rFonts w:eastAsia="Times New Roman" w:cs="Calibri"/>
          <w:b/>
          <w:bCs/>
          <w:color w:val="000000"/>
          <w:lang w:val="fr-FR"/>
        </w:rPr>
        <w:tab/>
      </w:r>
      <w:r w:rsidRPr="00C9307C">
        <w:rPr>
          <w:rFonts w:eastAsia="Times New Roman" w:cs="Calibri"/>
          <w:b/>
          <w:bCs/>
          <w:color w:val="000000"/>
          <w:lang w:val="fr-FR"/>
        </w:rPr>
        <w:t xml:space="preserve">B) </w:t>
      </w:r>
      <w:r w:rsidRPr="00C9307C">
        <w:rPr>
          <w:sz w:val="24"/>
          <w:szCs w:val="24"/>
          <w:lang w:val="fr-FR"/>
        </w:rPr>
        <w:t xml:space="preserve">Les activités </w:t>
      </w:r>
      <w:r w:rsidR="00961A79" w:rsidRPr="00C9307C">
        <w:rPr>
          <w:b/>
          <w:sz w:val="24"/>
          <w:szCs w:val="24"/>
          <w:lang w:val="fr-FR"/>
        </w:rPr>
        <w:t xml:space="preserve">de la </w:t>
      </w:r>
      <w:r w:rsidR="00360023" w:rsidRPr="00C9307C">
        <w:rPr>
          <w:rFonts w:eastAsia="Times New Roman" w:cs="Calibri"/>
          <w:b/>
          <w:bCs/>
          <w:color w:val="000000"/>
          <w:lang w:val="fr-FR"/>
        </w:rPr>
        <w:t>conception et la mise en place d’un</w:t>
      </w:r>
      <w:r w:rsidR="00DC42EA" w:rsidRPr="00C9307C">
        <w:rPr>
          <w:rFonts w:eastAsia="Times New Roman" w:cs="Calibri"/>
          <w:b/>
          <w:bCs/>
          <w:color w:val="000000"/>
          <w:lang w:val="fr-FR"/>
        </w:rPr>
        <w:t xml:space="preserve"> </w:t>
      </w:r>
      <w:r w:rsidR="00360023" w:rsidRPr="00C9307C">
        <w:rPr>
          <w:rFonts w:eastAsia="Times New Roman" w:cs="Calibri"/>
          <w:b/>
          <w:bCs/>
          <w:color w:val="000000"/>
          <w:lang w:val="fr-FR"/>
        </w:rPr>
        <w:t>Registre Biométrique obligatoire de fonctionnaires et contractuels publics pour l’identification et l’épuration des bases de données sur les fonctionnaires et contractuels et des rémunérations</w:t>
      </w:r>
      <w:r w:rsidR="00221D4B" w:rsidRPr="00C9307C">
        <w:rPr>
          <w:rFonts w:eastAsia="Times New Roman" w:cs="Calibri"/>
          <w:b/>
          <w:bCs/>
          <w:color w:val="000000"/>
          <w:lang w:val="fr-FR"/>
        </w:rPr>
        <w:t xml:space="preserve"> </w:t>
      </w:r>
      <w:r w:rsidR="00993A0E" w:rsidRPr="00C9307C">
        <w:rPr>
          <w:rFonts w:eastAsia="Times New Roman" w:cs="Calibri"/>
          <w:b/>
          <w:bCs/>
          <w:color w:val="000000"/>
          <w:lang w:val="fr-FR"/>
        </w:rPr>
        <w:t>i</w:t>
      </w:r>
      <w:r w:rsidR="00961A79" w:rsidRPr="00C9307C">
        <w:rPr>
          <w:lang w:val="fr-FR"/>
        </w:rPr>
        <w:t>ncluront</w:t>
      </w:r>
      <w:r w:rsidR="00961A79" w:rsidRPr="00C9307C">
        <w:rPr>
          <w:sz w:val="24"/>
          <w:szCs w:val="24"/>
          <w:lang w:val="fr-FR"/>
        </w:rPr>
        <w:t> :</w:t>
      </w:r>
    </w:p>
    <w:p w14:paraId="26FD230E" w14:textId="477535E0" w:rsidR="00A06E1B" w:rsidRPr="00C9307C" w:rsidRDefault="00993A0E" w:rsidP="00221D4B">
      <w:pPr>
        <w:pStyle w:val="ColorfulList-Accent11"/>
        <w:jc w:val="both"/>
        <w:rPr>
          <w:rFonts w:eastAsia="Times New Roman" w:cs="Calibri"/>
          <w:color w:val="000000"/>
          <w:lang w:val="fr-FR"/>
        </w:rPr>
      </w:pPr>
      <w:r w:rsidRPr="00C9307C">
        <w:rPr>
          <w:rFonts w:eastAsia="Times New Roman" w:cs="Calibri"/>
          <w:b/>
          <w:bCs/>
          <w:color w:val="000000"/>
          <w:lang w:val="fr-FR"/>
        </w:rPr>
        <w:t xml:space="preserve">i. </w:t>
      </w:r>
      <w:r w:rsidRPr="00C9307C">
        <w:rPr>
          <w:rFonts w:eastAsia="Times New Roman" w:cs="Calibri"/>
          <w:color w:val="000000"/>
          <w:lang w:val="fr-FR"/>
        </w:rPr>
        <w:t>Discu</w:t>
      </w:r>
      <w:r w:rsidR="00360023" w:rsidRPr="00C9307C">
        <w:rPr>
          <w:rFonts w:eastAsia="Times New Roman" w:cs="Calibri"/>
          <w:color w:val="000000"/>
          <w:lang w:val="fr-FR"/>
        </w:rPr>
        <w:t>ss</w:t>
      </w:r>
      <w:r w:rsidRPr="00C9307C">
        <w:rPr>
          <w:rFonts w:eastAsia="Times New Roman" w:cs="Calibri"/>
          <w:color w:val="000000"/>
          <w:lang w:val="fr-FR"/>
        </w:rPr>
        <w:t xml:space="preserve">ions avec l'ONI </w:t>
      </w:r>
      <w:r w:rsidR="00221D4B" w:rsidRPr="00C9307C">
        <w:rPr>
          <w:rFonts w:eastAsia="Times New Roman" w:cs="Calibri"/>
          <w:b/>
          <w:bCs/>
          <w:color w:val="000000"/>
          <w:lang w:val="fr-FR"/>
        </w:rPr>
        <w:t xml:space="preserve">et la DGI </w:t>
      </w:r>
      <w:r w:rsidRPr="00C9307C">
        <w:rPr>
          <w:rFonts w:eastAsia="Times New Roman" w:cs="Calibri"/>
          <w:color w:val="000000"/>
          <w:lang w:val="fr-FR"/>
        </w:rPr>
        <w:t>pour élaborer un plan d'action et déterminer la possibilité de collaboration ;</w:t>
      </w:r>
    </w:p>
    <w:p w14:paraId="5836A7AD" w14:textId="77777777" w:rsidR="00A06E1B" w:rsidRPr="00C9307C" w:rsidRDefault="00993A0E"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ii. </w:t>
      </w:r>
      <w:r w:rsidRPr="00C9307C">
        <w:rPr>
          <w:rFonts w:eastAsia="Times New Roman" w:cs="Calibri"/>
          <w:color w:val="000000"/>
          <w:lang w:val="fr-FR"/>
        </w:rPr>
        <w:t>Préparation et appui ministériel de la méthodologie et du plan d'action d'identification des fonctionnaires ;</w:t>
      </w:r>
    </w:p>
    <w:p w14:paraId="43CB7EA6" w14:textId="77777777" w:rsidR="00A06E1B" w:rsidRPr="00C9307C" w:rsidRDefault="00993A0E" w:rsidP="00720B8F">
      <w:pPr>
        <w:pStyle w:val="ColorfulList-Accent11"/>
        <w:jc w:val="both"/>
        <w:rPr>
          <w:rFonts w:eastAsia="Times New Roman" w:cs="Calibri"/>
          <w:color w:val="000000"/>
          <w:lang w:val="fr-FR"/>
        </w:rPr>
      </w:pPr>
      <w:r w:rsidRPr="00C9307C">
        <w:rPr>
          <w:rFonts w:eastAsia="Times New Roman" w:cs="Calibri"/>
          <w:b/>
          <w:bCs/>
          <w:color w:val="000000"/>
          <w:lang w:val="fr-FR"/>
        </w:rPr>
        <w:lastRenderedPageBreak/>
        <w:t>iii</w:t>
      </w:r>
      <w:r w:rsidR="00DC42EA" w:rsidRPr="00C9307C">
        <w:rPr>
          <w:rFonts w:eastAsia="Times New Roman" w:cs="Calibri"/>
          <w:b/>
          <w:bCs/>
          <w:color w:val="000000"/>
          <w:lang w:val="fr-FR"/>
        </w:rPr>
        <w:t xml:space="preserve">. </w:t>
      </w:r>
      <w:r w:rsidRPr="00C9307C">
        <w:rPr>
          <w:rFonts w:eastAsia="Times New Roman" w:cs="Calibri"/>
          <w:color w:val="000000"/>
          <w:lang w:val="fr-FR"/>
        </w:rPr>
        <w:t xml:space="preserve">Composition de 3 </w:t>
      </w:r>
      <w:proofErr w:type="spellStart"/>
      <w:r w:rsidRPr="00C9307C">
        <w:rPr>
          <w:rFonts w:eastAsia="Times New Roman" w:cs="Calibri"/>
          <w:color w:val="000000"/>
          <w:lang w:val="fr-FR"/>
        </w:rPr>
        <w:t>Task</w:t>
      </w:r>
      <w:proofErr w:type="spellEnd"/>
      <w:r w:rsidRPr="00C9307C">
        <w:rPr>
          <w:rFonts w:eastAsia="Times New Roman" w:cs="Calibri"/>
          <w:color w:val="000000"/>
          <w:lang w:val="fr-FR"/>
        </w:rPr>
        <w:t xml:space="preserve"> Forces pour le faire (1p de l'OMRH, 2 p de la Direction Inspection du Trésor, 1p Solde, 1p DPC, 2p ONI, 1 DRH institution concernée, 3 policiers) avec 2 chauffeurs pour collecte de</w:t>
      </w:r>
      <w:r w:rsidR="00C24187" w:rsidRPr="00C9307C">
        <w:rPr>
          <w:rFonts w:eastAsia="Times New Roman" w:cs="Calibri"/>
          <w:color w:val="000000"/>
          <w:lang w:val="fr-FR"/>
        </w:rPr>
        <w:t>s</w:t>
      </w:r>
      <w:r w:rsidRPr="00C9307C">
        <w:rPr>
          <w:rFonts w:eastAsia="Times New Roman" w:cs="Calibri"/>
          <w:color w:val="000000"/>
          <w:lang w:val="fr-FR"/>
        </w:rPr>
        <w:t xml:space="preserve"> données ;</w:t>
      </w:r>
    </w:p>
    <w:p w14:paraId="70C6883C" w14:textId="66A3145F" w:rsidR="00A06E1B" w:rsidRPr="00C9307C" w:rsidRDefault="00221D4B" w:rsidP="00221D4B">
      <w:pPr>
        <w:pStyle w:val="ColorfulList-Accent11"/>
        <w:ind w:left="0"/>
        <w:jc w:val="both"/>
        <w:rPr>
          <w:rFonts w:eastAsia="Times New Roman" w:cs="Calibri"/>
          <w:color w:val="000000"/>
          <w:lang w:val="fr-FR"/>
        </w:rPr>
      </w:pPr>
      <w:r w:rsidRPr="00C9307C">
        <w:rPr>
          <w:rFonts w:eastAsia="Times New Roman" w:cs="Calibri"/>
          <w:b/>
          <w:bCs/>
          <w:color w:val="000000"/>
          <w:lang w:val="fr-FR"/>
        </w:rPr>
        <w:t xml:space="preserve">               </w:t>
      </w:r>
      <w:r w:rsidR="00993A0E" w:rsidRPr="00C9307C">
        <w:rPr>
          <w:rFonts w:eastAsia="Times New Roman" w:cs="Calibri"/>
          <w:b/>
          <w:bCs/>
          <w:color w:val="000000"/>
          <w:lang w:val="fr-FR"/>
        </w:rPr>
        <w:t>iv</w:t>
      </w:r>
      <w:r w:rsidR="00C31C59">
        <w:rPr>
          <w:rFonts w:eastAsia="Times New Roman" w:cs="Calibri"/>
          <w:b/>
          <w:bCs/>
          <w:color w:val="000000"/>
          <w:lang w:val="fr-FR"/>
        </w:rPr>
        <w:t>.</w:t>
      </w:r>
      <w:r w:rsidRPr="00C9307C">
        <w:rPr>
          <w:rFonts w:eastAsia="Times New Roman" w:cs="Calibri"/>
          <w:b/>
          <w:bCs/>
          <w:color w:val="000000"/>
          <w:lang w:val="fr-FR"/>
        </w:rPr>
        <w:t xml:space="preserve"> </w:t>
      </w:r>
      <w:r w:rsidR="00993A0E" w:rsidRPr="00C9307C">
        <w:rPr>
          <w:rFonts w:eastAsia="Times New Roman" w:cs="Calibri"/>
          <w:color w:val="000000"/>
          <w:lang w:val="fr-FR"/>
        </w:rPr>
        <w:t>Acquisition d'</w:t>
      </w:r>
      <w:r w:rsidR="00360023" w:rsidRPr="00C9307C">
        <w:rPr>
          <w:rFonts w:eastAsia="Times New Roman" w:cs="Calibri"/>
          <w:color w:val="000000"/>
          <w:lang w:val="fr-FR"/>
        </w:rPr>
        <w:t>équipements</w:t>
      </w:r>
      <w:r w:rsidR="00993A0E" w:rsidRPr="00C9307C">
        <w:rPr>
          <w:rFonts w:eastAsia="Times New Roman" w:cs="Calibri"/>
          <w:color w:val="000000"/>
          <w:lang w:val="fr-FR"/>
        </w:rPr>
        <w:t xml:space="preserve"> additionnels </w:t>
      </w:r>
      <w:r w:rsidR="00DC42EA" w:rsidRPr="00C9307C">
        <w:rPr>
          <w:rFonts w:eastAsia="Times New Roman" w:cs="Calibri"/>
          <w:color w:val="000000"/>
          <w:lang w:val="fr-FR"/>
        </w:rPr>
        <w:t>à</w:t>
      </w:r>
      <w:r w:rsidR="00993A0E" w:rsidRPr="00C9307C">
        <w:rPr>
          <w:rFonts w:eastAsia="Times New Roman" w:cs="Calibri"/>
          <w:color w:val="000000"/>
          <w:lang w:val="fr-FR"/>
        </w:rPr>
        <w:t xml:space="preserve"> ceux de l'ONI + entretien de ceux de l'ONI ;</w:t>
      </w:r>
    </w:p>
    <w:p w14:paraId="0B654F26" w14:textId="77777777" w:rsidR="00A06E1B" w:rsidRPr="00C9307C" w:rsidRDefault="00993A0E"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v. </w:t>
      </w:r>
      <w:r w:rsidRPr="00C9307C">
        <w:rPr>
          <w:rFonts w:eastAsia="Times New Roman" w:cs="Calibri"/>
          <w:color w:val="000000"/>
          <w:lang w:val="fr-FR"/>
        </w:rPr>
        <w:t>Mise à disposition de frais de déplacement vers les provinces ;</w:t>
      </w:r>
    </w:p>
    <w:p w14:paraId="489A2744" w14:textId="77777777" w:rsidR="00A06E1B" w:rsidRPr="00C9307C" w:rsidRDefault="00993A0E"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vi. </w:t>
      </w:r>
      <w:r w:rsidR="00A511AA" w:rsidRPr="00C9307C">
        <w:rPr>
          <w:rFonts w:eastAsia="Times New Roman" w:cs="Calibri"/>
          <w:bCs/>
          <w:color w:val="000000"/>
          <w:lang w:val="fr-FR"/>
        </w:rPr>
        <w:t xml:space="preserve">Atelier de </w:t>
      </w:r>
      <w:r w:rsidR="00360023" w:rsidRPr="00C9307C">
        <w:rPr>
          <w:rFonts w:eastAsia="Times New Roman" w:cs="Calibri"/>
          <w:bCs/>
          <w:color w:val="000000"/>
          <w:lang w:val="fr-FR"/>
        </w:rPr>
        <w:t>t</w:t>
      </w:r>
      <w:r w:rsidRPr="00C9307C">
        <w:rPr>
          <w:rFonts w:eastAsia="Times New Roman" w:cs="Calibri"/>
          <w:color w:val="000000"/>
          <w:lang w:val="fr-FR"/>
        </w:rPr>
        <w:t>ravail au sein du MEF pour assainir la base de données ;</w:t>
      </w:r>
    </w:p>
    <w:p w14:paraId="5CE139F6" w14:textId="77777777" w:rsidR="00A06E1B" w:rsidRPr="00C9307C" w:rsidRDefault="00993A0E" w:rsidP="00AA5024">
      <w:pPr>
        <w:pStyle w:val="ColorfulList-Accent11"/>
        <w:numPr>
          <w:ilvl w:val="0"/>
          <w:numId w:val="14"/>
        </w:numPr>
        <w:ind w:left="990" w:hanging="270"/>
        <w:jc w:val="both"/>
        <w:rPr>
          <w:rFonts w:eastAsia="Times New Roman" w:cs="Calibri"/>
          <w:b/>
          <w:bCs/>
          <w:color w:val="000000"/>
          <w:lang w:val="fr-FR"/>
        </w:rPr>
      </w:pPr>
      <w:r w:rsidRPr="00C9307C">
        <w:rPr>
          <w:rFonts w:eastAsia="Times New Roman" w:cs="Calibri"/>
          <w:i/>
          <w:iCs/>
          <w:color w:val="000000"/>
          <w:lang w:val="fr-FR"/>
        </w:rPr>
        <w:t>Collaboration entre les entités gouvernementales, l'OMRH et le MEF.</w:t>
      </w:r>
    </w:p>
    <w:p w14:paraId="47797F8A" w14:textId="77777777" w:rsidR="00A06E1B" w:rsidRPr="00C9307C" w:rsidRDefault="00A06E1B" w:rsidP="00AA5024">
      <w:pPr>
        <w:pStyle w:val="ColorfulList-Accent11"/>
        <w:ind w:left="0"/>
        <w:jc w:val="both"/>
        <w:rPr>
          <w:rFonts w:eastAsia="Times New Roman" w:cs="Calibri"/>
          <w:b/>
          <w:bCs/>
          <w:color w:val="000000"/>
          <w:lang w:val="fr-FR"/>
        </w:rPr>
      </w:pPr>
    </w:p>
    <w:p w14:paraId="1B1E9D90" w14:textId="1504E7D8" w:rsidR="00A06E1B" w:rsidRPr="00C9307C" w:rsidRDefault="005347A4" w:rsidP="00720B8F">
      <w:pPr>
        <w:pStyle w:val="ColorfulList-Accent11"/>
        <w:ind w:hanging="720"/>
        <w:jc w:val="both"/>
        <w:rPr>
          <w:sz w:val="24"/>
          <w:szCs w:val="24"/>
          <w:lang w:val="fr-FR"/>
        </w:rPr>
      </w:pPr>
      <w:r w:rsidRPr="00074D3F">
        <w:rPr>
          <w:rFonts w:eastAsia="Times New Roman" w:cs="Calibri"/>
          <w:bCs/>
          <w:color w:val="000000"/>
          <w:lang w:val="fr-FR"/>
        </w:rPr>
        <w:t>2.15</w:t>
      </w:r>
      <w:r w:rsidRPr="00C9307C">
        <w:rPr>
          <w:rFonts w:eastAsia="Times New Roman" w:cs="Calibri"/>
          <w:b/>
          <w:bCs/>
          <w:color w:val="000000"/>
          <w:lang w:val="fr-FR"/>
        </w:rPr>
        <w:t xml:space="preserve"> </w:t>
      </w:r>
      <w:r w:rsidR="00074D3F">
        <w:rPr>
          <w:rFonts w:eastAsia="Times New Roman" w:cs="Calibri"/>
          <w:b/>
          <w:bCs/>
          <w:color w:val="000000"/>
          <w:lang w:val="fr-FR"/>
        </w:rPr>
        <w:tab/>
      </w:r>
      <w:r w:rsidRPr="00C9307C">
        <w:rPr>
          <w:rFonts w:eastAsia="Times New Roman" w:cs="Calibri"/>
          <w:b/>
          <w:bCs/>
          <w:color w:val="000000"/>
          <w:lang w:val="fr-FR"/>
        </w:rPr>
        <w:t xml:space="preserve">C) </w:t>
      </w:r>
      <w:r w:rsidRPr="00C9307C">
        <w:rPr>
          <w:sz w:val="24"/>
          <w:szCs w:val="24"/>
          <w:lang w:val="fr-FR"/>
        </w:rPr>
        <w:t xml:space="preserve">Les activités </w:t>
      </w:r>
      <w:r w:rsidR="00961A79" w:rsidRPr="00C9307C">
        <w:rPr>
          <w:rFonts w:eastAsia="Times New Roman" w:cs="Calibri"/>
          <w:b/>
          <w:bCs/>
          <w:color w:val="000000"/>
          <w:lang w:val="fr-FR"/>
        </w:rPr>
        <w:t>de réingénierie des processus budgétaires, des manuels de procédures pour les paiements du Trésor</w:t>
      </w:r>
      <w:r w:rsidR="00DC42EA" w:rsidRPr="00C9307C">
        <w:rPr>
          <w:rFonts w:eastAsia="Times New Roman" w:cs="Calibri"/>
          <w:b/>
          <w:bCs/>
          <w:color w:val="000000"/>
          <w:lang w:val="fr-FR"/>
        </w:rPr>
        <w:t xml:space="preserve"> </w:t>
      </w:r>
      <w:r w:rsidR="00AC24C3" w:rsidRPr="00C9307C">
        <w:rPr>
          <w:rFonts w:eastAsia="Times New Roman" w:cs="Calibri"/>
          <w:b/>
          <w:bCs/>
          <w:color w:val="000000"/>
          <w:lang w:val="fr-FR"/>
        </w:rPr>
        <w:t xml:space="preserve">et de la DGB </w:t>
      </w:r>
      <w:r w:rsidRPr="00C9307C">
        <w:rPr>
          <w:sz w:val="24"/>
          <w:szCs w:val="24"/>
          <w:lang w:val="fr-FR"/>
        </w:rPr>
        <w:t>incluront :</w:t>
      </w:r>
    </w:p>
    <w:p w14:paraId="008F5B48" w14:textId="600B7300" w:rsidR="00360023" w:rsidRPr="00C9307C" w:rsidRDefault="00535A36">
      <w:pPr>
        <w:pStyle w:val="ColorfulList-Accent11"/>
        <w:jc w:val="both"/>
        <w:rPr>
          <w:rFonts w:eastAsia="Times New Roman" w:cs="Calibri"/>
          <w:i/>
          <w:iCs/>
          <w:color w:val="000000"/>
          <w:lang w:val="fr-FR"/>
        </w:rPr>
      </w:pPr>
      <w:r w:rsidRPr="00C9307C">
        <w:rPr>
          <w:rFonts w:eastAsia="Times New Roman" w:cs="Calibri"/>
          <w:b/>
          <w:bCs/>
          <w:color w:val="000000"/>
          <w:lang w:val="fr-FR"/>
        </w:rPr>
        <w:t xml:space="preserve">i) </w:t>
      </w:r>
      <w:r w:rsidRPr="00C9307C">
        <w:rPr>
          <w:rFonts w:eastAsia="Times New Roman" w:cs="Calibri"/>
          <w:i/>
          <w:iCs/>
          <w:color w:val="000000"/>
          <w:lang w:val="fr-FR"/>
        </w:rPr>
        <w:t>Recrutement d'un expert pour</w:t>
      </w:r>
      <w:r w:rsidR="00AC24C3" w:rsidRPr="00C9307C">
        <w:rPr>
          <w:rFonts w:eastAsia="Times New Roman" w:cs="Calibri"/>
          <w:i/>
          <w:iCs/>
          <w:color w:val="000000"/>
          <w:lang w:val="fr-FR"/>
        </w:rPr>
        <w:t xml:space="preserve"> </w:t>
      </w:r>
      <w:r w:rsidRPr="00C9307C">
        <w:rPr>
          <w:rFonts w:eastAsia="Times New Roman" w:cs="Calibri"/>
          <w:i/>
          <w:iCs/>
          <w:color w:val="000000"/>
          <w:lang w:val="fr-FR"/>
        </w:rPr>
        <w:t>:</w:t>
      </w:r>
    </w:p>
    <w:p w14:paraId="16AD94F4" w14:textId="77777777" w:rsidR="00360023" w:rsidRPr="00C9307C" w:rsidRDefault="00535A36" w:rsidP="00720B8F">
      <w:pPr>
        <w:pStyle w:val="ColorfulList-Accent11"/>
        <w:numPr>
          <w:ilvl w:val="0"/>
          <w:numId w:val="70"/>
        </w:numPr>
        <w:ind w:hanging="90"/>
        <w:jc w:val="both"/>
        <w:rPr>
          <w:rFonts w:eastAsia="Times New Roman" w:cs="Calibri"/>
          <w:i/>
          <w:iCs/>
          <w:color w:val="000000"/>
          <w:lang w:val="fr-FR"/>
        </w:rPr>
      </w:pPr>
      <w:r w:rsidRPr="00C9307C">
        <w:rPr>
          <w:rFonts w:eastAsia="Times New Roman" w:cs="Calibri"/>
          <w:i/>
          <w:iCs/>
          <w:color w:val="000000"/>
          <w:lang w:val="fr-FR"/>
        </w:rPr>
        <w:t>Actualisation du manuel de procédures des paiements en tenant compte de la LEELF</w:t>
      </w:r>
    </w:p>
    <w:p w14:paraId="1C38062C" w14:textId="77777777" w:rsidR="00360023" w:rsidRPr="00C9307C" w:rsidRDefault="00535A36" w:rsidP="00720B8F">
      <w:pPr>
        <w:pStyle w:val="ColorfulList-Accent11"/>
        <w:numPr>
          <w:ilvl w:val="0"/>
          <w:numId w:val="70"/>
        </w:numPr>
        <w:ind w:hanging="90"/>
        <w:jc w:val="both"/>
        <w:rPr>
          <w:rFonts w:eastAsia="Times New Roman" w:cs="Calibri"/>
          <w:i/>
          <w:iCs/>
          <w:color w:val="000000"/>
          <w:lang w:val="fr-FR"/>
        </w:rPr>
      </w:pPr>
      <w:r w:rsidRPr="00C9307C">
        <w:rPr>
          <w:rFonts w:eastAsia="Times New Roman" w:cs="Calibri"/>
          <w:i/>
          <w:iCs/>
          <w:color w:val="000000"/>
          <w:lang w:val="fr-FR"/>
        </w:rPr>
        <w:t>Elaboration de la nomenclature budgétaire de l'</w:t>
      </w:r>
      <w:r w:rsidR="00174DE6" w:rsidRPr="00C9307C">
        <w:rPr>
          <w:rFonts w:eastAsia="Times New Roman" w:cs="Calibri"/>
          <w:i/>
          <w:iCs/>
          <w:color w:val="000000"/>
          <w:lang w:val="fr-FR"/>
        </w:rPr>
        <w:t>état</w:t>
      </w:r>
      <w:r w:rsidRPr="00C9307C">
        <w:rPr>
          <w:rFonts w:eastAsia="Times New Roman" w:cs="Calibri"/>
          <w:i/>
          <w:iCs/>
          <w:color w:val="000000"/>
          <w:lang w:val="fr-FR"/>
        </w:rPr>
        <w:t xml:space="preserve"> et du guide didactique</w:t>
      </w:r>
    </w:p>
    <w:p w14:paraId="2C518770" w14:textId="77777777" w:rsidR="00360023" w:rsidRPr="00C9307C" w:rsidRDefault="00535A36" w:rsidP="00720B8F">
      <w:pPr>
        <w:pStyle w:val="ColorfulList-Accent11"/>
        <w:numPr>
          <w:ilvl w:val="0"/>
          <w:numId w:val="70"/>
        </w:numPr>
        <w:ind w:hanging="90"/>
        <w:jc w:val="both"/>
        <w:rPr>
          <w:rFonts w:eastAsia="Times New Roman" w:cs="Calibri"/>
          <w:i/>
          <w:iCs/>
          <w:color w:val="000000"/>
          <w:lang w:val="fr-FR"/>
        </w:rPr>
      </w:pPr>
      <w:r w:rsidRPr="00C9307C">
        <w:rPr>
          <w:rFonts w:eastAsia="Times New Roman" w:cs="Calibri"/>
          <w:i/>
          <w:iCs/>
          <w:color w:val="000000"/>
          <w:lang w:val="fr-FR"/>
        </w:rPr>
        <w:t>Elaboration de la charte et procédures de gestion des programmes budgétaires</w:t>
      </w:r>
    </w:p>
    <w:p w14:paraId="4EC58D6B" w14:textId="77777777" w:rsidR="00A06E1B" w:rsidRPr="00C9307C" w:rsidRDefault="00535A36" w:rsidP="00720B8F">
      <w:pPr>
        <w:pStyle w:val="ColorfulList-Accent11"/>
        <w:numPr>
          <w:ilvl w:val="0"/>
          <w:numId w:val="70"/>
        </w:numPr>
        <w:ind w:hanging="90"/>
        <w:jc w:val="both"/>
        <w:rPr>
          <w:rFonts w:eastAsia="Times New Roman" w:cs="Calibri"/>
          <w:i/>
          <w:iCs/>
          <w:color w:val="000000"/>
          <w:lang w:val="fr-FR"/>
        </w:rPr>
      </w:pPr>
      <w:r w:rsidRPr="00C9307C">
        <w:rPr>
          <w:rFonts w:eastAsia="Times New Roman" w:cs="Calibri"/>
          <w:i/>
          <w:iCs/>
          <w:color w:val="000000"/>
          <w:lang w:val="fr-FR"/>
        </w:rPr>
        <w:t>Rédaction des guides méthodologiques (CDMT, PAP, RAP, CHD...) ;</w:t>
      </w:r>
    </w:p>
    <w:p w14:paraId="0BCF2D22" w14:textId="77777777" w:rsidR="00A06E1B" w:rsidRPr="00C9307C" w:rsidRDefault="00A511AA" w:rsidP="00AA5024">
      <w:pPr>
        <w:pStyle w:val="ColorfulList-Accent11"/>
        <w:numPr>
          <w:ilvl w:val="0"/>
          <w:numId w:val="15"/>
        </w:numPr>
        <w:jc w:val="both"/>
        <w:rPr>
          <w:rFonts w:eastAsia="Times New Roman" w:cs="Calibri"/>
          <w:color w:val="000000"/>
          <w:lang w:val="fr-FR"/>
        </w:rPr>
      </w:pPr>
      <w:r w:rsidRPr="00C9307C">
        <w:rPr>
          <w:rFonts w:eastAsia="Times New Roman" w:cs="Calibri"/>
          <w:color w:val="000000"/>
          <w:lang w:val="fr-FR"/>
        </w:rPr>
        <w:t>Atelier de validation</w:t>
      </w:r>
    </w:p>
    <w:p w14:paraId="260338AF" w14:textId="77777777" w:rsidR="00F82770" w:rsidRPr="00C9307C" w:rsidRDefault="00F82770" w:rsidP="00AA5024">
      <w:pPr>
        <w:pStyle w:val="ColorfulList-Accent11"/>
        <w:ind w:left="1440"/>
        <w:jc w:val="both"/>
        <w:rPr>
          <w:rFonts w:eastAsia="Times New Roman" w:cs="Calibri"/>
          <w:i/>
          <w:iCs/>
          <w:color w:val="000000"/>
          <w:lang w:val="fr-FR"/>
        </w:rPr>
      </w:pPr>
    </w:p>
    <w:p w14:paraId="64A2686A" w14:textId="783F015D" w:rsidR="00A06E1B" w:rsidRPr="00C9307C" w:rsidRDefault="005347A4" w:rsidP="00AA5024">
      <w:pPr>
        <w:pStyle w:val="ColorfulList-Accent11"/>
        <w:ind w:hanging="630"/>
        <w:jc w:val="both"/>
        <w:rPr>
          <w:sz w:val="24"/>
          <w:szCs w:val="24"/>
          <w:lang w:val="fr-FR"/>
        </w:rPr>
      </w:pPr>
      <w:r w:rsidRPr="00074D3F">
        <w:rPr>
          <w:rFonts w:eastAsia="Times New Roman" w:cs="Calibri"/>
          <w:bCs/>
          <w:color w:val="000000"/>
          <w:lang w:val="fr-FR"/>
        </w:rPr>
        <w:t>2.16</w:t>
      </w:r>
      <w:r w:rsidRPr="00C9307C">
        <w:rPr>
          <w:rFonts w:eastAsia="Times New Roman" w:cs="Calibri"/>
          <w:b/>
          <w:bCs/>
          <w:color w:val="000000"/>
          <w:lang w:val="fr-FR"/>
        </w:rPr>
        <w:t xml:space="preserve"> </w:t>
      </w:r>
      <w:r w:rsidR="00074D3F">
        <w:rPr>
          <w:rFonts w:eastAsia="Times New Roman" w:cs="Calibri"/>
          <w:b/>
          <w:bCs/>
          <w:color w:val="000000"/>
          <w:lang w:val="fr-FR"/>
        </w:rPr>
        <w:tab/>
      </w:r>
      <w:r w:rsidRPr="00C9307C">
        <w:rPr>
          <w:rFonts w:eastAsia="Times New Roman" w:cs="Calibri"/>
          <w:b/>
          <w:bCs/>
          <w:color w:val="000000"/>
          <w:lang w:val="fr-FR"/>
        </w:rPr>
        <w:t xml:space="preserve">D) </w:t>
      </w:r>
      <w:r w:rsidRPr="00C9307C">
        <w:rPr>
          <w:sz w:val="24"/>
          <w:szCs w:val="24"/>
          <w:lang w:val="fr-FR"/>
        </w:rPr>
        <w:t>Les activités d</w:t>
      </w:r>
      <w:r w:rsidR="00961A79" w:rsidRPr="00C9307C">
        <w:rPr>
          <w:sz w:val="24"/>
          <w:szCs w:val="24"/>
          <w:lang w:val="fr-FR"/>
        </w:rPr>
        <w:t xml:space="preserve">e </w:t>
      </w:r>
      <w:r w:rsidR="00DF6BDA" w:rsidRPr="00C9307C">
        <w:rPr>
          <w:rFonts w:eastAsia="Times New Roman" w:cs="Calibri"/>
          <w:b/>
          <w:bCs/>
          <w:color w:val="000000"/>
          <w:lang w:val="fr-FR"/>
        </w:rPr>
        <w:t xml:space="preserve">connexion interministérielle et </w:t>
      </w:r>
      <w:r w:rsidR="00174DE6" w:rsidRPr="00C9307C">
        <w:rPr>
          <w:rFonts w:eastAsia="Times New Roman" w:cs="Calibri"/>
          <w:b/>
          <w:bCs/>
          <w:color w:val="000000"/>
          <w:lang w:val="fr-FR"/>
        </w:rPr>
        <w:t>la sécurité</w:t>
      </w:r>
      <w:r w:rsidR="00DF6BDA" w:rsidRPr="00C9307C">
        <w:rPr>
          <w:rFonts w:eastAsia="Times New Roman" w:cs="Calibri"/>
          <w:b/>
          <w:bCs/>
          <w:color w:val="000000"/>
          <w:lang w:val="fr-FR"/>
        </w:rPr>
        <w:t xml:space="preserve"> des données informatiques de la Direction des Systèmes d’Information (DSI) de MEF</w:t>
      </w:r>
      <w:r w:rsidR="00DF6BDA" w:rsidRPr="00C9307C">
        <w:rPr>
          <w:rFonts w:eastAsia="Times New Roman" w:cs="Calibri"/>
          <w:bCs/>
          <w:color w:val="000000"/>
          <w:lang w:val="fr-FR"/>
        </w:rPr>
        <w:t> </w:t>
      </w:r>
      <w:r w:rsidRPr="00C9307C">
        <w:rPr>
          <w:lang w:val="fr-FR"/>
        </w:rPr>
        <w:t>incluront</w:t>
      </w:r>
      <w:r w:rsidR="00993A0E" w:rsidRPr="00C9307C">
        <w:rPr>
          <w:lang w:val="fr-FR"/>
        </w:rPr>
        <w:t> :</w:t>
      </w:r>
    </w:p>
    <w:p w14:paraId="458C985A" w14:textId="77777777" w:rsidR="00A06E1B" w:rsidRPr="00C9307C" w:rsidRDefault="00535A36">
      <w:pPr>
        <w:pStyle w:val="ColorfulList-Accent11"/>
        <w:jc w:val="both"/>
        <w:rPr>
          <w:rFonts w:eastAsia="Times New Roman" w:cs="Calibri"/>
          <w:i/>
          <w:iCs/>
          <w:color w:val="000000"/>
          <w:lang w:val="fr-FR"/>
        </w:rPr>
      </w:pPr>
      <w:r w:rsidRPr="00C9307C">
        <w:rPr>
          <w:rFonts w:eastAsia="Times New Roman" w:cs="Calibri"/>
          <w:b/>
          <w:bCs/>
          <w:color w:val="000000"/>
          <w:lang w:val="fr-FR"/>
        </w:rPr>
        <w:t xml:space="preserve">i. </w:t>
      </w:r>
      <w:r w:rsidRPr="00C9307C">
        <w:rPr>
          <w:rFonts w:eastAsia="Times New Roman" w:cs="Calibri"/>
          <w:i/>
          <w:iCs/>
          <w:color w:val="000000"/>
          <w:lang w:val="fr-FR"/>
        </w:rPr>
        <w:t>Acquisition de matériaux et d'équipements</w:t>
      </w:r>
    </w:p>
    <w:p w14:paraId="3DBD9979" w14:textId="77777777" w:rsidR="00DF6BDA" w:rsidRPr="00C9307C" w:rsidRDefault="00DF6BDA">
      <w:pPr>
        <w:pStyle w:val="ColorfulList-Accent11"/>
        <w:jc w:val="both"/>
        <w:rPr>
          <w:rFonts w:eastAsia="Times New Roman" w:cs="Calibri"/>
          <w:bCs/>
          <w:color w:val="000000"/>
          <w:lang w:val="fr-FR"/>
        </w:rPr>
      </w:pPr>
      <w:r w:rsidRPr="00C9307C">
        <w:rPr>
          <w:rFonts w:eastAsia="Times New Roman" w:cs="Calibri"/>
          <w:bCs/>
          <w:color w:val="000000"/>
          <w:lang w:val="fr-FR"/>
        </w:rPr>
        <w:t>ii. Engagement de consultant pour l’installation des équipements</w:t>
      </w:r>
    </w:p>
    <w:p w14:paraId="2DB59C90" w14:textId="77777777" w:rsidR="00DF6BDA" w:rsidRPr="00C9307C" w:rsidRDefault="00DF6BDA" w:rsidP="00720B8F">
      <w:pPr>
        <w:pStyle w:val="ColorfulList-Accent11"/>
        <w:jc w:val="both"/>
        <w:rPr>
          <w:rFonts w:eastAsia="Times New Roman" w:cs="Calibri"/>
          <w:bCs/>
          <w:color w:val="000000"/>
          <w:lang w:val="fr-FR"/>
        </w:rPr>
      </w:pPr>
      <w:proofErr w:type="gramStart"/>
      <w:r w:rsidRPr="00C9307C">
        <w:rPr>
          <w:rFonts w:eastAsia="Times New Roman" w:cs="Calibri"/>
          <w:bCs/>
          <w:color w:val="000000"/>
          <w:lang w:val="fr-FR"/>
        </w:rPr>
        <w:t>iii</w:t>
      </w:r>
      <w:proofErr w:type="gramEnd"/>
      <w:r w:rsidRPr="00C9307C">
        <w:rPr>
          <w:rFonts w:eastAsia="Times New Roman" w:cs="Calibri"/>
          <w:bCs/>
          <w:color w:val="000000"/>
          <w:lang w:val="fr-FR"/>
        </w:rPr>
        <w:t xml:space="preserve"> Test sur les équipements </w:t>
      </w:r>
    </w:p>
    <w:p w14:paraId="2B43FF7B" w14:textId="77777777" w:rsidR="00A06E1B" w:rsidRPr="00C9307C" w:rsidRDefault="00A06E1B" w:rsidP="00720B8F">
      <w:pPr>
        <w:pStyle w:val="ColorfulList-Accent11"/>
        <w:jc w:val="both"/>
        <w:rPr>
          <w:rFonts w:eastAsia="Times New Roman" w:cs="Calibri"/>
          <w:b/>
          <w:bCs/>
          <w:color w:val="000000"/>
          <w:lang w:val="fr-FR"/>
        </w:rPr>
      </w:pPr>
    </w:p>
    <w:p w14:paraId="6AACC9E1" w14:textId="242439F5" w:rsidR="00A06E1B" w:rsidRPr="00C9307C" w:rsidRDefault="005347A4" w:rsidP="00720B8F">
      <w:pPr>
        <w:pStyle w:val="ColorfulList-Accent11"/>
        <w:ind w:hanging="720"/>
        <w:jc w:val="both"/>
        <w:rPr>
          <w:lang w:val="fr-FR"/>
        </w:rPr>
      </w:pPr>
      <w:r w:rsidRPr="00074D3F">
        <w:rPr>
          <w:rFonts w:eastAsia="Times New Roman" w:cs="Calibri"/>
          <w:bCs/>
          <w:color w:val="000000"/>
          <w:lang w:val="fr-FR"/>
        </w:rPr>
        <w:t>2.17</w:t>
      </w:r>
      <w:r w:rsidRPr="00C9307C">
        <w:rPr>
          <w:rFonts w:eastAsia="Times New Roman" w:cs="Calibri"/>
          <w:b/>
          <w:bCs/>
          <w:color w:val="000000"/>
          <w:lang w:val="fr-FR"/>
        </w:rPr>
        <w:t xml:space="preserve"> </w:t>
      </w:r>
      <w:r w:rsidR="00074D3F">
        <w:rPr>
          <w:rFonts w:eastAsia="Times New Roman" w:cs="Calibri"/>
          <w:b/>
          <w:bCs/>
          <w:color w:val="000000"/>
          <w:lang w:val="fr-FR"/>
        </w:rPr>
        <w:tab/>
      </w:r>
      <w:r w:rsidRPr="00C9307C">
        <w:rPr>
          <w:rFonts w:eastAsia="Times New Roman" w:cs="Calibri"/>
          <w:b/>
          <w:bCs/>
          <w:color w:val="000000"/>
          <w:lang w:val="fr-FR"/>
        </w:rPr>
        <w:t xml:space="preserve">E) </w:t>
      </w:r>
      <w:r w:rsidRPr="00C9307C">
        <w:rPr>
          <w:sz w:val="24"/>
          <w:szCs w:val="24"/>
          <w:lang w:val="fr-FR"/>
        </w:rPr>
        <w:t xml:space="preserve">Les activités </w:t>
      </w:r>
      <w:r w:rsidR="00DF6BDA" w:rsidRPr="00C9307C">
        <w:rPr>
          <w:rFonts w:eastAsia="Times New Roman" w:cs="Calibri"/>
          <w:bCs/>
          <w:color w:val="000000"/>
          <w:lang w:val="fr-FR"/>
        </w:rPr>
        <w:t>d’</w:t>
      </w:r>
      <w:r w:rsidR="00DF6BDA" w:rsidRPr="00C9307C">
        <w:rPr>
          <w:rFonts w:eastAsia="Times New Roman" w:cs="Calibri"/>
          <w:b/>
          <w:bCs/>
          <w:color w:val="000000"/>
          <w:lang w:val="fr-FR"/>
        </w:rPr>
        <w:t>ateliers de formation pour assurer le développement continu des compétences en informatique, SIGRH et identification biométrique, etc.) </w:t>
      </w:r>
      <w:r w:rsidR="00961A79" w:rsidRPr="00C9307C">
        <w:rPr>
          <w:lang w:val="fr-FR"/>
        </w:rPr>
        <w:t>incluront :</w:t>
      </w:r>
    </w:p>
    <w:p w14:paraId="01C99F6C" w14:textId="77777777" w:rsidR="00A06E1B" w:rsidRPr="00C9307C" w:rsidRDefault="00535A36"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i. </w:t>
      </w:r>
      <w:r w:rsidRPr="00C9307C">
        <w:rPr>
          <w:rFonts w:eastAsia="Times New Roman" w:cs="Calibri"/>
          <w:color w:val="000000"/>
          <w:lang w:val="fr-FR"/>
        </w:rPr>
        <w:t>Plan de formation et documents de support, préparés par l'intégrateur SIGRH ;</w:t>
      </w:r>
    </w:p>
    <w:p w14:paraId="2EF5AE2E" w14:textId="77777777" w:rsidR="00A06E1B" w:rsidRPr="00C9307C" w:rsidRDefault="00535A36"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ii. </w:t>
      </w:r>
      <w:r w:rsidRPr="00C9307C">
        <w:rPr>
          <w:rFonts w:eastAsia="Times New Roman" w:cs="Calibri"/>
          <w:color w:val="000000"/>
          <w:lang w:val="fr-FR"/>
        </w:rPr>
        <w:t>Impression des documents de support ;</w:t>
      </w:r>
    </w:p>
    <w:p w14:paraId="2227DA2E" w14:textId="3247AF3A" w:rsidR="00A06E1B" w:rsidRPr="00C9307C" w:rsidRDefault="00535A36" w:rsidP="00720B8F">
      <w:pPr>
        <w:pStyle w:val="ColorfulList-Accent11"/>
        <w:jc w:val="both"/>
        <w:rPr>
          <w:rFonts w:eastAsia="Times New Roman" w:cs="Calibri"/>
          <w:color w:val="000000"/>
          <w:lang w:val="fr-FR"/>
        </w:rPr>
      </w:pPr>
      <w:proofErr w:type="gramStart"/>
      <w:r w:rsidRPr="00C9307C">
        <w:rPr>
          <w:rFonts w:eastAsia="Times New Roman" w:cs="Calibri"/>
          <w:b/>
          <w:bCs/>
          <w:color w:val="000000"/>
          <w:lang w:val="fr-FR"/>
        </w:rPr>
        <w:t>iii</w:t>
      </w:r>
      <w:proofErr w:type="gramEnd"/>
      <w:r w:rsidR="00AC24C3" w:rsidRPr="00C9307C">
        <w:rPr>
          <w:rFonts w:eastAsia="Times New Roman" w:cs="Calibri"/>
          <w:b/>
          <w:bCs/>
          <w:color w:val="000000"/>
          <w:lang w:val="fr-FR"/>
        </w:rPr>
        <w:t xml:space="preserve"> </w:t>
      </w:r>
      <w:r w:rsidRPr="00C9307C">
        <w:rPr>
          <w:rFonts w:eastAsia="Times New Roman" w:cs="Calibri"/>
          <w:color w:val="000000"/>
          <w:lang w:val="fr-FR"/>
        </w:rPr>
        <w:t xml:space="preserve">Formations dispensées à l'OMRH, </w:t>
      </w:r>
      <w:r w:rsidR="00DF6BDA" w:rsidRPr="00C9307C">
        <w:rPr>
          <w:rFonts w:eastAsia="Times New Roman" w:cs="Calibri"/>
          <w:color w:val="000000"/>
          <w:lang w:val="fr-FR"/>
        </w:rPr>
        <w:t>l</w:t>
      </w:r>
      <w:r w:rsidRPr="00C9307C">
        <w:rPr>
          <w:rFonts w:eastAsia="Times New Roman" w:cs="Calibri"/>
          <w:color w:val="000000"/>
          <w:lang w:val="fr-FR"/>
        </w:rPr>
        <w:t>a DPC/MEF et la Solde/MEF par l'intégrateur ;</w:t>
      </w:r>
    </w:p>
    <w:p w14:paraId="6DE9DB6B" w14:textId="031A10F3" w:rsidR="00A06E1B" w:rsidRPr="00C9307C" w:rsidRDefault="00535A36" w:rsidP="00720B8F">
      <w:pPr>
        <w:pStyle w:val="ColorfulList-Accent11"/>
        <w:jc w:val="both"/>
        <w:rPr>
          <w:rFonts w:eastAsia="Times New Roman" w:cs="Calibri"/>
          <w:color w:val="000000"/>
          <w:lang w:val="fr-FR"/>
        </w:rPr>
      </w:pPr>
      <w:proofErr w:type="gramStart"/>
      <w:r w:rsidRPr="00C9307C">
        <w:rPr>
          <w:rFonts w:eastAsia="Times New Roman" w:cs="Calibri"/>
          <w:b/>
          <w:bCs/>
          <w:color w:val="000000"/>
          <w:lang w:val="fr-FR"/>
        </w:rPr>
        <w:t>iv</w:t>
      </w:r>
      <w:proofErr w:type="gramEnd"/>
      <w:r w:rsidR="00AC24C3" w:rsidRPr="00C9307C">
        <w:rPr>
          <w:rFonts w:eastAsia="Times New Roman" w:cs="Calibri"/>
          <w:b/>
          <w:bCs/>
          <w:color w:val="000000"/>
          <w:lang w:val="fr-FR"/>
        </w:rPr>
        <w:t xml:space="preserve"> </w:t>
      </w:r>
      <w:r w:rsidRPr="00C9307C">
        <w:rPr>
          <w:rFonts w:eastAsia="Times New Roman" w:cs="Calibri"/>
          <w:color w:val="000000"/>
          <w:lang w:val="fr-FR"/>
        </w:rPr>
        <w:t>Formations dispensées aux autres institutions gouvernementales ;</w:t>
      </w:r>
    </w:p>
    <w:p w14:paraId="3F93875D" w14:textId="1A08FBB1" w:rsidR="00A06E1B" w:rsidRPr="00C9307C" w:rsidRDefault="00535A36" w:rsidP="00720B8F">
      <w:pPr>
        <w:pStyle w:val="ColorfulList-Accent11"/>
        <w:jc w:val="both"/>
        <w:rPr>
          <w:rFonts w:eastAsia="Times New Roman" w:cs="Calibri"/>
          <w:i/>
          <w:iCs/>
          <w:color w:val="000000"/>
          <w:lang w:val="fr-FR"/>
        </w:rPr>
      </w:pPr>
      <w:proofErr w:type="gramStart"/>
      <w:r w:rsidRPr="00C9307C">
        <w:rPr>
          <w:rFonts w:eastAsia="Times New Roman" w:cs="Calibri"/>
          <w:b/>
          <w:bCs/>
          <w:color w:val="000000"/>
          <w:lang w:val="fr-FR"/>
        </w:rPr>
        <w:t>v</w:t>
      </w:r>
      <w:proofErr w:type="gramEnd"/>
      <w:r w:rsidR="00AC24C3" w:rsidRPr="00C9307C">
        <w:rPr>
          <w:rFonts w:eastAsia="Times New Roman" w:cs="Calibri"/>
          <w:b/>
          <w:bCs/>
          <w:color w:val="000000"/>
          <w:lang w:val="fr-FR"/>
        </w:rPr>
        <w:t xml:space="preserve"> </w:t>
      </w:r>
      <w:r w:rsidRPr="00C9307C">
        <w:rPr>
          <w:rFonts w:eastAsia="Times New Roman" w:cs="Calibri"/>
          <w:i/>
          <w:iCs/>
          <w:color w:val="000000"/>
          <w:lang w:val="fr-FR"/>
        </w:rPr>
        <w:t xml:space="preserve">Formation sur la composante 2.3, </w:t>
      </w:r>
      <w:r w:rsidR="00DF6BDA" w:rsidRPr="00C9307C">
        <w:rPr>
          <w:rFonts w:eastAsia="Times New Roman" w:cs="Calibri"/>
          <w:i/>
          <w:iCs/>
          <w:color w:val="000000"/>
          <w:lang w:val="fr-FR"/>
        </w:rPr>
        <w:t>activités</w:t>
      </w:r>
      <w:r w:rsidRPr="00C9307C">
        <w:rPr>
          <w:rFonts w:eastAsia="Times New Roman" w:cs="Calibri"/>
          <w:i/>
          <w:iCs/>
          <w:color w:val="000000"/>
          <w:lang w:val="fr-FR"/>
        </w:rPr>
        <w:t xml:space="preserve"> 1 ;</w:t>
      </w:r>
    </w:p>
    <w:p w14:paraId="19BCDF6B" w14:textId="65AC7EBB" w:rsidR="00A06E1B" w:rsidRPr="00C9307C" w:rsidRDefault="00535A36" w:rsidP="00720B8F">
      <w:pPr>
        <w:pStyle w:val="ColorfulList-Accent11"/>
        <w:jc w:val="both"/>
        <w:rPr>
          <w:rFonts w:eastAsia="Times New Roman" w:cs="Calibri"/>
          <w:b/>
          <w:bCs/>
          <w:color w:val="000000"/>
          <w:lang w:val="fr-FR"/>
        </w:rPr>
      </w:pPr>
      <w:proofErr w:type="gramStart"/>
      <w:r w:rsidRPr="00C9307C">
        <w:rPr>
          <w:rFonts w:eastAsia="Times New Roman" w:cs="Calibri"/>
          <w:b/>
          <w:bCs/>
          <w:color w:val="000000"/>
          <w:lang w:val="fr-FR"/>
        </w:rPr>
        <w:t>vi</w:t>
      </w:r>
      <w:proofErr w:type="gramEnd"/>
      <w:r w:rsidR="00AC24C3" w:rsidRPr="00C9307C">
        <w:rPr>
          <w:rFonts w:eastAsia="Times New Roman" w:cs="Calibri"/>
          <w:b/>
          <w:bCs/>
          <w:color w:val="000000"/>
          <w:lang w:val="fr-FR"/>
        </w:rPr>
        <w:t xml:space="preserve"> </w:t>
      </w:r>
      <w:r w:rsidRPr="00C9307C">
        <w:rPr>
          <w:rFonts w:eastAsia="Times New Roman" w:cs="Calibri"/>
          <w:i/>
          <w:iCs/>
          <w:color w:val="000000"/>
          <w:lang w:val="fr-FR"/>
        </w:rPr>
        <w:t>Formation du personnel sur les équipements spécialisés existants et acquis.</w:t>
      </w:r>
    </w:p>
    <w:p w14:paraId="7DD3BD2C" w14:textId="77777777" w:rsidR="00A06E1B" w:rsidRPr="00C9307C" w:rsidRDefault="00A06E1B" w:rsidP="00720B8F">
      <w:pPr>
        <w:pStyle w:val="ColorfulList-Accent11"/>
        <w:jc w:val="both"/>
        <w:rPr>
          <w:rFonts w:eastAsia="Times New Roman" w:cs="Calibri"/>
          <w:b/>
          <w:bCs/>
          <w:color w:val="000000"/>
          <w:lang w:val="fr-FR"/>
        </w:rPr>
      </w:pPr>
    </w:p>
    <w:p w14:paraId="3F0D2EC1" w14:textId="1CD03882" w:rsidR="00A06E1B" w:rsidRPr="00C9307C" w:rsidRDefault="005347A4" w:rsidP="00720B8F">
      <w:pPr>
        <w:pStyle w:val="ColorfulList-Accent11"/>
        <w:ind w:hanging="720"/>
        <w:jc w:val="both"/>
        <w:rPr>
          <w:sz w:val="24"/>
          <w:szCs w:val="24"/>
          <w:lang w:val="fr-FR"/>
        </w:rPr>
      </w:pPr>
      <w:r w:rsidRPr="00074D3F">
        <w:rPr>
          <w:rFonts w:eastAsia="Times New Roman" w:cs="Calibri"/>
          <w:bCs/>
          <w:color w:val="000000"/>
          <w:lang w:val="fr-FR"/>
        </w:rPr>
        <w:t>2.18</w:t>
      </w:r>
      <w:r w:rsidRPr="00C9307C">
        <w:rPr>
          <w:rFonts w:eastAsia="Times New Roman" w:cs="Calibri"/>
          <w:b/>
          <w:bCs/>
          <w:color w:val="000000"/>
          <w:lang w:val="fr-FR"/>
        </w:rPr>
        <w:t xml:space="preserve"> </w:t>
      </w:r>
      <w:r w:rsidR="00074D3F">
        <w:rPr>
          <w:rFonts w:eastAsia="Times New Roman" w:cs="Calibri"/>
          <w:b/>
          <w:bCs/>
          <w:color w:val="000000"/>
          <w:lang w:val="fr-FR"/>
        </w:rPr>
        <w:tab/>
      </w:r>
      <w:r w:rsidRPr="00C9307C">
        <w:rPr>
          <w:rFonts w:eastAsia="Times New Roman" w:cs="Calibri"/>
          <w:b/>
          <w:bCs/>
          <w:color w:val="000000"/>
          <w:lang w:val="fr-FR"/>
        </w:rPr>
        <w:t xml:space="preserve">F) </w:t>
      </w:r>
      <w:r w:rsidRPr="00C9307C">
        <w:rPr>
          <w:sz w:val="24"/>
          <w:szCs w:val="24"/>
          <w:lang w:val="fr-FR"/>
        </w:rPr>
        <w:t xml:space="preserve">Les activités </w:t>
      </w:r>
      <w:r w:rsidR="00961A79" w:rsidRPr="00C9307C">
        <w:rPr>
          <w:sz w:val="24"/>
          <w:szCs w:val="24"/>
          <w:lang w:val="fr-FR"/>
        </w:rPr>
        <w:t xml:space="preserve">de </w:t>
      </w:r>
      <w:r w:rsidR="00DF6BDA" w:rsidRPr="00C9307C">
        <w:rPr>
          <w:rFonts w:eastAsia="Times New Roman" w:cs="Calibri"/>
          <w:b/>
          <w:bCs/>
          <w:color w:val="000000"/>
          <w:lang w:val="fr-FR"/>
        </w:rPr>
        <w:t xml:space="preserve">renforcement des capacités techniques de la DSI de </w:t>
      </w:r>
      <w:r w:rsidR="00174DE6" w:rsidRPr="00C9307C">
        <w:rPr>
          <w:rFonts w:eastAsia="Times New Roman" w:cs="Calibri"/>
          <w:b/>
          <w:bCs/>
          <w:color w:val="000000"/>
          <w:lang w:val="fr-FR"/>
        </w:rPr>
        <w:t>l’OMRH</w:t>
      </w:r>
      <w:r w:rsidR="00174DE6" w:rsidRPr="00C9307C">
        <w:rPr>
          <w:rFonts w:eastAsia="Times New Roman" w:cs="Calibri"/>
          <w:bCs/>
          <w:color w:val="000000"/>
          <w:lang w:val="fr-FR"/>
        </w:rPr>
        <w:t> </w:t>
      </w:r>
      <w:r w:rsidR="00174DE6" w:rsidRPr="00C9307C" w:rsidDel="00DF6BDA">
        <w:rPr>
          <w:sz w:val="24"/>
          <w:szCs w:val="24"/>
          <w:lang w:val="fr-FR"/>
        </w:rPr>
        <w:t>incluront</w:t>
      </w:r>
      <w:r w:rsidRPr="00C9307C">
        <w:rPr>
          <w:sz w:val="24"/>
          <w:szCs w:val="24"/>
          <w:lang w:val="fr-FR"/>
        </w:rPr>
        <w:t> :</w:t>
      </w:r>
    </w:p>
    <w:p w14:paraId="77C77FFF" w14:textId="77777777" w:rsidR="00A06E1B" w:rsidRPr="00C9307C" w:rsidRDefault="00535A36" w:rsidP="00720B8F">
      <w:pPr>
        <w:pStyle w:val="ColorfulList-Accent11"/>
        <w:jc w:val="both"/>
        <w:rPr>
          <w:rFonts w:eastAsia="Times New Roman" w:cs="Calibri"/>
          <w:b/>
          <w:bCs/>
          <w:color w:val="000000"/>
          <w:lang w:val="fr-FR"/>
        </w:rPr>
      </w:pPr>
      <w:r w:rsidRPr="00C9307C">
        <w:rPr>
          <w:rFonts w:eastAsia="Times New Roman" w:cs="Calibri"/>
          <w:b/>
          <w:bCs/>
          <w:color w:val="000000"/>
          <w:lang w:val="fr-FR"/>
        </w:rPr>
        <w:t xml:space="preserve">i. </w:t>
      </w:r>
      <w:r w:rsidRPr="00C9307C">
        <w:rPr>
          <w:rFonts w:eastAsia="Times New Roman" w:cs="Calibri"/>
          <w:i/>
          <w:iCs/>
          <w:color w:val="000000"/>
          <w:lang w:val="fr-FR"/>
        </w:rPr>
        <w:t xml:space="preserve">Financement du salaire de l'équipe de la DSI / </w:t>
      </w:r>
      <w:r w:rsidR="00DF6BDA" w:rsidRPr="00C9307C">
        <w:rPr>
          <w:rFonts w:eastAsia="Times New Roman" w:cs="Calibri"/>
          <w:i/>
          <w:iCs/>
          <w:color w:val="000000"/>
          <w:lang w:val="fr-FR"/>
        </w:rPr>
        <w:t>OMRH</w:t>
      </w:r>
    </w:p>
    <w:p w14:paraId="3B864A54" w14:textId="77777777" w:rsidR="00A06E1B" w:rsidRPr="00C9307C" w:rsidRDefault="00A06E1B" w:rsidP="00720B8F">
      <w:pPr>
        <w:pStyle w:val="ColorfulList-Accent11"/>
        <w:jc w:val="both"/>
        <w:rPr>
          <w:rFonts w:eastAsia="Times New Roman" w:cs="Calibri"/>
          <w:b/>
          <w:bCs/>
          <w:color w:val="000000"/>
          <w:lang w:val="fr-FR"/>
        </w:rPr>
      </w:pPr>
    </w:p>
    <w:p w14:paraId="29DE598D" w14:textId="7B149828" w:rsidR="00A06E1B" w:rsidRPr="00C9307C" w:rsidRDefault="005347A4" w:rsidP="00720B8F">
      <w:pPr>
        <w:pStyle w:val="ColorfulList-Accent11"/>
        <w:ind w:hanging="720"/>
        <w:jc w:val="both"/>
        <w:rPr>
          <w:sz w:val="24"/>
          <w:szCs w:val="24"/>
          <w:lang w:val="fr-FR"/>
        </w:rPr>
      </w:pPr>
      <w:r w:rsidRPr="00074D3F">
        <w:rPr>
          <w:rFonts w:eastAsia="Times New Roman" w:cs="Calibri"/>
          <w:bCs/>
          <w:color w:val="000000"/>
          <w:lang w:val="fr-FR"/>
        </w:rPr>
        <w:t>2.19</w:t>
      </w:r>
      <w:r w:rsidRPr="00C9307C">
        <w:rPr>
          <w:rFonts w:eastAsia="Times New Roman" w:cs="Calibri"/>
          <w:b/>
          <w:bCs/>
          <w:color w:val="000000"/>
          <w:lang w:val="fr-FR"/>
        </w:rPr>
        <w:t xml:space="preserve"> </w:t>
      </w:r>
      <w:r w:rsidR="00074D3F">
        <w:rPr>
          <w:rFonts w:eastAsia="Times New Roman" w:cs="Calibri"/>
          <w:b/>
          <w:bCs/>
          <w:color w:val="000000"/>
          <w:lang w:val="fr-FR"/>
        </w:rPr>
        <w:tab/>
      </w:r>
      <w:r w:rsidRPr="00C9307C">
        <w:rPr>
          <w:rFonts w:eastAsia="Times New Roman" w:cs="Calibri"/>
          <w:b/>
          <w:bCs/>
          <w:color w:val="000000"/>
          <w:lang w:val="fr-FR"/>
        </w:rPr>
        <w:t xml:space="preserve">G) </w:t>
      </w:r>
      <w:r w:rsidRPr="00C9307C">
        <w:rPr>
          <w:sz w:val="24"/>
          <w:szCs w:val="24"/>
          <w:lang w:val="fr-FR"/>
        </w:rPr>
        <w:t xml:space="preserve">Les activités </w:t>
      </w:r>
      <w:r w:rsidR="00961A79" w:rsidRPr="00C9307C">
        <w:rPr>
          <w:sz w:val="24"/>
          <w:szCs w:val="24"/>
          <w:lang w:val="fr-FR"/>
        </w:rPr>
        <w:t xml:space="preserve">de </w:t>
      </w:r>
      <w:r w:rsidR="00DF6BDA" w:rsidRPr="00C9307C">
        <w:rPr>
          <w:rFonts w:eastAsia="Times New Roman" w:cs="Calibri"/>
          <w:b/>
          <w:bCs/>
          <w:color w:val="000000"/>
          <w:lang w:val="fr-FR"/>
        </w:rPr>
        <w:t xml:space="preserve">renforcement des capacités techniques de la DSI du </w:t>
      </w:r>
      <w:r w:rsidR="00174DE6" w:rsidRPr="00C9307C">
        <w:rPr>
          <w:rFonts w:eastAsia="Times New Roman" w:cs="Calibri"/>
          <w:b/>
          <w:bCs/>
          <w:color w:val="000000"/>
          <w:lang w:val="fr-FR"/>
        </w:rPr>
        <w:t>MEF</w:t>
      </w:r>
      <w:r w:rsidR="00174DE6" w:rsidRPr="00C9307C">
        <w:rPr>
          <w:rFonts w:eastAsia="Times New Roman" w:cs="Calibri"/>
          <w:bCs/>
          <w:color w:val="000000"/>
          <w:lang w:val="fr-FR"/>
        </w:rPr>
        <w:t> </w:t>
      </w:r>
      <w:r w:rsidR="00174DE6" w:rsidRPr="00C9307C" w:rsidDel="00DF6BDA">
        <w:rPr>
          <w:sz w:val="24"/>
          <w:szCs w:val="24"/>
          <w:lang w:val="fr-FR"/>
        </w:rPr>
        <w:t>incluront</w:t>
      </w:r>
      <w:r w:rsidRPr="00C9307C">
        <w:rPr>
          <w:sz w:val="24"/>
          <w:szCs w:val="24"/>
          <w:lang w:val="fr-FR"/>
        </w:rPr>
        <w:t> :</w:t>
      </w:r>
    </w:p>
    <w:p w14:paraId="521E3250" w14:textId="77777777" w:rsidR="00A06E1B" w:rsidRPr="00C9307C" w:rsidRDefault="00535A36" w:rsidP="00720B8F">
      <w:pPr>
        <w:pStyle w:val="ColorfulList-Accent11"/>
        <w:jc w:val="both"/>
        <w:rPr>
          <w:rFonts w:eastAsia="Times New Roman" w:cs="Calibri"/>
          <w:i/>
          <w:iCs/>
          <w:color w:val="000000"/>
          <w:lang w:val="fr-FR"/>
        </w:rPr>
      </w:pPr>
      <w:r w:rsidRPr="00C9307C">
        <w:rPr>
          <w:rFonts w:eastAsia="Times New Roman" w:cs="Calibri"/>
          <w:b/>
          <w:bCs/>
          <w:color w:val="000000"/>
          <w:lang w:val="fr-FR"/>
        </w:rPr>
        <w:t xml:space="preserve">i. </w:t>
      </w:r>
      <w:r w:rsidRPr="00C9307C">
        <w:rPr>
          <w:rFonts w:eastAsia="Times New Roman" w:cs="Calibri"/>
          <w:i/>
          <w:iCs/>
          <w:color w:val="000000"/>
          <w:lang w:val="fr-FR"/>
        </w:rPr>
        <w:t>Financement du salaire de l'équipe de la DSI / M</w:t>
      </w:r>
      <w:r w:rsidR="00DF6BDA" w:rsidRPr="00C9307C">
        <w:rPr>
          <w:rFonts w:eastAsia="Times New Roman" w:cs="Calibri"/>
          <w:i/>
          <w:iCs/>
          <w:color w:val="000000"/>
          <w:lang w:val="fr-FR"/>
        </w:rPr>
        <w:t>EF</w:t>
      </w:r>
      <w:r w:rsidRPr="00C9307C">
        <w:rPr>
          <w:rFonts w:eastAsia="Times New Roman" w:cs="Calibri"/>
          <w:i/>
          <w:iCs/>
          <w:color w:val="000000"/>
          <w:lang w:val="fr-FR"/>
        </w:rPr>
        <w:t>.</w:t>
      </w:r>
    </w:p>
    <w:p w14:paraId="6B7D1AD3" w14:textId="77777777" w:rsidR="00E020A8" w:rsidRPr="00C9307C" w:rsidRDefault="00E020A8" w:rsidP="00E020A8">
      <w:pPr>
        <w:pStyle w:val="ColorfulList-Accent11"/>
        <w:ind w:left="0"/>
        <w:jc w:val="both"/>
        <w:rPr>
          <w:rFonts w:eastAsia="Times New Roman" w:cs="Calibri"/>
          <w:i/>
          <w:iCs/>
          <w:color w:val="000000"/>
          <w:lang w:val="fr-FR"/>
        </w:rPr>
      </w:pPr>
    </w:p>
    <w:p w14:paraId="397B02D8" w14:textId="601E3AEE" w:rsidR="00E020A8" w:rsidRPr="00C9307C" w:rsidRDefault="00B84BEF" w:rsidP="00074D3F">
      <w:pPr>
        <w:pStyle w:val="ColorfulList-Accent11"/>
        <w:ind w:left="0"/>
        <w:jc w:val="both"/>
        <w:rPr>
          <w:rFonts w:eastAsia="Times New Roman" w:cs="Calibri"/>
          <w:i/>
          <w:iCs/>
          <w:color w:val="000000"/>
          <w:lang w:val="fr-FR"/>
        </w:rPr>
      </w:pPr>
      <w:bookmarkStart w:id="20" w:name="_Hlk532462514"/>
      <w:r w:rsidRPr="006603E9">
        <w:rPr>
          <w:rFonts w:eastAsia="Times New Roman" w:cs="Calibri"/>
          <w:i/>
          <w:iCs/>
          <w:color w:val="000000"/>
          <w:lang w:val="fr-FR"/>
        </w:rPr>
        <w:t xml:space="preserve">2.20 </w:t>
      </w:r>
      <w:r w:rsidR="00074D3F">
        <w:rPr>
          <w:rFonts w:eastAsia="Times New Roman" w:cs="Calibri"/>
          <w:i/>
          <w:iCs/>
          <w:color w:val="000000"/>
          <w:lang w:val="fr-FR"/>
        </w:rPr>
        <w:tab/>
      </w:r>
      <w:r w:rsidRPr="006603E9">
        <w:rPr>
          <w:rFonts w:eastAsia="Times New Roman" w:cs="Calibri"/>
          <w:i/>
          <w:iCs/>
          <w:color w:val="000000"/>
          <w:lang w:val="fr-FR"/>
        </w:rPr>
        <w:t>H</w:t>
      </w:r>
      <w:r w:rsidR="00E020A8" w:rsidRPr="006603E9">
        <w:rPr>
          <w:rFonts w:eastAsia="Times New Roman" w:cs="Calibri"/>
          <w:i/>
          <w:iCs/>
          <w:color w:val="000000"/>
          <w:lang w:val="fr-FR"/>
        </w:rPr>
        <w:t xml:space="preserve">) Le support financier à l’Equipe de projet SIGFIP du MEF comprendra les compléments de salaire aux membres de l’Equipe de projet et des jetons de présence aux membres du comité technique Chargé d’assurer la liaison avec les différents </w:t>
      </w:r>
      <w:r w:rsidR="00674743" w:rsidRPr="006603E9">
        <w:rPr>
          <w:rFonts w:eastAsia="Times New Roman" w:cs="Calibri"/>
          <w:i/>
          <w:iCs/>
          <w:color w:val="000000"/>
          <w:lang w:val="fr-FR"/>
        </w:rPr>
        <w:t>acteurs du</w:t>
      </w:r>
      <w:r w:rsidR="00416FE9" w:rsidRPr="006603E9">
        <w:rPr>
          <w:rFonts w:eastAsia="Times New Roman" w:cs="Calibri"/>
          <w:i/>
          <w:iCs/>
          <w:color w:val="000000"/>
          <w:lang w:val="fr-FR"/>
        </w:rPr>
        <w:t xml:space="preserve"> SIGFIP. </w:t>
      </w:r>
    </w:p>
    <w:bookmarkEnd w:id="20"/>
    <w:p w14:paraId="3F28EB6A" w14:textId="77777777" w:rsidR="00A06E1B" w:rsidRPr="00C9307C" w:rsidRDefault="00A06E1B" w:rsidP="00720B8F">
      <w:pPr>
        <w:pStyle w:val="ColorfulList-Accent11"/>
        <w:jc w:val="both"/>
        <w:rPr>
          <w:sz w:val="24"/>
          <w:szCs w:val="24"/>
          <w:lang w:val="fr-FR"/>
        </w:rPr>
      </w:pPr>
    </w:p>
    <w:p w14:paraId="1FDC1E45" w14:textId="7752D75C" w:rsidR="00A06E1B" w:rsidRPr="00C9307C" w:rsidRDefault="00A511AA" w:rsidP="00720B8F">
      <w:pPr>
        <w:pStyle w:val="ColorfulList-Accent11"/>
        <w:ind w:left="0"/>
        <w:jc w:val="both"/>
        <w:rPr>
          <w:rFonts w:eastAsia="Times New Roman" w:cs="Calibri"/>
          <w:b/>
          <w:bCs/>
          <w:color w:val="000000"/>
          <w:sz w:val="24"/>
          <w:szCs w:val="24"/>
          <w:lang w:val="fr-FR"/>
        </w:rPr>
      </w:pPr>
      <w:r w:rsidRPr="00C9307C">
        <w:rPr>
          <w:rFonts w:eastAsia="Times New Roman" w:cs="Calibri"/>
          <w:b/>
          <w:bCs/>
          <w:color w:val="000000"/>
          <w:sz w:val="24"/>
          <w:szCs w:val="24"/>
          <w:lang w:val="fr-FR"/>
        </w:rPr>
        <w:t xml:space="preserve">Composante 3 </w:t>
      </w:r>
      <w:r w:rsidR="00A3241B" w:rsidRPr="00C9307C">
        <w:rPr>
          <w:rFonts w:eastAsia="Times New Roman" w:cs="Calibri"/>
          <w:b/>
          <w:bCs/>
          <w:color w:val="000000"/>
          <w:sz w:val="24"/>
          <w:szCs w:val="24"/>
          <w:lang w:val="fr-FR"/>
        </w:rPr>
        <w:t xml:space="preserve">RENFORCEMENT DE LA CAPACITE </w:t>
      </w:r>
      <w:r w:rsidR="00232CD2" w:rsidRPr="00C9307C">
        <w:rPr>
          <w:rFonts w:eastAsia="Times New Roman" w:cs="Calibri"/>
          <w:b/>
          <w:bCs/>
          <w:color w:val="000000"/>
          <w:sz w:val="24"/>
          <w:szCs w:val="24"/>
          <w:lang w:val="fr-FR"/>
        </w:rPr>
        <w:t xml:space="preserve">DE PRESTATION DE </w:t>
      </w:r>
      <w:r w:rsidR="00A3241B" w:rsidRPr="00C9307C">
        <w:rPr>
          <w:rFonts w:eastAsia="Times New Roman" w:cs="Calibri"/>
          <w:b/>
          <w:bCs/>
          <w:color w:val="000000"/>
          <w:sz w:val="24"/>
          <w:szCs w:val="24"/>
          <w:lang w:val="fr-FR"/>
        </w:rPr>
        <w:t>SERVICES</w:t>
      </w:r>
      <w:r w:rsidR="00232CD2" w:rsidRPr="00C9307C">
        <w:rPr>
          <w:rFonts w:eastAsia="Times New Roman" w:cs="Calibri"/>
          <w:b/>
          <w:bCs/>
          <w:color w:val="000000"/>
          <w:sz w:val="24"/>
          <w:szCs w:val="24"/>
          <w:lang w:val="fr-FR"/>
        </w:rPr>
        <w:t xml:space="preserve"> DANS LES MINISTERES ET ENTITES </w:t>
      </w:r>
      <w:r w:rsidR="005F5964" w:rsidRPr="00C9307C">
        <w:rPr>
          <w:rFonts w:eastAsia="Times New Roman" w:cs="Calibri"/>
          <w:b/>
          <w:bCs/>
          <w:color w:val="000000"/>
          <w:sz w:val="24"/>
          <w:szCs w:val="24"/>
          <w:lang w:val="fr-FR"/>
        </w:rPr>
        <w:t xml:space="preserve">DU SECTEUR PUBLIC </w:t>
      </w:r>
      <w:r w:rsidR="00232CD2" w:rsidRPr="00C9307C">
        <w:rPr>
          <w:rFonts w:eastAsia="Times New Roman" w:cs="Calibri"/>
          <w:b/>
          <w:bCs/>
          <w:color w:val="000000"/>
          <w:sz w:val="24"/>
          <w:szCs w:val="24"/>
          <w:lang w:val="fr-FR"/>
        </w:rPr>
        <w:t xml:space="preserve">SELECTIONNES </w:t>
      </w:r>
      <w:r w:rsidR="00232CD2" w:rsidRPr="00C9307C">
        <w:rPr>
          <w:b/>
          <w:lang w:val="fr-FR"/>
        </w:rPr>
        <w:t>(</w:t>
      </w:r>
      <w:r w:rsidR="00232CD2" w:rsidRPr="006603E9">
        <w:rPr>
          <w:b/>
          <w:lang w:val="fr-FR"/>
        </w:rPr>
        <w:t xml:space="preserve">US$ </w:t>
      </w:r>
      <w:r w:rsidR="005F5964" w:rsidRPr="006603E9">
        <w:rPr>
          <w:b/>
          <w:lang w:val="fr-FR"/>
        </w:rPr>
        <w:t>27,4</w:t>
      </w:r>
      <w:r w:rsidR="007B030F">
        <w:rPr>
          <w:b/>
          <w:lang w:val="fr-FR"/>
        </w:rPr>
        <w:t>2</w:t>
      </w:r>
      <w:r w:rsidR="00232CD2" w:rsidRPr="006603E9">
        <w:rPr>
          <w:b/>
          <w:lang w:val="fr-FR"/>
        </w:rPr>
        <w:t xml:space="preserve"> M</w:t>
      </w:r>
      <w:r w:rsidR="00232CD2" w:rsidRPr="00C9307C">
        <w:rPr>
          <w:b/>
          <w:lang w:val="fr-FR"/>
        </w:rPr>
        <w:t>)</w:t>
      </w:r>
    </w:p>
    <w:p w14:paraId="5A8211F5" w14:textId="77777777" w:rsidR="00535A36" w:rsidRPr="00C9307C" w:rsidRDefault="00535A36" w:rsidP="00535A36">
      <w:pPr>
        <w:pStyle w:val="ColorfulList-Accent11"/>
        <w:jc w:val="both"/>
        <w:rPr>
          <w:sz w:val="24"/>
          <w:szCs w:val="24"/>
          <w:lang w:val="fr-FR"/>
        </w:rPr>
      </w:pPr>
      <w:r w:rsidRPr="00C9307C">
        <w:rPr>
          <w:sz w:val="24"/>
          <w:szCs w:val="24"/>
          <w:lang w:val="fr-FR"/>
        </w:rPr>
        <w:t xml:space="preserve">Cette composante financera en tout ou en partie des activités dans </w:t>
      </w:r>
      <w:r w:rsidR="003D521C" w:rsidRPr="00C9307C">
        <w:rPr>
          <w:b/>
          <w:sz w:val="24"/>
          <w:szCs w:val="24"/>
          <w:lang w:val="fr-FR"/>
        </w:rPr>
        <w:t>Hu</w:t>
      </w:r>
      <w:r w:rsidRPr="00C9307C">
        <w:rPr>
          <w:b/>
          <w:sz w:val="24"/>
          <w:szCs w:val="24"/>
          <w:lang w:val="fr-FR"/>
        </w:rPr>
        <w:t>i</w:t>
      </w:r>
      <w:r w:rsidR="003D521C" w:rsidRPr="00C9307C">
        <w:rPr>
          <w:b/>
          <w:sz w:val="24"/>
          <w:szCs w:val="24"/>
          <w:lang w:val="fr-FR"/>
        </w:rPr>
        <w:t>t</w:t>
      </w:r>
      <w:r w:rsidRPr="00C9307C">
        <w:rPr>
          <w:sz w:val="24"/>
          <w:szCs w:val="24"/>
          <w:lang w:val="fr-FR"/>
        </w:rPr>
        <w:t xml:space="preserve"> domaines </w:t>
      </w:r>
      <w:r w:rsidR="00174DE6" w:rsidRPr="00C9307C">
        <w:rPr>
          <w:sz w:val="24"/>
          <w:szCs w:val="24"/>
          <w:lang w:val="fr-FR"/>
        </w:rPr>
        <w:t>critiques :</w:t>
      </w:r>
    </w:p>
    <w:p w14:paraId="4AF7DC7D" w14:textId="77777777" w:rsidR="00A06E1B" w:rsidRPr="006603E9" w:rsidRDefault="00A06E1B" w:rsidP="00720B8F">
      <w:pPr>
        <w:pStyle w:val="ColorfulList-Accent11"/>
        <w:jc w:val="both"/>
        <w:rPr>
          <w:sz w:val="24"/>
          <w:szCs w:val="24"/>
          <w:lang w:val="fr-FR"/>
        </w:rPr>
      </w:pPr>
    </w:p>
    <w:p w14:paraId="21D28440" w14:textId="2586BD14" w:rsidR="00A06E1B" w:rsidRPr="00C9307C" w:rsidRDefault="00A511AA" w:rsidP="00720B8F">
      <w:pPr>
        <w:pStyle w:val="ColorfulList-Accent11"/>
        <w:numPr>
          <w:ilvl w:val="0"/>
          <w:numId w:val="59"/>
        </w:numPr>
        <w:jc w:val="both"/>
        <w:rPr>
          <w:sz w:val="24"/>
          <w:szCs w:val="24"/>
          <w:lang w:val="fr-FR"/>
        </w:rPr>
      </w:pPr>
      <w:r w:rsidRPr="00C9307C">
        <w:rPr>
          <w:rFonts w:eastAsia="Times New Roman" w:cs="Calibri"/>
          <w:bCs/>
          <w:color w:val="000000"/>
          <w:lang w:val="fr-FR"/>
        </w:rPr>
        <w:lastRenderedPageBreak/>
        <w:t xml:space="preserve">La Préparation </w:t>
      </w:r>
      <w:r w:rsidR="00232CD2" w:rsidRPr="00C9307C">
        <w:rPr>
          <w:rFonts w:eastAsia="Times New Roman" w:cs="Calibri"/>
          <w:bCs/>
          <w:color w:val="000000"/>
          <w:lang w:val="fr-FR"/>
        </w:rPr>
        <w:t>d</w:t>
      </w:r>
      <w:r w:rsidRPr="00C9307C">
        <w:rPr>
          <w:rFonts w:eastAsia="Times New Roman" w:cs="Calibri"/>
          <w:bCs/>
          <w:color w:val="000000"/>
          <w:lang w:val="fr-FR"/>
        </w:rPr>
        <w:t>'analyse</w:t>
      </w:r>
      <w:r w:rsidR="00232CD2" w:rsidRPr="00C9307C">
        <w:rPr>
          <w:rFonts w:eastAsia="Times New Roman" w:cs="Calibri"/>
          <w:bCs/>
          <w:color w:val="000000"/>
          <w:lang w:val="fr-FR"/>
        </w:rPr>
        <w:t>s</w:t>
      </w:r>
      <w:r w:rsidR="00AC24C3" w:rsidRPr="00C9307C">
        <w:rPr>
          <w:rFonts w:eastAsia="Times New Roman" w:cs="Calibri"/>
          <w:bCs/>
          <w:color w:val="000000"/>
          <w:lang w:val="fr-FR"/>
        </w:rPr>
        <w:t xml:space="preserve"> </w:t>
      </w:r>
      <w:r w:rsidR="00232CD2" w:rsidRPr="00C9307C">
        <w:rPr>
          <w:rFonts w:eastAsia="Times New Roman" w:cs="Calibri"/>
          <w:bCs/>
          <w:color w:val="000000"/>
          <w:lang w:val="fr-FR"/>
        </w:rPr>
        <w:t xml:space="preserve">des </w:t>
      </w:r>
      <w:r w:rsidRPr="00C9307C">
        <w:rPr>
          <w:rFonts w:eastAsia="Times New Roman" w:cs="Calibri"/>
          <w:bCs/>
          <w:color w:val="000000"/>
          <w:lang w:val="fr-FR"/>
        </w:rPr>
        <w:t>fonction</w:t>
      </w:r>
      <w:r w:rsidR="00232CD2" w:rsidRPr="00C9307C">
        <w:rPr>
          <w:rFonts w:eastAsia="Times New Roman" w:cs="Calibri"/>
          <w:bCs/>
          <w:color w:val="000000"/>
          <w:lang w:val="fr-FR"/>
        </w:rPr>
        <w:t xml:space="preserve">s </w:t>
      </w:r>
      <w:r w:rsidRPr="00C9307C">
        <w:rPr>
          <w:rFonts w:eastAsia="Times New Roman" w:cs="Calibri"/>
          <w:bCs/>
          <w:color w:val="000000"/>
          <w:lang w:val="fr-FR"/>
        </w:rPr>
        <w:t>et opération</w:t>
      </w:r>
      <w:r w:rsidR="00232CD2" w:rsidRPr="00C9307C">
        <w:rPr>
          <w:rFonts w:eastAsia="Times New Roman" w:cs="Calibri"/>
          <w:bCs/>
          <w:color w:val="000000"/>
          <w:lang w:val="fr-FR"/>
        </w:rPr>
        <w:t xml:space="preserve">s, aux </w:t>
      </w:r>
      <w:r w:rsidR="00232CD2" w:rsidRPr="00C9307C">
        <w:rPr>
          <w:rFonts w:eastAsia="Times New Roman" w:cs="Calibri"/>
          <w:bCs/>
          <w:strike/>
          <w:color w:val="000000"/>
          <w:lang w:val="fr-FR"/>
        </w:rPr>
        <w:t>fins</w:t>
      </w:r>
      <w:r w:rsidR="00232CD2" w:rsidRPr="00C9307C">
        <w:rPr>
          <w:rFonts w:eastAsia="Times New Roman" w:cs="Calibri"/>
          <w:bCs/>
          <w:color w:val="000000"/>
          <w:lang w:val="fr-FR"/>
        </w:rPr>
        <w:t xml:space="preserve"> d’aligner l’organisation et les ressources humaines sur les fonctions et objectifs prioritaires </w:t>
      </w:r>
      <w:r w:rsidRPr="00C9307C">
        <w:rPr>
          <w:rFonts w:eastAsia="Times New Roman" w:cs="Calibri"/>
          <w:bCs/>
          <w:color w:val="000000"/>
          <w:lang w:val="fr-FR"/>
        </w:rPr>
        <w:t xml:space="preserve">des ministères et </w:t>
      </w:r>
      <w:r w:rsidR="00232CD2" w:rsidRPr="00C9307C">
        <w:rPr>
          <w:rFonts w:eastAsia="Times New Roman" w:cs="Calibri"/>
          <w:bCs/>
          <w:color w:val="000000"/>
          <w:lang w:val="fr-FR"/>
        </w:rPr>
        <w:t xml:space="preserve">de leurs </w:t>
      </w:r>
      <w:r w:rsidRPr="00C9307C">
        <w:rPr>
          <w:rFonts w:eastAsia="Times New Roman" w:cs="Calibri"/>
          <w:bCs/>
          <w:color w:val="000000"/>
          <w:lang w:val="fr-FR"/>
        </w:rPr>
        <w:t xml:space="preserve">services </w:t>
      </w:r>
      <w:r w:rsidR="00232CD2" w:rsidRPr="00C9307C">
        <w:rPr>
          <w:rFonts w:eastAsia="Times New Roman" w:cs="Calibri"/>
          <w:bCs/>
          <w:color w:val="000000"/>
          <w:lang w:val="fr-FR"/>
        </w:rPr>
        <w:t>es</w:t>
      </w:r>
      <w:r w:rsidRPr="00C9307C">
        <w:rPr>
          <w:rFonts w:eastAsia="Times New Roman" w:cs="Calibri"/>
          <w:bCs/>
          <w:color w:val="000000"/>
          <w:lang w:val="fr-FR"/>
        </w:rPr>
        <w:t>s</w:t>
      </w:r>
      <w:r w:rsidR="00232CD2" w:rsidRPr="00C9307C">
        <w:rPr>
          <w:rFonts w:eastAsia="Times New Roman" w:cs="Calibri"/>
          <w:bCs/>
          <w:color w:val="000000"/>
          <w:lang w:val="fr-FR"/>
        </w:rPr>
        <w:t>entiels ainsi que l’application des mesures propos</w:t>
      </w:r>
      <w:r w:rsidRPr="00C9307C">
        <w:rPr>
          <w:rFonts w:eastAsia="Times New Roman" w:cs="Calibri"/>
          <w:bCs/>
          <w:color w:val="000000"/>
          <w:lang w:val="fr-FR"/>
        </w:rPr>
        <w:t>é</w:t>
      </w:r>
      <w:r w:rsidR="00416FE9" w:rsidRPr="00C9307C">
        <w:rPr>
          <w:rFonts w:eastAsia="Times New Roman" w:cs="Calibri"/>
          <w:bCs/>
          <w:color w:val="000000"/>
          <w:lang w:val="fr-FR"/>
        </w:rPr>
        <w:t>e</w:t>
      </w:r>
      <w:r w:rsidRPr="00C9307C">
        <w:rPr>
          <w:rFonts w:eastAsia="Times New Roman" w:cs="Calibri"/>
          <w:bCs/>
          <w:color w:val="000000"/>
          <w:lang w:val="fr-FR"/>
        </w:rPr>
        <w:t>s</w:t>
      </w:r>
      <w:r w:rsidR="00232CD2" w:rsidRPr="00C9307C">
        <w:rPr>
          <w:rFonts w:eastAsia="Times New Roman" w:cs="Calibri"/>
          <w:bCs/>
          <w:color w:val="000000"/>
          <w:lang w:val="fr-FR"/>
        </w:rPr>
        <w:t> ;</w:t>
      </w:r>
    </w:p>
    <w:p w14:paraId="242840C0" w14:textId="77777777" w:rsidR="00A06E1B" w:rsidRPr="00C9307C" w:rsidRDefault="00A511AA" w:rsidP="00720B8F">
      <w:pPr>
        <w:pStyle w:val="ColorfulList-Accent11"/>
        <w:numPr>
          <w:ilvl w:val="0"/>
          <w:numId w:val="59"/>
        </w:numPr>
        <w:jc w:val="both"/>
        <w:rPr>
          <w:sz w:val="24"/>
          <w:szCs w:val="24"/>
          <w:lang w:val="fr-FR"/>
        </w:rPr>
      </w:pPr>
      <w:r w:rsidRPr="00C9307C">
        <w:rPr>
          <w:rFonts w:eastAsia="Times New Roman" w:cs="Calibri"/>
          <w:bCs/>
          <w:color w:val="000000"/>
          <w:lang w:val="fr-FR"/>
        </w:rPr>
        <w:t xml:space="preserve">La mise en </w:t>
      </w:r>
      <w:r w:rsidR="00232CD2" w:rsidRPr="00C9307C">
        <w:rPr>
          <w:rFonts w:eastAsia="Times New Roman" w:cs="Calibri"/>
          <w:bCs/>
          <w:color w:val="000000"/>
          <w:lang w:val="fr-FR"/>
        </w:rPr>
        <w:t>œuvre</w:t>
      </w:r>
      <w:r w:rsidRPr="00C9307C">
        <w:rPr>
          <w:rFonts w:eastAsia="Times New Roman" w:cs="Calibri"/>
          <w:bCs/>
          <w:color w:val="000000"/>
          <w:lang w:val="fr-FR"/>
        </w:rPr>
        <w:t xml:space="preserve"> d</w:t>
      </w:r>
      <w:r w:rsidR="00232CD2" w:rsidRPr="00C9307C">
        <w:rPr>
          <w:rFonts w:eastAsia="Times New Roman" w:cs="Calibri"/>
          <w:bCs/>
          <w:color w:val="000000"/>
          <w:lang w:val="fr-FR"/>
        </w:rPr>
        <w:t>’</w:t>
      </w:r>
      <w:r w:rsidRPr="00C9307C">
        <w:rPr>
          <w:rFonts w:eastAsia="Times New Roman" w:cs="Calibri"/>
          <w:bCs/>
          <w:color w:val="000000"/>
          <w:lang w:val="fr-FR"/>
        </w:rPr>
        <w:t>u</w:t>
      </w:r>
      <w:r w:rsidR="00232CD2" w:rsidRPr="00C9307C">
        <w:rPr>
          <w:rFonts w:eastAsia="Times New Roman" w:cs="Calibri"/>
          <w:bCs/>
          <w:color w:val="000000"/>
          <w:lang w:val="fr-FR"/>
        </w:rPr>
        <w:t>n</w:t>
      </w:r>
      <w:r w:rsidRPr="00C9307C">
        <w:rPr>
          <w:rFonts w:eastAsia="Times New Roman" w:cs="Calibri"/>
          <w:bCs/>
          <w:color w:val="000000"/>
          <w:lang w:val="fr-FR"/>
        </w:rPr>
        <w:t xml:space="preserve"> programme de formation </w:t>
      </w:r>
      <w:r w:rsidR="00232CD2" w:rsidRPr="00C9307C">
        <w:rPr>
          <w:rFonts w:eastAsia="Times New Roman" w:cs="Calibri"/>
          <w:bCs/>
          <w:color w:val="000000"/>
          <w:lang w:val="fr-FR"/>
        </w:rPr>
        <w:t>inspir</w:t>
      </w:r>
      <w:r w:rsidR="00695737" w:rsidRPr="00C9307C">
        <w:rPr>
          <w:rFonts w:eastAsia="Times New Roman" w:cs="Calibri"/>
          <w:bCs/>
          <w:color w:val="000000"/>
          <w:lang w:val="fr-FR"/>
        </w:rPr>
        <w:t>é</w:t>
      </w:r>
      <w:r w:rsidR="00232CD2" w:rsidRPr="00C9307C">
        <w:rPr>
          <w:rFonts w:eastAsia="Times New Roman" w:cs="Calibri"/>
          <w:bCs/>
          <w:color w:val="000000"/>
          <w:lang w:val="fr-FR"/>
        </w:rPr>
        <w:t xml:space="preserve"> des besoins identifiés dans le cadre de l’activité </w:t>
      </w:r>
      <w:r w:rsidR="00AF3826" w:rsidRPr="00C9307C">
        <w:rPr>
          <w:rFonts w:eastAsia="Times New Roman" w:cs="Calibri"/>
          <w:bCs/>
          <w:color w:val="000000"/>
          <w:lang w:val="fr-FR"/>
        </w:rPr>
        <w:t>antérieure ;</w:t>
      </w:r>
    </w:p>
    <w:p w14:paraId="3748D3C0" w14:textId="40FA89D9" w:rsidR="00A06E1B" w:rsidRPr="00760660" w:rsidRDefault="00A511AA" w:rsidP="00720B8F">
      <w:pPr>
        <w:pStyle w:val="ColorfulList-Accent11"/>
        <w:numPr>
          <w:ilvl w:val="0"/>
          <w:numId w:val="59"/>
        </w:numPr>
        <w:jc w:val="both"/>
        <w:rPr>
          <w:sz w:val="24"/>
          <w:szCs w:val="24"/>
          <w:lang w:val="fr-FR"/>
        </w:rPr>
      </w:pPr>
      <w:r w:rsidRPr="00C9307C">
        <w:rPr>
          <w:rFonts w:eastAsia="Times New Roman" w:cs="Calibri"/>
          <w:bCs/>
          <w:color w:val="000000"/>
          <w:lang w:val="fr-FR"/>
        </w:rPr>
        <w:t>La mise en</w:t>
      </w:r>
      <w:r w:rsidR="00AF3826" w:rsidRPr="00C9307C">
        <w:rPr>
          <w:rFonts w:eastAsia="Times New Roman" w:cs="Calibri"/>
          <w:bCs/>
          <w:color w:val="000000"/>
          <w:lang w:val="fr-FR"/>
        </w:rPr>
        <w:t xml:space="preserve"> œuvre</w:t>
      </w:r>
      <w:r w:rsidRPr="00C9307C">
        <w:rPr>
          <w:rFonts w:eastAsia="Times New Roman" w:cs="Calibri"/>
          <w:bCs/>
          <w:color w:val="000000"/>
          <w:lang w:val="fr-FR"/>
        </w:rPr>
        <w:t xml:space="preserve"> d'un programme d'incitation</w:t>
      </w:r>
      <w:r w:rsidR="00232CD2" w:rsidRPr="00C9307C">
        <w:rPr>
          <w:rFonts w:eastAsia="Times New Roman" w:cs="Calibri"/>
          <w:bCs/>
          <w:color w:val="000000"/>
          <w:lang w:val="fr-FR"/>
        </w:rPr>
        <w:t xml:space="preserve">s pour le </w:t>
      </w:r>
      <w:r w:rsidR="00AF3826" w:rsidRPr="00C9307C">
        <w:rPr>
          <w:rFonts w:eastAsia="Times New Roman" w:cs="Calibri"/>
          <w:bCs/>
          <w:color w:val="000000"/>
          <w:lang w:val="fr-FR"/>
        </w:rPr>
        <w:t>départ</w:t>
      </w:r>
      <w:r w:rsidR="00AC24C3" w:rsidRPr="00C9307C">
        <w:rPr>
          <w:rFonts w:eastAsia="Times New Roman" w:cs="Calibri"/>
          <w:bCs/>
          <w:color w:val="000000"/>
          <w:lang w:val="fr-FR"/>
        </w:rPr>
        <w:t xml:space="preserve"> </w:t>
      </w:r>
      <w:r w:rsidR="00AF3826" w:rsidRPr="00C9307C">
        <w:rPr>
          <w:rFonts w:eastAsia="Times New Roman" w:cs="Calibri"/>
          <w:bCs/>
          <w:color w:val="000000"/>
          <w:lang w:val="fr-FR"/>
        </w:rPr>
        <w:t>à</w:t>
      </w:r>
      <w:r w:rsidR="00232CD2" w:rsidRPr="00C9307C">
        <w:rPr>
          <w:rFonts w:eastAsia="Times New Roman" w:cs="Calibri"/>
          <w:bCs/>
          <w:color w:val="000000"/>
          <w:lang w:val="fr-FR"/>
        </w:rPr>
        <w:t xml:space="preserve"> la </w:t>
      </w:r>
      <w:r w:rsidR="00AF3826" w:rsidRPr="00C9307C">
        <w:rPr>
          <w:rFonts w:eastAsia="Times New Roman" w:cs="Calibri"/>
          <w:bCs/>
          <w:color w:val="000000"/>
          <w:lang w:val="fr-FR"/>
        </w:rPr>
        <w:t>retraite</w:t>
      </w:r>
      <w:r w:rsidR="00760660">
        <w:rPr>
          <w:rFonts w:eastAsia="Times New Roman" w:cs="Calibri"/>
          <w:bCs/>
          <w:color w:val="000000"/>
          <w:lang w:val="fr-FR"/>
        </w:rPr>
        <w:t xml:space="preserve"> des </w:t>
      </w:r>
      <w:proofErr w:type="gramStart"/>
      <w:r w:rsidR="00760660">
        <w:rPr>
          <w:rFonts w:eastAsia="Times New Roman" w:cs="Calibri"/>
          <w:bCs/>
          <w:color w:val="000000"/>
          <w:lang w:val="fr-FR"/>
        </w:rPr>
        <w:t>fonctionnaires</w:t>
      </w:r>
      <w:r w:rsidR="00AF3826" w:rsidRPr="00760660">
        <w:rPr>
          <w:rFonts w:eastAsia="Times New Roman" w:cs="Calibri"/>
          <w:bCs/>
          <w:color w:val="000000"/>
          <w:lang w:val="fr-FR"/>
        </w:rPr>
        <w:t>;</w:t>
      </w:r>
      <w:proofErr w:type="gramEnd"/>
    </w:p>
    <w:p w14:paraId="7FF049F5" w14:textId="58494112" w:rsidR="00A06E1B" w:rsidRPr="00C9307C" w:rsidRDefault="00E03E16" w:rsidP="00720B8F">
      <w:pPr>
        <w:pStyle w:val="ColorfulList-Accent11"/>
        <w:numPr>
          <w:ilvl w:val="0"/>
          <w:numId w:val="59"/>
        </w:numPr>
        <w:jc w:val="both"/>
        <w:rPr>
          <w:sz w:val="24"/>
          <w:szCs w:val="24"/>
          <w:lang w:val="fr-FR"/>
        </w:rPr>
      </w:pPr>
      <w:r w:rsidRPr="00C9307C">
        <w:rPr>
          <w:rFonts w:eastAsia="Times New Roman" w:cs="Calibri"/>
          <w:bCs/>
          <w:color w:val="000000"/>
          <w:lang w:val="fr-FR"/>
        </w:rPr>
        <w:t>Le recrutement</w:t>
      </w:r>
      <w:r w:rsidR="00AF3826" w:rsidRPr="00C9307C">
        <w:rPr>
          <w:rFonts w:eastAsia="Times New Roman" w:cs="Calibri"/>
          <w:bCs/>
          <w:color w:val="000000"/>
          <w:lang w:val="fr-FR"/>
        </w:rPr>
        <w:t>,</w:t>
      </w:r>
      <w:r w:rsidRPr="00C9307C">
        <w:rPr>
          <w:rFonts w:eastAsia="Times New Roman" w:cs="Calibri"/>
          <w:bCs/>
          <w:color w:val="000000"/>
          <w:lang w:val="fr-FR"/>
        </w:rPr>
        <w:t xml:space="preserve"> le paiement</w:t>
      </w:r>
      <w:r w:rsidR="00AF3826" w:rsidRPr="00C9307C">
        <w:rPr>
          <w:rFonts w:eastAsia="Times New Roman" w:cs="Calibri"/>
          <w:bCs/>
          <w:color w:val="000000"/>
          <w:lang w:val="fr-FR"/>
        </w:rPr>
        <w:t xml:space="preserve"> et l’augmentation</w:t>
      </w:r>
      <w:r w:rsidRPr="00C9307C">
        <w:rPr>
          <w:rFonts w:eastAsia="Times New Roman" w:cs="Calibri"/>
          <w:bCs/>
          <w:color w:val="000000"/>
          <w:lang w:val="fr-FR"/>
        </w:rPr>
        <w:t xml:space="preserve"> des salaires d</w:t>
      </w:r>
      <w:r w:rsidR="00AF3826" w:rsidRPr="00C9307C">
        <w:rPr>
          <w:rFonts w:eastAsia="Times New Roman" w:cs="Calibri"/>
          <w:bCs/>
          <w:color w:val="000000"/>
          <w:lang w:val="fr-FR"/>
        </w:rPr>
        <w:t>u personnel pour les postes qu’il est indispensable de couvrir selon l’actualisation des analys</w:t>
      </w:r>
      <w:r w:rsidRPr="00C9307C">
        <w:rPr>
          <w:rFonts w:eastAsia="Times New Roman" w:cs="Calibri"/>
          <w:bCs/>
          <w:color w:val="000000"/>
          <w:lang w:val="fr-FR"/>
        </w:rPr>
        <w:t xml:space="preserve">es </w:t>
      </w:r>
      <w:r w:rsidR="00416FE9" w:rsidRPr="00C9307C">
        <w:rPr>
          <w:rFonts w:eastAsia="Times New Roman" w:cs="Calibri"/>
          <w:bCs/>
          <w:color w:val="000000"/>
          <w:lang w:val="fr-FR"/>
        </w:rPr>
        <w:t>fonctionnelles</w:t>
      </w:r>
      <w:r w:rsidR="00AF3826" w:rsidRPr="00C9307C">
        <w:rPr>
          <w:rFonts w:eastAsia="Times New Roman" w:cs="Calibri"/>
          <w:bCs/>
          <w:color w:val="000000"/>
          <w:lang w:val="fr-FR"/>
        </w:rPr>
        <w:t xml:space="preserve"> et d’organisation, dans la mesure où les </w:t>
      </w:r>
      <w:r w:rsidRPr="00C9307C">
        <w:rPr>
          <w:rFonts w:eastAsia="Times New Roman" w:cs="Calibri"/>
          <w:bCs/>
          <w:color w:val="000000"/>
          <w:lang w:val="fr-FR"/>
        </w:rPr>
        <w:t xml:space="preserve">nouveaux fonctionnaires </w:t>
      </w:r>
      <w:r w:rsidR="00AF3826" w:rsidRPr="00C9307C">
        <w:rPr>
          <w:rFonts w:eastAsia="Times New Roman" w:cs="Calibri"/>
          <w:bCs/>
          <w:color w:val="000000"/>
          <w:lang w:val="fr-FR"/>
        </w:rPr>
        <w:t xml:space="preserve">sont </w:t>
      </w:r>
      <w:r w:rsidRPr="00C9307C">
        <w:rPr>
          <w:rFonts w:eastAsia="Times New Roman" w:cs="Calibri"/>
          <w:bCs/>
          <w:color w:val="000000"/>
          <w:lang w:val="fr-FR"/>
        </w:rPr>
        <w:t xml:space="preserve">recrutés </w:t>
      </w:r>
      <w:r w:rsidR="00AF3826" w:rsidRPr="00C9307C">
        <w:rPr>
          <w:rFonts w:eastAsia="Times New Roman" w:cs="Calibri"/>
          <w:bCs/>
          <w:color w:val="000000"/>
          <w:lang w:val="fr-FR"/>
        </w:rPr>
        <w:t>sur compétition</w:t>
      </w:r>
      <w:r w:rsidR="00AC24C3" w:rsidRPr="00C9307C">
        <w:rPr>
          <w:rFonts w:eastAsia="Times New Roman" w:cs="Calibri"/>
          <w:bCs/>
          <w:color w:val="000000"/>
          <w:lang w:val="fr-FR"/>
        </w:rPr>
        <w:t xml:space="preserve"> </w:t>
      </w:r>
      <w:r w:rsidR="00AF3826" w:rsidRPr="00C9307C">
        <w:rPr>
          <w:rFonts w:eastAsia="Times New Roman" w:cs="Calibri"/>
          <w:bCs/>
          <w:color w:val="000000"/>
          <w:lang w:val="fr-FR"/>
        </w:rPr>
        <w:t>conformément aux normes de la fonction publique et dans la mesure où il s’agit de postes de haute direction, de gestion technique et de techniciens seniors selon ce qui a été convenu dans l’AACI concern</w:t>
      </w:r>
      <w:r w:rsidR="00695737" w:rsidRPr="00C9307C">
        <w:rPr>
          <w:rFonts w:eastAsia="Times New Roman" w:cs="Calibri"/>
          <w:bCs/>
          <w:color w:val="000000"/>
          <w:lang w:val="fr-FR"/>
        </w:rPr>
        <w:t>é</w:t>
      </w:r>
      <w:r w:rsidR="00AF3826" w:rsidRPr="00C9307C">
        <w:rPr>
          <w:rFonts w:eastAsia="Times New Roman" w:cs="Calibri"/>
          <w:bCs/>
          <w:color w:val="000000"/>
          <w:lang w:val="fr-FR"/>
        </w:rPr>
        <w:t> ;</w:t>
      </w:r>
    </w:p>
    <w:p w14:paraId="40523AB5" w14:textId="500C35E8" w:rsidR="00A06E1B" w:rsidRPr="00C9307C" w:rsidRDefault="00A511AA" w:rsidP="00720B8F">
      <w:pPr>
        <w:pStyle w:val="ColorfulList-Accent11"/>
        <w:numPr>
          <w:ilvl w:val="0"/>
          <w:numId w:val="59"/>
        </w:numPr>
        <w:jc w:val="both"/>
        <w:rPr>
          <w:sz w:val="24"/>
          <w:szCs w:val="24"/>
          <w:lang w:val="fr-FR"/>
        </w:rPr>
      </w:pPr>
      <w:r w:rsidRPr="00C9307C">
        <w:rPr>
          <w:rFonts w:eastAsia="Times New Roman" w:cs="Calibri"/>
          <w:bCs/>
          <w:color w:val="000000"/>
          <w:lang w:val="fr-FR"/>
        </w:rPr>
        <w:t xml:space="preserve">L’acquisition et </w:t>
      </w:r>
      <w:r w:rsidR="00AF3826" w:rsidRPr="00C9307C">
        <w:rPr>
          <w:rFonts w:eastAsia="Times New Roman" w:cs="Calibri"/>
          <w:bCs/>
          <w:color w:val="000000"/>
          <w:lang w:val="fr-FR"/>
        </w:rPr>
        <w:t xml:space="preserve">le </w:t>
      </w:r>
      <w:r w:rsidRPr="00C9307C">
        <w:rPr>
          <w:rFonts w:eastAsia="Times New Roman" w:cs="Calibri"/>
          <w:bCs/>
          <w:color w:val="000000"/>
          <w:lang w:val="fr-FR"/>
        </w:rPr>
        <w:t>déploiement d’une solution informatique pour l</w:t>
      </w:r>
      <w:r w:rsidR="00FB7F6E">
        <w:rPr>
          <w:rFonts w:eastAsia="Times New Roman" w:cs="Calibri"/>
          <w:bCs/>
          <w:color w:val="000000"/>
          <w:lang w:val="fr-FR"/>
        </w:rPr>
        <w:t>a préparation, la mise en œuvre,</w:t>
      </w:r>
      <w:r w:rsidRPr="00C9307C">
        <w:rPr>
          <w:rFonts w:eastAsia="Times New Roman" w:cs="Calibri"/>
          <w:bCs/>
          <w:color w:val="000000"/>
          <w:lang w:val="fr-FR"/>
        </w:rPr>
        <w:t xml:space="preserve"> et l’évaluation des programmes d’investissement publics d</w:t>
      </w:r>
      <w:r w:rsidR="00AF3826" w:rsidRPr="00C9307C">
        <w:rPr>
          <w:rFonts w:eastAsia="Times New Roman" w:cs="Calibri"/>
          <w:bCs/>
          <w:color w:val="000000"/>
          <w:lang w:val="fr-FR"/>
        </w:rPr>
        <w:t>u</w:t>
      </w:r>
      <w:r w:rsidRPr="00C9307C">
        <w:rPr>
          <w:rFonts w:eastAsia="Times New Roman" w:cs="Calibri"/>
          <w:bCs/>
          <w:color w:val="000000"/>
          <w:lang w:val="fr-FR"/>
        </w:rPr>
        <w:t xml:space="preserve"> MARNDR</w:t>
      </w:r>
      <w:r w:rsidR="00283F9F" w:rsidRPr="00C9307C">
        <w:rPr>
          <w:rFonts w:eastAsia="Times New Roman" w:cs="Calibri"/>
          <w:bCs/>
          <w:color w:val="000000"/>
          <w:lang w:val="fr-FR"/>
        </w:rPr>
        <w:t> ;</w:t>
      </w:r>
    </w:p>
    <w:p w14:paraId="2DA31197" w14:textId="77777777" w:rsidR="00A06E1B" w:rsidRPr="00C9307C" w:rsidRDefault="00AF3826" w:rsidP="00720B8F">
      <w:pPr>
        <w:pStyle w:val="ColorfulList-Accent11"/>
        <w:numPr>
          <w:ilvl w:val="0"/>
          <w:numId w:val="59"/>
        </w:numPr>
        <w:jc w:val="both"/>
        <w:rPr>
          <w:sz w:val="24"/>
          <w:szCs w:val="24"/>
          <w:lang w:val="fr-FR"/>
        </w:rPr>
      </w:pPr>
      <w:r w:rsidRPr="00C9307C">
        <w:rPr>
          <w:rFonts w:eastAsia="Times New Roman" w:cs="Calibri"/>
          <w:bCs/>
          <w:color w:val="000000"/>
          <w:lang w:val="fr-FR"/>
        </w:rPr>
        <w:t>L’équipement, la réhabilitation et l’aménagement des installations physiques pour les services des ministères sélectionnés, y compris les BAC et les écoles de formation ;</w:t>
      </w:r>
    </w:p>
    <w:p w14:paraId="63E68D8B" w14:textId="77777777" w:rsidR="00A06E1B" w:rsidRPr="00C9307C" w:rsidRDefault="00E03E16">
      <w:pPr>
        <w:pStyle w:val="ColorfulList-Accent11"/>
        <w:numPr>
          <w:ilvl w:val="0"/>
          <w:numId w:val="59"/>
        </w:numPr>
        <w:jc w:val="both"/>
        <w:rPr>
          <w:sz w:val="24"/>
          <w:szCs w:val="24"/>
          <w:lang w:val="fr-FR"/>
        </w:rPr>
      </w:pPr>
      <w:r w:rsidRPr="00C9307C">
        <w:rPr>
          <w:rFonts w:eastAsia="Times New Roman" w:cs="Calibri"/>
          <w:bCs/>
          <w:color w:val="000000"/>
          <w:lang w:val="fr-FR"/>
        </w:rPr>
        <w:t>Le renforcement de la surveillance du réseau routier</w:t>
      </w:r>
      <w:r w:rsidR="00AF3826" w:rsidRPr="00C9307C">
        <w:rPr>
          <w:rFonts w:eastAsia="Times New Roman" w:cs="Calibri"/>
          <w:bCs/>
          <w:color w:val="000000"/>
          <w:lang w:val="fr-FR"/>
        </w:rPr>
        <w:t> ;</w:t>
      </w:r>
    </w:p>
    <w:p w14:paraId="1ED0F679" w14:textId="77777777" w:rsidR="00AF3826" w:rsidRPr="00C9307C" w:rsidRDefault="00AF3826" w:rsidP="00720B8F">
      <w:pPr>
        <w:pStyle w:val="ColorfulList-Accent11"/>
        <w:numPr>
          <w:ilvl w:val="0"/>
          <w:numId w:val="59"/>
        </w:numPr>
        <w:jc w:val="both"/>
        <w:rPr>
          <w:sz w:val="24"/>
          <w:szCs w:val="24"/>
          <w:lang w:val="fr-FR"/>
        </w:rPr>
      </w:pPr>
      <w:r w:rsidRPr="00C9307C">
        <w:rPr>
          <w:rFonts w:eastAsia="Times New Roman" w:cs="Calibri"/>
          <w:bCs/>
          <w:color w:val="000000"/>
          <w:lang w:val="fr-FR"/>
        </w:rPr>
        <w:t xml:space="preserve">Le renforcement de services </w:t>
      </w:r>
      <w:r w:rsidR="003D521C" w:rsidRPr="00C9307C">
        <w:rPr>
          <w:rFonts w:eastAsia="Times New Roman" w:cs="Calibri"/>
          <w:bCs/>
          <w:color w:val="000000"/>
          <w:lang w:val="fr-FR"/>
        </w:rPr>
        <w:t>sélectionnés</w:t>
      </w:r>
      <w:r w:rsidRPr="00C9307C">
        <w:rPr>
          <w:rFonts w:eastAsia="Times New Roman" w:cs="Calibri"/>
          <w:bCs/>
          <w:color w:val="000000"/>
          <w:lang w:val="fr-FR"/>
        </w:rPr>
        <w:t xml:space="preserve"> du MTPTC.</w:t>
      </w:r>
    </w:p>
    <w:p w14:paraId="518C45CA" w14:textId="77777777" w:rsidR="00A06E1B" w:rsidRPr="00C9307C" w:rsidRDefault="00A06E1B" w:rsidP="00720B8F">
      <w:pPr>
        <w:pStyle w:val="ColorfulList-Accent11"/>
        <w:jc w:val="both"/>
        <w:rPr>
          <w:rFonts w:eastAsia="Times New Roman" w:cs="Calibri"/>
          <w:b/>
          <w:bCs/>
          <w:color w:val="000000"/>
          <w:lang w:val="fr-FR"/>
        </w:rPr>
      </w:pPr>
    </w:p>
    <w:p w14:paraId="0D5E3B51" w14:textId="445C20B5" w:rsidR="00A06E1B" w:rsidRPr="00C9307C" w:rsidRDefault="00E03E16" w:rsidP="00720B8F">
      <w:pPr>
        <w:pStyle w:val="ColorfulList-Accent11"/>
        <w:ind w:hanging="720"/>
        <w:jc w:val="both"/>
        <w:rPr>
          <w:rFonts w:eastAsia="Times New Roman" w:cs="Calibri"/>
          <w:b/>
          <w:bCs/>
          <w:color w:val="000000"/>
          <w:lang w:val="fr-FR"/>
        </w:rPr>
      </w:pPr>
      <w:r w:rsidRPr="00C9307C">
        <w:rPr>
          <w:rFonts w:eastAsia="Times New Roman" w:cs="Calibri"/>
          <w:b/>
          <w:bCs/>
          <w:color w:val="000000"/>
          <w:lang w:val="fr-FR"/>
        </w:rPr>
        <w:t xml:space="preserve">2.20 </w:t>
      </w:r>
      <w:r w:rsidR="00074D3F">
        <w:rPr>
          <w:rFonts w:eastAsia="Times New Roman" w:cs="Calibri"/>
          <w:b/>
          <w:bCs/>
          <w:color w:val="000000"/>
          <w:lang w:val="fr-FR"/>
        </w:rPr>
        <w:tab/>
      </w:r>
      <w:r w:rsidRPr="00C9307C">
        <w:rPr>
          <w:rFonts w:eastAsia="Times New Roman" w:cs="Calibri"/>
          <w:b/>
          <w:bCs/>
          <w:color w:val="000000"/>
          <w:lang w:val="fr-FR"/>
        </w:rPr>
        <w:t xml:space="preserve">A) </w:t>
      </w:r>
      <w:r w:rsidR="006866E8" w:rsidRPr="00C9307C">
        <w:rPr>
          <w:sz w:val="24"/>
          <w:szCs w:val="24"/>
          <w:lang w:val="fr-FR"/>
        </w:rPr>
        <w:t xml:space="preserve">Les activités de </w:t>
      </w:r>
      <w:r w:rsidR="00695737" w:rsidRPr="00C9307C">
        <w:rPr>
          <w:rFonts w:eastAsia="Times New Roman" w:cs="Calibri"/>
          <w:b/>
          <w:bCs/>
          <w:color w:val="000000"/>
          <w:lang w:val="fr-FR"/>
        </w:rPr>
        <w:t xml:space="preserve">Préparation d'analyses </w:t>
      </w:r>
      <w:r w:rsidR="00943A32" w:rsidRPr="00C9307C">
        <w:rPr>
          <w:rFonts w:eastAsia="Times New Roman" w:cs="Calibri"/>
          <w:b/>
          <w:bCs/>
          <w:color w:val="000000"/>
          <w:lang w:val="fr-FR"/>
        </w:rPr>
        <w:t>fonctionnelles</w:t>
      </w:r>
      <w:r w:rsidR="00695737" w:rsidRPr="00C9307C">
        <w:rPr>
          <w:rFonts w:eastAsia="Times New Roman" w:cs="Calibri"/>
          <w:b/>
          <w:bCs/>
          <w:color w:val="000000"/>
          <w:lang w:val="fr-FR"/>
        </w:rPr>
        <w:t xml:space="preserve"> et opérations, aux fins d’aligner l’organisation et les ressources humaines sur les fonctions et objectifs prioritaires des ministères et de leurs services essentiels ainsi que l’application des mesures </w:t>
      </w:r>
      <w:r w:rsidR="00BF1E17" w:rsidRPr="00C9307C">
        <w:rPr>
          <w:rFonts w:eastAsia="Times New Roman" w:cs="Calibri"/>
          <w:b/>
          <w:bCs/>
          <w:color w:val="000000"/>
          <w:lang w:val="fr-FR"/>
        </w:rPr>
        <w:t>proposés</w:t>
      </w:r>
      <w:r w:rsidR="00BF1E17" w:rsidRPr="00C9307C">
        <w:rPr>
          <w:rFonts w:eastAsia="Times New Roman" w:cs="Calibri"/>
          <w:bCs/>
          <w:color w:val="000000"/>
          <w:lang w:val="fr-FR"/>
        </w:rPr>
        <w:t> </w:t>
      </w:r>
      <w:r w:rsidR="00BF1E17" w:rsidRPr="00C9307C" w:rsidDel="00695737">
        <w:rPr>
          <w:rFonts w:eastAsia="Times New Roman" w:cs="Calibri"/>
          <w:b/>
          <w:bCs/>
          <w:color w:val="000000"/>
          <w:lang w:val="fr-FR"/>
        </w:rPr>
        <w:t>incluront</w:t>
      </w:r>
      <w:r w:rsidR="006866E8" w:rsidRPr="00C9307C">
        <w:rPr>
          <w:sz w:val="24"/>
          <w:szCs w:val="24"/>
          <w:lang w:val="fr-FR"/>
        </w:rPr>
        <w:t> :</w:t>
      </w:r>
    </w:p>
    <w:p w14:paraId="7316393C" w14:textId="77777777" w:rsidR="00DF6BDA" w:rsidRPr="00C9307C" w:rsidRDefault="006866E8">
      <w:pPr>
        <w:pStyle w:val="ColorfulList-Accent11"/>
        <w:jc w:val="both"/>
        <w:rPr>
          <w:rFonts w:eastAsia="Times New Roman" w:cs="Calibri"/>
          <w:color w:val="000000"/>
          <w:lang w:val="fr-FR"/>
        </w:rPr>
      </w:pPr>
      <w:r w:rsidRPr="00C9307C">
        <w:rPr>
          <w:rFonts w:eastAsia="Times New Roman" w:cs="Calibri"/>
          <w:b/>
          <w:bCs/>
          <w:color w:val="000000"/>
          <w:lang w:val="fr-FR"/>
        </w:rPr>
        <w:t>i. Le r</w:t>
      </w:r>
      <w:r w:rsidRPr="00C9307C">
        <w:rPr>
          <w:rFonts w:eastAsia="Times New Roman" w:cs="Calibri"/>
          <w:color w:val="000000"/>
          <w:lang w:val="fr-FR"/>
        </w:rPr>
        <w:t xml:space="preserve">ecrutement de firme pour le MARNDR qui </w:t>
      </w:r>
      <w:r w:rsidR="00DF6BDA" w:rsidRPr="00C9307C">
        <w:rPr>
          <w:rFonts w:eastAsia="Times New Roman" w:cs="Calibri"/>
          <w:color w:val="000000"/>
          <w:lang w:val="fr-FR"/>
        </w:rPr>
        <w:t>effectuera :</w:t>
      </w:r>
    </w:p>
    <w:p w14:paraId="369EB672" w14:textId="77777777" w:rsidR="00DF6BDA" w:rsidRPr="00C9307C" w:rsidRDefault="006866E8">
      <w:pPr>
        <w:pStyle w:val="ColorfulList-Accent11"/>
        <w:jc w:val="both"/>
        <w:rPr>
          <w:rFonts w:eastAsia="Times New Roman" w:cs="Calibri"/>
          <w:color w:val="000000"/>
          <w:lang w:val="fr-FR"/>
        </w:rPr>
      </w:pPr>
      <w:r w:rsidRPr="00C9307C">
        <w:rPr>
          <w:rFonts w:eastAsia="Times New Roman" w:cs="Calibri"/>
          <w:color w:val="000000"/>
          <w:lang w:val="fr-FR"/>
        </w:rPr>
        <w:t>La préparation des revues fonctionnelles et opérationnelles ;</w:t>
      </w:r>
    </w:p>
    <w:p w14:paraId="01CA12CD" w14:textId="77777777" w:rsidR="00A06E1B" w:rsidRPr="00C9307C" w:rsidRDefault="006866E8" w:rsidP="00720B8F">
      <w:pPr>
        <w:pStyle w:val="ColorfulList-Accent11"/>
        <w:jc w:val="both"/>
        <w:rPr>
          <w:rFonts w:eastAsia="Times New Roman" w:cs="Calibri"/>
          <w:color w:val="000000"/>
          <w:lang w:val="fr-FR"/>
        </w:rPr>
      </w:pPr>
      <w:r w:rsidRPr="00C9307C">
        <w:rPr>
          <w:rFonts w:eastAsia="Times New Roman" w:cs="Calibri"/>
          <w:color w:val="000000"/>
          <w:lang w:val="fr-FR"/>
        </w:rPr>
        <w:t>L'examen de la composition en ressources humaines ;</w:t>
      </w:r>
    </w:p>
    <w:p w14:paraId="403FFEB7" w14:textId="77777777" w:rsidR="00A06E1B" w:rsidRPr="00C9307C" w:rsidRDefault="006866E8" w:rsidP="00720B8F">
      <w:pPr>
        <w:pStyle w:val="ColorfulList-Accent11"/>
        <w:jc w:val="both"/>
        <w:rPr>
          <w:rFonts w:eastAsia="Times New Roman" w:cs="Calibri"/>
          <w:color w:val="000000"/>
          <w:lang w:val="fr-FR"/>
        </w:rPr>
      </w:pPr>
      <w:r w:rsidRPr="00C9307C">
        <w:rPr>
          <w:rFonts w:eastAsia="Times New Roman" w:cs="Calibri"/>
          <w:b/>
          <w:bCs/>
          <w:color w:val="000000"/>
          <w:lang w:val="fr-FR"/>
        </w:rPr>
        <w:t>ii.        L’a</w:t>
      </w:r>
      <w:r w:rsidR="00A511AA" w:rsidRPr="00C9307C">
        <w:rPr>
          <w:rFonts w:eastAsia="Times New Roman" w:cs="Calibri"/>
          <w:color w:val="000000"/>
          <w:lang w:val="fr-FR"/>
        </w:rPr>
        <w:t>telier de validation</w:t>
      </w:r>
    </w:p>
    <w:p w14:paraId="721B8DD1" w14:textId="78B9A4A3" w:rsidR="00DF6BDA" w:rsidRPr="00C9307C" w:rsidRDefault="006866E8">
      <w:pPr>
        <w:pStyle w:val="ColorfulList-Accent11"/>
        <w:jc w:val="both"/>
        <w:rPr>
          <w:rFonts w:eastAsia="Times New Roman" w:cs="Calibri"/>
          <w:color w:val="000000"/>
          <w:lang w:val="fr-FR"/>
        </w:rPr>
      </w:pPr>
      <w:proofErr w:type="gramStart"/>
      <w:r w:rsidRPr="00C9307C">
        <w:rPr>
          <w:rFonts w:eastAsia="Times New Roman" w:cs="Calibri"/>
          <w:b/>
          <w:bCs/>
          <w:color w:val="000000"/>
          <w:lang w:val="fr-FR"/>
        </w:rPr>
        <w:t>iii</w:t>
      </w:r>
      <w:proofErr w:type="gramEnd"/>
      <w:r w:rsidR="00AC24C3" w:rsidRPr="00C9307C">
        <w:rPr>
          <w:rFonts w:eastAsia="Times New Roman" w:cs="Calibri"/>
          <w:b/>
          <w:bCs/>
          <w:color w:val="000000"/>
          <w:lang w:val="fr-FR"/>
        </w:rPr>
        <w:t xml:space="preserve"> </w:t>
      </w:r>
      <w:r w:rsidRPr="00C9307C">
        <w:rPr>
          <w:rFonts w:eastAsia="Times New Roman" w:cs="Calibri"/>
          <w:color w:val="000000"/>
          <w:lang w:val="fr-FR"/>
        </w:rPr>
        <w:t>Recrutement de firme pour le MTPTC qui effectuera:</w:t>
      </w:r>
    </w:p>
    <w:p w14:paraId="261C8BE1" w14:textId="77777777" w:rsidR="00DF6BDA" w:rsidRPr="00C9307C" w:rsidRDefault="006866E8">
      <w:pPr>
        <w:pStyle w:val="ColorfulList-Accent11"/>
        <w:jc w:val="both"/>
        <w:rPr>
          <w:rFonts w:eastAsia="Times New Roman" w:cs="Calibri"/>
          <w:color w:val="000000"/>
          <w:lang w:val="fr-FR"/>
        </w:rPr>
      </w:pPr>
      <w:r w:rsidRPr="00C9307C">
        <w:rPr>
          <w:rFonts w:eastAsia="Times New Roman" w:cs="Calibri"/>
          <w:color w:val="000000"/>
          <w:lang w:val="fr-FR"/>
        </w:rPr>
        <w:t>- La préparation des revues fonctionnelles et opérationnelles ;</w:t>
      </w:r>
    </w:p>
    <w:p w14:paraId="302F0171" w14:textId="77777777" w:rsidR="00A06E1B" w:rsidRPr="00C9307C" w:rsidRDefault="006866E8" w:rsidP="00720B8F">
      <w:pPr>
        <w:pStyle w:val="ColorfulList-Accent11"/>
        <w:jc w:val="both"/>
        <w:rPr>
          <w:rFonts w:eastAsia="Times New Roman" w:cs="Calibri"/>
          <w:color w:val="000000"/>
          <w:lang w:val="fr-FR"/>
        </w:rPr>
      </w:pPr>
      <w:r w:rsidRPr="00C9307C">
        <w:rPr>
          <w:rFonts w:eastAsia="Times New Roman" w:cs="Calibri"/>
          <w:color w:val="000000"/>
          <w:lang w:val="fr-FR"/>
        </w:rPr>
        <w:t>- L'examen de la composition en ressources humaines ;</w:t>
      </w:r>
    </w:p>
    <w:p w14:paraId="16572990" w14:textId="77777777" w:rsidR="00A06E1B" w:rsidRPr="00C9307C" w:rsidRDefault="006866E8" w:rsidP="00720B8F">
      <w:pPr>
        <w:pStyle w:val="ColorfulList-Accent11"/>
        <w:jc w:val="both"/>
        <w:rPr>
          <w:rFonts w:eastAsia="Times New Roman" w:cs="Calibri"/>
          <w:b/>
          <w:bCs/>
          <w:color w:val="000000"/>
          <w:lang w:val="fr-FR"/>
        </w:rPr>
      </w:pPr>
      <w:proofErr w:type="gramStart"/>
      <w:r w:rsidRPr="00C9307C">
        <w:rPr>
          <w:rFonts w:eastAsia="Times New Roman" w:cs="Calibri"/>
          <w:b/>
          <w:bCs/>
          <w:color w:val="000000"/>
          <w:lang w:val="fr-FR"/>
        </w:rPr>
        <w:t>iv</w:t>
      </w:r>
      <w:proofErr w:type="gramEnd"/>
      <w:r w:rsidRPr="00C9307C">
        <w:rPr>
          <w:rFonts w:eastAsia="Times New Roman" w:cs="Calibri"/>
          <w:b/>
          <w:bCs/>
          <w:color w:val="000000"/>
          <w:lang w:val="fr-FR"/>
        </w:rPr>
        <w:t xml:space="preserve">        L’a</w:t>
      </w:r>
      <w:r w:rsidR="00A511AA" w:rsidRPr="00C9307C">
        <w:rPr>
          <w:rFonts w:eastAsia="Times New Roman" w:cs="Calibri"/>
          <w:color w:val="000000"/>
          <w:lang w:val="fr-FR"/>
        </w:rPr>
        <w:t>telier de validation</w:t>
      </w:r>
    </w:p>
    <w:p w14:paraId="28E2472A" w14:textId="77777777" w:rsidR="00A06E1B" w:rsidRPr="00C9307C" w:rsidRDefault="00A06E1B" w:rsidP="00720B8F">
      <w:pPr>
        <w:pStyle w:val="ColorfulList-Accent11"/>
        <w:jc w:val="both"/>
        <w:rPr>
          <w:rFonts w:eastAsia="Times New Roman" w:cs="Calibri"/>
          <w:b/>
          <w:bCs/>
          <w:color w:val="000000"/>
          <w:lang w:val="fr-FR"/>
        </w:rPr>
      </w:pPr>
    </w:p>
    <w:p w14:paraId="0BD0E589" w14:textId="1D5FA9B4" w:rsidR="00A06E1B" w:rsidRPr="00C9307C" w:rsidRDefault="00E03E16" w:rsidP="00720B8F">
      <w:pPr>
        <w:pStyle w:val="ColorfulList-Accent11"/>
        <w:ind w:hanging="720"/>
        <w:jc w:val="both"/>
        <w:rPr>
          <w:rFonts w:eastAsia="Times New Roman" w:cs="Calibri"/>
          <w:bCs/>
          <w:color w:val="000000"/>
          <w:lang w:val="fr-FR"/>
        </w:rPr>
      </w:pPr>
      <w:r w:rsidRPr="00C9307C">
        <w:rPr>
          <w:rFonts w:eastAsia="Times New Roman" w:cs="Calibri"/>
          <w:b/>
          <w:bCs/>
          <w:color w:val="000000"/>
          <w:lang w:val="fr-FR"/>
        </w:rPr>
        <w:t>2</w:t>
      </w:r>
      <w:r w:rsidR="00943A32" w:rsidRPr="00C9307C">
        <w:rPr>
          <w:rFonts w:eastAsia="Times New Roman" w:cs="Calibri"/>
          <w:b/>
          <w:bCs/>
          <w:color w:val="000000"/>
          <w:lang w:val="fr-FR"/>
        </w:rPr>
        <w:t>.</w:t>
      </w:r>
      <w:r w:rsidRPr="00C9307C">
        <w:rPr>
          <w:rFonts w:eastAsia="Times New Roman" w:cs="Calibri"/>
          <w:b/>
          <w:bCs/>
          <w:color w:val="000000"/>
          <w:lang w:val="fr-FR"/>
        </w:rPr>
        <w:t xml:space="preserve">21 </w:t>
      </w:r>
      <w:r w:rsidR="00074D3F">
        <w:rPr>
          <w:rFonts w:eastAsia="Times New Roman" w:cs="Calibri"/>
          <w:b/>
          <w:bCs/>
          <w:color w:val="000000"/>
          <w:lang w:val="fr-FR"/>
        </w:rPr>
        <w:tab/>
      </w:r>
      <w:r w:rsidRPr="00C9307C">
        <w:rPr>
          <w:rFonts w:eastAsia="Times New Roman" w:cs="Calibri"/>
          <w:b/>
          <w:bCs/>
          <w:color w:val="000000"/>
          <w:lang w:val="fr-FR"/>
        </w:rPr>
        <w:t xml:space="preserve">B) </w:t>
      </w:r>
      <w:r w:rsidR="006866E8" w:rsidRPr="00C9307C">
        <w:rPr>
          <w:sz w:val="24"/>
          <w:szCs w:val="24"/>
          <w:lang w:val="fr-FR"/>
        </w:rPr>
        <w:t xml:space="preserve">Les activités de la </w:t>
      </w:r>
      <w:r w:rsidR="00695737" w:rsidRPr="00C9307C">
        <w:rPr>
          <w:rFonts w:eastAsia="Times New Roman" w:cs="Calibri"/>
          <w:bCs/>
          <w:color w:val="000000"/>
          <w:lang w:val="fr-FR"/>
        </w:rPr>
        <w:t>mise en œuvre d’un</w:t>
      </w:r>
      <w:r w:rsidR="00AC24C3" w:rsidRPr="00C9307C">
        <w:rPr>
          <w:rFonts w:eastAsia="Times New Roman" w:cs="Calibri"/>
          <w:bCs/>
          <w:color w:val="000000"/>
          <w:lang w:val="fr-FR"/>
        </w:rPr>
        <w:t xml:space="preserve"> </w:t>
      </w:r>
      <w:r w:rsidR="00695737" w:rsidRPr="00C9307C">
        <w:rPr>
          <w:rFonts w:eastAsia="Times New Roman" w:cs="Calibri"/>
          <w:b/>
          <w:bCs/>
          <w:color w:val="000000"/>
          <w:lang w:val="fr-FR"/>
        </w:rPr>
        <w:t>programme de formation inspiré des besoins identifiés dans le cadre de l’activité antérieure</w:t>
      </w:r>
      <w:r w:rsidR="00AC24C3" w:rsidRPr="00C9307C">
        <w:rPr>
          <w:rFonts w:eastAsia="Times New Roman" w:cs="Calibri"/>
          <w:b/>
          <w:bCs/>
          <w:color w:val="000000"/>
          <w:lang w:val="fr-FR"/>
        </w:rPr>
        <w:t xml:space="preserve"> </w:t>
      </w:r>
      <w:r w:rsidR="006866E8" w:rsidRPr="00C9307C">
        <w:rPr>
          <w:rFonts w:eastAsia="Times New Roman" w:cs="Calibri"/>
          <w:bCs/>
          <w:color w:val="000000"/>
          <w:lang w:val="fr-FR"/>
        </w:rPr>
        <w:t>incluront</w:t>
      </w:r>
    </w:p>
    <w:p w14:paraId="680272FD" w14:textId="0AF26171" w:rsidR="00624A81" w:rsidRPr="00C9307C" w:rsidRDefault="006866E8" w:rsidP="00624A81">
      <w:pPr>
        <w:pStyle w:val="ColorfulList-Accent11"/>
        <w:numPr>
          <w:ilvl w:val="0"/>
          <w:numId w:val="60"/>
        </w:numPr>
        <w:jc w:val="both"/>
        <w:rPr>
          <w:color w:val="000000"/>
          <w:lang w:val="fr-FR"/>
        </w:rPr>
      </w:pPr>
      <w:r w:rsidRPr="00C9307C">
        <w:rPr>
          <w:rFonts w:eastAsia="Times New Roman" w:cs="Calibri"/>
          <w:color w:val="000000"/>
          <w:lang w:val="fr-FR"/>
        </w:rPr>
        <w:t>La sélection d'experts pour effectuer les formations </w:t>
      </w:r>
      <w:r w:rsidR="00AC24C3" w:rsidRPr="00C9307C">
        <w:rPr>
          <w:bCs/>
          <w:i/>
          <w:iCs/>
          <w:color w:val="000000"/>
          <w:lang w:val="fr-FR"/>
        </w:rPr>
        <w:t>(suivant</w:t>
      </w:r>
      <w:r w:rsidR="00624A81" w:rsidRPr="00C9307C">
        <w:rPr>
          <w:bCs/>
          <w:i/>
          <w:iCs/>
          <w:color w:val="000000"/>
          <w:lang w:val="fr-FR"/>
        </w:rPr>
        <w:t xml:space="preserve"> les besoins identifies lors des analyses fonctionnelles ; les institutions nationales de formation telles que la FAMV pourront être sollicitées pour la dispense de ces formations)</w:t>
      </w:r>
      <w:r w:rsidR="00624A81" w:rsidRPr="00C9307C">
        <w:rPr>
          <w:color w:val="000000"/>
          <w:lang w:val="fr-FR"/>
        </w:rPr>
        <w:t xml:space="preserve">. </w:t>
      </w:r>
    </w:p>
    <w:p w14:paraId="410232EB" w14:textId="77777777" w:rsidR="00A06E1B" w:rsidRPr="00C9307C" w:rsidRDefault="006866E8" w:rsidP="00720B8F">
      <w:pPr>
        <w:pStyle w:val="ColorfulList-Accent11"/>
        <w:numPr>
          <w:ilvl w:val="0"/>
          <w:numId w:val="60"/>
        </w:numPr>
        <w:jc w:val="both"/>
        <w:rPr>
          <w:rFonts w:eastAsia="Times New Roman" w:cs="Calibri"/>
          <w:b/>
          <w:bCs/>
          <w:color w:val="000000"/>
          <w:lang w:val="fr-FR"/>
        </w:rPr>
      </w:pPr>
      <w:r w:rsidRPr="00C9307C">
        <w:rPr>
          <w:rFonts w:eastAsia="Times New Roman" w:cs="Calibri"/>
          <w:color w:val="000000"/>
          <w:lang w:val="fr-FR"/>
        </w:rPr>
        <w:t>L</w:t>
      </w:r>
      <w:r w:rsidR="00695737" w:rsidRPr="00C9307C">
        <w:rPr>
          <w:rFonts w:eastAsia="Times New Roman" w:cs="Calibri"/>
          <w:color w:val="000000"/>
          <w:lang w:val="fr-FR"/>
        </w:rPr>
        <w:t>a dispensation d</w:t>
      </w:r>
      <w:r w:rsidRPr="00C9307C">
        <w:rPr>
          <w:rFonts w:eastAsia="Times New Roman" w:cs="Calibri"/>
          <w:color w:val="000000"/>
          <w:lang w:val="fr-FR"/>
        </w:rPr>
        <w:t>es formations offertes</w:t>
      </w:r>
    </w:p>
    <w:p w14:paraId="0C684780" w14:textId="77777777" w:rsidR="00A06E1B" w:rsidRPr="00C9307C" w:rsidRDefault="00A06E1B" w:rsidP="00720B8F">
      <w:pPr>
        <w:pStyle w:val="ColorfulList-Accent11"/>
        <w:jc w:val="both"/>
        <w:rPr>
          <w:rFonts w:eastAsia="Times New Roman" w:cs="Calibri"/>
          <w:b/>
          <w:bCs/>
          <w:color w:val="000000"/>
          <w:lang w:val="fr-FR"/>
        </w:rPr>
      </w:pPr>
    </w:p>
    <w:p w14:paraId="178BC315" w14:textId="79FE3215" w:rsidR="00A06E1B" w:rsidRPr="00AE01D3" w:rsidRDefault="00E03E16" w:rsidP="00720B8F">
      <w:pPr>
        <w:pStyle w:val="ColorfulList-Accent11"/>
        <w:ind w:hanging="720"/>
        <w:jc w:val="both"/>
        <w:rPr>
          <w:rFonts w:eastAsia="Times New Roman" w:cs="Calibri"/>
          <w:b/>
          <w:bCs/>
          <w:color w:val="000000"/>
          <w:lang w:val="fr-FR"/>
        </w:rPr>
      </w:pPr>
      <w:r w:rsidRPr="00C9307C">
        <w:rPr>
          <w:rFonts w:eastAsia="Times New Roman" w:cs="Calibri"/>
          <w:b/>
          <w:bCs/>
          <w:color w:val="000000"/>
          <w:lang w:val="fr-FR"/>
        </w:rPr>
        <w:t xml:space="preserve">2.22 </w:t>
      </w:r>
      <w:r w:rsidR="00074D3F">
        <w:rPr>
          <w:rFonts w:eastAsia="Times New Roman" w:cs="Calibri"/>
          <w:b/>
          <w:bCs/>
          <w:color w:val="000000"/>
          <w:lang w:val="fr-FR"/>
        </w:rPr>
        <w:tab/>
      </w:r>
      <w:r w:rsidRPr="00C9307C">
        <w:rPr>
          <w:rFonts w:eastAsia="Times New Roman" w:cs="Calibri"/>
          <w:b/>
          <w:bCs/>
          <w:color w:val="000000"/>
          <w:lang w:val="fr-FR"/>
        </w:rPr>
        <w:t xml:space="preserve">C) </w:t>
      </w:r>
      <w:r w:rsidR="006866E8" w:rsidRPr="00C9307C">
        <w:rPr>
          <w:sz w:val="24"/>
          <w:szCs w:val="24"/>
          <w:lang w:val="fr-FR"/>
        </w:rPr>
        <w:t>Les activités de la m</w:t>
      </w:r>
      <w:r w:rsidRPr="00C9307C">
        <w:rPr>
          <w:rFonts w:eastAsia="Times New Roman" w:cs="Calibri"/>
          <w:b/>
          <w:bCs/>
          <w:color w:val="000000"/>
          <w:lang w:val="fr-FR"/>
        </w:rPr>
        <w:t xml:space="preserve">ise en place d'un programme d'incitation </w:t>
      </w:r>
      <w:r w:rsidR="00695737" w:rsidRPr="00C9307C">
        <w:rPr>
          <w:rFonts w:eastAsia="Times New Roman" w:cs="Calibri"/>
          <w:b/>
          <w:bCs/>
          <w:color w:val="000000"/>
          <w:lang w:val="fr-FR"/>
        </w:rPr>
        <w:t>pour le départ à la retraite</w:t>
      </w:r>
      <w:r w:rsidR="00AE01D3">
        <w:rPr>
          <w:rFonts w:eastAsia="Times New Roman" w:cs="Calibri"/>
          <w:b/>
          <w:bCs/>
          <w:color w:val="000000"/>
          <w:lang w:val="fr-FR"/>
        </w:rPr>
        <w:t xml:space="preserve"> des fonctionnaires</w:t>
      </w:r>
      <w:r w:rsidR="00AC24C3" w:rsidRPr="00AE01D3">
        <w:rPr>
          <w:rFonts w:eastAsia="Times New Roman" w:cs="Calibri"/>
          <w:b/>
          <w:bCs/>
          <w:color w:val="000000"/>
          <w:lang w:val="fr-FR"/>
        </w:rPr>
        <w:t xml:space="preserve"> </w:t>
      </w:r>
      <w:r w:rsidR="006866E8" w:rsidRPr="00AE01D3">
        <w:rPr>
          <w:rFonts w:eastAsia="Times New Roman" w:cs="Calibri"/>
          <w:b/>
          <w:bCs/>
          <w:color w:val="000000"/>
          <w:lang w:val="fr-FR"/>
        </w:rPr>
        <w:t>incluront :</w:t>
      </w:r>
    </w:p>
    <w:p w14:paraId="67C7BE57" w14:textId="77777777" w:rsidR="00A06E1B" w:rsidRPr="00C9307C" w:rsidRDefault="006866E8"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i. </w:t>
      </w:r>
      <w:r w:rsidRPr="00C9307C">
        <w:rPr>
          <w:rFonts w:eastAsia="Times New Roman" w:cs="Calibri"/>
          <w:color w:val="000000"/>
          <w:lang w:val="fr-FR"/>
        </w:rPr>
        <w:t xml:space="preserve"> Le paiement des incitations au personnel des ministères sur base des évaluations fonctionnelles ;</w:t>
      </w:r>
    </w:p>
    <w:p w14:paraId="74DDF4E8" w14:textId="77777777" w:rsidR="00A06E1B" w:rsidRPr="00C9307C" w:rsidRDefault="006866E8" w:rsidP="00720B8F">
      <w:pPr>
        <w:pStyle w:val="ColorfulList-Accent11"/>
        <w:jc w:val="both"/>
        <w:rPr>
          <w:rFonts w:eastAsia="Times New Roman" w:cs="Calibri"/>
          <w:b/>
          <w:bCs/>
          <w:color w:val="000000"/>
          <w:lang w:val="fr-FR"/>
        </w:rPr>
      </w:pPr>
      <w:r w:rsidRPr="00C9307C">
        <w:rPr>
          <w:rFonts w:eastAsia="Times New Roman" w:cs="Calibri"/>
          <w:b/>
          <w:bCs/>
          <w:color w:val="000000"/>
          <w:lang w:val="fr-FR"/>
        </w:rPr>
        <w:t>ii. Le p</w:t>
      </w:r>
      <w:r w:rsidRPr="00C9307C">
        <w:rPr>
          <w:rFonts w:eastAsia="Times New Roman" w:cs="Calibri"/>
          <w:color w:val="000000"/>
          <w:lang w:val="fr-FR"/>
        </w:rPr>
        <w:t>aiement d‘ incitations au personnel d’autres ministères</w:t>
      </w:r>
    </w:p>
    <w:p w14:paraId="0209584E" w14:textId="77777777" w:rsidR="00A06E1B" w:rsidRPr="00C9307C" w:rsidRDefault="00A06E1B" w:rsidP="00720B8F">
      <w:pPr>
        <w:pStyle w:val="ColorfulList-Accent11"/>
        <w:jc w:val="both"/>
        <w:rPr>
          <w:rFonts w:eastAsia="Times New Roman" w:cs="Calibri"/>
          <w:b/>
          <w:bCs/>
          <w:color w:val="000000"/>
          <w:lang w:val="fr-FR"/>
        </w:rPr>
      </w:pPr>
    </w:p>
    <w:p w14:paraId="3B8D4ABB" w14:textId="6241BC20" w:rsidR="00A06E1B" w:rsidRPr="00C9307C" w:rsidRDefault="00E03E16" w:rsidP="00074D3F">
      <w:pPr>
        <w:pStyle w:val="ColorfulList-Accent11"/>
        <w:tabs>
          <w:tab w:val="left" w:pos="540"/>
          <w:tab w:val="left" w:pos="720"/>
        </w:tabs>
        <w:ind w:hanging="720"/>
        <w:jc w:val="both"/>
        <w:rPr>
          <w:rFonts w:eastAsia="Times New Roman" w:cs="Calibri"/>
          <w:b/>
          <w:bCs/>
          <w:color w:val="000000"/>
          <w:lang w:val="fr-FR"/>
        </w:rPr>
      </w:pPr>
      <w:r w:rsidRPr="00C9307C">
        <w:rPr>
          <w:rFonts w:eastAsia="Times New Roman" w:cs="Calibri"/>
          <w:b/>
          <w:bCs/>
          <w:color w:val="000000"/>
          <w:lang w:val="fr-FR"/>
        </w:rPr>
        <w:t>2.23</w:t>
      </w:r>
      <w:r w:rsidR="00074D3F">
        <w:rPr>
          <w:rFonts w:eastAsia="Times New Roman" w:cs="Calibri"/>
          <w:b/>
          <w:bCs/>
          <w:color w:val="000000"/>
          <w:lang w:val="fr-FR"/>
        </w:rPr>
        <w:tab/>
      </w:r>
      <w:r w:rsidR="00074D3F">
        <w:rPr>
          <w:rFonts w:eastAsia="Times New Roman" w:cs="Calibri"/>
          <w:b/>
          <w:bCs/>
          <w:color w:val="000000"/>
          <w:lang w:val="fr-FR"/>
        </w:rPr>
        <w:tab/>
      </w:r>
      <w:r w:rsidRPr="00C9307C">
        <w:rPr>
          <w:rFonts w:eastAsia="Times New Roman" w:cs="Calibri"/>
          <w:b/>
          <w:bCs/>
          <w:color w:val="000000"/>
          <w:lang w:val="fr-FR"/>
        </w:rPr>
        <w:t xml:space="preserve">D) </w:t>
      </w:r>
      <w:r w:rsidR="006866E8" w:rsidRPr="00C9307C">
        <w:rPr>
          <w:sz w:val="24"/>
          <w:szCs w:val="24"/>
          <w:lang w:val="fr-FR"/>
        </w:rPr>
        <w:t xml:space="preserve">Les activités de </w:t>
      </w:r>
      <w:r w:rsidR="00695737" w:rsidRPr="00C9307C">
        <w:rPr>
          <w:rFonts w:eastAsia="Times New Roman" w:cs="Calibri"/>
          <w:b/>
          <w:bCs/>
          <w:color w:val="000000"/>
          <w:lang w:val="fr-FR"/>
        </w:rPr>
        <w:t xml:space="preserve">recrutement, le paiement et l’augmentation des salaires du personnel pour les postes qu’il est indispensable de couvrir selon l’actualisation des analyses </w:t>
      </w:r>
      <w:r w:rsidR="00943A32" w:rsidRPr="00C9307C">
        <w:rPr>
          <w:rFonts w:eastAsia="Times New Roman" w:cs="Calibri"/>
          <w:b/>
          <w:bCs/>
          <w:color w:val="000000"/>
          <w:lang w:val="fr-FR"/>
        </w:rPr>
        <w:t>fonctionnelles</w:t>
      </w:r>
      <w:r w:rsidR="00695737" w:rsidRPr="00C9307C">
        <w:rPr>
          <w:rFonts w:eastAsia="Times New Roman" w:cs="Calibri"/>
          <w:b/>
          <w:bCs/>
          <w:color w:val="000000"/>
          <w:lang w:val="fr-FR"/>
        </w:rPr>
        <w:t xml:space="preserve"> et </w:t>
      </w:r>
      <w:r w:rsidR="00695737" w:rsidRPr="00C9307C">
        <w:rPr>
          <w:rFonts w:eastAsia="Times New Roman" w:cs="Calibri"/>
          <w:b/>
          <w:bCs/>
          <w:color w:val="000000"/>
          <w:lang w:val="fr-FR"/>
        </w:rPr>
        <w:lastRenderedPageBreak/>
        <w:t>d’organisation, dans la mesure où les nouveaux fonctionnaires sont recrutés sur compétition conformément aux normes de la fonction publique et dans la mesure où il s’agit de postes de haute direction, de gestion techniques et de techniciens seniors selon ce qui a été convenu dans l’AACI concerné</w:t>
      </w:r>
      <w:r w:rsidR="00695737" w:rsidRPr="00C9307C">
        <w:rPr>
          <w:rFonts w:eastAsia="Times New Roman" w:cs="Calibri"/>
          <w:bCs/>
          <w:color w:val="000000"/>
          <w:lang w:val="fr-FR"/>
        </w:rPr>
        <w:t> </w:t>
      </w:r>
      <w:r w:rsidR="006866E8" w:rsidRPr="00C9307C">
        <w:rPr>
          <w:rFonts w:eastAsia="Times New Roman" w:cs="Calibri"/>
          <w:bCs/>
          <w:color w:val="000000"/>
          <w:lang w:val="fr-FR"/>
        </w:rPr>
        <w:t>incluront :</w:t>
      </w:r>
    </w:p>
    <w:p w14:paraId="3678A9B9" w14:textId="77777777" w:rsidR="00A06E1B" w:rsidRPr="00C9307C" w:rsidRDefault="006866E8" w:rsidP="00720B8F">
      <w:pPr>
        <w:pStyle w:val="ColorfulList-Accent11"/>
        <w:jc w:val="both"/>
        <w:rPr>
          <w:rFonts w:eastAsia="Times New Roman" w:cs="Calibri"/>
          <w:color w:val="000000"/>
          <w:lang w:val="fr-FR"/>
        </w:rPr>
      </w:pPr>
      <w:r w:rsidRPr="00C9307C">
        <w:rPr>
          <w:rFonts w:eastAsia="Times New Roman" w:cs="Calibri"/>
          <w:b/>
          <w:bCs/>
          <w:color w:val="000000"/>
          <w:lang w:val="fr-FR"/>
        </w:rPr>
        <w:t>i.    L’i</w:t>
      </w:r>
      <w:r w:rsidRPr="00C9307C">
        <w:rPr>
          <w:rFonts w:eastAsia="Times New Roman" w:cs="Calibri"/>
          <w:color w:val="000000"/>
          <w:lang w:val="fr-FR"/>
        </w:rPr>
        <w:t>dentification des postes prioritaires à couvrir (a</w:t>
      </w:r>
      <w:r w:rsidR="00695737" w:rsidRPr="00C9307C">
        <w:rPr>
          <w:rFonts w:eastAsia="Times New Roman" w:cs="Calibri"/>
          <w:color w:val="000000"/>
          <w:lang w:val="fr-FR"/>
        </w:rPr>
        <w:t>dministratif</w:t>
      </w:r>
      <w:r w:rsidRPr="00C9307C">
        <w:rPr>
          <w:rFonts w:eastAsia="Times New Roman" w:cs="Calibri"/>
          <w:color w:val="000000"/>
          <w:lang w:val="fr-FR"/>
        </w:rPr>
        <w:t xml:space="preserve"> et technique) ;</w:t>
      </w:r>
    </w:p>
    <w:p w14:paraId="4E13FB1E" w14:textId="77777777" w:rsidR="00A06E1B" w:rsidRPr="00C9307C" w:rsidRDefault="006866E8" w:rsidP="00720B8F">
      <w:pPr>
        <w:pStyle w:val="ColorfulList-Accent11"/>
        <w:jc w:val="both"/>
        <w:rPr>
          <w:rFonts w:eastAsia="Times New Roman" w:cs="Calibri"/>
          <w:b/>
          <w:bCs/>
          <w:color w:val="000000"/>
          <w:lang w:val="fr-FR"/>
        </w:rPr>
      </w:pPr>
      <w:r w:rsidRPr="00C9307C">
        <w:rPr>
          <w:rFonts w:eastAsia="Times New Roman" w:cs="Calibri"/>
          <w:b/>
          <w:bCs/>
          <w:color w:val="000000"/>
          <w:lang w:val="fr-FR"/>
        </w:rPr>
        <w:t>ii.  Le r</w:t>
      </w:r>
      <w:r w:rsidRPr="00C9307C">
        <w:rPr>
          <w:rFonts w:eastAsia="Times New Roman" w:cs="Calibri"/>
          <w:color w:val="000000"/>
          <w:lang w:val="fr-FR"/>
        </w:rPr>
        <w:t xml:space="preserve">ecrutement compétitif avec </w:t>
      </w:r>
      <w:r w:rsidR="00695737" w:rsidRPr="00C9307C">
        <w:rPr>
          <w:rFonts w:eastAsia="Times New Roman" w:cs="Calibri"/>
          <w:color w:val="000000"/>
          <w:lang w:val="fr-FR"/>
        </w:rPr>
        <w:t>l’</w:t>
      </w:r>
      <w:r w:rsidRPr="00C9307C">
        <w:rPr>
          <w:rFonts w:eastAsia="Times New Roman" w:cs="Calibri"/>
          <w:color w:val="000000"/>
          <w:lang w:val="fr-FR"/>
        </w:rPr>
        <w:t>approche genre basée sur l'amélioration des normes de la fonction publique en tant que produit du projet</w:t>
      </w:r>
    </w:p>
    <w:p w14:paraId="6F9590BA" w14:textId="77777777" w:rsidR="00A06E1B" w:rsidRPr="00C9307C" w:rsidRDefault="00A06E1B" w:rsidP="00720B8F">
      <w:pPr>
        <w:pStyle w:val="ColorfulList-Accent11"/>
        <w:jc w:val="both"/>
        <w:rPr>
          <w:rFonts w:eastAsia="Times New Roman" w:cs="Calibri"/>
          <w:b/>
          <w:bCs/>
          <w:color w:val="000000"/>
          <w:lang w:val="fr-FR"/>
        </w:rPr>
      </w:pPr>
    </w:p>
    <w:p w14:paraId="57DE1FD0" w14:textId="06575099" w:rsidR="00A06E1B" w:rsidRPr="00C9307C" w:rsidRDefault="00E03E16" w:rsidP="00720B8F">
      <w:pPr>
        <w:pStyle w:val="ColorfulList-Accent11"/>
        <w:ind w:hanging="720"/>
        <w:jc w:val="both"/>
        <w:rPr>
          <w:rFonts w:eastAsia="Times New Roman" w:cs="Calibri"/>
          <w:b/>
          <w:bCs/>
          <w:color w:val="000000"/>
          <w:lang w:val="fr-FR"/>
        </w:rPr>
      </w:pPr>
      <w:r w:rsidRPr="00C9307C">
        <w:rPr>
          <w:rFonts w:eastAsia="Times New Roman" w:cs="Calibri"/>
          <w:b/>
          <w:bCs/>
          <w:color w:val="000000"/>
          <w:lang w:val="fr-FR"/>
        </w:rPr>
        <w:t xml:space="preserve">2.24 </w:t>
      </w:r>
      <w:r w:rsidR="00074D3F">
        <w:rPr>
          <w:rFonts w:eastAsia="Times New Roman" w:cs="Calibri"/>
          <w:b/>
          <w:bCs/>
          <w:color w:val="000000"/>
          <w:lang w:val="fr-FR"/>
        </w:rPr>
        <w:tab/>
      </w:r>
      <w:r w:rsidRPr="00C9307C">
        <w:rPr>
          <w:rFonts w:eastAsia="Times New Roman" w:cs="Calibri"/>
          <w:b/>
          <w:bCs/>
          <w:color w:val="000000"/>
          <w:lang w:val="fr-FR"/>
        </w:rPr>
        <w:t xml:space="preserve">E) </w:t>
      </w:r>
      <w:r w:rsidR="006866E8" w:rsidRPr="00C9307C">
        <w:rPr>
          <w:sz w:val="24"/>
          <w:szCs w:val="24"/>
          <w:lang w:val="fr-FR"/>
        </w:rPr>
        <w:t xml:space="preserve">Les activités </w:t>
      </w:r>
      <w:r w:rsidR="00283F9F" w:rsidRPr="00C9307C">
        <w:rPr>
          <w:sz w:val="24"/>
          <w:szCs w:val="24"/>
          <w:lang w:val="fr-FR"/>
        </w:rPr>
        <w:t>d’</w:t>
      </w:r>
      <w:r w:rsidR="00283F9F" w:rsidRPr="00C9307C">
        <w:rPr>
          <w:rFonts w:eastAsia="Times New Roman" w:cs="Calibri"/>
          <w:b/>
          <w:bCs/>
          <w:color w:val="000000"/>
          <w:lang w:val="fr-FR"/>
        </w:rPr>
        <w:t>acquisition et le déploiement d’une solution informatique pour l’élaboration, l’exécution et l’évaluation des programmes d’investissement publics au bénéfice du MARNDR</w:t>
      </w:r>
      <w:r w:rsidR="00AC24C3" w:rsidRPr="00C9307C">
        <w:rPr>
          <w:rFonts w:eastAsia="Times New Roman" w:cs="Calibri"/>
          <w:b/>
          <w:bCs/>
          <w:color w:val="000000"/>
          <w:lang w:val="fr-FR"/>
        </w:rPr>
        <w:t xml:space="preserve"> </w:t>
      </w:r>
      <w:r w:rsidR="006866E8" w:rsidRPr="00C9307C">
        <w:rPr>
          <w:rFonts w:eastAsia="Times New Roman" w:cs="Calibri"/>
          <w:bCs/>
          <w:color w:val="000000"/>
          <w:lang w:val="fr-FR"/>
        </w:rPr>
        <w:t>incluront :</w:t>
      </w:r>
    </w:p>
    <w:p w14:paraId="7F774C4B" w14:textId="77777777" w:rsidR="00A06E1B" w:rsidRPr="00C9307C" w:rsidRDefault="006866E8" w:rsidP="00720B8F">
      <w:pPr>
        <w:pStyle w:val="ColorfulList-Accent11"/>
        <w:jc w:val="both"/>
        <w:rPr>
          <w:rFonts w:eastAsia="Times New Roman" w:cs="Calibri"/>
          <w:color w:val="000000"/>
          <w:lang w:val="fr-FR"/>
        </w:rPr>
      </w:pPr>
      <w:r w:rsidRPr="00C9307C">
        <w:rPr>
          <w:rFonts w:eastAsia="Times New Roman" w:cs="Calibri"/>
          <w:b/>
          <w:bCs/>
          <w:color w:val="000000"/>
          <w:lang w:val="fr-FR"/>
        </w:rPr>
        <w:t>i.     L’é</w:t>
      </w:r>
      <w:r w:rsidRPr="00C9307C">
        <w:rPr>
          <w:rFonts w:eastAsia="Times New Roman" w:cs="Calibri"/>
          <w:color w:val="000000"/>
          <w:lang w:val="fr-FR"/>
        </w:rPr>
        <w:t>laboration d'un DAO complet et répondant aux attentes du MARNDR, du Gouvernement, des PTF en termes de services rendus par la solution informatique ;</w:t>
      </w:r>
    </w:p>
    <w:p w14:paraId="1EB6E25E" w14:textId="77777777" w:rsidR="00A06E1B" w:rsidRPr="00C9307C" w:rsidRDefault="006866E8" w:rsidP="00720B8F">
      <w:pPr>
        <w:pStyle w:val="ColorfulList-Accent11"/>
        <w:jc w:val="both"/>
        <w:rPr>
          <w:rFonts w:eastAsia="Times New Roman" w:cs="Calibri"/>
          <w:b/>
          <w:bCs/>
          <w:color w:val="000000"/>
          <w:lang w:val="fr-FR"/>
        </w:rPr>
      </w:pPr>
      <w:r w:rsidRPr="00C9307C">
        <w:rPr>
          <w:rFonts w:eastAsia="Times New Roman" w:cs="Calibri"/>
          <w:b/>
          <w:bCs/>
          <w:color w:val="000000"/>
          <w:lang w:val="fr-FR"/>
        </w:rPr>
        <w:t>ii.      Le r</w:t>
      </w:r>
      <w:r w:rsidR="00A511AA" w:rsidRPr="00C9307C">
        <w:rPr>
          <w:rFonts w:eastAsia="Times New Roman" w:cs="Calibri"/>
          <w:color w:val="000000"/>
          <w:lang w:val="fr-FR"/>
        </w:rPr>
        <w:t>ecrutement de la firme</w:t>
      </w:r>
    </w:p>
    <w:p w14:paraId="6916F335" w14:textId="77777777" w:rsidR="00A06E1B" w:rsidRPr="00C9307C" w:rsidRDefault="00A06E1B" w:rsidP="00720B8F">
      <w:pPr>
        <w:pStyle w:val="ColorfulList-Accent11"/>
        <w:jc w:val="both"/>
        <w:rPr>
          <w:rFonts w:eastAsia="Times New Roman" w:cs="Calibri"/>
          <w:b/>
          <w:bCs/>
          <w:color w:val="000000"/>
          <w:lang w:val="fr-FR"/>
        </w:rPr>
      </w:pPr>
    </w:p>
    <w:p w14:paraId="307D27E6" w14:textId="5EBBBF84" w:rsidR="00A06E1B" w:rsidRPr="00C9307C" w:rsidRDefault="00E03E16" w:rsidP="00720B8F">
      <w:pPr>
        <w:pStyle w:val="ColorfulList-Accent11"/>
        <w:ind w:hanging="720"/>
        <w:jc w:val="both"/>
        <w:rPr>
          <w:rFonts w:eastAsia="Times New Roman" w:cs="Calibri"/>
          <w:b/>
          <w:bCs/>
          <w:color w:val="000000"/>
          <w:lang w:val="fr-FR"/>
        </w:rPr>
      </w:pPr>
      <w:r w:rsidRPr="00C9307C">
        <w:rPr>
          <w:rFonts w:eastAsia="Times New Roman" w:cs="Calibri"/>
          <w:b/>
          <w:bCs/>
          <w:color w:val="000000"/>
          <w:lang w:val="fr-FR"/>
        </w:rPr>
        <w:t xml:space="preserve">2.25 </w:t>
      </w:r>
      <w:r w:rsidR="00074D3F">
        <w:rPr>
          <w:rFonts w:eastAsia="Times New Roman" w:cs="Calibri"/>
          <w:b/>
          <w:bCs/>
          <w:color w:val="000000"/>
          <w:lang w:val="fr-FR"/>
        </w:rPr>
        <w:tab/>
      </w:r>
      <w:r w:rsidRPr="00C9307C">
        <w:rPr>
          <w:rFonts w:eastAsia="Times New Roman" w:cs="Calibri"/>
          <w:b/>
          <w:bCs/>
          <w:color w:val="000000"/>
          <w:lang w:val="fr-FR"/>
        </w:rPr>
        <w:t xml:space="preserve">F) </w:t>
      </w:r>
      <w:r w:rsidR="006866E8" w:rsidRPr="00C9307C">
        <w:rPr>
          <w:sz w:val="24"/>
          <w:szCs w:val="24"/>
          <w:lang w:val="fr-FR"/>
        </w:rPr>
        <w:t>Les activités d</w:t>
      </w:r>
      <w:r w:rsidR="00283F9F" w:rsidRPr="00C9307C">
        <w:rPr>
          <w:rFonts w:eastAsia="Times New Roman" w:cs="Calibri"/>
          <w:bCs/>
          <w:color w:val="000000"/>
          <w:lang w:val="fr-FR"/>
        </w:rPr>
        <w:t>’</w:t>
      </w:r>
      <w:r w:rsidR="00283F9F" w:rsidRPr="00C9307C">
        <w:rPr>
          <w:rFonts w:eastAsia="Times New Roman" w:cs="Calibri"/>
          <w:b/>
          <w:bCs/>
          <w:color w:val="000000"/>
          <w:lang w:val="fr-FR"/>
        </w:rPr>
        <w:t xml:space="preserve">équipement, la réhabilitation et l’aménagement des installations physiques pour les services des ministères sélectionnés, y compris les BAC et les écoles de </w:t>
      </w:r>
      <w:r w:rsidR="00BF1E17" w:rsidRPr="00C9307C">
        <w:rPr>
          <w:rFonts w:eastAsia="Times New Roman" w:cs="Calibri"/>
          <w:b/>
          <w:bCs/>
          <w:color w:val="000000"/>
          <w:lang w:val="fr-FR"/>
        </w:rPr>
        <w:t>formation</w:t>
      </w:r>
      <w:r w:rsidR="00BF1E17" w:rsidRPr="00C9307C">
        <w:rPr>
          <w:rFonts w:eastAsia="Times New Roman" w:cs="Calibri"/>
          <w:bCs/>
          <w:color w:val="000000"/>
          <w:lang w:val="fr-FR"/>
        </w:rPr>
        <w:t> </w:t>
      </w:r>
      <w:r w:rsidR="00BF1E17" w:rsidRPr="00C9307C" w:rsidDel="00283F9F">
        <w:rPr>
          <w:sz w:val="24"/>
          <w:szCs w:val="24"/>
          <w:lang w:val="fr-FR"/>
        </w:rPr>
        <w:t>incluront</w:t>
      </w:r>
      <w:r w:rsidR="006866E8" w:rsidRPr="00C9307C">
        <w:rPr>
          <w:rFonts w:eastAsia="Times New Roman" w:cs="Calibri"/>
          <w:bCs/>
          <w:color w:val="000000"/>
          <w:lang w:val="fr-FR"/>
        </w:rPr>
        <w:t> :</w:t>
      </w:r>
    </w:p>
    <w:p w14:paraId="4C706EC2" w14:textId="77777777" w:rsidR="00A06E1B" w:rsidRPr="00C9307C" w:rsidRDefault="006866E8" w:rsidP="00720B8F">
      <w:pPr>
        <w:pStyle w:val="ColorfulList-Accent11"/>
        <w:jc w:val="both"/>
        <w:rPr>
          <w:rFonts w:eastAsia="Times New Roman" w:cs="Calibri"/>
          <w:color w:val="000000"/>
          <w:lang w:val="fr-FR"/>
        </w:rPr>
      </w:pPr>
      <w:r w:rsidRPr="00C9307C">
        <w:rPr>
          <w:rFonts w:eastAsia="Times New Roman" w:cs="Calibri"/>
          <w:b/>
          <w:bCs/>
          <w:color w:val="000000"/>
          <w:lang w:val="fr-FR"/>
        </w:rPr>
        <w:t>i.    L’é</w:t>
      </w:r>
      <w:r w:rsidRPr="00C9307C">
        <w:rPr>
          <w:rFonts w:eastAsia="Times New Roman" w:cs="Calibri"/>
          <w:color w:val="000000"/>
          <w:lang w:val="fr-FR"/>
        </w:rPr>
        <w:t xml:space="preserve">laboration d'un DAO pour la sélection d’une </w:t>
      </w:r>
      <w:r w:rsidR="00283F9F" w:rsidRPr="00C9307C">
        <w:rPr>
          <w:rFonts w:eastAsia="Times New Roman" w:cs="Calibri"/>
          <w:color w:val="000000"/>
          <w:lang w:val="fr-FR"/>
        </w:rPr>
        <w:t>firme</w:t>
      </w:r>
      <w:r w:rsidRPr="00C9307C">
        <w:rPr>
          <w:rFonts w:eastAsia="Times New Roman" w:cs="Calibri"/>
          <w:color w:val="000000"/>
          <w:lang w:val="fr-FR"/>
        </w:rPr>
        <w:t xml:space="preserve"> qui effectuera l’évaluation structurelle des BAC et écoles de formations existantes et transmettra une estimation des coûts de réhabilitation et des équipements nécessaires ;</w:t>
      </w:r>
    </w:p>
    <w:p w14:paraId="1055D7E7" w14:textId="41217EA3" w:rsidR="00A06E1B" w:rsidRPr="00C9307C" w:rsidRDefault="006866E8"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ii.     </w:t>
      </w:r>
      <w:r w:rsidR="00A511AA" w:rsidRPr="00C9307C">
        <w:rPr>
          <w:rFonts w:eastAsia="Times New Roman" w:cs="Calibri"/>
          <w:color w:val="000000"/>
          <w:lang w:val="fr-FR"/>
        </w:rPr>
        <w:t>L</w:t>
      </w:r>
      <w:r w:rsidR="00D97764" w:rsidRPr="00C9307C">
        <w:rPr>
          <w:rFonts w:eastAsia="Times New Roman" w:cs="Calibri"/>
          <w:color w:val="000000"/>
          <w:lang w:val="fr-FR"/>
        </w:rPr>
        <w:t>e l</w:t>
      </w:r>
      <w:r w:rsidR="00A511AA" w:rsidRPr="00C9307C">
        <w:rPr>
          <w:rFonts w:eastAsia="Times New Roman" w:cs="Calibri"/>
          <w:color w:val="000000"/>
          <w:lang w:val="fr-FR"/>
        </w:rPr>
        <w:t>ancement de l’appel d’offres</w:t>
      </w:r>
      <w:r w:rsidR="00AC24C3" w:rsidRPr="00C9307C">
        <w:rPr>
          <w:rFonts w:eastAsia="Times New Roman" w:cs="Calibri"/>
          <w:color w:val="000000"/>
          <w:lang w:val="fr-FR"/>
        </w:rPr>
        <w:t xml:space="preserve"> </w:t>
      </w:r>
      <w:r w:rsidR="00A511AA" w:rsidRPr="00C9307C">
        <w:rPr>
          <w:rFonts w:eastAsia="Times New Roman" w:cs="Calibri"/>
          <w:color w:val="000000"/>
          <w:lang w:val="fr-FR"/>
        </w:rPr>
        <w:t>;</w:t>
      </w:r>
    </w:p>
    <w:p w14:paraId="48488113" w14:textId="65598E72"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iii</w:t>
      </w:r>
      <w:r w:rsidR="00C31C59">
        <w:rPr>
          <w:rFonts w:eastAsia="Times New Roman" w:cs="Calibri"/>
          <w:b/>
          <w:bCs/>
          <w:color w:val="000000"/>
          <w:lang w:val="fr-FR"/>
        </w:rPr>
        <w:t>.</w:t>
      </w:r>
      <w:r w:rsidRPr="00C9307C">
        <w:rPr>
          <w:rFonts w:eastAsia="Times New Roman" w:cs="Calibri"/>
          <w:b/>
          <w:bCs/>
          <w:color w:val="000000"/>
          <w:lang w:val="fr-FR"/>
        </w:rPr>
        <w:t xml:space="preserve">    Le r</w:t>
      </w:r>
      <w:r w:rsidR="00A511AA" w:rsidRPr="00C9307C">
        <w:rPr>
          <w:rFonts w:eastAsia="Times New Roman" w:cs="Calibri"/>
          <w:color w:val="000000"/>
          <w:lang w:val="fr-FR"/>
        </w:rPr>
        <w:t>ecrutement de la firme</w:t>
      </w:r>
      <w:r w:rsidRPr="00C9307C">
        <w:rPr>
          <w:rFonts w:eastAsia="Times New Roman" w:cs="Calibri"/>
          <w:color w:val="000000"/>
          <w:lang w:val="fr-FR"/>
        </w:rPr>
        <w:t> ;</w:t>
      </w:r>
    </w:p>
    <w:p w14:paraId="208C8CAC" w14:textId="37BA9956" w:rsidR="00283F9F" w:rsidRPr="00C9307C" w:rsidRDefault="00D97764">
      <w:pPr>
        <w:pStyle w:val="ColorfulList-Accent11"/>
        <w:jc w:val="both"/>
        <w:rPr>
          <w:rFonts w:eastAsia="Times New Roman" w:cs="Calibri"/>
          <w:color w:val="000000"/>
          <w:lang w:val="fr-FR"/>
        </w:rPr>
      </w:pPr>
      <w:r w:rsidRPr="00C9307C">
        <w:rPr>
          <w:rFonts w:eastAsia="Times New Roman" w:cs="Calibri"/>
          <w:b/>
          <w:bCs/>
          <w:color w:val="000000"/>
          <w:lang w:val="fr-FR"/>
        </w:rPr>
        <w:t>iv</w:t>
      </w:r>
      <w:r w:rsidR="00C31C59">
        <w:rPr>
          <w:rFonts w:eastAsia="Times New Roman" w:cs="Calibri"/>
          <w:b/>
          <w:bCs/>
          <w:color w:val="000000"/>
          <w:lang w:val="fr-FR"/>
        </w:rPr>
        <w:t>.</w:t>
      </w:r>
      <w:r w:rsidRPr="00C9307C">
        <w:rPr>
          <w:rFonts w:eastAsia="Times New Roman" w:cs="Calibri"/>
          <w:b/>
          <w:bCs/>
          <w:color w:val="000000"/>
          <w:lang w:val="fr-FR"/>
        </w:rPr>
        <w:t xml:space="preserve"> </w:t>
      </w:r>
      <w:r w:rsidR="00AC24C3" w:rsidRPr="00C9307C">
        <w:rPr>
          <w:rFonts w:eastAsia="Times New Roman" w:cs="Calibri"/>
          <w:b/>
          <w:bCs/>
          <w:color w:val="000000"/>
          <w:lang w:val="fr-FR"/>
        </w:rPr>
        <w:t xml:space="preserve"> </w:t>
      </w:r>
      <w:r w:rsidRPr="00C9307C">
        <w:rPr>
          <w:rFonts w:eastAsia="Times New Roman" w:cs="Calibri"/>
          <w:b/>
          <w:bCs/>
          <w:color w:val="000000"/>
          <w:lang w:val="fr-FR"/>
        </w:rPr>
        <w:t>La p</w:t>
      </w:r>
      <w:r w:rsidRPr="00C9307C">
        <w:rPr>
          <w:rFonts w:eastAsia="Times New Roman" w:cs="Calibri"/>
          <w:color w:val="000000"/>
          <w:lang w:val="fr-FR"/>
        </w:rPr>
        <w:t xml:space="preserve">riorisation par le MARNDR des BAC à réhabiliter et équiper sur la </w:t>
      </w:r>
      <w:proofErr w:type="gramStart"/>
      <w:r w:rsidRPr="00C9307C">
        <w:rPr>
          <w:rFonts w:eastAsia="Times New Roman" w:cs="Calibri"/>
          <w:color w:val="000000"/>
          <w:lang w:val="fr-FR"/>
        </w:rPr>
        <w:t>base:</w:t>
      </w:r>
      <w:proofErr w:type="gramEnd"/>
      <w:r w:rsidRPr="00C9307C">
        <w:rPr>
          <w:rFonts w:eastAsia="Times New Roman" w:cs="Calibri"/>
          <w:color w:val="000000"/>
          <w:lang w:val="fr-FR"/>
        </w:rPr>
        <w:t xml:space="preserve"> </w:t>
      </w:r>
    </w:p>
    <w:p w14:paraId="4AFD62FF" w14:textId="77777777" w:rsidR="00283F9F" w:rsidRPr="00C9307C" w:rsidRDefault="00D97764">
      <w:pPr>
        <w:pStyle w:val="ColorfulList-Accent11"/>
        <w:jc w:val="both"/>
        <w:rPr>
          <w:rFonts w:eastAsia="Times New Roman" w:cs="Calibri"/>
          <w:color w:val="000000"/>
          <w:lang w:val="fr-FR"/>
        </w:rPr>
      </w:pPr>
      <w:r w:rsidRPr="00C9307C">
        <w:rPr>
          <w:rFonts w:eastAsia="Times New Roman" w:cs="Calibri"/>
          <w:color w:val="000000"/>
          <w:lang w:val="fr-FR"/>
        </w:rPr>
        <w:t>- du rapport de la firme qui aura effectué l'évaluation structurelle et fait une proposition de coûts</w:t>
      </w:r>
    </w:p>
    <w:p w14:paraId="75CBB989" w14:textId="77777777"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color w:val="000000"/>
          <w:lang w:val="fr-FR"/>
        </w:rPr>
        <w:t xml:space="preserve">- des services qui auront </w:t>
      </w:r>
      <w:proofErr w:type="gramStart"/>
      <w:r w:rsidRPr="00C9307C">
        <w:rPr>
          <w:rFonts w:eastAsia="Times New Roman" w:cs="Calibri"/>
          <w:color w:val="000000"/>
          <w:lang w:val="fr-FR"/>
        </w:rPr>
        <w:t>étés</w:t>
      </w:r>
      <w:proofErr w:type="gramEnd"/>
      <w:r w:rsidRPr="00C9307C">
        <w:rPr>
          <w:rFonts w:eastAsia="Times New Roman" w:cs="Calibri"/>
          <w:color w:val="000000"/>
          <w:lang w:val="fr-FR"/>
        </w:rPr>
        <w:t xml:space="preserve"> </w:t>
      </w:r>
      <w:r w:rsidR="00283F9F" w:rsidRPr="00C9307C">
        <w:rPr>
          <w:rFonts w:eastAsia="Times New Roman" w:cs="Calibri"/>
          <w:color w:val="000000"/>
          <w:lang w:val="fr-FR"/>
        </w:rPr>
        <w:t>sélectionnés</w:t>
      </w:r>
      <w:r w:rsidRPr="00C9307C">
        <w:rPr>
          <w:rFonts w:eastAsia="Times New Roman" w:cs="Calibri"/>
          <w:color w:val="000000"/>
          <w:lang w:val="fr-FR"/>
        </w:rPr>
        <w:t xml:space="preserve"> par le MARNDR ;</w:t>
      </w:r>
    </w:p>
    <w:p w14:paraId="2399A200" w14:textId="6DDE049B"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v</w:t>
      </w:r>
      <w:r w:rsidR="00C31C59">
        <w:rPr>
          <w:rFonts w:eastAsia="Times New Roman" w:cs="Calibri"/>
          <w:b/>
          <w:bCs/>
          <w:color w:val="000000"/>
          <w:lang w:val="fr-FR"/>
        </w:rPr>
        <w:t>.</w:t>
      </w:r>
      <w:r w:rsidRPr="00C9307C">
        <w:rPr>
          <w:rFonts w:eastAsia="Times New Roman" w:cs="Calibri"/>
          <w:b/>
          <w:bCs/>
          <w:color w:val="000000"/>
          <w:lang w:val="fr-FR"/>
        </w:rPr>
        <w:t xml:space="preserve">  L’é</w:t>
      </w:r>
      <w:r w:rsidRPr="00C9307C">
        <w:rPr>
          <w:rFonts w:eastAsia="Times New Roman" w:cs="Calibri"/>
          <w:color w:val="000000"/>
          <w:lang w:val="fr-FR"/>
        </w:rPr>
        <w:t>laboration d'un DAO pour la sélection d’une/ de compagnie(s) qui effectueront la réhabilitation des centres et fournira un PGES ;</w:t>
      </w:r>
    </w:p>
    <w:p w14:paraId="57E89CC3" w14:textId="4D21192E"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vi</w:t>
      </w:r>
      <w:r w:rsidR="00C31C59">
        <w:rPr>
          <w:rFonts w:eastAsia="Times New Roman" w:cs="Calibri"/>
          <w:b/>
          <w:bCs/>
          <w:color w:val="000000"/>
          <w:lang w:val="fr-FR"/>
        </w:rPr>
        <w:t xml:space="preserve">.  </w:t>
      </w:r>
      <w:r w:rsidR="00AC24C3" w:rsidRPr="00C9307C">
        <w:rPr>
          <w:rFonts w:eastAsia="Times New Roman" w:cs="Calibri"/>
          <w:b/>
          <w:bCs/>
          <w:color w:val="000000"/>
          <w:lang w:val="fr-FR"/>
        </w:rPr>
        <w:t xml:space="preserve"> </w:t>
      </w:r>
      <w:r w:rsidR="00A511AA" w:rsidRPr="00C9307C">
        <w:rPr>
          <w:rFonts w:eastAsia="Times New Roman" w:cs="Calibri"/>
          <w:color w:val="000000"/>
          <w:lang w:val="fr-FR"/>
        </w:rPr>
        <w:t>L</w:t>
      </w:r>
      <w:r w:rsidRPr="00C9307C">
        <w:rPr>
          <w:rFonts w:eastAsia="Times New Roman" w:cs="Calibri"/>
          <w:color w:val="000000"/>
          <w:lang w:val="fr-FR"/>
        </w:rPr>
        <w:t>e l</w:t>
      </w:r>
      <w:r w:rsidR="00A511AA" w:rsidRPr="00C9307C">
        <w:rPr>
          <w:rFonts w:eastAsia="Times New Roman" w:cs="Calibri"/>
          <w:color w:val="000000"/>
          <w:lang w:val="fr-FR"/>
        </w:rPr>
        <w:t>ancement de l’appel d’offre</w:t>
      </w:r>
      <w:r w:rsidRPr="00C9307C">
        <w:rPr>
          <w:rFonts w:eastAsia="Times New Roman" w:cs="Calibri"/>
          <w:color w:val="000000"/>
          <w:lang w:val="fr-FR"/>
        </w:rPr>
        <w:t>s ;</w:t>
      </w:r>
    </w:p>
    <w:p w14:paraId="11D2B89D" w14:textId="09CFE4F0"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vii</w:t>
      </w:r>
      <w:r w:rsidR="00C31C59">
        <w:rPr>
          <w:rFonts w:eastAsia="Times New Roman" w:cs="Calibri"/>
          <w:b/>
          <w:bCs/>
          <w:color w:val="000000"/>
          <w:lang w:val="fr-FR"/>
        </w:rPr>
        <w:t>.</w:t>
      </w:r>
      <w:r w:rsidRPr="00C9307C">
        <w:rPr>
          <w:rFonts w:eastAsia="Times New Roman" w:cs="Calibri"/>
          <w:b/>
          <w:bCs/>
          <w:color w:val="000000"/>
          <w:lang w:val="fr-FR"/>
        </w:rPr>
        <w:t xml:space="preserve">   Le r</w:t>
      </w:r>
      <w:r w:rsidRPr="00C9307C">
        <w:rPr>
          <w:rFonts w:eastAsia="Times New Roman" w:cs="Calibri"/>
          <w:color w:val="000000"/>
          <w:lang w:val="fr-FR"/>
        </w:rPr>
        <w:t>ecrutement de la /des firme(s)</w:t>
      </w:r>
    </w:p>
    <w:p w14:paraId="5C01155B" w14:textId="77777777" w:rsidR="00A06E1B" w:rsidRPr="00C9307C" w:rsidRDefault="00A06E1B" w:rsidP="00720B8F">
      <w:pPr>
        <w:pStyle w:val="ColorfulList-Accent11"/>
        <w:jc w:val="both"/>
        <w:rPr>
          <w:rFonts w:eastAsia="Times New Roman" w:cs="Calibri"/>
          <w:b/>
          <w:bCs/>
          <w:color w:val="000000"/>
          <w:lang w:val="fr-FR"/>
        </w:rPr>
      </w:pPr>
    </w:p>
    <w:p w14:paraId="309D3859" w14:textId="63AF2529" w:rsidR="00A06E1B" w:rsidRPr="00C9307C" w:rsidRDefault="00E03E16" w:rsidP="00720B8F">
      <w:pPr>
        <w:pStyle w:val="ColorfulList-Accent11"/>
        <w:ind w:hanging="720"/>
        <w:jc w:val="both"/>
        <w:rPr>
          <w:rFonts w:eastAsia="Times New Roman" w:cs="Calibri"/>
          <w:b/>
          <w:bCs/>
          <w:color w:val="000000"/>
          <w:lang w:val="fr-FR"/>
        </w:rPr>
      </w:pPr>
      <w:r w:rsidRPr="00C9307C">
        <w:rPr>
          <w:rFonts w:eastAsia="Times New Roman" w:cs="Calibri"/>
          <w:b/>
          <w:bCs/>
          <w:color w:val="000000"/>
          <w:lang w:val="fr-FR"/>
        </w:rPr>
        <w:t xml:space="preserve">2.26 </w:t>
      </w:r>
      <w:r w:rsidR="00074D3F">
        <w:rPr>
          <w:rFonts w:eastAsia="Times New Roman" w:cs="Calibri"/>
          <w:b/>
          <w:bCs/>
          <w:color w:val="000000"/>
          <w:lang w:val="fr-FR"/>
        </w:rPr>
        <w:tab/>
      </w:r>
      <w:r w:rsidRPr="00C9307C">
        <w:rPr>
          <w:rFonts w:eastAsia="Times New Roman" w:cs="Calibri"/>
          <w:b/>
          <w:bCs/>
          <w:color w:val="000000"/>
          <w:lang w:val="fr-FR"/>
        </w:rPr>
        <w:t xml:space="preserve">G) </w:t>
      </w:r>
      <w:r w:rsidR="006866E8" w:rsidRPr="00C9307C">
        <w:rPr>
          <w:sz w:val="24"/>
          <w:szCs w:val="24"/>
          <w:lang w:val="fr-FR"/>
        </w:rPr>
        <w:t xml:space="preserve">Les activités de </w:t>
      </w:r>
      <w:r w:rsidRPr="00C9307C">
        <w:rPr>
          <w:rFonts w:eastAsia="Times New Roman" w:cs="Calibri"/>
          <w:b/>
          <w:bCs/>
          <w:color w:val="000000"/>
          <w:lang w:val="fr-FR"/>
        </w:rPr>
        <w:t>Renforcement de la surveillance du réseau routier</w:t>
      </w:r>
      <w:r w:rsidR="006866E8" w:rsidRPr="00C9307C">
        <w:rPr>
          <w:rFonts w:eastAsia="Times New Roman" w:cs="Calibri"/>
          <w:b/>
          <w:bCs/>
          <w:color w:val="000000"/>
          <w:lang w:val="fr-FR"/>
        </w:rPr>
        <w:t xml:space="preserve"> incluront :</w:t>
      </w:r>
    </w:p>
    <w:p w14:paraId="1A878494" w14:textId="77777777" w:rsidR="00A06E1B" w:rsidRPr="00C9307C" w:rsidRDefault="006866E8"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i. </w:t>
      </w:r>
      <w:r w:rsidR="00D97764" w:rsidRPr="00C9307C">
        <w:rPr>
          <w:rFonts w:eastAsia="Times New Roman" w:cs="Calibri"/>
          <w:b/>
          <w:bCs/>
          <w:color w:val="000000"/>
          <w:lang w:val="fr-FR"/>
        </w:rPr>
        <w:t xml:space="preserve">   L’é</w:t>
      </w:r>
      <w:r w:rsidR="00D97764" w:rsidRPr="00C9307C">
        <w:rPr>
          <w:rFonts w:eastAsia="Times New Roman" w:cs="Calibri"/>
          <w:color w:val="000000"/>
          <w:lang w:val="fr-FR"/>
        </w:rPr>
        <w:t xml:space="preserve">laboration de </w:t>
      </w:r>
      <w:proofErr w:type="spellStart"/>
      <w:r w:rsidR="00D97764" w:rsidRPr="00C9307C">
        <w:rPr>
          <w:rFonts w:eastAsia="Times New Roman" w:cs="Calibri"/>
          <w:color w:val="000000"/>
          <w:lang w:val="fr-FR"/>
        </w:rPr>
        <w:t>TdRs</w:t>
      </w:r>
      <w:proofErr w:type="spellEnd"/>
      <w:r w:rsidR="00D97764" w:rsidRPr="00C9307C">
        <w:rPr>
          <w:rFonts w:eastAsia="Times New Roman" w:cs="Calibri"/>
          <w:color w:val="000000"/>
          <w:lang w:val="fr-FR"/>
        </w:rPr>
        <w:t xml:space="preserve"> pour le modèle conceptuel de la surveillance du </w:t>
      </w:r>
      <w:r w:rsidR="00283F9F" w:rsidRPr="00C9307C">
        <w:rPr>
          <w:rFonts w:eastAsia="Times New Roman" w:cs="Calibri"/>
          <w:color w:val="000000"/>
          <w:lang w:val="fr-FR"/>
        </w:rPr>
        <w:t>réseau</w:t>
      </w:r>
      <w:r w:rsidR="00D97764" w:rsidRPr="00C9307C">
        <w:rPr>
          <w:rFonts w:eastAsia="Times New Roman" w:cs="Calibri"/>
          <w:color w:val="000000"/>
          <w:lang w:val="fr-FR"/>
        </w:rPr>
        <w:t xml:space="preserve"> routier ;</w:t>
      </w:r>
    </w:p>
    <w:p w14:paraId="5BF5D7DD" w14:textId="77777777"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ii.   Le r</w:t>
      </w:r>
      <w:r w:rsidRPr="00C9307C">
        <w:rPr>
          <w:rFonts w:eastAsia="Times New Roman" w:cs="Calibri"/>
          <w:color w:val="000000"/>
          <w:lang w:val="fr-FR"/>
        </w:rPr>
        <w:t xml:space="preserve">ecrutement d'un expert sur la base des </w:t>
      </w:r>
      <w:proofErr w:type="spellStart"/>
      <w:r w:rsidRPr="00C9307C">
        <w:rPr>
          <w:rFonts w:eastAsia="Times New Roman" w:cs="Calibri"/>
          <w:color w:val="000000"/>
          <w:lang w:val="fr-FR"/>
        </w:rPr>
        <w:t>TdRs</w:t>
      </w:r>
      <w:proofErr w:type="spellEnd"/>
      <w:r w:rsidRPr="00C9307C">
        <w:rPr>
          <w:rFonts w:eastAsia="Times New Roman" w:cs="Calibri"/>
          <w:color w:val="000000"/>
          <w:lang w:val="fr-FR"/>
        </w:rPr>
        <w:t> ;</w:t>
      </w:r>
    </w:p>
    <w:p w14:paraId="016718AC" w14:textId="0033B638" w:rsidR="00A06E1B" w:rsidRPr="00C9307C" w:rsidRDefault="00283F9F" w:rsidP="00720B8F">
      <w:pPr>
        <w:pStyle w:val="ColorfulList-Accent11"/>
        <w:jc w:val="both"/>
        <w:rPr>
          <w:rFonts w:eastAsia="Times New Roman" w:cs="Calibri"/>
          <w:color w:val="000000"/>
          <w:lang w:val="fr-FR"/>
        </w:rPr>
      </w:pPr>
      <w:r w:rsidRPr="00C9307C">
        <w:rPr>
          <w:rFonts w:eastAsia="Times New Roman" w:cs="Calibri"/>
          <w:b/>
          <w:bCs/>
          <w:color w:val="000000"/>
          <w:lang w:val="fr-FR"/>
        </w:rPr>
        <w:t>iii</w:t>
      </w:r>
      <w:r w:rsidR="00C31C59">
        <w:rPr>
          <w:rFonts w:eastAsia="Times New Roman" w:cs="Calibri"/>
          <w:b/>
          <w:bCs/>
          <w:color w:val="000000"/>
          <w:lang w:val="fr-FR"/>
        </w:rPr>
        <w:t xml:space="preserve">. </w:t>
      </w:r>
      <w:r w:rsidRPr="00C9307C">
        <w:rPr>
          <w:rFonts w:eastAsia="Times New Roman" w:cs="Calibri"/>
          <w:b/>
          <w:bCs/>
          <w:color w:val="000000"/>
          <w:lang w:val="fr-FR"/>
        </w:rPr>
        <w:t xml:space="preserve"> L’élaboration</w:t>
      </w:r>
      <w:r w:rsidR="00D97764" w:rsidRPr="00C9307C">
        <w:rPr>
          <w:rFonts w:eastAsia="Times New Roman" w:cs="Calibri"/>
          <w:color w:val="000000"/>
          <w:lang w:val="fr-FR"/>
        </w:rPr>
        <w:t xml:space="preserve"> de </w:t>
      </w:r>
      <w:proofErr w:type="spellStart"/>
      <w:r w:rsidR="00D97764" w:rsidRPr="00C9307C">
        <w:rPr>
          <w:rFonts w:eastAsia="Times New Roman" w:cs="Calibri"/>
          <w:color w:val="000000"/>
          <w:lang w:val="fr-FR"/>
        </w:rPr>
        <w:t>TdRs</w:t>
      </w:r>
      <w:proofErr w:type="spellEnd"/>
      <w:r w:rsidR="00D97764" w:rsidRPr="00C9307C">
        <w:rPr>
          <w:rFonts w:eastAsia="Times New Roman" w:cs="Calibri"/>
          <w:color w:val="000000"/>
          <w:lang w:val="fr-FR"/>
        </w:rPr>
        <w:t xml:space="preserve"> pour le recrutement d'un expert qui effectuera une réingénierie des processus, mettra à jour les </w:t>
      </w:r>
      <w:r w:rsidRPr="00C9307C">
        <w:rPr>
          <w:rFonts w:eastAsia="Times New Roman" w:cs="Calibri"/>
          <w:color w:val="000000"/>
          <w:lang w:val="fr-FR"/>
        </w:rPr>
        <w:t>règles</w:t>
      </w:r>
      <w:r w:rsidR="00D97764" w:rsidRPr="00C9307C">
        <w:rPr>
          <w:rFonts w:eastAsia="Times New Roman" w:cs="Calibri"/>
          <w:color w:val="000000"/>
          <w:lang w:val="fr-FR"/>
        </w:rPr>
        <w:t xml:space="preserve"> et </w:t>
      </w:r>
      <w:r w:rsidRPr="00C9307C">
        <w:rPr>
          <w:rFonts w:eastAsia="Times New Roman" w:cs="Calibri"/>
          <w:color w:val="000000"/>
          <w:lang w:val="fr-FR"/>
        </w:rPr>
        <w:t>procédures</w:t>
      </w:r>
      <w:r w:rsidR="00D97764" w:rsidRPr="00C9307C">
        <w:rPr>
          <w:rFonts w:eastAsia="Times New Roman" w:cs="Calibri"/>
          <w:color w:val="000000"/>
          <w:lang w:val="fr-FR"/>
        </w:rPr>
        <w:t xml:space="preserve"> et proposera le logiciel à </w:t>
      </w:r>
      <w:r w:rsidRPr="00C9307C">
        <w:rPr>
          <w:rFonts w:eastAsia="Times New Roman" w:cs="Calibri"/>
          <w:color w:val="000000"/>
          <w:lang w:val="fr-FR"/>
        </w:rPr>
        <w:t>acquérir</w:t>
      </w:r>
      <w:r w:rsidR="00D97764" w:rsidRPr="00C9307C">
        <w:rPr>
          <w:rFonts w:eastAsia="Times New Roman" w:cs="Calibri"/>
          <w:color w:val="000000"/>
          <w:lang w:val="fr-FR"/>
        </w:rPr>
        <w:t> ;</w:t>
      </w:r>
    </w:p>
    <w:p w14:paraId="6B2A3AB9" w14:textId="7BD62DAA"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iv</w:t>
      </w:r>
      <w:r w:rsidR="00C31C59">
        <w:rPr>
          <w:rFonts w:eastAsia="Times New Roman" w:cs="Calibri"/>
          <w:b/>
          <w:bCs/>
          <w:color w:val="000000"/>
          <w:lang w:val="fr-FR"/>
        </w:rPr>
        <w:t xml:space="preserve">. </w:t>
      </w:r>
      <w:r w:rsidR="00AC24C3" w:rsidRPr="00C9307C">
        <w:rPr>
          <w:rFonts w:eastAsia="Times New Roman" w:cs="Calibri"/>
          <w:b/>
          <w:bCs/>
          <w:color w:val="000000"/>
          <w:lang w:val="fr-FR"/>
        </w:rPr>
        <w:t xml:space="preserve"> </w:t>
      </w:r>
      <w:r w:rsidRPr="00C9307C">
        <w:rPr>
          <w:rFonts w:eastAsia="Times New Roman" w:cs="Calibri"/>
          <w:color w:val="000000"/>
          <w:lang w:val="fr-FR"/>
        </w:rPr>
        <w:t xml:space="preserve">Le recrutement d'un expert sur la base des </w:t>
      </w:r>
      <w:proofErr w:type="spellStart"/>
      <w:r w:rsidRPr="00C9307C">
        <w:rPr>
          <w:rFonts w:eastAsia="Times New Roman" w:cs="Calibri"/>
          <w:color w:val="000000"/>
          <w:lang w:val="fr-FR"/>
        </w:rPr>
        <w:t>TdRs</w:t>
      </w:r>
      <w:proofErr w:type="spellEnd"/>
      <w:r w:rsidRPr="00C9307C">
        <w:rPr>
          <w:rFonts w:eastAsia="Times New Roman" w:cs="Calibri"/>
          <w:color w:val="000000"/>
          <w:lang w:val="fr-FR"/>
        </w:rPr>
        <w:t> ;</w:t>
      </w:r>
    </w:p>
    <w:p w14:paraId="4E1BCCE9" w14:textId="01D0FA00"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v</w:t>
      </w:r>
      <w:r w:rsidR="00C31C59">
        <w:rPr>
          <w:rFonts w:eastAsia="Times New Roman" w:cs="Calibri"/>
          <w:b/>
          <w:bCs/>
          <w:color w:val="000000"/>
          <w:lang w:val="fr-FR"/>
        </w:rPr>
        <w:t>.</w:t>
      </w:r>
      <w:r w:rsidR="00AC24C3" w:rsidRPr="00C9307C">
        <w:rPr>
          <w:rFonts w:eastAsia="Times New Roman" w:cs="Calibri"/>
          <w:b/>
          <w:bCs/>
          <w:color w:val="000000"/>
          <w:lang w:val="fr-FR"/>
        </w:rPr>
        <w:t xml:space="preserve"> </w:t>
      </w:r>
      <w:r w:rsidRPr="00C9307C">
        <w:rPr>
          <w:rFonts w:eastAsia="Times New Roman" w:cs="Calibri"/>
          <w:color w:val="000000"/>
          <w:lang w:val="fr-FR"/>
        </w:rPr>
        <w:t>Sur la base des recommandations de l'expert, acquérir le logiciel ;</w:t>
      </w:r>
    </w:p>
    <w:p w14:paraId="1B90D5D9" w14:textId="49138420"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vi</w:t>
      </w:r>
      <w:r w:rsidR="00C31C59">
        <w:rPr>
          <w:rFonts w:eastAsia="Times New Roman" w:cs="Calibri"/>
          <w:b/>
          <w:bCs/>
          <w:color w:val="000000"/>
          <w:lang w:val="fr-FR"/>
        </w:rPr>
        <w:t>.</w:t>
      </w:r>
      <w:r w:rsidRPr="00C9307C">
        <w:rPr>
          <w:rFonts w:eastAsia="Times New Roman" w:cs="Calibri"/>
          <w:b/>
          <w:bCs/>
          <w:color w:val="000000"/>
          <w:lang w:val="fr-FR"/>
        </w:rPr>
        <w:t xml:space="preserve">  L’é</w:t>
      </w:r>
      <w:r w:rsidRPr="00C9307C">
        <w:rPr>
          <w:rFonts w:eastAsia="Times New Roman" w:cs="Calibri"/>
          <w:color w:val="000000"/>
          <w:lang w:val="fr-FR"/>
        </w:rPr>
        <w:t xml:space="preserve">laboration de </w:t>
      </w:r>
      <w:proofErr w:type="spellStart"/>
      <w:r w:rsidRPr="00C9307C">
        <w:rPr>
          <w:rFonts w:eastAsia="Times New Roman" w:cs="Calibri"/>
          <w:color w:val="000000"/>
          <w:lang w:val="fr-FR"/>
        </w:rPr>
        <w:t>TdRs</w:t>
      </w:r>
      <w:proofErr w:type="spellEnd"/>
      <w:r w:rsidRPr="00C9307C">
        <w:rPr>
          <w:rFonts w:eastAsia="Times New Roman" w:cs="Calibri"/>
          <w:color w:val="000000"/>
          <w:lang w:val="fr-FR"/>
        </w:rPr>
        <w:t xml:space="preserve"> pour le recrutement d'un expert qui développera un système de surveillance du réseau routier et fournira un plan de formation ;</w:t>
      </w:r>
    </w:p>
    <w:p w14:paraId="1E689916" w14:textId="0CC0AD53"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vii</w:t>
      </w:r>
      <w:r w:rsidR="00C31C59">
        <w:rPr>
          <w:rFonts w:eastAsia="Times New Roman" w:cs="Calibri"/>
          <w:b/>
          <w:bCs/>
          <w:color w:val="000000"/>
          <w:lang w:val="fr-FR"/>
        </w:rPr>
        <w:t>.</w:t>
      </w:r>
      <w:r w:rsidRPr="00C9307C">
        <w:rPr>
          <w:rFonts w:eastAsia="Times New Roman" w:cs="Calibri"/>
          <w:b/>
          <w:bCs/>
          <w:color w:val="000000"/>
          <w:lang w:val="fr-FR"/>
        </w:rPr>
        <w:t xml:space="preserve">   Le r</w:t>
      </w:r>
      <w:r w:rsidRPr="00C9307C">
        <w:rPr>
          <w:rFonts w:eastAsia="Times New Roman" w:cs="Calibri"/>
          <w:color w:val="000000"/>
          <w:lang w:val="fr-FR"/>
        </w:rPr>
        <w:t xml:space="preserve">ecrutement d'un expert sur la base des </w:t>
      </w:r>
      <w:proofErr w:type="spellStart"/>
      <w:r w:rsidRPr="00C9307C">
        <w:rPr>
          <w:rFonts w:eastAsia="Times New Roman" w:cs="Calibri"/>
          <w:color w:val="000000"/>
          <w:lang w:val="fr-FR"/>
        </w:rPr>
        <w:t>TdRs</w:t>
      </w:r>
      <w:proofErr w:type="spellEnd"/>
      <w:r w:rsidRPr="00C9307C">
        <w:rPr>
          <w:rFonts w:eastAsia="Times New Roman" w:cs="Calibri"/>
          <w:color w:val="000000"/>
          <w:lang w:val="fr-FR"/>
        </w:rPr>
        <w:t> ;</w:t>
      </w:r>
    </w:p>
    <w:p w14:paraId="2DC59DC3" w14:textId="56C610A2"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viii</w:t>
      </w:r>
      <w:r w:rsidR="00C31C59">
        <w:rPr>
          <w:rFonts w:eastAsia="Times New Roman" w:cs="Calibri"/>
          <w:b/>
          <w:bCs/>
          <w:color w:val="000000"/>
          <w:lang w:val="fr-FR"/>
        </w:rPr>
        <w:t>.</w:t>
      </w:r>
      <w:r w:rsidRPr="00C9307C">
        <w:rPr>
          <w:rFonts w:eastAsia="Times New Roman" w:cs="Calibri"/>
          <w:b/>
          <w:bCs/>
          <w:color w:val="000000"/>
          <w:lang w:val="fr-FR"/>
        </w:rPr>
        <w:t xml:space="preserve"> L’a</w:t>
      </w:r>
      <w:r w:rsidRPr="00C9307C">
        <w:rPr>
          <w:rFonts w:eastAsia="Times New Roman" w:cs="Calibri"/>
          <w:color w:val="000000"/>
          <w:lang w:val="fr-FR"/>
        </w:rPr>
        <w:t xml:space="preserve">cquisition du </w:t>
      </w:r>
      <w:r w:rsidR="00AC24C3" w:rsidRPr="00C9307C">
        <w:rPr>
          <w:rFonts w:eastAsia="Times New Roman" w:cs="Calibri"/>
          <w:color w:val="000000"/>
          <w:lang w:val="fr-FR"/>
        </w:rPr>
        <w:t>système</w:t>
      </w:r>
      <w:r w:rsidRPr="00C9307C">
        <w:rPr>
          <w:rFonts w:eastAsia="Times New Roman" w:cs="Calibri"/>
          <w:color w:val="000000"/>
          <w:lang w:val="fr-FR"/>
        </w:rPr>
        <w:t xml:space="preserve"> sur la base des recommandations de l'expert ;</w:t>
      </w:r>
    </w:p>
    <w:p w14:paraId="1142013B" w14:textId="0778FBA2"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ix</w:t>
      </w:r>
      <w:r w:rsidR="00C31C59">
        <w:rPr>
          <w:rFonts w:eastAsia="Times New Roman" w:cs="Calibri"/>
          <w:b/>
          <w:bCs/>
          <w:color w:val="000000"/>
          <w:lang w:val="fr-FR"/>
        </w:rPr>
        <w:t>.</w:t>
      </w:r>
      <w:r w:rsidRPr="00C9307C">
        <w:rPr>
          <w:rFonts w:eastAsia="Times New Roman" w:cs="Calibri"/>
          <w:b/>
          <w:bCs/>
          <w:color w:val="000000"/>
          <w:lang w:val="fr-FR"/>
        </w:rPr>
        <w:t xml:space="preserve">    Le dé</w:t>
      </w:r>
      <w:r w:rsidRPr="00C9307C">
        <w:rPr>
          <w:rFonts w:eastAsia="Times New Roman" w:cs="Calibri"/>
          <w:color w:val="000000"/>
          <w:lang w:val="fr-FR"/>
        </w:rPr>
        <w:t xml:space="preserve">ploiement au niveau des </w:t>
      </w:r>
      <w:proofErr w:type="spellStart"/>
      <w:r w:rsidRPr="00C9307C">
        <w:rPr>
          <w:rFonts w:eastAsia="Times New Roman" w:cs="Calibri"/>
          <w:color w:val="000000"/>
          <w:lang w:val="fr-FR"/>
        </w:rPr>
        <w:t>DDs</w:t>
      </w:r>
      <w:proofErr w:type="spellEnd"/>
      <w:r w:rsidRPr="00C9307C">
        <w:rPr>
          <w:rFonts w:eastAsia="Times New Roman" w:cs="Calibri"/>
          <w:color w:val="000000"/>
          <w:lang w:val="fr-FR"/>
        </w:rPr>
        <w:t> ;</w:t>
      </w:r>
    </w:p>
    <w:p w14:paraId="2C360189" w14:textId="475A3517"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x</w:t>
      </w:r>
      <w:r w:rsidR="00C31C59">
        <w:rPr>
          <w:rFonts w:eastAsia="Times New Roman" w:cs="Calibri"/>
          <w:b/>
          <w:bCs/>
          <w:color w:val="000000"/>
          <w:lang w:val="fr-FR"/>
        </w:rPr>
        <w:t>.</w:t>
      </w:r>
      <w:r w:rsidRPr="00C9307C">
        <w:rPr>
          <w:rFonts w:eastAsia="Times New Roman" w:cs="Calibri"/>
          <w:b/>
          <w:bCs/>
          <w:color w:val="000000"/>
          <w:lang w:val="fr-FR"/>
        </w:rPr>
        <w:t xml:space="preserve">     La f</w:t>
      </w:r>
      <w:r w:rsidRPr="00C9307C">
        <w:rPr>
          <w:rFonts w:eastAsia="Times New Roman" w:cs="Calibri"/>
          <w:color w:val="000000"/>
          <w:lang w:val="fr-FR"/>
        </w:rPr>
        <w:t xml:space="preserve">ormation du personnel à </w:t>
      </w:r>
      <w:proofErr w:type="spellStart"/>
      <w:r w:rsidRPr="00C9307C">
        <w:rPr>
          <w:rFonts w:eastAsia="Times New Roman" w:cs="Calibri"/>
          <w:color w:val="000000"/>
          <w:lang w:val="fr-FR"/>
        </w:rPr>
        <w:t>PaP</w:t>
      </w:r>
      <w:proofErr w:type="spellEnd"/>
      <w:r w:rsidRPr="00C9307C">
        <w:rPr>
          <w:rFonts w:eastAsia="Times New Roman" w:cs="Calibri"/>
          <w:color w:val="000000"/>
          <w:lang w:val="fr-FR"/>
        </w:rPr>
        <w:t xml:space="preserve"> par l'expert ;</w:t>
      </w:r>
    </w:p>
    <w:p w14:paraId="2EE5BB17" w14:textId="6AB398E2"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xi</w:t>
      </w:r>
      <w:r w:rsidR="00C31C59">
        <w:rPr>
          <w:rFonts w:eastAsia="Times New Roman" w:cs="Calibri"/>
          <w:b/>
          <w:bCs/>
          <w:color w:val="000000"/>
          <w:lang w:val="fr-FR"/>
        </w:rPr>
        <w:t>.</w:t>
      </w:r>
      <w:r w:rsidRPr="00C9307C">
        <w:rPr>
          <w:rFonts w:eastAsia="Times New Roman" w:cs="Calibri"/>
          <w:b/>
          <w:bCs/>
          <w:color w:val="000000"/>
          <w:lang w:val="fr-FR"/>
        </w:rPr>
        <w:t xml:space="preserve">    La f</w:t>
      </w:r>
      <w:r w:rsidRPr="00C9307C">
        <w:rPr>
          <w:rFonts w:eastAsia="Times New Roman" w:cs="Calibri"/>
          <w:color w:val="000000"/>
          <w:lang w:val="fr-FR"/>
        </w:rPr>
        <w:t xml:space="preserve">ormation du personnel dans les </w:t>
      </w:r>
      <w:proofErr w:type="spellStart"/>
      <w:r w:rsidRPr="00C9307C">
        <w:rPr>
          <w:rFonts w:eastAsia="Times New Roman" w:cs="Calibri"/>
          <w:color w:val="000000"/>
          <w:lang w:val="fr-FR"/>
        </w:rPr>
        <w:t>DDs</w:t>
      </w:r>
      <w:proofErr w:type="spellEnd"/>
      <w:r w:rsidR="00934101" w:rsidRPr="00C9307C">
        <w:rPr>
          <w:rFonts w:eastAsia="Times New Roman" w:cs="Calibri"/>
          <w:color w:val="000000"/>
          <w:lang w:val="fr-FR"/>
        </w:rPr>
        <w:t xml:space="preserve"> </w:t>
      </w:r>
      <w:r w:rsidRPr="00C9307C">
        <w:rPr>
          <w:rFonts w:eastAsia="Times New Roman" w:cs="Calibri"/>
          <w:color w:val="000000"/>
          <w:lang w:val="fr-FR"/>
        </w:rPr>
        <w:t>par l'expert ;</w:t>
      </w:r>
    </w:p>
    <w:p w14:paraId="3E471E6C" w14:textId="06FCF4AA" w:rsidR="00A06E1B" w:rsidRPr="00C9307C" w:rsidRDefault="00D97764" w:rsidP="00720B8F">
      <w:pPr>
        <w:pStyle w:val="ColorfulList-Accent11"/>
        <w:jc w:val="both"/>
        <w:rPr>
          <w:rFonts w:eastAsia="Times New Roman" w:cs="Calibri"/>
          <w:b/>
          <w:bCs/>
          <w:color w:val="000000"/>
          <w:lang w:val="fr-FR"/>
        </w:rPr>
      </w:pPr>
      <w:r w:rsidRPr="00C9307C">
        <w:rPr>
          <w:rFonts w:eastAsia="Times New Roman" w:cs="Calibri"/>
          <w:b/>
          <w:bCs/>
          <w:color w:val="000000"/>
          <w:lang w:val="fr-FR"/>
        </w:rPr>
        <w:t>xii</w:t>
      </w:r>
      <w:r w:rsidR="00C31C59">
        <w:rPr>
          <w:rFonts w:eastAsia="Times New Roman" w:cs="Calibri"/>
          <w:b/>
          <w:bCs/>
          <w:color w:val="000000"/>
          <w:lang w:val="fr-FR"/>
        </w:rPr>
        <w:t>.</w:t>
      </w:r>
      <w:r w:rsidRPr="00C9307C">
        <w:rPr>
          <w:rFonts w:eastAsia="Times New Roman" w:cs="Calibri"/>
          <w:b/>
          <w:bCs/>
          <w:color w:val="000000"/>
          <w:lang w:val="fr-FR"/>
        </w:rPr>
        <w:t xml:space="preserve">   L’a</w:t>
      </w:r>
      <w:r w:rsidRPr="00C9307C">
        <w:rPr>
          <w:rFonts w:eastAsia="Times New Roman" w:cs="Calibri"/>
          <w:color w:val="000000"/>
          <w:lang w:val="fr-FR"/>
        </w:rPr>
        <w:t>cquisition d'</w:t>
      </w:r>
      <w:r w:rsidR="00283F9F" w:rsidRPr="00C9307C">
        <w:rPr>
          <w:rFonts w:eastAsia="Times New Roman" w:cs="Calibri"/>
          <w:color w:val="000000"/>
          <w:lang w:val="fr-FR"/>
        </w:rPr>
        <w:t>équipements</w:t>
      </w:r>
      <w:r w:rsidRPr="00C9307C">
        <w:rPr>
          <w:rFonts w:eastAsia="Times New Roman" w:cs="Calibri"/>
          <w:color w:val="000000"/>
          <w:lang w:val="fr-FR"/>
        </w:rPr>
        <w:t xml:space="preserve"> pour l'UE du MTPTC</w:t>
      </w:r>
    </w:p>
    <w:p w14:paraId="4966F07F" w14:textId="77777777" w:rsidR="00A06E1B" w:rsidRPr="00C9307C" w:rsidRDefault="00A06E1B" w:rsidP="00720B8F">
      <w:pPr>
        <w:pStyle w:val="ColorfulList-Accent11"/>
        <w:jc w:val="both"/>
        <w:rPr>
          <w:rFonts w:eastAsia="Times New Roman" w:cs="Calibri"/>
          <w:b/>
          <w:bCs/>
          <w:color w:val="000000"/>
          <w:lang w:val="fr-FR"/>
        </w:rPr>
      </w:pPr>
    </w:p>
    <w:p w14:paraId="0D251B1F" w14:textId="5131798C" w:rsidR="00A06E1B" w:rsidRPr="00C9307C" w:rsidRDefault="00E03E16" w:rsidP="00720B8F">
      <w:pPr>
        <w:pStyle w:val="ColorfulList-Accent11"/>
        <w:ind w:hanging="720"/>
        <w:jc w:val="both"/>
        <w:rPr>
          <w:rFonts w:eastAsia="Times New Roman" w:cs="Calibri"/>
          <w:b/>
          <w:bCs/>
          <w:color w:val="000000"/>
          <w:lang w:val="fr-FR"/>
        </w:rPr>
      </w:pPr>
      <w:r w:rsidRPr="00C9307C">
        <w:rPr>
          <w:rFonts w:eastAsia="Times New Roman" w:cs="Calibri"/>
          <w:b/>
          <w:bCs/>
          <w:color w:val="000000"/>
          <w:lang w:val="fr-FR"/>
        </w:rPr>
        <w:lastRenderedPageBreak/>
        <w:t>2.27</w:t>
      </w:r>
      <w:r w:rsidR="00074D3F">
        <w:rPr>
          <w:rFonts w:eastAsia="Times New Roman" w:cs="Calibri"/>
          <w:b/>
          <w:bCs/>
          <w:color w:val="000000"/>
          <w:lang w:val="fr-FR"/>
        </w:rPr>
        <w:tab/>
      </w:r>
      <w:r w:rsidRPr="00C9307C">
        <w:rPr>
          <w:rFonts w:eastAsia="Times New Roman" w:cs="Calibri"/>
          <w:b/>
          <w:bCs/>
          <w:color w:val="000000"/>
          <w:lang w:val="fr-FR"/>
        </w:rPr>
        <w:t xml:space="preserve"> H) </w:t>
      </w:r>
      <w:r w:rsidR="006866E8" w:rsidRPr="00C9307C">
        <w:rPr>
          <w:sz w:val="24"/>
          <w:szCs w:val="24"/>
          <w:lang w:val="fr-FR"/>
        </w:rPr>
        <w:t xml:space="preserve">Les activités </w:t>
      </w:r>
      <w:r w:rsidR="00283F9F" w:rsidRPr="00C9307C">
        <w:rPr>
          <w:sz w:val="24"/>
          <w:szCs w:val="24"/>
          <w:lang w:val="fr-FR"/>
        </w:rPr>
        <w:t xml:space="preserve">de </w:t>
      </w:r>
      <w:r w:rsidR="00283F9F" w:rsidRPr="00C9307C">
        <w:rPr>
          <w:rFonts w:eastAsia="Times New Roman" w:cs="Calibri"/>
          <w:b/>
          <w:bCs/>
          <w:color w:val="000000"/>
          <w:lang w:val="fr-FR"/>
        </w:rPr>
        <w:t>renforcement de services sélectionnés du MTPTC</w:t>
      </w:r>
      <w:r w:rsidR="00934101" w:rsidRPr="00C9307C">
        <w:rPr>
          <w:rFonts w:eastAsia="Times New Roman" w:cs="Calibri"/>
          <w:b/>
          <w:bCs/>
          <w:color w:val="000000"/>
          <w:lang w:val="fr-FR"/>
        </w:rPr>
        <w:t xml:space="preserve"> </w:t>
      </w:r>
      <w:r w:rsidR="006866E8" w:rsidRPr="00C9307C">
        <w:rPr>
          <w:rFonts w:eastAsia="Times New Roman" w:cs="Calibri"/>
          <w:bCs/>
          <w:color w:val="000000"/>
          <w:lang w:val="fr-FR"/>
        </w:rPr>
        <w:t>incluront :</w:t>
      </w:r>
    </w:p>
    <w:p w14:paraId="638E25B6" w14:textId="77777777" w:rsidR="00A06E1B" w:rsidRPr="00C9307C" w:rsidRDefault="006866E8"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i. </w:t>
      </w:r>
      <w:r w:rsidR="00D97764" w:rsidRPr="00C9307C">
        <w:rPr>
          <w:rFonts w:eastAsia="Times New Roman" w:cs="Calibri"/>
          <w:b/>
          <w:bCs/>
          <w:color w:val="000000"/>
          <w:lang w:val="fr-FR"/>
        </w:rPr>
        <w:t xml:space="preserve">    Les v</w:t>
      </w:r>
      <w:r w:rsidR="00D97764" w:rsidRPr="00C9307C">
        <w:rPr>
          <w:rFonts w:eastAsia="Times New Roman" w:cs="Calibri"/>
          <w:color w:val="000000"/>
          <w:lang w:val="fr-FR"/>
        </w:rPr>
        <w:t>isites régulières sur le terrain ;</w:t>
      </w:r>
    </w:p>
    <w:p w14:paraId="5F49B2D2" w14:textId="77777777" w:rsidR="00A06E1B" w:rsidRPr="00C9307C" w:rsidRDefault="00D97764" w:rsidP="00720B8F">
      <w:pPr>
        <w:pStyle w:val="ColorfulList-Accent11"/>
        <w:jc w:val="both"/>
        <w:rPr>
          <w:rFonts w:eastAsia="Times New Roman" w:cs="Calibri"/>
          <w:color w:val="000000"/>
          <w:lang w:val="fr-FR"/>
        </w:rPr>
      </w:pPr>
      <w:r w:rsidRPr="00C9307C">
        <w:rPr>
          <w:rFonts w:eastAsia="Times New Roman" w:cs="Calibri"/>
          <w:b/>
          <w:bCs/>
          <w:color w:val="000000"/>
          <w:lang w:val="fr-FR"/>
        </w:rPr>
        <w:t>ii.    Les a</w:t>
      </w:r>
      <w:r w:rsidRPr="00C9307C">
        <w:rPr>
          <w:rFonts w:eastAsia="Times New Roman" w:cs="Calibri"/>
          <w:color w:val="000000"/>
          <w:lang w:val="fr-FR"/>
        </w:rPr>
        <w:t>ctivités de sensibilisation aux ingénieurs et à la population</w:t>
      </w:r>
    </w:p>
    <w:p w14:paraId="295E1E39" w14:textId="77777777" w:rsidR="00B930FA" w:rsidRPr="00C9307C" w:rsidRDefault="00B930FA" w:rsidP="00720B8F">
      <w:pPr>
        <w:pStyle w:val="ColorfulList-Accent11"/>
        <w:jc w:val="both"/>
        <w:rPr>
          <w:rFonts w:eastAsia="Times New Roman" w:cs="Calibri"/>
          <w:b/>
          <w:bCs/>
          <w:color w:val="000000"/>
          <w:lang w:val="fr-FR"/>
        </w:rPr>
      </w:pPr>
    </w:p>
    <w:p w14:paraId="1ABA34D2" w14:textId="77777777" w:rsidR="00A06E1B" w:rsidRPr="00C9307C" w:rsidRDefault="00A06E1B" w:rsidP="00720B8F">
      <w:pPr>
        <w:pStyle w:val="ColorfulList-Accent11"/>
        <w:jc w:val="both"/>
        <w:rPr>
          <w:rFonts w:eastAsia="Times New Roman" w:cs="Calibri"/>
          <w:b/>
          <w:bCs/>
          <w:color w:val="000000"/>
          <w:lang w:val="fr-FR"/>
        </w:rPr>
      </w:pPr>
    </w:p>
    <w:p w14:paraId="74891408" w14:textId="7A37BD49" w:rsidR="00A06E1B" w:rsidRPr="00C9307C" w:rsidRDefault="005F5964" w:rsidP="00720B8F">
      <w:pPr>
        <w:pStyle w:val="ColorfulList-Accent11"/>
        <w:ind w:hanging="720"/>
        <w:jc w:val="both"/>
        <w:rPr>
          <w:rFonts w:eastAsia="Times New Roman" w:cs="Calibri"/>
          <w:b/>
          <w:bCs/>
          <w:color w:val="000000"/>
          <w:lang w:val="fr-FR"/>
        </w:rPr>
      </w:pPr>
      <w:r w:rsidRPr="00C9307C">
        <w:rPr>
          <w:rFonts w:eastAsia="Times New Roman" w:cs="Calibri"/>
          <w:b/>
          <w:bCs/>
          <w:color w:val="000000"/>
          <w:lang w:val="fr-FR"/>
        </w:rPr>
        <w:t xml:space="preserve">LA </w:t>
      </w:r>
      <w:r w:rsidR="00A3241B" w:rsidRPr="00C9307C">
        <w:rPr>
          <w:rFonts w:eastAsia="Times New Roman" w:cs="Calibri"/>
          <w:b/>
          <w:bCs/>
          <w:color w:val="000000"/>
          <w:lang w:val="fr-FR"/>
        </w:rPr>
        <w:t>GESTION DU PROJET</w:t>
      </w:r>
      <w:r w:rsidR="002631DC" w:rsidRPr="00C9307C">
        <w:rPr>
          <w:rFonts w:eastAsia="Times New Roman" w:cs="Calibri"/>
          <w:b/>
          <w:bCs/>
          <w:color w:val="000000"/>
          <w:lang w:val="fr-FR"/>
        </w:rPr>
        <w:t xml:space="preserve"> </w:t>
      </w:r>
      <w:r w:rsidR="003D521C" w:rsidRPr="00C9307C">
        <w:rPr>
          <w:b/>
          <w:lang w:val="fr-FR"/>
        </w:rPr>
        <w:t>(</w:t>
      </w:r>
      <w:r w:rsidR="003D521C" w:rsidRPr="006603E9">
        <w:rPr>
          <w:b/>
          <w:lang w:val="fr-FR"/>
        </w:rPr>
        <w:t>US</w:t>
      </w:r>
      <w:r w:rsidR="002631DC" w:rsidRPr="006603E9">
        <w:rPr>
          <w:b/>
          <w:lang w:val="fr-FR"/>
        </w:rPr>
        <w:t xml:space="preserve"> </w:t>
      </w:r>
      <w:r w:rsidR="003D521C" w:rsidRPr="006603E9">
        <w:rPr>
          <w:b/>
          <w:lang w:val="fr-FR"/>
        </w:rPr>
        <w:t>$</w:t>
      </w:r>
      <w:r w:rsidR="002631DC" w:rsidRPr="006603E9">
        <w:rPr>
          <w:b/>
          <w:lang w:val="fr-FR"/>
        </w:rPr>
        <w:t xml:space="preserve"> </w:t>
      </w:r>
      <w:r w:rsidR="003D521C" w:rsidRPr="006603E9">
        <w:rPr>
          <w:b/>
          <w:lang w:val="fr-FR"/>
        </w:rPr>
        <w:t>4,42 M</w:t>
      </w:r>
      <w:r w:rsidR="003D521C" w:rsidRPr="00C9307C">
        <w:rPr>
          <w:b/>
          <w:lang w:val="fr-FR"/>
        </w:rPr>
        <w:t>)</w:t>
      </w:r>
    </w:p>
    <w:p w14:paraId="49D27C81" w14:textId="77777777" w:rsidR="00A06E1B" w:rsidRPr="00C9307C" w:rsidRDefault="00A06E1B" w:rsidP="00720B8F">
      <w:pPr>
        <w:pStyle w:val="ColorfulList-Accent11"/>
        <w:jc w:val="both"/>
        <w:rPr>
          <w:rFonts w:eastAsia="Times New Roman" w:cs="Calibri"/>
          <w:b/>
          <w:bCs/>
          <w:color w:val="000000"/>
          <w:lang w:val="fr-FR"/>
        </w:rPr>
      </w:pPr>
    </w:p>
    <w:p w14:paraId="2AFF359C" w14:textId="285EA69D" w:rsidR="003E1456" w:rsidRPr="00C9307C" w:rsidRDefault="003E1456" w:rsidP="003E1456">
      <w:pPr>
        <w:pStyle w:val="ColorfulList-Accent11"/>
        <w:jc w:val="both"/>
        <w:rPr>
          <w:sz w:val="24"/>
          <w:szCs w:val="24"/>
          <w:lang w:val="fr-FR"/>
        </w:rPr>
      </w:pPr>
      <w:r w:rsidRPr="00C9307C">
        <w:rPr>
          <w:sz w:val="24"/>
          <w:szCs w:val="24"/>
          <w:lang w:val="fr-FR"/>
        </w:rPr>
        <w:t xml:space="preserve">Cette composante financera en tout ou en partie des activités dans </w:t>
      </w:r>
      <w:r w:rsidR="00A40946" w:rsidRPr="00C9307C">
        <w:rPr>
          <w:sz w:val="24"/>
          <w:szCs w:val="24"/>
          <w:lang w:val="fr-FR"/>
        </w:rPr>
        <w:t xml:space="preserve">Six (6) </w:t>
      </w:r>
      <w:r w:rsidRPr="00C9307C">
        <w:rPr>
          <w:sz w:val="24"/>
          <w:szCs w:val="24"/>
          <w:lang w:val="fr-FR"/>
        </w:rPr>
        <w:t>domaines critiques</w:t>
      </w:r>
      <w:r w:rsidR="00AC24C3" w:rsidRPr="00C9307C">
        <w:rPr>
          <w:sz w:val="24"/>
          <w:szCs w:val="24"/>
          <w:lang w:val="fr-FR"/>
        </w:rPr>
        <w:t xml:space="preserve"> </w:t>
      </w:r>
      <w:r w:rsidRPr="00C9307C">
        <w:rPr>
          <w:sz w:val="24"/>
          <w:szCs w:val="24"/>
          <w:lang w:val="fr-FR"/>
        </w:rPr>
        <w:t>:</w:t>
      </w:r>
    </w:p>
    <w:p w14:paraId="1BB865DC" w14:textId="77777777" w:rsidR="00A06E1B" w:rsidRPr="00C9307C" w:rsidRDefault="00A06E1B" w:rsidP="00720B8F">
      <w:pPr>
        <w:pStyle w:val="ColorfulList-Accent11"/>
        <w:jc w:val="both"/>
        <w:rPr>
          <w:rFonts w:eastAsia="Times New Roman" w:cs="Calibri"/>
          <w:b/>
          <w:bCs/>
          <w:color w:val="000000"/>
          <w:lang w:val="fr-FR"/>
        </w:rPr>
      </w:pPr>
    </w:p>
    <w:p w14:paraId="0C2867A4" w14:textId="77777777" w:rsidR="00A06E1B" w:rsidRPr="00C9307C" w:rsidRDefault="003D521C" w:rsidP="00720B8F">
      <w:pPr>
        <w:pStyle w:val="ColorfulList-Accent11"/>
        <w:numPr>
          <w:ilvl w:val="0"/>
          <w:numId w:val="61"/>
        </w:numPr>
        <w:jc w:val="both"/>
        <w:rPr>
          <w:rFonts w:eastAsia="Times New Roman" w:cs="Calibri"/>
          <w:bCs/>
          <w:color w:val="000000"/>
          <w:lang w:val="fr-FR"/>
        </w:rPr>
      </w:pPr>
      <w:r w:rsidRPr="00C9307C">
        <w:rPr>
          <w:rFonts w:eastAsia="Times New Roman" w:cs="Calibri"/>
          <w:bCs/>
          <w:color w:val="000000"/>
          <w:lang w:val="fr-FR"/>
        </w:rPr>
        <w:t xml:space="preserve">L’appui </w:t>
      </w:r>
      <w:r w:rsidR="00283F9F" w:rsidRPr="00C9307C">
        <w:rPr>
          <w:rFonts w:eastAsia="Times New Roman" w:cs="Calibri"/>
          <w:bCs/>
          <w:color w:val="000000"/>
          <w:lang w:val="fr-FR"/>
        </w:rPr>
        <w:t>à</w:t>
      </w:r>
      <w:r w:rsidRPr="00C9307C">
        <w:rPr>
          <w:rFonts w:eastAsia="Times New Roman" w:cs="Calibri"/>
          <w:bCs/>
          <w:color w:val="000000"/>
          <w:lang w:val="fr-FR"/>
        </w:rPr>
        <w:t xml:space="preserve"> la gestion et à la direction du projet pendant ses cinq (5) années d’exécution, avec une emphase sur le renforcement de l’UCP/MEF ;</w:t>
      </w:r>
    </w:p>
    <w:p w14:paraId="051CB355" w14:textId="77777777" w:rsidR="003D521C" w:rsidRPr="00C9307C" w:rsidRDefault="003D521C">
      <w:pPr>
        <w:pStyle w:val="ColorfulList-Accent11"/>
        <w:numPr>
          <w:ilvl w:val="0"/>
          <w:numId w:val="61"/>
        </w:numPr>
        <w:jc w:val="both"/>
        <w:rPr>
          <w:rFonts w:eastAsia="Times New Roman" w:cs="Calibri"/>
          <w:bCs/>
          <w:color w:val="000000"/>
          <w:lang w:val="fr-FR"/>
        </w:rPr>
      </w:pPr>
      <w:r w:rsidRPr="00C9307C">
        <w:rPr>
          <w:rFonts w:eastAsia="Times New Roman" w:cs="Calibri"/>
          <w:bCs/>
          <w:color w:val="000000"/>
          <w:lang w:val="fr-FR"/>
        </w:rPr>
        <w:t xml:space="preserve">L’élaboration plus détaillée et précise </w:t>
      </w:r>
      <w:r w:rsidR="00BF1E17" w:rsidRPr="00C9307C">
        <w:rPr>
          <w:rFonts w:eastAsia="Times New Roman" w:cs="Calibri"/>
          <w:bCs/>
          <w:color w:val="000000"/>
          <w:lang w:val="fr-FR"/>
        </w:rPr>
        <w:t>de</w:t>
      </w:r>
      <w:r w:rsidRPr="00C9307C">
        <w:rPr>
          <w:rFonts w:eastAsia="Times New Roman" w:cs="Calibri"/>
          <w:bCs/>
          <w:color w:val="000000"/>
          <w:lang w:val="fr-FR"/>
        </w:rPr>
        <w:t xml:space="preserve"> la ligne de base du projet</w:t>
      </w:r>
    </w:p>
    <w:p w14:paraId="3918728F" w14:textId="77777777" w:rsidR="003D521C" w:rsidRPr="00C9307C" w:rsidRDefault="003D521C">
      <w:pPr>
        <w:pStyle w:val="ColorfulList-Accent11"/>
        <w:numPr>
          <w:ilvl w:val="0"/>
          <w:numId w:val="61"/>
        </w:numPr>
        <w:jc w:val="both"/>
        <w:rPr>
          <w:rFonts w:eastAsia="Times New Roman" w:cs="Calibri"/>
          <w:bCs/>
          <w:color w:val="000000"/>
          <w:lang w:val="fr-FR"/>
        </w:rPr>
      </w:pPr>
      <w:r w:rsidRPr="00C9307C">
        <w:rPr>
          <w:rFonts w:eastAsia="Times New Roman" w:cs="Calibri"/>
          <w:bCs/>
          <w:color w:val="000000"/>
          <w:lang w:val="fr-FR"/>
        </w:rPr>
        <w:t>Le s</w:t>
      </w:r>
      <w:r w:rsidR="003E1456" w:rsidRPr="00C9307C">
        <w:rPr>
          <w:rFonts w:eastAsia="Times New Roman" w:cs="Calibri"/>
          <w:bCs/>
          <w:color w:val="000000"/>
          <w:lang w:val="fr-FR"/>
        </w:rPr>
        <w:t xml:space="preserve">uivi et </w:t>
      </w:r>
      <w:r w:rsidRPr="00C9307C">
        <w:rPr>
          <w:rFonts w:eastAsia="Times New Roman" w:cs="Calibri"/>
          <w:bCs/>
          <w:color w:val="000000"/>
          <w:lang w:val="fr-FR"/>
        </w:rPr>
        <w:t>le monitoring de l’exécution du projet ;</w:t>
      </w:r>
    </w:p>
    <w:p w14:paraId="79EFB801" w14:textId="77777777" w:rsidR="003D521C" w:rsidRPr="00C9307C" w:rsidRDefault="003D521C">
      <w:pPr>
        <w:pStyle w:val="ColorfulList-Accent11"/>
        <w:numPr>
          <w:ilvl w:val="0"/>
          <w:numId w:val="61"/>
        </w:numPr>
        <w:jc w:val="both"/>
        <w:rPr>
          <w:rFonts w:eastAsia="Times New Roman" w:cs="Calibri"/>
          <w:bCs/>
          <w:color w:val="000000"/>
          <w:lang w:val="fr-FR"/>
        </w:rPr>
      </w:pPr>
      <w:r w:rsidRPr="00C9307C">
        <w:rPr>
          <w:rFonts w:eastAsia="Times New Roman" w:cs="Calibri"/>
          <w:bCs/>
          <w:color w:val="000000"/>
          <w:lang w:val="fr-FR"/>
        </w:rPr>
        <w:t>Les audits financiers ;</w:t>
      </w:r>
    </w:p>
    <w:p w14:paraId="7C72F951" w14:textId="77777777" w:rsidR="003D521C" w:rsidRPr="00C9307C" w:rsidRDefault="003D521C">
      <w:pPr>
        <w:pStyle w:val="ColorfulList-Accent11"/>
        <w:numPr>
          <w:ilvl w:val="0"/>
          <w:numId w:val="61"/>
        </w:numPr>
        <w:jc w:val="both"/>
        <w:rPr>
          <w:rFonts w:eastAsia="Times New Roman" w:cs="Calibri"/>
          <w:bCs/>
          <w:color w:val="000000"/>
          <w:lang w:val="fr-FR"/>
        </w:rPr>
      </w:pPr>
      <w:r w:rsidRPr="00C9307C">
        <w:rPr>
          <w:rFonts w:eastAsia="Times New Roman" w:cs="Calibri"/>
          <w:bCs/>
          <w:color w:val="000000"/>
          <w:lang w:val="fr-FR"/>
        </w:rPr>
        <w:t>Les études d’évaluations intermédiaire et finale ;</w:t>
      </w:r>
    </w:p>
    <w:p w14:paraId="61D39B79" w14:textId="77777777" w:rsidR="00A06E1B" w:rsidRPr="00C9307C" w:rsidRDefault="003D521C" w:rsidP="00720B8F">
      <w:pPr>
        <w:pStyle w:val="ColorfulList-Accent11"/>
        <w:numPr>
          <w:ilvl w:val="0"/>
          <w:numId w:val="61"/>
        </w:numPr>
        <w:jc w:val="both"/>
        <w:rPr>
          <w:rFonts w:eastAsia="Times New Roman" w:cs="Calibri"/>
          <w:bCs/>
          <w:color w:val="000000"/>
          <w:lang w:val="fr-FR"/>
        </w:rPr>
      </w:pPr>
      <w:r w:rsidRPr="00C9307C">
        <w:rPr>
          <w:rFonts w:eastAsia="Times New Roman" w:cs="Calibri"/>
          <w:bCs/>
          <w:color w:val="000000"/>
          <w:lang w:val="fr-FR"/>
        </w:rPr>
        <w:t xml:space="preserve">Le plan de mitigation des risques, incluant le plan et la stratégie de communication. </w:t>
      </w:r>
    </w:p>
    <w:p w14:paraId="0E006553" w14:textId="77777777" w:rsidR="00A06E1B" w:rsidRPr="00C9307C" w:rsidRDefault="00A06E1B" w:rsidP="00720B8F">
      <w:pPr>
        <w:pStyle w:val="ColorfulList-Accent11"/>
        <w:jc w:val="both"/>
        <w:rPr>
          <w:rFonts w:eastAsia="Times New Roman" w:cs="Calibri"/>
          <w:b/>
          <w:bCs/>
          <w:color w:val="000000"/>
          <w:lang w:val="fr-FR"/>
        </w:rPr>
      </w:pPr>
    </w:p>
    <w:p w14:paraId="403BD800" w14:textId="7210E006" w:rsidR="00A06E1B" w:rsidRPr="00C9307C" w:rsidRDefault="003E1456" w:rsidP="00720B8F">
      <w:pPr>
        <w:pStyle w:val="ColorfulList-Accent11"/>
        <w:ind w:hanging="720"/>
        <w:jc w:val="both"/>
        <w:rPr>
          <w:rFonts w:eastAsia="Times New Roman" w:cs="Calibri"/>
          <w:b/>
          <w:bCs/>
          <w:color w:val="000000"/>
          <w:lang w:val="fr-FR"/>
        </w:rPr>
      </w:pPr>
      <w:r w:rsidRPr="00C9307C">
        <w:rPr>
          <w:rFonts w:eastAsia="Times New Roman" w:cs="Calibri"/>
          <w:b/>
          <w:bCs/>
          <w:color w:val="000000"/>
          <w:lang w:val="fr-FR"/>
        </w:rPr>
        <w:t>2.2</w:t>
      </w:r>
      <w:r w:rsidR="00283F9F" w:rsidRPr="00C9307C">
        <w:rPr>
          <w:rFonts w:eastAsia="Times New Roman" w:cs="Calibri"/>
          <w:b/>
          <w:bCs/>
          <w:color w:val="000000"/>
          <w:lang w:val="fr-FR"/>
        </w:rPr>
        <w:t>8</w:t>
      </w:r>
      <w:r w:rsidR="00074D3F">
        <w:rPr>
          <w:rFonts w:eastAsia="Times New Roman" w:cs="Calibri"/>
          <w:b/>
          <w:bCs/>
          <w:color w:val="000000"/>
          <w:lang w:val="fr-FR"/>
        </w:rPr>
        <w:tab/>
      </w:r>
      <w:r w:rsidRPr="00C9307C">
        <w:rPr>
          <w:rFonts w:eastAsia="Times New Roman" w:cs="Calibri"/>
          <w:b/>
          <w:bCs/>
          <w:color w:val="000000"/>
          <w:lang w:val="fr-FR"/>
        </w:rPr>
        <w:t xml:space="preserve">A) </w:t>
      </w:r>
      <w:r w:rsidRPr="00C9307C">
        <w:rPr>
          <w:sz w:val="24"/>
          <w:szCs w:val="24"/>
          <w:lang w:val="fr-FR"/>
        </w:rPr>
        <w:t xml:space="preserve">Les activités </w:t>
      </w:r>
      <w:r w:rsidR="00283F9F" w:rsidRPr="00C9307C">
        <w:rPr>
          <w:rFonts w:eastAsia="Times New Roman" w:cs="Calibri"/>
          <w:bCs/>
          <w:color w:val="000000"/>
          <w:lang w:val="fr-FR"/>
        </w:rPr>
        <w:t>d’</w:t>
      </w:r>
      <w:r w:rsidR="00283F9F" w:rsidRPr="00C9307C">
        <w:rPr>
          <w:rFonts w:eastAsia="Times New Roman" w:cs="Calibri"/>
          <w:b/>
          <w:bCs/>
          <w:color w:val="000000"/>
          <w:lang w:val="fr-FR"/>
        </w:rPr>
        <w:t>appui à la gestion et à la direction du projet pendant ses cinq (5) années d’exécution, avec une emphase sur le renforcement de l’UCP/MEF</w:t>
      </w:r>
      <w:r w:rsidR="00934101" w:rsidRPr="00C9307C">
        <w:rPr>
          <w:rFonts w:eastAsia="Times New Roman" w:cs="Calibri"/>
          <w:b/>
          <w:bCs/>
          <w:color w:val="000000"/>
          <w:lang w:val="fr-FR"/>
        </w:rPr>
        <w:t xml:space="preserve"> </w:t>
      </w:r>
      <w:r w:rsidRPr="00C9307C">
        <w:rPr>
          <w:rFonts w:eastAsia="Times New Roman" w:cs="Calibri"/>
          <w:bCs/>
          <w:lang w:val="fr-FR"/>
        </w:rPr>
        <w:t>incluront :</w:t>
      </w:r>
    </w:p>
    <w:p w14:paraId="52DA5057" w14:textId="77777777" w:rsidR="00A06E1B" w:rsidRPr="00C9307C" w:rsidRDefault="003E1456"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i.    </w:t>
      </w:r>
      <w:r w:rsidRPr="00C9307C">
        <w:rPr>
          <w:rFonts w:eastAsia="Times New Roman" w:cs="Calibri"/>
          <w:bCs/>
          <w:color w:val="000000"/>
          <w:lang w:val="fr-FR"/>
        </w:rPr>
        <w:t>Le f</w:t>
      </w:r>
      <w:r w:rsidRPr="00C9307C">
        <w:rPr>
          <w:rFonts w:eastAsia="Times New Roman" w:cs="Calibri"/>
          <w:color w:val="000000"/>
          <w:lang w:val="fr-FR"/>
        </w:rPr>
        <w:t>inancement de salaires pour la gestion fiduciaire du projet ;</w:t>
      </w:r>
    </w:p>
    <w:p w14:paraId="1C48F95E" w14:textId="522AA2BC" w:rsidR="00A06E1B" w:rsidRPr="00C9307C" w:rsidRDefault="003E1456"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ii.   </w:t>
      </w:r>
      <w:r w:rsidR="00A511AA" w:rsidRPr="00C9307C">
        <w:rPr>
          <w:rFonts w:eastAsia="Times New Roman" w:cs="Calibri"/>
          <w:color w:val="000000"/>
          <w:lang w:val="fr-FR"/>
        </w:rPr>
        <w:t>Les frais de fonctionnement</w:t>
      </w:r>
      <w:r w:rsidR="00AC24C3" w:rsidRPr="00C9307C">
        <w:rPr>
          <w:rFonts w:eastAsia="Times New Roman" w:cs="Calibri"/>
          <w:color w:val="000000"/>
          <w:lang w:val="fr-FR"/>
        </w:rPr>
        <w:t xml:space="preserve"> </w:t>
      </w:r>
      <w:r w:rsidR="00A511AA" w:rsidRPr="00C9307C">
        <w:rPr>
          <w:rFonts w:eastAsia="Times New Roman" w:cs="Calibri"/>
          <w:color w:val="000000"/>
          <w:lang w:val="fr-FR"/>
        </w:rPr>
        <w:t>;</w:t>
      </w:r>
    </w:p>
    <w:p w14:paraId="369343DF" w14:textId="77777777" w:rsidR="00A06E1B" w:rsidRPr="00C9307C" w:rsidRDefault="00A06E1B" w:rsidP="00720B8F">
      <w:pPr>
        <w:pStyle w:val="ColorfulList-Accent11"/>
        <w:jc w:val="both"/>
        <w:rPr>
          <w:rFonts w:eastAsia="Times New Roman" w:cs="Calibri"/>
          <w:b/>
          <w:bCs/>
          <w:color w:val="000000"/>
          <w:lang w:val="fr-FR"/>
        </w:rPr>
      </w:pPr>
    </w:p>
    <w:p w14:paraId="4A9F88BE" w14:textId="0C6F432A" w:rsidR="00A06E1B" w:rsidRPr="00C9307C" w:rsidRDefault="003E1456" w:rsidP="00BF1E17">
      <w:pPr>
        <w:pStyle w:val="ColorfulList-Accent11"/>
        <w:ind w:left="0"/>
        <w:jc w:val="both"/>
        <w:rPr>
          <w:rFonts w:eastAsia="Times New Roman" w:cs="Calibri"/>
          <w:b/>
          <w:bCs/>
          <w:color w:val="000000"/>
          <w:lang w:val="fr-FR"/>
        </w:rPr>
      </w:pPr>
      <w:r w:rsidRPr="00C9307C">
        <w:rPr>
          <w:rFonts w:eastAsia="Times New Roman" w:cs="Calibri"/>
          <w:b/>
          <w:bCs/>
          <w:color w:val="000000"/>
          <w:lang w:val="fr-FR"/>
        </w:rPr>
        <w:t>2.</w:t>
      </w:r>
      <w:r w:rsidR="00283F9F" w:rsidRPr="00C9307C">
        <w:rPr>
          <w:rFonts w:eastAsia="Times New Roman" w:cs="Calibri"/>
          <w:b/>
          <w:bCs/>
          <w:color w:val="000000"/>
          <w:lang w:val="fr-FR"/>
        </w:rPr>
        <w:t>29</w:t>
      </w:r>
      <w:r w:rsidRPr="00C9307C">
        <w:rPr>
          <w:rFonts w:eastAsia="Times New Roman" w:cs="Calibri"/>
          <w:b/>
          <w:bCs/>
          <w:color w:val="000000"/>
          <w:lang w:val="fr-FR"/>
        </w:rPr>
        <w:t xml:space="preserve"> </w:t>
      </w:r>
      <w:r w:rsidR="00074D3F">
        <w:rPr>
          <w:rFonts w:eastAsia="Times New Roman" w:cs="Calibri"/>
          <w:b/>
          <w:bCs/>
          <w:color w:val="000000"/>
          <w:lang w:val="fr-FR"/>
        </w:rPr>
        <w:tab/>
      </w:r>
      <w:r w:rsidRPr="00C9307C">
        <w:rPr>
          <w:rFonts w:eastAsia="Times New Roman" w:cs="Calibri"/>
          <w:b/>
          <w:bCs/>
          <w:color w:val="000000"/>
          <w:lang w:val="fr-FR"/>
        </w:rPr>
        <w:t xml:space="preserve">B) </w:t>
      </w:r>
      <w:r w:rsidRPr="00C9307C">
        <w:rPr>
          <w:sz w:val="24"/>
          <w:szCs w:val="24"/>
          <w:lang w:val="fr-FR"/>
        </w:rPr>
        <w:t xml:space="preserve">Les activités </w:t>
      </w:r>
      <w:r w:rsidR="005A26E2" w:rsidRPr="00C9307C">
        <w:rPr>
          <w:b/>
          <w:sz w:val="24"/>
          <w:szCs w:val="24"/>
          <w:lang w:val="fr-FR"/>
        </w:rPr>
        <w:t>d</w:t>
      </w:r>
      <w:r w:rsidR="005A26E2" w:rsidRPr="00C9307C">
        <w:rPr>
          <w:rFonts w:eastAsia="Times New Roman" w:cs="Calibri"/>
          <w:b/>
          <w:bCs/>
          <w:color w:val="000000"/>
          <w:lang w:val="fr-FR"/>
        </w:rPr>
        <w:t xml:space="preserve">’élaboration plus détaillée et précise </w:t>
      </w:r>
      <w:r w:rsidR="00BF1E17" w:rsidRPr="00C9307C">
        <w:rPr>
          <w:rFonts w:eastAsia="Times New Roman" w:cs="Calibri"/>
          <w:b/>
          <w:bCs/>
          <w:color w:val="000000"/>
          <w:lang w:val="fr-FR"/>
        </w:rPr>
        <w:t>de</w:t>
      </w:r>
      <w:r w:rsidR="005A26E2" w:rsidRPr="00C9307C">
        <w:rPr>
          <w:rFonts w:eastAsia="Times New Roman" w:cs="Calibri"/>
          <w:b/>
          <w:bCs/>
          <w:color w:val="000000"/>
          <w:lang w:val="fr-FR"/>
        </w:rPr>
        <w:t xml:space="preserve"> la ligne de base du projet</w:t>
      </w:r>
      <w:r w:rsidR="00AC24C3" w:rsidRPr="00C9307C">
        <w:rPr>
          <w:rFonts w:eastAsia="Times New Roman" w:cs="Calibri"/>
          <w:b/>
          <w:bCs/>
          <w:color w:val="000000"/>
          <w:lang w:val="fr-FR"/>
        </w:rPr>
        <w:t xml:space="preserve"> </w:t>
      </w:r>
      <w:r w:rsidRPr="00C9307C">
        <w:rPr>
          <w:rFonts w:eastAsia="Times New Roman" w:cs="Calibri"/>
          <w:bCs/>
          <w:color w:val="000000"/>
          <w:lang w:val="fr-FR"/>
        </w:rPr>
        <w:t>incluront </w:t>
      </w:r>
      <w:r w:rsidRPr="00C9307C">
        <w:rPr>
          <w:rFonts w:eastAsia="Times New Roman" w:cs="Calibri"/>
          <w:b/>
          <w:bCs/>
          <w:color w:val="000000"/>
          <w:lang w:val="fr-FR"/>
        </w:rPr>
        <w:t>:</w:t>
      </w:r>
    </w:p>
    <w:p w14:paraId="654DCCD8" w14:textId="6D043875" w:rsidR="00BF1E17" w:rsidRPr="00C9307C" w:rsidRDefault="003E1456" w:rsidP="00BF1E17">
      <w:pPr>
        <w:pStyle w:val="ColorfulList-Accent11"/>
        <w:jc w:val="both"/>
        <w:rPr>
          <w:rFonts w:eastAsia="Times New Roman" w:cs="Calibri"/>
          <w:color w:val="000000"/>
          <w:lang w:val="fr-FR"/>
        </w:rPr>
      </w:pPr>
      <w:r w:rsidRPr="00C9307C">
        <w:rPr>
          <w:rFonts w:eastAsia="Times New Roman" w:cs="Calibri"/>
          <w:b/>
          <w:bCs/>
          <w:color w:val="000000"/>
          <w:lang w:val="fr-FR"/>
        </w:rPr>
        <w:t xml:space="preserve">i. </w:t>
      </w:r>
      <w:r w:rsidR="00B5621C" w:rsidRPr="00C9307C">
        <w:rPr>
          <w:rFonts w:eastAsia="Times New Roman" w:cs="Calibri"/>
          <w:bCs/>
          <w:color w:val="000000"/>
          <w:lang w:val="fr-FR"/>
        </w:rPr>
        <w:t>Le f</w:t>
      </w:r>
      <w:r w:rsidR="00B5621C" w:rsidRPr="00C9307C">
        <w:rPr>
          <w:rFonts w:eastAsia="Times New Roman" w:cs="Calibri"/>
          <w:color w:val="000000"/>
          <w:lang w:val="fr-FR"/>
        </w:rPr>
        <w:t>inancement</w:t>
      </w:r>
      <w:r w:rsidR="00AC24C3" w:rsidRPr="00C9307C">
        <w:rPr>
          <w:rFonts w:eastAsia="Times New Roman" w:cs="Calibri"/>
          <w:color w:val="000000"/>
          <w:lang w:val="fr-FR"/>
        </w:rPr>
        <w:t xml:space="preserve"> </w:t>
      </w:r>
      <w:r w:rsidR="00BF1E17" w:rsidRPr="00C9307C">
        <w:rPr>
          <w:rFonts w:eastAsia="Times New Roman" w:cs="Calibri"/>
          <w:color w:val="000000"/>
          <w:lang w:val="fr-FR"/>
        </w:rPr>
        <w:t>de l’élaboration de la ligne de base ;</w:t>
      </w:r>
    </w:p>
    <w:p w14:paraId="74B862EA" w14:textId="77777777" w:rsidR="00B930FA" w:rsidRPr="00C9307C" w:rsidRDefault="00B930FA" w:rsidP="00720B8F">
      <w:pPr>
        <w:pStyle w:val="ColorfulList-Accent11"/>
        <w:ind w:hanging="720"/>
        <w:jc w:val="both"/>
        <w:rPr>
          <w:rFonts w:eastAsia="Times New Roman" w:cs="Calibri"/>
          <w:color w:val="000000"/>
          <w:lang w:val="fr-FR"/>
        </w:rPr>
      </w:pPr>
    </w:p>
    <w:p w14:paraId="60B7B327" w14:textId="237054D6" w:rsidR="00A06E1B" w:rsidRPr="006603E9" w:rsidRDefault="005A26E2" w:rsidP="00B930FA">
      <w:pPr>
        <w:pStyle w:val="ColorfulList-Accent11"/>
        <w:ind w:hanging="720"/>
        <w:jc w:val="both"/>
        <w:rPr>
          <w:rFonts w:eastAsia="Times New Roman" w:cs="Calibri"/>
          <w:b/>
          <w:bCs/>
          <w:color w:val="000000"/>
          <w:lang w:val="fr-FR"/>
        </w:rPr>
      </w:pPr>
      <w:bookmarkStart w:id="21" w:name="_Hlk532462614"/>
      <w:r w:rsidRPr="006603E9">
        <w:rPr>
          <w:rFonts w:eastAsia="Times New Roman" w:cs="Calibri"/>
          <w:b/>
          <w:bCs/>
          <w:color w:val="000000"/>
          <w:lang w:val="fr-FR"/>
        </w:rPr>
        <w:t xml:space="preserve">2.30 </w:t>
      </w:r>
      <w:r w:rsidR="00074D3F">
        <w:rPr>
          <w:rFonts w:eastAsia="Times New Roman" w:cs="Calibri"/>
          <w:b/>
          <w:bCs/>
          <w:color w:val="000000"/>
          <w:lang w:val="fr-FR"/>
        </w:rPr>
        <w:tab/>
      </w:r>
      <w:r w:rsidRPr="006603E9">
        <w:rPr>
          <w:rFonts w:eastAsia="Times New Roman" w:cs="Calibri"/>
          <w:b/>
          <w:bCs/>
          <w:color w:val="000000"/>
          <w:lang w:val="fr-FR"/>
        </w:rPr>
        <w:t>C)</w:t>
      </w:r>
      <w:r w:rsidR="00AC24C3" w:rsidRPr="006603E9">
        <w:rPr>
          <w:rFonts w:eastAsia="Times New Roman" w:cs="Calibri"/>
          <w:b/>
          <w:bCs/>
          <w:color w:val="000000"/>
          <w:lang w:val="fr-FR"/>
        </w:rPr>
        <w:t xml:space="preserve"> </w:t>
      </w:r>
      <w:r w:rsidRPr="006603E9">
        <w:rPr>
          <w:sz w:val="24"/>
          <w:szCs w:val="24"/>
          <w:lang w:val="fr-FR"/>
        </w:rPr>
        <w:t xml:space="preserve">Les </w:t>
      </w:r>
      <w:r w:rsidR="003E1456" w:rsidRPr="006603E9">
        <w:rPr>
          <w:sz w:val="24"/>
          <w:szCs w:val="24"/>
          <w:lang w:val="fr-FR"/>
        </w:rPr>
        <w:t xml:space="preserve">activités de </w:t>
      </w:r>
      <w:r w:rsidRPr="006603E9">
        <w:rPr>
          <w:sz w:val="24"/>
          <w:szCs w:val="24"/>
          <w:lang w:val="fr-FR"/>
        </w:rPr>
        <w:t>s</w:t>
      </w:r>
      <w:r w:rsidRPr="006603E9">
        <w:rPr>
          <w:rFonts w:eastAsia="Times New Roman" w:cs="Calibri"/>
          <w:bCs/>
          <w:color w:val="000000"/>
          <w:lang w:val="fr-FR"/>
        </w:rPr>
        <w:t xml:space="preserve">uivi et le monitoring de l’exécution du </w:t>
      </w:r>
      <w:r w:rsidR="00BF1E17" w:rsidRPr="006603E9">
        <w:rPr>
          <w:rFonts w:eastAsia="Times New Roman" w:cs="Calibri"/>
          <w:bCs/>
          <w:color w:val="000000"/>
          <w:lang w:val="fr-FR"/>
        </w:rPr>
        <w:t>projet </w:t>
      </w:r>
      <w:r w:rsidR="00BF1E17" w:rsidRPr="006603E9" w:rsidDel="005A26E2">
        <w:rPr>
          <w:lang w:val="fr-FR"/>
        </w:rPr>
        <w:t>incluront</w:t>
      </w:r>
      <w:r w:rsidR="003E1456" w:rsidRPr="006603E9">
        <w:rPr>
          <w:rFonts w:eastAsia="Times New Roman" w:cs="Calibri"/>
          <w:b/>
          <w:bCs/>
          <w:color w:val="000000"/>
          <w:lang w:val="fr-FR"/>
        </w:rPr>
        <w:t> :</w:t>
      </w:r>
    </w:p>
    <w:p w14:paraId="0260BAA9" w14:textId="272403C4" w:rsidR="00BF1E17" w:rsidRPr="006603E9" w:rsidRDefault="003E1456">
      <w:pPr>
        <w:pStyle w:val="ColorfulList-Accent11"/>
        <w:jc w:val="both"/>
        <w:rPr>
          <w:rFonts w:eastAsia="Times New Roman" w:cs="Calibri"/>
          <w:color w:val="000000"/>
          <w:lang w:val="fr-FR"/>
        </w:rPr>
      </w:pPr>
      <w:r w:rsidRPr="006603E9">
        <w:rPr>
          <w:rFonts w:eastAsia="Times New Roman" w:cs="Calibri"/>
          <w:b/>
          <w:bCs/>
          <w:color w:val="000000"/>
          <w:lang w:val="fr-FR"/>
        </w:rPr>
        <w:t xml:space="preserve">i. </w:t>
      </w:r>
      <w:r w:rsidR="00E90EC9" w:rsidRPr="006603E9">
        <w:rPr>
          <w:rFonts w:eastAsia="Times New Roman" w:cs="Calibri"/>
          <w:b/>
          <w:bCs/>
          <w:color w:val="000000"/>
          <w:lang w:val="fr-FR"/>
        </w:rPr>
        <w:t>l</w:t>
      </w:r>
      <w:r w:rsidR="00B5621C" w:rsidRPr="006603E9">
        <w:rPr>
          <w:rFonts w:eastAsia="Times New Roman" w:cs="Calibri"/>
          <w:bCs/>
          <w:color w:val="000000"/>
          <w:lang w:val="fr-FR"/>
        </w:rPr>
        <w:t>e f</w:t>
      </w:r>
      <w:r w:rsidR="00B5621C" w:rsidRPr="006603E9">
        <w:rPr>
          <w:rFonts w:eastAsia="Times New Roman" w:cs="Calibri"/>
          <w:color w:val="000000"/>
          <w:lang w:val="fr-FR"/>
        </w:rPr>
        <w:t xml:space="preserve">inancement de salaires pour le suivi et </w:t>
      </w:r>
      <w:r w:rsidR="005A26E2" w:rsidRPr="006603E9">
        <w:rPr>
          <w:rFonts w:eastAsia="Times New Roman" w:cs="Calibri"/>
          <w:color w:val="000000"/>
          <w:lang w:val="fr-FR"/>
        </w:rPr>
        <w:t>le monitoring</w:t>
      </w:r>
    </w:p>
    <w:p w14:paraId="53E5908D" w14:textId="7ED2D1FB" w:rsidR="00A40946" w:rsidRPr="006603E9" w:rsidRDefault="00A40946">
      <w:pPr>
        <w:pStyle w:val="ColorfulList-Accent11"/>
        <w:jc w:val="both"/>
        <w:rPr>
          <w:rFonts w:eastAsia="Times New Roman" w:cs="Calibri"/>
          <w:b/>
          <w:bCs/>
          <w:color w:val="000000"/>
          <w:lang w:val="fr-FR"/>
        </w:rPr>
      </w:pPr>
      <w:r w:rsidRPr="006603E9">
        <w:rPr>
          <w:rFonts w:eastAsia="Times New Roman" w:cs="Calibri"/>
          <w:b/>
          <w:bCs/>
          <w:color w:val="000000"/>
          <w:lang w:val="fr-FR"/>
        </w:rPr>
        <w:t>ii</w:t>
      </w:r>
      <w:r w:rsidR="00E90EC9" w:rsidRPr="006603E9">
        <w:rPr>
          <w:rFonts w:eastAsia="Times New Roman" w:cs="Calibri"/>
          <w:b/>
          <w:bCs/>
          <w:color w:val="000000"/>
          <w:lang w:val="fr-FR"/>
        </w:rPr>
        <w:t>.</w:t>
      </w:r>
      <w:r w:rsidRPr="006603E9">
        <w:rPr>
          <w:rFonts w:eastAsia="Times New Roman" w:cs="Calibri"/>
          <w:b/>
          <w:bCs/>
          <w:color w:val="000000"/>
          <w:lang w:val="fr-FR"/>
        </w:rPr>
        <w:t xml:space="preserve">  le recrutement du spécialiste en Suivi/Evaluation</w:t>
      </w:r>
      <w:r w:rsidR="00F82770" w:rsidRPr="006603E9">
        <w:rPr>
          <w:rFonts w:eastAsia="Times New Roman" w:cs="Calibri"/>
          <w:b/>
          <w:bCs/>
          <w:color w:val="000000"/>
          <w:lang w:val="fr-FR"/>
        </w:rPr>
        <w:t>.</w:t>
      </w:r>
    </w:p>
    <w:bookmarkEnd w:id="21"/>
    <w:p w14:paraId="28E7630B" w14:textId="77777777" w:rsidR="00A40946" w:rsidRPr="00C9307C" w:rsidRDefault="00A40946">
      <w:pPr>
        <w:pStyle w:val="ColorfulList-Accent11"/>
        <w:jc w:val="both"/>
        <w:rPr>
          <w:rFonts w:eastAsia="Times New Roman" w:cs="Calibri"/>
          <w:color w:val="000000"/>
          <w:lang w:val="fr-FR"/>
        </w:rPr>
      </w:pPr>
      <w:proofErr w:type="gramStart"/>
      <w:r w:rsidRPr="00C9307C">
        <w:rPr>
          <w:rFonts w:eastAsia="Times New Roman" w:cs="Calibri"/>
          <w:color w:val="000000"/>
          <w:lang w:val="fr-FR"/>
        </w:rPr>
        <w:t>iii</w:t>
      </w:r>
      <w:proofErr w:type="gramEnd"/>
      <w:r w:rsidRPr="00C9307C">
        <w:rPr>
          <w:rFonts w:eastAsia="Times New Roman" w:cs="Calibri"/>
          <w:color w:val="000000"/>
          <w:lang w:val="fr-FR"/>
        </w:rPr>
        <w:t xml:space="preserve"> l’élaboration et la mise en œuvre du Système  de suivi/évaluation</w:t>
      </w:r>
      <w:r w:rsidR="00F82770" w:rsidRPr="00C9307C">
        <w:rPr>
          <w:rFonts w:eastAsia="Times New Roman" w:cs="Calibri"/>
          <w:color w:val="000000"/>
          <w:lang w:val="fr-FR"/>
        </w:rPr>
        <w:t>.</w:t>
      </w:r>
    </w:p>
    <w:p w14:paraId="4FCF641A" w14:textId="77777777" w:rsidR="00F82770" w:rsidRPr="00C9307C" w:rsidRDefault="00F82770">
      <w:pPr>
        <w:pStyle w:val="ColorfulList-Accent11"/>
        <w:jc w:val="both"/>
        <w:rPr>
          <w:rFonts w:eastAsia="Times New Roman" w:cs="Calibri"/>
          <w:color w:val="000000"/>
          <w:lang w:val="fr-FR"/>
        </w:rPr>
      </w:pPr>
    </w:p>
    <w:p w14:paraId="624021BE" w14:textId="27736086" w:rsidR="00BF1E17" w:rsidRPr="00C9307C" w:rsidRDefault="00BF1E17" w:rsidP="00BF1E17">
      <w:pPr>
        <w:pStyle w:val="ColorfulList-Accent11"/>
        <w:ind w:left="0"/>
        <w:jc w:val="both"/>
        <w:rPr>
          <w:rFonts w:eastAsia="Times New Roman" w:cs="Calibri"/>
          <w:bCs/>
          <w:color w:val="000000"/>
          <w:lang w:val="fr-FR"/>
        </w:rPr>
      </w:pPr>
      <w:r w:rsidRPr="00C9307C">
        <w:rPr>
          <w:rFonts w:eastAsia="Times New Roman" w:cs="Calibri"/>
          <w:b/>
          <w:bCs/>
          <w:color w:val="000000"/>
          <w:lang w:val="fr-FR"/>
        </w:rPr>
        <w:t>2.31</w:t>
      </w:r>
      <w:r w:rsidR="00074D3F">
        <w:rPr>
          <w:rFonts w:eastAsia="Times New Roman" w:cs="Calibri"/>
          <w:b/>
          <w:bCs/>
          <w:color w:val="000000"/>
          <w:lang w:val="fr-FR"/>
        </w:rPr>
        <w:tab/>
      </w:r>
      <w:r w:rsidRPr="00C9307C">
        <w:rPr>
          <w:rFonts w:eastAsia="Times New Roman" w:cs="Calibri"/>
          <w:b/>
          <w:bCs/>
          <w:color w:val="000000"/>
          <w:lang w:val="fr-FR"/>
        </w:rPr>
        <w:t xml:space="preserve"> D) </w:t>
      </w:r>
      <w:r w:rsidR="005A26E2" w:rsidRPr="00C9307C">
        <w:rPr>
          <w:rFonts w:eastAsia="Times New Roman" w:cs="Calibri"/>
          <w:bCs/>
          <w:color w:val="000000"/>
          <w:lang w:val="fr-FR"/>
        </w:rPr>
        <w:t xml:space="preserve">Les activités </w:t>
      </w:r>
      <w:r w:rsidRPr="00C9307C">
        <w:rPr>
          <w:rFonts w:eastAsia="Times New Roman" w:cs="Calibri"/>
          <w:bCs/>
          <w:color w:val="000000"/>
          <w:lang w:val="fr-FR"/>
        </w:rPr>
        <w:t>d’audits</w:t>
      </w:r>
      <w:r w:rsidR="005A26E2" w:rsidRPr="00C9307C">
        <w:rPr>
          <w:rFonts w:eastAsia="Times New Roman" w:cs="Calibri"/>
          <w:b/>
          <w:bCs/>
          <w:color w:val="000000"/>
          <w:lang w:val="fr-FR"/>
        </w:rPr>
        <w:t xml:space="preserve"> financiers</w:t>
      </w:r>
      <w:r w:rsidR="005A26E2" w:rsidRPr="00C9307C">
        <w:rPr>
          <w:rFonts w:eastAsia="Times New Roman" w:cs="Calibri"/>
          <w:bCs/>
          <w:color w:val="000000"/>
          <w:lang w:val="fr-FR"/>
        </w:rPr>
        <w:t> incluront :</w:t>
      </w:r>
    </w:p>
    <w:p w14:paraId="515B703B" w14:textId="77777777" w:rsidR="00A06E1B" w:rsidRPr="00C9307C" w:rsidRDefault="005A26E2" w:rsidP="00BF1E17">
      <w:pPr>
        <w:pStyle w:val="ColorfulList-Accent11"/>
        <w:ind w:left="0" w:firstLine="720"/>
        <w:jc w:val="both"/>
        <w:rPr>
          <w:rFonts w:eastAsia="Times New Roman" w:cs="Calibri"/>
          <w:bCs/>
          <w:color w:val="000000"/>
          <w:lang w:val="fr-FR"/>
        </w:rPr>
      </w:pPr>
      <w:r w:rsidRPr="00C9307C">
        <w:rPr>
          <w:rFonts w:eastAsia="Times New Roman" w:cs="Calibri"/>
          <w:b/>
          <w:bCs/>
          <w:color w:val="000000"/>
          <w:lang w:val="fr-FR"/>
        </w:rPr>
        <w:t xml:space="preserve">i. </w:t>
      </w:r>
      <w:r w:rsidRPr="00C9307C">
        <w:rPr>
          <w:rFonts w:eastAsia="Times New Roman" w:cs="Calibri"/>
          <w:bCs/>
          <w:color w:val="000000"/>
          <w:lang w:val="fr-FR"/>
        </w:rPr>
        <w:t>L’</w:t>
      </w:r>
      <w:r w:rsidR="005A7399" w:rsidRPr="00C9307C">
        <w:rPr>
          <w:rFonts w:eastAsia="Times New Roman" w:cs="Calibri"/>
          <w:bCs/>
          <w:color w:val="000000"/>
          <w:lang w:val="fr-FR"/>
        </w:rPr>
        <w:t>élaboration</w:t>
      </w:r>
      <w:r w:rsidRPr="00C9307C">
        <w:rPr>
          <w:rFonts w:eastAsia="Times New Roman" w:cs="Calibri"/>
          <w:bCs/>
          <w:color w:val="000000"/>
          <w:lang w:val="fr-FR"/>
        </w:rPr>
        <w:t xml:space="preserve"> de TDR</w:t>
      </w:r>
    </w:p>
    <w:p w14:paraId="3BED6B17" w14:textId="77777777" w:rsidR="00E93FB9" w:rsidRPr="00C9307C" w:rsidRDefault="00E93FB9" w:rsidP="005A7399">
      <w:pPr>
        <w:pStyle w:val="ColorfulList-Accent11"/>
        <w:jc w:val="both"/>
        <w:rPr>
          <w:rFonts w:eastAsia="Times New Roman" w:cs="Calibri"/>
          <w:bCs/>
          <w:color w:val="000000"/>
          <w:lang w:val="fr-FR"/>
        </w:rPr>
      </w:pPr>
      <w:r w:rsidRPr="00C9307C">
        <w:rPr>
          <w:rFonts w:eastAsia="Times New Roman" w:cs="Calibri"/>
          <w:bCs/>
          <w:color w:val="000000"/>
          <w:lang w:val="fr-FR"/>
        </w:rPr>
        <w:t xml:space="preserve">ii. L’engagement de firme d’audit </w:t>
      </w:r>
      <w:r w:rsidR="005A7399" w:rsidRPr="00C9307C">
        <w:rPr>
          <w:rFonts w:eastAsia="Times New Roman" w:cs="Calibri"/>
          <w:bCs/>
          <w:color w:val="000000"/>
          <w:lang w:val="fr-FR"/>
        </w:rPr>
        <w:t>spécialisée</w:t>
      </w:r>
    </w:p>
    <w:p w14:paraId="1E321B2A" w14:textId="77777777" w:rsidR="005A7399" w:rsidRPr="00C9307C" w:rsidRDefault="00BF1E17" w:rsidP="00BF1E17">
      <w:pPr>
        <w:pStyle w:val="ColorfulList-Accent11"/>
        <w:jc w:val="both"/>
        <w:rPr>
          <w:rFonts w:eastAsia="Times New Roman" w:cs="Calibri"/>
          <w:bCs/>
          <w:color w:val="000000"/>
          <w:lang w:val="fr-FR"/>
        </w:rPr>
      </w:pPr>
      <w:r w:rsidRPr="00C9307C">
        <w:rPr>
          <w:rFonts w:eastAsia="Times New Roman" w:cs="Calibri"/>
          <w:bCs/>
          <w:color w:val="000000"/>
          <w:lang w:val="fr-FR"/>
        </w:rPr>
        <w:t xml:space="preserve">iii. </w:t>
      </w:r>
      <w:r w:rsidR="005A7399" w:rsidRPr="00C9307C">
        <w:rPr>
          <w:rFonts w:eastAsia="Times New Roman" w:cs="Calibri"/>
          <w:bCs/>
          <w:color w:val="000000"/>
          <w:lang w:val="fr-FR"/>
        </w:rPr>
        <w:t>L’élaboration de rapports périodiques d’audit</w:t>
      </w:r>
    </w:p>
    <w:p w14:paraId="0348CA84" w14:textId="77777777" w:rsidR="005A7399" w:rsidRPr="00C9307C" w:rsidRDefault="005A7399" w:rsidP="00720B8F">
      <w:pPr>
        <w:pStyle w:val="ColorfulList-Accent11"/>
        <w:jc w:val="both"/>
        <w:rPr>
          <w:rFonts w:eastAsia="Times New Roman" w:cs="Calibri"/>
          <w:b/>
          <w:bCs/>
          <w:color w:val="000000"/>
          <w:lang w:val="fr-FR"/>
        </w:rPr>
      </w:pPr>
    </w:p>
    <w:p w14:paraId="1A8DDC88" w14:textId="104AB2CC" w:rsidR="005A7399" w:rsidRPr="00C9307C" w:rsidRDefault="003E1456" w:rsidP="005A7399">
      <w:pPr>
        <w:pStyle w:val="ColorfulList-Accent11"/>
        <w:ind w:hanging="720"/>
        <w:jc w:val="both"/>
        <w:rPr>
          <w:rFonts w:eastAsia="Times New Roman" w:cs="Calibri"/>
          <w:bCs/>
          <w:color w:val="000000"/>
          <w:lang w:val="fr-FR"/>
        </w:rPr>
      </w:pPr>
      <w:r w:rsidRPr="00C9307C">
        <w:rPr>
          <w:rFonts w:eastAsia="Times New Roman" w:cs="Calibri"/>
          <w:b/>
          <w:bCs/>
          <w:color w:val="000000"/>
          <w:lang w:val="fr-FR"/>
        </w:rPr>
        <w:t>2.3</w:t>
      </w:r>
      <w:r w:rsidR="005A7399" w:rsidRPr="00C9307C">
        <w:rPr>
          <w:rFonts w:eastAsia="Times New Roman" w:cs="Calibri"/>
          <w:b/>
          <w:bCs/>
          <w:color w:val="000000"/>
          <w:lang w:val="fr-FR"/>
        </w:rPr>
        <w:t>2</w:t>
      </w:r>
      <w:r w:rsidR="00074D3F">
        <w:rPr>
          <w:rFonts w:eastAsia="Times New Roman" w:cs="Calibri"/>
          <w:b/>
          <w:bCs/>
          <w:color w:val="000000"/>
          <w:lang w:val="fr-FR"/>
        </w:rPr>
        <w:tab/>
      </w:r>
      <w:r w:rsidRPr="00C9307C">
        <w:rPr>
          <w:rFonts w:eastAsia="Times New Roman" w:cs="Calibri"/>
          <w:b/>
          <w:bCs/>
          <w:color w:val="000000"/>
          <w:lang w:val="fr-FR"/>
        </w:rPr>
        <w:t xml:space="preserve"> E) </w:t>
      </w:r>
      <w:r w:rsidR="005A7399" w:rsidRPr="00C9307C">
        <w:rPr>
          <w:rFonts w:eastAsia="Times New Roman" w:cs="Calibri"/>
          <w:bCs/>
          <w:color w:val="000000"/>
          <w:lang w:val="fr-FR"/>
        </w:rPr>
        <w:t xml:space="preserve">Les </w:t>
      </w:r>
      <w:r w:rsidR="00BF1E17" w:rsidRPr="00C9307C">
        <w:rPr>
          <w:rFonts w:eastAsia="Times New Roman" w:cs="Calibri"/>
          <w:bCs/>
          <w:color w:val="000000"/>
          <w:lang w:val="fr-FR"/>
        </w:rPr>
        <w:t>activités</w:t>
      </w:r>
      <w:r w:rsidR="005A7399" w:rsidRPr="00C9307C">
        <w:rPr>
          <w:rFonts w:eastAsia="Times New Roman" w:cs="Calibri"/>
          <w:bCs/>
          <w:color w:val="000000"/>
          <w:lang w:val="fr-FR"/>
        </w:rPr>
        <w:t xml:space="preserve"> d’</w:t>
      </w:r>
      <w:r w:rsidR="005A7399" w:rsidRPr="00C9307C">
        <w:rPr>
          <w:rFonts w:eastAsia="Times New Roman" w:cs="Calibri"/>
          <w:b/>
          <w:bCs/>
          <w:color w:val="000000"/>
          <w:lang w:val="fr-FR"/>
        </w:rPr>
        <w:t>études d’évaluations intermédiaire et finale</w:t>
      </w:r>
      <w:r w:rsidR="005A7399" w:rsidRPr="00C9307C">
        <w:rPr>
          <w:rFonts w:eastAsia="Times New Roman" w:cs="Calibri"/>
          <w:bCs/>
          <w:color w:val="000000"/>
          <w:lang w:val="fr-FR"/>
        </w:rPr>
        <w:t xml:space="preserve"> incluront :</w:t>
      </w:r>
    </w:p>
    <w:p w14:paraId="4F521830" w14:textId="77777777" w:rsidR="00BF1E17" w:rsidRPr="00C9307C" w:rsidRDefault="00BF1E17" w:rsidP="00BF1E17">
      <w:pPr>
        <w:pStyle w:val="ColorfulList-Accent11"/>
        <w:numPr>
          <w:ilvl w:val="0"/>
          <w:numId w:val="71"/>
        </w:numPr>
        <w:ind w:hanging="360"/>
        <w:jc w:val="both"/>
        <w:rPr>
          <w:rFonts w:eastAsia="Times New Roman" w:cs="Calibri"/>
          <w:b/>
          <w:bCs/>
          <w:color w:val="000000"/>
          <w:lang w:val="fr-FR"/>
        </w:rPr>
      </w:pPr>
      <w:r w:rsidRPr="00C9307C">
        <w:rPr>
          <w:rFonts w:eastAsia="Times New Roman" w:cs="Calibri"/>
          <w:bCs/>
          <w:color w:val="000000"/>
          <w:lang w:val="fr-FR"/>
        </w:rPr>
        <w:t>L’élaboration de TDR</w:t>
      </w:r>
    </w:p>
    <w:p w14:paraId="1B76BE8F" w14:textId="77777777" w:rsidR="005A7399" w:rsidRPr="00C9307C" w:rsidRDefault="005A7399" w:rsidP="00BF1E17">
      <w:pPr>
        <w:pStyle w:val="ColorfulList-Accent11"/>
        <w:numPr>
          <w:ilvl w:val="0"/>
          <w:numId w:val="71"/>
        </w:numPr>
        <w:ind w:hanging="360"/>
        <w:jc w:val="both"/>
        <w:rPr>
          <w:rFonts w:eastAsia="Times New Roman" w:cs="Calibri"/>
          <w:b/>
          <w:bCs/>
          <w:color w:val="000000"/>
          <w:lang w:val="fr-FR"/>
        </w:rPr>
      </w:pPr>
      <w:r w:rsidRPr="00C9307C">
        <w:rPr>
          <w:rFonts w:eastAsia="Times New Roman" w:cs="Calibri"/>
          <w:bCs/>
          <w:color w:val="000000"/>
          <w:lang w:val="fr-FR"/>
        </w:rPr>
        <w:t>L’engagement d’un consultant</w:t>
      </w:r>
    </w:p>
    <w:p w14:paraId="3579349D" w14:textId="77777777" w:rsidR="00BF1E17" w:rsidRPr="00C9307C" w:rsidRDefault="00BF1E17" w:rsidP="00BF1E17">
      <w:pPr>
        <w:pStyle w:val="ColorfulList-Accent11"/>
        <w:ind w:left="1080"/>
        <w:jc w:val="both"/>
        <w:rPr>
          <w:rFonts w:eastAsia="Times New Roman" w:cs="Calibri"/>
          <w:b/>
          <w:bCs/>
          <w:color w:val="000000"/>
          <w:lang w:val="fr-FR"/>
        </w:rPr>
      </w:pPr>
    </w:p>
    <w:p w14:paraId="05E43B83" w14:textId="77777777" w:rsidR="00A06E1B" w:rsidRPr="00C9307C" w:rsidRDefault="005A7399" w:rsidP="00720B8F">
      <w:pPr>
        <w:pStyle w:val="ColorfulList-Accent11"/>
        <w:numPr>
          <w:ilvl w:val="1"/>
          <w:numId w:val="72"/>
        </w:numPr>
        <w:jc w:val="both"/>
        <w:rPr>
          <w:rFonts w:eastAsia="Times New Roman" w:cs="Calibri"/>
          <w:b/>
          <w:bCs/>
          <w:color w:val="000000"/>
          <w:lang w:val="fr-FR"/>
        </w:rPr>
      </w:pPr>
      <w:r w:rsidRPr="00C9307C">
        <w:rPr>
          <w:sz w:val="24"/>
          <w:szCs w:val="24"/>
          <w:lang w:val="fr-FR"/>
        </w:rPr>
        <w:t xml:space="preserve">F) </w:t>
      </w:r>
      <w:r w:rsidR="00BF1E17" w:rsidRPr="00C9307C">
        <w:rPr>
          <w:sz w:val="24"/>
          <w:szCs w:val="24"/>
          <w:lang w:val="fr-FR"/>
        </w:rPr>
        <w:t>Les a</w:t>
      </w:r>
      <w:r w:rsidR="00B930FA" w:rsidRPr="00C9307C">
        <w:rPr>
          <w:sz w:val="24"/>
          <w:szCs w:val="24"/>
          <w:lang w:val="fr-FR"/>
        </w:rPr>
        <w:t>cti</w:t>
      </w:r>
      <w:r w:rsidR="003E1456" w:rsidRPr="00C9307C">
        <w:rPr>
          <w:sz w:val="24"/>
          <w:szCs w:val="24"/>
          <w:lang w:val="fr-FR"/>
        </w:rPr>
        <w:t>vités de d</w:t>
      </w:r>
      <w:r w:rsidR="003E1456" w:rsidRPr="00C9307C">
        <w:rPr>
          <w:rFonts w:eastAsia="Times New Roman" w:cs="Calibri"/>
          <w:b/>
          <w:bCs/>
          <w:color w:val="000000"/>
          <w:lang w:val="fr-FR"/>
        </w:rPr>
        <w:t>éveloppement d'un plan d'atténuation des risques incluront :</w:t>
      </w:r>
    </w:p>
    <w:p w14:paraId="1FCBC737" w14:textId="77777777" w:rsidR="00F24460" w:rsidRPr="00C9307C" w:rsidRDefault="00B5621C">
      <w:pPr>
        <w:pStyle w:val="ColorfulList-Accent11"/>
        <w:jc w:val="both"/>
        <w:rPr>
          <w:rFonts w:eastAsia="Times New Roman" w:cs="Calibri"/>
          <w:b/>
          <w:bCs/>
          <w:color w:val="000000"/>
          <w:lang w:val="fr-FR"/>
        </w:rPr>
      </w:pPr>
      <w:r w:rsidRPr="00C9307C">
        <w:rPr>
          <w:rFonts w:eastAsia="Times New Roman" w:cs="Calibri"/>
          <w:b/>
          <w:bCs/>
          <w:color w:val="000000"/>
          <w:lang w:val="fr-FR"/>
        </w:rPr>
        <w:t xml:space="preserve">i.   </w:t>
      </w:r>
      <w:r w:rsidR="00F24460" w:rsidRPr="00C9307C">
        <w:rPr>
          <w:rFonts w:eastAsia="Times New Roman" w:cs="Calibri"/>
          <w:b/>
          <w:bCs/>
          <w:color w:val="000000"/>
          <w:lang w:val="fr-FR"/>
        </w:rPr>
        <w:t>L’</w:t>
      </w:r>
      <w:r w:rsidR="00BF1E17" w:rsidRPr="00C9307C">
        <w:rPr>
          <w:rFonts w:eastAsia="Times New Roman" w:cs="Calibri"/>
          <w:b/>
          <w:bCs/>
          <w:color w:val="000000"/>
          <w:lang w:val="fr-FR"/>
        </w:rPr>
        <w:t>élaboration</w:t>
      </w:r>
      <w:r w:rsidR="00F24460" w:rsidRPr="00C9307C">
        <w:rPr>
          <w:rFonts w:eastAsia="Times New Roman" w:cs="Calibri"/>
          <w:b/>
          <w:bCs/>
          <w:color w:val="000000"/>
          <w:lang w:val="fr-FR"/>
        </w:rPr>
        <w:t xml:space="preserve"> de TDR</w:t>
      </w:r>
    </w:p>
    <w:p w14:paraId="67A64C6A" w14:textId="7BC0E9F1" w:rsidR="00A06E1B" w:rsidRPr="00C9307C" w:rsidRDefault="00F24460" w:rsidP="00720B8F">
      <w:pPr>
        <w:pStyle w:val="ColorfulList-Accent11"/>
        <w:jc w:val="both"/>
        <w:rPr>
          <w:rFonts w:eastAsia="Times New Roman" w:cs="Calibri"/>
          <w:color w:val="000000"/>
          <w:lang w:val="fr-FR"/>
        </w:rPr>
      </w:pPr>
      <w:r w:rsidRPr="00C9307C">
        <w:rPr>
          <w:rFonts w:eastAsia="Times New Roman" w:cs="Calibri"/>
          <w:b/>
          <w:bCs/>
          <w:color w:val="000000"/>
          <w:lang w:val="fr-FR"/>
        </w:rPr>
        <w:t xml:space="preserve">ii. </w:t>
      </w:r>
      <w:r w:rsidR="00B5621C" w:rsidRPr="00C9307C">
        <w:rPr>
          <w:rFonts w:eastAsia="Times New Roman" w:cs="Calibri"/>
          <w:b/>
          <w:bCs/>
          <w:color w:val="000000"/>
          <w:lang w:val="fr-FR"/>
        </w:rPr>
        <w:t xml:space="preserve">Le </w:t>
      </w:r>
      <w:r w:rsidRPr="00C9307C">
        <w:rPr>
          <w:rFonts w:eastAsia="Times New Roman" w:cs="Calibri"/>
          <w:b/>
          <w:bCs/>
          <w:color w:val="000000"/>
          <w:lang w:val="fr-FR"/>
        </w:rPr>
        <w:t>recrutement d</w:t>
      </w:r>
      <w:r w:rsidR="00BF1E17" w:rsidRPr="00C9307C">
        <w:rPr>
          <w:rFonts w:eastAsia="Times New Roman" w:cs="Calibri"/>
          <w:b/>
          <w:bCs/>
          <w:color w:val="000000"/>
          <w:lang w:val="fr-FR"/>
        </w:rPr>
        <w:t>’un</w:t>
      </w:r>
      <w:r w:rsidRPr="00C9307C">
        <w:rPr>
          <w:rFonts w:eastAsia="Times New Roman" w:cs="Calibri"/>
          <w:b/>
          <w:bCs/>
          <w:color w:val="000000"/>
          <w:lang w:val="fr-FR"/>
        </w:rPr>
        <w:t xml:space="preserve"> consultant</w:t>
      </w:r>
      <w:r w:rsidR="00AC24C3" w:rsidRPr="00C9307C">
        <w:rPr>
          <w:rFonts w:eastAsia="Times New Roman" w:cs="Calibri"/>
          <w:b/>
          <w:bCs/>
          <w:color w:val="000000"/>
          <w:lang w:val="fr-FR"/>
        </w:rPr>
        <w:t xml:space="preserve"> </w:t>
      </w:r>
      <w:r w:rsidR="00B5621C" w:rsidRPr="00C9307C">
        <w:rPr>
          <w:rFonts w:eastAsia="Times New Roman" w:cs="Calibri"/>
          <w:color w:val="000000"/>
          <w:lang w:val="fr-FR"/>
        </w:rPr>
        <w:t>pour l'</w:t>
      </w:r>
      <w:r w:rsidRPr="00C9307C">
        <w:rPr>
          <w:rFonts w:eastAsia="Times New Roman" w:cs="Calibri"/>
          <w:color w:val="000000"/>
          <w:lang w:val="fr-FR"/>
        </w:rPr>
        <w:t>élaboration</w:t>
      </w:r>
      <w:r w:rsidR="00B5621C" w:rsidRPr="00C9307C">
        <w:rPr>
          <w:rFonts w:eastAsia="Times New Roman" w:cs="Calibri"/>
          <w:color w:val="000000"/>
          <w:lang w:val="fr-FR"/>
        </w:rPr>
        <w:t xml:space="preserve"> de la matrice des risques</w:t>
      </w:r>
    </w:p>
    <w:p w14:paraId="227A4AB3" w14:textId="77777777" w:rsidR="000724C1" w:rsidRPr="00C9307C" w:rsidRDefault="000724C1" w:rsidP="00AA5024">
      <w:pPr>
        <w:rPr>
          <w:b/>
          <w:sz w:val="24"/>
          <w:szCs w:val="24"/>
          <w:lang w:val="fr-FR"/>
        </w:rPr>
      </w:pPr>
      <w:bookmarkStart w:id="22" w:name="_Hlk516762329"/>
    </w:p>
    <w:p w14:paraId="71CE6AA0" w14:textId="22F169F3" w:rsidR="00712022" w:rsidRPr="00C9307C" w:rsidRDefault="00712022" w:rsidP="00AA5024">
      <w:pPr>
        <w:rPr>
          <w:b/>
          <w:sz w:val="24"/>
          <w:szCs w:val="24"/>
          <w:lang w:val="fr-FR"/>
        </w:rPr>
      </w:pPr>
      <w:r w:rsidRPr="00C9307C">
        <w:rPr>
          <w:b/>
          <w:sz w:val="24"/>
          <w:szCs w:val="24"/>
          <w:lang w:val="fr-FR"/>
        </w:rPr>
        <w:t>Allocation budgétaire et activités.</w:t>
      </w:r>
    </w:p>
    <w:p w14:paraId="41E1B645" w14:textId="2DC0EF57" w:rsidR="00F066C9" w:rsidRPr="00C9307C" w:rsidRDefault="00F066C9" w:rsidP="00AA5024">
      <w:pPr>
        <w:rPr>
          <w:rFonts w:eastAsia="Times New Roman"/>
          <w:b/>
          <w:bCs/>
          <w:color w:val="000000"/>
          <w:sz w:val="24"/>
          <w:szCs w:val="24"/>
          <w:lang w:val="fr-FR"/>
        </w:rPr>
      </w:pPr>
    </w:p>
    <w:p w14:paraId="792EA4B2" w14:textId="77777777" w:rsidR="000724C1" w:rsidRPr="00C9307C" w:rsidRDefault="000724C1" w:rsidP="000724C1">
      <w:pPr>
        <w:pStyle w:val="Paragraph"/>
        <w:keepNext/>
        <w:keepLines/>
        <w:tabs>
          <w:tab w:val="num" w:pos="1800"/>
        </w:tabs>
        <w:spacing w:before="0" w:after="0"/>
        <w:ind w:left="720"/>
        <w:jc w:val="center"/>
        <w:outlineLvl w:val="9"/>
        <w:rPr>
          <w:rFonts w:ascii="Arial" w:hAnsi="Arial" w:cs="Arial"/>
          <w:b/>
          <w:sz w:val="20"/>
        </w:rPr>
      </w:pPr>
      <w:r w:rsidRPr="00C9307C">
        <w:rPr>
          <w:rFonts w:ascii="Arial" w:hAnsi="Arial" w:cs="Arial"/>
          <w:b/>
          <w:sz w:val="20"/>
        </w:rPr>
        <w:lastRenderedPageBreak/>
        <w:t>Tableau 1. Coûts du projet (en milliers d’US$)</w:t>
      </w:r>
    </w:p>
    <w:tbl>
      <w:tblPr>
        <w:tblStyle w:val="TableGrid"/>
        <w:tblW w:w="0" w:type="auto"/>
        <w:tblInd w:w="-365" w:type="dxa"/>
        <w:tblLook w:val="04A0" w:firstRow="1" w:lastRow="0" w:firstColumn="1" w:lastColumn="0" w:noHBand="0" w:noVBand="1"/>
      </w:tblPr>
      <w:tblGrid>
        <w:gridCol w:w="7020"/>
        <w:gridCol w:w="990"/>
        <w:gridCol w:w="985"/>
      </w:tblGrid>
      <w:tr w:rsidR="000724C1" w:rsidRPr="00C9307C" w14:paraId="1833B9D8" w14:textId="77777777" w:rsidTr="006603E9">
        <w:tc>
          <w:tcPr>
            <w:tcW w:w="7020" w:type="dxa"/>
            <w:shd w:val="clear" w:color="auto" w:fill="C6D9F1" w:themeFill="text2" w:themeFillTint="33"/>
          </w:tcPr>
          <w:p w14:paraId="0D71340F" w14:textId="77777777" w:rsidR="000724C1" w:rsidRPr="00C9307C" w:rsidRDefault="000724C1" w:rsidP="006603E9">
            <w:pPr>
              <w:pStyle w:val="Paragraph"/>
              <w:tabs>
                <w:tab w:val="num" w:pos="1800"/>
              </w:tabs>
              <w:jc w:val="center"/>
              <w:outlineLvl w:val="9"/>
              <w:rPr>
                <w:rFonts w:ascii="Arial" w:hAnsi="Arial" w:cs="Arial"/>
                <w:b/>
                <w:sz w:val="20"/>
              </w:rPr>
            </w:pPr>
            <w:r w:rsidRPr="00C9307C">
              <w:rPr>
                <w:rFonts w:ascii="Arial" w:hAnsi="Arial" w:cs="Arial"/>
                <w:b/>
                <w:sz w:val="20"/>
              </w:rPr>
              <w:t>Catégorie</w:t>
            </w:r>
          </w:p>
        </w:tc>
        <w:tc>
          <w:tcPr>
            <w:tcW w:w="990" w:type="dxa"/>
            <w:shd w:val="clear" w:color="auto" w:fill="C6D9F1" w:themeFill="text2" w:themeFillTint="33"/>
          </w:tcPr>
          <w:p w14:paraId="4AE6CC6F" w14:textId="77777777" w:rsidR="000724C1" w:rsidRPr="00C9307C" w:rsidRDefault="000724C1" w:rsidP="006603E9">
            <w:pPr>
              <w:pStyle w:val="Paragraph"/>
              <w:tabs>
                <w:tab w:val="num" w:pos="1800"/>
              </w:tabs>
              <w:spacing w:before="0" w:after="0"/>
              <w:jc w:val="center"/>
              <w:outlineLvl w:val="9"/>
              <w:rPr>
                <w:rFonts w:ascii="Arial" w:hAnsi="Arial" w:cs="Arial"/>
                <w:b/>
                <w:sz w:val="20"/>
              </w:rPr>
            </w:pPr>
            <w:r w:rsidRPr="00C9307C">
              <w:rPr>
                <w:rFonts w:ascii="Arial" w:hAnsi="Arial" w:cs="Arial"/>
                <w:b/>
                <w:sz w:val="20"/>
              </w:rPr>
              <w:t>BID</w:t>
            </w:r>
          </w:p>
          <w:p w14:paraId="133DA5E1" w14:textId="77777777" w:rsidR="000724C1" w:rsidRPr="00C9307C" w:rsidRDefault="000724C1" w:rsidP="006603E9">
            <w:pPr>
              <w:pStyle w:val="Paragraph"/>
              <w:tabs>
                <w:tab w:val="num" w:pos="1800"/>
              </w:tabs>
              <w:spacing w:before="0" w:after="0"/>
              <w:jc w:val="center"/>
              <w:outlineLvl w:val="9"/>
              <w:rPr>
                <w:rFonts w:ascii="Arial" w:hAnsi="Arial" w:cs="Arial"/>
                <w:b/>
                <w:sz w:val="20"/>
              </w:rPr>
            </w:pPr>
            <w:r w:rsidRPr="00C9307C">
              <w:rPr>
                <w:rFonts w:ascii="Arial" w:hAnsi="Arial" w:cs="Arial"/>
                <w:b/>
                <w:sz w:val="20"/>
              </w:rPr>
              <w:t>Total</w:t>
            </w:r>
          </w:p>
        </w:tc>
        <w:tc>
          <w:tcPr>
            <w:tcW w:w="985" w:type="dxa"/>
            <w:shd w:val="clear" w:color="auto" w:fill="C6D9F1" w:themeFill="text2" w:themeFillTint="33"/>
          </w:tcPr>
          <w:p w14:paraId="3F115D43" w14:textId="77777777" w:rsidR="000724C1" w:rsidRPr="00C9307C" w:rsidRDefault="000724C1" w:rsidP="006603E9">
            <w:pPr>
              <w:pStyle w:val="Paragraph"/>
              <w:tabs>
                <w:tab w:val="num" w:pos="1800"/>
              </w:tabs>
              <w:jc w:val="center"/>
              <w:outlineLvl w:val="9"/>
              <w:rPr>
                <w:rFonts w:ascii="Arial" w:hAnsi="Arial" w:cs="Arial"/>
                <w:b/>
                <w:sz w:val="20"/>
              </w:rPr>
            </w:pPr>
            <w:r w:rsidRPr="00C9307C">
              <w:rPr>
                <w:rFonts w:ascii="Arial" w:hAnsi="Arial" w:cs="Arial"/>
                <w:b/>
                <w:sz w:val="20"/>
              </w:rPr>
              <w:t>%</w:t>
            </w:r>
          </w:p>
        </w:tc>
      </w:tr>
      <w:tr w:rsidR="000724C1" w:rsidRPr="00C9307C" w14:paraId="1A20609E" w14:textId="77777777" w:rsidTr="006603E9">
        <w:trPr>
          <w:trHeight w:val="755"/>
        </w:trPr>
        <w:tc>
          <w:tcPr>
            <w:tcW w:w="7020" w:type="dxa"/>
          </w:tcPr>
          <w:p w14:paraId="136D5988" w14:textId="77777777" w:rsidR="000724C1" w:rsidRPr="00C9307C" w:rsidRDefault="000724C1" w:rsidP="006603E9">
            <w:pPr>
              <w:pStyle w:val="Paragraph"/>
              <w:tabs>
                <w:tab w:val="num" w:pos="1800"/>
              </w:tabs>
              <w:outlineLvl w:val="9"/>
              <w:rPr>
                <w:rFonts w:ascii="Arial" w:hAnsi="Arial" w:cs="Arial"/>
                <w:sz w:val="20"/>
              </w:rPr>
            </w:pPr>
            <w:r w:rsidRPr="00C9307C">
              <w:rPr>
                <w:rFonts w:ascii="Arial" w:hAnsi="Arial" w:cs="Arial"/>
                <w:sz w:val="20"/>
              </w:rPr>
              <w:t>Composante 1 : Renforcement du Régime Transversal de la FP et de la Gestion des Ressources Humaines à la charge de l’OMRH</w:t>
            </w:r>
          </w:p>
        </w:tc>
        <w:tc>
          <w:tcPr>
            <w:tcW w:w="990" w:type="dxa"/>
          </w:tcPr>
          <w:p w14:paraId="65106383" w14:textId="77777777" w:rsidR="000724C1" w:rsidRPr="00C9307C" w:rsidRDefault="000724C1" w:rsidP="006603E9">
            <w:pPr>
              <w:pStyle w:val="Paragraph"/>
              <w:tabs>
                <w:tab w:val="num" w:pos="1800"/>
              </w:tabs>
              <w:jc w:val="right"/>
              <w:outlineLvl w:val="9"/>
              <w:rPr>
                <w:rFonts w:ascii="Arial" w:hAnsi="Arial" w:cs="Arial"/>
                <w:sz w:val="20"/>
              </w:rPr>
            </w:pPr>
            <w:r w:rsidRPr="00C9307C">
              <w:rPr>
                <w:rFonts w:ascii="Arial" w:hAnsi="Arial" w:cs="Arial"/>
                <w:sz w:val="20"/>
              </w:rPr>
              <w:t>8 943</w:t>
            </w:r>
          </w:p>
        </w:tc>
        <w:tc>
          <w:tcPr>
            <w:tcW w:w="985" w:type="dxa"/>
          </w:tcPr>
          <w:p w14:paraId="40C67FC4" w14:textId="77777777" w:rsidR="000724C1" w:rsidRPr="00C9307C" w:rsidRDefault="000724C1" w:rsidP="006603E9">
            <w:pPr>
              <w:pStyle w:val="Paragraph"/>
              <w:tabs>
                <w:tab w:val="num" w:pos="1800"/>
              </w:tabs>
              <w:jc w:val="center"/>
              <w:outlineLvl w:val="9"/>
              <w:rPr>
                <w:rFonts w:ascii="Arial" w:hAnsi="Arial" w:cs="Arial"/>
                <w:sz w:val="20"/>
              </w:rPr>
            </w:pPr>
            <w:r w:rsidRPr="00C9307C">
              <w:rPr>
                <w:rFonts w:ascii="Arial" w:hAnsi="Arial" w:cs="Arial"/>
                <w:sz w:val="20"/>
              </w:rPr>
              <w:t>16%</w:t>
            </w:r>
          </w:p>
        </w:tc>
      </w:tr>
      <w:tr w:rsidR="000724C1" w:rsidRPr="00C9307C" w14:paraId="1CFB3231" w14:textId="77777777" w:rsidTr="006603E9">
        <w:trPr>
          <w:trHeight w:val="710"/>
        </w:trPr>
        <w:tc>
          <w:tcPr>
            <w:tcW w:w="7020" w:type="dxa"/>
          </w:tcPr>
          <w:p w14:paraId="67273BC7" w14:textId="77777777" w:rsidR="000724C1" w:rsidRPr="00C9307C" w:rsidRDefault="000724C1" w:rsidP="006603E9">
            <w:pPr>
              <w:pStyle w:val="Paragraph"/>
              <w:tabs>
                <w:tab w:val="num" w:pos="1800"/>
              </w:tabs>
              <w:outlineLvl w:val="9"/>
              <w:rPr>
                <w:rFonts w:ascii="Arial" w:hAnsi="Arial" w:cs="Arial"/>
                <w:sz w:val="20"/>
              </w:rPr>
            </w:pPr>
            <w:r w:rsidRPr="00C9307C">
              <w:rPr>
                <w:rFonts w:ascii="Arial" w:hAnsi="Arial" w:cs="Arial"/>
                <w:sz w:val="20"/>
              </w:rPr>
              <w:t>Composante 2 : Renforcement des Systèmes Informatiques Transversaux d’Appui à la Gestion des Ressources Humaines et des Salaires.</w:t>
            </w:r>
          </w:p>
        </w:tc>
        <w:tc>
          <w:tcPr>
            <w:tcW w:w="990" w:type="dxa"/>
          </w:tcPr>
          <w:p w14:paraId="672D2BD7" w14:textId="77777777" w:rsidR="000724C1" w:rsidRPr="00C9307C" w:rsidRDefault="000724C1" w:rsidP="006603E9">
            <w:pPr>
              <w:pStyle w:val="Paragraph"/>
              <w:tabs>
                <w:tab w:val="num" w:pos="1800"/>
              </w:tabs>
              <w:jc w:val="right"/>
              <w:outlineLvl w:val="9"/>
              <w:rPr>
                <w:rFonts w:ascii="Arial" w:hAnsi="Arial" w:cs="Arial"/>
                <w:sz w:val="20"/>
              </w:rPr>
            </w:pPr>
            <w:r w:rsidRPr="00C9307C">
              <w:rPr>
                <w:rFonts w:ascii="Arial" w:hAnsi="Arial" w:cs="Arial"/>
                <w:sz w:val="20"/>
              </w:rPr>
              <w:t>14 214</w:t>
            </w:r>
          </w:p>
        </w:tc>
        <w:tc>
          <w:tcPr>
            <w:tcW w:w="985" w:type="dxa"/>
          </w:tcPr>
          <w:p w14:paraId="4AF7BC2F" w14:textId="77777777" w:rsidR="000724C1" w:rsidRPr="00C9307C" w:rsidRDefault="000724C1" w:rsidP="006603E9">
            <w:pPr>
              <w:pStyle w:val="Paragraph"/>
              <w:tabs>
                <w:tab w:val="num" w:pos="1800"/>
              </w:tabs>
              <w:jc w:val="center"/>
              <w:outlineLvl w:val="9"/>
              <w:rPr>
                <w:rFonts w:ascii="Arial" w:hAnsi="Arial" w:cs="Arial"/>
                <w:sz w:val="20"/>
              </w:rPr>
            </w:pPr>
            <w:r w:rsidRPr="00C9307C">
              <w:rPr>
                <w:rFonts w:ascii="Arial" w:hAnsi="Arial" w:cs="Arial"/>
                <w:sz w:val="20"/>
              </w:rPr>
              <w:t>26%</w:t>
            </w:r>
          </w:p>
        </w:tc>
      </w:tr>
      <w:tr w:rsidR="000724C1" w:rsidRPr="00C9307C" w14:paraId="4D0970D3" w14:textId="77777777" w:rsidTr="006603E9">
        <w:tc>
          <w:tcPr>
            <w:tcW w:w="7020" w:type="dxa"/>
          </w:tcPr>
          <w:p w14:paraId="6BC1307B" w14:textId="77777777" w:rsidR="000724C1" w:rsidRPr="00C9307C" w:rsidRDefault="000724C1" w:rsidP="006603E9">
            <w:pPr>
              <w:pStyle w:val="Paragraph"/>
              <w:tabs>
                <w:tab w:val="num" w:pos="1800"/>
              </w:tabs>
              <w:outlineLvl w:val="9"/>
              <w:rPr>
                <w:rFonts w:ascii="Arial" w:hAnsi="Arial" w:cs="Arial"/>
                <w:sz w:val="20"/>
              </w:rPr>
            </w:pPr>
            <w:r w:rsidRPr="00C9307C">
              <w:rPr>
                <w:rFonts w:ascii="Arial" w:hAnsi="Arial" w:cs="Arial"/>
                <w:sz w:val="20"/>
              </w:rPr>
              <w:t>Composante 3 : Renforcement de la Capacité de Prestations de Services dans les Ministères et Entités du Secteur Public Sélectionnés</w:t>
            </w:r>
          </w:p>
        </w:tc>
        <w:tc>
          <w:tcPr>
            <w:tcW w:w="990" w:type="dxa"/>
          </w:tcPr>
          <w:p w14:paraId="6D6DBEBD" w14:textId="77777777" w:rsidR="000724C1" w:rsidRPr="00C9307C" w:rsidRDefault="000724C1" w:rsidP="006603E9">
            <w:pPr>
              <w:pStyle w:val="Paragraph"/>
              <w:tabs>
                <w:tab w:val="num" w:pos="1800"/>
              </w:tabs>
              <w:jc w:val="right"/>
              <w:outlineLvl w:val="9"/>
              <w:rPr>
                <w:rFonts w:ascii="Arial" w:hAnsi="Arial" w:cs="Arial"/>
                <w:sz w:val="20"/>
              </w:rPr>
            </w:pPr>
            <w:r w:rsidRPr="00C9307C">
              <w:rPr>
                <w:rFonts w:ascii="Arial" w:hAnsi="Arial" w:cs="Arial"/>
                <w:sz w:val="20"/>
              </w:rPr>
              <w:t xml:space="preserve"> 27 419</w:t>
            </w:r>
          </w:p>
        </w:tc>
        <w:tc>
          <w:tcPr>
            <w:tcW w:w="985" w:type="dxa"/>
          </w:tcPr>
          <w:p w14:paraId="263B53C5" w14:textId="77777777" w:rsidR="000724C1" w:rsidRPr="00C9307C" w:rsidRDefault="000724C1" w:rsidP="006603E9">
            <w:pPr>
              <w:pStyle w:val="Paragraph"/>
              <w:tabs>
                <w:tab w:val="num" w:pos="1800"/>
              </w:tabs>
              <w:jc w:val="center"/>
              <w:outlineLvl w:val="9"/>
              <w:rPr>
                <w:rFonts w:ascii="Arial" w:hAnsi="Arial" w:cs="Arial"/>
                <w:sz w:val="20"/>
              </w:rPr>
            </w:pPr>
            <w:r w:rsidRPr="00C9307C">
              <w:rPr>
                <w:rFonts w:ascii="Arial" w:hAnsi="Arial" w:cs="Arial"/>
                <w:sz w:val="20"/>
              </w:rPr>
              <w:t>50%</w:t>
            </w:r>
          </w:p>
        </w:tc>
      </w:tr>
      <w:tr w:rsidR="000724C1" w:rsidRPr="00C9307C" w14:paraId="263F7735" w14:textId="77777777" w:rsidTr="006603E9">
        <w:tc>
          <w:tcPr>
            <w:tcW w:w="7020" w:type="dxa"/>
          </w:tcPr>
          <w:p w14:paraId="7E3A3AB2" w14:textId="77777777" w:rsidR="000724C1" w:rsidRPr="00C9307C" w:rsidRDefault="000724C1" w:rsidP="006603E9">
            <w:pPr>
              <w:pStyle w:val="Paragraph"/>
              <w:tabs>
                <w:tab w:val="num" w:pos="1800"/>
              </w:tabs>
              <w:outlineLvl w:val="9"/>
              <w:rPr>
                <w:rFonts w:ascii="Arial" w:hAnsi="Arial" w:cs="Arial"/>
                <w:sz w:val="20"/>
              </w:rPr>
            </w:pPr>
            <w:r w:rsidRPr="00C9307C">
              <w:rPr>
                <w:rFonts w:ascii="Arial" w:hAnsi="Arial" w:cs="Arial"/>
                <w:sz w:val="20"/>
              </w:rPr>
              <w:t>Gestion du projet (y compris les imprévus)</w:t>
            </w:r>
          </w:p>
        </w:tc>
        <w:tc>
          <w:tcPr>
            <w:tcW w:w="990" w:type="dxa"/>
          </w:tcPr>
          <w:p w14:paraId="1AEABC06" w14:textId="77777777" w:rsidR="000724C1" w:rsidRPr="00C9307C" w:rsidRDefault="000724C1" w:rsidP="006603E9">
            <w:pPr>
              <w:pStyle w:val="Paragraph"/>
              <w:tabs>
                <w:tab w:val="num" w:pos="1800"/>
              </w:tabs>
              <w:jc w:val="right"/>
              <w:outlineLvl w:val="9"/>
              <w:rPr>
                <w:rFonts w:ascii="Arial" w:hAnsi="Arial" w:cs="Arial"/>
                <w:sz w:val="20"/>
              </w:rPr>
            </w:pPr>
            <w:r w:rsidRPr="00C9307C">
              <w:rPr>
                <w:rFonts w:ascii="Arial" w:hAnsi="Arial" w:cs="Arial"/>
                <w:sz w:val="20"/>
              </w:rPr>
              <w:t xml:space="preserve">   4 424</w:t>
            </w:r>
          </w:p>
        </w:tc>
        <w:tc>
          <w:tcPr>
            <w:tcW w:w="985" w:type="dxa"/>
          </w:tcPr>
          <w:p w14:paraId="3A3BE14F" w14:textId="77777777" w:rsidR="000724C1" w:rsidRPr="00C9307C" w:rsidRDefault="000724C1" w:rsidP="006603E9">
            <w:pPr>
              <w:pStyle w:val="Paragraph"/>
              <w:tabs>
                <w:tab w:val="num" w:pos="1800"/>
              </w:tabs>
              <w:jc w:val="center"/>
              <w:outlineLvl w:val="9"/>
              <w:rPr>
                <w:rFonts w:ascii="Arial" w:hAnsi="Arial" w:cs="Arial"/>
                <w:sz w:val="20"/>
              </w:rPr>
            </w:pPr>
            <w:r w:rsidRPr="00C9307C">
              <w:rPr>
                <w:rFonts w:ascii="Arial" w:hAnsi="Arial" w:cs="Arial"/>
                <w:sz w:val="20"/>
              </w:rPr>
              <w:t>8%</w:t>
            </w:r>
          </w:p>
        </w:tc>
      </w:tr>
      <w:tr w:rsidR="000724C1" w:rsidRPr="00C9307C" w14:paraId="1C8188B5" w14:textId="77777777" w:rsidTr="006603E9">
        <w:tc>
          <w:tcPr>
            <w:tcW w:w="7020" w:type="dxa"/>
            <w:shd w:val="clear" w:color="auto" w:fill="C6D9F1" w:themeFill="text2" w:themeFillTint="33"/>
          </w:tcPr>
          <w:p w14:paraId="6BCCE81F" w14:textId="77777777" w:rsidR="000724C1" w:rsidRPr="00C9307C" w:rsidRDefault="000724C1" w:rsidP="006603E9">
            <w:pPr>
              <w:pStyle w:val="Paragraph"/>
              <w:tabs>
                <w:tab w:val="num" w:pos="1800"/>
              </w:tabs>
              <w:outlineLvl w:val="9"/>
              <w:rPr>
                <w:rFonts w:ascii="Arial" w:hAnsi="Arial" w:cs="Arial"/>
                <w:b/>
                <w:sz w:val="20"/>
              </w:rPr>
            </w:pPr>
            <w:r w:rsidRPr="00C9307C">
              <w:rPr>
                <w:rFonts w:ascii="Arial" w:hAnsi="Arial" w:cs="Arial"/>
                <w:b/>
                <w:sz w:val="20"/>
              </w:rPr>
              <w:t>Total</w:t>
            </w:r>
          </w:p>
        </w:tc>
        <w:tc>
          <w:tcPr>
            <w:tcW w:w="990" w:type="dxa"/>
            <w:shd w:val="clear" w:color="auto" w:fill="C6D9F1" w:themeFill="text2" w:themeFillTint="33"/>
          </w:tcPr>
          <w:p w14:paraId="2EF1CC1F" w14:textId="77777777" w:rsidR="000724C1" w:rsidRPr="00C9307C" w:rsidRDefault="000724C1" w:rsidP="006603E9">
            <w:pPr>
              <w:pStyle w:val="Paragraph"/>
              <w:tabs>
                <w:tab w:val="num" w:pos="1800"/>
              </w:tabs>
              <w:jc w:val="right"/>
              <w:outlineLvl w:val="9"/>
              <w:rPr>
                <w:rFonts w:ascii="Arial" w:hAnsi="Arial" w:cs="Arial"/>
                <w:b/>
                <w:sz w:val="20"/>
              </w:rPr>
            </w:pPr>
            <w:r w:rsidRPr="00C9307C">
              <w:rPr>
                <w:rFonts w:ascii="Arial" w:hAnsi="Arial" w:cs="Arial"/>
                <w:b/>
                <w:sz w:val="20"/>
              </w:rPr>
              <w:t>55 000</w:t>
            </w:r>
          </w:p>
        </w:tc>
        <w:tc>
          <w:tcPr>
            <w:tcW w:w="985" w:type="dxa"/>
            <w:shd w:val="clear" w:color="auto" w:fill="C6D9F1" w:themeFill="text2" w:themeFillTint="33"/>
          </w:tcPr>
          <w:p w14:paraId="0D30999B" w14:textId="446B846E" w:rsidR="000724C1" w:rsidRPr="00C9307C" w:rsidRDefault="000724C1" w:rsidP="006603E9">
            <w:pPr>
              <w:pStyle w:val="Paragraph"/>
              <w:tabs>
                <w:tab w:val="num" w:pos="1800"/>
              </w:tabs>
              <w:jc w:val="center"/>
              <w:outlineLvl w:val="9"/>
              <w:rPr>
                <w:rFonts w:ascii="Arial" w:hAnsi="Arial" w:cs="Arial"/>
                <w:b/>
                <w:sz w:val="20"/>
              </w:rPr>
            </w:pPr>
            <w:r w:rsidRPr="00C9307C">
              <w:rPr>
                <w:rFonts w:ascii="Arial" w:hAnsi="Arial" w:cs="Arial"/>
                <w:b/>
                <w:sz w:val="20"/>
              </w:rPr>
              <w:t>100</w:t>
            </w:r>
            <w:r w:rsidR="00C31C59">
              <w:rPr>
                <w:rFonts w:ascii="Arial" w:hAnsi="Arial" w:cs="Arial"/>
                <w:b/>
                <w:sz w:val="20"/>
              </w:rPr>
              <w:t>%</w:t>
            </w:r>
          </w:p>
        </w:tc>
      </w:tr>
    </w:tbl>
    <w:p w14:paraId="3066407A" w14:textId="77777777" w:rsidR="000724C1" w:rsidRPr="00C9307C" w:rsidRDefault="000724C1" w:rsidP="000724C1">
      <w:pPr>
        <w:pStyle w:val="Paragraph"/>
        <w:tabs>
          <w:tab w:val="num" w:pos="1800"/>
        </w:tabs>
        <w:spacing w:after="0"/>
        <w:ind w:left="720"/>
        <w:outlineLvl w:val="9"/>
        <w:rPr>
          <w:rFonts w:ascii="Arial" w:hAnsi="Arial" w:cs="Arial"/>
          <w:sz w:val="22"/>
        </w:rPr>
      </w:pPr>
    </w:p>
    <w:p w14:paraId="5DAAB6AB" w14:textId="77777777" w:rsidR="000724C1" w:rsidRPr="00C9307C" w:rsidRDefault="000724C1" w:rsidP="00AA5024">
      <w:pPr>
        <w:rPr>
          <w:rFonts w:eastAsia="Times New Roman"/>
          <w:b/>
          <w:bCs/>
          <w:color w:val="000000"/>
          <w:sz w:val="24"/>
          <w:szCs w:val="24"/>
          <w:lang w:val="fr-FR"/>
        </w:rPr>
      </w:pPr>
    </w:p>
    <w:bookmarkEnd w:id="22"/>
    <w:p w14:paraId="0C838157" w14:textId="77777777" w:rsidR="009E75CF" w:rsidRPr="00C9307C" w:rsidRDefault="009E75CF" w:rsidP="00CF14E1">
      <w:pPr>
        <w:tabs>
          <w:tab w:val="left" w:pos="1530"/>
          <w:tab w:val="left" w:pos="1620"/>
          <w:tab w:val="left" w:pos="1710"/>
        </w:tabs>
        <w:spacing w:before="120" w:after="120" w:line="276" w:lineRule="auto"/>
        <w:contextualSpacing/>
        <w:jc w:val="both"/>
        <w:rPr>
          <w:rFonts w:eastAsia="Times New Roman"/>
          <w:sz w:val="24"/>
          <w:szCs w:val="24"/>
        </w:rPr>
      </w:pPr>
    </w:p>
    <w:p w14:paraId="2C058BFF" w14:textId="77777777" w:rsidR="00C452F1" w:rsidRPr="00C9307C" w:rsidRDefault="009757B2" w:rsidP="00AD6CD3">
      <w:pPr>
        <w:pStyle w:val="Heading1"/>
        <w:numPr>
          <w:ilvl w:val="0"/>
          <w:numId w:val="13"/>
        </w:numPr>
        <w:jc w:val="center"/>
        <w:rPr>
          <w:rFonts w:ascii="Calibri" w:hAnsi="Calibri"/>
          <w:color w:val="1F497D"/>
          <w:lang w:val="fr-FR"/>
        </w:rPr>
      </w:pPr>
      <w:bookmarkStart w:id="23" w:name="_Toc3810464"/>
      <w:r w:rsidRPr="00C9307C">
        <w:rPr>
          <w:rFonts w:ascii="Calibri" w:hAnsi="Calibri"/>
          <w:color w:val="1F497D"/>
          <w:lang w:val="fr-FR"/>
        </w:rPr>
        <w:t>COUT ET FINANCEMENT</w:t>
      </w:r>
      <w:bookmarkEnd w:id="23"/>
    </w:p>
    <w:p w14:paraId="6BD8819D" w14:textId="77777777" w:rsidR="002F1BF1" w:rsidRPr="00C9307C" w:rsidRDefault="002F1BF1" w:rsidP="0030309E">
      <w:pPr>
        <w:pStyle w:val="ColorfulList-Accent11"/>
        <w:ind w:left="270"/>
        <w:jc w:val="both"/>
        <w:rPr>
          <w:b/>
          <w:color w:val="1F497D"/>
          <w:sz w:val="24"/>
          <w:szCs w:val="24"/>
          <w:lang w:val="fr-FR"/>
        </w:rPr>
      </w:pPr>
    </w:p>
    <w:p w14:paraId="6BF144EA" w14:textId="5F095C9B" w:rsidR="00561033" w:rsidRPr="00C9307C" w:rsidRDefault="009757B2" w:rsidP="004E33D3">
      <w:pPr>
        <w:spacing w:after="300"/>
        <w:contextualSpacing/>
        <w:jc w:val="both"/>
        <w:rPr>
          <w:rFonts w:eastAsia="Times New Roman"/>
          <w:sz w:val="24"/>
          <w:szCs w:val="24"/>
          <w:lang w:val="fr-FR"/>
        </w:rPr>
      </w:pPr>
      <w:r w:rsidRPr="00C9307C">
        <w:rPr>
          <w:rFonts w:eastAsia="Times New Roman"/>
          <w:sz w:val="24"/>
          <w:szCs w:val="24"/>
          <w:lang w:val="fr-FR"/>
        </w:rPr>
        <w:t xml:space="preserve">Le </w:t>
      </w:r>
      <w:r w:rsidR="00AF666C" w:rsidRPr="00C9307C">
        <w:rPr>
          <w:rFonts w:eastAsia="Times New Roman"/>
          <w:sz w:val="24"/>
          <w:szCs w:val="24"/>
          <w:lang w:val="fr-FR"/>
        </w:rPr>
        <w:t>montant du financement</w:t>
      </w:r>
      <w:r w:rsidRPr="00C9307C">
        <w:rPr>
          <w:rFonts w:eastAsia="Times New Roman"/>
          <w:sz w:val="24"/>
          <w:szCs w:val="24"/>
          <w:lang w:val="fr-FR"/>
        </w:rPr>
        <w:t xml:space="preserve"> se chiffre à</w:t>
      </w:r>
      <w:r w:rsidR="00B44908" w:rsidRPr="00C9307C">
        <w:rPr>
          <w:rFonts w:eastAsia="Times New Roman"/>
          <w:sz w:val="24"/>
          <w:szCs w:val="24"/>
          <w:lang w:val="fr-FR"/>
        </w:rPr>
        <w:t xml:space="preserve"> US$</w:t>
      </w:r>
      <w:r w:rsidR="005738B1" w:rsidRPr="00C9307C">
        <w:rPr>
          <w:rFonts w:eastAsia="Times New Roman"/>
          <w:sz w:val="24"/>
          <w:szCs w:val="24"/>
          <w:lang w:val="fr-FR"/>
        </w:rPr>
        <w:t>55</w:t>
      </w:r>
      <w:r w:rsidR="00B44908" w:rsidRPr="00C9307C">
        <w:rPr>
          <w:rFonts w:eastAsia="Times New Roman"/>
          <w:sz w:val="24"/>
          <w:szCs w:val="24"/>
          <w:lang w:val="fr-FR"/>
        </w:rPr>
        <w:t xml:space="preserve"> </w:t>
      </w:r>
      <w:r w:rsidR="00584458" w:rsidRPr="00C9307C">
        <w:rPr>
          <w:rFonts w:eastAsia="Times New Roman"/>
          <w:sz w:val="24"/>
          <w:szCs w:val="24"/>
          <w:lang w:val="fr-FR"/>
        </w:rPr>
        <w:t>millions</w:t>
      </w:r>
      <w:r w:rsidR="005F5964" w:rsidRPr="00C9307C">
        <w:rPr>
          <w:rFonts w:eastAsia="Times New Roman"/>
          <w:sz w:val="24"/>
          <w:szCs w:val="24"/>
          <w:lang w:val="fr-FR"/>
        </w:rPr>
        <w:t xml:space="preserve"> </w:t>
      </w:r>
      <w:r w:rsidRPr="00C9307C">
        <w:rPr>
          <w:rFonts w:eastAsia="Times New Roman"/>
          <w:sz w:val="24"/>
          <w:szCs w:val="24"/>
          <w:lang w:val="fr-FR"/>
        </w:rPr>
        <w:t>se</w:t>
      </w:r>
      <w:r w:rsidR="00FB1D8E" w:rsidRPr="00C9307C">
        <w:rPr>
          <w:rFonts w:eastAsia="Times New Roman"/>
          <w:sz w:val="24"/>
          <w:szCs w:val="24"/>
          <w:lang w:val="fr-FR"/>
        </w:rPr>
        <w:t>t la période de décaissement es</w:t>
      </w:r>
      <w:r w:rsidRPr="00C9307C">
        <w:rPr>
          <w:rFonts w:eastAsia="Times New Roman"/>
          <w:sz w:val="24"/>
          <w:szCs w:val="24"/>
          <w:lang w:val="fr-FR"/>
        </w:rPr>
        <w:t>t de cinq ans.</w:t>
      </w:r>
    </w:p>
    <w:p w14:paraId="21EDBFF8" w14:textId="77777777" w:rsidR="00B930FA" w:rsidRPr="00C9307C" w:rsidRDefault="00B930FA" w:rsidP="004E33D3">
      <w:pPr>
        <w:spacing w:after="300"/>
        <w:contextualSpacing/>
        <w:jc w:val="both"/>
        <w:rPr>
          <w:rFonts w:eastAsia="Times New Roman"/>
          <w:b/>
          <w:smallCaps/>
          <w:sz w:val="24"/>
          <w:szCs w:val="24"/>
          <w:lang w:val="fr-FR"/>
        </w:rPr>
      </w:pPr>
    </w:p>
    <w:p w14:paraId="38EA436B" w14:textId="77777777" w:rsidR="00561033" w:rsidRPr="00C9307C" w:rsidRDefault="00C07A13" w:rsidP="00AD6CD3">
      <w:pPr>
        <w:pStyle w:val="Heading1"/>
        <w:numPr>
          <w:ilvl w:val="0"/>
          <w:numId w:val="13"/>
        </w:numPr>
        <w:jc w:val="center"/>
        <w:rPr>
          <w:rFonts w:ascii="Calibri" w:hAnsi="Calibri"/>
          <w:color w:val="1F497D"/>
          <w:lang w:val="fr-FR"/>
        </w:rPr>
      </w:pPr>
      <w:bookmarkStart w:id="24" w:name="_Toc3810465"/>
      <w:r w:rsidRPr="00C9307C">
        <w:rPr>
          <w:rFonts w:ascii="Calibri" w:hAnsi="Calibri"/>
          <w:color w:val="1F497D"/>
          <w:lang w:val="fr-FR"/>
        </w:rPr>
        <w:t>ORGANISATION DU PROJET ET PRINCIPALES RESPONSABILITÉS</w:t>
      </w:r>
      <w:bookmarkEnd w:id="24"/>
    </w:p>
    <w:p w14:paraId="0E292DCD" w14:textId="77777777" w:rsidR="00852A61" w:rsidRPr="00C9307C" w:rsidRDefault="00F1310C" w:rsidP="00AD6CD3">
      <w:pPr>
        <w:pStyle w:val="Heading2"/>
        <w:rPr>
          <w:lang w:val="fr-FR"/>
        </w:rPr>
      </w:pPr>
      <w:bookmarkStart w:id="25" w:name="_Toc3810466"/>
      <w:r w:rsidRPr="00C9307C">
        <w:rPr>
          <w:lang w:val="fr-FR"/>
        </w:rPr>
        <w:t>BENEFICIAIRE</w:t>
      </w:r>
      <w:r w:rsidR="00DA634E" w:rsidRPr="00C9307C">
        <w:rPr>
          <w:lang w:val="fr-FR"/>
        </w:rPr>
        <w:t xml:space="preserve"> ET </w:t>
      </w:r>
      <w:r w:rsidR="00C13C27" w:rsidRPr="00C9307C">
        <w:rPr>
          <w:lang w:val="fr-FR"/>
        </w:rPr>
        <w:t>ORGANISMES</w:t>
      </w:r>
      <w:r w:rsidR="00DA634E" w:rsidRPr="00C9307C">
        <w:rPr>
          <w:lang w:val="fr-FR"/>
        </w:rPr>
        <w:t xml:space="preserve"> D’EXECUTION</w:t>
      </w:r>
      <w:bookmarkEnd w:id="25"/>
    </w:p>
    <w:p w14:paraId="5CCEC15A" w14:textId="77777777" w:rsidR="006B0B2E" w:rsidRPr="00C9307C" w:rsidRDefault="006B0B2E" w:rsidP="006B0B2E">
      <w:pPr>
        <w:jc w:val="both"/>
        <w:rPr>
          <w:sz w:val="24"/>
          <w:szCs w:val="24"/>
          <w:lang w:val="fr-FR"/>
        </w:rPr>
      </w:pPr>
    </w:p>
    <w:p w14:paraId="02DC7629" w14:textId="76082470" w:rsidR="00A06E1B" w:rsidRPr="00C9307C" w:rsidRDefault="00B364DC" w:rsidP="00CA5876">
      <w:pPr>
        <w:pStyle w:val="ColorfulList-Accent11"/>
        <w:numPr>
          <w:ilvl w:val="1"/>
          <w:numId w:val="5"/>
        </w:numPr>
        <w:ind w:hanging="450"/>
        <w:jc w:val="both"/>
        <w:rPr>
          <w:rFonts w:eastAsia="Calibri"/>
          <w:sz w:val="24"/>
          <w:szCs w:val="24"/>
          <w:lang w:val="fr-FR"/>
        </w:rPr>
      </w:pPr>
      <w:r w:rsidRPr="00C9307C">
        <w:rPr>
          <w:rFonts w:eastAsia="Calibri"/>
          <w:sz w:val="24"/>
          <w:szCs w:val="24"/>
          <w:lang w:val="fr-FR"/>
        </w:rPr>
        <w:t>L</w:t>
      </w:r>
      <w:r w:rsidR="00F1310C" w:rsidRPr="00C9307C">
        <w:rPr>
          <w:rFonts w:eastAsia="Calibri"/>
          <w:sz w:val="24"/>
          <w:szCs w:val="24"/>
          <w:lang w:val="fr-FR"/>
        </w:rPr>
        <w:t xml:space="preserve">e </w:t>
      </w:r>
      <w:r w:rsidR="00B461C7" w:rsidRPr="00C9307C">
        <w:rPr>
          <w:rFonts w:eastAsia="Calibri"/>
          <w:sz w:val="24"/>
          <w:szCs w:val="24"/>
          <w:lang w:val="fr-FR"/>
        </w:rPr>
        <w:t>Bénéficiaire</w:t>
      </w:r>
      <w:r w:rsidR="00DF6211" w:rsidRPr="00C9307C">
        <w:rPr>
          <w:rFonts w:eastAsia="Calibri"/>
          <w:sz w:val="24"/>
          <w:szCs w:val="24"/>
          <w:lang w:val="fr-FR"/>
        </w:rPr>
        <w:t xml:space="preserve"> </w:t>
      </w:r>
      <w:r w:rsidR="00B4515B" w:rsidRPr="00C9307C">
        <w:rPr>
          <w:rFonts w:eastAsia="Calibri"/>
          <w:sz w:val="24"/>
          <w:szCs w:val="24"/>
          <w:lang w:val="fr-FR"/>
        </w:rPr>
        <w:t xml:space="preserve">du contrat de </w:t>
      </w:r>
      <w:r w:rsidR="00E26A2F" w:rsidRPr="00C9307C">
        <w:rPr>
          <w:rFonts w:eastAsia="Calibri"/>
          <w:sz w:val="24"/>
          <w:szCs w:val="24"/>
          <w:lang w:val="fr-FR"/>
        </w:rPr>
        <w:t>D</w:t>
      </w:r>
      <w:r w:rsidR="00B4515B" w:rsidRPr="00C9307C">
        <w:rPr>
          <w:rFonts w:eastAsia="Calibri"/>
          <w:sz w:val="24"/>
          <w:szCs w:val="24"/>
          <w:lang w:val="fr-FR"/>
        </w:rPr>
        <w:t xml:space="preserve">on </w:t>
      </w:r>
      <w:r w:rsidRPr="00C9307C">
        <w:rPr>
          <w:rFonts w:eastAsia="Calibri"/>
          <w:sz w:val="24"/>
          <w:szCs w:val="24"/>
          <w:lang w:val="fr-FR"/>
        </w:rPr>
        <w:t xml:space="preserve">sera la République d´Haïti </w:t>
      </w:r>
    </w:p>
    <w:p w14:paraId="5EADBBEA" w14:textId="77777777" w:rsidR="00276789" w:rsidRPr="006603E9" w:rsidRDefault="00276789" w:rsidP="005B56AF">
      <w:pPr>
        <w:pStyle w:val="ColorfulList-Accent11"/>
        <w:ind w:left="0"/>
        <w:jc w:val="both"/>
        <w:rPr>
          <w:rFonts w:eastAsia="Calibri"/>
          <w:sz w:val="24"/>
          <w:szCs w:val="24"/>
          <w:lang w:val="fr-FR"/>
        </w:rPr>
      </w:pPr>
    </w:p>
    <w:p w14:paraId="4A0EE29E" w14:textId="1CDEA160" w:rsidR="00A06E1B" w:rsidRPr="00505331" w:rsidRDefault="00AA473B" w:rsidP="00CA5876">
      <w:pPr>
        <w:pStyle w:val="Paragraph"/>
        <w:numPr>
          <w:ilvl w:val="1"/>
          <w:numId w:val="5"/>
        </w:numPr>
        <w:tabs>
          <w:tab w:val="clear" w:pos="2448"/>
        </w:tabs>
        <w:ind w:hanging="450"/>
        <w:rPr>
          <w:rFonts w:eastAsia="Calibri"/>
          <w:szCs w:val="24"/>
        </w:rPr>
      </w:pPr>
      <w:bookmarkStart w:id="26" w:name="_Toc3810467"/>
      <w:r w:rsidRPr="006603E9">
        <w:rPr>
          <w:rFonts w:ascii="Calibri" w:eastAsia="Calibri" w:hAnsi="Calibri"/>
          <w:color w:val="auto"/>
          <w:szCs w:val="24"/>
        </w:rPr>
        <w:t>Les Organismes d’Exécution du projet seront</w:t>
      </w:r>
      <w:r w:rsidR="00505331" w:rsidRPr="006603E9">
        <w:rPr>
          <w:rFonts w:ascii="Calibri" w:eastAsia="Calibri" w:hAnsi="Calibri"/>
          <w:color w:val="auto"/>
          <w:szCs w:val="24"/>
        </w:rPr>
        <w:t xml:space="preserve"> : </w:t>
      </w:r>
      <w:r w:rsidRPr="006603E9">
        <w:rPr>
          <w:rFonts w:ascii="Calibri" w:eastAsia="Calibri" w:hAnsi="Calibri"/>
          <w:color w:val="auto"/>
          <w:szCs w:val="24"/>
        </w:rPr>
        <w:t xml:space="preserve">(i) pour la Composantes 1 et 3, </w:t>
      </w:r>
      <w:r w:rsidR="00584458" w:rsidRPr="00505331">
        <w:rPr>
          <w:rFonts w:ascii="Calibri" w:eastAsia="Calibri" w:hAnsi="Calibri"/>
          <w:color w:val="auto"/>
          <w:szCs w:val="24"/>
        </w:rPr>
        <w:t>l’OMRH</w:t>
      </w:r>
      <w:r w:rsidR="00584458" w:rsidRPr="00584458">
        <w:rPr>
          <w:rFonts w:ascii="Calibri" w:eastAsia="Calibri" w:hAnsi="Calibri"/>
          <w:color w:val="auto"/>
          <w:szCs w:val="24"/>
        </w:rPr>
        <w:t xml:space="preserve"> ;</w:t>
      </w:r>
      <w:r w:rsidRPr="006603E9">
        <w:rPr>
          <w:rFonts w:ascii="Calibri" w:eastAsia="Calibri" w:hAnsi="Calibri"/>
          <w:color w:val="auto"/>
          <w:szCs w:val="24"/>
        </w:rPr>
        <w:t xml:space="preserve"> et (ii) pour la Composante 2, l’OMRH et le MEF. Le MEF, à travers son Unité de Coordination Projets (UCP), sera responsable de l'aspect fiduciaire de la nouvelle opération.</w:t>
      </w:r>
      <w:bookmarkEnd w:id="26"/>
      <w:r w:rsidRPr="006603E9">
        <w:rPr>
          <w:rFonts w:ascii="Calibri" w:eastAsia="Calibri" w:hAnsi="Calibri"/>
          <w:color w:val="auto"/>
          <w:szCs w:val="24"/>
        </w:rPr>
        <w:t xml:space="preserve"> </w:t>
      </w:r>
    </w:p>
    <w:p w14:paraId="38189360" w14:textId="77777777" w:rsidR="00B461C7" w:rsidRPr="006603E9" w:rsidRDefault="00B461C7" w:rsidP="00276789">
      <w:pPr>
        <w:pStyle w:val="ColorfulList-Accent11"/>
        <w:ind w:left="0"/>
        <w:jc w:val="both"/>
        <w:rPr>
          <w:rFonts w:eastAsia="Calibri"/>
          <w:sz w:val="24"/>
          <w:szCs w:val="24"/>
          <w:lang w:val="fr-FR"/>
        </w:rPr>
      </w:pPr>
    </w:p>
    <w:p w14:paraId="21DAAAC2" w14:textId="1E542C62" w:rsidR="004D35A2" w:rsidRPr="00C9307C" w:rsidRDefault="00B364DC" w:rsidP="00CA5876">
      <w:pPr>
        <w:pStyle w:val="ListParagraph"/>
        <w:numPr>
          <w:ilvl w:val="1"/>
          <w:numId w:val="5"/>
        </w:numPr>
        <w:ind w:hanging="450"/>
        <w:jc w:val="both"/>
        <w:rPr>
          <w:rFonts w:eastAsia="Calibri"/>
          <w:sz w:val="24"/>
          <w:szCs w:val="24"/>
          <w:lang w:val="fr-FR"/>
        </w:rPr>
      </w:pPr>
      <w:r w:rsidRPr="00C9307C">
        <w:rPr>
          <w:rFonts w:eastAsia="Calibri"/>
          <w:sz w:val="24"/>
          <w:szCs w:val="24"/>
          <w:lang w:val="fr-FR"/>
        </w:rPr>
        <w:t xml:space="preserve">L’OMRH, créé </w:t>
      </w:r>
      <w:r w:rsidR="00962998" w:rsidRPr="00C9307C">
        <w:rPr>
          <w:rFonts w:eastAsia="Calibri"/>
          <w:sz w:val="24"/>
          <w:szCs w:val="24"/>
          <w:lang w:val="fr-FR"/>
        </w:rPr>
        <w:t xml:space="preserve">en 2005 </w:t>
      </w:r>
      <w:r w:rsidRPr="00C9307C">
        <w:rPr>
          <w:rFonts w:eastAsia="Calibri"/>
          <w:sz w:val="24"/>
          <w:szCs w:val="24"/>
          <w:lang w:val="fr-FR"/>
        </w:rPr>
        <w:t xml:space="preserve">et </w:t>
      </w:r>
      <w:r w:rsidR="00FA59BB" w:rsidRPr="00C9307C">
        <w:rPr>
          <w:rFonts w:eastAsia="Calibri"/>
          <w:sz w:val="24"/>
          <w:szCs w:val="24"/>
          <w:lang w:val="fr-FR"/>
        </w:rPr>
        <w:t>r</w:t>
      </w:r>
      <w:r w:rsidRPr="00C9307C">
        <w:rPr>
          <w:rFonts w:eastAsia="Calibri"/>
          <w:sz w:val="24"/>
          <w:szCs w:val="24"/>
          <w:lang w:val="fr-FR"/>
        </w:rPr>
        <w:t xml:space="preserve">attaché </w:t>
      </w:r>
      <w:r w:rsidR="00962998" w:rsidRPr="00C9307C">
        <w:rPr>
          <w:rFonts w:eastAsia="Calibri"/>
          <w:sz w:val="24"/>
          <w:szCs w:val="24"/>
          <w:lang w:val="fr-FR"/>
        </w:rPr>
        <w:t>à</w:t>
      </w:r>
      <w:r w:rsidR="00B461C7" w:rsidRPr="00C9307C">
        <w:rPr>
          <w:rFonts w:eastAsia="Calibri"/>
          <w:sz w:val="24"/>
          <w:szCs w:val="24"/>
          <w:lang w:val="fr-FR"/>
        </w:rPr>
        <w:t xml:space="preserve"> la Primature</w:t>
      </w:r>
      <w:r w:rsidRPr="00C9307C">
        <w:rPr>
          <w:rFonts w:eastAsia="Calibri"/>
          <w:sz w:val="24"/>
          <w:szCs w:val="24"/>
          <w:lang w:val="fr-FR"/>
        </w:rPr>
        <w:t xml:space="preserve"> pour s’occuper du dossier de la modernisation de l’Etat et de la gestion stratégique de la fonction publique, en tant qu’institution cible du projet</w:t>
      </w:r>
      <w:r w:rsidR="00A1772B" w:rsidRPr="00C9307C">
        <w:rPr>
          <w:rFonts w:eastAsia="Calibri"/>
          <w:sz w:val="24"/>
          <w:szCs w:val="24"/>
          <w:lang w:val="fr-FR"/>
        </w:rPr>
        <w:t xml:space="preserve"> est </w:t>
      </w:r>
      <w:r w:rsidR="00A1772B" w:rsidRPr="00C9307C">
        <w:rPr>
          <w:rFonts w:eastAsia="Calibri"/>
          <w:b/>
          <w:sz w:val="24"/>
          <w:szCs w:val="24"/>
          <w:lang w:val="fr-FR"/>
        </w:rPr>
        <w:t>l’Organisme d’exécution</w:t>
      </w:r>
      <w:r w:rsidR="004D35A2" w:rsidRPr="00C9307C">
        <w:rPr>
          <w:rFonts w:eastAsia="Calibri"/>
          <w:b/>
          <w:sz w:val="24"/>
          <w:szCs w:val="24"/>
          <w:lang w:val="fr-FR"/>
        </w:rPr>
        <w:t xml:space="preserve"> des C</w:t>
      </w:r>
      <w:r w:rsidR="00A1772B" w:rsidRPr="00C9307C">
        <w:rPr>
          <w:rFonts w:eastAsia="Calibri"/>
          <w:b/>
          <w:sz w:val="24"/>
          <w:szCs w:val="24"/>
          <w:lang w:val="fr-FR"/>
        </w:rPr>
        <w:t>omposantes I, I</w:t>
      </w:r>
      <w:r w:rsidR="003358FE" w:rsidRPr="00C9307C">
        <w:rPr>
          <w:rFonts w:eastAsia="Calibri"/>
          <w:b/>
          <w:sz w:val="24"/>
          <w:szCs w:val="24"/>
          <w:lang w:val="fr-FR"/>
        </w:rPr>
        <w:t>I</w:t>
      </w:r>
      <w:r w:rsidR="00A1772B" w:rsidRPr="00C9307C">
        <w:rPr>
          <w:rFonts w:eastAsia="Calibri"/>
          <w:b/>
          <w:sz w:val="24"/>
          <w:szCs w:val="24"/>
          <w:lang w:val="fr-FR"/>
        </w:rPr>
        <w:t>I et</w:t>
      </w:r>
      <w:r w:rsidR="00B07113" w:rsidRPr="00C9307C">
        <w:rPr>
          <w:rFonts w:eastAsia="Calibri"/>
          <w:b/>
          <w:sz w:val="24"/>
          <w:szCs w:val="24"/>
          <w:lang w:val="fr-FR"/>
        </w:rPr>
        <w:t xml:space="preserve"> co-responsable de la Composante </w:t>
      </w:r>
      <w:r w:rsidR="0046461C" w:rsidRPr="00C9307C">
        <w:rPr>
          <w:rFonts w:eastAsia="Calibri"/>
          <w:b/>
          <w:sz w:val="24"/>
          <w:szCs w:val="24"/>
          <w:lang w:val="fr-FR"/>
        </w:rPr>
        <w:t>II du</w:t>
      </w:r>
      <w:r w:rsidR="00A1772B" w:rsidRPr="00C9307C">
        <w:rPr>
          <w:rFonts w:eastAsia="Calibri"/>
          <w:b/>
          <w:sz w:val="24"/>
          <w:szCs w:val="24"/>
          <w:lang w:val="fr-FR"/>
        </w:rPr>
        <w:t xml:space="preserve"> projet</w:t>
      </w:r>
      <w:r w:rsidR="00A1772B" w:rsidRPr="00C9307C">
        <w:rPr>
          <w:rFonts w:eastAsia="Calibri"/>
          <w:sz w:val="24"/>
          <w:szCs w:val="24"/>
          <w:lang w:val="fr-FR"/>
        </w:rPr>
        <w:t>. L’O</w:t>
      </w:r>
      <w:r w:rsidR="00AA5810" w:rsidRPr="00C9307C">
        <w:rPr>
          <w:rFonts w:eastAsia="Calibri"/>
          <w:sz w:val="24"/>
          <w:szCs w:val="24"/>
          <w:lang w:val="fr-FR"/>
        </w:rPr>
        <w:t>ffice</w:t>
      </w:r>
      <w:r w:rsidRPr="00C9307C">
        <w:rPr>
          <w:rFonts w:eastAsia="Calibri"/>
          <w:sz w:val="24"/>
          <w:szCs w:val="24"/>
          <w:lang w:val="fr-FR"/>
        </w:rPr>
        <w:t xml:space="preserve"> remplira les fonctions de prise de décisions et de coordination interinstitutionnelle quotidienne avec les </w:t>
      </w:r>
      <w:r w:rsidR="00FA59BB" w:rsidRPr="00C9307C">
        <w:rPr>
          <w:rFonts w:eastAsia="Calibri"/>
          <w:sz w:val="24"/>
          <w:szCs w:val="24"/>
          <w:lang w:val="fr-FR"/>
        </w:rPr>
        <w:t>institutions bénéficiaires</w:t>
      </w:r>
      <w:r w:rsidRPr="00C9307C">
        <w:rPr>
          <w:rFonts w:eastAsia="Calibri"/>
          <w:sz w:val="24"/>
          <w:szCs w:val="24"/>
          <w:lang w:val="fr-FR"/>
        </w:rPr>
        <w:t xml:space="preserve">.  Particulièrement </w:t>
      </w:r>
      <w:r w:rsidR="000904D6" w:rsidRPr="00C9307C">
        <w:rPr>
          <w:rFonts w:eastAsia="Calibri"/>
          <w:sz w:val="24"/>
          <w:szCs w:val="24"/>
          <w:lang w:val="fr-FR"/>
        </w:rPr>
        <w:t>l’OMRH veillera</w:t>
      </w:r>
      <w:r w:rsidRPr="00C9307C">
        <w:rPr>
          <w:rFonts w:eastAsia="Calibri"/>
          <w:sz w:val="24"/>
          <w:szCs w:val="24"/>
          <w:lang w:val="fr-FR"/>
        </w:rPr>
        <w:t xml:space="preserve"> à ce que : la programmation des activités entreprises soit conforme au projet et permette effectivement d’atteindre </w:t>
      </w:r>
      <w:r w:rsidR="0046461C" w:rsidRPr="00C9307C">
        <w:rPr>
          <w:rFonts w:eastAsia="Calibri"/>
          <w:sz w:val="24"/>
          <w:szCs w:val="24"/>
          <w:lang w:val="fr-FR"/>
        </w:rPr>
        <w:t>les objectifs fixés</w:t>
      </w:r>
      <w:r w:rsidR="00123E68" w:rsidRPr="00C9307C">
        <w:rPr>
          <w:rFonts w:eastAsia="Calibri"/>
          <w:sz w:val="24"/>
          <w:szCs w:val="24"/>
          <w:lang w:val="fr-FR"/>
        </w:rPr>
        <w:t xml:space="preserve"> ; </w:t>
      </w:r>
      <w:r w:rsidR="00962998" w:rsidRPr="00C9307C">
        <w:rPr>
          <w:rFonts w:eastAsia="Calibri"/>
          <w:sz w:val="24"/>
          <w:szCs w:val="24"/>
          <w:lang w:val="fr-FR"/>
        </w:rPr>
        <w:t xml:space="preserve">es </w:t>
      </w:r>
      <w:r w:rsidR="0046461C" w:rsidRPr="00C9307C">
        <w:rPr>
          <w:rFonts w:eastAsia="Calibri"/>
          <w:sz w:val="24"/>
          <w:szCs w:val="24"/>
          <w:lang w:val="fr-FR"/>
        </w:rPr>
        <w:t>ministères impliqués</w:t>
      </w:r>
      <w:r w:rsidRPr="00C9307C">
        <w:rPr>
          <w:rFonts w:eastAsia="Calibri"/>
          <w:sz w:val="24"/>
          <w:szCs w:val="24"/>
          <w:lang w:val="fr-FR"/>
        </w:rPr>
        <w:t xml:space="preserve"> dans la mise en œuvre du projet interviennent de </w:t>
      </w:r>
      <w:r w:rsidR="0046461C" w:rsidRPr="00C9307C">
        <w:rPr>
          <w:rFonts w:eastAsia="Calibri"/>
          <w:sz w:val="24"/>
          <w:szCs w:val="24"/>
          <w:lang w:val="fr-FR"/>
        </w:rPr>
        <w:t>manière coordonnée</w:t>
      </w:r>
      <w:r w:rsidRPr="00C9307C">
        <w:rPr>
          <w:rFonts w:eastAsia="Calibri"/>
          <w:sz w:val="24"/>
          <w:szCs w:val="24"/>
          <w:lang w:val="fr-FR"/>
        </w:rPr>
        <w:t xml:space="preserve"> </w:t>
      </w:r>
      <w:r w:rsidR="0046461C" w:rsidRPr="00C9307C">
        <w:rPr>
          <w:rFonts w:eastAsia="Calibri"/>
          <w:sz w:val="24"/>
          <w:szCs w:val="24"/>
          <w:lang w:val="fr-FR"/>
        </w:rPr>
        <w:t>et assurent</w:t>
      </w:r>
      <w:r w:rsidR="00BB71FE" w:rsidRPr="00C9307C">
        <w:rPr>
          <w:rFonts w:eastAsia="Calibri"/>
          <w:sz w:val="24"/>
          <w:szCs w:val="24"/>
          <w:lang w:val="fr-FR"/>
        </w:rPr>
        <w:t xml:space="preserve"> </w:t>
      </w:r>
      <w:r w:rsidRPr="00C9307C">
        <w:rPr>
          <w:rFonts w:eastAsia="Calibri"/>
          <w:sz w:val="24"/>
          <w:szCs w:val="24"/>
          <w:lang w:val="fr-FR"/>
        </w:rPr>
        <w:t xml:space="preserve">l’échange d’informations et une bonne coordination avec d’autres </w:t>
      </w:r>
      <w:r w:rsidRPr="00C9307C">
        <w:rPr>
          <w:rFonts w:eastAsia="Calibri"/>
          <w:sz w:val="24"/>
          <w:szCs w:val="24"/>
          <w:lang w:val="fr-FR"/>
        </w:rPr>
        <w:lastRenderedPageBreak/>
        <w:t xml:space="preserve">projets ou activités ayant des objectifs </w:t>
      </w:r>
      <w:r w:rsidR="0046461C" w:rsidRPr="00C9307C">
        <w:rPr>
          <w:rFonts w:eastAsia="Calibri"/>
          <w:sz w:val="24"/>
          <w:szCs w:val="24"/>
          <w:lang w:val="fr-FR"/>
        </w:rPr>
        <w:t>similaires. Le</w:t>
      </w:r>
      <w:r w:rsidR="00AE1E3F" w:rsidRPr="00C9307C">
        <w:rPr>
          <w:sz w:val="24"/>
          <w:szCs w:val="24"/>
          <w:lang w:val="fr-FR"/>
        </w:rPr>
        <w:t xml:space="preserve"> Coordonnateur </w:t>
      </w:r>
      <w:r w:rsidR="0046461C" w:rsidRPr="00C9307C">
        <w:rPr>
          <w:sz w:val="24"/>
          <w:szCs w:val="24"/>
          <w:lang w:val="fr-FR"/>
        </w:rPr>
        <w:t>Général de</w:t>
      </w:r>
      <w:r w:rsidR="00AE1E3F" w:rsidRPr="00C9307C">
        <w:rPr>
          <w:sz w:val="24"/>
          <w:szCs w:val="24"/>
          <w:lang w:val="fr-FR"/>
        </w:rPr>
        <w:t xml:space="preserve"> l</w:t>
      </w:r>
      <w:r w:rsidR="006B0B2E" w:rsidRPr="00C9307C">
        <w:rPr>
          <w:sz w:val="24"/>
          <w:szCs w:val="24"/>
          <w:lang w:val="fr-FR"/>
        </w:rPr>
        <w:t>’OMRH assurer</w:t>
      </w:r>
      <w:r w:rsidR="00AE1E3F" w:rsidRPr="00C9307C">
        <w:rPr>
          <w:sz w:val="24"/>
          <w:szCs w:val="24"/>
          <w:lang w:val="fr-FR"/>
        </w:rPr>
        <w:t>a</w:t>
      </w:r>
      <w:r w:rsidR="006B0B2E" w:rsidRPr="00C9307C">
        <w:rPr>
          <w:sz w:val="24"/>
          <w:szCs w:val="24"/>
          <w:lang w:val="fr-FR"/>
        </w:rPr>
        <w:t xml:space="preserve"> le suivi avec</w:t>
      </w:r>
      <w:r w:rsidR="004E33D3" w:rsidRPr="00C9307C">
        <w:rPr>
          <w:sz w:val="24"/>
          <w:szCs w:val="24"/>
          <w:lang w:val="fr-FR"/>
        </w:rPr>
        <w:t xml:space="preserve"> le MEF</w:t>
      </w:r>
      <w:r w:rsidR="000904D6" w:rsidRPr="00C9307C">
        <w:rPr>
          <w:sz w:val="24"/>
          <w:szCs w:val="24"/>
          <w:lang w:val="fr-FR"/>
        </w:rPr>
        <w:t>.</w:t>
      </w:r>
      <w:r w:rsidR="004D35A2" w:rsidRPr="00C9307C">
        <w:rPr>
          <w:sz w:val="24"/>
          <w:szCs w:val="24"/>
          <w:lang w:val="fr-FR"/>
        </w:rPr>
        <w:t xml:space="preserve"> De plus, </w:t>
      </w:r>
      <w:r w:rsidR="004D35A2" w:rsidRPr="00C9307C">
        <w:rPr>
          <w:rFonts w:eastAsia="Calibri"/>
          <w:sz w:val="24"/>
          <w:szCs w:val="24"/>
          <w:lang w:val="fr-FR"/>
        </w:rPr>
        <w:t>l’OMRH devra collaborer avec le</w:t>
      </w:r>
      <w:r w:rsidR="006B6367" w:rsidRPr="00C9307C">
        <w:rPr>
          <w:rFonts w:eastAsia="Calibri"/>
          <w:sz w:val="24"/>
          <w:szCs w:val="24"/>
          <w:lang w:val="fr-FR"/>
        </w:rPr>
        <w:t xml:space="preserve">s </w:t>
      </w:r>
      <w:r w:rsidR="00712022" w:rsidRPr="00C9307C">
        <w:rPr>
          <w:rFonts w:eastAsia="Calibri"/>
          <w:sz w:val="24"/>
          <w:szCs w:val="24"/>
          <w:lang w:val="fr-FR"/>
        </w:rPr>
        <w:t>ministères sélectionnés dans</w:t>
      </w:r>
      <w:r w:rsidR="004D35A2" w:rsidRPr="00C9307C">
        <w:rPr>
          <w:rFonts w:eastAsia="Calibri"/>
          <w:sz w:val="24"/>
          <w:szCs w:val="24"/>
          <w:lang w:val="fr-FR"/>
        </w:rPr>
        <w:t xml:space="preserve"> l’atteinte des objectifs de</w:t>
      </w:r>
      <w:r w:rsidR="00FA59BB" w:rsidRPr="00C9307C">
        <w:rPr>
          <w:rFonts w:eastAsia="Calibri"/>
          <w:sz w:val="24"/>
          <w:szCs w:val="24"/>
          <w:lang w:val="fr-FR"/>
        </w:rPr>
        <w:t>s</w:t>
      </w:r>
      <w:r w:rsidR="004D35A2" w:rsidRPr="00C9307C">
        <w:rPr>
          <w:rFonts w:eastAsia="Calibri"/>
          <w:sz w:val="24"/>
          <w:szCs w:val="24"/>
          <w:lang w:val="fr-FR"/>
        </w:rPr>
        <w:t xml:space="preserve"> </w:t>
      </w:r>
      <w:r w:rsidR="0046461C" w:rsidRPr="00C9307C">
        <w:rPr>
          <w:rFonts w:eastAsia="Calibri"/>
          <w:sz w:val="24"/>
          <w:szCs w:val="24"/>
          <w:lang w:val="fr-FR"/>
        </w:rPr>
        <w:t>Composantes</w:t>
      </w:r>
      <w:r w:rsidR="00FA59BB" w:rsidRPr="00C9307C">
        <w:rPr>
          <w:rFonts w:eastAsia="Calibri"/>
          <w:sz w:val="24"/>
          <w:szCs w:val="24"/>
          <w:lang w:val="fr-FR"/>
        </w:rPr>
        <w:t xml:space="preserve">, </w:t>
      </w:r>
      <w:r w:rsidR="00BB71FE" w:rsidRPr="00C9307C">
        <w:rPr>
          <w:rFonts w:eastAsia="Calibri"/>
          <w:sz w:val="24"/>
          <w:szCs w:val="24"/>
          <w:lang w:val="fr-FR"/>
        </w:rPr>
        <w:t xml:space="preserve">II et </w:t>
      </w:r>
      <w:r w:rsidR="00FA59BB" w:rsidRPr="00C9307C">
        <w:rPr>
          <w:rFonts w:eastAsia="Calibri"/>
          <w:sz w:val="24"/>
          <w:szCs w:val="24"/>
          <w:lang w:val="fr-FR"/>
        </w:rPr>
        <w:t xml:space="preserve">III </w:t>
      </w:r>
      <w:r w:rsidR="004D35A2" w:rsidRPr="00C9307C">
        <w:rPr>
          <w:rFonts w:eastAsia="Calibri"/>
          <w:sz w:val="24"/>
          <w:szCs w:val="24"/>
          <w:lang w:val="fr-FR"/>
        </w:rPr>
        <w:t>du projet.</w:t>
      </w:r>
    </w:p>
    <w:p w14:paraId="5CD5A8FF" w14:textId="77777777" w:rsidR="000904D6" w:rsidRPr="00C9307C" w:rsidRDefault="000904D6" w:rsidP="000904D6">
      <w:pPr>
        <w:pStyle w:val="ColorfulList-Accent11"/>
        <w:ind w:left="0"/>
        <w:jc w:val="both"/>
        <w:rPr>
          <w:rFonts w:eastAsia="Calibri"/>
          <w:sz w:val="24"/>
          <w:szCs w:val="24"/>
          <w:lang w:val="fr-FR"/>
        </w:rPr>
      </w:pPr>
    </w:p>
    <w:p w14:paraId="0BC11449" w14:textId="24879FB3" w:rsidR="006078B7" w:rsidRPr="00C9307C" w:rsidRDefault="00276789" w:rsidP="00AD6CD3">
      <w:pPr>
        <w:pStyle w:val="ColorfulList-Accent11"/>
        <w:numPr>
          <w:ilvl w:val="1"/>
          <w:numId w:val="5"/>
        </w:numPr>
        <w:jc w:val="both"/>
        <w:rPr>
          <w:rFonts w:eastAsia="Calibri"/>
          <w:b/>
          <w:sz w:val="24"/>
          <w:szCs w:val="24"/>
          <w:lang w:val="fr-FR"/>
        </w:rPr>
      </w:pPr>
      <w:r w:rsidRPr="00C9307C">
        <w:rPr>
          <w:rFonts w:eastAsia="Calibri"/>
          <w:sz w:val="24"/>
          <w:szCs w:val="24"/>
          <w:lang w:val="fr-FR"/>
        </w:rPr>
        <w:t>Le MEF est</w:t>
      </w:r>
      <w:r w:rsidR="00FA59BB" w:rsidRPr="00C9307C">
        <w:rPr>
          <w:rFonts w:eastAsia="Calibri"/>
          <w:sz w:val="24"/>
          <w:szCs w:val="24"/>
          <w:lang w:val="fr-FR"/>
        </w:rPr>
        <w:t>,</w:t>
      </w:r>
      <w:r w:rsidRPr="00C9307C">
        <w:rPr>
          <w:rFonts w:eastAsia="Calibri"/>
          <w:sz w:val="24"/>
          <w:szCs w:val="24"/>
          <w:lang w:val="fr-FR"/>
        </w:rPr>
        <w:t xml:space="preserve"> à travers son </w:t>
      </w:r>
      <w:r w:rsidRPr="00C9307C">
        <w:rPr>
          <w:rFonts w:eastAsia="Calibri"/>
          <w:b/>
          <w:sz w:val="24"/>
          <w:szCs w:val="24"/>
          <w:lang w:val="fr-FR"/>
        </w:rPr>
        <w:t>U</w:t>
      </w:r>
      <w:r w:rsidR="00FA59BB" w:rsidRPr="00C9307C">
        <w:rPr>
          <w:rFonts w:eastAsia="Calibri"/>
          <w:b/>
          <w:sz w:val="24"/>
          <w:szCs w:val="24"/>
          <w:lang w:val="fr-FR"/>
        </w:rPr>
        <w:t>nité de Coordination de Projets (U</w:t>
      </w:r>
      <w:r w:rsidRPr="00C9307C">
        <w:rPr>
          <w:rFonts w:eastAsia="Calibri"/>
          <w:b/>
          <w:sz w:val="24"/>
          <w:szCs w:val="24"/>
          <w:lang w:val="fr-FR"/>
        </w:rPr>
        <w:t>CP</w:t>
      </w:r>
      <w:r w:rsidR="00FA59BB" w:rsidRPr="00C9307C">
        <w:rPr>
          <w:rFonts w:eastAsia="Calibri"/>
          <w:b/>
          <w:sz w:val="24"/>
          <w:szCs w:val="24"/>
          <w:lang w:val="fr-FR"/>
        </w:rPr>
        <w:t>/MEF)</w:t>
      </w:r>
      <w:r w:rsidRPr="00C9307C">
        <w:rPr>
          <w:rFonts w:eastAsia="Calibri"/>
          <w:b/>
          <w:sz w:val="24"/>
          <w:szCs w:val="24"/>
          <w:lang w:val="fr-FR"/>
        </w:rPr>
        <w:t xml:space="preserve">, </w:t>
      </w:r>
      <w:r w:rsidR="006078B7" w:rsidRPr="00C9307C">
        <w:rPr>
          <w:rFonts w:eastAsia="Calibri"/>
          <w:b/>
          <w:sz w:val="24"/>
          <w:szCs w:val="24"/>
          <w:lang w:val="fr-FR"/>
        </w:rPr>
        <w:t xml:space="preserve">sera l’unité fiduciaire du projet et chargée de la coordination de l’ensemble des activités </w:t>
      </w:r>
      <w:r w:rsidR="00E4571D" w:rsidRPr="00C9307C">
        <w:rPr>
          <w:rFonts w:eastAsia="Calibri"/>
          <w:b/>
          <w:sz w:val="24"/>
          <w:szCs w:val="24"/>
          <w:lang w:val="fr-FR"/>
        </w:rPr>
        <w:t>administratives et</w:t>
      </w:r>
      <w:r w:rsidR="00AA473B" w:rsidRPr="00C9307C">
        <w:rPr>
          <w:rFonts w:eastAsia="Calibri"/>
          <w:b/>
          <w:sz w:val="24"/>
          <w:szCs w:val="24"/>
          <w:lang w:val="fr-FR"/>
        </w:rPr>
        <w:t xml:space="preserve"> financière. De plus, UCP/MEF </w:t>
      </w:r>
      <w:proofErr w:type="spellStart"/>
      <w:r w:rsidR="00AA473B" w:rsidRPr="00C9307C">
        <w:rPr>
          <w:rFonts w:eastAsia="Calibri"/>
          <w:b/>
          <w:sz w:val="24"/>
          <w:szCs w:val="24"/>
          <w:lang w:val="fr-FR"/>
        </w:rPr>
        <w:t>co</w:t>
      </w:r>
      <w:proofErr w:type="spellEnd"/>
      <w:r w:rsidR="00AA473B" w:rsidRPr="00C9307C">
        <w:rPr>
          <w:rFonts w:eastAsia="Calibri"/>
          <w:b/>
          <w:sz w:val="24"/>
          <w:szCs w:val="24"/>
          <w:lang w:val="fr-FR"/>
        </w:rPr>
        <w:t>-exécutera la composante 2 du projet avec l’OMRH.</w:t>
      </w:r>
      <w:r w:rsidR="006078B7" w:rsidRPr="00C9307C">
        <w:rPr>
          <w:rFonts w:eastAsia="Calibri"/>
          <w:b/>
          <w:sz w:val="24"/>
          <w:szCs w:val="24"/>
          <w:lang w:val="fr-FR"/>
        </w:rPr>
        <w:t xml:space="preserve"> </w:t>
      </w:r>
    </w:p>
    <w:p w14:paraId="0933D93D" w14:textId="77777777" w:rsidR="00962998" w:rsidRPr="00C9307C" w:rsidRDefault="00962998" w:rsidP="000904D6">
      <w:pPr>
        <w:pStyle w:val="ColorfulList-Accent11"/>
        <w:ind w:left="0"/>
        <w:jc w:val="both"/>
        <w:rPr>
          <w:rFonts w:eastAsia="Calibri"/>
          <w:sz w:val="24"/>
          <w:szCs w:val="24"/>
          <w:lang w:val="fr-FR"/>
        </w:rPr>
      </w:pPr>
    </w:p>
    <w:p w14:paraId="2521ACCA" w14:textId="77777777" w:rsidR="00B930FA" w:rsidRPr="00C9307C" w:rsidRDefault="00DB387A" w:rsidP="00AD6CD3">
      <w:pPr>
        <w:pStyle w:val="ColorfulList-Accent11"/>
        <w:numPr>
          <w:ilvl w:val="1"/>
          <w:numId w:val="5"/>
        </w:numPr>
        <w:jc w:val="both"/>
        <w:rPr>
          <w:rFonts w:eastAsia="Calibri"/>
          <w:sz w:val="24"/>
          <w:szCs w:val="24"/>
          <w:lang w:val="fr-FR"/>
        </w:rPr>
      </w:pPr>
      <w:r w:rsidRPr="00C9307C">
        <w:rPr>
          <w:sz w:val="24"/>
          <w:szCs w:val="24"/>
          <w:lang w:val="fr-FR"/>
        </w:rPr>
        <w:t>L</w:t>
      </w:r>
      <w:r w:rsidR="00123E68" w:rsidRPr="00C9307C">
        <w:rPr>
          <w:sz w:val="24"/>
          <w:szCs w:val="24"/>
          <w:lang w:val="fr-FR"/>
        </w:rPr>
        <w:t>’UCP/</w:t>
      </w:r>
      <w:r w:rsidR="007F2222" w:rsidRPr="00C9307C">
        <w:rPr>
          <w:sz w:val="24"/>
          <w:szCs w:val="24"/>
          <w:lang w:val="fr-FR"/>
        </w:rPr>
        <w:t xml:space="preserve"> MEF</w:t>
      </w:r>
      <w:r w:rsidRPr="00C9307C">
        <w:rPr>
          <w:rFonts w:eastAsia="Times New Roman"/>
          <w:sz w:val="24"/>
          <w:szCs w:val="24"/>
          <w:lang w:val="fr-FR"/>
        </w:rPr>
        <w:t xml:space="preserve"> coordonnera les efforts pour arriver au plein respect des conditions préalables au premier décaissement. </w:t>
      </w:r>
    </w:p>
    <w:p w14:paraId="17EE7AA1" w14:textId="77777777" w:rsidR="00B930FA" w:rsidRPr="00C9307C" w:rsidRDefault="00B930FA" w:rsidP="00B930FA">
      <w:pPr>
        <w:pStyle w:val="ListParagraph"/>
        <w:rPr>
          <w:rFonts w:eastAsia="Times New Roman"/>
          <w:sz w:val="24"/>
          <w:szCs w:val="24"/>
          <w:lang w:val="fr-FR"/>
        </w:rPr>
      </w:pPr>
    </w:p>
    <w:p w14:paraId="32E343A3" w14:textId="27DBD429" w:rsidR="00B930FA" w:rsidRPr="00C9307C" w:rsidRDefault="00DB387A" w:rsidP="00B930FA">
      <w:pPr>
        <w:pStyle w:val="ColorfulList-Accent11"/>
        <w:ind w:left="540"/>
        <w:jc w:val="both"/>
        <w:rPr>
          <w:rFonts w:eastAsia="Calibri"/>
          <w:sz w:val="24"/>
          <w:szCs w:val="24"/>
          <w:lang w:val="fr-FR"/>
        </w:rPr>
      </w:pPr>
      <w:r w:rsidRPr="00C9307C">
        <w:rPr>
          <w:rFonts w:eastAsia="Times New Roman"/>
          <w:sz w:val="24"/>
          <w:szCs w:val="24"/>
          <w:lang w:val="fr-FR"/>
        </w:rPr>
        <w:t xml:space="preserve">Les </w:t>
      </w:r>
      <w:r w:rsidR="00A511AA" w:rsidRPr="00C9307C">
        <w:rPr>
          <w:rFonts w:eastAsia="Times New Roman"/>
          <w:b/>
          <w:sz w:val="24"/>
          <w:szCs w:val="24"/>
          <w:lang w:val="fr-FR"/>
        </w:rPr>
        <w:t>conditions générales</w:t>
      </w:r>
      <w:r w:rsidRPr="00C9307C">
        <w:rPr>
          <w:rFonts w:eastAsia="Times New Roman"/>
          <w:sz w:val="24"/>
          <w:szCs w:val="24"/>
          <w:lang w:val="fr-FR"/>
        </w:rPr>
        <w:t xml:space="preserve"> sont : (a) présentation de l’avis juridique ; (b) soumission des signatures autorisées à la Banque ; et (</w:t>
      </w:r>
      <w:r w:rsidR="00075D03" w:rsidRPr="00C9307C">
        <w:rPr>
          <w:rFonts w:eastAsia="Times New Roman"/>
          <w:sz w:val="24"/>
          <w:szCs w:val="24"/>
          <w:lang w:val="fr-FR"/>
        </w:rPr>
        <w:t>c</w:t>
      </w:r>
      <w:r w:rsidRPr="00C9307C">
        <w:rPr>
          <w:rFonts w:eastAsia="Times New Roman"/>
          <w:sz w:val="24"/>
          <w:szCs w:val="24"/>
          <w:lang w:val="fr-FR"/>
        </w:rPr>
        <w:t xml:space="preserve">) </w:t>
      </w:r>
      <w:bookmarkStart w:id="27" w:name="_Hlk532463286"/>
      <w:r w:rsidRPr="006603E9">
        <w:rPr>
          <w:rFonts w:eastAsia="Times New Roman"/>
          <w:sz w:val="24"/>
          <w:szCs w:val="24"/>
          <w:lang w:val="fr-FR"/>
        </w:rPr>
        <w:t xml:space="preserve">soumission de la preuve de l’existence de systèmes solides d’information et de contrôle interne pour la gestion </w:t>
      </w:r>
      <w:r w:rsidR="00DF6211" w:rsidRPr="006603E9">
        <w:rPr>
          <w:rFonts w:eastAsia="Times New Roman"/>
          <w:sz w:val="24"/>
          <w:szCs w:val="24"/>
          <w:lang w:val="fr-FR"/>
        </w:rPr>
        <w:t>financière</w:t>
      </w:r>
      <w:r w:rsidR="00DF6211" w:rsidRPr="006603E9">
        <w:rPr>
          <w:rFonts w:eastAsia="Calibri"/>
          <w:sz w:val="24"/>
          <w:szCs w:val="24"/>
          <w:lang w:val="fr-FR"/>
        </w:rPr>
        <w:t xml:space="preserve"> </w:t>
      </w:r>
    </w:p>
    <w:bookmarkEnd w:id="27"/>
    <w:p w14:paraId="53A69330" w14:textId="77777777" w:rsidR="00B930FA" w:rsidRPr="00C9307C" w:rsidRDefault="00B930FA" w:rsidP="00B930FA">
      <w:pPr>
        <w:pStyle w:val="ListParagraph"/>
        <w:rPr>
          <w:rFonts w:eastAsia="Times New Roman"/>
          <w:sz w:val="24"/>
          <w:szCs w:val="24"/>
          <w:lang w:val="fr-FR"/>
        </w:rPr>
      </w:pPr>
    </w:p>
    <w:p w14:paraId="539047C9" w14:textId="712DECB6" w:rsidR="00AA473B" w:rsidRPr="00C9307C" w:rsidRDefault="00696AE1" w:rsidP="00AA473B">
      <w:pPr>
        <w:spacing w:before="80" w:after="40"/>
        <w:jc w:val="both"/>
        <w:rPr>
          <w:rFonts w:ascii="Arial" w:eastAsia="Arial Unicode MS" w:hAnsi="Arial" w:cs="Arial"/>
          <w:sz w:val="18"/>
          <w:szCs w:val="18"/>
          <w:lang w:val="fr-FR"/>
        </w:rPr>
      </w:pPr>
      <w:r w:rsidRPr="00C9307C">
        <w:rPr>
          <w:rFonts w:eastAsia="Times New Roman"/>
          <w:sz w:val="24"/>
          <w:szCs w:val="24"/>
          <w:lang w:val="fr-FR"/>
        </w:rPr>
        <w:t xml:space="preserve"> Les </w:t>
      </w:r>
      <w:r w:rsidR="00A511AA" w:rsidRPr="00C9307C">
        <w:rPr>
          <w:rFonts w:eastAsia="Times New Roman"/>
          <w:b/>
          <w:sz w:val="24"/>
          <w:szCs w:val="24"/>
          <w:lang w:val="fr-FR"/>
        </w:rPr>
        <w:t>conditions spécifiques</w:t>
      </w:r>
      <w:r w:rsidRPr="00C9307C">
        <w:rPr>
          <w:rFonts w:eastAsia="Times New Roman"/>
          <w:sz w:val="24"/>
          <w:szCs w:val="24"/>
          <w:lang w:val="fr-FR"/>
        </w:rPr>
        <w:t xml:space="preserve"> sont :</w:t>
      </w:r>
      <w:r w:rsidR="00AA473B" w:rsidRPr="00C9307C">
        <w:rPr>
          <w:rFonts w:ascii="Arial" w:eastAsia="Arial Unicode MS" w:hAnsi="Arial" w:cs="Arial"/>
          <w:sz w:val="18"/>
          <w:szCs w:val="18"/>
          <w:lang w:val="fr-FR"/>
        </w:rPr>
        <w:t xml:space="preserve">: </w:t>
      </w:r>
      <w:r w:rsidR="00AA473B" w:rsidRPr="006603E9">
        <w:rPr>
          <w:rFonts w:eastAsia="Times New Roman"/>
          <w:sz w:val="24"/>
          <w:szCs w:val="24"/>
          <w:lang w:val="fr-FR"/>
        </w:rPr>
        <w:t>(i) La création du comité de direction, du comité technique et du système de suivi et d’évaluation du Projet  ; (ii) de l’entrée en vigueur du Manuel d’Opération du Projet (MOP) conformément aux conditions préalablement arrêtées avec la Banque ; (iii) de la désignation du personnel clé de chaque OE pour la mise en œuvre du projet, qui inclut, pour l’OMRH : un coordonnateur, un spécialiste en monitoring et évaluation, un assistant administratif ; et pour le Unité de Coordination de Projets UCP/ du Ministère de l’Économie et des Finances (MEF) : un coordonnateur de projet, un responsable administratif et financier, un assistant administratif, un comptable et deux experts en passation de marchés ; et (iv) de la désignation d’un coordonnateur du Système Intégré de Gestion des Ressources Humaines (SIGRH) par l’OMRH.</w:t>
      </w:r>
    </w:p>
    <w:p w14:paraId="38698383" w14:textId="60F28975" w:rsidR="007F2222" w:rsidRPr="00C9307C" w:rsidRDefault="007F2222" w:rsidP="00B930FA">
      <w:pPr>
        <w:pStyle w:val="ColorfulList-Accent11"/>
        <w:ind w:left="540"/>
        <w:jc w:val="both"/>
        <w:rPr>
          <w:rFonts w:eastAsia="Times New Roman"/>
          <w:sz w:val="24"/>
          <w:szCs w:val="24"/>
          <w:lang w:val="fr-FR"/>
        </w:rPr>
      </w:pPr>
    </w:p>
    <w:p w14:paraId="42E701B8" w14:textId="77777777" w:rsidR="0056520C" w:rsidRPr="00C9307C" w:rsidRDefault="0056520C" w:rsidP="0056520C">
      <w:pPr>
        <w:pStyle w:val="ColorfulList-Accent11"/>
        <w:ind w:left="540"/>
        <w:jc w:val="both"/>
        <w:rPr>
          <w:rFonts w:eastAsia="Calibri"/>
          <w:sz w:val="24"/>
          <w:szCs w:val="24"/>
          <w:lang w:val="fr-FR"/>
        </w:rPr>
      </w:pPr>
    </w:p>
    <w:p w14:paraId="3339D479" w14:textId="46490D10" w:rsidR="00266767" w:rsidRPr="00C9307C" w:rsidRDefault="009E6DB7" w:rsidP="00AD6CD3">
      <w:pPr>
        <w:pStyle w:val="ColorfulList-Accent11"/>
        <w:numPr>
          <w:ilvl w:val="1"/>
          <w:numId w:val="5"/>
        </w:numPr>
        <w:jc w:val="both"/>
        <w:rPr>
          <w:sz w:val="24"/>
          <w:szCs w:val="24"/>
          <w:lang w:val="fr-FR"/>
        </w:rPr>
      </w:pPr>
      <w:bookmarkStart w:id="28" w:name="_Hlk517791404"/>
      <w:r w:rsidRPr="00C9307C">
        <w:rPr>
          <w:sz w:val="24"/>
          <w:szCs w:val="24"/>
          <w:lang w:val="fr-FR"/>
        </w:rPr>
        <w:t>L</w:t>
      </w:r>
      <w:r w:rsidR="00AA473B" w:rsidRPr="00C9307C">
        <w:rPr>
          <w:sz w:val="24"/>
          <w:szCs w:val="24"/>
          <w:lang w:val="fr-FR"/>
        </w:rPr>
        <w:t xml:space="preserve">a </w:t>
      </w:r>
      <w:r w:rsidR="00426B73" w:rsidRPr="00C9307C">
        <w:rPr>
          <w:sz w:val="24"/>
          <w:szCs w:val="24"/>
          <w:lang w:val="fr-FR"/>
        </w:rPr>
        <w:t>responsabilité</w:t>
      </w:r>
      <w:r w:rsidR="00AA473B" w:rsidRPr="00C9307C">
        <w:rPr>
          <w:sz w:val="24"/>
          <w:szCs w:val="24"/>
          <w:lang w:val="fr-FR"/>
        </w:rPr>
        <w:t xml:space="preserve"> fiduciaire incombe des deux Organismes d’Exécution</w:t>
      </w:r>
      <w:r w:rsidR="00426B73" w:rsidRPr="00C9307C">
        <w:rPr>
          <w:sz w:val="24"/>
          <w:szCs w:val="24"/>
          <w:lang w:val="fr-FR"/>
        </w:rPr>
        <w:t xml:space="preserve"> dans la gestion des fonds du projets. Par rapport à la gestion des processus de passation de marchés et la gestion </w:t>
      </w:r>
      <w:r w:rsidR="003E37E3" w:rsidRPr="00C9307C">
        <w:rPr>
          <w:sz w:val="24"/>
          <w:szCs w:val="24"/>
          <w:lang w:val="fr-FR"/>
        </w:rPr>
        <w:t>fiduciaire</w:t>
      </w:r>
      <w:r w:rsidR="00426B73" w:rsidRPr="00C9307C">
        <w:rPr>
          <w:sz w:val="24"/>
          <w:szCs w:val="24"/>
          <w:lang w:val="fr-FR"/>
        </w:rPr>
        <w:t>, L</w:t>
      </w:r>
      <w:r w:rsidRPr="00C9307C">
        <w:rPr>
          <w:sz w:val="24"/>
          <w:szCs w:val="24"/>
          <w:lang w:val="fr-FR"/>
        </w:rPr>
        <w:t>’UCP</w:t>
      </w:r>
      <w:r w:rsidR="004E66BA" w:rsidRPr="00C9307C">
        <w:rPr>
          <w:sz w:val="24"/>
          <w:szCs w:val="24"/>
          <w:lang w:val="fr-FR"/>
        </w:rPr>
        <w:t>/</w:t>
      </w:r>
      <w:r w:rsidRPr="00C9307C">
        <w:rPr>
          <w:sz w:val="24"/>
          <w:szCs w:val="24"/>
          <w:lang w:val="fr-FR"/>
        </w:rPr>
        <w:t>MEF</w:t>
      </w:r>
      <w:r w:rsidR="00AC24C3" w:rsidRPr="00C9307C">
        <w:rPr>
          <w:sz w:val="24"/>
          <w:szCs w:val="24"/>
          <w:lang w:val="fr-FR"/>
        </w:rPr>
        <w:t xml:space="preserve"> </w:t>
      </w:r>
      <w:r w:rsidR="00084D75" w:rsidRPr="00C9307C">
        <w:rPr>
          <w:rFonts w:eastAsia="Times New Roman"/>
          <w:sz w:val="24"/>
          <w:szCs w:val="24"/>
          <w:lang w:val="fr-FR"/>
        </w:rPr>
        <w:t>aura à charge d</w:t>
      </w:r>
      <w:r w:rsidR="00D67E5B" w:rsidRPr="00C9307C">
        <w:rPr>
          <w:rFonts w:eastAsia="Times New Roman"/>
          <w:sz w:val="24"/>
          <w:szCs w:val="24"/>
          <w:lang w:val="fr-FR"/>
        </w:rPr>
        <w:t xml:space="preserve">e </w:t>
      </w:r>
      <w:r w:rsidR="003C500E" w:rsidRPr="00C9307C">
        <w:rPr>
          <w:rFonts w:eastAsia="Times New Roman"/>
          <w:sz w:val="24"/>
          <w:szCs w:val="24"/>
          <w:lang w:val="fr-FR"/>
        </w:rPr>
        <w:t>présenter</w:t>
      </w:r>
      <w:r w:rsidR="00D67E5B" w:rsidRPr="00C9307C">
        <w:rPr>
          <w:rFonts w:eastAsia="Times New Roman"/>
          <w:sz w:val="24"/>
          <w:szCs w:val="24"/>
          <w:lang w:val="fr-FR"/>
        </w:rPr>
        <w:t xml:space="preserve"> les requêtes de décaissement à la BID, d</w:t>
      </w:r>
      <w:r w:rsidR="00084D75" w:rsidRPr="00C9307C">
        <w:rPr>
          <w:rFonts w:eastAsia="Times New Roman"/>
          <w:sz w:val="24"/>
          <w:szCs w:val="24"/>
          <w:lang w:val="fr-FR"/>
        </w:rPr>
        <w:t xml:space="preserve">’organiser </w:t>
      </w:r>
      <w:bookmarkEnd w:id="28"/>
      <w:r w:rsidR="00084D75" w:rsidRPr="00C9307C">
        <w:rPr>
          <w:rFonts w:eastAsia="Times New Roman"/>
          <w:sz w:val="24"/>
          <w:szCs w:val="24"/>
          <w:lang w:val="fr-FR"/>
        </w:rPr>
        <w:t>l’audit annuel du Programme et d’en présenter le rapport à la Banque</w:t>
      </w:r>
      <w:r w:rsidR="00AC24C3" w:rsidRPr="00C9307C">
        <w:rPr>
          <w:rFonts w:eastAsia="Times New Roman"/>
          <w:sz w:val="24"/>
          <w:szCs w:val="24"/>
          <w:lang w:val="fr-FR"/>
        </w:rPr>
        <w:t xml:space="preserve"> </w:t>
      </w:r>
      <w:r w:rsidR="003127CB" w:rsidRPr="00C9307C">
        <w:rPr>
          <w:rFonts w:eastAsia="Times New Roman"/>
          <w:sz w:val="24"/>
          <w:szCs w:val="24"/>
          <w:lang w:val="fr-FR"/>
        </w:rPr>
        <w:t>et de transmettre à l’OMRH semestriellement le rapport financier.</w:t>
      </w:r>
    </w:p>
    <w:p w14:paraId="4C98FD9F" w14:textId="77777777" w:rsidR="0056520C" w:rsidRPr="00C9307C" w:rsidRDefault="0056520C" w:rsidP="0056520C">
      <w:pPr>
        <w:pStyle w:val="ColorfulList-Accent11"/>
        <w:ind w:left="540"/>
        <w:jc w:val="both"/>
        <w:rPr>
          <w:sz w:val="24"/>
          <w:szCs w:val="24"/>
          <w:lang w:val="fr-FR"/>
        </w:rPr>
      </w:pPr>
    </w:p>
    <w:p w14:paraId="2446AA89" w14:textId="29A32F27" w:rsidR="00A06E1B" w:rsidRPr="00C9307C" w:rsidRDefault="00266767" w:rsidP="00720B8F">
      <w:pPr>
        <w:pStyle w:val="ListParagraph"/>
        <w:numPr>
          <w:ilvl w:val="1"/>
          <w:numId w:val="5"/>
        </w:numPr>
        <w:jc w:val="both"/>
        <w:rPr>
          <w:rFonts w:eastAsia="Times New Roman"/>
          <w:sz w:val="28"/>
          <w:szCs w:val="24"/>
          <w:lang w:val="fr-FR"/>
        </w:rPr>
      </w:pPr>
      <w:r w:rsidRPr="00C9307C">
        <w:rPr>
          <w:sz w:val="24"/>
          <w:szCs w:val="24"/>
          <w:lang w:val="fr-FR"/>
        </w:rPr>
        <w:t>L’OMRH</w:t>
      </w:r>
      <w:r w:rsidRPr="00C9307C">
        <w:rPr>
          <w:rFonts w:eastAsia="Times New Roman"/>
          <w:sz w:val="24"/>
          <w:szCs w:val="24"/>
          <w:lang w:val="fr-FR"/>
        </w:rPr>
        <w:t xml:space="preserve"> aura la responsabilité</w:t>
      </w:r>
      <w:r w:rsidR="00084D75" w:rsidRPr="00C9307C">
        <w:rPr>
          <w:rFonts w:eastAsia="Times New Roman"/>
          <w:sz w:val="24"/>
          <w:szCs w:val="24"/>
          <w:lang w:val="fr-FR"/>
        </w:rPr>
        <w:t xml:space="preserve"> de </w:t>
      </w:r>
      <w:r w:rsidR="00734540" w:rsidRPr="00C9307C">
        <w:rPr>
          <w:rFonts w:eastAsia="Times New Roman"/>
          <w:sz w:val="24"/>
          <w:szCs w:val="24"/>
          <w:lang w:val="fr-FR"/>
        </w:rPr>
        <w:t>préparer</w:t>
      </w:r>
      <w:r w:rsidR="00DF5E69" w:rsidRPr="00C9307C">
        <w:rPr>
          <w:rFonts w:eastAsia="Times New Roman"/>
          <w:sz w:val="24"/>
          <w:szCs w:val="24"/>
          <w:lang w:val="fr-FR"/>
        </w:rPr>
        <w:t>,</w:t>
      </w:r>
      <w:r w:rsidR="00AC24C3" w:rsidRPr="00C9307C">
        <w:rPr>
          <w:rFonts w:eastAsia="Times New Roman"/>
          <w:sz w:val="24"/>
          <w:szCs w:val="24"/>
          <w:lang w:val="fr-FR"/>
        </w:rPr>
        <w:t xml:space="preserve"> </w:t>
      </w:r>
      <w:r w:rsidR="00DF5E69" w:rsidRPr="00C9307C">
        <w:rPr>
          <w:rFonts w:eastAsia="Times New Roman"/>
          <w:sz w:val="24"/>
          <w:szCs w:val="24"/>
          <w:lang w:val="fr-FR"/>
        </w:rPr>
        <w:t xml:space="preserve">chaque semestre, </w:t>
      </w:r>
      <w:r w:rsidR="00734540" w:rsidRPr="00C9307C">
        <w:rPr>
          <w:rFonts w:eastAsia="Times New Roman"/>
          <w:sz w:val="24"/>
          <w:szCs w:val="24"/>
          <w:lang w:val="fr-FR"/>
        </w:rPr>
        <w:t>avec l’appui de l’UCP/MEF</w:t>
      </w:r>
      <w:r w:rsidR="00084D75" w:rsidRPr="00C9307C">
        <w:rPr>
          <w:rFonts w:eastAsia="Times New Roman"/>
          <w:sz w:val="24"/>
          <w:szCs w:val="24"/>
          <w:lang w:val="fr-FR"/>
        </w:rPr>
        <w:t xml:space="preserve"> les Rapports de Suivi du Programme (PMR) relatifs au projet</w:t>
      </w:r>
      <w:r w:rsidR="004A4670" w:rsidRPr="00C9307C">
        <w:rPr>
          <w:rFonts w:eastAsia="Times New Roman"/>
          <w:sz w:val="24"/>
          <w:szCs w:val="24"/>
          <w:lang w:val="fr-FR"/>
        </w:rPr>
        <w:t xml:space="preserve"> et</w:t>
      </w:r>
      <w:r w:rsidR="00542ADE" w:rsidRPr="00C9307C">
        <w:rPr>
          <w:rFonts w:eastAsia="Times New Roman"/>
          <w:sz w:val="24"/>
          <w:szCs w:val="24"/>
          <w:lang w:val="fr-FR"/>
        </w:rPr>
        <w:t xml:space="preserve"> de </w:t>
      </w:r>
      <w:r w:rsidR="004A4670" w:rsidRPr="00C9307C">
        <w:rPr>
          <w:rFonts w:eastAsia="Times New Roman"/>
          <w:sz w:val="24"/>
          <w:szCs w:val="24"/>
          <w:lang w:val="fr-FR"/>
        </w:rPr>
        <w:t>préparer</w:t>
      </w:r>
      <w:r w:rsidR="00542ADE" w:rsidRPr="00C9307C">
        <w:rPr>
          <w:rFonts w:eastAsia="Times New Roman"/>
          <w:sz w:val="24"/>
          <w:szCs w:val="24"/>
          <w:lang w:val="fr-FR"/>
        </w:rPr>
        <w:t xml:space="preserve"> le</w:t>
      </w:r>
      <w:r w:rsidR="004A4670" w:rsidRPr="00C9307C">
        <w:rPr>
          <w:rFonts w:eastAsia="Times New Roman"/>
          <w:sz w:val="24"/>
          <w:szCs w:val="24"/>
          <w:lang w:val="fr-FR"/>
        </w:rPr>
        <w:t xml:space="preserve"> Plan d’Exécution Pluriannuel (PEP) ainsi que le</w:t>
      </w:r>
      <w:r w:rsidR="00542ADE" w:rsidRPr="00C9307C">
        <w:rPr>
          <w:rFonts w:eastAsia="Times New Roman"/>
          <w:sz w:val="24"/>
          <w:szCs w:val="24"/>
          <w:lang w:val="fr-FR"/>
        </w:rPr>
        <w:t>s Plans d’</w:t>
      </w:r>
      <w:r w:rsidR="004E66BA" w:rsidRPr="00C9307C">
        <w:rPr>
          <w:rFonts w:eastAsia="Times New Roman"/>
          <w:sz w:val="24"/>
          <w:szCs w:val="24"/>
          <w:lang w:val="fr-FR"/>
        </w:rPr>
        <w:t>Opération</w:t>
      </w:r>
      <w:r w:rsidR="00AC24C3" w:rsidRPr="00C9307C">
        <w:rPr>
          <w:rFonts w:eastAsia="Times New Roman"/>
          <w:sz w:val="24"/>
          <w:szCs w:val="24"/>
          <w:lang w:val="fr-FR"/>
        </w:rPr>
        <w:t xml:space="preserve"> </w:t>
      </w:r>
      <w:r w:rsidR="00817437" w:rsidRPr="00C9307C">
        <w:rPr>
          <w:rFonts w:eastAsia="Times New Roman"/>
          <w:sz w:val="24"/>
          <w:szCs w:val="24"/>
          <w:lang w:val="fr-FR"/>
        </w:rPr>
        <w:t xml:space="preserve">Annuels </w:t>
      </w:r>
      <w:r w:rsidR="004A4670" w:rsidRPr="00C9307C">
        <w:rPr>
          <w:rFonts w:eastAsia="Times New Roman"/>
          <w:sz w:val="24"/>
          <w:szCs w:val="24"/>
          <w:lang w:val="fr-FR"/>
        </w:rPr>
        <w:t>(PO</w:t>
      </w:r>
      <w:r w:rsidR="00C9644B" w:rsidRPr="00C9307C">
        <w:rPr>
          <w:rFonts w:eastAsia="Times New Roman"/>
          <w:sz w:val="24"/>
          <w:szCs w:val="24"/>
          <w:lang w:val="fr-FR"/>
        </w:rPr>
        <w:t>A)avec la contribution des autres entités intervenant dans le cadre de l’opération</w:t>
      </w:r>
      <w:r w:rsidR="00084D75" w:rsidRPr="00C9307C">
        <w:rPr>
          <w:rFonts w:eastAsia="Times New Roman"/>
          <w:sz w:val="24"/>
          <w:szCs w:val="24"/>
          <w:lang w:val="fr-FR"/>
        </w:rPr>
        <w:t>.</w:t>
      </w:r>
      <w:r w:rsidR="00AC24C3" w:rsidRPr="00C9307C">
        <w:rPr>
          <w:rFonts w:eastAsia="Times New Roman"/>
          <w:sz w:val="24"/>
          <w:szCs w:val="24"/>
          <w:lang w:val="fr-FR"/>
        </w:rPr>
        <w:t xml:space="preserve"> </w:t>
      </w:r>
      <w:r w:rsidR="00827932" w:rsidRPr="00C9307C">
        <w:rPr>
          <w:rFonts w:eastAsia="Times New Roman"/>
          <w:sz w:val="24"/>
          <w:szCs w:val="24"/>
          <w:lang w:val="fr-FR"/>
        </w:rPr>
        <w:t>L’Office</w:t>
      </w:r>
      <w:r w:rsidR="00937E34" w:rsidRPr="00C9307C">
        <w:rPr>
          <w:rFonts w:eastAsia="Times New Roman"/>
          <w:sz w:val="24"/>
          <w:szCs w:val="24"/>
          <w:lang w:val="fr-FR"/>
        </w:rPr>
        <w:t xml:space="preserve"> participer</w:t>
      </w:r>
      <w:r w:rsidR="00217867" w:rsidRPr="00C9307C">
        <w:rPr>
          <w:rFonts w:eastAsia="Times New Roman"/>
          <w:sz w:val="24"/>
          <w:szCs w:val="24"/>
          <w:lang w:val="fr-FR"/>
        </w:rPr>
        <w:t>a</w:t>
      </w:r>
      <w:r w:rsidR="00937E34" w:rsidRPr="00C9307C">
        <w:rPr>
          <w:rFonts w:eastAsia="Times New Roman"/>
          <w:sz w:val="24"/>
          <w:szCs w:val="24"/>
          <w:lang w:val="fr-FR"/>
        </w:rPr>
        <w:t xml:space="preserve"> activement aux processus de recrutements sur concou</w:t>
      </w:r>
      <w:r w:rsidR="00734540" w:rsidRPr="00C9307C">
        <w:rPr>
          <w:rFonts w:eastAsia="Times New Roman"/>
          <w:sz w:val="24"/>
          <w:szCs w:val="24"/>
          <w:lang w:val="fr-FR"/>
        </w:rPr>
        <w:t>rs.  Les rapports susmentionnés seront transmis à la BID par l’UCP/MEF</w:t>
      </w:r>
      <w:r w:rsidR="00734540" w:rsidRPr="00C9307C">
        <w:rPr>
          <w:rFonts w:eastAsia="Times New Roman"/>
          <w:sz w:val="28"/>
          <w:szCs w:val="24"/>
          <w:lang w:val="fr-FR"/>
        </w:rPr>
        <w:t>.</w:t>
      </w:r>
    </w:p>
    <w:p w14:paraId="46090137" w14:textId="77777777" w:rsidR="0056520C" w:rsidRPr="00C9307C" w:rsidRDefault="0056520C" w:rsidP="0056520C">
      <w:pPr>
        <w:pStyle w:val="ColorfulList-Accent11"/>
        <w:ind w:left="540"/>
        <w:jc w:val="both"/>
        <w:rPr>
          <w:sz w:val="28"/>
          <w:szCs w:val="24"/>
          <w:lang w:val="fr-FR"/>
        </w:rPr>
      </w:pPr>
    </w:p>
    <w:p w14:paraId="628084B4" w14:textId="77777777" w:rsidR="006E3CFF" w:rsidRPr="00C9307C" w:rsidRDefault="00084D75" w:rsidP="00AD6CD3">
      <w:pPr>
        <w:pStyle w:val="ColorfulList-Accent11"/>
        <w:numPr>
          <w:ilvl w:val="1"/>
          <w:numId w:val="5"/>
        </w:numPr>
        <w:jc w:val="both"/>
        <w:rPr>
          <w:sz w:val="24"/>
          <w:szCs w:val="24"/>
          <w:lang w:val="fr-FR"/>
        </w:rPr>
      </w:pPr>
      <w:bookmarkStart w:id="29" w:name="_Hlk517884814"/>
      <w:r w:rsidRPr="00C9307C">
        <w:rPr>
          <w:rFonts w:eastAsia="Times New Roman"/>
          <w:sz w:val="24"/>
          <w:szCs w:val="24"/>
          <w:lang w:val="fr-FR"/>
        </w:rPr>
        <w:t>Pour tous les autres points, l’OMRH et l’UCP</w:t>
      </w:r>
      <w:r w:rsidR="004E66BA" w:rsidRPr="00C9307C">
        <w:rPr>
          <w:rFonts w:eastAsia="Times New Roman"/>
          <w:sz w:val="24"/>
          <w:szCs w:val="24"/>
          <w:lang w:val="fr-FR"/>
        </w:rPr>
        <w:t>/</w:t>
      </w:r>
      <w:r w:rsidRPr="00C9307C">
        <w:rPr>
          <w:rFonts w:eastAsia="Times New Roman"/>
          <w:sz w:val="24"/>
          <w:szCs w:val="24"/>
          <w:lang w:val="fr-FR"/>
        </w:rPr>
        <w:t>MEF auront des relations directes avec la Banque.</w:t>
      </w:r>
    </w:p>
    <w:bookmarkEnd w:id="29"/>
    <w:p w14:paraId="776FD28A" w14:textId="77777777" w:rsidR="00F1310C" w:rsidRPr="00C9307C" w:rsidRDefault="00F1310C" w:rsidP="0056520C">
      <w:pPr>
        <w:rPr>
          <w:sz w:val="24"/>
          <w:szCs w:val="24"/>
          <w:lang w:val="fr-FR"/>
        </w:rPr>
      </w:pPr>
    </w:p>
    <w:p w14:paraId="17ED0094" w14:textId="77777777" w:rsidR="00F1310C" w:rsidRPr="00C9307C" w:rsidRDefault="00F1310C" w:rsidP="00AD6CD3">
      <w:pPr>
        <w:pStyle w:val="Heading2"/>
        <w:rPr>
          <w:lang w:val="fr-FR"/>
        </w:rPr>
      </w:pPr>
      <w:bookmarkStart w:id="30" w:name="_Toc3810468"/>
      <w:r w:rsidRPr="00C9307C">
        <w:rPr>
          <w:lang w:val="fr-FR"/>
        </w:rPr>
        <w:t>COMITE DE GESTIO</w:t>
      </w:r>
      <w:r w:rsidR="00A01C45" w:rsidRPr="00C9307C">
        <w:rPr>
          <w:lang w:val="fr-FR"/>
        </w:rPr>
        <w:t>N</w:t>
      </w:r>
      <w:bookmarkEnd w:id="30"/>
    </w:p>
    <w:p w14:paraId="7A3BFEC3" w14:textId="77777777" w:rsidR="006361A8" w:rsidRPr="00C9307C" w:rsidRDefault="006361A8" w:rsidP="007B61A8">
      <w:pPr>
        <w:rPr>
          <w:rFonts w:ascii="Arial" w:eastAsia="Arial" w:hAnsi="Arial" w:cs="Arial"/>
          <w:sz w:val="20"/>
          <w:szCs w:val="20"/>
          <w:lang w:val="fr-FR"/>
        </w:rPr>
      </w:pPr>
    </w:p>
    <w:p w14:paraId="6AA9663D" w14:textId="052E2FA0" w:rsidR="0056520C" w:rsidRPr="00C9307C" w:rsidRDefault="007B61A8" w:rsidP="00AD6CD3">
      <w:pPr>
        <w:pStyle w:val="ColorfulList-Accent111"/>
        <w:numPr>
          <w:ilvl w:val="1"/>
          <w:numId w:val="5"/>
        </w:numPr>
        <w:jc w:val="both"/>
        <w:rPr>
          <w:rFonts w:eastAsia="Times New Roman"/>
          <w:sz w:val="24"/>
          <w:szCs w:val="24"/>
          <w:lang w:val="fr-FR"/>
        </w:rPr>
      </w:pPr>
      <w:r w:rsidRPr="00C9307C">
        <w:rPr>
          <w:rFonts w:eastAsia="Times New Roman"/>
          <w:sz w:val="24"/>
          <w:szCs w:val="24"/>
          <w:lang w:val="fr-FR"/>
        </w:rPr>
        <w:t>Un Comité de Pilotage ser</w:t>
      </w:r>
      <w:r w:rsidR="008A78D1" w:rsidRPr="00C9307C">
        <w:rPr>
          <w:rFonts w:eastAsia="Times New Roman"/>
          <w:sz w:val="24"/>
          <w:szCs w:val="24"/>
          <w:lang w:val="fr-FR"/>
        </w:rPr>
        <w:t>a</w:t>
      </w:r>
      <w:r w:rsidRPr="00C9307C">
        <w:rPr>
          <w:rFonts w:eastAsia="Times New Roman"/>
          <w:sz w:val="24"/>
          <w:szCs w:val="24"/>
          <w:lang w:val="fr-FR"/>
        </w:rPr>
        <w:t xml:space="preserve"> composé </w:t>
      </w:r>
      <w:r w:rsidR="00734540" w:rsidRPr="00C9307C">
        <w:rPr>
          <w:rFonts w:eastAsia="Times New Roman"/>
          <w:sz w:val="24"/>
          <w:szCs w:val="24"/>
          <w:lang w:val="fr-FR"/>
        </w:rPr>
        <w:t>d</w:t>
      </w:r>
      <w:r w:rsidRPr="00C9307C">
        <w:rPr>
          <w:rFonts w:eastAsia="Times New Roman"/>
          <w:sz w:val="24"/>
          <w:szCs w:val="24"/>
          <w:lang w:val="fr-FR"/>
        </w:rPr>
        <w:t>u Coordonnateur G</w:t>
      </w:r>
      <w:r w:rsidR="003626CE" w:rsidRPr="00C9307C">
        <w:rPr>
          <w:rFonts w:eastAsia="Times New Roman"/>
          <w:sz w:val="24"/>
          <w:szCs w:val="24"/>
          <w:lang w:val="fr-FR"/>
        </w:rPr>
        <w:t>é</w:t>
      </w:r>
      <w:r w:rsidRPr="00C9307C">
        <w:rPr>
          <w:rFonts w:eastAsia="Times New Roman"/>
          <w:sz w:val="24"/>
          <w:szCs w:val="24"/>
          <w:lang w:val="fr-FR"/>
        </w:rPr>
        <w:t>n</w:t>
      </w:r>
      <w:r w:rsidR="003626CE" w:rsidRPr="00C9307C">
        <w:rPr>
          <w:rFonts w:eastAsia="Times New Roman"/>
          <w:sz w:val="24"/>
          <w:szCs w:val="24"/>
          <w:lang w:val="fr-FR"/>
        </w:rPr>
        <w:t>é</w:t>
      </w:r>
      <w:r w:rsidRPr="00C9307C">
        <w:rPr>
          <w:rFonts w:eastAsia="Times New Roman"/>
          <w:sz w:val="24"/>
          <w:szCs w:val="24"/>
          <w:lang w:val="fr-FR"/>
        </w:rPr>
        <w:t>ral de l'OMRH, du Ministre de</w:t>
      </w:r>
      <w:r w:rsidR="004E66BA" w:rsidRPr="00C9307C">
        <w:rPr>
          <w:rFonts w:eastAsia="Times New Roman"/>
          <w:sz w:val="24"/>
          <w:szCs w:val="24"/>
          <w:lang w:val="fr-FR"/>
        </w:rPr>
        <w:t xml:space="preserve"> l’Economie et de</w:t>
      </w:r>
      <w:r w:rsidRPr="00C9307C">
        <w:rPr>
          <w:rFonts w:eastAsia="Times New Roman"/>
          <w:sz w:val="24"/>
          <w:szCs w:val="24"/>
          <w:lang w:val="fr-FR"/>
        </w:rPr>
        <w:t>s Finances et des ministres des ministères sectoriels qui font partie du Projet. Ce comité sera responsable de l'approbation du plan des opérations et de la stratégie de mise en œuvre du projet.</w:t>
      </w:r>
      <w:r w:rsidR="00734540" w:rsidRPr="00C9307C">
        <w:rPr>
          <w:rFonts w:eastAsia="Times New Roman"/>
          <w:sz w:val="24"/>
          <w:szCs w:val="24"/>
          <w:lang w:val="fr-FR"/>
        </w:rPr>
        <w:t xml:space="preserve"> </w:t>
      </w:r>
    </w:p>
    <w:p w14:paraId="7FC42579" w14:textId="77777777" w:rsidR="0056520C" w:rsidRPr="00C9307C" w:rsidRDefault="0056520C" w:rsidP="0056520C">
      <w:pPr>
        <w:pStyle w:val="ColorfulList-Accent111"/>
        <w:ind w:left="540"/>
        <w:jc w:val="both"/>
        <w:rPr>
          <w:rFonts w:eastAsia="Times New Roman"/>
          <w:sz w:val="24"/>
          <w:szCs w:val="24"/>
          <w:lang w:val="fr-FR"/>
        </w:rPr>
      </w:pPr>
    </w:p>
    <w:p w14:paraId="22DE81B4" w14:textId="4C24711A" w:rsidR="007B61A8" w:rsidRPr="006603E9" w:rsidRDefault="00426B73" w:rsidP="00AD6CD3">
      <w:pPr>
        <w:pStyle w:val="ColorfulList-Accent111"/>
        <w:numPr>
          <w:ilvl w:val="1"/>
          <w:numId w:val="5"/>
        </w:numPr>
        <w:jc w:val="both"/>
        <w:rPr>
          <w:rFonts w:eastAsia="Times New Roman"/>
          <w:sz w:val="24"/>
          <w:szCs w:val="24"/>
          <w:lang w:val="fr-FR"/>
        </w:rPr>
      </w:pPr>
      <w:r w:rsidRPr="006603E9">
        <w:rPr>
          <w:rFonts w:eastAsia="Times New Roman"/>
          <w:sz w:val="24"/>
          <w:szCs w:val="24"/>
          <w:lang w:val="fr-FR"/>
        </w:rPr>
        <w:t>Un Comité Technique composé d’experts locaux et internationaux en mise en œuvre de réformes institutionnelles, qui prépareront les plans d’opération et d’activités, ainsi que les stratégies de mise en œuvre, conseillant les ministères sectoriels afin de faciliter la réalisation des activités du projet.</w:t>
      </w:r>
    </w:p>
    <w:p w14:paraId="51FE2B59" w14:textId="77777777" w:rsidR="00426B73" w:rsidRPr="00C9307C" w:rsidRDefault="00426B73" w:rsidP="006603E9">
      <w:pPr>
        <w:pStyle w:val="ListParagraph"/>
        <w:rPr>
          <w:rFonts w:eastAsia="Times New Roman"/>
          <w:sz w:val="24"/>
          <w:szCs w:val="24"/>
          <w:lang w:val="fr-FR"/>
        </w:rPr>
      </w:pPr>
    </w:p>
    <w:p w14:paraId="410F3066" w14:textId="5FF50385" w:rsidR="00426B73" w:rsidRPr="006603E9" w:rsidRDefault="00426B73" w:rsidP="006603E9">
      <w:pPr>
        <w:pStyle w:val="subpar"/>
        <w:ind w:left="90" w:firstLine="0"/>
        <w:rPr>
          <w:rFonts w:ascii="Calibri" w:hAnsi="Calibri"/>
          <w:szCs w:val="24"/>
          <w:lang w:val="fr-FR"/>
        </w:rPr>
      </w:pPr>
      <w:bookmarkStart w:id="31" w:name="_Toc3810469"/>
      <w:r w:rsidRPr="006603E9">
        <w:rPr>
          <w:rFonts w:ascii="Calibri" w:hAnsi="Calibri"/>
          <w:szCs w:val="24"/>
          <w:lang w:val="fr-FR"/>
        </w:rPr>
        <w:t>3.11 Un Système de Suivi et Evaluation du Projet dirigé par l’OMRH sera utilisé pour établir des lignes de base, faire le suivi de l’application des plans et évaluer les résultats obtenus, afin d’informer le Comité de Direction et le Comité Technique Conseiller des progrès des activités et des obstacles confrontés dans l’exécution.</w:t>
      </w:r>
      <w:bookmarkEnd w:id="31"/>
    </w:p>
    <w:p w14:paraId="0F9493FE" w14:textId="77777777" w:rsidR="00426B73" w:rsidRPr="00C9307C" w:rsidRDefault="00426B73" w:rsidP="007B030F">
      <w:pPr>
        <w:pStyle w:val="ColorfulList-Accent111"/>
        <w:ind w:left="540"/>
        <w:jc w:val="both"/>
        <w:rPr>
          <w:rFonts w:eastAsia="Times New Roman"/>
          <w:sz w:val="24"/>
          <w:szCs w:val="24"/>
          <w:lang w:val="fr-FR"/>
        </w:rPr>
      </w:pPr>
    </w:p>
    <w:p w14:paraId="4D229BD9" w14:textId="6CB4ED35" w:rsidR="007566D8" w:rsidRDefault="007566D8" w:rsidP="00AA5024">
      <w:pPr>
        <w:pStyle w:val="ListParagraph"/>
        <w:rPr>
          <w:rFonts w:eastAsia="Times New Roman"/>
          <w:sz w:val="24"/>
          <w:szCs w:val="24"/>
          <w:lang w:val="fr-FR"/>
        </w:rPr>
      </w:pPr>
    </w:p>
    <w:p w14:paraId="73FCF014" w14:textId="499329C6" w:rsidR="00C31C59" w:rsidRDefault="00C31C59" w:rsidP="00AA5024">
      <w:pPr>
        <w:pStyle w:val="ListParagraph"/>
        <w:rPr>
          <w:rFonts w:eastAsia="Times New Roman"/>
          <w:sz w:val="24"/>
          <w:szCs w:val="24"/>
          <w:lang w:val="fr-FR"/>
        </w:rPr>
      </w:pPr>
    </w:p>
    <w:p w14:paraId="2DB66A2C" w14:textId="4A13DA46" w:rsidR="00C31C59" w:rsidRDefault="00C31C59" w:rsidP="00AA5024">
      <w:pPr>
        <w:pStyle w:val="ListParagraph"/>
        <w:rPr>
          <w:rFonts w:eastAsia="Times New Roman"/>
          <w:sz w:val="24"/>
          <w:szCs w:val="24"/>
          <w:lang w:val="fr-FR"/>
        </w:rPr>
      </w:pPr>
    </w:p>
    <w:p w14:paraId="76A9836C" w14:textId="6023B7D3" w:rsidR="00C31C59" w:rsidRDefault="00C31C59" w:rsidP="00AA5024">
      <w:pPr>
        <w:pStyle w:val="ListParagraph"/>
        <w:rPr>
          <w:rFonts w:eastAsia="Times New Roman"/>
          <w:sz w:val="24"/>
          <w:szCs w:val="24"/>
          <w:lang w:val="fr-FR"/>
        </w:rPr>
      </w:pPr>
    </w:p>
    <w:p w14:paraId="55500194" w14:textId="79596221" w:rsidR="00C31C59" w:rsidRDefault="00C31C59" w:rsidP="00AA5024">
      <w:pPr>
        <w:pStyle w:val="ListParagraph"/>
        <w:rPr>
          <w:rFonts w:eastAsia="Times New Roman"/>
          <w:sz w:val="24"/>
          <w:szCs w:val="24"/>
          <w:lang w:val="fr-FR"/>
        </w:rPr>
      </w:pPr>
    </w:p>
    <w:p w14:paraId="7516843F" w14:textId="7BDC5341" w:rsidR="00C31C59" w:rsidRDefault="00C31C59" w:rsidP="00AA5024">
      <w:pPr>
        <w:pStyle w:val="ListParagraph"/>
        <w:rPr>
          <w:rFonts w:eastAsia="Times New Roman"/>
          <w:sz w:val="24"/>
          <w:szCs w:val="24"/>
          <w:lang w:val="fr-FR"/>
        </w:rPr>
      </w:pPr>
    </w:p>
    <w:p w14:paraId="4E72D3E2" w14:textId="263754E7" w:rsidR="00C31C59" w:rsidRDefault="00C31C59" w:rsidP="00AA5024">
      <w:pPr>
        <w:pStyle w:val="ListParagraph"/>
        <w:rPr>
          <w:rFonts w:eastAsia="Times New Roman"/>
          <w:sz w:val="24"/>
          <w:szCs w:val="24"/>
          <w:lang w:val="fr-FR"/>
        </w:rPr>
      </w:pPr>
    </w:p>
    <w:p w14:paraId="33C0E68E" w14:textId="0A5997C0" w:rsidR="00C31C59" w:rsidRDefault="00C31C59" w:rsidP="00AA5024">
      <w:pPr>
        <w:pStyle w:val="ListParagraph"/>
        <w:rPr>
          <w:rFonts w:eastAsia="Times New Roman"/>
          <w:sz w:val="24"/>
          <w:szCs w:val="24"/>
          <w:lang w:val="fr-FR"/>
        </w:rPr>
      </w:pPr>
    </w:p>
    <w:p w14:paraId="5A12D27A" w14:textId="0C056F05" w:rsidR="00C31C59" w:rsidRDefault="00C31C59" w:rsidP="00AA5024">
      <w:pPr>
        <w:pStyle w:val="ListParagraph"/>
        <w:rPr>
          <w:rFonts w:eastAsia="Times New Roman"/>
          <w:sz w:val="24"/>
          <w:szCs w:val="24"/>
          <w:lang w:val="fr-FR"/>
        </w:rPr>
      </w:pPr>
    </w:p>
    <w:p w14:paraId="4780D341" w14:textId="3435468C" w:rsidR="00C176D7" w:rsidRDefault="00C176D7" w:rsidP="00AA5024">
      <w:pPr>
        <w:pStyle w:val="ListParagraph"/>
        <w:rPr>
          <w:rFonts w:eastAsia="Times New Roman"/>
          <w:sz w:val="24"/>
          <w:szCs w:val="24"/>
          <w:lang w:val="fr-FR"/>
        </w:rPr>
      </w:pPr>
    </w:p>
    <w:p w14:paraId="7AE02BD8" w14:textId="04FEE626" w:rsidR="00C176D7" w:rsidRDefault="00C176D7" w:rsidP="00AA5024">
      <w:pPr>
        <w:pStyle w:val="ListParagraph"/>
        <w:rPr>
          <w:rFonts w:eastAsia="Times New Roman"/>
          <w:sz w:val="24"/>
          <w:szCs w:val="24"/>
          <w:lang w:val="fr-FR"/>
        </w:rPr>
      </w:pPr>
    </w:p>
    <w:p w14:paraId="41CFE9D7" w14:textId="604AB31F" w:rsidR="00C176D7" w:rsidRDefault="00C176D7" w:rsidP="00AA5024">
      <w:pPr>
        <w:pStyle w:val="ListParagraph"/>
        <w:rPr>
          <w:rFonts w:eastAsia="Times New Roman"/>
          <w:sz w:val="24"/>
          <w:szCs w:val="24"/>
          <w:lang w:val="fr-FR"/>
        </w:rPr>
      </w:pPr>
    </w:p>
    <w:p w14:paraId="2CC69A2F" w14:textId="5A15C275" w:rsidR="00C176D7" w:rsidRDefault="00C176D7" w:rsidP="00AA5024">
      <w:pPr>
        <w:pStyle w:val="ListParagraph"/>
        <w:rPr>
          <w:rFonts w:eastAsia="Times New Roman"/>
          <w:sz w:val="24"/>
          <w:szCs w:val="24"/>
          <w:lang w:val="fr-FR"/>
        </w:rPr>
      </w:pPr>
    </w:p>
    <w:p w14:paraId="0FD1E3FD" w14:textId="77777777" w:rsidR="00C176D7" w:rsidRDefault="00C176D7" w:rsidP="00AA5024">
      <w:pPr>
        <w:pStyle w:val="ListParagraph"/>
        <w:rPr>
          <w:rFonts w:eastAsia="Times New Roman"/>
          <w:sz w:val="24"/>
          <w:szCs w:val="24"/>
          <w:lang w:val="fr-FR"/>
        </w:rPr>
      </w:pPr>
    </w:p>
    <w:p w14:paraId="6494C0A5" w14:textId="39AF67DD" w:rsidR="00C31C59" w:rsidRDefault="00C31C59" w:rsidP="00AA5024">
      <w:pPr>
        <w:pStyle w:val="ListParagraph"/>
        <w:rPr>
          <w:rFonts w:eastAsia="Times New Roman"/>
          <w:sz w:val="24"/>
          <w:szCs w:val="24"/>
          <w:lang w:val="fr-FR"/>
        </w:rPr>
      </w:pPr>
    </w:p>
    <w:p w14:paraId="19304EAC" w14:textId="6D46D79A" w:rsidR="00C31C59" w:rsidRDefault="00C31C59" w:rsidP="00AA5024">
      <w:pPr>
        <w:pStyle w:val="ListParagraph"/>
        <w:rPr>
          <w:rFonts w:eastAsia="Times New Roman"/>
          <w:sz w:val="24"/>
          <w:szCs w:val="24"/>
          <w:lang w:val="fr-FR"/>
        </w:rPr>
      </w:pPr>
    </w:p>
    <w:p w14:paraId="51CA14D9" w14:textId="508EA3DF" w:rsidR="00C31C59" w:rsidRDefault="00C31C59" w:rsidP="00AA5024">
      <w:pPr>
        <w:pStyle w:val="ListParagraph"/>
        <w:rPr>
          <w:rFonts w:eastAsia="Times New Roman"/>
          <w:sz w:val="24"/>
          <w:szCs w:val="24"/>
          <w:lang w:val="fr-FR"/>
        </w:rPr>
      </w:pPr>
    </w:p>
    <w:p w14:paraId="0B317017" w14:textId="02A5E02D" w:rsidR="00C31C59" w:rsidRDefault="00C31C59" w:rsidP="00AA5024">
      <w:pPr>
        <w:pStyle w:val="ListParagraph"/>
        <w:rPr>
          <w:rFonts w:eastAsia="Times New Roman"/>
          <w:sz w:val="24"/>
          <w:szCs w:val="24"/>
          <w:lang w:val="fr-FR"/>
        </w:rPr>
      </w:pPr>
    </w:p>
    <w:p w14:paraId="3095CC34" w14:textId="7DC7C706" w:rsidR="00C31C59" w:rsidRDefault="00C31C59" w:rsidP="00AA5024">
      <w:pPr>
        <w:pStyle w:val="ListParagraph"/>
        <w:rPr>
          <w:rFonts w:eastAsia="Times New Roman"/>
          <w:sz w:val="24"/>
          <w:szCs w:val="24"/>
          <w:lang w:val="fr-FR"/>
        </w:rPr>
      </w:pPr>
    </w:p>
    <w:p w14:paraId="742B23BE" w14:textId="360725E3" w:rsidR="00C31C59" w:rsidRDefault="00C31C59" w:rsidP="00AA5024">
      <w:pPr>
        <w:pStyle w:val="ListParagraph"/>
        <w:rPr>
          <w:rFonts w:eastAsia="Times New Roman"/>
          <w:sz w:val="24"/>
          <w:szCs w:val="24"/>
          <w:lang w:val="fr-FR"/>
        </w:rPr>
      </w:pPr>
    </w:p>
    <w:p w14:paraId="4B4544AA" w14:textId="3B68075F" w:rsidR="00C31C59" w:rsidRDefault="00C31C59" w:rsidP="00AA5024">
      <w:pPr>
        <w:pStyle w:val="ListParagraph"/>
        <w:rPr>
          <w:rFonts w:eastAsia="Times New Roman"/>
          <w:sz w:val="24"/>
          <w:szCs w:val="24"/>
          <w:lang w:val="fr-FR"/>
        </w:rPr>
      </w:pPr>
    </w:p>
    <w:p w14:paraId="20EFAAA5" w14:textId="25723B55" w:rsidR="00C31C59" w:rsidRDefault="00C31C59" w:rsidP="00AA5024">
      <w:pPr>
        <w:pStyle w:val="ListParagraph"/>
        <w:rPr>
          <w:rFonts w:eastAsia="Times New Roman"/>
          <w:sz w:val="24"/>
          <w:szCs w:val="24"/>
          <w:lang w:val="fr-FR"/>
        </w:rPr>
      </w:pPr>
    </w:p>
    <w:p w14:paraId="2A5AF8FB" w14:textId="7F0E8B7F" w:rsidR="00C31C59" w:rsidRDefault="00C31C59" w:rsidP="00AA5024">
      <w:pPr>
        <w:pStyle w:val="ListParagraph"/>
        <w:rPr>
          <w:rFonts w:eastAsia="Times New Roman"/>
          <w:sz w:val="24"/>
          <w:szCs w:val="24"/>
          <w:lang w:val="fr-FR"/>
        </w:rPr>
      </w:pPr>
    </w:p>
    <w:p w14:paraId="6C0A90ED" w14:textId="77777777" w:rsidR="00C31C59" w:rsidRPr="00C9307C" w:rsidRDefault="00C31C59" w:rsidP="00AA5024">
      <w:pPr>
        <w:pStyle w:val="ListParagraph"/>
        <w:rPr>
          <w:rFonts w:eastAsia="Times New Roman"/>
          <w:sz w:val="24"/>
          <w:szCs w:val="24"/>
          <w:lang w:val="fr-FR"/>
        </w:rPr>
      </w:pPr>
    </w:p>
    <w:p w14:paraId="7A60F7EF" w14:textId="77777777" w:rsidR="007566D8" w:rsidRPr="00C9307C" w:rsidRDefault="007566D8" w:rsidP="00AA5024">
      <w:pPr>
        <w:pStyle w:val="ColorfulList-Accent111"/>
        <w:numPr>
          <w:ilvl w:val="0"/>
          <w:numId w:val="5"/>
        </w:numPr>
        <w:jc w:val="both"/>
        <w:rPr>
          <w:rFonts w:eastAsia="Times New Roman"/>
          <w:sz w:val="24"/>
          <w:szCs w:val="24"/>
          <w:lang w:val="fr-FR"/>
        </w:rPr>
      </w:pPr>
    </w:p>
    <w:p w14:paraId="16575927" w14:textId="77777777" w:rsidR="00294F04" w:rsidRPr="00C9307C" w:rsidRDefault="00294F04" w:rsidP="00294F04">
      <w:pPr>
        <w:pStyle w:val="ColorfulList-Accent11"/>
        <w:jc w:val="center"/>
        <w:rPr>
          <w:sz w:val="24"/>
          <w:szCs w:val="24"/>
          <w:lang w:val="fr-FR"/>
        </w:rPr>
      </w:pPr>
      <w:r w:rsidRPr="00C9307C">
        <w:rPr>
          <w:sz w:val="24"/>
          <w:szCs w:val="24"/>
          <w:lang w:val="fr-FR"/>
        </w:rPr>
        <w:t>PROJET DE RENFORCEMENT DE LA GESTION PUBLIQUE POUR L’AMELIORATION DE LA PRESTATION DE SERVICES</w:t>
      </w:r>
    </w:p>
    <w:p w14:paraId="3003E3DE" w14:textId="77777777" w:rsidR="00294F04" w:rsidRPr="00C9307C" w:rsidRDefault="00294F04" w:rsidP="00294F04">
      <w:pPr>
        <w:pStyle w:val="ColorfulList-Accent11"/>
        <w:jc w:val="center"/>
        <w:rPr>
          <w:sz w:val="24"/>
          <w:szCs w:val="24"/>
          <w:lang w:val="fr-FR"/>
        </w:rPr>
      </w:pPr>
    </w:p>
    <w:p w14:paraId="2049860E" w14:textId="77777777" w:rsidR="00294F04" w:rsidRPr="00C9307C" w:rsidRDefault="00294F04" w:rsidP="00294F04">
      <w:pPr>
        <w:pStyle w:val="ColorfulList-Accent11"/>
        <w:jc w:val="center"/>
        <w:rPr>
          <w:sz w:val="24"/>
          <w:szCs w:val="24"/>
          <w:lang w:val="fr-FR"/>
        </w:rPr>
      </w:pPr>
      <w:r w:rsidRPr="00C9307C">
        <w:rPr>
          <w:sz w:val="24"/>
          <w:szCs w:val="24"/>
          <w:lang w:val="fr-FR"/>
        </w:rPr>
        <w:t>PROGRAMME HA- L1131</w:t>
      </w:r>
    </w:p>
    <w:p w14:paraId="3FA888B9" w14:textId="77777777" w:rsidR="00294F04" w:rsidRPr="00C9307C" w:rsidRDefault="00294F04" w:rsidP="00C12F32">
      <w:pPr>
        <w:pStyle w:val="ColorfulList-Accent11"/>
        <w:jc w:val="both"/>
        <w:rPr>
          <w:sz w:val="24"/>
          <w:szCs w:val="24"/>
          <w:lang w:val="fr-FR"/>
        </w:rPr>
      </w:pPr>
    </w:p>
    <w:p w14:paraId="3F91FF8B" w14:textId="77777777" w:rsidR="00C12F32" w:rsidRPr="00C9307C" w:rsidRDefault="00AF40E9" w:rsidP="00AC24C3">
      <w:pPr>
        <w:pStyle w:val="ColorfulList-Accent11"/>
        <w:jc w:val="center"/>
        <w:rPr>
          <w:sz w:val="24"/>
          <w:szCs w:val="24"/>
          <w:lang w:val="fr-FR"/>
        </w:rPr>
      </w:pPr>
      <w:r w:rsidRPr="00C9307C">
        <w:rPr>
          <w:sz w:val="24"/>
          <w:szCs w:val="24"/>
          <w:lang w:val="fr-FR"/>
        </w:rPr>
        <w:t>SCHEMA D’ORGANISATION DU PROJET</w:t>
      </w:r>
    </w:p>
    <w:p w14:paraId="5F054545" w14:textId="77777777" w:rsidR="00294F04" w:rsidRPr="00C9307C" w:rsidRDefault="00294F04" w:rsidP="00294F04">
      <w:pPr>
        <w:pStyle w:val="ColorfulList-Accent11"/>
        <w:ind w:left="0"/>
        <w:jc w:val="both"/>
        <w:rPr>
          <w:rFonts w:eastAsia="Times New Roman"/>
          <w:sz w:val="24"/>
          <w:szCs w:val="24"/>
          <w:lang w:val="fr-FR"/>
        </w:rPr>
      </w:pPr>
      <w:r w:rsidRPr="00C9307C">
        <w:rPr>
          <w:rFonts w:eastAsia="Times New Roman"/>
          <w:noProof/>
          <w:sz w:val="24"/>
          <w:szCs w:val="24"/>
        </w:rPr>
        <w:drawing>
          <wp:inline distT="0" distB="0" distL="0" distR="0" wp14:anchorId="61E6F27A" wp14:editId="73F125A2">
            <wp:extent cx="5905500" cy="30384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05500" cy="3038475"/>
                    </a:xfrm>
                    <a:prstGeom prst="rect">
                      <a:avLst/>
                    </a:prstGeom>
                    <a:noFill/>
                    <a:ln w="9525">
                      <a:noFill/>
                      <a:miter lim="800000"/>
                      <a:headEnd/>
                      <a:tailEnd/>
                    </a:ln>
                  </pic:spPr>
                </pic:pic>
              </a:graphicData>
            </a:graphic>
          </wp:inline>
        </w:drawing>
      </w:r>
    </w:p>
    <w:p w14:paraId="683F56BC" w14:textId="77777777" w:rsidR="00294F04" w:rsidRPr="00C9307C" w:rsidRDefault="00294F04">
      <w:pPr>
        <w:rPr>
          <w:rFonts w:eastAsia="Times New Roman"/>
          <w:sz w:val="24"/>
          <w:szCs w:val="24"/>
          <w:lang w:val="fr-FR"/>
        </w:rPr>
      </w:pPr>
      <w:r w:rsidRPr="00C9307C">
        <w:rPr>
          <w:rFonts w:eastAsia="Times New Roman"/>
          <w:sz w:val="24"/>
          <w:szCs w:val="24"/>
          <w:lang w:val="fr-FR"/>
        </w:rPr>
        <w:br w:type="page"/>
      </w:r>
    </w:p>
    <w:p w14:paraId="60EF4F00" w14:textId="77777777" w:rsidR="00294F04" w:rsidRPr="00C9307C" w:rsidRDefault="00294F04" w:rsidP="00852A61">
      <w:pPr>
        <w:pStyle w:val="ColorfulList-Accent11"/>
        <w:ind w:left="360"/>
        <w:jc w:val="both"/>
        <w:rPr>
          <w:rFonts w:eastAsia="Times New Roman"/>
          <w:sz w:val="24"/>
          <w:szCs w:val="24"/>
          <w:lang w:val="fr-FR"/>
        </w:rPr>
      </w:pPr>
    </w:p>
    <w:p w14:paraId="57B691A2" w14:textId="68CCE613" w:rsidR="00B44908" w:rsidRPr="00C9307C" w:rsidRDefault="00B17922" w:rsidP="005B7F6C">
      <w:pPr>
        <w:jc w:val="both"/>
        <w:rPr>
          <w:sz w:val="24"/>
          <w:szCs w:val="24"/>
          <w:lang w:val="fr-FR"/>
        </w:rPr>
      </w:pPr>
      <w:r w:rsidRPr="00C9307C">
        <w:rPr>
          <w:sz w:val="24"/>
          <w:szCs w:val="24"/>
          <w:lang w:val="fr-FR"/>
        </w:rPr>
        <w:t>Diagramme des Mécanismes d’Exécution</w:t>
      </w:r>
      <w:r w:rsidR="00AC24C3" w:rsidRPr="00C9307C">
        <w:rPr>
          <w:sz w:val="24"/>
          <w:szCs w:val="24"/>
          <w:lang w:val="fr-FR"/>
        </w:rPr>
        <w:t xml:space="preserve"> </w:t>
      </w:r>
      <w:r w:rsidRPr="00C9307C">
        <w:rPr>
          <w:sz w:val="24"/>
          <w:szCs w:val="24"/>
          <w:lang w:val="fr-FR"/>
        </w:rPr>
        <w:t xml:space="preserve">des </w:t>
      </w:r>
      <w:r w:rsidR="00227BD2" w:rsidRPr="00C9307C">
        <w:rPr>
          <w:sz w:val="24"/>
          <w:szCs w:val="24"/>
          <w:lang w:val="fr-FR"/>
        </w:rPr>
        <w:t>O</w:t>
      </w:r>
      <w:r w:rsidRPr="00C9307C">
        <w:rPr>
          <w:sz w:val="24"/>
          <w:szCs w:val="24"/>
          <w:lang w:val="fr-FR"/>
        </w:rPr>
        <w:t>E</w:t>
      </w:r>
    </w:p>
    <w:p w14:paraId="11FDDD81" w14:textId="4BBA2A67" w:rsidR="00B44908" w:rsidRPr="00C9307C" w:rsidRDefault="009E1DC3" w:rsidP="005B7F6C">
      <w:pPr>
        <w:jc w:val="both"/>
        <w:rPr>
          <w:b/>
          <w:sz w:val="24"/>
          <w:szCs w:val="24"/>
          <w:lang w:val="fr-FR"/>
        </w:rPr>
      </w:pPr>
      <w:r w:rsidRPr="00C9307C">
        <w:rPr>
          <w:noProof/>
          <w:sz w:val="24"/>
          <w:szCs w:val="24"/>
        </w:rPr>
        <mc:AlternateContent>
          <mc:Choice Requires="wps">
            <w:drawing>
              <wp:anchor distT="0" distB="0" distL="114300" distR="114300" simplePos="0" relativeHeight="251639808" behindDoc="0" locked="0" layoutInCell="1" allowOverlap="1" wp14:anchorId="053DA699" wp14:editId="66AE6734">
                <wp:simplePos x="0" y="0"/>
                <wp:positionH relativeFrom="column">
                  <wp:posOffset>3771900</wp:posOffset>
                </wp:positionH>
                <wp:positionV relativeFrom="paragraph">
                  <wp:posOffset>176530</wp:posOffset>
                </wp:positionV>
                <wp:extent cx="1447800" cy="35052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0" cy="350520"/>
                        </a:xfrm>
                        <a:prstGeom prst="rect">
                          <a:avLst/>
                        </a:prstGeom>
                        <a:solidFill>
                          <a:sysClr val="window" lastClr="FFFFFF"/>
                        </a:solidFill>
                        <a:ln w="25400" cap="flat" cmpd="sng" algn="ctr">
                          <a:solidFill>
                            <a:srgbClr val="4F81BD"/>
                          </a:solidFill>
                          <a:prstDash val="solid"/>
                        </a:ln>
                        <a:effectLst/>
                      </wps:spPr>
                      <wps:txbx>
                        <w:txbxContent>
                          <w:p w14:paraId="25D714B0" w14:textId="77777777" w:rsidR="00DD16AF" w:rsidRPr="00E94CAB" w:rsidRDefault="00DD16AF" w:rsidP="00B44908">
                            <w:pPr>
                              <w:jc w:val="center"/>
                              <w:rPr>
                                <w:b/>
                                <w:color w:val="000000" w:themeColor="text1"/>
                                <w:lang w:val="fr-FR"/>
                              </w:rPr>
                            </w:pPr>
                            <w:r>
                              <w:rPr>
                                <w:b/>
                                <w:color w:val="000000" w:themeColor="text1"/>
                                <w:lang w:val="fr-FR"/>
                              </w:rPr>
                              <w:t>OMRH</w:t>
                            </w:r>
                            <w:r w:rsidRPr="00E94CAB">
                              <w:rPr>
                                <w:b/>
                                <w:color w:val="000000" w:themeColor="text1"/>
                                <w:lang w:val="fr-FR"/>
                              </w:rPr>
                              <w:t>-AEP C-1,3</w:t>
                            </w:r>
                            <w:r>
                              <w:rPr>
                                <w:b/>
                                <w:color w:val="000000" w:themeColor="text1"/>
                                <w:lang w:val="fr-FR"/>
                              </w:rPr>
                              <w:t xml:space="preserve">, </w:t>
                            </w:r>
                            <w:r w:rsidRPr="00E94CAB">
                              <w:rPr>
                                <w:b/>
                                <w:color w:val="000000" w:themeColor="text1"/>
                                <w:lang w:val="fr-FR"/>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53DA699" id="_x0000_t202" coordsize="21600,21600" o:spt="202" path="m,l,21600r21600,l21600,xe">
                <v:stroke joinstyle="miter"/>
                <v:path gradientshapeok="t" o:connecttype="rect"/>
              </v:shapetype>
              <v:shape id="Text Box 5" o:spid="_x0000_s1026" type="#_x0000_t202" style="position:absolute;left:0;text-align:left;margin-left:297pt;margin-top:13.9pt;width:114pt;height:27.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" fillcolor="window" strokecolor="#4f81bd" strokeweight="2pt">
                <v:path arrowok="t"/>
                <v:textbox>
                  <w:txbxContent>
                    <w:p w14:paraId="25D714B0" w14:textId="77777777" w:rsidR="00DD16AF" w:rsidRPr="00E94CAB" w:rsidRDefault="00DD16AF" w:rsidP="00B44908">
                      <w:pPr>
                        <w:jc w:val="center"/>
                        <w:rPr>
                          <w:b/>
                          <w:color w:val="000000" w:themeColor="text1"/>
                          <w:lang w:val="fr-FR"/>
                        </w:rPr>
                      </w:pPr>
                      <w:r>
                        <w:rPr>
                          <w:b/>
                          <w:color w:val="000000" w:themeColor="text1"/>
                          <w:lang w:val="fr-FR"/>
                        </w:rPr>
                        <w:t>OMRH</w:t>
                      </w:r>
                      <w:r w:rsidRPr="00E94CAB">
                        <w:rPr>
                          <w:b/>
                          <w:color w:val="000000" w:themeColor="text1"/>
                          <w:lang w:val="fr-FR"/>
                        </w:rPr>
                        <w:t>-AEP C-1,3</w:t>
                      </w:r>
                      <w:r>
                        <w:rPr>
                          <w:b/>
                          <w:color w:val="000000" w:themeColor="text1"/>
                          <w:lang w:val="fr-FR"/>
                        </w:rPr>
                        <w:t xml:space="preserve">, </w:t>
                      </w:r>
                      <w:r w:rsidRPr="00E94CAB">
                        <w:rPr>
                          <w:b/>
                          <w:color w:val="000000" w:themeColor="text1"/>
                          <w:lang w:val="fr-FR"/>
                        </w:rPr>
                        <w:t>4</w:t>
                      </w:r>
                    </w:p>
                  </w:txbxContent>
                </v:textbox>
              </v:shape>
            </w:pict>
          </mc:Fallback>
        </mc:AlternateContent>
      </w:r>
    </w:p>
    <w:p w14:paraId="532755AF" w14:textId="774812BB" w:rsidR="00B44908" w:rsidRPr="00C9307C" w:rsidRDefault="009E1DC3" w:rsidP="005B7F6C">
      <w:pPr>
        <w:jc w:val="both"/>
        <w:rPr>
          <w:sz w:val="24"/>
          <w:szCs w:val="24"/>
          <w:lang w:val="fr-FR"/>
        </w:rPr>
      </w:pPr>
      <w:r w:rsidRPr="00C9307C">
        <w:rPr>
          <w:noProof/>
          <w:sz w:val="24"/>
          <w:szCs w:val="24"/>
        </w:rPr>
        <mc:AlternateContent>
          <mc:Choice Requires="wps">
            <w:drawing>
              <wp:anchor distT="0" distB="0" distL="114300" distR="114300" simplePos="0" relativeHeight="251665408" behindDoc="0" locked="0" layoutInCell="1" allowOverlap="1" wp14:anchorId="292D010B" wp14:editId="0329D7CA">
                <wp:simplePos x="0" y="0"/>
                <wp:positionH relativeFrom="column">
                  <wp:posOffset>4000500</wp:posOffset>
                </wp:positionH>
                <wp:positionV relativeFrom="paragraph">
                  <wp:posOffset>93980</wp:posOffset>
                </wp:positionV>
                <wp:extent cx="914400" cy="914400"/>
                <wp:effectExtent l="0" t="0" r="0" b="0"/>
                <wp:wrapTight wrapText="bothSides">
                  <wp:wrapPolygon edited="0">
                    <wp:start x="900" y="1350"/>
                    <wp:lineTo x="900" y="20250"/>
                    <wp:lineTo x="20250" y="20250"/>
                    <wp:lineTo x="20250" y="1350"/>
                    <wp:lineTo x="900" y="1350"/>
                  </wp:wrapPolygon>
                </wp:wrapTight>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A98DD" w14:textId="77777777" w:rsidR="00DD16AF" w:rsidRPr="005C7DD5" w:rsidRDefault="00DD16AF">
                            <w:pPr>
                              <w:rPr>
                                <w:color w:val="000000" w:themeColor="text1"/>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D010B" id="Text Box 9" o:spid="_x0000_s1027" type="#_x0000_t202" style="position:absolute;left:0;text-align:left;margin-left:315pt;margin-top:7.4pt;width:1in;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" filled="f" stroked="f">
                <v:textbox inset=",7.2pt,,7.2pt">
                  <w:txbxContent>
                    <w:p w14:paraId="357A98DD" w14:textId="77777777" w:rsidR="00DD16AF" w:rsidRPr="005C7DD5" w:rsidRDefault="00DD16AF">
                      <w:pPr>
                        <w:rPr>
                          <w:color w:val="000000" w:themeColor="text1"/>
                        </w:rPr>
                      </w:pPr>
                    </w:p>
                  </w:txbxContent>
                </v:textbox>
                <w10:wrap type="tight"/>
              </v:shape>
            </w:pict>
          </mc:Fallback>
        </mc:AlternateContent>
      </w:r>
      <w:r w:rsidRPr="006603E9">
        <w:rPr>
          <w:noProof/>
          <w:sz w:val="24"/>
          <w:szCs w:val="24"/>
        </w:rPr>
        <mc:AlternateContent>
          <mc:Choice Requires="wps">
            <w:drawing>
              <wp:anchor distT="0" distB="0" distL="114300" distR="114300" simplePos="0" relativeHeight="251644928" behindDoc="0" locked="0" layoutInCell="1" allowOverlap="1" wp14:anchorId="3E8DC515" wp14:editId="4ABFC437">
                <wp:simplePos x="0" y="0"/>
                <wp:positionH relativeFrom="column">
                  <wp:posOffset>1019175</wp:posOffset>
                </wp:positionH>
                <wp:positionV relativeFrom="paragraph">
                  <wp:posOffset>98425</wp:posOffset>
                </wp:positionV>
                <wp:extent cx="1266825" cy="567055"/>
                <wp:effectExtent l="0" t="0" r="9525" b="42545"/>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567055"/>
                        </a:xfrm>
                        <a:prstGeom prst="rect">
                          <a:avLst/>
                        </a:prstGeom>
                        <a:gradFill rotWithShape="1">
                          <a:gsLst>
                            <a:gs pos="0">
                              <a:srgbClr val="3A7CCB"/>
                            </a:gs>
                            <a:gs pos="20000">
                              <a:srgbClr val="3C7BC7"/>
                            </a:gs>
                            <a:gs pos="100000">
                              <a:srgbClr val="2C5D98"/>
                            </a:gs>
                          </a:gsLst>
                          <a:lin ang="5400000"/>
                        </a:gradFill>
                        <a:ln w="9525">
                          <a:solidFill>
                            <a:srgbClr val="4A7EBB"/>
                          </a:solidFill>
                          <a:miter lim="800000"/>
                          <a:headEnd/>
                          <a:tailEnd/>
                        </a:ln>
                        <a:effectLst>
                          <a:outerShdw dist="23000" dir="5400000" rotWithShape="0">
                            <a:srgbClr val="808080">
                              <a:alpha val="34998"/>
                            </a:srgbClr>
                          </a:outerShdw>
                        </a:effectLst>
                      </wps:spPr>
                      <wps:txbx>
                        <w:txbxContent>
                          <w:p w14:paraId="345055D5" w14:textId="77777777" w:rsidR="00DD16AF" w:rsidRPr="003B1690" w:rsidRDefault="00DD16AF" w:rsidP="00B44908">
                            <w:pPr>
                              <w:jc w:val="center"/>
                              <w:rPr>
                                <w:sz w:val="28"/>
                                <w:szCs w:val="28"/>
                              </w:rPr>
                            </w:pPr>
                            <w:r>
                              <w:rPr>
                                <w:sz w:val="28"/>
                                <w:szCs w:val="28"/>
                              </w:rPr>
                              <w:t>BID</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E8DC515" id="Rectangle 21" o:spid="_x0000_s1028" style="position:absolute;left:0;text-align:left;margin-left:80.25pt;margin-top:7.75pt;width:99.75pt;height:44.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" fillcolor="#3a7ccb" strokecolor="#4a7ebb">
                <v:fill color2="#2c5d98" rotate="t" colors="0 #3a7ccb;13107f #3c7bc7;1 #2c5d98" focus="100%" type="gradient">
                  <o:fill v:ext="view" type="gradientUnscaled"/>
                </v:fill>
                <v:shadow on="t" opacity="22936f" origin=",.5" offset="0,.63889mm"/>
                <v:textbox>
                  <w:txbxContent>
                    <w:p w14:paraId="345055D5" w14:textId="77777777" w:rsidR="00DD16AF" w:rsidRPr="003B1690" w:rsidRDefault="00DD16AF" w:rsidP="00B44908">
                      <w:pPr>
                        <w:jc w:val="center"/>
                        <w:rPr>
                          <w:sz w:val="28"/>
                          <w:szCs w:val="28"/>
                        </w:rPr>
                      </w:pPr>
                      <w:r>
                        <w:rPr>
                          <w:sz w:val="28"/>
                          <w:szCs w:val="28"/>
                        </w:rPr>
                        <w:t>BID</w:t>
                      </w:r>
                    </w:p>
                  </w:txbxContent>
                </v:textbox>
              </v:rect>
            </w:pict>
          </mc:Fallback>
        </mc:AlternateContent>
      </w:r>
    </w:p>
    <w:p w14:paraId="270F00C7" w14:textId="0D3312F6" w:rsidR="00B44908" w:rsidRPr="00C9307C" w:rsidRDefault="009E1DC3" w:rsidP="005B7F6C">
      <w:pPr>
        <w:jc w:val="both"/>
        <w:rPr>
          <w:sz w:val="24"/>
          <w:szCs w:val="24"/>
          <w:lang w:val="fr-FR"/>
        </w:rPr>
      </w:pPr>
      <w:r w:rsidRPr="00C9307C">
        <w:rPr>
          <w:noProof/>
          <w:sz w:val="24"/>
          <w:szCs w:val="24"/>
        </w:rPr>
        <mc:AlternateContent>
          <mc:Choice Requires="wps">
            <w:drawing>
              <wp:anchor distT="0" distB="0" distL="114300" distR="114300" simplePos="0" relativeHeight="251660288" behindDoc="0" locked="0" layoutInCell="1" allowOverlap="1" wp14:anchorId="5FCE9869" wp14:editId="1631BD2D">
                <wp:simplePos x="0" y="0"/>
                <wp:positionH relativeFrom="column">
                  <wp:posOffset>2514600</wp:posOffset>
                </wp:positionH>
                <wp:positionV relativeFrom="paragraph">
                  <wp:posOffset>136525</wp:posOffset>
                </wp:positionV>
                <wp:extent cx="952500" cy="171450"/>
                <wp:effectExtent l="19050" t="19050" r="0" b="38100"/>
                <wp:wrapNone/>
                <wp:docPr id="4" name="Left-Right Arrow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171450"/>
                        </a:xfrm>
                        <a:prstGeom prst="leftRightArrow">
                          <a:avLst>
                            <a:gd name="adj1" fmla="val 50000"/>
                            <a:gd name="adj2" fmla="val 50000"/>
                          </a:avLst>
                        </a:prstGeom>
                        <a:gradFill rotWithShape="1">
                          <a:gsLst>
                            <a:gs pos="0">
                              <a:srgbClr val="3A7CCB"/>
                            </a:gs>
                            <a:gs pos="20000">
                              <a:srgbClr val="3C7BC7"/>
                            </a:gs>
                            <a:gs pos="100000">
                              <a:srgbClr val="2C5D98"/>
                            </a:gs>
                          </a:gsLst>
                          <a:lin ang="5400000"/>
                        </a:gradFill>
                        <a:ln w="9525">
                          <a:solidFill>
                            <a:srgbClr val="4A7EBB"/>
                          </a:solidFill>
                          <a:miter lim="800000"/>
                          <a:headEnd/>
                          <a:tailEnd/>
                        </a:ln>
                        <a:effectLst>
                          <a:outerShdw dist="23000" dir="5400000" rotWithShape="0">
                            <a:srgbClr val="808080">
                              <a:alpha val="34998"/>
                            </a:srgbClr>
                          </a:outerShdw>
                        </a:effec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7861AFE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6" o:spid="_x0000_s1026" type="#_x0000_t69" style="position:absolute;margin-left:198pt;margin-top:10.75pt;width: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" adj="1944" fillcolor="#3a7ccb" strokecolor="#4a7ebb">
                <v:fill color2="#2c5d98" rotate="t" colors="0 #3a7ccb;13107f #3c7bc7;1 #2c5d98" focus="100%" type="gradient">
                  <o:fill v:ext="view" type="gradientUnscaled"/>
                </v:fill>
                <v:shadow on="t" opacity="22936f" origin=",.5" offset="0,.63889mm"/>
              </v:shape>
            </w:pict>
          </mc:Fallback>
        </mc:AlternateContent>
      </w:r>
      <w:r w:rsidRPr="006603E9">
        <w:rPr>
          <w:noProof/>
          <w:sz w:val="24"/>
          <w:szCs w:val="24"/>
        </w:rPr>
        <mc:AlternateContent>
          <mc:Choice Requires="wps">
            <w:drawing>
              <wp:anchor distT="0" distB="0" distL="114300" distR="114300" simplePos="0" relativeHeight="251655168" behindDoc="0" locked="0" layoutInCell="1" allowOverlap="1" wp14:anchorId="13B9CF8F" wp14:editId="161C049F">
                <wp:simplePos x="0" y="0"/>
                <wp:positionH relativeFrom="column">
                  <wp:posOffset>4343400</wp:posOffset>
                </wp:positionH>
                <wp:positionV relativeFrom="paragraph">
                  <wp:posOffset>136525</wp:posOffset>
                </wp:positionV>
                <wp:extent cx="9525" cy="209550"/>
                <wp:effectExtent l="76200" t="38100" r="47625" b="57150"/>
                <wp:wrapNone/>
                <wp:docPr id="3"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25400">
                          <a:solidFill>
                            <a:srgbClr val="4F81BD"/>
                          </a:solidFill>
                          <a:round/>
                          <a:headEnd type="arrow" w="med" len="me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28AC89" id="_x0000_t32" coordsize="21600,21600" o:spt="32" o:oned="t" path="m,l21600,21600e" filled="f">
                <v:path arrowok="t" fillok="f" o:connecttype="none"/>
                <o:lock v:ext="edit" shapetype="t"/>
              </v:shapetype>
              <v:shape id="Straight Arrow Connector 25" o:spid="_x0000_s1026" type="#_x0000_t32" style="position:absolute;margin-left:342pt;margin-top:10.75pt;width:.7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" strokecolor="#4f81bd" strokeweight="2pt">
                <v:stroke startarrow="open" endarrow="open"/>
                <v:shadow on="t" opacity="24903f" origin=",.5" offset="0,.55556mm"/>
              </v:shape>
            </w:pict>
          </mc:Fallback>
        </mc:AlternateContent>
      </w:r>
    </w:p>
    <w:p w14:paraId="059DA2D8" w14:textId="392F260E" w:rsidR="00B44908" w:rsidRPr="00C9307C" w:rsidRDefault="009E1DC3" w:rsidP="005B7F6C">
      <w:pPr>
        <w:jc w:val="both"/>
        <w:rPr>
          <w:b/>
          <w:sz w:val="24"/>
          <w:szCs w:val="24"/>
          <w:lang w:val="fr-FR"/>
        </w:rPr>
      </w:pPr>
      <w:r w:rsidRPr="00C9307C">
        <w:rPr>
          <w:noProof/>
          <w:sz w:val="24"/>
          <w:szCs w:val="24"/>
        </w:rPr>
        <mc:AlternateContent>
          <mc:Choice Requires="wps">
            <w:drawing>
              <wp:anchor distT="0" distB="0" distL="114300" distR="114300" simplePos="0" relativeHeight="251650048" behindDoc="0" locked="0" layoutInCell="1" allowOverlap="1" wp14:anchorId="5A5C6B80" wp14:editId="77C0C414">
                <wp:simplePos x="0" y="0"/>
                <wp:positionH relativeFrom="column">
                  <wp:posOffset>3771900</wp:posOffset>
                </wp:positionH>
                <wp:positionV relativeFrom="paragraph">
                  <wp:posOffset>179070</wp:posOffset>
                </wp:positionV>
                <wp:extent cx="1171575" cy="276225"/>
                <wp:effectExtent l="0" t="0" r="9525" b="952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1575" cy="276225"/>
                        </a:xfrm>
                        <a:prstGeom prst="rect">
                          <a:avLst/>
                        </a:prstGeom>
                        <a:solidFill>
                          <a:sysClr val="window" lastClr="FFFFFF"/>
                        </a:solidFill>
                        <a:ln w="25400" cap="flat" cmpd="sng" algn="ctr">
                          <a:solidFill>
                            <a:srgbClr val="4F81BD"/>
                          </a:solidFill>
                          <a:prstDash val="solid"/>
                        </a:ln>
                        <a:effectLst/>
                      </wps:spPr>
                      <wps:txbx>
                        <w:txbxContent>
                          <w:p w14:paraId="6CDD7ED7" w14:textId="77777777" w:rsidR="00DD16AF" w:rsidRPr="005C7DD5" w:rsidRDefault="00DD16AF" w:rsidP="00B44908">
                            <w:pPr>
                              <w:jc w:val="center"/>
                              <w:rPr>
                                <w:b/>
                                <w:color w:val="000000" w:themeColor="text1"/>
                              </w:rPr>
                            </w:pPr>
                            <w:r>
                              <w:rPr>
                                <w:b/>
                                <w:color w:val="000000" w:themeColor="text1"/>
                              </w:rPr>
                              <w:t>MEF-AEP-C-2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5C6B80" id="Text Box 24" o:spid="_x0000_s1029" type="#_x0000_t202" style="position:absolute;left:0;text-align:left;margin-left:297pt;margin-top:14.1pt;width:92.25pt;height:21.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" fillcolor="window" strokecolor="#4f81bd" strokeweight="2pt">
                <v:path arrowok="t"/>
                <v:textbox>
                  <w:txbxContent>
                    <w:p w14:paraId="6CDD7ED7" w14:textId="77777777" w:rsidR="00DD16AF" w:rsidRPr="005C7DD5" w:rsidRDefault="00DD16AF" w:rsidP="00B44908">
                      <w:pPr>
                        <w:jc w:val="center"/>
                        <w:rPr>
                          <w:b/>
                          <w:color w:val="000000" w:themeColor="text1"/>
                        </w:rPr>
                      </w:pPr>
                      <w:r>
                        <w:rPr>
                          <w:b/>
                          <w:color w:val="000000" w:themeColor="text1"/>
                        </w:rPr>
                        <w:t>MEF-AEP-C-2</w:t>
                      </w:r>
                    </w:p>
                  </w:txbxContent>
                </v:textbox>
              </v:shape>
            </w:pict>
          </mc:Fallback>
        </mc:AlternateContent>
      </w:r>
    </w:p>
    <w:p w14:paraId="0B7CF610" w14:textId="77777777" w:rsidR="00D07FCC" w:rsidRPr="00C9307C" w:rsidRDefault="00D07FCC" w:rsidP="00141036">
      <w:pPr>
        <w:keepNext/>
        <w:keepLines/>
        <w:spacing w:before="200"/>
        <w:ind w:left="1170"/>
        <w:jc w:val="both"/>
        <w:outlineLvl w:val="1"/>
        <w:rPr>
          <w:b/>
          <w:sz w:val="24"/>
          <w:szCs w:val="24"/>
          <w:lang w:val="fr-FR"/>
        </w:rPr>
      </w:pPr>
    </w:p>
    <w:p w14:paraId="53F88320" w14:textId="77777777" w:rsidR="00852A61" w:rsidRPr="00C9307C" w:rsidRDefault="00D07FCC" w:rsidP="00B17922">
      <w:pPr>
        <w:keepNext/>
        <w:keepLines/>
        <w:spacing w:before="200"/>
        <w:ind w:left="1170"/>
        <w:jc w:val="both"/>
        <w:outlineLvl w:val="1"/>
        <w:rPr>
          <w:b/>
          <w:bCs/>
          <w:color w:val="4F81BD"/>
          <w:sz w:val="24"/>
          <w:szCs w:val="24"/>
          <w:lang w:val="fr-FR"/>
        </w:rPr>
      </w:pPr>
      <w:bookmarkStart w:id="32" w:name="_Toc359225639"/>
      <w:bookmarkStart w:id="33" w:name="_Toc3810470"/>
      <w:r w:rsidRPr="00C9307C">
        <w:rPr>
          <w:b/>
          <w:sz w:val="24"/>
          <w:szCs w:val="24"/>
          <w:lang w:val="fr-FR"/>
        </w:rPr>
        <w:t>Figure 1</w:t>
      </w:r>
      <w:bookmarkEnd w:id="32"/>
      <w:bookmarkEnd w:id="33"/>
    </w:p>
    <w:p w14:paraId="7FCB4F1E" w14:textId="77777777" w:rsidR="00B17922" w:rsidRPr="00C9307C" w:rsidRDefault="00B17922" w:rsidP="00B17922">
      <w:pPr>
        <w:keepNext/>
        <w:keepLines/>
        <w:spacing w:before="200"/>
        <w:ind w:left="1170"/>
        <w:jc w:val="both"/>
        <w:outlineLvl w:val="1"/>
        <w:rPr>
          <w:b/>
          <w:bCs/>
          <w:color w:val="4F81BD"/>
          <w:sz w:val="24"/>
          <w:szCs w:val="24"/>
          <w:lang w:val="fr-FR"/>
        </w:rPr>
      </w:pPr>
    </w:p>
    <w:p w14:paraId="35A732B3" w14:textId="77777777" w:rsidR="00B44908" w:rsidRPr="00C9307C" w:rsidRDefault="001C54DB" w:rsidP="00AD6CD3">
      <w:pPr>
        <w:pStyle w:val="Heading2"/>
        <w:rPr>
          <w:lang w:val="fr-FR"/>
        </w:rPr>
      </w:pPr>
      <w:bookmarkStart w:id="34" w:name="_Toc3810471"/>
      <w:r w:rsidRPr="00C9307C">
        <w:rPr>
          <w:lang w:val="fr-FR"/>
        </w:rPr>
        <w:t xml:space="preserve">RESPONSABILITES DE CHACUN DES </w:t>
      </w:r>
      <w:r w:rsidR="00ED6425" w:rsidRPr="00C9307C">
        <w:rPr>
          <w:lang w:val="fr-FR"/>
        </w:rPr>
        <w:t>ORGANISMES</w:t>
      </w:r>
      <w:r w:rsidRPr="00C9307C">
        <w:rPr>
          <w:lang w:val="fr-FR"/>
        </w:rPr>
        <w:t xml:space="preserve"> D’EXECUTION</w:t>
      </w:r>
      <w:bookmarkEnd w:id="34"/>
    </w:p>
    <w:p w14:paraId="6A50E028" w14:textId="77777777" w:rsidR="00A178A3" w:rsidRPr="00C9307C" w:rsidRDefault="00A178A3" w:rsidP="00256A71">
      <w:pPr>
        <w:pStyle w:val="ColorfulList-Accent11"/>
        <w:ind w:left="0"/>
        <w:jc w:val="both"/>
        <w:rPr>
          <w:rFonts w:eastAsia="Times New Roman"/>
          <w:sz w:val="24"/>
          <w:szCs w:val="24"/>
          <w:lang w:val="fr-FR"/>
        </w:rPr>
      </w:pPr>
    </w:p>
    <w:p w14:paraId="3BB44449" w14:textId="2ABF4811" w:rsidR="00232F39" w:rsidRPr="00C9307C" w:rsidRDefault="00232F39" w:rsidP="00AD6CD3">
      <w:pPr>
        <w:pStyle w:val="ColorfulList-Accent11"/>
        <w:numPr>
          <w:ilvl w:val="1"/>
          <w:numId w:val="5"/>
        </w:numPr>
        <w:jc w:val="both"/>
        <w:rPr>
          <w:rFonts w:eastAsia="Times New Roman"/>
          <w:sz w:val="24"/>
          <w:szCs w:val="24"/>
          <w:lang w:val="fr-FR"/>
        </w:rPr>
      </w:pPr>
      <w:r w:rsidRPr="00C9307C">
        <w:rPr>
          <w:rFonts w:eastAsia="Times New Roman"/>
          <w:b/>
          <w:sz w:val="24"/>
          <w:szCs w:val="24"/>
          <w:lang w:val="fr-FR"/>
        </w:rPr>
        <w:t>Composante</w:t>
      </w:r>
      <w:r w:rsidR="003C500E" w:rsidRPr="00C9307C">
        <w:rPr>
          <w:rFonts w:eastAsia="Times New Roman"/>
          <w:b/>
          <w:sz w:val="24"/>
          <w:szCs w:val="24"/>
          <w:lang w:val="fr-FR"/>
        </w:rPr>
        <w:t>s</w:t>
      </w:r>
      <w:r w:rsidR="00084223">
        <w:rPr>
          <w:rFonts w:eastAsia="Times New Roman"/>
          <w:b/>
          <w:sz w:val="24"/>
          <w:szCs w:val="24"/>
          <w:lang w:val="fr-FR"/>
        </w:rPr>
        <w:t xml:space="preserve"> I,</w:t>
      </w:r>
      <w:r w:rsidRPr="00C9307C">
        <w:rPr>
          <w:rFonts w:eastAsia="Times New Roman"/>
          <w:b/>
          <w:sz w:val="24"/>
          <w:szCs w:val="24"/>
          <w:lang w:val="fr-FR"/>
        </w:rPr>
        <w:t xml:space="preserve"> I</w:t>
      </w:r>
      <w:r w:rsidR="00257B6D" w:rsidRPr="00C9307C">
        <w:rPr>
          <w:rFonts w:eastAsia="Times New Roman"/>
          <w:b/>
          <w:sz w:val="24"/>
          <w:szCs w:val="24"/>
          <w:lang w:val="fr-FR"/>
        </w:rPr>
        <w:t>I</w:t>
      </w:r>
      <w:r w:rsidR="00CA442A">
        <w:rPr>
          <w:rFonts w:eastAsia="Times New Roman"/>
          <w:b/>
          <w:sz w:val="24"/>
          <w:szCs w:val="24"/>
          <w:lang w:val="fr-FR"/>
        </w:rPr>
        <w:t xml:space="preserve"> </w:t>
      </w:r>
      <w:r w:rsidR="00734540" w:rsidRPr="00CA442A">
        <w:rPr>
          <w:rFonts w:eastAsia="Times New Roman"/>
          <w:b/>
          <w:sz w:val="24"/>
          <w:szCs w:val="24"/>
          <w:lang w:val="fr-FR"/>
        </w:rPr>
        <w:t xml:space="preserve">et </w:t>
      </w:r>
      <w:proofErr w:type="gramStart"/>
      <w:r w:rsidR="003C3DF9" w:rsidRPr="00CA442A">
        <w:rPr>
          <w:rFonts w:eastAsia="Times New Roman"/>
          <w:b/>
          <w:sz w:val="24"/>
          <w:szCs w:val="24"/>
          <w:lang w:val="fr-FR"/>
        </w:rPr>
        <w:t xml:space="preserve">III </w:t>
      </w:r>
      <w:r w:rsidRPr="00CA442A">
        <w:rPr>
          <w:rFonts w:eastAsia="Times New Roman"/>
          <w:b/>
          <w:sz w:val="24"/>
          <w:szCs w:val="24"/>
          <w:lang w:val="fr-FR"/>
        </w:rPr>
        <w:t xml:space="preserve"> (</w:t>
      </w:r>
      <w:proofErr w:type="gramEnd"/>
      <w:r w:rsidR="002F73C9" w:rsidRPr="00CA442A">
        <w:rPr>
          <w:rFonts w:eastAsia="Times New Roman"/>
          <w:b/>
          <w:sz w:val="24"/>
          <w:szCs w:val="24"/>
          <w:lang w:val="fr-FR"/>
        </w:rPr>
        <w:t>OMRH</w:t>
      </w:r>
      <w:r w:rsidRPr="00C9307C">
        <w:rPr>
          <w:rFonts w:eastAsia="Times New Roman"/>
          <w:b/>
          <w:sz w:val="24"/>
          <w:szCs w:val="24"/>
          <w:lang w:val="fr-FR"/>
        </w:rPr>
        <w:t>-</w:t>
      </w:r>
      <w:r w:rsidR="005E24D8" w:rsidRPr="00C9307C">
        <w:rPr>
          <w:rFonts w:eastAsia="Times New Roman"/>
          <w:b/>
          <w:sz w:val="24"/>
          <w:szCs w:val="24"/>
          <w:lang w:val="fr-FR"/>
        </w:rPr>
        <w:t>O</w:t>
      </w:r>
      <w:r w:rsidR="002F73C9" w:rsidRPr="00C9307C">
        <w:rPr>
          <w:rFonts w:eastAsia="Times New Roman"/>
          <w:b/>
          <w:sz w:val="24"/>
          <w:szCs w:val="24"/>
          <w:lang w:val="fr-FR"/>
        </w:rPr>
        <w:t>E-</w:t>
      </w:r>
      <w:r w:rsidRPr="00C9307C">
        <w:rPr>
          <w:rFonts w:eastAsia="Times New Roman"/>
          <w:b/>
          <w:sz w:val="24"/>
          <w:szCs w:val="24"/>
          <w:lang w:val="fr-FR"/>
        </w:rPr>
        <w:t>C-</w:t>
      </w:r>
      <w:r w:rsidR="004E66BA" w:rsidRPr="00C9307C">
        <w:rPr>
          <w:rFonts w:eastAsia="Times New Roman"/>
          <w:b/>
          <w:sz w:val="24"/>
          <w:szCs w:val="24"/>
          <w:lang w:val="fr-FR"/>
        </w:rPr>
        <w:t>I</w:t>
      </w:r>
      <w:r w:rsidR="00257B6D" w:rsidRPr="00C9307C">
        <w:rPr>
          <w:rFonts w:eastAsia="Times New Roman"/>
          <w:b/>
          <w:sz w:val="24"/>
          <w:szCs w:val="24"/>
          <w:lang w:val="fr-FR"/>
        </w:rPr>
        <w:t xml:space="preserve">I </w:t>
      </w:r>
      <w:r w:rsidR="00734540" w:rsidRPr="00C9307C">
        <w:rPr>
          <w:rFonts w:eastAsia="Times New Roman"/>
          <w:b/>
          <w:sz w:val="24"/>
          <w:szCs w:val="24"/>
          <w:lang w:val="fr-FR"/>
        </w:rPr>
        <w:t xml:space="preserve">et </w:t>
      </w:r>
      <w:r w:rsidR="004E66BA" w:rsidRPr="00C9307C">
        <w:rPr>
          <w:rFonts w:eastAsia="Times New Roman"/>
          <w:b/>
          <w:sz w:val="24"/>
          <w:szCs w:val="24"/>
          <w:lang w:val="fr-FR"/>
        </w:rPr>
        <w:t>III)</w:t>
      </w:r>
      <w:r w:rsidRPr="00C9307C">
        <w:rPr>
          <w:rFonts w:eastAsia="Times New Roman"/>
          <w:b/>
          <w:sz w:val="24"/>
          <w:szCs w:val="24"/>
          <w:lang w:val="fr-FR"/>
        </w:rPr>
        <w:t>.</w:t>
      </w:r>
      <w:r w:rsidRPr="00C9307C">
        <w:rPr>
          <w:rFonts w:eastAsia="Times New Roman"/>
          <w:sz w:val="24"/>
          <w:szCs w:val="24"/>
          <w:lang w:val="fr-FR"/>
        </w:rPr>
        <w:t>Les fonctions et activités essentielles de l’</w:t>
      </w:r>
      <w:r w:rsidR="002F73C9" w:rsidRPr="00C9307C">
        <w:rPr>
          <w:rFonts w:eastAsia="Times New Roman"/>
          <w:sz w:val="24"/>
          <w:szCs w:val="24"/>
          <w:lang w:val="fr-FR"/>
        </w:rPr>
        <w:t>OMRH en ce qui a trait à la composante I sont</w:t>
      </w:r>
      <w:r w:rsidRPr="00C9307C">
        <w:rPr>
          <w:rFonts w:eastAsia="Times New Roman"/>
          <w:sz w:val="24"/>
          <w:szCs w:val="24"/>
          <w:lang w:val="fr-FR"/>
        </w:rPr>
        <w:t>:</w:t>
      </w:r>
    </w:p>
    <w:p w14:paraId="0DAC71A0" w14:textId="38CF106D" w:rsidR="004932ED" w:rsidRPr="00C9307C" w:rsidRDefault="004932ED"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Elabor</w:t>
      </w:r>
      <w:r w:rsidR="00034814" w:rsidRPr="00C9307C">
        <w:rPr>
          <w:rFonts w:eastAsia="Times New Roman"/>
          <w:sz w:val="24"/>
          <w:szCs w:val="24"/>
          <w:lang w:val="fr-FR"/>
        </w:rPr>
        <w:t>er</w:t>
      </w:r>
      <w:r w:rsidR="002631DC" w:rsidRPr="00C9307C">
        <w:rPr>
          <w:rFonts w:eastAsia="Times New Roman"/>
          <w:sz w:val="24"/>
          <w:szCs w:val="24"/>
          <w:lang w:val="fr-FR"/>
        </w:rPr>
        <w:t xml:space="preserve"> </w:t>
      </w:r>
      <w:r w:rsidR="00687285" w:rsidRPr="00C9307C">
        <w:rPr>
          <w:rFonts w:eastAsia="Times New Roman"/>
          <w:sz w:val="24"/>
          <w:szCs w:val="24"/>
          <w:lang w:val="fr-FR"/>
        </w:rPr>
        <w:t xml:space="preserve">les </w:t>
      </w:r>
      <w:r w:rsidRPr="00C9307C">
        <w:rPr>
          <w:rFonts w:eastAsia="Times New Roman"/>
          <w:sz w:val="24"/>
          <w:szCs w:val="24"/>
          <w:lang w:val="fr-FR"/>
        </w:rPr>
        <w:t>Termes de Référence</w:t>
      </w:r>
      <w:r w:rsidR="00886EB7" w:rsidRPr="00C9307C">
        <w:rPr>
          <w:rFonts w:eastAsia="Times New Roman"/>
          <w:sz w:val="24"/>
          <w:szCs w:val="24"/>
          <w:lang w:val="fr-FR"/>
        </w:rPr>
        <w:t xml:space="preserve"> (</w:t>
      </w:r>
      <w:proofErr w:type="spellStart"/>
      <w:r w:rsidR="00886EB7" w:rsidRPr="00C9307C">
        <w:rPr>
          <w:rFonts w:eastAsia="Times New Roman"/>
          <w:sz w:val="24"/>
          <w:szCs w:val="24"/>
          <w:lang w:val="fr-FR"/>
        </w:rPr>
        <w:t>TdR</w:t>
      </w:r>
      <w:proofErr w:type="spellEnd"/>
      <w:r w:rsidR="00886EB7" w:rsidRPr="00C9307C">
        <w:rPr>
          <w:rFonts w:eastAsia="Times New Roman"/>
          <w:sz w:val="24"/>
          <w:szCs w:val="24"/>
          <w:lang w:val="fr-FR"/>
        </w:rPr>
        <w:t>) des activités lui incombant</w:t>
      </w:r>
    </w:p>
    <w:p w14:paraId="2B8FB715" w14:textId="77777777" w:rsidR="00886EB7" w:rsidRPr="00C9307C" w:rsidRDefault="00886EB7"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 xml:space="preserve">Réviser et valider les </w:t>
      </w:r>
      <w:proofErr w:type="spellStart"/>
      <w:r w:rsidRPr="00C9307C">
        <w:rPr>
          <w:rFonts w:eastAsia="Times New Roman"/>
          <w:sz w:val="24"/>
          <w:szCs w:val="24"/>
          <w:lang w:val="fr-FR"/>
        </w:rPr>
        <w:t>TdRs</w:t>
      </w:r>
      <w:proofErr w:type="spellEnd"/>
      <w:r w:rsidRPr="00C9307C">
        <w:rPr>
          <w:rFonts w:eastAsia="Times New Roman"/>
          <w:sz w:val="24"/>
          <w:szCs w:val="24"/>
          <w:lang w:val="fr-FR"/>
        </w:rPr>
        <w:t xml:space="preserve"> transmis par les entités </w:t>
      </w:r>
      <w:r w:rsidR="00542ADE" w:rsidRPr="00C9307C">
        <w:rPr>
          <w:rFonts w:eastAsia="Times New Roman"/>
          <w:sz w:val="24"/>
          <w:szCs w:val="24"/>
          <w:lang w:val="fr-FR"/>
        </w:rPr>
        <w:t>sélectionnées</w:t>
      </w:r>
    </w:p>
    <w:p w14:paraId="436F5DB2" w14:textId="77777777" w:rsidR="00EF4780" w:rsidRPr="00C9307C" w:rsidRDefault="00EF4780"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Effectuer le suivi des indicateurs des composantes du projet</w:t>
      </w:r>
    </w:p>
    <w:p w14:paraId="226A50EE" w14:textId="77777777" w:rsidR="00EF4780" w:rsidRPr="00C9307C" w:rsidRDefault="00EF4780"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Assurer que le chronogramme d’</w:t>
      </w:r>
      <w:r w:rsidR="00521CFC" w:rsidRPr="00C9307C">
        <w:rPr>
          <w:rFonts w:eastAsia="Times New Roman"/>
          <w:sz w:val="24"/>
          <w:szCs w:val="24"/>
          <w:lang w:val="fr-FR"/>
        </w:rPr>
        <w:t>exécution</w:t>
      </w:r>
      <w:r w:rsidRPr="00C9307C">
        <w:rPr>
          <w:rFonts w:eastAsia="Times New Roman"/>
          <w:sz w:val="24"/>
          <w:szCs w:val="24"/>
          <w:lang w:val="fr-FR"/>
        </w:rPr>
        <w:t xml:space="preserve"> du projet est </w:t>
      </w:r>
      <w:r w:rsidR="00521CFC" w:rsidRPr="00C9307C">
        <w:rPr>
          <w:rFonts w:eastAsia="Times New Roman"/>
          <w:sz w:val="24"/>
          <w:szCs w:val="24"/>
          <w:lang w:val="fr-FR"/>
        </w:rPr>
        <w:t>respecté</w:t>
      </w:r>
    </w:p>
    <w:p w14:paraId="63AF7713" w14:textId="77777777" w:rsidR="00493D06" w:rsidRPr="00C9307C" w:rsidRDefault="00EF4780"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 xml:space="preserve">Valider </w:t>
      </w:r>
      <w:r w:rsidR="00521CFC" w:rsidRPr="00C9307C">
        <w:rPr>
          <w:rFonts w:eastAsia="Times New Roman"/>
          <w:sz w:val="24"/>
          <w:szCs w:val="24"/>
          <w:lang w:val="fr-FR"/>
        </w:rPr>
        <w:t xml:space="preserve">toutes modifications ou changements qui auraient des conséquences directes </w:t>
      </w:r>
      <w:r w:rsidR="00493D06" w:rsidRPr="00C9307C">
        <w:rPr>
          <w:rFonts w:eastAsia="Times New Roman"/>
          <w:sz w:val="24"/>
          <w:szCs w:val="24"/>
          <w:lang w:val="fr-FR"/>
        </w:rPr>
        <w:t>sur l’exécution du projet</w:t>
      </w:r>
    </w:p>
    <w:p w14:paraId="5D781215" w14:textId="10FC79C0" w:rsidR="00493D06" w:rsidRPr="00C9307C" w:rsidRDefault="00A511AA"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 xml:space="preserve">Suivre l’exécution des </w:t>
      </w:r>
      <w:r w:rsidR="0046461C" w:rsidRPr="00C9307C">
        <w:rPr>
          <w:rFonts w:eastAsia="Times New Roman"/>
          <w:sz w:val="24"/>
          <w:szCs w:val="24"/>
          <w:lang w:val="fr-FR"/>
        </w:rPr>
        <w:t>contrats conjointement</w:t>
      </w:r>
      <w:r w:rsidRPr="00C9307C">
        <w:rPr>
          <w:rFonts w:eastAsia="Times New Roman"/>
          <w:sz w:val="24"/>
          <w:szCs w:val="24"/>
          <w:lang w:val="fr-FR"/>
        </w:rPr>
        <w:t xml:space="preserve"> avec l’UCP/MEF</w:t>
      </w:r>
    </w:p>
    <w:p w14:paraId="625A84F8" w14:textId="77777777" w:rsidR="0032716A" w:rsidRPr="00C9307C" w:rsidRDefault="00A511AA"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Préparer les rapports semestriels sur la base des informations financières fournies par l’UCP/MEF</w:t>
      </w:r>
    </w:p>
    <w:p w14:paraId="45AC1A06" w14:textId="7AAFB1DA" w:rsidR="00551301" w:rsidRPr="00C9307C" w:rsidRDefault="0046461C"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Participer à toute</w:t>
      </w:r>
      <w:r w:rsidR="00D31442" w:rsidRPr="00C9307C">
        <w:rPr>
          <w:rFonts w:eastAsia="Times New Roman"/>
          <w:sz w:val="24"/>
          <w:szCs w:val="24"/>
          <w:lang w:val="fr-FR"/>
        </w:rPr>
        <w:t xml:space="preserve"> ouverture de plis</w:t>
      </w:r>
    </w:p>
    <w:p w14:paraId="766F42A6" w14:textId="77777777" w:rsidR="00860701" w:rsidRPr="00C9307C" w:rsidRDefault="009D2367"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 xml:space="preserve">Garder un registre des biens </w:t>
      </w:r>
      <w:r w:rsidR="00B70C27" w:rsidRPr="00C9307C">
        <w:rPr>
          <w:rFonts w:eastAsia="Times New Roman"/>
          <w:sz w:val="24"/>
          <w:szCs w:val="24"/>
          <w:lang w:val="fr-FR"/>
        </w:rPr>
        <w:t>acquis dans le cadre du projet</w:t>
      </w:r>
    </w:p>
    <w:p w14:paraId="255CDEC8" w14:textId="0172BE35" w:rsidR="00390BFD" w:rsidRPr="00C9307C" w:rsidRDefault="00390BFD"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Transm</w:t>
      </w:r>
      <w:r w:rsidR="00034814" w:rsidRPr="00C9307C">
        <w:rPr>
          <w:rFonts w:eastAsia="Times New Roman"/>
          <w:sz w:val="24"/>
          <w:szCs w:val="24"/>
          <w:lang w:val="fr-FR"/>
        </w:rPr>
        <w:t>ettre les</w:t>
      </w:r>
      <w:r w:rsidR="000A0E1B" w:rsidRPr="00C9307C">
        <w:rPr>
          <w:rFonts w:eastAsia="Times New Roman"/>
          <w:sz w:val="24"/>
          <w:szCs w:val="24"/>
          <w:lang w:val="fr-FR"/>
        </w:rPr>
        <w:t xml:space="preserve"> d</w:t>
      </w:r>
      <w:r w:rsidRPr="00C9307C">
        <w:rPr>
          <w:rFonts w:eastAsia="Times New Roman"/>
          <w:sz w:val="24"/>
          <w:szCs w:val="24"/>
          <w:lang w:val="fr-FR"/>
        </w:rPr>
        <w:t>emande</w:t>
      </w:r>
      <w:r w:rsidR="00034814" w:rsidRPr="00C9307C">
        <w:rPr>
          <w:rFonts w:eastAsia="Times New Roman"/>
          <w:sz w:val="24"/>
          <w:szCs w:val="24"/>
          <w:lang w:val="fr-FR"/>
        </w:rPr>
        <w:t>s</w:t>
      </w:r>
      <w:r w:rsidRPr="00C9307C">
        <w:rPr>
          <w:rFonts w:eastAsia="Times New Roman"/>
          <w:sz w:val="24"/>
          <w:szCs w:val="24"/>
          <w:lang w:val="fr-FR"/>
        </w:rPr>
        <w:t xml:space="preserve"> de paiement</w:t>
      </w:r>
      <w:r w:rsidR="00810E63" w:rsidRPr="00C9307C">
        <w:rPr>
          <w:rFonts w:eastAsia="Times New Roman"/>
          <w:sz w:val="24"/>
          <w:szCs w:val="24"/>
          <w:lang w:val="fr-FR"/>
        </w:rPr>
        <w:t xml:space="preserve"> à l’UCP/MEF</w:t>
      </w:r>
      <w:r w:rsidRPr="00C9307C">
        <w:rPr>
          <w:rFonts w:eastAsia="Times New Roman"/>
          <w:sz w:val="24"/>
          <w:szCs w:val="24"/>
          <w:lang w:val="fr-FR"/>
        </w:rPr>
        <w:t xml:space="preserve"> sur </w:t>
      </w:r>
      <w:r w:rsidR="000A0E1B" w:rsidRPr="00C9307C">
        <w:rPr>
          <w:rFonts w:eastAsia="Times New Roman"/>
          <w:sz w:val="24"/>
          <w:szCs w:val="24"/>
          <w:lang w:val="fr-FR"/>
        </w:rPr>
        <w:t xml:space="preserve">la </w:t>
      </w:r>
      <w:r w:rsidRPr="00C9307C">
        <w:rPr>
          <w:rFonts w:eastAsia="Times New Roman"/>
          <w:sz w:val="24"/>
          <w:szCs w:val="24"/>
          <w:lang w:val="fr-FR"/>
        </w:rPr>
        <w:t xml:space="preserve">base </w:t>
      </w:r>
      <w:r w:rsidR="001E12E8" w:rsidRPr="00C9307C">
        <w:rPr>
          <w:rFonts w:eastAsia="Times New Roman"/>
          <w:sz w:val="24"/>
          <w:szCs w:val="24"/>
          <w:lang w:val="fr-FR"/>
        </w:rPr>
        <w:t xml:space="preserve">du </w:t>
      </w:r>
      <w:r w:rsidRPr="00C9307C">
        <w:rPr>
          <w:rFonts w:eastAsia="Times New Roman"/>
          <w:sz w:val="24"/>
          <w:szCs w:val="24"/>
          <w:lang w:val="fr-FR"/>
        </w:rPr>
        <w:t xml:space="preserve">contrat, </w:t>
      </w:r>
      <w:r w:rsidR="0046461C" w:rsidRPr="00C9307C">
        <w:rPr>
          <w:rFonts w:eastAsia="Times New Roman"/>
          <w:sz w:val="24"/>
          <w:szCs w:val="24"/>
          <w:lang w:val="fr-FR"/>
        </w:rPr>
        <w:t>incluant les</w:t>
      </w:r>
      <w:r w:rsidR="00AD074B" w:rsidRPr="00C9307C">
        <w:rPr>
          <w:rFonts w:eastAsia="Times New Roman"/>
          <w:sz w:val="24"/>
          <w:szCs w:val="24"/>
          <w:lang w:val="fr-FR"/>
        </w:rPr>
        <w:t xml:space="preserve"> livrables validés</w:t>
      </w:r>
      <w:r w:rsidR="001E12E8" w:rsidRPr="00C9307C">
        <w:rPr>
          <w:rFonts w:eastAsia="Times New Roman"/>
          <w:sz w:val="24"/>
          <w:szCs w:val="24"/>
          <w:lang w:val="fr-FR"/>
        </w:rPr>
        <w:t xml:space="preserve"> ainsi que l’évaluation du prestataire de service </w:t>
      </w:r>
    </w:p>
    <w:p w14:paraId="76DB5786" w14:textId="500EF33E" w:rsidR="00F82DD7" w:rsidRPr="00CB7973" w:rsidRDefault="003645F6"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Assurer le suivi des conditions accordées dans le cadre du financement d</w:t>
      </w:r>
      <w:r w:rsidR="00CB7973">
        <w:rPr>
          <w:rFonts w:eastAsia="Times New Roman"/>
          <w:sz w:val="24"/>
          <w:szCs w:val="24"/>
          <w:lang w:val="fr-FR"/>
        </w:rPr>
        <w:t xml:space="preserve">u programme d’incitation </w:t>
      </w:r>
      <w:proofErr w:type="gramStart"/>
      <w:r w:rsidR="00CB7973">
        <w:rPr>
          <w:rFonts w:eastAsia="Times New Roman"/>
          <w:sz w:val="24"/>
          <w:szCs w:val="24"/>
          <w:lang w:val="fr-FR"/>
        </w:rPr>
        <w:t xml:space="preserve">de </w:t>
      </w:r>
      <w:r w:rsidRPr="00CB7973">
        <w:rPr>
          <w:rFonts w:eastAsia="Times New Roman"/>
          <w:sz w:val="24"/>
          <w:szCs w:val="24"/>
          <w:lang w:val="fr-FR"/>
        </w:rPr>
        <w:t xml:space="preserve"> départ</w:t>
      </w:r>
      <w:proofErr w:type="gramEnd"/>
      <w:r w:rsidRPr="00CB7973">
        <w:rPr>
          <w:rFonts w:eastAsia="Times New Roman"/>
          <w:sz w:val="24"/>
          <w:szCs w:val="24"/>
          <w:lang w:val="fr-FR"/>
        </w:rPr>
        <w:t xml:space="preserve">  à la retraite</w:t>
      </w:r>
      <w:r w:rsidR="00AE01D3">
        <w:rPr>
          <w:rFonts w:eastAsia="Times New Roman"/>
          <w:sz w:val="24"/>
          <w:szCs w:val="24"/>
          <w:lang w:val="fr-FR"/>
        </w:rPr>
        <w:t xml:space="preserve"> des fonctionnaires</w:t>
      </w:r>
    </w:p>
    <w:p w14:paraId="57B9AAB6" w14:textId="77777777" w:rsidR="002F1102" w:rsidRPr="00C9307C" w:rsidRDefault="002F1102" w:rsidP="002F1102">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Donner son avis sur les plans de formation proposés par les entités sélectionnées</w:t>
      </w:r>
    </w:p>
    <w:p w14:paraId="08D6EBDA" w14:textId="77777777" w:rsidR="002F1102" w:rsidRPr="00C9307C" w:rsidRDefault="002F1102" w:rsidP="002F1102">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Donner son avis sur les propositions de restructurations des DRH</w:t>
      </w:r>
    </w:p>
    <w:p w14:paraId="3822B49B" w14:textId="77777777" w:rsidR="002F1102" w:rsidRPr="00C9307C" w:rsidRDefault="002F1102" w:rsidP="002F1102">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Recevoir les rapports trimestriels et semestriels des entités sélectionnées</w:t>
      </w:r>
    </w:p>
    <w:p w14:paraId="267770CE" w14:textId="77777777" w:rsidR="001E12E8" w:rsidRPr="00C9307C" w:rsidRDefault="001E12E8" w:rsidP="002665E2">
      <w:pPr>
        <w:pStyle w:val="ColorfulList-Accent11"/>
        <w:ind w:left="1260"/>
        <w:jc w:val="both"/>
        <w:rPr>
          <w:rFonts w:eastAsia="Times New Roman"/>
          <w:sz w:val="24"/>
          <w:szCs w:val="24"/>
          <w:lang w:val="fr-FR"/>
        </w:rPr>
      </w:pPr>
    </w:p>
    <w:p w14:paraId="4F2F6826" w14:textId="77777777" w:rsidR="002F73C9" w:rsidRPr="00C9307C" w:rsidRDefault="002F73C9" w:rsidP="002F73C9">
      <w:pPr>
        <w:pStyle w:val="ColorfulList-Accent11"/>
        <w:ind w:left="540"/>
        <w:jc w:val="both"/>
        <w:rPr>
          <w:rFonts w:eastAsia="Times New Roman"/>
          <w:sz w:val="24"/>
          <w:szCs w:val="24"/>
          <w:lang w:val="fr-FR"/>
        </w:rPr>
      </w:pPr>
    </w:p>
    <w:p w14:paraId="68BB676C" w14:textId="32BF7116" w:rsidR="0072626D" w:rsidRPr="00C9307C" w:rsidRDefault="00C245EF" w:rsidP="00034814">
      <w:pPr>
        <w:pStyle w:val="ColorfulList-Accent11"/>
        <w:numPr>
          <w:ilvl w:val="1"/>
          <w:numId w:val="5"/>
        </w:numPr>
        <w:jc w:val="both"/>
        <w:rPr>
          <w:rFonts w:eastAsia="Times New Roman"/>
          <w:sz w:val="24"/>
          <w:szCs w:val="24"/>
          <w:lang w:val="fr-FR"/>
        </w:rPr>
      </w:pPr>
      <w:r w:rsidRPr="00C9307C">
        <w:rPr>
          <w:rFonts w:eastAsia="Times New Roman"/>
          <w:b/>
          <w:sz w:val="24"/>
          <w:szCs w:val="24"/>
          <w:lang w:val="fr-FR"/>
        </w:rPr>
        <w:t>Composante II</w:t>
      </w:r>
      <w:r w:rsidR="002F73C9" w:rsidRPr="00C9307C">
        <w:rPr>
          <w:rFonts w:eastAsia="Times New Roman"/>
          <w:b/>
          <w:sz w:val="24"/>
          <w:szCs w:val="24"/>
          <w:lang w:val="fr-FR"/>
        </w:rPr>
        <w:t xml:space="preserve"> (MEF-</w:t>
      </w:r>
      <w:r w:rsidR="003C3DF9" w:rsidRPr="00C9307C">
        <w:rPr>
          <w:rFonts w:eastAsia="Times New Roman"/>
          <w:b/>
          <w:sz w:val="24"/>
          <w:szCs w:val="24"/>
          <w:lang w:val="fr-FR"/>
        </w:rPr>
        <w:t>O</w:t>
      </w:r>
      <w:r w:rsidR="002F73C9" w:rsidRPr="00C9307C">
        <w:rPr>
          <w:rFonts w:eastAsia="Times New Roman"/>
          <w:b/>
          <w:sz w:val="24"/>
          <w:szCs w:val="24"/>
          <w:lang w:val="fr-FR"/>
        </w:rPr>
        <w:t>E-C-2)</w:t>
      </w:r>
      <w:r w:rsidRPr="00C9307C">
        <w:rPr>
          <w:rFonts w:eastAsia="Times New Roman"/>
          <w:sz w:val="24"/>
          <w:szCs w:val="24"/>
          <w:lang w:val="fr-FR"/>
        </w:rPr>
        <w:t xml:space="preserve">. </w:t>
      </w:r>
      <w:r w:rsidR="0072626D" w:rsidRPr="00C9307C">
        <w:rPr>
          <w:rFonts w:eastAsia="Times New Roman"/>
          <w:sz w:val="24"/>
          <w:szCs w:val="24"/>
          <w:lang w:val="fr-FR"/>
        </w:rPr>
        <w:t>Pour la Composante II</w:t>
      </w:r>
      <w:r w:rsidR="002F73C9" w:rsidRPr="00C9307C">
        <w:rPr>
          <w:rFonts w:eastAsia="Times New Roman"/>
          <w:sz w:val="24"/>
          <w:szCs w:val="24"/>
          <w:lang w:val="fr-FR"/>
        </w:rPr>
        <w:t xml:space="preserve"> dont le MEF est </w:t>
      </w:r>
      <w:r w:rsidR="0046461C" w:rsidRPr="00C9307C">
        <w:rPr>
          <w:rFonts w:eastAsia="Times New Roman"/>
          <w:sz w:val="24"/>
          <w:szCs w:val="24"/>
          <w:lang w:val="fr-FR"/>
        </w:rPr>
        <w:t>co-responsable. Les</w:t>
      </w:r>
      <w:r w:rsidR="0072626D" w:rsidRPr="00C9307C">
        <w:rPr>
          <w:rFonts w:eastAsia="Times New Roman"/>
          <w:sz w:val="24"/>
          <w:szCs w:val="24"/>
          <w:lang w:val="fr-FR"/>
        </w:rPr>
        <w:t xml:space="preserve"> fonctions essentielles d</w:t>
      </w:r>
      <w:r w:rsidR="00AF40E9" w:rsidRPr="00C9307C">
        <w:rPr>
          <w:rFonts w:eastAsia="Times New Roman"/>
          <w:sz w:val="24"/>
          <w:szCs w:val="24"/>
          <w:lang w:val="fr-FR"/>
        </w:rPr>
        <w:t xml:space="preserve">u </w:t>
      </w:r>
      <w:r w:rsidR="0072626D" w:rsidRPr="00C9307C">
        <w:rPr>
          <w:rFonts w:eastAsia="Times New Roman"/>
          <w:sz w:val="24"/>
          <w:szCs w:val="24"/>
          <w:lang w:val="fr-FR"/>
        </w:rPr>
        <w:t>MEF en tant qu’exécutant de l</w:t>
      </w:r>
      <w:r w:rsidR="007E674C" w:rsidRPr="00C9307C">
        <w:rPr>
          <w:rFonts w:eastAsia="Times New Roman"/>
          <w:sz w:val="24"/>
          <w:szCs w:val="24"/>
          <w:lang w:val="fr-FR"/>
        </w:rPr>
        <w:t>a composante II</w:t>
      </w:r>
      <w:r w:rsidR="0072626D" w:rsidRPr="00C9307C">
        <w:rPr>
          <w:rFonts w:eastAsia="Times New Roman"/>
          <w:sz w:val="24"/>
          <w:szCs w:val="24"/>
          <w:lang w:val="fr-FR"/>
        </w:rPr>
        <w:t xml:space="preserve"> sont :</w:t>
      </w:r>
    </w:p>
    <w:p w14:paraId="787B9078" w14:textId="26FD3F3A" w:rsidR="006F1C24" w:rsidRPr="00C9307C" w:rsidRDefault="00EA5608" w:rsidP="00AD6CD3">
      <w:pPr>
        <w:pStyle w:val="ColorfulList-Accent11"/>
        <w:numPr>
          <w:ilvl w:val="0"/>
          <w:numId w:val="22"/>
        </w:numPr>
        <w:jc w:val="both"/>
        <w:rPr>
          <w:rFonts w:eastAsia="Times New Roman"/>
          <w:sz w:val="24"/>
          <w:szCs w:val="24"/>
          <w:lang w:val="fr-FR"/>
        </w:rPr>
      </w:pPr>
      <w:r w:rsidRPr="00C9307C">
        <w:rPr>
          <w:rFonts w:eastAsia="Times New Roman"/>
          <w:sz w:val="24"/>
          <w:szCs w:val="24"/>
          <w:lang w:val="fr-FR"/>
        </w:rPr>
        <w:t>Assurer la s</w:t>
      </w:r>
      <w:r w:rsidR="006F1C24" w:rsidRPr="00C9307C">
        <w:rPr>
          <w:rFonts w:eastAsia="Times New Roman"/>
          <w:sz w:val="24"/>
          <w:szCs w:val="24"/>
          <w:lang w:val="fr-FR"/>
        </w:rPr>
        <w:t xml:space="preserve">élection </w:t>
      </w:r>
      <w:r w:rsidR="00AC24C3" w:rsidRPr="006603E9">
        <w:rPr>
          <w:rFonts w:eastAsia="Times New Roman"/>
          <w:sz w:val="24"/>
          <w:szCs w:val="24"/>
          <w:lang w:val="fr-FR"/>
        </w:rPr>
        <w:t>d’un Responsable</w:t>
      </w:r>
      <w:r w:rsidR="00A744E3" w:rsidRPr="006603E9">
        <w:rPr>
          <w:rFonts w:eastAsia="Times New Roman"/>
          <w:sz w:val="24"/>
          <w:szCs w:val="24"/>
          <w:lang w:val="fr-FR"/>
        </w:rPr>
        <w:t xml:space="preserve"> </w:t>
      </w:r>
      <w:r w:rsidR="006F1C24" w:rsidRPr="006603E9">
        <w:rPr>
          <w:rFonts w:eastAsia="Times New Roman"/>
          <w:sz w:val="24"/>
          <w:szCs w:val="24"/>
          <w:lang w:val="fr-FR"/>
        </w:rPr>
        <w:t xml:space="preserve">de </w:t>
      </w:r>
      <w:r w:rsidR="00AC24C3" w:rsidRPr="006603E9">
        <w:rPr>
          <w:rFonts w:eastAsia="Times New Roman"/>
          <w:sz w:val="24"/>
          <w:szCs w:val="24"/>
          <w:lang w:val="fr-FR"/>
        </w:rPr>
        <w:t>projet </w:t>
      </w:r>
      <w:r w:rsidR="00AC24C3" w:rsidRPr="00C9307C">
        <w:rPr>
          <w:rFonts w:eastAsia="Times New Roman"/>
          <w:sz w:val="24"/>
          <w:szCs w:val="24"/>
          <w:lang w:val="fr-FR"/>
        </w:rPr>
        <w:t>au</w:t>
      </w:r>
      <w:r w:rsidR="006F1C24" w:rsidRPr="00C9307C">
        <w:rPr>
          <w:rFonts w:eastAsia="Times New Roman"/>
          <w:sz w:val="24"/>
          <w:szCs w:val="24"/>
          <w:lang w:val="fr-FR"/>
        </w:rPr>
        <w:t xml:space="preserve"> sein du MEF</w:t>
      </w:r>
    </w:p>
    <w:p w14:paraId="4EE07B6D" w14:textId="6FFB2CF6" w:rsidR="00257B6D" w:rsidRPr="00C9307C" w:rsidRDefault="00EA5608" w:rsidP="00B24611">
      <w:pPr>
        <w:pStyle w:val="ColorfulList-Accent11"/>
        <w:numPr>
          <w:ilvl w:val="0"/>
          <w:numId w:val="22"/>
        </w:numPr>
        <w:jc w:val="both"/>
        <w:rPr>
          <w:rFonts w:eastAsia="Times New Roman"/>
          <w:sz w:val="24"/>
          <w:szCs w:val="24"/>
          <w:lang w:val="fr-FR"/>
        </w:rPr>
      </w:pPr>
      <w:r w:rsidRPr="00C9307C">
        <w:rPr>
          <w:sz w:val="24"/>
          <w:szCs w:val="24"/>
          <w:lang w:val="fr-FR"/>
        </w:rPr>
        <w:t>Mettre</w:t>
      </w:r>
      <w:r w:rsidR="00B24611" w:rsidRPr="00C9307C">
        <w:rPr>
          <w:sz w:val="24"/>
          <w:szCs w:val="24"/>
          <w:lang w:val="fr-FR"/>
        </w:rPr>
        <w:t xml:space="preserve"> en œuvre </w:t>
      </w:r>
      <w:r w:rsidRPr="00C9307C">
        <w:rPr>
          <w:sz w:val="24"/>
          <w:szCs w:val="24"/>
          <w:lang w:val="fr-FR"/>
        </w:rPr>
        <w:t>le</w:t>
      </w:r>
      <w:r w:rsidR="00A744E3" w:rsidRPr="00C9307C">
        <w:rPr>
          <w:sz w:val="24"/>
          <w:szCs w:val="24"/>
          <w:lang w:val="fr-FR"/>
        </w:rPr>
        <w:t xml:space="preserve"> </w:t>
      </w:r>
      <w:r w:rsidR="00B24611" w:rsidRPr="00C9307C">
        <w:rPr>
          <w:rFonts w:eastAsia="Times New Roman" w:cs="Calibri"/>
          <w:bCs/>
          <w:color w:val="000000"/>
          <w:lang w:val="fr-FR"/>
        </w:rPr>
        <w:t>Système intégré de Gestion des Ressources Humaines (SIGRH) incluant des modules de gestion des salaires et des pensions. A cette fin, l</w:t>
      </w:r>
      <w:r w:rsidR="00257B6D" w:rsidRPr="00C9307C">
        <w:rPr>
          <w:rFonts w:eastAsia="Times New Roman"/>
          <w:sz w:val="24"/>
          <w:szCs w:val="24"/>
          <w:lang w:val="fr-FR"/>
        </w:rPr>
        <w:t xml:space="preserve">’UCP complétera </w:t>
      </w:r>
      <w:r w:rsidR="008A0540" w:rsidRPr="00C9307C">
        <w:rPr>
          <w:rFonts w:eastAsia="Times New Roman"/>
          <w:sz w:val="24"/>
          <w:szCs w:val="24"/>
          <w:lang w:val="fr-FR"/>
        </w:rPr>
        <w:t>l’Equipe</w:t>
      </w:r>
      <w:r w:rsidR="00257B6D" w:rsidRPr="00C9307C">
        <w:rPr>
          <w:rFonts w:eastAsia="Times New Roman"/>
          <w:sz w:val="24"/>
          <w:szCs w:val="24"/>
          <w:lang w:val="fr-FR"/>
        </w:rPr>
        <w:t xml:space="preserve"> de projet SIGRH par la confirmation avec le MEF des représentants de la Solde, de la Pension </w:t>
      </w:r>
      <w:r w:rsidR="00B24611" w:rsidRPr="00C9307C">
        <w:rPr>
          <w:rFonts w:eastAsia="Times New Roman"/>
          <w:sz w:val="24"/>
          <w:szCs w:val="24"/>
          <w:lang w:val="fr-FR"/>
        </w:rPr>
        <w:t xml:space="preserve">Civile, </w:t>
      </w:r>
      <w:r w:rsidR="006D3528">
        <w:rPr>
          <w:rFonts w:eastAsia="Times New Roman"/>
          <w:sz w:val="24"/>
          <w:szCs w:val="24"/>
          <w:lang w:val="fr-FR"/>
        </w:rPr>
        <w:t xml:space="preserve">et </w:t>
      </w:r>
      <w:r w:rsidR="00B24611" w:rsidRPr="00C9307C">
        <w:rPr>
          <w:rFonts w:eastAsia="Times New Roman"/>
          <w:sz w:val="24"/>
          <w:szCs w:val="24"/>
          <w:lang w:val="fr-FR"/>
        </w:rPr>
        <w:t>de</w:t>
      </w:r>
      <w:r w:rsidR="00257B6D" w:rsidRPr="00C9307C">
        <w:rPr>
          <w:rFonts w:eastAsia="Times New Roman"/>
          <w:sz w:val="24"/>
          <w:szCs w:val="24"/>
          <w:lang w:val="fr-FR"/>
        </w:rPr>
        <w:t xml:space="preserve"> la DSI </w:t>
      </w:r>
    </w:p>
    <w:p w14:paraId="14EBF4B1" w14:textId="77777777" w:rsidR="008A0540" w:rsidRPr="00C9307C" w:rsidRDefault="00EA5608" w:rsidP="00AD6CD3">
      <w:pPr>
        <w:pStyle w:val="ColorfulList-Accent11"/>
        <w:numPr>
          <w:ilvl w:val="0"/>
          <w:numId w:val="22"/>
        </w:numPr>
        <w:jc w:val="both"/>
        <w:rPr>
          <w:rFonts w:eastAsia="Times New Roman"/>
          <w:sz w:val="24"/>
          <w:szCs w:val="24"/>
          <w:lang w:val="fr-FR"/>
        </w:rPr>
      </w:pPr>
      <w:r w:rsidRPr="00C9307C">
        <w:rPr>
          <w:rFonts w:eastAsia="Times New Roman"/>
          <w:sz w:val="24"/>
          <w:szCs w:val="24"/>
          <w:lang w:val="fr-FR"/>
        </w:rPr>
        <w:lastRenderedPageBreak/>
        <w:t xml:space="preserve"> De s</w:t>
      </w:r>
      <w:r w:rsidR="008A0540" w:rsidRPr="00C9307C">
        <w:rPr>
          <w:rFonts w:eastAsia="Times New Roman"/>
          <w:sz w:val="24"/>
          <w:szCs w:val="24"/>
          <w:lang w:val="fr-FR"/>
        </w:rPr>
        <w:t xml:space="preserve">’assurer de la mise en place de l’AMOA, de la préparation </w:t>
      </w:r>
      <w:r w:rsidRPr="00C9307C">
        <w:rPr>
          <w:rFonts w:eastAsia="Times New Roman"/>
          <w:sz w:val="24"/>
          <w:szCs w:val="24"/>
          <w:lang w:val="fr-FR"/>
        </w:rPr>
        <w:t xml:space="preserve">et de la validation </w:t>
      </w:r>
      <w:r w:rsidR="008A0540" w:rsidRPr="00C9307C">
        <w:rPr>
          <w:rFonts w:eastAsia="Times New Roman"/>
          <w:sz w:val="24"/>
          <w:szCs w:val="24"/>
          <w:lang w:val="fr-FR"/>
        </w:rPr>
        <w:t>du Cahier des Charges et du DAO</w:t>
      </w:r>
    </w:p>
    <w:p w14:paraId="3B16F9F3" w14:textId="77777777" w:rsidR="008A0540" w:rsidRPr="00C9307C" w:rsidRDefault="00EA5608" w:rsidP="00AD6CD3">
      <w:pPr>
        <w:pStyle w:val="ColorfulList-Accent11"/>
        <w:numPr>
          <w:ilvl w:val="0"/>
          <w:numId w:val="22"/>
        </w:numPr>
        <w:jc w:val="both"/>
        <w:rPr>
          <w:rFonts w:eastAsia="Times New Roman"/>
          <w:sz w:val="24"/>
          <w:szCs w:val="24"/>
          <w:lang w:val="fr-FR"/>
        </w:rPr>
      </w:pPr>
      <w:r w:rsidRPr="00C9307C">
        <w:rPr>
          <w:rFonts w:eastAsia="Times New Roman"/>
          <w:sz w:val="24"/>
          <w:szCs w:val="24"/>
          <w:lang w:val="fr-FR"/>
        </w:rPr>
        <w:t>De s’a</w:t>
      </w:r>
      <w:r w:rsidR="008A0540" w:rsidRPr="00C9307C">
        <w:rPr>
          <w:rFonts w:eastAsia="Times New Roman"/>
          <w:sz w:val="24"/>
          <w:szCs w:val="24"/>
          <w:lang w:val="fr-FR"/>
        </w:rPr>
        <w:t xml:space="preserve">ssurer </w:t>
      </w:r>
      <w:r w:rsidRPr="00C9307C">
        <w:rPr>
          <w:rFonts w:eastAsia="Times New Roman"/>
          <w:sz w:val="24"/>
          <w:szCs w:val="24"/>
          <w:lang w:val="fr-FR"/>
        </w:rPr>
        <w:t>du r</w:t>
      </w:r>
      <w:r w:rsidR="008A0540" w:rsidRPr="00C9307C">
        <w:rPr>
          <w:rFonts w:eastAsia="Times New Roman"/>
          <w:sz w:val="24"/>
          <w:szCs w:val="24"/>
          <w:lang w:val="fr-FR"/>
        </w:rPr>
        <w:t>ecrutement de l’Intégrateur et</w:t>
      </w:r>
      <w:r w:rsidRPr="00C9307C">
        <w:rPr>
          <w:rFonts w:eastAsia="Times New Roman"/>
          <w:sz w:val="24"/>
          <w:szCs w:val="24"/>
          <w:lang w:val="fr-FR"/>
        </w:rPr>
        <w:t xml:space="preserve"> de </w:t>
      </w:r>
      <w:r w:rsidR="008A0540" w:rsidRPr="00C9307C">
        <w:rPr>
          <w:rFonts w:eastAsia="Times New Roman"/>
          <w:sz w:val="24"/>
          <w:szCs w:val="24"/>
          <w:lang w:val="fr-FR"/>
        </w:rPr>
        <w:t>coordonner les missions assignées à l’</w:t>
      </w:r>
      <w:r w:rsidRPr="00C9307C">
        <w:rPr>
          <w:rFonts w:eastAsia="Times New Roman"/>
          <w:sz w:val="24"/>
          <w:szCs w:val="24"/>
          <w:lang w:val="fr-FR"/>
        </w:rPr>
        <w:t>Intégrateur</w:t>
      </w:r>
      <w:r w:rsidR="008A0540" w:rsidRPr="00C9307C">
        <w:rPr>
          <w:rFonts w:eastAsia="Times New Roman"/>
          <w:sz w:val="24"/>
          <w:szCs w:val="24"/>
          <w:lang w:val="fr-FR"/>
        </w:rPr>
        <w:t>.</w:t>
      </w:r>
    </w:p>
    <w:p w14:paraId="7B7FBC56" w14:textId="68966C56" w:rsidR="00E21315" w:rsidRPr="00C9307C" w:rsidRDefault="00EA5608" w:rsidP="00AD6CD3">
      <w:pPr>
        <w:pStyle w:val="ColorfulList-Accent11"/>
        <w:numPr>
          <w:ilvl w:val="0"/>
          <w:numId w:val="22"/>
        </w:numPr>
        <w:jc w:val="both"/>
        <w:rPr>
          <w:rFonts w:eastAsia="Times New Roman"/>
          <w:sz w:val="24"/>
          <w:szCs w:val="24"/>
          <w:lang w:val="fr-FR"/>
        </w:rPr>
      </w:pPr>
      <w:r w:rsidRPr="00C9307C">
        <w:rPr>
          <w:rFonts w:eastAsia="Times New Roman"/>
          <w:sz w:val="24"/>
          <w:szCs w:val="24"/>
          <w:lang w:val="fr-FR"/>
        </w:rPr>
        <w:t>D’</w:t>
      </w:r>
      <w:r w:rsidR="00FA4A26" w:rsidRPr="00C9307C">
        <w:rPr>
          <w:rFonts w:eastAsia="Times New Roman"/>
          <w:sz w:val="24"/>
          <w:szCs w:val="24"/>
          <w:lang w:val="fr-FR"/>
        </w:rPr>
        <w:t>entretenir</w:t>
      </w:r>
      <w:r w:rsidR="002D188D" w:rsidRPr="00C9307C">
        <w:rPr>
          <w:rFonts w:eastAsia="Times New Roman"/>
          <w:sz w:val="24"/>
          <w:szCs w:val="24"/>
          <w:lang w:val="fr-FR"/>
        </w:rPr>
        <w:t xml:space="preserve"> </w:t>
      </w:r>
      <w:r w:rsidR="00403503" w:rsidRPr="00C9307C">
        <w:rPr>
          <w:rFonts w:eastAsia="Times New Roman"/>
          <w:sz w:val="24"/>
          <w:szCs w:val="24"/>
          <w:lang w:val="fr-FR"/>
        </w:rPr>
        <w:t>l</w:t>
      </w:r>
      <w:r w:rsidR="00E21315" w:rsidRPr="00C9307C">
        <w:rPr>
          <w:rFonts w:eastAsia="Times New Roman"/>
          <w:sz w:val="24"/>
          <w:szCs w:val="24"/>
          <w:lang w:val="fr-FR"/>
        </w:rPr>
        <w:t xml:space="preserve">es </w:t>
      </w:r>
      <w:r w:rsidR="001B0B69" w:rsidRPr="00C9307C">
        <w:rPr>
          <w:rFonts w:eastAsia="Times New Roman"/>
          <w:sz w:val="24"/>
          <w:szCs w:val="24"/>
          <w:lang w:val="fr-FR"/>
        </w:rPr>
        <w:t>systèmes</w:t>
      </w:r>
      <w:r w:rsidR="00E21315" w:rsidRPr="00C9307C">
        <w:rPr>
          <w:rFonts w:eastAsia="Times New Roman"/>
          <w:sz w:val="24"/>
          <w:szCs w:val="24"/>
          <w:lang w:val="fr-FR"/>
        </w:rPr>
        <w:t xml:space="preserve"> acquis</w:t>
      </w:r>
    </w:p>
    <w:p w14:paraId="6E692002" w14:textId="186A15B2" w:rsidR="001B0B69" w:rsidRPr="00C9307C" w:rsidRDefault="00EA5608" w:rsidP="00AD6CD3">
      <w:pPr>
        <w:pStyle w:val="ColorfulList-Accent11"/>
        <w:numPr>
          <w:ilvl w:val="0"/>
          <w:numId w:val="22"/>
        </w:numPr>
        <w:jc w:val="both"/>
        <w:rPr>
          <w:rFonts w:eastAsia="Times New Roman"/>
          <w:sz w:val="24"/>
          <w:szCs w:val="24"/>
          <w:lang w:val="fr-FR"/>
        </w:rPr>
      </w:pPr>
      <w:r w:rsidRPr="00C9307C">
        <w:rPr>
          <w:rFonts w:eastAsia="Times New Roman"/>
          <w:sz w:val="24"/>
          <w:szCs w:val="24"/>
          <w:lang w:val="fr-FR"/>
        </w:rPr>
        <w:t>De s</w:t>
      </w:r>
      <w:r w:rsidR="008A0540" w:rsidRPr="00C9307C">
        <w:rPr>
          <w:rFonts w:eastAsia="Times New Roman"/>
          <w:sz w:val="24"/>
          <w:szCs w:val="24"/>
          <w:lang w:val="fr-FR"/>
        </w:rPr>
        <w:t xml:space="preserve">’assurer </w:t>
      </w:r>
      <w:r w:rsidR="001B0B69" w:rsidRPr="00C9307C">
        <w:rPr>
          <w:rFonts w:eastAsia="Times New Roman"/>
          <w:sz w:val="24"/>
          <w:szCs w:val="24"/>
          <w:lang w:val="fr-FR"/>
        </w:rPr>
        <w:t>de la mise en œuvre du système de recensement biométrique</w:t>
      </w:r>
      <w:r w:rsidR="00B24611" w:rsidRPr="00C9307C">
        <w:rPr>
          <w:rFonts w:eastAsia="Times New Roman"/>
          <w:sz w:val="24"/>
          <w:szCs w:val="24"/>
          <w:lang w:val="fr-FR"/>
        </w:rPr>
        <w:t xml:space="preserve"> par notamment : l</w:t>
      </w:r>
      <w:r w:rsidR="00B24611" w:rsidRPr="00C9307C">
        <w:rPr>
          <w:rFonts w:eastAsia="Times New Roman" w:cs="Calibri"/>
          <w:bCs/>
          <w:color w:val="000000"/>
          <w:lang w:val="fr-FR"/>
        </w:rPr>
        <w:t>a conception et la mise en place d’un</w:t>
      </w:r>
      <w:r w:rsidR="002631DC" w:rsidRPr="00C9307C">
        <w:rPr>
          <w:rFonts w:eastAsia="Times New Roman" w:cs="Calibri"/>
          <w:bCs/>
          <w:color w:val="000000"/>
          <w:lang w:val="fr-FR"/>
        </w:rPr>
        <w:t xml:space="preserve"> </w:t>
      </w:r>
      <w:r w:rsidR="00B24611" w:rsidRPr="00C9307C">
        <w:rPr>
          <w:rFonts w:eastAsia="Times New Roman" w:cs="Calibri"/>
          <w:bCs/>
          <w:color w:val="000000"/>
          <w:lang w:val="fr-FR"/>
        </w:rPr>
        <w:t>Registre Biométrique obligatoire des fonctionnaires et contractuels publics pour l’identification et l’épuration des bases de données sur les fonctionnaires et contractuels</w:t>
      </w:r>
    </w:p>
    <w:p w14:paraId="51FDD4CD" w14:textId="7AD7BF50" w:rsidR="00B24611" w:rsidRPr="00C9307C" w:rsidRDefault="00EA5608" w:rsidP="00AD6CD3">
      <w:pPr>
        <w:pStyle w:val="ColorfulList-Accent11"/>
        <w:numPr>
          <w:ilvl w:val="0"/>
          <w:numId w:val="22"/>
        </w:numPr>
        <w:jc w:val="both"/>
        <w:rPr>
          <w:rFonts w:eastAsia="Times New Roman"/>
          <w:sz w:val="24"/>
          <w:szCs w:val="24"/>
          <w:lang w:val="fr-FR"/>
        </w:rPr>
      </w:pPr>
      <w:r w:rsidRPr="00C9307C">
        <w:rPr>
          <w:rFonts w:eastAsia="Times New Roman" w:cs="Calibri"/>
          <w:bCs/>
          <w:color w:val="000000"/>
          <w:lang w:val="fr-FR"/>
        </w:rPr>
        <w:t xml:space="preserve">De promouvoir </w:t>
      </w:r>
      <w:r w:rsidR="00B24611" w:rsidRPr="00C9307C">
        <w:rPr>
          <w:rFonts w:eastAsia="Times New Roman" w:cs="Calibri"/>
          <w:bCs/>
          <w:color w:val="000000"/>
          <w:lang w:val="fr-FR"/>
        </w:rPr>
        <w:t>la réingénierie des processus budgétaires pour les paiements faits par le Trésor Public</w:t>
      </w:r>
      <w:r w:rsidR="00530C3C" w:rsidRPr="00C9307C">
        <w:rPr>
          <w:rFonts w:eastAsia="Times New Roman" w:cs="Calibri"/>
          <w:bCs/>
          <w:color w:val="000000"/>
          <w:lang w:val="fr-FR"/>
        </w:rPr>
        <w:t xml:space="preserve"> et la DGB.</w:t>
      </w:r>
    </w:p>
    <w:p w14:paraId="11D9A1DB" w14:textId="77777777" w:rsidR="00B24611" w:rsidRPr="00C9307C" w:rsidRDefault="00CC0149" w:rsidP="00B24611">
      <w:pPr>
        <w:pStyle w:val="ColorfulList-Accent11"/>
        <w:numPr>
          <w:ilvl w:val="0"/>
          <w:numId w:val="22"/>
        </w:numPr>
        <w:jc w:val="both"/>
        <w:rPr>
          <w:rFonts w:eastAsia="Times New Roman" w:cs="Calibri"/>
          <w:bCs/>
          <w:color w:val="000000"/>
          <w:lang w:val="fr-FR"/>
        </w:rPr>
      </w:pPr>
      <w:r w:rsidRPr="00C9307C">
        <w:rPr>
          <w:rFonts w:eastAsia="Times New Roman" w:cs="Calibri"/>
          <w:bCs/>
          <w:color w:val="000000"/>
          <w:lang w:val="fr-FR"/>
        </w:rPr>
        <w:t>D’a</w:t>
      </w:r>
      <w:r w:rsidR="00B24611" w:rsidRPr="00C9307C">
        <w:rPr>
          <w:rFonts w:eastAsia="Times New Roman" w:cs="Calibri"/>
          <w:bCs/>
          <w:color w:val="000000"/>
          <w:lang w:val="fr-FR"/>
        </w:rPr>
        <w:t>cquérir l’équipement pour la connexion interministérielle et la sécurité des données informatiques de la Direction des Systèmes d’Information (DSI)du MEF ;</w:t>
      </w:r>
    </w:p>
    <w:p w14:paraId="6522F8D1" w14:textId="77777777" w:rsidR="00B24611" w:rsidRPr="00C9307C" w:rsidRDefault="00CC0149" w:rsidP="00B24611">
      <w:pPr>
        <w:pStyle w:val="ColorfulList-Accent11"/>
        <w:numPr>
          <w:ilvl w:val="0"/>
          <w:numId w:val="22"/>
        </w:numPr>
        <w:jc w:val="both"/>
        <w:rPr>
          <w:rFonts w:eastAsia="Times New Roman" w:cs="Calibri"/>
          <w:bCs/>
          <w:color w:val="000000"/>
          <w:lang w:val="fr-FR"/>
        </w:rPr>
      </w:pPr>
      <w:r w:rsidRPr="00C9307C">
        <w:rPr>
          <w:rFonts w:eastAsia="Times New Roman" w:cs="Calibri"/>
          <w:bCs/>
          <w:color w:val="000000"/>
          <w:lang w:val="fr-FR"/>
        </w:rPr>
        <w:t>De p</w:t>
      </w:r>
      <w:r w:rsidR="00B24611" w:rsidRPr="00C9307C">
        <w:rPr>
          <w:rFonts w:eastAsia="Times New Roman" w:cs="Calibri"/>
          <w:bCs/>
          <w:color w:val="000000"/>
          <w:lang w:val="fr-FR"/>
        </w:rPr>
        <w:t xml:space="preserve">romouvoir la réalisation d’ateliers de formation </w:t>
      </w:r>
      <w:r w:rsidRPr="00C9307C">
        <w:rPr>
          <w:rFonts w:eastAsia="Times New Roman" w:cs="Calibri"/>
          <w:bCs/>
          <w:color w:val="000000"/>
          <w:lang w:val="fr-FR"/>
        </w:rPr>
        <w:t>en vue d’</w:t>
      </w:r>
      <w:r w:rsidR="00B24611" w:rsidRPr="00C9307C">
        <w:rPr>
          <w:rFonts w:eastAsia="Times New Roman" w:cs="Calibri"/>
          <w:bCs/>
          <w:color w:val="000000"/>
          <w:lang w:val="fr-FR"/>
        </w:rPr>
        <w:t>assurer le développement continu des compétences en informatique</w:t>
      </w:r>
      <w:r w:rsidRPr="00C9307C">
        <w:rPr>
          <w:rFonts w:eastAsia="Times New Roman" w:cs="Calibri"/>
          <w:bCs/>
          <w:color w:val="000000"/>
          <w:lang w:val="fr-FR"/>
        </w:rPr>
        <w:t xml:space="preserve"> au bénéfice du SIGRH et du Registre </w:t>
      </w:r>
      <w:r w:rsidR="00FA4A26" w:rsidRPr="00C9307C">
        <w:rPr>
          <w:rFonts w:eastAsia="Times New Roman" w:cs="Calibri"/>
          <w:bCs/>
          <w:color w:val="000000"/>
          <w:lang w:val="fr-FR"/>
        </w:rPr>
        <w:t>Biométrique</w:t>
      </w:r>
      <w:r w:rsidR="00B24611" w:rsidRPr="00C9307C">
        <w:rPr>
          <w:rFonts w:eastAsia="Times New Roman" w:cs="Calibri"/>
          <w:bCs/>
          <w:color w:val="000000"/>
          <w:lang w:val="fr-FR"/>
        </w:rPr>
        <w:t xml:space="preserve">, </w:t>
      </w:r>
      <w:proofErr w:type="spellStart"/>
      <w:proofErr w:type="gramStart"/>
      <w:r w:rsidR="00B24611" w:rsidRPr="00C9307C">
        <w:rPr>
          <w:rFonts w:eastAsia="Times New Roman" w:cs="Calibri"/>
          <w:bCs/>
          <w:color w:val="000000"/>
          <w:lang w:val="fr-FR"/>
        </w:rPr>
        <w:t>etc</w:t>
      </w:r>
      <w:proofErr w:type="spellEnd"/>
      <w:r w:rsidR="00B24611" w:rsidRPr="00C9307C">
        <w:rPr>
          <w:rFonts w:eastAsia="Times New Roman" w:cs="Calibri"/>
          <w:bCs/>
          <w:color w:val="000000"/>
          <w:lang w:val="fr-FR"/>
        </w:rPr>
        <w:t>;</w:t>
      </w:r>
      <w:proofErr w:type="gramEnd"/>
    </w:p>
    <w:p w14:paraId="09B054DA" w14:textId="41D363F0" w:rsidR="00EA5608" w:rsidRPr="00C9307C" w:rsidRDefault="00CC0149" w:rsidP="00B24611">
      <w:pPr>
        <w:pStyle w:val="ColorfulList-Accent11"/>
        <w:numPr>
          <w:ilvl w:val="0"/>
          <w:numId w:val="22"/>
        </w:numPr>
        <w:jc w:val="both"/>
        <w:rPr>
          <w:rFonts w:eastAsia="Times New Roman" w:cs="Calibri"/>
          <w:bCs/>
          <w:color w:val="000000"/>
          <w:lang w:val="fr-FR"/>
        </w:rPr>
      </w:pPr>
      <w:r w:rsidRPr="00C9307C">
        <w:rPr>
          <w:rFonts w:eastAsia="Times New Roman" w:cs="Calibri"/>
          <w:bCs/>
          <w:color w:val="000000"/>
          <w:lang w:val="fr-FR"/>
        </w:rPr>
        <w:t xml:space="preserve">De </w:t>
      </w:r>
      <w:r w:rsidR="00EA5608" w:rsidRPr="00C9307C">
        <w:rPr>
          <w:rFonts w:eastAsia="Times New Roman" w:cs="Calibri"/>
          <w:bCs/>
          <w:color w:val="000000"/>
          <w:lang w:val="fr-FR"/>
        </w:rPr>
        <w:t>renforce</w:t>
      </w:r>
      <w:r w:rsidRPr="00C9307C">
        <w:rPr>
          <w:rFonts w:eastAsia="Times New Roman" w:cs="Calibri"/>
          <w:bCs/>
          <w:color w:val="000000"/>
          <w:lang w:val="fr-FR"/>
        </w:rPr>
        <w:t>r</w:t>
      </w:r>
      <w:r w:rsidR="00530C3C" w:rsidRPr="00C9307C">
        <w:rPr>
          <w:rFonts w:eastAsia="Times New Roman" w:cs="Calibri"/>
          <w:bCs/>
          <w:color w:val="000000"/>
          <w:lang w:val="fr-FR"/>
        </w:rPr>
        <w:t xml:space="preserve"> </w:t>
      </w:r>
      <w:r w:rsidRPr="00C9307C">
        <w:rPr>
          <w:rFonts w:eastAsia="Times New Roman" w:cs="Calibri"/>
          <w:bCs/>
          <w:color w:val="000000"/>
          <w:lang w:val="fr-FR"/>
        </w:rPr>
        <w:t>l</w:t>
      </w:r>
      <w:r w:rsidR="00EA5608" w:rsidRPr="00C9307C">
        <w:rPr>
          <w:rFonts w:eastAsia="Times New Roman" w:cs="Calibri"/>
          <w:bCs/>
          <w:color w:val="000000"/>
          <w:lang w:val="fr-FR"/>
        </w:rPr>
        <w:t>es capacités techniques des DSI du MEF et de l’OMRH ;</w:t>
      </w:r>
    </w:p>
    <w:p w14:paraId="4CB3EA63" w14:textId="77777777" w:rsidR="00CC0149" w:rsidRPr="00C9307C" w:rsidRDefault="00CC0149" w:rsidP="00B24611">
      <w:pPr>
        <w:pStyle w:val="ColorfulList-Accent11"/>
        <w:numPr>
          <w:ilvl w:val="0"/>
          <w:numId w:val="22"/>
        </w:numPr>
        <w:jc w:val="both"/>
        <w:rPr>
          <w:rFonts w:eastAsia="Times New Roman" w:cs="Calibri"/>
          <w:bCs/>
          <w:color w:val="000000"/>
          <w:lang w:val="fr-FR"/>
        </w:rPr>
      </w:pPr>
      <w:bookmarkStart w:id="35" w:name="_Hlk532463505"/>
      <w:r w:rsidRPr="006603E9">
        <w:rPr>
          <w:rFonts w:eastAsia="Times New Roman" w:cs="Calibri"/>
          <w:bCs/>
          <w:color w:val="000000"/>
          <w:lang w:val="fr-FR"/>
        </w:rPr>
        <w:t>De s’assurer du support financier à apporter à l’Equipe de projet SIGFIP du MEF.</w:t>
      </w:r>
    </w:p>
    <w:bookmarkEnd w:id="35"/>
    <w:p w14:paraId="2D33C4D6" w14:textId="77777777" w:rsidR="00926990" w:rsidRPr="00C9307C" w:rsidRDefault="00926990" w:rsidP="00AA5024">
      <w:pPr>
        <w:pStyle w:val="ColorfulList-Accent11"/>
        <w:jc w:val="both"/>
        <w:rPr>
          <w:rFonts w:eastAsia="Times New Roman"/>
          <w:sz w:val="24"/>
          <w:szCs w:val="24"/>
          <w:lang w:val="fr-FR"/>
        </w:rPr>
      </w:pPr>
    </w:p>
    <w:p w14:paraId="36131CA9" w14:textId="77777777" w:rsidR="00420F7F" w:rsidRPr="00C9307C" w:rsidRDefault="00420F7F" w:rsidP="002665E2">
      <w:pPr>
        <w:pStyle w:val="ColorfulList-Accent11"/>
        <w:ind w:left="1260"/>
        <w:jc w:val="both"/>
        <w:rPr>
          <w:rFonts w:eastAsia="Times New Roman"/>
          <w:sz w:val="24"/>
          <w:szCs w:val="24"/>
          <w:lang w:val="fr-FR"/>
        </w:rPr>
      </w:pPr>
    </w:p>
    <w:p w14:paraId="163F4DD9" w14:textId="6C66D5CC" w:rsidR="007E674C" w:rsidRPr="00CA442A" w:rsidRDefault="007E674C" w:rsidP="00AD6CD3">
      <w:pPr>
        <w:pStyle w:val="ColorfulList-Accent11"/>
        <w:numPr>
          <w:ilvl w:val="1"/>
          <w:numId w:val="5"/>
        </w:numPr>
        <w:jc w:val="both"/>
        <w:rPr>
          <w:rFonts w:eastAsia="Times New Roman"/>
          <w:sz w:val="24"/>
          <w:szCs w:val="24"/>
          <w:lang w:val="fr-FR"/>
        </w:rPr>
      </w:pPr>
      <w:r w:rsidRPr="00C9307C">
        <w:rPr>
          <w:rFonts w:eastAsia="Times New Roman"/>
          <w:sz w:val="24"/>
          <w:szCs w:val="24"/>
          <w:lang w:val="fr-FR"/>
        </w:rPr>
        <w:t xml:space="preserve">Les fonctions et activités essentielles du MEF en ce qui a trait à la </w:t>
      </w:r>
      <w:r w:rsidR="00CA442A" w:rsidRPr="006603E9">
        <w:rPr>
          <w:rFonts w:eastAsia="Times New Roman"/>
          <w:sz w:val="24"/>
          <w:szCs w:val="24"/>
          <w:lang w:val="fr-FR"/>
        </w:rPr>
        <w:t>gestion du projet</w:t>
      </w:r>
      <w:r w:rsidR="00CA442A">
        <w:rPr>
          <w:rFonts w:eastAsia="Times New Roman"/>
          <w:b/>
          <w:sz w:val="24"/>
          <w:szCs w:val="24"/>
          <w:lang w:val="fr-FR"/>
        </w:rPr>
        <w:t xml:space="preserve"> </w:t>
      </w:r>
      <w:r w:rsidRPr="00CA442A">
        <w:rPr>
          <w:rFonts w:eastAsia="Times New Roman"/>
          <w:sz w:val="24"/>
          <w:szCs w:val="24"/>
          <w:lang w:val="fr-FR"/>
        </w:rPr>
        <w:t>sont</w:t>
      </w:r>
      <w:r w:rsidR="002631DC" w:rsidRPr="00CA442A">
        <w:rPr>
          <w:rFonts w:eastAsia="Times New Roman"/>
          <w:sz w:val="24"/>
          <w:szCs w:val="24"/>
          <w:lang w:val="fr-FR"/>
        </w:rPr>
        <w:t xml:space="preserve"> </w:t>
      </w:r>
      <w:r w:rsidRPr="00CA442A">
        <w:rPr>
          <w:rFonts w:eastAsia="Times New Roman"/>
          <w:sz w:val="24"/>
          <w:szCs w:val="24"/>
          <w:lang w:val="fr-FR"/>
        </w:rPr>
        <w:t>:</w:t>
      </w:r>
    </w:p>
    <w:p w14:paraId="159A3821" w14:textId="49F625C6" w:rsidR="00A7717B" w:rsidRPr="00AE01D3" w:rsidRDefault="00A7717B"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 xml:space="preserve">Ouvrir un compte </w:t>
      </w:r>
      <w:r w:rsidR="0083454B" w:rsidRPr="00C9307C">
        <w:rPr>
          <w:rFonts w:eastAsia="Times New Roman"/>
          <w:sz w:val="24"/>
          <w:szCs w:val="24"/>
          <w:lang w:val="fr-FR"/>
        </w:rPr>
        <w:t>spécial</w:t>
      </w:r>
      <w:r w:rsidRPr="00C9307C">
        <w:rPr>
          <w:rFonts w:eastAsia="Times New Roman"/>
          <w:sz w:val="24"/>
          <w:szCs w:val="24"/>
          <w:lang w:val="fr-FR"/>
        </w:rPr>
        <w:t xml:space="preserve"> hors CUT pour pourvoir effectuer les paiements de salaires</w:t>
      </w:r>
      <w:r w:rsidR="00C73FD6" w:rsidRPr="00C9307C">
        <w:rPr>
          <w:rFonts w:eastAsia="Times New Roman"/>
          <w:sz w:val="24"/>
          <w:szCs w:val="24"/>
          <w:lang w:val="fr-FR"/>
        </w:rPr>
        <w:t xml:space="preserve"> et compléments</w:t>
      </w:r>
      <w:r w:rsidR="00530C3C" w:rsidRPr="00C9307C">
        <w:rPr>
          <w:rFonts w:eastAsia="Times New Roman"/>
          <w:sz w:val="24"/>
          <w:szCs w:val="24"/>
          <w:lang w:val="fr-FR"/>
        </w:rPr>
        <w:t xml:space="preserve"> </w:t>
      </w:r>
      <w:r w:rsidR="00C73FD6" w:rsidRPr="00C9307C">
        <w:rPr>
          <w:rFonts w:eastAsia="Times New Roman"/>
          <w:sz w:val="24"/>
          <w:szCs w:val="24"/>
          <w:lang w:val="fr-FR"/>
        </w:rPr>
        <w:t>des agents publics et le paiement des primes de départ à la retraite</w:t>
      </w:r>
      <w:r w:rsidR="00AE01D3">
        <w:rPr>
          <w:rFonts w:eastAsia="Times New Roman"/>
          <w:sz w:val="24"/>
          <w:szCs w:val="24"/>
          <w:lang w:val="fr-FR"/>
        </w:rPr>
        <w:t xml:space="preserve"> des fonctionnaires</w:t>
      </w:r>
    </w:p>
    <w:p w14:paraId="5868099A" w14:textId="19FB7675" w:rsidR="00C73FD6" w:rsidRPr="00C9307C" w:rsidRDefault="002632EA" w:rsidP="00AD6CD3">
      <w:pPr>
        <w:pStyle w:val="ColorfulList-Accent11"/>
        <w:numPr>
          <w:ilvl w:val="0"/>
          <w:numId w:val="23"/>
        </w:numPr>
        <w:jc w:val="both"/>
        <w:rPr>
          <w:rFonts w:eastAsia="Times New Roman"/>
          <w:sz w:val="24"/>
          <w:szCs w:val="24"/>
          <w:lang w:val="fr-FR"/>
        </w:rPr>
      </w:pPr>
      <w:proofErr w:type="gramStart"/>
      <w:r w:rsidRPr="00C9307C">
        <w:rPr>
          <w:rFonts w:eastAsia="Times New Roman"/>
          <w:sz w:val="24"/>
          <w:szCs w:val="24"/>
          <w:lang w:val="fr-FR"/>
        </w:rPr>
        <w:t xml:space="preserve">Suite </w:t>
      </w:r>
      <w:r w:rsidR="00B24808" w:rsidRPr="00C9307C">
        <w:rPr>
          <w:rFonts w:eastAsia="Times New Roman"/>
          <w:sz w:val="24"/>
          <w:szCs w:val="24"/>
          <w:lang w:val="fr-FR"/>
        </w:rPr>
        <w:t>à</w:t>
      </w:r>
      <w:proofErr w:type="gramEnd"/>
      <w:r w:rsidRPr="00C9307C">
        <w:rPr>
          <w:rFonts w:eastAsia="Times New Roman"/>
          <w:sz w:val="24"/>
          <w:szCs w:val="24"/>
          <w:lang w:val="fr-FR"/>
        </w:rPr>
        <w:t xml:space="preserve"> la NO de la BID d’effectuer </w:t>
      </w:r>
      <w:r w:rsidR="00530C3C" w:rsidRPr="00C9307C">
        <w:rPr>
          <w:rFonts w:eastAsia="Times New Roman"/>
          <w:sz w:val="24"/>
          <w:szCs w:val="24"/>
          <w:lang w:val="fr-FR"/>
        </w:rPr>
        <w:t>les paiements susmentionnés</w:t>
      </w:r>
      <w:r w:rsidRPr="00C9307C">
        <w:rPr>
          <w:rFonts w:eastAsia="Times New Roman"/>
          <w:sz w:val="24"/>
          <w:szCs w:val="24"/>
          <w:lang w:val="fr-FR"/>
        </w:rPr>
        <w:t>, l’UCP</w:t>
      </w:r>
      <w:r w:rsidR="006E6542" w:rsidRPr="00C9307C">
        <w:rPr>
          <w:rFonts w:eastAsia="Times New Roman"/>
          <w:sz w:val="24"/>
          <w:szCs w:val="24"/>
          <w:lang w:val="fr-FR"/>
        </w:rPr>
        <w:t>/MEF</w:t>
      </w:r>
      <w:r w:rsidRPr="00C9307C">
        <w:rPr>
          <w:rFonts w:eastAsia="Times New Roman"/>
          <w:sz w:val="24"/>
          <w:szCs w:val="24"/>
          <w:lang w:val="fr-FR"/>
        </w:rPr>
        <w:t xml:space="preserve"> aura </w:t>
      </w:r>
      <w:r w:rsidR="00886EB7" w:rsidRPr="00C9307C">
        <w:rPr>
          <w:rFonts w:eastAsia="Times New Roman"/>
          <w:sz w:val="24"/>
          <w:szCs w:val="24"/>
          <w:lang w:val="fr-FR"/>
        </w:rPr>
        <w:t>à</w:t>
      </w:r>
      <w:r w:rsidR="00530C3C" w:rsidRPr="00C9307C">
        <w:rPr>
          <w:rFonts w:eastAsia="Times New Roman"/>
          <w:sz w:val="24"/>
          <w:szCs w:val="24"/>
          <w:lang w:val="fr-FR"/>
        </w:rPr>
        <w:t xml:space="preserve"> </w:t>
      </w:r>
      <w:r w:rsidR="00B24808" w:rsidRPr="00C9307C">
        <w:rPr>
          <w:rFonts w:eastAsia="Times New Roman"/>
          <w:sz w:val="24"/>
          <w:szCs w:val="24"/>
          <w:lang w:val="fr-FR"/>
        </w:rPr>
        <w:t>transférer</w:t>
      </w:r>
      <w:r w:rsidRPr="00C9307C">
        <w:rPr>
          <w:rFonts w:eastAsia="Times New Roman"/>
          <w:sz w:val="24"/>
          <w:szCs w:val="24"/>
          <w:lang w:val="fr-FR"/>
        </w:rPr>
        <w:t xml:space="preserve"> des fonds au compte </w:t>
      </w:r>
      <w:r w:rsidR="00B24808" w:rsidRPr="00C9307C">
        <w:rPr>
          <w:rFonts w:eastAsia="Times New Roman"/>
          <w:sz w:val="24"/>
          <w:szCs w:val="24"/>
          <w:lang w:val="fr-FR"/>
        </w:rPr>
        <w:t>spécial</w:t>
      </w:r>
      <w:r w:rsidRPr="00C9307C">
        <w:rPr>
          <w:rFonts w:eastAsia="Times New Roman"/>
          <w:sz w:val="24"/>
          <w:szCs w:val="24"/>
          <w:lang w:val="fr-FR"/>
        </w:rPr>
        <w:t xml:space="preserve"> hors CUT</w:t>
      </w:r>
      <w:r w:rsidR="00886EB7" w:rsidRPr="00C9307C">
        <w:rPr>
          <w:rFonts w:eastAsia="Times New Roman"/>
          <w:sz w:val="24"/>
          <w:szCs w:val="24"/>
          <w:lang w:val="fr-FR"/>
        </w:rPr>
        <w:t xml:space="preserve"> qui sera ouvert dans le cadre du projet</w:t>
      </w:r>
    </w:p>
    <w:p w14:paraId="2A453AF4" w14:textId="77777777" w:rsidR="002632EA" w:rsidRPr="00C9307C" w:rsidRDefault="002632EA" w:rsidP="00AD6CD3">
      <w:pPr>
        <w:pStyle w:val="ColorfulList-Accent11"/>
        <w:numPr>
          <w:ilvl w:val="0"/>
          <w:numId w:val="23"/>
        </w:numPr>
        <w:jc w:val="both"/>
        <w:rPr>
          <w:rFonts w:eastAsia="Times New Roman"/>
          <w:sz w:val="24"/>
          <w:szCs w:val="24"/>
          <w:lang w:val="fr-FR"/>
        </w:rPr>
      </w:pPr>
      <w:r w:rsidRPr="00C9307C">
        <w:rPr>
          <w:rFonts w:eastAsia="Times New Roman"/>
          <w:sz w:val="24"/>
          <w:szCs w:val="24"/>
          <w:lang w:val="fr-FR"/>
        </w:rPr>
        <w:t>Le MEF sera responsable de</w:t>
      </w:r>
      <w:r w:rsidR="00B24808" w:rsidRPr="00C9307C">
        <w:rPr>
          <w:rFonts w:eastAsia="Times New Roman"/>
          <w:sz w:val="24"/>
          <w:szCs w:val="24"/>
          <w:lang w:val="fr-FR"/>
        </w:rPr>
        <w:t xml:space="preserve"> verser les montants correspondants</w:t>
      </w:r>
    </w:p>
    <w:p w14:paraId="3CF36C98" w14:textId="77777777" w:rsidR="005907C7" w:rsidRPr="00C9307C" w:rsidRDefault="005907C7" w:rsidP="005907C7">
      <w:pPr>
        <w:pStyle w:val="ColorfulList-Accent11"/>
        <w:ind w:left="0"/>
        <w:jc w:val="both"/>
        <w:rPr>
          <w:rFonts w:eastAsia="Times New Roman"/>
          <w:sz w:val="24"/>
          <w:szCs w:val="24"/>
          <w:lang w:val="fr-FR"/>
        </w:rPr>
      </w:pPr>
    </w:p>
    <w:p w14:paraId="6199E7C5" w14:textId="0A9FAB49" w:rsidR="00C2360B" w:rsidRPr="00C9307C" w:rsidRDefault="00924549" w:rsidP="005907C7">
      <w:pPr>
        <w:pStyle w:val="ColorfulList-Accent11"/>
        <w:numPr>
          <w:ilvl w:val="1"/>
          <w:numId w:val="5"/>
        </w:numPr>
        <w:jc w:val="both"/>
        <w:rPr>
          <w:rFonts w:eastAsia="Times New Roman"/>
          <w:sz w:val="24"/>
          <w:szCs w:val="24"/>
          <w:lang w:val="fr-FR"/>
        </w:rPr>
      </w:pPr>
      <w:r w:rsidRPr="00C9307C">
        <w:rPr>
          <w:rFonts w:eastAsia="Times New Roman"/>
          <w:sz w:val="24"/>
          <w:szCs w:val="24"/>
          <w:lang w:val="fr-FR"/>
        </w:rPr>
        <w:t xml:space="preserve">L’UCP/MEF </w:t>
      </w:r>
      <w:r w:rsidR="00C2360B" w:rsidRPr="00C9307C">
        <w:rPr>
          <w:rFonts w:eastAsia="Times New Roman"/>
          <w:sz w:val="24"/>
          <w:szCs w:val="24"/>
          <w:lang w:val="fr-FR"/>
        </w:rPr>
        <w:t>qui a déjà de l’expérience en matière d’exécution de projets de la Banque et dispose Spécialistes Fiduciaire</w:t>
      </w:r>
      <w:r w:rsidR="006E6542" w:rsidRPr="00C9307C">
        <w:rPr>
          <w:rFonts w:eastAsia="Times New Roman"/>
          <w:sz w:val="24"/>
          <w:szCs w:val="24"/>
          <w:lang w:val="fr-FR"/>
        </w:rPr>
        <w:t>s</w:t>
      </w:r>
      <w:r w:rsidR="00C2360B" w:rsidRPr="00C9307C">
        <w:rPr>
          <w:rFonts w:eastAsia="Times New Roman"/>
          <w:sz w:val="24"/>
          <w:szCs w:val="24"/>
          <w:lang w:val="fr-FR"/>
        </w:rPr>
        <w:t xml:space="preserve"> et de Passation de Marchés</w:t>
      </w:r>
      <w:r w:rsidR="00530C3C" w:rsidRPr="00C9307C">
        <w:rPr>
          <w:rFonts w:eastAsia="Times New Roman"/>
          <w:sz w:val="24"/>
          <w:szCs w:val="24"/>
          <w:lang w:val="fr-FR"/>
        </w:rPr>
        <w:t xml:space="preserve"> </w:t>
      </w:r>
      <w:r w:rsidR="005907C7" w:rsidRPr="00C9307C">
        <w:rPr>
          <w:rFonts w:eastAsia="Times New Roman"/>
          <w:sz w:val="24"/>
          <w:szCs w:val="24"/>
          <w:lang w:val="fr-FR"/>
        </w:rPr>
        <w:t>aur</w:t>
      </w:r>
      <w:r w:rsidR="004B55AE" w:rsidRPr="00C9307C">
        <w:rPr>
          <w:rFonts w:eastAsia="Times New Roman"/>
          <w:sz w:val="24"/>
          <w:szCs w:val="24"/>
          <w:lang w:val="fr-FR"/>
        </w:rPr>
        <w:t>a</w:t>
      </w:r>
      <w:r w:rsidR="005907C7" w:rsidRPr="00C9307C">
        <w:rPr>
          <w:rFonts w:eastAsia="Times New Roman"/>
          <w:sz w:val="24"/>
          <w:szCs w:val="24"/>
          <w:lang w:val="fr-FR"/>
        </w:rPr>
        <w:t xml:space="preserve"> à assurer les taches suivantes :</w:t>
      </w:r>
    </w:p>
    <w:p w14:paraId="685D67A0" w14:textId="45EA5C07" w:rsidR="000207C6" w:rsidRPr="00C9307C" w:rsidRDefault="00CC0149" w:rsidP="00AD6CD3">
      <w:pPr>
        <w:pStyle w:val="ColorfulList-Accent11"/>
        <w:numPr>
          <w:ilvl w:val="0"/>
          <w:numId w:val="22"/>
        </w:numPr>
        <w:jc w:val="both"/>
        <w:rPr>
          <w:rFonts w:eastAsia="Times New Roman"/>
          <w:sz w:val="24"/>
          <w:szCs w:val="24"/>
          <w:lang w:val="fr-FR"/>
        </w:rPr>
      </w:pPr>
      <w:r w:rsidRPr="00C9307C">
        <w:rPr>
          <w:rFonts w:eastAsia="Times New Roman"/>
          <w:sz w:val="24"/>
          <w:szCs w:val="24"/>
          <w:lang w:val="fr-FR"/>
        </w:rPr>
        <w:t xml:space="preserve">Réviser </w:t>
      </w:r>
      <w:r w:rsidR="0005729D" w:rsidRPr="00C9307C">
        <w:rPr>
          <w:rFonts w:eastAsia="Times New Roman"/>
          <w:sz w:val="24"/>
          <w:szCs w:val="24"/>
          <w:lang w:val="fr-FR"/>
        </w:rPr>
        <w:t xml:space="preserve">les </w:t>
      </w:r>
      <w:proofErr w:type="spellStart"/>
      <w:r w:rsidR="000207C6" w:rsidRPr="00C9307C">
        <w:rPr>
          <w:rFonts w:eastAsia="Times New Roman"/>
          <w:sz w:val="24"/>
          <w:szCs w:val="24"/>
          <w:lang w:val="fr-FR"/>
        </w:rPr>
        <w:t>TdRs</w:t>
      </w:r>
      <w:proofErr w:type="spellEnd"/>
      <w:r w:rsidR="00530C3C" w:rsidRPr="00C9307C">
        <w:rPr>
          <w:rFonts w:eastAsia="Times New Roman"/>
          <w:sz w:val="24"/>
          <w:szCs w:val="24"/>
          <w:lang w:val="fr-FR"/>
        </w:rPr>
        <w:t xml:space="preserve"> </w:t>
      </w:r>
      <w:r w:rsidRPr="00C9307C">
        <w:rPr>
          <w:rFonts w:eastAsia="Times New Roman"/>
          <w:sz w:val="24"/>
          <w:szCs w:val="24"/>
          <w:lang w:val="fr-FR"/>
        </w:rPr>
        <w:t>élaborés par</w:t>
      </w:r>
      <w:r w:rsidR="00530C3C" w:rsidRPr="00C9307C">
        <w:rPr>
          <w:rFonts w:eastAsia="Times New Roman"/>
          <w:sz w:val="24"/>
          <w:szCs w:val="24"/>
          <w:lang w:val="fr-FR"/>
        </w:rPr>
        <w:t xml:space="preserve"> </w:t>
      </w:r>
      <w:r w:rsidR="000207C6" w:rsidRPr="00C9307C">
        <w:rPr>
          <w:rFonts w:eastAsia="Times New Roman"/>
          <w:sz w:val="24"/>
          <w:szCs w:val="24"/>
          <w:lang w:val="fr-FR"/>
        </w:rPr>
        <w:t>l</w:t>
      </w:r>
      <w:r w:rsidR="008605B0" w:rsidRPr="00C9307C">
        <w:rPr>
          <w:rFonts w:eastAsia="Times New Roman"/>
          <w:sz w:val="24"/>
          <w:szCs w:val="24"/>
          <w:lang w:val="fr-FR"/>
        </w:rPr>
        <w:t>’OMRH</w:t>
      </w:r>
      <w:r w:rsidRPr="00C9307C">
        <w:rPr>
          <w:rFonts w:eastAsia="Times New Roman"/>
          <w:sz w:val="24"/>
          <w:szCs w:val="24"/>
          <w:lang w:val="fr-FR"/>
        </w:rPr>
        <w:t> ;</w:t>
      </w:r>
    </w:p>
    <w:p w14:paraId="625D5704" w14:textId="4AD959BA" w:rsidR="008605B0" w:rsidRPr="00C9307C" w:rsidRDefault="0005729D" w:rsidP="00AD6CD3">
      <w:pPr>
        <w:pStyle w:val="ColorfulList-Accent11"/>
        <w:numPr>
          <w:ilvl w:val="0"/>
          <w:numId w:val="22"/>
        </w:numPr>
        <w:jc w:val="both"/>
        <w:rPr>
          <w:rFonts w:eastAsia="Times New Roman"/>
          <w:sz w:val="24"/>
          <w:szCs w:val="24"/>
          <w:lang w:val="fr-FR"/>
        </w:rPr>
      </w:pPr>
      <w:r w:rsidRPr="00C9307C">
        <w:rPr>
          <w:rFonts w:eastAsia="Times New Roman"/>
          <w:sz w:val="24"/>
          <w:szCs w:val="24"/>
          <w:lang w:val="fr-FR"/>
        </w:rPr>
        <w:t xml:space="preserve">Transmettre </w:t>
      </w:r>
      <w:r w:rsidR="006E6542" w:rsidRPr="00C9307C">
        <w:rPr>
          <w:rFonts w:eastAsia="Times New Roman"/>
          <w:sz w:val="24"/>
          <w:szCs w:val="24"/>
          <w:lang w:val="fr-FR"/>
        </w:rPr>
        <w:t>l</w:t>
      </w:r>
      <w:r w:rsidR="00CC0149" w:rsidRPr="00C9307C">
        <w:rPr>
          <w:rFonts w:eastAsia="Times New Roman"/>
          <w:sz w:val="24"/>
          <w:szCs w:val="24"/>
          <w:lang w:val="fr-FR"/>
        </w:rPr>
        <w:t xml:space="preserve">es </w:t>
      </w:r>
      <w:r w:rsidR="009934EA" w:rsidRPr="00C9307C">
        <w:rPr>
          <w:rFonts w:eastAsia="Times New Roman"/>
          <w:sz w:val="24"/>
          <w:szCs w:val="24"/>
          <w:lang w:val="fr-FR"/>
        </w:rPr>
        <w:t>d</w:t>
      </w:r>
      <w:r w:rsidR="008605B0" w:rsidRPr="00C9307C">
        <w:rPr>
          <w:rFonts w:eastAsia="Times New Roman"/>
          <w:sz w:val="24"/>
          <w:szCs w:val="24"/>
          <w:lang w:val="fr-FR"/>
        </w:rPr>
        <w:t>emande</w:t>
      </w:r>
      <w:r w:rsidR="00CC0149" w:rsidRPr="00C9307C">
        <w:rPr>
          <w:rFonts w:eastAsia="Times New Roman"/>
          <w:sz w:val="24"/>
          <w:szCs w:val="24"/>
          <w:lang w:val="fr-FR"/>
        </w:rPr>
        <w:t>s de</w:t>
      </w:r>
      <w:r w:rsidR="008605B0" w:rsidRPr="00C9307C">
        <w:rPr>
          <w:rFonts w:eastAsia="Times New Roman"/>
          <w:sz w:val="24"/>
          <w:szCs w:val="24"/>
          <w:lang w:val="fr-FR"/>
        </w:rPr>
        <w:t xml:space="preserve"> NO </w:t>
      </w:r>
      <w:r w:rsidR="005907C7" w:rsidRPr="00C9307C">
        <w:rPr>
          <w:rFonts w:eastAsia="Times New Roman"/>
          <w:sz w:val="24"/>
          <w:szCs w:val="24"/>
          <w:lang w:val="fr-FR"/>
        </w:rPr>
        <w:t>à</w:t>
      </w:r>
      <w:r w:rsidR="008605B0" w:rsidRPr="00C9307C">
        <w:rPr>
          <w:rFonts w:eastAsia="Times New Roman"/>
          <w:sz w:val="24"/>
          <w:szCs w:val="24"/>
          <w:lang w:val="fr-FR"/>
        </w:rPr>
        <w:t xml:space="preserve"> la BID </w:t>
      </w:r>
      <w:r w:rsidR="009934EA" w:rsidRPr="00C9307C">
        <w:rPr>
          <w:rFonts w:eastAsia="Times New Roman"/>
          <w:sz w:val="24"/>
          <w:szCs w:val="24"/>
          <w:lang w:val="fr-FR"/>
        </w:rPr>
        <w:t xml:space="preserve">pour le lancement </w:t>
      </w:r>
      <w:r w:rsidR="008605B0" w:rsidRPr="00C9307C">
        <w:rPr>
          <w:rFonts w:eastAsia="Times New Roman"/>
          <w:sz w:val="24"/>
          <w:szCs w:val="24"/>
          <w:lang w:val="fr-FR"/>
        </w:rPr>
        <w:t>de</w:t>
      </w:r>
      <w:r w:rsidR="009934EA" w:rsidRPr="00C9307C">
        <w:rPr>
          <w:rFonts w:eastAsia="Times New Roman"/>
          <w:sz w:val="24"/>
          <w:szCs w:val="24"/>
          <w:lang w:val="fr-FR"/>
        </w:rPr>
        <w:t>s</w:t>
      </w:r>
      <w:r w:rsidR="00530C3C" w:rsidRPr="00C9307C">
        <w:rPr>
          <w:rFonts w:eastAsia="Times New Roman"/>
          <w:sz w:val="24"/>
          <w:szCs w:val="24"/>
          <w:lang w:val="fr-FR"/>
        </w:rPr>
        <w:t xml:space="preserve"> </w:t>
      </w:r>
      <w:r w:rsidR="009934EA" w:rsidRPr="00C9307C">
        <w:rPr>
          <w:rFonts w:eastAsia="Times New Roman"/>
          <w:sz w:val="24"/>
          <w:szCs w:val="24"/>
          <w:lang w:val="fr-FR"/>
        </w:rPr>
        <w:t>marchés</w:t>
      </w:r>
    </w:p>
    <w:p w14:paraId="31E011E4" w14:textId="77777777" w:rsidR="009934EA" w:rsidRPr="00C9307C" w:rsidRDefault="009934EA" w:rsidP="00AD6CD3">
      <w:pPr>
        <w:pStyle w:val="ColorfulList-Accent11"/>
        <w:numPr>
          <w:ilvl w:val="0"/>
          <w:numId w:val="22"/>
        </w:numPr>
        <w:jc w:val="both"/>
        <w:rPr>
          <w:rFonts w:eastAsia="Times New Roman"/>
          <w:sz w:val="24"/>
          <w:szCs w:val="24"/>
          <w:lang w:val="fr-FR"/>
        </w:rPr>
      </w:pPr>
      <w:r w:rsidRPr="00C9307C">
        <w:rPr>
          <w:rFonts w:eastAsia="Times New Roman"/>
          <w:sz w:val="24"/>
          <w:szCs w:val="24"/>
          <w:lang w:val="fr-FR"/>
        </w:rPr>
        <w:t>Lancer les marchés</w:t>
      </w:r>
    </w:p>
    <w:p w14:paraId="7C1B1EB5" w14:textId="0F53FE9A" w:rsidR="008605B0" w:rsidRPr="00C9307C" w:rsidRDefault="00390BFD" w:rsidP="00AD6CD3">
      <w:pPr>
        <w:pStyle w:val="ColorfulList-Accent11"/>
        <w:numPr>
          <w:ilvl w:val="0"/>
          <w:numId w:val="22"/>
        </w:numPr>
        <w:jc w:val="both"/>
        <w:rPr>
          <w:rFonts w:eastAsia="Times New Roman"/>
          <w:sz w:val="24"/>
          <w:szCs w:val="24"/>
          <w:lang w:val="fr-FR"/>
        </w:rPr>
      </w:pPr>
      <w:r w:rsidRPr="00C9307C">
        <w:rPr>
          <w:rFonts w:eastAsia="Times New Roman"/>
          <w:sz w:val="24"/>
          <w:szCs w:val="24"/>
          <w:lang w:val="fr-FR"/>
        </w:rPr>
        <w:t>Publi</w:t>
      </w:r>
      <w:r w:rsidR="009934EA" w:rsidRPr="00C9307C">
        <w:rPr>
          <w:rFonts w:eastAsia="Times New Roman"/>
          <w:sz w:val="24"/>
          <w:szCs w:val="24"/>
          <w:lang w:val="fr-FR"/>
        </w:rPr>
        <w:t>er</w:t>
      </w:r>
      <w:r w:rsidRPr="00C9307C">
        <w:rPr>
          <w:rFonts w:eastAsia="Times New Roman"/>
          <w:sz w:val="24"/>
          <w:szCs w:val="24"/>
          <w:lang w:val="fr-FR"/>
        </w:rPr>
        <w:t>, m</w:t>
      </w:r>
      <w:r w:rsidR="009934EA" w:rsidRPr="00C9307C">
        <w:rPr>
          <w:rFonts w:eastAsia="Times New Roman"/>
          <w:sz w:val="24"/>
          <w:szCs w:val="24"/>
          <w:lang w:val="fr-FR"/>
        </w:rPr>
        <w:t>ettre</w:t>
      </w:r>
      <w:r w:rsidR="00530C3C" w:rsidRPr="00C9307C">
        <w:rPr>
          <w:rFonts w:eastAsia="Times New Roman"/>
          <w:sz w:val="24"/>
          <w:szCs w:val="24"/>
          <w:lang w:val="fr-FR"/>
        </w:rPr>
        <w:t xml:space="preserve"> </w:t>
      </w:r>
      <w:r w:rsidR="00E618D8" w:rsidRPr="00C9307C">
        <w:rPr>
          <w:rFonts w:eastAsia="Times New Roman"/>
          <w:sz w:val="24"/>
          <w:szCs w:val="24"/>
          <w:lang w:val="fr-FR"/>
        </w:rPr>
        <w:t>à</w:t>
      </w:r>
      <w:r w:rsidRPr="00C9307C">
        <w:rPr>
          <w:rFonts w:eastAsia="Times New Roman"/>
          <w:sz w:val="24"/>
          <w:szCs w:val="24"/>
          <w:lang w:val="fr-FR"/>
        </w:rPr>
        <w:t xml:space="preserve"> jour des Plans de P</w:t>
      </w:r>
      <w:r w:rsidR="009934EA" w:rsidRPr="00C9307C">
        <w:rPr>
          <w:rFonts w:eastAsia="Times New Roman"/>
          <w:sz w:val="24"/>
          <w:szCs w:val="24"/>
          <w:lang w:val="fr-FR"/>
        </w:rPr>
        <w:t>assation de Marchés (P</w:t>
      </w:r>
      <w:r w:rsidRPr="00C9307C">
        <w:rPr>
          <w:rFonts w:eastAsia="Times New Roman"/>
          <w:sz w:val="24"/>
          <w:szCs w:val="24"/>
          <w:lang w:val="fr-FR"/>
        </w:rPr>
        <w:t>PM</w:t>
      </w:r>
      <w:r w:rsidR="009934EA" w:rsidRPr="00C9307C">
        <w:rPr>
          <w:rFonts w:eastAsia="Times New Roman"/>
          <w:sz w:val="24"/>
          <w:szCs w:val="24"/>
          <w:lang w:val="fr-FR"/>
        </w:rPr>
        <w:t>)</w:t>
      </w:r>
      <w:r w:rsidR="00CC0149" w:rsidRPr="00C9307C">
        <w:rPr>
          <w:rFonts w:eastAsia="Times New Roman"/>
          <w:sz w:val="24"/>
          <w:szCs w:val="24"/>
          <w:lang w:val="fr-FR"/>
        </w:rPr>
        <w:t>.</w:t>
      </w:r>
    </w:p>
    <w:p w14:paraId="3775FF83" w14:textId="77777777" w:rsidR="00D768A9" w:rsidRPr="00C9307C" w:rsidRDefault="00D768A9" w:rsidP="00190455">
      <w:pPr>
        <w:pStyle w:val="ColorfulList-Accent11"/>
        <w:ind w:left="0"/>
        <w:jc w:val="both"/>
        <w:rPr>
          <w:b/>
          <w:color w:val="1F497D"/>
          <w:sz w:val="24"/>
          <w:szCs w:val="24"/>
          <w:lang w:val="fr-FR"/>
        </w:rPr>
      </w:pPr>
    </w:p>
    <w:p w14:paraId="7BAE3993" w14:textId="77777777" w:rsidR="0046461C" w:rsidRPr="00C9307C" w:rsidRDefault="0046461C">
      <w:pPr>
        <w:rPr>
          <w:rFonts w:eastAsia="MS Mincho"/>
          <w:b/>
          <w:color w:val="1F497D"/>
          <w:sz w:val="24"/>
          <w:szCs w:val="24"/>
          <w:lang w:val="fr-FR" w:eastAsia="ja-JP"/>
        </w:rPr>
      </w:pPr>
      <w:r w:rsidRPr="00C9307C">
        <w:rPr>
          <w:color w:val="1F497D"/>
          <w:lang w:val="fr-FR"/>
        </w:rPr>
        <w:br w:type="page"/>
      </w:r>
    </w:p>
    <w:p w14:paraId="44D824DF" w14:textId="53DA6053" w:rsidR="0013280E" w:rsidRPr="00C9307C" w:rsidRDefault="0013280E" w:rsidP="00AD6CD3">
      <w:pPr>
        <w:pStyle w:val="Heading1"/>
        <w:numPr>
          <w:ilvl w:val="0"/>
          <w:numId w:val="13"/>
        </w:numPr>
        <w:jc w:val="center"/>
        <w:rPr>
          <w:rFonts w:ascii="Calibri" w:hAnsi="Calibri"/>
          <w:color w:val="1F497D"/>
          <w:lang w:val="fr-FR"/>
        </w:rPr>
      </w:pPr>
      <w:bookmarkStart w:id="36" w:name="_Toc3810472"/>
      <w:r w:rsidRPr="00C9307C">
        <w:rPr>
          <w:rFonts w:ascii="Calibri" w:hAnsi="Calibri"/>
          <w:color w:val="1F497D"/>
          <w:lang w:val="fr-FR"/>
        </w:rPr>
        <w:lastRenderedPageBreak/>
        <w:t>GESTION DES RESSOURCES HUMAINES</w:t>
      </w:r>
      <w:bookmarkEnd w:id="36"/>
    </w:p>
    <w:p w14:paraId="330B6883" w14:textId="77777777" w:rsidR="0013280E" w:rsidRPr="00C9307C" w:rsidRDefault="002C5C0C" w:rsidP="00AD6CD3">
      <w:pPr>
        <w:pStyle w:val="Heading2"/>
        <w:numPr>
          <w:ilvl w:val="0"/>
          <w:numId w:val="12"/>
        </w:numPr>
        <w:rPr>
          <w:lang w:val="fr-FR"/>
        </w:rPr>
      </w:pPr>
      <w:bookmarkStart w:id="37" w:name="_Toc3810473"/>
      <w:r w:rsidRPr="00C9307C">
        <w:rPr>
          <w:lang w:val="fr-FR"/>
        </w:rPr>
        <w:t>PERSONNEL AU SEIN DES</w:t>
      </w:r>
      <w:r w:rsidR="00E11336" w:rsidRPr="00C9307C">
        <w:rPr>
          <w:lang w:val="fr-FR"/>
        </w:rPr>
        <w:t xml:space="preserve"> ENTITES</w:t>
      </w:r>
      <w:r w:rsidR="0013280E" w:rsidRPr="00C9307C">
        <w:rPr>
          <w:lang w:val="fr-FR"/>
        </w:rPr>
        <w:t xml:space="preserve"> DU PROJET</w:t>
      </w:r>
      <w:bookmarkEnd w:id="37"/>
    </w:p>
    <w:p w14:paraId="57B539D6" w14:textId="77777777" w:rsidR="0013280E" w:rsidRPr="00C9307C" w:rsidRDefault="0013280E" w:rsidP="0013280E">
      <w:pPr>
        <w:rPr>
          <w:lang w:val="fr-FR"/>
        </w:rPr>
      </w:pPr>
    </w:p>
    <w:p w14:paraId="57CBC23C" w14:textId="0313F31A" w:rsidR="00A06E1B" w:rsidRPr="006603E9" w:rsidRDefault="00B60D67" w:rsidP="00530C3C">
      <w:pPr>
        <w:pStyle w:val="ColorfulList-Accent111"/>
        <w:numPr>
          <w:ilvl w:val="1"/>
          <w:numId w:val="2"/>
        </w:numPr>
        <w:ind w:left="720" w:hanging="720"/>
        <w:jc w:val="both"/>
        <w:rPr>
          <w:rFonts w:asciiTheme="minorHAnsi" w:eastAsia="Times New Roman" w:hAnsiTheme="minorHAnsi" w:cstheme="minorHAnsi"/>
          <w:sz w:val="24"/>
          <w:szCs w:val="24"/>
          <w:lang w:val="fr-FR"/>
        </w:rPr>
      </w:pPr>
      <w:r w:rsidRPr="006603E9">
        <w:rPr>
          <w:rFonts w:asciiTheme="minorHAnsi" w:eastAsia="Times New Roman" w:hAnsiTheme="minorHAnsi" w:cstheme="minorHAnsi"/>
          <w:sz w:val="24"/>
          <w:szCs w:val="24"/>
          <w:lang w:val="fr-FR"/>
        </w:rPr>
        <w:t>L</w:t>
      </w:r>
      <w:r w:rsidR="00E11336" w:rsidRPr="006603E9">
        <w:rPr>
          <w:rFonts w:asciiTheme="minorHAnsi" w:eastAsia="Times New Roman" w:hAnsiTheme="minorHAnsi" w:cstheme="minorHAnsi"/>
          <w:sz w:val="24"/>
          <w:szCs w:val="24"/>
          <w:lang w:val="fr-FR"/>
        </w:rPr>
        <w:t>’OMRH</w:t>
      </w:r>
      <w:r w:rsidR="00530C3C" w:rsidRPr="006603E9">
        <w:rPr>
          <w:rFonts w:asciiTheme="minorHAnsi" w:eastAsia="Times New Roman" w:hAnsiTheme="minorHAnsi" w:cstheme="minorHAnsi"/>
          <w:sz w:val="24"/>
          <w:szCs w:val="24"/>
          <w:lang w:val="fr-FR"/>
        </w:rPr>
        <w:t xml:space="preserve"> </w:t>
      </w:r>
      <w:r w:rsidR="00530C3C" w:rsidRPr="006603E9">
        <w:rPr>
          <w:rFonts w:asciiTheme="minorHAnsi" w:eastAsia="Arial Unicode MS" w:hAnsiTheme="minorHAnsi" w:cstheme="minorHAnsi"/>
          <w:sz w:val="24"/>
          <w:szCs w:val="24"/>
          <w:lang w:val="fr-FR"/>
        </w:rPr>
        <w:t xml:space="preserve">: un </w:t>
      </w:r>
      <w:r w:rsidR="001479E5">
        <w:rPr>
          <w:rFonts w:asciiTheme="minorHAnsi" w:eastAsia="Arial Unicode MS" w:hAnsiTheme="minorHAnsi" w:cstheme="minorHAnsi"/>
          <w:sz w:val="24"/>
          <w:szCs w:val="24"/>
          <w:lang w:val="fr-FR"/>
        </w:rPr>
        <w:t>Coordonnateur</w:t>
      </w:r>
      <w:r w:rsidR="001479E5" w:rsidRPr="006603E9">
        <w:rPr>
          <w:rFonts w:asciiTheme="minorHAnsi" w:eastAsia="Arial Unicode MS" w:hAnsiTheme="minorHAnsi" w:cstheme="minorHAnsi"/>
          <w:sz w:val="24"/>
          <w:szCs w:val="24"/>
          <w:lang w:val="fr-FR"/>
        </w:rPr>
        <w:t xml:space="preserve"> </w:t>
      </w:r>
      <w:r w:rsidR="00530C3C" w:rsidRPr="006603E9">
        <w:rPr>
          <w:rFonts w:asciiTheme="minorHAnsi" w:eastAsia="Arial Unicode MS" w:hAnsiTheme="minorHAnsi" w:cstheme="minorHAnsi"/>
          <w:sz w:val="24"/>
          <w:szCs w:val="24"/>
          <w:lang w:val="fr-FR"/>
        </w:rPr>
        <w:t>de projet</w:t>
      </w:r>
      <w:r w:rsidR="0046461C" w:rsidRPr="006603E9">
        <w:rPr>
          <w:rFonts w:asciiTheme="minorHAnsi" w:eastAsia="Arial Unicode MS" w:hAnsiTheme="minorHAnsi" w:cstheme="minorHAnsi"/>
          <w:sz w:val="24"/>
          <w:szCs w:val="24"/>
          <w:lang w:val="fr-FR"/>
        </w:rPr>
        <w:t>,</w:t>
      </w:r>
      <w:r w:rsidR="00530C3C" w:rsidRPr="006603E9">
        <w:rPr>
          <w:rFonts w:asciiTheme="minorHAnsi" w:eastAsia="Arial Unicode MS" w:hAnsiTheme="minorHAnsi" w:cstheme="minorHAnsi"/>
          <w:sz w:val="24"/>
          <w:szCs w:val="24"/>
          <w:lang w:val="fr-FR"/>
        </w:rPr>
        <w:t xml:space="preserve"> un spécialiste en monitoring et évaluation, un assistant administratif ;</w:t>
      </w:r>
    </w:p>
    <w:p w14:paraId="13D1565B" w14:textId="2F61DB94" w:rsidR="00530C3C" w:rsidRPr="006603E9" w:rsidRDefault="00530C3C" w:rsidP="00530C3C">
      <w:pPr>
        <w:pStyle w:val="ColorfulList-Accent111"/>
        <w:jc w:val="both"/>
        <w:rPr>
          <w:rFonts w:asciiTheme="minorHAnsi" w:eastAsia="Times New Roman" w:hAnsiTheme="minorHAnsi" w:cstheme="minorHAnsi"/>
          <w:sz w:val="24"/>
          <w:szCs w:val="24"/>
          <w:lang w:val="fr-FR"/>
        </w:rPr>
      </w:pPr>
      <w:r w:rsidRPr="006603E9">
        <w:rPr>
          <w:rFonts w:asciiTheme="minorHAnsi" w:eastAsia="Arial Unicode MS" w:hAnsiTheme="minorHAnsi" w:cstheme="minorHAnsi"/>
          <w:sz w:val="24"/>
          <w:szCs w:val="24"/>
          <w:lang w:val="fr-FR"/>
        </w:rPr>
        <w:t xml:space="preserve">Et la désignation de l’Equipe de projet SIGRH comprenant </w:t>
      </w:r>
      <w:r w:rsidR="001479E5">
        <w:rPr>
          <w:rFonts w:asciiTheme="minorHAnsi" w:eastAsia="Arial Unicode MS" w:hAnsiTheme="minorHAnsi" w:cstheme="minorHAnsi"/>
          <w:sz w:val="24"/>
          <w:szCs w:val="24"/>
          <w:lang w:val="fr-FR"/>
        </w:rPr>
        <w:t>coordonnateur</w:t>
      </w:r>
      <w:r w:rsidRPr="006603E9">
        <w:rPr>
          <w:rFonts w:asciiTheme="minorHAnsi" w:eastAsia="Arial Unicode MS" w:hAnsiTheme="minorHAnsi" w:cstheme="minorHAnsi"/>
          <w:sz w:val="24"/>
          <w:szCs w:val="24"/>
          <w:lang w:val="fr-FR"/>
        </w:rPr>
        <w:t xml:space="preserve"> et un représentant relevant de l’OMRH, un représentant de la DSI, un représentant de la Solde et un représentant de la Pension Civile relevant du MEF.</w:t>
      </w:r>
    </w:p>
    <w:p w14:paraId="3EE762CB" w14:textId="77777777" w:rsidR="00A06E1B" w:rsidRPr="006603E9" w:rsidRDefault="00A06E1B" w:rsidP="00720B8F">
      <w:pPr>
        <w:pStyle w:val="ColorfulList-Accent111"/>
        <w:ind w:left="0"/>
        <w:jc w:val="both"/>
        <w:rPr>
          <w:rFonts w:eastAsia="Times New Roman"/>
          <w:sz w:val="24"/>
          <w:szCs w:val="24"/>
          <w:lang w:val="fr-FR"/>
        </w:rPr>
      </w:pPr>
    </w:p>
    <w:p w14:paraId="4DC5EE45" w14:textId="583179E9" w:rsidR="00E11336" w:rsidRPr="006603E9" w:rsidRDefault="00E11336" w:rsidP="00AD6CD3">
      <w:pPr>
        <w:pStyle w:val="ColorfulList-Accent111"/>
        <w:numPr>
          <w:ilvl w:val="1"/>
          <w:numId w:val="2"/>
        </w:numPr>
        <w:ind w:left="720" w:hanging="720"/>
        <w:jc w:val="both"/>
        <w:rPr>
          <w:rFonts w:eastAsia="Times New Roman"/>
          <w:sz w:val="24"/>
          <w:szCs w:val="24"/>
          <w:lang w:val="fr-FR"/>
        </w:rPr>
      </w:pPr>
      <w:r w:rsidRPr="006603E9">
        <w:rPr>
          <w:rFonts w:eastAsia="Times New Roman"/>
          <w:sz w:val="24"/>
          <w:szCs w:val="24"/>
          <w:lang w:val="fr-FR"/>
        </w:rPr>
        <w:t>L’UCP/MEF</w:t>
      </w:r>
      <w:r w:rsidR="006B0D00" w:rsidRPr="006603E9">
        <w:rPr>
          <w:rFonts w:eastAsia="Times New Roman"/>
          <w:sz w:val="24"/>
          <w:szCs w:val="24"/>
          <w:lang w:val="fr-FR"/>
        </w:rPr>
        <w:t xml:space="preserve">. Le Coordonnateur de l’UCP/MEF assurera la coordination </w:t>
      </w:r>
      <w:r w:rsidR="001479E5">
        <w:rPr>
          <w:rFonts w:eastAsia="Times New Roman"/>
          <w:sz w:val="24"/>
          <w:szCs w:val="24"/>
          <w:lang w:val="fr-FR"/>
        </w:rPr>
        <w:t>fiduciaire</w:t>
      </w:r>
      <w:r w:rsidR="001479E5" w:rsidRPr="006603E9">
        <w:rPr>
          <w:rFonts w:eastAsia="Times New Roman"/>
          <w:sz w:val="24"/>
          <w:szCs w:val="24"/>
          <w:lang w:val="fr-FR"/>
        </w:rPr>
        <w:t xml:space="preserve"> </w:t>
      </w:r>
      <w:r w:rsidR="006B0D00" w:rsidRPr="006603E9">
        <w:rPr>
          <w:rFonts w:eastAsia="Times New Roman"/>
          <w:sz w:val="24"/>
          <w:szCs w:val="24"/>
          <w:lang w:val="fr-FR"/>
        </w:rPr>
        <w:t xml:space="preserve">des activités du projet avec le Ministère de l’Economie et des Finances et supervisera l’ensemble des ressources Humaines suivantes qui participeront directement au projet de </w:t>
      </w:r>
      <w:r w:rsidR="00B3243D" w:rsidRPr="006603E9">
        <w:rPr>
          <w:rFonts w:eastAsia="Times New Roman"/>
          <w:sz w:val="24"/>
          <w:szCs w:val="24"/>
          <w:lang w:val="fr-FR"/>
        </w:rPr>
        <w:t>‘‘</w:t>
      </w:r>
      <w:r w:rsidR="006B0D00" w:rsidRPr="006603E9">
        <w:rPr>
          <w:rFonts w:eastAsia="Times New Roman"/>
          <w:sz w:val="24"/>
          <w:szCs w:val="24"/>
          <w:lang w:val="fr-FR"/>
        </w:rPr>
        <w:t xml:space="preserve">renforcement de la gestion publique </w:t>
      </w:r>
      <w:r w:rsidR="00B3243D" w:rsidRPr="006603E9">
        <w:rPr>
          <w:rFonts w:eastAsia="Times New Roman"/>
          <w:sz w:val="24"/>
          <w:szCs w:val="24"/>
          <w:lang w:val="fr-FR"/>
        </w:rPr>
        <w:t>pour l’amélioration des services’’ :</w:t>
      </w:r>
    </w:p>
    <w:p w14:paraId="3D52B5D1" w14:textId="0F4FEF5D" w:rsidR="005F4D7F" w:rsidRPr="006603E9" w:rsidRDefault="00674EF9" w:rsidP="00AA5024">
      <w:pPr>
        <w:pStyle w:val="ColorfulList-Accent111"/>
        <w:jc w:val="both"/>
        <w:rPr>
          <w:rFonts w:eastAsia="Times New Roman"/>
          <w:sz w:val="24"/>
          <w:szCs w:val="24"/>
          <w:lang w:val="fr-FR"/>
        </w:rPr>
      </w:pPr>
      <w:r>
        <w:rPr>
          <w:rFonts w:eastAsia="Times New Roman"/>
          <w:sz w:val="24"/>
          <w:szCs w:val="24"/>
          <w:lang w:val="fr-FR"/>
        </w:rPr>
        <w:t xml:space="preserve"> Un Coordonnateur de projet</w:t>
      </w:r>
      <w:r w:rsidR="005F4D7F" w:rsidRPr="006603E9">
        <w:rPr>
          <w:rFonts w:eastAsia="Times New Roman"/>
          <w:sz w:val="24"/>
          <w:szCs w:val="24"/>
          <w:lang w:val="fr-FR"/>
        </w:rPr>
        <w:t> ;</w:t>
      </w:r>
    </w:p>
    <w:p w14:paraId="2915EA38" w14:textId="61443C17" w:rsidR="00A06E1B" w:rsidRPr="006603E9" w:rsidRDefault="006B0D00" w:rsidP="00AA5024">
      <w:pPr>
        <w:pStyle w:val="ColorfulList-Accent111"/>
        <w:ind w:left="0" w:firstLine="720"/>
        <w:jc w:val="both"/>
        <w:rPr>
          <w:rFonts w:eastAsia="Times New Roman"/>
          <w:sz w:val="24"/>
          <w:szCs w:val="24"/>
          <w:lang w:val="fr-FR"/>
        </w:rPr>
      </w:pPr>
      <w:r w:rsidRPr="006603E9">
        <w:rPr>
          <w:rFonts w:eastAsia="Times New Roman"/>
          <w:sz w:val="24"/>
          <w:szCs w:val="24"/>
          <w:lang w:val="fr-FR"/>
        </w:rPr>
        <w:t xml:space="preserve">Un Responsable </w:t>
      </w:r>
      <w:r w:rsidR="00674EF9">
        <w:rPr>
          <w:rFonts w:eastAsia="Times New Roman"/>
          <w:sz w:val="24"/>
          <w:szCs w:val="24"/>
          <w:lang w:val="fr-FR"/>
        </w:rPr>
        <w:t xml:space="preserve">administratif et </w:t>
      </w:r>
      <w:proofErr w:type="gramStart"/>
      <w:r w:rsidR="00674EF9">
        <w:rPr>
          <w:rFonts w:eastAsia="Times New Roman"/>
          <w:sz w:val="24"/>
          <w:szCs w:val="24"/>
          <w:lang w:val="fr-FR"/>
        </w:rPr>
        <w:t>financier</w:t>
      </w:r>
      <w:r w:rsidRPr="006603E9">
        <w:rPr>
          <w:rFonts w:eastAsia="Times New Roman"/>
          <w:sz w:val="24"/>
          <w:szCs w:val="24"/>
          <w:lang w:val="fr-FR"/>
        </w:rPr>
        <w:t>;</w:t>
      </w:r>
      <w:proofErr w:type="gramEnd"/>
      <w:r w:rsidRPr="006603E9">
        <w:rPr>
          <w:rFonts w:eastAsia="Times New Roman"/>
          <w:sz w:val="24"/>
          <w:szCs w:val="24"/>
          <w:lang w:val="fr-FR"/>
        </w:rPr>
        <w:t xml:space="preserve"> </w:t>
      </w:r>
    </w:p>
    <w:p w14:paraId="48C73146" w14:textId="2E528E2F" w:rsidR="006B0D00" w:rsidRPr="006603E9" w:rsidRDefault="00674EF9" w:rsidP="00720B8F">
      <w:pPr>
        <w:pStyle w:val="ColorfulList-Accent111"/>
        <w:jc w:val="both"/>
        <w:rPr>
          <w:rFonts w:eastAsia="Times New Roman"/>
          <w:sz w:val="24"/>
          <w:szCs w:val="24"/>
          <w:lang w:val="fr-FR"/>
        </w:rPr>
      </w:pPr>
      <w:r>
        <w:rPr>
          <w:rFonts w:eastAsia="Times New Roman"/>
          <w:sz w:val="24"/>
          <w:szCs w:val="24"/>
          <w:lang w:val="fr-FR"/>
        </w:rPr>
        <w:t>Deux Experts</w:t>
      </w:r>
      <w:r w:rsidR="006B0D00" w:rsidRPr="006603E9">
        <w:rPr>
          <w:rFonts w:eastAsia="Times New Roman"/>
          <w:sz w:val="24"/>
          <w:szCs w:val="24"/>
          <w:lang w:val="fr-FR"/>
        </w:rPr>
        <w:t xml:space="preserve"> en Passation de Marchés ;</w:t>
      </w:r>
    </w:p>
    <w:p w14:paraId="29FD5489" w14:textId="77777777" w:rsidR="006B0D00" w:rsidRPr="006603E9" w:rsidRDefault="006B0D00" w:rsidP="00720B8F">
      <w:pPr>
        <w:pStyle w:val="ColorfulList-Accent111"/>
        <w:jc w:val="both"/>
        <w:rPr>
          <w:rFonts w:eastAsia="Times New Roman"/>
          <w:sz w:val="24"/>
          <w:szCs w:val="24"/>
          <w:lang w:val="fr-FR"/>
        </w:rPr>
      </w:pPr>
      <w:r w:rsidRPr="006603E9">
        <w:rPr>
          <w:rFonts w:eastAsia="Times New Roman"/>
          <w:sz w:val="24"/>
          <w:szCs w:val="24"/>
          <w:lang w:val="fr-FR"/>
        </w:rPr>
        <w:t>Un Comptable ;</w:t>
      </w:r>
    </w:p>
    <w:p w14:paraId="76A0DC2A" w14:textId="28597B26" w:rsidR="006B0D00" w:rsidRPr="006603E9" w:rsidRDefault="006B0D00" w:rsidP="00720B8F">
      <w:pPr>
        <w:pStyle w:val="ColorfulList-Accent111"/>
        <w:jc w:val="both"/>
        <w:rPr>
          <w:rFonts w:eastAsia="Times New Roman"/>
          <w:sz w:val="24"/>
          <w:szCs w:val="24"/>
          <w:lang w:val="fr-FR"/>
        </w:rPr>
      </w:pPr>
      <w:r w:rsidRPr="006603E9">
        <w:rPr>
          <w:rFonts w:eastAsia="Times New Roman"/>
          <w:sz w:val="24"/>
          <w:szCs w:val="24"/>
          <w:lang w:val="fr-FR"/>
        </w:rPr>
        <w:t>Une Assistante Administrative</w:t>
      </w:r>
      <w:r w:rsidR="00674EF9">
        <w:rPr>
          <w:rFonts w:eastAsia="Times New Roman"/>
          <w:sz w:val="24"/>
          <w:szCs w:val="24"/>
          <w:lang w:val="fr-FR"/>
        </w:rPr>
        <w:t>.</w:t>
      </w:r>
    </w:p>
    <w:p w14:paraId="4AB81E19" w14:textId="77777777" w:rsidR="006B0D00" w:rsidRPr="00C9307C" w:rsidRDefault="006B0D00" w:rsidP="00720B8F">
      <w:pPr>
        <w:pStyle w:val="ColorfulList-Accent111"/>
        <w:jc w:val="both"/>
        <w:rPr>
          <w:rFonts w:eastAsia="Times New Roman"/>
          <w:sz w:val="24"/>
          <w:szCs w:val="24"/>
          <w:lang w:val="fr-FR"/>
        </w:rPr>
      </w:pPr>
    </w:p>
    <w:p w14:paraId="14678691" w14:textId="30C6EF30" w:rsidR="0013280E" w:rsidRPr="00C9307C" w:rsidRDefault="008E696B" w:rsidP="00AD6CD3">
      <w:pPr>
        <w:pStyle w:val="Heading2"/>
        <w:numPr>
          <w:ilvl w:val="0"/>
          <w:numId w:val="6"/>
        </w:numPr>
        <w:rPr>
          <w:lang w:val="fr-FR"/>
        </w:rPr>
      </w:pPr>
      <w:bookmarkStart w:id="38" w:name="_Toc3810474"/>
      <w:r w:rsidRPr="00C9307C">
        <w:rPr>
          <w:lang w:val="fr-FR"/>
        </w:rPr>
        <w:t xml:space="preserve">POLITIQUE ET PROCESSUS DE </w:t>
      </w:r>
      <w:r w:rsidR="0013280E" w:rsidRPr="00C9307C">
        <w:rPr>
          <w:lang w:val="fr-FR"/>
        </w:rPr>
        <w:t>RECRU</w:t>
      </w:r>
      <w:r w:rsidRPr="00C9307C">
        <w:rPr>
          <w:lang w:val="fr-FR"/>
        </w:rPr>
        <w:t>TEMENT</w:t>
      </w:r>
      <w:bookmarkEnd w:id="38"/>
    </w:p>
    <w:p w14:paraId="5AD2E026" w14:textId="77777777" w:rsidR="007D7E38" w:rsidRPr="00C9307C" w:rsidRDefault="007D7E38" w:rsidP="007D7E38">
      <w:pPr>
        <w:rPr>
          <w:lang w:val="fr-FR"/>
        </w:rPr>
      </w:pPr>
    </w:p>
    <w:p w14:paraId="62A22837" w14:textId="77777777" w:rsidR="00AE2CC7" w:rsidRPr="00C9307C" w:rsidRDefault="00AE2CC7" w:rsidP="00AE2CC7">
      <w:pPr>
        <w:pStyle w:val="ColorfulList-Accent111"/>
        <w:numPr>
          <w:ilvl w:val="1"/>
          <w:numId w:val="2"/>
        </w:numPr>
        <w:ind w:left="720" w:hanging="720"/>
        <w:jc w:val="both"/>
        <w:rPr>
          <w:sz w:val="24"/>
          <w:szCs w:val="24"/>
          <w:lang w:val="fr-FR"/>
        </w:rPr>
      </w:pPr>
      <w:r w:rsidRPr="00C9307C">
        <w:rPr>
          <w:rFonts w:eastAsia="Times New Roman"/>
          <w:b/>
          <w:sz w:val="24"/>
          <w:szCs w:val="24"/>
          <w:lang w:val="fr-FR"/>
        </w:rPr>
        <w:t>UCP-MEF</w:t>
      </w:r>
      <w:r w:rsidRPr="00C9307C">
        <w:rPr>
          <w:rFonts w:eastAsia="Times New Roman"/>
          <w:sz w:val="24"/>
          <w:szCs w:val="24"/>
          <w:lang w:val="fr-FR"/>
        </w:rPr>
        <w:t>. L’UCP</w:t>
      </w:r>
      <w:r w:rsidR="006E6542" w:rsidRPr="00C9307C">
        <w:rPr>
          <w:rFonts w:eastAsia="Times New Roman"/>
          <w:sz w:val="24"/>
          <w:szCs w:val="24"/>
          <w:lang w:val="fr-FR"/>
        </w:rPr>
        <w:t>/</w:t>
      </w:r>
      <w:r w:rsidRPr="00C9307C">
        <w:rPr>
          <w:rFonts w:eastAsia="Times New Roman"/>
          <w:sz w:val="24"/>
          <w:szCs w:val="24"/>
          <w:lang w:val="fr-FR"/>
        </w:rPr>
        <w:t>MEF prendra en charge le processus de recrutement des</w:t>
      </w:r>
      <w:r w:rsidR="00CB07DA" w:rsidRPr="00C9307C">
        <w:rPr>
          <w:rFonts w:eastAsia="Times New Roman"/>
          <w:sz w:val="24"/>
          <w:szCs w:val="24"/>
          <w:lang w:val="fr-FR"/>
        </w:rPr>
        <w:t xml:space="preserve"> consultants du projet</w:t>
      </w:r>
      <w:r w:rsidRPr="00C9307C">
        <w:rPr>
          <w:rFonts w:eastAsia="Times New Roman"/>
          <w:sz w:val="24"/>
          <w:szCs w:val="24"/>
          <w:lang w:val="fr-FR"/>
        </w:rPr>
        <w:t>. Il dirigera le processus pour le recrutement des cons</w:t>
      </w:r>
      <w:r w:rsidR="00CB07DA" w:rsidRPr="00C9307C">
        <w:rPr>
          <w:rFonts w:eastAsia="Times New Roman"/>
          <w:sz w:val="24"/>
          <w:szCs w:val="24"/>
          <w:lang w:val="fr-FR"/>
        </w:rPr>
        <w:t>ultants</w:t>
      </w:r>
      <w:r w:rsidRPr="00C9307C">
        <w:rPr>
          <w:rFonts w:eastAsia="Times New Roman"/>
          <w:sz w:val="24"/>
          <w:szCs w:val="24"/>
          <w:lang w:val="fr-FR"/>
        </w:rPr>
        <w:t xml:space="preserve"> et supervisera le processus de sélection des consultants recrutés par d’autres agences et ministères participants d</w:t>
      </w:r>
      <w:r w:rsidR="00CB07DA" w:rsidRPr="00C9307C">
        <w:rPr>
          <w:rFonts w:eastAsia="Times New Roman"/>
          <w:sz w:val="24"/>
          <w:szCs w:val="24"/>
          <w:lang w:val="fr-FR"/>
        </w:rPr>
        <w:t>ans le cadre du projet</w:t>
      </w:r>
      <w:r w:rsidRPr="00C9307C">
        <w:rPr>
          <w:rFonts w:eastAsia="Times New Roman"/>
          <w:sz w:val="24"/>
          <w:szCs w:val="24"/>
          <w:lang w:val="fr-FR"/>
        </w:rPr>
        <w:t>.</w:t>
      </w:r>
    </w:p>
    <w:p w14:paraId="01EDA106" w14:textId="77777777" w:rsidR="00AE2CC7" w:rsidRPr="00C9307C" w:rsidRDefault="00AE2CC7" w:rsidP="00AE2CC7">
      <w:pPr>
        <w:pStyle w:val="ColorfulList-Accent111"/>
        <w:numPr>
          <w:ilvl w:val="1"/>
          <w:numId w:val="2"/>
        </w:numPr>
        <w:ind w:left="720" w:hanging="720"/>
        <w:jc w:val="both"/>
        <w:rPr>
          <w:sz w:val="24"/>
          <w:szCs w:val="24"/>
          <w:lang w:val="fr-FR"/>
        </w:rPr>
      </w:pPr>
      <w:r w:rsidRPr="00C9307C">
        <w:rPr>
          <w:rFonts w:eastAsia="Times New Roman"/>
          <w:sz w:val="24"/>
          <w:szCs w:val="24"/>
          <w:lang w:val="fr-FR"/>
        </w:rPr>
        <w:t xml:space="preserve">L’UCP-MEF s’assurera que les listes </w:t>
      </w:r>
      <w:r w:rsidR="006E6542" w:rsidRPr="00C9307C">
        <w:rPr>
          <w:rFonts w:eastAsia="Times New Roman"/>
          <w:sz w:val="24"/>
          <w:szCs w:val="24"/>
          <w:lang w:val="fr-FR"/>
        </w:rPr>
        <w:t xml:space="preserve">restreintes </w:t>
      </w:r>
      <w:r w:rsidRPr="00C9307C">
        <w:rPr>
          <w:rFonts w:eastAsia="Times New Roman"/>
          <w:sz w:val="24"/>
          <w:szCs w:val="24"/>
          <w:lang w:val="fr-FR"/>
        </w:rPr>
        <w:t>sont montées sur la base des termes de référence pour les postes, et que les panels de sélection sont constitués et que les dossiers sont complets.  Chaque dossier soumis à la non objection de la Banque contiendra : (i) les termes de référence pour le poste ; (ii) les CV des trois candidats  dont les dossiers ont été analysés à partir de la liste </w:t>
      </w:r>
      <w:r w:rsidR="006E6542" w:rsidRPr="00C9307C">
        <w:rPr>
          <w:rFonts w:eastAsia="Times New Roman"/>
          <w:sz w:val="24"/>
          <w:szCs w:val="24"/>
          <w:lang w:val="fr-FR"/>
        </w:rPr>
        <w:t xml:space="preserve">restreinte </w:t>
      </w:r>
      <w:r w:rsidRPr="00C9307C">
        <w:rPr>
          <w:rFonts w:eastAsia="Times New Roman"/>
          <w:sz w:val="24"/>
          <w:szCs w:val="24"/>
          <w:lang w:val="fr-FR"/>
        </w:rPr>
        <w:t>pour le poste ; (iii) le rapport d’évaluation préparé pour chacun des candidats par le panel de sélection – le rapport d’évaluation  se présente sous forme d’un tableau comparatif incluant les critères de sélection et les points gagnés par chacun des candidats ; et (iv) une ébauche de contrat pour chacun des consultants sélectionnés avec le salaire proposé.</w:t>
      </w:r>
    </w:p>
    <w:p w14:paraId="14470AE5" w14:textId="5B530B8D" w:rsidR="00AE2CC7" w:rsidRPr="00C9307C" w:rsidRDefault="00AE2CC7" w:rsidP="00AE2CC7">
      <w:pPr>
        <w:pStyle w:val="ColorfulList-Accent111"/>
        <w:numPr>
          <w:ilvl w:val="1"/>
          <w:numId w:val="2"/>
        </w:numPr>
        <w:ind w:left="720" w:hanging="720"/>
        <w:jc w:val="both"/>
        <w:rPr>
          <w:sz w:val="24"/>
          <w:szCs w:val="24"/>
          <w:lang w:val="fr-FR"/>
        </w:rPr>
      </w:pPr>
      <w:r w:rsidRPr="00C9307C">
        <w:rPr>
          <w:rFonts w:eastAsia="Times New Roman"/>
          <w:sz w:val="24"/>
          <w:szCs w:val="24"/>
          <w:lang w:val="fr-FR"/>
        </w:rPr>
        <w:t xml:space="preserve">En cas de transmission d’un dossier par courriel, une copie doit aussi être envoyée à l’adresse de </w:t>
      </w:r>
      <w:r w:rsidRPr="00C9307C">
        <w:rPr>
          <w:rFonts w:eastAsia="Times New Roman"/>
          <w:b/>
          <w:sz w:val="24"/>
          <w:szCs w:val="24"/>
          <w:lang w:val="fr-FR"/>
        </w:rPr>
        <w:t>BIDHAITI</w:t>
      </w:r>
      <w:r w:rsidRPr="00C9307C">
        <w:rPr>
          <w:rFonts w:eastAsia="Times New Roman"/>
          <w:sz w:val="24"/>
          <w:szCs w:val="24"/>
          <w:lang w:val="fr-FR"/>
        </w:rPr>
        <w:t>. Les dossiers doivent être transmis avec une lettre de couverture d’une personne dont la signature est enregistrée à la Banque demandant la non objection de la Banque, adressée au Chef des Opérations. Normalement, la lettre demandant la non objection fera référence à l’activité dans le PAO</w:t>
      </w:r>
      <w:r w:rsidR="00530C3C" w:rsidRPr="00C9307C">
        <w:rPr>
          <w:rFonts w:eastAsia="Times New Roman"/>
          <w:sz w:val="24"/>
          <w:szCs w:val="24"/>
          <w:lang w:val="fr-FR"/>
        </w:rPr>
        <w:t xml:space="preserve"> </w:t>
      </w:r>
      <w:r w:rsidRPr="00C9307C">
        <w:rPr>
          <w:rFonts w:eastAsia="Times New Roman"/>
          <w:sz w:val="24"/>
          <w:szCs w:val="24"/>
          <w:lang w:val="fr-FR"/>
        </w:rPr>
        <w:t xml:space="preserve">qui correspond au contrat. Cependant, au début de l’exécution du Programme il faudra faire référence </w:t>
      </w:r>
      <w:proofErr w:type="gramStart"/>
      <w:r w:rsidRPr="00C9307C">
        <w:rPr>
          <w:rFonts w:eastAsia="Times New Roman"/>
          <w:sz w:val="24"/>
          <w:szCs w:val="24"/>
          <w:lang w:val="fr-FR"/>
        </w:rPr>
        <w:t>au</w:t>
      </w:r>
      <w:proofErr w:type="gramEnd"/>
      <w:r w:rsidRPr="00C9307C">
        <w:rPr>
          <w:rFonts w:eastAsia="Times New Roman"/>
          <w:sz w:val="24"/>
          <w:szCs w:val="24"/>
          <w:lang w:val="fr-FR"/>
        </w:rPr>
        <w:t xml:space="preserve"> plan initial de passation de marchés annexé à ce MO.</w:t>
      </w:r>
    </w:p>
    <w:p w14:paraId="0479B103" w14:textId="77777777" w:rsidR="00AE2CC7" w:rsidRPr="00C9307C" w:rsidRDefault="00AE2CC7" w:rsidP="00AE2CC7">
      <w:pPr>
        <w:pStyle w:val="ColorfulList-Accent111"/>
        <w:numPr>
          <w:ilvl w:val="1"/>
          <w:numId w:val="2"/>
        </w:numPr>
        <w:ind w:left="720" w:hanging="720"/>
        <w:jc w:val="both"/>
        <w:rPr>
          <w:sz w:val="24"/>
          <w:szCs w:val="24"/>
          <w:lang w:val="fr-FR"/>
        </w:rPr>
      </w:pPr>
      <w:r w:rsidRPr="00C9307C">
        <w:rPr>
          <w:rFonts w:eastAsia="Times New Roman"/>
          <w:sz w:val="24"/>
          <w:szCs w:val="24"/>
          <w:lang w:val="fr-FR"/>
        </w:rPr>
        <w:lastRenderedPageBreak/>
        <w:t xml:space="preserve">Le format des modèles pour la présentation des CV des candidats et pour le contrat </w:t>
      </w:r>
      <w:proofErr w:type="gramStart"/>
      <w:r w:rsidRPr="00C9307C">
        <w:rPr>
          <w:rFonts w:eastAsia="Times New Roman"/>
          <w:sz w:val="24"/>
          <w:szCs w:val="24"/>
          <w:lang w:val="fr-FR"/>
        </w:rPr>
        <w:t>sont</w:t>
      </w:r>
      <w:proofErr w:type="gramEnd"/>
      <w:r w:rsidRPr="00C9307C">
        <w:rPr>
          <w:rFonts w:eastAsia="Times New Roman"/>
          <w:sz w:val="24"/>
          <w:szCs w:val="24"/>
          <w:lang w:val="fr-FR"/>
        </w:rPr>
        <w:t xml:space="preserve"> dans le CD annexé au MO. En cas d’actualisation de la version du CD, la Banque transmettra la version actualisée.</w:t>
      </w:r>
    </w:p>
    <w:p w14:paraId="4B8884F3" w14:textId="77777777" w:rsidR="00AE2CC7" w:rsidRPr="00C9307C" w:rsidRDefault="00AE2CC7" w:rsidP="00AE2CC7">
      <w:pPr>
        <w:pStyle w:val="ColorfulList-Accent111"/>
        <w:numPr>
          <w:ilvl w:val="1"/>
          <w:numId w:val="2"/>
        </w:numPr>
        <w:ind w:left="720" w:hanging="720"/>
        <w:jc w:val="both"/>
        <w:rPr>
          <w:sz w:val="24"/>
          <w:szCs w:val="24"/>
          <w:lang w:val="fr-FR"/>
        </w:rPr>
      </w:pPr>
      <w:r w:rsidRPr="00C9307C">
        <w:rPr>
          <w:sz w:val="24"/>
          <w:szCs w:val="24"/>
          <w:lang w:val="fr-FR"/>
        </w:rPr>
        <w:t>Les contrats seront passés pour au plus un an non renouvelable tacitement. Les contrats seront résiliés par préavis écrit d’au moins un mois, ou contre paiement sans préavis.</w:t>
      </w:r>
    </w:p>
    <w:p w14:paraId="4F613558" w14:textId="77777777" w:rsidR="00AE2CC7" w:rsidRPr="00C9307C" w:rsidRDefault="00AE2CC7" w:rsidP="00AE2CC7">
      <w:pPr>
        <w:pStyle w:val="ColorfulList-Accent111"/>
        <w:numPr>
          <w:ilvl w:val="1"/>
          <w:numId w:val="2"/>
        </w:numPr>
        <w:ind w:left="720" w:hanging="720"/>
        <w:jc w:val="both"/>
        <w:rPr>
          <w:sz w:val="24"/>
          <w:szCs w:val="24"/>
          <w:lang w:val="fr-FR"/>
        </w:rPr>
      </w:pPr>
      <w:r w:rsidRPr="00C9307C">
        <w:rPr>
          <w:sz w:val="24"/>
          <w:szCs w:val="24"/>
          <w:lang w:val="fr-FR"/>
        </w:rPr>
        <w:t>En cas de vacances cumulées, il peut être ordonné au membre du personnel de prendre ses vacances pendant la période du préavis. Les contrats seront cependant soumis à révision à la fin de chaque année de performance, et à tout moment si les circonstances l’exigent.</w:t>
      </w:r>
    </w:p>
    <w:p w14:paraId="5F484D5B" w14:textId="77777777" w:rsidR="00AE2CC7" w:rsidRPr="00C9307C" w:rsidRDefault="00AE2CC7" w:rsidP="00AE2CC7">
      <w:pPr>
        <w:pStyle w:val="ColorfulList-Accent111"/>
        <w:numPr>
          <w:ilvl w:val="1"/>
          <w:numId w:val="2"/>
        </w:numPr>
        <w:ind w:left="720" w:hanging="720"/>
        <w:jc w:val="both"/>
        <w:rPr>
          <w:sz w:val="24"/>
          <w:szCs w:val="24"/>
          <w:lang w:val="fr-FR"/>
        </w:rPr>
      </w:pPr>
      <w:r w:rsidRPr="00C9307C">
        <w:rPr>
          <w:sz w:val="24"/>
          <w:szCs w:val="24"/>
          <w:lang w:val="fr-FR"/>
        </w:rPr>
        <w:t>Chaque consultant de long terme financé dans le cadre du Programme subira une période de probation de trois mois au bout de laquelle une révision de la performance confirmera le consultant à son poste ou pas.</w:t>
      </w:r>
    </w:p>
    <w:p w14:paraId="73CC7479" w14:textId="77777777" w:rsidR="00AE2CC7" w:rsidRPr="00C9307C" w:rsidRDefault="00AE2CC7" w:rsidP="00AE2CC7">
      <w:pPr>
        <w:pStyle w:val="ColorfulList-Accent111"/>
        <w:tabs>
          <w:tab w:val="left" w:pos="4510"/>
        </w:tabs>
        <w:jc w:val="both"/>
        <w:rPr>
          <w:sz w:val="24"/>
          <w:szCs w:val="24"/>
          <w:lang w:val="fr-FR"/>
        </w:rPr>
      </w:pPr>
      <w:r w:rsidRPr="00C9307C">
        <w:rPr>
          <w:sz w:val="24"/>
          <w:szCs w:val="24"/>
          <w:lang w:val="fr-FR"/>
        </w:rPr>
        <w:tab/>
      </w:r>
    </w:p>
    <w:p w14:paraId="059D2CB0" w14:textId="3A6384D4" w:rsidR="00AE2CC7" w:rsidRPr="00C9307C" w:rsidRDefault="00AE2CC7" w:rsidP="00AE2CC7">
      <w:pPr>
        <w:pStyle w:val="ColorfulList-Accent111"/>
        <w:numPr>
          <w:ilvl w:val="1"/>
          <w:numId w:val="2"/>
        </w:numPr>
        <w:ind w:left="720" w:hanging="720"/>
        <w:jc w:val="both"/>
        <w:rPr>
          <w:sz w:val="24"/>
          <w:szCs w:val="24"/>
          <w:lang w:val="fr-FR"/>
        </w:rPr>
      </w:pPr>
      <w:r w:rsidRPr="00C9307C">
        <w:rPr>
          <w:sz w:val="24"/>
          <w:szCs w:val="24"/>
          <w:lang w:val="fr-FR"/>
        </w:rPr>
        <w:t>La BID s’engage</w:t>
      </w:r>
      <w:r w:rsidR="00530C3C" w:rsidRPr="00C9307C">
        <w:rPr>
          <w:sz w:val="24"/>
          <w:szCs w:val="24"/>
          <w:lang w:val="fr-FR"/>
        </w:rPr>
        <w:t xml:space="preserve"> </w:t>
      </w:r>
      <w:r w:rsidRPr="00C9307C">
        <w:rPr>
          <w:sz w:val="24"/>
          <w:szCs w:val="24"/>
          <w:lang w:val="fr-FR"/>
        </w:rPr>
        <w:t>à compléter le processus de Non-Objection dans un délai de 15 jours maximum, à partir de la date de réception formelle de la requête. Au cas où il faudrait davantage de temps à la Banque pour analyser et étudier la requête, la BID informera par écrit du délai additionnel nécessaire pour une réponse adéquate.</w:t>
      </w:r>
    </w:p>
    <w:p w14:paraId="79C8109C" w14:textId="77777777" w:rsidR="004B163C" w:rsidRPr="00C9307C" w:rsidRDefault="0013280E" w:rsidP="00AD6CD3">
      <w:pPr>
        <w:pStyle w:val="Heading1"/>
        <w:numPr>
          <w:ilvl w:val="0"/>
          <w:numId w:val="13"/>
        </w:numPr>
        <w:jc w:val="center"/>
        <w:rPr>
          <w:rFonts w:ascii="Calibri" w:hAnsi="Calibri"/>
          <w:color w:val="1F497D"/>
          <w:lang w:val="fr-FR"/>
        </w:rPr>
      </w:pPr>
      <w:bookmarkStart w:id="39" w:name="_Toc3810475"/>
      <w:r w:rsidRPr="00C9307C">
        <w:rPr>
          <w:rFonts w:ascii="Calibri" w:hAnsi="Calibri"/>
          <w:color w:val="1F497D"/>
          <w:lang w:val="fr-FR"/>
        </w:rPr>
        <w:t>PASSATION DE MARCHES DE BIENS, TRAVAUX ET SERVICES DE CONSULTANTS</w:t>
      </w:r>
      <w:bookmarkEnd w:id="39"/>
    </w:p>
    <w:p w14:paraId="0B32251D" w14:textId="77777777" w:rsidR="004B163C" w:rsidRPr="00C9307C" w:rsidRDefault="004B163C" w:rsidP="00AD6CD3">
      <w:pPr>
        <w:pStyle w:val="Heading2"/>
        <w:numPr>
          <w:ilvl w:val="0"/>
          <w:numId w:val="6"/>
        </w:numPr>
        <w:rPr>
          <w:rFonts w:eastAsia="MS Mincho"/>
          <w:lang w:val="fr-FR"/>
        </w:rPr>
      </w:pPr>
      <w:bookmarkStart w:id="40" w:name="_Toc517290537"/>
      <w:bookmarkStart w:id="41" w:name="_Toc3810476"/>
      <w:r w:rsidRPr="00C9307C">
        <w:rPr>
          <w:rFonts w:eastAsia="MS Mincho"/>
          <w:lang w:val="fr-FR"/>
        </w:rPr>
        <w:t>CONSIDÉRATIONS GÉNÉRALES</w:t>
      </w:r>
      <w:bookmarkEnd w:id="40"/>
      <w:bookmarkEnd w:id="41"/>
    </w:p>
    <w:p w14:paraId="1DC68781" w14:textId="77777777" w:rsidR="004B163C" w:rsidRPr="00C9307C" w:rsidRDefault="004B163C" w:rsidP="004B163C">
      <w:pPr>
        <w:contextualSpacing/>
        <w:jc w:val="both"/>
        <w:rPr>
          <w:rFonts w:eastAsia="MS Mincho"/>
          <w:sz w:val="24"/>
          <w:szCs w:val="24"/>
          <w:lang w:val="fr-FR"/>
        </w:rPr>
      </w:pPr>
    </w:p>
    <w:p w14:paraId="64491BA7" w14:textId="16EB9781" w:rsidR="00CB07DA" w:rsidRPr="00C9307C" w:rsidRDefault="00CB07DA" w:rsidP="000F2E58">
      <w:pPr>
        <w:pStyle w:val="ColorfulList-Accent111"/>
        <w:numPr>
          <w:ilvl w:val="1"/>
          <w:numId w:val="27"/>
        </w:numPr>
        <w:tabs>
          <w:tab w:val="left" w:pos="720"/>
        </w:tabs>
        <w:ind w:hanging="270"/>
        <w:jc w:val="both"/>
        <w:rPr>
          <w:sz w:val="24"/>
          <w:szCs w:val="24"/>
          <w:lang w:val="fr-FR"/>
        </w:rPr>
      </w:pPr>
      <w:r w:rsidRPr="00C9307C">
        <w:rPr>
          <w:sz w:val="24"/>
          <w:szCs w:val="24"/>
          <w:lang w:val="fr-FR"/>
        </w:rPr>
        <w:t xml:space="preserve">De même que la responsabilité de la mise en œuvre du projet, la conduite des processus de passation de marchés et l'administration des contrats incombe </w:t>
      </w:r>
      <w:r w:rsidR="004B55AE" w:rsidRPr="00C9307C">
        <w:rPr>
          <w:sz w:val="24"/>
          <w:szCs w:val="24"/>
          <w:lang w:val="fr-FR"/>
        </w:rPr>
        <w:t>aux</w:t>
      </w:r>
      <w:r w:rsidRPr="00C9307C">
        <w:rPr>
          <w:sz w:val="24"/>
          <w:szCs w:val="24"/>
          <w:lang w:val="fr-FR"/>
        </w:rPr>
        <w:t xml:space="preserve"> agence</w:t>
      </w:r>
      <w:r w:rsidR="004B55AE" w:rsidRPr="00C9307C">
        <w:rPr>
          <w:sz w:val="24"/>
          <w:szCs w:val="24"/>
          <w:lang w:val="fr-FR"/>
        </w:rPr>
        <w:t>s</w:t>
      </w:r>
      <w:r w:rsidR="00530C3C" w:rsidRPr="00C9307C">
        <w:rPr>
          <w:sz w:val="24"/>
          <w:szCs w:val="24"/>
          <w:lang w:val="fr-FR"/>
        </w:rPr>
        <w:t xml:space="preserve"> </w:t>
      </w:r>
      <w:r w:rsidRPr="00C9307C">
        <w:rPr>
          <w:sz w:val="24"/>
          <w:szCs w:val="24"/>
          <w:lang w:val="fr-FR"/>
        </w:rPr>
        <w:t>d’exécution. La Banque, pour sa part, est tenue par ses statuts de s’assurer que les fonds donnés au Gouvernement Haïtien soient utilisés de la façon la plus rationnelle que possible pour financer les activités prévues aux projets, et assurer la tenue d’archives complètes de tous les processus menant à l’engagement de ces fonds ’’, compte tenu des considérations d'économie et d'efficacité, et sans égard à la politique ou d'autres facteurs non économiques.</w:t>
      </w:r>
    </w:p>
    <w:p w14:paraId="63B6D3EC" w14:textId="77777777" w:rsidR="00A06E1B" w:rsidRPr="00C9307C" w:rsidRDefault="00A06E1B" w:rsidP="00720B8F">
      <w:pPr>
        <w:ind w:left="180"/>
        <w:contextualSpacing/>
        <w:jc w:val="both"/>
        <w:rPr>
          <w:rFonts w:eastAsia="MS Mincho"/>
          <w:sz w:val="24"/>
          <w:szCs w:val="24"/>
          <w:lang w:val="fr-FR"/>
        </w:rPr>
      </w:pPr>
    </w:p>
    <w:p w14:paraId="77ECE10B" w14:textId="77777777" w:rsidR="004B163C" w:rsidRPr="00C9307C" w:rsidRDefault="004B163C" w:rsidP="004B163C">
      <w:pPr>
        <w:autoSpaceDE w:val="0"/>
        <w:autoSpaceDN w:val="0"/>
        <w:adjustRightInd w:val="0"/>
        <w:jc w:val="both"/>
        <w:rPr>
          <w:rFonts w:eastAsia="MS Mincho"/>
          <w:sz w:val="24"/>
          <w:szCs w:val="24"/>
          <w:lang w:val="fr-FR"/>
        </w:rPr>
      </w:pPr>
    </w:p>
    <w:p w14:paraId="55825ACE" w14:textId="77777777" w:rsidR="004B163C" w:rsidRPr="00C9307C" w:rsidRDefault="004B163C" w:rsidP="004B163C">
      <w:pPr>
        <w:autoSpaceDE w:val="0"/>
        <w:autoSpaceDN w:val="0"/>
        <w:adjustRightInd w:val="0"/>
        <w:jc w:val="both"/>
        <w:rPr>
          <w:rFonts w:eastAsia="MS Mincho"/>
          <w:b/>
          <w:sz w:val="24"/>
          <w:szCs w:val="24"/>
          <w:lang w:val="fr-FR"/>
        </w:rPr>
      </w:pPr>
      <w:r w:rsidRPr="00C9307C">
        <w:rPr>
          <w:rFonts w:eastAsia="MS Mincho"/>
          <w:b/>
          <w:sz w:val="24"/>
          <w:szCs w:val="24"/>
          <w:lang w:val="fr-FR"/>
        </w:rPr>
        <w:t xml:space="preserve">          Règles, Politiques &amp; Procédures applicables</w:t>
      </w:r>
    </w:p>
    <w:p w14:paraId="04E27BC3" w14:textId="77777777" w:rsidR="004B163C" w:rsidRPr="00C9307C" w:rsidRDefault="004B163C" w:rsidP="004B163C">
      <w:pPr>
        <w:autoSpaceDE w:val="0"/>
        <w:autoSpaceDN w:val="0"/>
        <w:adjustRightInd w:val="0"/>
        <w:jc w:val="both"/>
        <w:rPr>
          <w:rFonts w:eastAsia="MS Mincho"/>
          <w:sz w:val="24"/>
          <w:szCs w:val="24"/>
          <w:lang w:val="fr-FR"/>
        </w:rPr>
      </w:pPr>
    </w:p>
    <w:p w14:paraId="7FB2A308" w14:textId="073C6F5F" w:rsidR="00CB07DA" w:rsidRPr="00C9307C" w:rsidRDefault="007D7E38" w:rsidP="00CB07DA">
      <w:pPr>
        <w:pStyle w:val="ColorfulList-Accent111"/>
        <w:numPr>
          <w:ilvl w:val="1"/>
          <w:numId w:val="32"/>
        </w:numPr>
        <w:jc w:val="both"/>
        <w:rPr>
          <w:sz w:val="24"/>
          <w:szCs w:val="24"/>
          <w:lang w:val="fr-FR"/>
        </w:rPr>
      </w:pPr>
      <w:r w:rsidRPr="00C9307C">
        <w:rPr>
          <w:sz w:val="24"/>
          <w:szCs w:val="24"/>
          <w:lang w:val="fr-FR"/>
        </w:rPr>
        <w:t>Toutes</w:t>
      </w:r>
      <w:r w:rsidR="00CB07DA" w:rsidRPr="00C9307C">
        <w:rPr>
          <w:sz w:val="24"/>
          <w:szCs w:val="24"/>
          <w:lang w:val="fr-FR"/>
        </w:rPr>
        <w:t xml:space="preserve"> les activités de passation de marchés entrepris par l’agence d’Exécution dans le cadre du projet HA-L1131</w:t>
      </w:r>
      <w:r w:rsidR="00084223">
        <w:rPr>
          <w:sz w:val="24"/>
          <w:szCs w:val="24"/>
          <w:lang w:val="fr-FR"/>
        </w:rPr>
        <w:t xml:space="preserve"> </w:t>
      </w:r>
      <w:r w:rsidR="00CB07DA" w:rsidRPr="00C9307C">
        <w:rPr>
          <w:sz w:val="24"/>
          <w:szCs w:val="24"/>
          <w:lang w:val="fr-FR"/>
        </w:rPr>
        <w:t>sont subordonnées aux dispositions établies dans les règles et procédures de la Banque à savoir :</w:t>
      </w:r>
    </w:p>
    <w:p w14:paraId="032556C8" w14:textId="77777777" w:rsidR="00CB07DA" w:rsidRPr="00C9307C" w:rsidRDefault="00CB07DA" w:rsidP="00CB07DA">
      <w:pPr>
        <w:autoSpaceDE w:val="0"/>
        <w:autoSpaceDN w:val="0"/>
        <w:adjustRightInd w:val="0"/>
        <w:jc w:val="both"/>
        <w:rPr>
          <w:rFonts w:eastAsia="MS Mincho"/>
          <w:sz w:val="24"/>
          <w:szCs w:val="24"/>
          <w:lang w:val="fr-FR"/>
        </w:rPr>
      </w:pPr>
    </w:p>
    <w:p w14:paraId="4A7EE749" w14:textId="77777777" w:rsidR="00CB07DA" w:rsidRPr="00C9307C" w:rsidRDefault="00CB07DA" w:rsidP="00CB07DA">
      <w:pPr>
        <w:numPr>
          <w:ilvl w:val="0"/>
          <w:numId w:val="34"/>
        </w:numPr>
        <w:autoSpaceDE w:val="0"/>
        <w:autoSpaceDN w:val="0"/>
        <w:adjustRightInd w:val="0"/>
        <w:spacing w:after="200" w:line="276" w:lineRule="auto"/>
        <w:ind w:left="900" w:hanging="360"/>
        <w:contextualSpacing/>
        <w:jc w:val="both"/>
        <w:rPr>
          <w:rFonts w:eastAsia="MS Mincho"/>
          <w:sz w:val="24"/>
          <w:szCs w:val="24"/>
          <w:lang w:val="fr-FR"/>
        </w:rPr>
      </w:pPr>
      <w:r w:rsidRPr="00C9307C">
        <w:rPr>
          <w:rFonts w:eastAsia="MS Mincho"/>
          <w:sz w:val="24"/>
          <w:szCs w:val="24"/>
          <w:lang w:val="fr-FR"/>
        </w:rPr>
        <w:t xml:space="preserve">Pour les marchés de </w:t>
      </w:r>
      <w:r w:rsidRPr="00C9307C">
        <w:rPr>
          <w:rFonts w:eastAsia="MS Mincho"/>
          <w:sz w:val="24"/>
          <w:szCs w:val="24"/>
          <w:u w:val="single"/>
          <w:lang w:val="fr-FR"/>
        </w:rPr>
        <w:t>Biens &amp; Services connexes, et Travaux </w:t>
      </w:r>
      <w:r w:rsidRPr="00C9307C">
        <w:rPr>
          <w:rFonts w:eastAsia="MS Mincho"/>
          <w:sz w:val="24"/>
          <w:szCs w:val="24"/>
          <w:lang w:val="fr-FR"/>
        </w:rPr>
        <w:t>: seront applicables les Politiques relatives à la passation des marchés de biens et de travaux financés par la Banque Interaméricaine de Développement (GN-2349-9, Mars 2011).</w:t>
      </w:r>
    </w:p>
    <w:p w14:paraId="017BB0F2" w14:textId="75981387" w:rsidR="00CB07DA" w:rsidRDefault="00CB07DA" w:rsidP="00CB07DA">
      <w:pPr>
        <w:numPr>
          <w:ilvl w:val="0"/>
          <w:numId w:val="34"/>
        </w:numPr>
        <w:tabs>
          <w:tab w:val="left" w:pos="900"/>
        </w:tabs>
        <w:autoSpaceDE w:val="0"/>
        <w:autoSpaceDN w:val="0"/>
        <w:adjustRightInd w:val="0"/>
        <w:spacing w:after="200" w:line="276" w:lineRule="auto"/>
        <w:ind w:left="900" w:hanging="360"/>
        <w:contextualSpacing/>
        <w:jc w:val="both"/>
        <w:rPr>
          <w:rFonts w:eastAsia="MS Mincho"/>
          <w:sz w:val="24"/>
          <w:szCs w:val="24"/>
          <w:lang w:val="fr-FR"/>
        </w:rPr>
      </w:pPr>
      <w:r w:rsidRPr="00C9307C">
        <w:rPr>
          <w:rFonts w:eastAsia="MS Mincho"/>
          <w:sz w:val="24"/>
          <w:szCs w:val="24"/>
          <w:lang w:val="fr-FR"/>
        </w:rPr>
        <w:lastRenderedPageBreak/>
        <w:t xml:space="preserve">Pour les marchés de services de </w:t>
      </w:r>
      <w:r w:rsidRPr="00C9307C">
        <w:rPr>
          <w:rFonts w:eastAsia="MS Mincho"/>
          <w:sz w:val="24"/>
          <w:szCs w:val="24"/>
          <w:u w:val="single"/>
          <w:lang w:val="fr-FR"/>
        </w:rPr>
        <w:t>Consultants</w:t>
      </w:r>
      <w:r w:rsidRPr="00C9307C">
        <w:rPr>
          <w:rFonts w:eastAsia="MS Mincho"/>
          <w:sz w:val="24"/>
          <w:szCs w:val="24"/>
          <w:lang w:val="fr-FR"/>
        </w:rPr>
        <w:t> : seront applicables les Politiques relatives à la sélection et au recrutement de consultants financés par la Banque Interaméricaine de Développement (GN-2350-9, Mars 2011).</w:t>
      </w:r>
    </w:p>
    <w:p w14:paraId="66321A9A" w14:textId="77777777" w:rsidR="00D11468" w:rsidRPr="006603E9" w:rsidRDefault="00D11468" w:rsidP="00D11468">
      <w:pPr>
        <w:tabs>
          <w:tab w:val="left" w:pos="900"/>
        </w:tabs>
        <w:autoSpaceDE w:val="0"/>
        <w:autoSpaceDN w:val="0"/>
        <w:adjustRightInd w:val="0"/>
        <w:spacing w:after="200" w:line="276" w:lineRule="auto"/>
        <w:ind w:left="900"/>
        <w:contextualSpacing/>
        <w:jc w:val="both"/>
        <w:rPr>
          <w:rFonts w:eastAsia="MS Mincho"/>
          <w:sz w:val="24"/>
          <w:szCs w:val="24"/>
          <w:lang w:val="fr-FR"/>
        </w:rPr>
      </w:pPr>
    </w:p>
    <w:p w14:paraId="013FDABB" w14:textId="77777777" w:rsidR="00CB07DA" w:rsidRPr="00C9307C" w:rsidRDefault="00CB07DA" w:rsidP="00CB07DA">
      <w:pPr>
        <w:numPr>
          <w:ilvl w:val="0"/>
          <w:numId w:val="34"/>
        </w:numPr>
        <w:tabs>
          <w:tab w:val="left" w:pos="900"/>
        </w:tabs>
        <w:autoSpaceDE w:val="0"/>
        <w:autoSpaceDN w:val="0"/>
        <w:adjustRightInd w:val="0"/>
        <w:spacing w:after="200" w:line="276" w:lineRule="auto"/>
        <w:ind w:left="900" w:hanging="360"/>
        <w:contextualSpacing/>
        <w:jc w:val="both"/>
        <w:rPr>
          <w:rFonts w:eastAsia="MS Mincho"/>
          <w:sz w:val="24"/>
          <w:szCs w:val="24"/>
          <w:lang w:val="fr-FR"/>
        </w:rPr>
      </w:pPr>
      <w:r w:rsidRPr="00C9307C">
        <w:rPr>
          <w:rFonts w:eastAsia="MS Mincho"/>
          <w:sz w:val="24"/>
          <w:szCs w:val="24"/>
          <w:lang w:val="fr-FR"/>
        </w:rPr>
        <w:t xml:space="preserve">Les différents modes de passation de marchés, les seuils indicatifs pour les différentes méthodes de passation de marchés (Appel d’Offres International ou autres méthodes de passations de marchés sont décrits dans les </w:t>
      </w:r>
      <w:r w:rsidRPr="00C9307C">
        <w:rPr>
          <w:rFonts w:eastAsia="MS Mincho"/>
          <w:sz w:val="24"/>
          <w:szCs w:val="24"/>
          <w:u w:val="single"/>
          <w:lang w:val="fr-FR"/>
        </w:rPr>
        <w:t>Provisions spéciales</w:t>
      </w:r>
      <w:r w:rsidRPr="00C9307C">
        <w:rPr>
          <w:rFonts w:eastAsia="MS Mincho"/>
          <w:sz w:val="24"/>
          <w:szCs w:val="24"/>
          <w:lang w:val="fr-FR"/>
        </w:rPr>
        <w:t xml:space="preserve"> pour Haïti GN-2654, janvier 2012).</w:t>
      </w:r>
    </w:p>
    <w:p w14:paraId="09B6EEDC" w14:textId="77777777" w:rsidR="00CB07DA" w:rsidRPr="00C9307C" w:rsidRDefault="00CB07DA" w:rsidP="00CB07DA">
      <w:pPr>
        <w:autoSpaceDE w:val="0"/>
        <w:autoSpaceDN w:val="0"/>
        <w:adjustRightInd w:val="0"/>
        <w:jc w:val="both"/>
        <w:rPr>
          <w:rFonts w:eastAsia="MS Mincho"/>
          <w:sz w:val="24"/>
          <w:szCs w:val="24"/>
          <w:lang w:val="fr-FR"/>
        </w:rPr>
      </w:pPr>
    </w:p>
    <w:p w14:paraId="49F6325E" w14:textId="6C8FE007" w:rsidR="00CB07DA" w:rsidRPr="00C9307C" w:rsidRDefault="00CB07DA" w:rsidP="00CB07DA">
      <w:pPr>
        <w:pStyle w:val="ColorfulList-Accent111"/>
        <w:numPr>
          <w:ilvl w:val="1"/>
          <w:numId w:val="32"/>
        </w:numPr>
        <w:jc w:val="both"/>
        <w:rPr>
          <w:sz w:val="24"/>
          <w:szCs w:val="24"/>
          <w:lang w:val="fr-FR"/>
        </w:rPr>
      </w:pPr>
      <w:r w:rsidRPr="00C9307C">
        <w:rPr>
          <w:sz w:val="24"/>
          <w:szCs w:val="24"/>
          <w:lang w:val="fr-FR"/>
        </w:rPr>
        <w:t>La passation de marchés de Biens, Travaux et services de Consultants pour la mise en œuvre du projet se fera suivant la pratique des règles et procédures spécifiques de passation de marchés conformément aux conditions spéciales de l’accord de financement, mais aussi suivant les considérations générales qui suivent :</w:t>
      </w:r>
    </w:p>
    <w:p w14:paraId="04F71372" w14:textId="77777777" w:rsidR="00CB07DA" w:rsidRPr="00C9307C" w:rsidRDefault="00CB07DA" w:rsidP="00CB07DA">
      <w:pPr>
        <w:autoSpaceDE w:val="0"/>
        <w:autoSpaceDN w:val="0"/>
        <w:adjustRightInd w:val="0"/>
        <w:jc w:val="both"/>
        <w:rPr>
          <w:rFonts w:eastAsia="MS Mincho"/>
          <w:sz w:val="24"/>
          <w:szCs w:val="24"/>
          <w:lang w:val="fr-FR"/>
        </w:rPr>
      </w:pPr>
    </w:p>
    <w:p w14:paraId="15B1A7E0" w14:textId="77777777" w:rsidR="00CB07DA" w:rsidRPr="00C9307C" w:rsidRDefault="00CB07DA" w:rsidP="00CB07DA">
      <w:pPr>
        <w:numPr>
          <w:ilvl w:val="0"/>
          <w:numId w:val="33"/>
        </w:numPr>
        <w:tabs>
          <w:tab w:val="left" w:pos="900"/>
        </w:tabs>
        <w:autoSpaceDE w:val="0"/>
        <w:autoSpaceDN w:val="0"/>
        <w:adjustRightInd w:val="0"/>
        <w:spacing w:after="200" w:line="276" w:lineRule="auto"/>
        <w:ind w:left="900"/>
        <w:contextualSpacing/>
        <w:jc w:val="both"/>
        <w:rPr>
          <w:rFonts w:eastAsia="MS Mincho"/>
          <w:sz w:val="24"/>
          <w:szCs w:val="24"/>
          <w:lang w:val="fr-FR"/>
        </w:rPr>
      </w:pPr>
      <w:proofErr w:type="gramStart"/>
      <w:r w:rsidRPr="00C9307C">
        <w:rPr>
          <w:rFonts w:eastAsia="MS Mincho"/>
          <w:sz w:val="24"/>
          <w:szCs w:val="24"/>
          <w:lang w:val="fr-FR"/>
        </w:rPr>
        <w:t>la</w:t>
      </w:r>
      <w:proofErr w:type="gramEnd"/>
      <w:r w:rsidRPr="00C9307C">
        <w:rPr>
          <w:rFonts w:eastAsia="MS Mincho"/>
          <w:sz w:val="24"/>
          <w:szCs w:val="24"/>
          <w:lang w:val="fr-FR"/>
        </w:rPr>
        <w:t xml:space="preserve"> passation de marchés de Biens et Travaux devra se faire suivant les principes d’économie, d'efficacité dans la mise en œuvre du projet.</w:t>
      </w:r>
    </w:p>
    <w:p w14:paraId="5B81FD56" w14:textId="77777777" w:rsidR="00CB07DA" w:rsidRPr="00C9307C" w:rsidRDefault="00CB07DA" w:rsidP="00CB07DA">
      <w:pPr>
        <w:numPr>
          <w:ilvl w:val="0"/>
          <w:numId w:val="33"/>
        </w:numPr>
        <w:tabs>
          <w:tab w:val="left" w:pos="900"/>
        </w:tabs>
        <w:autoSpaceDE w:val="0"/>
        <w:autoSpaceDN w:val="0"/>
        <w:adjustRightInd w:val="0"/>
        <w:spacing w:after="200" w:line="276" w:lineRule="auto"/>
        <w:ind w:left="900"/>
        <w:contextualSpacing/>
        <w:jc w:val="both"/>
        <w:rPr>
          <w:rFonts w:eastAsia="MS Mincho"/>
          <w:sz w:val="24"/>
          <w:szCs w:val="24"/>
          <w:lang w:val="fr-FR"/>
        </w:rPr>
      </w:pPr>
      <w:r w:rsidRPr="00C9307C">
        <w:rPr>
          <w:rFonts w:eastAsia="MS Mincho"/>
          <w:sz w:val="24"/>
          <w:szCs w:val="24"/>
          <w:lang w:val="fr-FR"/>
        </w:rPr>
        <w:t xml:space="preserve">L'intérêt de la Banque, en tant qu'institution coopérative, de veiller à ce que les critères d’éligibilités soient respectés et que l’occasion de participer à la fourniture de biens et de travaux financés par la Banque est donnée à tous les soumissionnaires éligibles. </w:t>
      </w:r>
    </w:p>
    <w:p w14:paraId="24E0B897" w14:textId="77777777" w:rsidR="004B163C" w:rsidRPr="00C9307C" w:rsidRDefault="00CB07DA" w:rsidP="004B163C">
      <w:pPr>
        <w:tabs>
          <w:tab w:val="left" w:pos="900"/>
        </w:tabs>
        <w:autoSpaceDE w:val="0"/>
        <w:autoSpaceDN w:val="0"/>
        <w:adjustRightInd w:val="0"/>
        <w:spacing w:after="200" w:line="276" w:lineRule="auto"/>
        <w:ind w:left="900"/>
        <w:contextualSpacing/>
        <w:jc w:val="both"/>
        <w:rPr>
          <w:rFonts w:eastAsia="MS Mincho"/>
          <w:sz w:val="24"/>
          <w:szCs w:val="24"/>
          <w:lang w:val="fr-FR"/>
        </w:rPr>
      </w:pPr>
      <w:r w:rsidRPr="00C9307C">
        <w:rPr>
          <w:rFonts w:eastAsia="MS Mincho"/>
          <w:sz w:val="24"/>
          <w:szCs w:val="24"/>
          <w:lang w:val="fr-FR"/>
        </w:rPr>
        <w:t>Le processus de passation de marchés devra se conduire en toute transparence.</w:t>
      </w:r>
    </w:p>
    <w:p w14:paraId="5C16455B" w14:textId="77777777" w:rsidR="00701E99" w:rsidRPr="00C9307C" w:rsidRDefault="00701E99" w:rsidP="004B163C">
      <w:pPr>
        <w:tabs>
          <w:tab w:val="left" w:pos="900"/>
        </w:tabs>
        <w:autoSpaceDE w:val="0"/>
        <w:autoSpaceDN w:val="0"/>
        <w:adjustRightInd w:val="0"/>
        <w:spacing w:after="200" w:line="276" w:lineRule="auto"/>
        <w:ind w:left="900"/>
        <w:contextualSpacing/>
        <w:jc w:val="both"/>
        <w:rPr>
          <w:rFonts w:eastAsia="MS Mincho"/>
          <w:sz w:val="24"/>
          <w:szCs w:val="24"/>
          <w:lang w:val="fr-FR"/>
        </w:rPr>
      </w:pPr>
    </w:p>
    <w:p w14:paraId="5D6F9F5B" w14:textId="77777777" w:rsidR="004B163C" w:rsidRPr="00C9307C" w:rsidRDefault="004B163C" w:rsidP="004B163C">
      <w:pPr>
        <w:autoSpaceDE w:val="0"/>
        <w:autoSpaceDN w:val="0"/>
        <w:adjustRightInd w:val="0"/>
        <w:jc w:val="both"/>
        <w:rPr>
          <w:rFonts w:eastAsia="MS Mincho"/>
          <w:b/>
          <w:sz w:val="24"/>
          <w:szCs w:val="24"/>
          <w:lang w:val="fr-FR"/>
        </w:rPr>
      </w:pPr>
      <w:r w:rsidRPr="00C9307C">
        <w:rPr>
          <w:rFonts w:eastAsia="MS Mincho"/>
          <w:b/>
          <w:sz w:val="24"/>
          <w:szCs w:val="24"/>
          <w:lang w:val="fr-FR"/>
        </w:rPr>
        <w:t xml:space="preserve">          Exécution du processus de passation de marchés</w:t>
      </w:r>
    </w:p>
    <w:p w14:paraId="1E414419" w14:textId="77777777" w:rsidR="004B163C" w:rsidRPr="00C9307C" w:rsidRDefault="004B163C" w:rsidP="004B163C">
      <w:pPr>
        <w:autoSpaceDE w:val="0"/>
        <w:autoSpaceDN w:val="0"/>
        <w:adjustRightInd w:val="0"/>
        <w:jc w:val="both"/>
        <w:rPr>
          <w:rFonts w:eastAsia="MS Mincho"/>
          <w:b/>
          <w:sz w:val="24"/>
          <w:szCs w:val="24"/>
          <w:lang w:val="fr-FR"/>
        </w:rPr>
      </w:pPr>
    </w:p>
    <w:p w14:paraId="48DE24FC" w14:textId="77777777" w:rsidR="00CB07DA" w:rsidRPr="00C9307C" w:rsidRDefault="00CB07DA" w:rsidP="00CB07DA">
      <w:pPr>
        <w:pStyle w:val="ColorfulList-Accent111"/>
        <w:numPr>
          <w:ilvl w:val="1"/>
          <w:numId w:val="27"/>
        </w:numPr>
        <w:jc w:val="both"/>
        <w:rPr>
          <w:sz w:val="24"/>
          <w:szCs w:val="24"/>
          <w:lang w:val="fr-FR"/>
        </w:rPr>
      </w:pPr>
      <w:r w:rsidRPr="00C9307C">
        <w:rPr>
          <w:sz w:val="24"/>
          <w:szCs w:val="24"/>
          <w:lang w:val="fr-FR"/>
        </w:rPr>
        <w:t>La conduite du processus de passation de marchés par Appel D’Offres International ou autres méthodes devant aboutir à la signature de contrats de travaux, biens et services connexes et services de consultants dans le cadre du projet seront mis en œuvre en utilisant les documents d’appel d’offres standards émis par la Banque.</w:t>
      </w:r>
    </w:p>
    <w:p w14:paraId="0D3DB057" w14:textId="1539CEE3" w:rsidR="00A06E1B" w:rsidRDefault="00A06E1B" w:rsidP="00720B8F">
      <w:pPr>
        <w:ind w:left="540"/>
        <w:contextualSpacing/>
        <w:jc w:val="both"/>
        <w:rPr>
          <w:rFonts w:eastAsia="MS Mincho"/>
          <w:sz w:val="24"/>
          <w:szCs w:val="24"/>
          <w:lang w:val="fr-FR"/>
        </w:rPr>
      </w:pPr>
    </w:p>
    <w:p w14:paraId="65C299ED" w14:textId="77777777" w:rsidR="00D11468" w:rsidRPr="00C9307C" w:rsidRDefault="00D11468" w:rsidP="00720B8F">
      <w:pPr>
        <w:ind w:left="540"/>
        <w:contextualSpacing/>
        <w:jc w:val="both"/>
        <w:rPr>
          <w:rFonts w:eastAsia="MS Mincho"/>
          <w:sz w:val="24"/>
          <w:szCs w:val="24"/>
          <w:lang w:val="fr-FR"/>
        </w:rPr>
      </w:pPr>
    </w:p>
    <w:p w14:paraId="12A2B673" w14:textId="77777777" w:rsidR="004B163C" w:rsidRPr="00C9307C" w:rsidRDefault="004B163C" w:rsidP="004B163C">
      <w:pPr>
        <w:autoSpaceDE w:val="0"/>
        <w:autoSpaceDN w:val="0"/>
        <w:adjustRightInd w:val="0"/>
        <w:jc w:val="both"/>
        <w:rPr>
          <w:rFonts w:eastAsia="MS Mincho"/>
          <w:b/>
          <w:sz w:val="24"/>
          <w:szCs w:val="24"/>
          <w:lang w:val="fr-FR"/>
        </w:rPr>
      </w:pPr>
      <w:r w:rsidRPr="00C9307C">
        <w:rPr>
          <w:rFonts w:eastAsia="MS Mincho"/>
          <w:b/>
          <w:sz w:val="24"/>
          <w:szCs w:val="24"/>
          <w:lang w:val="fr-FR"/>
        </w:rPr>
        <w:t xml:space="preserve">          Examen préalable des décisions de la passation de marchés (Supervision Ex-ante)</w:t>
      </w:r>
    </w:p>
    <w:p w14:paraId="073E2024" w14:textId="77777777" w:rsidR="004B163C" w:rsidRPr="00C9307C" w:rsidRDefault="004B163C" w:rsidP="004B163C">
      <w:pPr>
        <w:autoSpaceDE w:val="0"/>
        <w:autoSpaceDN w:val="0"/>
        <w:adjustRightInd w:val="0"/>
        <w:jc w:val="both"/>
        <w:rPr>
          <w:rFonts w:eastAsia="MS Mincho"/>
          <w:sz w:val="24"/>
          <w:szCs w:val="24"/>
          <w:lang w:val="fr-FR"/>
        </w:rPr>
      </w:pPr>
    </w:p>
    <w:p w14:paraId="7563A7B1" w14:textId="77777777" w:rsidR="00CB07DA" w:rsidRPr="00C9307C" w:rsidRDefault="00CB07DA" w:rsidP="00CB07DA">
      <w:pPr>
        <w:pStyle w:val="ColorfulList-Accent111"/>
        <w:numPr>
          <w:ilvl w:val="1"/>
          <w:numId w:val="32"/>
        </w:numPr>
        <w:jc w:val="both"/>
        <w:rPr>
          <w:sz w:val="24"/>
          <w:szCs w:val="24"/>
          <w:lang w:val="fr-FR"/>
        </w:rPr>
      </w:pPr>
      <w:r w:rsidRPr="00C9307C">
        <w:rPr>
          <w:sz w:val="24"/>
          <w:szCs w:val="24"/>
          <w:lang w:val="fr-FR"/>
        </w:rPr>
        <w:t>Les passations des marchés effectuées pour ce Projet seront révisées par la Banque de manière préalable (ex ante). La Banque veut s’assurer que les procédures de passation des marchés sont conformes aux Politiques relatives à la passation de marchés (GN-2349/9 &amp; GN2350/9) et au Plan de passation des marchés établi, d'après les dispositions établies dans les paragraphes 2 et 3 de I' Appendice 1 sous réserve que la Banque et l'Agence d'Exécution en décident autrement.</w:t>
      </w:r>
    </w:p>
    <w:p w14:paraId="0B252E5C" w14:textId="77777777" w:rsidR="00CB07DA" w:rsidRPr="00C9307C" w:rsidRDefault="00CB07DA" w:rsidP="00CB07DA">
      <w:pPr>
        <w:pStyle w:val="ColorfulList-Accent111"/>
        <w:ind w:left="540"/>
        <w:jc w:val="both"/>
        <w:rPr>
          <w:sz w:val="24"/>
          <w:szCs w:val="24"/>
          <w:lang w:val="fr-FR"/>
        </w:rPr>
      </w:pPr>
    </w:p>
    <w:p w14:paraId="2C70390B" w14:textId="77777777" w:rsidR="00CB07DA" w:rsidRPr="00C9307C" w:rsidRDefault="00CB07DA" w:rsidP="00AA5024">
      <w:pPr>
        <w:pStyle w:val="ColorfulList-Accent111"/>
        <w:numPr>
          <w:ilvl w:val="1"/>
          <w:numId w:val="32"/>
        </w:numPr>
        <w:jc w:val="both"/>
        <w:rPr>
          <w:sz w:val="24"/>
          <w:szCs w:val="24"/>
          <w:lang w:val="fr-FR"/>
        </w:rPr>
      </w:pPr>
      <w:r w:rsidRPr="00C9307C">
        <w:rPr>
          <w:rFonts w:eastAsia="MS Mincho"/>
          <w:sz w:val="24"/>
          <w:szCs w:val="24"/>
          <w:lang w:val="fr-FR"/>
        </w:rPr>
        <w:t xml:space="preserve">La Banque vérifie donc l'ensemble des activités de passation de marchés (Planification et Décisions concernant les différentes étapes du déroulement du processus) sont sujettes à </w:t>
      </w:r>
      <w:r w:rsidRPr="00C9307C">
        <w:rPr>
          <w:rFonts w:eastAsia="MS Mincho"/>
          <w:sz w:val="24"/>
          <w:szCs w:val="24"/>
          <w:u w:val="single"/>
          <w:lang w:val="fr-FR"/>
        </w:rPr>
        <w:t>révision ex-ante</w:t>
      </w:r>
      <w:r w:rsidRPr="00C9307C">
        <w:rPr>
          <w:rFonts w:eastAsia="MS Mincho"/>
          <w:sz w:val="24"/>
          <w:szCs w:val="24"/>
          <w:lang w:val="fr-FR"/>
        </w:rPr>
        <w:t>, c'est-à-dire, que la Banque devra donner sa non-objection à chaque étape du processus de passation de marchés, depuis sa programmation (Plan de Passation de Marchés) jusqu'à l’adjudication du marché incluant :</w:t>
      </w:r>
    </w:p>
    <w:p w14:paraId="6849289F" w14:textId="2B3369D4" w:rsidR="00CB07DA" w:rsidRDefault="00CB07DA" w:rsidP="00CB07DA">
      <w:pPr>
        <w:pStyle w:val="ColorfulList-Accent111"/>
        <w:ind w:left="540"/>
        <w:jc w:val="both"/>
        <w:rPr>
          <w:sz w:val="24"/>
          <w:szCs w:val="24"/>
          <w:lang w:val="fr-FR"/>
        </w:rPr>
      </w:pPr>
    </w:p>
    <w:p w14:paraId="6E6FA25C" w14:textId="77777777" w:rsidR="00D11468" w:rsidRPr="00C9307C" w:rsidRDefault="00D11468" w:rsidP="00CB07DA">
      <w:pPr>
        <w:pStyle w:val="ColorfulList-Accent111"/>
        <w:ind w:left="540"/>
        <w:jc w:val="both"/>
        <w:rPr>
          <w:sz w:val="24"/>
          <w:szCs w:val="24"/>
          <w:lang w:val="fr-FR"/>
        </w:rPr>
      </w:pPr>
    </w:p>
    <w:p w14:paraId="59A83C7E" w14:textId="1F4E2DA5" w:rsidR="00CB07DA" w:rsidRPr="00C9307C" w:rsidRDefault="00CB07DA" w:rsidP="00CB07DA">
      <w:pPr>
        <w:numPr>
          <w:ilvl w:val="0"/>
          <w:numId w:val="35"/>
        </w:numPr>
        <w:autoSpaceDE w:val="0"/>
        <w:autoSpaceDN w:val="0"/>
        <w:adjustRightInd w:val="0"/>
        <w:spacing w:after="200" w:line="276" w:lineRule="auto"/>
        <w:ind w:hanging="270"/>
        <w:contextualSpacing/>
        <w:jc w:val="both"/>
        <w:rPr>
          <w:rFonts w:eastAsia="MS Mincho"/>
          <w:sz w:val="24"/>
          <w:szCs w:val="24"/>
          <w:lang w:val="fr-FR"/>
        </w:rPr>
      </w:pPr>
      <w:r w:rsidRPr="00C9307C">
        <w:rPr>
          <w:rFonts w:eastAsia="MS Mincho"/>
          <w:sz w:val="24"/>
          <w:szCs w:val="24"/>
          <w:lang w:val="fr-FR"/>
        </w:rPr>
        <w:lastRenderedPageBreak/>
        <w:t xml:space="preserve">L’accomplissement des clauses contractuelles prévues dans l’accord de </w:t>
      </w:r>
      <w:proofErr w:type="gramStart"/>
      <w:r w:rsidRPr="00C9307C">
        <w:rPr>
          <w:rFonts w:eastAsia="MS Mincho"/>
          <w:sz w:val="24"/>
          <w:szCs w:val="24"/>
          <w:lang w:val="fr-FR"/>
        </w:rPr>
        <w:t>financement;</w:t>
      </w:r>
      <w:proofErr w:type="gramEnd"/>
    </w:p>
    <w:p w14:paraId="26259AB9" w14:textId="77777777" w:rsidR="00CB07DA" w:rsidRPr="00C9307C" w:rsidRDefault="00CB07DA" w:rsidP="00CB07DA">
      <w:pPr>
        <w:numPr>
          <w:ilvl w:val="0"/>
          <w:numId w:val="35"/>
        </w:numPr>
        <w:autoSpaceDE w:val="0"/>
        <w:autoSpaceDN w:val="0"/>
        <w:adjustRightInd w:val="0"/>
        <w:spacing w:after="200" w:line="276" w:lineRule="auto"/>
        <w:ind w:hanging="270"/>
        <w:contextualSpacing/>
        <w:jc w:val="both"/>
        <w:rPr>
          <w:rFonts w:eastAsia="MS Mincho"/>
          <w:sz w:val="24"/>
          <w:szCs w:val="24"/>
          <w:lang w:val="fr-FR"/>
        </w:rPr>
      </w:pPr>
      <w:proofErr w:type="gramStart"/>
      <w:r w:rsidRPr="00C9307C">
        <w:rPr>
          <w:rFonts w:eastAsia="MS Mincho"/>
          <w:sz w:val="24"/>
          <w:szCs w:val="24"/>
          <w:lang w:val="fr-FR"/>
        </w:rPr>
        <w:t>les</w:t>
      </w:r>
      <w:proofErr w:type="gramEnd"/>
      <w:r w:rsidRPr="00C9307C">
        <w:rPr>
          <w:rFonts w:eastAsia="MS Mincho"/>
          <w:sz w:val="24"/>
          <w:szCs w:val="24"/>
          <w:lang w:val="fr-FR"/>
        </w:rPr>
        <w:t xml:space="preserve"> dossiers d’appels d’offre, les méthodes et procédures de passation des marchés;</w:t>
      </w:r>
    </w:p>
    <w:p w14:paraId="0BAD62BB" w14:textId="77777777" w:rsidR="00CB07DA" w:rsidRPr="00C9307C" w:rsidRDefault="00CB07DA" w:rsidP="00CB07DA">
      <w:pPr>
        <w:numPr>
          <w:ilvl w:val="0"/>
          <w:numId w:val="35"/>
        </w:numPr>
        <w:autoSpaceDE w:val="0"/>
        <w:autoSpaceDN w:val="0"/>
        <w:adjustRightInd w:val="0"/>
        <w:spacing w:after="200" w:line="276" w:lineRule="auto"/>
        <w:ind w:hanging="270"/>
        <w:contextualSpacing/>
        <w:jc w:val="both"/>
        <w:rPr>
          <w:rFonts w:eastAsia="MS Mincho"/>
          <w:sz w:val="24"/>
          <w:szCs w:val="24"/>
          <w:lang w:val="fr-FR"/>
        </w:rPr>
      </w:pPr>
      <w:proofErr w:type="gramStart"/>
      <w:r w:rsidRPr="00C9307C">
        <w:rPr>
          <w:rFonts w:eastAsia="MS Mincho"/>
          <w:sz w:val="24"/>
          <w:szCs w:val="24"/>
          <w:lang w:val="fr-FR"/>
        </w:rPr>
        <w:t>la</w:t>
      </w:r>
      <w:proofErr w:type="gramEnd"/>
      <w:r w:rsidRPr="00C9307C">
        <w:rPr>
          <w:rFonts w:eastAsia="MS Mincho"/>
          <w:sz w:val="24"/>
          <w:szCs w:val="24"/>
          <w:lang w:val="fr-FR"/>
        </w:rPr>
        <w:t xml:space="preserve"> composition des comités d’évaluation, l’évaluation des soumissions et les recommandations d’adjudication;</w:t>
      </w:r>
    </w:p>
    <w:p w14:paraId="15B16A44" w14:textId="77777777" w:rsidR="00CB07DA" w:rsidRPr="00C9307C" w:rsidRDefault="00CB07DA" w:rsidP="00CB07DA">
      <w:pPr>
        <w:numPr>
          <w:ilvl w:val="0"/>
          <w:numId w:val="35"/>
        </w:numPr>
        <w:autoSpaceDE w:val="0"/>
        <w:autoSpaceDN w:val="0"/>
        <w:adjustRightInd w:val="0"/>
        <w:spacing w:after="200" w:line="276" w:lineRule="auto"/>
        <w:ind w:hanging="270"/>
        <w:contextualSpacing/>
        <w:jc w:val="both"/>
        <w:rPr>
          <w:rFonts w:eastAsia="MS Mincho"/>
          <w:sz w:val="24"/>
          <w:szCs w:val="24"/>
          <w:lang w:val="fr-FR"/>
        </w:rPr>
      </w:pPr>
      <w:proofErr w:type="gramStart"/>
      <w:r w:rsidRPr="00C9307C">
        <w:rPr>
          <w:rFonts w:eastAsia="MS Mincho"/>
          <w:sz w:val="24"/>
          <w:szCs w:val="24"/>
          <w:lang w:val="fr-FR"/>
        </w:rPr>
        <w:t>les</w:t>
      </w:r>
      <w:proofErr w:type="gramEnd"/>
      <w:r w:rsidRPr="00C9307C">
        <w:rPr>
          <w:rFonts w:eastAsia="MS Mincho"/>
          <w:sz w:val="24"/>
          <w:szCs w:val="24"/>
          <w:lang w:val="fr-FR"/>
        </w:rPr>
        <w:t xml:space="preserve"> projets de contrats, les avenants et la résolution des protestations.</w:t>
      </w:r>
    </w:p>
    <w:p w14:paraId="52466D5F" w14:textId="77777777" w:rsidR="004B163C" w:rsidRPr="00C9307C" w:rsidRDefault="004B163C" w:rsidP="004B163C">
      <w:pPr>
        <w:ind w:left="540"/>
        <w:contextualSpacing/>
        <w:jc w:val="both"/>
        <w:rPr>
          <w:rFonts w:eastAsia="MS Mincho"/>
          <w:sz w:val="24"/>
          <w:szCs w:val="24"/>
          <w:lang w:val="fr-FR"/>
        </w:rPr>
      </w:pPr>
    </w:p>
    <w:p w14:paraId="72DEB7F7" w14:textId="77777777" w:rsidR="004B163C" w:rsidRPr="00C9307C" w:rsidRDefault="004B163C" w:rsidP="004B163C">
      <w:pPr>
        <w:autoSpaceDE w:val="0"/>
        <w:autoSpaceDN w:val="0"/>
        <w:adjustRightInd w:val="0"/>
        <w:jc w:val="both"/>
        <w:rPr>
          <w:rFonts w:eastAsia="MS Mincho"/>
          <w:b/>
          <w:sz w:val="24"/>
          <w:szCs w:val="24"/>
          <w:lang w:val="fr-FR"/>
        </w:rPr>
      </w:pPr>
      <w:r w:rsidRPr="00C9307C">
        <w:rPr>
          <w:rFonts w:eastAsia="MS Mincho"/>
          <w:b/>
          <w:sz w:val="24"/>
          <w:szCs w:val="24"/>
          <w:lang w:val="fr-FR"/>
        </w:rPr>
        <w:t>Responsabilités de l’unité de Passation de Marchés</w:t>
      </w:r>
    </w:p>
    <w:p w14:paraId="6544727E" w14:textId="77777777" w:rsidR="00FA4A26" w:rsidRPr="00C9307C" w:rsidRDefault="00FA4A26" w:rsidP="004B163C">
      <w:pPr>
        <w:autoSpaceDE w:val="0"/>
        <w:autoSpaceDN w:val="0"/>
        <w:adjustRightInd w:val="0"/>
        <w:jc w:val="both"/>
        <w:rPr>
          <w:rFonts w:eastAsia="MS Mincho"/>
          <w:b/>
          <w:sz w:val="24"/>
          <w:szCs w:val="24"/>
          <w:lang w:val="fr-FR"/>
        </w:rPr>
      </w:pPr>
    </w:p>
    <w:p w14:paraId="0DE93E0B" w14:textId="0FD30119" w:rsidR="00CB07DA" w:rsidRDefault="00701E99"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5.7 </w:t>
      </w:r>
      <w:r w:rsidR="000F2E58">
        <w:rPr>
          <w:rFonts w:eastAsia="MS Mincho"/>
          <w:sz w:val="24"/>
          <w:szCs w:val="24"/>
          <w:lang w:val="fr-FR"/>
        </w:rPr>
        <w:tab/>
      </w:r>
      <w:r w:rsidR="00CB07DA" w:rsidRPr="00C9307C">
        <w:rPr>
          <w:rFonts w:eastAsia="MS Mincho"/>
          <w:sz w:val="24"/>
          <w:szCs w:val="24"/>
          <w:lang w:val="fr-FR"/>
        </w:rPr>
        <w:t xml:space="preserve">L’unité ou le spécialiste de la passation de marchés </w:t>
      </w:r>
      <w:proofErr w:type="gramStart"/>
      <w:r w:rsidR="00FA4A26" w:rsidRPr="00C9307C">
        <w:rPr>
          <w:rFonts w:eastAsia="MS Mincho"/>
          <w:sz w:val="24"/>
          <w:szCs w:val="24"/>
          <w:lang w:val="fr-FR"/>
        </w:rPr>
        <w:t>à</w:t>
      </w:r>
      <w:proofErr w:type="gramEnd"/>
      <w:r w:rsidR="00CB07DA" w:rsidRPr="00C9307C">
        <w:rPr>
          <w:rFonts w:eastAsia="MS Mincho"/>
          <w:sz w:val="24"/>
          <w:szCs w:val="24"/>
          <w:lang w:val="fr-FR"/>
        </w:rPr>
        <w:t xml:space="preserve"> la responsabilité de conduire des processus suivant les principes d’Ethique professionnelles en observant les normes les plus strictes d’honnêteté, d’intégrité, d’impartialité et d’indépendance dans toutes leurs relations </w:t>
      </w:r>
      <w:r w:rsidR="00FA4A26" w:rsidRPr="00C9307C">
        <w:rPr>
          <w:rFonts w:eastAsia="MS Mincho"/>
          <w:sz w:val="24"/>
          <w:szCs w:val="24"/>
          <w:lang w:val="fr-FR"/>
        </w:rPr>
        <w:t>professionnelles ;</w:t>
      </w:r>
      <w:r w:rsidR="00CB07DA" w:rsidRPr="00C9307C">
        <w:rPr>
          <w:rFonts w:eastAsia="MS Mincho"/>
          <w:sz w:val="24"/>
          <w:szCs w:val="24"/>
          <w:lang w:val="fr-FR"/>
        </w:rPr>
        <w:t xml:space="preserve"> tout en respectant le caractère confidentiel des informations obtenues dans l’exercice de leurs fonctions.</w:t>
      </w:r>
    </w:p>
    <w:p w14:paraId="50956F13" w14:textId="77777777" w:rsidR="000F2E58" w:rsidRPr="00C9307C" w:rsidRDefault="000F2E58" w:rsidP="00AA5024">
      <w:pPr>
        <w:pStyle w:val="ColorfulList-Accent111"/>
        <w:ind w:left="540" w:hanging="540"/>
        <w:jc w:val="both"/>
        <w:rPr>
          <w:rFonts w:eastAsia="MS Mincho"/>
          <w:sz w:val="24"/>
          <w:szCs w:val="24"/>
          <w:lang w:val="fr-FR"/>
        </w:rPr>
      </w:pPr>
    </w:p>
    <w:p w14:paraId="47FDDF8C" w14:textId="2CDDE3B7" w:rsidR="00CB07DA" w:rsidRPr="00C9307C" w:rsidRDefault="00701E99" w:rsidP="00AA5024">
      <w:pPr>
        <w:pStyle w:val="ColorfulList-Accent111"/>
        <w:ind w:left="540" w:hanging="540"/>
        <w:jc w:val="both"/>
        <w:rPr>
          <w:rFonts w:eastAsia="MS Mincho"/>
          <w:sz w:val="24"/>
          <w:szCs w:val="24"/>
          <w:lang w:val="fr-FR"/>
        </w:rPr>
      </w:pPr>
      <w:r w:rsidRPr="00C9307C">
        <w:rPr>
          <w:rFonts w:eastAsia="Times New Roman"/>
          <w:sz w:val="24"/>
          <w:szCs w:val="24"/>
          <w:lang w:val="fr-FR" w:eastAsia="fr-FR"/>
        </w:rPr>
        <w:t xml:space="preserve">5.8 </w:t>
      </w:r>
      <w:r w:rsidR="000F2E58">
        <w:rPr>
          <w:rFonts w:eastAsia="Times New Roman"/>
          <w:sz w:val="24"/>
          <w:szCs w:val="24"/>
          <w:lang w:val="fr-FR" w:eastAsia="fr-FR"/>
        </w:rPr>
        <w:tab/>
      </w:r>
      <w:r w:rsidR="00CB07DA" w:rsidRPr="00C9307C">
        <w:rPr>
          <w:rFonts w:eastAsia="Times New Roman"/>
          <w:sz w:val="24"/>
          <w:szCs w:val="24"/>
          <w:lang w:val="fr-FR" w:eastAsia="fr-FR"/>
        </w:rPr>
        <w:t xml:space="preserve">La passation de marchés doit s’assurer que tous les Biens, Travaux et Services faisant l’objet de marchés financés par la BID font partis du Plan de passation de marchés approuvé par la Banque et qu’ils présentent la </w:t>
      </w:r>
      <w:r w:rsidR="00CB07DA" w:rsidRPr="00C9307C">
        <w:rPr>
          <w:rFonts w:eastAsia="Times New Roman"/>
          <w:sz w:val="24"/>
          <w:szCs w:val="24"/>
          <w:u w:val="single"/>
          <w:lang w:val="fr-FR" w:eastAsia="fr-FR"/>
        </w:rPr>
        <w:t>qualité appropriée</w:t>
      </w:r>
      <w:r w:rsidR="00CB07DA" w:rsidRPr="00C9307C">
        <w:rPr>
          <w:rFonts w:eastAsia="Times New Roman"/>
          <w:sz w:val="24"/>
          <w:szCs w:val="24"/>
          <w:lang w:val="fr-FR" w:eastAsia="fr-FR"/>
        </w:rPr>
        <w:t>, sont acquis au meilleur prix (</w:t>
      </w:r>
      <w:r w:rsidR="00CB07DA" w:rsidRPr="00C9307C">
        <w:rPr>
          <w:rFonts w:eastAsia="Times New Roman"/>
          <w:sz w:val="24"/>
          <w:szCs w:val="24"/>
          <w:u w:val="single"/>
          <w:lang w:val="fr-FR" w:eastAsia="fr-FR"/>
        </w:rPr>
        <w:t>offre la moins-</w:t>
      </w:r>
      <w:proofErr w:type="spellStart"/>
      <w:r w:rsidR="00CB07DA" w:rsidRPr="00C9307C">
        <w:rPr>
          <w:rFonts w:eastAsia="Times New Roman"/>
          <w:sz w:val="24"/>
          <w:szCs w:val="24"/>
          <w:u w:val="single"/>
          <w:lang w:val="fr-FR" w:eastAsia="fr-FR"/>
        </w:rPr>
        <w:t>disante</w:t>
      </w:r>
      <w:proofErr w:type="spellEnd"/>
      <w:r w:rsidR="00CB07DA" w:rsidRPr="00C9307C">
        <w:rPr>
          <w:rFonts w:eastAsia="Times New Roman"/>
          <w:sz w:val="24"/>
          <w:szCs w:val="24"/>
          <w:lang w:val="fr-FR" w:eastAsia="fr-FR"/>
        </w:rPr>
        <w:t xml:space="preserve">), au terme d’un </w:t>
      </w:r>
      <w:r w:rsidR="00CB07DA" w:rsidRPr="00C9307C">
        <w:rPr>
          <w:rFonts w:eastAsia="Times New Roman"/>
          <w:sz w:val="24"/>
          <w:szCs w:val="24"/>
          <w:u w:val="single"/>
          <w:lang w:val="fr-FR" w:eastAsia="fr-FR"/>
        </w:rPr>
        <w:t>processus de sélection conforme aux politiques de la Banque</w:t>
      </w:r>
      <w:r w:rsidR="00CB07DA" w:rsidRPr="00C9307C">
        <w:rPr>
          <w:rFonts w:eastAsia="Times New Roman"/>
          <w:sz w:val="24"/>
          <w:szCs w:val="24"/>
          <w:lang w:val="fr-FR" w:eastAsia="fr-FR"/>
        </w:rPr>
        <w:t xml:space="preserve">, dans des délais raisonnables et en </w:t>
      </w:r>
      <w:r w:rsidR="00CB07DA" w:rsidRPr="00C9307C">
        <w:rPr>
          <w:rFonts w:eastAsia="Times New Roman"/>
          <w:sz w:val="24"/>
          <w:szCs w:val="24"/>
          <w:u w:val="single"/>
          <w:lang w:val="fr-FR" w:eastAsia="fr-FR"/>
        </w:rPr>
        <w:t>toute transparence</w:t>
      </w:r>
      <w:r w:rsidR="00CB07DA" w:rsidRPr="00C9307C">
        <w:rPr>
          <w:rFonts w:eastAsia="Times New Roman"/>
          <w:sz w:val="24"/>
          <w:szCs w:val="24"/>
          <w:lang w:val="fr-FR" w:eastAsia="fr-FR"/>
        </w:rPr>
        <w:t>.</w:t>
      </w:r>
    </w:p>
    <w:p w14:paraId="7175D67F" w14:textId="77777777" w:rsidR="00CB07DA" w:rsidRPr="00C9307C" w:rsidRDefault="00CB07DA" w:rsidP="00CB07DA">
      <w:pPr>
        <w:pStyle w:val="ColorfulList-Accent111"/>
        <w:ind w:left="540"/>
        <w:jc w:val="both"/>
        <w:rPr>
          <w:rFonts w:eastAsia="MS Mincho"/>
          <w:sz w:val="24"/>
          <w:szCs w:val="24"/>
          <w:lang w:val="fr-FR"/>
        </w:rPr>
      </w:pPr>
    </w:p>
    <w:p w14:paraId="50B2C1C5" w14:textId="5775AFD5" w:rsidR="00CB07DA" w:rsidRPr="00C9307C" w:rsidRDefault="00701E99"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5.9 </w:t>
      </w:r>
      <w:r w:rsidR="000F2E58">
        <w:rPr>
          <w:rFonts w:eastAsia="MS Mincho"/>
          <w:sz w:val="24"/>
          <w:szCs w:val="24"/>
          <w:lang w:val="fr-FR"/>
        </w:rPr>
        <w:tab/>
      </w:r>
      <w:r w:rsidR="00CB07DA" w:rsidRPr="00C9307C">
        <w:rPr>
          <w:rFonts w:eastAsia="MS Mincho"/>
          <w:sz w:val="24"/>
          <w:szCs w:val="24"/>
          <w:lang w:val="fr-FR"/>
        </w:rPr>
        <w:t>Le Spécialiste en passation de marchés doit fournir obligatoirement un service pour tous les processus de passation de marchés, notamment: la gestion de la collecte de pro-forma, la publication des avis d’appel d’Offres, la gestion des réponses aux demandes de clarification faites par les soumissionnaires potentiels, la gestion du processus, la rédaction du rapport d’évaluation, la résolution de protestations, la documentation de l’intégralité du processus et son archivage dans des conditions acceptables pour permettre la traçabilité de chaque processus, le suivi des contrats signés etc.</w:t>
      </w:r>
    </w:p>
    <w:p w14:paraId="74C07150" w14:textId="77777777" w:rsidR="00CB07DA" w:rsidRPr="00C9307C" w:rsidRDefault="00CB07DA" w:rsidP="00CB07DA">
      <w:pPr>
        <w:pStyle w:val="ColorfulList-Accent111"/>
        <w:ind w:left="0"/>
        <w:jc w:val="both"/>
        <w:rPr>
          <w:rFonts w:eastAsia="MS Mincho"/>
          <w:sz w:val="24"/>
          <w:szCs w:val="24"/>
          <w:lang w:val="fr-FR"/>
        </w:rPr>
      </w:pPr>
    </w:p>
    <w:p w14:paraId="15C80699" w14:textId="58E75BBD" w:rsidR="00CB07DA"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5.10 </w:t>
      </w:r>
      <w:r w:rsidR="000F2E58">
        <w:rPr>
          <w:rFonts w:eastAsia="MS Mincho"/>
          <w:sz w:val="24"/>
          <w:szCs w:val="24"/>
          <w:lang w:val="fr-FR"/>
        </w:rPr>
        <w:tab/>
      </w:r>
      <w:r w:rsidR="00CB07DA" w:rsidRPr="00C9307C">
        <w:rPr>
          <w:rFonts w:eastAsia="MS Mincho"/>
          <w:sz w:val="24"/>
          <w:szCs w:val="24"/>
          <w:lang w:val="fr-FR"/>
        </w:rPr>
        <w:t>Le Spécialiste en passation de marchés doit aussi conseiller les équipes techniques sur la meilleure stratégie de passation de marchés</w:t>
      </w:r>
      <w:r w:rsidR="00530C3C" w:rsidRPr="00C9307C">
        <w:rPr>
          <w:rFonts w:eastAsia="MS Mincho"/>
          <w:sz w:val="24"/>
          <w:szCs w:val="24"/>
          <w:lang w:val="fr-FR"/>
        </w:rPr>
        <w:t xml:space="preserve"> </w:t>
      </w:r>
      <w:r w:rsidR="00CB07DA" w:rsidRPr="00C9307C">
        <w:rPr>
          <w:rFonts w:eastAsia="MS Mincho"/>
          <w:sz w:val="24"/>
          <w:szCs w:val="24"/>
          <w:lang w:val="fr-FR"/>
        </w:rPr>
        <w:t>à chaque processus de sélection, pendant le processus, et après le processus (interprétation des clauses du contrat en cas de différend, suivi des garanties bancaires.)</w:t>
      </w:r>
    </w:p>
    <w:p w14:paraId="35B1CADD" w14:textId="77777777" w:rsidR="00CB07DA" w:rsidRPr="00C9307C" w:rsidRDefault="00CB07DA" w:rsidP="00AA5024">
      <w:pPr>
        <w:pStyle w:val="ColorfulList-Accent111"/>
        <w:ind w:left="540" w:hanging="540"/>
        <w:jc w:val="both"/>
        <w:rPr>
          <w:rFonts w:eastAsia="MS Mincho"/>
          <w:sz w:val="24"/>
          <w:szCs w:val="24"/>
          <w:lang w:val="fr-FR"/>
        </w:rPr>
      </w:pPr>
    </w:p>
    <w:p w14:paraId="00C04B5E" w14:textId="3EB747F0" w:rsidR="00CB07DA"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5.11 </w:t>
      </w:r>
      <w:r w:rsidR="000F2E58">
        <w:rPr>
          <w:rFonts w:eastAsia="MS Mincho"/>
          <w:sz w:val="24"/>
          <w:szCs w:val="24"/>
          <w:lang w:val="fr-FR"/>
        </w:rPr>
        <w:tab/>
      </w:r>
      <w:r w:rsidR="00CB07DA" w:rsidRPr="00C9307C">
        <w:rPr>
          <w:rFonts w:eastAsia="MS Mincho"/>
          <w:sz w:val="24"/>
          <w:szCs w:val="24"/>
          <w:lang w:val="fr-FR"/>
        </w:rPr>
        <w:t>Coordonner avec les composantes techniques ou toute autre entité impliquée dans le processus pour veiller à ce que le processus aboutisse en satisfaisant les besoins exprimés et en respectant les règles et procédures applicables.</w:t>
      </w:r>
    </w:p>
    <w:p w14:paraId="6C1808C6" w14:textId="77777777" w:rsidR="00CB07DA" w:rsidRPr="00C9307C" w:rsidRDefault="00CB07DA" w:rsidP="00AA5024">
      <w:pPr>
        <w:pStyle w:val="ColorfulList-Accent111"/>
        <w:ind w:left="540" w:hanging="540"/>
        <w:jc w:val="both"/>
        <w:rPr>
          <w:rFonts w:eastAsia="MS Mincho"/>
          <w:sz w:val="24"/>
          <w:szCs w:val="24"/>
          <w:lang w:val="fr-FR"/>
        </w:rPr>
      </w:pPr>
    </w:p>
    <w:p w14:paraId="71157389" w14:textId="184F99B5" w:rsidR="00A06E1B"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5.12 </w:t>
      </w:r>
      <w:r w:rsidR="000F2E58">
        <w:rPr>
          <w:rFonts w:eastAsia="MS Mincho"/>
          <w:sz w:val="24"/>
          <w:szCs w:val="24"/>
          <w:lang w:val="fr-FR"/>
        </w:rPr>
        <w:tab/>
      </w:r>
      <w:r w:rsidR="00CB07DA" w:rsidRPr="00C9307C">
        <w:rPr>
          <w:rFonts w:eastAsia="MS Mincho"/>
          <w:sz w:val="24"/>
          <w:szCs w:val="24"/>
          <w:lang w:val="fr-FR"/>
        </w:rPr>
        <w:t xml:space="preserve">Conduire des processus de </w:t>
      </w:r>
      <w:r w:rsidR="00411717" w:rsidRPr="00C9307C">
        <w:rPr>
          <w:rFonts w:eastAsia="MS Mincho"/>
          <w:sz w:val="24"/>
          <w:szCs w:val="24"/>
          <w:lang w:val="fr-FR"/>
        </w:rPr>
        <w:t>préqualification</w:t>
      </w:r>
      <w:r w:rsidR="00CB07DA" w:rsidRPr="00C9307C">
        <w:rPr>
          <w:rFonts w:eastAsia="MS Mincho"/>
          <w:sz w:val="24"/>
          <w:szCs w:val="24"/>
          <w:lang w:val="fr-FR"/>
        </w:rPr>
        <w:t xml:space="preserve"> ou des études de marchés dans les domaines récurrents du projet pour arriver à établir des listes courtes de fournisseurs pré-qualifiés et </w:t>
      </w:r>
      <w:r w:rsidR="004B55AE" w:rsidRPr="00C9307C">
        <w:rPr>
          <w:rFonts w:eastAsia="MS Mincho"/>
          <w:sz w:val="24"/>
          <w:szCs w:val="24"/>
          <w:lang w:val="fr-FR"/>
        </w:rPr>
        <w:t>habilités</w:t>
      </w:r>
      <w:r w:rsidR="00CB07DA" w:rsidRPr="00C9307C">
        <w:rPr>
          <w:rFonts w:eastAsia="MS Mincho"/>
          <w:sz w:val="24"/>
          <w:szCs w:val="24"/>
          <w:lang w:val="fr-FR"/>
        </w:rPr>
        <w:t xml:space="preserve"> à participer dans les processus de comparaison de prix. </w:t>
      </w:r>
    </w:p>
    <w:p w14:paraId="5D95B34A" w14:textId="77777777" w:rsidR="004B163C" w:rsidRPr="00C9307C" w:rsidRDefault="004B163C" w:rsidP="004B163C">
      <w:pPr>
        <w:autoSpaceDE w:val="0"/>
        <w:autoSpaceDN w:val="0"/>
        <w:adjustRightInd w:val="0"/>
        <w:jc w:val="both"/>
        <w:rPr>
          <w:rFonts w:eastAsia="MS Mincho"/>
          <w:sz w:val="24"/>
          <w:szCs w:val="24"/>
          <w:lang w:val="fr-FR"/>
        </w:rPr>
      </w:pPr>
    </w:p>
    <w:p w14:paraId="7B0E6965" w14:textId="77777777" w:rsidR="007D7E38" w:rsidRPr="00C9307C" w:rsidRDefault="004B163C" w:rsidP="004B163C">
      <w:pPr>
        <w:autoSpaceDE w:val="0"/>
        <w:autoSpaceDN w:val="0"/>
        <w:adjustRightInd w:val="0"/>
        <w:jc w:val="both"/>
        <w:rPr>
          <w:rFonts w:eastAsia="MS Mincho"/>
          <w:b/>
          <w:sz w:val="24"/>
          <w:szCs w:val="24"/>
          <w:lang w:val="fr-FR"/>
        </w:rPr>
      </w:pPr>
      <w:r w:rsidRPr="00C9307C">
        <w:rPr>
          <w:rFonts w:eastAsia="MS Mincho"/>
          <w:b/>
          <w:sz w:val="24"/>
          <w:szCs w:val="24"/>
          <w:lang w:val="fr-FR"/>
        </w:rPr>
        <w:t xml:space="preserve">          </w:t>
      </w:r>
    </w:p>
    <w:p w14:paraId="36DC3575" w14:textId="77777777" w:rsidR="007D7E38" w:rsidRPr="00C9307C" w:rsidRDefault="007D7E38">
      <w:pPr>
        <w:rPr>
          <w:rFonts w:eastAsia="MS Mincho"/>
          <w:b/>
          <w:sz w:val="24"/>
          <w:szCs w:val="24"/>
          <w:lang w:val="fr-FR"/>
        </w:rPr>
      </w:pPr>
      <w:r w:rsidRPr="00C9307C">
        <w:rPr>
          <w:rFonts w:eastAsia="MS Mincho"/>
          <w:b/>
          <w:sz w:val="24"/>
          <w:szCs w:val="24"/>
          <w:lang w:val="fr-FR"/>
        </w:rPr>
        <w:br w:type="page"/>
      </w:r>
    </w:p>
    <w:p w14:paraId="530BFB18" w14:textId="72EE310A" w:rsidR="004B163C" w:rsidRPr="00C9307C" w:rsidRDefault="004B163C" w:rsidP="004B163C">
      <w:pPr>
        <w:autoSpaceDE w:val="0"/>
        <w:autoSpaceDN w:val="0"/>
        <w:adjustRightInd w:val="0"/>
        <w:jc w:val="both"/>
        <w:rPr>
          <w:rFonts w:eastAsia="MS Mincho"/>
          <w:b/>
          <w:sz w:val="24"/>
          <w:szCs w:val="24"/>
          <w:lang w:val="fr-FR"/>
        </w:rPr>
      </w:pPr>
      <w:r w:rsidRPr="00C9307C">
        <w:rPr>
          <w:rFonts w:eastAsia="MS Mincho"/>
          <w:b/>
          <w:sz w:val="24"/>
          <w:szCs w:val="24"/>
          <w:lang w:val="fr-FR"/>
        </w:rPr>
        <w:lastRenderedPageBreak/>
        <w:t>Planification de la Passation de marchés</w:t>
      </w:r>
    </w:p>
    <w:p w14:paraId="0DACA010" w14:textId="77777777" w:rsidR="004B163C" w:rsidRPr="00C9307C" w:rsidRDefault="004B163C" w:rsidP="004B163C">
      <w:pPr>
        <w:autoSpaceDE w:val="0"/>
        <w:autoSpaceDN w:val="0"/>
        <w:adjustRightInd w:val="0"/>
        <w:jc w:val="both"/>
        <w:rPr>
          <w:rFonts w:eastAsia="MS Mincho"/>
          <w:b/>
          <w:sz w:val="24"/>
          <w:szCs w:val="24"/>
          <w:lang w:val="fr-FR"/>
        </w:rPr>
      </w:pPr>
    </w:p>
    <w:p w14:paraId="32853F35" w14:textId="77777777" w:rsidR="00CB07DA"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5.13 </w:t>
      </w:r>
      <w:r w:rsidR="00CB07DA" w:rsidRPr="00C9307C">
        <w:rPr>
          <w:rFonts w:eastAsia="MS Mincho"/>
          <w:sz w:val="24"/>
          <w:szCs w:val="24"/>
          <w:lang w:val="fr-FR"/>
        </w:rPr>
        <w:t>La planification précise, réaliste et hiérarchisée des besoins conditionne l’efficacité de la procédure de passation des marchés et donne un outil précieux pour suivre l’exécution du projet. La Banque communiquera un modèle de Plan que l’Agence d’Exécution devra établir et soumettre pour approbation au secteur approprié de la BID, ce plan initial doit couvrir des besoins allants jusqu’à 18 mois et peut être actualisé tous les 12 mois ou suivant les besoins du projet mais fera l’objet de publication au début de chaque année.</w:t>
      </w:r>
    </w:p>
    <w:p w14:paraId="3CD6B357" w14:textId="77777777" w:rsidR="00CB07DA" w:rsidRPr="00C9307C" w:rsidRDefault="00CB07DA" w:rsidP="00AA5024">
      <w:pPr>
        <w:pStyle w:val="ColorfulList-Accent111"/>
        <w:ind w:left="540" w:hanging="540"/>
        <w:jc w:val="both"/>
        <w:rPr>
          <w:rFonts w:eastAsia="MS Mincho"/>
          <w:sz w:val="24"/>
          <w:szCs w:val="24"/>
          <w:lang w:val="fr-FR"/>
        </w:rPr>
      </w:pPr>
    </w:p>
    <w:p w14:paraId="13AAD757" w14:textId="77777777" w:rsidR="00CB07DA"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5.14 </w:t>
      </w:r>
      <w:r w:rsidR="00CB07DA" w:rsidRPr="00C9307C">
        <w:rPr>
          <w:rFonts w:eastAsia="MS Mincho"/>
          <w:sz w:val="24"/>
          <w:szCs w:val="24"/>
          <w:lang w:val="fr-FR"/>
        </w:rPr>
        <w:t>La planification des processus de passation de marchés permet entre autres de :</w:t>
      </w:r>
    </w:p>
    <w:p w14:paraId="1C13EA11" w14:textId="77777777" w:rsidR="00CB07DA" w:rsidRPr="00C9307C" w:rsidRDefault="00CB07DA" w:rsidP="00CB07DA">
      <w:pPr>
        <w:autoSpaceDE w:val="0"/>
        <w:autoSpaceDN w:val="0"/>
        <w:adjustRightInd w:val="0"/>
        <w:jc w:val="both"/>
        <w:rPr>
          <w:rFonts w:eastAsia="MS Mincho"/>
          <w:sz w:val="24"/>
          <w:szCs w:val="24"/>
          <w:lang w:val="fr-FR"/>
        </w:rPr>
      </w:pPr>
    </w:p>
    <w:p w14:paraId="43075043" w14:textId="30E8602E" w:rsidR="00CB07DA" w:rsidRPr="00C9307C" w:rsidRDefault="00CB07DA" w:rsidP="00CB07DA">
      <w:pPr>
        <w:numPr>
          <w:ilvl w:val="0"/>
          <w:numId w:val="37"/>
        </w:numPr>
        <w:autoSpaceDE w:val="0"/>
        <w:autoSpaceDN w:val="0"/>
        <w:adjustRightInd w:val="0"/>
        <w:spacing w:after="200" w:line="276" w:lineRule="auto"/>
        <w:ind w:hanging="90"/>
        <w:contextualSpacing/>
        <w:jc w:val="both"/>
        <w:rPr>
          <w:rFonts w:eastAsia="MS Mincho"/>
          <w:sz w:val="24"/>
          <w:szCs w:val="24"/>
          <w:lang w:val="fr-FR"/>
        </w:rPr>
      </w:pPr>
      <w:r w:rsidRPr="00C9307C">
        <w:rPr>
          <w:rFonts w:eastAsia="MS Mincho"/>
          <w:sz w:val="24"/>
          <w:szCs w:val="24"/>
          <w:lang w:val="fr-FR"/>
        </w:rPr>
        <w:t>Garantir la bonne exécution du projet dans les délais impartis en fonction de ce qui est accordé dans le cadre du projet</w:t>
      </w:r>
      <w:r w:rsidR="00FA183E" w:rsidRPr="00C9307C">
        <w:rPr>
          <w:rFonts w:eastAsia="MS Mincho"/>
          <w:sz w:val="24"/>
          <w:szCs w:val="24"/>
          <w:lang w:val="fr-FR"/>
        </w:rPr>
        <w:t xml:space="preserve"> </w:t>
      </w:r>
      <w:r w:rsidRPr="00C9307C">
        <w:rPr>
          <w:rFonts w:eastAsia="MS Mincho"/>
          <w:sz w:val="24"/>
          <w:szCs w:val="24"/>
          <w:lang w:val="fr-FR"/>
        </w:rPr>
        <w:t>;</w:t>
      </w:r>
    </w:p>
    <w:p w14:paraId="0A9EFC20" w14:textId="5DBE8380" w:rsidR="00CB07DA" w:rsidRPr="00C9307C" w:rsidRDefault="00CB07DA" w:rsidP="00CB07DA">
      <w:pPr>
        <w:numPr>
          <w:ilvl w:val="0"/>
          <w:numId w:val="37"/>
        </w:numPr>
        <w:autoSpaceDE w:val="0"/>
        <w:autoSpaceDN w:val="0"/>
        <w:adjustRightInd w:val="0"/>
        <w:spacing w:after="200" w:line="276" w:lineRule="auto"/>
        <w:ind w:hanging="90"/>
        <w:contextualSpacing/>
        <w:jc w:val="both"/>
        <w:rPr>
          <w:rFonts w:eastAsia="MS Mincho"/>
          <w:sz w:val="24"/>
          <w:szCs w:val="24"/>
          <w:lang w:val="fr-FR"/>
        </w:rPr>
      </w:pPr>
      <w:r w:rsidRPr="00C9307C">
        <w:rPr>
          <w:rFonts w:eastAsia="MS Mincho"/>
          <w:sz w:val="24"/>
          <w:szCs w:val="24"/>
          <w:lang w:val="fr-FR"/>
        </w:rPr>
        <w:t>Analyser les besoins du projet selon son degré d’avancement par rapport aux objectifs à atteindre et à la réalité de l’exécution</w:t>
      </w:r>
      <w:r w:rsidR="00FA183E" w:rsidRPr="00C9307C">
        <w:rPr>
          <w:rFonts w:eastAsia="MS Mincho"/>
          <w:sz w:val="24"/>
          <w:szCs w:val="24"/>
          <w:lang w:val="fr-FR"/>
        </w:rPr>
        <w:t xml:space="preserve"> </w:t>
      </w:r>
      <w:r w:rsidRPr="00C9307C">
        <w:rPr>
          <w:rFonts w:eastAsia="MS Mincho"/>
          <w:sz w:val="24"/>
          <w:szCs w:val="24"/>
          <w:lang w:val="fr-FR"/>
        </w:rPr>
        <w:t>;</w:t>
      </w:r>
    </w:p>
    <w:p w14:paraId="103B0CAD" w14:textId="70C7A794" w:rsidR="00CB07DA" w:rsidRPr="00C9307C" w:rsidRDefault="00CB07DA" w:rsidP="00CB07DA">
      <w:pPr>
        <w:numPr>
          <w:ilvl w:val="0"/>
          <w:numId w:val="37"/>
        </w:numPr>
        <w:autoSpaceDE w:val="0"/>
        <w:autoSpaceDN w:val="0"/>
        <w:adjustRightInd w:val="0"/>
        <w:spacing w:after="200" w:line="276" w:lineRule="auto"/>
        <w:ind w:hanging="90"/>
        <w:contextualSpacing/>
        <w:jc w:val="both"/>
        <w:rPr>
          <w:rFonts w:eastAsia="MS Mincho"/>
          <w:sz w:val="24"/>
          <w:szCs w:val="24"/>
          <w:lang w:val="fr-FR"/>
        </w:rPr>
      </w:pPr>
      <w:r w:rsidRPr="00C9307C">
        <w:rPr>
          <w:rFonts w:eastAsia="MS Mincho"/>
          <w:sz w:val="24"/>
          <w:szCs w:val="24"/>
          <w:lang w:val="fr-FR"/>
        </w:rPr>
        <w:t>Procéder à une publication régulière permettant d’informer les marchés au mieux des besoins</w:t>
      </w:r>
      <w:r w:rsidR="00FA183E" w:rsidRPr="00C9307C">
        <w:rPr>
          <w:rFonts w:eastAsia="MS Mincho"/>
          <w:sz w:val="24"/>
          <w:szCs w:val="24"/>
          <w:lang w:val="fr-FR"/>
        </w:rPr>
        <w:t xml:space="preserve"> </w:t>
      </w:r>
      <w:r w:rsidRPr="00C9307C">
        <w:rPr>
          <w:rFonts w:eastAsia="MS Mincho"/>
          <w:sz w:val="24"/>
          <w:szCs w:val="24"/>
          <w:lang w:val="fr-FR"/>
        </w:rPr>
        <w:t>;</w:t>
      </w:r>
    </w:p>
    <w:p w14:paraId="44621367" w14:textId="77777777" w:rsidR="00CB07DA" w:rsidRPr="00C9307C" w:rsidRDefault="00CB07DA" w:rsidP="00CB07DA">
      <w:pPr>
        <w:numPr>
          <w:ilvl w:val="0"/>
          <w:numId w:val="37"/>
        </w:numPr>
        <w:autoSpaceDE w:val="0"/>
        <w:autoSpaceDN w:val="0"/>
        <w:adjustRightInd w:val="0"/>
        <w:spacing w:after="200" w:line="276" w:lineRule="auto"/>
        <w:ind w:hanging="90"/>
        <w:contextualSpacing/>
        <w:jc w:val="both"/>
        <w:rPr>
          <w:rFonts w:eastAsia="MS Mincho"/>
          <w:sz w:val="24"/>
          <w:szCs w:val="24"/>
          <w:lang w:val="fr-FR"/>
        </w:rPr>
      </w:pPr>
      <w:r w:rsidRPr="00C9307C">
        <w:rPr>
          <w:rFonts w:eastAsia="MS Mincho"/>
          <w:sz w:val="24"/>
          <w:szCs w:val="24"/>
          <w:lang w:val="fr-FR"/>
        </w:rPr>
        <w:t xml:space="preserve">Analyser les besoins financiers du projet en fonction des résultats à atteindre (division du PPDM par composante sur la base du </w:t>
      </w:r>
      <w:r w:rsidRPr="00C9307C">
        <w:rPr>
          <w:rFonts w:eastAsia="MS Mincho"/>
          <w:sz w:val="24"/>
          <w:szCs w:val="24"/>
          <w:u w:val="single"/>
          <w:lang w:val="fr-FR"/>
        </w:rPr>
        <w:t>Plan Opération Annuel</w:t>
      </w:r>
      <w:r w:rsidRPr="00C9307C">
        <w:rPr>
          <w:rFonts w:eastAsia="MS Mincho"/>
          <w:sz w:val="24"/>
          <w:szCs w:val="24"/>
          <w:lang w:val="fr-FR"/>
        </w:rPr>
        <w:t xml:space="preserve"> préparé chaque année ;</w:t>
      </w:r>
    </w:p>
    <w:p w14:paraId="018F25FF" w14:textId="77777777" w:rsidR="00CB07DA" w:rsidRPr="00C9307C" w:rsidRDefault="00CB07DA" w:rsidP="00CB07DA">
      <w:pPr>
        <w:spacing w:after="200" w:line="276" w:lineRule="auto"/>
        <w:jc w:val="both"/>
        <w:rPr>
          <w:rFonts w:eastAsia="MS Mincho"/>
          <w:sz w:val="24"/>
          <w:szCs w:val="24"/>
          <w:lang w:val="fr-FR"/>
        </w:rPr>
      </w:pPr>
    </w:p>
    <w:p w14:paraId="6BB1575D" w14:textId="77777777" w:rsidR="00CB07DA" w:rsidRPr="00C9307C" w:rsidRDefault="00CB07DA" w:rsidP="00CB07DA">
      <w:pPr>
        <w:spacing w:after="200" w:line="276" w:lineRule="auto"/>
        <w:jc w:val="both"/>
        <w:rPr>
          <w:rFonts w:eastAsia="MS Mincho"/>
          <w:bCs/>
          <w:sz w:val="24"/>
          <w:szCs w:val="24"/>
          <w:lang w:val="fr-FR"/>
        </w:rPr>
      </w:pPr>
      <w:r w:rsidRPr="00C9307C">
        <w:rPr>
          <w:rFonts w:eastAsia="MS Mincho"/>
          <w:sz w:val="24"/>
          <w:szCs w:val="24"/>
          <w:lang w:val="fr-FR"/>
        </w:rPr>
        <w:t xml:space="preserve">                                        (</w:t>
      </w:r>
      <w:proofErr w:type="spellStart"/>
      <w:r w:rsidRPr="00C9307C">
        <w:rPr>
          <w:rFonts w:eastAsia="MS Mincho"/>
          <w:bCs/>
          <w:sz w:val="24"/>
          <w:szCs w:val="24"/>
          <w:lang w:val="fr-FR"/>
        </w:rPr>
        <w:t>Parag</w:t>
      </w:r>
      <w:proofErr w:type="spellEnd"/>
      <w:r w:rsidRPr="00C9307C">
        <w:rPr>
          <w:rFonts w:eastAsia="MS Mincho"/>
          <w:bCs/>
          <w:sz w:val="24"/>
          <w:szCs w:val="24"/>
          <w:lang w:val="fr-FR"/>
        </w:rPr>
        <w:t>.  1.16 des Politiques – GN2349/ et 1.23 des GN-2350-9)</w:t>
      </w:r>
    </w:p>
    <w:p w14:paraId="0D717FAE" w14:textId="77777777" w:rsidR="004B163C" w:rsidRPr="00C9307C" w:rsidRDefault="004B163C" w:rsidP="004B163C">
      <w:pPr>
        <w:spacing w:after="200" w:line="276" w:lineRule="auto"/>
        <w:jc w:val="both"/>
        <w:rPr>
          <w:rFonts w:eastAsia="MS Mincho"/>
          <w:b/>
          <w:sz w:val="24"/>
          <w:szCs w:val="24"/>
          <w:lang w:val="fr-FR"/>
        </w:rPr>
      </w:pPr>
      <w:r w:rsidRPr="00C9307C">
        <w:rPr>
          <w:rFonts w:eastAsia="MS Mincho"/>
          <w:b/>
          <w:sz w:val="24"/>
          <w:szCs w:val="24"/>
          <w:lang w:val="fr-FR"/>
        </w:rPr>
        <w:t xml:space="preserve">        Méthodes de Passation de Marchés dans l’exécution des processus</w:t>
      </w:r>
    </w:p>
    <w:p w14:paraId="563BDCA6" w14:textId="3674D00D" w:rsidR="00CB07DA"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5.15 </w:t>
      </w:r>
      <w:r w:rsidR="00CB07DA" w:rsidRPr="00C9307C">
        <w:rPr>
          <w:rFonts w:eastAsia="MS Mincho"/>
          <w:sz w:val="24"/>
          <w:szCs w:val="24"/>
          <w:lang w:val="fr-FR"/>
        </w:rPr>
        <w:t>L’acquisition de travaux et de biens sont régies par les politiques de passations de marchés pour les biens et les travaux GN-2349-9 telles que complémentées par les Dispositions de passation de Marchés pour Haïti, GN-2654. Dès lors que le GN-2654 cesse d’être en vigueur, tout processus est sujet aux montants limites tels que publiés sur le site internet de la Banque et accessibles directement depuis le porta</w:t>
      </w:r>
      <w:r w:rsidR="00FA183E" w:rsidRPr="00C9307C">
        <w:rPr>
          <w:rFonts w:eastAsia="MS Mincho"/>
          <w:sz w:val="24"/>
          <w:szCs w:val="24"/>
          <w:lang w:val="fr-FR"/>
        </w:rPr>
        <w:t>i</w:t>
      </w:r>
      <w:r w:rsidR="00CB07DA" w:rsidRPr="00C9307C">
        <w:rPr>
          <w:rFonts w:eastAsia="MS Mincho"/>
          <w:sz w:val="24"/>
          <w:szCs w:val="24"/>
          <w:lang w:val="fr-FR"/>
        </w:rPr>
        <w:t xml:space="preserve">l de passation de marchés de la Banque : </w:t>
      </w:r>
      <w:hyperlink r:id="rId9" w:history="1">
        <w:r w:rsidR="00CB07DA" w:rsidRPr="00C9307C">
          <w:rPr>
            <w:rFonts w:eastAsia="MS Mincho"/>
            <w:sz w:val="24"/>
            <w:szCs w:val="24"/>
            <w:lang w:val="fr-FR"/>
          </w:rPr>
          <w:t>www.iadb.org/procurement</w:t>
        </w:r>
      </w:hyperlink>
      <w:r w:rsidR="00CB07DA" w:rsidRPr="00C9307C">
        <w:rPr>
          <w:rFonts w:eastAsia="MS Mincho"/>
          <w:sz w:val="24"/>
          <w:szCs w:val="24"/>
          <w:lang w:val="fr-FR"/>
        </w:rPr>
        <w:t>.</w:t>
      </w:r>
    </w:p>
    <w:p w14:paraId="518CAD1C" w14:textId="77777777" w:rsidR="00CB07DA" w:rsidRPr="00C9307C" w:rsidRDefault="00CB07DA" w:rsidP="00AA5024">
      <w:pPr>
        <w:pStyle w:val="ColorfulList-Accent111"/>
        <w:ind w:left="540" w:hanging="540"/>
        <w:jc w:val="both"/>
        <w:rPr>
          <w:rFonts w:eastAsia="MS Mincho"/>
          <w:sz w:val="24"/>
          <w:szCs w:val="24"/>
          <w:lang w:val="fr-FR"/>
        </w:rPr>
      </w:pPr>
    </w:p>
    <w:p w14:paraId="1CD9FF17" w14:textId="77777777" w:rsidR="00CB07DA"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5.16 </w:t>
      </w:r>
      <w:r w:rsidR="00CB07DA" w:rsidRPr="00C9307C">
        <w:rPr>
          <w:rFonts w:eastAsia="MS Mincho"/>
          <w:sz w:val="24"/>
          <w:szCs w:val="24"/>
          <w:lang w:val="fr-FR"/>
        </w:rPr>
        <w:t xml:space="preserve">Le spécialiste en passation de marché a la responsabilité du choix de la méthode de sélection choisie en veillant à ce que la procédure soit la plus efficace possible, et bien entendu, conforme en tout point aux règles et procédures de passation de marchés applicables à la matière. </w:t>
      </w:r>
    </w:p>
    <w:p w14:paraId="721BC8C1" w14:textId="77777777" w:rsidR="00CB07DA" w:rsidRPr="00C9307C" w:rsidRDefault="00CB07DA" w:rsidP="00CB07DA">
      <w:pPr>
        <w:pStyle w:val="ListParagraph"/>
        <w:rPr>
          <w:rFonts w:eastAsia="MS Mincho"/>
          <w:sz w:val="24"/>
          <w:szCs w:val="24"/>
          <w:lang w:val="fr-FR"/>
        </w:rPr>
      </w:pPr>
    </w:p>
    <w:p w14:paraId="2EF1852E" w14:textId="77777777" w:rsidR="00CB07DA" w:rsidRPr="00C9307C" w:rsidRDefault="00CB07DA" w:rsidP="00CB07DA">
      <w:pPr>
        <w:spacing w:after="200" w:line="276" w:lineRule="auto"/>
        <w:jc w:val="both"/>
        <w:rPr>
          <w:rFonts w:asciiTheme="minorHAnsi" w:eastAsia="MS Mincho" w:hAnsiTheme="minorHAnsi"/>
          <w:sz w:val="24"/>
          <w:szCs w:val="24"/>
          <w:lang w:val="fr-CA"/>
        </w:rPr>
      </w:pPr>
      <w:r w:rsidRPr="00C9307C">
        <w:rPr>
          <w:rFonts w:asciiTheme="minorHAnsi" w:eastAsia="MS Mincho" w:hAnsiTheme="minorHAnsi"/>
          <w:sz w:val="24"/>
          <w:szCs w:val="24"/>
          <w:lang w:val="fr-CA"/>
        </w:rPr>
        <w:t>Le spécialiste en passation de marchés pourra recommander le recours à :</w:t>
      </w:r>
    </w:p>
    <w:p w14:paraId="028F134D" w14:textId="1BE5F051" w:rsidR="00CB07DA" w:rsidRPr="00C9307C" w:rsidRDefault="00FA183E" w:rsidP="00CB07DA">
      <w:pPr>
        <w:numPr>
          <w:ilvl w:val="0"/>
          <w:numId w:val="41"/>
        </w:numPr>
        <w:spacing w:after="200" w:line="276" w:lineRule="auto"/>
        <w:contextualSpacing/>
        <w:jc w:val="both"/>
        <w:rPr>
          <w:rFonts w:asciiTheme="minorHAnsi" w:eastAsia="MS Mincho" w:hAnsiTheme="minorHAnsi"/>
          <w:sz w:val="24"/>
          <w:szCs w:val="24"/>
          <w:lang w:val="fr-FR"/>
        </w:rPr>
      </w:pPr>
      <w:r w:rsidRPr="00C9307C">
        <w:rPr>
          <w:rFonts w:asciiTheme="minorHAnsi" w:eastAsia="MS Mincho" w:hAnsiTheme="minorHAnsi"/>
          <w:sz w:val="24"/>
          <w:szCs w:val="24"/>
          <w:lang w:val="fr-CA"/>
        </w:rPr>
        <w:t>L’Appel</w:t>
      </w:r>
      <w:r w:rsidR="00CB07DA" w:rsidRPr="00C9307C">
        <w:rPr>
          <w:rFonts w:asciiTheme="minorHAnsi" w:eastAsia="MS Mincho" w:hAnsiTheme="minorHAnsi"/>
          <w:sz w:val="24"/>
          <w:szCs w:val="24"/>
          <w:lang w:val="fr-CA"/>
        </w:rPr>
        <w:t xml:space="preserve"> d’Offre International [AOI] pour les travaux d’un montant supérieur ou égal à US$1 million, et pour les biens d’un montant supérieur à US$100 000,00.</w:t>
      </w:r>
    </w:p>
    <w:p w14:paraId="45E41F6E" w14:textId="77777777" w:rsidR="00CB07DA" w:rsidRPr="00C9307C" w:rsidRDefault="00CB07DA" w:rsidP="00CB07DA">
      <w:pPr>
        <w:spacing w:after="200" w:line="276" w:lineRule="auto"/>
        <w:ind w:left="720"/>
        <w:contextualSpacing/>
        <w:jc w:val="both"/>
        <w:rPr>
          <w:rFonts w:asciiTheme="minorHAnsi" w:eastAsia="MS Mincho" w:hAnsiTheme="minorHAnsi"/>
          <w:sz w:val="24"/>
          <w:szCs w:val="24"/>
          <w:lang w:val="fr-FR"/>
        </w:rPr>
      </w:pPr>
    </w:p>
    <w:p w14:paraId="5B968A1D" w14:textId="77777777" w:rsidR="00CB07DA" w:rsidRPr="00C9307C" w:rsidRDefault="00CB07DA" w:rsidP="00CB07DA">
      <w:pPr>
        <w:numPr>
          <w:ilvl w:val="0"/>
          <w:numId w:val="41"/>
        </w:numPr>
        <w:spacing w:after="200" w:line="276" w:lineRule="auto"/>
        <w:contextualSpacing/>
        <w:jc w:val="both"/>
        <w:rPr>
          <w:rFonts w:asciiTheme="minorHAnsi" w:eastAsia="MS Mincho" w:hAnsiTheme="minorHAnsi"/>
          <w:sz w:val="24"/>
          <w:szCs w:val="24"/>
          <w:lang w:val="fr-CA"/>
        </w:rPr>
      </w:pPr>
      <w:r w:rsidRPr="00C9307C">
        <w:rPr>
          <w:rFonts w:asciiTheme="minorHAnsi" w:eastAsia="MS Mincho" w:hAnsiTheme="minorHAnsi"/>
          <w:sz w:val="24"/>
          <w:szCs w:val="24"/>
          <w:lang w:val="fr-FR"/>
        </w:rPr>
        <w:lastRenderedPageBreak/>
        <w:t xml:space="preserve">L’Appel d’Offre International restreint [AOIR], prévu dans le </w:t>
      </w:r>
      <w:hyperlink r:id="rId10" w:history="1">
        <w:r w:rsidRPr="00C9307C">
          <w:rPr>
            <w:rStyle w:val="Hyperlink"/>
            <w:rFonts w:asciiTheme="minorHAnsi" w:eastAsia="MS Mincho" w:hAnsiTheme="minorHAnsi"/>
            <w:sz w:val="24"/>
            <w:szCs w:val="24"/>
            <w:lang w:val="fr-FR"/>
          </w:rPr>
          <w:t>GN-2654</w:t>
        </w:r>
      </w:hyperlink>
      <w:r w:rsidRPr="00C9307C">
        <w:rPr>
          <w:rFonts w:asciiTheme="minorHAnsi" w:eastAsia="MS Mincho" w:hAnsiTheme="minorHAnsi"/>
          <w:sz w:val="24"/>
          <w:szCs w:val="24"/>
          <w:lang w:val="fr-FR"/>
        </w:rPr>
        <w:t xml:space="preserve"> paragraphe 3.8, pour les travaux d’un montant supérieur US$1 million où il existe un nombre limité de fournisseurs, ou dans les conditions exceptionnelles qui justifient l’utilisation de cette procédure en lieu et place l’AOI.</w:t>
      </w:r>
    </w:p>
    <w:p w14:paraId="393D727F" w14:textId="77777777" w:rsidR="00CB07DA" w:rsidRPr="00C9307C" w:rsidRDefault="00CB07DA" w:rsidP="00CB07DA">
      <w:pPr>
        <w:spacing w:after="200" w:line="276" w:lineRule="auto"/>
        <w:ind w:left="720"/>
        <w:contextualSpacing/>
        <w:jc w:val="both"/>
        <w:rPr>
          <w:rFonts w:asciiTheme="minorHAnsi" w:eastAsia="MS Mincho" w:hAnsiTheme="minorHAnsi"/>
          <w:sz w:val="24"/>
          <w:szCs w:val="24"/>
          <w:lang w:val="fr-FR"/>
        </w:rPr>
      </w:pPr>
    </w:p>
    <w:p w14:paraId="055E4490" w14:textId="77777777" w:rsidR="00CB07DA" w:rsidRPr="00C9307C" w:rsidRDefault="00CB07DA" w:rsidP="00CB07DA">
      <w:pPr>
        <w:numPr>
          <w:ilvl w:val="0"/>
          <w:numId w:val="41"/>
        </w:numPr>
        <w:spacing w:after="200" w:line="276" w:lineRule="auto"/>
        <w:contextualSpacing/>
        <w:jc w:val="both"/>
        <w:rPr>
          <w:rFonts w:asciiTheme="minorHAnsi" w:eastAsia="MS Mincho" w:hAnsiTheme="minorHAnsi"/>
          <w:sz w:val="24"/>
          <w:szCs w:val="24"/>
          <w:lang w:val="fr-FR"/>
        </w:rPr>
      </w:pPr>
      <w:r w:rsidRPr="00C9307C">
        <w:rPr>
          <w:rFonts w:asciiTheme="minorHAnsi" w:eastAsia="MS Mincho" w:hAnsiTheme="minorHAnsi"/>
          <w:sz w:val="24"/>
          <w:szCs w:val="24"/>
          <w:lang w:val="fr-CA"/>
        </w:rPr>
        <w:t>L’Appel d’Offre National [AON], la comparaison de prix [CP] pour les travaux d’un montant inférieur à US$1 million, et pour les biens d’un montant inférieur à US$100,000.00.</w:t>
      </w:r>
    </w:p>
    <w:p w14:paraId="0C78F44D" w14:textId="77777777" w:rsidR="00CB07DA" w:rsidRPr="00C9307C" w:rsidRDefault="00CB07DA" w:rsidP="00CB07DA">
      <w:pPr>
        <w:spacing w:after="200" w:line="276" w:lineRule="auto"/>
        <w:ind w:left="720"/>
        <w:contextualSpacing/>
        <w:jc w:val="both"/>
        <w:rPr>
          <w:rFonts w:asciiTheme="minorHAnsi" w:eastAsia="MS Mincho" w:hAnsiTheme="minorHAnsi"/>
          <w:sz w:val="24"/>
          <w:szCs w:val="24"/>
          <w:lang w:val="fr-FR"/>
        </w:rPr>
      </w:pPr>
    </w:p>
    <w:p w14:paraId="1740D2FD" w14:textId="5F411C41" w:rsidR="00CB07DA" w:rsidRPr="00C9307C" w:rsidRDefault="00CB07DA" w:rsidP="00CB07DA">
      <w:pPr>
        <w:numPr>
          <w:ilvl w:val="0"/>
          <w:numId w:val="41"/>
        </w:numPr>
        <w:spacing w:after="200" w:line="276" w:lineRule="auto"/>
        <w:contextualSpacing/>
        <w:jc w:val="both"/>
        <w:rPr>
          <w:rFonts w:asciiTheme="minorHAnsi" w:eastAsia="MS Mincho" w:hAnsiTheme="minorHAnsi"/>
          <w:sz w:val="24"/>
          <w:szCs w:val="24"/>
          <w:lang w:val="fr-FR"/>
        </w:rPr>
      </w:pPr>
      <w:r w:rsidRPr="00C9307C">
        <w:rPr>
          <w:rFonts w:asciiTheme="minorHAnsi" w:eastAsia="MS Mincho" w:hAnsiTheme="minorHAnsi"/>
          <w:sz w:val="24"/>
          <w:szCs w:val="24"/>
          <w:lang w:val="fr-FR"/>
        </w:rPr>
        <w:t xml:space="preserve">Pour la sélection et le recrutement de consultants, les paragraphes 2.1 et 3.2 à 3.7 des politiques </w:t>
      </w:r>
      <w:hyperlink r:id="rId11" w:history="1">
        <w:r w:rsidRPr="00C9307C">
          <w:rPr>
            <w:rStyle w:val="Hyperlink"/>
            <w:rFonts w:asciiTheme="minorHAnsi" w:eastAsia="MS Mincho" w:hAnsiTheme="minorHAnsi"/>
            <w:sz w:val="24"/>
            <w:szCs w:val="24"/>
            <w:lang w:val="fr-FR"/>
          </w:rPr>
          <w:t>GN-2350-9</w:t>
        </w:r>
      </w:hyperlink>
      <w:r w:rsidRPr="00C9307C">
        <w:rPr>
          <w:rFonts w:asciiTheme="minorHAnsi" w:eastAsia="MS Mincho" w:hAnsiTheme="minorHAnsi"/>
          <w:sz w:val="24"/>
          <w:szCs w:val="24"/>
          <w:lang w:val="fr-FR"/>
        </w:rPr>
        <w:t xml:space="preserve"> décrivent également les méthodes de sélection applicables autres que la sélection fondée sur la qualité et le coût. Pour les consultants (SFQC, SFQ, SCBD, SMC, SQ, SCI, SED). Pour </w:t>
      </w:r>
      <w:r w:rsidRPr="008D1AE6">
        <w:rPr>
          <w:rFonts w:asciiTheme="minorHAnsi" w:eastAsia="MS Mincho" w:hAnsiTheme="minorHAnsi"/>
          <w:sz w:val="24"/>
          <w:szCs w:val="24"/>
          <w:lang w:val="fr-FR"/>
        </w:rPr>
        <w:t>les marchés de recrutement de consultants d’un montant supérieur ou égal à US $100,000.00 la liste courte comprendra des firmes nationales et internationales.</w:t>
      </w:r>
    </w:p>
    <w:p w14:paraId="2CEB0369" w14:textId="77777777" w:rsidR="00FA4A26" w:rsidRPr="00C9307C" w:rsidRDefault="00FA4A26" w:rsidP="00CB07DA">
      <w:pPr>
        <w:spacing w:after="200" w:line="276" w:lineRule="auto"/>
        <w:ind w:left="720"/>
        <w:contextualSpacing/>
        <w:jc w:val="both"/>
        <w:rPr>
          <w:rFonts w:asciiTheme="minorHAnsi" w:eastAsia="MS Mincho" w:hAnsiTheme="minorHAnsi"/>
          <w:sz w:val="24"/>
          <w:szCs w:val="24"/>
          <w:lang w:val="fr-FR"/>
        </w:rPr>
      </w:pPr>
    </w:p>
    <w:p w14:paraId="4EEEA245" w14:textId="77777777" w:rsidR="00CB07DA" w:rsidRPr="00C9307C" w:rsidRDefault="00CB07DA" w:rsidP="00CB07DA">
      <w:pPr>
        <w:spacing w:after="200" w:line="276" w:lineRule="auto"/>
        <w:ind w:left="720"/>
        <w:contextualSpacing/>
        <w:jc w:val="both"/>
        <w:rPr>
          <w:rFonts w:asciiTheme="minorHAnsi" w:eastAsia="MS Mincho" w:hAnsiTheme="minorHAnsi"/>
          <w:sz w:val="24"/>
          <w:szCs w:val="24"/>
          <w:lang w:val="fr-FR"/>
        </w:rPr>
      </w:pPr>
      <w:r w:rsidRPr="00C9307C">
        <w:rPr>
          <w:rFonts w:asciiTheme="minorHAnsi" w:eastAsia="MS Mincho" w:hAnsiTheme="minorHAnsi"/>
          <w:sz w:val="24"/>
          <w:szCs w:val="24"/>
          <w:lang w:val="fr-FR"/>
        </w:rPr>
        <w:t xml:space="preserve">Pour les marchés de recrutement de </w:t>
      </w:r>
      <w:r w:rsidR="00FA4A26" w:rsidRPr="00C9307C">
        <w:rPr>
          <w:rFonts w:asciiTheme="minorHAnsi" w:eastAsia="MS Mincho" w:hAnsiTheme="minorHAnsi"/>
          <w:sz w:val="24"/>
          <w:szCs w:val="24"/>
          <w:lang w:val="fr-FR"/>
        </w:rPr>
        <w:t>consultant d’un</w:t>
      </w:r>
      <w:r w:rsidRPr="00C9307C">
        <w:rPr>
          <w:rFonts w:asciiTheme="minorHAnsi" w:eastAsia="MS Mincho" w:hAnsiTheme="minorHAnsi"/>
          <w:sz w:val="24"/>
          <w:szCs w:val="24"/>
          <w:lang w:val="fr-FR"/>
        </w:rPr>
        <w:t xml:space="preserve"> budget estimé inférieur à US$100,000.00 la liste courte devra être composée de firmes nationales uniquement.</w:t>
      </w:r>
    </w:p>
    <w:p w14:paraId="33D403B7" w14:textId="77777777" w:rsidR="00CB07DA" w:rsidRPr="00C9307C" w:rsidRDefault="00CB07DA" w:rsidP="00CB07DA">
      <w:pPr>
        <w:spacing w:after="200" w:line="276" w:lineRule="auto"/>
        <w:ind w:left="720"/>
        <w:contextualSpacing/>
        <w:jc w:val="both"/>
        <w:rPr>
          <w:rFonts w:asciiTheme="minorHAnsi" w:eastAsia="MS Mincho" w:hAnsiTheme="minorHAnsi"/>
          <w:sz w:val="24"/>
          <w:szCs w:val="24"/>
          <w:lang w:val="fr-FR"/>
        </w:rPr>
      </w:pPr>
    </w:p>
    <w:p w14:paraId="679F445E" w14:textId="77777777" w:rsidR="00CB07DA" w:rsidRPr="00C9307C" w:rsidRDefault="00CB07DA" w:rsidP="00CB07DA">
      <w:pPr>
        <w:numPr>
          <w:ilvl w:val="0"/>
          <w:numId w:val="42"/>
        </w:numPr>
        <w:spacing w:after="200" w:line="276" w:lineRule="auto"/>
        <w:contextualSpacing/>
        <w:jc w:val="both"/>
        <w:rPr>
          <w:rFonts w:asciiTheme="minorHAnsi" w:eastAsia="MS Mincho" w:hAnsiTheme="minorHAnsi"/>
          <w:sz w:val="24"/>
          <w:szCs w:val="24"/>
          <w:lang w:val="fr-FR"/>
        </w:rPr>
      </w:pPr>
      <w:r w:rsidRPr="00C9307C">
        <w:rPr>
          <w:rFonts w:asciiTheme="minorHAnsi" w:eastAsia="MS Mincho" w:hAnsiTheme="minorHAnsi"/>
          <w:sz w:val="24"/>
          <w:szCs w:val="24"/>
          <w:lang w:val="fr-FR"/>
        </w:rPr>
        <w:t xml:space="preserve">La </w:t>
      </w:r>
      <w:r w:rsidRPr="00C9307C">
        <w:rPr>
          <w:rFonts w:asciiTheme="minorHAnsi" w:eastAsia="MS Mincho" w:hAnsiTheme="minorHAnsi"/>
          <w:sz w:val="24"/>
          <w:szCs w:val="24"/>
          <w:u w:val="single"/>
          <w:lang w:val="fr-FR"/>
        </w:rPr>
        <w:t>Sélection fondée sur la qualité et le coût</w:t>
      </w:r>
      <w:r w:rsidRPr="00C9307C">
        <w:rPr>
          <w:rFonts w:asciiTheme="minorHAnsi" w:eastAsia="MS Mincho" w:hAnsiTheme="minorHAnsi"/>
          <w:sz w:val="24"/>
          <w:szCs w:val="24"/>
          <w:lang w:val="fr-FR"/>
        </w:rPr>
        <w:t xml:space="preserve"> [SFQC], cette méthode consiste à mettre en concurrence les consultants figurant sur une liste restreinte, en prenant en compte la qualité de la proposition et le coût des services pour choisir le Consultant à retenir</w:t>
      </w:r>
    </w:p>
    <w:p w14:paraId="640EAF86" w14:textId="77777777" w:rsidR="00CB07DA" w:rsidRPr="00C9307C" w:rsidRDefault="00CB07DA" w:rsidP="00CB07DA">
      <w:pPr>
        <w:spacing w:after="200" w:line="276" w:lineRule="auto"/>
        <w:ind w:left="1440"/>
        <w:contextualSpacing/>
        <w:jc w:val="both"/>
        <w:rPr>
          <w:rFonts w:asciiTheme="minorHAnsi" w:eastAsia="MS Mincho" w:hAnsiTheme="minorHAnsi"/>
          <w:sz w:val="24"/>
          <w:szCs w:val="24"/>
          <w:lang w:val="fr-FR"/>
        </w:rPr>
      </w:pPr>
    </w:p>
    <w:p w14:paraId="22709EAB" w14:textId="01D4437B" w:rsidR="00CB07DA" w:rsidRPr="00C9307C" w:rsidRDefault="00675A69" w:rsidP="00CB07DA">
      <w:pPr>
        <w:numPr>
          <w:ilvl w:val="0"/>
          <w:numId w:val="42"/>
        </w:numPr>
        <w:spacing w:after="200" w:line="276" w:lineRule="auto"/>
        <w:contextualSpacing/>
        <w:jc w:val="both"/>
        <w:rPr>
          <w:rFonts w:asciiTheme="minorHAnsi" w:eastAsia="MS Mincho" w:hAnsiTheme="minorHAnsi"/>
          <w:sz w:val="24"/>
          <w:szCs w:val="24"/>
          <w:lang w:val="fr-FR"/>
        </w:rPr>
      </w:pPr>
      <w:r w:rsidRPr="00C9307C">
        <w:rPr>
          <w:rFonts w:asciiTheme="minorHAnsi" w:eastAsia="MS Mincho" w:hAnsiTheme="minorHAnsi"/>
          <w:sz w:val="24"/>
          <w:szCs w:val="24"/>
          <w:lang w:val="fr-FR"/>
        </w:rPr>
        <w:t>L</w:t>
      </w:r>
      <w:r w:rsidR="00CB07DA" w:rsidRPr="00C9307C">
        <w:rPr>
          <w:rFonts w:asciiTheme="minorHAnsi" w:eastAsia="MS Mincho" w:hAnsiTheme="minorHAnsi"/>
          <w:sz w:val="24"/>
          <w:szCs w:val="24"/>
          <w:lang w:val="fr-FR"/>
        </w:rPr>
        <w:t>a</w:t>
      </w:r>
      <w:r>
        <w:rPr>
          <w:rFonts w:asciiTheme="minorHAnsi" w:eastAsia="MS Mincho" w:hAnsiTheme="minorHAnsi"/>
          <w:sz w:val="24"/>
          <w:szCs w:val="24"/>
          <w:lang w:val="fr-FR"/>
        </w:rPr>
        <w:t xml:space="preserve"> </w:t>
      </w:r>
      <w:r w:rsidR="00CB07DA" w:rsidRPr="00675A69">
        <w:rPr>
          <w:rFonts w:asciiTheme="minorHAnsi" w:eastAsia="MS Mincho" w:hAnsiTheme="minorHAnsi"/>
          <w:sz w:val="24"/>
          <w:szCs w:val="24"/>
          <w:u w:val="single"/>
          <w:lang w:val="fr-FR"/>
        </w:rPr>
        <w:t>Sélection Fondée sur la Qualité</w:t>
      </w:r>
      <w:r w:rsidR="00CB07DA" w:rsidRPr="00675A69">
        <w:rPr>
          <w:rFonts w:asciiTheme="minorHAnsi" w:eastAsia="MS Mincho" w:hAnsiTheme="minorHAnsi"/>
          <w:sz w:val="24"/>
          <w:szCs w:val="24"/>
          <w:lang w:val="fr-FR"/>
        </w:rPr>
        <w:t xml:space="preserve"> [SFQ], cette méthode convient aux : (i) </w:t>
      </w:r>
      <w:r w:rsidRPr="00675A69">
        <w:rPr>
          <w:rFonts w:asciiTheme="minorHAnsi" w:eastAsia="MS Mincho" w:hAnsiTheme="minorHAnsi"/>
          <w:sz w:val="24"/>
          <w:szCs w:val="24"/>
          <w:lang w:val="fr-FR"/>
        </w:rPr>
        <w:t>missions complexes</w:t>
      </w:r>
      <w:r w:rsidR="00CB07DA" w:rsidRPr="00675A69">
        <w:rPr>
          <w:rFonts w:asciiTheme="minorHAnsi" w:eastAsia="MS Mincho" w:hAnsiTheme="minorHAnsi"/>
          <w:sz w:val="24"/>
          <w:szCs w:val="24"/>
          <w:lang w:val="fr-FR"/>
        </w:rPr>
        <w:t xml:space="preserve"> ou très spécialisées pour lesquelles il est difficile de définir précisément les Termes de référence, (ii) les missions ayant un impact très marqué en aval et pour lesquelles l’objectif est d’obtenir les services </w:t>
      </w:r>
      <w:proofErr w:type="gramStart"/>
      <w:r w:rsidR="00CB07DA" w:rsidRPr="00675A69">
        <w:rPr>
          <w:rFonts w:asciiTheme="minorHAnsi" w:eastAsia="MS Mincho" w:hAnsiTheme="minorHAnsi"/>
          <w:sz w:val="24"/>
          <w:szCs w:val="24"/>
          <w:lang w:val="fr-FR"/>
        </w:rPr>
        <w:t>des meilleurs expert</w:t>
      </w:r>
      <w:proofErr w:type="gramEnd"/>
      <w:r w:rsidR="00CB07DA" w:rsidRPr="00675A69">
        <w:rPr>
          <w:rFonts w:asciiTheme="minorHAnsi" w:eastAsia="MS Mincho" w:hAnsiTheme="minorHAnsi"/>
          <w:sz w:val="24"/>
          <w:szCs w:val="24"/>
          <w:lang w:val="fr-FR"/>
        </w:rPr>
        <w:t>, (iii) les missions pouvant être réalisées de manière sensiblement différente et pour le</w:t>
      </w:r>
      <w:r w:rsidR="00CB07DA" w:rsidRPr="00C9307C">
        <w:rPr>
          <w:rFonts w:asciiTheme="minorHAnsi" w:eastAsia="MS Mincho" w:hAnsiTheme="minorHAnsi"/>
          <w:sz w:val="24"/>
          <w:szCs w:val="24"/>
          <w:lang w:val="fr-FR"/>
        </w:rPr>
        <w:t>squelles les propositions seront difficilement comparables.</w:t>
      </w:r>
    </w:p>
    <w:p w14:paraId="5583CAAE" w14:textId="77777777" w:rsidR="00CB07DA" w:rsidRPr="00C9307C" w:rsidRDefault="00CB07DA" w:rsidP="00CB07DA">
      <w:pPr>
        <w:spacing w:after="200" w:line="276" w:lineRule="auto"/>
        <w:ind w:left="1440"/>
        <w:contextualSpacing/>
        <w:jc w:val="both"/>
        <w:rPr>
          <w:rFonts w:asciiTheme="minorHAnsi" w:eastAsia="MS Mincho" w:hAnsiTheme="minorHAnsi"/>
          <w:sz w:val="24"/>
          <w:szCs w:val="24"/>
          <w:lang w:val="fr-FR"/>
        </w:rPr>
      </w:pPr>
    </w:p>
    <w:p w14:paraId="3C0356C5" w14:textId="77777777" w:rsidR="00CB07DA" w:rsidRPr="00C9307C" w:rsidRDefault="00CB07DA" w:rsidP="00CB07DA">
      <w:pPr>
        <w:numPr>
          <w:ilvl w:val="0"/>
          <w:numId w:val="42"/>
        </w:numPr>
        <w:spacing w:after="200" w:line="276" w:lineRule="auto"/>
        <w:contextualSpacing/>
        <w:jc w:val="both"/>
        <w:rPr>
          <w:rFonts w:asciiTheme="minorHAnsi" w:eastAsia="MS Mincho" w:hAnsiTheme="minorHAnsi"/>
          <w:sz w:val="24"/>
          <w:szCs w:val="24"/>
          <w:lang w:val="fr-FR"/>
        </w:rPr>
      </w:pPr>
      <w:r w:rsidRPr="00C9307C">
        <w:rPr>
          <w:rFonts w:asciiTheme="minorHAnsi" w:eastAsia="MS Mincho" w:hAnsiTheme="minorHAnsi"/>
          <w:sz w:val="24"/>
          <w:szCs w:val="24"/>
          <w:lang w:val="fr-FR"/>
        </w:rPr>
        <w:t xml:space="preserve">La </w:t>
      </w:r>
      <w:r w:rsidRPr="00C9307C">
        <w:rPr>
          <w:rFonts w:asciiTheme="minorHAnsi" w:eastAsia="MS Mincho" w:hAnsiTheme="minorHAnsi"/>
          <w:sz w:val="24"/>
          <w:szCs w:val="24"/>
          <w:u w:val="single"/>
          <w:lang w:val="fr-FR"/>
        </w:rPr>
        <w:t>Sélection dans le Cadre d’un Budget Déterminé</w:t>
      </w:r>
      <w:r w:rsidRPr="00C9307C">
        <w:rPr>
          <w:rFonts w:asciiTheme="minorHAnsi" w:eastAsia="MS Mincho" w:hAnsiTheme="minorHAnsi"/>
          <w:sz w:val="24"/>
          <w:szCs w:val="24"/>
          <w:lang w:val="fr-FR"/>
        </w:rPr>
        <w:t xml:space="preserve"> [SCBD], Cette méthode convient uniquement pour une mission simple, qui peut être définie de manière précise et dont le budget est prédéterminé.</w:t>
      </w:r>
    </w:p>
    <w:p w14:paraId="67248A12" w14:textId="77777777" w:rsidR="00CB07DA" w:rsidRPr="00C9307C" w:rsidRDefault="00CB07DA" w:rsidP="00CB07DA">
      <w:pPr>
        <w:spacing w:after="200" w:line="276" w:lineRule="auto"/>
        <w:contextualSpacing/>
        <w:jc w:val="both"/>
        <w:rPr>
          <w:rFonts w:asciiTheme="minorHAnsi" w:eastAsia="MS Mincho" w:hAnsiTheme="minorHAnsi"/>
          <w:sz w:val="24"/>
          <w:szCs w:val="24"/>
          <w:lang w:val="fr-FR"/>
        </w:rPr>
      </w:pPr>
    </w:p>
    <w:p w14:paraId="7FD1D1D1" w14:textId="77777777" w:rsidR="00CB07DA" w:rsidRPr="00C9307C" w:rsidRDefault="00CB07DA" w:rsidP="00CB07DA">
      <w:pPr>
        <w:numPr>
          <w:ilvl w:val="0"/>
          <w:numId w:val="42"/>
        </w:numPr>
        <w:spacing w:after="200" w:line="276" w:lineRule="auto"/>
        <w:contextualSpacing/>
        <w:jc w:val="both"/>
        <w:rPr>
          <w:rFonts w:asciiTheme="minorHAnsi" w:eastAsia="MS Mincho" w:hAnsiTheme="minorHAnsi"/>
          <w:sz w:val="24"/>
          <w:szCs w:val="24"/>
          <w:lang w:val="fr-FR"/>
        </w:rPr>
      </w:pPr>
      <w:r w:rsidRPr="00C9307C">
        <w:rPr>
          <w:rFonts w:asciiTheme="minorHAnsi" w:eastAsia="MS Mincho" w:hAnsiTheme="minorHAnsi"/>
          <w:sz w:val="24"/>
          <w:szCs w:val="24"/>
          <w:lang w:val="fr-FR"/>
        </w:rPr>
        <w:t xml:space="preserve">La </w:t>
      </w:r>
      <w:r w:rsidRPr="00C9307C">
        <w:rPr>
          <w:rFonts w:asciiTheme="minorHAnsi" w:eastAsia="MS Mincho" w:hAnsiTheme="minorHAnsi"/>
          <w:sz w:val="24"/>
          <w:szCs w:val="24"/>
          <w:u w:val="single"/>
          <w:lang w:val="fr-FR"/>
        </w:rPr>
        <w:t>Sélection au moindre coût</w:t>
      </w:r>
      <w:r w:rsidRPr="00C9307C">
        <w:rPr>
          <w:rFonts w:asciiTheme="minorHAnsi" w:eastAsia="MS Mincho" w:hAnsiTheme="minorHAnsi"/>
          <w:sz w:val="24"/>
          <w:szCs w:val="24"/>
          <w:lang w:val="fr-FR"/>
        </w:rPr>
        <w:t xml:space="preserve"> [SMC], Cette méthode ne s’applique qu’à la sélection de consultants pour des missions standards ou courantes pour lesquelles il existe des pratiques et des normes bien établies.</w:t>
      </w:r>
    </w:p>
    <w:p w14:paraId="2F6B33BE" w14:textId="77777777" w:rsidR="00CB07DA" w:rsidRPr="00C9307C" w:rsidRDefault="00CB07DA" w:rsidP="00CB07DA">
      <w:pPr>
        <w:spacing w:after="200" w:line="276" w:lineRule="auto"/>
        <w:ind w:left="1440"/>
        <w:contextualSpacing/>
        <w:jc w:val="both"/>
        <w:rPr>
          <w:rFonts w:asciiTheme="minorHAnsi" w:eastAsia="MS Mincho" w:hAnsiTheme="minorHAnsi"/>
          <w:sz w:val="24"/>
          <w:szCs w:val="24"/>
          <w:lang w:val="fr-FR"/>
        </w:rPr>
      </w:pPr>
    </w:p>
    <w:p w14:paraId="3EACBA65" w14:textId="5FE5D8BB" w:rsidR="00CB07DA" w:rsidRPr="00C9307C" w:rsidRDefault="00CB07DA" w:rsidP="00CB07DA">
      <w:pPr>
        <w:numPr>
          <w:ilvl w:val="0"/>
          <w:numId w:val="42"/>
        </w:numPr>
        <w:spacing w:after="200" w:line="276" w:lineRule="auto"/>
        <w:contextualSpacing/>
        <w:jc w:val="both"/>
        <w:rPr>
          <w:rFonts w:asciiTheme="minorHAnsi" w:eastAsia="MS Mincho" w:hAnsiTheme="minorHAnsi"/>
          <w:sz w:val="24"/>
          <w:szCs w:val="24"/>
          <w:lang w:val="fr-FR"/>
        </w:rPr>
      </w:pPr>
      <w:r w:rsidRPr="00C9307C">
        <w:rPr>
          <w:rFonts w:asciiTheme="minorHAnsi" w:eastAsia="MS Mincho" w:hAnsiTheme="minorHAnsi"/>
          <w:sz w:val="24"/>
          <w:szCs w:val="24"/>
          <w:lang w:val="fr-FR"/>
        </w:rPr>
        <w:lastRenderedPageBreak/>
        <w:t xml:space="preserve">La </w:t>
      </w:r>
      <w:r w:rsidRPr="00C9307C">
        <w:rPr>
          <w:rFonts w:asciiTheme="minorHAnsi" w:eastAsia="MS Mincho" w:hAnsiTheme="minorHAnsi"/>
          <w:sz w:val="24"/>
          <w:szCs w:val="24"/>
          <w:u w:val="single"/>
          <w:lang w:val="fr-FR"/>
        </w:rPr>
        <w:t>Sélection fondée sur la Qualification des Consultants</w:t>
      </w:r>
      <w:r w:rsidRPr="00C9307C">
        <w:rPr>
          <w:rFonts w:asciiTheme="minorHAnsi" w:eastAsia="MS Mincho" w:hAnsiTheme="minorHAnsi"/>
          <w:sz w:val="24"/>
          <w:szCs w:val="24"/>
          <w:lang w:val="fr-FR"/>
        </w:rPr>
        <w:t>, [QC], Cette méthode peut être utilisée pour des marchés d’un montant faible, pour lesquels il n’est pas justifié de faire établir et d’évaluer des propositions concurrentes.</w:t>
      </w:r>
    </w:p>
    <w:p w14:paraId="03777B47" w14:textId="77777777" w:rsidR="00CB07DA" w:rsidRPr="00C9307C" w:rsidRDefault="00CB07DA" w:rsidP="00CB07DA">
      <w:pPr>
        <w:spacing w:after="200" w:line="276" w:lineRule="auto"/>
        <w:ind w:left="1440"/>
        <w:contextualSpacing/>
        <w:jc w:val="both"/>
        <w:rPr>
          <w:rFonts w:asciiTheme="minorHAnsi" w:eastAsia="MS Mincho" w:hAnsiTheme="minorHAnsi"/>
          <w:sz w:val="24"/>
          <w:szCs w:val="24"/>
          <w:lang w:val="fr-FR"/>
        </w:rPr>
      </w:pPr>
    </w:p>
    <w:p w14:paraId="19C10A51" w14:textId="30311FE7" w:rsidR="00CB07DA" w:rsidRPr="00C9307C" w:rsidRDefault="00CB07DA" w:rsidP="00CB07DA">
      <w:pPr>
        <w:numPr>
          <w:ilvl w:val="0"/>
          <w:numId w:val="42"/>
        </w:numPr>
        <w:spacing w:after="200" w:line="276" w:lineRule="auto"/>
        <w:contextualSpacing/>
        <w:jc w:val="both"/>
        <w:rPr>
          <w:rFonts w:asciiTheme="minorHAnsi" w:eastAsia="MS Mincho" w:hAnsiTheme="minorHAnsi"/>
          <w:sz w:val="24"/>
          <w:szCs w:val="24"/>
          <w:lang w:val="fr-FR"/>
        </w:rPr>
      </w:pPr>
      <w:r w:rsidRPr="00C9307C">
        <w:rPr>
          <w:rFonts w:asciiTheme="minorHAnsi" w:eastAsia="MS Mincho" w:hAnsiTheme="minorHAnsi"/>
          <w:sz w:val="24"/>
          <w:szCs w:val="24"/>
          <w:lang w:val="fr-FR"/>
        </w:rPr>
        <w:t xml:space="preserve">La </w:t>
      </w:r>
      <w:r w:rsidRPr="00C9307C">
        <w:rPr>
          <w:rFonts w:asciiTheme="minorHAnsi" w:eastAsia="MS Mincho" w:hAnsiTheme="minorHAnsi"/>
          <w:sz w:val="24"/>
          <w:szCs w:val="24"/>
          <w:u w:val="single"/>
          <w:lang w:val="fr-FR"/>
        </w:rPr>
        <w:t>Sélection de Consultants Individuels</w:t>
      </w:r>
      <w:r w:rsidRPr="00C9307C">
        <w:rPr>
          <w:rFonts w:asciiTheme="minorHAnsi" w:eastAsia="MS Mincho" w:hAnsiTheme="minorHAnsi"/>
          <w:sz w:val="24"/>
          <w:szCs w:val="24"/>
          <w:lang w:val="fr-FR"/>
        </w:rPr>
        <w:t xml:space="preserve"> [SCI], Il est fait appel à des consultants individuels dans le cas des missions pour lesquelles</w:t>
      </w:r>
      <w:r w:rsidR="00FA183E" w:rsidRPr="00C9307C">
        <w:rPr>
          <w:rFonts w:asciiTheme="minorHAnsi" w:eastAsia="MS Mincho" w:hAnsiTheme="minorHAnsi"/>
          <w:sz w:val="24"/>
          <w:szCs w:val="24"/>
          <w:lang w:val="fr-FR"/>
        </w:rPr>
        <w:t xml:space="preserve"> </w:t>
      </w:r>
      <w:r w:rsidRPr="00C9307C">
        <w:rPr>
          <w:rFonts w:asciiTheme="minorHAnsi" w:eastAsia="MS Mincho" w:hAnsiTheme="minorHAnsi"/>
          <w:sz w:val="24"/>
          <w:szCs w:val="24"/>
          <w:lang w:val="fr-FR"/>
        </w:rPr>
        <w:t>: (a) le travail en équipe n’est pas nécessaire</w:t>
      </w:r>
      <w:r w:rsidR="00FA183E" w:rsidRPr="00C9307C">
        <w:rPr>
          <w:rFonts w:asciiTheme="minorHAnsi" w:eastAsia="MS Mincho" w:hAnsiTheme="minorHAnsi"/>
          <w:sz w:val="24"/>
          <w:szCs w:val="24"/>
          <w:lang w:val="fr-FR"/>
        </w:rPr>
        <w:t xml:space="preserve"> </w:t>
      </w:r>
      <w:r w:rsidRPr="00C9307C">
        <w:rPr>
          <w:rFonts w:asciiTheme="minorHAnsi" w:eastAsia="MS Mincho" w:hAnsiTheme="minorHAnsi"/>
          <w:sz w:val="24"/>
          <w:szCs w:val="24"/>
          <w:lang w:val="fr-FR"/>
        </w:rPr>
        <w:t>; (b) aucun appui technique n’est requis de l’extérieur (siège</w:t>
      </w:r>
      <w:proofErr w:type="gramStart"/>
      <w:r w:rsidRPr="00C9307C">
        <w:rPr>
          <w:rFonts w:asciiTheme="minorHAnsi" w:eastAsia="MS Mincho" w:hAnsiTheme="minorHAnsi"/>
          <w:sz w:val="24"/>
          <w:szCs w:val="24"/>
          <w:lang w:val="fr-FR"/>
        </w:rPr>
        <w:t>);</w:t>
      </w:r>
      <w:proofErr w:type="gramEnd"/>
      <w:r w:rsidRPr="00C9307C">
        <w:rPr>
          <w:rFonts w:asciiTheme="minorHAnsi" w:eastAsia="MS Mincho" w:hAnsiTheme="minorHAnsi"/>
          <w:sz w:val="24"/>
          <w:szCs w:val="24"/>
          <w:lang w:val="fr-FR"/>
        </w:rPr>
        <w:t xml:space="preserve"> et (c) l’expérience et les qualifications de l’expert constituent un critère de choix majeur. Ils sont sélectionnés par comparaison des qualifications d’au moins trois d’entre ceux qui se sont déclarés intéressés par la mission ou qui ont été contactés directement par l’Unité d’Exécution.</w:t>
      </w:r>
    </w:p>
    <w:p w14:paraId="1DB58FC2" w14:textId="77777777" w:rsidR="00CB07DA" w:rsidRPr="00C9307C" w:rsidRDefault="00CB07DA" w:rsidP="00CB07DA">
      <w:pPr>
        <w:spacing w:after="200" w:line="276" w:lineRule="auto"/>
        <w:ind w:left="1440"/>
        <w:contextualSpacing/>
        <w:jc w:val="both"/>
        <w:rPr>
          <w:rFonts w:ascii="Times New Roman" w:eastAsia="MS Mincho" w:hAnsi="Times New Roman"/>
          <w:sz w:val="24"/>
          <w:szCs w:val="24"/>
          <w:lang w:val="fr-FR"/>
        </w:rPr>
      </w:pPr>
    </w:p>
    <w:p w14:paraId="5958C025" w14:textId="77777777" w:rsidR="00CB07DA"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5.17 </w:t>
      </w:r>
      <w:r w:rsidR="00CB07DA" w:rsidRPr="00C9307C">
        <w:rPr>
          <w:rFonts w:eastAsia="MS Mincho"/>
          <w:sz w:val="24"/>
          <w:szCs w:val="24"/>
          <w:lang w:val="fr-FR"/>
        </w:rPr>
        <w:t xml:space="preserve">Pour la sélection et le recrutement de consultants, les paragraphes 2.1 et 3.2 à 3.7 des politiques GN-2350-9 décrivent également d’autres méthodes de sélection autres que la sélection fondée sur la qualité et le coût. Pour les consultants (Sélection fondée sur la qualité et le coût (SFQC). </w:t>
      </w:r>
      <w:r w:rsidR="00CB07DA" w:rsidRPr="00C9307C">
        <w:rPr>
          <w:sz w:val="24"/>
          <w:szCs w:val="24"/>
          <w:lang w:val="fr-FR"/>
        </w:rPr>
        <w:t>Sélection Fondée sur la Qualité (</w:t>
      </w:r>
      <w:r w:rsidR="00CB07DA" w:rsidRPr="00C9307C">
        <w:rPr>
          <w:rFonts w:eastAsia="MS Mincho"/>
          <w:sz w:val="24"/>
          <w:szCs w:val="24"/>
          <w:lang w:val="fr-FR"/>
        </w:rPr>
        <w:t xml:space="preserve">SFQ), </w:t>
      </w:r>
      <w:r w:rsidR="00CB07DA" w:rsidRPr="00C9307C">
        <w:rPr>
          <w:sz w:val="24"/>
          <w:szCs w:val="24"/>
          <w:lang w:val="fr-FR"/>
        </w:rPr>
        <w:t xml:space="preserve">Sélection dans le Cadre d’un Budget Déterminé </w:t>
      </w:r>
      <w:r w:rsidR="00CB07DA" w:rsidRPr="00C9307C">
        <w:rPr>
          <w:rFonts w:eastAsia="MS Mincho"/>
          <w:sz w:val="24"/>
          <w:szCs w:val="24"/>
          <w:lang w:val="fr-FR"/>
        </w:rPr>
        <w:t xml:space="preserve">(SCBD), </w:t>
      </w:r>
      <w:r w:rsidR="00CB07DA" w:rsidRPr="00C9307C">
        <w:rPr>
          <w:sz w:val="24"/>
          <w:szCs w:val="24"/>
          <w:lang w:val="fr-FR"/>
        </w:rPr>
        <w:t>Sélection au moindre coût (</w:t>
      </w:r>
      <w:r w:rsidR="00CB07DA" w:rsidRPr="00C9307C">
        <w:rPr>
          <w:rFonts w:eastAsia="MS Mincho"/>
          <w:sz w:val="24"/>
          <w:szCs w:val="24"/>
          <w:lang w:val="fr-FR"/>
        </w:rPr>
        <w:t xml:space="preserve">SMC), </w:t>
      </w:r>
      <w:r w:rsidR="00CB07DA" w:rsidRPr="00C9307C">
        <w:rPr>
          <w:sz w:val="24"/>
          <w:szCs w:val="24"/>
          <w:lang w:val="fr-FR"/>
        </w:rPr>
        <w:t>Sélection fondée sur la Qualification des Consultants (</w:t>
      </w:r>
      <w:r w:rsidR="00CB07DA" w:rsidRPr="00C9307C">
        <w:rPr>
          <w:rFonts w:eastAsia="MS Mincho"/>
          <w:sz w:val="24"/>
          <w:szCs w:val="24"/>
          <w:lang w:val="fr-FR"/>
        </w:rPr>
        <w:t xml:space="preserve">SQC). </w:t>
      </w:r>
      <w:r w:rsidR="00CB07DA" w:rsidRPr="00C9307C">
        <w:rPr>
          <w:sz w:val="24"/>
          <w:szCs w:val="24"/>
          <w:lang w:val="fr-FR"/>
        </w:rPr>
        <w:t>Sélection de Consultants Individuels, (</w:t>
      </w:r>
      <w:r w:rsidR="00CB07DA" w:rsidRPr="00C9307C">
        <w:rPr>
          <w:rFonts w:eastAsia="MS Mincho"/>
          <w:sz w:val="24"/>
          <w:szCs w:val="24"/>
          <w:lang w:val="fr-FR"/>
        </w:rPr>
        <w:t xml:space="preserve">SCI), </w:t>
      </w:r>
      <w:r w:rsidR="00CB07DA" w:rsidRPr="00C9307C">
        <w:rPr>
          <w:sz w:val="24"/>
          <w:szCs w:val="24"/>
          <w:lang w:val="fr-FR"/>
        </w:rPr>
        <w:t>Sélection par Entente Directe (SED</w:t>
      </w:r>
      <w:r w:rsidR="00CB07DA" w:rsidRPr="00C9307C">
        <w:rPr>
          <w:rFonts w:eastAsia="MS Mincho"/>
          <w:sz w:val="24"/>
          <w:szCs w:val="24"/>
          <w:lang w:val="fr-FR"/>
        </w:rPr>
        <w:t>).</w:t>
      </w:r>
    </w:p>
    <w:p w14:paraId="3CD02DE6" w14:textId="77777777" w:rsidR="00CB07DA" w:rsidRPr="00C9307C" w:rsidRDefault="00CB07DA" w:rsidP="00AA5024">
      <w:pPr>
        <w:pStyle w:val="ColorfulList-Accent111"/>
        <w:ind w:left="540" w:hanging="540"/>
        <w:jc w:val="both"/>
        <w:rPr>
          <w:rFonts w:eastAsia="MS Mincho"/>
          <w:sz w:val="24"/>
          <w:szCs w:val="24"/>
          <w:lang w:val="fr-FR"/>
        </w:rPr>
      </w:pPr>
    </w:p>
    <w:p w14:paraId="197D9DF5" w14:textId="77777777" w:rsidR="00CB07DA"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5.18 </w:t>
      </w:r>
      <w:r w:rsidR="00CB07DA" w:rsidRPr="00C9307C">
        <w:rPr>
          <w:rFonts w:eastAsia="MS Mincho"/>
          <w:sz w:val="24"/>
          <w:szCs w:val="24"/>
          <w:lang w:val="fr-FR"/>
        </w:rPr>
        <w:t>Les politiques sont complémentées, dans les conditions détaillées dans le GN-2654 par les normes pour Haïti. Les procédures de passation de marchés pour Haïti (GN-2654) présentent les montants limites pour lesquels certaines méthodes de passation de marchés peuvent être choisies, ces montants limites ont un caractère obligatoire et déterminent la méthode à retenir.</w:t>
      </w:r>
    </w:p>
    <w:p w14:paraId="03218BD6" w14:textId="77777777" w:rsidR="00CB07DA" w:rsidRPr="00C9307C" w:rsidRDefault="00CB07DA" w:rsidP="00CB07DA">
      <w:pPr>
        <w:spacing w:after="200" w:line="276" w:lineRule="auto"/>
        <w:jc w:val="both"/>
        <w:rPr>
          <w:rFonts w:eastAsia="MS Mincho"/>
          <w:sz w:val="24"/>
          <w:szCs w:val="24"/>
          <w:lang w:val="fr-FR"/>
        </w:rPr>
      </w:pPr>
      <w:r w:rsidRPr="00C9307C">
        <w:rPr>
          <w:rFonts w:eastAsia="MS Mincho"/>
          <w:sz w:val="24"/>
          <w:szCs w:val="24"/>
          <w:lang w:val="fr-FR"/>
        </w:rPr>
        <w:t xml:space="preserve">                                     (</w:t>
      </w:r>
      <w:proofErr w:type="spellStart"/>
      <w:r w:rsidRPr="00C9307C">
        <w:rPr>
          <w:rFonts w:eastAsia="MS Mincho"/>
          <w:sz w:val="24"/>
          <w:szCs w:val="24"/>
          <w:lang w:val="fr-FR"/>
        </w:rPr>
        <w:t>Parag</w:t>
      </w:r>
      <w:proofErr w:type="spellEnd"/>
      <w:r w:rsidRPr="00C9307C">
        <w:rPr>
          <w:rFonts w:eastAsia="MS Mincho"/>
          <w:sz w:val="24"/>
          <w:szCs w:val="24"/>
          <w:lang w:val="fr-FR"/>
        </w:rPr>
        <w:t>. 2.1 et 3.2 à 3.7 Politiques 2349-9 / 2350-9)</w:t>
      </w:r>
    </w:p>
    <w:p w14:paraId="38FE3D53" w14:textId="77777777" w:rsidR="00CB07DA" w:rsidRPr="00C9307C" w:rsidRDefault="00CB07DA" w:rsidP="00CB07DA">
      <w:pPr>
        <w:spacing w:after="200" w:line="276" w:lineRule="auto"/>
        <w:jc w:val="both"/>
        <w:rPr>
          <w:rFonts w:eastAsia="MS Mincho"/>
          <w:b/>
          <w:sz w:val="24"/>
          <w:szCs w:val="24"/>
          <w:lang w:val="fr-FR"/>
        </w:rPr>
      </w:pPr>
      <w:r w:rsidRPr="00C9307C">
        <w:rPr>
          <w:rFonts w:eastAsia="MS Mincho"/>
          <w:b/>
          <w:sz w:val="24"/>
          <w:szCs w:val="24"/>
          <w:lang w:val="fr-FR"/>
        </w:rPr>
        <w:t xml:space="preserve">          Passation de Marchés en Gré à Gré</w:t>
      </w:r>
    </w:p>
    <w:p w14:paraId="0C8375EB" w14:textId="77777777" w:rsidR="00CB07DA"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5.19 </w:t>
      </w:r>
      <w:r w:rsidR="00CB07DA" w:rsidRPr="00C9307C">
        <w:rPr>
          <w:rFonts w:eastAsia="MS Mincho"/>
          <w:sz w:val="24"/>
          <w:szCs w:val="24"/>
          <w:lang w:val="fr-FR"/>
        </w:rPr>
        <w:t>La passation de marchés sans mise en concurrence (à savoir le choix d’un fournisseur unique ou exclusif) ne peut être utilisée que dans des situations exceptionnelles telles que décrites dans les politiques relatives à la Passation de marchés de la Banque Interaméricaine de Développement (GN-2349/2350-9).</w:t>
      </w:r>
    </w:p>
    <w:p w14:paraId="2A4F7DE8" w14:textId="77777777" w:rsidR="00CB07DA" w:rsidRPr="00C9307C" w:rsidRDefault="00CB07DA" w:rsidP="00AA5024">
      <w:pPr>
        <w:pStyle w:val="ColorfulList-Accent111"/>
        <w:ind w:left="540" w:hanging="540"/>
        <w:jc w:val="both"/>
        <w:rPr>
          <w:rFonts w:eastAsia="MS Mincho"/>
          <w:sz w:val="24"/>
          <w:szCs w:val="24"/>
          <w:lang w:val="fr-FR"/>
        </w:rPr>
      </w:pPr>
    </w:p>
    <w:p w14:paraId="469DF656" w14:textId="77777777" w:rsidR="00CB07DA" w:rsidRPr="00C9307C" w:rsidRDefault="00482B86" w:rsidP="00AA5024">
      <w:pPr>
        <w:pStyle w:val="ColorfulList-Accent111"/>
        <w:ind w:left="540" w:hanging="540"/>
        <w:jc w:val="both"/>
        <w:rPr>
          <w:rFonts w:eastAsia="MS Mincho"/>
          <w:sz w:val="24"/>
          <w:szCs w:val="24"/>
          <w:lang w:val="fr-FR"/>
        </w:rPr>
      </w:pPr>
      <w:r w:rsidRPr="00C9307C">
        <w:rPr>
          <w:rFonts w:eastAsia="MS Mincho"/>
          <w:sz w:val="24"/>
          <w:szCs w:val="24"/>
          <w:lang w:val="fr-FR"/>
        </w:rPr>
        <w:t xml:space="preserve">5.20 </w:t>
      </w:r>
      <w:r w:rsidR="00CB07DA" w:rsidRPr="00C9307C">
        <w:rPr>
          <w:rFonts w:eastAsia="MS Mincho"/>
          <w:sz w:val="24"/>
          <w:szCs w:val="24"/>
          <w:lang w:val="fr-FR"/>
        </w:rPr>
        <w:t>Pour les marchés de Biens et Travaux, l’article 3.6 prévoit qu’un contrat en gré à gré pourra être passé dans les cas suivants ;</w:t>
      </w:r>
    </w:p>
    <w:p w14:paraId="35001EE7" w14:textId="77777777" w:rsidR="00CB07DA" w:rsidRPr="00C9307C" w:rsidRDefault="00CB07DA" w:rsidP="00AA5024">
      <w:pPr>
        <w:numPr>
          <w:ilvl w:val="0"/>
          <w:numId w:val="38"/>
        </w:numPr>
        <w:tabs>
          <w:tab w:val="left" w:pos="1080"/>
        </w:tabs>
        <w:spacing w:after="200" w:line="276" w:lineRule="auto"/>
        <w:ind w:left="540" w:hanging="540"/>
        <w:contextualSpacing/>
        <w:jc w:val="both"/>
        <w:rPr>
          <w:rFonts w:eastAsia="MS Mincho"/>
          <w:sz w:val="24"/>
          <w:szCs w:val="24"/>
          <w:lang w:val="fr-FR"/>
        </w:rPr>
      </w:pPr>
      <w:r w:rsidRPr="00C9307C">
        <w:rPr>
          <w:rFonts w:eastAsia="MS Mincho"/>
          <w:sz w:val="24"/>
          <w:szCs w:val="24"/>
          <w:lang w:val="fr-FR"/>
        </w:rPr>
        <w:t>Reconduction d’un marché attribué conformément à des procédures jugées acceptables par la Banque pour l’acquisition de Biens ou Travaux supplémentaires de nature analogue, à condition qu’un appel à la concurrence ne permette pas d’obtenir d’avantages supplémentaires et que le prix demandé pour l’extension du marché soit raisonnable.</w:t>
      </w:r>
    </w:p>
    <w:p w14:paraId="60AE5FB4" w14:textId="77777777" w:rsidR="00CB07DA" w:rsidRPr="00C9307C" w:rsidRDefault="00CB07DA" w:rsidP="00AA5024">
      <w:pPr>
        <w:numPr>
          <w:ilvl w:val="0"/>
          <w:numId w:val="38"/>
        </w:numPr>
        <w:tabs>
          <w:tab w:val="left" w:pos="1080"/>
        </w:tabs>
        <w:spacing w:after="200" w:line="276" w:lineRule="auto"/>
        <w:ind w:left="540" w:hanging="540"/>
        <w:contextualSpacing/>
        <w:jc w:val="both"/>
        <w:rPr>
          <w:rFonts w:eastAsia="MS Mincho"/>
          <w:sz w:val="24"/>
          <w:szCs w:val="24"/>
          <w:lang w:val="fr-FR"/>
        </w:rPr>
      </w:pPr>
      <w:r w:rsidRPr="00C9307C">
        <w:rPr>
          <w:rFonts w:eastAsia="MS Mincho"/>
          <w:sz w:val="24"/>
          <w:szCs w:val="24"/>
          <w:lang w:val="fr-FR"/>
        </w:rPr>
        <w:t>L’acquisition fait l’objet de droits exclusifs et ne peut être fourni que par un seul fournisseur.</w:t>
      </w:r>
    </w:p>
    <w:p w14:paraId="1C9A69CA" w14:textId="77777777" w:rsidR="00CB07DA" w:rsidRPr="007278E9" w:rsidRDefault="00CB07DA" w:rsidP="00AA5024">
      <w:pPr>
        <w:numPr>
          <w:ilvl w:val="0"/>
          <w:numId w:val="38"/>
        </w:numPr>
        <w:tabs>
          <w:tab w:val="left" w:pos="1080"/>
        </w:tabs>
        <w:spacing w:after="200" w:line="276" w:lineRule="auto"/>
        <w:ind w:left="540" w:hanging="540"/>
        <w:contextualSpacing/>
        <w:jc w:val="both"/>
        <w:rPr>
          <w:rFonts w:eastAsia="MS Mincho"/>
          <w:sz w:val="24"/>
          <w:szCs w:val="24"/>
          <w:lang w:val="fr-FR"/>
        </w:rPr>
      </w:pPr>
      <w:r w:rsidRPr="00C9307C">
        <w:rPr>
          <w:rFonts w:eastAsia="MS Mincho"/>
          <w:sz w:val="24"/>
          <w:szCs w:val="24"/>
          <w:lang w:val="fr-FR"/>
        </w:rPr>
        <w:lastRenderedPageBreak/>
        <w:t>Dans des circonstances exceptionnelles, par exemple, en réponse à des catastrophes</w:t>
      </w:r>
      <w:r w:rsidRPr="007278E9">
        <w:rPr>
          <w:rFonts w:eastAsia="MS Mincho"/>
          <w:sz w:val="24"/>
          <w:szCs w:val="24"/>
          <w:lang w:val="fr-FR"/>
        </w:rPr>
        <w:t xml:space="preserve"> naturelles. </w:t>
      </w:r>
    </w:p>
    <w:p w14:paraId="6AD92559" w14:textId="77777777" w:rsidR="00CB07DA" w:rsidRPr="007278E9" w:rsidRDefault="00482B86" w:rsidP="00AA5024">
      <w:pPr>
        <w:pStyle w:val="ColorfulList-Accent111"/>
        <w:ind w:left="540" w:hanging="540"/>
        <w:jc w:val="both"/>
        <w:rPr>
          <w:rFonts w:eastAsia="MS Mincho"/>
          <w:sz w:val="24"/>
          <w:szCs w:val="24"/>
          <w:lang w:val="fr-FR"/>
        </w:rPr>
      </w:pPr>
      <w:r>
        <w:rPr>
          <w:rFonts w:eastAsia="MS Mincho"/>
          <w:sz w:val="24"/>
          <w:szCs w:val="24"/>
          <w:lang w:val="fr-FR"/>
        </w:rPr>
        <w:t xml:space="preserve">5.21 </w:t>
      </w:r>
      <w:r w:rsidR="00CB07DA" w:rsidRPr="007278E9">
        <w:rPr>
          <w:rFonts w:eastAsia="MS Mincho"/>
          <w:sz w:val="24"/>
          <w:szCs w:val="24"/>
          <w:lang w:val="fr-FR"/>
        </w:rPr>
        <w:t xml:space="preserve">Toute demande de passation de marché de gré à gré présentée par l’agence </w:t>
      </w:r>
      <w:r w:rsidR="00FA4A26" w:rsidRPr="007278E9">
        <w:rPr>
          <w:rFonts w:eastAsia="MS Mincho"/>
          <w:sz w:val="24"/>
          <w:szCs w:val="24"/>
          <w:lang w:val="fr-FR"/>
        </w:rPr>
        <w:t>d’exécution doit</w:t>
      </w:r>
      <w:r w:rsidR="00CB07DA" w:rsidRPr="007278E9">
        <w:rPr>
          <w:rFonts w:eastAsia="MS Mincho"/>
          <w:sz w:val="24"/>
          <w:szCs w:val="24"/>
          <w:lang w:val="fr-FR"/>
        </w:rPr>
        <w:t xml:space="preserve"> être accompagnée d’une justification détaillée.</w:t>
      </w:r>
    </w:p>
    <w:p w14:paraId="277AC5AA" w14:textId="77777777" w:rsidR="00CB07DA" w:rsidRPr="007278E9" w:rsidRDefault="00CB07DA" w:rsidP="00CB07DA">
      <w:pPr>
        <w:spacing w:after="200" w:line="276" w:lineRule="auto"/>
        <w:jc w:val="both"/>
        <w:rPr>
          <w:rFonts w:eastAsia="MS Mincho"/>
          <w:sz w:val="24"/>
          <w:szCs w:val="24"/>
          <w:lang w:val="fr-FR"/>
        </w:rPr>
      </w:pPr>
      <w:r w:rsidRPr="007278E9">
        <w:rPr>
          <w:rFonts w:eastAsia="MS Mincho"/>
          <w:sz w:val="24"/>
          <w:szCs w:val="24"/>
          <w:lang w:val="fr-FR"/>
        </w:rPr>
        <w:t xml:space="preserve">                     (</w:t>
      </w:r>
      <w:proofErr w:type="spellStart"/>
      <w:r w:rsidRPr="007278E9">
        <w:rPr>
          <w:rFonts w:eastAsia="MS Mincho"/>
          <w:sz w:val="24"/>
          <w:szCs w:val="24"/>
          <w:lang w:val="fr-FR"/>
        </w:rPr>
        <w:t>Parag</w:t>
      </w:r>
      <w:proofErr w:type="spellEnd"/>
      <w:r w:rsidRPr="007278E9">
        <w:rPr>
          <w:rFonts w:eastAsia="MS Mincho"/>
          <w:sz w:val="24"/>
          <w:szCs w:val="24"/>
          <w:lang w:val="fr-FR"/>
        </w:rPr>
        <w:t xml:space="preserve"> 3.6 GN-2349-9 et 3.9 à 3.13 des politiques GN-2350-9)</w:t>
      </w:r>
    </w:p>
    <w:p w14:paraId="2BFDC7D3" w14:textId="77777777" w:rsidR="00CB07DA" w:rsidRPr="007278E9" w:rsidRDefault="00CB07DA" w:rsidP="00CB07DA">
      <w:pPr>
        <w:spacing w:after="200" w:line="276" w:lineRule="auto"/>
        <w:jc w:val="both"/>
        <w:rPr>
          <w:rFonts w:eastAsia="MS Mincho"/>
          <w:b/>
          <w:sz w:val="24"/>
          <w:szCs w:val="24"/>
          <w:lang w:val="fr-FR"/>
        </w:rPr>
      </w:pPr>
      <w:r w:rsidRPr="007278E9">
        <w:rPr>
          <w:rFonts w:eastAsia="MS Mincho"/>
          <w:b/>
          <w:sz w:val="24"/>
          <w:szCs w:val="24"/>
          <w:lang w:val="fr-FR"/>
        </w:rPr>
        <w:t xml:space="preserve">           Evaluation des offres</w:t>
      </w:r>
    </w:p>
    <w:p w14:paraId="41E7C4EA" w14:textId="77777777" w:rsidR="00CB07DA" w:rsidRPr="007278E9" w:rsidRDefault="00482B86" w:rsidP="00AA5024">
      <w:pPr>
        <w:pStyle w:val="ColorfulList-Accent111"/>
        <w:ind w:left="540" w:hanging="540"/>
        <w:jc w:val="both"/>
        <w:rPr>
          <w:rFonts w:eastAsia="MS Mincho"/>
          <w:sz w:val="24"/>
          <w:szCs w:val="24"/>
          <w:lang w:val="fr-FR"/>
        </w:rPr>
      </w:pPr>
      <w:r>
        <w:rPr>
          <w:rFonts w:eastAsia="MS Mincho"/>
          <w:sz w:val="24"/>
          <w:szCs w:val="24"/>
          <w:lang w:val="fr-FR"/>
        </w:rPr>
        <w:t xml:space="preserve">5.22 </w:t>
      </w:r>
      <w:r w:rsidR="00CB07DA" w:rsidRPr="007278E9">
        <w:rPr>
          <w:rFonts w:eastAsia="MS Mincho"/>
          <w:sz w:val="24"/>
          <w:szCs w:val="24"/>
          <w:lang w:val="fr-FR"/>
        </w:rPr>
        <w:t xml:space="preserve">La Banque recommande à l'Agence d’Exécution de former un comité d'évaluation composé d'au moins trois (3) membres compétents, qui mènera ses travaux dans un bureau permettant d’assurer le caractère confidentiel de tous les documents relatifs aux soumissions. </w:t>
      </w:r>
    </w:p>
    <w:p w14:paraId="737A27FC" w14:textId="77777777" w:rsidR="00CB07DA" w:rsidRPr="007278E9" w:rsidRDefault="00CB07DA" w:rsidP="00AA5024">
      <w:pPr>
        <w:pStyle w:val="ColorfulList-Accent111"/>
        <w:ind w:left="540" w:hanging="540"/>
        <w:jc w:val="both"/>
        <w:rPr>
          <w:rFonts w:eastAsia="MS Mincho"/>
          <w:sz w:val="24"/>
          <w:szCs w:val="24"/>
          <w:lang w:val="fr-FR"/>
        </w:rPr>
      </w:pPr>
    </w:p>
    <w:p w14:paraId="305CECBA" w14:textId="77777777" w:rsidR="00CB07DA" w:rsidRPr="007278E9" w:rsidRDefault="00482B86" w:rsidP="00AA5024">
      <w:pPr>
        <w:pStyle w:val="ColorfulList-Accent111"/>
        <w:ind w:left="540" w:hanging="540"/>
        <w:jc w:val="both"/>
        <w:rPr>
          <w:rFonts w:eastAsia="MS Mincho"/>
          <w:sz w:val="24"/>
          <w:szCs w:val="24"/>
          <w:lang w:val="fr-FR"/>
        </w:rPr>
      </w:pPr>
      <w:r>
        <w:rPr>
          <w:rFonts w:eastAsia="MS Mincho"/>
          <w:sz w:val="24"/>
          <w:szCs w:val="24"/>
          <w:lang w:val="fr-FR"/>
        </w:rPr>
        <w:t xml:space="preserve">5.23 </w:t>
      </w:r>
      <w:r w:rsidR="00CB07DA" w:rsidRPr="007278E9">
        <w:rPr>
          <w:rFonts w:eastAsia="MS Mincho"/>
          <w:sz w:val="24"/>
          <w:szCs w:val="24"/>
          <w:lang w:val="fr-FR"/>
        </w:rPr>
        <w:t>L'examen préliminaire des offres a pour objet d'identifier et de rejeter celles qui sont incomplètes, non recevables ou non conformes pour l'essentiel aux dispositions du dossier d'appel d'offres, et qui ne doivent donc pas être évaluées.</w:t>
      </w:r>
    </w:p>
    <w:p w14:paraId="77F270E9" w14:textId="77777777" w:rsidR="00CB07DA" w:rsidRPr="007278E9" w:rsidRDefault="00CB07DA" w:rsidP="00AA5024">
      <w:pPr>
        <w:pStyle w:val="ColorfulList-Accent111"/>
        <w:ind w:left="540" w:hanging="540"/>
        <w:jc w:val="both"/>
        <w:rPr>
          <w:rFonts w:eastAsia="MS Mincho"/>
          <w:sz w:val="24"/>
          <w:szCs w:val="24"/>
          <w:lang w:val="fr-FR"/>
        </w:rPr>
      </w:pPr>
    </w:p>
    <w:p w14:paraId="2AE29694" w14:textId="77777777" w:rsidR="00CB07DA" w:rsidRPr="007278E9" w:rsidRDefault="00482B86" w:rsidP="00AA5024">
      <w:pPr>
        <w:pStyle w:val="ColorfulList-Accent111"/>
        <w:ind w:left="540" w:hanging="540"/>
        <w:jc w:val="both"/>
        <w:rPr>
          <w:rFonts w:eastAsia="MS Mincho"/>
          <w:sz w:val="24"/>
          <w:szCs w:val="24"/>
          <w:lang w:val="fr-FR"/>
        </w:rPr>
      </w:pPr>
      <w:r>
        <w:rPr>
          <w:rFonts w:eastAsia="MS Mincho"/>
          <w:sz w:val="24"/>
          <w:szCs w:val="24"/>
          <w:lang w:val="fr-FR"/>
        </w:rPr>
        <w:t xml:space="preserve">5.24 </w:t>
      </w:r>
      <w:r w:rsidR="00CB07DA" w:rsidRPr="007278E9">
        <w:rPr>
          <w:rFonts w:eastAsia="MS Mincho"/>
          <w:sz w:val="24"/>
          <w:szCs w:val="24"/>
          <w:lang w:val="fr-FR"/>
        </w:rPr>
        <w:t>Une offre devrait être rejetée seulement pour cause de non-conformité essentielle, fondée soit sur une condition clairement stipulée dans le DAO, soit pour des motifs d’ordre technique suffisamment évidents pour ne pas prêter à discussion. Les motifs de rejet doivent être complètement explicités, idéalement sous la forme d’un tableau comparant l’offre aux spécifications demandées.</w:t>
      </w:r>
    </w:p>
    <w:p w14:paraId="51B77006" w14:textId="77777777" w:rsidR="00CB07DA" w:rsidRPr="007278E9" w:rsidRDefault="00CB07DA" w:rsidP="00AA5024">
      <w:pPr>
        <w:pStyle w:val="ColorfulList-Accent111"/>
        <w:ind w:left="540" w:hanging="540"/>
        <w:jc w:val="both"/>
        <w:rPr>
          <w:rFonts w:eastAsia="MS Mincho"/>
          <w:sz w:val="24"/>
          <w:szCs w:val="24"/>
          <w:lang w:val="fr-FR"/>
        </w:rPr>
      </w:pPr>
    </w:p>
    <w:p w14:paraId="0551823B" w14:textId="77777777" w:rsidR="00CB07DA" w:rsidRPr="007278E9" w:rsidRDefault="00482B86" w:rsidP="00AA5024">
      <w:pPr>
        <w:pStyle w:val="ColorfulList-Accent111"/>
        <w:ind w:left="540" w:hanging="540"/>
        <w:jc w:val="both"/>
        <w:rPr>
          <w:rFonts w:eastAsia="MS Mincho"/>
          <w:sz w:val="24"/>
          <w:szCs w:val="24"/>
          <w:lang w:val="fr-FR"/>
        </w:rPr>
      </w:pPr>
      <w:r>
        <w:rPr>
          <w:rFonts w:eastAsia="MS Mincho"/>
          <w:sz w:val="24"/>
          <w:szCs w:val="24"/>
          <w:lang w:val="fr-FR"/>
        </w:rPr>
        <w:t xml:space="preserve">5.25 </w:t>
      </w:r>
      <w:r w:rsidR="00CB07DA" w:rsidRPr="007278E9">
        <w:rPr>
          <w:rFonts w:eastAsia="MS Mincho"/>
          <w:sz w:val="24"/>
          <w:szCs w:val="24"/>
          <w:lang w:val="fr-FR"/>
        </w:rPr>
        <w:t>L’offre du soumissionnaire d’une part à exécuter les travaux ou fournir les biens doivent faire l’objet d’évaluations distinctes par application des critères figurant dans le DAO exclusivement. Sous réserve du respect des exigences administratives et techniques incluses au DAO, l’offre financière doit primer dans l’évaluation des offres de travaux, de Biens et Services connexes.</w:t>
      </w:r>
    </w:p>
    <w:p w14:paraId="22FDC210" w14:textId="77777777" w:rsidR="00CB07DA" w:rsidRPr="007278E9" w:rsidRDefault="00CB07DA" w:rsidP="00AA5024">
      <w:pPr>
        <w:pStyle w:val="ColorfulList-Accent111"/>
        <w:ind w:left="540" w:hanging="540"/>
        <w:jc w:val="both"/>
        <w:rPr>
          <w:rFonts w:eastAsia="MS Mincho"/>
          <w:sz w:val="24"/>
          <w:szCs w:val="24"/>
          <w:lang w:val="fr-FR"/>
        </w:rPr>
      </w:pPr>
    </w:p>
    <w:p w14:paraId="7C0AB53A" w14:textId="67A1A673" w:rsidR="00CB07DA" w:rsidRPr="007278E9" w:rsidRDefault="00482B86" w:rsidP="00AA5024">
      <w:pPr>
        <w:pStyle w:val="ColorfulList-Accent111"/>
        <w:ind w:left="540" w:hanging="540"/>
        <w:jc w:val="both"/>
        <w:rPr>
          <w:rFonts w:eastAsia="MS Mincho"/>
          <w:sz w:val="24"/>
          <w:szCs w:val="24"/>
          <w:lang w:val="fr-FR"/>
        </w:rPr>
      </w:pPr>
      <w:r>
        <w:rPr>
          <w:rFonts w:eastAsia="MS Mincho"/>
          <w:sz w:val="24"/>
          <w:szCs w:val="24"/>
          <w:lang w:val="fr-FR"/>
        </w:rPr>
        <w:t xml:space="preserve">5.26 </w:t>
      </w:r>
      <w:r w:rsidR="00CB07DA" w:rsidRPr="007278E9">
        <w:rPr>
          <w:rFonts w:eastAsia="MS Mincho"/>
          <w:sz w:val="24"/>
          <w:szCs w:val="24"/>
          <w:lang w:val="fr-FR"/>
        </w:rPr>
        <w:t>L’</w:t>
      </w:r>
      <w:proofErr w:type="spellStart"/>
      <w:r>
        <w:rPr>
          <w:rFonts w:eastAsia="MS Mincho"/>
          <w:sz w:val="24"/>
          <w:szCs w:val="24"/>
          <w:lang w:val="fr-FR"/>
        </w:rPr>
        <w:t>Unité</w:t>
      </w:r>
      <w:r w:rsidR="00CB07DA" w:rsidRPr="007278E9">
        <w:rPr>
          <w:rFonts w:eastAsia="MS Mincho"/>
          <w:sz w:val="24"/>
          <w:szCs w:val="24"/>
          <w:lang w:val="fr-FR"/>
        </w:rPr>
        <w:t>d’Exécution</w:t>
      </w:r>
      <w:proofErr w:type="spellEnd"/>
      <w:r w:rsidR="00CB07DA" w:rsidRPr="007278E9">
        <w:rPr>
          <w:rFonts w:eastAsia="MS Mincho"/>
          <w:sz w:val="24"/>
          <w:szCs w:val="24"/>
          <w:lang w:val="fr-FR"/>
        </w:rPr>
        <w:t xml:space="preserve"> devra</w:t>
      </w:r>
      <w:r w:rsidR="00FA183E">
        <w:rPr>
          <w:rFonts w:eastAsia="MS Mincho"/>
          <w:sz w:val="24"/>
          <w:szCs w:val="24"/>
          <w:lang w:val="fr-FR"/>
        </w:rPr>
        <w:t xml:space="preserve"> </w:t>
      </w:r>
      <w:r w:rsidR="00CB07DA" w:rsidRPr="007278E9">
        <w:rPr>
          <w:rFonts w:eastAsia="MS Mincho"/>
          <w:sz w:val="24"/>
          <w:szCs w:val="24"/>
          <w:u w:val="single"/>
          <w:lang w:val="fr-FR"/>
        </w:rPr>
        <w:t>attribuer</w:t>
      </w:r>
      <w:r w:rsidR="00CB07DA" w:rsidRPr="007278E9">
        <w:rPr>
          <w:rFonts w:eastAsia="MS Mincho"/>
          <w:sz w:val="24"/>
          <w:szCs w:val="24"/>
          <w:lang w:val="fr-FR"/>
        </w:rPr>
        <w:t xml:space="preserve"> le marché de </w:t>
      </w:r>
      <w:r w:rsidR="00CB07DA" w:rsidRPr="007278E9">
        <w:rPr>
          <w:rFonts w:eastAsia="MS Mincho"/>
          <w:sz w:val="24"/>
          <w:szCs w:val="24"/>
          <w:u w:val="single"/>
          <w:lang w:val="fr-FR"/>
        </w:rPr>
        <w:t>Biens ou Travaux</w:t>
      </w:r>
      <w:r w:rsidR="00CB07DA" w:rsidRPr="007278E9">
        <w:rPr>
          <w:rFonts w:eastAsia="MS Mincho"/>
          <w:sz w:val="24"/>
          <w:szCs w:val="24"/>
          <w:lang w:val="fr-FR"/>
        </w:rPr>
        <w:t>, pendant la période de validité des offres, au soumissionnaire qui :</w:t>
      </w:r>
    </w:p>
    <w:p w14:paraId="41D774F8" w14:textId="77777777" w:rsidR="00CB07DA" w:rsidRPr="007278E9" w:rsidRDefault="00CB07DA" w:rsidP="00CB07DA">
      <w:pPr>
        <w:autoSpaceDE w:val="0"/>
        <w:autoSpaceDN w:val="0"/>
        <w:adjustRightInd w:val="0"/>
        <w:jc w:val="both"/>
        <w:rPr>
          <w:rFonts w:eastAsia="MS Mincho"/>
          <w:sz w:val="24"/>
          <w:szCs w:val="24"/>
          <w:lang w:val="fr-FR"/>
        </w:rPr>
      </w:pPr>
    </w:p>
    <w:p w14:paraId="01AF3486" w14:textId="472D7809" w:rsidR="00CB07DA" w:rsidRPr="007278E9" w:rsidRDefault="00675A69" w:rsidP="00CB07DA">
      <w:pPr>
        <w:numPr>
          <w:ilvl w:val="0"/>
          <w:numId w:val="39"/>
        </w:numPr>
        <w:autoSpaceDE w:val="0"/>
        <w:autoSpaceDN w:val="0"/>
        <w:adjustRightInd w:val="0"/>
        <w:spacing w:after="200" w:line="276" w:lineRule="auto"/>
        <w:ind w:hanging="450"/>
        <w:contextualSpacing/>
        <w:jc w:val="both"/>
        <w:rPr>
          <w:rFonts w:eastAsia="MS Mincho"/>
          <w:sz w:val="24"/>
          <w:szCs w:val="24"/>
          <w:lang w:val="fr-FR"/>
        </w:rPr>
      </w:pPr>
      <w:r w:rsidRPr="007278E9">
        <w:rPr>
          <w:rFonts w:eastAsia="MS Mincho"/>
          <w:sz w:val="24"/>
          <w:szCs w:val="24"/>
          <w:lang w:val="fr-FR"/>
        </w:rPr>
        <w:t>Satisfait</w:t>
      </w:r>
      <w:r w:rsidR="00CB07DA" w:rsidRPr="007278E9">
        <w:rPr>
          <w:rFonts w:eastAsia="MS Mincho"/>
          <w:sz w:val="24"/>
          <w:szCs w:val="24"/>
          <w:lang w:val="fr-FR"/>
        </w:rPr>
        <w:t xml:space="preserve"> aux critères appropriés de qualification et dont l’offre a été </w:t>
      </w:r>
    </w:p>
    <w:p w14:paraId="397EB7C5" w14:textId="3662CD82" w:rsidR="00CB07DA" w:rsidRPr="007278E9" w:rsidRDefault="00675A69" w:rsidP="00CB07DA">
      <w:pPr>
        <w:numPr>
          <w:ilvl w:val="0"/>
          <w:numId w:val="39"/>
        </w:numPr>
        <w:autoSpaceDE w:val="0"/>
        <w:autoSpaceDN w:val="0"/>
        <w:adjustRightInd w:val="0"/>
        <w:spacing w:after="200" w:line="276" w:lineRule="auto"/>
        <w:ind w:hanging="450"/>
        <w:contextualSpacing/>
        <w:jc w:val="both"/>
        <w:rPr>
          <w:rFonts w:eastAsia="MS Mincho"/>
          <w:sz w:val="24"/>
          <w:szCs w:val="24"/>
          <w:lang w:val="fr-FR"/>
        </w:rPr>
      </w:pPr>
      <w:r w:rsidRPr="007278E9">
        <w:rPr>
          <w:rFonts w:eastAsia="MS Mincho"/>
          <w:sz w:val="24"/>
          <w:szCs w:val="24"/>
          <w:lang w:val="fr-FR"/>
        </w:rPr>
        <w:t>Jugée</w:t>
      </w:r>
      <w:r w:rsidR="00CB07DA" w:rsidRPr="007278E9">
        <w:rPr>
          <w:rFonts w:eastAsia="MS Mincho"/>
          <w:sz w:val="24"/>
          <w:szCs w:val="24"/>
          <w:lang w:val="fr-FR"/>
        </w:rPr>
        <w:t xml:space="preserve"> substantiellement conforme aux dispositions du dossier d’appel d’offres </w:t>
      </w:r>
    </w:p>
    <w:p w14:paraId="4D5CD829" w14:textId="5B7D66A8" w:rsidR="00CB07DA" w:rsidRPr="007278E9" w:rsidRDefault="00675A69" w:rsidP="00CB07DA">
      <w:pPr>
        <w:numPr>
          <w:ilvl w:val="0"/>
          <w:numId w:val="39"/>
        </w:numPr>
        <w:autoSpaceDE w:val="0"/>
        <w:autoSpaceDN w:val="0"/>
        <w:adjustRightInd w:val="0"/>
        <w:spacing w:after="200" w:line="276" w:lineRule="auto"/>
        <w:ind w:hanging="450"/>
        <w:contextualSpacing/>
        <w:jc w:val="both"/>
        <w:rPr>
          <w:rFonts w:eastAsia="MS Mincho"/>
          <w:sz w:val="24"/>
          <w:szCs w:val="24"/>
          <w:lang w:val="fr-FR"/>
        </w:rPr>
      </w:pPr>
      <w:r w:rsidRPr="007278E9">
        <w:rPr>
          <w:rFonts w:eastAsia="MS Mincho"/>
          <w:sz w:val="24"/>
          <w:szCs w:val="24"/>
          <w:lang w:val="fr-FR"/>
        </w:rPr>
        <w:t>Évaluée</w:t>
      </w:r>
      <w:r w:rsidR="00CB07DA" w:rsidRPr="007278E9">
        <w:rPr>
          <w:rFonts w:eastAsia="MS Mincho"/>
          <w:sz w:val="24"/>
          <w:szCs w:val="24"/>
          <w:lang w:val="fr-FR"/>
        </w:rPr>
        <w:t xml:space="preserve"> la moins-</w:t>
      </w:r>
      <w:r w:rsidRPr="007278E9">
        <w:rPr>
          <w:rFonts w:eastAsia="MS Mincho"/>
          <w:sz w:val="24"/>
          <w:szCs w:val="24"/>
          <w:lang w:val="fr-FR"/>
        </w:rPr>
        <w:t>disant</w:t>
      </w:r>
      <w:r w:rsidR="00CB07DA" w:rsidRPr="007278E9">
        <w:rPr>
          <w:rFonts w:eastAsia="MS Mincho"/>
          <w:sz w:val="24"/>
          <w:szCs w:val="24"/>
          <w:lang w:val="fr-FR"/>
        </w:rPr>
        <w:t xml:space="preserve"> après correction de toute erreur arithmétique </w:t>
      </w:r>
    </w:p>
    <w:p w14:paraId="7DDD7455" w14:textId="77777777" w:rsidR="00CB07DA" w:rsidRPr="007278E9" w:rsidRDefault="00CB07DA" w:rsidP="00CB07DA">
      <w:pPr>
        <w:autoSpaceDE w:val="0"/>
        <w:autoSpaceDN w:val="0"/>
        <w:adjustRightInd w:val="0"/>
        <w:jc w:val="both"/>
        <w:rPr>
          <w:rFonts w:eastAsia="MS Mincho"/>
          <w:sz w:val="24"/>
          <w:szCs w:val="24"/>
          <w:lang w:val="fr-FR"/>
        </w:rPr>
      </w:pPr>
    </w:p>
    <w:p w14:paraId="33C4E01C" w14:textId="77777777" w:rsidR="00CB07DA" w:rsidRPr="007278E9" w:rsidRDefault="00CB07DA" w:rsidP="00CB07DA">
      <w:pPr>
        <w:autoSpaceDE w:val="0"/>
        <w:autoSpaceDN w:val="0"/>
        <w:adjustRightInd w:val="0"/>
        <w:jc w:val="both"/>
        <w:rPr>
          <w:rFonts w:eastAsia="MS Mincho"/>
          <w:sz w:val="24"/>
          <w:szCs w:val="24"/>
          <w:lang w:val="fr-FR"/>
        </w:rPr>
      </w:pPr>
      <w:r w:rsidRPr="007278E9">
        <w:rPr>
          <w:rFonts w:eastAsia="MS Mincho"/>
          <w:sz w:val="24"/>
          <w:szCs w:val="24"/>
          <w:lang w:val="fr-FR"/>
        </w:rPr>
        <w:t xml:space="preserve">                               (</w:t>
      </w:r>
      <w:proofErr w:type="spellStart"/>
      <w:r w:rsidRPr="007278E9">
        <w:rPr>
          <w:rFonts w:eastAsia="MS Mincho"/>
          <w:sz w:val="24"/>
          <w:szCs w:val="24"/>
          <w:lang w:val="fr-FR"/>
        </w:rPr>
        <w:t>Parag</w:t>
      </w:r>
      <w:proofErr w:type="spellEnd"/>
      <w:r w:rsidRPr="007278E9">
        <w:rPr>
          <w:rFonts w:eastAsia="MS Mincho"/>
          <w:sz w:val="24"/>
          <w:szCs w:val="24"/>
          <w:lang w:val="fr-FR"/>
        </w:rPr>
        <w:t>. 2.59 des Politiques GN-2349-9)</w:t>
      </w:r>
    </w:p>
    <w:p w14:paraId="22D65622" w14:textId="77777777" w:rsidR="00CB07DA" w:rsidRPr="007278E9" w:rsidRDefault="00CB07DA" w:rsidP="00CB07DA">
      <w:pPr>
        <w:pStyle w:val="ColorfulList-Accent111"/>
        <w:ind w:left="540"/>
        <w:jc w:val="both"/>
        <w:rPr>
          <w:rFonts w:eastAsia="MS Mincho"/>
          <w:sz w:val="24"/>
          <w:szCs w:val="24"/>
          <w:lang w:val="fr-FR"/>
        </w:rPr>
      </w:pPr>
    </w:p>
    <w:p w14:paraId="13B32687" w14:textId="77777777" w:rsidR="00CB07DA" w:rsidRPr="007278E9" w:rsidRDefault="00482B86" w:rsidP="00AA5024">
      <w:pPr>
        <w:pStyle w:val="ColorfulList-Accent111"/>
        <w:ind w:left="540" w:hanging="540"/>
        <w:jc w:val="both"/>
        <w:rPr>
          <w:rFonts w:eastAsia="MS Mincho"/>
          <w:sz w:val="24"/>
          <w:szCs w:val="24"/>
          <w:lang w:val="fr-FR"/>
        </w:rPr>
      </w:pPr>
      <w:r>
        <w:rPr>
          <w:rFonts w:eastAsia="MS Mincho"/>
          <w:sz w:val="24"/>
          <w:szCs w:val="24"/>
          <w:lang w:val="fr-FR"/>
        </w:rPr>
        <w:t xml:space="preserve">5.27 </w:t>
      </w:r>
      <w:r w:rsidR="00CB07DA" w:rsidRPr="007278E9">
        <w:rPr>
          <w:rFonts w:eastAsia="MS Mincho"/>
          <w:sz w:val="24"/>
          <w:szCs w:val="24"/>
          <w:lang w:val="fr-FR"/>
        </w:rPr>
        <w:t>L’</w:t>
      </w:r>
      <w:r>
        <w:rPr>
          <w:rFonts w:eastAsia="MS Mincho"/>
          <w:sz w:val="24"/>
          <w:szCs w:val="24"/>
          <w:lang w:val="fr-FR"/>
        </w:rPr>
        <w:t>Unité</w:t>
      </w:r>
      <w:r w:rsidR="00CB07DA" w:rsidRPr="007278E9">
        <w:rPr>
          <w:rFonts w:eastAsia="MS Mincho"/>
          <w:sz w:val="24"/>
          <w:szCs w:val="24"/>
          <w:lang w:val="fr-FR"/>
        </w:rPr>
        <w:t xml:space="preserve"> d’Exécution devra attribuer le marché de recrutement de Consultants, selon les données de la demande de proposition eu égard à la méthode de sélection, aux critères d’évaluation et pendant la période de validité des propositions, au soumissionnaire qui :</w:t>
      </w:r>
    </w:p>
    <w:p w14:paraId="5AD9CA28" w14:textId="77777777" w:rsidR="00CB07DA" w:rsidRPr="007278E9" w:rsidRDefault="00CB07DA" w:rsidP="00CB07DA">
      <w:pPr>
        <w:autoSpaceDE w:val="0"/>
        <w:autoSpaceDN w:val="0"/>
        <w:adjustRightInd w:val="0"/>
        <w:jc w:val="both"/>
        <w:rPr>
          <w:rFonts w:eastAsia="MS Mincho"/>
          <w:sz w:val="24"/>
          <w:szCs w:val="24"/>
          <w:lang w:val="fr-FR"/>
        </w:rPr>
      </w:pPr>
    </w:p>
    <w:p w14:paraId="702D3473" w14:textId="74D81611" w:rsidR="00CB07DA" w:rsidRPr="007278E9" w:rsidRDefault="00675A69" w:rsidP="00CB07DA">
      <w:pPr>
        <w:numPr>
          <w:ilvl w:val="0"/>
          <w:numId w:val="40"/>
        </w:numPr>
        <w:spacing w:after="200" w:line="276" w:lineRule="auto"/>
        <w:ind w:hanging="450"/>
        <w:contextualSpacing/>
        <w:jc w:val="both"/>
        <w:rPr>
          <w:rFonts w:eastAsia="MS Mincho"/>
          <w:sz w:val="24"/>
          <w:szCs w:val="24"/>
          <w:lang w:val="fr-FR"/>
        </w:rPr>
      </w:pPr>
      <w:r w:rsidRPr="007278E9">
        <w:rPr>
          <w:rFonts w:eastAsia="MS Mincho"/>
          <w:sz w:val="24"/>
          <w:szCs w:val="24"/>
          <w:lang w:val="fr-FR"/>
        </w:rPr>
        <w:lastRenderedPageBreak/>
        <w:t>Satisfait</w:t>
      </w:r>
      <w:r w:rsidR="00CB07DA" w:rsidRPr="007278E9">
        <w:rPr>
          <w:rFonts w:eastAsia="MS Mincho"/>
          <w:sz w:val="24"/>
          <w:szCs w:val="24"/>
          <w:lang w:val="fr-FR"/>
        </w:rPr>
        <w:t xml:space="preserve"> aux critères appropriés de qualification et </w:t>
      </w:r>
      <w:proofErr w:type="gramStart"/>
      <w:r w:rsidR="00CB07DA" w:rsidRPr="007278E9">
        <w:rPr>
          <w:rFonts w:eastAsia="MS Mincho"/>
          <w:sz w:val="24"/>
          <w:szCs w:val="24"/>
          <w:lang w:val="fr-FR"/>
        </w:rPr>
        <w:t>dont  la</w:t>
      </w:r>
      <w:proofErr w:type="gramEnd"/>
      <w:r w:rsidR="00CB07DA" w:rsidRPr="007278E9">
        <w:rPr>
          <w:rFonts w:eastAsia="MS Mincho"/>
          <w:sz w:val="24"/>
          <w:szCs w:val="24"/>
          <w:lang w:val="fr-FR"/>
        </w:rPr>
        <w:t xml:space="preserve"> proposition a été évalué comme ;</w:t>
      </w:r>
    </w:p>
    <w:p w14:paraId="11420A67" w14:textId="77777777" w:rsidR="00CB07DA" w:rsidRPr="007278E9" w:rsidRDefault="00CB07DA" w:rsidP="00CB07DA">
      <w:pPr>
        <w:numPr>
          <w:ilvl w:val="0"/>
          <w:numId w:val="40"/>
        </w:numPr>
        <w:spacing w:after="200" w:line="276" w:lineRule="auto"/>
        <w:ind w:hanging="450"/>
        <w:contextualSpacing/>
        <w:jc w:val="both"/>
        <w:rPr>
          <w:rFonts w:eastAsia="MS Mincho"/>
          <w:sz w:val="24"/>
          <w:szCs w:val="24"/>
          <w:lang w:val="fr-FR"/>
        </w:rPr>
      </w:pPr>
      <w:r w:rsidRPr="007278E9">
        <w:rPr>
          <w:rFonts w:eastAsia="MS Mincho"/>
          <w:sz w:val="24"/>
          <w:szCs w:val="24"/>
          <w:lang w:val="fr-FR"/>
        </w:rPr>
        <w:t>Proposition financière la moins-</w:t>
      </w:r>
      <w:proofErr w:type="spellStart"/>
      <w:r w:rsidRPr="007278E9">
        <w:rPr>
          <w:rFonts w:eastAsia="MS Mincho"/>
          <w:sz w:val="24"/>
          <w:szCs w:val="24"/>
          <w:lang w:val="fr-FR"/>
        </w:rPr>
        <w:t>disante</w:t>
      </w:r>
      <w:proofErr w:type="spellEnd"/>
      <w:r w:rsidRPr="007278E9">
        <w:rPr>
          <w:rFonts w:eastAsia="MS Mincho"/>
          <w:sz w:val="24"/>
          <w:szCs w:val="24"/>
          <w:lang w:val="fr-FR"/>
        </w:rPr>
        <w:t xml:space="preserve"> et </w:t>
      </w:r>
    </w:p>
    <w:p w14:paraId="2D95D72D" w14:textId="77777777" w:rsidR="00CB07DA" w:rsidRPr="007278E9" w:rsidRDefault="00CB07DA" w:rsidP="00CB07DA">
      <w:pPr>
        <w:numPr>
          <w:ilvl w:val="0"/>
          <w:numId w:val="40"/>
        </w:numPr>
        <w:autoSpaceDE w:val="0"/>
        <w:autoSpaceDN w:val="0"/>
        <w:adjustRightInd w:val="0"/>
        <w:spacing w:after="200" w:line="276" w:lineRule="auto"/>
        <w:ind w:hanging="450"/>
        <w:contextualSpacing/>
        <w:jc w:val="both"/>
        <w:rPr>
          <w:rFonts w:eastAsia="MS Mincho"/>
          <w:sz w:val="24"/>
          <w:szCs w:val="24"/>
          <w:lang w:val="fr-FR"/>
        </w:rPr>
      </w:pPr>
      <w:r w:rsidRPr="007278E9">
        <w:rPr>
          <w:rFonts w:eastAsia="MS Mincho"/>
          <w:sz w:val="24"/>
          <w:szCs w:val="24"/>
          <w:lang w:val="fr-FR"/>
        </w:rPr>
        <w:t xml:space="preserve">En fonction de la méthodologie proposée  </w:t>
      </w:r>
    </w:p>
    <w:p w14:paraId="686CB74E" w14:textId="77777777" w:rsidR="00CB07DA" w:rsidRPr="007278E9" w:rsidRDefault="00CB07DA" w:rsidP="00CB07DA">
      <w:pPr>
        <w:autoSpaceDE w:val="0"/>
        <w:autoSpaceDN w:val="0"/>
        <w:adjustRightInd w:val="0"/>
        <w:spacing w:after="200" w:line="276" w:lineRule="auto"/>
        <w:ind w:left="1080"/>
        <w:contextualSpacing/>
        <w:jc w:val="both"/>
        <w:rPr>
          <w:rFonts w:eastAsia="MS Mincho"/>
          <w:sz w:val="24"/>
          <w:szCs w:val="24"/>
          <w:lang w:val="fr-FR"/>
        </w:rPr>
      </w:pPr>
    </w:p>
    <w:p w14:paraId="2DC122FF" w14:textId="77777777" w:rsidR="00CB07DA" w:rsidRPr="007278E9" w:rsidRDefault="00482B86" w:rsidP="00AA5024">
      <w:pPr>
        <w:pStyle w:val="ColorfulList-Accent111"/>
        <w:ind w:left="540" w:hanging="540"/>
        <w:jc w:val="both"/>
        <w:rPr>
          <w:rFonts w:eastAsia="MS Mincho"/>
          <w:sz w:val="24"/>
          <w:szCs w:val="24"/>
          <w:lang w:val="fr-FR"/>
        </w:rPr>
      </w:pPr>
      <w:r>
        <w:rPr>
          <w:rFonts w:eastAsia="MS Mincho"/>
          <w:sz w:val="24"/>
          <w:szCs w:val="24"/>
          <w:lang w:val="fr-FR"/>
        </w:rPr>
        <w:t xml:space="preserve">5.28 </w:t>
      </w:r>
      <w:r w:rsidR="00CB07DA" w:rsidRPr="007278E9">
        <w:rPr>
          <w:rFonts w:eastAsia="MS Mincho"/>
          <w:sz w:val="24"/>
          <w:szCs w:val="24"/>
          <w:lang w:val="fr-FR"/>
        </w:rPr>
        <w:t>L’Agence d’Exécution devra informer tous les soumissionnaires de la décision d’attribution du marché et joindre un résumé des raisons justifiant cette décision.</w:t>
      </w:r>
    </w:p>
    <w:p w14:paraId="65686D8C" w14:textId="77777777" w:rsidR="00CB07DA" w:rsidRPr="007278E9" w:rsidRDefault="00CB07DA" w:rsidP="00CB07DA">
      <w:pPr>
        <w:spacing w:after="200" w:line="276" w:lineRule="auto"/>
        <w:jc w:val="both"/>
        <w:rPr>
          <w:rFonts w:eastAsia="MS Mincho"/>
          <w:sz w:val="24"/>
          <w:szCs w:val="24"/>
          <w:lang w:val="fr-FR"/>
        </w:rPr>
      </w:pPr>
      <w:r w:rsidRPr="007278E9">
        <w:rPr>
          <w:rFonts w:eastAsia="MS Mincho"/>
          <w:sz w:val="24"/>
          <w:szCs w:val="24"/>
          <w:lang w:val="fr-FR"/>
        </w:rPr>
        <w:t xml:space="preserve">                         (</w:t>
      </w:r>
      <w:proofErr w:type="spellStart"/>
      <w:r w:rsidRPr="007278E9">
        <w:rPr>
          <w:rFonts w:eastAsia="MS Mincho"/>
          <w:sz w:val="24"/>
          <w:szCs w:val="24"/>
          <w:lang w:val="fr-FR"/>
        </w:rPr>
        <w:t>Parag</w:t>
      </w:r>
      <w:proofErr w:type="spellEnd"/>
      <w:r w:rsidRPr="007278E9">
        <w:rPr>
          <w:rFonts w:eastAsia="MS Mincho"/>
          <w:sz w:val="24"/>
          <w:szCs w:val="24"/>
          <w:lang w:val="fr-FR"/>
        </w:rPr>
        <w:t xml:space="preserve"> 2.14 à 3.13 des Politiques GN-2350-9)</w:t>
      </w:r>
    </w:p>
    <w:p w14:paraId="723F76B0" w14:textId="77777777" w:rsidR="00CB07DA" w:rsidRPr="007278E9" w:rsidRDefault="00CB07DA" w:rsidP="00CB07DA">
      <w:pPr>
        <w:spacing w:after="200" w:line="276" w:lineRule="auto"/>
        <w:jc w:val="both"/>
        <w:rPr>
          <w:rFonts w:eastAsia="MS Mincho"/>
          <w:b/>
          <w:sz w:val="24"/>
          <w:szCs w:val="24"/>
          <w:lang w:val="fr-FR"/>
        </w:rPr>
      </w:pPr>
      <w:r w:rsidRPr="007278E9">
        <w:rPr>
          <w:rFonts w:eastAsia="MS Mincho"/>
          <w:b/>
          <w:sz w:val="24"/>
          <w:szCs w:val="24"/>
          <w:lang w:val="fr-FR"/>
        </w:rPr>
        <w:t xml:space="preserve">          Résolution des Protestations</w:t>
      </w:r>
    </w:p>
    <w:p w14:paraId="07B92E2F" w14:textId="77777777" w:rsidR="00CB07DA" w:rsidRPr="007278E9" w:rsidRDefault="00482B86" w:rsidP="00AA5024">
      <w:pPr>
        <w:pStyle w:val="ColorfulList-Accent111"/>
        <w:ind w:left="540" w:hanging="540"/>
        <w:jc w:val="both"/>
        <w:rPr>
          <w:rFonts w:eastAsia="MS Mincho"/>
          <w:sz w:val="24"/>
          <w:szCs w:val="24"/>
          <w:lang w:val="fr-FR"/>
        </w:rPr>
      </w:pPr>
      <w:r>
        <w:rPr>
          <w:rFonts w:eastAsia="MS Mincho"/>
          <w:sz w:val="24"/>
          <w:szCs w:val="24"/>
          <w:lang w:val="fr-FR"/>
        </w:rPr>
        <w:t xml:space="preserve">5.29 </w:t>
      </w:r>
      <w:r w:rsidR="00CB07DA" w:rsidRPr="007278E9">
        <w:rPr>
          <w:rFonts w:eastAsia="MS Mincho"/>
          <w:sz w:val="24"/>
          <w:szCs w:val="24"/>
          <w:lang w:val="fr-FR"/>
        </w:rPr>
        <w:t xml:space="preserve">Les soumissionnaires </w:t>
      </w:r>
      <w:r w:rsidR="00CB07DA">
        <w:rPr>
          <w:rFonts w:eastAsia="MS Mincho"/>
          <w:sz w:val="24"/>
          <w:szCs w:val="24"/>
          <w:lang w:val="fr-FR"/>
        </w:rPr>
        <w:t>peu</w:t>
      </w:r>
      <w:r w:rsidR="00CB07DA" w:rsidRPr="007278E9">
        <w:rPr>
          <w:rFonts w:eastAsia="MS Mincho"/>
          <w:sz w:val="24"/>
          <w:szCs w:val="24"/>
          <w:lang w:val="fr-FR"/>
        </w:rPr>
        <w:t xml:space="preserve">vent protester par écrit à n’importe quel stade du processus de passation de marché. Le processus de passation de marché n’est pas suspendu même si une protestation est en cours. L’Agence d’Exécution résout la protestation et la Banque </w:t>
      </w:r>
      <w:r w:rsidR="00CB07DA">
        <w:rPr>
          <w:rFonts w:eastAsia="MS Mincho"/>
          <w:sz w:val="24"/>
          <w:szCs w:val="24"/>
          <w:lang w:val="fr-FR"/>
        </w:rPr>
        <w:t>peu</w:t>
      </w:r>
      <w:r w:rsidR="00CB07DA" w:rsidRPr="007278E9">
        <w:rPr>
          <w:rFonts w:eastAsia="MS Mincho"/>
          <w:sz w:val="24"/>
          <w:szCs w:val="24"/>
          <w:lang w:val="fr-FR"/>
        </w:rPr>
        <w:t xml:space="preserve">t fournir des conseils à l’Agence d’Exécution pour l’assister. Si la Banque constate que la passation de marché n’est pas conforme, elle </w:t>
      </w:r>
      <w:r w:rsidR="00CB07DA">
        <w:rPr>
          <w:rFonts w:eastAsia="MS Mincho"/>
          <w:sz w:val="24"/>
          <w:szCs w:val="24"/>
          <w:lang w:val="fr-FR"/>
        </w:rPr>
        <w:t>peu</w:t>
      </w:r>
      <w:r w:rsidR="00CB07DA" w:rsidRPr="007278E9">
        <w:rPr>
          <w:rFonts w:eastAsia="MS Mincho"/>
          <w:sz w:val="24"/>
          <w:szCs w:val="24"/>
          <w:lang w:val="fr-FR"/>
        </w:rPr>
        <w:t>t décider d’appliquer des sanctions. L’introduction d’une protestation par un soumissionnaire n’est pas suspensive et donc le processus suit son cours alors même que la protestation est en cours de résolution.</w:t>
      </w:r>
    </w:p>
    <w:p w14:paraId="662D7872" w14:textId="77777777" w:rsidR="00CB07DA" w:rsidRPr="007278E9" w:rsidRDefault="00CB07DA" w:rsidP="00CB07DA">
      <w:pPr>
        <w:pStyle w:val="ColorfulList-Accent111"/>
        <w:ind w:left="540"/>
        <w:jc w:val="both"/>
        <w:rPr>
          <w:rFonts w:eastAsia="MS Mincho"/>
          <w:sz w:val="24"/>
          <w:szCs w:val="24"/>
          <w:lang w:val="fr-FR"/>
        </w:rPr>
      </w:pPr>
    </w:p>
    <w:p w14:paraId="7972902B" w14:textId="77777777" w:rsidR="00CB07DA" w:rsidRPr="007278E9" w:rsidRDefault="00CB07DA" w:rsidP="00CB07DA">
      <w:pPr>
        <w:spacing w:after="200" w:line="276" w:lineRule="auto"/>
        <w:jc w:val="both"/>
        <w:rPr>
          <w:rFonts w:eastAsia="MS Mincho"/>
          <w:sz w:val="24"/>
          <w:szCs w:val="24"/>
          <w:lang w:val="fr-FR"/>
        </w:rPr>
      </w:pPr>
      <w:r w:rsidRPr="007278E9">
        <w:rPr>
          <w:rFonts w:eastAsia="MS Mincho"/>
          <w:bCs/>
          <w:sz w:val="24"/>
          <w:szCs w:val="24"/>
          <w:lang w:val="fr-FR"/>
        </w:rPr>
        <w:t xml:space="preserve">         (Para 2.65 et 15 Annexe 3 des Politiques – GN 2349-9/ et 11 à 15 Annexe 3 des GN-2350-9)</w:t>
      </w:r>
    </w:p>
    <w:p w14:paraId="3B11AAE5" w14:textId="77777777" w:rsidR="00CB07DA" w:rsidRPr="007278E9" w:rsidRDefault="00CB07DA" w:rsidP="00CB07DA">
      <w:pPr>
        <w:spacing w:after="200" w:line="276" w:lineRule="auto"/>
        <w:jc w:val="both"/>
        <w:rPr>
          <w:rFonts w:eastAsia="MS Mincho"/>
          <w:b/>
          <w:sz w:val="24"/>
          <w:szCs w:val="24"/>
          <w:lang w:val="fr-FR"/>
        </w:rPr>
      </w:pPr>
      <w:r w:rsidRPr="007278E9">
        <w:rPr>
          <w:rFonts w:eastAsia="MS Mincho"/>
          <w:b/>
          <w:sz w:val="24"/>
          <w:szCs w:val="24"/>
          <w:lang w:val="fr-FR"/>
        </w:rPr>
        <w:t xml:space="preserve">          Pratiques interdites</w:t>
      </w:r>
    </w:p>
    <w:p w14:paraId="2FD5F4F9" w14:textId="77777777" w:rsidR="00CB07DA" w:rsidRPr="007278E9" w:rsidRDefault="00482B86" w:rsidP="00AA5024">
      <w:pPr>
        <w:pStyle w:val="ColorfulList-Accent111"/>
        <w:ind w:left="540" w:hanging="540"/>
        <w:jc w:val="both"/>
        <w:rPr>
          <w:rFonts w:eastAsia="MS Mincho"/>
          <w:sz w:val="24"/>
          <w:szCs w:val="24"/>
          <w:lang w:val="fr-FR"/>
        </w:rPr>
      </w:pPr>
      <w:r>
        <w:rPr>
          <w:rFonts w:eastAsia="MS Mincho"/>
          <w:sz w:val="24"/>
          <w:szCs w:val="24"/>
          <w:lang w:val="fr-FR"/>
        </w:rPr>
        <w:t xml:space="preserve">5.30 </w:t>
      </w:r>
      <w:r w:rsidR="00CB07DA" w:rsidRPr="007278E9">
        <w:rPr>
          <w:rFonts w:eastAsia="MS Mincho"/>
          <w:sz w:val="24"/>
          <w:szCs w:val="24"/>
          <w:lang w:val="fr-FR"/>
        </w:rPr>
        <w:t>L’Agence d’Exécution évitera toutes formes de pratique ayant un caractère semblable aux pratiques interdites par la Banque dans le processus de passation de marchés à savoir : La pratique de (i) Corruption, (ii) Fraude, (iii) Coercition, (</w:t>
      </w:r>
      <w:proofErr w:type="spellStart"/>
      <w:r w:rsidR="00CB07DA" w:rsidRPr="007278E9">
        <w:rPr>
          <w:rFonts w:eastAsia="MS Mincho"/>
          <w:sz w:val="24"/>
          <w:szCs w:val="24"/>
          <w:lang w:val="fr-FR"/>
        </w:rPr>
        <w:t>iV</w:t>
      </w:r>
      <w:proofErr w:type="spellEnd"/>
      <w:r w:rsidR="00CB07DA" w:rsidRPr="007278E9">
        <w:rPr>
          <w:rFonts w:eastAsia="MS Mincho"/>
          <w:sz w:val="24"/>
          <w:szCs w:val="24"/>
          <w:lang w:val="fr-FR"/>
        </w:rPr>
        <w:t>) Collusion, (v) Obstruction et (vi) Conflits d’intérêts.</w:t>
      </w:r>
    </w:p>
    <w:p w14:paraId="3E23CFDF" w14:textId="77777777" w:rsidR="00CB07DA" w:rsidRPr="007278E9" w:rsidRDefault="00CB07DA" w:rsidP="00CB07DA">
      <w:pPr>
        <w:pStyle w:val="ColorfulList-Accent111"/>
        <w:ind w:left="540"/>
        <w:jc w:val="both"/>
        <w:rPr>
          <w:rFonts w:eastAsia="MS Mincho"/>
          <w:sz w:val="24"/>
          <w:szCs w:val="24"/>
          <w:lang w:val="fr-FR"/>
        </w:rPr>
      </w:pPr>
    </w:p>
    <w:p w14:paraId="7EEA6890" w14:textId="77777777" w:rsidR="00CB07DA" w:rsidRPr="007278E9" w:rsidRDefault="00CB07DA" w:rsidP="00CB07DA">
      <w:pPr>
        <w:spacing w:after="200" w:line="276" w:lineRule="auto"/>
        <w:jc w:val="both"/>
        <w:rPr>
          <w:rFonts w:eastAsia="MS Mincho"/>
          <w:sz w:val="24"/>
          <w:szCs w:val="24"/>
          <w:lang w:val="fr-FR"/>
        </w:rPr>
      </w:pPr>
      <w:r w:rsidRPr="007278E9">
        <w:rPr>
          <w:rFonts w:eastAsia="MS Mincho"/>
          <w:i/>
          <w:sz w:val="24"/>
          <w:szCs w:val="24"/>
          <w:lang w:val="fr-FR"/>
        </w:rPr>
        <w:t xml:space="preserve">          (Réf. Art. 1.21 des Politiques GN-2350-9 et Art 1.14 des Politiques GN-2349-9)</w:t>
      </w:r>
    </w:p>
    <w:p w14:paraId="01BA5241" w14:textId="77777777" w:rsidR="004B163C" w:rsidRPr="00AD6CD3" w:rsidRDefault="004B163C" w:rsidP="00AD6CD3">
      <w:pPr>
        <w:pStyle w:val="ListParagraph"/>
        <w:numPr>
          <w:ilvl w:val="0"/>
          <w:numId w:val="13"/>
        </w:numPr>
        <w:spacing w:before="360" w:after="120"/>
        <w:jc w:val="center"/>
        <w:outlineLvl w:val="0"/>
        <w:rPr>
          <w:rFonts w:eastAsia="MS Mincho"/>
          <w:b/>
          <w:color w:val="1F497D"/>
          <w:sz w:val="24"/>
          <w:szCs w:val="24"/>
          <w:lang w:val="fr-FR" w:eastAsia="ja-JP"/>
        </w:rPr>
      </w:pPr>
      <w:bookmarkStart w:id="42" w:name="_Toc517290538"/>
      <w:bookmarkStart w:id="43" w:name="_Toc3810477"/>
      <w:r w:rsidRPr="00AD6CD3">
        <w:rPr>
          <w:rFonts w:eastAsia="MS Mincho"/>
          <w:b/>
          <w:color w:val="1F497D"/>
          <w:sz w:val="24"/>
          <w:szCs w:val="24"/>
          <w:lang w:val="fr-FR" w:eastAsia="ja-JP"/>
        </w:rPr>
        <w:t>GESTION DES RESSOURCES FINANCIERES</w:t>
      </w:r>
      <w:bookmarkEnd w:id="42"/>
      <w:bookmarkEnd w:id="43"/>
    </w:p>
    <w:p w14:paraId="63F2377E" w14:textId="77777777" w:rsidR="004B163C" w:rsidRPr="004B163C" w:rsidRDefault="004B163C" w:rsidP="004B163C">
      <w:pPr>
        <w:ind w:left="270"/>
        <w:contextualSpacing/>
        <w:jc w:val="both"/>
        <w:rPr>
          <w:rFonts w:eastAsia="MS Mincho"/>
          <w:b/>
          <w:color w:val="1F497D"/>
          <w:sz w:val="24"/>
          <w:szCs w:val="24"/>
          <w:lang w:val="fr-FR"/>
        </w:rPr>
      </w:pPr>
    </w:p>
    <w:p w14:paraId="5E47B93C" w14:textId="77777777" w:rsidR="004B163C" w:rsidRPr="004B163C" w:rsidRDefault="004B163C" w:rsidP="00AD6CD3">
      <w:pPr>
        <w:numPr>
          <w:ilvl w:val="1"/>
          <w:numId w:val="28"/>
        </w:numPr>
        <w:contextualSpacing/>
        <w:jc w:val="both"/>
        <w:rPr>
          <w:rFonts w:eastAsia="MS Mincho"/>
          <w:sz w:val="24"/>
          <w:szCs w:val="24"/>
          <w:lang w:val="fr-FR"/>
        </w:rPr>
      </w:pPr>
      <w:r w:rsidRPr="004B163C">
        <w:rPr>
          <w:rFonts w:eastAsia="MS Mincho"/>
          <w:sz w:val="24"/>
          <w:szCs w:val="24"/>
          <w:lang w:val="fr-FR"/>
        </w:rPr>
        <w:t xml:space="preserve">L’UCP-MEF gérera un compte bancaire qui financera les activités du projet. </w:t>
      </w:r>
    </w:p>
    <w:p w14:paraId="009A2930" w14:textId="77777777" w:rsidR="004B163C" w:rsidRPr="004B163C" w:rsidRDefault="004B163C" w:rsidP="00AD6CD3">
      <w:pPr>
        <w:keepNext/>
        <w:keepLines/>
        <w:numPr>
          <w:ilvl w:val="0"/>
          <w:numId w:val="29"/>
        </w:numPr>
        <w:spacing w:before="200"/>
        <w:outlineLvl w:val="1"/>
        <w:rPr>
          <w:rFonts w:eastAsia="MS Mincho"/>
          <w:b/>
          <w:color w:val="548DD4"/>
          <w:sz w:val="24"/>
          <w:szCs w:val="24"/>
          <w:lang w:val="fr-FR"/>
        </w:rPr>
      </w:pPr>
      <w:bookmarkStart w:id="44" w:name="_Toc355173678"/>
      <w:bookmarkStart w:id="45" w:name="_Toc355714592"/>
      <w:bookmarkStart w:id="46" w:name="_Toc517290539"/>
      <w:bookmarkStart w:id="47" w:name="_Toc3810478"/>
      <w:r w:rsidRPr="004B163C">
        <w:rPr>
          <w:rFonts w:eastAsia="MS Mincho"/>
          <w:b/>
          <w:color w:val="548DD4"/>
          <w:sz w:val="24"/>
          <w:szCs w:val="24"/>
          <w:lang w:val="fr-FR"/>
        </w:rPr>
        <w:t>RESPONSABILITES FIDUCIAIRES FINANCIERES</w:t>
      </w:r>
      <w:bookmarkEnd w:id="44"/>
      <w:bookmarkEnd w:id="45"/>
      <w:bookmarkEnd w:id="46"/>
      <w:bookmarkEnd w:id="47"/>
    </w:p>
    <w:p w14:paraId="352AC99D" w14:textId="77777777" w:rsidR="004B163C" w:rsidRPr="004B163C" w:rsidRDefault="004B163C" w:rsidP="004B163C">
      <w:pPr>
        <w:rPr>
          <w:rFonts w:eastAsia="MS Mincho"/>
          <w:lang w:val="fr-FR"/>
        </w:rPr>
      </w:pPr>
    </w:p>
    <w:p w14:paraId="45856833" w14:textId="2EE46F81" w:rsidR="004B163C" w:rsidRPr="004B163C" w:rsidRDefault="004B163C" w:rsidP="00AD6CD3">
      <w:pPr>
        <w:numPr>
          <w:ilvl w:val="1"/>
          <w:numId w:val="28"/>
        </w:numPr>
        <w:contextualSpacing/>
        <w:jc w:val="both"/>
        <w:rPr>
          <w:rFonts w:eastAsia="MS Mincho"/>
          <w:b/>
          <w:sz w:val="24"/>
          <w:szCs w:val="24"/>
          <w:lang w:val="fr-FR"/>
        </w:rPr>
      </w:pPr>
      <w:bookmarkStart w:id="48" w:name="_Toc355714593"/>
      <w:bookmarkStart w:id="49" w:name="_Toc355173679"/>
      <w:r w:rsidRPr="004B163C">
        <w:rPr>
          <w:rFonts w:eastAsia="MS Mincho"/>
          <w:b/>
          <w:lang w:val="fr-FR"/>
        </w:rPr>
        <w:t>Système d’information financière et de Contrôle Interne</w:t>
      </w:r>
      <w:bookmarkEnd w:id="48"/>
      <w:bookmarkEnd w:id="49"/>
      <w:r w:rsidR="002A1CD4">
        <w:rPr>
          <w:rFonts w:eastAsia="MS Mincho"/>
          <w:b/>
          <w:lang w:val="fr-FR"/>
        </w:rPr>
        <w:t xml:space="preserve"> </w:t>
      </w:r>
      <w:r w:rsidRPr="004B163C">
        <w:rPr>
          <w:rFonts w:eastAsia="MS Mincho"/>
          <w:b/>
          <w:lang w:val="fr-FR"/>
        </w:rPr>
        <w:t>:</w:t>
      </w:r>
    </w:p>
    <w:p w14:paraId="29FB3B8A" w14:textId="77777777" w:rsidR="006E6542" w:rsidRDefault="006E6542" w:rsidP="004B163C">
      <w:pPr>
        <w:ind w:left="720"/>
        <w:jc w:val="both"/>
        <w:rPr>
          <w:rFonts w:eastAsia="MS Mincho"/>
          <w:sz w:val="24"/>
          <w:szCs w:val="24"/>
          <w:lang w:val="fr-FR"/>
        </w:rPr>
      </w:pPr>
    </w:p>
    <w:p w14:paraId="2627F88C" w14:textId="77777777" w:rsidR="004B163C" w:rsidRDefault="00CB07DA" w:rsidP="004B163C">
      <w:pPr>
        <w:ind w:left="720"/>
        <w:jc w:val="both"/>
        <w:rPr>
          <w:rFonts w:eastAsia="MS Mincho"/>
          <w:sz w:val="24"/>
          <w:szCs w:val="24"/>
          <w:lang w:val="fr-FR"/>
        </w:rPr>
      </w:pPr>
      <w:r>
        <w:rPr>
          <w:rFonts w:eastAsia="MS Mincho"/>
          <w:sz w:val="24"/>
          <w:szCs w:val="24"/>
          <w:lang w:val="fr-FR"/>
        </w:rPr>
        <w:t>L’U</w:t>
      </w:r>
      <w:bookmarkStart w:id="50" w:name="_GoBack"/>
      <w:bookmarkEnd w:id="50"/>
      <w:r>
        <w:rPr>
          <w:rFonts w:eastAsia="MS Mincho"/>
          <w:sz w:val="24"/>
          <w:szCs w:val="24"/>
          <w:lang w:val="fr-FR"/>
        </w:rPr>
        <w:t>CP-MEF devra :</w:t>
      </w:r>
    </w:p>
    <w:p w14:paraId="6676DD69" w14:textId="77777777" w:rsidR="006E6542" w:rsidRDefault="006E6542" w:rsidP="004B163C">
      <w:pPr>
        <w:ind w:left="720"/>
        <w:jc w:val="both"/>
        <w:rPr>
          <w:rFonts w:eastAsia="MS Mincho"/>
          <w:sz w:val="24"/>
          <w:szCs w:val="24"/>
          <w:lang w:val="fr-FR"/>
        </w:rPr>
      </w:pPr>
    </w:p>
    <w:p w14:paraId="7918FB14" w14:textId="3E5A8A71" w:rsidR="00CB07DA" w:rsidRPr="00C03882" w:rsidRDefault="00FA183E" w:rsidP="00CB07DA">
      <w:pPr>
        <w:numPr>
          <w:ilvl w:val="0"/>
          <w:numId w:val="43"/>
        </w:numPr>
        <w:ind w:hanging="540"/>
        <w:contextualSpacing/>
        <w:jc w:val="both"/>
        <w:rPr>
          <w:sz w:val="24"/>
          <w:szCs w:val="24"/>
          <w:lang w:val="fr-FR"/>
        </w:rPr>
      </w:pPr>
      <w:r w:rsidRPr="007278E9">
        <w:rPr>
          <w:sz w:val="24"/>
          <w:szCs w:val="24"/>
          <w:lang w:val="fr-FR"/>
        </w:rPr>
        <w:t>Maintenir</w:t>
      </w:r>
      <w:r w:rsidR="00CB07DA" w:rsidRPr="007278E9">
        <w:rPr>
          <w:sz w:val="24"/>
          <w:szCs w:val="24"/>
          <w:lang w:val="fr-FR"/>
        </w:rPr>
        <w:t xml:space="preserve"> un système d’information financière acceptable pour la Banque qui permette de tenir un registre comptable, budgétaire et financier, et la publication </w:t>
      </w:r>
      <w:r w:rsidR="00CB07DA" w:rsidRPr="007278E9">
        <w:rPr>
          <w:sz w:val="24"/>
          <w:szCs w:val="24"/>
          <w:lang w:val="fr-FR"/>
        </w:rPr>
        <w:lastRenderedPageBreak/>
        <w:t>d’états financiers et autres rapports connexes sur les ressources de la Contribution et d’autres sources de financement, le cas échéant</w:t>
      </w:r>
      <w:r>
        <w:rPr>
          <w:sz w:val="24"/>
          <w:szCs w:val="24"/>
          <w:lang w:val="fr-FR"/>
        </w:rPr>
        <w:t xml:space="preserve"> </w:t>
      </w:r>
      <w:r w:rsidR="00CB07DA" w:rsidRPr="00C03882">
        <w:rPr>
          <w:sz w:val="24"/>
          <w:szCs w:val="24"/>
          <w:lang w:val="fr-FR"/>
        </w:rPr>
        <w:t xml:space="preserve">; </w:t>
      </w:r>
    </w:p>
    <w:p w14:paraId="4E652AB9" w14:textId="20D37E9E" w:rsidR="00CB07DA" w:rsidRPr="006603E9" w:rsidRDefault="00FA183E" w:rsidP="00CB07DA">
      <w:pPr>
        <w:numPr>
          <w:ilvl w:val="0"/>
          <w:numId w:val="43"/>
        </w:numPr>
        <w:ind w:hanging="540"/>
        <w:contextualSpacing/>
        <w:jc w:val="both"/>
        <w:rPr>
          <w:sz w:val="24"/>
          <w:szCs w:val="24"/>
          <w:lang w:val="fr-FR"/>
        </w:rPr>
      </w:pPr>
      <w:bookmarkStart w:id="51" w:name="_Hlk532463770"/>
      <w:r w:rsidRPr="006603E9">
        <w:rPr>
          <w:sz w:val="24"/>
          <w:szCs w:val="24"/>
          <w:lang w:val="fr-FR"/>
        </w:rPr>
        <w:t>Maintenir</w:t>
      </w:r>
      <w:r w:rsidR="00CB07DA" w:rsidRPr="006603E9">
        <w:rPr>
          <w:sz w:val="24"/>
          <w:szCs w:val="24"/>
          <w:lang w:val="fr-FR"/>
        </w:rPr>
        <w:t xml:space="preserve"> une structure de contrôle interne permettant la gestion efficace du Projet, assurant la fiabilité des informations financières, des registres et des archives physiques, numériques et électroniques, et permettant la réalisation des dispositions prévues dans le présent Accord. </w:t>
      </w:r>
      <w:r w:rsidR="00411717" w:rsidRPr="006603E9">
        <w:rPr>
          <w:sz w:val="24"/>
          <w:szCs w:val="24"/>
          <w:lang w:val="fr-FR"/>
        </w:rPr>
        <w:t xml:space="preserve"> </w:t>
      </w:r>
    </w:p>
    <w:bookmarkEnd w:id="51"/>
    <w:p w14:paraId="1A24C9CF" w14:textId="438A9F5D" w:rsidR="00CB07DA" w:rsidRPr="007278E9" w:rsidRDefault="00FA183E" w:rsidP="00CB07DA">
      <w:pPr>
        <w:numPr>
          <w:ilvl w:val="0"/>
          <w:numId w:val="43"/>
        </w:numPr>
        <w:ind w:hanging="540"/>
        <w:contextualSpacing/>
        <w:jc w:val="both"/>
        <w:rPr>
          <w:sz w:val="24"/>
          <w:szCs w:val="24"/>
          <w:lang w:val="fr-FR"/>
        </w:rPr>
      </w:pPr>
      <w:r w:rsidRPr="007278E9">
        <w:rPr>
          <w:sz w:val="24"/>
          <w:szCs w:val="24"/>
          <w:lang w:val="fr-FR"/>
        </w:rPr>
        <w:t>Conserver</w:t>
      </w:r>
      <w:r w:rsidR="00CB07DA" w:rsidRPr="007278E9">
        <w:rPr>
          <w:sz w:val="24"/>
          <w:szCs w:val="24"/>
          <w:lang w:val="fr-FR"/>
        </w:rPr>
        <w:t xml:space="preserve"> les registres originaux du Projet pour une période minimum de trois (3) ans après la date stipulée pour le dernier décaissement de la Contribution, de façon </w:t>
      </w:r>
      <w:proofErr w:type="gramStart"/>
      <w:r w:rsidR="00CB07DA" w:rsidRPr="007278E9">
        <w:rPr>
          <w:sz w:val="24"/>
          <w:szCs w:val="24"/>
          <w:lang w:val="fr-FR"/>
        </w:rPr>
        <w:t>à:</w:t>
      </w:r>
      <w:proofErr w:type="gramEnd"/>
    </w:p>
    <w:p w14:paraId="105ED26F" w14:textId="77777777" w:rsidR="00CB07DA" w:rsidRPr="007278E9" w:rsidRDefault="00CB07DA" w:rsidP="00CB07DA">
      <w:pPr>
        <w:ind w:left="720"/>
        <w:contextualSpacing/>
        <w:jc w:val="both"/>
        <w:rPr>
          <w:sz w:val="24"/>
          <w:szCs w:val="24"/>
          <w:lang w:val="fr-FR"/>
        </w:rPr>
      </w:pPr>
    </w:p>
    <w:p w14:paraId="20BBA3B3" w14:textId="4BB565AE" w:rsidR="00CB07DA" w:rsidRPr="007278E9" w:rsidRDefault="00FA183E" w:rsidP="00CB07DA">
      <w:pPr>
        <w:numPr>
          <w:ilvl w:val="1"/>
          <w:numId w:val="43"/>
        </w:numPr>
        <w:ind w:left="1800"/>
        <w:contextualSpacing/>
        <w:jc w:val="both"/>
        <w:rPr>
          <w:sz w:val="24"/>
          <w:szCs w:val="24"/>
          <w:lang w:val="fr-FR"/>
        </w:rPr>
      </w:pPr>
      <w:r w:rsidRPr="007278E9">
        <w:rPr>
          <w:sz w:val="24"/>
          <w:szCs w:val="24"/>
          <w:lang w:val="fr-FR"/>
        </w:rPr>
        <w:t>Permettre</w:t>
      </w:r>
      <w:r w:rsidR="00CB07DA" w:rsidRPr="007278E9">
        <w:rPr>
          <w:sz w:val="24"/>
          <w:szCs w:val="24"/>
          <w:lang w:val="fr-FR"/>
        </w:rPr>
        <w:t xml:space="preserve"> l’identification des sommes reçues de la part des différentes sources</w:t>
      </w:r>
      <w:r>
        <w:rPr>
          <w:sz w:val="24"/>
          <w:szCs w:val="24"/>
          <w:lang w:val="fr-FR"/>
        </w:rPr>
        <w:t xml:space="preserve"> </w:t>
      </w:r>
      <w:r w:rsidR="00CB07DA" w:rsidRPr="007278E9">
        <w:rPr>
          <w:sz w:val="24"/>
          <w:szCs w:val="24"/>
          <w:lang w:val="fr-FR"/>
        </w:rPr>
        <w:t xml:space="preserve">; </w:t>
      </w:r>
    </w:p>
    <w:p w14:paraId="5983C66B" w14:textId="77777777" w:rsidR="00CB07DA" w:rsidRPr="007278E9" w:rsidRDefault="00CB07DA" w:rsidP="00CB07DA">
      <w:pPr>
        <w:ind w:left="1800"/>
        <w:contextualSpacing/>
        <w:jc w:val="both"/>
        <w:rPr>
          <w:sz w:val="24"/>
          <w:szCs w:val="24"/>
          <w:lang w:val="fr-FR"/>
        </w:rPr>
      </w:pPr>
    </w:p>
    <w:p w14:paraId="2F5FE026" w14:textId="1A4AA6DC" w:rsidR="00CB07DA" w:rsidRPr="007278E9" w:rsidRDefault="00FA183E" w:rsidP="00CB07DA">
      <w:pPr>
        <w:numPr>
          <w:ilvl w:val="1"/>
          <w:numId w:val="43"/>
        </w:numPr>
        <w:ind w:left="1800"/>
        <w:contextualSpacing/>
        <w:jc w:val="both"/>
        <w:rPr>
          <w:sz w:val="24"/>
          <w:szCs w:val="24"/>
          <w:lang w:val="fr-FR"/>
        </w:rPr>
      </w:pPr>
      <w:r w:rsidRPr="007278E9">
        <w:rPr>
          <w:sz w:val="24"/>
          <w:szCs w:val="24"/>
          <w:lang w:val="fr-FR"/>
        </w:rPr>
        <w:t>Consigner</w:t>
      </w:r>
      <w:r w:rsidR="00CB07DA" w:rsidRPr="007278E9">
        <w:rPr>
          <w:sz w:val="24"/>
          <w:szCs w:val="24"/>
          <w:lang w:val="fr-FR"/>
        </w:rPr>
        <w:t>, conformément au système d’information financière approuvé par la Banque, les dépenses engagées sur le compte du Projet, tant avec les ressources de la Contribution qu’avec les autres fonds qui doivent être apportés en contrepartie pour son exécution totale</w:t>
      </w:r>
      <w:r>
        <w:rPr>
          <w:sz w:val="24"/>
          <w:szCs w:val="24"/>
          <w:lang w:val="fr-FR"/>
        </w:rPr>
        <w:t xml:space="preserve"> </w:t>
      </w:r>
      <w:r w:rsidR="00CB07DA" w:rsidRPr="007278E9">
        <w:rPr>
          <w:sz w:val="24"/>
          <w:szCs w:val="24"/>
          <w:lang w:val="fr-FR"/>
        </w:rPr>
        <w:t xml:space="preserve">; </w:t>
      </w:r>
    </w:p>
    <w:p w14:paraId="0C26CD27" w14:textId="77777777" w:rsidR="00CB07DA" w:rsidRPr="007278E9" w:rsidRDefault="00CB07DA" w:rsidP="00CB07DA">
      <w:pPr>
        <w:ind w:left="1800"/>
        <w:contextualSpacing/>
        <w:jc w:val="both"/>
        <w:rPr>
          <w:sz w:val="24"/>
          <w:szCs w:val="24"/>
          <w:lang w:val="fr-FR"/>
        </w:rPr>
      </w:pPr>
    </w:p>
    <w:p w14:paraId="4798FF40" w14:textId="7BB012EC" w:rsidR="00CB07DA" w:rsidRPr="007278E9" w:rsidRDefault="00FA183E" w:rsidP="00CB07DA">
      <w:pPr>
        <w:numPr>
          <w:ilvl w:val="1"/>
          <w:numId w:val="43"/>
        </w:numPr>
        <w:ind w:left="1800"/>
        <w:contextualSpacing/>
        <w:jc w:val="both"/>
        <w:rPr>
          <w:sz w:val="24"/>
          <w:szCs w:val="24"/>
          <w:lang w:val="fr-FR"/>
        </w:rPr>
      </w:pPr>
      <w:r w:rsidRPr="007278E9">
        <w:rPr>
          <w:sz w:val="24"/>
          <w:szCs w:val="24"/>
          <w:lang w:val="fr-FR"/>
        </w:rPr>
        <w:t>Inclure</w:t>
      </w:r>
      <w:r w:rsidR="00CB07DA" w:rsidRPr="007278E9">
        <w:rPr>
          <w:sz w:val="24"/>
          <w:szCs w:val="24"/>
          <w:lang w:val="fr-FR"/>
        </w:rPr>
        <w:t xml:space="preserve"> les détails nécessaires pour identifier les œuvres réalisées, les biens acquis et les services contractés, ainsi que l’utilisation desdites œuvres, biens et services</w:t>
      </w:r>
      <w:r>
        <w:rPr>
          <w:sz w:val="24"/>
          <w:szCs w:val="24"/>
          <w:lang w:val="fr-FR"/>
        </w:rPr>
        <w:t xml:space="preserve"> </w:t>
      </w:r>
      <w:r w:rsidR="00CB07DA" w:rsidRPr="007278E9">
        <w:rPr>
          <w:sz w:val="24"/>
          <w:szCs w:val="24"/>
          <w:lang w:val="fr-FR"/>
        </w:rPr>
        <w:t xml:space="preserve">; </w:t>
      </w:r>
    </w:p>
    <w:p w14:paraId="538508ED" w14:textId="77777777" w:rsidR="00CB07DA" w:rsidRPr="007278E9" w:rsidRDefault="00CB07DA" w:rsidP="00CB07DA">
      <w:pPr>
        <w:ind w:left="1800"/>
        <w:contextualSpacing/>
        <w:jc w:val="both"/>
        <w:rPr>
          <w:sz w:val="24"/>
          <w:szCs w:val="24"/>
          <w:lang w:val="fr-FR"/>
        </w:rPr>
      </w:pPr>
    </w:p>
    <w:p w14:paraId="31B43B4C" w14:textId="4B13A774" w:rsidR="00CB07DA" w:rsidRPr="007278E9" w:rsidRDefault="00FA183E" w:rsidP="00CB07DA">
      <w:pPr>
        <w:numPr>
          <w:ilvl w:val="1"/>
          <w:numId w:val="43"/>
        </w:numPr>
        <w:ind w:left="1800"/>
        <w:contextualSpacing/>
        <w:jc w:val="both"/>
        <w:rPr>
          <w:sz w:val="24"/>
          <w:szCs w:val="24"/>
          <w:lang w:val="fr-FR"/>
        </w:rPr>
      </w:pPr>
      <w:r w:rsidRPr="007278E9">
        <w:rPr>
          <w:sz w:val="24"/>
          <w:szCs w:val="24"/>
          <w:lang w:val="fr-FR"/>
        </w:rPr>
        <w:t>Mettre</w:t>
      </w:r>
      <w:r w:rsidR="00CB07DA" w:rsidRPr="007278E9">
        <w:rPr>
          <w:sz w:val="24"/>
          <w:szCs w:val="24"/>
          <w:lang w:val="fr-FR"/>
        </w:rPr>
        <w:t xml:space="preserve"> en évidence la conformité de l’autorisation et du paiement de l’œuvre, bien ou service acquis ou contracté</w:t>
      </w:r>
      <w:r>
        <w:rPr>
          <w:sz w:val="24"/>
          <w:szCs w:val="24"/>
          <w:lang w:val="fr-FR"/>
        </w:rPr>
        <w:t xml:space="preserve"> </w:t>
      </w:r>
      <w:r w:rsidR="00CB07DA" w:rsidRPr="007278E9">
        <w:rPr>
          <w:sz w:val="24"/>
          <w:szCs w:val="24"/>
          <w:lang w:val="fr-FR"/>
        </w:rPr>
        <w:t xml:space="preserve">; </w:t>
      </w:r>
    </w:p>
    <w:p w14:paraId="6A53AC39" w14:textId="77777777" w:rsidR="00CB07DA" w:rsidRPr="007278E9" w:rsidRDefault="00CB07DA" w:rsidP="00CB07DA">
      <w:pPr>
        <w:ind w:left="1800"/>
        <w:contextualSpacing/>
        <w:jc w:val="both"/>
        <w:rPr>
          <w:sz w:val="24"/>
          <w:szCs w:val="24"/>
          <w:lang w:val="fr-FR"/>
        </w:rPr>
      </w:pPr>
    </w:p>
    <w:p w14:paraId="2702E9D7" w14:textId="77777777" w:rsidR="00CB07DA" w:rsidRPr="007278E9" w:rsidRDefault="00CB07DA" w:rsidP="00CB07DA">
      <w:pPr>
        <w:numPr>
          <w:ilvl w:val="1"/>
          <w:numId w:val="43"/>
        </w:numPr>
        <w:ind w:left="1800"/>
        <w:contextualSpacing/>
        <w:jc w:val="both"/>
        <w:rPr>
          <w:sz w:val="24"/>
          <w:szCs w:val="24"/>
          <w:lang w:val="fr-FR"/>
        </w:rPr>
      </w:pPr>
      <w:r w:rsidRPr="007278E9">
        <w:rPr>
          <w:sz w:val="24"/>
          <w:szCs w:val="24"/>
          <w:lang w:val="fr-FR"/>
        </w:rPr>
        <w:t xml:space="preserve">inclure la documentation liée au processus de passation de marchés, d’acquisition, d’emploi et d’exécution des contrats financés par la Banque et d’autres sources de financement, ce qui comprend, sans que ce soit limitatif: les appels d’offres, les offres groupées, les résumés, les évaluations des offres, les contrats, la correspondance, les non-objections reçues de la BID,  les produits et projets de travail, les factures, certificats et rapports de réception, les reçus y compris les documents liés au paiement de commissions, et les paiements aux représentants, consultants et contractants; et </w:t>
      </w:r>
    </w:p>
    <w:p w14:paraId="35D19C7F" w14:textId="77777777" w:rsidR="00CB07DA" w:rsidRPr="007278E9" w:rsidRDefault="00CB07DA" w:rsidP="00CB07DA">
      <w:pPr>
        <w:ind w:left="1800"/>
        <w:contextualSpacing/>
        <w:jc w:val="both"/>
        <w:rPr>
          <w:sz w:val="24"/>
          <w:szCs w:val="24"/>
          <w:lang w:val="fr-FR"/>
        </w:rPr>
      </w:pPr>
    </w:p>
    <w:p w14:paraId="456D813D" w14:textId="7D6736D9" w:rsidR="00CB07DA" w:rsidRPr="007278E9" w:rsidRDefault="00FA183E" w:rsidP="00CB07DA">
      <w:pPr>
        <w:numPr>
          <w:ilvl w:val="1"/>
          <w:numId w:val="43"/>
        </w:numPr>
        <w:ind w:left="1800"/>
        <w:contextualSpacing/>
        <w:jc w:val="both"/>
        <w:rPr>
          <w:sz w:val="24"/>
          <w:szCs w:val="24"/>
          <w:lang w:val="fr-FR"/>
        </w:rPr>
      </w:pPr>
      <w:r w:rsidRPr="007278E9">
        <w:rPr>
          <w:sz w:val="24"/>
          <w:szCs w:val="24"/>
          <w:lang w:val="fr-FR"/>
        </w:rPr>
        <w:t>Démontrer</w:t>
      </w:r>
      <w:r w:rsidR="00CB07DA" w:rsidRPr="007278E9">
        <w:rPr>
          <w:sz w:val="24"/>
          <w:szCs w:val="24"/>
          <w:lang w:val="fr-FR"/>
        </w:rPr>
        <w:t xml:space="preserve"> le coût du projet pour chaque catégorie de son budget et les progrès physiques et financiers réalisés par les œuvres, biens et services acquis ou contractés. Lorsqu’il s’agira de programmes de crédit, les registres devront préciser, en outre, les crédits alloués, les recouvrements effectués et l’utilisation de ceux-ci. </w:t>
      </w:r>
    </w:p>
    <w:p w14:paraId="1503D77B" w14:textId="77777777" w:rsidR="00CB07DA" w:rsidRPr="007278E9" w:rsidRDefault="00CB07DA" w:rsidP="00CB07DA">
      <w:pPr>
        <w:ind w:left="720"/>
        <w:contextualSpacing/>
        <w:jc w:val="both"/>
        <w:rPr>
          <w:sz w:val="24"/>
          <w:szCs w:val="24"/>
          <w:lang w:val="fr-FR"/>
        </w:rPr>
      </w:pPr>
    </w:p>
    <w:p w14:paraId="4F6E46C0" w14:textId="77777777" w:rsidR="00CB07DA" w:rsidRPr="007278E9" w:rsidRDefault="00CB07DA" w:rsidP="00CB07DA">
      <w:pPr>
        <w:numPr>
          <w:ilvl w:val="0"/>
          <w:numId w:val="43"/>
        </w:numPr>
        <w:ind w:left="1440"/>
        <w:contextualSpacing/>
        <w:jc w:val="both"/>
        <w:rPr>
          <w:sz w:val="24"/>
          <w:szCs w:val="24"/>
          <w:lang w:val="fr-FR"/>
        </w:rPr>
      </w:pPr>
      <w:r w:rsidRPr="007278E9">
        <w:rPr>
          <w:sz w:val="24"/>
          <w:szCs w:val="24"/>
          <w:lang w:val="fr-FR"/>
        </w:rPr>
        <w:t xml:space="preserve">s’assurer que les dossiers d’appel d’offre et les contrats financés avec les ressources de la Contribution qui sont conclus par le Bénéficiaire, l’Organisme d’Exécution ou l’Organisme Contractant, incluent une disposition requérant que les candidats, les soumissionnaires, les fournisseurs de biens ou prestataires de services ainsi que leurs représentants, les entrepreneurs, les consultants, le </w:t>
      </w:r>
      <w:r w:rsidRPr="007278E9">
        <w:rPr>
          <w:sz w:val="24"/>
          <w:szCs w:val="24"/>
          <w:lang w:val="fr-FR"/>
        </w:rPr>
        <w:lastRenderedPageBreak/>
        <w:t>personnel, les sous-traitants, les sous-consultants ainsi que leurs représentants ou les concessionnaires conservent tous les documents et dossiers liés aux activités financées par la Banque pendant sept (7) ans après l'achèvement du travail prévu dans le contrat en question.</w:t>
      </w:r>
    </w:p>
    <w:p w14:paraId="549D0F03" w14:textId="77777777" w:rsidR="00CB07DA" w:rsidRPr="004B163C" w:rsidRDefault="00CB07DA" w:rsidP="004B163C">
      <w:pPr>
        <w:ind w:left="720"/>
        <w:jc w:val="both"/>
        <w:rPr>
          <w:rFonts w:eastAsia="MS Mincho"/>
          <w:sz w:val="24"/>
          <w:szCs w:val="24"/>
          <w:lang w:val="fr-FR"/>
        </w:rPr>
      </w:pPr>
    </w:p>
    <w:p w14:paraId="2855C912" w14:textId="77777777" w:rsidR="004B163C" w:rsidRPr="004B163C" w:rsidRDefault="004B163C" w:rsidP="004B163C">
      <w:pPr>
        <w:jc w:val="both"/>
        <w:rPr>
          <w:rFonts w:eastAsia="MS Mincho"/>
          <w:sz w:val="24"/>
          <w:szCs w:val="24"/>
          <w:u w:val="single"/>
          <w:lang w:val="fr-FR"/>
        </w:rPr>
      </w:pPr>
    </w:p>
    <w:p w14:paraId="7E0F8F5A" w14:textId="77777777" w:rsidR="004B163C" w:rsidRPr="004B163C" w:rsidRDefault="004B163C" w:rsidP="00AD6CD3">
      <w:pPr>
        <w:numPr>
          <w:ilvl w:val="1"/>
          <w:numId w:val="28"/>
        </w:numPr>
        <w:contextualSpacing/>
        <w:jc w:val="both"/>
        <w:rPr>
          <w:rFonts w:eastAsia="MS Mincho"/>
          <w:b/>
          <w:lang w:val="fr-FR"/>
        </w:rPr>
      </w:pPr>
      <w:bookmarkStart w:id="52" w:name="_Toc355714594"/>
      <w:bookmarkStart w:id="53" w:name="_Toc355173680"/>
      <w:r w:rsidRPr="004B163C">
        <w:rPr>
          <w:rFonts w:eastAsia="MS Mincho"/>
          <w:b/>
          <w:lang w:val="fr-FR"/>
        </w:rPr>
        <w:t>États Financiers</w:t>
      </w:r>
      <w:bookmarkEnd w:id="52"/>
      <w:bookmarkEnd w:id="53"/>
      <w:r w:rsidRPr="004B163C">
        <w:rPr>
          <w:rFonts w:eastAsia="MS Mincho"/>
          <w:b/>
          <w:lang w:val="fr-FR"/>
        </w:rPr>
        <w:t> :</w:t>
      </w:r>
    </w:p>
    <w:p w14:paraId="35FB6B67" w14:textId="77777777" w:rsidR="006E6542" w:rsidRDefault="006E6542" w:rsidP="004B163C">
      <w:pPr>
        <w:jc w:val="both"/>
        <w:rPr>
          <w:rFonts w:eastAsia="MS Mincho"/>
          <w:sz w:val="24"/>
          <w:szCs w:val="24"/>
          <w:lang w:val="fr-FR"/>
        </w:rPr>
      </w:pPr>
    </w:p>
    <w:p w14:paraId="09542411" w14:textId="77777777" w:rsidR="004B163C" w:rsidRPr="004B163C" w:rsidRDefault="00CB07DA" w:rsidP="004B163C">
      <w:pPr>
        <w:jc w:val="both"/>
        <w:rPr>
          <w:rFonts w:eastAsia="MS Mincho"/>
          <w:sz w:val="24"/>
          <w:szCs w:val="24"/>
          <w:lang w:val="fr-FR"/>
        </w:rPr>
      </w:pPr>
      <w:r>
        <w:rPr>
          <w:rFonts w:eastAsia="MS Mincho"/>
          <w:sz w:val="24"/>
          <w:szCs w:val="24"/>
          <w:lang w:val="fr-FR"/>
        </w:rPr>
        <w:t>L’</w:t>
      </w:r>
      <w:r>
        <w:rPr>
          <w:sz w:val="24"/>
          <w:szCs w:val="24"/>
          <w:lang w:val="fr-FR"/>
        </w:rPr>
        <w:t>UCP</w:t>
      </w:r>
      <w:r w:rsidRPr="007278E9">
        <w:rPr>
          <w:sz w:val="24"/>
          <w:szCs w:val="24"/>
          <w:lang w:val="fr-FR"/>
        </w:rPr>
        <w:t xml:space="preserve"> s’en</w:t>
      </w:r>
      <w:r>
        <w:rPr>
          <w:sz w:val="24"/>
          <w:szCs w:val="24"/>
          <w:lang w:val="fr-FR"/>
        </w:rPr>
        <w:t>gage à ce que soit présenté</w:t>
      </w:r>
      <w:r w:rsidRPr="007278E9">
        <w:rPr>
          <w:sz w:val="24"/>
          <w:szCs w:val="24"/>
          <w:lang w:val="fr-FR"/>
        </w:rPr>
        <w:t xml:space="preserve"> les rapports suivants :</w:t>
      </w:r>
    </w:p>
    <w:p w14:paraId="7BF844E3" w14:textId="77777777" w:rsidR="004B163C" w:rsidRDefault="004B163C" w:rsidP="004B163C">
      <w:pPr>
        <w:jc w:val="both"/>
        <w:rPr>
          <w:rFonts w:eastAsia="MS Mincho"/>
          <w:sz w:val="24"/>
          <w:szCs w:val="24"/>
          <w:lang w:val="fr-FR"/>
        </w:rPr>
      </w:pPr>
    </w:p>
    <w:p w14:paraId="7E77B8D0" w14:textId="77777777" w:rsidR="00CB07DA" w:rsidRPr="007278E9" w:rsidRDefault="00CB07DA" w:rsidP="00CB07DA">
      <w:pPr>
        <w:widowControl w:val="0"/>
        <w:autoSpaceDE w:val="0"/>
        <w:autoSpaceDN w:val="0"/>
        <w:adjustRightInd w:val="0"/>
        <w:ind w:left="720"/>
        <w:jc w:val="both"/>
        <w:rPr>
          <w:rFonts w:eastAsia="Batang"/>
          <w:sz w:val="24"/>
          <w:szCs w:val="24"/>
          <w:lang w:val="fr-FR"/>
        </w:rPr>
      </w:pPr>
    </w:p>
    <w:p w14:paraId="51FA099C" w14:textId="3091C586" w:rsidR="00CB07DA" w:rsidRPr="007278E9" w:rsidRDefault="00CB07DA" w:rsidP="00CB07DA">
      <w:pPr>
        <w:numPr>
          <w:ilvl w:val="0"/>
          <w:numId w:val="44"/>
        </w:numPr>
        <w:ind w:left="1440"/>
        <w:contextualSpacing/>
        <w:jc w:val="both"/>
        <w:rPr>
          <w:sz w:val="24"/>
          <w:szCs w:val="24"/>
          <w:lang w:val="fr-FR"/>
        </w:rPr>
      </w:pPr>
      <w:r w:rsidRPr="007278E9">
        <w:rPr>
          <w:sz w:val="24"/>
          <w:szCs w:val="24"/>
          <w:lang w:val="fr-FR"/>
        </w:rPr>
        <w:t>Dans les cent vingt (120) jours suivant la clôture de chaque exercice fiscal et dans le délai imparti pour les décaissements de la Contribution, les états financiers audités du Programme, dûment rapportés par une entreprise d’audit indépendante acceptable par la Banque. Le dernier desdits rapports sera présenté dans les cent vingt (120) jours suivant la date stipulée pour le dernier décaissement de la Contribution. L’année fiscale s’étend du 1</w:t>
      </w:r>
      <w:r w:rsidRPr="007278E9">
        <w:rPr>
          <w:sz w:val="24"/>
          <w:szCs w:val="24"/>
          <w:vertAlign w:val="superscript"/>
          <w:lang w:val="fr-FR"/>
        </w:rPr>
        <w:t>er</w:t>
      </w:r>
      <w:r w:rsidRPr="007278E9">
        <w:rPr>
          <w:sz w:val="24"/>
          <w:szCs w:val="24"/>
          <w:lang w:val="fr-FR"/>
        </w:rPr>
        <w:t xml:space="preserve"> Octobre de l’année </w:t>
      </w:r>
      <w:r w:rsidR="00FA183E" w:rsidRPr="007278E9">
        <w:rPr>
          <w:sz w:val="24"/>
          <w:szCs w:val="24"/>
          <w:lang w:val="fr-FR"/>
        </w:rPr>
        <w:t>n au</w:t>
      </w:r>
      <w:r w:rsidRPr="007278E9">
        <w:rPr>
          <w:sz w:val="24"/>
          <w:szCs w:val="24"/>
          <w:lang w:val="fr-FR"/>
        </w:rPr>
        <w:t xml:space="preserve"> 30 Septembre de l’année n+1.</w:t>
      </w:r>
    </w:p>
    <w:p w14:paraId="004F7DDE" w14:textId="77777777" w:rsidR="00CB07DA" w:rsidRPr="007278E9" w:rsidRDefault="00CB07DA" w:rsidP="00CB07DA">
      <w:pPr>
        <w:ind w:left="1440" w:hanging="360"/>
        <w:contextualSpacing/>
        <w:jc w:val="both"/>
        <w:rPr>
          <w:sz w:val="24"/>
          <w:szCs w:val="24"/>
          <w:lang w:val="fr-FR" w:eastAsia="ko-KR"/>
        </w:rPr>
      </w:pPr>
    </w:p>
    <w:p w14:paraId="049C591C" w14:textId="77777777" w:rsidR="00CB07DA" w:rsidRPr="007278E9" w:rsidRDefault="00CB07DA" w:rsidP="00CB07DA">
      <w:pPr>
        <w:numPr>
          <w:ilvl w:val="0"/>
          <w:numId w:val="44"/>
        </w:numPr>
        <w:ind w:left="1440"/>
        <w:contextualSpacing/>
        <w:jc w:val="both"/>
        <w:rPr>
          <w:sz w:val="24"/>
          <w:szCs w:val="24"/>
          <w:lang w:val="fr-FR" w:eastAsia="ko-KR"/>
        </w:rPr>
      </w:pPr>
      <w:r w:rsidRPr="007278E9">
        <w:rPr>
          <w:sz w:val="24"/>
          <w:szCs w:val="24"/>
          <w:lang w:val="fr-FR"/>
        </w:rPr>
        <w:t xml:space="preserve">Dans les soixante (60) jours suivant la date d’échéance de chaque semestre, des rapports </w:t>
      </w:r>
      <w:r w:rsidRPr="007278E9">
        <w:rPr>
          <w:sz w:val="24"/>
          <w:szCs w:val="24"/>
          <w:lang w:val="fr-FR" w:eastAsia="ko-KR"/>
        </w:rPr>
        <w:t xml:space="preserve">semestriels </w:t>
      </w:r>
      <w:r w:rsidRPr="007278E9">
        <w:rPr>
          <w:sz w:val="24"/>
          <w:szCs w:val="24"/>
          <w:lang w:val="fr-FR"/>
        </w:rPr>
        <w:t>de révision indépendante des transactions contenues dans les requêtes de décaissements approuvées durant la période.</w:t>
      </w:r>
    </w:p>
    <w:p w14:paraId="7D134822" w14:textId="77777777" w:rsidR="00CB07DA" w:rsidRPr="004B163C" w:rsidRDefault="00CB07DA" w:rsidP="004B163C">
      <w:pPr>
        <w:jc w:val="both"/>
        <w:rPr>
          <w:rFonts w:eastAsia="MS Mincho"/>
          <w:sz w:val="24"/>
          <w:szCs w:val="24"/>
          <w:lang w:val="fr-FR"/>
        </w:rPr>
      </w:pPr>
    </w:p>
    <w:p w14:paraId="67C33B11" w14:textId="6353770D" w:rsidR="004B163C" w:rsidRPr="004B163C" w:rsidRDefault="004B163C" w:rsidP="00AD6CD3">
      <w:pPr>
        <w:numPr>
          <w:ilvl w:val="1"/>
          <w:numId w:val="28"/>
        </w:numPr>
        <w:contextualSpacing/>
        <w:jc w:val="both"/>
        <w:rPr>
          <w:rFonts w:eastAsia="MS Mincho"/>
          <w:b/>
          <w:sz w:val="24"/>
          <w:szCs w:val="24"/>
          <w:lang w:val="fr-FR"/>
        </w:rPr>
      </w:pPr>
      <w:bookmarkStart w:id="54" w:name="_Toc355173681"/>
      <w:bookmarkStart w:id="55" w:name="_Toc355714595"/>
      <w:r w:rsidRPr="004B163C">
        <w:rPr>
          <w:rFonts w:eastAsia="MS Mincho"/>
          <w:b/>
          <w:sz w:val="24"/>
          <w:szCs w:val="24"/>
          <w:lang w:val="fr-FR"/>
        </w:rPr>
        <w:t xml:space="preserve">Période de </w:t>
      </w:r>
      <w:bookmarkEnd w:id="54"/>
      <w:r w:rsidRPr="004B163C">
        <w:rPr>
          <w:rFonts w:eastAsia="MS Mincho"/>
          <w:b/>
          <w:sz w:val="24"/>
          <w:szCs w:val="24"/>
          <w:lang w:val="fr-FR"/>
        </w:rPr>
        <w:t>décaissement</w:t>
      </w:r>
      <w:bookmarkEnd w:id="55"/>
      <w:r w:rsidR="00FA183E">
        <w:rPr>
          <w:rFonts w:eastAsia="MS Mincho"/>
          <w:b/>
          <w:sz w:val="24"/>
          <w:szCs w:val="24"/>
          <w:lang w:val="fr-FR"/>
        </w:rPr>
        <w:t xml:space="preserve"> </w:t>
      </w:r>
      <w:r w:rsidRPr="004B163C">
        <w:rPr>
          <w:rFonts w:eastAsia="MS Mincho"/>
          <w:b/>
          <w:sz w:val="24"/>
          <w:szCs w:val="24"/>
          <w:lang w:val="fr-FR"/>
        </w:rPr>
        <w:t>:</w:t>
      </w:r>
    </w:p>
    <w:p w14:paraId="47BDF8D5" w14:textId="77777777" w:rsidR="004B163C" w:rsidRPr="004B163C" w:rsidRDefault="004B163C" w:rsidP="004B163C">
      <w:pPr>
        <w:tabs>
          <w:tab w:val="left" w:pos="2160"/>
        </w:tabs>
        <w:jc w:val="both"/>
        <w:rPr>
          <w:rFonts w:eastAsia="Times New Roman"/>
          <w:sz w:val="24"/>
          <w:szCs w:val="24"/>
          <w:lang w:val="fr-FR"/>
        </w:rPr>
      </w:pPr>
    </w:p>
    <w:p w14:paraId="5DFFCE4E" w14:textId="77777777" w:rsidR="004B163C" w:rsidRPr="004B163C" w:rsidRDefault="004B163C" w:rsidP="004B163C">
      <w:pPr>
        <w:ind w:left="990"/>
        <w:jc w:val="both"/>
        <w:rPr>
          <w:rFonts w:eastAsia="MS Mincho"/>
          <w:sz w:val="24"/>
          <w:szCs w:val="24"/>
          <w:lang w:val="fr-FR"/>
        </w:rPr>
      </w:pPr>
      <w:r w:rsidRPr="004B163C">
        <w:rPr>
          <w:rFonts w:eastAsia="MS Mincho"/>
          <w:sz w:val="24"/>
          <w:szCs w:val="24"/>
          <w:lang w:val="fr-FR"/>
        </w:rPr>
        <w:t xml:space="preserve">Le délai pour le dernier décaissement des ressources de la Contribution sera de cinq (5) ans, décomptés à partir de la date d’entrée en vigueur de cet Accord. </w:t>
      </w:r>
    </w:p>
    <w:p w14:paraId="399A78C1" w14:textId="77777777" w:rsidR="004B163C" w:rsidRPr="004B163C" w:rsidRDefault="004B163C" w:rsidP="004B163C">
      <w:pPr>
        <w:ind w:left="720"/>
        <w:jc w:val="both"/>
        <w:rPr>
          <w:rFonts w:eastAsia="MS Mincho"/>
          <w:sz w:val="24"/>
          <w:szCs w:val="24"/>
          <w:lang w:val="fr-FR"/>
        </w:rPr>
      </w:pPr>
    </w:p>
    <w:p w14:paraId="76174599" w14:textId="77777777" w:rsidR="004B163C" w:rsidRPr="004B163C" w:rsidRDefault="004B163C" w:rsidP="00AD6CD3">
      <w:pPr>
        <w:numPr>
          <w:ilvl w:val="1"/>
          <w:numId w:val="28"/>
        </w:numPr>
        <w:contextualSpacing/>
        <w:jc w:val="both"/>
        <w:rPr>
          <w:rFonts w:eastAsia="MS Mincho"/>
          <w:b/>
          <w:sz w:val="24"/>
          <w:szCs w:val="24"/>
          <w:lang w:val="fr-FR"/>
        </w:rPr>
      </w:pPr>
      <w:bookmarkStart w:id="56" w:name="_Toc355714596"/>
      <w:bookmarkStart w:id="57" w:name="_Toc355173682"/>
      <w:r w:rsidRPr="004B163C">
        <w:rPr>
          <w:rFonts w:eastAsia="MS Mincho"/>
          <w:b/>
          <w:sz w:val="24"/>
          <w:szCs w:val="24"/>
          <w:lang w:val="fr-FR"/>
        </w:rPr>
        <w:t>Conditions (procédures) pour les décaissements</w:t>
      </w:r>
      <w:bookmarkEnd w:id="56"/>
      <w:bookmarkEnd w:id="57"/>
    </w:p>
    <w:p w14:paraId="75D5F557" w14:textId="77777777" w:rsidR="006E6542" w:rsidRDefault="006E6542" w:rsidP="00CB07DA">
      <w:pPr>
        <w:jc w:val="both"/>
        <w:rPr>
          <w:sz w:val="24"/>
          <w:szCs w:val="24"/>
          <w:lang w:val="fr-FR"/>
        </w:rPr>
      </w:pPr>
    </w:p>
    <w:p w14:paraId="2C320710" w14:textId="140B119B" w:rsidR="00CB07DA" w:rsidRPr="007278E9" w:rsidRDefault="00CB07DA" w:rsidP="00CB07DA">
      <w:pPr>
        <w:jc w:val="both"/>
        <w:rPr>
          <w:sz w:val="24"/>
          <w:szCs w:val="24"/>
          <w:lang w:val="fr-FR"/>
        </w:rPr>
      </w:pPr>
      <w:r w:rsidRPr="007278E9">
        <w:rPr>
          <w:sz w:val="24"/>
          <w:szCs w:val="24"/>
          <w:lang w:val="fr-FR"/>
        </w:rPr>
        <w:t>Avant de recevoir de la Banque tout décaissement, il faudra</w:t>
      </w:r>
      <w:r w:rsidR="00FA183E">
        <w:rPr>
          <w:sz w:val="24"/>
          <w:szCs w:val="24"/>
          <w:lang w:val="fr-FR"/>
        </w:rPr>
        <w:t xml:space="preserve"> </w:t>
      </w:r>
      <w:r w:rsidRPr="007278E9">
        <w:rPr>
          <w:sz w:val="24"/>
          <w:szCs w:val="24"/>
          <w:lang w:val="fr-FR"/>
        </w:rPr>
        <w:t>:</w:t>
      </w:r>
    </w:p>
    <w:p w14:paraId="1645BF6A" w14:textId="77777777" w:rsidR="00CB07DA" w:rsidRPr="007278E9" w:rsidRDefault="00CB07DA" w:rsidP="00CB07DA">
      <w:pPr>
        <w:jc w:val="both"/>
        <w:rPr>
          <w:sz w:val="24"/>
          <w:szCs w:val="24"/>
          <w:lang w:val="fr-FR"/>
        </w:rPr>
      </w:pPr>
    </w:p>
    <w:p w14:paraId="0CCD0DBE" w14:textId="1F9126B5" w:rsidR="00CB07DA" w:rsidRPr="007278E9" w:rsidRDefault="00FA183E" w:rsidP="00CB07DA">
      <w:pPr>
        <w:numPr>
          <w:ilvl w:val="0"/>
          <w:numId w:val="45"/>
        </w:numPr>
        <w:ind w:left="1350"/>
        <w:contextualSpacing/>
        <w:jc w:val="both"/>
        <w:rPr>
          <w:sz w:val="24"/>
          <w:szCs w:val="24"/>
          <w:lang w:val="fr-FR"/>
        </w:rPr>
      </w:pPr>
      <w:r w:rsidRPr="007278E9">
        <w:rPr>
          <w:sz w:val="24"/>
          <w:szCs w:val="24"/>
          <w:lang w:val="fr-FR"/>
        </w:rPr>
        <w:t>Q</w:t>
      </w:r>
      <w:r w:rsidR="00CB07DA" w:rsidRPr="007278E9">
        <w:rPr>
          <w:sz w:val="24"/>
          <w:szCs w:val="24"/>
          <w:lang w:val="fr-FR"/>
        </w:rPr>
        <w:t>ue</w:t>
      </w:r>
      <w:r>
        <w:rPr>
          <w:sz w:val="24"/>
          <w:szCs w:val="24"/>
          <w:lang w:val="fr-FR"/>
        </w:rPr>
        <w:t xml:space="preserve"> </w:t>
      </w:r>
      <w:r w:rsidR="00CB07DA">
        <w:rPr>
          <w:sz w:val="24"/>
          <w:szCs w:val="24"/>
          <w:lang w:val="fr-FR"/>
        </w:rPr>
        <w:t>UCP-MEF</w:t>
      </w:r>
      <w:r w:rsidR="00CB07DA" w:rsidRPr="007278E9">
        <w:rPr>
          <w:sz w:val="24"/>
          <w:szCs w:val="24"/>
          <w:lang w:val="fr-FR"/>
        </w:rPr>
        <w:t xml:space="preserve"> ait ouvert et maintienne ouvert un ou plusieurs comptes bancaires </w:t>
      </w:r>
      <w:r w:rsidR="00CB07DA" w:rsidRPr="00F13071">
        <w:rPr>
          <w:sz w:val="24"/>
          <w:szCs w:val="24"/>
          <w:lang w:val="fr-FR"/>
        </w:rPr>
        <w:t>dans une institution financière dans laquelle la Banque fera les décaissements de la Contribution</w:t>
      </w:r>
      <w:r w:rsidR="00CB07DA" w:rsidRPr="007278E9">
        <w:rPr>
          <w:sz w:val="24"/>
          <w:szCs w:val="24"/>
          <w:lang w:val="fr-FR"/>
        </w:rPr>
        <w:t xml:space="preserve"> soient un compte en dollars américains USD et un compte en gourdes haïtiennes HTG si </w:t>
      </w:r>
      <w:r w:rsidR="00CB07DA">
        <w:rPr>
          <w:sz w:val="24"/>
          <w:szCs w:val="24"/>
          <w:lang w:val="fr-FR"/>
        </w:rPr>
        <w:t>nécessaire</w:t>
      </w:r>
      <w:r>
        <w:rPr>
          <w:sz w:val="24"/>
          <w:szCs w:val="24"/>
          <w:lang w:val="fr-FR"/>
        </w:rPr>
        <w:t xml:space="preserve"> </w:t>
      </w:r>
      <w:r w:rsidR="00CB07DA" w:rsidRPr="007278E9">
        <w:rPr>
          <w:sz w:val="24"/>
          <w:szCs w:val="24"/>
          <w:lang w:val="fr-FR"/>
        </w:rPr>
        <w:t xml:space="preserve">; et </w:t>
      </w:r>
    </w:p>
    <w:p w14:paraId="3194E966" w14:textId="77777777" w:rsidR="00CB07DA" w:rsidRPr="007278E9" w:rsidRDefault="00CB07DA" w:rsidP="00CB07DA">
      <w:pPr>
        <w:ind w:left="1350"/>
        <w:jc w:val="both"/>
        <w:rPr>
          <w:sz w:val="24"/>
          <w:szCs w:val="24"/>
          <w:lang w:val="fr-FR"/>
        </w:rPr>
      </w:pPr>
    </w:p>
    <w:p w14:paraId="38CAAA73" w14:textId="31B85A02" w:rsidR="00CB07DA" w:rsidRPr="007278E9" w:rsidRDefault="00FA183E" w:rsidP="00CB07DA">
      <w:pPr>
        <w:numPr>
          <w:ilvl w:val="0"/>
          <w:numId w:val="45"/>
        </w:numPr>
        <w:ind w:left="1350"/>
        <w:contextualSpacing/>
        <w:jc w:val="both"/>
        <w:rPr>
          <w:sz w:val="24"/>
          <w:szCs w:val="24"/>
          <w:lang w:val="fr-FR"/>
        </w:rPr>
      </w:pPr>
      <w:r w:rsidRPr="007278E9">
        <w:rPr>
          <w:sz w:val="24"/>
          <w:szCs w:val="24"/>
          <w:lang w:val="fr-FR"/>
        </w:rPr>
        <w:t>Qu’aucune</w:t>
      </w:r>
      <w:r w:rsidR="00CB07DA" w:rsidRPr="007278E9">
        <w:rPr>
          <w:sz w:val="24"/>
          <w:szCs w:val="24"/>
          <w:lang w:val="fr-FR"/>
        </w:rPr>
        <w:t xml:space="preserve"> des circonstances décrites à </w:t>
      </w:r>
      <w:r w:rsidR="00CB07DA" w:rsidRPr="00C03882">
        <w:rPr>
          <w:sz w:val="24"/>
          <w:szCs w:val="24"/>
          <w:lang w:val="fr-FR"/>
        </w:rPr>
        <w:t xml:space="preserve">l’Article </w:t>
      </w:r>
      <w:r w:rsidR="00CB07DA" w:rsidRPr="006603E9">
        <w:rPr>
          <w:sz w:val="24"/>
          <w:szCs w:val="24"/>
          <w:lang w:val="fr-FR"/>
        </w:rPr>
        <w:t>5.01</w:t>
      </w:r>
      <w:r w:rsidR="00CB07DA" w:rsidRPr="00C03882">
        <w:rPr>
          <w:sz w:val="24"/>
          <w:szCs w:val="24"/>
          <w:lang w:val="fr-FR"/>
        </w:rPr>
        <w:t xml:space="preserve"> des</w:t>
      </w:r>
      <w:r w:rsidR="00CB07DA" w:rsidRPr="007278E9">
        <w:rPr>
          <w:sz w:val="24"/>
          <w:szCs w:val="24"/>
          <w:lang w:val="fr-FR"/>
        </w:rPr>
        <w:t xml:space="preserve"> Normes Générales de l’Accord de Don ne se soit produite.</w:t>
      </w:r>
    </w:p>
    <w:p w14:paraId="51F9C0B0" w14:textId="77777777" w:rsidR="00CB07DA" w:rsidRPr="007278E9" w:rsidRDefault="00CB07DA" w:rsidP="00CB07DA">
      <w:pPr>
        <w:ind w:left="1350"/>
        <w:contextualSpacing/>
        <w:jc w:val="both"/>
        <w:rPr>
          <w:sz w:val="24"/>
          <w:szCs w:val="24"/>
          <w:lang w:val="fr-FR"/>
        </w:rPr>
      </w:pPr>
    </w:p>
    <w:p w14:paraId="756201A4" w14:textId="7FB7ABB8" w:rsidR="00CB07DA" w:rsidRPr="007278E9" w:rsidRDefault="00FA183E" w:rsidP="00CB07DA">
      <w:pPr>
        <w:numPr>
          <w:ilvl w:val="0"/>
          <w:numId w:val="45"/>
        </w:numPr>
        <w:ind w:left="1350"/>
        <w:contextualSpacing/>
        <w:jc w:val="both"/>
        <w:rPr>
          <w:sz w:val="24"/>
          <w:szCs w:val="24"/>
          <w:lang w:val="fr-FR"/>
        </w:rPr>
      </w:pPr>
      <w:r>
        <w:rPr>
          <w:sz w:val="24"/>
          <w:szCs w:val="24"/>
          <w:lang w:val="fr-FR"/>
        </w:rPr>
        <w:t>Q</w:t>
      </w:r>
      <w:r w:rsidR="00CB07DA">
        <w:rPr>
          <w:sz w:val="24"/>
          <w:szCs w:val="24"/>
          <w:lang w:val="fr-FR"/>
        </w:rPr>
        <w:t>ue</w:t>
      </w:r>
      <w:r>
        <w:rPr>
          <w:sz w:val="24"/>
          <w:szCs w:val="24"/>
          <w:lang w:val="fr-FR"/>
        </w:rPr>
        <w:t xml:space="preserve"> </w:t>
      </w:r>
      <w:r w:rsidR="00CB07DA">
        <w:rPr>
          <w:sz w:val="24"/>
          <w:szCs w:val="24"/>
          <w:lang w:val="fr-FR"/>
        </w:rPr>
        <w:t>U</w:t>
      </w:r>
      <w:r w:rsidR="005E53CD">
        <w:rPr>
          <w:sz w:val="24"/>
          <w:szCs w:val="24"/>
          <w:lang w:val="fr-FR"/>
        </w:rPr>
        <w:t>C</w:t>
      </w:r>
      <w:r w:rsidR="00CB07DA">
        <w:rPr>
          <w:sz w:val="24"/>
          <w:szCs w:val="24"/>
          <w:lang w:val="fr-FR"/>
        </w:rPr>
        <w:t>P-MEF</w:t>
      </w:r>
      <w:r w:rsidR="00CB07DA" w:rsidRPr="007278E9">
        <w:rPr>
          <w:sz w:val="24"/>
          <w:szCs w:val="24"/>
          <w:lang w:val="fr-FR"/>
        </w:rPr>
        <w:t xml:space="preserve"> ait présenté par écrit, ou par l’intermédiaire de moyens électroniques, dont la forme et conditions ont été spécifiés par la Banque, une demande de décaissement et fourni à la Banque, à l’appui de ladite demande, les </w:t>
      </w:r>
      <w:r w:rsidR="00CB07DA" w:rsidRPr="007278E9">
        <w:rPr>
          <w:sz w:val="24"/>
          <w:szCs w:val="24"/>
          <w:lang w:val="fr-FR"/>
        </w:rPr>
        <w:lastRenderedPageBreak/>
        <w:t xml:space="preserve">documents pertinents et autres pièces que celle-ci </w:t>
      </w:r>
      <w:r w:rsidR="00CB07DA">
        <w:rPr>
          <w:sz w:val="24"/>
          <w:szCs w:val="24"/>
          <w:lang w:val="fr-FR"/>
        </w:rPr>
        <w:t>peu</w:t>
      </w:r>
      <w:r w:rsidR="00CB07DA" w:rsidRPr="007278E9">
        <w:rPr>
          <w:sz w:val="24"/>
          <w:szCs w:val="24"/>
          <w:lang w:val="fr-FR"/>
        </w:rPr>
        <w:t>t lui avoir demandés</w:t>
      </w:r>
      <w:r>
        <w:rPr>
          <w:sz w:val="24"/>
          <w:szCs w:val="24"/>
          <w:lang w:val="fr-FR"/>
        </w:rPr>
        <w:t xml:space="preserve"> </w:t>
      </w:r>
      <w:r w:rsidR="00CB07DA" w:rsidRPr="007278E9">
        <w:rPr>
          <w:sz w:val="24"/>
          <w:szCs w:val="24"/>
          <w:lang w:val="fr-FR"/>
        </w:rPr>
        <w:t xml:space="preserve">; (Voir Annexe pour exemple de Requête de Décaissement). </w:t>
      </w:r>
    </w:p>
    <w:p w14:paraId="4BE5EB63" w14:textId="77777777" w:rsidR="00CB07DA" w:rsidRPr="007278E9" w:rsidRDefault="00CB07DA" w:rsidP="00CB07DA">
      <w:pPr>
        <w:ind w:left="720"/>
        <w:contextualSpacing/>
        <w:jc w:val="both"/>
        <w:rPr>
          <w:sz w:val="24"/>
          <w:szCs w:val="24"/>
          <w:lang w:val="fr-FR"/>
        </w:rPr>
      </w:pPr>
    </w:p>
    <w:p w14:paraId="4E8403B7" w14:textId="4443ABAD" w:rsidR="00CB07DA" w:rsidRPr="007278E9" w:rsidRDefault="00CB07DA" w:rsidP="00CB07DA">
      <w:pPr>
        <w:ind w:left="990"/>
        <w:jc w:val="both"/>
        <w:rPr>
          <w:sz w:val="24"/>
          <w:szCs w:val="24"/>
          <w:lang w:val="fr-FR"/>
        </w:rPr>
      </w:pPr>
      <w:r w:rsidRPr="00F13071">
        <w:rPr>
          <w:sz w:val="24"/>
          <w:szCs w:val="24"/>
          <w:lang w:val="fr-FR"/>
        </w:rPr>
        <w:t>La Banque pourra procéder à des décaissements sur les ressources de la Contribution</w:t>
      </w:r>
      <w:r w:rsidR="00FA183E">
        <w:rPr>
          <w:sz w:val="24"/>
          <w:szCs w:val="24"/>
          <w:lang w:val="fr-FR"/>
        </w:rPr>
        <w:t xml:space="preserve"> </w:t>
      </w:r>
      <w:r w:rsidRPr="00F13071">
        <w:rPr>
          <w:sz w:val="24"/>
          <w:szCs w:val="24"/>
          <w:lang w:val="fr-FR"/>
        </w:rPr>
        <w:t>:</w:t>
      </w:r>
    </w:p>
    <w:p w14:paraId="398F59A6" w14:textId="77777777" w:rsidR="00CB07DA" w:rsidRPr="007278E9" w:rsidRDefault="00CB07DA" w:rsidP="00CB07DA">
      <w:pPr>
        <w:ind w:left="900"/>
        <w:jc w:val="both"/>
        <w:rPr>
          <w:sz w:val="24"/>
          <w:szCs w:val="24"/>
          <w:lang w:val="fr-FR"/>
        </w:rPr>
      </w:pPr>
    </w:p>
    <w:p w14:paraId="4B6F0ACC" w14:textId="5F06CB54" w:rsidR="00CB07DA" w:rsidRPr="007278E9" w:rsidRDefault="00FA183E" w:rsidP="00CB07DA">
      <w:pPr>
        <w:numPr>
          <w:ilvl w:val="0"/>
          <w:numId w:val="46"/>
        </w:numPr>
        <w:ind w:left="1350"/>
        <w:contextualSpacing/>
        <w:jc w:val="both"/>
        <w:rPr>
          <w:sz w:val="24"/>
          <w:szCs w:val="24"/>
          <w:lang w:val="fr-FR"/>
        </w:rPr>
      </w:pPr>
      <w:r w:rsidRPr="007278E9">
        <w:rPr>
          <w:sz w:val="24"/>
          <w:szCs w:val="24"/>
          <w:lang w:val="fr-FR"/>
        </w:rPr>
        <w:t>En</w:t>
      </w:r>
      <w:r w:rsidR="00CB07DA" w:rsidRPr="007278E9">
        <w:rPr>
          <w:sz w:val="24"/>
          <w:szCs w:val="24"/>
          <w:lang w:val="fr-FR"/>
        </w:rPr>
        <w:t xml:space="preserve"> virant directement au Bénéficiaire les sommes auxquelles il a droit d’après cet Accord et conformément aux modalités de remboursement des dépenses et d’avance de fonds. </w:t>
      </w:r>
    </w:p>
    <w:p w14:paraId="7DFE179C" w14:textId="77777777" w:rsidR="00CB07DA" w:rsidRPr="007278E9" w:rsidRDefault="00CB07DA" w:rsidP="00CB07DA">
      <w:pPr>
        <w:ind w:left="1350"/>
        <w:contextualSpacing/>
        <w:jc w:val="both"/>
        <w:rPr>
          <w:sz w:val="24"/>
          <w:szCs w:val="24"/>
          <w:lang w:val="fr-FR"/>
        </w:rPr>
      </w:pPr>
    </w:p>
    <w:p w14:paraId="17DCC445" w14:textId="60A640F9" w:rsidR="00CB07DA" w:rsidRPr="0005417A" w:rsidRDefault="00FA183E" w:rsidP="00CB07DA">
      <w:pPr>
        <w:numPr>
          <w:ilvl w:val="0"/>
          <w:numId w:val="46"/>
        </w:numPr>
        <w:ind w:left="1350"/>
        <w:contextualSpacing/>
        <w:jc w:val="both"/>
        <w:rPr>
          <w:sz w:val="24"/>
          <w:szCs w:val="24"/>
          <w:lang w:val="fr-FR"/>
        </w:rPr>
      </w:pPr>
      <w:r w:rsidRPr="0005417A">
        <w:rPr>
          <w:sz w:val="24"/>
          <w:szCs w:val="24"/>
          <w:lang w:val="fr-FR"/>
        </w:rPr>
        <w:t>En</w:t>
      </w:r>
      <w:r w:rsidR="00CB07DA" w:rsidRPr="0005417A">
        <w:rPr>
          <w:sz w:val="24"/>
          <w:szCs w:val="24"/>
          <w:lang w:val="fr-FR"/>
        </w:rPr>
        <w:t xml:space="preserve"> effectuant </w:t>
      </w:r>
      <w:r w:rsidR="00CB07DA" w:rsidRPr="005C7DD5">
        <w:rPr>
          <w:sz w:val="24"/>
          <w:szCs w:val="24"/>
          <w:lang w:val="fr-FR"/>
        </w:rPr>
        <w:t xml:space="preserve">sur instruction formelle </w:t>
      </w:r>
      <w:r w:rsidR="00CB07DA">
        <w:rPr>
          <w:sz w:val="24"/>
          <w:szCs w:val="24"/>
          <w:lang w:val="fr-FR"/>
        </w:rPr>
        <w:t>écrites du Bénéficiaire soit l’OMRH</w:t>
      </w:r>
      <w:r w:rsidR="00CB07DA" w:rsidRPr="005C7DD5">
        <w:rPr>
          <w:sz w:val="24"/>
          <w:szCs w:val="24"/>
          <w:lang w:val="fr-FR"/>
        </w:rPr>
        <w:t xml:space="preserve"> ou le MEF </w:t>
      </w:r>
      <w:r w:rsidR="00CB07DA" w:rsidRPr="0005417A">
        <w:rPr>
          <w:sz w:val="24"/>
          <w:szCs w:val="24"/>
          <w:lang w:val="fr-FR"/>
        </w:rPr>
        <w:t>des paiements à des tiers au compte du Bénéficiaire</w:t>
      </w:r>
      <w:r>
        <w:rPr>
          <w:sz w:val="24"/>
          <w:szCs w:val="24"/>
          <w:lang w:val="fr-FR"/>
        </w:rPr>
        <w:t xml:space="preserve"> </w:t>
      </w:r>
      <w:r w:rsidR="00CB07DA" w:rsidRPr="0005417A">
        <w:rPr>
          <w:sz w:val="24"/>
          <w:szCs w:val="24"/>
          <w:lang w:val="fr-FR"/>
        </w:rPr>
        <w:t xml:space="preserve">; et </w:t>
      </w:r>
    </w:p>
    <w:p w14:paraId="0B6243A4" w14:textId="77777777" w:rsidR="00CB07DA" w:rsidRPr="007278E9" w:rsidRDefault="00CB07DA" w:rsidP="00CB07DA">
      <w:pPr>
        <w:ind w:left="1350"/>
        <w:contextualSpacing/>
        <w:jc w:val="both"/>
        <w:rPr>
          <w:sz w:val="24"/>
          <w:szCs w:val="24"/>
          <w:lang w:val="fr-FR"/>
        </w:rPr>
      </w:pPr>
    </w:p>
    <w:p w14:paraId="53C9A35F" w14:textId="20D68482" w:rsidR="00CB07DA" w:rsidRPr="007278E9" w:rsidRDefault="00FA183E" w:rsidP="00CB07DA">
      <w:pPr>
        <w:numPr>
          <w:ilvl w:val="0"/>
          <w:numId w:val="46"/>
        </w:numPr>
        <w:ind w:left="1350"/>
        <w:contextualSpacing/>
        <w:jc w:val="both"/>
        <w:rPr>
          <w:sz w:val="24"/>
          <w:szCs w:val="24"/>
          <w:lang w:val="fr-FR"/>
        </w:rPr>
      </w:pPr>
      <w:r w:rsidRPr="007278E9">
        <w:rPr>
          <w:sz w:val="24"/>
          <w:szCs w:val="24"/>
          <w:lang w:val="fr-FR"/>
        </w:rPr>
        <w:t>Par</w:t>
      </w:r>
      <w:r w:rsidR="00CB07DA" w:rsidRPr="007278E9">
        <w:rPr>
          <w:sz w:val="24"/>
          <w:szCs w:val="24"/>
          <w:lang w:val="fr-FR"/>
        </w:rPr>
        <w:t xml:space="preserve"> toute autre méthode dont les parties conviennent par écrit. Tous les frais bancaires au titre des décaissem</w:t>
      </w:r>
      <w:r w:rsidR="00CB07DA">
        <w:rPr>
          <w:sz w:val="24"/>
          <w:szCs w:val="24"/>
          <w:lang w:val="fr-FR"/>
        </w:rPr>
        <w:t>ents sont à la charge de l’UCP</w:t>
      </w:r>
      <w:r w:rsidR="00CB07DA" w:rsidRPr="007278E9">
        <w:rPr>
          <w:sz w:val="24"/>
          <w:szCs w:val="24"/>
          <w:lang w:val="fr-FR"/>
        </w:rPr>
        <w:t>. A moins que les parties n’en conviennent autrement, les décaissements ne seront jamais inférieurs à la contre-valeur de cinquante mille dollars des États-Unis d’Amérique (US$50.000) chacun.</w:t>
      </w:r>
    </w:p>
    <w:p w14:paraId="798D6793" w14:textId="77777777" w:rsidR="00CB07DA" w:rsidRPr="007278E9" w:rsidRDefault="00CB07DA" w:rsidP="00CB07DA">
      <w:pPr>
        <w:ind w:left="720"/>
        <w:contextualSpacing/>
        <w:jc w:val="both"/>
        <w:rPr>
          <w:sz w:val="24"/>
          <w:szCs w:val="24"/>
          <w:lang w:val="fr-FR"/>
        </w:rPr>
      </w:pPr>
    </w:p>
    <w:p w14:paraId="40CB5A1A" w14:textId="651770D0" w:rsidR="004B163C" w:rsidRPr="004B163C" w:rsidRDefault="004B163C" w:rsidP="00AD6CD3">
      <w:pPr>
        <w:numPr>
          <w:ilvl w:val="1"/>
          <w:numId w:val="28"/>
        </w:numPr>
        <w:contextualSpacing/>
        <w:jc w:val="both"/>
        <w:rPr>
          <w:rFonts w:eastAsia="MS Mincho"/>
          <w:b/>
          <w:sz w:val="24"/>
          <w:szCs w:val="24"/>
          <w:lang w:val="fr-FR"/>
        </w:rPr>
      </w:pPr>
      <w:bookmarkStart w:id="58" w:name="_Toc355714597"/>
      <w:bookmarkStart w:id="59" w:name="_Toc355173683"/>
      <w:r w:rsidRPr="004B163C">
        <w:rPr>
          <w:rFonts w:eastAsia="MS Mincho"/>
          <w:b/>
          <w:sz w:val="24"/>
          <w:szCs w:val="24"/>
          <w:lang w:val="fr-FR"/>
        </w:rPr>
        <w:t>Décaissement pour remboursement des frais</w:t>
      </w:r>
      <w:bookmarkEnd w:id="58"/>
      <w:bookmarkEnd w:id="59"/>
      <w:r w:rsidR="00FA183E">
        <w:rPr>
          <w:rFonts w:eastAsia="MS Mincho"/>
          <w:b/>
          <w:sz w:val="24"/>
          <w:szCs w:val="24"/>
          <w:lang w:val="fr-FR"/>
        </w:rPr>
        <w:t xml:space="preserve"> </w:t>
      </w:r>
      <w:r w:rsidRPr="004B163C">
        <w:rPr>
          <w:rFonts w:eastAsia="MS Mincho"/>
          <w:b/>
          <w:sz w:val="24"/>
          <w:szCs w:val="24"/>
          <w:lang w:val="fr-FR"/>
        </w:rPr>
        <w:t>:</w:t>
      </w:r>
    </w:p>
    <w:p w14:paraId="544C8045" w14:textId="77777777" w:rsidR="00A06E1B" w:rsidRDefault="00A06E1B" w:rsidP="00720B8F">
      <w:pPr>
        <w:pStyle w:val="ColorfulList-Accent111"/>
        <w:ind w:left="540"/>
        <w:jc w:val="both"/>
        <w:rPr>
          <w:sz w:val="24"/>
          <w:szCs w:val="24"/>
          <w:lang w:val="fr-FR"/>
        </w:rPr>
      </w:pPr>
    </w:p>
    <w:p w14:paraId="15E1B554" w14:textId="4F4FCC07" w:rsidR="00A06E1B" w:rsidRDefault="00CB07DA" w:rsidP="00720B8F">
      <w:pPr>
        <w:pStyle w:val="ColorfulList-Accent111"/>
        <w:ind w:left="540"/>
        <w:jc w:val="both"/>
        <w:rPr>
          <w:rFonts w:eastAsia="Times New Roman"/>
          <w:b/>
          <w:bCs/>
          <w:color w:val="17365D"/>
          <w:sz w:val="24"/>
          <w:szCs w:val="24"/>
          <w:lang w:val="fr-FR"/>
        </w:rPr>
      </w:pPr>
      <w:r w:rsidRPr="007278E9">
        <w:rPr>
          <w:sz w:val="24"/>
          <w:szCs w:val="24"/>
          <w:lang w:val="fr-FR"/>
        </w:rPr>
        <w:t xml:space="preserve">Une fois réalisées les conditions préalables au premier décaissement la Banque pourra effectuer le décaissement des ressources de la Contribution pour rembourser </w:t>
      </w:r>
      <w:r>
        <w:rPr>
          <w:sz w:val="24"/>
          <w:szCs w:val="24"/>
          <w:lang w:val="fr-FR"/>
        </w:rPr>
        <w:t>aux UEP</w:t>
      </w:r>
      <w:r w:rsidRPr="007278E9">
        <w:rPr>
          <w:sz w:val="24"/>
          <w:szCs w:val="24"/>
          <w:lang w:val="fr-FR"/>
        </w:rPr>
        <w:t xml:space="preserve"> les dépenses éligibles effectuées pour l’exécution du Projet, conformément aux dispositions du présent Accord.</w:t>
      </w:r>
    </w:p>
    <w:p w14:paraId="0EF61E54" w14:textId="77777777" w:rsidR="00CB07DA" w:rsidRPr="007278E9" w:rsidRDefault="00CB07DA" w:rsidP="00CB07DA">
      <w:pPr>
        <w:pStyle w:val="ColorfulList-Accent111"/>
        <w:ind w:left="540"/>
        <w:jc w:val="both"/>
        <w:rPr>
          <w:rFonts w:eastAsia="Times New Roman"/>
          <w:b/>
          <w:bCs/>
          <w:color w:val="17365D"/>
          <w:sz w:val="24"/>
          <w:szCs w:val="24"/>
          <w:lang w:val="fr-FR"/>
        </w:rPr>
      </w:pPr>
    </w:p>
    <w:p w14:paraId="12F62295" w14:textId="77777777" w:rsidR="00A06E1B" w:rsidRDefault="00CB07DA" w:rsidP="00720B8F">
      <w:pPr>
        <w:pStyle w:val="ColorfulList-Accent111"/>
        <w:ind w:left="540"/>
        <w:jc w:val="both"/>
        <w:rPr>
          <w:rFonts w:eastAsia="Times New Roman"/>
          <w:b/>
          <w:bCs/>
          <w:color w:val="17365D"/>
          <w:sz w:val="24"/>
          <w:szCs w:val="24"/>
          <w:lang w:val="fr-FR"/>
        </w:rPr>
      </w:pPr>
      <w:r w:rsidRPr="007278E9">
        <w:rPr>
          <w:sz w:val="24"/>
          <w:szCs w:val="24"/>
          <w:lang w:val="fr-FR"/>
        </w:rPr>
        <w:t xml:space="preserve">Sauf accord exprès entre les parties, les demandes de décaissement pour rembourser les frais engagés par le Bénéficiaire ou l’Organisme d’Exécution, selon le cas, en accord avec le point (a) précédent, devront être soumises dans les meilleurs délais, à mesure que le Bénéficiaire ou l’Organisme d’Exécution encourt lesdites dépenses ou, au plus tard, dans les soixante (60) jours calendaires qui suivent la fin de chaque semestre ou dans tout autre délai convenu par les parties. </w:t>
      </w:r>
    </w:p>
    <w:p w14:paraId="07996C19" w14:textId="77777777" w:rsidR="00A06E1B" w:rsidRDefault="00CB07DA" w:rsidP="00720B8F">
      <w:pPr>
        <w:pStyle w:val="ColorfulList-Accent111"/>
        <w:ind w:left="540"/>
        <w:jc w:val="both"/>
        <w:rPr>
          <w:rFonts w:eastAsia="Times New Roman"/>
          <w:b/>
          <w:bCs/>
          <w:color w:val="17365D"/>
          <w:sz w:val="24"/>
          <w:szCs w:val="24"/>
          <w:lang w:val="fr-FR"/>
        </w:rPr>
      </w:pPr>
      <w:r w:rsidRPr="007278E9">
        <w:rPr>
          <w:sz w:val="24"/>
          <w:szCs w:val="24"/>
          <w:lang w:val="fr-FR"/>
        </w:rPr>
        <w:t>Sauf mention contraire de la Banque, que les demandes soient présentées au plus tard trente (30) jours civils avant la date d’expiration du délai applicable aux décaissements ou de la prorogation de celui-ci, que le Bénéficiaire et la Banque auront convenu par écrit</w:t>
      </w:r>
    </w:p>
    <w:p w14:paraId="23D4B6E0" w14:textId="77777777" w:rsidR="004B163C" w:rsidRPr="004B163C" w:rsidRDefault="004B163C" w:rsidP="004B163C">
      <w:pPr>
        <w:ind w:left="540"/>
        <w:contextualSpacing/>
        <w:jc w:val="both"/>
        <w:rPr>
          <w:rFonts w:eastAsia="Times New Roman"/>
          <w:b/>
          <w:bCs/>
          <w:color w:val="17365D"/>
          <w:sz w:val="24"/>
          <w:szCs w:val="24"/>
          <w:lang w:val="fr-FR"/>
        </w:rPr>
      </w:pPr>
    </w:p>
    <w:p w14:paraId="32788744" w14:textId="77777777" w:rsidR="004B163C" w:rsidRPr="004B163C" w:rsidRDefault="004B163C" w:rsidP="004B163C">
      <w:pPr>
        <w:ind w:left="900"/>
        <w:jc w:val="both"/>
        <w:rPr>
          <w:rFonts w:eastAsia="MS Mincho"/>
          <w:sz w:val="24"/>
          <w:szCs w:val="24"/>
          <w:lang w:val="fr-FR"/>
        </w:rPr>
      </w:pPr>
    </w:p>
    <w:p w14:paraId="54EA1804" w14:textId="43531B09" w:rsidR="004B163C" w:rsidRDefault="004B163C" w:rsidP="00AD6CD3">
      <w:pPr>
        <w:numPr>
          <w:ilvl w:val="1"/>
          <w:numId w:val="28"/>
        </w:numPr>
        <w:contextualSpacing/>
        <w:jc w:val="both"/>
        <w:rPr>
          <w:rFonts w:eastAsia="MS Mincho"/>
          <w:b/>
          <w:sz w:val="24"/>
          <w:szCs w:val="24"/>
          <w:lang w:val="fr-FR"/>
        </w:rPr>
      </w:pPr>
      <w:bookmarkStart w:id="60" w:name="_Toc355714598"/>
      <w:bookmarkStart w:id="61" w:name="_Toc355173684"/>
      <w:r w:rsidRPr="004B163C">
        <w:rPr>
          <w:rFonts w:eastAsia="MS Mincho"/>
          <w:b/>
          <w:sz w:val="24"/>
          <w:szCs w:val="24"/>
          <w:lang w:val="fr-FR"/>
        </w:rPr>
        <w:t>Avance de Fonds</w:t>
      </w:r>
      <w:r w:rsidR="00FA183E">
        <w:rPr>
          <w:rFonts w:eastAsia="MS Mincho"/>
          <w:b/>
          <w:sz w:val="24"/>
          <w:szCs w:val="24"/>
          <w:lang w:val="fr-FR"/>
        </w:rPr>
        <w:t xml:space="preserve"> </w:t>
      </w:r>
      <w:r w:rsidRPr="004B163C">
        <w:rPr>
          <w:rFonts w:eastAsia="MS Mincho"/>
          <w:b/>
          <w:sz w:val="24"/>
          <w:szCs w:val="24"/>
          <w:lang w:val="fr-FR"/>
        </w:rPr>
        <w:t>:</w:t>
      </w:r>
      <w:bookmarkEnd w:id="60"/>
      <w:bookmarkEnd w:id="61"/>
    </w:p>
    <w:p w14:paraId="33A822E7" w14:textId="77777777" w:rsidR="00A06E1B" w:rsidRDefault="00A06E1B" w:rsidP="00720B8F">
      <w:pPr>
        <w:ind w:left="540"/>
        <w:contextualSpacing/>
        <w:jc w:val="both"/>
        <w:rPr>
          <w:rFonts w:eastAsia="MS Mincho"/>
          <w:b/>
          <w:sz w:val="24"/>
          <w:szCs w:val="24"/>
          <w:lang w:val="fr-FR"/>
        </w:rPr>
      </w:pPr>
    </w:p>
    <w:p w14:paraId="544FBC67" w14:textId="144F9A1B" w:rsidR="00CB07DA" w:rsidRDefault="00CB07DA" w:rsidP="00CB07DA">
      <w:pPr>
        <w:numPr>
          <w:ilvl w:val="0"/>
          <w:numId w:val="28"/>
        </w:numPr>
        <w:contextualSpacing/>
        <w:jc w:val="both"/>
        <w:rPr>
          <w:sz w:val="24"/>
          <w:szCs w:val="24"/>
          <w:lang w:val="fr-FR"/>
        </w:rPr>
      </w:pPr>
      <w:r w:rsidRPr="007278E9">
        <w:rPr>
          <w:sz w:val="24"/>
          <w:szCs w:val="24"/>
          <w:lang w:val="fr-FR"/>
        </w:rPr>
        <w:t xml:space="preserve">Une fois réalisées les conditions préalables au premier décaissement la Banque pourra effectuer des décaissements sur les ressources de la Contribution afin d’avancer des ressources </w:t>
      </w:r>
      <w:r w:rsidR="00FF0915" w:rsidRPr="007278E9">
        <w:rPr>
          <w:sz w:val="24"/>
          <w:szCs w:val="24"/>
          <w:lang w:val="fr-FR"/>
        </w:rPr>
        <w:t>à</w:t>
      </w:r>
      <w:r w:rsidRPr="007278E9">
        <w:rPr>
          <w:sz w:val="24"/>
          <w:szCs w:val="24"/>
          <w:lang w:val="fr-FR"/>
        </w:rPr>
        <w:t xml:space="preserve"> l</w:t>
      </w:r>
      <w:r>
        <w:rPr>
          <w:sz w:val="24"/>
          <w:szCs w:val="24"/>
          <w:lang w:val="fr-FR"/>
        </w:rPr>
        <w:t>’UCP-MEF</w:t>
      </w:r>
      <w:r w:rsidRPr="007278E9">
        <w:rPr>
          <w:sz w:val="24"/>
          <w:szCs w:val="24"/>
          <w:lang w:val="fr-FR"/>
        </w:rPr>
        <w:t>, selon le cas, pour couvrir les dépenses éligibles du Projet.</w:t>
      </w:r>
    </w:p>
    <w:p w14:paraId="11FB9602" w14:textId="77777777" w:rsidR="00A06E1B" w:rsidRDefault="00A06E1B" w:rsidP="00720B8F">
      <w:pPr>
        <w:ind w:left="720"/>
        <w:contextualSpacing/>
        <w:jc w:val="both"/>
        <w:rPr>
          <w:sz w:val="24"/>
          <w:szCs w:val="24"/>
          <w:lang w:val="fr-FR"/>
        </w:rPr>
      </w:pPr>
    </w:p>
    <w:p w14:paraId="7BB6955A" w14:textId="77777777" w:rsidR="00CB07DA" w:rsidRDefault="00CB07DA" w:rsidP="00CB07DA">
      <w:pPr>
        <w:numPr>
          <w:ilvl w:val="0"/>
          <w:numId w:val="28"/>
        </w:numPr>
        <w:contextualSpacing/>
        <w:jc w:val="both"/>
        <w:rPr>
          <w:sz w:val="24"/>
          <w:szCs w:val="24"/>
          <w:lang w:val="fr-FR"/>
        </w:rPr>
      </w:pPr>
      <w:r w:rsidRPr="007278E9">
        <w:rPr>
          <w:sz w:val="24"/>
          <w:szCs w:val="24"/>
          <w:lang w:val="fr-FR"/>
        </w:rPr>
        <w:lastRenderedPageBreak/>
        <w:t xml:space="preserve">Le montant maximum de chaque avance de fonds sera fixé par la Banque à partir des besoins de liquidité du Projet pour couvrir les prévisions périodiques de dépenses, conformément au point (a) précédent. En aucun cas le montant maximum d’une avance de fonds ne pourra excéder la somme nécessaire pour le financement desdites dépenses, pendant une période maximum de </w:t>
      </w:r>
      <w:r w:rsidRPr="007278E9">
        <w:rPr>
          <w:b/>
          <w:sz w:val="24"/>
          <w:szCs w:val="24"/>
          <w:lang w:val="fr-FR"/>
        </w:rPr>
        <w:t>six (6) mois</w:t>
      </w:r>
      <w:r w:rsidRPr="007278E9">
        <w:rPr>
          <w:sz w:val="24"/>
          <w:szCs w:val="24"/>
          <w:lang w:val="fr-FR"/>
        </w:rPr>
        <w:t xml:space="preserve">, conformément au calendrier détaillé des investissements, au flux des ressources nécessaires à ces fins et à la capacité démontrée du Bénéficiaire ou l’Organisme d’Exécution, selon le cas, pour utiliser les ressources de la Contribution. </w:t>
      </w:r>
    </w:p>
    <w:p w14:paraId="268C9A9A" w14:textId="77777777" w:rsidR="00A06E1B" w:rsidRDefault="00A06E1B" w:rsidP="00720B8F">
      <w:pPr>
        <w:ind w:left="720"/>
        <w:contextualSpacing/>
        <w:jc w:val="both"/>
        <w:rPr>
          <w:sz w:val="24"/>
          <w:szCs w:val="24"/>
          <w:lang w:val="fr-FR"/>
        </w:rPr>
      </w:pPr>
    </w:p>
    <w:p w14:paraId="7B13D7FD" w14:textId="77777777" w:rsidR="00CB07DA" w:rsidRPr="007278E9" w:rsidRDefault="00CB07DA" w:rsidP="00CB07DA">
      <w:pPr>
        <w:numPr>
          <w:ilvl w:val="0"/>
          <w:numId w:val="28"/>
        </w:numPr>
        <w:contextualSpacing/>
        <w:jc w:val="both"/>
        <w:rPr>
          <w:sz w:val="24"/>
          <w:szCs w:val="24"/>
          <w:lang w:val="fr-FR"/>
        </w:rPr>
      </w:pPr>
      <w:r w:rsidRPr="007278E9">
        <w:rPr>
          <w:sz w:val="24"/>
          <w:szCs w:val="24"/>
          <w:lang w:val="fr-FR"/>
        </w:rPr>
        <w:t xml:space="preserve">La Banque pourra: (i) augmenter le montant maximum d’une avance de fonds en vigueur lorsque apparaîtront des besoins immédiats de liquidité si elle les juge justifiés, et si elle reçoit une sollicitation justifiée et un état des dépenses programmées pour l’exécution du Projet correspondant à la période d’avance de fonds en vigueur; ou (ii) effectuer une nouvelle avance de fonds en se basant sur le point (b) précédent, </w:t>
      </w:r>
      <w:r w:rsidRPr="007278E9">
        <w:rPr>
          <w:b/>
          <w:sz w:val="24"/>
          <w:szCs w:val="24"/>
          <w:lang w:val="fr-FR"/>
        </w:rPr>
        <w:t>lorsqu’auront été justifiés, au minimum, quatre-vingt pour cent (80%) du solde total cumulé des avances de fonds antérieures</w:t>
      </w:r>
      <w:r w:rsidRPr="007278E9">
        <w:rPr>
          <w:sz w:val="24"/>
          <w:szCs w:val="24"/>
          <w:lang w:val="fr-FR"/>
        </w:rPr>
        <w:t xml:space="preserve">. </w:t>
      </w:r>
    </w:p>
    <w:p w14:paraId="43520124" w14:textId="77777777" w:rsidR="00CB07DA" w:rsidRPr="007278E9" w:rsidRDefault="00CB07DA" w:rsidP="00CB07DA">
      <w:pPr>
        <w:ind w:left="1530"/>
        <w:contextualSpacing/>
        <w:jc w:val="both"/>
        <w:rPr>
          <w:sz w:val="24"/>
          <w:szCs w:val="24"/>
          <w:lang w:val="fr-FR"/>
        </w:rPr>
      </w:pPr>
    </w:p>
    <w:p w14:paraId="3C02A236" w14:textId="77777777" w:rsidR="00CB07DA" w:rsidRPr="007278E9" w:rsidRDefault="00CB07DA" w:rsidP="00CB07DA">
      <w:pPr>
        <w:numPr>
          <w:ilvl w:val="0"/>
          <w:numId w:val="28"/>
        </w:numPr>
        <w:contextualSpacing/>
        <w:jc w:val="both"/>
        <w:rPr>
          <w:sz w:val="24"/>
          <w:szCs w:val="24"/>
          <w:lang w:val="fr-FR"/>
        </w:rPr>
      </w:pPr>
      <w:r w:rsidRPr="007278E9">
        <w:rPr>
          <w:sz w:val="24"/>
          <w:szCs w:val="24"/>
          <w:lang w:val="fr-FR"/>
        </w:rPr>
        <w:t xml:space="preserve">La Banque pourra également réduire ou annuler le solde total accumulé des avances de fonds, si elle détermine que les ressources décaissées de la Contribution n’ont pas été utilisées ou justifiées en bonne et due forme et en temps voulu à la Banque, conformément aux dispositions prévues dans le présent Accord. </w:t>
      </w:r>
    </w:p>
    <w:p w14:paraId="4C15CD2E" w14:textId="77777777" w:rsidR="004B163C" w:rsidRPr="004B163C" w:rsidRDefault="004B163C" w:rsidP="004B163C">
      <w:pPr>
        <w:jc w:val="both"/>
        <w:rPr>
          <w:rFonts w:eastAsia="MS Mincho"/>
          <w:sz w:val="24"/>
          <w:szCs w:val="24"/>
          <w:lang w:val="fr-FR"/>
        </w:rPr>
      </w:pPr>
    </w:p>
    <w:p w14:paraId="7B6D3633" w14:textId="77777777" w:rsidR="004B163C" w:rsidRPr="004B163C" w:rsidRDefault="004B163C" w:rsidP="004B163C">
      <w:pPr>
        <w:jc w:val="both"/>
        <w:rPr>
          <w:rFonts w:eastAsia="MS Mincho"/>
          <w:sz w:val="24"/>
          <w:szCs w:val="24"/>
          <w:lang w:val="fr-FR"/>
        </w:rPr>
      </w:pPr>
    </w:p>
    <w:p w14:paraId="27C53039" w14:textId="6640F0B9" w:rsidR="004B163C" w:rsidRPr="004B163C" w:rsidRDefault="004B163C" w:rsidP="00AD6CD3">
      <w:pPr>
        <w:numPr>
          <w:ilvl w:val="1"/>
          <w:numId w:val="28"/>
        </w:numPr>
        <w:contextualSpacing/>
        <w:jc w:val="both"/>
        <w:rPr>
          <w:rFonts w:eastAsia="MS Mincho"/>
          <w:b/>
          <w:sz w:val="24"/>
          <w:szCs w:val="24"/>
          <w:lang w:val="fr-FR"/>
        </w:rPr>
      </w:pPr>
      <w:bookmarkStart w:id="62" w:name="_Toc355714599"/>
      <w:bookmarkStart w:id="63" w:name="_Toc355173685"/>
      <w:r w:rsidRPr="004B163C">
        <w:rPr>
          <w:rFonts w:eastAsia="MS Mincho"/>
          <w:b/>
          <w:sz w:val="24"/>
          <w:szCs w:val="24"/>
          <w:lang w:val="fr-FR"/>
        </w:rPr>
        <w:t>Enregistrement des décaissements</w:t>
      </w:r>
      <w:bookmarkEnd w:id="62"/>
      <w:bookmarkEnd w:id="63"/>
      <w:r w:rsidR="00FA183E">
        <w:rPr>
          <w:rFonts w:eastAsia="MS Mincho"/>
          <w:b/>
          <w:sz w:val="24"/>
          <w:szCs w:val="24"/>
          <w:lang w:val="fr-FR"/>
        </w:rPr>
        <w:t xml:space="preserve"> </w:t>
      </w:r>
      <w:r w:rsidRPr="004B163C">
        <w:rPr>
          <w:rFonts w:eastAsia="MS Mincho"/>
          <w:b/>
          <w:sz w:val="24"/>
          <w:szCs w:val="24"/>
          <w:lang w:val="fr-FR"/>
        </w:rPr>
        <w:t>:</w:t>
      </w:r>
    </w:p>
    <w:p w14:paraId="52D7D18C" w14:textId="77777777" w:rsidR="00CB07DA" w:rsidRPr="007278E9" w:rsidRDefault="00CB07DA" w:rsidP="00CB07DA">
      <w:pPr>
        <w:ind w:left="720"/>
        <w:jc w:val="both"/>
        <w:rPr>
          <w:sz w:val="24"/>
          <w:szCs w:val="24"/>
          <w:lang w:val="fr-FR"/>
        </w:rPr>
      </w:pPr>
    </w:p>
    <w:p w14:paraId="3C8ED5B4" w14:textId="645FDBD8" w:rsidR="00CB07DA" w:rsidRDefault="00CB07DA" w:rsidP="00CB07DA">
      <w:pPr>
        <w:numPr>
          <w:ilvl w:val="0"/>
          <w:numId w:val="49"/>
        </w:numPr>
        <w:ind w:left="1260" w:hanging="450"/>
        <w:contextualSpacing/>
        <w:jc w:val="both"/>
        <w:rPr>
          <w:sz w:val="24"/>
          <w:szCs w:val="24"/>
          <w:lang w:val="fr-FR"/>
        </w:rPr>
      </w:pPr>
      <w:r w:rsidRPr="007278E9">
        <w:rPr>
          <w:bCs/>
          <w:sz w:val="24"/>
          <w:szCs w:val="24"/>
          <w:u w:val="single"/>
          <w:lang w:val="fr-FR"/>
        </w:rPr>
        <w:t>Décaissements</w:t>
      </w:r>
      <w:r w:rsidRPr="007278E9">
        <w:rPr>
          <w:bCs/>
          <w:sz w:val="24"/>
          <w:szCs w:val="24"/>
          <w:lang w:val="fr-FR"/>
        </w:rPr>
        <w:t xml:space="preserve">. </w:t>
      </w:r>
      <w:r w:rsidRPr="007278E9">
        <w:rPr>
          <w:sz w:val="24"/>
          <w:szCs w:val="24"/>
          <w:lang w:val="fr-FR"/>
        </w:rPr>
        <w:t>La contre-valeur en dollars des Etats-Unis d’Amérique d’autres monnaies de change dans lesquelles pourraient se faire les décaissements de la Contribution sera calculée en appliquant le taux de change en vigueur (Référence BRH) sur le marché à la date du décaissement.</w:t>
      </w:r>
    </w:p>
    <w:p w14:paraId="4EA93F2B" w14:textId="77777777" w:rsidR="00A06E1B" w:rsidRDefault="00A06E1B" w:rsidP="00720B8F">
      <w:pPr>
        <w:ind w:left="1260"/>
        <w:contextualSpacing/>
        <w:jc w:val="both"/>
        <w:rPr>
          <w:sz w:val="24"/>
          <w:szCs w:val="24"/>
          <w:lang w:val="fr-FR"/>
        </w:rPr>
      </w:pPr>
    </w:p>
    <w:p w14:paraId="4DE93A39" w14:textId="77777777" w:rsidR="00CB07DA" w:rsidRPr="007278E9" w:rsidRDefault="00CB07DA" w:rsidP="00CB07DA">
      <w:pPr>
        <w:numPr>
          <w:ilvl w:val="0"/>
          <w:numId w:val="49"/>
        </w:numPr>
        <w:ind w:left="1260" w:hanging="450"/>
        <w:contextualSpacing/>
        <w:jc w:val="both"/>
        <w:rPr>
          <w:sz w:val="24"/>
          <w:szCs w:val="24"/>
          <w:lang w:val="fr-FR"/>
        </w:rPr>
      </w:pPr>
      <w:r w:rsidRPr="007278E9">
        <w:rPr>
          <w:sz w:val="24"/>
          <w:szCs w:val="24"/>
          <w:u w:val="single"/>
          <w:lang w:val="fr-FR"/>
        </w:rPr>
        <w:t>Dépenses effectuées</w:t>
      </w:r>
      <w:r w:rsidRPr="007278E9">
        <w:rPr>
          <w:sz w:val="24"/>
          <w:szCs w:val="24"/>
          <w:lang w:val="fr-FR"/>
        </w:rPr>
        <w:t>. La contrevaleur en dollars des Etats-Unis d’Amérique d’une dépense réalisée dans la monnaie du pays du Bénéficiaire sera calculée en utilisant le même taux de change que celui utilisé pour la conversion des ressources décaissées dans la monnaie de la Contribution en Gourdes.</w:t>
      </w:r>
    </w:p>
    <w:p w14:paraId="076B823D" w14:textId="77777777" w:rsidR="00CB07DA" w:rsidRPr="007278E9" w:rsidRDefault="00CB07DA" w:rsidP="00CB07DA">
      <w:pPr>
        <w:pStyle w:val="ColorfulList-Accent111"/>
        <w:ind w:left="0"/>
        <w:jc w:val="both"/>
        <w:rPr>
          <w:b/>
          <w:color w:val="1F497D"/>
          <w:sz w:val="24"/>
          <w:szCs w:val="24"/>
          <w:lang w:val="fr-FR"/>
        </w:rPr>
      </w:pPr>
    </w:p>
    <w:p w14:paraId="4270165B" w14:textId="77777777" w:rsidR="004B163C" w:rsidRPr="004B163C" w:rsidRDefault="004B163C" w:rsidP="00AD6CD3">
      <w:pPr>
        <w:numPr>
          <w:ilvl w:val="0"/>
          <w:numId w:val="26"/>
        </w:numPr>
        <w:spacing w:before="360" w:after="120"/>
        <w:jc w:val="center"/>
        <w:outlineLvl w:val="0"/>
        <w:rPr>
          <w:rFonts w:eastAsia="MS Mincho"/>
          <w:b/>
          <w:color w:val="1F497D"/>
          <w:sz w:val="24"/>
          <w:szCs w:val="24"/>
          <w:lang w:val="fr-FR" w:eastAsia="ja-JP"/>
        </w:rPr>
      </w:pPr>
      <w:bookmarkStart w:id="64" w:name="_Toc517290540"/>
      <w:bookmarkStart w:id="65" w:name="_Toc3810479"/>
      <w:r w:rsidRPr="004B163C">
        <w:rPr>
          <w:rFonts w:eastAsia="MS Mincho"/>
          <w:b/>
          <w:color w:val="1F497D"/>
          <w:sz w:val="24"/>
          <w:szCs w:val="24"/>
          <w:lang w:val="fr-FR" w:eastAsia="ja-JP"/>
        </w:rPr>
        <w:t>SUPERVISION, SUIVI, ET EVALUATION DU PROGRAMME ET SOUMISSION DE RAPPORTS</w:t>
      </w:r>
      <w:bookmarkEnd w:id="64"/>
      <w:bookmarkEnd w:id="65"/>
    </w:p>
    <w:p w14:paraId="611683BD" w14:textId="77777777" w:rsidR="004B163C" w:rsidRPr="004B163C" w:rsidRDefault="004B163C" w:rsidP="00AD6CD3">
      <w:pPr>
        <w:keepNext/>
        <w:keepLines/>
        <w:numPr>
          <w:ilvl w:val="0"/>
          <w:numId w:val="30"/>
        </w:numPr>
        <w:spacing w:before="200"/>
        <w:outlineLvl w:val="1"/>
        <w:rPr>
          <w:rFonts w:eastAsia="MS Mincho"/>
          <w:b/>
          <w:color w:val="548DD4"/>
          <w:sz w:val="24"/>
          <w:szCs w:val="24"/>
          <w:lang w:val="fr-FR"/>
        </w:rPr>
      </w:pPr>
      <w:bookmarkStart w:id="66" w:name="_Toc517290541"/>
      <w:bookmarkStart w:id="67" w:name="_Toc3810480"/>
      <w:r w:rsidRPr="004B163C">
        <w:rPr>
          <w:rFonts w:eastAsia="MS Mincho"/>
          <w:b/>
          <w:color w:val="548DD4"/>
          <w:sz w:val="24"/>
          <w:szCs w:val="24"/>
          <w:lang w:val="fr-FR"/>
        </w:rPr>
        <w:t>SUPERVISION</w:t>
      </w:r>
      <w:bookmarkEnd w:id="66"/>
      <w:bookmarkEnd w:id="67"/>
    </w:p>
    <w:p w14:paraId="37C8CBF8" w14:textId="77777777" w:rsidR="004B163C" w:rsidRPr="004B163C" w:rsidRDefault="004B163C" w:rsidP="004B163C">
      <w:pPr>
        <w:rPr>
          <w:rFonts w:eastAsia="MS Mincho"/>
          <w:lang w:val="fr-FR"/>
        </w:rPr>
      </w:pPr>
    </w:p>
    <w:p w14:paraId="2D45A88F" w14:textId="77777777" w:rsidR="00CB07DA" w:rsidRPr="007278E9" w:rsidRDefault="00CB07DA" w:rsidP="00AA5024">
      <w:pPr>
        <w:autoSpaceDE w:val="0"/>
        <w:autoSpaceDN w:val="0"/>
        <w:adjustRightInd w:val="0"/>
        <w:jc w:val="both"/>
        <w:rPr>
          <w:sz w:val="24"/>
          <w:szCs w:val="24"/>
          <w:lang w:val="fr-FR"/>
        </w:rPr>
      </w:pPr>
      <w:bookmarkStart w:id="68" w:name="_Toc355714603"/>
      <w:bookmarkStart w:id="69" w:name="_Toc355173689"/>
      <w:r w:rsidRPr="007278E9">
        <w:rPr>
          <w:sz w:val="24"/>
          <w:szCs w:val="24"/>
          <w:lang w:val="fr-FR"/>
        </w:rPr>
        <w:t xml:space="preserve">Les activités de suivi et évaluation permettent d’obtenir des informations actualisées sur : </w:t>
      </w:r>
    </w:p>
    <w:p w14:paraId="64604A04" w14:textId="77777777" w:rsidR="00CB07DA" w:rsidRPr="007278E9" w:rsidRDefault="00CB07DA" w:rsidP="00CB07DA">
      <w:pPr>
        <w:autoSpaceDE w:val="0"/>
        <w:autoSpaceDN w:val="0"/>
        <w:adjustRightInd w:val="0"/>
        <w:ind w:left="900"/>
        <w:jc w:val="both"/>
        <w:rPr>
          <w:sz w:val="24"/>
          <w:szCs w:val="24"/>
          <w:lang w:val="fr-FR"/>
        </w:rPr>
      </w:pPr>
    </w:p>
    <w:p w14:paraId="5D047403" w14:textId="77777777" w:rsidR="00CB07DA" w:rsidRPr="007278E9" w:rsidRDefault="00CB07DA" w:rsidP="00CB07DA">
      <w:pPr>
        <w:numPr>
          <w:ilvl w:val="0"/>
          <w:numId w:val="50"/>
        </w:numPr>
        <w:autoSpaceDE w:val="0"/>
        <w:autoSpaceDN w:val="0"/>
        <w:adjustRightInd w:val="0"/>
        <w:ind w:left="900"/>
        <w:contextualSpacing/>
        <w:jc w:val="both"/>
        <w:rPr>
          <w:sz w:val="24"/>
          <w:szCs w:val="24"/>
          <w:lang w:val="fr-FR"/>
        </w:rPr>
      </w:pPr>
      <w:r w:rsidRPr="007278E9">
        <w:rPr>
          <w:sz w:val="24"/>
          <w:szCs w:val="24"/>
          <w:lang w:val="fr-FR"/>
        </w:rPr>
        <w:lastRenderedPageBreak/>
        <w:t xml:space="preserve">L’état d’avancement de la mise en œuvre dans le but d'évaluer le progrès de l'opération, d'identifier et de mesurer les risques pour atteindre les objectifs et pour proposer un plan d'atténuation pour faire face à ceux-ci. </w:t>
      </w:r>
    </w:p>
    <w:p w14:paraId="0EE37AE6" w14:textId="77777777" w:rsidR="00CB07DA" w:rsidRPr="007278E9" w:rsidRDefault="00CB07DA" w:rsidP="00CB07DA">
      <w:pPr>
        <w:autoSpaceDE w:val="0"/>
        <w:autoSpaceDN w:val="0"/>
        <w:adjustRightInd w:val="0"/>
        <w:ind w:left="900"/>
        <w:contextualSpacing/>
        <w:jc w:val="both"/>
        <w:rPr>
          <w:sz w:val="24"/>
          <w:szCs w:val="24"/>
          <w:lang w:val="fr-FR"/>
        </w:rPr>
      </w:pPr>
    </w:p>
    <w:p w14:paraId="47EE7AEF" w14:textId="77777777" w:rsidR="00CB07DA" w:rsidRPr="007278E9" w:rsidRDefault="00CB07DA" w:rsidP="00CB07DA">
      <w:pPr>
        <w:numPr>
          <w:ilvl w:val="0"/>
          <w:numId w:val="50"/>
        </w:numPr>
        <w:autoSpaceDE w:val="0"/>
        <w:autoSpaceDN w:val="0"/>
        <w:adjustRightInd w:val="0"/>
        <w:ind w:left="900"/>
        <w:contextualSpacing/>
        <w:jc w:val="both"/>
        <w:rPr>
          <w:sz w:val="24"/>
          <w:szCs w:val="24"/>
          <w:lang w:val="fr-FR"/>
        </w:rPr>
      </w:pPr>
      <w:r w:rsidRPr="007278E9">
        <w:rPr>
          <w:sz w:val="24"/>
          <w:szCs w:val="24"/>
          <w:lang w:val="fr-FR"/>
        </w:rPr>
        <w:t>Le résultat de l'intervention dans le but d'établir le niveau d'atteinte des résultats (résultats) prévus, et éventuellement de recueillir les informations nécessaires pour renforcer les connaissances pour les interventions futures (leçons apprises).</w:t>
      </w:r>
    </w:p>
    <w:p w14:paraId="22EEF134" w14:textId="77777777" w:rsidR="00CB07DA" w:rsidRPr="007278E9" w:rsidRDefault="00CB07DA" w:rsidP="00CB07DA">
      <w:pPr>
        <w:autoSpaceDE w:val="0"/>
        <w:autoSpaceDN w:val="0"/>
        <w:adjustRightInd w:val="0"/>
        <w:ind w:left="900"/>
        <w:contextualSpacing/>
        <w:jc w:val="both"/>
        <w:rPr>
          <w:sz w:val="24"/>
          <w:szCs w:val="24"/>
          <w:lang w:val="fr-FR"/>
        </w:rPr>
      </w:pPr>
    </w:p>
    <w:p w14:paraId="43A80B37" w14:textId="77777777" w:rsidR="00CB07DA" w:rsidRPr="007278E9" w:rsidRDefault="00CB07DA" w:rsidP="00CB07DA">
      <w:pPr>
        <w:autoSpaceDE w:val="0"/>
        <w:autoSpaceDN w:val="0"/>
        <w:adjustRightInd w:val="0"/>
        <w:ind w:left="900"/>
        <w:contextualSpacing/>
        <w:jc w:val="both"/>
        <w:rPr>
          <w:sz w:val="24"/>
          <w:szCs w:val="24"/>
          <w:lang w:val="fr-FR"/>
        </w:rPr>
      </w:pPr>
      <w:r w:rsidRPr="00AA5024">
        <w:rPr>
          <w:sz w:val="24"/>
          <w:szCs w:val="24"/>
          <w:lang w:val="fr-FR"/>
        </w:rPr>
        <w:t>Le suivi et la supervision du programme se feront en se basant sur les rapports d'activité semestriels élaborés par les deux UEP et remis à la Banque dans les délais prescrits aux conditions contractuelles générales</w:t>
      </w:r>
      <w:r w:rsidRPr="008E0396">
        <w:rPr>
          <w:sz w:val="24"/>
          <w:szCs w:val="24"/>
          <w:lang w:val="fr-FR"/>
        </w:rPr>
        <w:t>.</w:t>
      </w:r>
    </w:p>
    <w:p w14:paraId="20C32715" w14:textId="77777777" w:rsidR="00CB07DA" w:rsidRPr="007278E9" w:rsidRDefault="00CB07DA" w:rsidP="00CB07DA">
      <w:pPr>
        <w:autoSpaceDE w:val="0"/>
        <w:autoSpaceDN w:val="0"/>
        <w:adjustRightInd w:val="0"/>
        <w:ind w:left="900"/>
        <w:jc w:val="both"/>
        <w:rPr>
          <w:sz w:val="24"/>
          <w:szCs w:val="24"/>
          <w:lang w:val="fr-FR"/>
        </w:rPr>
      </w:pPr>
    </w:p>
    <w:p w14:paraId="79BF0BE5" w14:textId="77777777" w:rsidR="00CB07DA" w:rsidRPr="007278E9" w:rsidRDefault="00CB07DA" w:rsidP="00CB07DA">
      <w:pPr>
        <w:autoSpaceDE w:val="0"/>
        <w:autoSpaceDN w:val="0"/>
        <w:adjustRightInd w:val="0"/>
        <w:ind w:left="900"/>
        <w:jc w:val="both"/>
        <w:rPr>
          <w:sz w:val="24"/>
          <w:szCs w:val="24"/>
          <w:lang w:val="fr-FR"/>
        </w:rPr>
      </w:pPr>
      <w:r w:rsidRPr="007278E9">
        <w:rPr>
          <w:sz w:val="24"/>
          <w:szCs w:val="24"/>
          <w:lang w:val="fr-FR"/>
        </w:rPr>
        <w:t xml:space="preserve">Les rapports doivent contenir des informations sur l’avance des indicateurs contenus dans la Matrice des Résultats et des données et des informations qui sous-tendent la réalisation des activités du programme, ses produits et ses résultats, les contraintes d'exécution ou les risques identifiés ainsi que les mesures proposées pour y remédier ou les atténuer. </w:t>
      </w:r>
    </w:p>
    <w:p w14:paraId="31384408" w14:textId="77777777" w:rsidR="00CB07DA" w:rsidRPr="007278E9" w:rsidRDefault="00CB07DA" w:rsidP="00CB07DA">
      <w:pPr>
        <w:autoSpaceDE w:val="0"/>
        <w:autoSpaceDN w:val="0"/>
        <w:adjustRightInd w:val="0"/>
        <w:jc w:val="both"/>
        <w:rPr>
          <w:sz w:val="24"/>
          <w:szCs w:val="24"/>
          <w:lang w:val="fr-FR"/>
        </w:rPr>
      </w:pPr>
    </w:p>
    <w:p w14:paraId="5696B9DA" w14:textId="5DF62A08" w:rsidR="00CB07DA" w:rsidRPr="006603E9" w:rsidRDefault="00CB07DA" w:rsidP="00CB07DA">
      <w:pPr>
        <w:pStyle w:val="ColorfulList-Accent111"/>
        <w:numPr>
          <w:ilvl w:val="1"/>
          <w:numId w:val="51"/>
        </w:numPr>
        <w:jc w:val="both"/>
        <w:rPr>
          <w:bCs/>
          <w:sz w:val="24"/>
          <w:szCs w:val="24"/>
          <w:lang w:val="fr-FR"/>
        </w:rPr>
      </w:pPr>
      <w:bookmarkStart w:id="70" w:name="_Hlk532463889"/>
      <w:r w:rsidRPr="006603E9">
        <w:rPr>
          <w:sz w:val="24"/>
          <w:szCs w:val="24"/>
          <w:lang w:val="fr-FR"/>
        </w:rPr>
        <w:t>L’OMRH sera responsable de la supervision de l’exécution des activités financées dans le cadre de</w:t>
      </w:r>
      <w:r w:rsidR="00DF5E69" w:rsidRPr="006603E9">
        <w:rPr>
          <w:sz w:val="24"/>
          <w:szCs w:val="24"/>
          <w:lang w:val="fr-FR"/>
        </w:rPr>
        <w:t>s</w:t>
      </w:r>
      <w:r w:rsidRPr="006603E9">
        <w:rPr>
          <w:sz w:val="24"/>
          <w:szCs w:val="24"/>
          <w:lang w:val="fr-FR"/>
        </w:rPr>
        <w:t xml:space="preserve"> Composante</w:t>
      </w:r>
      <w:r w:rsidR="00DF5E69" w:rsidRPr="006603E9">
        <w:rPr>
          <w:sz w:val="24"/>
          <w:szCs w:val="24"/>
          <w:lang w:val="fr-FR"/>
        </w:rPr>
        <w:t>s</w:t>
      </w:r>
      <w:r w:rsidRPr="006603E9">
        <w:rPr>
          <w:sz w:val="24"/>
          <w:szCs w:val="24"/>
          <w:lang w:val="fr-FR"/>
        </w:rPr>
        <w:t xml:space="preserve"> I,</w:t>
      </w:r>
      <w:r w:rsidR="007E720B">
        <w:rPr>
          <w:sz w:val="24"/>
          <w:szCs w:val="24"/>
          <w:lang w:val="fr-FR"/>
        </w:rPr>
        <w:t xml:space="preserve"> </w:t>
      </w:r>
      <w:r w:rsidR="005E53CD" w:rsidRPr="006603E9">
        <w:rPr>
          <w:sz w:val="24"/>
          <w:szCs w:val="24"/>
          <w:lang w:val="fr-FR"/>
        </w:rPr>
        <w:t>II</w:t>
      </w:r>
      <w:r w:rsidR="00FA4A26" w:rsidRPr="006603E9">
        <w:rPr>
          <w:sz w:val="24"/>
          <w:szCs w:val="24"/>
          <w:lang w:val="fr-FR"/>
        </w:rPr>
        <w:t xml:space="preserve"> et</w:t>
      </w:r>
      <w:r w:rsidR="00FA183E" w:rsidRPr="006603E9">
        <w:rPr>
          <w:sz w:val="24"/>
          <w:szCs w:val="24"/>
          <w:lang w:val="fr-FR"/>
        </w:rPr>
        <w:t xml:space="preserve"> </w:t>
      </w:r>
      <w:r w:rsidRPr="006603E9">
        <w:rPr>
          <w:sz w:val="24"/>
          <w:szCs w:val="24"/>
          <w:lang w:val="fr-FR"/>
        </w:rPr>
        <w:t>III</w:t>
      </w:r>
      <w:r w:rsidR="008E0396" w:rsidRPr="00C03882">
        <w:rPr>
          <w:sz w:val="24"/>
          <w:szCs w:val="24"/>
          <w:lang w:val="fr-FR"/>
        </w:rPr>
        <w:t xml:space="preserve">. </w:t>
      </w:r>
      <w:r w:rsidR="007E720B">
        <w:rPr>
          <w:sz w:val="24"/>
          <w:szCs w:val="24"/>
          <w:lang w:val="fr-FR"/>
        </w:rPr>
        <w:t>En collaboration avec l’OMRH</w:t>
      </w:r>
      <w:r w:rsidR="00C654DD">
        <w:rPr>
          <w:sz w:val="24"/>
          <w:szCs w:val="24"/>
          <w:lang w:val="fr-FR"/>
        </w:rPr>
        <w:t xml:space="preserve">, </w:t>
      </w:r>
      <w:proofErr w:type="spellStart"/>
      <w:r w:rsidR="00FA4A26" w:rsidRPr="006603E9">
        <w:rPr>
          <w:sz w:val="24"/>
          <w:szCs w:val="24"/>
          <w:lang w:val="fr-FR"/>
        </w:rPr>
        <w:t>L</w:t>
      </w:r>
      <w:r w:rsidR="00C654DD">
        <w:rPr>
          <w:sz w:val="24"/>
          <w:szCs w:val="24"/>
          <w:lang w:val="fr-FR"/>
        </w:rPr>
        <w:t>l</w:t>
      </w:r>
      <w:r w:rsidR="00FA4A26" w:rsidRPr="006603E9">
        <w:rPr>
          <w:sz w:val="24"/>
          <w:szCs w:val="24"/>
          <w:lang w:val="fr-FR"/>
        </w:rPr>
        <w:t>UCP</w:t>
      </w:r>
      <w:proofErr w:type="spellEnd"/>
      <w:r w:rsidR="005E53CD" w:rsidRPr="006603E9">
        <w:rPr>
          <w:sz w:val="24"/>
          <w:szCs w:val="24"/>
          <w:lang w:val="fr-FR"/>
        </w:rPr>
        <w:t>/</w:t>
      </w:r>
      <w:r w:rsidRPr="006603E9">
        <w:rPr>
          <w:sz w:val="24"/>
          <w:szCs w:val="24"/>
          <w:lang w:val="fr-FR"/>
        </w:rPr>
        <w:t xml:space="preserve"> MEF sera responsable de la supervision des activités financées dans le cadre</w:t>
      </w:r>
      <w:r w:rsidR="007E720B">
        <w:rPr>
          <w:sz w:val="24"/>
          <w:szCs w:val="24"/>
          <w:lang w:val="fr-FR"/>
        </w:rPr>
        <w:t xml:space="preserve"> </w:t>
      </w:r>
      <w:proofErr w:type="spellStart"/>
      <w:r w:rsidR="007E720B">
        <w:rPr>
          <w:sz w:val="24"/>
          <w:szCs w:val="24"/>
          <w:lang w:val="fr-FR"/>
        </w:rPr>
        <w:t>le</w:t>
      </w:r>
      <w:proofErr w:type="spellEnd"/>
      <w:r w:rsidR="007E720B">
        <w:rPr>
          <w:sz w:val="24"/>
          <w:szCs w:val="24"/>
          <w:lang w:val="fr-FR"/>
        </w:rPr>
        <w:t xml:space="preserve"> la </w:t>
      </w:r>
      <w:r w:rsidRPr="006603E9">
        <w:rPr>
          <w:sz w:val="24"/>
          <w:szCs w:val="24"/>
          <w:lang w:val="fr-FR"/>
        </w:rPr>
        <w:t>Composante II</w:t>
      </w:r>
      <w:r w:rsidR="00C654DD">
        <w:rPr>
          <w:sz w:val="24"/>
          <w:szCs w:val="24"/>
          <w:lang w:val="fr-FR"/>
        </w:rPr>
        <w:t xml:space="preserve"> et de la Gestion du projet</w:t>
      </w:r>
      <w:r w:rsidRPr="006603E9">
        <w:rPr>
          <w:sz w:val="24"/>
          <w:szCs w:val="24"/>
          <w:lang w:val="fr-FR"/>
        </w:rPr>
        <w:t>.</w:t>
      </w:r>
    </w:p>
    <w:p w14:paraId="6F64BCF4" w14:textId="11C216ED" w:rsidR="00CB07DA" w:rsidRPr="00C03882" w:rsidRDefault="00CB07DA" w:rsidP="005E53CD">
      <w:pPr>
        <w:pStyle w:val="ColorfulList-Accent111"/>
        <w:numPr>
          <w:ilvl w:val="1"/>
          <w:numId w:val="51"/>
        </w:numPr>
        <w:jc w:val="both"/>
        <w:rPr>
          <w:bCs/>
          <w:sz w:val="24"/>
          <w:szCs w:val="24"/>
          <w:lang w:val="fr-FR"/>
        </w:rPr>
      </w:pPr>
      <w:r w:rsidRPr="006603E9">
        <w:rPr>
          <w:sz w:val="24"/>
          <w:szCs w:val="24"/>
          <w:lang w:val="fr-FR"/>
        </w:rPr>
        <w:t>L’</w:t>
      </w:r>
      <w:r w:rsidR="00242893" w:rsidRPr="006603E9">
        <w:rPr>
          <w:sz w:val="24"/>
          <w:szCs w:val="24"/>
          <w:lang w:val="fr-FR"/>
        </w:rPr>
        <w:t>OMRH</w:t>
      </w:r>
      <w:r w:rsidRPr="006603E9">
        <w:rPr>
          <w:sz w:val="24"/>
          <w:szCs w:val="24"/>
          <w:lang w:val="fr-FR"/>
        </w:rPr>
        <w:t xml:space="preserve"> jouera le rôle de coordonnateur pour l’exécution harmonieuse des composantes</w:t>
      </w:r>
      <w:r w:rsidR="005E53CD" w:rsidRPr="006603E9">
        <w:rPr>
          <w:sz w:val="24"/>
          <w:szCs w:val="24"/>
          <w:lang w:val="fr-FR"/>
        </w:rPr>
        <w:t xml:space="preserve"> I, II, </w:t>
      </w:r>
      <w:r w:rsidR="00135400" w:rsidRPr="006603E9">
        <w:rPr>
          <w:sz w:val="24"/>
          <w:szCs w:val="24"/>
          <w:lang w:val="fr-FR"/>
        </w:rPr>
        <w:t xml:space="preserve">et </w:t>
      </w:r>
      <w:r w:rsidR="005E53CD" w:rsidRPr="006603E9">
        <w:rPr>
          <w:sz w:val="24"/>
          <w:szCs w:val="24"/>
          <w:lang w:val="fr-FR"/>
        </w:rPr>
        <w:t xml:space="preserve">III </w:t>
      </w:r>
      <w:bookmarkEnd w:id="70"/>
      <w:r w:rsidRPr="00C03882">
        <w:rPr>
          <w:sz w:val="24"/>
          <w:szCs w:val="24"/>
          <w:lang w:val="fr-FR"/>
        </w:rPr>
        <w:t>pour assurer que le projet atteint ses objectifs globaux. Les principales responsabilités de ce rôle sont :</w:t>
      </w:r>
    </w:p>
    <w:p w14:paraId="06B1D7E7" w14:textId="77777777" w:rsidR="00CB07DA" w:rsidRPr="00C03882" w:rsidRDefault="00CB07DA" w:rsidP="00CB07DA">
      <w:pPr>
        <w:pStyle w:val="ColorfulList-Accent111"/>
        <w:numPr>
          <w:ilvl w:val="0"/>
          <w:numId w:val="52"/>
        </w:numPr>
        <w:jc w:val="both"/>
        <w:rPr>
          <w:bCs/>
          <w:sz w:val="24"/>
          <w:szCs w:val="24"/>
          <w:lang w:val="fr-FR"/>
        </w:rPr>
      </w:pPr>
      <w:r w:rsidRPr="00C03882">
        <w:rPr>
          <w:sz w:val="24"/>
          <w:szCs w:val="24"/>
          <w:lang w:val="fr-FR"/>
        </w:rPr>
        <w:t xml:space="preserve">Organiser des réunions mensuelles avec le </w:t>
      </w:r>
      <w:r w:rsidR="005E53CD" w:rsidRPr="00C03882">
        <w:rPr>
          <w:sz w:val="24"/>
          <w:szCs w:val="24"/>
          <w:lang w:val="fr-FR"/>
        </w:rPr>
        <w:t xml:space="preserve">Responsable </w:t>
      </w:r>
      <w:r w:rsidRPr="00C03882">
        <w:rPr>
          <w:sz w:val="24"/>
          <w:szCs w:val="24"/>
          <w:lang w:val="fr-FR"/>
        </w:rPr>
        <w:t>du Projet de l’OMRH, en préparer les minutes et faire un suivi quand nécessaire ;</w:t>
      </w:r>
    </w:p>
    <w:p w14:paraId="6FB464C0" w14:textId="77777777" w:rsidR="00CB07DA" w:rsidRPr="00C03882" w:rsidRDefault="00CB07DA" w:rsidP="00CB07DA">
      <w:pPr>
        <w:pStyle w:val="ColorfulList-Accent111"/>
        <w:numPr>
          <w:ilvl w:val="0"/>
          <w:numId w:val="52"/>
        </w:numPr>
        <w:jc w:val="both"/>
        <w:rPr>
          <w:bCs/>
          <w:sz w:val="24"/>
          <w:szCs w:val="24"/>
          <w:lang w:val="fr-FR"/>
        </w:rPr>
      </w:pPr>
      <w:r w:rsidRPr="00C03882">
        <w:rPr>
          <w:sz w:val="24"/>
          <w:szCs w:val="24"/>
          <w:lang w:val="fr-FR"/>
        </w:rPr>
        <w:t>Préparer et organiser les informations financières pour l’audit annuel ;</w:t>
      </w:r>
    </w:p>
    <w:p w14:paraId="7689FD8D" w14:textId="47B76DFD" w:rsidR="00CB07DA" w:rsidRPr="006603E9" w:rsidRDefault="00CB07DA" w:rsidP="00CB07DA">
      <w:pPr>
        <w:pStyle w:val="ColorfulList-Accent111"/>
        <w:numPr>
          <w:ilvl w:val="0"/>
          <w:numId w:val="52"/>
        </w:numPr>
        <w:jc w:val="both"/>
        <w:rPr>
          <w:bCs/>
          <w:sz w:val="24"/>
          <w:szCs w:val="24"/>
          <w:lang w:val="fr-FR"/>
        </w:rPr>
      </w:pPr>
      <w:bookmarkStart w:id="71" w:name="_Hlk532463939"/>
      <w:r w:rsidRPr="00C03882">
        <w:rPr>
          <w:sz w:val="24"/>
          <w:szCs w:val="24"/>
          <w:lang w:val="fr-FR"/>
        </w:rPr>
        <w:t xml:space="preserve">Coordonner la consolidation des informations nécessaires pour </w:t>
      </w:r>
      <w:r w:rsidRPr="006603E9">
        <w:rPr>
          <w:sz w:val="24"/>
          <w:szCs w:val="24"/>
          <w:lang w:val="fr-FR"/>
        </w:rPr>
        <w:t xml:space="preserve">les six rapports </w:t>
      </w:r>
      <w:r w:rsidR="005C4FF0" w:rsidRPr="006603E9">
        <w:rPr>
          <w:sz w:val="24"/>
          <w:szCs w:val="24"/>
          <w:lang w:val="fr-FR"/>
        </w:rPr>
        <w:t>de suivi du</w:t>
      </w:r>
      <w:r w:rsidRPr="006603E9">
        <w:rPr>
          <w:sz w:val="24"/>
          <w:szCs w:val="24"/>
          <w:lang w:val="fr-FR"/>
        </w:rPr>
        <w:t xml:space="preserve"> projet (PMR) exigés par la banque.</w:t>
      </w:r>
    </w:p>
    <w:p w14:paraId="26D10854" w14:textId="77777777" w:rsidR="004B163C" w:rsidRPr="00C03882" w:rsidRDefault="004B163C" w:rsidP="00AD6CD3">
      <w:pPr>
        <w:keepNext/>
        <w:keepLines/>
        <w:numPr>
          <w:ilvl w:val="0"/>
          <w:numId w:val="30"/>
        </w:numPr>
        <w:spacing w:before="200"/>
        <w:outlineLvl w:val="1"/>
        <w:rPr>
          <w:rFonts w:eastAsia="MS Mincho"/>
          <w:b/>
          <w:color w:val="548DD4"/>
          <w:sz w:val="24"/>
          <w:szCs w:val="24"/>
          <w:lang w:val="fr-FR"/>
        </w:rPr>
      </w:pPr>
      <w:bookmarkStart w:id="72" w:name="_Toc517290542"/>
      <w:bookmarkStart w:id="73" w:name="_Toc3810481"/>
      <w:bookmarkEnd w:id="68"/>
      <w:bookmarkEnd w:id="69"/>
      <w:bookmarkEnd w:id="71"/>
      <w:r w:rsidRPr="00C03882">
        <w:rPr>
          <w:rFonts w:eastAsia="MS Mincho"/>
          <w:b/>
          <w:color w:val="548DD4"/>
          <w:sz w:val="24"/>
          <w:szCs w:val="24"/>
          <w:lang w:val="fr-FR"/>
        </w:rPr>
        <w:t>SUIVI</w:t>
      </w:r>
      <w:bookmarkEnd w:id="72"/>
      <w:bookmarkEnd w:id="73"/>
    </w:p>
    <w:p w14:paraId="3C394CF7" w14:textId="77777777" w:rsidR="004B163C" w:rsidRPr="004B163C" w:rsidRDefault="004B163C" w:rsidP="004B163C">
      <w:pPr>
        <w:rPr>
          <w:rFonts w:eastAsia="MS Mincho"/>
          <w:b/>
          <w:lang w:val="fr-FR"/>
        </w:rPr>
      </w:pPr>
    </w:p>
    <w:p w14:paraId="7D4A8062" w14:textId="77777777" w:rsidR="004B163C" w:rsidRPr="004B163C" w:rsidRDefault="004B163C" w:rsidP="004B163C">
      <w:pPr>
        <w:rPr>
          <w:rFonts w:eastAsia="MS Mincho"/>
          <w:b/>
          <w:color w:val="000000"/>
          <w:sz w:val="24"/>
          <w:szCs w:val="24"/>
          <w:lang w:val="fr-FR"/>
        </w:rPr>
      </w:pPr>
      <w:r w:rsidRPr="004B163C">
        <w:rPr>
          <w:rFonts w:eastAsia="MS Mincho"/>
          <w:b/>
          <w:color w:val="000000"/>
          <w:sz w:val="24"/>
          <w:szCs w:val="24"/>
          <w:lang w:val="fr-FR"/>
        </w:rPr>
        <w:t xml:space="preserve">           Instruments</w:t>
      </w:r>
    </w:p>
    <w:p w14:paraId="2E2C3BF2" w14:textId="77777777" w:rsidR="004B163C" w:rsidRPr="004B163C" w:rsidRDefault="004B163C" w:rsidP="004B163C">
      <w:pPr>
        <w:jc w:val="both"/>
        <w:rPr>
          <w:rFonts w:eastAsia="MS Mincho"/>
          <w:b/>
          <w:sz w:val="24"/>
          <w:szCs w:val="24"/>
          <w:lang w:val="fr-FR"/>
        </w:rPr>
      </w:pPr>
      <w:r w:rsidRPr="004B163C">
        <w:rPr>
          <w:rFonts w:eastAsia="MS Mincho"/>
          <w:sz w:val="24"/>
          <w:szCs w:val="24"/>
          <w:lang w:val="fr-FR"/>
        </w:rPr>
        <w:tab/>
      </w:r>
    </w:p>
    <w:p w14:paraId="72046EA1" w14:textId="77777777" w:rsidR="00CB07DA" w:rsidRPr="007278E9" w:rsidRDefault="00CB07DA" w:rsidP="00CB07DA">
      <w:pPr>
        <w:pStyle w:val="ColorfulList-Accent111"/>
        <w:numPr>
          <w:ilvl w:val="1"/>
          <w:numId w:val="51"/>
        </w:numPr>
        <w:jc w:val="both"/>
        <w:rPr>
          <w:sz w:val="24"/>
          <w:szCs w:val="24"/>
          <w:lang w:val="fr-FR"/>
        </w:rPr>
      </w:pPr>
      <w:r w:rsidRPr="007278E9">
        <w:rPr>
          <w:b/>
          <w:color w:val="000000"/>
          <w:sz w:val="24"/>
          <w:szCs w:val="24"/>
          <w:lang w:val="fr-FR"/>
        </w:rPr>
        <w:t>Matrice des Résultats</w:t>
      </w:r>
      <w:r w:rsidRPr="007278E9">
        <w:rPr>
          <w:b/>
          <w:sz w:val="24"/>
          <w:szCs w:val="24"/>
          <w:lang w:val="fr-FR"/>
        </w:rPr>
        <w:t>.</w:t>
      </w:r>
      <w:r w:rsidRPr="007278E9">
        <w:rPr>
          <w:sz w:val="24"/>
          <w:szCs w:val="24"/>
          <w:lang w:val="fr-FR"/>
        </w:rPr>
        <w:t xml:space="preserve"> La matrice des résultats du Programme est un outil essentiel pour le monitoring du progrès de l’exécution. La matrice des résultats incluse dans le POD, qui contient les principaux indicateurs de produits et de résultats pour chaque composante, est présentée ci-dessous. La matrice des résultats détaille la ligne de base et les résultats ciblés, et décrit chacun des indicateurs de résultat. La description fait référence à la source des informations pour chaque indicateur et indique son mode de calcul. La matrice est conçue pour enregistrer systématiquement le progrès du Programme et présente les informations nécessaires qui seront soumises à la Banque aux fins du Rapport de Monitoring du Progrès (PMR).</w:t>
      </w:r>
    </w:p>
    <w:p w14:paraId="2F150DC7"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lastRenderedPageBreak/>
        <w:t xml:space="preserve"> La matrice des résultats du Programme se trouve en Annexe II. </w:t>
      </w:r>
    </w:p>
    <w:p w14:paraId="55BE455D" w14:textId="77777777" w:rsidR="00CB07DA" w:rsidRPr="007278E9" w:rsidRDefault="00CB07DA" w:rsidP="00CB07DA">
      <w:pPr>
        <w:pStyle w:val="ColorfulList-Accent111"/>
        <w:ind w:left="0"/>
        <w:jc w:val="both"/>
        <w:rPr>
          <w:sz w:val="24"/>
          <w:szCs w:val="24"/>
          <w:lang w:val="fr-FR"/>
        </w:rPr>
      </w:pPr>
    </w:p>
    <w:p w14:paraId="7F77D1DB" w14:textId="77777777" w:rsidR="00CB07DA" w:rsidRPr="007278E9" w:rsidRDefault="00CB07DA" w:rsidP="00CB07DA">
      <w:pPr>
        <w:rPr>
          <w:b/>
          <w:lang w:val="fr-FR"/>
        </w:rPr>
      </w:pPr>
      <w:r w:rsidRPr="007278E9">
        <w:rPr>
          <w:rFonts w:eastAsia="Times New Roman"/>
          <w:b/>
          <w:bCs/>
          <w:lang w:val="fr-FR"/>
        </w:rPr>
        <w:t xml:space="preserve">Plan </w:t>
      </w:r>
      <w:r w:rsidRPr="007278E9">
        <w:rPr>
          <w:b/>
          <w:lang w:val="fr-FR"/>
        </w:rPr>
        <w:t>d’Exécution Initial</w:t>
      </w:r>
    </w:p>
    <w:p w14:paraId="32BAACEE" w14:textId="77777777" w:rsidR="00CB07DA" w:rsidRPr="007278E9" w:rsidRDefault="00CB07DA" w:rsidP="00CB07DA">
      <w:pPr>
        <w:pStyle w:val="ColorfulList-Accent111"/>
        <w:ind w:left="540"/>
        <w:jc w:val="both"/>
        <w:rPr>
          <w:sz w:val="24"/>
          <w:szCs w:val="24"/>
          <w:lang w:val="fr-FR"/>
        </w:rPr>
      </w:pPr>
    </w:p>
    <w:p w14:paraId="3E88EF5E" w14:textId="777A2B7C"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Dans le but de produire les rapports semestriels d’avancement, et les Plans Annuels d’Operations (POA) ()</w:t>
      </w:r>
      <w:r w:rsidR="008E0396">
        <w:rPr>
          <w:sz w:val="24"/>
          <w:szCs w:val="24"/>
          <w:lang w:val="fr-FR"/>
        </w:rPr>
        <w:t xml:space="preserve">. </w:t>
      </w:r>
      <w:bookmarkStart w:id="74" w:name="_Hlk532463990"/>
      <w:r w:rsidR="008E0396">
        <w:rPr>
          <w:sz w:val="24"/>
          <w:szCs w:val="24"/>
          <w:lang w:val="fr-FR"/>
        </w:rPr>
        <w:t xml:space="preserve">Le format </w:t>
      </w:r>
      <w:bookmarkEnd w:id="74"/>
      <w:r w:rsidRPr="007278E9">
        <w:rPr>
          <w:sz w:val="24"/>
          <w:szCs w:val="24"/>
          <w:lang w:val="fr-FR"/>
        </w:rPr>
        <w:t>qui servira de base pour l’élaboration et l’évaluation des rapports d’avancement. Ce rapport devra inclure</w:t>
      </w:r>
      <w:r w:rsidR="00FA183E">
        <w:rPr>
          <w:sz w:val="24"/>
          <w:szCs w:val="24"/>
          <w:lang w:val="fr-FR"/>
        </w:rPr>
        <w:t xml:space="preserve"> </w:t>
      </w:r>
      <w:r w:rsidRPr="007278E9">
        <w:rPr>
          <w:sz w:val="24"/>
          <w:szCs w:val="24"/>
          <w:lang w:val="fr-FR"/>
        </w:rPr>
        <w:t>:</w:t>
      </w:r>
    </w:p>
    <w:p w14:paraId="2653B8E0" w14:textId="77777777" w:rsidR="00CB07DA" w:rsidRPr="007278E9" w:rsidRDefault="00CB07DA" w:rsidP="00CB07DA">
      <w:pPr>
        <w:ind w:left="630"/>
        <w:jc w:val="both"/>
        <w:rPr>
          <w:rFonts w:cs="Microsoft Sans Serif"/>
          <w:sz w:val="20"/>
          <w:szCs w:val="20"/>
          <w:lang w:val="fr-FR"/>
        </w:rPr>
      </w:pPr>
    </w:p>
    <w:p w14:paraId="74E8270A" w14:textId="196E0C1B" w:rsidR="00CB07DA" w:rsidRPr="007278E9" w:rsidRDefault="00FA183E" w:rsidP="00CB07DA">
      <w:pPr>
        <w:numPr>
          <w:ilvl w:val="0"/>
          <w:numId w:val="53"/>
        </w:numPr>
        <w:ind w:left="1260"/>
        <w:contextualSpacing/>
        <w:jc w:val="both"/>
        <w:rPr>
          <w:sz w:val="24"/>
          <w:szCs w:val="24"/>
          <w:lang w:val="fr-FR"/>
        </w:rPr>
      </w:pPr>
      <w:r w:rsidRPr="007278E9">
        <w:rPr>
          <w:sz w:val="24"/>
          <w:szCs w:val="24"/>
          <w:lang w:val="fr-FR"/>
        </w:rPr>
        <w:t>Un</w:t>
      </w:r>
      <w:r w:rsidR="00CB07DA" w:rsidRPr="007278E9">
        <w:rPr>
          <w:sz w:val="24"/>
          <w:szCs w:val="24"/>
          <w:lang w:val="fr-FR"/>
        </w:rPr>
        <w:t xml:space="preserve"> plan d’exécution du Projet, les plans, caractéristiques techniques et cahier des charges jugés nécessaires de l’avis de la Banque</w:t>
      </w:r>
      <w:r>
        <w:rPr>
          <w:sz w:val="24"/>
          <w:szCs w:val="24"/>
          <w:lang w:val="fr-FR"/>
        </w:rPr>
        <w:t xml:space="preserve"> </w:t>
      </w:r>
      <w:r w:rsidR="00CB07DA" w:rsidRPr="007278E9">
        <w:rPr>
          <w:sz w:val="24"/>
          <w:szCs w:val="24"/>
          <w:lang w:val="fr-FR"/>
        </w:rPr>
        <w:t xml:space="preserve">; </w:t>
      </w:r>
    </w:p>
    <w:p w14:paraId="092E9748" w14:textId="77777777" w:rsidR="00CB07DA" w:rsidRPr="007278E9" w:rsidRDefault="00CB07DA" w:rsidP="00CB07DA">
      <w:pPr>
        <w:ind w:left="1260"/>
        <w:contextualSpacing/>
        <w:jc w:val="both"/>
        <w:rPr>
          <w:sz w:val="24"/>
          <w:szCs w:val="24"/>
          <w:lang w:val="fr-FR"/>
        </w:rPr>
      </w:pPr>
    </w:p>
    <w:p w14:paraId="5B6E6751" w14:textId="2DD3149E" w:rsidR="00CB07DA" w:rsidRPr="007278E9" w:rsidRDefault="00FA183E" w:rsidP="00CB07DA">
      <w:pPr>
        <w:numPr>
          <w:ilvl w:val="0"/>
          <w:numId w:val="53"/>
        </w:numPr>
        <w:ind w:left="1260"/>
        <w:contextualSpacing/>
        <w:jc w:val="both"/>
        <w:rPr>
          <w:sz w:val="24"/>
          <w:szCs w:val="24"/>
          <w:lang w:val="fr-FR"/>
        </w:rPr>
      </w:pPr>
      <w:r w:rsidRPr="007278E9">
        <w:rPr>
          <w:sz w:val="24"/>
          <w:szCs w:val="24"/>
          <w:lang w:val="fr-FR"/>
        </w:rPr>
        <w:t>Un</w:t>
      </w:r>
      <w:r w:rsidR="00CB07DA" w:rsidRPr="007278E9">
        <w:rPr>
          <w:sz w:val="24"/>
          <w:szCs w:val="24"/>
          <w:lang w:val="fr-FR"/>
        </w:rPr>
        <w:t xml:space="preserve"> calendrier d’exécution des travaux</w:t>
      </w:r>
      <w:r>
        <w:rPr>
          <w:sz w:val="24"/>
          <w:szCs w:val="24"/>
          <w:lang w:val="fr-FR"/>
        </w:rPr>
        <w:t xml:space="preserve"> </w:t>
      </w:r>
      <w:r w:rsidR="00CB07DA" w:rsidRPr="007278E9">
        <w:rPr>
          <w:sz w:val="24"/>
          <w:szCs w:val="24"/>
          <w:lang w:val="fr-FR"/>
        </w:rPr>
        <w:t xml:space="preserve">; </w:t>
      </w:r>
    </w:p>
    <w:p w14:paraId="357E772D" w14:textId="77777777" w:rsidR="00CB07DA" w:rsidRPr="007278E9" w:rsidRDefault="00CB07DA" w:rsidP="00CB07DA">
      <w:pPr>
        <w:ind w:left="1260"/>
        <w:contextualSpacing/>
        <w:jc w:val="both"/>
        <w:rPr>
          <w:sz w:val="24"/>
          <w:szCs w:val="24"/>
          <w:lang w:val="fr-FR"/>
        </w:rPr>
      </w:pPr>
    </w:p>
    <w:p w14:paraId="4FAED0A3" w14:textId="0092C3CC" w:rsidR="00CB07DA" w:rsidRPr="007278E9" w:rsidRDefault="00FA183E" w:rsidP="00CB07DA">
      <w:pPr>
        <w:numPr>
          <w:ilvl w:val="0"/>
          <w:numId w:val="53"/>
        </w:numPr>
        <w:ind w:left="1260"/>
        <w:contextualSpacing/>
        <w:jc w:val="both"/>
        <w:rPr>
          <w:sz w:val="24"/>
          <w:szCs w:val="24"/>
          <w:lang w:val="fr-FR"/>
        </w:rPr>
      </w:pPr>
      <w:r w:rsidRPr="007278E9">
        <w:rPr>
          <w:sz w:val="24"/>
          <w:szCs w:val="24"/>
          <w:lang w:val="fr-FR"/>
        </w:rPr>
        <w:t>Un</w:t>
      </w:r>
      <w:r w:rsidR="00CB07DA" w:rsidRPr="007278E9">
        <w:rPr>
          <w:sz w:val="24"/>
          <w:szCs w:val="24"/>
          <w:lang w:val="fr-FR"/>
        </w:rPr>
        <w:t xml:space="preserve"> état de l’origine et de l’utilisation des fonds comprenant un calendrier détaillé d’investissements, conforme aux catégories d’investissement figurant dans cet Accord, et l’indication des apports annuels nécessaires des différentes sources de financement avec lesquelles le Projet sera financé.</w:t>
      </w:r>
    </w:p>
    <w:p w14:paraId="0086EE83" w14:textId="77777777" w:rsidR="00CB07DA" w:rsidRPr="007278E9" w:rsidRDefault="00CB07DA" w:rsidP="00CB07DA">
      <w:pPr>
        <w:autoSpaceDE w:val="0"/>
        <w:autoSpaceDN w:val="0"/>
        <w:adjustRightInd w:val="0"/>
        <w:ind w:left="1260"/>
        <w:jc w:val="both"/>
        <w:rPr>
          <w:sz w:val="24"/>
          <w:szCs w:val="24"/>
          <w:lang w:val="fr-FR"/>
        </w:rPr>
      </w:pPr>
    </w:p>
    <w:p w14:paraId="5378BD47" w14:textId="1F6F4A12" w:rsidR="00CB07DA" w:rsidRPr="007278E9" w:rsidRDefault="00FA183E" w:rsidP="00CB07DA">
      <w:pPr>
        <w:numPr>
          <w:ilvl w:val="0"/>
          <w:numId w:val="53"/>
        </w:numPr>
        <w:autoSpaceDE w:val="0"/>
        <w:autoSpaceDN w:val="0"/>
        <w:adjustRightInd w:val="0"/>
        <w:ind w:left="1260"/>
        <w:contextualSpacing/>
        <w:jc w:val="both"/>
        <w:rPr>
          <w:sz w:val="24"/>
          <w:szCs w:val="24"/>
          <w:lang w:val="fr-FR"/>
        </w:rPr>
      </w:pPr>
      <w:r w:rsidRPr="007278E9">
        <w:rPr>
          <w:sz w:val="24"/>
          <w:szCs w:val="24"/>
          <w:lang w:val="fr-FR"/>
        </w:rPr>
        <w:t>Le</w:t>
      </w:r>
      <w:r w:rsidR="00CB07DA" w:rsidRPr="007278E9">
        <w:rPr>
          <w:sz w:val="24"/>
          <w:szCs w:val="24"/>
          <w:lang w:val="fr-FR"/>
        </w:rPr>
        <w:t xml:space="preserve"> format des rapports relatifs à l’exécution du Projet visés à l’Article 7.03 des Normes Générales de l’Accord de Don :</w:t>
      </w:r>
    </w:p>
    <w:p w14:paraId="5A0234A5" w14:textId="77777777" w:rsidR="00CB07DA" w:rsidRPr="007278E9" w:rsidRDefault="00CB07DA" w:rsidP="00CB07DA">
      <w:pPr>
        <w:ind w:left="720"/>
        <w:contextualSpacing/>
        <w:jc w:val="both"/>
        <w:rPr>
          <w:sz w:val="24"/>
          <w:szCs w:val="24"/>
          <w:lang w:val="fr-FR"/>
        </w:rPr>
      </w:pPr>
    </w:p>
    <w:p w14:paraId="21AA79CE" w14:textId="77777777" w:rsidR="00CB07DA" w:rsidRPr="007278E9" w:rsidRDefault="00CB07DA" w:rsidP="00CB07DA">
      <w:pPr>
        <w:numPr>
          <w:ilvl w:val="1"/>
          <w:numId w:val="53"/>
        </w:numPr>
        <w:autoSpaceDE w:val="0"/>
        <w:autoSpaceDN w:val="0"/>
        <w:adjustRightInd w:val="0"/>
        <w:ind w:left="1620"/>
        <w:contextualSpacing/>
        <w:jc w:val="both"/>
        <w:rPr>
          <w:sz w:val="24"/>
          <w:szCs w:val="24"/>
          <w:lang w:val="fr-FR"/>
        </w:rPr>
      </w:pPr>
      <w:r w:rsidRPr="007278E9">
        <w:rPr>
          <w:sz w:val="24"/>
          <w:szCs w:val="24"/>
          <w:lang w:val="fr-FR"/>
        </w:rPr>
        <w:t>Rapport Semestriels d’avancement</w:t>
      </w:r>
    </w:p>
    <w:p w14:paraId="240FA1D7" w14:textId="77777777" w:rsidR="00CB07DA" w:rsidRPr="007278E9" w:rsidRDefault="00CB07DA" w:rsidP="00CB07DA">
      <w:pPr>
        <w:numPr>
          <w:ilvl w:val="1"/>
          <w:numId w:val="53"/>
        </w:numPr>
        <w:autoSpaceDE w:val="0"/>
        <w:autoSpaceDN w:val="0"/>
        <w:adjustRightInd w:val="0"/>
        <w:ind w:left="1620"/>
        <w:contextualSpacing/>
        <w:jc w:val="both"/>
        <w:rPr>
          <w:sz w:val="24"/>
          <w:szCs w:val="24"/>
          <w:lang w:val="fr-FR"/>
        </w:rPr>
      </w:pPr>
      <w:r w:rsidRPr="007278E9">
        <w:rPr>
          <w:sz w:val="24"/>
          <w:szCs w:val="24"/>
          <w:lang w:val="fr-FR"/>
        </w:rPr>
        <w:t>Rapport sur les Aspects Environnementaux et Sociaux</w:t>
      </w:r>
    </w:p>
    <w:p w14:paraId="06C06BF5" w14:textId="77777777" w:rsidR="00CB07DA" w:rsidRPr="007278E9" w:rsidRDefault="00CB07DA" w:rsidP="00CB07DA">
      <w:pPr>
        <w:numPr>
          <w:ilvl w:val="1"/>
          <w:numId w:val="53"/>
        </w:numPr>
        <w:autoSpaceDE w:val="0"/>
        <w:autoSpaceDN w:val="0"/>
        <w:adjustRightInd w:val="0"/>
        <w:ind w:left="1620"/>
        <w:contextualSpacing/>
        <w:jc w:val="both"/>
        <w:rPr>
          <w:sz w:val="24"/>
          <w:szCs w:val="24"/>
          <w:lang w:val="fr-FR"/>
        </w:rPr>
      </w:pPr>
      <w:r w:rsidRPr="007278E9">
        <w:rPr>
          <w:sz w:val="24"/>
          <w:szCs w:val="24"/>
          <w:lang w:val="fr-FR"/>
        </w:rPr>
        <w:t>Plan de Passation des Marchés</w:t>
      </w:r>
    </w:p>
    <w:p w14:paraId="1EFA47FC" w14:textId="77777777" w:rsidR="00CB07DA" w:rsidRPr="007278E9" w:rsidRDefault="00CB07DA" w:rsidP="00CB07DA">
      <w:pPr>
        <w:numPr>
          <w:ilvl w:val="1"/>
          <w:numId w:val="53"/>
        </w:numPr>
        <w:autoSpaceDE w:val="0"/>
        <w:autoSpaceDN w:val="0"/>
        <w:adjustRightInd w:val="0"/>
        <w:ind w:left="1620"/>
        <w:contextualSpacing/>
        <w:jc w:val="both"/>
        <w:rPr>
          <w:sz w:val="24"/>
          <w:szCs w:val="24"/>
          <w:lang w:val="fr-FR"/>
        </w:rPr>
      </w:pPr>
      <w:r w:rsidRPr="007278E9">
        <w:rPr>
          <w:sz w:val="24"/>
          <w:szCs w:val="24"/>
          <w:lang w:val="fr-FR"/>
        </w:rPr>
        <w:t>Rapport d’entretien des ouvrages et équipements</w:t>
      </w:r>
    </w:p>
    <w:p w14:paraId="02A847F2" w14:textId="77777777" w:rsidR="00CB07DA" w:rsidRPr="007278E9" w:rsidRDefault="00CB07DA" w:rsidP="00CB07DA">
      <w:pPr>
        <w:autoSpaceDE w:val="0"/>
        <w:autoSpaceDN w:val="0"/>
        <w:adjustRightInd w:val="0"/>
        <w:ind w:left="1440"/>
        <w:contextualSpacing/>
        <w:jc w:val="both"/>
        <w:rPr>
          <w:rFonts w:cs="Microsoft Sans Serif"/>
          <w:sz w:val="20"/>
          <w:szCs w:val="20"/>
          <w:lang w:val="fr-FR"/>
        </w:rPr>
      </w:pPr>
    </w:p>
    <w:p w14:paraId="0CDCC7A3" w14:textId="0B796833" w:rsidR="00CB07DA" w:rsidRPr="007278E9" w:rsidRDefault="00CB07DA" w:rsidP="00CB07DA">
      <w:pPr>
        <w:keepNext/>
        <w:keepLines/>
        <w:spacing w:before="200"/>
        <w:jc w:val="both"/>
        <w:outlineLvl w:val="1"/>
        <w:rPr>
          <w:rFonts w:eastAsia="Times New Roman"/>
          <w:b/>
          <w:bCs/>
          <w:sz w:val="24"/>
          <w:szCs w:val="24"/>
          <w:lang w:val="fr-FR"/>
        </w:rPr>
      </w:pPr>
      <w:bookmarkStart w:id="75" w:name="_Toc3810482"/>
      <w:r w:rsidRPr="007278E9">
        <w:rPr>
          <w:rFonts w:eastAsia="Times New Roman"/>
          <w:b/>
          <w:bCs/>
          <w:sz w:val="24"/>
          <w:szCs w:val="24"/>
          <w:lang w:val="fr-FR"/>
        </w:rPr>
        <w:t>Plan Annuels d’Opération du Projet. Réunions annuelles de suivi</w:t>
      </w:r>
      <w:bookmarkEnd w:id="75"/>
      <w:r w:rsidRPr="007278E9">
        <w:rPr>
          <w:rFonts w:eastAsia="Times New Roman"/>
          <w:b/>
          <w:bCs/>
          <w:sz w:val="24"/>
          <w:szCs w:val="24"/>
          <w:lang w:val="fr-FR"/>
        </w:rPr>
        <w:t xml:space="preserve">  </w:t>
      </w:r>
    </w:p>
    <w:p w14:paraId="0CE37EF4" w14:textId="77777777" w:rsidR="00CB07DA" w:rsidRPr="007278E9" w:rsidRDefault="00CB07DA" w:rsidP="00CB07DA">
      <w:pPr>
        <w:jc w:val="both"/>
        <w:rPr>
          <w:sz w:val="24"/>
          <w:szCs w:val="24"/>
          <w:lang w:val="fr-FR"/>
        </w:rPr>
      </w:pPr>
    </w:p>
    <w:p w14:paraId="0E8A0CBC"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L’UCP</w:t>
      </w:r>
      <w:r w:rsidR="005A4262">
        <w:rPr>
          <w:sz w:val="24"/>
          <w:szCs w:val="24"/>
          <w:lang w:val="fr-FR"/>
        </w:rPr>
        <w:t>/</w:t>
      </w:r>
      <w:r w:rsidRPr="007278E9">
        <w:rPr>
          <w:sz w:val="24"/>
          <w:szCs w:val="24"/>
          <w:lang w:val="fr-FR"/>
        </w:rPr>
        <w:t>MEF, l</w:t>
      </w:r>
      <w:r>
        <w:rPr>
          <w:sz w:val="24"/>
          <w:szCs w:val="24"/>
          <w:lang w:val="fr-FR"/>
        </w:rPr>
        <w:t>’OMRH</w:t>
      </w:r>
      <w:r w:rsidRPr="007278E9">
        <w:rPr>
          <w:sz w:val="24"/>
          <w:szCs w:val="24"/>
          <w:lang w:val="fr-FR"/>
        </w:rPr>
        <w:t xml:space="preserve"> et la Banque se réuniront chaque année pendant la période d’exécution du Programme mais après avoir reçu le rapport de suivi du POA afin de : </w:t>
      </w:r>
    </w:p>
    <w:p w14:paraId="6117320F" w14:textId="77777777" w:rsidR="00CB07DA" w:rsidRPr="007278E9" w:rsidRDefault="00CB07DA" w:rsidP="00CB07DA">
      <w:pPr>
        <w:ind w:left="900"/>
        <w:jc w:val="both"/>
        <w:rPr>
          <w:sz w:val="24"/>
          <w:szCs w:val="24"/>
          <w:lang w:val="fr-FR"/>
        </w:rPr>
      </w:pPr>
    </w:p>
    <w:p w14:paraId="51E85160" w14:textId="3457B40E" w:rsidR="00CB07DA" w:rsidRPr="007278E9" w:rsidRDefault="00FA183E" w:rsidP="00CB07DA">
      <w:pPr>
        <w:numPr>
          <w:ilvl w:val="0"/>
          <w:numId w:val="54"/>
        </w:numPr>
        <w:ind w:left="1260"/>
        <w:contextualSpacing/>
        <w:jc w:val="both"/>
        <w:rPr>
          <w:sz w:val="24"/>
          <w:szCs w:val="24"/>
          <w:lang w:val="fr-FR"/>
        </w:rPr>
      </w:pPr>
      <w:r w:rsidRPr="007278E9">
        <w:rPr>
          <w:sz w:val="24"/>
          <w:szCs w:val="24"/>
          <w:lang w:val="fr-FR"/>
        </w:rPr>
        <w:t>Analyser</w:t>
      </w:r>
      <w:r w:rsidR="00CB07DA" w:rsidRPr="007278E9">
        <w:rPr>
          <w:sz w:val="24"/>
          <w:szCs w:val="24"/>
          <w:lang w:val="fr-FR"/>
        </w:rPr>
        <w:t xml:space="preserve"> le degré d’avancement du POA de l’année précédente ; </w:t>
      </w:r>
    </w:p>
    <w:p w14:paraId="5886A73D" w14:textId="77777777" w:rsidR="00CB07DA" w:rsidRPr="007278E9" w:rsidRDefault="00CB07DA" w:rsidP="00CB07DA">
      <w:pPr>
        <w:ind w:left="1260"/>
        <w:contextualSpacing/>
        <w:jc w:val="both"/>
        <w:rPr>
          <w:sz w:val="24"/>
          <w:szCs w:val="24"/>
          <w:lang w:val="fr-FR"/>
        </w:rPr>
      </w:pPr>
    </w:p>
    <w:p w14:paraId="40CAC76C" w14:textId="4BAC7AE2" w:rsidR="00CB07DA" w:rsidRPr="007278E9" w:rsidRDefault="00FA183E" w:rsidP="00CB07DA">
      <w:pPr>
        <w:numPr>
          <w:ilvl w:val="0"/>
          <w:numId w:val="54"/>
        </w:numPr>
        <w:ind w:left="1260"/>
        <w:contextualSpacing/>
        <w:jc w:val="both"/>
        <w:rPr>
          <w:sz w:val="24"/>
          <w:szCs w:val="24"/>
          <w:lang w:val="fr-FR"/>
        </w:rPr>
      </w:pPr>
      <w:r w:rsidRPr="007278E9">
        <w:rPr>
          <w:sz w:val="24"/>
          <w:szCs w:val="24"/>
          <w:lang w:val="fr-FR"/>
        </w:rPr>
        <w:t>Trouver</w:t>
      </w:r>
      <w:r w:rsidR="00CB07DA" w:rsidRPr="007278E9">
        <w:rPr>
          <w:sz w:val="24"/>
          <w:szCs w:val="24"/>
          <w:lang w:val="fr-FR"/>
        </w:rPr>
        <w:t xml:space="preserve"> des solutions aux problèmes critiques accompagnées de leur calendrier d’exécution respectif, le cas échéant ; </w:t>
      </w:r>
    </w:p>
    <w:p w14:paraId="3E51422A" w14:textId="77777777" w:rsidR="00CB07DA" w:rsidRPr="007278E9" w:rsidRDefault="00CB07DA" w:rsidP="00CB07DA">
      <w:pPr>
        <w:ind w:left="1260"/>
        <w:contextualSpacing/>
        <w:jc w:val="both"/>
        <w:rPr>
          <w:sz w:val="24"/>
          <w:szCs w:val="24"/>
          <w:lang w:val="fr-FR"/>
        </w:rPr>
      </w:pPr>
    </w:p>
    <w:p w14:paraId="4E642D7C" w14:textId="3038DB14" w:rsidR="00CB07DA" w:rsidRPr="007278E9" w:rsidRDefault="00FA183E" w:rsidP="00CB07DA">
      <w:pPr>
        <w:numPr>
          <w:ilvl w:val="0"/>
          <w:numId w:val="54"/>
        </w:numPr>
        <w:ind w:left="1260"/>
        <w:contextualSpacing/>
        <w:jc w:val="both"/>
        <w:rPr>
          <w:sz w:val="24"/>
          <w:szCs w:val="24"/>
          <w:lang w:val="fr-FR"/>
        </w:rPr>
      </w:pPr>
      <w:r w:rsidRPr="007278E9">
        <w:rPr>
          <w:sz w:val="24"/>
          <w:szCs w:val="24"/>
          <w:lang w:val="fr-FR"/>
        </w:rPr>
        <w:t>Proposer</w:t>
      </w:r>
      <w:r w:rsidR="00CB07DA" w:rsidRPr="007278E9">
        <w:rPr>
          <w:sz w:val="24"/>
          <w:szCs w:val="24"/>
          <w:lang w:val="fr-FR"/>
        </w:rPr>
        <w:t xml:space="preserve"> des ajustements pour l’année suivante ; </w:t>
      </w:r>
    </w:p>
    <w:p w14:paraId="7431BAEC" w14:textId="77777777" w:rsidR="00CB07DA" w:rsidRPr="007278E9" w:rsidRDefault="00CB07DA" w:rsidP="00CB07DA">
      <w:pPr>
        <w:ind w:left="1260"/>
        <w:contextualSpacing/>
        <w:jc w:val="both"/>
        <w:rPr>
          <w:sz w:val="24"/>
          <w:szCs w:val="24"/>
          <w:lang w:val="fr-FR"/>
        </w:rPr>
      </w:pPr>
    </w:p>
    <w:p w14:paraId="32DCD783" w14:textId="03871A91" w:rsidR="00CB07DA" w:rsidRPr="007278E9" w:rsidRDefault="00FA183E" w:rsidP="00CB07DA">
      <w:pPr>
        <w:numPr>
          <w:ilvl w:val="0"/>
          <w:numId w:val="54"/>
        </w:numPr>
        <w:ind w:left="1260"/>
        <w:contextualSpacing/>
        <w:jc w:val="both"/>
        <w:rPr>
          <w:sz w:val="24"/>
          <w:szCs w:val="24"/>
          <w:lang w:val="fr-FR"/>
        </w:rPr>
      </w:pPr>
      <w:r w:rsidRPr="007278E9">
        <w:rPr>
          <w:sz w:val="24"/>
          <w:szCs w:val="24"/>
          <w:lang w:val="fr-FR" w:eastAsia="ja-JP"/>
        </w:rPr>
        <w:t>Vérifier</w:t>
      </w:r>
      <w:r w:rsidR="00CB07DA" w:rsidRPr="007278E9">
        <w:rPr>
          <w:sz w:val="24"/>
          <w:szCs w:val="24"/>
          <w:lang w:val="fr-FR" w:eastAsia="ja-JP"/>
        </w:rPr>
        <w:t xml:space="preserve"> que les travaux aient les fonds nécessaires pour le financement des mesures de minimisation des impacts environnementaux et sociaux ; et </w:t>
      </w:r>
    </w:p>
    <w:p w14:paraId="5D448618" w14:textId="77777777" w:rsidR="00CB07DA" w:rsidRPr="007278E9" w:rsidRDefault="00CB07DA" w:rsidP="00CB07DA">
      <w:pPr>
        <w:ind w:left="1260"/>
        <w:contextualSpacing/>
        <w:jc w:val="both"/>
        <w:rPr>
          <w:sz w:val="24"/>
          <w:szCs w:val="24"/>
          <w:lang w:val="fr-FR"/>
        </w:rPr>
      </w:pPr>
    </w:p>
    <w:p w14:paraId="28D927D4" w14:textId="794B4B13" w:rsidR="00CB07DA" w:rsidRPr="007278E9" w:rsidRDefault="00FA183E" w:rsidP="00CB07DA">
      <w:pPr>
        <w:numPr>
          <w:ilvl w:val="0"/>
          <w:numId w:val="54"/>
        </w:numPr>
        <w:ind w:left="1260"/>
        <w:contextualSpacing/>
        <w:jc w:val="both"/>
        <w:rPr>
          <w:sz w:val="24"/>
          <w:szCs w:val="24"/>
          <w:lang w:val="fr-FR"/>
        </w:rPr>
      </w:pPr>
      <w:r w:rsidRPr="007278E9">
        <w:rPr>
          <w:sz w:val="24"/>
          <w:szCs w:val="24"/>
          <w:lang w:val="fr-FR"/>
        </w:rPr>
        <w:t>Actualiser</w:t>
      </w:r>
      <w:r w:rsidR="00CB07DA" w:rsidRPr="007278E9">
        <w:rPr>
          <w:sz w:val="24"/>
          <w:szCs w:val="24"/>
          <w:lang w:val="fr-FR"/>
        </w:rPr>
        <w:t xml:space="preserve"> le Plan de Passation des Marchés du Programme</w:t>
      </w:r>
    </w:p>
    <w:p w14:paraId="2DD9B314" w14:textId="77777777" w:rsidR="00CB07DA" w:rsidRPr="007278E9" w:rsidRDefault="00CB07DA" w:rsidP="00CB07DA">
      <w:pPr>
        <w:ind w:left="900"/>
        <w:jc w:val="both"/>
        <w:rPr>
          <w:sz w:val="24"/>
          <w:szCs w:val="24"/>
          <w:lang w:val="fr-FR"/>
        </w:rPr>
      </w:pPr>
    </w:p>
    <w:p w14:paraId="13B7CF8C" w14:textId="63037121"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lastRenderedPageBreak/>
        <w:t>Ces réunions permettront de préparer le POA pour la prochaine année. Le POA établira des projections</w:t>
      </w:r>
      <w:r w:rsidR="002A1CD4">
        <w:rPr>
          <w:sz w:val="24"/>
          <w:szCs w:val="24"/>
          <w:lang w:val="fr-FR"/>
        </w:rPr>
        <w:t xml:space="preserve"> s</w:t>
      </w:r>
      <w:r w:rsidRPr="007278E9">
        <w:rPr>
          <w:sz w:val="24"/>
          <w:szCs w:val="24"/>
          <w:lang w:val="fr-FR"/>
        </w:rPr>
        <w:t>ur: (i) l’identification des projets et le volume des ressources à être engagées et décaissées ; (ii) les coûts opérationnels de l’Organisme d’Exécution ; (iii) les délais d’exécution des projets ; et (iv) les coûts unitaires de construction, pour différents types de travaux.</w:t>
      </w:r>
    </w:p>
    <w:p w14:paraId="0DA1FA11" w14:textId="77777777" w:rsidR="00CB07DA" w:rsidRPr="007278E9" w:rsidRDefault="00CB07DA" w:rsidP="00CB07DA">
      <w:pPr>
        <w:pStyle w:val="ColorfulList-Accent111"/>
        <w:ind w:left="540"/>
        <w:jc w:val="both"/>
        <w:rPr>
          <w:sz w:val="24"/>
          <w:szCs w:val="24"/>
          <w:lang w:val="fr-FR"/>
        </w:rPr>
      </w:pPr>
    </w:p>
    <w:p w14:paraId="1A03073D"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 xml:space="preserve">Le POA, accompagné du Plan de Passation de Marchés actualisé devra être soumis à la révision et approbation de la Banque au cours des trois derniers mois de chaque année civile. </w:t>
      </w:r>
    </w:p>
    <w:p w14:paraId="01397752" w14:textId="77777777" w:rsidR="00022DDB" w:rsidRDefault="00022DDB">
      <w:pPr>
        <w:ind w:left="540"/>
        <w:contextualSpacing/>
        <w:jc w:val="both"/>
        <w:rPr>
          <w:rFonts w:eastAsia="MS Mincho"/>
          <w:sz w:val="24"/>
          <w:szCs w:val="24"/>
          <w:lang w:val="fr-FR"/>
        </w:rPr>
      </w:pPr>
      <w:bookmarkStart w:id="76" w:name="_Toc315958996"/>
    </w:p>
    <w:p w14:paraId="14A33532" w14:textId="77777777" w:rsidR="004B163C" w:rsidRPr="004B163C" w:rsidRDefault="004B163C" w:rsidP="004B163C">
      <w:pPr>
        <w:keepNext/>
        <w:keepLines/>
        <w:spacing w:before="200"/>
        <w:jc w:val="both"/>
        <w:outlineLvl w:val="1"/>
        <w:rPr>
          <w:rFonts w:eastAsia="Times New Roman"/>
          <w:b/>
          <w:bCs/>
          <w:sz w:val="24"/>
          <w:szCs w:val="24"/>
          <w:lang w:val="fr-FR"/>
        </w:rPr>
      </w:pPr>
      <w:bookmarkStart w:id="77" w:name="_Toc355173692"/>
      <w:bookmarkStart w:id="78" w:name="_Toc355714606"/>
      <w:bookmarkStart w:id="79" w:name="_Toc517290544"/>
      <w:bookmarkStart w:id="80" w:name="_Toc359225652"/>
      <w:bookmarkStart w:id="81" w:name="_Toc3810483"/>
      <w:r w:rsidRPr="004B163C">
        <w:rPr>
          <w:rFonts w:eastAsia="Times New Roman"/>
          <w:b/>
          <w:bCs/>
          <w:sz w:val="24"/>
          <w:szCs w:val="24"/>
          <w:lang w:val="fr-FR"/>
        </w:rPr>
        <w:t>Rapport semestriel d’avancement</w:t>
      </w:r>
      <w:bookmarkEnd w:id="77"/>
      <w:bookmarkEnd w:id="78"/>
      <w:bookmarkEnd w:id="79"/>
      <w:bookmarkEnd w:id="80"/>
      <w:bookmarkEnd w:id="81"/>
    </w:p>
    <w:p w14:paraId="543C7FAD" w14:textId="77777777" w:rsidR="004B163C" w:rsidRPr="004B163C" w:rsidRDefault="004B163C" w:rsidP="004B163C">
      <w:pPr>
        <w:ind w:left="540"/>
        <w:jc w:val="both"/>
        <w:rPr>
          <w:rFonts w:eastAsia="MS Mincho"/>
          <w:sz w:val="24"/>
          <w:szCs w:val="24"/>
          <w:lang w:val="fr-FR" w:bidi="th-TH"/>
        </w:rPr>
      </w:pPr>
    </w:p>
    <w:p w14:paraId="2FFB0440" w14:textId="77777777" w:rsidR="00CB07DA" w:rsidRPr="007278E9" w:rsidRDefault="00CB07DA" w:rsidP="00CB07DA">
      <w:pPr>
        <w:pStyle w:val="ColorfulList-Accent111"/>
        <w:numPr>
          <w:ilvl w:val="1"/>
          <w:numId w:val="51"/>
        </w:numPr>
        <w:jc w:val="both"/>
        <w:rPr>
          <w:sz w:val="24"/>
          <w:szCs w:val="24"/>
          <w:lang w:val="fr-FR"/>
        </w:rPr>
      </w:pPr>
      <w:r>
        <w:rPr>
          <w:sz w:val="24"/>
          <w:szCs w:val="24"/>
          <w:lang w:val="fr-FR"/>
        </w:rPr>
        <w:t>L’UCP-MEF et l’OMRH</w:t>
      </w:r>
      <w:r w:rsidRPr="007278E9">
        <w:rPr>
          <w:sz w:val="24"/>
          <w:szCs w:val="24"/>
          <w:lang w:val="fr-FR"/>
        </w:rPr>
        <w:t xml:space="preserve"> devr</w:t>
      </w:r>
      <w:r>
        <w:rPr>
          <w:sz w:val="24"/>
          <w:szCs w:val="24"/>
          <w:lang w:val="fr-FR"/>
        </w:rPr>
        <w:t>ont</w:t>
      </w:r>
      <w:r w:rsidRPr="007278E9">
        <w:rPr>
          <w:sz w:val="24"/>
          <w:szCs w:val="24"/>
          <w:lang w:val="fr-FR"/>
        </w:rPr>
        <w:t xml:space="preserve"> présenter des rapports semestriels d’avancement dans les soixante (60) jours suivant la fin de chaque semestre calendaire. Ces rapports devront comporter les informations suivantes relatives aux aspects techniques :</w:t>
      </w:r>
    </w:p>
    <w:p w14:paraId="4BDED8BA" w14:textId="77777777" w:rsidR="00CB07DA" w:rsidRPr="007278E9" w:rsidRDefault="00CB07DA" w:rsidP="00CB07DA">
      <w:pPr>
        <w:ind w:left="900"/>
        <w:jc w:val="both"/>
        <w:rPr>
          <w:sz w:val="24"/>
          <w:szCs w:val="24"/>
          <w:lang w:val="fr-FR" w:bidi="th-TH"/>
        </w:rPr>
      </w:pPr>
    </w:p>
    <w:p w14:paraId="3F2D2A5E" w14:textId="0F25DBEF" w:rsidR="00CB07DA" w:rsidRPr="007278E9" w:rsidRDefault="00FA183E" w:rsidP="00CB07DA">
      <w:pPr>
        <w:numPr>
          <w:ilvl w:val="0"/>
          <w:numId w:val="55"/>
        </w:numPr>
        <w:ind w:hanging="450"/>
        <w:contextualSpacing/>
        <w:jc w:val="both"/>
        <w:rPr>
          <w:sz w:val="24"/>
          <w:szCs w:val="24"/>
          <w:lang w:val="fr-FR" w:bidi="th-TH"/>
        </w:rPr>
      </w:pPr>
      <w:r w:rsidRPr="007278E9">
        <w:rPr>
          <w:sz w:val="24"/>
          <w:szCs w:val="24"/>
          <w:lang w:val="fr-FR" w:bidi="th-TH"/>
        </w:rPr>
        <w:t>Avancement</w:t>
      </w:r>
      <w:r w:rsidR="00CB07DA" w:rsidRPr="007278E9">
        <w:rPr>
          <w:sz w:val="24"/>
          <w:szCs w:val="24"/>
          <w:lang w:val="fr-FR" w:bidi="th-TH"/>
        </w:rPr>
        <w:t xml:space="preserve"> des travaux dans chacune des composantes du Programme ; </w:t>
      </w:r>
    </w:p>
    <w:p w14:paraId="42BF26F9" w14:textId="6CD7B5B6" w:rsidR="00CB07DA" w:rsidRPr="007278E9" w:rsidRDefault="00FA183E" w:rsidP="00CB07DA">
      <w:pPr>
        <w:numPr>
          <w:ilvl w:val="0"/>
          <w:numId w:val="55"/>
        </w:numPr>
        <w:ind w:hanging="450"/>
        <w:contextualSpacing/>
        <w:jc w:val="both"/>
        <w:rPr>
          <w:sz w:val="24"/>
          <w:szCs w:val="24"/>
          <w:lang w:val="fr-FR"/>
        </w:rPr>
      </w:pPr>
      <w:r w:rsidRPr="007278E9">
        <w:rPr>
          <w:sz w:val="24"/>
          <w:szCs w:val="24"/>
          <w:lang w:val="fr-FR" w:bidi="th-TH"/>
        </w:rPr>
        <w:t>Rapport</w:t>
      </w:r>
      <w:r w:rsidR="00CB07DA" w:rsidRPr="007278E9">
        <w:rPr>
          <w:sz w:val="24"/>
          <w:szCs w:val="24"/>
          <w:lang w:val="fr-FR" w:bidi="th-TH"/>
        </w:rPr>
        <w:t xml:space="preserve"> de supervision des travaux de chacune des sous-composantes ; </w:t>
      </w:r>
    </w:p>
    <w:p w14:paraId="3A46FB98" w14:textId="2FC71875" w:rsidR="00CB07DA" w:rsidRPr="007278E9" w:rsidRDefault="00FA183E" w:rsidP="00CB07DA">
      <w:pPr>
        <w:numPr>
          <w:ilvl w:val="0"/>
          <w:numId w:val="55"/>
        </w:numPr>
        <w:ind w:hanging="450"/>
        <w:contextualSpacing/>
        <w:jc w:val="both"/>
        <w:rPr>
          <w:sz w:val="24"/>
          <w:szCs w:val="24"/>
          <w:lang w:val="fr-FR"/>
        </w:rPr>
      </w:pPr>
      <w:r w:rsidRPr="007278E9">
        <w:rPr>
          <w:sz w:val="24"/>
          <w:szCs w:val="24"/>
          <w:lang w:val="fr-FR" w:bidi="th-TH"/>
        </w:rPr>
        <w:t>Indicateurs</w:t>
      </w:r>
      <w:r w:rsidR="00CB07DA" w:rsidRPr="007278E9">
        <w:rPr>
          <w:sz w:val="24"/>
          <w:szCs w:val="24"/>
          <w:lang w:val="fr-FR" w:bidi="th-TH"/>
        </w:rPr>
        <w:t xml:space="preserve"> de résultats ; </w:t>
      </w:r>
    </w:p>
    <w:p w14:paraId="502EC797" w14:textId="5D9FEBD3" w:rsidR="00CB07DA" w:rsidRPr="007278E9" w:rsidRDefault="00FA183E" w:rsidP="00CB07DA">
      <w:pPr>
        <w:numPr>
          <w:ilvl w:val="0"/>
          <w:numId w:val="55"/>
        </w:numPr>
        <w:ind w:hanging="450"/>
        <w:contextualSpacing/>
        <w:jc w:val="both"/>
        <w:rPr>
          <w:sz w:val="24"/>
          <w:szCs w:val="24"/>
          <w:lang w:val="fr-FR"/>
        </w:rPr>
      </w:pPr>
      <w:r w:rsidRPr="007278E9">
        <w:rPr>
          <w:sz w:val="24"/>
          <w:szCs w:val="24"/>
          <w:lang w:val="fr-FR" w:bidi="th-TH"/>
        </w:rPr>
        <w:t>Rapport</w:t>
      </w:r>
      <w:r w:rsidR="00CB07DA" w:rsidRPr="007278E9">
        <w:rPr>
          <w:sz w:val="24"/>
          <w:szCs w:val="24"/>
          <w:lang w:val="fr-FR" w:bidi="th-TH"/>
        </w:rPr>
        <w:t xml:space="preserve"> d’activités et résultats des Organismes d’Exécution ; et </w:t>
      </w:r>
    </w:p>
    <w:p w14:paraId="2DABCFBC" w14:textId="7C95E966" w:rsidR="00CB07DA" w:rsidRPr="007278E9" w:rsidRDefault="00FA183E" w:rsidP="00CB07DA">
      <w:pPr>
        <w:numPr>
          <w:ilvl w:val="0"/>
          <w:numId w:val="55"/>
        </w:numPr>
        <w:ind w:hanging="450"/>
        <w:contextualSpacing/>
        <w:jc w:val="both"/>
        <w:rPr>
          <w:sz w:val="24"/>
          <w:szCs w:val="24"/>
          <w:lang w:val="fr-FR"/>
        </w:rPr>
      </w:pPr>
      <w:r w:rsidRPr="007278E9">
        <w:rPr>
          <w:sz w:val="24"/>
          <w:szCs w:val="24"/>
          <w:lang w:val="fr-FR" w:bidi="th-TH"/>
        </w:rPr>
        <w:t>Tout</w:t>
      </w:r>
      <w:r w:rsidR="00CB07DA" w:rsidRPr="007278E9">
        <w:rPr>
          <w:sz w:val="24"/>
          <w:szCs w:val="24"/>
          <w:lang w:val="fr-FR" w:bidi="th-TH"/>
        </w:rPr>
        <w:t xml:space="preserve"> autre aspect ou considération technique sur l’avancement et la réalisation technique des résultats du Programme. </w:t>
      </w:r>
    </w:p>
    <w:p w14:paraId="334D3E02" w14:textId="77777777" w:rsidR="00CB07DA" w:rsidRPr="007278E9" w:rsidRDefault="00CB07DA" w:rsidP="00CB07DA">
      <w:pPr>
        <w:ind w:left="900"/>
        <w:contextualSpacing/>
        <w:jc w:val="both"/>
        <w:rPr>
          <w:sz w:val="24"/>
          <w:szCs w:val="24"/>
          <w:lang w:val="fr-FR"/>
        </w:rPr>
      </w:pPr>
    </w:p>
    <w:p w14:paraId="35509CFB"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 xml:space="preserve">Le rapport semestriel devra comprendre une section sur l’état des aspects administratifs et financiers qui comprendra, sous réserve de toute autre disposition de la Banque en la matière, les informations suivantes : </w:t>
      </w:r>
    </w:p>
    <w:p w14:paraId="70A3233F" w14:textId="77777777" w:rsidR="00CB07DA" w:rsidRPr="007278E9" w:rsidRDefault="00CB07DA" w:rsidP="00CB07DA">
      <w:pPr>
        <w:ind w:left="900"/>
        <w:jc w:val="both"/>
        <w:rPr>
          <w:sz w:val="24"/>
          <w:szCs w:val="24"/>
          <w:lang w:val="fr-FR" w:bidi="th-TH"/>
        </w:rPr>
      </w:pPr>
    </w:p>
    <w:p w14:paraId="3D8C0E77" w14:textId="7BC418F7" w:rsidR="00CB07DA" w:rsidRPr="007278E9" w:rsidRDefault="00FA183E" w:rsidP="00CB07DA">
      <w:pPr>
        <w:numPr>
          <w:ilvl w:val="0"/>
          <w:numId w:val="56"/>
        </w:numPr>
        <w:contextualSpacing/>
        <w:jc w:val="both"/>
        <w:rPr>
          <w:sz w:val="24"/>
          <w:szCs w:val="24"/>
          <w:lang w:val="fr-FR" w:bidi="th-TH"/>
        </w:rPr>
      </w:pPr>
      <w:r w:rsidRPr="007278E9">
        <w:rPr>
          <w:sz w:val="24"/>
          <w:szCs w:val="24"/>
          <w:lang w:val="fr-FR" w:bidi="th-TH"/>
        </w:rPr>
        <w:t>État</w:t>
      </w:r>
      <w:r w:rsidR="00CB07DA" w:rsidRPr="007278E9">
        <w:rPr>
          <w:sz w:val="24"/>
          <w:szCs w:val="24"/>
          <w:lang w:val="fr-FR" w:bidi="th-TH"/>
        </w:rPr>
        <w:t xml:space="preserve"> des procédures de recrutement, </w:t>
      </w:r>
    </w:p>
    <w:p w14:paraId="4113B855" w14:textId="43CA2E27" w:rsidR="00CB07DA" w:rsidRPr="007278E9" w:rsidRDefault="00FA183E" w:rsidP="00CB07DA">
      <w:pPr>
        <w:numPr>
          <w:ilvl w:val="0"/>
          <w:numId w:val="56"/>
        </w:numPr>
        <w:contextualSpacing/>
        <w:jc w:val="both"/>
        <w:rPr>
          <w:sz w:val="24"/>
          <w:szCs w:val="24"/>
          <w:lang w:val="fr-FR"/>
        </w:rPr>
      </w:pPr>
      <w:r w:rsidRPr="007278E9">
        <w:rPr>
          <w:sz w:val="24"/>
          <w:szCs w:val="24"/>
          <w:lang w:val="fr-FR" w:bidi="th-TH"/>
        </w:rPr>
        <w:t>État</w:t>
      </w:r>
      <w:r w:rsidR="00CB07DA" w:rsidRPr="007278E9">
        <w:rPr>
          <w:sz w:val="24"/>
          <w:szCs w:val="24"/>
          <w:lang w:val="fr-FR" w:bidi="th-TH"/>
        </w:rPr>
        <w:t xml:space="preserve"> des procédures d’acquisition de biens et de services, et </w:t>
      </w:r>
    </w:p>
    <w:p w14:paraId="2C936B33" w14:textId="098FE887" w:rsidR="00CB07DA" w:rsidRPr="007278E9" w:rsidRDefault="00FA183E" w:rsidP="00CB07DA">
      <w:pPr>
        <w:numPr>
          <w:ilvl w:val="0"/>
          <w:numId w:val="56"/>
        </w:numPr>
        <w:contextualSpacing/>
        <w:jc w:val="both"/>
        <w:rPr>
          <w:sz w:val="24"/>
          <w:szCs w:val="24"/>
          <w:lang w:val="fr-FR"/>
        </w:rPr>
      </w:pPr>
      <w:r w:rsidRPr="007278E9">
        <w:rPr>
          <w:sz w:val="24"/>
          <w:szCs w:val="24"/>
          <w:lang w:val="fr-FR" w:bidi="th-TH"/>
        </w:rPr>
        <w:t>Rapport</w:t>
      </w:r>
      <w:r w:rsidR="00CB07DA" w:rsidRPr="007278E9">
        <w:rPr>
          <w:sz w:val="24"/>
          <w:szCs w:val="24"/>
          <w:lang w:val="fr-FR" w:bidi="th-TH"/>
        </w:rPr>
        <w:t xml:space="preserve"> sur la supervision des travaux réalisés dans chacun des contrats d’installation.</w:t>
      </w:r>
    </w:p>
    <w:p w14:paraId="2E844098" w14:textId="77777777" w:rsidR="00A06E1B" w:rsidRDefault="00A06E1B" w:rsidP="00720B8F">
      <w:pPr>
        <w:ind w:left="540"/>
        <w:contextualSpacing/>
        <w:jc w:val="both"/>
        <w:rPr>
          <w:rFonts w:eastAsia="MS Mincho"/>
          <w:sz w:val="24"/>
          <w:szCs w:val="24"/>
          <w:lang w:val="fr-FR"/>
        </w:rPr>
      </w:pPr>
    </w:p>
    <w:p w14:paraId="22AEE27C" w14:textId="77777777" w:rsidR="004B163C" w:rsidRPr="004B163C" w:rsidRDefault="004B163C" w:rsidP="004B163C">
      <w:pPr>
        <w:keepNext/>
        <w:keepLines/>
        <w:spacing w:before="200"/>
        <w:jc w:val="both"/>
        <w:outlineLvl w:val="1"/>
        <w:rPr>
          <w:rFonts w:eastAsia="Times New Roman"/>
          <w:b/>
          <w:bCs/>
          <w:sz w:val="24"/>
          <w:szCs w:val="24"/>
          <w:lang w:val="fr-FR"/>
        </w:rPr>
      </w:pPr>
      <w:bookmarkStart w:id="82" w:name="_Toc355173693"/>
      <w:bookmarkStart w:id="83" w:name="_Toc355714607"/>
      <w:bookmarkStart w:id="84" w:name="_Toc517290545"/>
      <w:bookmarkStart w:id="85" w:name="_Toc359225653"/>
      <w:bookmarkStart w:id="86" w:name="_Toc3810484"/>
      <w:r w:rsidRPr="004B163C">
        <w:rPr>
          <w:rFonts w:eastAsia="Times New Roman"/>
          <w:b/>
          <w:bCs/>
          <w:sz w:val="24"/>
          <w:szCs w:val="24"/>
          <w:lang w:val="fr-FR"/>
        </w:rPr>
        <w:t>Plan de Passation de Marchés</w:t>
      </w:r>
      <w:bookmarkEnd w:id="82"/>
      <w:bookmarkEnd w:id="83"/>
      <w:bookmarkEnd w:id="84"/>
      <w:bookmarkEnd w:id="85"/>
      <w:bookmarkEnd w:id="86"/>
    </w:p>
    <w:p w14:paraId="2A336BAA" w14:textId="77777777" w:rsidR="004B163C" w:rsidRPr="004B163C" w:rsidRDefault="004B163C" w:rsidP="004B163C">
      <w:pPr>
        <w:jc w:val="both"/>
        <w:rPr>
          <w:rFonts w:eastAsia="MS Mincho"/>
          <w:sz w:val="24"/>
          <w:szCs w:val="24"/>
          <w:lang w:val="fr-FR"/>
        </w:rPr>
      </w:pPr>
    </w:p>
    <w:p w14:paraId="11B63094"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 xml:space="preserve">Avant de lancer un appel d’offres </w:t>
      </w:r>
      <w:r>
        <w:rPr>
          <w:sz w:val="24"/>
          <w:szCs w:val="24"/>
          <w:lang w:val="fr-FR"/>
        </w:rPr>
        <w:t>pour l’octroi d’un contrat, l’UCP-MEF</w:t>
      </w:r>
      <w:r w:rsidRPr="007278E9">
        <w:rPr>
          <w:sz w:val="24"/>
          <w:szCs w:val="24"/>
          <w:lang w:val="fr-FR"/>
        </w:rPr>
        <w:t xml:space="preserve"> doit présenter à l’examen et à l’approbation de la Banque, les Plans de Passation de Marchés proposée pour le projet qui lui correspond, conformément aux dispositions du paragraphe 1 des politiques de Passation des Marchés. Ces plans devront être actualisés semi annuellement, de concert avec chaque rapport semestriel conformément à la clause 5.01(b) des clauses spéciales. Les passations des marchés des travaux et biens seront réalisés d’après les Plans de Passation des Marches approuvées pour la Banque.  </w:t>
      </w:r>
    </w:p>
    <w:p w14:paraId="15724CC0" w14:textId="77777777" w:rsidR="00CB07DA" w:rsidRPr="007278E9" w:rsidRDefault="00CB07DA" w:rsidP="00CB07DA">
      <w:pPr>
        <w:jc w:val="both"/>
        <w:rPr>
          <w:sz w:val="24"/>
          <w:szCs w:val="24"/>
          <w:lang w:val="fr-FR"/>
        </w:rPr>
      </w:pPr>
    </w:p>
    <w:p w14:paraId="5CF710F4" w14:textId="77777777" w:rsidR="00CB07DA" w:rsidRPr="007278E9" w:rsidRDefault="00CB07DA" w:rsidP="00CB07DA">
      <w:pPr>
        <w:keepNext/>
        <w:keepLines/>
        <w:spacing w:before="200"/>
        <w:jc w:val="both"/>
        <w:outlineLvl w:val="1"/>
        <w:rPr>
          <w:rFonts w:eastAsia="Times New Roman"/>
          <w:b/>
          <w:bCs/>
          <w:sz w:val="24"/>
          <w:szCs w:val="24"/>
          <w:lang w:val="fr-FR"/>
        </w:rPr>
      </w:pPr>
      <w:bookmarkStart w:id="87" w:name="_Toc3810485"/>
      <w:r w:rsidRPr="007278E9">
        <w:rPr>
          <w:rFonts w:eastAsia="Times New Roman"/>
          <w:b/>
          <w:bCs/>
          <w:sz w:val="24"/>
          <w:szCs w:val="24"/>
          <w:lang w:val="fr-FR"/>
        </w:rPr>
        <w:lastRenderedPageBreak/>
        <w:t>Rapport d’entretien des ouvrages et équipements</w:t>
      </w:r>
      <w:bookmarkEnd w:id="87"/>
    </w:p>
    <w:p w14:paraId="0D524B1E" w14:textId="77777777" w:rsidR="00CB07DA" w:rsidRPr="007278E9" w:rsidRDefault="00CB07DA" w:rsidP="00CB07DA">
      <w:pPr>
        <w:autoSpaceDE w:val="0"/>
        <w:autoSpaceDN w:val="0"/>
        <w:adjustRightInd w:val="0"/>
        <w:jc w:val="both"/>
        <w:rPr>
          <w:sz w:val="24"/>
          <w:szCs w:val="24"/>
          <w:lang w:val="fr-FR"/>
        </w:rPr>
      </w:pPr>
    </w:p>
    <w:p w14:paraId="291875A6"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Le Bénéficiaire et les Organismes d’Exécution s’engagent à ce que les ouvrages et équipements compris dans cet Accord soient entretenus convenablement, conformément à des normes techniques généralement acceptées.</w:t>
      </w:r>
    </w:p>
    <w:p w14:paraId="2A661A2D" w14:textId="77777777" w:rsidR="00CB07DA" w:rsidRPr="007278E9" w:rsidRDefault="00CB07DA" w:rsidP="00CB07DA">
      <w:pPr>
        <w:pStyle w:val="ColorfulList-Accent111"/>
        <w:ind w:left="540"/>
        <w:jc w:val="both"/>
        <w:rPr>
          <w:sz w:val="24"/>
          <w:szCs w:val="24"/>
          <w:lang w:val="fr-FR"/>
        </w:rPr>
      </w:pPr>
    </w:p>
    <w:p w14:paraId="2A070505"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 xml:space="preserve">À cet effet, </w:t>
      </w:r>
      <w:r w:rsidR="00BD575B">
        <w:rPr>
          <w:sz w:val="24"/>
          <w:szCs w:val="24"/>
          <w:lang w:val="fr-FR"/>
        </w:rPr>
        <w:t xml:space="preserve">ils </w:t>
      </w:r>
      <w:r w:rsidRPr="007278E9">
        <w:rPr>
          <w:sz w:val="24"/>
          <w:szCs w:val="24"/>
          <w:lang w:val="fr-FR"/>
        </w:rPr>
        <w:t>présent</w:t>
      </w:r>
      <w:r w:rsidR="00BD575B">
        <w:rPr>
          <w:sz w:val="24"/>
          <w:szCs w:val="24"/>
          <w:lang w:val="fr-FR"/>
        </w:rPr>
        <w:t xml:space="preserve">eront </w:t>
      </w:r>
      <w:r w:rsidRPr="007278E9">
        <w:rPr>
          <w:sz w:val="24"/>
          <w:szCs w:val="24"/>
          <w:lang w:val="fr-FR"/>
        </w:rPr>
        <w:t>à la Banque, pendant cinq ans à compter de la date d’entrée en vigueur de l’Accord, et au cours du premier trimestre de chaque année civile, un rapport annuel d’entretien, que devra inclure l’information générale comprenant :</w:t>
      </w:r>
    </w:p>
    <w:p w14:paraId="6A584E08" w14:textId="77777777" w:rsidR="00CB07DA" w:rsidRPr="007278E9" w:rsidRDefault="00CB07DA" w:rsidP="00CB07DA">
      <w:pPr>
        <w:ind w:left="900"/>
        <w:jc w:val="both"/>
        <w:rPr>
          <w:sz w:val="24"/>
          <w:szCs w:val="24"/>
          <w:lang w:val="fr-FR"/>
        </w:rPr>
      </w:pPr>
    </w:p>
    <w:p w14:paraId="58B6721B" w14:textId="32B0327B" w:rsidR="00CB07DA" w:rsidRPr="007278E9" w:rsidRDefault="00FA183E" w:rsidP="00CB07DA">
      <w:pPr>
        <w:numPr>
          <w:ilvl w:val="0"/>
          <w:numId w:val="57"/>
        </w:numPr>
        <w:ind w:left="1260"/>
        <w:contextualSpacing/>
        <w:jc w:val="both"/>
        <w:rPr>
          <w:sz w:val="24"/>
          <w:szCs w:val="24"/>
          <w:lang w:val="fr-FR"/>
        </w:rPr>
      </w:pPr>
      <w:r w:rsidRPr="007278E9">
        <w:rPr>
          <w:sz w:val="24"/>
          <w:szCs w:val="24"/>
          <w:lang w:val="fr-FR"/>
        </w:rPr>
        <w:t>La</w:t>
      </w:r>
      <w:r w:rsidR="00CB07DA" w:rsidRPr="007278E9">
        <w:rPr>
          <w:sz w:val="24"/>
          <w:szCs w:val="24"/>
          <w:lang w:val="fr-FR"/>
        </w:rPr>
        <w:t xml:space="preserve"> structure organisationnelle et les responsabilités de l’entité en charge de l’entretien ; </w:t>
      </w:r>
    </w:p>
    <w:p w14:paraId="6A44508B" w14:textId="77777777" w:rsidR="00CB07DA" w:rsidRPr="007278E9" w:rsidRDefault="00CB07DA" w:rsidP="00CB07DA">
      <w:pPr>
        <w:ind w:left="1260"/>
        <w:contextualSpacing/>
        <w:jc w:val="both"/>
        <w:rPr>
          <w:sz w:val="24"/>
          <w:szCs w:val="24"/>
          <w:lang w:val="fr-FR"/>
        </w:rPr>
      </w:pPr>
    </w:p>
    <w:p w14:paraId="59D2E36C" w14:textId="4627F61D" w:rsidR="00CB07DA" w:rsidRPr="007278E9" w:rsidRDefault="00FA183E" w:rsidP="00CB07DA">
      <w:pPr>
        <w:numPr>
          <w:ilvl w:val="0"/>
          <w:numId w:val="57"/>
        </w:numPr>
        <w:ind w:left="1260"/>
        <w:contextualSpacing/>
        <w:jc w:val="both"/>
        <w:rPr>
          <w:sz w:val="24"/>
          <w:szCs w:val="24"/>
          <w:lang w:val="fr-FR"/>
        </w:rPr>
      </w:pPr>
      <w:r w:rsidRPr="007278E9">
        <w:rPr>
          <w:sz w:val="24"/>
          <w:szCs w:val="24"/>
          <w:lang w:val="fr-FR"/>
        </w:rPr>
        <w:t>La</w:t>
      </w:r>
      <w:r w:rsidR="00CB07DA" w:rsidRPr="007278E9">
        <w:rPr>
          <w:sz w:val="24"/>
          <w:szCs w:val="24"/>
          <w:lang w:val="fr-FR"/>
        </w:rPr>
        <w:t xml:space="preserve"> classification, le nombre et la distribution du personnel affecté aux dits travaux, de même que le type, le nombre, la distribution et les conditions d’opérations de l’équipement à entretenir ; et </w:t>
      </w:r>
    </w:p>
    <w:p w14:paraId="0A6B9AE7" w14:textId="77777777" w:rsidR="00CB07DA" w:rsidRPr="007278E9" w:rsidRDefault="00CB07DA" w:rsidP="00CB07DA">
      <w:pPr>
        <w:ind w:left="1260"/>
        <w:contextualSpacing/>
        <w:jc w:val="both"/>
        <w:rPr>
          <w:sz w:val="24"/>
          <w:szCs w:val="24"/>
          <w:lang w:val="fr-FR"/>
        </w:rPr>
      </w:pPr>
    </w:p>
    <w:p w14:paraId="5D223C46" w14:textId="1FCFAD03" w:rsidR="00CB07DA" w:rsidRPr="007278E9" w:rsidRDefault="00FA183E" w:rsidP="00CB07DA">
      <w:pPr>
        <w:numPr>
          <w:ilvl w:val="0"/>
          <w:numId w:val="57"/>
        </w:numPr>
        <w:ind w:left="1260"/>
        <w:contextualSpacing/>
        <w:jc w:val="both"/>
        <w:rPr>
          <w:sz w:val="24"/>
          <w:szCs w:val="24"/>
          <w:lang w:val="fr-FR"/>
        </w:rPr>
      </w:pPr>
      <w:r w:rsidRPr="007278E9">
        <w:rPr>
          <w:sz w:val="24"/>
          <w:szCs w:val="24"/>
          <w:lang w:val="fr-FR"/>
        </w:rPr>
        <w:t>Les</w:t>
      </w:r>
      <w:r w:rsidR="00CB07DA" w:rsidRPr="007278E9">
        <w:rPr>
          <w:sz w:val="24"/>
          <w:szCs w:val="24"/>
          <w:lang w:val="fr-FR"/>
        </w:rPr>
        <w:t xml:space="preserve"> contrats d’entretien en cours, leur terme, leur couverture et leur stade d’exécution.</w:t>
      </w:r>
    </w:p>
    <w:p w14:paraId="056F37A7" w14:textId="77777777" w:rsidR="00CB07DA" w:rsidRPr="007278E9" w:rsidRDefault="00CB07DA" w:rsidP="00CB07DA">
      <w:pPr>
        <w:ind w:left="900"/>
        <w:jc w:val="both"/>
        <w:rPr>
          <w:sz w:val="24"/>
          <w:szCs w:val="24"/>
          <w:lang w:val="fr-FR"/>
        </w:rPr>
      </w:pPr>
    </w:p>
    <w:p w14:paraId="16B6BC91" w14:textId="77777777" w:rsidR="00CB07DA" w:rsidRPr="00C03882" w:rsidRDefault="00CB07DA" w:rsidP="00CB07DA">
      <w:pPr>
        <w:pStyle w:val="ColorfulList-Accent111"/>
        <w:numPr>
          <w:ilvl w:val="1"/>
          <w:numId w:val="51"/>
        </w:numPr>
        <w:jc w:val="both"/>
        <w:rPr>
          <w:sz w:val="24"/>
          <w:szCs w:val="24"/>
          <w:lang w:val="fr-FR"/>
        </w:rPr>
      </w:pPr>
      <w:r w:rsidRPr="007278E9">
        <w:rPr>
          <w:sz w:val="24"/>
          <w:szCs w:val="24"/>
          <w:lang w:val="fr-FR"/>
        </w:rPr>
        <w:t xml:space="preserve">S’il ressort des inspections effectuées par la Banque, ou des rapports qu’elle reçoit, que </w:t>
      </w:r>
      <w:r w:rsidRPr="00C03882">
        <w:rPr>
          <w:sz w:val="24"/>
          <w:szCs w:val="24"/>
          <w:lang w:val="fr-FR"/>
        </w:rPr>
        <w:t>l’entretien n’est pas conforme aux niveaux convenus, le Bénéficiaire et l’Organisme d’Exécution devront prendre les mesures nécessaires pour pallier totalement les insuffisances.</w:t>
      </w:r>
    </w:p>
    <w:p w14:paraId="7B6CB14F" w14:textId="77777777" w:rsidR="00CB07DA" w:rsidRPr="00C03882" w:rsidRDefault="00CB07DA" w:rsidP="00CB07DA">
      <w:pPr>
        <w:pStyle w:val="ColorfulList-Accent111"/>
        <w:ind w:left="540"/>
        <w:jc w:val="both"/>
        <w:rPr>
          <w:sz w:val="24"/>
          <w:szCs w:val="24"/>
          <w:lang w:val="fr-FR"/>
        </w:rPr>
      </w:pPr>
    </w:p>
    <w:p w14:paraId="13DB0B1A" w14:textId="77777777" w:rsidR="00CB07DA" w:rsidRPr="006603E9" w:rsidRDefault="00CB07DA" w:rsidP="00CB07DA">
      <w:pPr>
        <w:pStyle w:val="ColorfulList-Accent111"/>
        <w:numPr>
          <w:ilvl w:val="1"/>
          <w:numId w:val="51"/>
        </w:numPr>
        <w:jc w:val="both"/>
        <w:rPr>
          <w:sz w:val="24"/>
          <w:szCs w:val="24"/>
          <w:lang w:val="fr-FR"/>
        </w:rPr>
      </w:pPr>
      <w:bookmarkStart w:id="88" w:name="_Hlk532464059"/>
      <w:r w:rsidRPr="006603E9">
        <w:rPr>
          <w:sz w:val="24"/>
          <w:szCs w:val="24"/>
          <w:lang w:val="fr-FR"/>
        </w:rPr>
        <w:t>Le premier rapport annuel d’entretien</w:t>
      </w:r>
      <w:r w:rsidR="008E0396" w:rsidRPr="006603E9">
        <w:rPr>
          <w:sz w:val="24"/>
          <w:szCs w:val="24"/>
          <w:lang w:val="fr-FR"/>
        </w:rPr>
        <w:t xml:space="preserve"> des </w:t>
      </w:r>
      <w:r w:rsidR="003F19AB" w:rsidRPr="006603E9">
        <w:rPr>
          <w:sz w:val="24"/>
          <w:szCs w:val="24"/>
          <w:lang w:val="fr-FR"/>
        </w:rPr>
        <w:t>équipements</w:t>
      </w:r>
      <w:r w:rsidR="008E0396" w:rsidRPr="006603E9">
        <w:rPr>
          <w:sz w:val="24"/>
          <w:szCs w:val="24"/>
          <w:lang w:val="fr-FR"/>
        </w:rPr>
        <w:t xml:space="preserve"> et de </w:t>
      </w:r>
      <w:r w:rsidR="006149DB" w:rsidRPr="006603E9">
        <w:rPr>
          <w:sz w:val="24"/>
          <w:szCs w:val="24"/>
          <w:lang w:val="fr-FR"/>
        </w:rPr>
        <w:t>réhabilitation</w:t>
      </w:r>
      <w:r w:rsidRPr="006603E9">
        <w:rPr>
          <w:sz w:val="24"/>
          <w:szCs w:val="24"/>
          <w:lang w:val="fr-FR"/>
        </w:rPr>
        <w:t xml:space="preserve"> devra comprendre le plan correspondant à l’année fiscale suivant la date d’entrée en vigueur de cet Accord.</w:t>
      </w:r>
    </w:p>
    <w:bookmarkEnd w:id="88"/>
    <w:p w14:paraId="5545B165" w14:textId="77777777" w:rsidR="00CB07DA" w:rsidRPr="007278E9" w:rsidRDefault="00CB07DA" w:rsidP="00CB07DA">
      <w:pPr>
        <w:autoSpaceDE w:val="0"/>
        <w:autoSpaceDN w:val="0"/>
        <w:adjustRightInd w:val="0"/>
        <w:jc w:val="both"/>
        <w:rPr>
          <w:rFonts w:cs="Microsoft Sans Serif"/>
          <w:sz w:val="20"/>
          <w:szCs w:val="20"/>
          <w:lang w:val="fr-FR"/>
        </w:rPr>
      </w:pPr>
    </w:p>
    <w:p w14:paraId="6DB35E6F" w14:textId="77777777" w:rsidR="00CB07DA" w:rsidRPr="007278E9" w:rsidRDefault="00CB07DA" w:rsidP="00CB07DA">
      <w:pPr>
        <w:keepNext/>
        <w:keepLines/>
        <w:spacing w:before="200"/>
        <w:jc w:val="both"/>
        <w:outlineLvl w:val="1"/>
        <w:rPr>
          <w:rFonts w:eastAsia="Times New Roman"/>
          <w:sz w:val="24"/>
          <w:szCs w:val="24"/>
          <w:lang w:val="fr-FR"/>
        </w:rPr>
      </w:pPr>
      <w:bookmarkStart w:id="89" w:name="_Toc3810486"/>
      <w:r w:rsidRPr="007278E9">
        <w:rPr>
          <w:rFonts w:eastAsia="Times New Roman"/>
          <w:b/>
          <w:bCs/>
          <w:sz w:val="24"/>
          <w:szCs w:val="24"/>
          <w:lang w:val="fr-FR"/>
        </w:rPr>
        <w:t>Audit Externe des États Financiers</w:t>
      </w:r>
      <w:bookmarkEnd w:id="89"/>
    </w:p>
    <w:p w14:paraId="153AB400" w14:textId="77777777" w:rsidR="00CB07DA" w:rsidRPr="007278E9" w:rsidRDefault="00CB07DA" w:rsidP="00CB07DA">
      <w:pPr>
        <w:autoSpaceDE w:val="0"/>
        <w:autoSpaceDN w:val="0"/>
        <w:adjustRightInd w:val="0"/>
        <w:jc w:val="both"/>
        <w:rPr>
          <w:sz w:val="24"/>
          <w:szCs w:val="24"/>
          <w:lang w:val="fr-FR"/>
        </w:rPr>
      </w:pPr>
    </w:p>
    <w:p w14:paraId="0818183B"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 xml:space="preserve">Les vérifications des activités du programme, les états financiers et autres rapports précisés dans les Clauses Spéciales de l’Accord de Don seront audités par des auditeurs indépendants jugés acceptables par la Banque, conformément aux normes et principes d’audit jugés acceptables par la Banque. L’UCP-MEF, (qui agira pour le projet dans son ensemble) s’engage à présenter, à la demande de la Banque, les informations relatives aux auditeurs indépendants contractés que celle-ci lui demandera. </w:t>
      </w:r>
    </w:p>
    <w:p w14:paraId="1F6633B4" w14:textId="77777777" w:rsidR="00CB07DA" w:rsidRPr="007278E9" w:rsidRDefault="00CB07DA" w:rsidP="00CB07DA">
      <w:pPr>
        <w:pStyle w:val="ColorfulList-Accent111"/>
        <w:ind w:left="540"/>
        <w:jc w:val="both"/>
        <w:rPr>
          <w:sz w:val="24"/>
          <w:szCs w:val="24"/>
          <w:lang w:val="fr-FR"/>
        </w:rPr>
      </w:pPr>
    </w:p>
    <w:p w14:paraId="2EDA3092"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 xml:space="preserve">L’UCP-MEF </w:t>
      </w:r>
      <w:r w:rsidRPr="007278E9">
        <w:rPr>
          <w:b/>
          <w:sz w:val="24"/>
          <w:szCs w:val="24"/>
          <w:lang w:val="fr-FR"/>
        </w:rPr>
        <w:t>embauchera les auditeurs indépendants</w:t>
      </w:r>
      <w:r w:rsidRPr="007278E9">
        <w:rPr>
          <w:sz w:val="24"/>
          <w:szCs w:val="24"/>
          <w:lang w:val="fr-FR"/>
        </w:rPr>
        <w:t xml:space="preserve"> nécessaires pour la présentation en temps voulu des états financiers et autres rapports mentionnés dans le paragraphe précédent, </w:t>
      </w:r>
      <w:r w:rsidRPr="007278E9">
        <w:rPr>
          <w:b/>
          <w:sz w:val="24"/>
          <w:szCs w:val="24"/>
          <w:lang w:val="fr-FR"/>
        </w:rPr>
        <w:t>au plus tard quatre (4) mois avant la clôture de chaque exercice budgétaire à partir de la date d’entrée en vigueur de l’Accord</w:t>
      </w:r>
      <w:r w:rsidRPr="007278E9">
        <w:rPr>
          <w:sz w:val="24"/>
          <w:szCs w:val="24"/>
          <w:lang w:val="fr-FR"/>
        </w:rPr>
        <w:t xml:space="preserve">, ou dans tout autre délai convenu entre </w:t>
      </w:r>
      <w:r w:rsidRPr="007278E9">
        <w:rPr>
          <w:sz w:val="24"/>
          <w:szCs w:val="24"/>
          <w:lang w:val="fr-FR"/>
        </w:rPr>
        <w:lastRenderedPageBreak/>
        <w:t xml:space="preserve">les parties, conformément aux procédures et cahiers des charges précédemment acceptés par la Banque. </w:t>
      </w:r>
    </w:p>
    <w:p w14:paraId="03862304" w14:textId="77777777" w:rsidR="00CB07DA" w:rsidRPr="007278E9" w:rsidRDefault="00CB07DA" w:rsidP="00CB07DA">
      <w:pPr>
        <w:pStyle w:val="ColorfulList-Accent111"/>
        <w:ind w:left="0"/>
        <w:jc w:val="both"/>
        <w:rPr>
          <w:sz w:val="24"/>
          <w:szCs w:val="24"/>
          <w:lang w:val="fr-FR"/>
        </w:rPr>
      </w:pPr>
    </w:p>
    <w:p w14:paraId="4BF9F8FD"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Les travaux de la firme seront fondés sur les termes de référence qui lui seront attribués en accord avec la Banque, et qui incluront les preuves nécessaires pour valider l'admissibilité des initiatives soutenues par l'incubateur d’entreprises ou les EPC du programme.</w:t>
      </w:r>
    </w:p>
    <w:p w14:paraId="4FD1E604" w14:textId="77777777" w:rsidR="00CB07DA" w:rsidRPr="007278E9" w:rsidRDefault="00CB07DA" w:rsidP="00CB07DA">
      <w:pPr>
        <w:pStyle w:val="ColorfulList-Accent111"/>
        <w:ind w:left="0"/>
        <w:jc w:val="both"/>
        <w:rPr>
          <w:sz w:val="24"/>
          <w:szCs w:val="24"/>
          <w:lang w:val="fr-FR"/>
        </w:rPr>
      </w:pPr>
    </w:p>
    <w:p w14:paraId="4271F4B4"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 xml:space="preserve">L’UCP-MEF devra autoriser les auditeurs à fournir à la Banque les informations supplémentaires que celle-ci pourra raisonnablement demander, en rapport avec les états financiers et autres rapports audités. </w:t>
      </w:r>
    </w:p>
    <w:p w14:paraId="28C581A5" w14:textId="77777777" w:rsidR="00CB07DA" w:rsidRPr="007278E9" w:rsidRDefault="00CB07DA" w:rsidP="00CB07DA">
      <w:pPr>
        <w:pStyle w:val="ColorfulList-Accent111"/>
        <w:ind w:left="0"/>
        <w:jc w:val="both"/>
        <w:rPr>
          <w:sz w:val="24"/>
          <w:szCs w:val="24"/>
          <w:lang w:val="fr-FR"/>
        </w:rPr>
      </w:pPr>
    </w:p>
    <w:p w14:paraId="3C0B7221" w14:textId="77777777" w:rsidR="00CB07DA" w:rsidRPr="007278E9" w:rsidRDefault="00CB07DA" w:rsidP="00CB07DA">
      <w:pPr>
        <w:pStyle w:val="ColorfulList-Accent111"/>
        <w:numPr>
          <w:ilvl w:val="1"/>
          <w:numId w:val="51"/>
        </w:numPr>
        <w:jc w:val="both"/>
        <w:rPr>
          <w:sz w:val="24"/>
          <w:szCs w:val="24"/>
          <w:lang w:val="fr-FR"/>
        </w:rPr>
      </w:pPr>
      <w:r w:rsidRPr="007278E9">
        <w:rPr>
          <w:sz w:val="24"/>
          <w:szCs w:val="24"/>
          <w:lang w:val="fr-FR"/>
        </w:rPr>
        <w:t>Les dossiers d’appel d’offre et les contrats financés avec les ressources de la Contribution qui sont conclus par le Bénéficiaire, l’Organisme d’Exécution ou l’Organisme Contractant, devront inclure une disposition requérant que les candidats, les soumissionnaires, les fournisseurs de biens ou prestataires de services ainsi que leurs représentants, les entrepreneurs, les consultants, le personnel, les sous-traitants, les sous-consultants ainsi que leurs représentants ou les concessionnaires autorisent la Banque à examiner tout compte, tout dossier et tous autres documents relatifs à la soumission des propositions et à l’exécution du contrat, ainsi qu’à les soumettre pour vérification à des auditeurs désignés par la Banque.</w:t>
      </w:r>
    </w:p>
    <w:p w14:paraId="1E263801" w14:textId="77777777" w:rsidR="00CB07DA" w:rsidRPr="007278E9" w:rsidRDefault="00CB07DA" w:rsidP="00CB07DA">
      <w:pPr>
        <w:pStyle w:val="ColorfulList-Accent111"/>
        <w:ind w:left="0"/>
        <w:jc w:val="both"/>
        <w:rPr>
          <w:sz w:val="24"/>
          <w:szCs w:val="24"/>
          <w:lang w:val="fr-FR"/>
        </w:rPr>
      </w:pPr>
    </w:p>
    <w:p w14:paraId="3B3F33F0" w14:textId="17DDB0D9" w:rsidR="00CB07DA" w:rsidRPr="007278E9" w:rsidRDefault="00CB07DA" w:rsidP="00CB07DA">
      <w:pPr>
        <w:pStyle w:val="ColorfulList-Accent111"/>
        <w:numPr>
          <w:ilvl w:val="1"/>
          <w:numId w:val="51"/>
        </w:numPr>
        <w:jc w:val="both"/>
        <w:rPr>
          <w:sz w:val="24"/>
          <w:szCs w:val="24"/>
          <w:lang w:val="fr-FR"/>
        </w:rPr>
      </w:pPr>
      <w:r w:rsidRPr="007278E9">
        <w:rPr>
          <w:b/>
          <w:sz w:val="24"/>
          <w:szCs w:val="24"/>
          <w:lang w:val="fr-FR"/>
        </w:rPr>
        <w:t xml:space="preserve">Rapport d’évaluation ex </w:t>
      </w:r>
      <w:r w:rsidR="002A1CD4" w:rsidRPr="007278E9">
        <w:rPr>
          <w:b/>
          <w:sz w:val="24"/>
          <w:szCs w:val="24"/>
          <w:lang w:val="fr-FR"/>
        </w:rPr>
        <w:t>post</w:t>
      </w:r>
      <w:r w:rsidR="002A1CD4">
        <w:rPr>
          <w:sz w:val="24"/>
          <w:szCs w:val="24"/>
          <w:lang w:val="fr-FR"/>
        </w:rPr>
        <w:t>.</w:t>
      </w:r>
      <w:r w:rsidR="002A1CD4" w:rsidRPr="007278E9">
        <w:rPr>
          <w:sz w:val="24"/>
          <w:szCs w:val="24"/>
          <w:lang w:val="fr-FR"/>
        </w:rPr>
        <w:t xml:space="preserve"> Le</w:t>
      </w:r>
      <w:r w:rsidRPr="007278E9">
        <w:rPr>
          <w:sz w:val="24"/>
          <w:szCs w:val="24"/>
          <w:lang w:val="fr-FR"/>
        </w:rPr>
        <w:t xml:space="preserve"> Bénéficiaire</w:t>
      </w:r>
      <w:r w:rsidR="002A1CD4">
        <w:rPr>
          <w:sz w:val="24"/>
          <w:szCs w:val="24"/>
          <w:lang w:val="fr-FR"/>
        </w:rPr>
        <w:t xml:space="preserve"> </w:t>
      </w:r>
      <w:r w:rsidRPr="007278E9">
        <w:rPr>
          <w:sz w:val="24"/>
          <w:szCs w:val="24"/>
          <w:lang w:val="fr-FR"/>
        </w:rPr>
        <w:t xml:space="preserve">devra, </w:t>
      </w:r>
      <w:r>
        <w:rPr>
          <w:sz w:val="24"/>
          <w:szCs w:val="24"/>
          <w:lang w:val="fr-FR"/>
        </w:rPr>
        <w:t>OMRH</w:t>
      </w:r>
      <w:r w:rsidRPr="007278E9">
        <w:rPr>
          <w:sz w:val="24"/>
          <w:szCs w:val="24"/>
          <w:lang w:val="fr-FR"/>
        </w:rPr>
        <w:t xml:space="preserve"> et MEF, présenter à la Banque une fois que les composantes auront été exécutées, et pour tirer des leçons pour des projets futurs, toutes les informations indispensables pour que celle-ceux prépare un rapport d’évaluation ex post (rapport d’achèvement de projet). </w:t>
      </w:r>
    </w:p>
    <w:p w14:paraId="02B85329" w14:textId="77777777" w:rsidR="00A06E1B" w:rsidRDefault="005A4262" w:rsidP="00720B8F">
      <w:pPr>
        <w:pStyle w:val="ColorfulList-Accent111"/>
        <w:ind w:left="0"/>
        <w:jc w:val="center"/>
        <w:rPr>
          <w:b/>
          <w:color w:val="1F497D"/>
          <w:sz w:val="24"/>
          <w:szCs w:val="24"/>
          <w:lang w:val="fr-FR"/>
        </w:rPr>
      </w:pPr>
      <w:r>
        <w:rPr>
          <w:b/>
          <w:color w:val="1F497D"/>
          <w:sz w:val="24"/>
          <w:szCs w:val="24"/>
          <w:lang w:val="fr-FR"/>
        </w:rPr>
        <w:t>_______________</w:t>
      </w:r>
    </w:p>
    <w:bookmarkEnd w:id="76"/>
    <w:p w14:paraId="745AFE9E" w14:textId="77777777" w:rsidR="00A06E1B" w:rsidRDefault="00A06E1B" w:rsidP="00720B8F">
      <w:pPr>
        <w:contextualSpacing/>
        <w:jc w:val="both"/>
        <w:rPr>
          <w:b/>
          <w:color w:val="1F497D"/>
          <w:sz w:val="24"/>
          <w:szCs w:val="24"/>
          <w:lang w:val="fr-FR"/>
        </w:rPr>
      </w:pPr>
    </w:p>
    <w:sectPr w:rsidR="00A06E1B" w:rsidSect="00294F04">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FBD19" w14:textId="77777777" w:rsidR="00DD16AF" w:rsidRDefault="00DD16AF" w:rsidP="002A1642">
      <w:r>
        <w:separator/>
      </w:r>
    </w:p>
  </w:endnote>
  <w:endnote w:type="continuationSeparator" w:id="0">
    <w:p w14:paraId="1FB20447" w14:textId="77777777" w:rsidR="00DD16AF" w:rsidRDefault="00DD16AF" w:rsidP="002A1642">
      <w:r>
        <w:continuationSeparator/>
      </w:r>
    </w:p>
  </w:endnote>
  <w:endnote w:type="continuationNotice" w:id="1">
    <w:p w14:paraId="3932C9C3" w14:textId="77777777" w:rsidR="00DD16AF" w:rsidRDefault="00DD16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MS Mincho"/>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58E46" w14:textId="77777777" w:rsidR="00DD16AF" w:rsidRDefault="00DD16AF">
    <w:pPr>
      <w:pStyle w:val="Footer"/>
      <w:jc w:val="center"/>
    </w:pPr>
    <w:r>
      <w:rPr>
        <w:noProof/>
      </w:rPr>
      <w:fldChar w:fldCharType="begin"/>
    </w:r>
    <w:r>
      <w:rPr>
        <w:noProof/>
      </w:rPr>
      <w:instrText xml:space="preserve"> PAGE   \* MERGEFORMAT </w:instrText>
    </w:r>
    <w:r>
      <w:rPr>
        <w:noProof/>
      </w:rPr>
      <w:fldChar w:fldCharType="separate"/>
    </w:r>
    <w:r>
      <w:rPr>
        <w:noProof/>
      </w:rPr>
      <w:t>36</w:t>
    </w:r>
    <w:r>
      <w:rPr>
        <w:noProof/>
      </w:rPr>
      <w:fldChar w:fldCharType="end"/>
    </w:r>
  </w:p>
  <w:p w14:paraId="71F01295" w14:textId="77777777" w:rsidR="00DD16AF" w:rsidRDefault="00DD16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DC43D" w14:textId="77777777" w:rsidR="00DD16AF" w:rsidRDefault="00DD16AF" w:rsidP="002A1642">
      <w:r>
        <w:separator/>
      </w:r>
    </w:p>
  </w:footnote>
  <w:footnote w:type="continuationSeparator" w:id="0">
    <w:p w14:paraId="6B9DDFBC" w14:textId="77777777" w:rsidR="00DD16AF" w:rsidRDefault="00DD16AF" w:rsidP="002A1642">
      <w:r>
        <w:continuationSeparator/>
      </w:r>
    </w:p>
  </w:footnote>
  <w:footnote w:type="continuationNotice" w:id="1">
    <w:p w14:paraId="01FDA138" w14:textId="77777777" w:rsidR="00DD16AF" w:rsidRDefault="00DD16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C5411" w14:textId="77777777" w:rsidR="00DD16AF" w:rsidRDefault="00DD16AF">
    <w:pPr>
      <w:pStyle w:val="Header"/>
    </w:pPr>
  </w:p>
  <w:p w14:paraId="6DF20968" w14:textId="77777777" w:rsidR="00DD16AF" w:rsidRDefault="00DD1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7B53"/>
    <w:multiLevelType w:val="hybridMultilevel"/>
    <w:tmpl w:val="DB306DDE"/>
    <w:lvl w:ilvl="0" w:tplc="E0D61D70">
      <w:start w:val="1"/>
      <w:numFmt w:val="lowerLetter"/>
      <w:lvlText w:val="%1)"/>
      <w:lvlJc w:val="left"/>
      <w:pPr>
        <w:ind w:left="630" w:hanging="360"/>
      </w:pPr>
      <w:rPr>
        <w:rFonts w:cs="Calibri" w:hint="default"/>
        <w:b w:val="0"/>
        <w:sz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79052CC"/>
    <w:multiLevelType w:val="hybridMultilevel"/>
    <w:tmpl w:val="5E347CEE"/>
    <w:lvl w:ilvl="0" w:tplc="1A989F4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37BCA"/>
    <w:multiLevelType w:val="hybridMultilevel"/>
    <w:tmpl w:val="107CCDC8"/>
    <w:lvl w:ilvl="0" w:tplc="48741202">
      <w:start w:val="1"/>
      <w:numFmt w:val="lowerRoman"/>
      <w:lvlText w:val="%1."/>
      <w:lvlJc w:val="lef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 w15:restartNumberingAfterBreak="0">
    <w:nsid w:val="0AF62D39"/>
    <w:multiLevelType w:val="hybridMultilevel"/>
    <w:tmpl w:val="5802D4DA"/>
    <w:lvl w:ilvl="0" w:tplc="D86E9148">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5D40EE36">
      <w:start w:val="2"/>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18453D"/>
    <w:multiLevelType w:val="hybridMultilevel"/>
    <w:tmpl w:val="0C3011EC"/>
    <w:lvl w:ilvl="0" w:tplc="135AD3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282D46"/>
    <w:multiLevelType w:val="hybridMultilevel"/>
    <w:tmpl w:val="E5EE72AE"/>
    <w:lvl w:ilvl="0" w:tplc="6F0A4FF6">
      <w:start w:val="1"/>
      <w:numFmt w:val="upperLetter"/>
      <w:pStyle w:val="Heading2"/>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84493"/>
    <w:multiLevelType w:val="multilevel"/>
    <w:tmpl w:val="0F8E3E00"/>
    <w:lvl w:ilvl="0">
      <w:start w:val="1"/>
      <w:numFmt w:val="upperRoman"/>
      <w:lvlText w:val="%1."/>
      <w:lvlJc w:val="right"/>
      <w:pPr>
        <w:ind w:left="720" w:hanging="360"/>
      </w:pPr>
      <w:rPr>
        <w:rFonts w:hint="default"/>
      </w:rPr>
    </w:lvl>
    <w:lvl w:ilvl="1">
      <w:start w:val="1"/>
      <w:numFmt w:val="decimal"/>
      <w:lvlText w:val="5.%2"/>
      <w:lvlJc w:val="right"/>
      <w:pPr>
        <w:ind w:left="54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F171430"/>
    <w:multiLevelType w:val="hybridMultilevel"/>
    <w:tmpl w:val="5C6C2E2E"/>
    <w:lvl w:ilvl="0" w:tplc="04090001">
      <w:start w:val="1"/>
      <w:numFmt w:val="bullet"/>
      <w:lvlText w:val=""/>
      <w:lvlJc w:val="left"/>
      <w:pPr>
        <w:ind w:left="1080" w:hanging="360"/>
      </w:pPr>
      <w:rPr>
        <w:rFonts w:ascii="Symbol" w:hAnsi="Symbol" w:hint="default"/>
      </w:rPr>
    </w:lvl>
    <w:lvl w:ilvl="1" w:tplc="24090003" w:tentative="1">
      <w:start w:val="1"/>
      <w:numFmt w:val="bullet"/>
      <w:lvlText w:val="o"/>
      <w:lvlJc w:val="left"/>
      <w:pPr>
        <w:ind w:left="1800" w:hanging="360"/>
      </w:pPr>
      <w:rPr>
        <w:rFonts w:ascii="Courier New" w:hAnsi="Courier New" w:cs="Courier New" w:hint="default"/>
      </w:rPr>
    </w:lvl>
    <w:lvl w:ilvl="2" w:tplc="24090005" w:tentative="1">
      <w:start w:val="1"/>
      <w:numFmt w:val="bullet"/>
      <w:lvlText w:val=""/>
      <w:lvlJc w:val="left"/>
      <w:pPr>
        <w:ind w:left="2520" w:hanging="360"/>
      </w:pPr>
      <w:rPr>
        <w:rFonts w:ascii="Wingdings" w:hAnsi="Wingdings" w:hint="default"/>
      </w:rPr>
    </w:lvl>
    <w:lvl w:ilvl="3" w:tplc="24090001" w:tentative="1">
      <w:start w:val="1"/>
      <w:numFmt w:val="bullet"/>
      <w:lvlText w:val=""/>
      <w:lvlJc w:val="left"/>
      <w:pPr>
        <w:ind w:left="3240" w:hanging="360"/>
      </w:pPr>
      <w:rPr>
        <w:rFonts w:ascii="Symbol" w:hAnsi="Symbol" w:hint="default"/>
      </w:rPr>
    </w:lvl>
    <w:lvl w:ilvl="4" w:tplc="24090003" w:tentative="1">
      <w:start w:val="1"/>
      <w:numFmt w:val="bullet"/>
      <w:lvlText w:val="o"/>
      <w:lvlJc w:val="left"/>
      <w:pPr>
        <w:ind w:left="3960" w:hanging="360"/>
      </w:pPr>
      <w:rPr>
        <w:rFonts w:ascii="Courier New" w:hAnsi="Courier New" w:cs="Courier New" w:hint="default"/>
      </w:rPr>
    </w:lvl>
    <w:lvl w:ilvl="5" w:tplc="24090005" w:tentative="1">
      <w:start w:val="1"/>
      <w:numFmt w:val="bullet"/>
      <w:lvlText w:val=""/>
      <w:lvlJc w:val="left"/>
      <w:pPr>
        <w:ind w:left="4680" w:hanging="360"/>
      </w:pPr>
      <w:rPr>
        <w:rFonts w:ascii="Wingdings" w:hAnsi="Wingdings" w:hint="default"/>
      </w:rPr>
    </w:lvl>
    <w:lvl w:ilvl="6" w:tplc="24090001" w:tentative="1">
      <w:start w:val="1"/>
      <w:numFmt w:val="bullet"/>
      <w:lvlText w:val=""/>
      <w:lvlJc w:val="left"/>
      <w:pPr>
        <w:ind w:left="5400" w:hanging="360"/>
      </w:pPr>
      <w:rPr>
        <w:rFonts w:ascii="Symbol" w:hAnsi="Symbol" w:hint="default"/>
      </w:rPr>
    </w:lvl>
    <w:lvl w:ilvl="7" w:tplc="24090003" w:tentative="1">
      <w:start w:val="1"/>
      <w:numFmt w:val="bullet"/>
      <w:lvlText w:val="o"/>
      <w:lvlJc w:val="left"/>
      <w:pPr>
        <w:ind w:left="6120" w:hanging="360"/>
      </w:pPr>
      <w:rPr>
        <w:rFonts w:ascii="Courier New" w:hAnsi="Courier New" w:cs="Courier New" w:hint="default"/>
      </w:rPr>
    </w:lvl>
    <w:lvl w:ilvl="8" w:tplc="24090005" w:tentative="1">
      <w:start w:val="1"/>
      <w:numFmt w:val="bullet"/>
      <w:lvlText w:val=""/>
      <w:lvlJc w:val="left"/>
      <w:pPr>
        <w:ind w:left="6840" w:hanging="360"/>
      </w:pPr>
      <w:rPr>
        <w:rFonts w:ascii="Wingdings" w:hAnsi="Wingdings" w:hint="default"/>
      </w:rPr>
    </w:lvl>
  </w:abstractNum>
  <w:abstractNum w:abstractNumId="8" w15:restartNumberingAfterBreak="0">
    <w:nsid w:val="0F5C7426"/>
    <w:multiLevelType w:val="hybridMultilevel"/>
    <w:tmpl w:val="335253BA"/>
    <w:lvl w:ilvl="0" w:tplc="1292B51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0E237F"/>
    <w:multiLevelType w:val="multilevel"/>
    <w:tmpl w:val="A632736A"/>
    <w:lvl w:ilvl="0">
      <w:start w:val="1"/>
      <w:numFmt w:val="lowerLetter"/>
      <w:lvlText w:val="%1."/>
      <w:lvlJc w:val="left"/>
      <w:pPr>
        <w:ind w:left="720" w:hanging="360"/>
      </w:pPr>
      <w:rPr>
        <w:rFonts w:hint="default"/>
      </w:rPr>
    </w:lvl>
    <w:lvl w:ilvl="1">
      <w:start w:val="1"/>
      <w:numFmt w:val="decimal"/>
      <w:isLgl/>
      <w:lvlText w:val="4.%2"/>
      <w:lvlJc w:val="left"/>
      <w:pPr>
        <w:ind w:left="333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41A4AC8"/>
    <w:multiLevelType w:val="multilevel"/>
    <w:tmpl w:val="5B2AAF4A"/>
    <w:lvl w:ilvl="0">
      <w:start w:val="1"/>
      <w:numFmt w:val="upperRoman"/>
      <w:lvlText w:val="%1."/>
      <w:lvlJc w:val="right"/>
      <w:pPr>
        <w:ind w:left="720" w:hanging="360"/>
      </w:pPr>
    </w:lvl>
    <w:lvl w:ilvl="1">
      <w:start w:val="1"/>
      <w:numFmt w:val="decimal"/>
      <w:isLgl/>
      <w:lvlText w:val="%1.%2"/>
      <w:lvlJc w:val="left"/>
      <w:pPr>
        <w:ind w:left="54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42F7FD2"/>
    <w:multiLevelType w:val="hybridMultilevel"/>
    <w:tmpl w:val="E18072A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176C3104"/>
    <w:multiLevelType w:val="hybridMultilevel"/>
    <w:tmpl w:val="EF0070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85DF3"/>
    <w:multiLevelType w:val="hybridMultilevel"/>
    <w:tmpl w:val="70DC21F8"/>
    <w:lvl w:ilvl="0" w:tplc="0F48A1C4">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1B2F206B"/>
    <w:multiLevelType w:val="hybridMultilevel"/>
    <w:tmpl w:val="9454FC4C"/>
    <w:lvl w:ilvl="0" w:tplc="2744E3B8">
      <w:start w:val="1"/>
      <w:numFmt w:val="lowerRoman"/>
      <w:lvlText w:val="%1."/>
      <w:lvlJc w:val="left"/>
      <w:pPr>
        <w:ind w:left="1440" w:hanging="720"/>
      </w:pPr>
      <w:rPr>
        <w:rFonts w:hint="default"/>
      </w:rPr>
    </w:lvl>
    <w:lvl w:ilvl="1" w:tplc="24090019">
      <w:start w:val="1"/>
      <w:numFmt w:val="lowerLetter"/>
      <w:lvlText w:val="%2."/>
      <w:lvlJc w:val="left"/>
      <w:pPr>
        <w:ind w:left="1800" w:hanging="360"/>
      </w:pPr>
    </w:lvl>
    <w:lvl w:ilvl="2" w:tplc="2409001B" w:tentative="1">
      <w:start w:val="1"/>
      <w:numFmt w:val="lowerRoman"/>
      <w:lvlText w:val="%3."/>
      <w:lvlJc w:val="right"/>
      <w:pPr>
        <w:ind w:left="2520" w:hanging="180"/>
      </w:pPr>
    </w:lvl>
    <w:lvl w:ilvl="3" w:tplc="2409000F" w:tentative="1">
      <w:start w:val="1"/>
      <w:numFmt w:val="decimal"/>
      <w:lvlText w:val="%4."/>
      <w:lvlJc w:val="left"/>
      <w:pPr>
        <w:ind w:left="3240" w:hanging="360"/>
      </w:pPr>
    </w:lvl>
    <w:lvl w:ilvl="4" w:tplc="24090019" w:tentative="1">
      <w:start w:val="1"/>
      <w:numFmt w:val="lowerLetter"/>
      <w:lvlText w:val="%5."/>
      <w:lvlJc w:val="left"/>
      <w:pPr>
        <w:ind w:left="3960" w:hanging="360"/>
      </w:pPr>
    </w:lvl>
    <w:lvl w:ilvl="5" w:tplc="2409001B" w:tentative="1">
      <w:start w:val="1"/>
      <w:numFmt w:val="lowerRoman"/>
      <w:lvlText w:val="%6."/>
      <w:lvlJc w:val="right"/>
      <w:pPr>
        <w:ind w:left="4680" w:hanging="180"/>
      </w:pPr>
    </w:lvl>
    <w:lvl w:ilvl="6" w:tplc="2409000F" w:tentative="1">
      <w:start w:val="1"/>
      <w:numFmt w:val="decimal"/>
      <w:lvlText w:val="%7."/>
      <w:lvlJc w:val="left"/>
      <w:pPr>
        <w:ind w:left="5400" w:hanging="360"/>
      </w:pPr>
    </w:lvl>
    <w:lvl w:ilvl="7" w:tplc="24090019" w:tentative="1">
      <w:start w:val="1"/>
      <w:numFmt w:val="lowerLetter"/>
      <w:lvlText w:val="%8."/>
      <w:lvlJc w:val="left"/>
      <w:pPr>
        <w:ind w:left="6120" w:hanging="360"/>
      </w:pPr>
    </w:lvl>
    <w:lvl w:ilvl="8" w:tplc="2409001B" w:tentative="1">
      <w:start w:val="1"/>
      <w:numFmt w:val="lowerRoman"/>
      <w:lvlText w:val="%9."/>
      <w:lvlJc w:val="right"/>
      <w:pPr>
        <w:ind w:left="6840" w:hanging="180"/>
      </w:pPr>
    </w:lvl>
  </w:abstractNum>
  <w:abstractNum w:abstractNumId="15" w15:restartNumberingAfterBreak="0">
    <w:nsid w:val="1C48327F"/>
    <w:multiLevelType w:val="multilevel"/>
    <w:tmpl w:val="FE7219C2"/>
    <w:lvl w:ilvl="0">
      <w:start w:val="1"/>
      <w:numFmt w:val="upperRoman"/>
      <w:lvlText w:val="%1."/>
      <w:lvlJc w:val="right"/>
      <w:pPr>
        <w:ind w:left="720" w:hanging="360"/>
      </w:pPr>
      <w:rPr>
        <w:rFonts w:hint="default"/>
      </w:rPr>
    </w:lvl>
    <w:lvl w:ilvl="1">
      <w:start w:val="1"/>
      <w:numFmt w:val="decimal"/>
      <w:lvlText w:val="3.%2"/>
      <w:lvlJc w:val="right"/>
      <w:pPr>
        <w:ind w:left="54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1EC06BF6"/>
    <w:multiLevelType w:val="hybridMultilevel"/>
    <w:tmpl w:val="3DB4A7B8"/>
    <w:lvl w:ilvl="0" w:tplc="3B14CB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442A40"/>
    <w:multiLevelType w:val="hybridMultilevel"/>
    <w:tmpl w:val="3CDA08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1707727"/>
    <w:multiLevelType w:val="hybridMultilevel"/>
    <w:tmpl w:val="F08CED4A"/>
    <w:lvl w:ilvl="0" w:tplc="0544606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13422D"/>
    <w:multiLevelType w:val="hybridMultilevel"/>
    <w:tmpl w:val="5686DB0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DD7D4D"/>
    <w:multiLevelType w:val="hybridMultilevel"/>
    <w:tmpl w:val="85B6208C"/>
    <w:lvl w:ilvl="0" w:tplc="ADA65F28">
      <w:start w:val="1"/>
      <w:numFmt w:val="lowerLetter"/>
      <w:lvlText w:val="%1)"/>
      <w:lvlJc w:val="left"/>
      <w:pPr>
        <w:ind w:left="1080" w:hanging="360"/>
      </w:pPr>
      <w:rPr>
        <w:rFonts w:eastAsiaTheme="minorEastAsia" w:cs="Times New Roman" w:hint="default"/>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532B24"/>
    <w:multiLevelType w:val="hybridMultilevel"/>
    <w:tmpl w:val="8B20C132"/>
    <w:lvl w:ilvl="0" w:tplc="887CA1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87E1A2A"/>
    <w:multiLevelType w:val="hybridMultilevel"/>
    <w:tmpl w:val="1FECEA44"/>
    <w:lvl w:ilvl="0" w:tplc="DAD6BB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9137655"/>
    <w:multiLevelType w:val="hybridMultilevel"/>
    <w:tmpl w:val="E7EA7DC6"/>
    <w:lvl w:ilvl="0" w:tplc="5FFE137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98C11B4"/>
    <w:multiLevelType w:val="hybridMultilevel"/>
    <w:tmpl w:val="D0A040C8"/>
    <w:lvl w:ilvl="0" w:tplc="41442E3A">
      <w:start w:val="1"/>
      <w:numFmt w:val="lowerLetter"/>
      <w:lvlText w:val="%1)"/>
      <w:lvlJc w:val="left"/>
      <w:pPr>
        <w:ind w:left="1080" w:hanging="360"/>
      </w:pPr>
      <w:rPr>
        <w:rFonts w:hint="default"/>
      </w:rPr>
    </w:lvl>
    <w:lvl w:ilvl="1" w:tplc="24090019">
      <w:start w:val="1"/>
      <w:numFmt w:val="lowerLetter"/>
      <w:lvlText w:val="%2."/>
      <w:lvlJc w:val="left"/>
      <w:pPr>
        <w:ind w:left="1800" w:hanging="360"/>
      </w:pPr>
    </w:lvl>
    <w:lvl w:ilvl="2" w:tplc="2409001B" w:tentative="1">
      <w:start w:val="1"/>
      <w:numFmt w:val="lowerRoman"/>
      <w:lvlText w:val="%3."/>
      <w:lvlJc w:val="right"/>
      <w:pPr>
        <w:ind w:left="2520" w:hanging="180"/>
      </w:pPr>
    </w:lvl>
    <w:lvl w:ilvl="3" w:tplc="2409000F" w:tentative="1">
      <w:start w:val="1"/>
      <w:numFmt w:val="decimal"/>
      <w:lvlText w:val="%4."/>
      <w:lvlJc w:val="left"/>
      <w:pPr>
        <w:ind w:left="3240" w:hanging="360"/>
      </w:pPr>
    </w:lvl>
    <w:lvl w:ilvl="4" w:tplc="24090019" w:tentative="1">
      <w:start w:val="1"/>
      <w:numFmt w:val="lowerLetter"/>
      <w:lvlText w:val="%5."/>
      <w:lvlJc w:val="left"/>
      <w:pPr>
        <w:ind w:left="3960" w:hanging="360"/>
      </w:pPr>
    </w:lvl>
    <w:lvl w:ilvl="5" w:tplc="2409001B" w:tentative="1">
      <w:start w:val="1"/>
      <w:numFmt w:val="lowerRoman"/>
      <w:lvlText w:val="%6."/>
      <w:lvlJc w:val="right"/>
      <w:pPr>
        <w:ind w:left="4680" w:hanging="180"/>
      </w:pPr>
    </w:lvl>
    <w:lvl w:ilvl="6" w:tplc="2409000F" w:tentative="1">
      <w:start w:val="1"/>
      <w:numFmt w:val="decimal"/>
      <w:lvlText w:val="%7."/>
      <w:lvlJc w:val="left"/>
      <w:pPr>
        <w:ind w:left="5400" w:hanging="360"/>
      </w:pPr>
    </w:lvl>
    <w:lvl w:ilvl="7" w:tplc="24090019" w:tentative="1">
      <w:start w:val="1"/>
      <w:numFmt w:val="lowerLetter"/>
      <w:lvlText w:val="%8."/>
      <w:lvlJc w:val="left"/>
      <w:pPr>
        <w:ind w:left="6120" w:hanging="360"/>
      </w:pPr>
    </w:lvl>
    <w:lvl w:ilvl="8" w:tplc="2409001B" w:tentative="1">
      <w:start w:val="1"/>
      <w:numFmt w:val="lowerRoman"/>
      <w:lvlText w:val="%9."/>
      <w:lvlJc w:val="right"/>
      <w:pPr>
        <w:ind w:left="6840" w:hanging="180"/>
      </w:pPr>
    </w:lvl>
  </w:abstractNum>
  <w:abstractNum w:abstractNumId="25" w15:restartNumberingAfterBreak="0">
    <w:nsid w:val="2D9603F4"/>
    <w:multiLevelType w:val="hybridMultilevel"/>
    <w:tmpl w:val="8B20C132"/>
    <w:lvl w:ilvl="0" w:tplc="887CA1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DF126C6"/>
    <w:multiLevelType w:val="hybridMultilevel"/>
    <w:tmpl w:val="D0A040C8"/>
    <w:lvl w:ilvl="0" w:tplc="41442E3A">
      <w:start w:val="1"/>
      <w:numFmt w:val="lowerLetter"/>
      <w:lvlText w:val="%1)"/>
      <w:lvlJc w:val="left"/>
      <w:pPr>
        <w:ind w:left="1080" w:hanging="360"/>
      </w:pPr>
      <w:rPr>
        <w:rFonts w:hint="default"/>
      </w:rPr>
    </w:lvl>
    <w:lvl w:ilvl="1" w:tplc="24090019">
      <w:start w:val="1"/>
      <w:numFmt w:val="lowerLetter"/>
      <w:lvlText w:val="%2."/>
      <w:lvlJc w:val="left"/>
      <w:pPr>
        <w:ind w:left="1800" w:hanging="360"/>
      </w:pPr>
    </w:lvl>
    <w:lvl w:ilvl="2" w:tplc="2409001B" w:tentative="1">
      <w:start w:val="1"/>
      <w:numFmt w:val="lowerRoman"/>
      <w:lvlText w:val="%3."/>
      <w:lvlJc w:val="right"/>
      <w:pPr>
        <w:ind w:left="2520" w:hanging="180"/>
      </w:pPr>
    </w:lvl>
    <w:lvl w:ilvl="3" w:tplc="2409000F" w:tentative="1">
      <w:start w:val="1"/>
      <w:numFmt w:val="decimal"/>
      <w:lvlText w:val="%4."/>
      <w:lvlJc w:val="left"/>
      <w:pPr>
        <w:ind w:left="3240" w:hanging="360"/>
      </w:pPr>
    </w:lvl>
    <w:lvl w:ilvl="4" w:tplc="24090019" w:tentative="1">
      <w:start w:val="1"/>
      <w:numFmt w:val="lowerLetter"/>
      <w:lvlText w:val="%5."/>
      <w:lvlJc w:val="left"/>
      <w:pPr>
        <w:ind w:left="3960" w:hanging="360"/>
      </w:pPr>
    </w:lvl>
    <w:lvl w:ilvl="5" w:tplc="2409001B" w:tentative="1">
      <w:start w:val="1"/>
      <w:numFmt w:val="lowerRoman"/>
      <w:lvlText w:val="%6."/>
      <w:lvlJc w:val="right"/>
      <w:pPr>
        <w:ind w:left="4680" w:hanging="180"/>
      </w:pPr>
    </w:lvl>
    <w:lvl w:ilvl="6" w:tplc="2409000F" w:tentative="1">
      <w:start w:val="1"/>
      <w:numFmt w:val="decimal"/>
      <w:lvlText w:val="%7."/>
      <w:lvlJc w:val="left"/>
      <w:pPr>
        <w:ind w:left="5400" w:hanging="360"/>
      </w:pPr>
    </w:lvl>
    <w:lvl w:ilvl="7" w:tplc="24090019" w:tentative="1">
      <w:start w:val="1"/>
      <w:numFmt w:val="lowerLetter"/>
      <w:lvlText w:val="%8."/>
      <w:lvlJc w:val="left"/>
      <w:pPr>
        <w:ind w:left="6120" w:hanging="360"/>
      </w:pPr>
    </w:lvl>
    <w:lvl w:ilvl="8" w:tplc="2409001B" w:tentative="1">
      <w:start w:val="1"/>
      <w:numFmt w:val="lowerRoman"/>
      <w:lvlText w:val="%9."/>
      <w:lvlJc w:val="right"/>
      <w:pPr>
        <w:ind w:left="6840" w:hanging="180"/>
      </w:pPr>
    </w:lvl>
  </w:abstractNum>
  <w:abstractNum w:abstractNumId="27" w15:restartNumberingAfterBreak="0">
    <w:nsid w:val="2EAE740D"/>
    <w:multiLevelType w:val="hybridMultilevel"/>
    <w:tmpl w:val="4A120C42"/>
    <w:lvl w:ilvl="0" w:tplc="10F6FB7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F045D28"/>
    <w:multiLevelType w:val="hybridMultilevel"/>
    <w:tmpl w:val="69AC4F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3A0811"/>
    <w:multiLevelType w:val="hybridMultilevel"/>
    <w:tmpl w:val="17487420"/>
    <w:lvl w:ilvl="0" w:tplc="ADA65F28">
      <w:start w:val="1"/>
      <w:numFmt w:val="lowerLetter"/>
      <w:lvlText w:val="%1)"/>
      <w:lvlJc w:val="left"/>
      <w:pPr>
        <w:ind w:left="1080" w:hanging="360"/>
      </w:pPr>
      <w:rPr>
        <w:rFonts w:eastAsiaTheme="minorEastAsia" w:cs="Times New Roman" w:hint="default"/>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FF21D2D"/>
    <w:multiLevelType w:val="hybridMultilevel"/>
    <w:tmpl w:val="1F127984"/>
    <w:lvl w:ilvl="0" w:tplc="0C52E8E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0321F82"/>
    <w:multiLevelType w:val="hybridMultilevel"/>
    <w:tmpl w:val="A65802EC"/>
    <w:lvl w:ilvl="0" w:tplc="38E4CE52">
      <w:start w:val="4"/>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1ED7F8F"/>
    <w:multiLevelType w:val="hybridMultilevel"/>
    <w:tmpl w:val="E00005EE"/>
    <w:lvl w:ilvl="0" w:tplc="4742FB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0256A9"/>
    <w:multiLevelType w:val="hybridMultilevel"/>
    <w:tmpl w:val="6A5E3280"/>
    <w:lvl w:ilvl="0" w:tplc="472AA3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55D7787"/>
    <w:multiLevelType w:val="hybridMultilevel"/>
    <w:tmpl w:val="198A3E52"/>
    <w:lvl w:ilvl="0" w:tplc="1506DF10">
      <w:start w:val="1"/>
      <w:numFmt w:val="lowerLetter"/>
      <w:lvlText w:val="%1)"/>
      <w:lvlJc w:val="left"/>
      <w:pPr>
        <w:ind w:left="720" w:hanging="360"/>
      </w:pPr>
      <w:rPr>
        <w:rFonts w:cs="Calibr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9B4991"/>
    <w:multiLevelType w:val="multilevel"/>
    <w:tmpl w:val="384E85B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6" w15:restartNumberingAfterBreak="0">
    <w:nsid w:val="36341A1F"/>
    <w:multiLevelType w:val="hybridMultilevel"/>
    <w:tmpl w:val="8E2C988A"/>
    <w:lvl w:ilvl="0" w:tplc="F1B43CEC">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6C5585E"/>
    <w:multiLevelType w:val="multilevel"/>
    <w:tmpl w:val="C8841704"/>
    <w:lvl w:ilvl="0">
      <w:start w:val="1"/>
      <w:numFmt w:val="upperRoman"/>
      <w:lvlText w:val="%1."/>
      <w:lvlJc w:val="right"/>
      <w:pPr>
        <w:ind w:left="720" w:hanging="360"/>
      </w:pPr>
      <w:rPr>
        <w:rFonts w:hint="default"/>
      </w:rPr>
    </w:lvl>
    <w:lvl w:ilvl="1">
      <w:start w:val="1"/>
      <w:numFmt w:val="decimal"/>
      <w:lvlText w:val="2.%2"/>
      <w:lvlJc w:val="right"/>
      <w:pPr>
        <w:ind w:left="45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36DF5AA4"/>
    <w:multiLevelType w:val="hybridMultilevel"/>
    <w:tmpl w:val="C71053D4"/>
    <w:lvl w:ilvl="0" w:tplc="24090015">
      <w:start w:val="1"/>
      <w:numFmt w:val="upperLetter"/>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39" w15:restartNumberingAfterBreak="0">
    <w:nsid w:val="379D4D43"/>
    <w:multiLevelType w:val="hybridMultilevel"/>
    <w:tmpl w:val="E3327800"/>
    <w:lvl w:ilvl="0" w:tplc="0409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8194BAF"/>
    <w:multiLevelType w:val="hybridMultilevel"/>
    <w:tmpl w:val="1D5A8BE6"/>
    <w:lvl w:ilvl="0" w:tplc="44B8C5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3B2AE9"/>
    <w:multiLevelType w:val="hybridMultilevel"/>
    <w:tmpl w:val="D15E9F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E1D10B2"/>
    <w:multiLevelType w:val="hybridMultilevel"/>
    <w:tmpl w:val="CE1CAB4E"/>
    <w:lvl w:ilvl="0" w:tplc="37BA378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F752195"/>
    <w:multiLevelType w:val="hybridMultilevel"/>
    <w:tmpl w:val="A9DAB6F4"/>
    <w:lvl w:ilvl="0" w:tplc="71A64DE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4" w15:restartNumberingAfterBreak="0">
    <w:nsid w:val="400D6A54"/>
    <w:multiLevelType w:val="hybridMultilevel"/>
    <w:tmpl w:val="62B2DDF0"/>
    <w:lvl w:ilvl="0" w:tplc="4742FB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122325"/>
    <w:multiLevelType w:val="hybridMultilevel"/>
    <w:tmpl w:val="E41E0212"/>
    <w:lvl w:ilvl="0" w:tplc="403CB6D0">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6" w15:restartNumberingAfterBreak="0">
    <w:nsid w:val="41D82C39"/>
    <w:multiLevelType w:val="hybridMultilevel"/>
    <w:tmpl w:val="BB14907E"/>
    <w:lvl w:ilvl="0" w:tplc="6F7A28D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21571EC"/>
    <w:multiLevelType w:val="hybridMultilevel"/>
    <w:tmpl w:val="59A46A48"/>
    <w:lvl w:ilvl="0" w:tplc="C6C4EC04">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410620C"/>
    <w:multiLevelType w:val="hybridMultilevel"/>
    <w:tmpl w:val="581EDB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45F8112D"/>
    <w:multiLevelType w:val="multilevel"/>
    <w:tmpl w:val="4C860382"/>
    <w:lvl w:ilvl="0">
      <w:start w:val="1"/>
      <w:numFmt w:val="upperRoman"/>
      <w:lvlText w:val="%1."/>
      <w:lvlJc w:val="right"/>
      <w:pPr>
        <w:ind w:left="720" w:hanging="360"/>
      </w:pPr>
      <w:rPr>
        <w:rFonts w:hint="default"/>
      </w:rPr>
    </w:lvl>
    <w:lvl w:ilvl="1">
      <w:start w:val="1"/>
      <w:numFmt w:val="decimal"/>
      <w:lvlText w:val="7.%2"/>
      <w:lvlJc w:val="right"/>
      <w:pPr>
        <w:ind w:left="54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0" w15:restartNumberingAfterBreak="0">
    <w:nsid w:val="470F5BBD"/>
    <w:multiLevelType w:val="hybridMultilevel"/>
    <w:tmpl w:val="41DCFDE8"/>
    <w:lvl w:ilvl="0" w:tplc="2409000D">
      <w:start w:val="1"/>
      <w:numFmt w:val="bullet"/>
      <w:lvlText w:val=""/>
      <w:lvlJc w:val="left"/>
      <w:pPr>
        <w:ind w:left="1080" w:hanging="360"/>
      </w:pPr>
      <w:rPr>
        <w:rFonts w:ascii="Wingdings" w:hAnsi="Wingdings" w:hint="default"/>
      </w:rPr>
    </w:lvl>
    <w:lvl w:ilvl="1" w:tplc="24090003" w:tentative="1">
      <w:start w:val="1"/>
      <w:numFmt w:val="bullet"/>
      <w:lvlText w:val="o"/>
      <w:lvlJc w:val="left"/>
      <w:pPr>
        <w:ind w:left="1800" w:hanging="360"/>
      </w:pPr>
      <w:rPr>
        <w:rFonts w:ascii="Courier New" w:hAnsi="Courier New" w:cs="Courier New" w:hint="default"/>
      </w:rPr>
    </w:lvl>
    <w:lvl w:ilvl="2" w:tplc="24090005" w:tentative="1">
      <w:start w:val="1"/>
      <w:numFmt w:val="bullet"/>
      <w:lvlText w:val=""/>
      <w:lvlJc w:val="left"/>
      <w:pPr>
        <w:ind w:left="2520" w:hanging="360"/>
      </w:pPr>
      <w:rPr>
        <w:rFonts w:ascii="Wingdings" w:hAnsi="Wingdings" w:hint="default"/>
      </w:rPr>
    </w:lvl>
    <w:lvl w:ilvl="3" w:tplc="24090001" w:tentative="1">
      <w:start w:val="1"/>
      <w:numFmt w:val="bullet"/>
      <w:lvlText w:val=""/>
      <w:lvlJc w:val="left"/>
      <w:pPr>
        <w:ind w:left="3240" w:hanging="360"/>
      </w:pPr>
      <w:rPr>
        <w:rFonts w:ascii="Symbol" w:hAnsi="Symbol" w:hint="default"/>
      </w:rPr>
    </w:lvl>
    <w:lvl w:ilvl="4" w:tplc="24090003" w:tentative="1">
      <w:start w:val="1"/>
      <w:numFmt w:val="bullet"/>
      <w:lvlText w:val="o"/>
      <w:lvlJc w:val="left"/>
      <w:pPr>
        <w:ind w:left="3960" w:hanging="360"/>
      </w:pPr>
      <w:rPr>
        <w:rFonts w:ascii="Courier New" w:hAnsi="Courier New" w:cs="Courier New" w:hint="default"/>
      </w:rPr>
    </w:lvl>
    <w:lvl w:ilvl="5" w:tplc="24090005" w:tentative="1">
      <w:start w:val="1"/>
      <w:numFmt w:val="bullet"/>
      <w:lvlText w:val=""/>
      <w:lvlJc w:val="left"/>
      <w:pPr>
        <w:ind w:left="4680" w:hanging="360"/>
      </w:pPr>
      <w:rPr>
        <w:rFonts w:ascii="Wingdings" w:hAnsi="Wingdings" w:hint="default"/>
      </w:rPr>
    </w:lvl>
    <w:lvl w:ilvl="6" w:tplc="24090001" w:tentative="1">
      <w:start w:val="1"/>
      <w:numFmt w:val="bullet"/>
      <w:lvlText w:val=""/>
      <w:lvlJc w:val="left"/>
      <w:pPr>
        <w:ind w:left="5400" w:hanging="360"/>
      </w:pPr>
      <w:rPr>
        <w:rFonts w:ascii="Symbol" w:hAnsi="Symbol" w:hint="default"/>
      </w:rPr>
    </w:lvl>
    <w:lvl w:ilvl="7" w:tplc="24090003" w:tentative="1">
      <w:start w:val="1"/>
      <w:numFmt w:val="bullet"/>
      <w:lvlText w:val="o"/>
      <w:lvlJc w:val="left"/>
      <w:pPr>
        <w:ind w:left="6120" w:hanging="360"/>
      </w:pPr>
      <w:rPr>
        <w:rFonts w:ascii="Courier New" w:hAnsi="Courier New" w:cs="Courier New" w:hint="default"/>
      </w:rPr>
    </w:lvl>
    <w:lvl w:ilvl="8" w:tplc="24090005" w:tentative="1">
      <w:start w:val="1"/>
      <w:numFmt w:val="bullet"/>
      <w:lvlText w:val=""/>
      <w:lvlJc w:val="left"/>
      <w:pPr>
        <w:ind w:left="6840" w:hanging="360"/>
      </w:pPr>
      <w:rPr>
        <w:rFonts w:ascii="Wingdings" w:hAnsi="Wingdings" w:hint="default"/>
      </w:rPr>
    </w:lvl>
  </w:abstractNum>
  <w:abstractNum w:abstractNumId="51" w15:restartNumberingAfterBreak="0">
    <w:nsid w:val="474C7D0F"/>
    <w:multiLevelType w:val="hybridMultilevel"/>
    <w:tmpl w:val="7B3C0D50"/>
    <w:lvl w:ilvl="0" w:tplc="24090015">
      <w:start w:val="1"/>
      <w:numFmt w:val="upperLetter"/>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52" w15:restartNumberingAfterBreak="0">
    <w:nsid w:val="4A8B687F"/>
    <w:multiLevelType w:val="hybridMultilevel"/>
    <w:tmpl w:val="52CCB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EB6A75"/>
    <w:multiLevelType w:val="multilevel"/>
    <w:tmpl w:val="0F8E3E00"/>
    <w:lvl w:ilvl="0">
      <w:start w:val="1"/>
      <w:numFmt w:val="upperRoman"/>
      <w:lvlText w:val="%1."/>
      <w:lvlJc w:val="right"/>
      <w:pPr>
        <w:ind w:left="720" w:hanging="360"/>
      </w:pPr>
      <w:rPr>
        <w:rFonts w:hint="default"/>
      </w:rPr>
    </w:lvl>
    <w:lvl w:ilvl="1">
      <w:start w:val="1"/>
      <w:numFmt w:val="decimal"/>
      <w:lvlText w:val="5.%2"/>
      <w:lvlJc w:val="right"/>
      <w:pPr>
        <w:ind w:left="54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4" w15:restartNumberingAfterBreak="0">
    <w:nsid w:val="54837B54"/>
    <w:multiLevelType w:val="hybridMultilevel"/>
    <w:tmpl w:val="1FB23152"/>
    <w:lvl w:ilvl="0" w:tplc="74DCAB2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562934CF"/>
    <w:multiLevelType w:val="hybridMultilevel"/>
    <w:tmpl w:val="E780D424"/>
    <w:lvl w:ilvl="0" w:tplc="A724B02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6" w15:restartNumberingAfterBreak="0">
    <w:nsid w:val="577C6925"/>
    <w:multiLevelType w:val="multilevel"/>
    <w:tmpl w:val="02804C16"/>
    <w:lvl w:ilvl="0">
      <w:start w:val="1"/>
      <w:numFmt w:val="upperRoman"/>
      <w:lvlText w:val="%1."/>
      <w:lvlJc w:val="right"/>
      <w:pPr>
        <w:ind w:left="720" w:hanging="360"/>
      </w:pPr>
      <w:rPr>
        <w:rFonts w:hint="default"/>
      </w:rPr>
    </w:lvl>
    <w:lvl w:ilvl="1">
      <w:start w:val="1"/>
      <w:numFmt w:val="decimal"/>
      <w:lvlText w:val="6.%2"/>
      <w:lvlJc w:val="right"/>
      <w:pPr>
        <w:ind w:left="540" w:hanging="360"/>
      </w:pPr>
      <w:rPr>
        <w:rFonts w:hint="default"/>
        <w:b w:val="0"/>
        <w:color w:val="00000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7" w15:restartNumberingAfterBreak="0">
    <w:nsid w:val="5A08232A"/>
    <w:multiLevelType w:val="hybridMultilevel"/>
    <w:tmpl w:val="8B20C132"/>
    <w:lvl w:ilvl="0" w:tplc="887CA1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60DB6D53"/>
    <w:multiLevelType w:val="hybridMultilevel"/>
    <w:tmpl w:val="015C93F4"/>
    <w:lvl w:ilvl="0" w:tplc="70D29190">
      <w:start w:val="1"/>
      <w:numFmt w:val="decimal"/>
      <w:lvlText w:val="1.%1"/>
      <w:lvlJc w:val="left"/>
      <w:pPr>
        <w:ind w:left="810" w:hanging="360"/>
      </w:pPr>
      <w:rPr>
        <w:rFonts w:hint="default"/>
        <w:b w:val="0"/>
        <w:lang w:val="es-E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63DA7F44"/>
    <w:multiLevelType w:val="hybridMultilevel"/>
    <w:tmpl w:val="72D827A4"/>
    <w:lvl w:ilvl="0" w:tplc="46AEE440">
      <w:start w:val="1"/>
      <w:numFmt w:val="lowerRoman"/>
      <w:lvlText w:val="%1."/>
      <w:lvlJc w:val="left"/>
      <w:pPr>
        <w:ind w:left="1440" w:hanging="720"/>
      </w:pPr>
      <w:rPr>
        <w:rFonts w:hint="default"/>
        <w:b w:val="0"/>
      </w:rPr>
    </w:lvl>
    <w:lvl w:ilvl="1" w:tplc="24090019">
      <w:start w:val="1"/>
      <w:numFmt w:val="lowerLetter"/>
      <w:lvlText w:val="%2."/>
      <w:lvlJc w:val="left"/>
      <w:pPr>
        <w:ind w:left="1800" w:hanging="360"/>
      </w:pPr>
    </w:lvl>
    <w:lvl w:ilvl="2" w:tplc="2409001B" w:tentative="1">
      <w:start w:val="1"/>
      <w:numFmt w:val="lowerRoman"/>
      <w:lvlText w:val="%3."/>
      <w:lvlJc w:val="right"/>
      <w:pPr>
        <w:ind w:left="2520" w:hanging="180"/>
      </w:pPr>
    </w:lvl>
    <w:lvl w:ilvl="3" w:tplc="2409000F" w:tentative="1">
      <w:start w:val="1"/>
      <w:numFmt w:val="decimal"/>
      <w:lvlText w:val="%4."/>
      <w:lvlJc w:val="left"/>
      <w:pPr>
        <w:ind w:left="3240" w:hanging="360"/>
      </w:pPr>
    </w:lvl>
    <w:lvl w:ilvl="4" w:tplc="24090019" w:tentative="1">
      <w:start w:val="1"/>
      <w:numFmt w:val="lowerLetter"/>
      <w:lvlText w:val="%5."/>
      <w:lvlJc w:val="left"/>
      <w:pPr>
        <w:ind w:left="3960" w:hanging="360"/>
      </w:pPr>
    </w:lvl>
    <w:lvl w:ilvl="5" w:tplc="2409001B" w:tentative="1">
      <w:start w:val="1"/>
      <w:numFmt w:val="lowerRoman"/>
      <w:lvlText w:val="%6."/>
      <w:lvlJc w:val="right"/>
      <w:pPr>
        <w:ind w:left="4680" w:hanging="180"/>
      </w:pPr>
    </w:lvl>
    <w:lvl w:ilvl="6" w:tplc="2409000F" w:tentative="1">
      <w:start w:val="1"/>
      <w:numFmt w:val="decimal"/>
      <w:lvlText w:val="%7."/>
      <w:lvlJc w:val="left"/>
      <w:pPr>
        <w:ind w:left="5400" w:hanging="360"/>
      </w:pPr>
    </w:lvl>
    <w:lvl w:ilvl="7" w:tplc="24090019" w:tentative="1">
      <w:start w:val="1"/>
      <w:numFmt w:val="lowerLetter"/>
      <w:lvlText w:val="%8."/>
      <w:lvlJc w:val="left"/>
      <w:pPr>
        <w:ind w:left="6120" w:hanging="360"/>
      </w:pPr>
    </w:lvl>
    <w:lvl w:ilvl="8" w:tplc="2409001B" w:tentative="1">
      <w:start w:val="1"/>
      <w:numFmt w:val="lowerRoman"/>
      <w:lvlText w:val="%9."/>
      <w:lvlJc w:val="right"/>
      <w:pPr>
        <w:ind w:left="6840" w:hanging="180"/>
      </w:pPr>
    </w:lvl>
  </w:abstractNum>
  <w:abstractNum w:abstractNumId="60" w15:restartNumberingAfterBreak="0">
    <w:nsid w:val="65E96582"/>
    <w:multiLevelType w:val="hybridMultilevel"/>
    <w:tmpl w:val="107CCDC8"/>
    <w:lvl w:ilvl="0" w:tplc="48741202">
      <w:start w:val="1"/>
      <w:numFmt w:val="lowerRoman"/>
      <w:lvlText w:val="%1."/>
      <w:lvlJc w:val="lef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61" w15:restartNumberingAfterBreak="0">
    <w:nsid w:val="66B27A93"/>
    <w:multiLevelType w:val="multilevel"/>
    <w:tmpl w:val="344834D6"/>
    <w:lvl w:ilvl="0">
      <w:start w:val="2"/>
      <w:numFmt w:val="decimal"/>
      <w:lvlText w:val="%1"/>
      <w:lvlJc w:val="left"/>
      <w:pPr>
        <w:ind w:left="420" w:hanging="420"/>
      </w:pPr>
      <w:rPr>
        <w:rFonts w:eastAsiaTheme="minorEastAsia" w:cs="Times New Roman" w:hint="default"/>
        <w:b w:val="0"/>
        <w:color w:val="auto"/>
        <w:sz w:val="24"/>
      </w:rPr>
    </w:lvl>
    <w:lvl w:ilvl="1">
      <w:start w:val="33"/>
      <w:numFmt w:val="decimal"/>
      <w:lvlText w:val="%1.%2"/>
      <w:lvlJc w:val="left"/>
      <w:pPr>
        <w:ind w:left="420" w:hanging="420"/>
      </w:pPr>
      <w:rPr>
        <w:rFonts w:eastAsiaTheme="minorEastAsia" w:cs="Times New Roman" w:hint="default"/>
        <w:b w:val="0"/>
        <w:color w:val="auto"/>
        <w:sz w:val="24"/>
      </w:rPr>
    </w:lvl>
    <w:lvl w:ilvl="2">
      <w:start w:val="1"/>
      <w:numFmt w:val="decimal"/>
      <w:lvlText w:val="%1.%2.%3"/>
      <w:lvlJc w:val="left"/>
      <w:pPr>
        <w:ind w:left="720" w:hanging="720"/>
      </w:pPr>
      <w:rPr>
        <w:rFonts w:eastAsiaTheme="minorEastAsia" w:cs="Times New Roman" w:hint="default"/>
        <w:b w:val="0"/>
        <w:color w:val="auto"/>
        <w:sz w:val="24"/>
      </w:rPr>
    </w:lvl>
    <w:lvl w:ilvl="3">
      <w:start w:val="1"/>
      <w:numFmt w:val="decimal"/>
      <w:lvlText w:val="%1.%2.%3.%4"/>
      <w:lvlJc w:val="left"/>
      <w:pPr>
        <w:ind w:left="720" w:hanging="720"/>
      </w:pPr>
      <w:rPr>
        <w:rFonts w:eastAsiaTheme="minorEastAsia" w:cs="Times New Roman" w:hint="default"/>
        <w:b w:val="0"/>
        <w:color w:val="auto"/>
        <w:sz w:val="24"/>
      </w:rPr>
    </w:lvl>
    <w:lvl w:ilvl="4">
      <w:start w:val="1"/>
      <w:numFmt w:val="decimal"/>
      <w:lvlText w:val="%1.%2.%3.%4.%5"/>
      <w:lvlJc w:val="left"/>
      <w:pPr>
        <w:ind w:left="1080" w:hanging="1080"/>
      </w:pPr>
      <w:rPr>
        <w:rFonts w:eastAsiaTheme="minorEastAsia" w:cs="Times New Roman" w:hint="default"/>
        <w:b w:val="0"/>
        <w:color w:val="auto"/>
        <w:sz w:val="24"/>
      </w:rPr>
    </w:lvl>
    <w:lvl w:ilvl="5">
      <w:start w:val="1"/>
      <w:numFmt w:val="decimal"/>
      <w:lvlText w:val="%1.%2.%3.%4.%5.%6"/>
      <w:lvlJc w:val="left"/>
      <w:pPr>
        <w:ind w:left="1080" w:hanging="1080"/>
      </w:pPr>
      <w:rPr>
        <w:rFonts w:eastAsiaTheme="minorEastAsia" w:cs="Times New Roman" w:hint="default"/>
        <w:b w:val="0"/>
        <w:color w:val="auto"/>
        <w:sz w:val="24"/>
      </w:rPr>
    </w:lvl>
    <w:lvl w:ilvl="6">
      <w:start w:val="1"/>
      <w:numFmt w:val="decimal"/>
      <w:lvlText w:val="%1.%2.%3.%4.%5.%6.%7"/>
      <w:lvlJc w:val="left"/>
      <w:pPr>
        <w:ind w:left="1440" w:hanging="1440"/>
      </w:pPr>
      <w:rPr>
        <w:rFonts w:eastAsiaTheme="minorEastAsia" w:cs="Times New Roman" w:hint="default"/>
        <w:b w:val="0"/>
        <w:color w:val="auto"/>
        <w:sz w:val="24"/>
      </w:rPr>
    </w:lvl>
    <w:lvl w:ilvl="7">
      <w:start w:val="1"/>
      <w:numFmt w:val="decimal"/>
      <w:lvlText w:val="%1.%2.%3.%4.%5.%6.%7.%8"/>
      <w:lvlJc w:val="left"/>
      <w:pPr>
        <w:ind w:left="1440" w:hanging="1440"/>
      </w:pPr>
      <w:rPr>
        <w:rFonts w:eastAsiaTheme="minorEastAsia" w:cs="Times New Roman" w:hint="default"/>
        <w:b w:val="0"/>
        <w:color w:val="auto"/>
        <w:sz w:val="24"/>
      </w:rPr>
    </w:lvl>
    <w:lvl w:ilvl="8">
      <w:start w:val="1"/>
      <w:numFmt w:val="decimal"/>
      <w:lvlText w:val="%1.%2.%3.%4.%5.%6.%7.%8.%9"/>
      <w:lvlJc w:val="left"/>
      <w:pPr>
        <w:ind w:left="1800" w:hanging="1800"/>
      </w:pPr>
      <w:rPr>
        <w:rFonts w:eastAsiaTheme="minorEastAsia" w:cs="Times New Roman" w:hint="default"/>
        <w:b w:val="0"/>
        <w:color w:val="auto"/>
        <w:sz w:val="24"/>
      </w:rPr>
    </w:lvl>
  </w:abstractNum>
  <w:abstractNum w:abstractNumId="62" w15:restartNumberingAfterBreak="0">
    <w:nsid w:val="6A4524A9"/>
    <w:multiLevelType w:val="hybridMultilevel"/>
    <w:tmpl w:val="5686DB0C"/>
    <w:lvl w:ilvl="0" w:tplc="04090017">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EA15C9"/>
    <w:multiLevelType w:val="hybridMultilevel"/>
    <w:tmpl w:val="B74EC93A"/>
    <w:lvl w:ilvl="0" w:tplc="1AC8DD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0ED1077"/>
    <w:multiLevelType w:val="hybridMultilevel"/>
    <w:tmpl w:val="A2728DB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5" w15:restartNumberingAfterBreak="0">
    <w:nsid w:val="76EC0446"/>
    <w:multiLevelType w:val="hybridMultilevel"/>
    <w:tmpl w:val="AAA4EEBC"/>
    <w:lvl w:ilvl="0" w:tplc="2F8C6AEA">
      <w:start w:val="1"/>
      <w:numFmt w:val="lowerRoman"/>
      <w:lvlText w:val="%1."/>
      <w:lvlJc w:val="left"/>
      <w:pPr>
        <w:ind w:left="1440" w:hanging="72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6F206F2"/>
    <w:multiLevelType w:val="hybridMultilevel"/>
    <w:tmpl w:val="F580C656"/>
    <w:lvl w:ilvl="0" w:tplc="78885B10">
      <w:start w:val="1"/>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7" w15:restartNumberingAfterBreak="0">
    <w:nsid w:val="77430827"/>
    <w:multiLevelType w:val="hybridMultilevel"/>
    <w:tmpl w:val="0C3011EC"/>
    <w:lvl w:ilvl="0" w:tplc="135AD3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B3A3254"/>
    <w:multiLevelType w:val="multilevel"/>
    <w:tmpl w:val="0EC26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BC50A84"/>
    <w:multiLevelType w:val="hybridMultilevel"/>
    <w:tmpl w:val="107CCDC8"/>
    <w:lvl w:ilvl="0" w:tplc="48741202">
      <w:start w:val="1"/>
      <w:numFmt w:val="lowerRoman"/>
      <w:lvlText w:val="%1."/>
      <w:lvlJc w:val="lef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70" w15:restartNumberingAfterBreak="0">
    <w:nsid w:val="7CDE1EF5"/>
    <w:multiLevelType w:val="multilevel"/>
    <w:tmpl w:val="BE960324"/>
    <w:lvl w:ilvl="0">
      <w:start w:val="1"/>
      <w:numFmt w:val="upperRoman"/>
      <w:lvlText w:val="%1."/>
      <w:lvlJc w:val="right"/>
      <w:pPr>
        <w:ind w:left="360" w:hanging="360"/>
      </w:pPr>
    </w:lvl>
    <w:lvl w:ilvl="1">
      <w:start w:val="10"/>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10"/>
  </w:num>
  <w:num w:numId="2">
    <w:abstractNumId w:val="9"/>
  </w:num>
  <w:num w:numId="3">
    <w:abstractNumId w:val="70"/>
  </w:num>
  <w:num w:numId="4">
    <w:abstractNumId w:val="37"/>
  </w:num>
  <w:num w:numId="5">
    <w:abstractNumId w:val="15"/>
  </w:num>
  <w:num w:numId="6">
    <w:abstractNumId w:val="5"/>
    <w:lvlOverride w:ilvl="0">
      <w:startOverride w:val="1"/>
    </w:lvlOverride>
  </w:num>
  <w:num w:numId="7">
    <w:abstractNumId w:val="5"/>
  </w:num>
  <w:num w:numId="8">
    <w:abstractNumId w:val="50"/>
  </w:num>
  <w:num w:numId="9">
    <w:abstractNumId w:val="26"/>
  </w:num>
  <w:num w:numId="10">
    <w:abstractNumId w:val="14"/>
  </w:num>
  <w:num w:numId="11">
    <w:abstractNumId w:val="59"/>
  </w:num>
  <w:num w:numId="12">
    <w:abstractNumId w:val="5"/>
    <w:lvlOverride w:ilvl="0">
      <w:startOverride w:val="1"/>
    </w:lvlOverride>
  </w:num>
  <w:num w:numId="13">
    <w:abstractNumId w:val="68"/>
  </w:num>
  <w:num w:numId="14">
    <w:abstractNumId w:val="65"/>
  </w:num>
  <w:num w:numId="15">
    <w:abstractNumId w:val="47"/>
  </w:num>
  <w:num w:numId="16">
    <w:abstractNumId w:val="19"/>
  </w:num>
  <w:num w:numId="17">
    <w:abstractNumId w:val="69"/>
  </w:num>
  <w:num w:numId="18">
    <w:abstractNumId w:val="60"/>
  </w:num>
  <w:num w:numId="19">
    <w:abstractNumId w:val="2"/>
  </w:num>
  <w:num w:numId="20">
    <w:abstractNumId w:val="62"/>
  </w:num>
  <w:num w:numId="21">
    <w:abstractNumId w:val="43"/>
  </w:num>
  <w:num w:numId="22">
    <w:abstractNumId w:val="48"/>
  </w:num>
  <w:num w:numId="23">
    <w:abstractNumId w:val="64"/>
  </w:num>
  <w:num w:numId="24">
    <w:abstractNumId w:val="11"/>
  </w:num>
  <w:num w:numId="25">
    <w:abstractNumId w:val="23"/>
  </w:num>
  <w:num w:numId="26">
    <w:abstractNumId w:val="6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40"/>
  </w:num>
  <w:num w:numId="34">
    <w:abstractNumId w:val="42"/>
  </w:num>
  <w:num w:numId="35">
    <w:abstractNumId w:val="54"/>
  </w:num>
  <w:num w:numId="36">
    <w:abstractNumId w:val="53"/>
  </w:num>
  <w:num w:numId="37">
    <w:abstractNumId w:val="39"/>
  </w:num>
  <w:num w:numId="38">
    <w:abstractNumId w:val="17"/>
  </w:num>
  <w:num w:numId="39">
    <w:abstractNumId w:val="30"/>
  </w:num>
  <w:num w:numId="40">
    <w:abstractNumId w:val="36"/>
  </w:num>
  <w:num w:numId="41">
    <w:abstractNumId w:val="12"/>
  </w:num>
  <w:num w:numId="42">
    <w:abstractNumId w:val="45"/>
  </w:num>
  <w:num w:numId="43">
    <w:abstractNumId w:val="8"/>
  </w:num>
  <w:num w:numId="44">
    <w:abstractNumId w:val="18"/>
  </w:num>
  <w:num w:numId="45">
    <w:abstractNumId w:val="44"/>
  </w:num>
  <w:num w:numId="46">
    <w:abstractNumId w:val="16"/>
  </w:num>
  <w:num w:numId="47">
    <w:abstractNumId w:val="56"/>
  </w:num>
  <w:num w:numId="48">
    <w:abstractNumId w:val="22"/>
  </w:num>
  <w:num w:numId="49">
    <w:abstractNumId w:val="33"/>
  </w:num>
  <w:num w:numId="50">
    <w:abstractNumId w:val="32"/>
  </w:num>
  <w:num w:numId="51">
    <w:abstractNumId w:val="49"/>
  </w:num>
  <w:num w:numId="52">
    <w:abstractNumId w:val="7"/>
  </w:num>
  <w:num w:numId="53">
    <w:abstractNumId w:val="3"/>
  </w:num>
  <w:num w:numId="54">
    <w:abstractNumId w:val="1"/>
  </w:num>
  <w:num w:numId="55">
    <w:abstractNumId w:val="55"/>
  </w:num>
  <w:num w:numId="56">
    <w:abstractNumId w:val="13"/>
  </w:num>
  <w:num w:numId="57">
    <w:abstractNumId w:val="52"/>
  </w:num>
  <w:num w:numId="58">
    <w:abstractNumId w:val="20"/>
  </w:num>
  <w:num w:numId="59">
    <w:abstractNumId w:val="67"/>
  </w:num>
  <w:num w:numId="60">
    <w:abstractNumId w:val="27"/>
  </w:num>
  <w:num w:numId="61">
    <w:abstractNumId w:val="25"/>
  </w:num>
  <w:num w:numId="62">
    <w:abstractNumId w:val="28"/>
  </w:num>
  <w:num w:numId="63">
    <w:abstractNumId w:val="24"/>
  </w:num>
  <w:num w:numId="64">
    <w:abstractNumId w:val="29"/>
  </w:num>
  <w:num w:numId="65">
    <w:abstractNumId w:val="34"/>
  </w:num>
  <w:num w:numId="66">
    <w:abstractNumId w:val="4"/>
  </w:num>
  <w:num w:numId="67">
    <w:abstractNumId w:val="0"/>
  </w:num>
  <w:num w:numId="68">
    <w:abstractNumId w:val="21"/>
  </w:num>
  <w:num w:numId="69">
    <w:abstractNumId w:val="41"/>
  </w:num>
  <w:num w:numId="70">
    <w:abstractNumId w:val="63"/>
  </w:num>
  <w:num w:numId="71">
    <w:abstractNumId w:val="46"/>
  </w:num>
  <w:num w:numId="72">
    <w:abstractNumId w:val="61"/>
  </w:num>
  <w:num w:numId="73">
    <w:abstractNumId w:val="35"/>
  </w:num>
  <w:num w:numId="74">
    <w:abstractNumId w:val="57"/>
  </w:num>
  <w:num w:numId="75">
    <w:abstractNumId w:val="31"/>
  </w:num>
  <w:num w:numId="76">
    <w:abstractNumId w:val="66"/>
  </w:num>
  <w:num w:numId="77">
    <w:abstractNumId w:val="5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100"/>
    <w:rsid w:val="00000D09"/>
    <w:rsid w:val="0000263F"/>
    <w:rsid w:val="0000517A"/>
    <w:rsid w:val="000068CB"/>
    <w:rsid w:val="00006B66"/>
    <w:rsid w:val="00006CE3"/>
    <w:rsid w:val="000079FD"/>
    <w:rsid w:val="00010414"/>
    <w:rsid w:val="0001093E"/>
    <w:rsid w:val="00015DBA"/>
    <w:rsid w:val="000207C6"/>
    <w:rsid w:val="00021E56"/>
    <w:rsid w:val="00022131"/>
    <w:rsid w:val="0002269B"/>
    <w:rsid w:val="00022DDB"/>
    <w:rsid w:val="00024ECC"/>
    <w:rsid w:val="000254E1"/>
    <w:rsid w:val="000259C3"/>
    <w:rsid w:val="0002687C"/>
    <w:rsid w:val="0002773E"/>
    <w:rsid w:val="00027BB9"/>
    <w:rsid w:val="00031264"/>
    <w:rsid w:val="00031D6B"/>
    <w:rsid w:val="00032DD1"/>
    <w:rsid w:val="00033068"/>
    <w:rsid w:val="00033B10"/>
    <w:rsid w:val="00033C0F"/>
    <w:rsid w:val="00034814"/>
    <w:rsid w:val="00036142"/>
    <w:rsid w:val="00040167"/>
    <w:rsid w:val="000478BD"/>
    <w:rsid w:val="0005417A"/>
    <w:rsid w:val="000541A8"/>
    <w:rsid w:val="00054C40"/>
    <w:rsid w:val="00056802"/>
    <w:rsid w:val="0005729D"/>
    <w:rsid w:val="00064663"/>
    <w:rsid w:val="000662A5"/>
    <w:rsid w:val="00071F8D"/>
    <w:rsid w:val="000724C1"/>
    <w:rsid w:val="00072587"/>
    <w:rsid w:val="00074D3F"/>
    <w:rsid w:val="00075D03"/>
    <w:rsid w:val="00076B1F"/>
    <w:rsid w:val="00077A1A"/>
    <w:rsid w:val="00081623"/>
    <w:rsid w:val="0008175E"/>
    <w:rsid w:val="000820C6"/>
    <w:rsid w:val="00083F0F"/>
    <w:rsid w:val="00084223"/>
    <w:rsid w:val="00084AB7"/>
    <w:rsid w:val="00084D75"/>
    <w:rsid w:val="000904D6"/>
    <w:rsid w:val="00096010"/>
    <w:rsid w:val="00096308"/>
    <w:rsid w:val="00096484"/>
    <w:rsid w:val="00096B07"/>
    <w:rsid w:val="00097EAF"/>
    <w:rsid w:val="000A08EC"/>
    <w:rsid w:val="000A0E1B"/>
    <w:rsid w:val="000A6A29"/>
    <w:rsid w:val="000A71EE"/>
    <w:rsid w:val="000A7DBB"/>
    <w:rsid w:val="000B033F"/>
    <w:rsid w:val="000B11BF"/>
    <w:rsid w:val="000B4333"/>
    <w:rsid w:val="000C39F7"/>
    <w:rsid w:val="000C50C2"/>
    <w:rsid w:val="000C5BD6"/>
    <w:rsid w:val="000C726F"/>
    <w:rsid w:val="000C75D6"/>
    <w:rsid w:val="000D027C"/>
    <w:rsid w:val="000D3EBE"/>
    <w:rsid w:val="000D6A73"/>
    <w:rsid w:val="000E0A36"/>
    <w:rsid w:val="000E262E"/>
    <w:rsid w:val="000E2640"/>
    <w:rsid w:val="000E2EDB"/>
    <w:rsid w:val="000E2FD9"/>
    <w:rsid w:val="000E49A0"/>
    <w:rsid w:val="000E5879"/>
    <w:rsid w:val="000E776A"/>
    <w:rsid w:val="000F2E58"/>
    <w:rsid w:val="000F49EF"/>
    <w:rsid w:val="000F57A1"/>
    <w:rsid w:val="00100703"/>
    <w:rsid w:val="00100DE4"/>
    <w:rsid w:val="0010198A"/>
    <w:rsid w:val="0010223A"/>
    <w:rsid w:val="001024F1"/>
    <w:rsid w:val="0010267C"/>
    <w:rsid w:val="00103287"/>
    <w:rsid w:val="00104566"/>
    <w:rsid w:val="00111F8F"/>
    <w:rsid w:val="001140A6"/>
    <w:rsid w:val="00114A8A"/>
    <w:rsid w:val="00114FE3"/>
    <w:rsid w:val="00115A51"/>
    <w:rsid w:val="00115BE6"/>
    <w:rsid w:val="00116569"/>
    <w:rsid w:val="00116910"/>
    <w:rsid w:val="00116D6F"/>
    <w:rsid w:val="001179FE"/>
    <w:rsid w:val="00121783"/>
    <w:rsid w:val="00123E68"/>
    <w:rsid w:val="00124EF8"/>
    <w:rsid w:val="00127060"/>
    <w:rsid w:val="00131AD9"/>
    <w:rsid w:val="00132689"/>
    <w:rsid w:val="0013280E"/>
    <w:rsid w:val="001333BE"/>
    <w:rsid w:val="001339E3"/>
    <w:rsid w:val="00133FBF"/>
    <w:rsid w:val="001340D5"/>
    <w:rsid w:val="00134965"/>
    <w:rsid w:val="00134F76"/>
    <w:rsid w:val="00135400"/>
    <w:rsid w:val="00136436"/>
    <w:rsid w:val="00136DAC"/>
    <w:rsid w:val="001404FA"/>
    <w:rsid w:val="0014094C"/>
    <w:rsid w:val="00141036"/>
    <w:rsid w:val="0014243E"/>
    <w:rsid w:val="001431E8"/>
    <w:rsid w:val="00145518"/>
    <w:rsid w:val="0014565F"/>
    <w:rsid w:val="00145C1C"/>
    <w:rsid w:val="00146A2F"/>
    <w:rsid w:val="00146EA8"/>
    <w:rsid w:val="001479E5"/>
    <w:rsid w:val="00151AC3"/>
    <w:rsid w:val="001535D0"/>
    <w:rsid w:val="001617D4"/>
    <w:rsid w:val="00162507"/>
    <w:rsid w:val="00162B24"/>
    <w:rsid w:val="00163D4A"/>
    <w:rsid w:val="00164EC2"/>
    <w:rsid w:val="00166E5E"/>
    <w:rsid w:val="0016749F"/>
    <w:rsid w:val="0016771A"/>
    <w:rsid w:val="00170FAA"/>
    <w:rsid w:val="00171629"/>
    <w:rsid w:val="0017497C"/>
    <w:rsid w:val="00174DE6"/>
    <w:rsid w:val="00175C59"/>
    <w:rsid w:val="00180586"/>
    <w:rsid w:val="00180F98"/>
    <w:rsid w:val="0018275E"/>
    <w:rsid w:val="00182C19"/>
    <w:rsid w:val="001845DC"/>
    <w:rsid w:val="001852BC"/>
    <w:rsid w:val="00186523"/>
    <w:rsid w:val="00190455"/>
    <w:rsid w:val="001904B6"/>
    <w:rsid w:val="00191DBC"/>
    <w:rsid w:val="00191F20"/>
    <w:rsid w:val="00194BD8"/>
    <w:rsid w:val="001A203F"/>
    <w:rsid w:val="001A3425"/>
    <w:rsid w:val="001A3D22"/>
    <w:rsid w:val="001A5999"/>
    <w:rsid w:val="001B0525"/>
    <w:rsid w:val="001B0B69"/>
    <w:rsid w:val="001B0C9F"/>
    <w:rsid w:val="001B37D1"/>
    <w:rsid w:val="001B5B2F"/>
    <w:rsid w:val="001B6836"/>
    <w:rsid w:val="001B6D1D"/>
    <w:rsid w:val="001C107A"/>
    <w:rsid w:val="001C3710"/>
    <w:rsid w:val="001C54DB"/>
    <w:rsid w:val="001C65FD"/>
    <w:rsid w:val="001D00C4"/>
    <w:rsid w:val="001D2B8A"/>
    <w:rsid w:val="001D3295"/>
    <w:rsid w:val="001D40D1"/>
    <w:rsid w:val="001D47D9"/>
    <w:rsid w:val="001D5EC0"/>
    <w:rsid w:val="001E12E8"/>
    <w:rsid w:val="001E2863"/>
    <w:rsid w:val="001E289C"/>
    <w:rsid w:val="001E436C"/>
    <w:rsid w:val="001E4494"/>
    <w:rsid w:val="001E4F3E"/>
    <w:rsid w:val="001E525D"/>
    <w:rsid w:val="001F1C06"/>
    <w:rsid w:val="001F2B62"/>
    <w:rsid w:val="001F3B10"/>
    <w:rsid w:val="001F4245"/>
    <w:rsid w:val="002004C2"/>
    <w:rsid w:val="002008FB"/>
    <w:rsid w:val="002012D0"/>
    <w:rsid w:val="00201971"/>
    <w:rsid w:val="00201BF4"/>
    <w:rsid w:val="002064E6"/>
    <w:rsid w:val="00207F86"/>
    <w:rsid w:val="00210AE1"/>
    <w:rsid w:val="0021284A"/>
    <w:rsid w:val="0021478C"/>
    <w:rsid w:val="00217867"/>
    <w:rsid w:val="00220B3B"/>
    <w:rsid w:val="00221D4B"/>
    <w:rsid w:val="00223F75"/>
    <w:rsid w:val="00225EEC"/>
    <w:rsid w:val="00225F12"/>
    <w:rsid w:val="00227278"/>
    <w:rsid w:val="00227A8E"/>
    <w:rsid w:val="00227BD2"/>
    <w:rsid w:val="00231A8D"/>
    <w:rsid w:val="00232CD2"/>
    <w:rsid w:val="00232F39"/>
    <w:rsid w:val="00235C12"/>
    <w:rsid w:val="00236EC5"/>
    <w:rsid w:val="0023782D"/>
    <w:rsid w:val="00237C13"/>
    <w:rsid w:val="00237E20"/>
    <w:rsid w:val="00240136"/>
    <w:rsid w:val="002407EC"/>
    <w:rsid w:val="00240C6E"/>
    <w:rsid w:val="00242893"/>
    <w:rsid w:val="0024455A"/>
    <w:rsid w:val="00244DCB"/>
    <w:rsid w:val="00245300"/>
    <w:rsid w:val="002472DA"/>
    <w:rsid w:val="00250C42"/>
    <w:rsid w:val="00250C97"/>
    <w:rsid w:val="0025152D"/>
    <w:rsid w:val="002530F0"/>
    <w:rsid w:val="002531B1"/>
    <w:rsid w:val="00254F07"/>
    <w:rsid w:val="00256A71"/>
    <w:rsid w:val="00257B6D"/>
    <w:rsid w:val="0026107D"/>
    <w:rsid w:val="00261429"/>
    <w:rsid w:val="00261AD9"/>
    <w:rsid w:val="002631DC"/>
    <w:rsid w:val="002632EA"/>
    <w:rsid w:val="002641AD"/>
    <w:rsid w:val="002645A9"/>
    <w:rsid w:val="00264E45"/>
    <w:rsid w:val="00265BD3"/>
    <w:rsid w:val="00265E81"/>
    <w:rsid w:val="002665E2"/>
    <w:rsid w:val="00266767"/>
    <w:rsid w:val="00266C7F"/>
    <w:rsid w:val="00267559"/>
    <w:rsid w:val="00274D3D"/>
    <w:rsid w:val="00275537"/>
    <w:rsid w:val="00275744"/>
    <w:rsid w:val="00275BB0"/>
    <w:rsid w:val="00276789"/>
    <w:rsid w:val="00281B60"/>
    <w:rsid w:val="0028257B"/>
    <w:rsid w:val="00282B12"/>
    <w:rsid w:val="00283BB8"/>
    <w:rsid w:val="00283F9F"/>
    <w:rsid w:val="002900BD"/>
    <w:rsid w:val="00294F04"/>
    <w:rsid w:val="002959D7"/>
    <w:rsid w:val="00295AD4"/>
    <w:rsid w:val="002967EA"/>
    <w:rsid w:val="002968A8"/>
    <w:rsid w:val="00296964"/>
    <w:rsid w:val="00297166"/>
    <w:rsid w:val="00297352"/>
    <w:rsid w:val="002A1642"/>
    <w:rsid w:val="002A1CD4"/>
    <w:rsid w:val="002A2619"/>
    <w:rsid w:val="002A3047"/>
    <w:rsid w:val="002A533C"/>
    <w:rsid w:val="002A6223"/>
    <w:rsid w:val="002A7E72"/>
    <w:rsid w:val="002B1AB0"/>
    <w:rsid w:val="002B41DE"/>
    <w:rsid w:val="002B5101"/>
    <w:rsid w:val="002B61F9"/>
    <w:rsid w:val="002C068A"/>
    <w:rsid w:val="002C120A"/>
    <w:rsid w:val="002C2B13"/>
    <w:rsid w:val="002C4D22"/>
    <w:rsid w:val="002C506E"/>
    <w:rsid w:val="002C5C0C"/>
    <w:rsid w:val="002C7965"/>
    <w:rsid w:val="002C7E60"/>
    <w:rsid w:val="002D188D"/>
    <w:rsid w:val="002D2C58"/>
    <w:rsid w:val="002D3533"/>
    <w:rsid w:val="002D6620"/>
    <w:rsid w:val="002E2388"/>
    <w:rsid w:val="002E2923"/>
    <w:rsid w:val="002E7024"/>
    <w:rsid w:val="002F06C6"/>
    <w:rsid w:val="002F1102"/>
    <w:rsid w:val="002F1508"/>
    <w:rsid w:val="002F1BF1"/>
    <w:rsid w:val="002F2523"/>
    <w:rsid w:val="002F5B74"/>
    <w:rsid w:val="002F73C9"/>
    <w:rsid w:val="002F749D"/>
    <w:rsid w:val="002F7FBC"/>
    <w:rsid w:val="003018AB"/>
    <w:rsid w:val="0030309E"/>
    <w:rsid w:val="00305483"/>
    <w:rsid w:val="00307E20"/>
    <w:rsid w:val="00311387"/>
    <w:rsid w:val="003127CB"/>
    <w:rsid w:val="0031306D"/>
    <w:rsid w:val="003155BE"/>
    <w:rsid w:val="00320CBA"/>
    <w:rsid w:val="003219FB"/>
    <w:rsid w:val="00322CE0"/>
    <w:rsid w:val="00324BB5"/>
    <w:rsid w:val="0032716A"/>
    <w:rsid w:val="003276CF"/>
    <w:rsid w:val="00330D77"/>
    <w:rsid w:val="00330ED7"/>
    <w:rsid w:val="00332420"/>
    <w:rsid w:val="003349A5"/>
    <w:rsid w:val="00335153"/>
    <w:rsid w:val="003358FE"/>
    <w:rsid w:val="00336EFC"/>
    <w:rsid w:val="003378DE"/>
    <w:rsid w:val="003402AA"/>
    <w:rsid w:val="00342649"/>
    <w:rsid w:val="00343069"/>
    <w:rsid w:val="00343639"/>
    <w:rsid w:val="00343ABE"/>
    <w:rsid w:val="00343AC8"/>
    <w:rsid w:val="00344CDA"/>
    <w:rsid w:val="003475A1"/>
    <w:rsid w:val="00347FA3"/>
    <w:rsid w:val="00352409"/>
    <w:rsid w:val="00352533"/>
    <w:rsid w:val="003528D8"/>
    <w:rsid w:val="00353CFE"/>
    <w:rsid w:val="00354609"/>
    <w:rsid w:val="00355FCA"/>
    <w:rsid w:val="00356D03"/>
    <w:rsid w:val="00357ED6"/>
    <w:rsid w:val="00360023"/>
    <w:rsid w:val="00361E3D"/>
    <w:rsid w:val="003626CE"/>
    <w:rsid w:val="00363DD5"/>
    <w:rsid w:val="003645F6"/>
    <w:rsid w:val="00365C53"/>
    <w:rsid w:val="00365CCD"/>
    <w:rsid w:val="00366E45"/>
    <w:rsid w:val="003708D9"/>
    <w:rsid w:val="00371EDD"/>
    <w:rsid w:val="00374766"/>
    <w:rsid w:val="00374807"/>
    <w:rsid w:val="00374D48"/>
    <w:rsid w:val="00380F19"/>
    <w:rsid w:val="003826C5"/>
    <w:rsid w:val="00382C52"/>
    <w:rsid w:val="00383BEC"/>
    <w:rsid w:val="0038441D"/>
    <w:rsid w:val="003852ED"/>
    <w:rsid w:val="00385F7F"/>
    <w:rsid w:val="00386135"/>
    <w:rsid w:val="00386AFB"/>
    <w:rsid w:val="00386D21"/>
    <w:rsid w:val="003901ED"/>
    <w:rsid w:val="00390BFD"/>
    <w:rsid w:val="003927CB"/>
    <w:rsid w:val="00393557"/>
    <w:rsid w:val="003940AC"/>
    <w:rsid w:val="00396858"/>
    <w:rsid w:val="003A0262"/>
    <w:rsid w:val="003A1248"/>
    <w:rsid w:val="003A2812"/>
    <w:rsid w:val="003A2A55"/>
    <w:rsid w:val="003A3F85"/>
    <w:rsid w:val="003A794B"/>
    <w:rsid w:val="003B1690"/>
    <w:rsid w:val="003B1963"/>
    <w:rsid w:val="003B1CB9"/>
    <w:rsid w:val="003B2DCA"/>
    <w:rsid w:val="003B577D"/>
    <w:rsid w:val="003B5A03"/>
    <w:rsid w:val="003C3B63"/>
    <w:rsid w:val="003C3DF9"/>
    <w:rsid w:val="003C500E"/>
    <w:rsid w:val="003C5B8B"/>
    <w:rsid w:val="003C5D18"/>
    <w:rsid w:val="003C6054"/>
    <w:rsid w:val="003C73C9"/>
    <w:rsid w:val="003C76A2"/>
    <w:rsid w:val="003C76B8"/>
    <w:rsid w:val="003D2055"/>
    <w:rsid w:val="003D3B1D"/>
    <w:rsid w:val="003D3C58"/>
    <w:rsid w:val="003D41B1"/>
    <w:rsid w:val="003D4612"/>
    <w:rsid w:val="003D521C"/>
    <w:rsid w:val="003D7C1F"/>
    <w:rsid w:val="003E0C50"/>
    <w:rsid w:val="003E1456"/>
    <w:rsid w:val="003E1C9B"/>
    <w:rsid w:val="003E2C86"/>
    <w:rsid w:val="003E2E73"/>
    <w:rsid w:val="003E378A"/>
    <w:rsid w:val="003E37E3"/>
    <w:rsid w:val="003E3B47"/>
    <w:rsid w:val="003E7551"/>
    <w:rsid w:val="003F03E1"/>
    <w:rsid w:val="003F070C"/>
    <w:rsid w:val="003F19AB"/>
    <w:rsid w:val="003F1E0F"/>
    <w:rsid w:val="003F2861"/>
    <w:rsid w:val="003F39D7"/>
    <w:rsid w:val="003F7380"/>
    <w:rsid w:val="003F7BCF"/>
    <w:rsid w:val="00403503"/>
    <w:rsid w:val="004059C2"/>
    <w:rsid w:val="00405FD5"/>
    <w:rsid w:val="00406BAE"/>
    <w:rsid w:val="004100DC"/>
    <w:rsid w:val="00411717"/>
    <w:rsid w:val="00411971"/>
    <w:rsid w:val="004122B2"/>
    <w:rsid w:val="00413694"/>
    <w:rsid w:val="00414EAF"/>
    <w:rsid w:val="0041682F"/>
    <w:rsid w:val="00416FE9"/>
    <w:rsid w:val="004179A1"/>
    <w:rsid w:val="00417AB7"/>
    <w:rsid w:val="00420F7F"/>
    <w:rsid w:val="0042187D"/>
    <w:rsid w:val="00422B7E"/>
    <w:rsid w:val="00424B31"/>
    <w:rsid w:val="00425230"/>
    <w:rsid w:val="004261CE"/>
    <w:rsid w:val="00426B73"/>
    <w:rsid w:val="00427FCF"/>
    <w:rsid w:val="00432D0F"/>
    <w:rsid w:val="00433E0C"/>
    <w:rsid w:val="00435803"/>
    <w:rsid w:val="004368FE"/>
    <w:rsid w:val="00437DB9"/>
    <w:rsid w:val="004404D6"/>
    <w:rsid w:val="00441670"/>
    <w:rsid w:val="00442760"/>
    <w:rsid w:val="00445001"/>
    <w:rsid w:val="004454E0"/>
    <w:rsid w:val="00445F13"/>
    <w:rsid w:val="004526A2"/>
    <w:rsid w:val="00455D2E"/>
    <w:rsid w:val="00455F9C"/>
    <w:rsid w:val="00456BB2"/>
    <w:rsid w:val="00457C4A"/>
    <w:rsid w:val="00461D39"/>
    <w:rsid w:val="0046461C"/>
    <w:rsid w:val="004655F9"/>
    <w:rsid w:val="00465845"/>
    <w:rsid w:val="0046658F"/>
    <w:rsid w:val="00467987"/>
    <w:rsid w:val="00470260"/>
    <w:rsid w:val="004730CA"/>
    <w:rsid w:val="004741EA"/>
    <w:rsid w:val="00475438"/>
    <w:rsid w:val="00480725"/>
    <w:rsid w:val="0048089A"/>
    <w:rsid w:val="004812B8"/>
    <w:rsid w:val="00481826"/>
    <w:rsid w:val="00482B86"/>
    <w:rsid w:val="0048566E"/>
    <w:rsid w:val="00485871"/>
    <w:rsid w:val="00486082"/>
    <w:rsid w:val="0049250A"/>
    <w:rsid w:val="004932ED"/>
    <w:rsid w:val="00493D06"/>
    <w:rsid w:val="00496F1D"/>
    <w:rsid w:val="00497DE9"/>
    <w:rsid w:val="004A3BE2"/>
    <w:rsid w:val="004A4114"/>
    <w:rsid w:val="004A437B"/>
    <w:rsid w:val="004A4670"/>
    <w:rsid w:val="004A6AD0"/>
    <w:rsid w:val="004A6C78"/>
    <w:rsid w:val="004A6F8E"/>
    <w:rsid w:val="004A7BE6"/>
    <w:rsid w:val="004A7F67"/>
    <w:rsid w:val="004B163C"/>
    <w:rsid w:val="004B211A"/>
    <w:rsid w:val="004B23F2"/>
    <w:rsid w:val="004B3014"/>
    <w:rsid w:val="004B32FA"/>
    <w:rsid w:val="004B4033"/>
    <w:rsid w:val="004B447B"/>
    <w:rsid w:val="004B4CDB"/>
    <w:rsid w:val="004B55AE"/>
    <w:rsid w:val="004B5E89"/>
    <w:rsid w:val="004B61B8"/>
    <w:rsid w:val="004C242F"/>
    <w:rsid w:val="004C305F"/>
    <w:rsid w:val="004C4406"/>
    <w:rsid w:val="004C46BA"/>
    <w:rsid w:val="004C528D"/>
    <w:rsid w:val="004C550D"/>
    <w:rsid w:val="004C5C2F"/>
    <w:rsid w:val="004D08DD"/>
    <w:rsid w:val="004D1B18"/>
    <w:rsid w:val="004D212B"/>
    <w:rsid w:val="004D2178"/>
    <w:rsid w:val="004D33CF"/>
    <w:rsid w:val="004D35A2"/>
    <w:rsid w:val="004D3F1C"/>
    <w:rsid w:val="004D5846"/>
    <w:rsid w:val="004E0C06"/>
    <w:rsid w:val="004E33D3"/>
    <w:rsid w:val="004E66BA"/>
    <w:rsid w:val="004E67ED"/>
    <w:rsid w:val="004E76CF"/>
    <w:rsid w:val="004E780F"/>
    <w:rsid w:val="004F038A"/>
    <w:rsid w:val="004F167E"/>
    <w:rsid w:val="004F2358"/>
    <w:rsid w:val="004F45FD"/>
    <w:rsid w:val="004F478E"/>
    <w:rsid w:val="004F4C0F"/>
    <w:rsid w:val="004F6146"/>
    <w:rsid w:val="004F7581"/>
    <w:rsid w:val="005016EB"/>
    <w:rsid w:val="005024BF"/>
    <w:rsid w:val="00505331"/>
    <w:rsid w:val="00506DB7"/>
    <w:rsid w:val="00511252"/>
    <w:rsid w:val="00512182"/>
    <w:rsid w:val="00514178"/>
    <w:rsid w:val="005145A8"/>
    <w:rsid w:val="005161BD"/>
    <w:rsid w:val="00516C0B"/>
    <w:rsid w:val="00516C13"/>
    <w:rsid w:val="00521CFC"/>
    <w:rsid w:val="00524E07"/>
    <w:rsid w:val="00525C1D"/>
    <w:rsid w:val="005263B5"/>
    <w:rsid w:val="005268B6"/>
    <w:rsid w:val="00530C3C"/>
    <w:rsid w:val="00532E1F"/>
    <w:rsid w:val="005347A4"/>
    <w:rsid w:val="00535A36"/>
    <w:rsid w:val="00535D43"/>
    <w:rsid w:val="00536280"/>
    <w:rsid w:val="00537B3E"/>
    <w:rsid w:val="00537BA4"/>
    <w:rsid w:val="00540031"/>
    <w:rsid w:val="0054035F"/>
    <w:rsid w:val="00542676"/>
    <w:rsid w:val="00542ADE"/>
    <w:rsid w:val="005437CB"/>
    <w:rsid w:val="00543B18"/>
    <w:rsid w:val="00543F1B"/>
    <w:rsid w:val="0054548E"/>
    <w:rsid w:val="0054563D"/>
    <w:rsid w:val="00545DC7"/>
    <w:rsid w:val="00550973"/>
    <w:rsid w:val="00550A82"/>
    <w:rsid w:val="00551301"/>
    <w:rsid w:val="00551404"/>
    <w:rsid w:val="00554F70"/>
    <w:rsid w:val="005550BD"/>
    <w:rsid w:val="00556E9B"/>
    <w:rsid w:val="00556F24"/>
    <w:rsid w:val="00557031"/>
    <w:rsid w:val="00561033"/>
    <w:rsid w:val="00562377"/>
    <w:rsid w:val="005637AE"/>
    <w:rsid w:val="00563E1B"/>
    <w:rsid w:val="00564879"/>
    <w:rsid w:val="0056520C"/>
    <w:rsid w:val="005677B4"/>
    <w:rsid w:val="00567A47"/>
    <w:rsid w:val="005732A3"/>
    <w:rsid w:val="005738B1"/>
    <w:rsid w:val="00577C74"/>
    <w:rsid w:val="005828B0"/>
    <w:rsid w:val="00583846"/>
    <w:rsid w:val="005838FE"/>
    <w:rsid w:val="00584458"/>
    <w:rsid w:val="005847E3"/>
    <w:rsid w:val="005869BD"/>
    <w:rsid w:val="00587CB3"/>
    <w:rsid w:val="005907C7"/>
    <w:rsid w:val="005908A2"/>
    <w:rsid w:val="0059494D"/>
    <w:rsid w:val="00595B9D"/>
    <w:rsid w:val="005964ED"/>
    <w:rsid w:val="00596E7F"/>
    <w:rsid w:val="00597858"/>
    <w:rsid w:val="00597A05"/>
    <w:rsid w:val="005A0150"/>
    <w:rsid w:val="005A081B"/>
    <w:rsid w:val="005A0B96"/>
    <w:rsid w:val="005A1F16"/>
    <w:rsid w:val="005A1F1E"/>
    <w:rsid w:val="005A23C7"/>
    <w:rsid w:val="005A26E2"/>
    <w:rsid w:val="005A310D"/>
    <w:rsid w:val="005A4262"/>
    <w:rsid w:val="005A653B"/>
    <w:rsid w:val="005A7399"/>
    <w:rsid w:val="005B0991"/>
    <w:rsid w:val="005B0A69"/>
    <w:rsid w:val="005B0F90"/>
    <w:rsid w:val="005B2582"/>
    <w:rsid w:val="005B56AF"/>
    <w:rsid w:val="005B5CEB"/>
    <w:rsid w:val="005B73D5"/>
    <w:rsid w:val="005B7F6C"/>
    <w:rsid w:val="005C24B3"/>
    <w:rsid w:val="005C4FF0"/>
    <w:rsid w:val="005C76C0"/>
    <w:rsid w:val="005C7DD5"/>
    <w:rsid w:val="005D00B0"/>
    <w:rsid w:val="005D1337"/>
    <w:rsid w:val="005D16BE"/>
    <w:rsid w:val="005D1737"/>
    <w:rsid w:val="005D219B"/>
    <w:rsid w:val="005D34C8"/>
    <w:rsid w:val="005D5DEE"/>
    <w:rsid w:val="005D7D16"/>
    <w:rsid w:val="005E24D8"/>
    <w:rsid w:val="005E279F"/>
    <w:rsid w:val="005E3E9F"/>
    <w:rsid w:val="005E4F56"/>
    <w:rsid w:val="005E53CD"/>
    <w:rsid w:val="005E7B04"/>
    <w:rsid w:val="005F079C"/>
    <w:rsid w:val="005F2584"/>
    <w:rsid w:val="005F4D7F"/>
    <w:rsid w:val="005F5681"/>
    <w:rsid w:val="005F5964"/>
    <w:rsid w:val="006010A5"/>
    <w:rsid w:val="00602104"/>
    <w:rsid w:val="00602BBC"/>
    <w:rsid w:val="00603B7F"/>
    <w:rsid w:val="00604802"/>
    <w:rsid w:val="00605B6F"/>
    <w:rsid w:val="0060688E"/>
    <w:rsid w:val="006072DE"/>
    <w:rsid w:val="006078B7"/>
    <w:rsid w:val="00611780"/>
    <w:rsid w:val="00611DDF"/>
    <w:rsid w:val="00613D51"/>
    <w:rsid w:val="006149DB"/>
    <w:rsid w:val="00615487"/>
    <w:rsid w:val="00620E69"/>
    <w:rsid w:val="00624A81"/>
    <w:rsid w:val="00625949"/>
    <w:rsid w:val="0062642A"/>
    <w:rsid w:val="006267D2"/>
    <w:rsid w:val="0062706F"/>
    <w:rsid w:val="00627520"/>
    <w:rsid w:val="0063003C"/>
    <w:rsid w:val="00630100"/>
    <w:rsid w:val="00630C5C"/>
    <w:rsid w:val="00631FD4"/>
    <w:rsid w:val="0063466C"/>
    <w:rsid w:val="00635D7E"/>
    <w:rsid w:val="00635E91"/>
    <w:rsid w:val="006361A8"/>
    <w:rsid w:val="00640F29"/>
    <w:rsid w:val="00641009"/>
    <w:rsid w:val="00641FF0"/>
    <w:rsid w:val="006448E7"/>
    <w:rsid w:val="00645E85"/>
    <w:rsid w:val="0064634E"/>
    <w:rsid w:val="006503DB"/>
    <w:rsid w:val="00651968"/>
    <w:rsid w:val="00653092"/>
    <w:rsid w:val="00654736"/>
    <w:rsid w:val="00655A2C"/>
    <w:rsid w:val="006603E9"/>
    <w:rsid w:val="00661880"/>
    <w:rsid w:val="00662118"/>
    <w:rsid w:val="00662A55"/>
    <w:rsid w:val="00662E79"/>
    <w:rsid w:val="0066404C"/>
    <w:rsid w:val="00667A14"/>
    <w:rsid w:val="00671616"/>
    <w:rsid w:val="00673C85"/>
    <w:rsid w:val="00674743"/>
    <w:rsid w:val="00674EF9"/>
    <w:rsid w:val="00675756"/>
    <w:rsid w:val="00675A69"/>
    <w:rsid w:val="0067653D"/>
    <w:rsid w:val="00676C9F"/>
    <w:rsid w:val="006778EC"/>
    <w:rsid w:val="00680188"/>
    <w:rsid w:val="00681A4A"/>
    <w:rsid w:val="00681D31"/>
    <w:rsid w:val="0068207E"/>
    <w:rsid w:val="006831E2"/>
    <w:rsid w:val="0068407A"/>
    <w:rsid w:val="006863F6"/>
    <w:rsid w:val="00686417"/>
    <w:rsid w:val="006866E8"/>
    <w:rsid w:val="00687285"/>
    <w:rsid w:val="00692C58"/>
    <w:rsid w:val="00694F6E"/>
    <w:rsid w:val="00695112"/>
    <w:rsid w:val="00695737"/>
    <w:rsid w:val="00696AE1"/>
    <w:rsid w:val="006A07E6"/>
    <w:rsid w:val="006A174F"/>
    <w:rsid w:val="006A2F7E"/>
    <w:rsid w:val="006A600F"/>
    <w:rsid w:val="006B0B2E"/>
    <w:rsid w:val="006B0D00"/>
    <w:rsid w:val="006B1F2D"/>
    <w:rsid w:val="006B374A"/>
    <w:rsid w:val="006B43FB"/>
    <w:rsid w:val="006B4CC0"/>
    <w:rsid w:val="006B5E72"/>
    <w:rsid w:val="006B6367"/>
    <w:rsid w:val="006B7814"/>
    <w:rsid w:val="006B7BF5"/>
    <w:rsid w:val="006C29AD"/>
    <w:rsid w:val="006C2F56"/>
    <w:rsid w:val="006C5EAE"/>
    <w:rsid w:val="006C6630"/>
    <w:rsid w:val="006D141D"/>
    <w:rsid w:val="006D20FA"/>
    <w:rsid w:val="006D3528"/>
    <w:rsid w:val="006D42A9"/>
    <w:rsid w:val="006D6094"/>
    <w:rsid w:val="006E0A47"/>
    <w:rsid w:val="006E0C01"/>
    <w:rsid w:val="006E2195"/>
    <w:rsid w:val="006E3CFF"/>
    <w:rsid w:val="006E48E0"/>
    <w:rsid w:val="006E51F2"/>
    <w:rsid w:val="006E6542"/>
    <w:rsid w:val="006E7C14"/>
    <w:rsid w:val="006F1054"/>
    <w:rsid w:val="006F16F2"/>
    <w:rsid w:val="006F1C24"/>
    <w:rsid w:val="006F339D"/>
    <w:rsid w:val="006F358D"/>
    <w:rsid w:val="006F3675"/>
    <w:rsid w:val="006F6B20"/>
    <w:rsid w:val="006F7371"/>
    <w:rsid w:val="00701E99"/>
    <w:rsid w:val="0070349A"/>
    <w:rsid w:val="0070560D"/>
    <w:rsid w:val="00705EF0"/>
    <w:rsid w:val="00707E72"/>
    <w:rsid w:val="007101E4"/>
    <w:rsid w:val="00711677"/>
    <w:rsid w:val="00712022"/>
    <w:rsid w:val="00713DF5"/>
    <w:rsid w:val="00716EE1"/>
    <w:rsid w:val="00720B8F"/>
    <w:rsid w:val="00722B7C"/>
    <w:rsid w:val="007250A9"/>
    <w:rsid w:val="0072626D"/>
    <w:rsid w:val="00726964"/>
    <w:rsid w:val="0072718D"/>
    <w:rsid w:val="007278E9"/>
    <w:rsid w:val="0073172C"/>
    <w:rsid w:val="00732632"/>
    <w:rsid w:val="00732A7E"/>
    <w:rsid w:val="00734540"/>
    <w:rsid w:val="007363CF"/>
    <w:rsid w:val="0073660B"/>
    <w:rsid w:val="00737087"/>
    <w:rsid w:val="007374FE"/>
    <w:rsid w:val="00740674"/>
    <w:rsid w:val="00742413"/>
    <w:rsid w:val="00743067"/>
    <w:rsid w:val="00744CFC"/>
    <w:rsid w:val="00746844"/>
    <w:rsid w:val="007468C1"/>
    <w:rsid w:val="00753B0C"/>
    <w:rsid w:val="00754BD5"/>
    <w:rsid w:val="007566D8"/>
    <w:rsid w:val="00757FCB"/>
    <w:rsid w:val="00760660"/>
    <w:rsid w:val="00760BEF"/>
    <w:rsid w:val="007622DA"/>
    <w:rsid w:val="00767CCD"/>
    <w:rsid w:val="00767D36"/>
    <w:rsid w:val="00771288"/>
    <w:rsid w:val="00771C90"/>
    <w:rsid w:val="007760A6"/>
    <w:rsid w:val="00777D00"/>
    <w:rsid w:val="0078651E"/>
    <w:rsid w:val="00786E39"/>
    <w:rsid w:val="007904AE"/>
    <w:rsid w:val="00792FD1"/>
    <w:rsid w:val="00794C4E"/>
    <w:rsid w:val="007952E7"/>
    <w:rsid w:val="007A09F8"/>
    <w:rsid w:val="007A40A1"/>
    <w:rsid w:val="007A40B8"/>
    <w:rsid w:val="007A48AC"/>
    <w:rsid w:val="007A4D1B"/>
    <w:rsid w:val="007A62FF"/>
    <w:rsid w:val="007A74C2"/>
    <w:rsid w:val="007B030F"/>
    <w:rsid w:val="007B033A"/>
    <w:rsid w:val="007B04DC"/>
    <w:rsid w:val="007B1956"/>
    <w:rsid w:val="007B61A8"/>
    <w:rsid w:val="007B6524"/>
    <w:rsid w:val="007B710E"/>
    <w:rsid w:val="007C04AF"/>
    <w:rsid w:val="007C0E1D"/>
    <w:rsid w:val="007C2353"/>
    <w:rsid w:val="007C2666"/>
    <w:rsid w:val="007C6C82"/>
    <w:rsid w:val="007D18D1"/>
    <w:rsid w:val="007D7BE2"/>
    <w:rsid w:val="007D7E38"/>
    <w:rsid w:val="007E1092"/>
    <w:rsid w:val="007E5D63"/>
    <w:rsid w:val="007E674C"/>
    <w:rsid w:val="007E6F9A"/>
    <w:rsid w:val="007E720B"/>
    <w:rsid w:val="007F0619"/>
    <w:rsid w:val="007F181D"/>
    <w:rsid w:val="007F18C1"/>
    <w:rsid w:val="007F2222"/>
    <w:rsid w:val="007F2E2B"/>
    <w:rsid w:val="007F4BBB"/>
    <w:rsid w:val="007F4FCB"/>
    <w:rsid w:val="007F5CE0"/>
    <w:rsid w:val="007F67FB"/>
    <w:rsid w:val="007F7DFB"/>
    <w:rsid w:val="00801EEF"/>
    <w:rsid w:val="00802500"/>
    <w:rsid w:val="00803E52"/>
    <w:rsid w:val="00804157"/>
    <w:rsid w:val="00804BB3"/>
    <w:rsid w:val="00804EF2"/>
    <w:rsid w:val="00805141"/>
    <w:rsid w:val="00805EC0"/>
    <w:rsid w:val="00810060"/>
    <w:rsid w:val="00810585"/>
    <w:rsid w:val="00810E63"/>
    <w:rsid w:val="008126B7"/>
    <w:rsid w:val="00813C6D"/>
    <w:rsid w:val="00815DA0"/>
    <w:rsid w:val="00817437"/>
    <w:rsid w:val="00817E1D"/>
    <w:rsid w:val="00817E4F"/>
    <w:rsid w:val="008200D9"/>
    <w:rsid w:val="0082172A"/>
    <w:rsid w:val="00826134"/>
    <w:rsid w:val="00826718"/>
    <w:rsid w:val="00827932"/>
    <w:rsid w:val="00830E19"/>
    <w:rsid w:val="00831FE4"/>
    <w:rsid w:val="00833394"/>
    <w:rsid w:val="0083358D"/>
    <w:rsid w:val="00833854"/>
    <w:rsid w:val="00833DA7"/>
    <w:rsid w:val="0083454B"/>
    <w:rsid w:val="008359B6"/>
    <w:rsid w:val="00842E9F"/>
    <w:rsid w:val="00843104"/>
    <w:rsid w:val="00843CBD"/>
    <w:rsid w:val="00850EB7"/>
    <w:rsid w:val="00852A61"/>
    <w:rsid w:val="00854235"/>
    <w:rsid w:val="00854545"/>
    <w:rsid w:val="00854CAE"/>
    <w:rsid w:val="0085525F"/>
    <w:rsid w:val="00855434"/>
    <w:rsid w:val="00856200"/>
    <w:rsid w:val="00856784"/>
    <w:rsid w:val="0085725A"/>
    <w:rsid w:val="0086001F"/>
    <w:rsid w:val="008605B0"/>
    <w:rsid w:val="00860701"/>
    <w:rsid w:val="008623AC"/>
    <w:rsid w:val="008632CB"/>
    <w:rsid w:val="00863CD7"/>
    <w:rsid w:val="00866C46"/>
    <w:rsid w:val="0086796B"/>
    <w:rsid w:val="008704F0"/>
    <w:rsid w:val="00871225"/>
    <w:rsid w:val="00871B10"/>
    <w:rsid w:val="00876668"/>
    <w:rsid w:val="00876EC0"/>
    <w:rsid w:val="008854B3"/>
    <w:rsid w:val="00885EA0"/>
    <w:rsid w:val="00886860"/>
    <w:rsid w:val="00886EB7"/>
    <w:rsid w:val="008909D4"/>
    <w:rsid w:val="00892E2B"/>
    <w:rsid w:val="0089301C"/>
    <w:rsid w:val="0089565C"/>
    <w:rsid w:val="00895CA7"/>
    <w:rsid w:val="008A0540"/>
    <w:rsid w:val="008A4073"/>
    <w:rsid w:val="008A4522"/>
    <w:rsid w:val="008A5BB8"/>
    <w:rsid w:val="008A78D1"/>
    <w:rsid w:val="008B1EF8"/>
    <w:rsid w:val="008B5B94"/>
    <w:rsid w:val="008B78F7"/>
    <w:rsid w:val="008C0367"/>
    <w:rsid w:val="008C4B98"/>
    <w:rsid w:val="008C57A0"/>
    <w:rsid w:val="008C5D72"/>
    <w:rsid w:val="008C5D7E"/>
    <w:rsid w:val="008C6093"/>
    <w:rsid w:val="008D13F8"/>
    <w:rsid w:val="008D1AA1"/>
    <w:rsid w:val="008D1AE6"/>
    <w:rsid w:val="008D1F99"/>
    <w:rsid w:val="008D3A37"/>
    <w:rsid w:val="008D3D40"/>
    <w:rsid w:val="008E0396"/>
    <w:rsid w:val="008E1BB8"/>
    <w:rsid w:val="008E241F"/>
    <w:rsid w:val="008E273C"/>
    <w:rsid w:val="008E4C2A"/>
    <w:rsid w:val="008E54CD"/>
    <w:rsid w:val="008E696B"/>
    <w:rsid w:val="008F01B5"/>
    <w:rsid w:val="008F08A6"/>
    <w:rsid w:val="008F091D"/>
    <w:rsid w:val="008F0A6A"/>
    <w:rsid w:val="008F0D11"/>
    <w:rsid w:val="008F20C3"/>
    <w:rsid w:val="008F28FB"/>
    <w:rsid w:val="008F3BF2"/>
    <w:rsid w:val="008F4C92"/>
    <w:rsid w:val="009016C5"/>
    <w:rsid w:val="00901781"/>
    <w:rsid w:val="00903F74"/>
    <w:rsid w:val="00905AC8"/>
    <w:rsid w:val="00905F99"/>
    <w:rsid w:val="009079D3"/>
    <w:rsid w:val="00907DA3"/>
    <w:rsid w:val="00913A1E"/>
    <w:rsid w:val="0091468E"/>
    <w:rsid w:val="00914AA4"/>
    <w:rsid w:val="00915222"/>
    <w:rsid w:val="0091631D"/>
    <w:rsid w:val="00923ADC"/>
    <w:rsid w:val="00924549"/>
    <w:rsid w:val="00926990"/>
    <w:rsid w:val="009312BF"/>
    <w:rsid w:val="00933072"/>
    <w:rsid w:val="00933356"/>
    <w:rsid w:val="00934101"/>
    <w:rsid w:val="009343BD"/>
    <w:rsid w:val="009344A3"/>
    <w:rsid w:val="00935084"/>
    <w:rsid w:val="00936C16"/>
    <w:rsid w:val="00937C46"/>
    <w:rsid w:val="00937E34"/>
    <w:rsid w:val="00940E52"/>
    <w:rsid w:val="009424B2"/>
    <w:rsid w:val="0094253A"/>
    <w:rsid w:val="00943A32"/>
    <w:rsid w:val="00945171"/>
    <w:rsid w:val="00945BEC"/>
    <w:rsid w:val="00954D21"/>
    <w:rsid w:val="009555ED"/>
    <w:rsid w:val="00957285"/>
    <w:rsid w:val="0096031D"/>
    <w:rsid w:val="00961269"/>
    <w:rsid w:val="00961A79"/>
    <w:rsid w:val="00962998"/>
    <w:rsid w:val="0096457F"/>
    <w:rsid w:val="00966937"/>
    <w:rsid w:val="00966B63"/>
    <w:rsid w:val="009706C8"/>
    <w:rsid w:val="0097546C"/>
    <w:rsid w:val="009757B2"/>
    <w:rsid w:val="009765EA"/>
    <w:rsid w:val="00976AB0"/>
    <w:rsid w:val="00976DA1"/>
    <w:rsid w:val="0098496B"/>
    <w:rsid w:val="009864C4"/>
    <w:rsid w:val="00986823"/>
    <w:rsid w:val="00986A1B"/>
    <w:rsid w:val="00987FFD"/>
    <w:rsid w:val="00990FFE"/>
    <w:rsid w:val="0099186C"/>
    <w:rsid w:val="00991F4E"/>
    <w:rsid w:val="009933A7"/>
    <w:rsid w:val="009934EA"/>
    <w:rsid w:val="00993598"/>
    <w:rsid w:val="00993A0E"/>
    <w:rsid w:val="00993D76"/>
    <w:rsid w:val="009A6238"/>
    <w:rsid w:val="009A66AB"/>
    <w:rsid w:val="009A6F3D"/>
    <w:rsid w:val="009A76A9"/>
    <w:rsid w:val="009B0F9A"/>
    <w:rsid w:val="009B27A5"/>
    <w:rsid w:val="009B281C"/>
    <w:rsid w:val="009B38A2"/>
    <w:rsid w:val="009B4E82"/>
    <w:rsid w:val="009B54EA"/>
    <w:rsid w:val="009C09F5"/>
    <w:rsid w:val="009C1CF3"/>
    <w:rsid w:val="009C1FE4"/>
    <w:rsid w:val="009C5FC7"/>
    <w:rsid w:val="009C7DA0"/>
    <w:rsid w:val="009D03BD"/>
    <w:rsid w:val="009D0F38"/>
    <w:rsid w:val="009D2367"/>
    <w:rsid w:val="009D2E8F"/>
    <w:rsid w:val="009D443A"/>
    <w:rsid w:val="009D4835"/>
    <w:rsid w:val="009D60D9"/>
    <w:rsid w:val="009E163B"/>
    <w:rsid w:val="009E1DC3"/>
    <w:rsid w:val="009E3238"/>
    <w:rsid w:val="009E5992"/>
    <w:rsid w:val="009E6109"/>
    <w:rsid w:val="009E6DB7"/>
    <w:rsid w:val="009E6F09"/>
    <w:rsid w:val="009E75CF"/>
    <w:rsid w:val="009F5243"/>
    <w:rsid w:val="009F5522"/>
    <w:rsid w:val="009F66BE"/>
    <w:rsid w:val="009F6760"/>
    <w:rsid w:val="009F68FC"/>
    <w:rsid w:val="009F7F62"/>
    <w:rsid w:val="00A0007D"/>
    <w:rsid w:val="00A01714"/>
    <w:rsid w:val="00A01822"/>
    <w:rsid w:val="00A01C45"/>
    <w:rsid w:val="00A0284D"/>
    <w:rsid w:val="00A02D3C"/>
    <w:rsid w:val="00A031ED"/>
    <w:rsid w:val="00A053BA"/>
    <w:rsid w:val="00A06E1B"/>
    <w:rsid w:val="00A070D4"/>
    <w:rsid w:val="00A11C89"/>
    <w:rsid w:val="00A11D36"/>
    <w:rsid w:val="00A149B3"/>
    <w:rsid w:val="00A15988"/>
    <w:rsid w:val="00A15B26"/>
    <w:rsid w:val="00A1675A"/>
    <w:rsid w:val="00A16C67"/>
    <w:rsid w:val="00A1772B"/>
    <w:rsid w:val="00A178A3"/>
    <w:rsid w:val="00A2001B"/>
    <w:rsid w:val="00A205B7"/>
    <w:rsid w:val="00A208C3"/>
    <w:rsid w:val="00A21548"/>
    <w:rsid w:val="00A238D5"/>
    <w:rsid w:val="00A24B94"/>
    <w:rsid w:val="00A26102"/>
    <w:rsid w:val="00A278BB"/>
    <w:rsid w:val="00A27C44"/>
    <w:rsid w:val="00A30664"/>
    <w:rsid w:val="00A3241B"/>
    <w:rsid w:val="00A32C42"/>
    <w:rsid w:val="00A36A4D"/>
    <w:rsid w:val="00A37135"/>
    <w:rsid w:val="00A406D3"/>
    <w:rsid w:val="00A40946"/>
    <w:rsid w:val="00A4203F"/>
    <w:rsid w:val="00A42901"/>
    <w:rsid w:val="00A42FBF"/>
    <w:rsid w:val="00A465EA"/>
    <w:rsid w:val="00A47E9F"/>
    <w:rsid w:val="00A511AA"/>
    <w:rsid w:val="00A52922"/>
    <w:rsid w:val="00A5343A"/>
    <w:rsid w:val="00A535EA"/>
    <w:rsid w:val="00A539A6"/>
    <w:rsid w:val="00A539CF"/>
    <w:rsid w:val="00A552D3"/>
    <w:rsid w:val="00A55A34"/>
    <w:rsid w:val="00A57D9A"/>
    <w:rsid w:val="00A60468"/>
    <w:rsid w:val="00A6239F"/>
    <w:rsid w:val="00A62C3F"/>
    <w:rsid w:val="00A6302B"/>
    <w:rsid w:val="00A6502C"/>
    <w:rsid w:val="00A662C5"/>
    <w:rsid w:val="00A67CEF"/>
    <w:rsid w:val="00A70241"/>
    <w:rsid w:val="00A70991"/>
    <w:rsid w:val="00A715D7"/>
    <w:rsid w:val="00A72548"/>
    <w:rsid w:val="00A72AE0"/>
    <w:rsid w:val="00A73201"/>
    <w:rsid w:val="00A7360F"/>
    <w:rsid w:val="00A73DC8"/>
    <w:rsid w:val="00A744E3"/>
    <w:rsid w:val="00A74A98"/>
    <w:rsid w:val="00A74B9C"/>
    <w:rsid w:val="00A76002"/>
    <w:rsid w:val="00A7717B"/>
    <w:rsid w:val="00A7765B"/>
    <w:rsid w:val="00A83508"/>
    <w:rsid w:val="00A83E5B"/>
    <w:rsid w:val="00A83F83"/>
    <w:rsid w:val="00A84372"/>
    <w:rsid w:val="00A864F8"/>
    <w:rsid w:val="00A87167"/>
    <w:rsid w:val="00A91816"/>
    <w:rsid w:val="00A92356"/>
    <w:rsid w:val="00A926A9"/>
    <w:rsid w:val="00A9280B"/>
    <w:rsid w:val="00A93AD2"/>
    <w:rsid w:val="00A94653"/>
    <w:rsid w:val="00A97392"/>
    <w:rsid w:val="00A97747"/>
    <w:rsid w:val="00A9794D"/>
    <w:rsid w:val="00AA054F"/>
    <w:rsid w:val="00AA349B"/>
    <w:rsid w:val="00AA473B"/>
    <w:rsid w:val="00AA5024"/>
    <w:rsid w:val="00AA5810"/>
    <w:rsid w:val="00AB1337"/>
    <w:rsid w:val="00AB14F6"/>
    <w:rsid w:val="00AB183F"/>
    <w:rsid w:val="00AB35EE"/>
    <w:rsid w:val="00AB3BCD"/>
    <w:rsid w:val="00AB4643"/>
    <w:rsid w:val="00AB5543"/>
    <w:rsid w:val="00AB5E77"/>
    <w:rsid w:val="00AC167F"/>
    <w:rsid w:val="00AC2459"/>
    <w:rsid w:val="00AC24C3"/>
    <w:rsid w:val="00AC2BB2"/>
    <w:rsid w:val="00AC4196"/>
    <w:rsid w:val="00AC5BA7"/>
    <w:rsid w:val="00AC6523"/>
    <w:rsid w:val="00AD074B"/>
    <w:rsid w:val="00AD330F"/>
    <w:rsid w:val="00AD3DA7"/>
    <w:rsid w:val="00AD40F8"/>
    <w:rsid w:val="00AD50E2"/>
    <w:rsid w:val="00AD68C1"/>
    <w:rsid w:val="00AD6CD3"/>
    <w:rsid w:val="00AE01D3"/>
    <w:rsid w:val="00AE1E3F"/>
    <w:rsid w:val="00AE1E49"/>
    <w:rsid w:val="00AE2CBD"/>
    <w:rsid w:val="00AE2CC7"/>
    <w:rsid w:val="00AE4080"/>
    <w:rsid w:val="00AE4DE3"/>
    <w:rsid w:val="00AE70AA"/>
    <w:rsid w:val="00AF0D22"/>
    <w:rsid w:val="00AF3826"/>
    <w:rsid w:val="00AF40E9"/>
    <w:rsid w:val="00AF489A"/>
    <w:rsid w:val="00AF4ADB"/>
    <w:rsid w:val="00AF4E0F"/>
    <w:rsid w:val="00AF4E18"/>
    <w:rsid w:val="00AF57BF"/>
    <w:rsid w:val="00AF666C"/>
    <w:rsid w:val="00AF70FE"/>
    <w:rsid w:val="00B00D2D"/>
    <w:rsid w:val="00B059DA"/>
    <w:rsid w:val="00B07113"/>
    <w:rsid w:val="00B117D2"/>
    <w:rsid w:val="00B11C83"/>
    <w:rsid w:val="00B12A75"/>
    <w:rsid w:val="00B133E6"/>
    <w:rsid w:val="00B13A0A"/>
    <w:rsid w:val="00B148CF"/>
    <w:rsid w:val="00B17922"/>
    <w:rsid w:val="00B20F13"/>
    <w:rsid w:val="00B24611"/>
    <w:rsid w:val="00B24808"/>
    <w:rsid w:val="00B3243D"/>
    <w:rsid w:val="00B32F36"/>
    <w:rsid w:val="00B34BEE"/>
    <w:rsid w:val="00B364DC"/>
    <w:rsid w:val="00B370C8"/>
    <w:rsid w:val="00B378C3"/>
    <w:rsid w:val="00B408B4"/>
    <w:rsid w:val="00B4116C"/>
    <w:rsid w:val="00B443FD"/>
    <w:rsid w:val="00B44908"/>
    <w:rsid w:val="00B44929"/>
    <w:rsid w:val="00B4515B"/>
    <w:rsid w:val="00B45763"/>
    <w:rsid w:val="00B461C7"/>
    <w:rsid w:val="00B46234"/>
    <w:rsid w:val="00B50F39"/>
    <w:rsid w:val="00B5104B"/>
    <w:rsid w:val="00B5105C"/>
    <w:rsid w:val="00B51B87"/>
    <w:rsid w:val="00B54124"/>
    <w:rsid w:val="00B5459F"/>
    <w:rsid w:val="00B5621C"/>
    <w:rsid w:val="00B566DE"/>
    <w:rsid w:val="00B579CE"/>
    <w:rsid w:val="00B60D67"/>
    <w:rsid w:val="00B61123"/>
    <w:rsid w:val="00B615DF"/>
    <w:rsid w:val="00B6172F"/>
    <w:rsid w:val="00B623BD"/>
    <w:rsid w:val="00B63762"/>
    <w:rsid w:val="00B64720"/>
    <w:rsid w:val="00B66B7A"/>
    <w:rsid w:val="00B67016"/>
    <w:rsid w:val="00B704A8"/>
    <w:rsid w:val="00B70C27"/>
    <w:rsid w:val="00B721CC"/>
    <w:rsid w:val="00B72C1C"/>
    <w:rsid w:val="00B743E2"/>
    <w:rsid w:val="00B74436"/>
    <w:rsid w:val="00B75185"/>
    <w:rsid w:val="00B75909"/>
    <w:rsid w:val="00B80306"/>
    <w:rsid w:val="00B81CB3"/>
    <w:rsid w:val="00B8242B"/>
    <w:rsid w:val="00B83D8E"/>
    <w:rsid w:val="00B83F86"/>
    <w:rsid w:val="00B84BEF"/>
    <w:rsid w:val="00B8608E"/>
    <w:rsid w:val="00B87E41"/>
    <w:rsid w:val="00B907CC"/>
    <w:rsid w:val="00B9262C"/>
    <w:rsid w:val="00B930FA"/>
    <w:rsid w:val="00B95228"/>
    <w:rsid w:val="00B95BB6"/>
    <w:rsid w:val="00BA1207"/>
    <w:rsid w:val="00BA1C82"/>
    <w:rsid w:val="00BB3096"/>
    <w:rsid w:val="00BB4803"/>
    <w:rsid w:val="00BB71FE"/>
    <w:rsid w:val="00BB7F7A"/>
    <w:rsid w:val="00BC084F"/>
    <w:rsid w:val="00BC2F9B"/>
    <w:rsid w:val="00BC3235"/>
    <w:rsid w:val="00BC4063"/>
    <w:rsid w:val="00BC7704"/>
    <w:rsid w:val="00BC7AF0"/>
    <w:rsid w:val="00BD09A0"/>
    <w:rsid w:val="00BD0A4D"/>
    <w:rsid w:val="00BD0D56"/>
    <w:rsid w:val="00BD1700"/>
    <w:rsid w:val="00BD32F7"/>
    <w:rsid w:val="00BD575B"/>
    <w:rsid w:val="00BE17F4"/>
    <w:rsid w:val="00BE2255"/>
    <w:rsid w:val="00BE3B83"/>
    <w:rsid w:val="00BE437A"/>
    <w:rsid w:val="00BE5371"/>
    <w:rsid w:val="00BE6D2B"/>
    <w:rsid w:val="00BE7895"/>
    <w:rsid w:val="00BE7A26"/>
    <w:rsid w:val="00BF1E17"/>
    <w:rsid w:val="00BF3346"/>
    <w:rsid w:val="00BF61D7"/>
    <w:rsid w:val="00BF688F"/>
    <w:rsid w:val="00BF7017"/>
    <w:rsid w:val="00BF7DE2"/>
    <w:rsid w:val="00BF7E5A"/>
    <w:rsid w:val="00C006C4"/>
    <w:rsid w:val="00C01186"/>
    <w:rsid w:val="00C029CB"/>
    <w:rsid w:val="00C037A1"/>
    <w:rsid w:val="00C03882"/>
    <w:rsid w:val="00C038CB"/>
    <w:rsid w:val="00C0413F"/>
    <w:rsid w:val="00C05A0E"/>
    <w:rsid w:val="00C07A13"/>
    <w:rsid w:val="00C12F32"/>
    <w:rsid w:val="00C13020"/>
    <w:rsid w:val="00C13C27"/>
    <w:rsid w:val="00C15E32"/>
    <w:rsid w:val="00C176D7"/>
    <w:rsid w:val="00C20AE6"/>
    <w:rsid w:val="00C20C9F"/>
    <w:rsid w:val="00C2360B"/>
    <w:rsid w:val="00C24187"/>
    <w:rsid w:val="00C245EF"/>
    <w:rsid w:val="00C24A8F"/>
    <w:rsid w:val="00C25738"/>
    <w:rsid w:val="00C26158"/>
    <w:rsid w:val="00C266BA"/>
    <w:rsid w:val="00C2677E"/>
    <w:rsid w:val="00C26BF0"/>
    <w:rsid w:val="00C276DF"/>
    <w:rsid w:val="00C30601"/>
    <w:rsid w:val="00C31C59"/>
    <w:rsid w:val="00C33AA3"/>
    <w:rsid w:val="00C3504E"/>
    <w:rsid w:val="00C35D20"/>
    <w:rsid w:val="00C366CE"/>
    <w:rsid w:val="00C36BBD"/>
    <w:rsid w:val="00C3715D"/>
    <w:rsid w:val="00C41E6C"/>
    <w:rsid w:val="00C42C37"/>
    <w:rsid w:val="00C438DD"/>
    <w:rsid w:val="00C44D3C"/>
    <w:rsid w:val="00C452F1"/>
    <w:rsid w:val="00C46E8F"/>
    <w:rsid w:val="00C501EB"/>
    <w:rsid w:val="00C50DB4"/>
    <w:rsid w:val="00C512D4"/>
    <w:rsid w:val="00C53DC2"/>
    <w:rsid w:val="00C54B34"/>
    <w:rsid w:val="00C54E91"/>
    <w:rsid w:val="00C55178"/>
    <w:rsid w:val="00C56DF2"/>
    <w:rsid w:val="00C654DD"/>
    <w:rsid w:val="00C66801"/>
    <w:rsid w:val="00C669B4"/>
    <w:rsid w:val="00C67C0E"/>
    <w:rsid w:val="00C7080A"/>
    <w:rsid w:val="00C721BA"/>
    <w:rsid w:val="00C721DC"/>
    <w:rsid w:val="00C722B5"/>
    <w:rsid w:val="00C72C06"/>
    <w:rsid w:val="00C73604"/>
    <w:rsid w:val="00C73CFF"/>
    <w:rsid w:val="00C73FD6"/>
    <w:rsid w:val="00C76B9B"/>
    <w:rsid w:val="00C773EB"/>
    <w:rsid w:val="00C80A69"/>
    <w:rsid w:val="00C832FC"/>
    <w:rsid w:val="00C834E0"/>
    <w:rsid w:val="00C83695"/>
    <w:rsid w:val="00C84947"/>
    <w:rsid w:val="00C91782"/>
    <w:rsid w:val="00C924E6"/>
    <w:rsid w:val="00C92E69"/>
    <w:rsid w:val="00C9307C"/>
    <w:rsid w:val="00C93402"/>
    <w:rsid w:val="00C9454B"/>
    <w:rsid w:val="00C9644B"/>
    <w:rsid w:val="00C9785B"/>
    <w:rsid w:val="00CA07A9"/>
    <w:rsid w:val="00CA0B0D"/>
    <w:rsid w:val="00CA0D1B"/>
    <w:rsid w:val="00CA1A1A"/>
    <w:rsid w:val="00CA2FCE"/>
    <w:rsid w:val="00CA302C"/>
    <w:rsid w:val="00CA3E83"/>
    <w:rsid w:val="00CA4331"/>
    <w:rsid w:val="00CA442A"/>
    <w:rsid w:val="00CA5876"/>
    <w:rsid w:val="00CB0604"/>
    <w:rsid w:val="00CB07DA"/>
    <w:rsid w:val="00CB126F"/>
    <w:rsid w:val="00CB17CD"/>
    <w:rsid w:val="00CB4842"/>
    <w:rsid w:val="00CB51D5"/>
    <w:rsid w:val="00CB5786"/>
    <w:rsid w:val="00CB7973"/>
    <w:rsid w:val="00CC0149"/>
    <w:rsid w:val="00CC0E61"/>
    <w:rsid w:val="00CC310C"/>
    <w:rsid w:val="00CC776F"/>
    <w:rsid w:val="00CD0B70"/>
    <w:rsid w:val="00CD337E"/>
    <w:rsid w:val="00CD3E3D"/>
    <w:rsid w:val="00CD46BC"/>
    <w:rsid w:val="00CD5F93"/>
    <w:rsid w:val="00CD68F1"/>
    <w:rsid w:val="00CE1F44"/>
    <w:rsid w:val="00CE231D"/>
    <w:rsid w:val="00CE386D"/>
    <w:rsid w:val="00CE629C"/>
    <w:rsid w:val="00CE7B5A"/>
    <w:rsid w:val="00CE7EBA"/>
    <w:rsid w:val="00CF14E1"/>
    <w:rsid w:val="00CF1FA9"/>
    <w:rsid w:val="00CF224E"/>
    <w:rsid w:val="00CF2A3C"/>
    <w:rsid w:val="00CF552D"/>
    <w:rsid w:val="00CF5FD4"/>
    <w:rsid w:val="00CF6981"/>
    <w:rsid w:val="00CF72B6"/>
    <w:rsid w:val="00CF7383"/>
    <w:rsid w:val="00CF7CF2"/>
    <w:rsid w:val="00D004A6"/>
    <w:rsid w:val="00D00576"/>
    <w:rsid w:val="00D00D50"/>
    <w:rsid w:val="00D01131"/>
    <w:rsid w:val="00D02515"/>
    <w:rsid w:val="00D028F5"/>
    <w:rsid w:val="00D034B2"/>
    <w:rsid w:val="00D034CC"/>
    <w:rsid w:val="00D03632"/>
    <w:rsid w:val="00D0670B"/>
    <w:rsid w:val="00D06CAB"/>
    <w:rsid w:val="00D07FCC"/>
    <w:rsid w:val="00D11468"/>
    <w:rsid w:val="00D14063"/>
    <w:rsid w:val="00D160BE"/>
    <w:rsid w:val="00D17258"/>
    <w:rsid w:val="00D17BD7"/>
    <w:rsid w:val="00D20866"/>
    <w:rsid w:val="00D24A0D"/>
    <w:rsid w:val="00D26CBD"/>
    <w:rsid w:val="00D31442"/>
    <w:rsid w:val="00D3174B"/>
    <w:rsid w:val="00D31C59"/>
    <w:rsid w:val="00D343EE"/>
    <w:rsid w:val="00D365BC"/>
    <w:rsid w:val="00D36823"/>
    <w:rsid w:val="00D36E50"/>
    <w:rsid w:val="00D372A4"/>
    <w:rsid w:val="00D3738D"/>
    <w:rsid w:val="00D40224"/>
    <w:rsid w:val="00D40AB4"/>
    <w:rsid w:val="00D41208"/>
    <w:rsid w:val="00D41BAF"/>
    <w:rsid w:val="00D46EA9"/>
    <w:rsid w:val="00D47BAC"/>
    <w:rsid w:val="00D51FC8"/>
    <w:rsid w:val="00D52B65"/>
    <w:rsid w:val="00D53211"/>
    <w:rsid w:val="00D67DF8"/>
    <w:rsid w:val="00D67E5B"/>
    <w:rsid w:val="00D72264"/>
    <w:rsid w:val="00D72267"/>
    <w:rsid w:val="00D73728"/>
    <w:rsid w:val="00D76048"/>
    <w:rsid w:val="00D768A9"/>
    <w:rsid w:val="00D77F0D"/>
    <w:rsid w:val="00D830E9"/>
    <w:rsid w:val="00D84078"/>
    <w:rsid w:val="00D8424E"/>
    <w:rsid w:val="00D85CCA"/>
    <w:rsid w:val="00D87E9F"/>
    <w:rsid w:val="00D90FB1"/>
    <w:rsid w:val="00D91A39"/>
    <w:rsid w:val="00D934C4"/>
    <w:rsid w:val="00D97764"/>
    <w:rsid w:val="00DA29D9"/>
    <w:rsid w:val="00DA634E"/>
    <w:rsid w:val="00DA7297"/>
    <w:rsid w:val="00DA79B9"/>
    <w:rsid w:val="00DB2C8A"/>
    <w:rsid w:val="00DB387A"/>
    <w:rsid w:val="00DB3C2D"/>
    <w:rsid w:val="00DB3DE9"/>
    <w:rsid w:val="00DB5353"/>
    <w:rsid w:val="00DB56B3"/>
    <w:rsid w:val="00DB6BEC"/>
    <w:rsid w:val="00DC1A2A"/>
    <w:rsid w:val="00DC23DB"/>
    <w:rsid w:val="00DC2455"/>
    <w:rsid w:val="00DC42EA"/>
    <w:rsid w:val="00DD16AF"/>
    <w:rsid w:val="00DD213F"/>
    <w:rsid w:val="00DD21DC"/>
    <w:rsid w:val="00DD4818"/>
    <w:rsid w:val="00DD6771"/>
    <w:rsid w:val="00DD6D45"/>
    <w:rsid w:val="00DD7D5D"/>
    <w:rsid w:val="00DE5C78"/>
    <w:rsid w:val="00DE710E"/>
    <w:rsid w:val="00DF1745"/>
    <w:rsid w:val="00DF5E69"/>
    <w:rsid w:val="00DF6038"/>
    <w:rsid w:val="00DF6211"/>
    <w:rsid w:val="00DF6BDA"/>
    <w:rsid w:val="00DF7335"/>
    <w:rsid w:val="00DF7AD5"/>
    <w:rsid w:val="00E00545"/>
    <w:rsid w:val="00E020A8"/>
    <w:rsid w:val="00E03A1D"/>
    <w:rsid w:val="00E03E16"/>
    <w:rsid w:val="00E03E9B"/>
    <w:rsid w:val="00E10FA7"/>
    <w:rsid w:val="00E11336"/>
    <w:rsid w:val="00E11956"/>
    <w:rsid w:val="00E11FDF"/>
    <w:rsid w:val="00E130CF"/>
    <w:rsid w:val="00E14082"/>
    <w:rsid w:val="00E153C0"/>
    <w:rsid w:val="00E21315"/>
    <w:rsid w:val="00E21F56"/>
    <w:rsid w:val="00E2284F"/>
    <w:rsid w:val="00E24A52"/>
    <w:rsid w:val="00E254B4"/>
    <w:rsid w:val="00E25983"/>
    <w:rsid w:val="00E26A2F"/>
    <w:rsid w:val="00E26E26"/>
    <w:rsid w:val="00E27506"/>
    <w:rsid w:val="00E33CE1"/>
    <w:rsid w:val="00E3486B"/>
    <w:rsid w:val="00E35039"/>
    <w:rsid w:val="00E3521B"/>
    <w:rsid w:val="00E3566C"/>
    <w:rsid w:val="00E36122"/>
    <w:rsid w:val="00E3614D"/>
    <w:rsid w:val="00E40632"/>
    <w:rsid w:val="00E412FD"/>
    <w:rsid w:val="00E4227E"/>
    <w:rsid w:val="00E42DD5"/>
    <w:rsid w:val="00E4571D"/>
    <w:rsid w:val="00E47049"/>
    <w:rsid w:val="00E47922"/>
    <w:rsid w:val="00E501B7"/>
    <w:rsid w:val="00E524FC"/>
    <w:rsid w:val="00E569FB"/>
    <w:rsid w:val="00E5701D"/>
    <w:rsid w:val="00E57AA0"/>
    <w:rsid w:val="00E61425"/>
    <w:rsid w:val="00E61889"/>
    <w:rsid w:val="00E618D8"/>
    <w:rsid w:val="00E64C71"/>
    <w:rsid w:val="00E70D45"/>
    <w:rsid w:val="00E74C84"/>
    <w:rsid w:val="00E75448"/>
    <w:rsid w:val="00E76A69"/>
    <w:rsid w:val="00E77FF2"/>
    <w:rsid w:val="00E82E03"/>
    <w:rsid w:val="00E84A2F"/>
    <w:rsid w:val="00E84AA6"/>
    <w:rsid w:val="00E84F53"/>
    <w:rsid w:val="00E85223"/>
    <w:rsid w:val="00E85DC7"/>
    <w:rsid w:val="00E86361"/>
    <w:rsid w:val="00E90034"/>
    <w:rsid w:val="00E90931"/>
    <w:rsid w:val="00E90EC9"/>
    <w:rsid w:val="00E93FB9"/>
    <w:rsid w:val="00E94CAB"/>
    <w:rsid w:val="00E95B3F"/>
    <w:rsid w:val="00E95D45"/>
    <w:rsid w:val="00E95F5C"/>
    <w:rsid w:val="00E976BB"/>
    <w:rsid w:val="00EA06C1"/>
    <w:rsid w:val="00EA1EE2"/>
    <w:rsid w:val="00EA204C"/>
    <w:rsid w:val="00EA3955"/>
    <w:rsid w:val="00EA5608"/>
    <w:rsid w:val="00EA59EB"/>
    <w:rsid w:val="00EA738E"/>
    <w:rsid w:val="00EB0328"/>
    <w:rsid w:val="00EB473A"/>
    <w:rsid w:val="00EB53F5"/>
    <w:rsid w:val="00EB5599"/>
    <w:rsid w:val="00EC03C3"/>
    <w:rsid w:val="00EC2A1A"/>
    <w:rsid w:val="00EC3160"/>
    <w:rsid w:val="00EC4C49"/>
    <w:rsid w:val="00EC6461"/>
    <w:rsid w:val="00EC746B"/>
    <w:rsid w:val="00ED149E"/>
    <w:rsid w:val="00ED1C34"/>
    <w:rsid w:val="00ED2654"/>
    <w:rsid w:val="00ED272B"/>
    <w:rsid w:val="00ED6425"/>
    <w:rsid w:val="00ED721E"/>
    <w:rsid w:val="00ED7B23"/>
    <w:rsid w:val="00EE01BC"/>
    <w:rsid w:val="00EE15B1"/>
    <w:rsid w:val="00EE2B3E"/>
    <w:rsid w:val="00EE44CE"/>
    <w:rsid w:val="00EE6C90"/>
    <w:rsid w:val="00EE7FE5"/>
    <w:rsid w:val="00EF0BA1"/>
    <w:rsid w:val="00EF2409"/>
    <w:rsid w:val="00EF41DA"/>
    <w:rsid w:val="00EF4780"/>
    <w:rsid w:val="00EF49C4"/>
    <w:rsid w:val="00EF523F"/>
    <w:rsid w:val="00EF5466"/>
    <w:rsid w:val="00EF67F3"/>
    <w:rsid w:val="00F00028"/>
    <w:rsid w:val="00F034F7"/>
    <w:rsid w:val="00F047EB"/>
    <w:rsid w:val="00F061B7"/>
    <w:rsid w:val="00F066C9"/>
    <w:rsid w:val="00F06D04"/>
    <w:rsid w:val="00F12663"/>
    <w:rsid w:val="00F12AC5"/>
    <w:rsid w:val="00F13071"/>
    <w:rsid w:val="00F1310C"/>
    <w:rsid w:val="00F149B6"/>
    <w:rsid w:val="00F14C4B"/>
    <w:rsid w:val="00F16662"/>
    <w:rsid w:val="00F17D44"/>
    <w:rsid w:val="00F2151A"/>
    <w:rsid w:val="00F24460"/>
    <w:rsid w:val="00F262CE"/>
    <w:rsid w:val="00F2774C"/>
    <w:rsid w:val="00F30ABA"/>
    <w:rsid w:val="00F327D0"/>
    <w:rsid w:val="00F33646"/>
    <w:rsid w:val="00F34842"/>
    <w:rsid w:val="00F3614B"/>
    <w:rsid w:val="00F4045E"/>
    <w:rsid w:val="00F406E3"/>
    <w:rsid w:val="00F41E74"/>
    <w:rsid w:val="00F42979"/>
    <w:rsid w:val="00F4305A"/>
    <w:rsid w:val="00F5006E"/>
    <w:rsid w:val="00F50ACB"/>
    <w:rsid w:val="00F50CAF"/>
    <w:rsid w:val="00F55374"/>
    <w:rsid w:val="00F603CA"/>
    <w:rsid w:val="00F605D6"/>
    <w:rsid w:val="00F66B55"/>
    <w:rsid w:val="00F749CC"/>
    <w:rsid w:val="00F75648"/>
    <w:rsid w:val="00F80681"/>
    <w:rsid w:val="00F82671"/>
    <w:rsid w:val="00F82770"/>
    <w:rsid w:val="00F82D18"/>
    <w:rsid w:val="00F82DD7"/>
    <w:rsid w:val="00F83B5B"/>
    <w:rsid w:val="00F858E2"/>
    <w:rsid w:val="00F858E9"/>
    <w:rsid w:val="00F8774C"/>
    <w:rsid w:val="00F91237"/>
    <w:rsid w:val="00F93EAF"/>
    <w:rsid w:val="00F94CB2"/>
    <w:rsid w:val="00F952E4"/>
    <w:rsid w:val="00F9670F"/>
    <w:rsid w:val="00F97CDB"/>
    <w:rsid w:val="00FA082D"/>
    <w:rsid w:val="00FA183E"/>
    <w:rsid w:val="00FA1EFA"/>
    <w:rsid w:val="00FA29A4"/>
    <w:rsid w:val="00FA4A26"/>
    <w:rsid w:val="00FA5423"/>
    <w:rsid w:val="00FA59BB"/>
    <w:rsid w:val="00FB1735"/>
    <w:rsid w:val="00FB1D8E"/>
    <w:rsid w:val="00FB3927"/>
    <w:rsid w:val="00FB509D"/>
    <w:rsid w:val="00FB603F"/>
    <w:rsid w:val="00FB7F6E"/>
    <w:rsid w:val="00FC0C79"/>
    <w:rsid w:val="00FC2094"/>
    <w:rsid w:val="00FC4BB0"/>
    <w:rsid w:val="00FC5BA8"/>
    <w:rsid w:val="00FD3502"/>
    <w:rsid w:val="00FD4317"/>
    <w:rsid w:val="00FD44AB"/>
    <w:rsid w:val="00FD4783"/>
    <w:rsid w:val="00FD5CE6"/>
    <w:rsid w:val="00FD68A7"/>
    <w:rsid w:val="00FD730D"/>
    <w:rsid w:val="00FD786C"/>
    <w:rsid w:val="00FE2AD8"/>
    <w:rsid w:val="00FE3197"/>
    <w:rsid w:val="00FE3B4A"/>
    <w:rsid w:val="00FE6D88"/>
    <w:rsid w:val="00FE6E82"/>
    <w:rsid w:val="00FE75E2"/>
    <w:rsid w:val="00FE784C"/>
    <w:rsid w:val="00FE7936"/>
    <w:rsid w:val="00FE7D3F"/>
    <w:rsid w:val="00FF0915"/>
    <w:rsid w:val="00FF350F"/>
    <w:rsid w:val="00FF443F"/>
    <w:rsid w:val="00FF4FA1"/>
    <w:rsid w:val="00FF701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FB37834"/>
  <w15:docId w15:val="{93157612-1742-4EEA-AD40-9540391CA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sz w:val="24"/>
        <w:szCs w:val="24"/>
        <w:lang w:val="en-029" w:eastAsia="en-029"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1248"/>
    <w:rPr>
      <w:sz w:val="22"/>
      <w:szCs w:val="22"/>
      <w:lang w:val="en-US" w:eastAsia="en-US"/>
    </w:rPr>
  </w:style>
  <w:style w:type="paragraph" w:styleId="Heading1">
    <w:name w:val="heading 1"/>
    <w:basedOn w:val="Normal"/>
    <w:next w:val="Normal"/>
    <w:link w:val="Heading1Char"/>
    <w:uiPriority w:val="9"/>
    <w:qFormat/>
    <w:rsid w:val="008C5D7E"/>
    <w:pPr>
      <w:spacing w:before="360" w:after="120"/>
      <w:jc w:val="both"/>
      <w:outlineLvl w:val="0"/>
    </w:pPr>
    <w:rPr>
      <w:rFonts w:ascii="Times" w:eastAsia="MS Mincho" w:hAnsi="Times"/>
      <w:b/>
      <w:color w:val="000000"/>
      <w:sz w:val="24"/>
      <w:szCs w:val="24"/>
      <w:lang w:eastAsia="ja-JP"/>
    </w:rPr>
  </w:style>
  <w:style w:type="paragraph" w:styleId="Heading2">
    <w:name w:val="heading 2"/>
    <w:basedOn w:val="Normal"/>
    <w:next w:val="Normal"/>
    <w:link w:val="Heading2Char"/>
    <w:uiPriority w:val="9"/>
    <w:qFormat/>
    <w:rsid w:val="009A6238"/>
    <w:pPr>
      <w:keepNext/>
      <w:keepLines/>
      <w:numPr>
        <w:numId w:val="7"/>
      </w:numPr>
      <w:spacing w:before="200"/>
      <w:ind w:left="720"/>
      <w:outlineLvl w:val="1"/>
    </w:pPr>
    <w:rPr>
      <w:b/>
      <w:color w:val="548DD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623BD"/>
    <w:pPr>
      <w:ind w:left="720"/>
      <w:contextualSpacing/>
    </w:pPr>
  </w:style>
  <w:style w:type="paragraph" w:styleId="Header">
    <w:name w:val="header"/>
    <w:basedOn w:val="Normal"/>
    <w:link w:val="HeaderChar"/>
    <w:uiPriority w:val="99"/>
    <w:unhideWhenUsed/>
    <w:rsid w:val="002A1642"/>
    <w:pPr>
      <w:tabs>
        <w:tab w:val="center" w:pos="4680"/>
        <w:tab w:val="right" w:pos="9360"/>
      </w:tabs>
    </w:pPr>
  </w:style>
  <w:style w:type="character" w:customStyle="1" w:styleId="HeaderChar">
    <w:name w:val="Header Char"/>
    <w:basedOn w:val="DefaultParagraphFont"/>
    <w:link w:val="Header"/>
    <w:uiPriority w:val="99"/>
    <w:rsid w:val="002A1642"/>
  </w:style>
  <w:style w:type="paragraph" w:styleId="Footer">
    <w:name w:val="footer"/>
    <w:basedOn w:val="Normal"/>
    <w:link w:val="FooterChar"/>
    <w:uiPriority w:val="99"/>
    <w:unhideWhenUsed/>
    <w:rsid w:val="002A1642"/>
    <w:pPr>
      <w:tabs>
        <w:tab w:val="center" w:pos="4680"/>
        <w:tab w:val="right" w:pos="9360"/>
      </w:tabs>
    </w:pPr>
  </w:style>
  <w:style w:type="character" w:customStyle="1" w:styleId="FooterChar">
    <w:name w:val="Footer Char"/>
    <w:basedOn w:val="DefaultParagraphFont"/>
    <w:link w:val="Footer"/>
    <w:uiPriority w:val="99"/>
    <w:rsid w:val="002A1642"/>
  </w:style>
  <w:style w:type="paragraph" w:styleId="FootnoteText">
    <w:name w:val="footnote text"/>
    <w:aliases w:val="fn,footnote,Texto de rodapé,nota_rodapé,nota de rodapé Car Car,nota de rodapé Car Car Car Car Car Car Car Car Car Car Car,Texto de rodapÈ,nota_rodapÈ,nota de rodapÈ Car Car,nota de rodapÈ Car Car Car Car Car Car Car Car Car Car Car"/>
    <w:basedOn w:val="Normal"/>
    <w:link w:val="FootnoteTextChar"/>
    <w:uiPriority w:val="99"/>
    <w:unhideWhenUsed/>
    <w:rsid w:val="00180F98"/>
    <w:rPr>
      <w:sz w:val="20"/>
      <w:szCs w:val="20"/>
    </w:rPr>
  </w:style>
  <w:style w:type="character" w:customStyle="1" w:styleId="FootnoteTextChar">
    <w:name w:val="Footnote Text Char"/>
    <w:aliases w:val="fn Char,footnote Char,Texto de rodapé Char,nota_rodapé Char,nota de rodapé Car Car Char,nota de rodapé Car Car Car Car Car Car Car Car Car Car Car Char,Texto de rodapÈ Char,nota_rodapÈ Char,nota de rodapÈ Car Car Char"/>
    <w:basedOn w:val="DefaultParagraphFont"/>
    <w:link w:val="FootnoteText"/>
    <w:uiPriority w:val="99"/>
    <w:rsid w:val="00180F98"/>
  </w:style>
  <w:style w:type="character" w:styleId="FootnoteReference">
    <w:name w:val="footnote reference"/>
    <w:aliases w:val="ftref"/>
    <w:uiPriority w:val="99"/>
    <w:rsid w:val="00180F98"/>
    <w:rPr>
      <w:vertAlign w:val="superscript"/>
    </w:rPr>
  </w:style>
  <w:style w:type="character" w:customStyle="1" w:styleId="hps">
    <w:name w:val="hps"/>
    <w:rsid w:val="008F08A6"/>
  </w:style>
  <w:style w:type="paragraph" w:customStyle="1" w:styleId="FootnoteText1">
    <w:name w:val="Footnote Text1"/>
    <w:rsid w:val="009B27A5"/>
    <w:rPr>
      <w:rFonts w:ascii="Helvetica" w:eastAsia="ヒラギノ角ゴ Pro W3" w:hAnsi="Helvetica"/>
      <w:color w:val="000000"/>
      <w:szCs w:val="22"/>
      <w:lang w:val="en-US" w:eastAsia="en-US"/>
    </w:rPr>
  </w:style>
  <w:style w:type="paragraph" w:styleId="CommentText">
    <w:name w:val="annotation text"/>
    <w:basedOn w:val="Normal"/>
    <w:link w:val="CommentTextChar"/>
    <w:uiPriority w:val="99"/>
    <w:semiHidden/>
    <w:unhideWhenUsed/>
    <w:rsid w:val="00B44908"/>
    <w:rPr>
      <w:sz w:val="20"/>
      <w:szCs w:val="20"/>
    </w:rPr>
  </w:style>
  <w:style w:type="character" w:customStyle="1" w:styleId="CommentTextChar">
    <w:name w:val="Comment Text Char"/>
    <w:basedOn w:val="DefaultParagraphFont"/>
    <w:link w:val="CommentText"/>
    <w:uiPriority w:val="99"/>
    <w:semiHidden/>
    <w:rsid w:val="00B44908"/>
  </w:style>
  <w:style w:type="character" w:styleId="CommentReference">
    <w:name w:val="annotation reference"/>
    <w:uiPriority w:val="99"/>
    <w:unhideWhenUsed/>
    <w:rsid w:val="00B44908"/>
    <w:rPr>
      <w:sz w:val="16"/>
      <w:szCs w:val="16"/>
    </w:rPr>
  </w:style>
  <w:style w:type="paragraph" w:styleId="BalloonText">
    <w:name w:val="Balloon Text"/>
    <w:basedOn w:val="Normal"/>
    <w:link w:val="BalloonTextChar"/>
    <w:uiPriority w:val="99"/>
    <w:semiHidden/>
    <w:unhideWhenUsed/>
    <w:rsid w:val="00B44908"/>
    <w:rPr>
      <w:rFonts w:ascii="Tahoma" w:hAnsi="Tahoma" w:cs="Tahoma"/>
      <w:sz w:val="16"/>
      <w:szCs w:val="16"/>
    </w:rPr>
  </w:style>
  <w:style w:type="character" w:customStyle="1" w:styleId="BalloonTextChar">
    <w:name w:val="Balloon Text Char"/>
    <w:link w:val="BalloonText"/>
    <w:uiPriority w:val="99"/>
    <w:semiHidden/>
    <w:rsid w:val="00B44908"/>
    <w:rPr>
      <w:rFonts w:ascii="Tahoma" w:hAnsi="Tahoma" w:cs="Tahoma"/>
      <w:sz w:val="16"/>
      <w:szCs w:val="16"/>
    </w:rPr>
  </w:style>
  <w:style w:type="character" w:styleId="Emphasis">
    <w:name w:val="Emphasis"/>
    <w:uiPriority w:val="20"/>
    <w:qFormat/>
    <w:rsid w:val="000820C6"/>
    <w:rPr>
      <w:i/>
      <w:iCs/>
    </w:rPr>
  </w:style>
  <w:style w:type="character" w:styleId="Strong">
    <w:name w:val="Strong"/>
    <w:uiPriority w:val="22"/>
    <w:qFormat/>
    <w:rsid w:val="000820C6"/>
    <w:rPr>
      <w:b/>
      <w:bCs/>
    </w:rPr>
  </w:style>
  <w:style w:type="paragraph" w:styleId="CommentSubject">
    <w:name w:val="annotation subject"/>
    <w:basedOn w:val="CommentText"/>
    <w:next w:val="CommentText"/>
    <w:link w:val="CommentSubjectChar"/>
    <w:uiPriority w:val="99"/>
    <w:semiHidden/>
    <w:unhideWhenUsed/>
    <w:rsid w:val="002C7965"/>
    <w:rPr>
      <w:b/>
      <w:bCs/>
    </w:rPr>
  </w:style>
  <w:style w:type="character" w:customStyle="1" w:styleId="CommentSubjectChar">
    <w:name w:val="Comment Subject Char"/>
    <w:link w:val="CommentSubject"/>
    <w:uiPriority w:val="99"/>
    <w:semiHidden/>
    <w:rsid w:val="002C7965"/>
    <w:rPr>
      <w:b/>
      <w:bCs/>
    </w:rPr>
  </w:style>
  <w:style w:type="paragraph" w:customStyle="1" w:styleId="HeaderFooter">
    <w:name w:val="Header &amp; Footer"/>
    <w:rsid w:val="003927CB"/>
    <w:pPr>
      <w:tabs>
        <w:tab w:val="right" w:pos="9360"/>
      </w:tabs>
    </w:pPr>
    <w:rPr>
      <w:rFonts w:ascii="Helvetica" w:eastAsia="ヒラギノ角ゴ Pro W3" w:hAnsi="Helvetica"/>
      <w:color w:val="000000"/>
      <w:szCs w:val="22"/>
      <w:lang w:val="en-US" w:eastAsia="en-US"/>
    </w:rPr>
  </w:style>
  <w:style w:type="paragraph" w:customStyle="1" w:styleId="Paragraph">
    <w:name w:val="Paragraph"/>
    <w:aliases w:val="paragraph,p,PARAGRAPH,PG,pa,at"/>
    <w:link w:val="ParagraphChar"/>
    <w:qFormat/>
    <w:rsid w:val="003927CB"/>
    <w:pPr>
      <w:tabs>
        <w:tab w:val="left" w:pos="2448"/>
      </w:tabs>
      <w:spacing w:before="120" w:after="120"/>
      <w:jc w:val="both"/>
      <w:outlineLvl w:val="1"/>
    </w:pPr>
    <w:rPr>
      <w:rFonts w:ascii="Times New Roman" w:eastAsia="ヒラギノ角ゴ Pro W3" w:hAnsi="Times New Roman"/>
      <w:color w:val="000000"/>
      <w:szCs w:val="22"/>
      <w:lang w:val="fr-FR" w:eastAsia="en-US"/>
    </w:rPr>
  </w:style>
  <w:style w:type="paragraph" w:customStyle="1" w:styleId="Newpage">
    <w:name w:val="Newpage"/>
    <w:rsid w:val="003927CB"/>
    <w:pPr>
      <w:keepNext/>
      <w:tabs>
        <w:tab w:val="left" w:pos="1440"/>
        <w:tab w:val="left" w:pos="3060"/>
      </w:tabs>
      <w:spacing w:before="240"/>
      <w:jc w:val="center"/>
    </w:pPr>
    <w:rPr>
      <w:rFonts w:ascii="Times New Roman Bold" w:eastAsia="ヒラギノ角ゴ Pro W3" w:hAnsi="Times New Roman Bold"/>
      <w:smallCaps/>
      <w:color w:val="000000"/>
      <w:szCs w:val="22"/>
      <w:lang w:val="en-US" w:eastAsia="en-US"/>
    </w:rPr>
  </w:style>
  <w:style w:type="character" w:customStyle="1" w:styleId="ParagraphChar">
    <w:name w:val="Paragraph Char"/>
    <w:aliases w:val="paragraph Char,p Char,PARAGRAPH Char,PG Char,pa Char,at Char"/>
    <w:link w:val="Paragraph"/>
    <w:rsid w:val="003927CB"/>
    <w:rPr>
      <w:rFonts w:ascii="Times New Roman" w:eastAsia="ヒラギノ角ゴ Pro W3" w:hAnsi="Times New Roman"/>
      <w:color w:val="000000"/>
      <w:sz w:val="24"/>
      <w:szCs w:val="22"/>
      <w:lang w:val="fr-FR"/>
    </w:rPr>
  </w:style>
  <w:style w:type="character" w:customStyle="1" w:styleId="Heading1Char">
    <w:name w:val="Heading 1 Char"/>
    <w:link w:val="Heading1"/>
    <w:uiPriority w:val="9"/>
    <w:rsid w:val="008C5D7E"/>
    <w:rPr>
      <w:rFonts w:ascii="Times" w:eastAsia="MS Mincho" w:hAnsi="Times"/>
      <w:b/>
      <w:color w:val="000000"/>
      <w:sz w:val="24"/>
      <w:szCs w:val="24"/>
      <w:lang w:eastAsia="ja-JP"/>
    </w:rPr>
  </w:style>
  <w:style w:type="character" w:customStyle="1" w:styleId="Heading2Char">
    <w:name w:val="Heading 2 Char"/>
    <w:link w:val="Heading2"/>
    <w:uiPriority w:val="9"/>
    <w:rsid w:val="009A6238"/>
    <w:rPr>
      <w:b/>
      <w:color w:val="548DD4"/>
      <w:lang w:val="en-US" w:eastAsia="en-US"/>
    </w:rPr>
  </w:style>
  <w:style w:type="paragraph" w:styleId="Title">
    <w:name w:val="Title"/>
    <w:basedOn w:val="Normal"/>
    <w:next w:val="Normal"/>
    <w:link w:val="TitleChar"/>
    <w:uiPriority w:val="10"/>
    <w:qFormat/>
    <w:rsid w:val="008C5D7E"/>
    <w:pPr>
      <w:spacing w:before="60" w:after="120"/>
      <w:jc w:val="center"/>
    </w:pPr>
    <w:rPr>
      <w:rFonts w:ascii="Times" w:eastAsia="MS Mincho" w:hAnsi="Times"/>
      <w:b/>
      <w:color w:val="000000"/>
      <w:sz w:val="32"/>
      <w:szCs w:val="24"/>
      <w:lang w:eastAsia="ja-JP"/>
    </w:rPr>
  </w:style>
  <w:style w:type="character" w:customStyle="1" w:styleId="TitleChar">
    <w:name w:val="Title Char"/>
    <w:link w:val="Title"/>
    <w:uiPriority w:val="10"/>
    <w:rsid w:val="008C5D7E"/>
    <w:rPr>
      <w:rFonts w:ascii="Times" w:eastAsia="MS Mincho" w:hAnsi="Times"/>
      <w:b/>
      <w:color w:val="000000"/>
      <w:sz w:val="32"/>
      <w:szCs w:val="24"/>
      <w:lang w:eastAsia="ja-JP"/>
    </w:rPr>
  </w:style>
  <w:style w:type="paragraph" w:customStyle="1" w:styleId="ColorfulShading-Accent11">
    <w:name w:val="Colorful Shading - Accent 11"/>
    <w:hidden/>
    <w:uiPriority w:val="99"/>
    <w:semiHidden/>
    <w:rsid w:val="00C42C37"/>
    <w:rPr>
      <w:sz w:val="22"/>
      <w:szCs w:val="22"/>
      <w:lang w:val="en-US" w:eastAsia="en-US"/>
    </w:rPr>
  </w:style>
  <w:style w:type="table" w:styleId="TableGrid">
    <w:name w:val="Table Grid"/>
    <w:basedOn w:val="TableNormal"/>
    <w:uiPriority w:val="59"/>
    <w:rsid w:val="002F1B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0E2EDB"/>
    <w:pPr>
      <w:keepNext/>
      <w:tabs>
        <w:tab w:val="num" w:pos="720"/>
        <w:tab w:val="left" w:pos="1440"/>
      </w:tabs>
      <w:spacing w:before="240" w:after="240"/>
      <w:ind w:left="720" w:hanging="720"/>
      <w:jc w:val="center"/>
    </w:pPr>
    <w:rPr>
      <w:rFonts w:ascii="Times New Roman" w:hAnsi="Times New Roman"/>
      <w:b/>
      <w:smallCaps/>
      <w:sz w:val="24"/>
      <w:szCs w:val="20"/>
      <w:lang w:val="es-ES_tradnl"/>
    </w:rPr>
  </w:style>
  <w:style w:type="paragraph" w:styleId="TOC2">
    <w:name w:val="toc 2"/>
    <w:basedOn w:val="Normal"/>
    <w:next w:val="Normal"/>
    <w:autoRedefine/>
    <w:uiPriority w:val="39"/>
    <w:unhideWhenUsed/>
    <w:rsid w:val="008909D4"/>
    <w:pPr>
      <w:tabs>
        <w:tab w:val="right" w:leader="dot" w:pos="9350"/>
      </w:tabs>
      <w:ind w:left="450"/>
    </w:pPr>
  </w:style>
  <w:style w:type="paragraph" w:styleId="TOC1">
    <w:name w:val="toc 1"/>
    <w:basedOn w:val="Normal"/>
    <w:next w:val="Normal"/>
    <w:autoRedefine/>
    <w:uiPriority w:val="39"/>
    <w:unhideWhenUsed/>
    <w:rsid w:val="00455F9C"/>
  </w:style>
  <w:style w:type="paragraph" w:styleId="TOC3">
    <w:name w:val="toc 3"/>
    <w:basedOn w:val="Normal"/>
    <w:next w:val="Normal"/>
    <w:autoRedefine/>
    <w:uiPriority w:val="39"/>
    <w:unhideWhenUsed/>
    <w:rsid w:val="00455F9C"/>
    <w:pPr>
      <w:ind w:left="440"/>
    </w:pPr>
  </w:style>
  <w:style w:type="character" w:styleId="Hyperlink">
    <w:name w:val="Hyperlink"/>
    <w:uiPriority w:val="99"/>
    <w:unhideWhenUsed/>
    <w:rsid w:val="00455F9C"/>
    <w:rPr>
      <w:color w:val="0000FF"/>
      <w:u w:val="single"/>
    </w:rPr>
  </w:style>
  <w:style w:type="paragraph" w:customStyle="1" w:styleId="Encabezadodetabladecontenido">
    <w:name w:val="Encabezado de tabla de contenido"/>
    <w:basedOn w:val="Heading1"/>
    <w:next w:val="Normal"/>
    <w:uiPriority w:val="39"/>
    <w:semiHidden/>
    <w:unhideWhenUsed/>
    <w:qFormat/>
    <w:rsid w:val="003B1CB9"/>
    <w:pPr>
      <w:keepNext/>
      <w:keepLines/>
      <w:spacing w:before="480" w:after="0" w:line="276" w:lineRule="auto"/>
      <w:jc w:val="left"/>
      <w:outlineLvl w:val="9"/>
    </w:pPr>
    <w:rPr>
      <w:rFonts w:ascii="Cambria" w:eastAsia="MS Gothic" w:hAnsi="Cambria"/>
      <w:bCs/>
      <w:color w:val="365F91"/>
      <w:sz w:val="28"/>
      <w:szCs w:val="28"/>
    </w:rPr>
  </w:style>
  <w:style w:type="paragraph" w:styleId="ListParagraph">
    <w:name w:val="List Paragraph"/>
    <w:basedOn w:val="Normal"/>
    <w:uiPriority w:val="34"/>
    <w:qFormat/>
    <w:rsid w:val="00A7765B"/>
    <w:pPr>
      <w:ind w:left="720"/>
    </w:pPr>
  </w:style>
  <w:style w:type="paragraph" w:customStyle="1" w:styleId="ColorfulList-Accent111">
    <w:name w:val="Colorful List - Accent 111"/>
    <w:basedOn w:val="Normal"/>
    <w:uiPriority w:val="34"/>
    <w:qFormat/>
    <w:rsid w:val="004B32FA"/>
    <w:pPr>
      <w:ind w:left="720"/>
      <w:contextualSpacing/>
    </w:pPr>
  </w:style>
  <w:style w:type="paragraph" w:customStyle="1" w:styleId="ABBR">
    <w:name w:val="ABBR"/>
    <w:basedOn w:val="Normal"/>
    <w:rsid w:val="006B0B2E"/>
    <w:rPr>
      <w:rFonts w:ascii="Times New Roman" w:eastAsia="Times New Roman" w:hAnsi="Times New Roman"/>
      <w:caps/>
      <w:sz w:val="24"/>
      <w:szCs w:val="20"/>
      <w:lang w:val="es-ES_tradnl"/>
    </w:rPr>
  </w:style>
  <w:style w:type="paragraph" w:customStyle="1" w:styleId="subpar">
    <w:name w:val="subpar"/>
    <w:basedOn w:val="BodyTextIndent3"/>
    <w:rsid w:val="006B0B2E"/>
    <w:pPr>
      <w:spacing w:before="120"/>
      <w:ind w:left="1800"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6B0B2E"/>
    <w:pPr>
      <w:tabs>
        <w:tab w:val="left" w:pos="0"/>
        <w:tab w:val="num" w:pos="360"/>
      </w:tabs>
      <w:ind w:left="2160"/>
    </w:pPr>
  </w:style>
  <w:style w:type="paragraph" w:styleId="BodyTextIndent3">
    <w:name w:val="Body Text Indent 3"/>
    <w:basedOn w:val="Normal"/>
    <w:link w:val="BodyTextIndent3Char"/>
    <w:uiPriority w:val="99"/>
    <w:semiHidden/>
    <w:unhideWhenUsed/>
    <w:rsid w:val="006B0B2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B0B2E"/>
    <w:rPr>
      <w:sz w:val="16"/>
      <w:szCs w:val="16"/>
      <w:lang w:val="en-US" w:eastAsia="en-US"/>
    </w:rPr>
  </w:style>
  <w:style w:type="paragraph" w:styleId="NormalWeb">
    <w:name w:val="Normal (Web)"/>
    <w:basedOn w:val="Normal"/>
    <w:uiPriority w:val="99"/>
    <w:semiHidden/>
    <w:unhideWhenUsed/>
    <w:rsid w:val="00514178"/>
    <w:pPr>
      <w:spacing w:before="100" w:beforeAutospacing="1" w:after="100" w:afterAutospacing="1"/>
    </w:pPr>
    <w:rPr>
      <w:rFonts w:ascii="Times New Roman" w:hAnsi="Times New Roman"/>
      <w:sz w:val="24"/>
      <w:szCs w:val="24"/>
    </w:rPr>
  </w:style>
  <w:style w:type="paragraph" w:styleId="BodyText3">
    <w:name w:val="Body Text 3"/>
    <w:basedOn w:val="Normal"/>
    <w:link w:val="BodyText3Char"/>
    <w:uiPriority w:val="99"/>
    <w:semiHidden/>
    <w:unhideWhenUsed/>
    <w:rsid w:val="004059C2"/>
    <w:pPr>
      <w:spacing w:after="120"/>
    </w:pPr>
    <w:rPr>
      <w:sz w:val="16"/>
      <w:szCs w:val="16"/>
    </w:rPr>
  </w:style>
  <w:style w:type="character" w:customStyle="1" w:styleId="BodyText3Char">
    <w:name w:val="Body Text 3 Char"/>
    <w:basedOn w:val="DefaultParagraphFont"/>
    <w:link w:val="BodyText3"/>
    <w:uiPriority w:val="99"/>
    <w:semiHidden/>
    <w:rsid w:val="004059C2"/>
    <w:rPr>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8539">
      <w:bodyDiv w:val="1"/>
      <w:marLeft w:val="0"/>
      <w:marRight w:val="0"/>
      <w:marTop w:val="0"/>
      <w:marBottom w:val="0"/>
      <w:divBdr>
        <w:top w:val="none" w:sz="0" w:space="0" w:color="auto"/>
        <w:left w:val="none" w:sz="0" w:space="0" w:color="auto"/>
        <w:bottom w:val="none" w:sz="0" w:space="0" w:color="auto"/>
        <w:right w:val="none" w:sz="0" w:space="0" w:color="auto"/>
      </w:divBdr>
    </w:div>
    <w:div w:id="25569256">
      <w:bodyDiv w:val="1"/>
      <w:marLeft w:val="0"/>
      <w:marRight w:val="0"/>
      <w:marTop w:val="0"/>
      <w:marBottom w:val="0"/>
      <w:divBdr>
        <w:top w:val="none" w:sz="0" w:space="0" w:color="auto"/>
        <w:left w:val="none" w:sz="0" w:space="0" w:color="auto"/>
        <w:bottom w:val="none" w:sz="0" w:space="0" w:color="auto"/>
        <w:right w:val="none" w:sz="0" w:space="0" w:color="auto"/>
      </w:divBdr>
    </w:div>
    <w:div w:id="32119345">
      <w:bodyDiv w:val="1"/>
      <w:marLeft w:val="0"/>
      <w:marRight w:val="0"/>
      <w:marTop w:val="0"/>
      <w:marBottom w:val="0"/>
      <w:divBdr>
        <w:top w:val="none" w:sz="0" w:space="0" w:color="auto"/>
        <w:left w:val="none" w:sz="0" w:space="0" w:color="auto"/>
        <w:bottom w:val="none" w:sz="0" w:space="0" w:color="auto"/>
        <w:right w:val="none" w:sz="0" w:space="0" w:color="auto"/>
      </w:divBdr>
    </w:div>
    <w:div w:id="56586633">
      <w:bodyDiv w:val="1"/>
      <w:marLeft w:val="0"/>
      <w:marRight w:val="0"/>
      <w:marTop w:val="0"/>
      <w:marBottom w:val="0"/>
      <w:divBdr>
        <w:top w:val="none" w:sz="0" w:space="0" w:color="auto"/>
        <w:left w:val="none" w:sz="0" w:space="0" w:color="auto"/>
        <w:bottom w:val="none" w:sz="0" w:space="0" w:color="auto"/>
        <w:right w:val="none" w:sz="0" w:space="0" w:color="auto"/>
      </w:divBdr>
    </w:div>
    <w:div w:id="123232965">
      <w:bodyDiv w:val="1"/>
      <w:marLeft w:val="0"/>
      <w:marRight w:val="0"/>
      <w:marTop w:val="0"/>
      <w:marBottom w:val="0"/>
      <w:divBdr>
        <w:top w:val="none" w:sz="0" w:space="0" w:color="auto"/>
        <w:left w:val="none" w:sz="0" w:space="0" w:color="auto"/>
        <w:bottom w:val="none" w:sz="0" w:space="0" w:color="auto"/>
        <w:right w:val="none" w:sz="0" w:space="0" w:color="auto"/>
      </w:divBdr>
    </w:div>
    <w:div w:id="135218638">
      <w:bodyDiv w:val="1"/>
      <w:marLeft w:val="0"/>
      <w:marRight w:val="0"/>
      <w:marTop w:val="0"/>
      <w:marBottom w:val="0"/>
      <w:divBdr>
        <w:top w:val="none" w:sz="0" w:space="0" w:color="auto"/>
        <w:left w:val="none" w:sz="0" w:space="0" w:color="auto"/>
        <w:bottom w:val="none" w:sz="0" w:space="0" w:color="auto"/>
        <w:right w:val="none" w:sz="0" w:space="0" w:color="auto"/>
      </w:divBdr>
    </w:div>
    <w:div w:id="192809582">
      <w:bodyDiv w:val="1"/>
      <w:marLeft w:val="0"/>
      <w:marRight w:val="0"/>
      <w:marTop w:val="0"/>
      <w:marBottom w:val="0"/>
      <w:divBdr>
        <w:top w:val="none" w:sz="0" w:space="0" w:color="auto"/>
        <w:left w:val="none" w:sz="0" w:space="0" w:color="auto"/>
        <w:bottom w:val="none" w:sz="0" w:space="0" w:color="auto"/>
        <w:right w:val="none" w:sz="0" w:space="0" w:color="auto"/>
      </w:divBdr>
    </w:div>
    <w:div w:id="392194150">
      <w:bodyDiv w:val="1"/>
      <w:marLeft w:val="0"/>
      <w:marRight w:val="0"/>
      <w:marTop w:val="0"/>
      <w:marBottom w:val="0"/>
      <w:divBdr>
        <w:top w:val="none" w:sz="0" w:space="0" w:color="auto"/>
        <w:left w:val="none" w:sz="0" w:space="0" w:color="auto"/>
        <w:bottom w:val="none" w:sz="0" w:space="0" w:color="auto"/>
        <w:right w:val="none" w:sz="0" w:space="0" w:color="auto"/>
      </w:divBdr>
    </w:div>
    <w:div w:id="460341944">
      <w:bodyDiv w:val="1"/>
      <w:marLeft w:val="0"/>
      <w:marRight w:val="0"/>
      <w:marTop w:val="0"/>
      <w:marBottom w:val="0"/>
      <w:divBdr>
        <w:top w:val="none" w:sz="0" w:space="0" w:color="auto"/>
        <w:left w:val="none" w:sz="0" w:space="0" w:color="auto"/>
        <w:bottom w:val="none" w:sz="0" w:space="0" w:color="auto"/>
        <w:right w:val="none" w:sz="0" w:space="0" w:color="auto"/>
      </w:divBdr>
    </w:div>
    <w:div w:id="502666435">
      <w:bodyDiv w:val="1"/>
      <w:marLeft w:val="0"/>
      <w:marRight w:val="0"/>
      <w:marTop w:val="0"/>
      <w:marBottom w:val="0"/>
      <w:divBdr>
        <w:top w:val="none" w:sz="0" w:space="0" w:color="auto"/>
        <w:left w:val="none" w:sz="0" w:space="0" w:color="auto"/>
        <w:bottom w:val="none" w:sz="0" w:space="0" w:color="auto"/>
        <w:right w:val="none" w:sz="0" w:space="0" w:color="auto"/>
      </w:divBdr>
    </w:div>
    <w:div w:id="612858969">
      <w:bodyDiv w:val="1"/>
      <w:marLeft w:val="0"/>
      <w:marRight w:val="0"/>
      <w:marTop w:val="0"/>
      <w:marBottom w:val="0"/>
      <w:divBdr>
        <w:top w:val="none" w:sz="0" w:space="0" w:color="auto"/>
        <w:left w:val="none" w:sz="0" w:space="0" w:color="auto"/>
        <w:bottom w:val="none" w:sz="0" w:space="0" w:color="auto"/>
        <w:right w:val="none" w:sz="0" w:space="0" w:color="auto"/>
      </w:divBdr>
    </w:div>
    <w:div w:id="640307493">
      <w:bodyDiv w:val="1"/>
      <w:marLeft w:val="0"/>
      <w:marRight w:val="0"/>
      <w:marTop w:val="0"/>
      <w:marBottom w:val="0"/>
      <w:divBdr>
        <w:top w:val="none" w:sz="0" w:space="0" w:color="auto"/>
        <w:left w:val="none" w:sz="0" w:space="0" w:color="auto"/>
        <w:bottom w:val="none" w:sz="0" w:space="0" w:color="auto"/>
        <w:right w:val="none" w:sz="0" w:space="0" w:color="auto"/>
      </w:divBdr>
    </w:div>
    <w:div w:id="647826130">
      <w:bodyDiv w:val="1"/>
      <w:marLeft w:val="0"/>
      <w:marRight w:val="0"/>
      <w:marTop w:val="0"/>
      <w:marBottom w:val="0"/>
      <w:divBdr>
        <w:top w:val="none" w:sz="0" w:space="0" w:color="auto"/>
        <w:left w:val="none" w:sz="0" w:space="0" w:color="auto"/>
        <w:bottom w:val="none" w:sz="0" w:space="0" w:color="auto"/>
        <w:right w:val="none" w:sz="0" w:space="0" w:color="auto"/>
      </w:divBdr>
    </w:div>
    <w:div w:id="652299582">
      <w:bodyDiv w:val="1"/>
      <w:marLeft w:val="0"/>
      <w:marRight w:val="0"/>
      <w:marTop w:val="0"/>
      <w:marBottom w:val="0"/>
      <w:divBdr>
        <w:top w:val="none" w:sz="0" w:space="0" w:color="auto"/>
        <w:left w:val="none" w:sz="0" w:space="0" w:color="auto"/>
        <w:bottom w:val="none" w:sz="0" w:space="0" w:color="auto"/>
        <w:right w:val="none" w:sz="0" w:space="0" w:color="auto"/>
      </w:divBdr>
    </w:div>
    <w:div w:id="655300573">
      <w:bodyDiv w:val="1"/>
      <w:marLeft w:val="0"/>
      <w:marRight w:val="0"/>
      <w:marTop w:val="0"/>
      <w:marBottom w:val="0"/>
      <w:divBdr>
        <w:top w:val="none" w:sz="0" w:space="0" w:color="auto"/>
        <w:left w:val="none" w:sz="0" w:space="0" w:color="auto"/>
        <w:bottom w:val="none" w:sz="0" w:space="0" w:color="auto"/>
        <w:right w:val="none" w:sz="0" w:space="0" w:color="auto"/>
      </w:divBdr>
    </w:div>
    <w:div w:id="687561525">
      <w:bodyDiv w:val="1"/>
      <w:marLeft w:val="0"/>
      <w:marRight w:val="0"/>
      <w:marTop w:val="0"/>
      <w:marBottom w:val="0"/>
      <w:divBdr>
        <w:top w:val="none" w:sz="0" w:space="0" w:color="auto"/>
        <w:left w:val="none" w:sz="0" w:space="0" w:color="auto"/>
        <w:bottom w:val="none" w:sz="0" w:space="0" w:color="auto"/>
        <w:right w:val="none" w:sz="0" w:space="0" w:color="auto"/>
      </w:divBdr>
    </w:div>
    <w:div w:id="744180864">
      <w:bodyDiv w:val="1"/>
      <w:marLeft w:val="0"/>
      <w:marRight w:val="0"/>
      <w:marTop w:val="0"/>
      <w:marBottom w:val="0"/>
      <w:divBdr>
        <w:top w:val="none" w:sz="0" w:space="0" w:color="auto"/>
        <w:left w:val="none" w:sz="0" w:space="0" w:color="auto"/>
        <w:bottom w:val="none" w:sz="0" w:space="0" w:color="auto"/>
        <w:right w:val="none" w:sz="0" w:space="0" w:color="auto"/>
      </w:divBdr>
    </w:div>
    <w:div w:id="783843322">
      <w:bodyDiv w:val="1"/>
      <w:marLeft w:val="0"/>
      <w:marRight w:val="0"/>
      <w:marTop w:val="0"/>
      <w:marBottom w:val="0"/>
      <w:divBdr>
        <w:top w:val="none" w:sz="0" w:space="0" w:color="auto"/>
        <w:left w:val="none" w:sz="0" w:space="0" w:color="auto"/>
        <w:bottom w:val="none" w:sz="0" w:space="0" w:color="auto"/>
        <w:right w:val="none" w:sz="0" w:space="0" w:color="auto"/>
      </w:divBdr>
    </w:div>
    <w:div w:id="793669222">
      <w:bodyDiv w:val="1"/>
      <w:marLeft w:val="0"/>
      <w:marRight w:val="0"/>
      <w:marTop w:val="0"/>
      <w:marBottom w:val="0"/>
      <w:divBdr>
        <w:top w:val="none" w:sz="0" w:space="0" w:color="auto"/>
        <w:left w:val="none" w:sz="0" w:space="0" w:color="auto"/>
        <w:bottom w:val="none" w:sz="0" w:space="0" w:color="auto"/>
        <w:right w:val="none" w:sz="0" w:space="0" w:color="auto"/>
      </w:divBdr>
    </w:div>
    <w:div w:id="795224856">
      <w:bodyDiv w:val="1"/>
      <w:marLeft w:val="0"/>
      <w:marRight w:val="0"/>
      <w:marTop w:val="0"/>
      <w:marBottom w:val="0"/>
      <w:divBdr>
        <w:top w:val="none" w:sz="0" w:space="0" w:color="auto"/>
        <w:left w:val="none" w:sz="0" w:space="0" w:color="auto"/>
        <w:bottom w:val="none" w:sz="0" w:space="0" w:color="auto"/>
        <w:right w:val="none" w:sz="0" w:space="0" w:color="auto"/>
      </w:divBdr>
    </w:div>
    <w:div w:id="881401450">
      <w:bodyDiv w:val="1"/>
      <w:marLeft w:val="0"/>
      <w:marRight w:val="0"/>
      <w:marTop w:val="0"/>
      <w:marBottom w:val="0"/>
      <w:divBdr>
        <w:top w:val="none" w:sz="0" w:space="0" w:color="auto"/>
        <w:left w:val="none" w:sz="0" w:space="0" w:color="auto"/>
        <w:bottom w:val="none" w:sz="0" w:space="0" w:color="auto"/>
        <w:right w:val="none" w:sz="0" w:space="0" w:color="auto"/>
      </w:divBdr>
    </w:div>
    <w:div w:id="895312115">
      <w:bodyDiv w:val="1"/>
      <w:marLeft w:val="0"/>
      <w:marRight w:val="0"/>
      <w:marTop w:val="0"/>
      <w:marBottom w:val="0"/>
      <w:divBdr>
        <w:top w:val="none" w:sz="0" w:space="0" w:color="auto"/>
        <w:left w:val="none" w:sz="0" w:space="0" w:color="auto"/>
        <w:bottom w:val="none" w:sz="0" w:space="0" w:color="auto"/>
        <w:right w:val="none" w:sz="0" w:space="0" w:color="auto"/>
      </w:divBdr>
    </w:div>
    <w:div w:id="916937589">
      <w:bodyDiv w:val="1"/>
      <w:marLeft w:val="0"/>
      <w:marRight w:val="0"/>
      <w:marTop w:val="0"/>
      <w:marBottom w:val="0"/>
      <w:divBdr>
        <w:top w:val="none" w:sz="0" w:space="0" w:color="auto"/>
        <w:left w:val="none" w:sz="0" w:space="0" w:color="auto"/>
        <w:bottom w:val="none" w:sz="0" w:space="0" w:color="auto"/>
        <w:right w:val="none" w:sz="0" w:space="0" w:color="auto"/>
      </w:divBdr>
    </w:div>
    <w:div w:id="933439074">
      <w:bodyDiv w:val="1"/>
      <w:marLeft w:val="0"/>
      <w:marRight w:val="0"/>
      <w:marTop w:val="0"/>
      <w:marBottom w:val="0"/>
      <w:divBdr>
        <w:top w:val="none" w:sz="0" w:space="0" w:color="auto"/>
        <w:left w:val="none" w:sz="0" w:space="0" w:color="auto"/>
        <w:bottom w:val="none" w:sz="0" w:space="0" w:color="auto"/>
        <w:right w:val="none" w:sz="0" w:space="0" w:color="auto"/>
      </w:divBdr>
    </w:div>
    <w:div w:id="1014570180">
      <w:bodyDiv w:val="1"/>
      <w:marLeft w:val="0"/>
      <w:marRight w:val="0"/>
      <w:marTop w:val="0"/>
      <w:marBottom w:val="0"/>
      <w:divBdr>
        <w:top w:val="none" w:sz="0" w:space="0" w:color="auto"/>
        <w:left w:val="none" w:sz="0" w:space="0" w:color="auto"/>
        <w:bottom w:val="none" w:sz="0" w:space="0" w:color="auto"/>
        <w:right w:val="none" w:sz="0" w:space="0" w:color="auto"/>
      </w:divBdr>
    </w:div>
    <w:div w:id="1028918716">
      <w:bodyDiv w:val="1"/>
      <w:marLeft w:val="0"/>
      <w:marRight w:val="0"/>
      <w:marTop w:val="0"/>
      <w:marBottom w:val="0"/>
      <w:divBdr>
        <w:top w:val="none" w:sz="0" w:space="0" w:color="auto"/>
        <w:left w:val="none" w:sz="0" w:space="0" w:color="auto"/>
        <w:bottom w:val="none" w:sz="0" w:space="0" w:color="auto"/>
        <w:right w:val="none" w:sz="0" w:space="0" w:color="auto"/>
      </w:divBdr>
    </w:div>
    <w:div w:id="1061177432">
      <w:bodyDiv w:val="1"/>
      <w:marLeft w:val="0"/>
      <w:marRight w:val="0"/>
      <w:marTop w:val="0"/>
      <w:marBottom w:val="0"/>
      <w:divBdr>
        <w:top w:val="none" w:sz="0" w:space="0" w:color="auto"/>
        <w:left w:val="none" w:sz="0" w:space="0" w:color="auto"/>
        <w:bottom w:val="none" w:sz="0" w:space="0" w:color="auto"/>
        <w:right w:val="none" w:sz="0" w:space="0" w:color="auto"/>
      </w:divBdr>
    </w:div>
    <w:div w:id="1147088034">
      <w:bodyDiv w:val="1"/>
      <w:marLeft w:val="0"/>
      <w:marRight w:val="0"/>
      <w:marTop w:val="0"/>
      <w:marBottom w:val="0"/>
      <w:divBdr>
        <w:top w:val="none" w:sz="0" w:space="0" w:color="auto"/>
        <w:left w:val="none" w:sz="0" w:space="0" w:color="auto"/>
        <w:bottom w:val="none" w:sz="0" w:space="0" w:color="auto"/>
        <w:right w:val="none" w:sz="0" w:space="0" w:color="auto"/>
      </w:divBdr>
    </w:div>
    <w:div w:id="1205287303">
      <w:bodyDiv w:val="1"/>
      <w:marLeft w:val="0"/>
      <w:marRight w:val="0"/>
      <w:marTop w:val="0"/>
      <w:marBottom w:val="0"/>
      <w:divBdr>
        <w:top w:val="none" w:sz="0" w:space="0" w:color="auto"/>
        <w:left w:val="none" w:sz="0" w:space="0" w:color="auto"/>
        <w:bottom w:val="none" w:sz="0" w:space="0" w:color="auto"/>
        <w:right w:val="none" w:sz="0" w:space="0" w:color="auto"/>
      </w:divBdr>
    </w:div>
    <w:div w:id="1337729468">
      <w:bodyDiv w:val="1"/>
      <w:marLeft w:val="0"/>
      <w:marRight w:val="0"/>
      <w:marTop w:val="0"/>
      <w:marBottom w:val="0"/>
      <w:divBdr>
        <w:top w:val="none" w:sz="0" w:space="0" w:color="auto"/>
        <w:left w:val="none" w:sz="0" w:space="0" w:color="auto"/>
        <w:bottom w:val="none" w:sz="0" w:space="0" w:color="auto"/>
        <w:right w:val="none" w:sz="0" w:space="0" w:color="auto"/>
      </w:divBdr>
    </w:div>
    <w:div w:id="1503859188">
      <w:bodyDiv w:val="1"/>
      <w:marLeft w:val="0"/>
      <w:marRight w:val="0"/>
      <w:marTop w:val="0"/>
      <w:marBottom w:val="0"/>
      <w:divBdr>
        <w:top w:val="none" w:sz="0" w:space="0" w:color="auto"/>
        <w:left w:val="none" w:sz="0" w:space="0" w:color="auto"/>
        <w:bottom w:val="none" w:sz="0" w:space="0" w:color="auto"/>
        <w:right w:val="none" w:sz="0" w:space="0" w:color="auto"/>
      </w:divBdr>
    </w:div>
    <w:div w:id="1556814850">
      <w:bodyDiv w:val="1"/>
      <w:marLeft w:val="0"/>
      <w:marRight w:val="0"/>
      <w:marTop w:val="0"/>
      <w:marBottom w:val="0"/>
      <w:divBdr>
        <w:top w:val="none" w:sz="0" w:space="0" w:color="auto"/>
        <w:left w:val="none" w:sz="0" w:space="0" w:color="auto"/>
        <w:bottom w:val="none" w:sz="0" w:space="0" w:color="auto"/>
        <w:right w:val="none" w:sz="0" w:space="0" w:color="auto"/>
      </w:divBdr>
    </w:div>
    <w:div w:id="1619412744">
      <w:bodyDiv w:val="1"/>
      <w:marLeft w:val="0"/>
      <w:marRight w:val="0"/>
      <w:marTop w:val="0"/>
      <w:marBottom w:val="0"/>
      <w:divBdr>
        <w:top w:val="none" w:sz="0" w:space="0" w:color="auto"/>
        <w:left w:val="none" w:sz="0" w:space="0" w:color="auto"/>
        <w:bottom w:val="none" w:sz="0" w:space="0" w:color="auto"/>
        <w:right w:val="none" w:sz="0" w:space="0" w:color="auto"/>
      </w:divBdr>
    </w:div>
    <w:div w:id="1659721548">
      <w:bodyDiv w:val="1"/>
      <w:marLeft w:val="0"/>
      <w:marRight w:val="0"/>
      <w:marTop w:val="0"/>
      <w:marBottom w:val="0"/>
      <w:divBdr>
        <w:top w:val="none" w:sz="0" w:space="0" w:color="auto"/>
        <w:left w:val="none" w:sz="0" w:space="0" w:color="auto"/>
        <w:bottom w:val="none" w:sz="0" w:space="0" w:color="auto"/>
        <w:right w:val="none" w:sz="0" w:space="0" w:color="auto"/>
      </w:divBdr>
    </w:div>
    <w:div w:id="1722943899">
      <w:bodyDiv w:val="1"/>
      <w:marLeft w:val="0"/>
      <w:marRight w:val="0"/>
      <w:marTop w:val="0"/>
      <w:marBottom w:val="0"/>
      <w:divBdr>
        <w:top w:val="none" w:sz="0" w:space="0" w:color="auto"/>
        <w:left w:val="none" w:sz="0" w:space="0" w:color="auto"/>
        <w:bottom w:val="none" w:sz="0" w:space="0" w:color="auto"/>
        <w:right w:val="none" w:sz="0" w:space="0" w:color="auto"/>
      </w:divBdr>
    </w:div>
    <w:div w:id="1725521879">
      <w:bodyDiv w:val="1"/>
      <w:marLeft w:val="0"/>
      <w:marRight w:val="0"/>
      <w:marTop w:val="0"/>
      <w:marBottom w:val="0"/>
      <w:divBdr>
        <w:top w:val="none" w:sz="0" w:space="0" w:color="auto"/>
        <w:left w:val="none" w:sz="0" w:space="0" w:color="auto"/>
        <w:bottom w:val="none" w:sz="0" w:space="0" w:color="auto"/>
        <w:right w:val="none" w:sz="0" w:space="0" w:color="auto"/>
      </w:divBdr>
    </w:div>
    <w:div w:id="1738741512">
      <w:bodyDiv w:val="1"/>
      <w:marLeft w:val="0"/>
      <w:marRight w:val="0"/>
      <w:marTop w:val="0"/>
      <w:marBottom w:val="0"/>
      <w:divBdr>
        <w:top w:val="none" w:sz="0" w:space="0" w:color="auto"/>
        <w:left w:val="none" w:sz="0" w:space="0" w:color="auto"/>
        <w:bottom w:val="none" w:sz="0" w:space="0" w:color="auto"/>
        <w:right w:val="none" w:sz="0" w:space="0" w:color="auto"/>
      </w:divBdr>
    </w:div>
    <w:div w:id="1749498957">
      <w:bodyDiv w:val="1"/>
      <w:marLeft w:val="0"/>
      <w:marRight w:val="0"/>
      <w:marTop w:val="0"/>
      <w:marBottom w:val="0"/>
      <w:divBdr>
        <w:top w:val="none" w:sz="0" w:space="0" w:color="auto"/>
        <w:left w:val="none" w:sz="0" w:space="0" w:color="auto"/>
        <w:bottom w:val="none" w:sz="0" w:space="0" w:color="auto"/>
        <w:right w:val="none" w:sz="0" w:space="0" w:color="auto"/>
      </w:divBdr>
    </w:div>
    <w:div w:id="1757288985">
      <w:bodyDiv w:val="1"/>
      <w:marLeft w:val="0"/>
      <w:marRight w:val="0"/>
      <w:marTop w:val="0"/>
      <w:marBottom w:val="0"/>
      <w:divBdr>
        <w:top w:val="none" w:sz="0" w:space="0" w:color="auto"/>
        <w:left w:val="none" w:sz="0" w:space="0" w:color="auto"/>
        <w:bottom w:val="none" w:sz="0" w:space="0" w:color="auto"/>
        <w:right w:val="none" w:sz="0" w:space="0" w:color="auto"/>
      </w:divBdr>
    </w:div>
    <w:div w:id="1763984941">
      <w:bodyDiv w:val="1"/>
      <w:marLeft w:val="0"/>
      <w:marRight w:val="0"/>
      <w:marTop w:val="0"/>
      <w:marBottom w:val="0"/>
      <w:divBdr>
        <w:top w:val="none" w:sz="0" w:space="0" w:color="auto"/>
        <w:left w:val="none" w:sz="0" w:space="0" w:color="auto"/>
        <w:bottom w:val="none" w:sz="0" w:space="0" w:color="auto"/>
        <w:right w:val="none" w:sz="0" w:space="0" w:color="auto"/>
      </w:divBdr>
    </w:div>
    <w:div w:id="1795052319">
      <w:bodyDiv w:val="1"/>
      <w:marLeft w:val="0"/>
      <w:marRight w:val="0"/>
      <w:marTop w:val="0"/>
      <w:marBottom w:val="0"/>
      <w:divBdr>
        <w:top w:val="none" w:sz="0" w:space="0" w:color="auto"/>
        <w:left w:val="none" w:sz="0" w:space="0" w:color="auto"/>
        <w:bottom w:val="none" w:sz="0" w:space="0" w:color="auto"/>
        <w:right w:val="none" w:sz="0" w:space="0" w:color="auto"/>
      </w:divBdr>
    </w:div>
    <w:div w:id="1876887843">
      <w:bodyDiv w:val="1"/>
      <w:marLeft w:val="0"/>
      <w:marRight w:val="0"/>
      <w:marTop w:val="0"/>
      <w:marBottom w:val="0"/>
      <w:divBdr>
        <w:top w:val="none" w:sz="0" w:space="0" w:color="auto"/>
        <w:left w:val="none" w:sz="0" w:space="0" w:color="auto"/>
        <w:bottom w:val="none" w:sz="0" w:space="0" w:color="auto"/>
        <w:right w:val="none" w:sz="0" w:space="0" w:color="auto"/>
      </w:divBdr>
    </w:div>
    <w:div w:id="1909731701">
      <w:bodyDiv w:val="1"/>
      <w:marLeft w:val="0"/>
      <w:marRight w:val="0"/>
      <w:marTop w:val="0"/>
      <w:marBottom w:val="0"/>
      <w:divBdr>
        <w:top w:val="none" w:sz="0" w:space="0" w:color="auto"/>
        <w:left w:val="none" w:sz="0" w:space="0" w:color="auto"/>
        <w:bottom w:val="none" w:sz="0" w:space="0" w:color="auto"/>
        <w:right w:val="none" w:sz="0" w:space="0" w:color="auto"/>
      </w:divBdr>
    </w:div>
    <w:div w:id="1936864818">
      <w:bodyDiv w:val="1"/>
      <w:marLeft w:val="0"/>
      <w:marRight w:val="0"/>
      <w:marTop w:val="0"/>
      <w:marBottom w:val="0"/>
      <w:divBdr>
        <w:top w:val="none" w:sz="0" w:space="0" w:color="auto"/>
        <w:left w:val="none" w:sz="0" w:space="0" w:color="auto"/>
        <w:bottom w:val="none" w:sz="0" w:space="0" w:color="auto"/>
        <w:right w:val="none" w:sz="0" w:space="0" w:color="auto"/>
      </w:divBdr>
    </w:div>
    <w:div w:id="1948006483">
      <w:bodyDiv w:val="1"/>
      <w:marLeft w:val="0"/>
      <w:marRight w:val="0"/>
      <w:marTop w:val="0"/>
      <w:marBottom w:val="0"/>
      <w:divBdr>
        <w:top w:val="none" w:sz="0" w:space="0" w:color="auto"/>
        <w:left w:val="none" w:sz="0" w:space="0" w:color="auto"/>
        <w:bottom w:val="none" w:sz="0" w:space="0" w:color="auto"/>
        <w:right w:val="none" w:sz="0" w:space="0" w:color="auto"/>
      </w:divBdr>
    </w:div>
    <w:div w:id="2012372299">
      <w:bodyDiv w:val="1"/>
      <w:marLeft w:val="0"/>
      <w:marRight w:val="0"/>
      <w:marTop w:val="0"/>
      <w:marBottom w:val="0"/>
      <w:divBdr>
        <w:top w:val="none" w:sz="0" w:space="0" w:color="auto"/>
        <w:left w:val="none" w:sz="0" w:space="0" w:color="auto"/>
        <w:bottom w:val="none" w:sz="0" w:space="0" w:color="auto"/>
        <w:right w:val="none" w:sz="0" w:space="0" w:color="auto"/>
      </w:divBdr>
    </w:div>
    <w:div w:id="2049258634">
      <w:bodyDiv w:val="1"/>
      <w:marLeft w:val="0"/>
      <w:marRight w:val="0"/>
      <w:marTop w:val="0"/>
      <w:marBottom w:val="0"/>
      <w:divBdr>
        <w:top w:val="none" w:sz="0" w:space="0" w:color="auto"/>
        <w:left w:val="none" w:sz="0" w:space="0" w:color="auto"/>
        <w:bottom w:val="none" w:sz="0" w:space="0" w:color="auto"/>
        <w:right w:val="none" w:sz="0" w:space="0" w:color="auto"/>
      </w:divBdr>
    </w:div>
    <w:div w:id="205569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m/ProcurementPolicies/tabid/9432/language/en-US/Default.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JDESSOURCES/AppData/Local/Microsoft/Windows/Temporary%20Internet%20Files/Content.Outlook/GHMUQOEO/senequep/Procurement_Provisions_for_Haiti__January_2012public.pdf"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iadb.org/procurement" TargetMode="External"/><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BE84CF97D9D3F4BA8621B26D2F4A633" ma:contentTypeVersion="3237" ma:contentTypeDescription="A content type to manage public (operations) IDB documents" ma:contentTypeScope="" ma:versionID="6c0db0f7959261d4bc41cac0ad66e7fb">
  <xsd:schema xmlns:xsd="http://www.w3.org/2001/XMLSchema" xmlns:xs="http://www.w3.org/2001/XMLSchema" xmlns:p="http://schemas.microsoft.com/office/2006/metadata/properties" xmlns:ns2="cdc7663a-08f0-4737-9e8c-148ce897a09c" targetNamespace="http://schemas.microsoft.com/office/2006/metadata/properties" ma:root="true" ma:fieldsID="0f6d2c54e8d0c01a9b6419b4ab2746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Document_x0020_Author xmlns="cdc7663a-08f0-4737-9e8c-148ce897a09c">Mahfouz, Giovanna L.</Document_x0020_Author>
    <_dlc_DocId xmlns="cdc7663a-08f0-4737-9e8c-148ce897a09c">EZSHARE-1089081468-54</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Operation_x0020_Type xmlns="cdc7663a-08f0-4737-9e8c-148ce897a09c">Loan Operation</Operation_x0020_Type>
    <TaxCatchAll xmlns="cdc7663a-08f0-4737-9e8c-148ce897a09c">
      <Value>76</Value>
      <Value>40</Value>
      <Value>208</Value>
      <Value>1</Value>
      <Value>42</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HA-L1131</Project_x0020_Number>
    <Related_x0020_SisCor_x0020_Number xmlns="cdc7663a-08f0-4737-9e8c-148ce897a09c" xsi:nil="true"/>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Document_x0020_Language_x0020_IDB xmlns="cdc7663a-08f0-4737-9e8c-148ce897a09c">English</Document_x0020_Language_x0020_IDB>
    <_dlc_DocIdUrl xmlns="cdc7663a-08f0-4737-9e8c-148ce897a09c">
      <Url>https://idbg.sharepoint.com/teams/EZ-HA-LON/HA-L1131/_layouts/15/DocIdRedir.aspx?ID=EZSHARE-1089081468-54</Url>
      <Description>EZSHARE-1089081468-54</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9B5E288-0BAB-4D8F-9347-62878BA21DE8}">
  <ds:schemaRefs>
    <ds:schemaRef ds:uri="http://schemas.openxmlformats.org/officeDocument/2006/bibliography"/>
  </ds:schemaRefs>
</ds:datastoreItem>
</file>

<file path=customXml/itemProps2.xml><?xml version="1.0" encoding="utf-8"?>
<ds:datastoreItem xmlns:ds="http://schemas.openxmlformats.org/officeDocument/2006/customXml" ds:itemID="{02646D79-F99F-4DB8-ADE4-0151E212F3CD}"/>
</file>

<file path=customXml/itemProps3.xml><?xml version="1.0" encoding="utf-8"?>
<ds:datastoreItem xmlns:ds="http://schemas.openxmlformats.org/officeDocument/2006/customXml" ds:itemID="{2A70A616-90A4-4030-93F2-6006DB3FFD20}"/>
</file>

<file path=customXml/itemProps4.xml><?xml version="1.0" encoding="utf-8"?>
<ds:datastoreItem xmlns:ds="http://schemas.openxmlformats.org/officeDocument/2006/customXml" ds:itemID="{F9D261C3-91DB-4F8E-9201-8952D4023891}"/>
</file>

<file path=customXml/itemProps5.xml><?xml version="1.0" encoding="utf-8"?>
<ds:datastoreItem xmlns:ds="http://schemas.openxmlformats.org/officeDocument/2006/customXml" ds:itemID="{8B53E2F0-22D6-4CA8-8755-F441DC45D296}"/>
</file>

<file path=customXml/itemProps6.xml><?xml version="1.0" encoding="utf-8"?>
<ds:datastoreItem xmlns:ds="http://schemas.openxmlformats.org/officeDocument/2006/customXml" ds:itemID="{B53D1FF7-D2B7-4909-9799-64CD3A2AFDA4}"/>
</file>

<file path=customXml/itemProps7.xml><?xml version="1.0" encoding="utf-8"?>
<ds:datastoreItem xmlns:ds="http://schemas.openxmlformats.org/officeDocument/2006/customXml" ds:itemID="{9AD32FC2-3ADC-4639-8A0C-44E03660F582}"/>
</file>

<file path=customXml/itemProps8.xml><?xml version="1.0" encoding="utf-8"?>
<ds:datastoreItem xmlns:ds="http://schemas.openxmlformats.org/officeDocument/2006/customXml" ds:itemID="{2292606A-4A7D-4E44-847D-3DE4A3346171}"/>
</file>

<file path=docProps/app.xml><?xml version="1.0" encoding="utf-8"?>
<Properties xmlns="http://schemas.openxmlformats.org/officeDocument/2006/extended-properties" xmlns:vt="http://schemas.openxmlformats.org/officeDocument/2006/docPropsVTypes">
  <Template>Normal.dotm</Template>
  <TotalTime>23</TotalTime>
  <Pages>38</Pages>
  <Words>12009</Words>
  <Characters>68457</Characters>
  <Application>Microsoft Office Word</Application>
  <DocSecurity>0</DocSecurity>
  <Lines>570</Lines>
  <Paragraphs>160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80306</CharactersWithSpaces>
  <SharedDoc>false</SharedDoc>
  <HLinks>
    <vt:vector size="138" baseType="variant">
      <vt:variant>
        <vt:i4>3473457</vt:i4>
      </vt:variant>
      <vt:variant>
        <vt:i4>135</vt:i4>
      </vt:variant>
      <vt:variant>
        <vt:i4>0</vt:i4>
      </vt:variant>
      <vt:variant>
        <vt:i4>5</vt:i4>
      </vt:variant>
      <vt:variant>
        <vt:lpwstr>http://www.iadb.org/procurement</vt:lpwstr>
      </vt:variant>
      <vt:variant>
        <vt:lpwstr/>
      </vt:variant>
      <vt:variant>
        <vt:i4>1179710</vt:i4>
      </vt:variant>
      <vt:variant>
        <vt:i4>128</vt:i4>
      </vt:variant>
      <vt:variant>
        <vt:i4>0</vt:i4>
      </vt:variant>
      <vt:variant>
        <vt:i4>5</vt:i4>
      </vt:variant>
      <vt:variant>
        <vt:lpwstr/>
      </vt:variant>
      <vt:variant>
        <vt:lpwstr>_Toc359225670</vt:lpwstr>
      </vt:variant>
      <vt:variant>
        <vt:i4>1048638</vt:i4>
      </vt:variant>
      <vt:variant>
        <vt:i4>122</vt:i4>
      </vt:variant>
      <vt:variant>
        <vt:i4>0</vt:i4>
      </vt:variant>
      <vt:variant>
        <vt:i4>5</vt:i4>
      </vt:variant>
      <vt:variant>
        <vt:lpwstr/>
      </vt:variant>
      <vt:variant>
        <vt:lpwstr>_Toc359225656</vt:lpwstr>
      </vt:variant>
      <vt:variant>
        <vt:i4>1048638</vt:i4>
      </vt:variant>
      <vt:variant>
        <vt:i4>116</vt:i4>
      </vt:variant>
      <vt:variant>
        <vt:i4>0</vt:i4>
      </vt:variant>
      <vt:variant>
        <vt:i4>5</vt:i4>
      </vt:variant>
      <vt:variant>
        <vt:lpwstr/>
      </vt:variant>
      <vt:variant>
        <vt:lpwstr>_Toc359225650</vt:lpwstr>
      </vt:variant>
      <vt:variant>
        <vt:i4>1114174</vt:i4>
      </vt:variant>
      <vt:variant>
        <vt:i4>110</vt:i4>
      </vt:variant>
      <vt:variant>
        <vt:i4>0</vt:i4>
      </vt:variant>
      <vt:variant>
        <vt:i4>5</vt:i4>
      </vt:variant>
      <vt:variant>
        <vt:lpwstr/>
      </vt:variant>
      <vt:variant>
        <vt:lpwstr>_Toc359225649</vt:lpwstr>
      </vt:variant>
      <vt:variant>
        <vt:i4>1114174</vt:i4>
      </vt:variant>
      <vt:variant>
        <vt:i4>104</vt:i4>
      </vt:variant>
      <vt:variant>
        <vt:i4>0</vt:i4>
      </vt:variant>
      <vt:variant>
        <vt:i4>5</vt:i4>
      </vt:variant>
      <vt:variant>
        <vt:lpwstr/>
      </vt:variant>
      <vt:variant>
        <vt:lpwstr>_Toc359225648</vt:lpwstr>
      </vt:variant>
      <vt:variant>
        <vt:i4>1114174</vt:i4>
      </vt:variant>
      <vt:variant>
        <vt:i4>98</vt:i4>
      </vt:variant>
      <vt:variant>
        <vt:i4>0</vt:i4>
      </vt:variant>
      <vt:variant>
        <vt:i4>5</vt:i4>
      </vt:variant>
      <vt:variant>
        <vt:lpwstr/>
      </vt:variant>
      <vt:variant>
        <vt:lpwstr>_Toc359225647</vt:lpwstr>
      </vt:variant>
      <vt:variant>
        <vt:i4>1114174</vt:i4>
      </vt:variant>
      <vt:variant>
        <vt:i4>92</vt:i4>
      </vt:variant>
      <vt:variant>
        <vt:i4>0</vt:i4>
      </vt:variant>
      <vt:variant>
        <vt:i4>5</vt:i4>
      </vt:variant>
      <vt:variant>
        <vt:lpwstr/>
      </vt:variant>
      <vt:variant>
        <vt:lpwstr>_Toc359225646</vt:lpwstr>
      </vt:variant>
      <vt:variant>
        <vt:i4>1114174</vt:i4>
      </vt:variant>
      <vt:variant>
        <vt:i4>86</vt:i4>
      </vt:variant>
      <vt:variant>
        <vt:i4>0</vt:i4>
      </vt:variant>
      <vt:variant>
        <vt:i4>5</vt:i4>
      </vt:variant>
      <vt:variant>
        <vt:lpwstr/>
      </vt:variant>
      <vt:variant>
        <vt:lpwstr>_Toc359225645</vt:lpwstr>
      </vt:variant>
      <vt:variant>
        <vt:i4>1114174</vt:i4>
      </vt:variant>
      <vt:variant>
        <vt:i4>80</vt:i4>
      </vt:variant>
      <vt:variant>
        <vt:i4>0</vt:i4>
      </vt:variant>
      <vt:variant>
        <vt:i4>5</vt:i4>
      </vt:variant>
      <vt:variant>
        <vt:lpwstr/>
      </vt:variant>
      <vt:variant>
        <vt:lpwstr>_Toc359225644</vt:lpwstr>
      </vt:variant>
      <vt:variant>
        <vt:i4>1114174</vt:i4>
      </vt:variant>
      <vt:variant>
        <vt:i4>74</vt:i4>
      </vt:variant>
      <vt:variant>
        <vt:i4>0</vt:i4>
      </vt:variant>
      <vt:variant>
        <vt:i4>5</vt:i4>
      </vt:variant>
      <vt:variant>
        <vt:lpwstr/>
      </vt:variant>
      <vt:variant>
        <vt:lpwstr>_Toc359225643</vt:lpwstr>
      </vt:variant>
      <vt:variant>
        <vt:i4>1114174</vt:i4>
      </vt:variant>
      <vt:variant>
        <vt:i4>68</vt:i4>
      </vt:variant>
      <vt:variant>
        <vt:i4>0</vt:i4>
      </vt:variant>
      <vt:variant>
        <vt:i4>5</vt:i4>
      </vt:variant>
      <vt:variant>
        <vt:lpwstr/>
      </vt:variant>
      <vt:variant>
        <vt:lpwstr>_Toc359225642</vt:lpwstr>
      </vt:variant>
      <vt:variant>
        <vt:i4>1114174</vt:i4>
      </vt:variant>
      <vt:variant>
        <vt:i4>62</vt:i4>
      </vt:variant>
      <vt:variant>
        <vt:i4>0</vt:i4>
      </vt:variant>
      <vt:variant>
        <vt:i4>5</vt:i4>
      </vt:variant>
      <vt:variant>
        <vt:lpwstr/>
      </vt:variant>
      <vt:variant>
        <vt:lpwstr>_Toc359225641</vt:lpwstr>
      </vt:variant>
      <vt:variant>
        <vt:i4>1114174</vt:i4>
      </vt:variant>
      <vt:variant>
        <vt:i4>56</vt:i4>
      </vt:variant>
      <vt:variant>
        <vt:i4>0</vt:i4>
      </vt:variant>
      <vt:variant>
        <vt:i4>5</vt:i4>
      </vt:variant>
      <vt:variant>
        <vt:lpwstr/>
      </vt:variant>
      <vt:variant>
        <vt:lpwstr>_Toc359225640</vt:lpwstr>
      </vt:variant>
      <vt:variant>
        <vt:i4>1441854</vt:i4>
      </vt:variant>
      <vt:variant>
        <vt:i4>50</vt:i4>
      </vt:variant>
      <vt:variant>
        <vt:i4>0</vt:i4>
      </vt:variant>
      <vt:variant>
        <vt:i4>5</vt:i4>
      </vt:variant>
      <vt:variant>
        <vt:lpwstr/>
      </vt:variant>
      <vt:variant>
        <vt:lpwstr>_Toc359225638</vt:lpwstr>
      </vt:variant>
      <vt:variant>
        <vt:i4>1441854</vt:i4>
      </vt:variant>
      <vt:variant>
        <vt:i4>44</vt:i4>
      </vt:variant>
      <vt:variant>
        <vt:i4>0</vt:i4>
      </vt:variant>
      <vt:variant>
        <vt:i4>5</vt:i4>
      </vt:variant>
      <vt:variant>
        <vt:lpwstr/>
      </vt:variant>
      <vt:variant>
        <vt:lpwstr>_Toc359225637</vt:lpwstr>
      </vt:variant>
      <vt:variant>
        <vt:i4>1441854</vt:i4>
      </vt:variant>
      <vt:variant>
        <vt:i4>38</vt:i4>
      </vt:variant>
      <vt:variant>
        <vt:i4>0</vt:i4>
      </vt:variant>
      <vt:variant>
        <vt:i4>5</vt:i4>
      </vt:variant>
      <vt:variant>
        <vt:lpwstr/>
      </vt:variant>
      <vt:variant>
        <vt:lpwstr>_Toc359225636</vt:lpwstr>
      </vt:variant>
      <vt:variant>
        <vt:i4>1441854</vt:i4>
      </vt:variant>
      <vt:variant>
        <vt:i4>32</vt:i4>
      </vt:variant>
      <vt:variant>
        <vt:i4>0</vt:i4>
      </vt:variant>
      <vt:variant>
        <vt:i4>5</vt:i4>
      </vt:variant>
      <vt:variant>
        <vt:lpwstr/>
      </vt:variant>
      <vt:variant>
        <vt:lpwstr>_Toc359225635</vt:lpwstr>
      </vt:variant>
      <vt:variant>
        <vt:i4>1441854</vt:i4>
      </vt:variant>
      <vt:variant>
        <vt:i4>26</vt:i4>
      </vt:variant>
      <vt:variant>
        <vt:i4>0</vt:i4>
      </vt:variant>
      <vt:variant>
        <vt:i4>5</vt:i4>
      </vt:variant>
      <vt:variant>
        <vt:lpwstr/>
      </vt:variant>
      <vt:variant>
        <vt:lpwstr>_Toc359225634</vt:lpwstr>
      </vt:variant>
      <vt:variant>
        <vt:i4>1441854</vt:i4>
      </vt:variant>
      <vt:variant>
        <vt:i4>20</vt:i4>
      </vt:variant>
      <vt:variant>
        <vt:i4>0</vt:i4>
      </vt:variant>
      <vt:variant>
        <vt:i4>5</vt:i4>
      </vt:variant>
      <vt:variant>
        <vt:lpwstr/>
      </vt:variant>
      <vt:variant>
        <vt:lpwstr>_Toc359225633</vt:lpwstr>
      </vt:variant>
      <vt:variant>
        <vt:i4>1441854</vt:i4>
      </vt:variant>
      <vt:variant>
        <vt:i4>14</vt:i4>
      </vt:variant>
      <vt:variant>
        <vt:i4>0</vt:i4>
      </vt:variant>
      <vt:variant>
        <vt:i4>5</vt:i4>
      </vt:variant>
      <vt:variant>
        <vt:lpwstr/>
      </vt:variant>
      <vt:variant>
        <vt:lpwstr>_Toc359225632</vt:lpwstr>
      </vt:variant>
      <vt:variant>
        <vt:i4>1441854</vt:i4>
      </vt:variant>
      <vt:variant>
        <vt:i4>8</vt:i4>
      </vt:variant>
      <vt:variant>
        <vt:i4>0</vt:i4>
      </vt:variant>
      <vt:variant>
        <vt:i4>5</vt:i4>
      </vt:variant>
      <vt:variant>
        <vt:lpwstr/>
      </vt:variant>
      <vt:variant>
        <vt:lpwstr>_Toc359225631</vt:lpwstr>
      </vt:variant>
      <vt:variant>
        <vt:i4>1441854</vt:i4>
      </vt:variant>
      <vt:variant>
        <vt:i4>2</vt:i4>
      </vt:variant>
      <vt:variant>
        <vt:i4>0</vt:i4>
      </vt:variant>
      <vt:variant>
        <vt:i4>5</vt:i4>
      </vt:variant>
      <vt:variant>
        <vt:lpwstr/>
      </vt:variant>
      <vt:variant>
        <vt:lpwstr>_Toc359225630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Mahfouz, Giovanna L.</cp:lastModifiedBy>
  <cp:revision>3</cp:revision>
  <cp:lastPrinted>2018-11-27T16:37:00Z</cp:lastPrinted>
  <dcterms:created xsi:type="dcterms:W3CDTF">2019-03-22T15:01:00Z</dcterms:created>
  <dcterms:modified xsi:type="dcterms:W3CDTF">2019-03-22T15:30:00Z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208;#REFORM AND PUBLIC SECTOR SUPPORT|6679f56e-8b55-402b-90a0-8fe4c41c00ba</vt:lpwstr>
  </property>
  <property fmtid="{D5CDD505-2E9C-101B-9397-08002B2CF9AE}" pid="7" name="Country">
    <vt:lpwstr>42;#Haiti|77a11ace-c854-4e9c-9e19-c924bca0dd43</vt:lpwstr>
  </property>
  <property fmtid="{D5CDD505-2E9C-101B-9397-08002B2CF9AE}" pid="8" name="Fund IDB">
    <vt:lpwstr>40;#GRF|91c131c5-8288-4ee4-8c9c-34395b8e8fd9</vt:lpwstr>
  </property>
  <property fmtid="{D5CDD505-2E9C-101B-9397-08002B2CF9AE}" pid="9" name="_dlc_DocIdItemGuid">
    <vt:lpwstr>18b216ce-f5a2-48ab-b3c8-347713874764</vt:lpwstr>
  </property>
  <property fmtid="{D5CDD505-2E9C-101B-9397-08002B2CF9AE}" pid="10" name="Sector IDB">
    <vt:lpwstr>76;#REFORM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AuthorIds_UIVersion_3">
    <vt:lpwstr>801</vt:lpwstr>
  </property>
  <property fmtid="{D5CDD505-2E9C-101B-9397-08002B2CF9AE}" pid="13" name="Disclosure Activity">
    <vt:lpwstr>Loan Proposal</vt:lpwstr>
  </property>
  <property fmtid="{D5CDD505-2E9C-101B-9397-08002B2CF9AE}" pid="14" name="ContentTypeId">
    <vt:lpwstr>0x0101001A458A224826124E8B45B1D613300CFC003BE84CF97D9D3F4BA8621B26D2F4A633</vt:lpwstr>
  </property>
</Properties>
</file>