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650" w:rsidRPr="00064D10" w:rsidRDefault="00120449" w:rsidP="000640A0">
      <w:pPr>
        <w:autoSpaceDE w:val="0"/>
        <w:autoSpaceDN w:val="0"/>
        <w:adjustRightInd w:val="0"/>
        <w:jc w:val="center"/>
        <w:rPr>
          <w:b/>
          <w:lang w:val="es-ES_tradnl"/>
        </w:rPr>
      </w:pPr>
      <w:r w:rsidRPr="00064D10">
        <w:rPr>
          <w:b/>
          <w:lang w:val="es-ES_tradnl"/>
        </w:rPr>
        <w:t xml:space="preserve">Análisis </w:t>
      </w:r>
      <w:r w:rsidR="00BD0CCA" w:rsidRPr="00064D10">
        <w:rPr>
          <w:b/>
          <w:lang w:val="es-ES_tradnl"/>
        </w:rPr>
        <w:t xml:space="preserve">del cumplimiento del Proyecto  de Reformas de los Sectores de Agua, Saneamiento y de Recursos Hídricos en Bolivia (2 ª Operación) (BO-L1100) </w:t>
      </w:r>
      <w:r w:rsidR="005D0708">
        <w:rPr>
          <w:b/>
          <w:lang w:val="es-ES_tradnl"/>
        </w:rPr>
        <w:br/>
      </w:r>
      <w:bookmarkStart w:id="0" w:name="_GoBack"/>
      <w:bookmarkEnd w:id="0"/>
      <w:r w:rsidR="00601DF8" w:rsidRPr="00064D10">
        <w:rPr>
          <w:b/>
          <w:lang w:val="es-ES_tradnl"/>
        </w:rPr>
        <w:t>con la Política de Servicios Públicos Domiciliarios (GN-271</w:t>
      </w:r>
      <w:r w:rsidRPr="00064D10">
        <w:rPr>
          <w:b/>
          <w:lang w:val="es-ES_tradnl"/>
        </w:rPr>
        <w:t>6-6)</w:t>
      </w:r>
    </w:p>
    <w:p w:rsidR="00813650" w:rsidRPr="00064D10" w:rsidRDefault="00813650" w:rsidP="00BD68A5">
      <w:pPr>
        <w:jc w:val="center"/>
        <w:rPr>
          <w:b/>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3799"/>
        <w:gridCol w:w="4307"/>
      </w:tblGrid>
      <w:tr w:rsidR="00813650" w:rsidRPr="00064D10" w:rsidTr="00D06EBC">
        <w:trPr>
          <w:jc w:val="center"/>
        </w:trPr>
        <w:tc>
          <w:tcPr>
            <w:tcW w:w="2129" w:type="dxa"/>
            <w:shd w:val="clear" w:color="auto" w:fill="C0C0C0"/>
            <w:vAlign w:val="center"/>
          </w:tcPr>
          <w:p w:rsidR="00813650" w:rsidRPr="00064D10" w:rsidRDefault="00813650" w:rsidP="00D06EBC">
            <w:pPr>
              <w:spacing w:before="120" w:after="120"/>
              <w:jc w:val="center"/>
              <w:rPr>
                <w:b/>
                <w:sz w:val="18"/>
                <w:szCs w:val="18"/>
                <w:lang w:val="es-ES_tradnl"/>
              </w:rPr>
            </w:pPr>
            <w:r w:rsidRPr="00064D10">
              <w:rPr>
                <w:b/>
                <w:sz w:val="18"/>
                <w:szCs w:val="18"/>
                <w:lang w:val="es-ES_tradnl"/>
              </w:rPr>
              <w:t>Condiciones de la Política</w:t>
            </w:r>
          </w:p>
        </w:tc>
        <w:tc>
          <w:tcPr>
            <w:tcW w:w="3799" w:type="dxa"/>
            <w:shd w:val="clear" w:color="auto" w:fill="C0C0C0"/>
            <w:vAlign w:val="center"/>
          </w:tcPr>
          <w:p w:rsidR="00813650" w:rsidRPr="00064D10" w:rsidRDefault="00813650" w:rsidP="00064D10">
            <w:pPr>
              <w:spacing w:before="120" w:after="120"/>
              <w:jc w:val="both"/>
              <w:rPr>
                <w:b/>
                <w:sz w:val="18"/>
                <w:szCs w:val="18"/>
                <w:lang w:val="es-ES_tradnl"/>
              </w:rPr>
            </w:pPr>
            <w:r w:rsidRPr="00064D10">
              <w:rPr>
                <w:b/>
                <w:sz w:val="18"/>
                <w:szCs w:val="18"/>
                <w:lang w:val="es-ES_tradnl"/>
              </w:rPr>
              <w:t>Descripción</w:t>
            </w:r>
          </w:p>
        </w:tc>
        <w:tc>
          <w:tcPr>
            <w:tcW w:w="4307" w:type="dxa"/>
            <w:shd w:val="clear" w:color="auto" w:fill="C0C0C0"/>
            <w:vAlign w:val="center"/>
          </w:tcPr>
          <w:p w:rsidR="00813650" w:rsidRPr="00064D10" w:rsidRDefault="00813650" w:rsidP="00D06EBC">
            <w:pPr>
              <w:spacing w:before="120" w:after="120"/>
              <w:jc w:val="center"/>
              <w:rPr>
                <w:b/>
                <w:sz w:val="18"/>
                <w:szCs w:val="18"/>
                <w:lang w:val="es-ES_tradnl"/>
              </w:rPr>
            </w:pPr>
            <w:r w:rsidRPr="00064D10">
              <w:rPr>
                <w:b/>
                <w:sz w:val="18"/>
                <w:szCs w:val="18"/>
                <w:lang w:val="es-ES_tradnl"/>
              </w:rPr>
              <w:t>Comentarios</w:t>
            </w:r>
          </w:p>
        </w:tc>
      </w:tr>
      <w:tr w:rsidR="00813650" w:rsidRPr="00064D10" w:rsidTr="00352A60">
        <w:trPr>
          <w:jc w:val="center"/>
        </w:trPr>
        <w:tc>
          <w:tcPr>
            <w:tcW w:w="2129" w:type="dxa"/>
            <w:shd w:val="clear" w:color="auto" w:fill="auto"/>
          </w:tcPr>
          <w:p w:rsidR="00813650" w:rsidRPr="00064D10" w:rsidRDefault="00813650" w:rsidP="00CE33C6">
            <w:pPr>
              <w:rPr>
                <w:sz w:val="18"/>
                <w:szCs w:val="18"/>
                <w:lang w:val="es-ES_tradnl"/>
              </w:rPr>
            </w:pPr>
            <w:r w:rsidRPr="00064D10">
              <w:rPr>
                <w:bCs/>
                <w:sz w:val="18"/>
                <w:szCs w:val="18"/>
                <w:lang w:val="es-ES_tradnl"/>
              </w:rPr>
              <w:t>1. Sostenibilidad Financiera</w:t>
            </w:r>
          </w:p>
        </w:tc>
        <w:tc>
          <w:tcPr>
            <w:tcW w:w="3799" w:type="dxa"/>
            <w:shd w:val="clear" w:color="auto" w:fill="auto"/>
          </w:tcPr>
          <w:p w:rsidR="00813650" w:rsidRPr="00064D10" w:rsidRDefault="00813650" w:rsidP="00064D10">
            <w:pPr>
              <w:autoSpaceDE w:val="0"/>
              <w:autoSpaceDN w:val="0"/>
              <w:adjustRightInd w:val="0"/>
              <w:jc w:val="both"/>
              <w:rPr>
                <w:sz w:val="18"/>
                <w:szCs w:val="18"/>
                <w:lang w:val="es-ES_tradnl"/>
              </w:rPr>
            </w:pPr>
            <w:r w:rsidRPr="00064D10">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307" w:type="dxa"/>
            <w:shd w:val="clear" w:color="auto" w:fill="auto"/>
          </w:tcPr>
          <w:p w:rsidR="00601DF8" w:rsidRPr="00064D10" w:rsidRDefault="005863ED" w:rsidP="00352A60">
            <w:pPr>
              <w:autoSpaceDE w:val="0"/>
              <w:autoSpaceDN w:val="0"/>
              <w:adjustRightInd w:val="0"/>
              <w:jc w:val="both"/>
              <w:rPr>
                <w:rFonts w:eastAsiaTheme="minorHAnsi"/>
                <w:sz w:val="18"/>
                <w:szCs w:val="18"/>
                <w:lang w:val="es-ES_tradnl"/>
              </w:rPr>
            </w:pPr>
            <w:r w:rsidRPr="00064D10">
              <w:rPr>
                <w:rFonts w:eastAsiaTheme="minorHAnsi"/>
                <w:sz w:val="18"/>
                <w:szCs w:val="18"/>
                <w:lang w:val="es-ES_tradnl"/>
              </w:rPr>
              <w:t>Según el relevamiento de la AAPS del año 2013</w:t>
            </w:r>
            <w:r w:rsidRPr="00064D10">
              <w:rPr>
                <w:rFonts w:eastAsiaTheme="minorHAnsi"/>
                <w:sz w:val="18"/>
                <w:szCs w:val="18"/>
                <w:vertAlign w:val="superscript"/>
                <w:lang w:val="es-ES_tradnl"/>
              </w:rPr>
              <w:footnoteReference w:id="1"/>
            </w:r>
            <w:r w:rsidRPr="00064D10">
              <w:rPr>
                <w:rFonts w:eastAsiaTheme="minorHAnsi"/>
                <w:sz w:val="18"/>
                <w:szCs w:val="18"/>
                <w:lang w:val="es-ES_tradnl"/>
              </w:rPr>
              <w:t>, que incluyó a 47 EPSAS las cuales atienden a 6.8 millones de habitantes</w:t>
            </w:r>
            <w:r w:rsidRPr="00064D10">
              <w:rPr>
                <w:rFonts w:eastAsiaTheme="minorHAnsi"/>
                <w:sz w:val="18"/>
                <w:szCs w:val="18"/>
                <w:vertAlign w:val="superscript"/>
                <w:lang w:val="es-ES_tradnl"/>
              </w:rPr>
              <w:footnoteReference w:id="2"/>
            </w:r>
            <w:r w:rsidRPr="00064D10">
              <w:rPr>
                <w:rFonts w:eastAsiaTheme="minorHAnsi"/>
                <w:sz w:val="18"/>
                <w:szCs w:val="18"/>
                <w:lang w:val="es-ES_tradnl"/>
              </w:rPr>
              <w:t>, estas prestadoras tuvieron ingresos operativos superiores a los costos operativos en un 36% y en solo 8 de ellas los ingresos operativos fueron inferiores a sus costos operativos. Las 3 prestadoras Tipo A</w:t>
            </w:r>
            <w:r w:rsidRPr="00064D10">
              <w:rPr>
                <w:rFonts w:eastAsiaTheme="minorHAnsi"/>
                <w:sz w:val="18"/>
                <w:szCs w:val="18"/>
                <w:vertAlign w:val="superscript"/>
                <w:lang w:val="es-ES_tradnl"/>
              </w:rPr>
              <w:footnoteReference w:id="3"/>
            </w:r>
            <w:r w:rsidRPr="00064D10">
              <w:rPr>
                <w:rFonts w:eastAsiaTheme="minorHAnsi"/>
                <w:sz w:val="18"/>
                <w:szCs w:val="18"/>
                <w:vertAlign w:val="superscript"/>
                <w:lang w:val="es-ES_tradnl"/>
              </w:rPr>
              <w:t xml:space="preserve"> </w:t>
            </w:r>
            <w:r w:rsidRPr="00064D10">
              <w:rPr>
                <w:rFonts w:eastAsiaTheme="minorHAnsi"/>
                <w:sz w:val="18"/>
                <w:szCs w:val="18"/>
                <w:lang w:val="es-ES_tradnl"/>
              </w:rPr>
              <w:t>cuentan con una capacidad para cubrir sus obligaciones de corto plazo y disponibilidad suficiente para cubrir eventualidades, sin embargo SEMAPA (Cochabamba) tiene costos unitarios de operación superiores a la tarifa media y un nivel de recaudación inferior al 65%, frente al 90% de SAGUAPAC (Santa Cruz) y 83% de EPSAS (La Paz y El Alto). Entre las EPSAs Tipo B</w:t>
            </w:r>
            <w:r w:rsidRPr="00064D10">
              <w:rPr>
                <w:rFonts w:eastAsiaTheme="minorHAnsi"/>
                <w:sz w:val="18"/>
                <w:szCs w:val="18"/>
                <w:vertAlign w:val="superscript"/>
                <w:lang w:val="es-ES_tradnl"/>
              </w:rPr>
              <w:footnoteReference w:id="4"/>
            </w:r>
            <w:r w:rsidRPr="00064D10">
              <w:rPr>
                <w:rFonts w:eastAsiaTheme="minorHAnsi"/>
                <w:sz w:val="18"/>
                <w:szCs w:val="18"/>
                <w:lang w:val="es-ES_tradnl"/>
              </w:rPr>
              <w:t>, solamente 2 (Sela y AAPOS) de las 14 que conforman éste grupo, logran sostenibilidad financiera</w:t>
            </w:r>
            <w:r w:rsidRPr="00064D10">
              <w:rPr>
                <w:rFonts w:eastAsiaTheme="minorHAnsi"/>
                <w:sz w:val="18"/>
                <w:szCs w:val="18"/>
                <w:vertAlign w:val="superscript"/>
                <w:lang w:val="es-ES_tradnl"/>
              </w:rPr>
              <w:footnoteReference w:id="5"/>
            </w:r>
            <w:r w:rsidRPr="00064D10">
              <w:rPr>
                <w:rFonts w:eastAsiaTheme="minorHAnsi"/>
                <w:sz w:val="18"/>
                <w:szCs w:val="18"/>
                <w:lang w:val="es-ES_tradnl"/>
              </w:rPr>
              <w:t>, aunque las otras 12 logran sostenibilidad operativa; 64% de ellas tienen limitaciones para cubrir obligaciones de corto plazo y 8 de ellas tienen costos unitarios de operación superiores a la tarifa media; el nivel de recaudación del grupo es en promedio del 81%. De las 30 EPSAs de Tipo C</w:t>
            </w:r>
            <w:r w:rsidRPr="00064D10">
              <w:rPr>
                <w:rFonts w:eastAsiaTheme="minorHAnsi"/>
                <w:sz w:val="18"/>
                <w:szCs w:val="18"/>
                <w:vertAlign w:val="superscript"/>
                <w:lang w:val="es-ES_tradnl"/>
              </w:rPr>
              <w:footnoteReference w:id="6"/>
            </w:r>
            <w:r w:rsidRPr="00064D10">
              <w:rPr>
                <w:rFonts w:eastAsiaTheme="minorHAnsi"/>
                <w:sz w:val="18"/>
                <w:szCs w:val="18"/>
                <w:lang w:val="es-ES_tradnl"/>
              </w:rPr>
              <w:t>, 53% tienen limitaciones para cubrir sus obligaciones de corto plazo, si bien el 67% de ellas cubre sus costos operativos con sus ingresos operativos, en 28% de ellas la tarifa media es inferior al costo medio de operación, y el nivel de recaudo del grupo es en promedio del 73%.</w:t>
            </w:r>
            <w:r w:rsidR="00F84DBB" w:rsidRPr="00064D10">
              <w:rPr>
                <w:rFonts w:eastAsiaTheme="minorHAnsi"/>
                <w:sz w:val="18"/>
                <w:szCs w:val="18"/>
                <w:lang w:val="es-ES_tradnl"/>
              </w:rPr>
              <w:t xml:space="preserve"> Con recursos del programa, se incluirán actividades para vincular a los gobiernos sub-nacionales al financiamiento del sector según sus capacidades, así </w:t>
            </w:r>
            <w:r w:rsidR="000A712C" w:rsidRPr="00064D10">
              <w:rPr>
                <w:rFonts w:eastAsiaTheme="minorHAnsi"/>
                <w:sz w:val="18"/>
                <w:szCs w:val="18"/>
                <w:lang w:val="es-ES_tradnl"/>
              </w:rPr>
              <w:t xml:space="preserve">como </w:t>
            </w:r>
            <w:r w:rsidR="00F84DBB" w:rsidRPr="00064D10">
              <w:rPr>
                <w:rFonts w:eastAsiaTheme="minorHAnsi"/>
                <w:sz w:val="18"/>
                <w:szCs w:val="18"/>
                <w:lang w:val="es-ES_tradnl"/>
              </w:rPr>
              <w:t>promover la sostenibilidad financiera de las EPSAs, mediante el establecimiento de una Política Tarifaria Nacional que les permita cubrir sus costos de O&amp;M y eventualmente contribuir al financiamiento de las inversiones</w:t>
            </w:r>
            <w:r w:rsidR="008163DB" w:rsidRPr="00064D10">
              <w:rPr>
                <w:rFonts w:eastAsiaTheme="minorHAnsi"/>
                <w:sz w:val="18"/>
                <w:szCs w:val="18"/>
                <w:lang w:val="es-ES_tradnl"/>
              </w:rPr>
              <w:t>.</w:t>
            </w:r>
          </w:p>
          <w:p w:rsidR="008163DB" w:rsidRPr="00064D10" w:rsidRDefault="008163DB" w:rsidP="00352A60">
            <w:pPr>
              <w:pStyle w:val="Paragraph"/>
              <w:numPr>
                <w:ilvl w:val="0"/>
                <w:numId w:val="0"/>
              </w:numPr>
              <w:ind w:left="-108"/>
              <w:jc w:val="left"/>
              <w:rPr>
                <w:b/>
                <w:sz w:val="18"/>
                <w:szCs w:val="18"/>
                <w:lang w:val="es-ES_tradnl"/>
              </w:rPr>
            </w:pPr>
          </w:p>
        </w:tc>
      </w:tr>
      <w:tr w:rsidR="009834A9" w:rsidRPr="00064D10" w:rsidTr="00F97646">
        <w:trPr>
          <w:jc w:val="center"/>
        </w:trPr>
        <w:tc>
          <w:tcPr>
            <w:tcW w:w="2129" w:type="dxa"/>
            <w:shd w:val="clear" w:color="auto" w:fill="auto"/>
          </w:tcPr>
          <w:p w:rsidR="00813650" w:rsidRPr="00064D10" w:rsidRDefault="00813650" w:rsidP="00CE33C6">
            <w:pPr>
              <w:rPr>
                <w:sz w:val="18"/>
                <w:szCs w:val="18"/>
                <w:lang w:val="es-ES_tradnl"/>
              </w:rPr>
            </w:pPr>
            <w:r w:rsidRPr="00064D10">
              <w:rPr>
                <w:bCs/>
                <w:sz w:val="18"/>
                <w:szCs w:val="18"/>
                <w:lang w:val="es-ES_tradnl"/>
              </w:rPr>
              <w:t>2. Evaluación Económica</w:t>
            </w:r>
          </w:p>
        </w:tc>
        <w:tc>
          <w:tcPr>
            <w:tcW w:w="3799" w:type="dxa"/>
            <w:shd w:val="clear" w:color="auto" w:fill="auto"/>
          </w:tcPr>
          <w:p w:rsidR="00813650" w:rsidRPr="00064D10" w:rsidRDefault="00813650" w:rsidP="00064D10">
            <w:pPr>
              <w:jc w:val="both"/>
              <w:rPr>
                <w:sz w:val="18"/>
                <w:szCs w:val="18"/>
                <w:lang w:val="es-ES_tradnl"/>
              </w:rPr>
            </w:pPr>
            <w:r w:rsidRPr="00064D10">
              <w:rPr>
                <w:sz w:val="18"/>
                <w:szCs w:val="18"/>
                <w:lang w:val="es-ES_tradnl"/>
              </w:rPr>
              <w:t>Los proyectos de servicios públicos domiciliarios deberán ser económicamente rentables [de acuerdo a las metodologías de evaluación costo beneficio y costo efectividad utilizadas y aceptadas por el Banco.]</w:t>
            </w:r>
          </w:p>
        </w:tc>
        <w:tc>
          <w:tcPr>
            <w:tcW w:w="4307" w:type="dxa"/>
            <w:shd w:val="clear" w:color="auto" w:fill="auto"/>
          </w:tcPr>
          <w:p w:rsidR="00813650" w:rsidRPr="00064D10" w:rsidRDefault="0010196B" w:rsidP="00064D10">
            <w:pPr>
              <w:jc w:val="both"/>
              <w:rPr>
                <w:sz w:val="18"/>
                <w:szCs w:val="18"/>
                <w:lang w:val="es-ES_tradnl"/>
              </w:rPr>
            </w:pPr>
            <w:r w:rsidRPr="00064D10">
              <w:rPr>
                <w:sz w:val="18"/>
                <w:szCs w:val="18"/>
                <w:lang w:val="es-ES_tradnl"/>
              </w:rPr>
              <w:t xml:space="preserve">Se elaboró un análisis beneficio-costo a algunos de los resultados esperados del programa, específicamente se analizó el aumento de cobertura en los servicios de AP&amp;S. Los costos tenidos en cuenta en el análisis fueron los correspondientes a la reforma (costos de implementar y operar las nuevas instituciones y procedimientos o de su fortalecimiento que producirían el efecto de incremento en la cobertura o mejoramiento del servicio) y los incrementales de inversión y de O&amp;M. Los resultados del análisis muestran que el </w:t>
            </w:r>
            <w:r w:rsidRPr="00064D10">
              <w:rPr>
                <w:sz w:val="18"/>
                <w:szCs w:val="18"/>
                <w:lang w:val="es-ES_tradnl"/>
              </w:rPr>
              <w:lastRenderedPageBreak/>
              <w:t xml:space="preserve">programa de ampliación de cobertura es viable y produce beneficios en valor presente por US$ 1,3 billones, para unas inversiones de US$ 1,1 billones (US$ 0,84 billones en valor presente) con un valor presente neto de US$ 458 millones con una tasa interna de retorno de 21,2%. Se elaboró un análisis de sensibilidad a los indicadores de rentabilidad económica a cambios en los supuestos y a las variables no controladas. Los resultados muestran que la viabilidad económica del aumento de la cobertura está asegurada a cambios normales de los supuestos. </w:t>
            </w:r>
          </w:p>
        </w:tc>
      </w:tr>
      <w:tr w:rsidR="000F1306" w:rsidRPr="00064D10" w:rsidTr="00F97646">
        <w:trPr>
          <w:jc w:val="center"/>
        </w:trPr>
        <w:tc>
          <w:tcPr>
            <w:tcW w:w="2129" w:type="dxa"/>
            <w:shd w:val="clear" w:color="auto" w:fill="C0C0C0"/>
          </w:tcPr>
          <w:p w:rsidR="000F1306" w:rsidRPr="00064D10" w:rsidRDefault="000F1306" w:rsidP="00064D10">
            <w:pPr>
              <w:jc w:val="center"/>
              <w:rPr>
                <w:b/>
                <w:sz w:val="18"/>
                <w:szCs w:val="18"/>
                <w:lang w:val="es-ES_tradnl"/>
              </w:rPr>
            </w:pPr>
            <w:r w:rsidRPr="00064D10">
              <w:rPr>
                <w:b/>
                <w:sz w:val="18"/>
                <w:szCs w:val="18"/>
                <w:lang w:val="es-ES_tradnl"/>
              </w:rPr>
              <w:lastRenderedPageBreak/>
              <w:t>Objetivos de la Política</w:t>
            </w:r>
          </w:p>
          <w:p w:rsidR="000F1306" w:rsidRPr="00064D10" w:rsidRDefault="000F1306" w:rsidP="00064D10">
            <w:pPr>
              <w:jc w:val="center"/>
              <w:rPr>
                <w:sz w:val="18"/>
                <w:szCs w:val="18"/>
                <w:lang w:val="es-ES_tradnl"/>
              </w:rPr>
            </w:pPr>
          </w:p>
        </w:tc>
        <w:tc>
          <w:tcPr>
            <w:tcW w:w="3799" w:type="dxa"/>
            <w:shd w:val="clear" w:color="auto" w:fill="C0C0C0"/>
          </w:tcPr>
          <w:p w:rsidR="000F1306" w:rsidRPr="00064D10" w:rsidRDefault="000F1306" w:rsidP="00064D10">
            <w:pPr>
              <w:jc w:val="center"/>
              <w:rPr>
                <w:b/>
                <w:sz w:val="18"/>
                <w:szCs w:val="18"/>
                <w:lang w:val="es-ES_tradnl"/>
              </w:rPr>
            </w:pPr>
            <w:r w:rsidRPr="00064D10">
              <w:rPr>
                <w:b/>
                <w:sz w:val="18"/>
                <w:szCs w:val="18"/>
                <w:lang w:val="es-ES_tradnl"/>
              </w:rPr>
              <w:t>Descripción</w:t>
            </w:r>
          </w:p>
        </w:tc>
        <w:tc>
          <w:tcPr>
            <w:tcW w:w="4307" w:type="dxa"/>
            <w:shd w:val="clear" w:color="auto" w:fill="C0C0C0"/>
          </w:tcPr>
          <w:p w:rsidR="000F1306" w:rsidRPr="00064D10" w:rsidRDefault="000F1306" w:rsidP="00064D10">
            <w:pPr>
              <w:jc w:val="center"/>
              <w:rPr>
                <w:b/>
                <w:sz w:val="18"/>
                <w:szCs w:val="18"/>
                <w:lang w:val="es-ES_tradnl"/>
              </w:rPr>
            </w:pPr>
            <w:r w:rsidRPr="00064D10">
              <w:rPr>
                <w:b/>
                <w:sz w:val="18"/>
                <w:szCs w:val="18"/>
                <w:lang w:val="es-ES_tradnl"/>
              </w:rPr>
              <w:t>Comentarios</w:t>
            </w:r>
          </w:p>
        </w:tc>
      </w:tr>
      <w:tr w:rsidR="009834A9" w:rsidRPr="00064D10" w:rsidTr="00F97646">
        <w:trPr>
          <w:jc w:val="center"/>
        </w:trPr>
        <w:tc>
          <w:tcPr>
            <w:tcW w:w="2129" w:type="dxa"/>
            <w:shd w:val="clear" w:color="auto" w:fill="auto"/>
          </w:tcPr>
          <w:p w:rsidR="000F1306" w:rsidRPr="00064D10" w:rsidRDefault="000F1306" w:rsidP="000F1306">
            <w:pPr>
              <w:rPr>
                <w:sz w:val="18"/>
                <w:szCs w:val="18"/>
                <w:lang w:val="es-ES_tradnl"/>
              </w:rPr>
            </w:pPr>
            <w:r w:rsidRPr="00064D10">
              <w:rPr>
                <w:bCs/>
                <w:sz w:val="18"/>
                <w:szCs w:val="18"/>
                <w:lang w:val="es-ES_tradnl"/>
              </w:rPr>
              <w:t>1. Fomentar el Acceso</w:t>
            </w:r>
          </w:p>
        </w:tc>
        <w:tc>
          <w:tcPr>
            <w:tcW w:w="3799"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 xml:space="preserve">Las políticas deben promover el acceso a todos los usuarios, especialmente a las comunidades y grupos  más desfavorecidos. </w:t>
            </w:r>
          </w:p>
        </w:tc>
        <w:tc>
          <w:tcPr>
            <w:tcW w:w="4307" w:type="dxa"/>
            <w:shd w:val="clear" w:color="auto" w:fill="auto"/>
          </w:tcPr>
          <w:p w:rsidR="000F1306" w:rsidRPr="00064D10" w:rsidRDefault="00AF0BB0" w:rsidP="00352A60">
            <w:pPr>
              <w:autoSpaceDE w:val="0"/>
              <w:autoSpaceDN w:val="0"/>
              <w:adjustRightInd w:val="0"/>
              <w:jc w:val="both"/>
              <w:rPr>
                <w:sz w:val="18"/>
                <w:szCs w:val="18"/>
                <w:lang w:val="es-ES_tradnl"/>
              </w:rPr>
            </w:pPr>
            <w:r w:rsidRPr="00064D10">
              <w:rPr>
                <w:sz w:val="18"/>
                <w:szCs w:val="18"/>
                <w:lang w:val="es-ES_tradnl"/>
              </w:rPr>
              <w:t xml:space="preserve">De acuerdo con el Plan Sectorial de Desarrollo de Saneamiento Básico, el sector de Agua y Saneamiento (A&amp;S) tiene como desafíos incrementar las coberturas y mejorar la calidad de los servicios, principalmente en las áreas periurbanas de las ciudades metropolitanas. Las metas fijadas para el 2020 por el Gobierno de Bolivia,  y que fueron </w:t>
            </w:r>
            <w:r w:rsidR="00995892" w:rsidRPr="00064D10">
              <w:rPr>
                <w:sz w:val="18"/>
                <w:szCs w:val="18"/>
                <w:lang w:val="es-ES_tradnl"/>
              </w:rPr>
              <w:t>incorporadas en el PSDSB, son</w:t>
            </w:r>
            <w:r w:rsidRPr="00064D10">
              <w:rPr>
                <w:sz w:val="18"/>
                <w:szCs w:val="18"/>
                <w:lang w:val="es-ES_tradnl"/>
              </w:rPr>
              <w:t>: (i) AP: incrementar la cobertura a 93% en poblaciones mayores a 10.000 habitantes, a 96% entre 2.000 y 10.000 habitantes, y a 90% en poblaciones rurales menores a 2.000 habitantes; y (ii) AS: incrementar la cobertura a 80% en poblaciones mayores a 2.000 habitantes, y 70% en poblaciones rurales menores a 2.000 habitantes.</w:t>
            </w:r>
            <w:r w:rsidR="00ED5E5B" w:rsidRPr="00064D10">
              <w:rPr>
                <w:sz w:val="18"/>
                <w:szCs w:val="18"/>
                <w:lang w:val="es-ES_tradnl"/>
              </w:rPr>
              <w:t xml:space="preserve"> La Ley Marco de la Madre Tierra y Desarrollo Integral para Vivir Bien (Nº 300), establece como orientación el garantizar el derecho al agua para la vida, priorizando su uso, acceso y aprovechamiento como recurso estratégico en cantidad y calidad suficiente para satisfacer de forma integral e indistinta la conservación de los sistemas de vida, la satisfacción de las necesidades domésticas de las personas, y los procesos productivos para garantizar la soberanía y seguridad alimentaria</w:t>
            </w:r>
            <w:r w:rsidR="00DB2723" w:rsidRPr="00064D10">
              <w:rPr>
                <w:sz w:val="18"/>
                <w:szCs w:val="18"/>
                <w:lang w:val="es-ES_tradnl"/>
              </w:rPr>
              <w:t>.</w:t>
            </w:r>
            <w:r w:rsidR="00114E8A" w:rsidRPr="00064D10">
              <w:rPr>
                <w:sz w:val="18"/>
                <w:szCs w:val="18"/>
                <w:lang w:val="es-ES_tradnl"/>
              </w:rPr>
              <w:t xml:space="preserve"> Los resultados esperados del programa están indicados en la Matriz de Resultados e incluyen indicadores de resultado específicos relacionados con el incremento de la   cobertura de agua y de la cobertura de saneamiento en el país.</w:t>
            </w:r>
          </w:p>
        </w:tc>
      </w:tr>
      <w:tr w:rsidR="000F1306" w:rsidRPr="00064D10" w:rsidTr="00F97646">
        <w:trPr>
          <w:jc w:val="center"/>
        </w:trPr>
        <w:tc>
          <w:tcPr>
            <w:tcW w:w="2129" w:type="dxa"/>
            <w:shd w:val="clear" w:color="auto" w:fill="auto"/>
          </w:tcPr>
          <w:p w:rsidR="000F1306" w:rsidRPr="00064D10" w:rsidRDefault="000F1306" w:rsidP="00776571">
            <w:pPr>
              <w:jc w:val="both"/>
              <w:rPr>
                <w:sz w:val="18"/>
                <w:szCs w:val="18"/>
                <w:lang w:val="es-ES_tradnl"/>
              </w:rPr>
            </w:pPr>
            <w:r w:rsidRPr="00064D10">
              <w:rPr>
                <w:bCs/>
                <w:sz w:val="18"/>
                <w:szCs w:val="18"/>
                <w:lang w:val="es-ES_tradnl"/>
              </w:rPr>
              <w:t>2. Suministrar el acceso al servicio en condiciones de confiabilidad y calidad adecuadas</w:t>
            </w:r>
          </w:p>
        </w:tc>
        <w:tc>
          <w:tcPr>
            <w:tcW w:w="3799"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rsidR="00294D87" w:rsidRPr="00064D10" w:rsidRDefault="00CE2AC7" w:rsidP="00352A60">
            <w:pPr>
              <w:jc w:val="both"/>
              <w:rPr>
                <w:sz w:val="18"/>
                <w:szCs w:val="18"/>
                <w:lang w:val="es-ES_tradnl"/>
              </w:rPr>
            </w:pPr>
            <w:r w:rsidRPr="00064D10">
              <w:rPr>
                <w:sz w:val="18"/>
                <w:szCs w:val="18"/>
                <w:lang w:val="es-ES_tradnl"/>
              </w:rPr>
              <w:t>La Autoridad de Fiscalización y Control Social de Agua Potable y Saneamiento Básico  (AAPS) tiene asignada desde el 2009 la regulación de los servicios, y la responsabilidad de otorgar los derechos de prestación, de uso y aprovechamiento de fuentes de agua para consumo humano.</w:t>
            </w:r>
            <w:r w:rsidR="00E967AF" w:rsidRPr="00064D10">
              <w:rPr>
                <w:sz w:val="18"/>
                <w:szCs w:val="18"/>
                <w:lang w:val="es-ES_tradnl"/>
              </w:rPr>
              <w:t xml:space="preserve"> </w:t>
            </w:r>
            <w:r w:rsidR="00DB2723" w:rsidRPr="00064D10">
              <w:rPr>
                <w:sz w:val="18"/>
                <w:szCs w:val="18"/>
                <w:lang w:val="es-ES_tradnl"/>
              </w:rPr>
              <w:t>Las principales EPSAs</w:t>
            </w:r>
            <w:r w:rsidR="00E967AF" w:rsidRPr="00064D10">
              <w:rPr>
                <w:sz w:val="18"/>
                <w:szCs w:val="18"/>
                <w:lang w:val="es-ES_tradnl"/>
              </w:rPr>
              <w:t>, cuenta</w:t>
            </w:r>
            <w:r w:rsidR="00DB2723" w:rsidRPr="00064D10">
              <w:rPr>
                <w:sz w:val="18"/>
                <w:szCs w:val="18"/>
                <w:lang w:val="es-ES_tradnl"/>
              </w:rPr>
              <w:t>n</w:t>
            </w:r>
            <w:r w:rsidR="00E967AF" w:rsidRPr="00064D10">
              <w:rPr>
                <w:sz w:val="18"/>
                <w:szCs w:val="18"/>
                <w:lang w:val="es-ES_tradnl"/>
              </w:rPr>
              <w:t xml:space="preserve"> con un Plan</w:t>
            </w:r>
            <w:r w:rsidR="00926BBA" w:rsidRPr="00064D10">
              <w:rPr>
                <w:sz w:val="18"/>
                <w:szCs w:val="18"/>
                <w:lang w:val="es-ES_tradnl"/>
              </w:rPr>
              <w:t>es</w:t>
            </w:r>
            <w:r w:rsidR="00E967AF" w:rsidRPr="00064D10">
              <w:rPr>
                <w:sz w:val="18"/>
                <w:szCs w:val="18"/>
                <w:lang w:val="es-ES_tradnl"/>
              </w:rPr>
              <w:t xml:space="preserve"> Maestro</w:t>
            </w:r>
            <w:r w:rsidR="00926BBA" w:rsidRPr="00064D10">
              <w:rPr>
                <w:sz w:val="18"/>
                <w:szCs w:val="18"/>
                <w:lang w:val="es-ES_tradnl"/>
              </w:rPr>
              <w:t>s y/o Planes Sectoriales Departamentales</w:t>
            </w:r>
            <w:r w:rsidR="00E967AF" w:rsidRPr="00064D10">
              <w:rPr>
                <w:sz w:val="18"/>
                <w:szCs w:val="18"/>
                <w:lang w:val="es-ES_tradnl"/>
              </w:rPr>
              <w:t xml:space="preserve"> de Agua Potable y Saneamiento, que establece</w:t>
            </w:r>
            <w:r w:rsidR="00926BBA" w:rsidRPr="00064D10">
              <w:rPr>
                <w:sz w:val="18"/>
                <w:szCs w:val="18"/>
                <w:lang w:val="es-ES_tradnl"/>
              </w:rPr>
              <w:t>n</w:t>
            </w:r>
            <w:r w:rsidR="00E967AF" w:rsidRPr="00064D10">
              <w:rPr>
                <w:sz w:val="18"/>
                <w:szCs w:val="18"/>
                <w:lang w:val="es-ES_tradnl"/>
              </w:rPr>
              <w:t xml:space="preserve"> metas de cobertura, eficiencia operativa y comercial, medición y sostenibilidad financiera. En este sentido, la estructura sectorial para la provisión de los servicios en dichas áreas separa los roles de definición de políticas, planificación sectorial, regulación, y prestación de los servicios en diferentes instituciones, aspecto que ha permitido la adecuada planificación, ejecución y control de los planes. Estos instrumentos dotan a </w:t>
            </w:r>
            <w:r w:rsidR="00DB2723" w:rsidRPr="00064D10">
              <w:rPr>
                <w:sz w:val="18"/>
                <w:szCs w:val="18"/>
                <w:lang w:val="es-ES_tradnl"/>
              </w:rPr>
              <w:t>las EPSAs</w:t>
            </w:r>
            <w:r w:rsidR="00E967AF" w:rsidRPr="00064D10">
              <w:rPr>
                <w:sz w:val="18"/>
                <w:szCs w:val="18"/>
                <w:lang w:val="es-ES_tradnl"/>
              </w:rPr>
              <w:t xml:space="preserve"> de las obligaciones y los derechos necesarios para realizar una adecuada gestión de los sistemas de agua y saneamiento.</w:t>
            </w:r>
            <w:r w:rsidR="00926BBA" w:rsidRPr="00064D10">
              <w:rPr>
                <w:sz w:val="18"/>
                <w:szCs w:val="18"/>
                <w:lang w:val="es-ES_tradnl"/>
              </w:rPr>
              <w:t xml:space="preserve"> </w:t>
            </w:r>
            <w:r w:rsidR="00E967AF" w:rsidRPr="00064D10">
              <w:rPr>
                <w:sz w:val="18"/>
                <w:szCs w:val="18"/>
                <w:lang w:val="es-ES_tradnl"/>
              </w:rPr>
              <w:t xml:space="preserve"> </w:t>
            </w:r>
          </w:p>
        </w:tc>
      </w:tr>
      <w:tr w:rsidR="009834A9" w:rsidRPr="00064D10" w:rsidTr="00F97646">
        <w:trPr>
          <w:jc w:val="center"/>
        </w:trPr>
        <w:tc>
          <w:tcPr>
            <w:tcW w:w="2129" w:type="dxa"/>
            <w:shd w:val="clear" w:color="auto" w:fill="auto"/>
          </w:tcPr>
          <w:p w:rsidR="000F1306" w:rsidRPr="00064D10" w:rsidRDefault="000F1306" w:rsidP="000F1306">
            <w:pPr>
              <w:rPr>
                <w:bCs/>
                <w:sz w:val="18"/>
                <w:szCs w:val="18"/>
                <w:lang w:val="es-ES_tradnl"/>
              </w:rPr>
            </w:pPr>
            <w:r w:rsidRPr="00064D10">
              <w:rPr>
                <w:bCs/>
                <w:sz w:val="18"/>
                <w:szCs w:val="18"/>
                <w:lang w:val="es-ES_tradnl"/>
              </w:rPr>
              <w:t>3. Suministrar un servicio en condiciones de eficiencia</w:t>
            </w:r>
          </w:p>
        </w:tc>
        <w:tc>
          <w:tcPr>
            <w:tcW w:w="3799"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Debe asegurarse que, desde el punto de vista de la oferta, los servicios se proveen con los menores costos posibles.</w:t>
            </w:r>
          </w:p>
        </w:tc>
        <w:tc>
          <w:tcPr>
            <w:tcW w:w="4307" w:type="dxa"/>
            <w:shd w:val="clear" w:color="auto" w:fill="auto"/>
          </w:tcPr>
          <w:p w:rsidR="000F1306" w:rsidRPr="00064D10" w:rsidRDefault="00610D77" w:rsidP="00EF7928">
            <w:pPr>
              <w:pStyle w:val="ListBullet"/>
              <w:numPr>
                <w:ilvl w:val="0"/>
                <w:numId w:val="0"/>
              </w:numPr>
              <w:rPr>
                <w:rFonts w:ascii="Times New Roman" w:hAnsi="Times New Roman"/>
                <w:b/>
                <w:sz w:val="18"/>
                <w:szCs w:val="18"/>
                <w:lang w:val="es-ES_tradnl" w:eastAsia="en-US"/>
              </w:rPr>
            </w:pPr>
            <w:r w:rsidRPr="00064D10">
              <w:rPr>
                <w:rFonts w:ascii="Times New Roman" w:hAnsi="Times New Roman"/>
                <w:sz w:val="18"/>
                <w:szCs w:val="22"/>
                <w:lang w:val="es-ES_tradnl" w:eastAsia="en-US"/>
              </w:rPr>
              <w:t xml:space="preserve">La Ley 2066 de 2000, en el artículo 5 determina los principios que rigen la prestación de los servicios entre los cuales se promueve la eficiencia y la sostenibilidad. </w:t>
            </w:r>
            <w:r w:rsidRPr="00064D10">
              <w:rPr>
                <w:rFonts w:ascii="Times New Roman" w:hAnsi="Times New Roman"/>
                <w:sz w:val="18"/>
                <w:szCs w:val="22"/>
                <w:lang w:val="es-ES_tradnl" w:eastAsia="en-US"/>
              </w:rPr>
              <w:lastRenderedPageBreak/>
              <w:t>De acuerdo al Decreto Supremo 0071 de 2009, artículo 20, la AAPS es la entidad encargada de fiscalizar, controlar, supervisar y regular la prestación de estos servicios considerando los principios mencionados en la Ley.</w:t>
            </w:r>
          </w:p>
        </w:tc>
      </w:tr>
      <w:tr w:rsidR="009834A9" w:rsidRPr="00064D10" w:rsidTr="00F97646">
        <w:trPr>
          <w:jc w:val="center"/>
        </w:trPr>
        <w:tc>
          <w:tcPr>
            <w:tcW w:w="2129" w:type="dxa"/>
            <w:tcBorders>
              <w:bottom w:val="single" w:sz="4" w:space="0" w:color="auto"/>
            </w:tcBorders>
            <w:shd w:val="clear" w:color="auto" w:fill="auto"/>
          </w:tcPr>
          <w:p w:rsidR="000F1306" w:rsidRPr="00064D10" w:rsidRDefault="000F1306" w:rsidP="000F1306">
            <w:pPr>
              <w:rPr>
                <w:bCs/>
                <w:sz w:val="18"/>
                <w:szCs w:val="18"/>
                <w:lang w:val="es-ES_tradnl"/>
              </w:rPr>
            </w:pPr>
            <w:r w:rsidRPr="00064D10">
              <w:rPr>
                <w:bCs/>
                <w:sz w:val="18"/>
                <w:szCs w:val="18"/>
                <w:lang w:val="es-ES_tradnl"/>
              </w:rPr>
              <w:lastRenderedPageBreak/>
              <w:t>4. Generar incentivos adecuados a la demanda de servicios.</w:t>
            </w:r>
          </w:p>
        </w:tc>
        <w:tc>
          <w:tcPr>
            <w:tcW w:w="3799" w:type="dxa"/>
            <w:tcBorders>
              <w:bottom w:val="single" w:sz="4" w:space="0" w:color="auto"/>
            </w:tcBorders>
            <w:shd w:val="clear" w:color="auto" w:fill="auto"/>
          </w:tcPr>
          <w:p w:rsidR="000F1306" w:rsidRPr="00064D10" w:rsidRDefault="000F1306" w:rsidP="00064D10">
            <w:pPr>
              <w:jc w:val="both"/>
              <w:rPr>
                <w:sz w:val="18"/>
                <w:szCs w:val="18"/>
                <w:lang w:val="es-ES_tradnl"/>
              </w:rPr>
            </w:pPr>
            <w:r w:rsidRPr="00064D10">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rsidR="000F1306" w:rsidRPr="00064D10" w:rsidRDefault="00D779BD" w:rsidP="00352A60">
            <w:pPr>
              <w:pStyle w:val="ListBullet"/>
              <w:numPr>
                <w:ilvl w:val="0"/>
                <w:numId w:val="0"/>
              </w:numPr>
              <w:rPr>
                <w:rFonts w:ascii="Times New Roman" w:hAnsi="Times New Roman"/>
                <w:color w:val="FF0000"/>
                <w:sz w:val="18"/>
                <w:szCs w:val="18"/>
                <w:lang w:val="es-ES_tradnl" w:eastAsia="en-US"/>
              </w:rPr>
            </w:pPr>
            <w:r w:rsidRPr="00064D10">
              <w:rPr>
                <w:rFonts w:ascii="Times New Roman" w:hAnsi="Times New Roman"/>
                <w:sz w:val="18"/>
                <w:szCs w:val="22"/>
                <w:lang w:val="es-ES_tradnl" w:eastAsia="en-US"/>
              </w:rPr>
              <w:t>El objetivo</w:t>
            </w:r>
            <w:r w:rsidR="00A24983" w:rsidRPr="00064D10">
              <w:rPr>
                <w:rFonts w:ascii="Times New Roman" w:hAnsi="Times New Roman"/>
                <w:sz w:val="18"/>
                <w:szCs w:val="22"/>
                <w:lang w:val="es-ES_tradnl" w:eastAsia="en-US"/>
              </w:rPr>
              <w:t xml:space="preserve"> del programa es contribuir al incremento de cobertura y mejora de los servicios de Agua Potable y Saneamiento en Bolivia, mediante el desarrollo de un marco institucional y de política para la gestión de estos servicios y de los recursos hídricos. El programa comprende acciones orientadas a: </w:t>
            </w:r>
            <w:r w:rsidR="00352A60" w:rsidRPr="00064D10">
              <w:rPr>
                <w:rFonts w:ascii="Times New Roman" w:hAnsi="Times New Roman"/>
                <w:sz w:val="18"/>
                <w:szCs w:val="22"/>
                <w:lang w:val="es-ES_tradnl" w:eastAsia="en-US"/>
              </w:rPr>
              <w:t>(</w:t>
            </w:r>
            <w:r w:rsidR="00A24983" w:rsidRPr="00064D10">
              <w:rPr>
                <w:rFonts w:ascii="Times New Roman" w:hAnsi="Times New Roman"/>
                <w:sz w:val="18"/>
                <w:szCs w:val="22"/>
                <w:lang w:val="es-ES_tradnl" w:eastAsia="en-US"/>
              </w:rPr>
              <w:t xml:space="preserve">i) fortalecer la planificación sectorial; </w:t>
            </w:r>
            <w:r w:rsidR="00352A60" w:rsidRPr="00064D10">
              <w:rPr>
                <w:rFonts w:ascii="Times New Roman" w:hAnsi="Times New Roman"/>
                <w:sz w:val="18"/>
                <w:szCs w:val="22"/>
                <w:lang w:val="es-ES_tradnl" w:eastAsia="en-US"/>
              </w:rPr>
              <w:t>(</w:t>
            </w:r>
            <w:r w:rsidR="00A24983" w:rsidRPr="00064D10">
              <w:rPr>
                <w:rFonts w:ascii="Times New Roman" w:hAnsi="Times New Roman"/>
                <w:sz w:val="18"/>
                <w:szCs w:val="22"/>
                <w:lang w:val="es-ES_tradnl" w:eastAsia="en-US"/>
              </w:rPr>
              <w:t xml:space="preserve">ii) fortalecer el desarrollo organizacional e institucional de las entidades sectoriales; </w:t>
            </w:r>
            <w:r w:rsidR="00352A60" w:rsidRPr="00064D10">
              <w:rPr>
                <w:rFonts w:ascii="Times New Roman" w:hAnsi="Times New Roman"/>
                <w:sz w:val="18"/>
                <w:szCs w:val="22"/>
                <w:lang w:val="es-ES_tradnl" w:eastAsia="en-US"/>
              </w:rPr>
              <w:t>(</w:t>
            </w:r>
            <w:r w:rsidR="00A24983" w:rsidRPr="00064D10">
              <w:rPr>
                <w:rFonts w:ascii="Times New Roman" w:hAnsi="Times New Roman"/>
                <w:sz w:val="18"/>
                <w:szCs w:val="22"/>
                <w:lang w:val="es-ES_tradnl" w:eastAsia="en-US"/>
              </w:rPr>
              <w:t xml:space="preserve">iii) apoyar la efectiva aplicación de la política financiera; y </w:t>
            </w:r>
            <w:r w:rsidR="00352A60" w:rsidRPr="00064D10">
              <w:rPr>
                <w:rFonts w:ascii="Times New Roman" w:hAnsi="Times New Roman"/>
                <w:sz w:val="18"/>
                <w:szCs w:val="22"/>
                <w:lang w:val="es-ES_tradnl" w:eastAsia="en-US"/>
              </w:rPr>
              <w:t>(</w:t>
            </w:r>
            <w:r w:rsidR="00A24983" w:rsidRPr="00064D10">
              <w:rPr>
                <w:rFonts w:ascii="Times New Roman" w:hAnsi="Times New Roman"/>
                <w:sz w:val="18"/>
                <w:szCs w:val="22"/>
                <w:lang w:val="es-ES_tradnl" w:eastAsia="en-US"/>
              </w:rPr>
              <w:t>iv) desarrollar instrumentos de monitoreo y evaluación.</w:t>
            </w:r>
            <w:r w:rsidR="0055493B" w:rsidRPr="00064D10">
              <w:rPr>
                <w:rFonts w:ascii="Times New Roman" w:hAnsi="Times New Roman"/>
                <w:sz w:val="18"/>
                <w:szCs w:val="22"/>
                <w:lang w:val="es-ES_tradnl" w:eastAsia="en-US"/>
              </w:rPr>
              <w:t xml:space="preserve"> </w:t>
            </w:r>
            <w:r w:rsidR="007112EB" w:rsidRPr="00064D10">
              <w:rPr>
                <w:rFonts w:ascii="Times New Roman" w:hAnsi="Times New Roman"/>
                <w:sz w:val="18"/>
                <w:szCs w:val="22"/>
                <w:lang w:val="es-ES_tradnl" w:eastAsia="en-US"/>
              </w:rPr>
              <w:t xml:space="preserve">Asimismo, el Programa incluye entre las medidas de reforma, el Reglamento Social de DESCOM diferenciando segmentos poblacionales, para la pre inversión, inversión, actualizados y aprobados por el MMAyA, que propende a asegurar la sostenibilidad de los servicios. </w:t>
            </w:r>
            <w:r w:rsidR="0055493B" w:rsidRPr="00064D10">
              <w:rPr>
                <w:rFonts w:ascii="Times New Roman" w:hAnsi="Times New Roman"/>
                <w:sz w:val="18"/>
                <w:szCs w:val="22"/>
                <w:lang w:val="es-ES_tradnl" w:eastAsia="en-US"/>
              </w:rPr>
              <w:t>De esta forma, las reformas incluidas en el mismo</w:t>
            </w:r>
            <w:r w:rsidR="00EE0076" w:rsidRPr="00064D10">
              <w:rPr>
                <w:rFonts w:ascii="Times New Roman" w:hAnsi="Times New Roman"/>
                <w:sz w:val="18"/>
                <w:szCs w:val="22"/>
                <w:lang w:val="es-ES_tradnl" w:eastAsia="en-US"/>
              </w:rPr>
              <w:t xml:space="preserve"> resultan compatibles con este principio.</w:t>
            </w:r>
            <w:r w:rsidR="00A24983" w:rsidRPr="00064D10">
              <w:rPr>
                <w:rFonts w:ascii="Times New Roman" w:hAnsi="Times New Roman"/>
                <w:color w:val="FF0000"/>
                <w:sz w:val="18"/>
                <w:szCs w:val="18"/>
                <w:lang w:val="es-ES_tradnl" w:eastAsia="en-US"/>
              </w:rPr>
              <w:t xml:space="preserve"> </w:t>
            </w:r>
          </w:p>
        </w:tc>
      </w:tr>
      <w:tr w:rsidR="009834A9" w:rsidRPr="00064D10" w:rsidTr="00F97646">
        <w:trPr>
          <w:jc w:val="center"/>
        </w:trPr>
        <w:tc>
          <w:tcPr>
            <w:tcW w:w="2129" w:type="dxa"/>
            <w:tcBorders>
              <w:bottom w:val="single" w:sz="4" w:space="0" w:color="auto"/>
            </w:tcBorders>
            <w:shd w:val="clear" w:color="auto" w:fill="auto"/>
          </w:tcPr>
          <w:p w:rsidR="000F1306" w:rsidRPr="00064D10" w:rsidRDefault="000F1306" w:rsidP="002E3C4E">
            <w:pPr>
              <w:rPr>
                <w:bCs/>
                <w:sz w:val="18"/>
                <w:szCs w:val="18"/>
                <w:lang w:val="es-ES_tradnl"/>
              </w:rPr>
            </w:pPr>
            <w:r w:rsidRPr="00064D10">
              <w:rPr>
                <w:bCs/>
                <w:sz w:val="18"/>
                <w:szCs w:val="18"/>
                <w:lang w:val="es-ES_tradnl"/>
              </w:rPr>
              <w:t>5. Promover la sostenibilidad de los servicios públicos domiciliarios</w:t>
            </w:r>
          </w:p>
        </w:tc>
        <w:tc>
          <w:tcPr>
            <w:tcW w:w="3799" w:type="dxa"/>
            <w:tcBorders>
              <w:bottom w:val="single" w:sz="4" w:space="0" w:color="auto"/>
            </w:tcBorders>
            <w:shd w:val="clear" w:color="auto" w:fill="auto"/>
          </w:tcPr>
          <w:p w:rsidR="000F1306" w:rsidRPr="00064D10" w:rsidRDefault="000F1306" w:rsidP="00064D10">
            <w:pPr>
              <w:jc w:val="both"/>
              <w:rPr>
                <w:sz w:val="18"/>
                <w:szCs w:val="18"/>
                <w:lang w:val="es-ES_tradnl"/>
              </w:rPr>
            </w:pPr>
            <w:r w:rsidRPr="00064D10">
              <w:rPr>
                <w:sz w:val="18"/>
                <w:szCs w:val="18"/>
                <w:lang w:val="es-ES_tradnl"/>
              </w:rPr>
              <w:t>El alcance de la sostenibilidad de los servicios públicos domiciliarios se promoverá en función de tres pilares:</w:t>
            </w:r>
          </w:p>
          <w:p w:rsidR="000F1306" w:rsidRPr="00064D10" w:rsidRDefault="000F1306" w:rsidP="00064D10">
            <w:pPr>
              <w:jc w:val="both"/>
              <w:rPr>
                <w:sz w:val="18"/>
                <w:szCs w:val="18"/>
                <w:lang w:val="es-ES_tradnl"/>
              </w:rPr>
            </w:pPr>
          </w:p>
          <w:p w:rsidR="000F1306" w:rsidRPr="00064D10" w:rsidRDefault="000F1306" w:rsidP="00064D10">
            <w:pPr>
              <w:jc w:val="both"/>
              <w:rPr>
                <w:sz w:val="18"/>
                <w:szCs w:val="18"/>
                <w:lang w:val="es-ES_tradnl"/>
              </w:rPr>
            </w:pPr>
            <w:r w:rsidRPr="00064D10">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rsidR="000F1306" w:rsidRPr="00064D10" w:rsidRDefault="000F1306" w:rsidP="00064D10">
            <w:pPr>
              <w:jc w:val="both"/>
              <w:rPr>
                <w:sz w:val="18"/>
                <w:szCs w:val="18"/>
                <w:lang w:val="es-ES_tradnl"/>
              </w:rPr>
            </w:pPr>
          </w:p>
          <w:p w:rsidR="000F1306" w:rsidRPr="00064D10" w:rsidRDefault="000F1306" w:rsidP="00064D10">
            <w:pPr>
              <w:jc w:val="both"/>
              <w:rPr>
                <w:sz w:val="18"/>
                <w:szCs w:val="18"/>
                <w:lang w:val="es-ES_tradnl"/>
              </w:rPr>
            </w:pPr>
            <w:r w:rsidRPr="00064D10">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rsidR="000F1306" w:rsidRPr="00064D10" w:rsidRDefault="000F1306" w:rsidP="00064D10">
            <w:pPr>
              <w:jc w:val="both"/>
              <w:rPr>
                <w:sz w:val="18"/>
                <w:szCs w:val="18"/>
                <w:lang w:val="es-ES_tradnl"/>
              </w:rPr>
            </w:pPr>
          </w:p>
          <w:p w:rsidR="000F1306" w:rsidRPr="00064D10" w:rsidRDefault="000F1306" w:rsidP="00064D10">
            <w:pPr>
              <w:jc w:val="both"/>
              <w:rPr>
                <w:sz w:val="18"/>
                <w:szCs w:val="18"/>
                <w:lang w:val="es-ES_tradnl"/>
              </w:rPr>
            </w:pPr>
            <w:r w:rsidRPr="00064D10">
              <w:rPr>
                <w:sz w:val="18"/>
                <w:szCs w:val="18"/>
                <w:lang w:val="es-ES_tradnl"/>
              </w:rPr>
              <w:t>c. Sostenibilidad social: contribuyendo a incrementar el acceso al servicio y previendo mecanismos de consulta con la comunidad sobre los aspectos relevantes de la provisión del servicio.</w:t>
            </w:r>
          </w:p>
        </w:tc>
        <w:tc>
          <w:tcPr>
            <w:tcW w:w="4307" w:type="dxa"/>
            <w:tcBorders>
              <w:bottom w:val="single" w:sz="4" w:space="0" w:color="auto"/>
            </w:tcBorders>
            <w:shd w:val="clear" w:color="auto" w:fill="auto"/>
          </w:tcPr>
          <w:p w:rsidR="003D7523" w:rsidRPr="00064D10" w:rsidRDefault="000F1306" w:rsidP="00311FEE">
            <w:pPr>
              <w:pStyle w:val="ListBullet"/>
              <w:numPr>
                <w:ilvl w:val="0"/>
                <w:numId w:val="0"/>
              </w:numPr>
              <w:rPr>
                <w:rFonts w:ascii="Times New Roman" w:hAnsi="Times New Roman"/>
                <w:sz w:val="18"/>
                <w:szCs w:val="22"/>
                <w:lang w:val="es-ES_tradnl" w:eastAsia="en-US"/>
              </w:rPr>
            </w:pPr>
            <w:r w:rsidRPr="00064D10">
              <w:rPr>
                <w:rFonts w:ascii="Times New Roman" w:hAnsi="Times New Roman"/>
                <w:sz w:val="18"/>
                <w:szCs w:val="22"/>
                <w:lang w:val="es-ES_tradnl" w:eastAsia="en-US"/>
              </w:rPr>
              <w:t>Sostenibilidad Financiera</w:t>
            </w:r>
            <w:r w:rsidR="0004566D" w:rsidRPr="00064D10">
              <w:rPr>
                <w:rFonts w:ascii="Times New Roman" w:hAnsi="Times New Roman"/>
                <w:sz w:val="18"/>
                <w:szCs w:val="22"/>
                <w:lang w:val="es-ES_tradnl" w:eastAsia="en-US"/>
              </w:rPr>
              <w:t>:</w:t>
            </w:r>
            <w:r w:rsidR="00A05AB1" w:rsidRPr="00064D10">
              <w:rPr>
                <w:rFonts w:ascii="Times New Roman" w:hAnsi="Times New Roman"/>
                <w:sz w:val="18"/>
                <w:szCs w:val="22"/>
                <w:lang w:val="es-ES_tradnl" w:eastAsia="en-US"/>
              </w:rPr>
              <w:t xml:space="preserve"> </w:t>
            </w:r>
            <w:r w:rsidR="003D7523" w:rsidRPr="00064D10">
              <w:rPr>
                <w:rFonts w:ascii="Times New Roman" w:hAnsi="Times New Roman"/>
                <w:sz w:val="18"/>
                <w:szCs w:val="22"/>
                <w:lang w:val="es-ES_tradnl" w:eastAsia="en-US"/>
              </w:rPr>
              <w:t>Según el relevamiento de la AAPS del año 2013</w:t>
            </w:r>
            <w:r w:rsidR="003D7523" w:rsidRPr="00064D10">
              <w:rPr>
                <w:rFonts w:ascii="Times New Roman" w:hAnsi="Times New Roman"/>
                <w:sz w:val="18"/>
                <w:szCs w:val="22"/>
                <w:vertAlign w:val="superscript"/>
                <w:lang w:val="es-ES_tradnl" w:eastAsia="en-US"/>
              </w:rPr>
              <w:footnoteReference w:id="7"/>
            </w:r>
            <w:r w:rsidR="003D7523" w:rsidRPr="00064D10">
              <w:rPr>
                <w:rFonts w:ascii="Times New Roman" w:hAnsi="Times New Roman"/>
                <w:sz w:val="18"/>
                <w:szCs w:val="22"/>
                <w:vertAlign w:val="superscript"/>
                <w:lang w:val="es-ES_tradnl" w:eastAsia="en-US"/>
              </w:rPr>
              <w:t>,</w:t>
            </w:r>
            <w:r w:rsidR="003D7523" w:rsidRPr="00064D10">
              <w:rPr>
                <w:rFonts w:ascii="Times New Roman" w:hAnsi="Times New Roman"/>
                <w:sz w:val="18"/>
                <w:szCs w:val="22"/>
                <w:lang w:val="es-ES_tradnl" w:eastAsia="en-US"/>
              </w:rPr>
              <w:t xml:space="preserve"> que incluyó a 47 EPSAS las cuales atienden a 6.8 millones de habitantes</w:t>
            </w:r>
            <w:r w:rsidR="003D7523" w:rsidRPr="00064D10">
              <w:rPr>
                <w:rFonts w:ascii="Times New Roman" w:hAnsi="Times New Roman"/>
                <w:sz w:val="18"/>
                <w:szCs w:val="22"/>
                <w:lang w:val="es-ES_tradnl" w:eastAsia="en-US"/>
              </w:rPr>
              <w:footnoteReference w:id="8"/>
            </w:r>
            <w:r w:rsidR="003D7523" w:rsidRPr="00064D10">
              <w:rPr>
                <w:rFonts w:ascii="Times New Roman" w:hAnsi="Times New Roman"/>
                <w:sz w:val="18"/>
                <w:szCs w:val="22"/>
                <w:lang w:val="es-ES_tradnl" w:eastAsia="en-US"/>
              </w:rPr>
              <w:t>, estas prestadoras tuvieron ingresos operativos superiores a los costos operativos en un 36% y en solo 8 de ellas los ingresos operativos fueron inferiores a sus costos operativos. Con recursos del programa, se incluirán actividades para vincular a los gobiernos sub-nacionales al financiamiento del sector según sus capacidades, así promover la sostenibilidad financiera de las EPSAs, mediante el establecimiento de una Política Tarifaria Nacional que les permita cubrir sus costos de O&amp;M y eventualmente contribuir al financiamiento de las inversiones.</w:t>
            </w:r>
          </w:p>
          <w:p w:rsidR="00961447" w:rsidRPr="00064D10" w:rsidRDefault="00101141" w:rsidP="00961447">
            <w:pPr>
              <w:pStyle w:val="Paragraph"/>
              <w:numPr>
                <w:ilvl w:val="0"/>
                <w:numId w:val="0"/>
              </w:numPr>
              <w:rPr>
                <w:sz w:val="18"/>
                <w:szCs w:val="22"/>
                <w:lang w:val="es-ES_tradnl"/>
              </w:rPr>
            </w:pPr>
            <w:r w:rsidRPr="00064D10">
              <w:rPr>
                <w:sz w:val="18"/>
                <w:szCs w:val="22"/>
                <w:lang w:val="es-ES_tradnl"/>
              </w:rPr>
              <w:t>Sostenibilidad</w:t>
            </w:r>
            <w:r w:rsidR="008C0E36" w:rsidRPr="00064D10">
              <w:rPr>
                <w:sz w:val="18"/>
                <w:szCs w:val="22"/>
                <w:lang w:val="es-ES_tradnl"/>
              </w:rPr>
              <w:t xml:space="preserve"> </w:t>
            </w:r>
            <w:r w:rsidR="00F97646" w:rsidRPr="00064D10">
              <w:rPr>
                <w:sz w:val="18"/>
                <w:szCs w:val="22"/>
                <w:lang w:val="es-ES_tradnl"/>
              </w:rPr>
              <w:t>a</w:t>
            </w:r>
            <w:r w:rsidRPr="00064D10">
              <w:rPr>
                <w:sz w:val="18"/>
                <w:szCs w:val="22"/>
                <w:lang w:val="es-ES_tradnl"/>
              </w:rPr>
              <w:t>mbiental</w:t>
            </w:r>
            <w:r w:rsidR="005C7BF0" w:rsidRPr="00064D10">
              <w:rPr>
                <w:sz w:val="18"/>
                <w:szCs w:val="22"/>
                <w:lang w:val="es-ES_tradnl"/>
              </w:rPr>
              <w:t xml:space="preserve"> y social</w:t>
            </w:r>
            <w:r w:rsidR="00945E5A" w:rsidRPr="00064D10">
              <w:rPr>
                <w:sz w:val="18"/>
                <w:szCs w:val="22"/>
                <w:lang w:val="es-ES_tradnl"/>
              </w:rPr>
              <w:t xml:space="preserve">: </w:t>
            </w:r>
            <w:r w:rsidR="00961447" w:rsidRPr="00064D10">
              <w:rPr>
                <w:sz w:val="18"/>
                <w:szCs w:val="22"/>
                <w:lang w:val="es-ES_tradnl"/>
              </w:rPr>
              <w:t>Se espera que las políticas a adoptarse en el marco de esta operación produzcan un efecto positivo en el bienestar de la sociedad, al mejorarse el servicio de agua potable y saneamiento así como el manejo del recurso hídrico mediante la disponibilidad de instrumentos para la gestión de riesgos incluida la adaptación al cambio climático.</w:t>
            </w:r>
          </w:p>
          <w:p w:rsidR="00F013D5" w:rsidRPr="00064D10" w:rsidRDefault="00F013D5" w:rsidP="00BD0CCA">
            <w:pPr>
              <w:pStyle w:val="Paragraph"/>
              <w:numPr>
                <w:ilvl w:val="0"/>
                <w:numId w:val="0"/>
              </w:numPr>
              <w:rPr>
                <w:sz w:val="18"/>
                <w:szCs w:val="22"/>
                <w:lang w:val="es-ES_tradnl"/>
              </w:rPr>
            </w:pPr>
          </w:p>
        </w:tc>
      </w:tr>
    </w:tbl>
    <w:p w:rsidR="00064D10" w:rsidRPr="00064D10" w:rsidRDefault="00064D10" w:rsidP="000F1306">
      <w:pPr>
        <w:rPr>
          <w:lang w:val="es-ES_tradnl"/>
        </w:rPr>
      </w:pPr>
    </w:p>
    <w:p w:rsidR="00064D10" w:rsidRPr="00064D10" w:rsidRDefault="00064D10">
      <w:pPr>
        <w:spacing w:after="200" w:line="276" w:lineRule="auto"/>
        <w:rPr>
          <w:lang w:val="es-ES_tradnl"/>
        </w:rPr>
      </w:pPr>
      <w:r w:rsidRPr="00064D10">
        <w:rPr>
          <w:lang w:val="es-ES_tradnl"/>
        </w:rPr>
        <w:br w:type="page"/>
      </w:r>
    </w:p>
    <w:p w:rsidR="000F1306" w:rsidRPr="00064D10" w:rsidRDefault="000F1306" w:rsidP="000F1306">
      <w:pPr>
        <w:rPr>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4301"/>
        <w:gridCol w:w="3966"/>
      </w:tblGrid>
      <w:tr w:rsidR="000F1306" w:rsidRPr="00064D10" w:rsidTr="00120449">
        <w:trPr>
          <w:trHeight w:val="701"/>
          <w:jc w:val="center"/>
        </w:trPr>
        <w:tc>
          <w:tcPr>
            <w:tcW w:w="1968" w:type="dxa"/>
            <w:shd w:val="clear" w:color="auto" w:fill="C0C0C0"/>
          </w:tcPr>
          <w:p w:rsidR="000F1306" w:rsidRPr="00064D10" w:rsidRDefault="000F1306" w:rsidP="000F1306">
            <w:pPr>
              <w:rPr>
                <w:b/>
                <w:sz w:val="18"/>
                <w:szCs w:val="18"/>
                <w:lang w:val="es-ES_tradnl"/>
              </w:rPr>
            </w:pPr>
            <w:r w:rsidRPr="00064D10">
              <w:rPr>
                <w:b/>
                <w:sz w:val="18"/>
                <w:szCs w:val="18"/>
                <w:lang w:val="es-ES_tradnl"/>
              </w:rPr>
              <w:t>Principios de la Política que orientan el diseño de las operaciones del Banco</w:t>
            </w:r>
          </w:p>
        </w:tc>
        <w:tc>
          <w:tcPr>
            <w:tcW w:w="4301" w:type="dxa"/>
            <w:shd w:val="clear" w:color="auto" w:fill="C0C0C0"/>
            <w:vAlign w:val="center"/>
          </w:tcPr>
          <w:p w:rsidR="000F1306" w:rsidRPr="00064D10" w:rsidRDefault="000F1306" w:rsidP="000F1306">
            <w:pPr>
              <w:jc w:val="center"/>
              <w:rPr>
                <w:b/>
                <w:sz w:val="18"/>
                <w:szCs w:val="18"/>
                <w:lang w:val="es-ES_tradnl"/>
              </w:rPr>
            </w:pPr>
            <w:r w:rsidRPr="00064D10">
              <w:rPr>
                <w:b/>
                <w:sz w:val="18"/>
                <w:szCs w:val="18"/>
                <w:lang w:val="es-ES_tradnl"/>
              </w:rPr>
              <w:t>Descripción</w:t>
            </w:r>
          </w:p>
        </w:tc>
        <w:tc>
          <w:tcPr>
            <w:tcW w:w="3966" w:type="dxa"/>
            <w:shd w:val="clear" w:color="auto" w:fill="C0C0C0"/>
            <w:vAlign w:val="center"/>
          </w:tcPr>
          <w:p w:rsidR="000F1306" w:rsidRPr="00064D10" w:rsidRDefault="000F1306" w:rsidP="000F1306">
            <w:pPr>
              <w:jc w:val="center"/>
              <w:rPr>
                <w:b/>
                <w:sz w:val="18"/>
                <w:szCs w:val="18"/>
                <w:lang w:val="es-ES_tradnl"/>
              </w:rPr>
            </w:pPr>
            <w:r w:rsidRPr="00064D10">
              <w:rPr>
                <w:b/>
                <w:sz w:val="18"/>
                <w:szCs w:val="18"/>
                <w:lang w:val="es-ES_tradnl"/>
              </w:rPr>
              <w:t>Comentarios</w:t>
            </w:r>
          </w:p>
        </w:tc>
      </w:tr>
      <w:tr w:rsidR="009834A9" w:rsidRPr="00064D10" w:rsidTr="00120449">
        <w:trPr>
          <w:jc w:val="center"/>
        </w:trPr>
        <w:tc>
          <w:tcPr>
            <w:tcW w:w="1968" w:type="dxa"/>
            <w:shd w:val="clear" w:color="auto" w:fill="auto"/>
          </w:tcPr>
          <w:p w:rsidR="000F1306" w:rsidRPr="00064D10" w:rsidRDefault="000F1306" w:rsidP="000F1306">
            <w:pPr>
              <w:rPr>
                <w:b/>
                <w:bCs/>
                <w:sz w:val="18"/>
                <w:szCs w:val="18"/>
                <w:lang w:val="es-ES_tradnl"/>
              </w:rPr>
            </w:pPr>
            <w:r w:rsidRPr="00064D10">
              <w:rPr>
                <w:b/>
                <w:bCs/>
                <w:sz w:val="18"/>
                <w:szCs w:val="18"/>
                <w:lang w:val="es-ES_tradnl"/>
              </w:rPr>
              <w:t xml:space="preserve">1. Apoyar a los países para atender las necesidades básicas </w:t>
            </w:r>
          </w:p>
        </w:tc>
        <w:tc>
          <w:tcPr>
            <w:tcW w:w="4301"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2D4037" w:rsidRPr="00064D10" w:rsidRDefault="002D4037" w:rsidP="00560F84">
            <w:pPr>
              <w:pStyle w:val="Paragraph"/>
              <w:numPr>
                <w:ilvl w:val="0"/>
                <w:numId w:val="0"/>
              </w:numPr>
              <w:rPr>
                <w:sz w:val="18"/>
                <w:szCs w:val="18"/>
                <w:lang w:val="es-ES_tradnl"/>
              </w:rPr>
            </w:pPr>
          </w:p>
        </w:tc>
      </w:tr>
      <w:tr w:rsidR="000F1306" w:rsidRPr="00064D10" w:rsidTr="00120449">
        <w:trPr>
          <w:jc w:val="center"/>
        </w:trPr>
        <w:tc>
          <w:tcPr>
            <w:tcW w:w="1968" w:type="dxa"/>
            <w:shd w:val="clear" w:color="auto" w:fill="auto"/>
          </w:tcPr>
          <w:p w:rsidR="000F1306" w:rsidRPr="00064D10" w:rsidRDefault="000F1306" w:rsidP="000F1306">
            <w:pPr>
              <w:rPr>
                <w:b/>
                <w:bCs/>
                <w:sz w:val="18"/>
                <w:szCs w:val="18"/>
                <w:lang w:val="es-ES_tradnl"/>
              </w:rPr>
            </w:pPr>
            <w:r w:rsidRPr="00064D10">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rsidR="000F1306" w:rsidRPr="00064D10" w:rsidRDefault="000F1306" w:rsidP="00064D10">
            <w:pPr>
              <w:rPr>
                <w:sz w:val="18"/>
                <w:szCs w:val="18"/>
                <w:highlight w:val="cyan"/>
                <w:lang w:val="es-ES_tradnl"/>
              </w:rPr>
            </w:pPr>
            <w:r w:rsidRPr="00064D10">
              <w:rPr>
                <w:sz w:val="18"/>
                <w:szCs w:val="18"/>
                <w:lang w:val="es-ES_tradnl"/>
              </w:rPr>
              <w:t xml:space="preserve"> Ver </w:t>
            </w:r>
            <w:r w:rsidR="007C01B6" w:rsidRPr="00064D10">
              <w:rPr>
                <w:sz w:val="18"/>
                <w:szCs w:val="18"/>
                <w:lang w:val="es-ES_tradnl"/>
              </w:rPr>
              <w:t xml:space="preserve">comentarios sobre puntos </w:t>
            </w:r>
            <w:r w:rsidR="0008127B" w:rsidRPr="00064D10">
              <w:rPr>
                <w:sz w:val="18"/>
                <w:szCs w:val="18"/>
                <w:lang w:val="es-ES_tradnl"/>
              </w:rPr>
              <w:t>de</w:t>
            </w:r>
            <w:r w:rsidR="007C01B6" w:rsidRPr="00064D10">
              <w:rPr>
                <w:sz w:val="18"/>
                <w:szCs w:val="18"/>
                <w:lang w:val="es-ES_tradnl"/>
              </w:rPr>
              <w:t xml:space="preserve"> abajo.</w:t>
            </w:r>
          </w:p>
        </w:tc>
      </w:tr>
      <w:tr w:rsidR="009834A9" w:rsidRPr="00064D10" w:rsidTr="00120449">
        <w:trPr>
          <w:jc w:val="center"/>
        </w:trPr>
        <w:tc>
          <w:tcPr>
            <w:tcW w:w="1968" w:type="dxa"/>
            <w:shd w:val="clear" w:color="auto" w:fill="auto"/>
          </w:tcPr>
          <w:p w:rsidR="000F1306" w:rsidRPr="00064D10" w:rsidRDefault="000F1306" w:rsidP="000F1306">
            <w:pPr>
              <w:ind w:left="330" w:hanging="150"/>
              <w:rPr>
                <w:b/>
                <w:bCs/>
                <w:i/>
                <w:sz w:val="18"/>
                <w:szCs w:val="18"/>
                <w:lang w:val="es-ES_tradnl"/>
              </w:rPr>
            </w:pPr>
            <w:r w:rsidRPr="00064D10">
              <w:rPr>
                <w:b/>
                <w:bCs/>
                <w:i/>
                <w:sz w:val="18"/>
                <w:szCs w:val="18"/>
                <w:lang w:val="es-ES_tradnl"/>
              </w:rPr>
              <w:t>A. Promover la integridad, la transparencia y la rendición de cuentas</w:t>
            </w:r>
          </w:p>
        </w:tc>
        <w:tc>
          <w:tcPr>
            <w:tcW w:w="4301"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0F1306" w:rsidRPr="00064D10" w:rsidRDefault="00ED5E5B" w:rsidP="00064D10">
            <w:pPr>
              <w:jc w:val="both"/>
              <w:rPr>
                <w:sz w:val="18"/>
                <w:szCs w:val="18"/>
                <w:highlight w:val="cyan"/>
                <w:lang w:val="es-ES_tradnl"/>
              </w:rPr>
            </w:pPr>
            <w:r w:rsidRPr="00064D10">
              <w:rPr>
                <w:sz w:val="18"/>
                <w:szCs w:val="18"/>
                <w:lang w:val="es-ES_tradnl"/>
              </w:rPr>
              <w:t>La Ley de Autonomías y Descentralización Nº 031 de julio de 2010 da un paso importante en establecer la descentralización de poderes a los gobiernos sub nacionales. Con esta Ley, los Gobiernos Departamentales tienen la facultad no solo de proveer asesoría técnica sino de financiar de manera concurrente proyectos de inversión en Agua y Saneamiento con las entidades nacionales y los Gobiernos Municipales</w:t>
            </w:r>
            <w:r w:rsidR="00B41EB9" w:rsidRPr="00064D10">
              <w:rPr>
                <w:sz w:val="18"/>
                <w:szCs w:val="18"/>
                <w:lang w:val="es-ES_tradnl"/>
              </w:rPr>
              <w:t>. La</w:t>
            </w:r>
            <w:r w:rsidR="00971BDF" w:rsidRPr="00064D10">
              <w:rPr>
                <w:sz w:val="18"/>
                <w:szCs w:val="18"/>
                <w:lang w:val="es-ES_tradnl"/>
              </w:rPr>
              <w:t>s principales</w:t>
            </w:r>
            <w:r w:rsidR="00B41EB9" w:rsidRPr="00064D10">
              <w:rPr>
                <w:sz w:val="18"/>
                <w:szCs w:val="18"/>
                <w:lang w:val="es-ES_tradnl"/>
              </w:rPr>
              <w:t xml:space="preserve"> EPSA</w:t>
            </w:r>
            <w:r w:rsidR="00971BDF" w:rsidRPr="00064D10">
              <w:rPr>
                <w:sz w:val="18"/>
                <w:szCs w:val="18"/>
                <w:lang w:val="es-ES_tradnl"/>
              </w:rPr>
              <w:t xml:space="preserve">s del </w:t>
            </w:r>
            <w:r w:rsidR="004825AC" w:rsidRPr="00064D10">
              <w:rPr>
                <w:sz w:val="18"/>
                <w:szCs w:val="18"/>
                <w:lang w:val="es-ES_tradnl"/>
              </w:rPr>
              <w:t>país</w:t>
            </w:r>
            <w:r w:rsidR="00B41EB9" w:rsidRPr="00064D10">
              <w:rPr>
                <w:sz w:val="18"/>
                <w:szCs w:val="18"/>
                <w:lang w:val="es-ES_tradnl"/>
              </w:rPr>
              <w:t xml:space="preserve"> se encuentra</w:t>
            </w:r>
            <w:r w:rsidR="00971BDF" w:rsidRPr="00064D10">
              <w:rPr>
                <w:sz w:val="18"/>
                <w:szCs w:val="18"/>
                <w:lang w:val="es-ES_tradnl"/>
              </w:rPr>
              <w:t>n</w:t>
            </w:r>
            <w:r w:rsidR="00B41EB9" w:rsidRPr="00064D10">
              <w:rPr>
                <w:sz w:val="18"/>
                <w:szCs w:val="18"/>
                <w:lang w:val="es-ES_tradnl"/>
              </w:rPr>
              <w:t xml:space="preserve"> regulada</w:t>
            </w:r>
            <w:r w:rsidR="00971BDF" w:rsidRPr="00064D10">
              <w:rPr>
                <w:sz w:val="18"/>
                <w:szCs w:val="18"/>
                <w:lang w:val="es-ES_tradnl"/>
              </w:rPr>
              <w:t>s</w:t>
            </w:r>
            <w:r w:rsidR="00B41EB9" w:rsidRPr="00064D10">
              <w:rPr>
                <w:sz w:val="18"/>
                <w:szCs w:val="18"/>
                <w:lang w:val="es-ES_tradnl"/>
              </w:rPr>
              <w:t>, y está</w:t>
            </w:r>
            <w:r w:rsidR="00971BDF" w:rsidRPr="00064D10">
              <w:rPr>
                <w:sz w:val="18"/>
                <w:szCs w:val="18"/>
                <w:lang w:val="es-ES_tradnl"/>
              </w:rPr>
              <w:t>n</w:t>
            </w:r>
            <w:r w:rsidR="00B41EB9" w:rsidRPr="00064D10">
              <w:rPr>
                <w:sz w:val="18"/>
                <w:szCs w:val="18"/>
                <w:lang w:val="es-ES_tradnl"/>
              </w:rPr>
              <w:t xml:space="preserve"> sometida al control de la AAPS, a la que debe</w:t>
            </w:r>
            <w:r w:rsidR="00971BDF" w:rsidRPr="00064D10">
              <w:rPr>
                <w:sz w:val="18"/>
                <w:szCs w:val="18"/>
                <w:lang w:val="es-ES_tradnl"/>
              </w:rPr>
              <w:t>n</w:t>
            </w:r>
            <w:r w:rsidR="00B41EB9" w:rsidRPr="00064D10">
              <w:rPr>
                <w:sz w:val="18"/>
                <w:szCs w:val="18"/>
                <w:lang w:val="es-ES_tradnl"/>
              </w:rPr>
              <w:t xml:space="preserve"> suministrar información operativa y financiera necesaria para la función del regulador, de modo que se puedan ejercer una apropiada rendición de cuentas. Ciertas informaciones son además públicas para facilitar el control social. Se exige el uso de procedimientos de licitación pública para obras y equipamientos. </w:t>
            </w:r>
            <w:r w:rsidR="00971BDF" w:rsidRPr="00064D10">
              <w:rPr>
                <w:sz w:val="18"/>
                <w:szCs w:val="18"/>
                <w:lang w:val="es-ES_tradnl"/>
              </w:rPr>
              <w:t>Con las actividades de los componentes III y IV</w:t>
            </w:r>
            <w:r w:rsidR="00BA7541" w:rsidRPr="00064D10">
              <w:rPr>
                <w:sz w:val="18"/>
                <w:szCs w:val="18"/>
                <w:lang w:val="es-ES_tradnl"/>
              </w:rPr>
              <w:t xml:space="preserve"> del programa</w:t>
            </w:r>
            <w:r w:rsidR="00971BDF" w:rsidRPr="00064D10">
              <w:rPr>
                <w:sz w:val="18"/>
                <w:szCs w:val="18"/>
                <w:lang w:val="es-ES_tradnl"/>
              </w:rPr>
              <w:t xml:space="preserve"> se p</w:t>
            </w:r>
            <w:r w:rsidR="00B41EB9" w:rsidRPr="00064D10">
              <w:rPr>
                <w:sz w:val="18"/>
                <w:szCs w:val="18"/>
                <w:lang w:val="es-ES_tradnl"/>
              </w:rPr>
              <w:t>romov</w:t>
            </w:r>
            <w:r w:rsidR="00971BDF" w:rsidRPr="00064D10">
              <w:rPr>
                <w:sz w:val="18"/>
                <w:szCs w:val="18"/>
                <w:lang w:val="es-ES_tradnl"/>
              </w:rPr>
              <w:t>erán</w:t>
            </w:r>
            <w:r w:rsidR="00B41EB9" w:rsidRPr="00064D10">
              <w:rPr>
                <w:sz w:val="18"/>
                <w:szCs w:val="18"/>
                <w:lang w:val="es-ES_tradnl"/>
              </w:rPr>
              <w:t xml:space="preserve"> buenas prácticas en la </w:t>
            </w:r>
            <w:r w:rsidR="00261814" w:rsidRPr="00064D10">
              <w:rPr>
                <w:sz w:val="18"/>
                <w:szCs w:val="18"/>
                <w:lang w:val="es-ES_tradnl"/>
              </w:rPr>
              <w:t xml:space="preserve">transparencia y </w:t>
            </w:r>
            <w:r w:rsidR="00B41EB9" w:rsidRPr="00064D10">
              <w:rPr>
                <w:sz w:val="18"/>
                <w:szCs w:val="18"/>
                <w:lang w:val="es-ES_tradnl"/>
              </w:rPr>
              <w:t>rendición de cuentas.</w:t>
            </w:r>
            <w:r w:rsidR="00261814" w:rsidRPr="00064D10">
              <w:rPr>
                <w:sz w:val="18"/>
                <w:szCs w:val="18"/>
                <w:lang w:val="es-ES_tradnl"/>
              </w:rPr>
              <w:t xml:space="preserve"> Igualmente, e</w:t>
            </w:r>
            <w:r w:rsidR="00BA7541" w:rsidRPr="00064D10">
              <w:rPr>
                <w:sz w:val="18"/>
                <w:szCs w:val="18"/>
                <w:lang w:val="es-ES_tradnl"/>
              </w:rPr>
              <w:t>l objetivo del  componente II de planificación sectorial es contribuir al desarrollo de instrumentos de planificación, vigilancia y control sectorial.</w:t>
            </w:r>
          </w:p>
        </w:tc>
      </w:tr>
      <w:tr w:rsidR="000F1306" w:rsidRPr="00064D10" w:rsidTr="00120449">
        <w:trPr>
          <w:jc w:val="center"/>
        </w:trPr>
        <w:tc>
          <w:tcPr>
            <w:tcW w:w="1968" w:type="dxa"/>
            <w:shd w:val="clear" w:color="auto" w:fill="auto"/>
          </w:tcPr>
          <w:p w:rsidR="000F1306" w:rsidRPr="00064D10" w:rsidRDefault="000F1306" w:rsidP="000F1306">
            <w:pPr>
              <w:ind w:left="330" w:hanging="150"/>
              <w:rPr>
                <w:b/>
                <w:bCs/>
                <w:i/>
                <w:sz w:val="18"/>
                <w:szCs w:val="18"/>
                <w:lang w:val="es-ES_tradnl"/>
              </w:rPr>
            </w:pPr>
            <w:r w:rsidRPr="00064D10">
              <w:rPr>
                <w:b/>
                <w:bCs/>
                <w:i/>
                <w:sz w:val="18"/>
                <w:szCs w:val="18"/>
                <w:lang w:val="es-ES_tradnl"/>
              </w:rPr>
              <w:t>B. Analizar las características e impactos de los subsidios</w:t>
            </w:r>
          </w:p>
        </w:tc>
        <w:tc>
          <w:tcPr>
            <w:tcW w:w="4301" w:type="dxa"/>
            <w:shd w:val="clear" w:color="auto" w:fill="auto"/>
          </w:tcPr>
          <w:p w:rsidR="000F1306" w:rsidRPr="00064D10" w:rsidRDefault="000F1306" w:rsidP="00064D10">
            <w:pPr>
              <w:jc w:val="both"/>
              <w:rPr>
                <w:sz w:val="18"/>
                <w:szCs w:val="18"/>
                <w:lang w:val="es-ES_tradnl"/>
              </w:rPr>
            </w:pPr>
            <w:r w:rsidRPr="00064D10">
              <w:rPr>
                <w:sz w:val="18"/>
                <w:szCs w:val="18"/>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w:t>
            </w:r>
            <w:r w:rsidRPr="00064D10">
              <w:rPr>
                <w:sz w:val="18"/>
                <w:szCs w:val="18"/>
                <w:lang w:val="es-ES_tradnl"/>
              </w:rPr>
              <w:lastRenderedPageBreak/>
              <w:t>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rsidR="00D52C0D" w:rsidRPr="00064D10" w:rsidRDefault="00847254" w:rsidP="00D52C0D">
            <w:pPr>
              <w:pStyle w:val="Default"/>
              <w:jc w:val="both"/>
              <w:rPr>
                <w:sz w:val="18"/>
                <w:szCs w:val="18"/>
                <w:lang w:val="es-ES_tradnl"/>
              </w:rPr>
            </w:pPr>
            <w:r w:rsidRPr="00064D10">
              <w:rPr>
                <w:sz w:val="18"/>
                <w:szCs w:val="18"/>
                <w:lang w:val="es-ES_tradnl"/>
              </w:rPr>
              <w:lastRenderedPageBreak/>
              <w:t>L</w:t>
            </w:r>
            <w:r w:rsidR="00D52C0D" w:rsidRPr="00064D10">
              <w:rPr>
                <w:sz w:val="18"/>
                <w:szCs w:val="18"/>
                <w:lang w:val="es-ES_tradnl"/>
              </w:rPr>
              <w:t>os objetivos</w:t>
            </w:r>
            <w:r w:rsidRPr="00064D10">
              <w:rPr>
                <w:sz w:val="18"/>
                <w:szCs w:val="18"/>
                <w:lang w:val="es-ES_tradnl"/>
              </w:rPr>
              <w:t xml:space="preserve"> principales</w:t>
            </w:r>
            <w:r w:rsidR="00D52C0D" w:rsidRPr="00064D10">
              <w:rPr>
                <w:sz w:val="18"/>
                <w:szCs w:val="18"/>
                <w:lang w:val="es-ES_tradnl"/>
              </w:rPr>
              <w:t xml:space="preserve"> de la Política Tarifaria realizada con el componente IV</w:t>
            </w:r>
            <w:r w:rsidRPr="00064D10">
              <w:rPr>
                <w:sz w:val="18"/>
                <w:szCs w:val="18"/>
                <w:lang w:val="es-ES_tradnl"/>
              </w:rPr>
              <w:t xml:space="preserve"> incluyen</w:t>
            </w:r>
            <w:r w:rsidR="00D52C0D" w:rsidRPr="00064D10">
              <w:rPr>
                <w:sz w:val="18"/>
                <w:szCs w:val="18"/>
                <w:lang w:val="es-ES_tradnl"/>
              </w:rPr>
              <w:t xml:space="preserve"> </w:t>
            </w:r>
            <w:r w:rsidRPr="00064D10">
              <w:rPr>
                <w:sz w:val="18"/>
                <w:szCs w:val="18"/>
                <w:lang w:val="es-ES_tradnl"/>
              </w:rPr>
              <w:t xml:space="preserve">tanto </w:t>
            </w:r>
            <w:r w:rsidR="00D52C0D" w:rsidRPr="00064D10">
              <w:rPr>
                <w:sz w:val="18"/>
                <w:szCs w:val="18"/>
                <w:lang w:val="es-ES_tradnl"/>
              </w:rPr>
              <w:t xml:space="preserve">propiciar la universalización al acceso de los servicios, la sustentabilidad y la distribución equitativa de sus costos entre las diferentes categorías de usuarios, considerando los diferentes usos y la capacidad de </w:t>
            </w:r>
            <w:r w:rsidRPr="00064D10">
              <w:rPr>
                <w:sz w:val="18"/>
                <w:szCs w:val="18"/>
                <w:lang w:val="es-ES_tradnl"/>
              </w:rPr>
              <w:t>pago de los usuarios domésticos, como</w:t>
            </w:r>
            <w:r w:rsidR="00D52C0D" w:rsidRPr="00064D10">
              <w:rPr>
                <w:sz w:val="18"/>
                <w:szCs w:val="18"/>
                <w:lang w:val="es-ES_tradnl"/>
              </w:rPr>
              <w:t xml:space="preserve"> promover el uso racional por parte de los usuarios y la eficiencia de las EPSA</w:t>
            </w:r>
            <w:r w:rsidR="00EF7928" w:rsidRPr="00064D10">
              <w:rPr>
                <w:sz w:val="18"/>
                <w:szCs w:val="18"/>
                <w:lang w:val="es-ES_tradnl"/>
              </w:rPr>
              <w:t>s</w:t>
            </w:r>
            <w:r w:rsidR="00D52C0D" w:rsidRPr="00064D10">
              <w:rPr>
                <w:sz w:val="18"/>
                <w:szCs w:val="18"/>
                <w:lang w:val="es-ES_tradnl"/>
              </w:rPr>
              <w:t xml:space="preserve"> en el control de las pérdidas para la preservación del recurso hídrico en el contexto de vulnerabilidad y agotamiento de las fuentes de agua que está produciendo el cambio climático</w:t>
            </w:r>
            <w:r w:rsidR="00C34991" w:rsidRPr="00064D10">
              <w:rPr>
                <w:sz w:val="18"/>
                <w:szCs w:val="18"/>
                <w:lang w:val="es-ES_tradnl"/>
              </w:rPr>
              <w:t>.</w:t>
            </w:r>
            <w:r w:rsidR="00D52C0D" w:rsidRPr="00064D10">
              <w:rPr>
                <w:sz w:val="18"/>
                <w:szCs w:val="18"/>
                <w:lang w:val="es-ES_tradnl"/>
              </w:rPr>
              <w:t xml:space="preserve"> </w:t>
            </w:r>
          </w:p>
          <w:p w:rsidR="002403EC" w:rsidRPr="00064D10" w:rsidRDefault="002403EC" w:rsidP="009D2FED">
            <w:pPr>
              <w:autoSpaceDE w:val="0"/>
              <w:autoSpaceDN w:val="0"/>
              <w:adjustRightInd w:val="0"/>
              <w:jc w:val="both"/>
              <w:rPr>
                <w:rFonts w:eastAsiaTheme="minorHAnsi"/>
                <w:sz w:val="18"/>
                <w:szCs w:val="18"/>
                <w:lang w:val="es-ES_tradnl"/>
              </w:rPr>
            </w:pPr>
          </w:p>
          <w:p w:rsidR="006C4BCA" w:rsidRPr="00064D10" w:rsidRDefault="006C4BCA" w:rsidP="009D2FED">
            <w:pPr>
              <w:autoSpaceDE w:val="0"/>
              <w:autoSpaceDN w:val="0"/>
              <w:adjustRightInd w:val="0"/>
              <w:jc w:val="both"/>
              <w:rPr>
                <w:rFonts w:eastAsiaTheme="minorHAnsi"/>
                <w:b/>
                <w:color w:val="FF0000"/>
                <w:sz w:val="18"/>
                <w:szCs w:val="18"/>
                <w:lang w:val="es-ES_tradnl"/>
              </w:rPr>
            </w:pPr>
          </w:p>
        </w:tc>
      </w:tr>
      <w:tr w:rsidR="007970C9" w:rsidRPr="00064D10" w:rsidTr="00120449">
        <w:trPr>
          <w:jc w:val="center"/>
        </w:trPr>
        <w:tc>
          <w:tcPr>
            <w:tcW w:w="1968" w:type="dxa"/>
            <w:shd w:val="clear" w:color="auto" w:fill="auto"/>
          </w:tcPr>
          <w:p w:rsidR="007970C9" w:rsidRPr="00064D10" w:rsidRDefault="007970C9" w:rsidP="000F1306">
            <w:pPr>
              <w:ind w:left="330" w:hanging="150"/>
              <w:rPr>
                <w:i/>
                <w:sz w:val="18"/>
                <w:szCs w:val="18"/>
                <w:lang w:val="es-ES_tradnl"/>
              </w:rPr>
            </w:pPr>
            <w:r w:rsidRPr="00064D10">
              <w:rPr>
                <w:b/>
                <w:bCs/>
                <w:i/>
                <w:sz w:val="18"/>
                <w:szCs w:val="18"/>
                <w:lang w:val="es-ES_tradnl"/>
              </w:rPr>
              <w:lastRenderedPageBreak/>
              <w:t>C. Separación de Funciones para mejorar la gobernanza sectorial</w:t>
            </w:r>
          </w:p>
        </w:tc>
        <w:tc>
          <w:tcPr>
            <w:tcW w:w="4301" w:type="dxa"/>
            <w:shd w:val="clear" w:color="auto" w:fill="auto"/>
          </w:tcPr>
          <w:p w:rsidR="007970C9" w:rsidRPr="00064D10" w:rsidRDefault="007970C9" w:rsidP="00064D10">
            <w:pPr>
              <w:jc w:val="both"/>
              <w:rPr>
                <w:sz w:val="18"/>
                <w:szCs w:val="18"/>
                <w:lang w:val="es-ES_tradnl"/>
              </w:rPr>
            </w:pPr>
            <w:r w:rsidRPr="00064D10">
              <w:rPr>
                <w:sz w:val="18"/>
                <w:szCs w:val="18"/>
                <w:lang w:val="es-ES_tradnl"/>
              </w:rPr>
              <w:t xml:space="preserve">Deben separarse las funciones de </w:t>
            </w:r>
            <w:r w:rsidRPr="00064D10">
              <w:rPr>
                <w:b/>
                <w:bCs/>
                <w:sz w:val="18"/>
                <w:szCs w:val="18"/>
                <w:lang w:val="es-ES_tradnl"/>
              </w:rPr>
              <w:t>formulador de políticas, regulador</w:t>
            </w:r>
            <w:r w:rsidRPr="00064D10">
              <w:rPr>
                <w:sz w:val="18"/>
                <w:szCs w:val="18"/>
                <w:lang w:val="es-ES_tradnl"/>
              </w:rPr>
              <w:t xml:space="preserve"> y </w:t>
            </w:r>
            <w:r w:rsidRPr="00064D10">
              <w:rPr>
                <w:b/>
                <w:bCs/>
                <w:sz w:val="18"/>
                <w:szCs w:val="18"/>
                <w:lang w:val="es-ES_tradnl"/>
              </w:rPr>
              <w:t>empresario</w:t>
            </w:r>
            <w:r w:rsidRPr="00064D10">
              <w:rPr>
                <w:sz w:val="18"/>
                <w:szCs w:val="18"/>
                <w:lang w:val="es-ES_tradnl"/>
              </w:rPr>
              <w:t xml:space="preserve"> y asignarse a instituciones distintas y apropiadas. De esta manera, las autoridades conservarán la responsabilidad de </w:t>
            </w:r>
            <w:r w:rsidRPr="00064D10">
              <w:rPr>
                <w:b/>
                <w:bCs/>
                <w:sz w:val="18"/>
                <w:szCs w:val="18"/>
                <w:lang w:val="es-ES_tradnl"/>
              </w:rPr>
              <w:t>formular la política</w:t>
            </w:r>
            <w:r w:rsidRPr="00064D10">
              <w:rPr>
                <w:sz w:val="18"/>
                <w:szCs w:val="18"/>
                <w:lang w:val="es-ES_tradnl"/>
              </w:rPr>
              <w:t xml:space="preserve">, un ente público separado dictará el </w:t>
            </w:r>
            <w:r w:rsidRPr="00064D10">
              <w:rPr>
                <w:b/>
                <w:bCs/>
                <w:sz w:val="18"/>
                <w:szCs w:val="18"/>
                <w:lang w:val="es-ES_tradnl"/>
              </w:rPr>
              <w:t>régimen reglamentario</w:t>
            </w:r>
            <w:r w:rsidRPr="00064D10">
              <w:rPr>
                <w:sz w:val="18"/>
                <w:szCs w:val="18"/>
                <w:lang w:val="es-ES_tradnl"/>
              </w:rPr>
              <w:t xml:space="preserve"> y se asignará al proveedor del servicio una función exclusivamente </w:t>
            </w:r>
            <w:r w:rsidRPr="00064D10">
              <w:rPr>
                <w:b/>
                <w:bCs/>
                <w:sz w:val="18"/>
                <w:szCs w:val="18"/>
                <w:lang w:val="es-ES_tradnl"/>
              </w:rPr>
              <w:t>empresarial</w:t>
            </w:r>
            <w:r w:rsidRPr="00064D10">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64D10">
              <w:rPr>
                <w:lang w:val="es-ES_tradnl"/>
              </w:rPr>
              <w:t xml:space="preserve"> </w:t>
            </w:r>
            <w:r w:rsidRPr="00064D10">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rsidR="009D2FED" w:rsidRPr="00064D10" w:rsidRDefault="009D2FED" w:rsidP="009D2FED">
            <w:pPr>
              <w:autoSpaceDE w:val="0"/>
              <w:autoSpaceDN w:val="0"/>
              <w:adjustRightInd w:val="0"/>
              <w:jc w:val="both"/>
              <w:rPr>
                <w:sz w:val="18"/>
                <w:szCs w:val="18"/>
                <w:lang w:val="es-ES_tradnl"/>
              </w:rPr>
            </w:pPr>
            <w:r w:rsidRPr="00064D10">
              <w:rPr>
                <w:sz w:val="18"/>
                <w:szCs w:val="18"/>
                <w:lang w:val="es-ES_tradnl"/>
              </w:rPr>
              <w:t xml:space="preserve">La planificación estratégica y política del sector de A&amp;S es responsabilidad del Ministerio de Medio Ambiente y Agua (MMAyA). La Autoridad de Fiscalización y Control Social de Agua Potable y Saneamiento Básico  (AAPS) tiene asignada desde el 2009 la regulación de los servicios, y la responsabilidad de otorgar los derechos de prestación, de uso y aprovechamiento de fuentes de agua para consumo humano. En 2008 se creó el Servicio Nacional para la Sostenibilidad del Saneamiento Básico (SENASBA), institución pública descentralizada, con autonomía administrativa, financiera, legal y técnica, bajo tuición del MMAyA, y que tiene la misión de coadyuvar a los procesos de fortalecimiento y sostenibilidad de las Entidades Prestadoras de servicio de agua potable y alcantarillado (EPSA(s)) en el país, mediante la ejecución de procesos de Asistencia Técnica, Fortalecimiento Institucional, Desarrollo Comunitario , capacitación y educación sanitaria e investigación y desarrollo tecnológico. Los servicios de agua potable y alcantarillado son prestados por la EPSA(s). </w:t>
            </w:r>
          </w:p>
          <w:p w:rsidR="007970C9" w:rsidRPr="00064D10" w:rsidRDefault="007970C9" w:rsidP="009D2FED">
            <w:pPr>
              <w:jc w:val="both"/>
              <w:rPr>
                <w:sz w:val="18"/>
                <w:szCs w:val="18"/>
                <w:lang w:val="es-ES_tradnl"/>
              </w:rPr>
            </w:pPr>
          </w:p>
        </w:tc>
      </w:tr>
      <w:tr w:rsidR="007970C9" w:rsidRPr="00064D10" w:rsidTr="00120449">
        <w:trPr>
          <w:jc w:val="center"/>
        </w:trPr>
        <w:tc>
          <w:tcPr>
            <w:tcW w:w="1968" w:type="dxa"/>
            <w:shd w:val="clear" w:color="auto" w:fill="auto"/>
          </w:tcPr>
          <w:p w:rsidR="007970C9" w:rsidRPr="00064D10" w:rsidRDefault="007970C9" w:rsidP="000F1306">
            <w:pPr>
              <w:ind w:left="330" w:hanging="150"/>
              <w:rPr>
                <w:i/>
                <w:sz w:val="18"/>
                <w:szCs w:val="18"/>
                <w:lang w:val="es-ES_tradnl"/>
              </w:rPr>
            </w:pPr>
            <w:r w:rsidRPr="00064D10">
              <w:rPr>
                <w:b/>
                <w:bCs/>
                <w:i/>
                <w:sz w:val="18"/>
                <w:szCs w:val="18"/>
                <w:lang w:val="es-ES_tradnl"/>
              </w:rPr>
              <w:t>D. Establecer la estructura sectorial más apropiada en el contexto de las características del servicio y los objetivos de la política</w:t>
            </w:r>
          </w:p>
        </w:tc>
        <w:tc>
          <w:tcPr>
            <w:tcW w:w="4301" w:type="dxa"/>
            <w:shd w:val="clear" w:color="auto" w:fill="auto"/>
          </w:tcPr>
          <w:p w:rsidR="007970C9" w:rsidRPr="00064D10" w:rsidRDefault="007970C9" w:rsidP="00064D10">
            <w:pPr>
              <w:jc w:val="both"/>
              <w:rPr>
                <w:sz w:val="18"/>
                <w:szCs w:val="18"/>
                <w:lang w:val="es-ES_tradnl"/>
              </w:rPr>
            </w:pPr>
            <w:r w:rsidRPr="00064D10">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rsidR="007970C9" w:rsidRPr="00064D10" w:rsidRDefault="0051497D" w:rsidP="004401A8">
            <w:pPr>
              <w:jc w:val="both"/>
              <w:rPr>
                <w:b/>
                <w:sz w:val="18"/>
                <w:szCs w:val="23"/>
                <w:highlight w:val="yellow"/>
                <w:lang w:val="es-ES_tradnl"/>
              </w:rPr>
            </w:pPr>
            <w:r w:rsidRPr="00064D10">
              <w:rPr>
                <w:sz w:val="18"/>
                <w:szCs w:val="18"/>
                <w:lang w:val="es-ES_tradnl"/>
              </w:rPr>
              <w:t>La planificación estratégica y política del sector de A&amp;S a nivel nacional es responsabilidad del Ministerio de Medio Ambiente y Agua.</w:t>
            </w:r>
            <w:r w:rsidR="00124F40" w:rsidRPr="00064D10">
              <w:rPr>
                <w:sz w:val="18"/>
                <w:szCs w:val="18"/>
                <w:lang w:val="es-ES_tradnl"/>
              </w:rPr>
              <w:t xml:space="preserve"> </w:t>
            </w:r>
            <w:r w:rsidRPr="00064D10">
              <w:rPr>
                <w:sz w:val="18"/>
                <w:szCs w:val="18"/>
                <w:lang w:val="es-ES_tradnl"/>
              </w:rPr>
              <w:t>La Autoridad de Fiscalización y Control Social de Agua Potable y Saneamiento Básico (AAPS) tiene asignada desde el 2009 la regulación de los servicio</w:t>
            </w:r>
            <w:r w:rsidR="00124F40" w:rsidRPr="00064D10">
              <w:rPr>
                <w:sz w:val="18"/>
                <w:szCs w:val="18"/>
                <w:lang w:val="es-ES_tradnl"/>
              </w:rPr>
              <w:t>s</w:t>
            </w:r>
            <w:r w:rsidRPr="00064D10">
              <w:rPr>
                <w:sz w:val="18"/>
                <w:szCs w:val="18"/>
                <w:lang w:val="es-ES_tradnl"/>
              </w:rPr>
              <w:t xml:space="preserve">, así como  la responsabilidad de otorgar los derechos de prestación, y los de uso y aprovechamiento de fuentes de agua para consumo humano. En el 2008 se creó el Servicio Nacional para la Sostenibilidad del Saneamiento Básico (SENASBA), una institución pública descentralizada, con autonomía de gestión administrativa, financiera, legal y técnica, bajo la tuición del MMAyA, y que tiene la misión de coadyuvar a los procesos de fortalecimiento y sostenibilidad de las entidades operadoras y prestadoras de servicios de </w:t>
            </w:r>
            <w:r w:rsidR="00FE7DA0" w:rsidRPr="00064D10">
              <w:rPr>
                <w:sz w:val="18"/>
                <w:szCs w:val="18"/>
                <w:lang w:val="es-ES_tradnl"/>
              </w:rPr>
              <w:t>agua</w:t>
            </w:r>
            <w:r w:rsidRPr="00064D10">
              <w:rPr>
                <w:sz w:val="18"/>
                <w:szCs w:val="18"/>
                <w:lang w:val="es-ES_tradnl"/>
              </w:rPr>
              <w:t xml:space="preserve"> y saneamiento en el país, mediante la ejecución de procesos de Asistencia Técnica , Fortalecimiento Institucional, Desarrollo Comunitario, capacitación y educación sanitaria e investigación y desarrollo tecnológico. La Entidad Ejecutora de Medio Ambiente y Agua (EMAGUA), es una entidad pública autónoma creada en el 2009 para la ejecución, seguimiento y evaluación de programas y proyectos de A&amp;S.</w:t>
            </w:r>
          </w:p>
        </w:tc>
      </w:tr>
      <w:tr w:rsidR="007970C9" w:rsidRPr="00064D10" w:rsidTr="00120449">
        <w:trPr>
          <w:jc w:val="center"/>
        </w:trPr>
        <w:tc>
          <w:tcPr>
            <w:tcW w:w="1968" w:type="dxa"/>
            <w:shd w:val="clear" w:color="auto" w:fill="auto"/>
          </w:tcPr>
          <w:p w:rsidR="007970C9" w:rsidRPr="00064D10" w:rsidRDefault="007970C9" w:rsidP="00064D10">
            <w:pPr>
              <w:ind w:left="150" w:hanging="90"/>
              <w:rPr>
                <w:i/>
                <w:sz w:val="18"/>
                <w:szCs w:val="18"/>
                <w:lang w:val="es-ES_tradnl"/>
              </w:rPr>
            </w:pPr>
            <w:r w:rsidRPr="00064D10">
              <w:rPr>
                <w:b/>
                <w:bCs/>
                <w:i/>
                <w:sz w:val="18"/>
                <w:szCs w:val="18"/>
                <w:lang w:val="es-ES_tradnl"/>
              </w:rPr>
              <w:t>E.</w:t>
            </w:r>
            <w:r w:rsidRPr="00064D10">
              <w:rPr>
                <w:i/>
                <w:lang w:val="es-ES_tradnl"/>
              </w:rPr>
              <w:t xml:space="preserve"> </w:t>
            </w:r>
            <w:r w:rsidRPr="00064D10">
              <w:rPr>
                <w:b/>
                <w:bCs/>
                <w:i/>
                <w:sz w:val="18"/>
                <w:szCs w:val="18"/>
                <w:lang w:val="es-ES_tradnl"/>
              </w:rPr>
              <w:t>El rol de la regulación económica para incentivar la eficiencia, la inversión y proteger los derechos de los usuarios</w:t>
            </w:r>
          </w:p>
        </w:tc>
        <w:tc>
          <w:tcPr>
            <w:tcW w:w="4301" w:type="dxa"/>
            <w:shd w:val="clear" w:color="auto" w:fill="auto"/>
          </w:tcPr>
          <w:p w:rsidR="007970C9" w:rsidRPr="00064D10" w:rsidRDefault="007970C9" w:rsidP="00064D10">
            <w:pPr>
              <w:jc w:val="both"/>
              <w:rPr>
                <w:sz w:val="18"/>
                <w:szCs w:val="18"/>
                <w:lang w:val="es-ES_tradnl"/>
              </w:rPr>
            </w:pPr>
            <w:r w:rsidRPr="00064D10">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w:t>
            </w:r>
            <w:r w:rsidRPr="00064D10">
              <w:rPr>
                <w:bCs/>
                <w:sz w:val="18"/>
                <w:szCs w:val="18"/>
                <w:lang w:val="es-ES_tradnl"/>
              </w:rPr>
              <w:lastRenderedPageBreak/>
              <w:t>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rsidR="00305235" w:rsidRPr="00064D10" w:rsidRDefault="00305235" w:rsidP="00305235">
            <w:pPr>
              <w:pStyle w:val="NormalWeb"/>
              <w:spacing w:before="0" w:beforeAutospacing="0" w:after="0" w:afterAutospacing="0"/>
              <w:jc w:val="both"/>
              <w:rPr>
                <w:rFonts w:ascii="Arial" w:hAnsi="Arial" w:cs="Arial"/>
                <w:color w:val="868686"/>
                <w:sz w:val="18"/>
                <w:szCs w:val="18"/>
                <w:lang w:val="es-ES_tradnl"/>
              </w:rPr>
            </w:pPr>
            <w:r w:rsidRPr="00064D10">
              <w:rPr>
                <w:sz w:val="18"/>
                <w:szCs w:val="18"/>
                <w:lang w:val="es-ES_tradnl"/>
              </w:rPr>
              <w:lastRenderedPageBreak/>
              <w:t xml:space="preserve">La Autoridad de Fiscalización y Control Social de Agua Potable y Saneamiento Básico (AAPS) tiene asignada desde el 2009 la regulación de los servicios, y la responsabilidad de otorgar los derechos de prestación, de uso y aprovechamiento de fuentes de agua para consumo humano. La Autoridad de Fiscalización y Control Social de Agua Potable y Saneamiento Básico, es una </w:t>
            </w:r>
            <w:r w:rsidRPr="00064D10">
              <w:rPr>
                <w:sz w:val="18"/>
                <w:szCs w:val="18"/>
                <w:lang w:val="es-ES_tradnl"/>
              </w:rPr>
              <w:lastRenderedPageBreak/>
              <w:t xml:space="preserve">institución pública técnica y operativa, con personalidad jurídica y patrimonio, independencia administrativa, financiera, legal y técnica, supeditada al Ministerio de Medio Ambiente y Agua. La Autoridad de Fiscalización y Control Social de Agua Potable y Saneamiento Básico, fiscaliza, controla, supervisa y regula las actividades de Agua Potable y Saneamiento Básico considerando la Ley No. 2066, de 11 de abril de 2000 de Prestación y Utilización de Servicios de Agua Potable y Alcantarillado Sanitario; la Ley 2878, de 8 de octubre de 2004 de Promoción y Apoyo al Sector Riego; y sus reglamentos, en tanto no contradigan lo dispuesto en la Constitución Política del Estado. El objetivo de la AAPS es regular las actividades que realizan personas naturales y jurídicas, privadas, comunitarias, públicas, mixtas y cooperativas en el sector agua potable y saneamiento Básico, asegurando que: </w:t>
            </w:r>
            <w:r w:rsidR="00064D10" w:rsidRPr="00064D10">
              <w:rPr>
                <w:sz w:val="18"/>
                <w:szCs w:val="18"/>
                <w:lang w:val="es-ES_tradnl"/>
              </w:rPr>
              <w:t>(</w:t>
            </w:r>
            <w:r w:rsidRPr="00064D10">
              <w:rPr>
                <w:sz w:val="18"/>
                <w:szCs w:val="18"/>
                <w:lang w:val="es-ES_tradnl"/>
              </w:rPr>
              <w:t xml:space="preserve">i) se garanticen los intereses y derechos de los consumidores y usuarios, promoviendo la economía plural prevista en la Constitución Política del Estado  y las leyes en forma efectiva; </w:t>
            </w:r>
            <w:r w:rsidR="00064D10" w:rsidRPr="00064D10">
              <w:rPr>
                <w:sz w:val="18"/>
                <w:szCs w:val="18"/>
                <w:lang w:val="es-ES_tradnl"/>
              </w:rPr>
              <w:t>(</w:t>
            </w:r>
            <w:r w:rsidRPr="00064D10">
              <w:rPr>
                <w:sz w:val="18"/>
                <w:szCs w:val="18"/>
                <w:lang w:val="es-ES_tradnl"/>
              </w:rPr>
              <w:t xml:space="preserve">ii) las actividades en los sectores bajo su jurisdicción contribuyan al desarrollo de la economía nacional y tiendan a que todos los habitantes del país puedan acceder a los servicios; y </w:t>
            </w:r>
            <w:r w:rsidR="00064D10" w:rsidRPr="00064D10">
              <w:rPr>
                <w:sz w:val="18"/>
                <w:szCs w:val="18"/>
                <w:lang w:val="es-ES_tradnl"/>
              </w:rPr>
              <w:t>(</w:t>
            </w:r>
            <w:r w:rsidRPr="00064D10">
              <w:rPr>
                <w:sz w:val="18"/>
                <w:szCs w:val="18"/>
                <w:lang w:val="es-ES_tradnl"/>
              </w:rPr>
              <w:t>iii) El aprovechamiento de los recursos naturales se ejerza de manera sustentable y estrictamente de acuerdo con Constitución Política del Estado y las leyes.</w:t>
            </w:r>
            <w:r w:rsidR="00C63013" w:rsidRPr="00064D10">
              <w:rPr>
                <w:sz w:val="18"/>
                <w:szCs w:val="18"/>
                <w:lang w:val="es-ES_tradnl"/>
              </w:rPr>
              <w:t xml:space="preserve"> El componente II del programa contribuirá a realizar una adecuada planificación de las tareas de fiscalización y regulación de los servicios, para que esta se realice de manera eficaz.</w:t>
            </w:r>
          </w:p>
          <w:p w:rsidR="007970C9" w:rsidRPr="00064D10" w:rsidRDefault="007970C9" w:rsidP="00305235">
            <w:pPr>
              <w:jc w:val="both"/>
              <w:rPr>
                <w:rFonts w:eastAsiaTheme="minorHAnsi"/>
                <w:lang w:val="es-ES_tradnl" w:eastAsia="en-NZ"/>
              </w:rPr>
            </w:pPr>
          </w:p>
        </w:tc>
      </w:tr>
      <w:tr w:rsidR="007970C9" w:rsidRPr="00064D10" w:rsidTr="005A019F">
        <w:trPr>
          <w:trHeight w:val="1772"/>
          <w:jc w:val="center"/>
        </w:trPr>
        <w:tc>
          <w:tcPr>
            <w:tcW w:w="1968" w:type="dxa"/>
            <w:shd w:val="clear" w:color="auto" w:fill="auto"/>
          </w:tcPr>
          <w:p w:rsidR="007970C9" w:rsidRPr="00064D10" w:rsidRDefault="007970C9" w:rsidP="000F1306">
            <w:pPr>
              <w:ind w:left="330" w:hanging="150"/>
              <w:rPr>
                <w:b/>
                <w:i/>
                <w:sz w:val="18"/>
                <w:szCs w:val="18"/>
                <w:lang w:val="es-ES_tradnl"/>
              </w:rPr>
            </w:pPr>
            <w:r w:rsidRPr="00064D10">
              <w:rPr>
                <w:b/>
                <w:i/>
                <w:sz w:val="18"/>
                <w:szCs w:val="18"/>
                <w:lang w:val="es-ES_tradnl"/>
              </w:rPr>
              <w:lastRenderedPageBreak/>
              <w:t xml:space="preserve">F. Generar condiciones adecuadas para que la participación privada sea una opción viable para la provisión de servicios públicos </w:t>
            </w:r>
            <w:r w:rsidRPr="00064D10">
              <w:rPr>
                <w:b/>
                <w:bCs/>
                <w:i/>
                <w:sz w:val="18"/>
                <w:szCs w:val="18"/>
                <w:lang w:val="es-ES_tradnl"/>
              </w:rPr>
              <w:t>domiciliarios</w:t>
            </w:r>
          </w:p>
        </w:tc>
        <w:tc>
          <w:tcPr>
            <w:tcW w:w="4301" w:type="dxa"/>
            <w:shd w:val="clear" w:color="auto" w:fill="auto"/>
          </w:tcPr>
          <w:p w:rsidR="007970C9" w:rsidRPr="00064D10" w:rsidRDefault="007970C9" w:rsidP="00064D10">
            <w:pPr>
              <w:jc w:val="both"/>
              <w:rPr>
                <w:sz w:val="18"/>
                <w:szCs w:val="18"/>
                <w:lang w:val="es-ES_tradnl"/>
              </w:rPr>
            </w:pPr>
            <w:r w:rsidRPr="00064D10">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rsidR="007970C9" w:rsidRPr="00064D10" w:rsidRDefault="004A262B" w:rsidP="00064D10">
            <w:pPr>
              <w:jc w:val="both"/>
              <w:rPr>
                <w:sz w:val="18"/>
                <w:szCs w:val="18"/>
                <w:lang w:val="es-ES_tradnl"/>
              </w:rPr>
            </w:pPr>
            <w:r w:rsidRPr="00064D10">
              <w:rPr>
                <w:sz w:val="18"/>
                <w:szCs w:val="18"/>
                <w:lang w:val="es-ES_tradnl"/>
              </w:rPr>
              <w:t>La Constitución Política del Estado del 2009 establece que el acceso a Agua Potable y Saneamiento es un derecho humano no objeto de privatización o concesión y que es responsabilidad del Estado en todos sus niveles de gobierno</w:t>
            </w:r>
            <w:r w:rsidR="00DC2061" w:rsidRPr="00064D10">
              <w:rPr>
                <w:sz w:val="18"/>
                <w:szCs w:val="18"/>
                <w:lang w:val="es-ES_tradnl"/>
              </w:rPr>
              <w:t xml:space="preserve"> l</w:t>
            </w:r>
            <w:r w:rsidRPr="00064D10">
              <w:rPr>
                <w:sz w:val="18"/>
                <w:szCs w:val="18"/>
                <w:lang w:val="es-ES_tradnl"/>
              </w:rPr>
              <w:t>a provisión de estos servicios a través de entidades públicas, mixtas, comunitarias o cooperativas.</w:t>
            </w:r>
          </w:p>
        </w:tc>
      </w:tr>
      <w:tr w:rsidR="007970C9" w:rsidRPr="00064D10" w:rsidTr="00120449">
        <w:trPr>
          <w:jc w:val="center"/>
        </w:trPr>
        <w:tc>
          <w:tcPr>
            <w:tcW w:w="1968" w:type="dxa"/>
            <w:shd w:val="clear" w:color="auto" w:fill="auto"/>
          </w:tcPr>
          <w:p w:rsidR="007970C9" w:rsidRPr="00064D10" w:rsidRDefault="007970C9" w:rsidP="000F1306">
            <w:pPr>
              <w:ind w:left="330" w:hanging="150"/>
              <w:rPr>
                <w:b/>
                <w:i/>
                <w:sz w:val="18"/>
                <w:szCs w:val="18"/>
                <w:lang w:val="es-ES_tradnl"/>
              </w:rPr>
            </w:pPr>
            <w:r w:rsidRPr="00064D10">
              <w:rPr>
                <w:b/>
                <w:i/>
                <w:sz w:val="18"/>
                <w:szCs w:val="18"/>
                <w:lang w:val="es-ES_tradnl"/>
              </w:rPr>
              <w:t xml:space="preserve">G. </w:t>
            </w:r>
            <w:r w:rsidRPr="00064D10">
              <w:rPr>
                <w:b/>
                <w:bCs/>
                <w:i/>
                <w:sz w:val="18"/>
                <w:szCs w:val="18"/>
                <w:lang w:val="es-ES_tradnl"/>
              </w:rPr>
              <w:t>Fortalecer</w:t>
            </w:r>
            <w:r w:rsidRPr="00064D10">
              <w:rPr>
                <w:b/>
                <w:i/>
                <w:sz w:val="18"/>
                <w:szCs w:val="18"/>
                <w:lang w:val="es-ES_tradnl"/>
              </w:rPr>
              <w:t xml:space="preserve"> la gestión de la infraestructura utilizada para la prestación de los servicios públicos domiciliarios.</w:t>
            </w:r>
          </w:p>
        </w:tc>
        <w:tc>
          <w:tcPr>
            <w:tcW w:w="4301" w:type="dxa"/>
            <w:shd w:val="clear" w:color="auto" w:fill="auto"/>
          </w:tcPr>
          <w:p w:rsidR="007970C9" w:rsidRPr="00064D10" w:rsidRDefault="007970C9" w:rsidP="00064D10">
            <w:pPr>
              <w:jc w:val="both"/>
              <w:rPr>
                <w:sz w:val="18"/>
                <w:szCs w:val="18"/>
                <w:lang w:val="es-ES_tradnl"/>
              </w:rPr>
            </w:pPr>
            <w:r w:rsidRPr="00064D10">
              <w:rPr>
                <w:sz w:val="18"/>
                <w:szCs w:val="18"/>
                <w:lang w:val="es-ES_tradnl"/>
              </w:rPr>
              <w:t xml:space="preserve">Los ámbitos de acción más relevantes para optimizar la gestión de la infraestructura son: </w:t>
            </w:r>
            <w:r w:rsidR="00064D10" w:rsidRPr="00064D10">
              <w:rPr>
                <w:sz w:val="18"/>
                <w:szCs w:val="18"/>
                <w:lang w:val="es-ES_tradnl"/>
              </w:rPr>
              <w:t>(</w:t>
            </w:r>
            <w:r w:rsidRPr="00064D10">
              <w:rPr>
                <w:sz w:val="18"/>
                <w:szCs w:val="18"/>
                <w:lang w:val="es-ES_tradnl"/>
              </w:rPr>
              <w:t xml:space="preserve">i) incentivar la eficiencia en la gestión de las empresas; </w:t>
            </w:r>
            <w:r w:rsidR="00064D10" w:rsidRPr="00064D10">
              <w:rPr>
                <w:sz w:val="18"/>
                <w:szCs w:val="18"/>
                <w:lang w:val="es-ES_tradnl"/>
              </w:rPr>
              <w:t>(</w:t>
            </w:r>
            <w:r w:rsidRPr="00064D10">
              <w:rPr>
                <w:sz w:val="18"/>
                <w:szCs w:val="18"/>
                <w:lang w:val="es-ES_tradnl"/>
              </w:rPr>
              <w:t xml:space="preserve">ii) desarrollar e implementar políticas adecuadas y estables de mantenimiento de activos; y </w:t>
            </w:r>
            <w:r w:rsidR="00064D10" w:rsidRPr="00064D10">
              <w:rPr>
                <w:sz w:val="18"/>
                <w:szCs w:val="18"/>
                <w:lang w:val="es-ES_tradnl"/>
              </w:rPr>
              <w:t>(</w:t>
            </w:r>
            <w:r w:rsidRPr="00064D10">
              <w:rPr>
                <w:sz w:val="18"/>
                <w:szCs w:val="18"/>
                <w:lang w:val="es-ES_tradnl"/>
              </w:rPr>
              <w:t xml:space="preserve">iii) optimizar el uso de la infraestructura a través de incentivos a la demanda. </w:t>
            </w:r>
          </w:p>
        </w:tc>
        <w:tc>
          <w:tcPr>
            <w:tcW w:w="3966" w:type="dxa"/>
            <w:shd w:val="clear" w:color="auto" w:fill="auto"/>
          </w:tcPr>
          <w:p w:rsidR="00BA7541" w:rsidRPr="00064D10" w:rsidRDefault="00BA7541" w:rsidP="00064D10">
            <w:pPr>
              <w:jc w:val="both"/>
              <w:rPr>
                <w:sz w:val="18"/>
                <w:szCs w:val="18"/>
                <w:lang w:val="es-ES_tradnl"/>
              </w:rPr>
            </w:pPr>
            <w:r w:rsidRPr="00064D10">
              <w:rPr>
                <w:sz w:val="18"/>
                <w:szCs w:val="18"/>
                <w:lang w:val="es-ES_tradnl"/>
              </w:rPr>
              <w:t>Con el Componente III de Desarrollo Organizacional</w:t>
            </w:r>
            <w:r w:rsidR="00733B13" w:rsidRPr="00064D10">
              <w:rPr>
                <w:sz w:val="18"/>
                <w:szCs w:val="18"/>
                <w:lang w:val="es-ES_tradnl"/>
              </w:rPr>
              <w:t xml:space="preserve"> del programa</w:t>
            </w:r>
            <w:r w:rsidRPr="00064D10">
              <w:rPr>
                <w:sz w:val="18"/>
                <w:szCs w:val="18"/>
                <w:lang w:val="es-ES_tradnl"/>
              </w:rPr>
              <w:t xml:space="preserve"> se fortalecerán las capacidades sectoriales para mejorar la eficiencia en la prestación del servicio, mediante el desarrollo de plan</w:t>
            </w:r>
            <w:r w:rsidR="00A74E90" w:rsidRPr="00064D10">
              <w:rPr>
                <w:sz w:val="18"/>
                <w:szCs w:val="18"/>
                <w:lang w:val="es-ES_tradnl"/>
              </w:rPr>
              <w:t>es</w:t>
            </w:r>
            <w:r w:rsidRPr="00064D10">
              <w:rPr>
                <w:sz w:val="18"/>
                <w:szCs w:val="18"/>
                <w:lang w:val="es-ES_tradnl"/>
              </w:rPr>
              <w:t xml:space="preserve"> de capacitación a entidades prestadoras y la puesta en funcionamiento de una escuela nacional del agua.</w:t>
            </w:r>
          </w:p>
          <w:p w:rsidR="00E27D8E" w:rsidRPr="00064D10" w:rsidRDefault="00E27D8E" w:rsidP="00064D10">
            <w:pPr>
              <w:jc w:val="both"/>
              <w:rPr>
                <w:sz w:val="18"/>
                <w:szCs w:val="18"/>
                <w:lang w:val="es-ES_tradnl"/>
              </w:rPr>
            </w:pPr>
          </w:p>
        </w:tc>
      </w:tr>
      <w:tr w:rsidR="007970C9" w:rsidRPr="00064D10" w:rsidTr="00120449">
        <w:trPr>
          <w:jc w:val="center"/>
        </w:trPr>
        <w:tc>
          <w:tcPr>
            <w:tcW w:w="1968" w:type="dxa"/>
            <w:shd w:val="clear" w:color="auto" w:fill="auto"/>
          </w:tcPr>
          <w:p w:rsidR="007970C9" w:rsidRPr="00064D10" w:rsidRDefault="007970C9" w:rsidP="000F1306">
            <w:pPr>
              <w:rPr>
                <w:sz w:val="18"/>
                <w:szCs w:val="18"/>
                <w:lang w:val="es-ES_tradnl"/>
              </w:rPr>
            </w:pPr>
            <w:r w:rsidRPr="00064D10">
              <w:rPr>
                <w:b/>
                <w:sz w:val="18"/>
                <w:szCs w:val="18"/>
                <w:lang w:val="es-ES_tradnl"/>
              </w:rPr>
              <w:t xml:space="preserve">3. Promover la innovación para </w:t>
            </w:r>
            <w:r w:rsidRPr="00064D10">
              <w:rPr>
                <w:b/>
                <w:sz w:val="18"/>
                <w:szCs w:val="18"/>
                <w:lang w:val="es-ES_tradnl"/>
              </w:rPr>
              <w:lastRenderedPageBreak/>
              <w:t>fomentar la eficiencia, el acceso y la sostenibilidad ambiental</w:t>
            </w:r>
          </w:p>
        </w:tc>
        <w:tc>
          <w:tcPr>
            <w:tcW w:w="4301" w:type="dxa"/>
            <w:shd w:val="clear" w:color="auto" w:fill="auto"/>
          </w:tcPr>
          <w:p w:rsidR="007970C9" w:rsidRPr="00064D10" w:rsidRDefault="007970C9" w:rsidP="00064D10">
            <w:pPr>
              <w:jc w:val="both"/>
              <w:rPr>
                <w:sz w:val="18"/>
                <w:szCs w:val="18"/>
                <w:lang w:val="es-ES_tradnl"/>
              </w:rPr>
            </w:pPr>
            <w:r w:rsidRPr="00064D10">
              <w:rPr>
                <w:sz w:val="18"/>
                <w:szCs w:val="18"/>
                <w:lang w:val="es-ES_tradnl"/>
              </w:rPr>
              <w:lastRenderedPageBreak/>
              <w:t xml:space="preserve">Esta Política resalta el rol de la tecnología para incrementar el acceso con soluciones costo-efectivas, </w:t>
            </w:r>
            <w:r w:rsidRPr="00064D10">
              <w:rPr>
                <w:sz w:val="18"/>
                <w:szCs w:val="18"/>
                <w:lang w:val="es-ES_tradnl"/>
              </w:rPr>
              <w:lastRenderedPageBreak/>
              <w:t>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rsidR="00560F84" w:rsidRPr="00064D10" w:rsidRDefault="007112EB" w:rsidP="00064D10">
            <w:pPr>
              <w:jc w:val="both"/>
              <w:rPr>
                <w:sz w:val="18"/>
                <w:szCs w:val="18"/>
                <w:lang w:val="es-ES_tradnl"/>
              </w:rPr>
            </w:pPr>
            <w:r w:rsidRPr="00064D10">
              <w:rPr>
                <w:sz w:val="18"/>
                <w:szCs w:val="18"/>
                <w:lang w:val="es-ES_tradnl"/>
              </w:rPr>
              <w:lastRenderedPageBreak/>
              <w:t xml:space="preserve">Como parte de los compromisos de reformas del Programa, se han aprobado, entre otros: </w:t>
            </w:r>
            <w:r w:rsidR="00064D10" w:rsidRPr="00064D10">
              <w:rPr>
                <w:sz w:val="18"/>
                <w:szCs w:val="18"/>
                <w:lang w:val="es-ES_tradnl"/>
              </w:rPr>
              <w:t>(</w:t>
            </w:r>
            <w:r w:rsidRPr="00064D10">
              <w:rPr>
                <w:sz w:val="18"/>
                <w:szCs w:val="18"/>
                <w:lang w:val="es-ES_tradnl"/>
              </w:rPr>
              <w:t xml:space="preserve">i) Plan </w:t>
            </w:r>
            <w:r w:rsidRPr="00064D10">
              <w:rPr>
                <w:sz w:val="18"/>
                <w:szCs w:val="18"/>
                <w:lang w:val="es-ES_tradnl"/>
              </w:rPr>
              <w:lastRenderedPageBreak/>
              <w:t xml:space="preserve">Sectorial de Desarrollo de Agua y Saneamiento que establece metas de cobertura para los diferentes segmentos de población, defina programas de inversión y cuantifica globalmente las mismas. Para alcanzar este objetivo, en esta segunda y última operación programática se actualizó del PSDSB 2011 – 2015 y </w:t>
            </w:r>
            <w:r w:rsidR="00CD5A81" w:rsidRPr="00064D10">
              <w:rPr>
                <w:sz w:val="18"/>
                <w:szCs w:val="18"/>
                <w:lang w:val="es-ES_tradnl"/>
              </w:rPr>
              <w:t xml:space="preserve">se </w:t>
            </w:r>
            <w:r w:rsidRPr="00064D10">
              <w:rPr>
                <w:sz w:val="18"/>
                <w:szCs w:val="18"/>
                <w:lang w:val="es-ES_tradnl"/>
              </w:rPr>
              <w:t xml:space="preserve">definió </w:t>
            </w:r>
            <w:r w:rsidR="00CD5A81" w:rsidRPr="00064D10">
              <w:rPr>
                <w:sz w:val="18"/>
                <w:szCs w:val="18"/>
                <w:lang w:val="es-ES_tradnl"/>
              </w:rPr>
              <w:t xml:space="preserve">el  PSDSB 2016 </w:t>
            </w:r>
            <w:r w:rsidR="00064D10" w:rsidRPr="00064D10">
              <w:rPr>
                <w:sz w:val="18"/>
                <w:szCs w:val="18"/>
                <w:lang w:val="es-ES_tradnl"/>
              </w:rPr>
              <w:t>–</w:t>
            </w:r>
            <w:r w:rsidR="00CD5A81" w:rsidRPr="00064D10">
              <w:rPr>
                <w:sz w:val="18"/>
                <w:szCs w:val="18"/>
                <w:lang w:val="es-ES_tradnl"/>
              </w:rPr>
              <w:t xml:space="preserve"> 2020</w:t>
            </w:r>
            <w:r w:rsidR="00064D10" w:rsidRPr="00064D10">
              <w:rPr>
                <w:sz w:val="18"/>
                <w:szCs w:val="18"/>
                <w:lang w:val="es-ES_tradnl"/>
              </w:rPr>
              <w:t>, (</w:t>
            </w:r>
            <w:r w:rsidR="00CD5A81" w:rsidRPr="00064D10">
              <w:rPr>
                <w:sz w:val="18"/>
                <w:szCs w:val="18"/>
                <w:lang w:val="es-ES_tradnl"/>
              </w:rPr>
              <w:t>ii</w:t>
            </w:r>
            <w:r w:rsidRPr="00064D10">
              <w:rPr>
                <w:sz w:val="18"/>
                <w:szCs w:val="18"/>
                <w:lang w:val="es-ES_tradnl"/>
              </w:rPr>
              <w:t>) Planes Sectoriales Departamentales de Desarrollo de Agua y Sa</w:t>
            </w:r>
            <w:r w:rsidR="00CD5A81" w:rsidRPr="00064D10">
              <w:rPr>
                <w:sz w:val="18"/>
                <w:szCs w:val="18"/>
                <w:lang w:val="es-ES_tradnl"/>
              </w:rPr>
              <w:t>neamiento (PSDDSB) que establece</w:t>
            </w:r>
            <w:r w:rsidRPr="00064D10">
              <w:rPr>
                <w:sz w:val="18"/>
                <w:szCs w:val="18"/>
                <w:lang w:val="es-ES_tradnl"/>
              </w:rPr>
              <w:t xml:space="preserve">n metas de cobertura para los diferentes segmentos de población, programas de inversión y una cuantificación global de </w:t>
            </w:r>
            <w:r w:rsidR="00CD5A81" w:rsidRPr="00064D10">
              <w:rPr>
                <w:sz w:val="18"/>
                <w:szCs w:val="18"/>
                <w:lang w:val="es-ES_tradnl"/>
              </w:rPr>
              <w:t>los montos para su cumplimiento,</w:t>
            </w:r>
            <w:r w:rsidRPr="00064D10">
              <w:rPr>
                <w:sz w:val="18"/>
                <w:szCs w:val="18"/>
                <w:lang w:val="es-ES_tradnl"/>
              </w:rPr>
              <w:t xml:space="preserve"> </w:t>
            </w:r>
            <w:r w:rsidR="00064D10" w:rsidRPr="00064D10">
              <w:rPr>
                <w:sz w:val="18"/>
                <w:szCs w:val="18"/>
                <w:lang w:val="es-ES_tradnl"/>
              </w:rPr>
              <w:t>(</w:t>
            </w:r>
            <w:r w:rsidR="00CD5A81" w:rsidRPr="00064D10">
              <w:rPr>
                <w:sz w:val="18"/>
                <w:szCs w:val="18"/>
                <w:lang w:val="es-ES_tradnl"/>
              </w:rPr>
              <w:t>iii</w:t>
            </w:r>
            <w:r w:rsidRPr="00064D10">
              <w:rPr>
                <w:sz w:val="18"/>
                <w:szCs w:val="18"/>
                <w:lang w:val="es-ES_tradnl"/>
              </w:rPr>
              <w:t>) Metodología y alcance para la preparación de planes maestros con base en criterios técnicos, ambientales, socioeconómicos, financieros e institucionales, aprobada y en implementación. En esta segunda operación la MAE del MMAyA como rector del sector aprobó los Planes Maestros Metropolitanos para las principales ciudades del p</w:t>
            </w:r>
            <w:r w:rsidR="00CD5A81" w:rsidRPr="00064D10">
              <w:rPr>
                <w:sz w:val="18"/>
                <w:szCs w:val="18"/>
                <w:lang w:val="es-ES_tradnl"/>
              </w:rPr>
              <w:t>aís (61% de la población urbana</w:t>
            </w:r>
            <w:r w:rsidRPr="00064D10">
              <w:rPr>
                <w:sz w:val="18"/>
                <w:szCs w:val="18"/>
                <w:lang w:val="es-ES_tradnl"/>
              </w:rPr>
              <w:t>): La Paz</w:t>
            </w:r>
            <w:r w:rsidR="00064D10" w:rsidRPr="00064D10">
              <w:rPr>
                <w:sz w:val="18"/>
                <w:szCs w:val="18"/>
                <w:lang w:val="es-ES_tradnl"/>
              </w:rPr>
              <w:t xml:space="preserve"> </w:t>
            </w:r>
            <w:r w:rsidRPr="00064D10">
              <w:rPr>
                <w:sz w:val="18"/>
                <w:szCs w:val="18"/>
                <w:lang w:val="es-ES_tradnl"/>
              </w:rPr>
              <w:t>&amp;El Alto, Santa Cruz, Cochabamba y Tarija, mismos que involucran a más de un municipio y varias EPSAs de un mismo municipio;</w:t>
            </w:r>
            <w:r w:rsidR="00CD5A81" w:rsidRPr="00064D10">
              <w:rPr>
                <w:sz w:val="18"/>
                <w:szCs w:val="18"/>
                <w:lang w:val="es-ES_tradnl"/>
              </w:rPr>
              <w:t xml:space="preserve"> </w:t>
            </w:r>
            <w:r w:rsidR="00064D10" w:rsidRPr="00064D10">
              <w:rPr>
                <w:sz w:val="18"/>
                <w:szCs w:val="18"/>
                <w:lang w:val="es-ES_tradnl"/>
              </w:rPr>
              <w:t>(</w:t>
            </w:r>
            <w:r w:rsidRPr="00064D10">
              <w:rPr>
                <w:sz w:val="18"/>
                <w:szCs w:val="18"/>
                <w:lang w:val="es-ES_tradnl"/>
              </w:rPr>
              <w:t>i</w:t>
            </w:r>
            <w:r w:rsidR="00CD5A81" w:rsidRPr="00064D10">
              <w:rPr>
                <w:sz w:val="18"/>
                <w:szCs w:val="18"/>
                <w:lang w:val="es-ES_tradnl"/>
              </w:rPr>
              <w:t>v</w:t>
            </w:r>
            <w:r w:rsidRPr="00064D10">
              <w:rPr>
                <w:sz w:val="18"/>
                <w:szCs w:val="18"/>
                <w:lang w:val="es-ES_tradnl"/>
              </w:rPr>
              <w:t xml:space="preserve">) Contribuir a la definición de programas de desarrollo, tomando en consideración los segmentos de población para reducir los déficits de cobertura y mejorar la prestación del servicio, mediante la siguiente reforma de política: Enfoque de Programas, que contienen la metodología y alcance para la preparación de programas de inversión para la expansión y mejora en la prestación de servicios en los segmentos de la población periurbana, de pequeñas localidades, y rural. En esta segunda operación </w:t>
            </w:r>
            <w:r w:rsidR="00CD5A81" w:rsidRPr="00064D10">
              <w:rPr>
                <w:sz w:val="18"/>
                <w:szCs w:val="18"/>
                <w:lang w:val="es-ES_tradnl"/>
              </w:rPr>
              <w:t>se</w:t>
            </w:r>
            <w:r w:rsidRPr="00064D10">
              <w:rPr>
                <w:sz w:val="18"/>
                <w:szCs w:val="18"/>
                <w:lang w:val="es-ES_tradnl"/>
              </w:rPr>
              <w:t xml:space="preserve"> apr</w:t>
            </w:r>
            <w:r w:rsidR="00CD5A81" w:rsidRPr="00064D10">
              <w:rPr>
                <w:sz w:val="18"/>
                <w:szCs w:val="18"/>
                <w:lang w:val="es-ES_tradnl"/>
              </w:rPr>
              <w:t>obaron</w:t>
            </w:r>
            <w:r w:rsidRPr="00064D10">
              <w:rPr>
                <w:sz w:val="18"/>
                <w:szCs w:val="18"/>
                <w:lang w:val="es-ES_tradnl"/>
              </w:rPr>
              <w:t xml:space="preserve"> los Enfoques Sectoriales Amplios para agua potable y saneamiento en áreas rurales con poblaciones menores a dos mil habitantes, y en áreas de poblaciones entre dos y diez mil habitantes; </w:t>
            </w:r>
            <w:r w:rsidR="00064D10" w:rsidRPr="00064D10">
              <w:rPr>
                <w:sz w:val="18"/>
                <w:szCs w:val="18"/>
                <w:lang w:val="es-ES_tradnl"/>
              </w:rPr>
              <w:br/>
              <w:t>(</w:t>
            </w:r>
            <w:r w:rsidR="00CD5A81" w:rsidRPr="00064D10">
              <w:rPr>
                <w:sz w:val="18"/>
                <w:szCs w:val="18"/>
                <w:lang w:val="es-ES_tradnl"/>
              </w:rPr>
              <w:t>v</w:t>
            </w:r>
            <w:r w:rsidRPr="00064D10">
              <w:rPr>
                <w:sz w:val="18"/>
                <w:szCs w:val="18"/>
                <w:lang w:val="es-ES_tradnl"/>
              </w:rPr>
              <w:t>) Contribuir a realizar una adecuada planificación de las tareas de fiscalización y regulación de los servicios, para que esta se realice de manera eficaz</w:t>
            </w:r>
            <w:r w:rsidR="00CD5A81" w:rsidRPr="00064D10">
              <w:rPr>
                <w:sz w:val="18"/>
                <w:szCs w:val="18"/>
                <w:lang w:val="es-ES_tradnl"/>
              </w:rPr>
              <w:t xml:space="preserve">, mediante la aprobación de </w:t>
            </w:r>
            <w:r w:rsidRPr="00064D10">
              <w:rPr>
                <w:sz w:val="18"/>
                <w:szCs w:val="18"/>
                <w:lang w:val="es-ES_tradnl"/>
              </w:rPr>
              <w:t>un plan operativo y financiero estableciendo las tareas</w:t>
            </w:r>
            <w:r w:rsidR="00CD5A81" w:rsidRPr="00064D10">
              <w:rPr>
                <w:sz w:val="18"/>
                <w:szCs w:val="18"/>
                <w:lang w:val="es-ES_tradnl"/>
              </w:rPr>
              <w:t xml:space="preserve"> de fiscalización y regulación, </w:t>
            </w:r>
            <w:r w:rsidRPr="00064D10">
              <w:rPr>
                <w:sz w:val="18"/>
                <w:szCs w:val="18"/>
                <w:lang w:val="es-ES_tradnl"/>
              </w:rPr>
              <w:t>por segmento de población por parte de la AAP</w:t>
            </w:r>
            <w:r w:rsidR="00CD5A81" w:rsidRPr="00064D10">
              <w:rPr>
                <w:sz w:val="18"/>
                <w:szCs w:val="18"/>
                <w:lang w:val="es-ES_tradnl"/>
              </w:rPr>
              <w:t>S</w:t>
            </w:r>
            <w:r w:rsidRPr="00064D10">
              <w:rPr>
                <w:sz w:val="18"/>
                <w:szCs w:val="18"/>
                <w:lang w:val="es-ES_tradnl"/>
              </w:rPr>
              <w:t xml:space="preserve">; </w:t>
            </w:r>
            <w:r w:rsidR="00064D10" w:rsidRPr="00064D10">
              <w:rPr>
                <w:sz w:val="18"/>
                <w:szCs w:val="18"/>
                <w:lang w:val="es-ES_tradnl"/>
              </w:rPr>
              <w:t>(</w:t>
            </w:r>
            <w:r w:rsidRPr="00064D10">
              <w:rPr>
                <w:sz w:val="18"/>
                <w:szCs w:val="18"/>
                <w:lang w:val="es-ES_tradnl"/>
              </w:rPr>
              <w:t>v</w:t>
            </w:r>
            <w:r w:rsidR="00CD5A81" w:rsidRPr="00064D10">
              <w:rPr>
                <w:sz w:val="18"/>
                <w:szCs w:val="18"/>
                <w:lang w:val="es-ES_tradnl"/>
              </w:rPr>
              <w:t>i</w:t>
            </w:r>
            <w:r w:rsidRPr="00064D10">
              <w:rPr>
                <w:sz w:val="18"/>
                <w:szCs w:val="18"/>
                <w:lang w:val="es-ES_tradnl"/>
              </w:rPr>
              <w:t xml:space="preserve">) Contribuir al desarrollo e implementación de una cultura institucional en el sector de RHyR, basada en la gestión de riesgos, mediante las siguientes reformas de política: </w:t>
            </w:r>
            <w:r w:rsidR="00064D10" w:rsidRPr="00064D10">
              <w:rPr>
                <w:sz w:val="18"/>
                <w:szCs w:val="18"/>
                <w:lang w:val="es-ES_tradnl"/>
              </w:rPr>
              <w:t>(</w:t>
            </w:r>
            <w:r w:rsidRPr="00064D10">
              <w:rPr>
                <w:sz w:val="18"/>
                <w:szCs w:val="18"/>
                <w:lang w:val="es-ES_tradnl"/>
              </w:rPr>
              <w:t xml:space="preserve">a) Aprobación de metodología y alcance para la preparación de planes y programas de inversión, que incorporen la gestión de riesgos. Se tenía previsto la aprobación de la estrategia de gestión de riesgos y adaptación al cambio climático por la MAE del MMAyA e iniciar su implementación. Se aprobó la estrategia y se incorporó la gestión de riesgos y las medidas de adaptación al cambio climático en los planes,  programas y normativa técnica del VRHR; </w:t>
            </w:r>
            <w:r w:rsidR="00064D10" w:rsidRPr="00064D10">
              <w:rPr>
                <w:sz w:val="18"/>
                <w:szCs w:val="18"/>
                <w:lang w:val="es-ES_tradnl"/>
              </w:rPr>
              <w:t>(</w:t>
            </w:r>
            <w:r w:rsidRPr="00064D10">
              <w:rPr>
                <w:sz w:val="18"/>
                <w:szCs w:val="18"/>
                <w:lang w:val="es-ES_tradnl"/>
              </w:rPr>
              <w:t xml:space="preserve">b) En operación la institucionalidad encargada de velar por la incorporación efectiva de la política de gestión de riesgos dentro del sector de RHyR. Se encuentra operando el Área Funcional de Gestión de Riesgos </w:t>
            </w:r>
            <w:r w:rsidRPr="00064D10">
              <w:rPr>
                <w:sz w:val="18"/>
                <w:szCs w:val="18"/>
                <w:lang w:val="es-ES_tradnl"/>
              </w:rPr>
              <w:lastRenderedPageBreak/>
              <w:t>(inicialmente se previó una Unidad de Gestión de Riesgos) del VRHR con presupuesto para su funcionamiento.</w:t>
            </w:r>
          </w:p>
          <w:p w:rsidR="00CD5A81" w:rsidRPr="00064D10" w:rsidRDefault="00CD5A81" w:rsidP="00064D10">
            <w:pPr>
              <w:jc w:val="both"/>
              <w:rPr>
                <w:sz w:val="18"/>
                <w:szCs w:val="18"/>
                <w:lang w:val="es-ES_tradnl"/>
              </w:rPr>
            </w:pPr>
            <w:r w:rsidRPr="00064D10">
              <w:rPr>
                <w:sz w:val="18"/>
                <w:szCs w:val="18"/>
                <w:lang w:val="es-ES_tradnl"/>
              </w:rPr>
              <w:t xml:space="preserve">Estos planes y medidas han sido </w:t>
            </w:r>
            <w:r w:rsidR="00064D10" w:rsidRPr="00064D10">
              <w:rPr>
                <w:sz w:val="18"/>
                <w:szCs w:val="18"/>
                <w:lang w:val="es-ES_tradnl"/>
              </w:rPr>
              <w:t>desarrollados</w:t>
            </w:r>
            <w:r w:rsidRPr="00064D10">
              <w:rPr>
                <w:sz w:val="18"/>
                <w:szCs w:val="18"/>
                <w:lang w:val="es-ES_tradnl"/>
              </w:rPr>
              <w:t xml:space="preserve"> mediante estudios de </w:t>
            </w:r>
            <w:r w:rsidR="003E5AC2" w:rsidRPr="00064D10">
              <w:rPr>
                <w:sz w:val="18"/>
                <w:szCs w:val="18"/>
                <w:lang w:val="es-ES_tradnl"/>
              </w:rPr>
              <w:t>alternativas</w:t>
            </w:r>
            <w:r w:rsidRPr="00064D10">
              <w:rPr>
                <w:sz w:val="18"/>
                <w:szCs w:val="18"/>
                <w:lang w:val="es-ES_tradnl"/>
              </w:rPr>
              <w:t xml:space="preserve"> y basados en experiencias similares del sector para la región. Es por ello, que incluyen las alternativas tecnológicas </w:t>
            </w:r>
            <w:r w:rsidR="00064D10" w:rsidRPr="00064D10">
              <w:rPr>
                <w:sz w:val="18"/>
                <w:szCs w:val="18"/>
                <w:lang w:val="es-ES_tradnl"/>
              </w:rPr>
              <w:t>más</w:t>
            </w:r>
            <w:r w:rsidRPr="00064D10">
              <w:rPr>
                <w:sz w:val="18"/>
                <w:szCs w:val="18"/>
                <w:lang w:val="es-ES_tradnl"/>
              </w:rPr>
              <w:t xml:space="preserve"> convenientes, analizadas las condiciones particulares de los servicios y características de la demanda. </w:t>
            </w:r>
          </w:p>
        </w:tc>
      </w:tr>
    </w:tbl>
    <w:p w:rsidR="003B02C4" w:rsidRPr="00064D10" w:rsidRDefault="003B02C4" w:rsidP="00120449">
      <w:pPr>
        <w:rPr>
          <w:lang w:val="es-ES_tradnl"/>
        </w:rPr>
      </w:pPr>
    </w:p>
    <w:sectPr w:rsidR="003B02C4" w:rsidRPr="00064D10" w:rsidSect="009B38CC">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63D" w:rsidRDefault="00BA063D" w:rsidP="00B72604">
      <w:r>
        <w:separator/>
      </w:r>
    </w:p>
  </w:endnote>
  <w:endnote w:type="continuationSeparator" w:id="0">
    <w:p w:rsidR="00BA063D" w:rsidRDefault="00BA063D"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63D" w:rsidRDefault="00BA063D" w:rsidP="00B72604">
      <w:r>
        <w:separator/>
      </w:r>
    </w:p>
  </w:footnote>
  <w:footnote w:type="continuationSeparator" w:id="0">
    <w:p w:rsidR="00BA063D" w:rsidRDefault="00BA063D" w:rsidP="00B72604">
      <w:r>
        <w:continuationSeparator/>
      </w:r>
    </w:p>
  </w:footnote>
  <w:footnote w:id="1">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Style w:val="FootnoteReference"/>
          <w:rFonts w:ascii="Times New Roman" w:hAnsi="Times New Roman" w:cs="Times New Roman"/>
          <w:sz w:val="16"/>
          <w:szCs w:val="16"/>
        </w:rPr>
        <w:footnoteRef/>
      </w:r>
      <w:r w:rsidRPr="00352A60">
        <w:rPr>
          <w:rFonts w:ascii="Times New Roman" w:hAnsi="Times New Roman" w:cs="Times New Roman"/>
          <w:sz w:val="16"/>
          <w:szCs w:val="16"/>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AAPS, Indicadores de Desempeño Gestión 2013.</w:t>
      </w:r>
    </w:p>
  </w:footnote>
  <w:footnote w:id="2">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Style w:val="FootnoteReference"/>
          <w:rFonts w:ascii="Times New Roman" w:hAnsi="Times New Roman" w:cs="Times New Roman"/>
          <w:sz w:val="16"/>
          <w:szCs w:val="16"/>
        </w:rPr>
        <w:footnoteRef/>
      </w:r>
      <w:r w:rsidRPr="00352A60">
        <w:rPr>
          <w:rFonts w:ascii="Times New Roman" w:hAnsi="Times New Roman" w:cs="Times New Roman"/>
          <w:sz w:val="16"/>
          <w:szCs w:val="16"/>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Aproximadamente 1.025.000 conexiones de agua y potable y 640.000 conexiones de alcantarillado sanitario</w:t>
      </w:r>
    </w:p>
  </w:footnote>
  <w:footnote w:id="3">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Fonts w:ascii="Times New Roman" w:hAnsi="Times New Roman" w:cs="Times New Roman"/>
          <w:sz w:val="16"/>
          <w:szCs w:val="16"/>
          <w:vertAlign w:val="superscript"/>
          <w:lang w:val="es-ES_tradnl"/>
        </w:rPr>
        <w:footnoteRef/>
      </w:r>
      <w:r w:rsidRPr="00352A60">
        <w:rPr>
          <w:rFonts w:ascii="Times New Roman" w:hAnsi="Times New Roman" w:cs="Times New Roman"/>
          <w:sz w:val="16"/>
          <w:szCs w:val="16"/>
          <w:vertAlign w:val="superscript"/>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Población en área de atención mayor a 500 mil habitantes</w:t>
      </w:r>
    </w:p>
  </w:footnote>
  <w:footnote w:id="4">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Fonts w:ascii="Times New Roman" w:hAnsi="Times New Roman" w:cs="Times New Roman"/>
          <w:vertAlign w:val="superscript"/>
          <w:lang w:val="es-ES_tradnl"/>
        </w:rPr>
        <w:footnoteRef/>
      </w:r>
      <w:r w:rsidRPr="00352A60">
        <w:rPr>
          <w:rFonts w:ascii="Times New Roman" w:hAnsi="Times New Roman" w:cs="Times New Roman"/>
          <w:vertAlign w:val="superscript"/>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Población en área de atención entre 50 y 500 mil habitantes</w:t>
      </w:r>
    </w:p>
  </w:footnote>
  <w:footnote w:id="5">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Fonts w:ascii="Times New Roman" w:hAnsi="Times New Roman" w:cs="Times New Roman"/>
          <w:sz w:val="16"/>
          <w:szCs w:val="16"/>
          <w:vertAlign w:val="superscript"/>
          <w:lang w:val="es-ES_tradnl"/>
        </w:rPr>
        <w:footnoteRef/>
      </w:r>
      <w:r w:rsidRPr="00352A60">
        <w:rPr>
          <w:rFonts w:ascii="Times New Roman" w:hAnsi="Times New Roman" w:cs="Times New Roman"/>
          <w:sz w:val="16"/>
          <w:szCs w:val="16"/>
          <w:vertAlign w:val="superscript"/>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Ingresos tarifarios cubren costos de operación y dejan margen para inversión</w:t>
      </w:r>
    </w:p>
  </w:footnote>
  <w:footnote w:id="6">
    <w:p w:rsidR="005863ED" w:rsidRPr="00352A60" w:rsidRDefault="005863ED" w:rsidP="00352A60">
      <w:pPr>
        <w:pStyle w:val="FootnoteText"/>
        <w:tabs>
          <w:tab w:val="left" w:pos="360"/>
          <w:tab w:val="left" w:pos="1260"/>
        </w:tabs>
        <w:rPr>
          <w:rFonts w:ascii="Times New Roman" w:hAnsi="Times New Roman" w:cs="Times New Roman"/>
          <w:sz w:val="16"/>
          <w:szCs w:val="16"/>
          <w:lang w:val="es-ES_tradnl"/>
        </w:rPr>
      </w:pPr>
      <w:r w:rsidRPr="00352A60">
        <w:rPr>
          <w:rFonts w:ascii="Times New Roman" w:hAnsi="Times New Roman" w:cs="Times New Roman"/>
          <w:sz w:val="16"/>
          <w:szCs w:val="16"/>
          <w:vertAlign w:val="superscript"/>
          <w:lang w:val="es-ES_tradnl"/>
        </w:rPr>
        <w:footnoteRef/>
      </w:r>
      <w:r w:rsidRPr="00352A60">
        <w:rPr>
          <w:rFonts w:ascii="Times New Roman" w:hAnsi="Times New Roman" w:cs="Times New Roman"/>
          <w:sz w:val="16"/>
          <w:szCs w:val="16"/>
          <w:vertAlign w:val="superscript"/>
          <w:lang w:val="es-ES_tradnl"/>
        </w:rPr>
        <w:t xml:space="preserve"> </w:t>
      </w:r>
      <w:r w:rsidR="00352A60">
        <w:rPr>
          <w:rFonts w:ascii="Times New Roman" w:hAnsi="Times New Roman" w:cs="Times New Roman"/>
          <w:sz w:val="16"/>
          <w:szCs w:val="16"/>
          <w:lang w:val="es-ES_tradnl"/>
        </w:rPr>
        <w:tab/>
      </w:r>
      <w:r w:rsidRPr="00352A60">
        <w:rPr>
          <w:rFonts w:ascii="Times New Roman" w:hAnsi="Times New Roman" w:cs="Times New Roman"/>
          <w:sz w:val="16"/>
          <w:szCs w:val="16"/>
          <w:lang w:val="es-ES_tradnl"/>
        </w:rPr>
        <w:t>Población en área de servicio entre 10 y 50 mil habitantes</w:t>
      </w:r>
    </w:p>
  </w:footnote>
  <w:footnote w:id="7">
    <w:p w:rsidR="003D7523" w:rsidRPr="00311FEE" w:rsidRDefault="003D7523" w:rsidP="00311FEE">
      <w:pPr>
        <w:pStyle w:val="FootnoteText"/>
        <w:tabs>
          <w:tab w:val="left" w:pos="360"/>
        </w:tabs>
        <w:rPr>
          <w:rFonts w:ascii="Times New Roman" w:hAnsi="Times New Roman" w:cs="Times New Roman"/>
          <w:sz w:val="16"/>
          <w:szCs w:val="16"/>
          <w:lang w:val="es-ES_tradnl"/>
        </w:rPr>
      </w:pPr>
      <w:r w:rsidRPr="00311FEE">
        <w:rPr>
          <w:rStyle w:val="FootnoteReference"/>
          <w:rFonts w:ascii="Times New Roman" w:hAnsi="Times New Roman" w:cs="Times New Roman"/>
          <w:sz w:val="16"/>
          <w:szCs w:val="16"/>
        </w:rPr>
        <w:footnoteRef/>
      </w:r>
      <w:r w:rsidRPr="00311FEE">
        <w:rPr>
          <w:rFonts w:ascii="Times New Roman" w:hAnsi="Times New Roman" w:cs="Times New Roman"/>
          <w:sz w:val="16"/>
          <w:szCs w:val="16"/>
          <w:lang w:val="es-ES_tradnl"/>
        </w:rPr>
        <w:t xml:space="preserve"> </w:t>
      </w:r>
      <w:r w:rsidR="00311FEE">
        <w:rPr>
          <w:rFonts w:ascii="Times New Roman" w:hAnsi="Times New Roman" w:cs="Times New Roman"/>
          <w:sz w:val="16"/>
          <w:szCs w:val="16"/>
          <w:lang w:val="es-ES_tradnl"/>
        </w:rPr>
        <w:tab/>
      </w:r>
      <w:r w:rsidRPr="00311FEE">
        <w:rPr>
          <w:rFonts w:ascii="Times New Roman" w:hAnsi="Times New Roman" w:cs="Times New Roman"/>
          <w:sz w:val="16"/>
          <w:szCs w:val="16"/>
          <w:lang w:val="es-ES_tradnl"/>
        </w:rPr>
        <w:t>AAPS, Indicadores de Desempeño Gestión 2013.</w:t>
      </w:r>
    </w:p>
  </w:footnote>
  <w:footnote w:id="8">
    <w:p w:rsidR="003D7523" w:rsidRPr="00311FEE" w:rsidRDefault="003D7523" w:rsidP="00311FEE">
      <w:pPr>
        <w:pStyle w:val="FootnoteText"/>
        <w:tabs>
          <w:tab w:val="left" w:pos="360"/>
        </w:tabs>
        <w:rPr>
          <w:rFonts w:ascii="Times New Roman" w:hAnsi="Times New Roman" w:cs="Times New Roman"/>
          <w:sz w:val="16"/>
          <w:szCs w:val="16"/>
          <w:lang w:val="es-ES_tradnl"/>
        </w:rPr>
      </w:pPr>
      <w:r w:rsidRPr="00311FEE">
        <w:rPr>
          <w:rStyle w:val="FootnoteReference"/>
          <w:rFonts w:ascii="Times New Roman" w:hAnsi="Times New Roman" w:cs="Times New Roman"/>
          <w:sz w:val="16"/>
          <w:szCs w:val="16"/>
        </w:rPr>
        <w:footnoteRef/>
      </w:r>
      <w:r w:rsidRPr="00311FEE">
        <w:rPr>
          <w:rFonts w:ascii="Times New Roman" w:hAnsi="Times New Roman" w:cs="Times New Roman"/>
          <w:sz w:val="16"/>
          <w:szCs w:val="16"/>
          <w:lang w:val="es-ES_tradnl"/>
        </w:rPr>
        <w:t xml:space="preserve"> </w:t>
      </w:r>
      <w:r w:rsidR="00311FEE">
        <w:rPr>
          <w:rFonts w:ascii="Times New Roman" w:hAnsi="Times New Roman" w:cs="Times New Roman"/>
          <w:sz w:val="16"/>
          <w:szCs w:val="16"/>
          <w:lang w:val="es-ES_tradnl"/>
        </w:rPr>
        <w:tab/>
      </w:r>
      <w:r w:rsidRPr="00311FEE">
        <w:rPr>
          <w:rFonts w:ascii="Times New Roman" w:hAnsi="Times New Roman" w:cs="Times New Roman"/>
          <w:sz w:val="16"/>
          <w:szCs w:val="16"/>
          <w:lang w:val="es-ES_tradnl"/>
        </w:rPr>
        <w:t>Aproximadamente 1.025.000 conexiones de agua y potable y 640.000 conexiones de alcantarillado sanitario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68209085"/>
      <w:docPartObj>
        <w:docPartGallery w:val="Page Numbers (Top of Page)"/>
        <w:docPartUnique/>
      </w:docPartObj>
    </w:sdtPr>
    <w:sdtEndPr/>
    <w:sdtContent>
      <w:p w:rsidR="00120449" w:rsidRDefault="00C93876" w:rsidP="00F97646">
        <w:pPr>
          <w:pStyle w:val="Header"/>
          <w:tabs>
            <w:tab w:val="clear" w:pos="4680"/>
            <w:tab w:val="clear" w:pos="9360"/>
            <w:tab w:val="right" w:pos="8640"/>
          </w:tabs>
          <w:jc w:val="right"/>
          <w:rPr>
            <w:sz w:val="20"/>
            <w:szCs w:val="20"/>
            <w:lang w:val="pt-BR"/>
          </w:rPr>
        </w:pPr>
        <w:r w:rsidRPr="00A874E0">
          <w:rPr>
            <w:sz w:val="20"/>
            <w:szCs w:val="20"/>
            <w:lang w:val="pt-BR"/>
          </w:rPr>
          <w:t>BO-</w:t>
        </w:r>
        <w:r w:rsidR="00BD0CCA">
          <w:rPr>
            <w:sz w:val="20"/>
            <w:szCs w:val="20"/>
            <w:lang w:val="pt-BR"/>
          </w:rPr>
          <w:t>L1100</w:t>
        </w:r>
      </w:p>
      <w:p w:rsidR="00120449" w:rsidRPr="00A874E0" w:rsidRDefault="00120449" w:rsidP="00F97646">
        <w:pPr>
          <w:pStyle w:val="Header"/>
          <w:tabs>
            <w:tab w:val="clear" w:pos="4680"/>
            <w:tab w:val="clear" w:pos="9360"/>
          </w:tabs>
          <w:ind w:left="7200"/>
          <w:jc w:val="right"/>
          <w:rPr>
            <w:sz w:val="20"/>
            <w:szCs w:val="20"/>
            <w:lang w:val="pt-BR"/>
          </w:rPr>
        </w:pPr>
        <w:r w:rsidRPr="00A874E0">
          <w:rPr>
            <w:sz w:val="20"/>
            <w:szCs w:val="20"/>
            <w:lang w:val="pt-BR"/>
          </w:rPr>
          <w:t xml:space="preserve">Página </w:t>
        </w:r>
        <w:r w:rsidRPr="00812BF8">
          <w:rPr>
            <w:bCs/>
            <w:sz w:val="20"/>
            <w:szCs w:val="20"/>
          </w:rPr>
          <w:fldChar w:fldCharType="begin"/>
        </w:r>
        <w:r w:rsidRPr="00A874E0">
          <w:rPr>
            <w:bCs/>
            <w:sz w:val="20"/>
            <w:szCs w:val="20"/>
            <w:lang w:val="pt-BR"/>
          </w:rPr>
          <w:instrText xml:space="preserve"> PAGE </w:instrText>
        </w:r>
        <w:r w:rsidRPr="00812BF8">
          <w:rPr>
            <w:bCs/>
            <w:sz w:val="20"/>
            <w:szCs w:val="20"/>
          </w:rPr>
          <w:fldChar w:fldCharType="separate"/>
        </w:r>
        <w:r w:rsidR="005D0708">
          <w:rPr>
            <w:bCs/>
            <w:noProof/>
            <w:sz w:val="20"/>
            <w:szCs w:val="20"/>
            <w:lang w:val="pt-BR"/>
          </w:rPr>
          <w:t>1</w:t>
        </w:r>
        <w:r w:rsidRPr="00812BF8">
          <w:rPr>
            <w:bCs/>
            <w:sz w:val="20"/>
            <w:szCs w:val="20"/>
          </w:rPr>
          <w:fldChar w:fldCharType="end"/>
        </w:r>
        <w:r w:rsidRPr="00A874E0">
          <w:rPr>
            <w:bCs/>
            <w:sz w:val="20"/>
            <w:szCs w:val="20"/>
            <w:lang w:val="pt-BR"/>
          </w:rPr>
          <w:t xml:space="preserve"> </w:t>
        </w:r>
        <w:r w:rsidRPr="00A874E0">
          <w:rPr>
            <w:sz w:val="20"/>
            <w:szCs w:val="20"/>
            <w:lang w:val="pt-BR"/>
          </w:rPr>
          <w:t xml:space="preserve">de </w:t>
        </w:r>
        <w:r w:rsidRPr="00812BF8">
          <w:rPr>
            <w:bCs/>
            <w:sz w:val="20"/>
            <w:szCs w:val="20"/>
          </w:rPr>
          <w:fldChar w:fldCharType="begin"/>
        </w:r>
        <w:r w:rsidRPr="00A874E0">
          <w:rPr>
            <w:bCs/>
            <w:sz w:val="20"/>
            <w:szCs w:val="20"/>
            <w:lang w:val="pt-BR"/>
          </w:rPr>
          <w:instrText xml:space="preserve"> NUMPAGES  </w:instrText>
        </w:r>
        <w:r w:rsidRPr="00812BF8">
          <w:rPr>
            <w:bCs/>
            <w:sz w:val="20"/>
            <w:szCs w:val="20"/>
          </w:rPr>
          <w:fldChar w:fldCharType="separate"/>
        </w:r>
        <w:r w:rsidR="005D0708">
          <w:rPr>
            <w:bCs/>
            <w:noProof/>
            <w:sz w:val="20"/>
            <w:szCs w:val="20"/>
            <w:lang w:val="pt-BR"/>
          </w:rPr>
          <w:t>8</w:t>
        </w:r>
        <w:r w:rsidRPr="00812BF8">
          <w:rPr>
            <w:bCs/>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4">
    <w:nsid w:val="63742036"/>
    <w:multiLevelType w:val="multilevel"/>
    <w:tmpl w:val="F45C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7A7AFA"/>
    <w:multiLevelType w:val="multilevel"/>
    <w:tmpl w:val="36C2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C6179D"/>
    <w:multiLevelType w:val="multilevel"/>
    <w:tmpl w:val="49D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3"/>
  </w:num>
  <w:num w:numId="9">
    <w:abstractNumId w:val="1"/>
  </w:num>
  <w:num w:numId="10">
    <w:abstractNumId w:val="10"/>
  </w:num>
  <w:num w:numId="11">
    <w:abstractNumId w:val="11"/>
  </w:num>
  <w:num w:numId="12">
    <w:abstractNumId w:val="5"/>
  </w:num>
  <w:num w:numId="13">
    <w:abstractNumId w:val="7"/>
  </w:num>
  <w:num w:numId="14">
    <w:abstractNumId w:val="12"/>
  </w:num>
  <w:num w:numId="15">
    <w:abstractNumId w:val="8"/>
  </w:num>
  <w:num w:numId="16">
    <w:abstractNumId w:val="3"/>
  </w:num>
  <w:num w:numId="17">
    <w:abstractNumId w:val="1"/>
  </w:num>
  <w:num w:numId="18">
    <w:abstractNumId w:val="1"/>
  </w:num>
  <w:num w:numId="19">
    <w:abstractNumId w:val="15"/>
  </w:num>
  <w:num w:numId="20">
    <w:abstractNumId w:val="14"/>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105E2"/>
    <w:rsid w:val="00010A1E"/>
    <w:rsid w:val="00015D4F"/>
    <w:rsid w:val="000166EC"/>
    <w:rsid w:val="00036263"/>
    <w:rsid w:val="0004566D"/>
    <w:rsid w:val="0005004D"/>
    <w:rsid w:val="00060E7F"/>
    <w:rsid w:val="000640A0"/>
    <w:rsid w:val="00064D10"/>
    <w:rsid w:val="00064F88"/>
    <w:rsid w:val="0006549A"/>
    <w:rsid w:val="00066B5B"/>
    <w:rsid w:val="00071A12"/>
    <w:rsid w:val="00074C84"/>
    <w:rsid w:val="0008127B"/>
    <w:rsid w:val="0008572D"/>
    <w:rsid w:val="000878E8"/>
    <w:rsid w:val="000941DD"/>
    <w:rsid w:val="000A712C"/>
    <w:rsid w:val="000B3484"/>
    <w:rsid w:val="000B6849"/>
    <w:rsid w:val="000C6EE2"/>
    <w:rsid w:val="000E0C3F"/>
    <w:rsid w:val="000E52E1"/>
    <w:rsid w:val="000F1306"/>
    <w:rsid w:val="00101141"/>
    <w:rsid w:val="0010196B"/>
    <w:rsid w:val="00114E8A"/>
    <w:rsid w:val="00120449"/>
    <w:rsid w:val="0012165B"/>
    <w:rsid w:val="00122913"/>
    <w:rsid w:val="00124F40"/>
    <w:rsid w:val="00140ECE"/>
    <w:rsid w:val="00154CC9"/>
    <w:rsid w:val="00156B65"/>
    <w:rsid w:val="001651D9"/>
    <w:rsid w:val="001666EA"/>
    <w:rsid w:val="00186926"/>
    <w:rsid w:val="00191CD4"/>
    <w:rsid w:val="00197176"/>
    <w:rsid w:val="001A6470"/>
    <w:rsid w:val="001C54C7"/>
    <w:rsid w:val="002004C3"/>
    <w:rsid w:val="00206462"/>
    <w:rsid w:val="00220396"/>
    <w:rsid w:val="0022142A"/>
    <w:rsid w:val="002403EC"/>
    <w:rsid w:val="00247D79"/>
    <w:rsid w:val="00253849"/>
    <w:rsid w:val="00261814"/>
    <w:rsid w:val="00262F31"/>
    <w:rsid w:val="0026441F"/>
    <w:rsid w:val="00270A79"/>
    <w:rsid w:val="00294D87"/>
    <w:rsid w:val="002B229F"/>
    <w:rsid w:val="002B29C2"/>
    <w:rsid w:val="002B5737"/>
    <w:rsid w:val="002B6E68"/>
    <w:rsid w:val="002C115C"/>
    <w:rsid w:val="002C2B2B"/>
    <w:rsid w:val="002D4037"/>
    <w:rsid w:val="002D5CE0"/>
    <w:rsid w:val="002D7AB7"/>
    <w:rsid w:val="002E236F"/>
    <w:rsid w:val="002E3C4E"/>
    <w:rsid w:val="002E53CF"/>
    <w:rsid w:val="002E6D11"/>
    <w:rsid w:val="00304F3B"/>
    <w:rsid w:val="00305235"/>
    <w:rsid w:val="00311FEE"/>
    <w:rsid w:val="00322542"/>
    <w:rsid w:val="00323893"/>
    <w:rsid w:val="00327F29"/>
    <w:rsid w:val="0033068E"/>
    <w:rsid w:val="00332836"/>
    <w:rsid w:val="00352A60"/>
    <w:rsid w:val="00357537"/>
    <w:rsid w:val="00367261"/>
    <w:rsid w:val="00367E1B"/>
    <w:rsid w:val="0038464A"/>
    <w:rsid w:val="003853F6"/>
    <w:rsid w:val="003865AD"/>
    <w:rsid w:val="0039287D"/>
    <w:rsid w:val="00393B22"/>
    <w:rsid w:val="00395138"/>
    <w:rsid w:val="003A14B3"/>
    <w:rsid w:val="003B02C4"/>
    <w:rsid w:val="003B5AB2"/>
    <w:rsid w:val="003D5B41"/>
    <w:rsid w:val="003D6315"/>
    <w:rsid w:val="003D7523"/>
    <w:rsid w:val="003E0618"/>
    <w:rsid w:val="003E0B21"/>
    <w:rsid w:val="003E0DF0"/>
    <w:rsid w:val="003E5AC2"/>
    <w:rsid w:val="003F4487"/>
    <w:rsid w:val="003F48CF"/>
    <w:rsid w:val="003F78EE"/>
    <w:rsid w:val="00407BF0"/>
    <w:rsid w:val="004138F9"/>
    <w:rsid w:val="004173EC"/>
    <w:rsid w:val="00420DA6"/>
    <w:rsid w:val="004320CF"/>
    <w:rsid w:val="0043212B"/>
    <w:rsid w:val="004359CD"/>
    <w:rsid w:val="004401A8"/>
    <w:rsid w:val="00444A98"/>
    <w:rsid w:val="004479AD"/>
    <w:rsid w:val="00456597"/>
    <w:rsid w:val="00473544"/>
    <w:rsid w:val="0048033F"/>
    <w:rsid w:val="004825AC"/>
    <w:rsid w:val="0048384B"/>
    <w:rsid w:val="004A262B"/>
    <w:rsid w:val="004B3077"/>
    <w:rsid w:val="004C1E1E"/>
    <w:rsid w:val="004C2D78"/>
    <w:rsid w:val="004C5831"/>
    <w:rsid w:val="004C5EF6"/>
    <w:rsid w:val="004D7636"/>
    <w:rsid w:val="004D78F0"/>
    <w:rsid w:val="004E0892"/>
    <w:rsid w:val="004E2BFE"/>
    <w:rsid w:val="005057ED"/>
    <w:rsid w:val="005135D7"/>
    <w:rsid w:val="0051497D"/>
    <w:rsid w:val="00527713"/>
    <w:rsid w:val="00533433"/>
    <w:rsid w:val="00534BE3"/>
    <w:rsid w:val="005418DF"/>
    <w:rsid w:val="00542B73"/>
    <w:rsid w:val="0055292C"/>
    <w:rsid w:val="00553263"/>
    <w:rsid w:val="00553319"/>
    <w:rsid w:val="0055493B"/>
    <w:rsid w:val="00560F84"/>
    <w:rsid w:val="005633F6"/>
    <w:rsid w:val="0056359E"/>
    <w:rsid w:val="00563D9C"/>
    <w:rsid w:val="00567085"/>
    <w:rsid w:val="005676D8"/>
    <w:rsid w:val="00575D50"/>
    <w:rsid w:val="0057785A"/>
    <w:rsid w:val="005821B3"/>
    <w:rsid w:val="005863ED"/>
    <w:rsid w:val="00590F44"/>
    <w:rsid w:val="005A019F"/>
    <w:rsid w:val="005C2DF9"/>
    <w:rsid w:val="005C7BF0"/>
    <w:rsid w:val="005D0708"/>
    <w:rsid w:val="005D2F29"/>
    <w:rsid w:val="005F04E3"/>
    <w:rsid w:val="00600BF9"/>
    <w:rsid w:val="00601DF8"/>
    <w:rsid w:val="00605D11"/>
    <w:rsid w:val="00610D77"/>
    <w:rsid w:val="00614E30"/>
    <w:rsid w:val="006256DC"/>
    <w:rsid w:val="00640137"/>
    <w:rsid w:val="0067714B"/>
    <w:rsid w:val="0068015B"/>
    <w:rsid w:val="00690D98"/>
    <w:rsid w:val="00691441"/>
    <w:rsid w:val="00691F25"/>
    <w:rsid w:val="006925B9"/>
    <w:rsid w:val="0069471F"/>
    <w:rsid w:val="006C23EB"/>
    <w:rsid w:val="006C2B99"/>
    <w:rsid w:val="006C4863"/>
    <w:rsid w:val="006C4BCA"/>
    <w:rsid w:val="006C69F4"/>
    <w:rsid w:val="006D22E2"/>
    <w:rsid w:val="006D4A79"/>
    <w:rsid w:val="006E1CE9"/>
    <w:rsid w:val="006E3B5A"/>
    <w:rsid w:val="006E42A2"/>
    <w:rsid w:val="006E5F14"/>
    <w:rsid w:val="006F25CC"/>
    <w:rsid w:val="00703D79"/>
    <w:rsid w:val="007112EB"/>
    <w:rsid w:val="007146AD"/>
    <w:rsid w:val="00720A31"/>
    <w:rsid w:val="007304D3"/>
    <w:rsid w:val="00733B13"/>
    <w:rsid w:val="00735EDF"/>
    <w:rsid w:val="007437CB"/>
    <w:rsid w:val="0075121F"/>
    <w:rsid w:val="007745F0"/>
    <w:rsid w:val="00776571"/>
    <w:rsid w:val="007970C9"/>
    <w:rsid w:val="007A25B9"/>
    <w:rsid w:val="007A2DCC"/>
    <w:rsid w:val="007A5503"/>
    <w:rsid w:val="007B6A67"/>
    <w:rsid w:val="007C01B6"/>
    <w:rsid w:val="007C31ED"/>
    <w:rsid w:val="007C72C6"/>
    <w:rsid w:val="007D0E58"/>
    <w:rsid w:val="007D7650"/>
    <w:rsid w:val="007E2508"/>
    <w:rsid w:val="007E3287"/>
    <w:rsid w:val="00805ABB"/>
    <w:rsid w:val="00812BF8"/>
    <w:rsid w:val="00813650"/>
    <w:rsid w:val="008163DB"/>
    <w:rsid w:val="00830D4A"/>
    <w:rsid w:val="00847254"/>
    <w:rsid w:val="00847A10"/>
    <w:rsid w:val="00870DB0"/>
    <w:rsid w:val="008751CA"/>
    <w:rsid w:val="00894562"/>
    <w:rsid w:val="00894CCD"/>
    <w:rsid w:val="008957EA"/>
    <w:rsid w:val="0089733E"/>
    <w:rsid w:val="008B0C6D"/>
    <w:rsid w:val="008C0E36"/>
    <w:rsid w:val="008C76A8"/>
    <w:rsid w:val="008E3A32"/>
    <w:rsid w:val="008F3683"/>
    <w:rsid w:val="009076BD"/>
    <w:rsid w:val="009120FE"/>
    <w:rsid w:val="00912AE0"/>
    <w:rsid w:val="00923B34"/>
    <w:rsid w:val="00926BBA"/>
    <w:rsid w:val="009276F0"/>
    <w:rsid w:val="00932E99"/>
    <w:rsid w:val="00945E5A"/>
    <w:rsid w:val="00947EDA"/>
    <w:rsid w:val="00960729"/>
    <w:rsid w:val="00961277"/>
    <w:rsid w:val="00961447"/>
    <w:rsid w:val="00971BDF"/>
    <w:rsid w:val="009834A9"/>
    <w:rsid w:val="0098758F"/>
    <w:rsid w:val="009876DD"/>
    <w:rsid w:val="00991651"/>
    <w:rsid w:val="009934CD"/>
    <w:rsid w:val="00995892"/>
    <w:rsid w:val="009A016C"/>
    <w:rsid w:val="009A463C"/>
    <w:rsid w:val="009A5C2E"/>
    <w:rsid w:val="009A5ED2"/>
    <w:rsid w:val="009A7122"/>
    <w:rsid w:val="009B38CC"/>
    <w:rsid w:val="009B6098"/>
    <w:rsid w:val="009C5D53"/>
    <w:rsid w:val="009D06C8"/>
    <w:rsid w:val="009D0850"/>
    <w:rsid w:val="009D1F89"/>
    <w:rsid w:val="009D2FED"/>
    <w:rsid w:val="009E274E"/>
    <w:rsid w:val="009E6E3E"/>
    <w:rsid w:val="009F1616"/>
    <w:rsid w:val="009F7BD4"/>
    <w:rsid w:val="00A05AB1"/>
    <w:rsid w:val="00A12DF7"/>
    <w:rsid w:val="00A24983"/>
    <w:rsid w:val="00A27D62"/>
    <w:rsid w:val="00A3529B"/>
    <w:rsid w:val="00A44FC9"/>
    <w:rsid w:val="00A541BB"/>
    <w:rsid w:val="00A54FF1"/>
    <w:rsid w:val="00A67558"/>
    <w:rsid w:val="00A74E90"/>
    <w:rsid w:val="00A86105"/>
    <w:rsid w:val="00A874E0"/>
    <w:rsid w:val="00A87653"/>
    <w:rsid w:val="00A90601"/>
    <w:rsid w:val="00AA1821"/>
    <w:rsid w:val="00AA1964"/>
    <w:rsid w:val="00AA6446"/>
    <w:rsid w:val="00AB1B2E"/>
    <w:rsid w:val="00AB4A91"/>
    <w:rsid w:val="00AB5324"/>
    <w:rsid w:val="00AB7080"/>
    <w:rsid w:val="00AD0F07"/>
    <w:rsid w:val="00AE022F"/>
    <w:rsid w:val="00AF0BB0"/>
    <w:rsid w:val="00AF45AF"/>
    <w:rsid w:val="00B01479"/>
    <w:rsid w:val="00B029B9"/>
    <w:rsid w:val="00B040CF"/>
    <w:rsid w:val="00B30E53"/>
    <w:rsid w:val="00B34409"/>
    <w:rsid w:val="00B347BD"/>
    <w:rsid w:val="00B41EB9"/>
    <w:rsid w:val="00B45D92"/>
    <w:rsid w:val="00B47D24"/>
    <w:rsid w:val="00B53A4A"/>
    <w:rsid w:val="00B572FF"/>
    <w:rsid w:val="00B67C7F"/>
    <w:rsid w:val="00B706F2"/>
    <w:rsid w:val="00B72604"/>
    <w:rsid w:val="00B72D56"/>
    <w:rsid w:val="00B762C9"/>
    <w:rsid w:val="00B94CEF"/>
    <w:rsid w:val="00BA063D"/>
    <w:rsid w:val="00BA7541"/>
    <w:rsid w:val="00BC0748"/>
    <w:rsid w:val="00BD0CCA"/>
    <w:rsid w:val="00BD68A5"/>
    <w:rsid w:val="00BE1AD4"/>
    <w:rsid w:val="00BE1B62"/>
    <w:rsid w:val="00BE6737"/>
    <w:rsid w:val="00BF646D"/>
    <w:rsid w:val="00C11B5B"/>
    <w:rsid w:val="00C21A95"/>
    <w:rsid w:val="00C303C1"/>
    <w:rsid w:val="00C34991"/>
    <w:rsid w:val="00C35B56"/>
    <w:rsid w:val="00C42093"/>
    <w:rsid w:val="00C434F3"/>
    <w:rsid w:val="00C507CE"/>
    <w:rsid w:val="00C54D22"/>
    <w:rsid w:val="00C571F5"/>
    <w:rsid w:val="00C620F8"/>
    <w:rsid w:val="00C63013"/>
    <w:rsid w:val="00C66FC4"/>
    <w:rsid w:val="00C93876"/>
    <w:rsid w:val="00CA60A9"/>
    <w:rsid w:val="00CA68E4"/>
    <w:rsid w:val="00CB0D6E"/>
    <w:rsid w:val="00CB77BC"/>
    <w:rsid w:val="00CC0A10"/>
    <w:rsid w:val="00CD5A81"/>
    <w:rsid w:val="00CD6AEC"/>
    <w:rsid w:val="00CE2AC7"/>
    <w:rsid w:val="00CE33C6"/>
    <w:rsid w:val="00CE4C6C"/>
    <w:rsid w:val="00CE5546"/>
    <w:rsid w:val="00D06EBC"/>
    <w:rsid w:val="00D12643"/>
    <w:rsid w:val="00D17CA1"/>
    <w:rsid w:val="00D20152"/>
    <w:rsid w:val="00D4736E"/>
    <w:rsid w:val="00D4750B"/>
    <w:rsid w:val="00D52C0D"/>
    <w:rsid w:val="00D5534D"/>
    <w:rsid w:val="00D630FF"/>
    <w:rsid w:val="00D669F5"/>
    <w:rsid w:val="00D66FE8"/>
    <w:rsid w:val="00D756A5"/>
    <w:rsid w:val="00D779BD"/>
    <w:rsid w:val="00D77B05"/>
    <w:rsid w:val="00D802A5"/>
    <w:rsid w:val="00D8138A"/>
    <w:rsid w:val="00D9070D"/>
    <w:rsid w:val="00D974A1"/>
    <w:rsid w:val="00DA08C1"/>
    <w:rsid w:val="00DA7E1A"/>
    <w:rsid w:val="00DB17B7"/>
    <w:rsid w:val="00DB2723"/>
    <w:rsid w:val="00DB5CA2"/>
    <w:rsid w:val="00DC2061"/>
    <w:rsid w:val="00DC2FAD"/>
    <w:rsid w:val="00DC472F"/>
    <w:rsid w:val="00DC50E9"/>
    <w:rsid w:val="00DF688D"/>
    <w:rsid w:val="00E078BC"/>
    <w:rsid w:val="00E130F6"/>
    <w:rsid w:val="00E27D8E"/>
    <w:rsid w:val="00E36E78"/>
    <w:rsid w:val="00E41160"/>
    <w:rsid w:val="00E53E1B"/>
    <w:rsid w:val="00E6100E"/>
    <w:rsid w:val="00E6177B"/>
    <w:rsid w:val="00E9650B"/>
    <w:rsid w:val="00E967AF"/>
    <w:rsid w:val="00EA1638"/>
    <w:rsid w:val="00EB2E25"/>
    <w:rsid w:val="00EB4D24"/>
    <w:rsid w:val="00EB73C6"/>
    <w:rsid w:val="00EC0DDB"/>
    <w:rsid w:val="00EC6A11"/>
    <w:rsid w:val="00EC725D"/>
    <w:rsid w:val="00ED0DF1"/>
    <w:rsid w:val="00ED31AC"/>
    <w:rsid w:val="00ED5E5B"/>
    <w:rsid w:val="00EE0076"/>
    <w:rsid w:val="00EF355B"/>
    <w:rsid w:val="00EF4CB1"/>
    <w:rsid w:val="00EF7928"/>
    <w:rsid w:val="00F013C9"/>
    <w:rsid w:val="00F013D5"/>
    <w:rsid w:val="00F06490"/>
    <w:rsid w:val="00F1124F"/>
    <w:rsid w:val="00F17736"/>
    <w:rsid w:val="00F246AF"/>
    <w:rsid w:val="00F427E4"/>
    <w:rsid w:val="00F46760"/>
    <w:rsid w:val="00F529C0"/>
    <w:rsid w:val="00F66EF7"/>
    <w:rsid w:val="00F71508"/>
    <w:rsid w:val="00F812AA"/>
    <w:rsid w:val="00F84DBB"/>
    <w:rsid w:val="00F8666A"/>
    <w:rsid w:val="00F9206B"/>
    <w:rsid w:val="00F9446E"/>
    <w:rsid w:val="00F95C7E"/>
    <w:rsid w:val="00F97646"/>
    <w:rsid w:val="00FA7917"/>
    <w:rsid w:val="00FC0D74"/>
    <w:rsid w:val="00FE2B92"/>
    <w:rsid w:val="00FE7DA0"/>
    <w:rsid w:val="00FF16A0"/>
    <w:rsid w:val="00FF1A93"/>
    <w:rsid w:val="00FF6B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947EA1174B37F49963684499E9B802E" ma:contentTypeVersion="0" ma:contentTypeDescription="A content type to manage public (operations) IDB documents" ma:contentTypeScope="" ma:versionID="8e9208d5db692f19ac33ac03f43c6f31">
  <xsd:schema xmlns:xsd="http://www.w3.org/2001/XMLSchema" xmlns:xs="http://www.w3.org/2001/XMLSchema" xmlns:p="http://schemas.microsoft.com/office/2006/metadata/properties" xmlns:ns2="9c571b2f-e523-4ab2-ba2e-09e151a03ef4" targetNamespace="http://schemas.microsoft.com/office/2006/metadata/properties" ma:root="true" ma:fieldsID="ea10425a85c348856598c9126accb9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2eb5a7c-d5f3-41ca-895a-b44c4b617af3}" ma:internalName="TaxCatchAll" ma:showField="CatchAllData"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2eb5a7c-d5f3-41ca-895a-b44c4b617af3}" ma:internalName="TaxCatchAllLabel" ma:readOnly="true" ma:showField="CatchAllDataLabel"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39955320</IDBDocs_x0020_Number>
    <Document_x0020_Author xmlns="9c571b2f-e523-4ab2-ba2e-09e151a03ef4">Garzonio, Omar Dario</Document_x0020_Author>
    <Publication_x0020_Type xmlns="9c571b2f-e523-4ab2-ba2e-09e151a03ef4" xsi:nil="true"/>
    <Operation_x0020_Type xmlns="9c571b2f-e523-4ab2-ba2e-09e151a03ef4" xsi:nil="true"/>
    <TaxCatchAll xmlns="9c571b2f-e523-4ab2-ba2e-09e151a03ef4">
      <Value>4</Value>
      <Value>3</Value>
      <Value>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BO-L1100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Water and Sanitation</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documentManagement>
</p:properties>
</file>

<file path=customXml/itemProps1.xml><?xml version="1.0" encoding="utf-8"?>
<ds:datastoreItem xmlns:ds="http://schemas.openxmlformats.org/officeDocument/2006/customXml" ds:itemID="{1F95BA3E-CC7D-412E-9B54-8A8E6D1A0CDE}"/>
</file>

<file path=customXml/itemProps2.xml><?xml version="1.0" encoding="utf-8"?>
<ds:datastoreItem xmlns:ds="http://schemas.openxmlformats.org/officeDocument/2006/customXml" ds:itemID="{4498B7F2-9FCD-4EC1-A064-5924F6B61704}"/>
</file>

<file path=customXml/itemProps3.xml><?xml version="1.0" encoding="utf-8"?>
<ds:datastoreItem xmlns:ds="http://schemas.openxmlformats.org/officeDocument/2006/customXml" ds:itemID="{F99E8DBC-A014-4278-ABEE-511B2FF311DC}"/>
</file>

<file path=customXml/itemProps4.xml><?xml version="1.0" encoding="utf-8"?>
<ds:datastoreItem xmlns:ds="http://schemas.openxmlformats.org/officeDocument/2006/customXml" ds:itemID="{4D7162A1-D8E6-423F-8FD3-840E17DF0F9A}"/>
</file>

<file path=customXml/itemProps5.xml><?xml version="1.0" encoding="utf-8"?>
<ds:datastoreItem xmlns:ds="http://schemas.openxmlformats.org/officeDocument/2006/customXml" ds:itemID="{6A668A2E-E127-4814-ACAA-9EEB6CB85D87}"/>
</file>

<file path=customXml/itemProps6.xml><?xml version="1.0" encoding="utf-8"?>
<ds:datastoreItem xmlns:ds="http://schemas.openxmlformats.org/officeDocument/2006/customXml" ds:itemID="{2C221671-C7EE-4A0A-91C4-41560DE10B33}"/>
</file>

<file path=docProps/app.xml><?xml version="1.0" encoding="utf-8"?>
<Properties xmlns="http://schemas.openxmlformats.org/officeDocument/2006/extended-properties" xmlns:vt="http://schemas.openxmlformats.org/officeDocument/2006/docPropsVTypes">
  <Template>Normal.dotm</Template>
  <TotalTime>70</TotalTime>
  <Pages>8</Pages>
  <Words>4196</Words>
  <Characters>23919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Análisis del Cumplimiento de la PUP</dc:title>
  <dc:creator>Inter-American Development Bank</dc:creator>
  <cp:lastModifiedBy>Inter-American Development Bank</cp:lastModifiedBy>
  <cp:revision>31</cp:revision>
  <cp:lastPrinted>2015-05-19T15:05:00Z</cp:lastPrinted>
  <dcterms:created xsi:type="dcterms:W3CDTF">2015-10-19T14:06:00Z</dcterms:created>
  <dcterms:modified xsi:type="dcterms:W3CDTF">2015-11-19T23:19:00Z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0x01010046CF21643EE8D14686A648AA6DAD0892008947EA1174B37F49963684499E9B802E</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7" name="Sub-Sector">
    <vt:lpwstr/>
  </property>
  <property fmtid="{D5CDD505-2E9C-101B-9397-08002B2CF9AE}" pid="8" name="Country">
    <vt:lpwstr>3;#Bolivia|6445a937-aea4-4907-9f24-bff96a7c61c8</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4;#Project Preparation, Planning and Design|29ca0c72-1fc4-435f-a09c-28585cb5eac9</vt:lpwstr>
  </property>
</Properties>
</file>