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CC722" w14:textId="037AAAF7" w:rsidR="007F6403" w:rsidRPr="00E77F0E" w:rsidRDefault="008A59AB" w:rsidP="008A066E">
      <w:pPr>
        <w:jc w:val="center"/>
        <w:rPr>
          <w:rFonts w:ascii="Arial" w:hAnsi="Arial" w:cs="Arial"/>
          <w:b/>
          <w:bCs/>
          <w:lang w:val="es-ES"/>
        </w:rPr>
      </w:pPr>
      <w:r w:rsidRPr="00E77F0E">
        <w:rPr>
          <w:rFonts w:ascii="Arial" w:hAnsi="Arial" w:cs="Arial"/>
          <w:b/>
          <w:bCs/>
          <w:lang w:val="es-ES"/>
        </w:rPr>
        <w:t>EEO</w:t>
      </w:r>
      <w:r w:rsidR="00711F5F" w:rsidRPr="00E77F0E">
        <w:rPr>
          <w:rFonts w:ascii="Arial" w:hAnsi="Arial" w:cs="Arial"/>
          <w:b/>
          <w:bCs/>
          <w:lang w:val="es-ES"/>
        </w:rPr>
        <w:t>7</w:t>
      </w:r>
      <w:r w:rsidR="00971CBD" w:rsidRPr="00E77F0E">
        <w:rPr>
          <w:rFonts w:ascii="Arial" w:hAnsi="Arial" w:cs="Arial"/>
          <w:b/>
          <w:bCs/>
          <w:lang w:val="es-ES"/>
        </w:rPr>
        <w:t xml:space="preserve">: </w:t>
      </w:r>
      <w:r w:rsidR="002551DD" w:rsidRPr="00E77F0E">
        <w:rPr>
          <w:rFonts w:ascii="Arial" w:hAnsi="Arial" w:cs="Arial"/>
          <w:b/>
          <w:bCs/>
          <w:lang w:val="es-ES"/>
        </w:rPr>
        <w:t>Aspectos de d</w:t>
      </w:r>
      <w:r w:rsidR="00971CBD" w:rsidRPr="00E77F0E">
        <w:rPr>
          <w:rFonts w:ascii="Arial" w:hAnsi="Arial" w:cs="Arial"/>
          <w:b/>
          <w:bCs/>
          <w:lang w:val="es-ES"/>
        </w:rPr>
        <w:t xml:space="preserve">iseño del </w:t>
      </w:r>
      <w:r w:rsidR="008A066E" w:rsidRPr="00E77F0E">
        <w:rPr>
          <w:rFonts w:ascii="Arial" w:hAnsi="Arial" w:cs="Arial"/>
          <w:b/>
          <w:bCs/>
          <w:lang w:val="es-ES"/>
        </w:rPr>
        <w:t>Laboratorio Previsional</w:t>
      </w:r>
      <w:r w:rsidR="004A27B7" w:rsidRPr="00E77F0E">
        <w:rPr>
          <w:rFonts w:ascii="Arial" w:hAnsi="Arial" w:cs="Arial"/>
          <w:b/>
          <w:bCs/>
          <w:lang w:val="es-ES"/>
        </w:rPr>
        <w:t xml:space="preserve"> del BID</w:t>
      </w:r>
      <w:r w:rsidR="002551DD" w:rsidRPr="00E77F0E">
        <w:rPr>
          <w:rFonts w:ascii="Arial" w:hAnsi="Arial" w:cs="Arial"/>
          <w:b/>
          <w:bCs/>
          <w:lang w:val="es-ES"/>
        </w:rPr>
        <w:t xml:space="preserve"> y las pruebas piloto</w:t>
      </w:r>
    </w:p>
    <w:p w14:paraId="2E3034BB" w14:textId="013E6F25" w:rsidR="007167C5" w:rsidRPr="00E77F0E" w:rsidRDefault="00D34923" w:rsidP="00D95637">
      <w:pPr>
        <w:jc w:val="both"/>
        <w:rPr>
          <w:rFonts w:ascii="Arial" w:hAnsi="Arial" w:cs="Arial"/>
          <w:lang w:val="es-ES_tradnl"/>
        </w:rPr>
      </w:pPr>
      <w:r w:rsidRPr="00E77F0E">
        <w:rPr>
          <w:rFonts w:ascii="Arial" w:hAnsi="Arial" w:cs="Arial"/>
          <w:lang w:val="es-ES_tradnl"/>
        </w:rPr>
        <w:t>El proyecto financiará la puesta en marcha de un laboratorio previsional</w:t>
      </w:r>
      <w:r w:rsidR="00BF4F55" w:rsidRPr="00E77F0E">
        <w:rPr>
          <w:rFonts w:ascii="Arial" w:hAnsi="Arial" w:cs="Arial"/>
          <w:lang w:val="es-ES_tradnl"/>
        </w:rPr>
        <w:t xml:space="preserve"> dentro del Ministerio de Hacienda</w:t>
      </w:r>
      <w:r w:rsidR="00A73388" w:rsidRPr="00E77F0E">
        <w:rPr>
          <w:rFonts w:ascii="Arial" w:hAnsi="Arial" w:cs="Arial"/>
          <w:lang w:val="es-ES_tradnl"/>
        </w:rPr>
        <w:t xml:space="preserve"> (MH)</w:t>
      </w:r>
      <w:r w:rsidRPr="00E77F0E">
        <w:rPr>
          <w:rFonts w:ascii="Arial" w:hAnsi="Arial" w:cs="Arial"/>
          <w:lang w:val="es-ES_tradnl"/>
        </w:rPr>
        <w:t xml:space="preserve"> que</w:t>
      </w:r>
      <w:r w:rsidR="00FA09BF" w:rsidRPr="00E77F0E">
        <w:rPr>
          <w:rFonts w:ascii="Arial" w:hAnsi="Arial" w:cs="Arial"/>
          <w:lang w:val="es-ES_tradnl"/>
        </w:rPr>
        <w:t xml:space="preserve"> tiene como objetivo </w:t>
      </w:r>
      <w:r w:rsidRPr="00E77F0E">
        <w:rPr>
          <w:rFonts w:ascii="Arial" w:hAnsi="Arial" w:cs="Arial"/>
          <w:lang w:val="es-ES_tradnl"/>
        </w:rPr>
        <w:t xml:space="preserve">diseñar, implementar y evaluar políticas </w:t>
      </w:r>
      <w:r w:rsidR="00AC7AD9" w:rsidRPr="00E77F0E">
        <w:rPr>
          <w:rFonts w:ascii="Arial" w:hAnsi="Arial" w:cs="Arial"/>
          <w:lang w:val="es-ES_tradnl"/>
        </w:rPr>
        <w:t xml:space="preserve">innovadoras </w:t>
      </w:r>
      <w:r w:rsidRPr="00E77F0E">
        <w:rPr>
          <w:rFonts w:ascii="Arial" w:hAnsi="Arial" w:cs="Arial"/>
          <w:lang w:val="es-ES_tradnl"/>
        </w:rPr>
        <w:t xml:space="preserve">orientadas a fortalecer el </w:t>
      </w:r>
      <w:r w:rsidR="00C604B6" w:rsidRPr="00E77F0E">
        <w:rPr>
          <w:rFonts w:ascii="Arial" w:hAnsi="Arial" w:cs="Arial"/>
          <w:lang w:val="es-ES_tradnl"/>
        </w:rPr>
        <w:t>S</w:t>
      </w:r>
      <w:r w:rsidRPr="00E77F0E">
        <w:rPr>
          <w:rFonts w:ascii="Arial" w:hAnsi="Arial" w:cs="Arial"/>
          <w:lang w:val="es-ES_tradnl"/>
        </w:rPr>
        <w:t xml:space="preserve">istema de </w:t>
      </w:r>
      <w:r w:rsidR="00C604B6" w:rsidRPr="00E77F0E">
        <w:rPr>
          <w:rFonts w:ascii="Arial" w:hAnsi="Arial" w:cs="Arial"/>
          <w:lang w:val="es-ES_tradnl"/>
        </w:rPr>
        <w:t>Jubilaciones y Pensiones (SJP)</w:t>
      </w:r>
      <w:r w:rsidR="00F336F7" w:rsidRPr="00E77F0E">
        <w:rPr>
          <w:rFonts w:ascii="Arial" w:hAnsi="Arial" w:cs="Arial"/>
          <w:lang w:val="es-ES_tradnl"/>
        </w:rPr>
        <w:t xml:space="preserve"> de Paraguay</w:t>
      </w:r>
      <w:r w:rsidRPr="00E77F0E">
        <w:rPr>
          <w:rFonts w:ascii="Arial" w:hAnsi="Arial" w:cs="Arial"/>
          <w:lang w:val="es-ES_tradnl"/>
        </w:rPr>
        <w:t>.</w:t>
      </w:r>
      <w:r w:rsidR="005908CE" w:rsidRPr="00E77F0E">
        <w:rPr>
          <w:rFonts w:ascii="Arial" w:hAnsi="Arial" w:cs="Arial"/>
          <w:lang w:val="es-ES_tradnl"/>
        </w:rPr>
        <w:t xml:space="preserve"> </w:t>
      </w:r>
      <w:r w:rsidR="000A1C94" w:rsidRPr="00E77F0E">
        <w:rPr>
          <w:rFonts w:ascii="Arial" w:hAnsi="Arial" w:cs="Arial"/>
          <w:lang w:val="es-ES_tradnl"/>
        </w:rPr>
        <w:t xml:space="preserve">En </w:t>
      </w:r>
      <w:r w:rsidR="00A57195" w:rsidRPr="00E77F0E">
        <w:rPr>
          <w:rFonts w:ascii="Arial" w:hAnsi="Arial" w:cs="Arial"/>
          <w:lang w:val="es-ES_tradnl"/>
        </w:rPr>
        <w:t>el contexto de la creación de este laboratorio</w:t>
      </w:r>
      <w:r w:rsidR="003D4C60" w:rsidRPr="00E77F0E">
        <w:rPr>
          <w:rFonts w:ascii="Arial" w:hAnsi="Arial" w:cs="Arial"/>
          <w:lang w:val="es-ES_tradnl"/>
        </w:rPr>
        <w:t>, se brindará</w:t>
      </w:r>
      <w:r w:rsidR="000A1C94" w:rsidRPr="00E77F0E">
        <w:rPr>
          <w:rFonts w:ascii="Arial" w:hAnsi="Arial" w:cs="Arial"/>
          <w:lang w:val="es-ES_tradnl"/>
        </w:rPr>
        <w:t xml:space="preserve"> además</w:t>
      </w:r>
      <w:r w:rsidR="003D4C60" w:rsidRPr="00E77F0E">
        <w:rPr>
          <w:rFonts w:ascii="Arial" w:hAnsi="Arial" w:cs="Arial"/>
          <w:lang w:val="es-ES_tradnl"/>
        </w:rPr>
        <w:t xml:space="preserve"> apoyo </w:t>
      </w:r>
      <w:r w:rsidR="00A57195" w:rsidRPr="00E77F0E">
        <w:rPr>
          <w:rFonts w:ascii="Arial" w:hAnsi="Arial" w:cs="Arial"/>
          <w:lang w:val="es-ES_tradnl"/>
        </w:rPr>
        <w:t>a</w:t>
      </w:r>
      <w:r w:rsidR="00092D8C" w:rsidRPr="00E77F0E">
        <w:rPr>
          <w:rFonts w:ascii="Arial" w:hAnsi="Arial" w:cs="Arial"/>
          <w:lang w:val="es-ES_tradnl"/>
        </w:rPr>
        <w:t>l personal del MH</w:t>
      </w:r>
      <w:r w:rsidR="00A57195" w:rsidRPr="00E77F0E">
        <w:rPr>
          <w:rFonts w:ascii="Arial" w:hAnsi="Arial" w:cs="Arial"/>
          <w:lang w:val="es-ES_tradnl"/>
        </w:rPr>
        <w:t xml:space="preserve"> </w:t>
      </w:r>
      <w:r w:rsidR="00CE4890" w:rsidRPr="00E77F0E">
        <w:rPr>
          <w:rFonts w:ascii="Arial" w:hAnsi="Arial" w:cs="Arial"/>
          <w:lang w:val="es-ES_tradnl"/>
        </w:rPr>
        <w:t xml:space="preserve">en la realización de </w:t>
      </w:r>
      <w:r w:rsidRPr="00E77F0E">
        <w:rPr>
          <w:rFonts w:ascii="Arial" w:hAnsi="Arial" w:cs="Arial"/>
          <w:lang w:val="es-ES_tradnl"/>
        </w:rPr>
        <w:t>dos proyectos pilotos</w:t>
      </w:r>
      <w:r w:rsidR="00CE4890" w:rsidRPr="00E77F0E">
        <w:rPr>
          <w:rFonts w:ascii="Arial" w:hAnsi="Arial" w:cs="Arial"/>
          <w:lang w:val="es-ES_tradnl"/>
        </w:rPr>
        <w:t xml:space="preserve"> </w:t>
      </w:r>
      <w:r w:rsidR="000A1C94" w:rsidRPr="00E77F0E">
        <w:rPr>
          <w:rFonts w:ascii="Arial" w:hAnsi="Arial" w:cs="Arial"/>
          <w:lang w:val="es-ES_tradnl"/>
        </w:rPr>
        <w:t>para</w:t>
      </w:r>
      <w:r w:rsidR="00B72B94" w:rsidRPr="00E77F0E">
        <w:rPr>
          <w:rFonts w:ascii="Arial" w:hAnsi="Arial" w:cs="Arial"/>
          <w:lang w:val="es-ES_tradnl"/>
        </w:rPr>
        <w:t xml:space="preserve"> </w:t>
      </w:r>
      <w:r w:rsidRPr="00E77F0E">
        <w:rPr>
          <w:rFonts w:ascii="Arial" w:hAnsi="Arial" w:cs="Arial"/>
          <w:lang w:val="es-ES_tradnl"/>
        </w:rPr>
        <w:t xml:space="preserve">promover la participación al sistema de pensiones </w:t>
      </w:r>
      <w:r w:rsidR="00DC6EB7" w:rsidRPr="00E77F0E">
        <w:rPr>
          <w:rFonts w:ascii="Arial" w:hAnsi="Arial" w:cs="Arial"/>
          <w:lang w:val="es-ES_tradnl"/>
        </w:rPr>
        <w:t xml:space="preserve">de </w:t>
      </w:r>
      <w:r w:rsidR="007167C5" w:rsidRPr="00E77F0E">
        <w:rPr>
          <w:rFonts w:ascii="Arial" w:hAnsi="Arial" w:cs="Arial"/>
          <w:lang w:val="es-ES_tradnl"/>
        </w:rPr>
        <w:t xml:space="preserve">poblaciones tradicionalmente excluidos </w:t>
      </w:r>
      <w:r w:rsidR="005F63AE" w:rsidRPr="00E77F0E">
        <w:rPr>
          <w:rFonts w:ascii="Arial" w:hAnsi="Arial" w:cs="Arial"/>
          <w:lang w:val="es-ES_tradnl"/>
        </w:rPr>
        <w:t>de este</w:t>
      </w:r>
      <w:r w:rsidR="007167C5" w:rsidRPr="00E77F0E">
        <w:rPr>
          <w:rFonts w:ascii="Arial" w:hAnsi="Arial" w:cs="Arial"/>
          <w:lang w:val="es-ES_tradnl"/>
        </w:rPr>
        <w:t xml:space="preserve">. A continuación, se detallarán los aspectos </w:t>
      </w:r>
      <w:r w:rsidR="00816DB4" w:rsidRPr="00E77F0E">
        <w:rPr>
          <w:rFonts w:ascii="Arial" w:hAnsi="Arial" w:cs="Arial"/>
          <w:lang w:val="es-ES_tradnl"/>
        </w:rPr>
        <w:t>de diseño más importante</w:t>
      </w:r>
      <w:r w:rsidR="007355F5" w:rsidRPr="00E77F0E">
        <w:rPr>
          <w:rFonts w:ascii="Arial" w:hAnsi="Arial" w:cs="Arial"/>
          <w:lang w:val="es-ES_tradnl"/>
        </w:rPr>
        <w:t>s</w:t>
      </w:r>
      <w:r w:rsidR="007167C5" w:rsidRPr="00E77F0E">
        <w:rPr>
          <w:rFonts w:ascii="Arial" w:hAnsi="Arial" w:cs="Arial"/>
          <w:lang w:val="es-ES_tradnl"/>
        </w:rPr>
        <w:t xml:space="preserve"> de los pilotos a ser implementados.</w:t>
      </w:r>
    </w:p>
    <w:p w14:paraId="2EAE07DF" w14:textId="183D40BF" w:rsidR="007167C5" w:rsidRPr="00E77F0E" w:rsidRDefault="00770609" w:rsidP="00D95637">
      <w:pPr>
        <w:jc w:val="both"/>
        <w:rPr>
          <w:rFonts w:ascii="Arial" w:hAnsi="Arial" w:cs="Arial"/>
          <w:b/>
          <w:bCs/>
          <w:lang w:val="es-ES_tradnl"/>
        </w:rPr>
      </w:pPr>
      <w:r w:rsidRPr="00E77F0E">
        <w:rPr>
          <w:rFonts w:ascii="Arial" w:hAnsi="Arial" w:cs="Arial"/>
          <w:b/>
          <w:bCs/>
          <w:lang w:val="es-ES_tradnl"/>
        </w:rPr>
        <w:t>El Laboratorio de Ahorro para el Retiro</w:t>
      </w:r>
      <w:r w:rsidR="006809E5" w:rsidRPr="00E77F0E">
        <w:rPr>
          <w:rFonts w:ascii="Arial" w:hAnsi="Arial" w:cs="Arial"/>
          <w:b/>
          <w:bCs/>
          <w:lang w:val="es-ES_tradnl"/>
        </w:rPr>
        <w:t xml:space="preserve"> del BID</w:t>
      </w:r>
    </w:p>
    <w:p w14:paraId="02327DD0" w14:textId="44B6836B" w:rsidR="00D14409" w:rsidRPr="00E77F0E" w:rsidRDefault="00FB2543" w:rsidP="00CB0B95">
      <w:pPr>
        <w:jc w:val="both"/>
        <w:rPr>
          <w:rFonts w:ascii="Arial" w:hAnsi="Arial" w:cs="Arial"/>
          <w:lang w:val="es-ES"/>
        </w:rPr>
      </w:pPr>
      <w:r w:rsidRPr="00E77F0E">
        <w:rPr>
          <w:rFonts w:ascii="Arial" w:hAnsi="Arial" w:cs="Arial"/>
          <w:lang w:val="es-ES"/>
        </w:rPr>
        <w:t>El B</w:t>
      </w:r>
      <w:r w:rsidR="00D74F30" w:rsidRPr="00E77F0E">
        <w:rPr>
          <w:rFonts w:ascii="Arial" w:hAnsi="Arial" w:cs="Arial"/>
          <w:lang w:val="es-ES"/>
        </w:rPr>
        <w:t>anco Interamericano de Desarrollo (BID)</w:t>
      </w:r>
      <w:r w:rsidRPr="00E77F0E">
        <w:rPr>
          <w:rFonts w:ascii="Arial" w:hAnsi="Arial" w:cs="Arial"/>
          <w:lang w:val="es-ES"/>
        </w:rPr>
        <w:t>, a través de su División de Mercados Laborales</w:t>
      </w:r>
      <w:r w:rsidR="00375385" w:rsidRPr="00E77F0E">
        <w:rPr>
          <w:rFonts w:ascii="Arial" w:hAnsi="Arial" w:cs="Arial"/>
          <w:lang w:val="es-ES"/>
        </w:rPr>
        <w:t>,</w:t>
      </w:r>
      <w:r w:rsidR="00AF07E0" w:rsidRPr="00E77F0E">
        <w:rPr>
          <w:rFonts w:ascii="Arial" w:hAnsi="Arial" w:cs="Arial"/>
          <w:lang w:val="es-ES"/>
        </w:rPr>
        <w:t xml:space="preserve"> </w:t>
      </w:r>
      <w:r w:rsidR="00152FB5" w:rsidRPr="00E77F0E">
        <w:rPr>
          <w:rFonts w:ascii="Arial" w:hAnsi="Arial" w:cs="Arial"/>
          <w:lang w:val="es-ES"/>
        </w:rPr>
        <w:t xml:space="preserve">desde el año 2016 </w:t>
      </w:r>
      <w:r w:rsidR="00375385" w:rsidRPr="00E77F0E">
        <w:rPr>
          <w:rFonts w:ascii="Arial" w:hAnsi="Arial" w:cs="Arial"/>
          <w:lang w:val="es-ES"/>
        </w:rPr>
        <w:t xml:space="preserve">ejecuta el </w:t>
      </w:r>
      <w:r w:rsidRPr="00E77F0E">
        <w:rPr>
          <w:rFonts w:ascii="Arial" w:hAnsi="Arial" w:cs="Arial"/>
          <w:lang w:val="es-ES"/>
        </w:rPr>
        <w:t>Laboratorio de Ahorro para el Retiro. El objetivo de esta iniciativa</w:t>
      </w:r>
      <w:r w:rsidR="00D74F30" w:rsidRPr="00E77F0E">
        <w:rPr>
          <w:rFonts w:ascii="Arial" w:hAnsi="Arial" w:cs="Arial"/>
          <w:lang w:val="es-ES"/>
        </w:rPr>
        <w:t>, que cuenta con financiamiento de BID Lab y de MetLife Foundation,</w:t>
      </w:r>
      <w:r w:rsidRPr="00E77F0E">
        <w:rPr>
          <w:rFonts w:ascii="Arial" w:hAnsi="Arial" w:cs="Arial"/>
          <w:lang w:val="es-ES"/>
        </w:rPr>
        <w:t xml:space="preserve"> es mejorar la cobertura y adecuación de las pensiones en América Latina y el Caribe a través de intervenciones innovadoras que permitan a la población de la región ahorrar para su vejez de manera conveniente. Sus intervenciones se basan en avances tecnológicos que facilitan la aplicación de lecciones de la economía del comportamiento, que, según la evidencia internacional, son efectivas en promover el ahorro a largo plazo de las personas.</w:t>
      </w:r>
      <w:r w:rsidR="009C2EA3" w:rsidRPr="00E77F0E">
        <w:rPr>
          <w:rFonts w:ascii="Arial" w:hAnsi="Arial" w:cs="Arial"/>
          <w:lang w:val="es-ES"/>
        </w:rPr>
        <w:t xml:space="preserve"> El Laboratorio </w:t>
      </w:r>
      <w:r w:rsidR="001C4B51" w:rsidRPr="00E77F0E">
        <w:rPr>
          <w:rFonts w:ascii="Arial" w:hAnsi="Arial" w:cs="Arial"/>
          <w:lang w:val="es-ES"/>
        </w:rPr>
        <w:t>se enfoca en promover el ahorro para el retiro para aquellos segmentos de trabajadores que enfrentan los mayores desafíos con respecto al acceso y la adecuación de las pensiones: trabajadores independientes, trabajadores asalariados informales y personas con bajos ingresos.</w:t>
      </w:r>
    </w:p>
    <w:p w14:paraId="6B2C001E" w14:textId="774FDF28" w:rsidR="00804237" w:rsidRPr="00E77F0E" w:rsidRDefault="00804237" w:rsidP="00CB0B95">
      <w:pPr>
        <w:jc w:val="both"/>
        <w:rPr>
          <w:rFonts w:ascii="Arial" w:hAnsi="Arial" w:cs="Arial"/>
          <w:lang w:val="es-ES_tradnl"/>
        </w:rPr>
      </w:pPr>
      <w:r w:rsidRPr="00E77F0E">
        <w:rPr>
          <w:rFonts w:ascii="Arial" w:hAnsi="Arial" w:cs="Arial"/>
          <w:color w:val="000000"/>
          <w:lang w:val="es-ES"/>
        </w:rPr>
        <w:t xml:space="preserve">Existe evidencia que la implementación de mecanismos que consideran estos aspectos puede aumentar las tasas de contribución al sistema de pensiones. </w:t>
      </w:r>
      <w:r w:rsidRPr="00E77F0E">
        <w:rPr>
          <w:rFonts w:ascii="Arial" w:hAnsi="Arial" w:cs="Arial"/>
          <w:lang w:val="es-ES_tradnl"/>
        </w:rPr>
        <w:t>Las propuestas para mejorar las tasas de contribución basadas en la economía del comportamiento utilizan los sesgos psicológicos de las personas para facilitar —en lugar de para dificultar— la contribución voluntaria al sistema de pensiones</w:t>
      </w:r>
      <w:r w:rsidRPr="00E77F0E">
        <w:rPr>
          <w:rStyle w:val="FootnoteReference"/>
          <w:rFonts w:ascii="Arial" w:hAnsi="Arial" w:cs="Arial"/>
          <w:lang w:val="es-ES_tradnl"/>
        </w:rPr>
        <w:footnoteReference w:customMarkFollows="1" w:id="2"/>
        <w:t>[1]</w:t>
      </w:r>
      <w:r w:rsidRPr="00E77F0E">
        <w:rPr>
          <w:rFonts w:ascii="Arial" w:hAnsi="Arial" w:cs="Arial"/>
          <w:lang w:val="es-ES_tradnl"/>
        </w:rPr>
        <w:t>. Esto implica instrumentar medidas que establezcan opciones predeterminadas favorables a contribuir al sistema, que simplifiquen la toma de decisiones, mantengan presente la importancia de las pensiones, ofrezcan pequeñas recompensas en el presente por trasladar el consumo de hoy al futuro, y fijen plazos a fin de evitar la propensión a procrastinar, entre otras. Por otra parte, la innovación tecnológica permite atender de manera altamente costo-efectiva a diferentes segmentos poblacionales, incluyendo aquellos difíciles de alcanzar con medios de comunicación tradicionales, para así expandir la cobertura de los sistemas de pensiones.</w:t>
      </w:r>
    </w:p>
    <w:p w14:paraId="4E30E808" w14:textId="787004DB" w:rsidR="00724677" w:rsidRPr="00E77F0E" w:rsidRDefault="00FC562C" w:rsidP="00CB0B95">
      <w:pPr>
        <w:jc w:val="both"/>
        <w:rPr>
          <w:rFonts w:ascii="Arial" w:hAnsi="Arial" w:cs="Arial"/>
          <w:lang w:val="es-ES_tradnl"/>
        </w:rPr>
      </w:pPr>
      <w:r w:rsidRPr="00E77F0E">
        <w:rPr>
          <w:rFonts w:ascii="Arial" w:hAnsi="Arial" w:cs="Arial"/>
          <w:lang w:val="es-ES_tradnl"/>
        </w:rPr>
        <w:t xml:space="preserve">A </w:t>
      </w:r>
      <w:r w:rsidR="00665288" w:rsidRPr="00E77F0E">
        <w:rPr>
          <w:rFonts w:ascii="Arial" w:hAnsi="Arial" w:cs="Arial"/>
          <w:lang w:val="es-ES_tradnl"/>
        </w:rPr>
        <w:t>mediados</w:t>
      </w:r>
      <w:r w:rsidR="00724677" w:rsidRPr="00E77F0E">
        <w:rPr>
          <w:rFonts w:ascii="Arial" w:hAnsi="Arial" w:cs="Arial"/>
          <w:lang w:val="es-ES_tradnl"/>
        </w:rPr>
        <w:t xml:space="preserve"> de 201</w:t>
      </w:r>
      <w:r w:rsidR="00665288" w:rsidRPr="00E77F0E">
        <w:rPr>
          <w:rFonts w:ascii="Arial" w:hAnsi="Arial" w:cs="Arial"/>
          <w:lang w:val="es-ES_tradnl"/>
        </w:rPr>
        <w:t>9</w:t>
      </w:r>
      <w:r w:rsidR="00724677" w:rsidRPr="00E77F0E">
        <w:rPr>
          <w:rFonts w:ascii="Arial" w:hAnsi="Arial" w:cs="Arial"/>
          <w:lang w:val="es-ES_tradnl"/>
        </w:rPr>
        <w:t xml:space="preserve">, </w:t>
      </w:r>
      <w:r w:rsidR="00E2662A" w:rsidRPr="00E77F0E">
        <w:rPr>
          <w:rFonts w:ascii="Arial" w:hAnsi="Arial" w:cs="Arial"/>
          <w:lang w:val="es-ES_tradnl"/>
        </w:rPr>
        <w:t xml:space="preserve">el Laboratorio brindó apoyo técnico y financiero a </w:t>
      </w:r>
      <w:r w:rsidRPr="00E77F0E">
        <w:rPr>
          <w:rFonts w:ascii="Arial" w:hAnsi="Arial" w:cs="Arial"/>
          <w:lang w:val="es-ES_tradnl"/>
        </w:rPr>
        <w:t xml:space="preserve">un total </w:t>
      </w:r>
      <w:r w:rsidR="00A03AD0" w:rsidRPr="00E77F0E">
        <w:rPr>
          <w:rFonts w:ascii="Arial" w:hAnsi="Arial" w:cs="Arial"/>
          <w:lang w:val="es-ES_tradnl"/>
        </w:rPr>
        <w:t>de 1</w:t>
      </w:r>
      <w:r w:rsidR="00EC1042" w:rsidRPr="00E77F0E">
        <w:rPr>
          <w:rFonts w:ascii="Arial" w:hAnsi="Arial" w:cs="Arial"/>
          <w:lang w:val="es-ES_tradnl"/>
        </w:rPr>
        <w:t>3</w:t>
      </w:r>
      <w:r w:rsidR="00A03AD0" w:rsidRPr="00E77F0E">
        <w:rPr>
          <w:rFonts w:ascii="Arial" w:hAnsi="Arial" w:cs="Arial"/>
          <w:lang w:val="es-ES_tradnl"/>
        </w:rPr>
        <w:t xml:space="preserve"> iniciativas en cuatro países de la región (Chile, Colombia, México y Perú). </w:t>
      </w:r>
      <w:r w:rsidR="00A76982" w:rsidRPr="00E77F0E">
        <w:rPr>
          <w:rFonts w:ascii="Arial" w:hAnsi="Arial" w:cs="Arial"/>
          <w:lang w:val="es-ES_tradnl"/>
        </w:rPr>
        <w:t xml:space="preserve">De estos, </w:t>
      </w:r>
      <w:r w:rsidR="00EC1042" w:rsidRPr="00E77F0E">
        <w:rPr>
          <w:rFonts w:ascii="Arial" w:hAnsi="Arial" w:cs="Arial"/>
          <w:lang w:val="es-ES_tradnl"/>
        </w:rPr>
        <w:t>8</w:t>
      </w:r>
      <w:r w:rsidR="00A76982" w:rsidRPr="00E77F0E">
        <w:rPr>
          <w:rFonts w:ascii="Arial" w:hAnsi="Arial" w:cs="Arial"/>
          <w:lang w:val="es-ES_tradnl"/>
        </w:rPr>
        <w:t xml:space="preserve"> iniciativas cuentan con resultados finales</w:t>
      </w:r>
      <w:r w:rsidR="00AE391B" w:rsidRPr="00E77F0E">
        <w:rPr>
          <w:rFonts w:ascii="Arial" w:hAnsi="Arial" w:cs="Arial"/>
          <w:lang w:val="es-ES_tradnl"/>
        </w:rPr>
        <w:t xml:space="preserve">, mientras que 5 </w:t>
      </w:r>
      <w:r w:rsidR="00CF419E" w:rsidRPr="00E77F0E">
        <w:rPr>
          <w:rFonts w:ascii="Arial" w:hAnsi="Arial" w:cs="Arial"/>
          <w:lang w:val="es-ES_tradnl"/>
        </w:rPr>
        <w:t>se encuentran todavía en fase de implementación</w:t>
      </w:r>
      <w:r w:rsidR="00A76982" w:rsidRPr="00E77F0E">
        <w:rPr>
          <w:rFonts w:ascii="Arial" w:hAnsi="Arial" w:cs="Arial"/>
          <w:lang w:val="es-ES_tradnl"/>
        </w:rPr>
        <w:t xml:space="preserve">. </w:t>
      </w:r>
      <w:r w:rsidR="00603186" w:rsidRPr="00E77F0E">
        <w:rPr>
          <w:rFonts w:ascii="Arial" w:hAnsi="Arial" w:cs="Arial"/>
          <w:lang w:val="es-ES_tradnl"/>
        </w:rPr>
        <w:t xml:space="preserve">Los pilotos </w:t>
      </w:r>
      <w:r w:rsidR="004802AD" w:rsidRPr="00E77F0E">
        <w:rPr>
          <w:rFonts w:ascii="Arial" w:hAnsi="Arial" w:cs="Arial"/>
          <w:lang w:val="es-ES_tradnl"/>
        </w:rPr>
        <w:t>aplican</w:t>
      </w:r>
      <w:r w:rsidR="00603186" w:rsidRPr="00E77F0E">
        <w:rPr>
          <w:rFonts w:ascii="Arial" w:hAnsi="Arial" w:cs="Arial"/>
          <w:lang w:val="es-ES_tradnl"/>
        </w:rPr>
        <w:t xml:space="preserve"> una variedad de mecanismos, </w:t>
      </w:r>
      <w:r w:rsidR="00CF419E" w:rsidRPr="00E77F0E">
        <w:rPr>
          <w:rFonts w:ascii="Arial" w:hAnsi="Arial" w:cs="Arial"/>
          <w:lang w:val="es-ES_tradnl"/>
        </w:rPr>
        <w:t>entre ellos</w:t>
      </w:r>
      <w:r w:rsidR="00362410" w:rsidRPr="00E77F0E">
        <w:rPr>
          <w:rFonts w:ascii="Arial" w:hAnsi="Arial" w:cs="Arial"/>
          <w:lang w:val="es-ES_tradnl"/>
        </w:rPr>
        <w:t xml:space="preserve">, el envío de recordatorios </w:t>
      </w:r>
      <w:r w:rsidR="00557A60" w:rsidRPr="00E77F0E">
        <w:rPr>
          <w:rFonts w:ascii="Arial" w:hAnsi="Arial" w:cs="Arial"/>
          <w:lang w:val="es-ES_tradnl"/>
        </w:rPr>
        <w:t xml:space="preserve">de ahorro </w:t>
      </w:r>
      <w:r w:rsidR="00362410" w:rsidRPr="00E77F0E">
        <w:rPr>
          <w:rFonts w:ascii="Arial" w:hAnsi="Arial" w:cs="Arial"/>
          <w:lang w:val="es-ES_tradnl"/>
        </w:rPr>
        <w:t xml:space="preserve">a través de mensajes SMS, correo electrónico </w:t>
      </w:r>
      <w:r w:rsidR="00297571" w:rsidRPr="00E77F0E">
        <w:rPr>
          <w:rFonts w:ascii="Arial" w:hAnsi="Arial" w:cs="Arial"/>
          <w:lang w:val="es-ES_tradnl"/>
        </w:rPr>
        <w:t>y</w:t>
      </w:r>
      <w:r w:rsidR="00362410" w:rsidRPr="00E77F0E">
        <w:rPr>
          <w:rFonts w:ascii="Arial" w:hAnsi="Arial" w:cs="Arial"/>
          <w:lang w:val="es-ES_tradnl"/>
        </w:rPr>
        <w:t xml:space="preserve"> por redes sociales</w:t>
      </w:r>
      <w:r w:rsidR="00CF419E" w:rsidRPr="00E77F0E">
        <w:rPr>
          <w:rFonts w:ascii="Arial" w:hAnsi="Arial" w:cs="Arial"/>
          <w:lang w:val="es-ES_tradnl"/>
        </w:rPr>
        <w:t>;</w:t>
      </w:r>
      <w:r w:rsidR="00362410" w:rsidRPr="00E77F0E">
        <w:rPr>
          <w:rFonts w:ascii="Arial" w:hAnsi="Arial" w:cs="Arial"/>
          <w:lang w:val="es-ES_tradnl"/>
        </w:rPr>
        <w:t xml:space="preserve"> la</w:t>
      </w:r>
      <w:r w:rsidR="00557A60" w:rsidRPr="00E77F0E">
        <w:rPr>
          <w:rFonts w:ascii="Arial" w:hAnsi="Arial" w:cs="Arial"/>
          <w:lang w:val="es-ES_tradnl"/>
        </w:rPr>
        <w:t xml:space="preserve"> oferta de mecanismos de auto-compromiso y decisiones activas</w:t>
      </w:r>
      <w:r w:rsidR="00CF419E" w:rsidRPr="00E77F0E">
        <w:rPr>
          <w:rFonts w:ascii="Arial" w:hAnsi="Arial" w:cs="Arial"/>
          <w:lang w:val="es-ES_tradnl"/>
        </w:rPr>
        <w:t>;</w:t>
      </w:r>
      <w:r w:rsidR="00557A60" w:rsidRPr="00E77F0E">
        <w:rPr>
          <w:rFonts w:ascii="Arial" w:hAnsi="Arial" w:cs="Arial"/>
          <w:lang w:val="es-ES_tradnl"/>
        </w:rPr>
        <w:t xml:space="preserve"> </w:t>
      </w:r>
      <w:r w:rsidR="00C0299C" w:rsidRPr="00E77F0E">
        <w:rPr>
          <w:rFonts w:ascii="Arial" w:hAnsi="Arial" w:cs="Arial"/>
          <w:lang w:val="es-ES_tradnl"/>
        </w:rPr>
        <w:t>la simplificación de acceso a canales de ahorro para el retiro</w:t>
      </w:r>
      <w:r w:rsidR="00CF419E" w:rsidRPr="00E77F0E">
        <w:rPr>
          <w:rFonts w:ascii="Arial" w:hAnsi="Arial" w:cs="Arial"/>
          <w:lang w:val="es-ES_tradnl"/>
        </w:rPr>
        <w:t>;</w:t>
      </w:r>
      <w:r w:rsidR="00C0299C" w:rsidRPr="00E77F0E">
        <w:rPr>
          <w:rFonts w:ascii="Arial" w:hAnsi="Arial" w:cs="Arial"/>
          <w:lang w:val="es-ES_tradnl"/>
        </w:rPr>
        <w:t xml:space="preserve"> e</w:t>
      </w:r>
      <w:r w:rsidR="00CF419E" w:rsidRPr="00E77F0E">
        <w:rPr>
          <w:rFonts w:ascii="Arial" w:hAnsi="Arial" w:cs="Arial"/>
          <w:lang w:val="es-ES_tradnl"/>
        </w:rPr>
        <w:t>,</w:t>
      </w:r>
      <w:r w:rsidR="00C0299C" w:rsidRPr="00E77F0E">
        <w:rPr>
          <w:rFonts w:ascii="Arial" w:hAnsi="Arial" w:cs="Arial"/>
          <w:lang w:val="es-ES_tradnl"/>
        </w:rPr>
        <w:t xml:space="preserve"> iniciativas de educación previsional. El cuadro 1 provee un </w:t>
      </w:r>
      <w:r w:rsidR="00297571" w:rsidRPr="00E77F0E">
        <w:rPr>
          <w:rFonts w:ascii="Arial" w:hAnsi="Arial" w:cs="Arial"/>
          <w:lang w:val="es-ES_tradnl"/>
        </w:rPr>
        <w:t>resumen</w:t>
      </w:r>
      <w:r w:rsidR="00C0299C" w:rsidRPr="00E77F0E">
        <w:rPr>
          <w:rFonts w:ascii="Arial" w:hAnsi="Arial" w:cs="Arial"/>
          <w:lang w:val="es-ES_tradnl"/>
        </w:rPr>
        <w:t xml:space="preserve"> de las </w:t>
      </w:r>
      <w:r w:rsidR="00446249" w:rsidRPr="00E77F0E">
        <w:rPr>
          <w:rFonts w:ascii="Arial" w:hAnsi="Arial" w:cs="Arial"/>
          <w:lang w:val="es-ES_tradnl"/>
        </w:rPr>
        <w:t xml:space="preserve">iniciativas implementadas </w:t>
      </w:r>
      <w:r w:rsidR="00297571" w:rsidRPr="00E77F0E">
        <w:rPr>
          <w:rFonts w:ascii="Arial" w:hAnsi="Arial" w:cs="Arial"/>
          <w:lang w:val="es-ES_tradnl"/>
        </w:rPr>
        <w:t>por</w:t>
      </w:r>
      <w:r w:rsidR="00446249" w:rsidRPr="00E77F0E">
        <w:rPr>
          <w:rFonts w:ascii="Arial" w:hAnsi="Arial" w:cs="Arial"/>
          <w:lang w:val="es-ES_tradnl"/>
        </w:rPr>
        <w:t xml:space="preserve"> el Laboratorio hasta la fecha.</w:t>
      </w:r>
    </w:p>
    <w:p w14:paraId="7C773AAB" w14:textId="77777777" w:rsidR="00200A2E" w:rsidRPr="00E77F0E" w:rsidRDefault="00200A2E" w:rsidP="00CB0B95">
      <w:pPr>
        <w:jc w:val="both"/>
        <w:rPr>
          <w:rFonts w:ascii="Arial" w:hAnsi="Arial" w:cs="Arial"/>
          <w:lang w:val="es-ES_tradnl"/>
        </w:rPr>
      </w:pPr>
    </w:p>
    <w:tbl>
      <w:tblPr>
        <w:tblStyle w:val="TableGrid"/>
        <w:tblW w:w="9630" w:type="dxa"/>
        <w:tblLook w:val="04A0" w:firstRow="1" w:lastRow="0" w:firstColumn="1" w:lastColumn="0" w:noHBand="0" w:noVBand="1"/>
      </w:tblPr>
      <w:tblGrid>
        <w:gridCol w:w="1146"/>
        <w:gridCol w:w="3079"/>
        <w:gridCol w:w="1871"/>
        <w:gridCol w:w="1757"/>
        <w:gridCol w:w="1777"/>
      </w:tblGrid>
      <w:tr w:rsidR="00F74F5C" w:rsidRPr="008E0082" w14:paraId="2B76922F" w14:textId="77777777" w:rsidTr="00200A2E">
        <w:tc>
          <w:tcPr>
            <w:tcW w:w="9630" w:type="dxa"/>
            <w:gridSpan w:val="5"/>
            <w:tcBorders>
              <w:top w:val="nil"/>
              <w:left w:val="nil"/>
              <w:right w:val="nil"/>
            </w:tcBorders>
          </w:tcPr>
          <w:p w14:paraId="257C452D" w14:textId="103B503B" w:rsidR="00F74F5C" w:rsidRPr="00E77F0E" w:rsidRDefault="00F74F5C" w:rsidP="00200A2E">
            <w:pPr>
              <w:keepNext/>
              <w:spacing w:after="120"/>
              <w:jc w:val="center"/>
              <w:rPr>
                <w:rFonts w:ascii="Arial" w:hAnsi="Arial" w:cs="Arial"/>
                <w:b/>
                <w:bCs/>
                <w:lang w:val="es-ES"/>
              </w:rPr>
            </w:pPr>
            <w:r w:rsidRPr="00E77F0E">
              <w:rPr>
                <w:rFonts w:ascii="Arial" w:hAnsi="Arial" w:cs="Arial"/>
                <w:b/>
                <w:bCs/>
                <w:lang w:val="es-ES"/>
              </w:rPr>
              <w:lastRenderedPageBreak/>
              <w:t>Cuadro 1: Resumen de las iniciativas del Laboratorio de Ahorro para el Retiro implementadas</w:t>
            </w:r>
          </w:p>
        </w:tc>
      </w:tr>
      <w:tr w:rsidR="00111137" w:rsidRPr="00E77F0E" w14:paraId="0D34AFE6" w14:textId="77777777" w:rsidTr="00200A2E">
        <w:tc>
          <w:tcPr>
            <w:tcW w:w="1146" w:type="dxa"/>
            <w:shd w:val="clear" w:color="auto" w:fill="BDD6EE" w:themeFill="accent5" w:themeFillTint="66"/>
          </w:tcPr>
          <w:p w14:paraId="270D4D95" w14:textId="783C5F27" w:rsidR="00111137" w:rsidRPr="00E77F0E" w:rsidRDefault="00111137" w:rsidP="00200A2E">
            <w:pPr>
              <w:jc w:val="center"/>
              <w:rPr>
                <w:rFonts w:ascii="Arial" w:hAnsi="Arial" w:cs="Arial"/>
                <w:b/>
                <w:bCs/>
                <w:lang w:val="es-ES"/>
              </w:rPr>
            </w:pPr>
            <w:r w:rsidRPr="00E77F0E">
              <w:rPr>
                <w:rFonts w:ascii="Arial" w:hAnsi="Arial" w:cs="Arial"/>
                <w:b/>
                <w:bCs/>
                <w:lang w:val="es-ES"/>
              </w:rPr>
              <w:t>País</w:t>
            </w:r>
          </w:p>
        </w:tc>
        <w:tc>
          <w:tcPr>
            <w:tcW w:w="3079" w:type="dxa"/>
            <w:shd w:val="clear" w:color="auto" w:fill="BDD6EE" w:themeFill="accent5" w:themeFillTint="66"/>
          </w:tcPr>
          <w:p w14:paraId="0669FA58" w14:textId="0782268B" w:rsidR="00111137" w:rsidRPr="00E77F0E" w:rsidRDefault="00111137" w:rsidP="00200A2E">
            <w:pPr>
              <w:keepNext/>
              <w:jc w:val="center"/>
              <w:rPr>
                <w:rFonts w:ascii="Arial" w:hAnsi="Arial" w:cs="Arial"/>
                <w:b/>
                <w:bCs/>
                <w:lang w:val="es-ES"/>
              </w:rPr>
            </w:pPr>
            <w:r w:rsidRPr="00E77F0E">
              <w:rPr>
                <w:rFonts w:ascii="Arial" w:hAnsi="Arial" w:cs="Arial"/>
                <w:b/>
                <w:bCs/>
                <w:lang w:val="es-ES"/>
              </w:rPr>
              <w:t>Iniciativa</w:t>
            </w:r>
          </w:p>
        </w:tc>
        <w:tc>
          <w:tcPr>
            <w:tcW w:w="1871" w:type="dxa"/>
            <w:shd w:val="clear" w:color="auto" w:fill="BDD6EE" w:themeFill="accent5" w:themeFillTint="66"/>
          </w:tcPr>
          <w:p w14:paraId="2AB5A70F" w14:textId="76BCA948" w:rsidR="00111137" w:rsidRPr="00E77F0E" w:rsidRDefault="00111137" w:rsidP="00200A2E">
            <w:pPr>
              <w:keepNext/>
              <w:jc w:val="center"/>
              <w:rPr>
                <w:rFonts w:ascii="Arial" w:hAnsi="Arial" w:cs="Arial"/>
                <w:b/>
                <w:bCs/>
                <w:lang w:val="es-ES"/>
              </w:rPr>
            </w:pPr>
            <w:r w:rsidRPr="00E77F0E">
              <w:rPr>
                <w:rFonts w:ascii="Arial" w:hAnsi="Arial" w:cs="Arial"/>
                <w:b/>
                <w:bCs/>
                <w:lang w:val="es-ES"/>
              </w:rPr>
              <w:t>Herramienta</w:t>
            </w:r>
          </w:p>
        </w:tc>
        <w:tc>
          <w:tcPr>
            <w:tcW w:w="1757" w:type="dxa"/>
            <w:shd w:val="clear" w:color="auto" w:fill="BDD6EE" w:themeFill="accent5" w:themeFillTint="66"/>
          </w:tcPr>
          <w:p w14:paraId="15D6C0EB" w14:textId="3EB71B47" w:rsidR="00111137" w:rsidRPr="00E77F0E" w:rsidRDefault="00111137" w:rsidP="00200A2E">
            <w:pPr>
              <w:keepNext/>
              <w:jc w:val="center"/>
              <w:rPr>
                <w:rFonts w:ascii="Arial" w:hAnsi="Arial" w:cs="Arial"/>
                <w:b/>
                <w:bCs/>
                <w:lang w:val="es-ES"/>
              </w:rPr>
            </w:pPr>
            <w:r w:rsidRPr="00E77F0E">
              <w:rPr>
                <w:rFonts w:ascii="Arial" w:hAnsi="Arial" w:cs="Arial"/>
                <w:b/>
                <w:bCs/>
                <w:lang w:val="es-ES"/>
              </w:rPr>
              <w:t>Estatus</w:t>
            </w:r>
          </w:p>
        </w:tc>
        <w:tc>
          <w:tcPr>
            <w:tcW w:w="1777" w:type="dxa"/>
            <w:shd w:val="clear" w:color="auto" w:fill="BDD6EE" w:themeFill="accent5" w:themeFillTint="66"/>
          </w:tcPr>
          <w:p w14:paraId="6BE2D771" w14:textId="77777777" w:rsidR="00200A2E" w:rsidRPr="00E77F0E" w:rsidRDefault="00111137" w:rsidP="00200A2E">
            <w:pPr>
              <w:keepNext/>
              <w:jc w:val="center"/>
              <w:rPr>
                <w:rFonts w:ascii="Arial" w:hAnsi="Arial" w:cs="Arial"/>
                <w:b/>
                <w:bCs/>
                <w:lang w:val="es-ES"/>
              </w:rPr>
            </w:pPr>
            <w:r w:rsidRPr="00E77F0E">
              <w:rPr>
                <w:rFonts w:ascii="Arial" w:hAnsi="Arial" w:cs="Arial"/>
                <w:b/>
                <w:bCs/>
                <w:lang w:val="es-ES"/>
              </w:rPr>
              <w:t xml:space="preserve">Alcance </w:t>
            </w:r>
          </w:p>
          <w:p w14:paraId="6AB3C25F" w14:textId="540556E1" w:rsidR="00111137" w:rsidRPr="00E77F0E" w:rsidRDefault="00111137" w:rsidP="00200A2E">
            <w:pPr>
              <w:keepNext/>
              <w:jc w:val="center"/>
              <w:rPr>
                <w:rFonts w:ascii="Arial" w:hAnsi="Arial" w:cs="Arial"/>
                <w:b/>
                <w:bCs/>
                <w:lang w:val="es-ES"/>
              </w:rPr>
            </w:pPr>
            <w:r w:rsidRPr="00E77F0E">
              <w:rPr>
                <w:rFonts w:ascii="Arial" w:hAnsi="Arial" w:cs="Arial"/>
                <w:b/>
                <w:bCs/>
                <w:lang w:val="es-ES"/>
              </w:rPr>
              <w:t>(# personas)</w:t>
            </w:r>
          </w:p>
        </w:tc>
      </w:tr>
      <w:tr w:rsidR="00111137" w:rsidRPr="00E77F0E" w14:paraId="385FB7F0" w14:textId="77777777" w:rsidTr="00200A2E">
        <w:tc>
          <w:tcPr>
            <w:tcW w:w="1146" w:type="dxa"/>
          </w:tcPr>
          <w:p w14:paraId="0D1074A9" w14:textId="0F2E9DDC"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Chile</w:t>
            </w:r>
          </w:p>
        </w:tc>
        <w:tc>
          <w:tcPr>
            <w:tcW w:w="3079" w:type="dxa"/>
          </w:tcPr>
          <w:p w14:paraId="394CC7EC" w14:textId="6755E6A5" w:rsidR="00111137" w:rsidRPr="00E77F0E" w:rsidRDefault="00111137" w:rsidP="00200A2E">
            <w:pPr>
              <w:keepNext/>
              <w:rPr>
                <w:rFonts w:ascii="Arial" w:hAnsi="Arial" w:cs="Arial"/>
                <w:sz w:val="20"/>
                <w:szCs w:val="20"/>
                <w:lang w:val="es-ES"/>
              </w:rPr>
            </w:pPr>
            <w:r w:rsidRPr="00E77F0E">
              <w:rPr>
                <w:rFonts w:ascii="Arial" w:hAnsi="Arial" w:cs="Arial"/>
                <w:sz w:val="20"/>
                <w:szCs w:val="20"/>
                <w:lang w:val="es-ES"/>
              </w:rPr>
              <w:t>Promoción del ahorro voluntario entre clientes de BancoEstado</w:t>
            </w:r>
          </w:p>
        </w:tc>
        <w:tc>
          <w:tcPr>
            <w:tcW w:w="1871" w:type="dxa"/>
          </w:tcPr>
          <w:p w14:paraId="519E7982" w14:textId="24E94C7F" w:rsidR="00111137" w:rsidRPr="00E77F0E" w:rsidRDefault="00111137" w:rsidP="00200A2E">
            <w:pPr>
              <w:keepNext/>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47A842B9" w14:textId="25286BD8" w:rsidR="00111137" w:rsidRPr="00E77F0E" w:rsidRDefault="00111137" w:rsidP="00200A2E">
            <w:pPr>
              <w:keepNext/>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1D148C86" w14:textId="08B28647" w:rsidR="00111137" w:rsidRPr="00E77F0E" w:rsidRDefault="00792A35" w:rsidP="00200A2E">
            <w:pPr>
              <w:keepNext/>
              <w:jc w:val="center"/>
              <w:rPr>
                <w:rFonts w:ascii="Arial" w:hAnsi="Arial" w:cs="Arial"/>
                <w:sz w:val="20"/>
                <w:szCs w:val="20"/>
                <w:lang w:val="es-ES"/>
              </w:rPr>
            </w:pPr>
            <w:r w:rsidRPr="00E77F0E">
              <w:rPr>
                <w:rFonts w:ascii="Arial" w:hAnsi="Arial" w:cs="Arial"/>
                <w:sz w:val="20"/>
                <w:szCs w:val="20"/>
                <w:lang w:val="es-ES"/>
              </w:rPr>
              <w:t>23</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2F194D56" w14:textId="77777777" w:rsidTr="00200A2E">
        <w:tc>
          <w:tcPr>
            <w:tcW w:w="1146" w:type="dxa"/>
          </w:tcPr>
          <w:p w14:paraId="1FE464AB" w14:textId="75D714DC"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Chile</w:t>
            </w:r>
          </w:p>
        </w:tc>
        <w:tc>
          <w:tcPr>
            <w:tcW w:w="3079" w:type="dxa"/>
          </w:tcPr>
          <w:p w14:paraId="4B204210" w14:textId="657E3D0D"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Cartas informativas y subsidios para promover el ahorro voluntario</w:t>
            </w:r>
          </w:p>
        </w:tc>
        <w:tc>
          <w:tcPr>
            <w:tcW w:w="1871" w:type="dxa"/>
          </w:tcPr>
          <w:p w14:paraId="2F932B6B" w14:textId="1ABE10CB"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Herramientas de autocompromiso / decisión activa</w:t>
            </w:r>
          </w:p>
        </w:tc>
        <w:tc>
          <w:tcPr>
            <w:tcW w:w="1757" w:type="dxa"/>
          </w:tcPr>
          <w:p w14:paraId="3BF565EA" w14:textId="0896EEA0"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505384C5" w14:textId="24F2DF6E" w:rsidR="00111137" w:rsidRPr="00E77F0E" w:rsidRDefault="00AF1B40" w:rsidP="00200A2E">
            <w:pPr>
              <w:jc w:val="center"/>
              <w:rPr>
                <w:rFonts w:ascii="Arial" w:hAnsi="Arial" w:cs="Arial"/>
                <w:sz w:val="20"/>
                <w:szCs w:val="20"/>
                <w:lang w:val="es-ES"/>
              </w:rPr>
            </w:pPr>
            <w:r w:rsidRPr="00E77F0E">
              <w:rPr>
                <w:rFonts w:ascii="Arial" w:hAnsi="Arial" w:cs="Arial"/>
                <w:sz w:val="20"/>
                <w:szCs w:val="20"/>
                <w:lang w:val="es-ES"/>
              </w:rPr>
              <w:t>2.300</w:t>
            </w:r>
          </w:p>
        </w:tc>
      </w:tr>
      <w:tr w:rsidR="00111137" w:rsidRPr="00E77F0E" w14:paraId="416360DD" w14:textId="77777777" w:rsidTr="00200A2E">
        <w:tc>
          <w:tcPr>
            <w:tcW w:w="1146" w:type="dxa"/>
          </w:tcPr>
          <w:p w14:paraId="1A7895C7" w14:textId="45704D9A"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Chile</w:t>
            </w:r>
          </w:p>
        </w:tc>
        <w:tc>
          <w:tcPr>
            <w:tcW w:w="3079" w:type="dxa"/>
          </w:tcPr>
          <w:p w14:paraId="01AD7DEA" w14:textId="77777777"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 xml:space="preserve">Información para Independientes en Operación Renta del </w:t>
            </w:r>
          </w:p>
          <w:p w14:paraId="78B8B8ED" w14:textId="77C430B4"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Servicio de Impuestos Internos</w:t>
            </w:r>
          </w:p>
        </w:tc>
        <w:tc>
          <w:tcPr>
            <w:tcW w:w="1871" w:type="dxa"/>
          </w:tcPr>
          <w:p w14:paraId="619B5062" w14:textId="765D9C56" w:rsidR="00111137" w:rsidRPr="00E77F0E" w:rsidRDefault="00BE03D0" w:rsidP="00111137">
            <w:pPr>
              <w:jc w:val="both"/>
              <w:rPr>
                <w:rFonts w:ascii="Arial" w:hAnsi="Arial" w:cs="Arial"/>
                <w:sz w:val="20"/>
                <w:szCs w:val="20"/>
                <w:lang w:val="es-ES"/>
              </w:rPr>
            </w:pPr>
            <w:r w:rsidRPr="00E77F0E">
              <w:rPr>
                <w:rFonts w:ascii="Arial" w:hAnsi="Arial" w:cs="Arial"/>
                <w:sz w:val="20"/>
                <w:szCs w:val="20"/>
                <w:lang w:val="es-ES"/>
              </w:rPr>
              <w:t>Herramientas de autocompromiso / decisión activa</w:t>
            </w:r>
          </w:p>
        </w:tc>
        <w:tc>
          <w:tcPr>
            <w:tcW w:w="1757" w:type="dxa"/>
          </w:tcPr>
          <w:p w14:paraId="1E67BC36" w14:textId="38417230" w:rsidR="00111137" w:rsidRPr="00E77F0E" w:rsidRDefault="00EC1042" w:rsidP="00111137">
            <w:pPr>
              <w:jc w:val="both"/>
              <w:rPr>
                <w:rFonts w:ascii="Arial" w:hAnsi="Arial" w:cs="Arial"/>
                <w:sz w:val="20"/>
                <w:szCs w:val="20"/>
                <w:lang w:val="es-ES"/>
              </w:rPr>
            </w:pPr>
            <w:r w:rsidRPr="00E77F0E">
              <w:rPr>
                <w:rFonts w:ascii="Arial" w:hAnsi="Arial" w:cs="Arial"/>
                <w:sz w:val="20"/>
                <w:szCs w:val="20"/>
                <w:lang w:val="es-ES"/>
              </w:rPr>
              <w:t>En implementación</w:t>
            </w:r>
          </w:p>
        </w:tc>
        <w:tc>
          <w:tcPr>
            <w:tcW w:w="1777" w:type="dxa"/>
          </w:tcPr>
          <w:p w14:paraId="0CAC19B8" w14:textId="59F70DC7" w:rsidR="00111137" w:rsidRPr="00E77F0E" w:rsidRDefault="00792A35" w:rsidP="00200A2E">
            <w:pPr>
              <w:jc w:val="center"/>
              <w:rPr>
                <w:rFonts w:ascii="Arial" w:hAnsi="Arial" w:cs="Arial"/>
                <w:sz w:val="20"/>
                <w:szCs w:val="20"/>
                <w:lang w:val="es-ES"/>
              </w:rPr>
            </w:pPr>
            <w:r w:rsidRPr="00E77F0E">
              <w:rPr>
                <w:rFonts w:ascii="Arial" w:hAnsi="Arial" w:cs="Arial"/>
                <w:sz w:val="20"/>
                <w:szCs w:val="20"/>
                <w:lang w:val="es-ES"/>
              </w:rPr>
              <w:t>250</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2EB30EFF" w14:textId="77777777" w:rsidTr="00200A2E">
        <w:tc>
          <w:tcPr>
            <w:tcW w:w="1146" w:type="dxa"/>
          </w:tcPr>
          <w:p w14:paraId="7DE70844" w14:textId="7A8D958D"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Chile</w:t>
            </w:r>
          </w:p>
        </w:tc>
        <w:tc>
          <w:tcPr>
            <w:tcW w:w="3079" w:type="dxa"/>
          </w:tcPr>
          <w:p w14:paraId="1C87E0E5" w14:textId="1362B96F"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Educación financiera y previsional en colegios técnico-profesionales</w:t>
            </w:r>
          </w:p>
        </w:tc>
        <w:tc>
          <w:tcPr>
            <w:tcW w:w="1871" w:type="dxa"/>
          </w:tcPr>
          <w:p w14:paraId="23CB662B" w14:textId="3A0B7FC1" w:rsidR="00111137" w:rsidRPr="00E77F0E" w:rsidRDefault="00BE03D0" w:rsidP="00111137">
            <w:pPr>
              <w:jc w:val="both"/>
              <w:rPr>
                <w:rFonts w:ascii="Arial" w:hAnsi="Arial" w:cs="Arial"/>
                <w:sz w:val="20"/>
                <w:szCs w:val="20"/>
                <w:lang w:val="es-ES"/>
              </w:rPr>
            </w:pPr>
            <w:r w:rsidRPr="00E77F0E">
              <w:rPr>
                <w:rFonts w:ascii="Arial" w:hAnsi="Arial" w:cs="Arial"/>
                <w:sz w:val="20"/>
                <w:szCs w:val="20"/>
                <w:lang w:val="es-ES"/>
              </w:rPr>
              <w:t>Educación Previsional</w:t>
            </w:r>
          </w:p>
        </w:tc>
        <w:tc>
          <w:tcPr>
            <w:tcW w:w="1757" w:type="dxa"/>
          </w:tcPr>
          <w:p w14:paraId="4D1B4335" w14:textId="29472681"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29EE1BF3" w14:textId="660B7496" w:rsidR="00111137" w:rsidRPr="00E77F0E" w:rsidRDefault="00C8209E" w:rsidP="00200A2E">
            <w:pPr>
              <w:jc w:val="center"/>
              <w:rPr>
                <w:rFonts w:ascii="Arial" w:hAnsi="Arial" w:cs="Arial"/>
                <w:sz w:val="20"/>
                <w:szCs w:val="20"/>
                <w:lang w:val="es-ES"/>
              </w:rPr>
            </w:pPr>
            <w:r w:rsidRPr="00E77F0E">
              <w:rPr>
                <w:rFonts w:ascii="Arial" w:hAnsi="Arial" w:cs="Arial"/>
                <w:sz w:val="20"/>
                <w:szCs w:val="20"/>
                <w:lang w:val="es-ES"/>
              </w:rPr>
              <w:t>5</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299A4FED" w14:textId="77777777" w:rsidTr="00200A2E">
        <w:tc>
          <w:tcPr>
            <w:tcW w:w="1146" w:type="dxa"/>
          </w:tcPr>
          <w:p w14:paraId="21549259" w14:textId="158ABAAE"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Colombia</w:t>
            </w:r>
          </w:p>
        </w:tc>
        <w:tc>
          <w:tcPr>
            <w:tcW w:w="3079" w:type="dxa"/>
          </w:tcPr>
          <w:p w14:paraId="26531EAF" w14:textId="733C4A54"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 xml:space="preserve">Utilizando </w:t>
            </w:r>
            <w:r w:rsidRPr="00E77F0E">
              <w:rPr>
                <w:rFonts w:ascii="Arial" w:hAnsi="Arial" w:cs="Arial"/>
                <w:i/>
                <w:iCs/>
                <w:sz w:val="20"/>
                <w:szCs w:val="20"/>
                <w:lang w:val="es-ES"/>
              </w:rPr>
              <w:t>Big Data</w:t>
            </w:r>
            <w:r w:rsidRPr="00E77F0E">
              <w:rPr>
                <w:rFonts w:ascii="Arial" w:hAnsi="Arial" w:cs="Arial"/>
                <w:sz w:val="20"/>
                <w:szCs w:val="20"/>
                <w:lang w:val="es-ES"/>
              </w:rPr>
              <w:t xml:space="preserve"> para focalizar campañas promocionales de ahorro pensional</w:t>
            </w:r>
          </w:p>
        </w:tc>
        <w:tc>
          <w:tcPr>
            <w:tcW w:w="1871" w:type="dxa"/>
          </w:tcPr>
          <w:p w14:paraId="5DCCF571" w14:textId="299CEE18"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1AF0D009" w14:textId="7B41A04C" w:rsidR="00111137" w:rsidRPr="00E77F0E" w:rsidRDefault="00B321E8" w:rsidP="00111137">
            <w:pPr>
              <w:jc w:val="both"/>
              <w:rPr>
                <w:rFonts w:ascii="Arial" w:hAnsi="Arial" w:cs="Arial"/>
                <w:sz w:val="20"/>
                <w:szCs w:val="20"/>
                <w:lang w:val="es-ES"/>
              </w:rPr>
            </w:pPr>
            <w:r w:rsidRPr="00E77F0E">
              <w:rPr>
                <w:rFonts w:ascii="Arial" w:hAnsi="Arial" w:cs="Arial"/>
                <w:sz w:val="20"/>
                <w:szCs w:val="20"/>
                <w:lang w:val="es-ES"/>
              </w:rPr>
              <w:t>En implementación</w:t>
            </w:r>
          </w:p>
        </w:tc>
        <w:tc>
          <w:tcPr>
            <w:tcW w:w="1777" w:type="dxa"/>
          </w:tcPr>
          <w:p w14:paraId="2369B6E6" w14:textId="015836FA" w:rsidR="00111137" w:rsidRPr="00E77F0E" w:rsidRDefault="00C8209E" w:rsidP="00200A2E">
            <w:pPr>
              <w:jc w:val="center"/>
              <w:rPr>
                <w:rFonts w:ascii="Arial" w:hAnsi="Arial" w:cs="Arial"/>
                <w:sz w:val="20"/>
                <w:szCs w:val="20"/>
                <w:lang w:val="es-ES"/>
              </w:rPr>
            </w:pPr>
            <w:r w:rsidRPr="00E77F0E">
              <w:rPr>
                <w:rFonts w:ascii="Arial" w:hAnsi="Arial" w:cs="Arial"/>
                <w:sz w:val="20"/>
                <w:szCs w:val="20"/>
                <w:lang w:val="es-ES"/>
              </w:rPr>
              <w:t>12</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4D6A016E" w14:textId="77777777" w:rsidTr="00200A2E">
        <w:tc>
          <w:tcPr>
            <w:tcW w:w="1146" w:type="dxa"/>
          </w:tcPr>
          <w:p w14:paraId="3AB7F605" w14:textId="423B06DF"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Colombia</w:t>
            </w:r>
          </w:p>
        </w:tc>
        <w:tc>
          <w:tcPr>
            <w:tcW w:w="3079" w:type="dxa"/>
          </w:tcPr>
          <w:p w14:paraId="3E65E273" w14:textId="5B1A972D"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Correos electrónicos para incrementar las contribuciones al sistema pensional de trabajadores independientes</w:t>
            </w:r>
          </w:p>
        </w:tc>
        <w:tc>
          <w:tcPr>
            <w:tcW w:w="1871" w:type="dxa"/>
          </w:tcPr>
          <w:p w14:paraId="65AD3E4D" w14:textId="0466D049"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423BF8B9" w14:textId="77513185"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11C1A880" w14:textId="343C6884" w:rsidR="00111137" w:rsidRPr="00E77F0E" w:rsidRDefault="00C8209E" w:rsidP="00200A2E">
            <w:pPr>
              <w:jc w:val="center"/>
              <w:rPr>
                <w:rFonts w:ascii="Arial" w:hAnsi="Arial" w:cs="Arial"/>
                <w:sz w:val="20"/>
                <w:szCs w:val="20"/>
                <w:lang w:val="es-ES"/>
              </w:rPr>
            </w:pPr>
            <w:r w:rsidRPr="00E77F0E">
              <w:rPr>
                <w:rFonts w:ascii="Arial" w:hAnsi="Arial" w:cs="Arial"/>
                <w:sz w:val="20"/>
                <w:szCs w:val="20"/>
                <w:lang w:val="es-ES"/>
              </w:rPr>
              <w:t>74</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74FEEA40" w14:textId="77777777" w:rsidTr="00200A2E">
        <w:tc>
          <w:tcPr>
            <w:tcW w:w="1146" w:type="dxa"/>
          </w:tcPr>
          <w:p w14:paraId="131F926A" w14:textId="4140A792"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Colombia</w:t>
            </w:r>
          </w:p>
        </w:tc>
        <w:tc>
          <w:tcPr>
            <w:tcW w:w="3079" w:type="dxa"/>
          </w:tcPr>
          <w:p w14:paraId="3D40A095" w14:textId="62E25FE1" w:rsidR="00111137" w:rsidRPr="00E77F0E" w:rsidRDefault="00111137" w:rsidP="00111137">
            <w:pPr>
              <w:rPr>
                <w:rFonts w:ascii="Arial" w:hAnsi="Arial" w:cs="Arial"/>
                <w:sz w:val="20"/>
                <w:szCs w:val="20"/>
                <w:lang w:val="es-ES"/>
              </w:rPr>
            </w:pPr>
            <w:r w:rsidRPr="00E77F0E">
              <w:rPr>
                <w:rFonts w:ascii="Arial" w:hAnsi="Arial" w:cs="Arial"/>
                <w:sz w:val="20"/>
                <w:szCs w:val="20"/>
                <w:lang w:val="es-ES"/>
              </w:rPr>
              <w:t xml:space="preserve">SMS </w:t>
            </w:r>
            <w:r w:rsidR="00A058C0" w:rsidRPr="00E77F0E">
              <w:rPr>
                <w:rFonts w:ascii="Arial" w:hAnsi="Arial" w:cs="Arial"/>
                <w:sz w:val="20"/>
                <w:szCs w:val="20"/>
                <w:lang w:val="es-ES"/>
              </w:rPr>
              <w:t xml:space="preserve">y llamadas telefónicas </w:t>
            </w:r>
            <w:r w:rsidRPr="00E77F0E">
              <w:rPr>
                <w:rFonts w:ascii="Arial" w:hAnsi="Arial" w:cs="Arial"/>
                <w:sz w:val="20"/>
                <w:szCs w:val="20"/>
                <w:lang w:val="es-ES"/>
              </w:rPr>
              <w:t>para incrementar el ahorro voluntario para el retiro en poblaciones de bajos ingresos</w:t>
            </w:r>
          </w:p>
        </w:tc>
        <w:tc>
          <w:tcPr>
            <w:tcW w:w="1871" w:type="dxa"/>
          </w:tcPr>
          <w:p w14:paraId="735D572E" w14:textId="00E5B395"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5EE684DB" w14:textId="0726FCC7"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4C83BD38" w14:textId="4147F8C6" w:rsidR="00111137" w:rsidRPr="00E77F0E" w:rsidRDefault="00A058C0" w:rsidP="00200A2E">
            <w:pPr>
              <w:jc w:val="center"/>
              <w:rPr>
                <w:rFonts w:ascii="Arial" w:hAnsi="Arial" w:cs="Arial"/>
                <w:sz w:val="20"/>
                <w:szCs w:val="20"/>
                <w:lang w:val="es-ES"/>
              </w:rPr>
            </w:pPr>
            <w:r w:rsidRPr="00E77F0E">
              <w:rPr>
                <w:rFonts w:ascii="Arial" w:hAnsi="Arial" w:cs="Arial"/>
                <w:sz w:val="20"/>
                <w:szCs w:val="20"/>
                <w:lang w:val="es-ES"/>
              </w:rPr>
              <w:t>241</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111137" w:rsidRPr="00E77F0E" w14:paraId="4E6796EB" w14:textId="77777777" w:rsidTr="00200A2E">
        <w:tc>
          <w:tcPr>
            <w:tcW w:w="1146" w:type="dxa"/>
          </w:tcPr>
          <w:p w14:paraId="727F23A1" w14:textId="231B073E"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México</w:t>
            </w:r>
          </w:p>
        </w:tc>
        <w:tc>
          <w:tcPr>
            <w:tcW w:w="3079" w:type="dxa"/>
          </w:tcPr>
          <w:p w14:paraId="1286C1AA" w14:textId="405A84F0"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 xml:space="preserve">SMS para promover el ahorro voluntario </w:t>
            </w:r>
          </w:p>
        </w:tc>
        <w:tc>
          <w:tcPr>
            <w:tcW w:w="1871" w:type="dxa"/>
          </w:tcPr>
          <w:p w14:paraId="56C05911" w14:textId="7DBC00C2"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2C25D7DD" w14:textId="30760D19" w:rsidR="00111137" w:rsidRPr="00E77F0E" w:rsidRDefault="00111137" w:rsidP="00111137">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42D70856" w14:textId="1BC550BE" w:rsidR="00111137" w:rsidRPr="00E77F0E" w:rsidRDefault="00391192" w:rsidP="00200A2E">
            <w:pPr>
              <w:jc w:val="center"/>
              <w:rPr>
                <w:rFonts w:ascii="Arial" w:hAnsi="Arial" w:cs="Arial"/>
                <w:sz w:val="20"/>
                <w:szCs w:val="20"/>
                <w:lang w:val="es-ES"/>
              </w:rPr>
            </w:pPr>
            <w:r w:rsidRPr="00E77F0E">
              <w:rPr>
                <w:rFonts w:ascii="Arial" w:hAnsi="Arial" w:cs="Arial"/>
                <w:sz w:val="20"/>
                <w:szCs w:val="20"/>
                <w:lang w:val="es-ES"/>
              </w:rPr>
              <w:t>198</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A40C40" w:rsidRPr="00E77F0E" w14:paraId="189425BC" w14:textId="77777777" w:rsidTr="00200A2E">
        <w:tc>
          <w:tcPr>
            <w:tcW w:w="1146" w:type="dxa"/>
          </w:tcPr>
          <w:p w14:paraId="2BB019D9" w14:textId="0DF30F34" w:rsidR="00A40C40" w:rsidRPr="00E77F0E" w:rsidRDefault="00A40C40" w:rsidP="00A40C40">
            <w:pPr>
              <w:jc w:val="both"/>
              <w:rPr>
                <w:rFonts w:ascii="Arial" w:hAnsi="Arial" w:cs="Arial"/>
                <w:sz w:val="20"/>
                <w:szCs w:val="20"/>
                <w:lang w:val="es-ES"/>
              </w:rPr>
            </w:pPr>
            <w:r w:rsidRPr="00E77F0E">
              <w:rPr>
                <w:rFonts w:ascii="Arial" w:hAnsi="Arial" w:cs="Arial"/>
                <w:sz w:val="20"/>
                <w:szCs w:val="20"/>
                <w:lang w:val="es-ES"/>
              </w:rPr>
              <w:t>México</w:t>
            </w:r>
          </w:p>
        </w:tc>
        <w:tc>
          <w:tcPr>
            <w:tcW w:w="3079" w:type="dxa"/>
          </w:tcPr>
          <w:p w14:paraId="1DDC5C72" w14:textId="72701EFD" w:rsidR="00A40C40" w:rsidRPr="00E77F0E" w:rsidRDefault="00A40C40" w:rsidP="00A40C40">
            <w:pPr>
              <w:jc w:val="both"/>
              <w:rPr>
                <w:rFonts w:ascii="Arial" w:hAnsi="Arial" w:cs="Arial"/>
                <w:sz w:val="20"/>
                <w:szCs w:val="20"/>
                <w:lang w:val="es-ES"/>
              </w:rPr>
            </w:pPr>
            <w:r w:rsidRPr="00E77F0E">
              <w:rPr>
                <w:rFonts w:ascii="Arial" w:hAnsi="Arial" w:cs="Arial"/>
                <w:sz w:val="20"/>
                <w:szCs w:val="20"/>
                <w:lang w:val="es-ES"/>
              </w:rPr>
              <w:t>Mensajes push para promover el ahorro voluntario</w:t>
            </w:r>
          </w:p>
        </w:tc>
        <w:tc>
          <w:tcPr>
            <w:tcW w:w="1871" w:type="dxa"/>
          </w:tcPr>
          <w:p w14:paraId="29D34740" w14:textId="09B08E08" w:rsidR="00A40C40" w:rsidRPr="00E77F0E" w:rsidRDefault="00A40C40" w:rsidP="00A40C40">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296120D1" w14:textId="20484E34" w:rsidR="00A40C40" w:rsidRPr="00E77F0E" w:rsidRDefault="00A40C40" w:rsidP="00A40C40">
            <w:pPr>
              <w:jc w:val="both"/>
              <w:rPr>
                <w:rFonts w:ascii="Arial" w:hAnsi="Arial" w:cs="Arial"/>
                <w:sz w:val="20"/>
                <w:szCs w:val="20"/>
                <w:lang w:val="es-ES"/>
              </w:rPr>
            </w:pPr>
            <w:r w:rsidRPr="00E77F0E">
              <w:rPr>
                <w:rFonts w:ascii="Arial" w:hAnsi="Arial" w:cs="Arial"/>
                <w:sz w:val="20"/>
                <w:szCs w:val="20"/>
                <w:lang w:val="es-ES"/>
              </w:rPr>
              <w:t>En implementación</w:t>
            </w:r>
          </w:p>
        </w:tc>
        <w:tc>
          <w:tcPr>
            <w:tcW w:w="1777" w:type="dxa"/>
          </w:tcPr>
          <w:p w14:paraId="0E34BF1B" w14:textId="2BC3E208" w:rsidR="00A40C40" w:rsidRPr="00E77F0E" w:rsidRDefault="00887088" w:rsidP="00200A2E">
            <w:pPr>
              <w:jc w:val="center"/>
              <w:rPr>
                <w:rFonts w:ascii="Arial" w:hAnsi="Arial" w:cs="Arial"/>
                <w:sz w:val="20"/>
                <w:szCs w:val="20"/>
                <w:lang w:val="es-ES"/>
              </w:rPr>
            </w:pPr>
            <w:r w:rsidRPr="00E77F0E">
              <w:rPr>
                <w:rFonts w:ascii="Arial" w:hAnsi="Arial" w:cs="Arial"/>
                <w:sz w:val="20"/>
                <w:szCs w:val="20"/>
                <w:lang w:val="es-ES"/>
              </w:rPr>
              <w:t>391</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A40C40" w:rsidRPr="00E77F0E" w14:paraId="65DCD67D" w14:textId="77777777" w:rsidTr="00200A2E">
        <w:tc>
          <w:tcPr>
            <w:tcW w:w="1146" w:type="dxa"/>
          </w:tcPr>
          <w:p w14:paraId="07CD387C" w14:textId="23DFCDDC" w:rsidR="00A40C40" w:rsidRPr="00E77F0E" w:rsidRDefault="00D73CE7" w:rsidP="00A40C40">
            <w:pPr>
              <w:jc w:val="both"/>
              <w:rPr>
                <w:rFonts w:ascii="Arial" w:hAnsi="Arial" w:cs="Arial"/>
                <w:sz w:val="20"/>
                <w:szCs w:val="20"/>
                <w:lang w:val="es-ES"/>
              </w:rPr>
            </w:pPr>
            <w:r w:rsidRPr="00E77F0E">
              <w:rPr>
                <w:rFonts w:ascii="Arial" w:hAnsi="Arial" w:cs="Arial"/>
                <w:sz w:val="20"/>
                <w:szCs w:val="20"/>
                <w:lang w:val="es-ES"/>
              </w:rPr>
              <w:t>México</w:t>
            </w:r>
          </w:p>
        </w:tc>
        <w:tc>
          <w:tcPr>
            <w:tcW w:w="3079" w:type="dxa"/>
          </w:tcPr>
          <w:p w14:paraId="66FC96DB" w14:textId="2D856D9B" w:rsidR="00A40C40" w:rsidRPr="00E77F0E" w:rsidRDefault="00D73CE7" w:rsidP="00D73CE7">
            <w:pPr>
              <w:jc w:val="both"/>
              <w:rPr>
                <w:rFonts w:ascii="Arial" w:hAnsi="Arial" w:cs="Arial"/>
                <w:sz w:val="20"/>
                <w:szCs w:val="20"/>
                <w:lang w:val="es-ES"/>
              </w:rPr>
            </w:pPr>
            <w:r w:rsidRPr="00E77F0E">
              <w:rPr>
                <w:rFonts w:ascii="Arial" w:hAnsi="Arial" w:cs="Arial"/>
                <w:sz w:val="20"/>
                <w:szCs w:val="20"/>
                <w:lang w:val="es-ES"/>
              </w:rPr>
              <w:t>Promover el ahorro previsional voluntario entre trabajadores domésticos informales a través de empujones y recordatorios dirigidos a sus empleadores</w:t>
            </w:r>
          </w:p>
        </w:tc>
        <w:tc>
          <w:tcPr>
            <w:tcW w:w="1871" w:type="dxa"/>
          </w:tcPr>
          <w:p w14:paraId="0334370A" w14:textId="63224AD4" w:rsidR="00A40C40" w:rsidRPr="00E77F0E" w:rsidRDefault="00D73CE7" w:rsidP="00A40C40">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05302831" w14:textId="39BEFCA7" w:rsidR="00A40C40" w:rsidRPr="00E77F0E" w:rsidRDefault="00D73CE7" w:rsidP="00A40C40">
            <w:pPr>
              <w:jc w:val="both"/>
              <w:rPr>
                <w:rFonts w:ascii="Arial" w:hAnsi="Arial" w:cs="Arial"/>
                <w:sz w:val="20"/>
                <w:szCs w:val="20"/>
                <w:lang w:val="es-ES"/>
              </w:rPr>
            </w:pPr>
            <w:r w:rsidRPr="00E77F0E">
              <w:rPr>
                <w:rFonts w:ascii="Arial" w:hAnsi="Arial" w:cs="Arial"/>
                <w:sz w:val="20"/>
                <w:szCs w:val="20"/>
                <w:lang w:val="es-ES"/>
              </w:rPr>
              <w:t>Resultados finales</w:t>
            </w:r>
          </w:p>
        </w:tc>
        <w:tc>
          <w:tcPr>
            <w:tcW w:w="1777" w:type="dxa"/>
          </w:tcPr>
          <w:p w14:paraId="2382A411" w14:textId="2C4581C9" w:rsidR="00A40C40" w:rsidRPr="00E77F0E" w:rsidRDefault="00C8209E" w:rsidP="00200A2E">
            <w:pPr>
              <w:jc w:val="center"/>
              <w:rPr>
                <w:rFonts w:ascii="Arial" w:hAnsi="Arial" w:cs="Arial"/>
                <w:sz w:val="20"/>
                <w:szCs w:val="20"/>
                <w:lang w:val="es-ES"/>
              </w:rPr>
            </w:pPr>
            <w:r w:rsidRPr="00E77F0E">
              <w:rPr>
                <w:rFonts w:ascii="Arial" w:hAnsi="Arial" w:cs="Arial"/>
                <w:sz w:val="20"/>
                <w:szCs w:val="20"/>
                <w:lang w:val="es-ES"/>
              </w:rPr>
              <w:t>23</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A40C40" w:rsidRPr="00E77F0E" w14:paraId="271A90E5" w14:textId="77777777" w:rsidTr="00200A2E">
        <w:tc>
          <w:tcPr>
            <w:tcW w:w="1146" w:type="dxa"/>
          </w:tcPr>
          <w:p w14:paraId="362D8574" w14:textId="7BFA6A4A" w:rsidR="00A40C40" w:rsidRPr="00E77F0E" w:rsidRDefault="000A3180" w:rsidP="00A40C40">
            <w:pPr>
              <w:jc w:val="both"/>
              <w:rPr>
                <w:rFonts w:ascii="Arial" w:hAnsi="Arial" w:cs="Arial"/>
                <w:sz w:val="20"/>
                <w:szCs w:val="20"/>
                <w:lang w:val="es-ES"/>
              </w:rPr>
            </w:pPr>
            <w:r w:rsidRPr="00E77F0E">
              <w:rPr>
                <w:rFonts w:ascii="Arial" w:hAnsi="Arial" w:cs="Arial"/>
                <w:sz w:val="20"/>
                <w:szCs w:val="20"/>
                <w:lang w:val="es-ES"/>
              </w:rPr>
              <w:t>México</w:t>
            </w:r>
          </w:p>
        </w:tc>
        <w:tc>
          <w:tcPr>
            <w:tcW w:w="3079" w:type="dxa"/>
          </w:tcPr>
          <w:p w14:paraId="0B65820B" w14:textId="25B86E80" w:rsidR="00A40C40" w:rsidRPr="00E77F0E" w:rsidRDefault="000A3180" w:rsidP="00A40C40">
            <w:pPr>
              <w:jc w:val="both"/>
              <w:rPr>
                <w:rFonts w:ascii="Arial" w:hAnsi="Arial" w:cs="Arial"/>
                <w:sz w:val="20"/>
                <w:szCs w:val="20"/>
                <w:lang w:val="es-ES"/>
              </w:rPr>
            </w:pPr>
            <w:r w:rsidRPr="00E77F0E">
              <w:rPr>
                <w:rFonts w:ascii="Arial" w:hAnsi="Arial" w:cs="Arial"/>
                <w:sz w:val="20"/>
                <w:szCs w:val="20"/>
                <w:lang w:val="es-ES"/>
              </w:rPr>
              <w:t>Redes sociales para incentivar el ahorro previsional</w:t>
            </w:r>
          </w:p>
        </w:tc>
        <w:tc>
          <w:tcPr>
            <w:tcW w:w="1871" w:type="dxa"/>
          </w:tcPr>
          <w:p w14:paraId="503A9DBD" w14:textId="06158C88" w:rsidR="00A40C40" w:rsidRPr="00E77F0E" w:rsidRDefault="000A3180" w:rsidP="00A40C40">
            <w:pPr>
              <w:jc w:val="both"/>
              <w:rPr>
                <w:rFonts w:ascii="Arial" w:hAnsi="Arial" w:cs="Arial"/>
                <w:sz w:val="20"/>
                <w:szCs w:val="20"/>
                <w:lang w:val="es-ES"/>
              </w:rPr>
            </w:pPr>
            <w:r w:rsidRPr="00E77F0E">
              <w:rPr>
                <w:rFonts w:ascii="Arial" w:hAnsi="Arial" w:cs="Arial"/>
                <w:sz w:val="20"/>
                <w:szCs w:val="20"/>
                <w:lang w:val="es-ES"/>
              </w:rPr>
              <w:t>Recordatorios / “empujoncitos”</w:t>
            </w:r>
          </w:p>
        </w:tc>
        <w:tc>
          <w:tcPr>
            <w:tcW w:w="1757" w:type="dxa"/>
          </w:tcPr>
          <w:p w14:paraId="73C228E9" w14:textId="37726564" w:rsidR="00A40C40" w:rsidRPr="00E77F0E" w:rsidRDefault="000A3180" w:rsidP="00A40C40">
            <w:pPr>
              <w:jc w:val="both"/>
              <w:rPr>
                <w:rFonts w:ascii="Arial" w:hAnsi="Arial" w:cs="Arial"/>
                <w:sz w:val="20"/>
                <w:szCs w:val="20"/>
                <w:lang w:val="es-ES"/>
              </w:rPr>
            </w:pPr>
            <w:r w:rsidRPr="00E77F0E">
              <w:rPr>
                <w:rFonts w:ascii="Arial" w:hAnsi="Arial" w:cs="Arial"/>
                <w:sz w:val="20"/>
                <w:szCs w:val="20"/>
                <w:lang w:val="es-ES"/>
              </w:rPr>
              <w:t>Resultados preliminares</w:t>
            </w:r>
          </w:p>
        </w:tc>
        <w:tc>
          <w:tcPr>
            <w:tcW w:w="1777" w:type="dxa"/>
          </w:tcPr>
          <w:p w14:paraId="7AA856E5" w14:textId="0BCBCC82" w:rsidR="00A40C40" w:rsidRPr="00E77F0E" w:rsidRDefault="00933B2D" w:rsidP="00200A2E">
            <w:pPr>
              <w:jc w:val="center"/>
              <w:rPr>
                <w:rFonts w:ascii="Arial" w:hAnsi="Arial" w:cs="Arial"/>
                <w:sz w:val="20"/>
                <w:szCs w:val="20"/>
                <w:lang w:val="es-ES"/>
              </w:rPr>
            </w:pPr>
            <w:r w:rsidRPr="00E77F0E">
              <w:rPr>
                <w:rFonts w:ascii="Arial" w:hAnsi="Arial" w:cs="Arial"/>
                <w:sz w:val="20"/>
                <w:szCs w:val="20"/>
                <w:lang w:val="es-ES"/>
              </w:rPr>
              <w:t>302</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A40C40" w:rsidRPr="00E77F0E" w14:paraId="5F037CE0" w14:textId="77777777" w:rsidTr="00200A2E">
        <w:tc>
          <w:tcPr>
            <w:tcW w:w="1146" w:type="dxa"/>
          </w:tcPr>
          <w:p w14:paraId="19E327B7" w14:textId="2AEABE49" w:rsidR="00A40C40" w:rsidRPr="00E77F0E" w:rsidRDefault="00A3580C" w:rsidP="00A40C40">
            <w:pPr>
              <w:jc w:val="both"/>
              <w:rPr>
                <w:rFonts w:ascii="Arial" w:hAnsi="Arial" w:cs="Arial"/>
                <w:sz w:val="20"/>
                <w:szCs w:val="20"/>
                <w:lang w:val="es-ES"/>
              </w:rPr>
            </w:pPr>
            <w:r w:rsidRPr="00E77F0E">
              <w:rPr>
                <w:rFonts w:ascii="Arial" w:hAnsi="Arial" w:cs="Arial"/>
                <w:sz w:val="20"/>
                <w:szCs w:val="20"/>
                <w:lang w:val="es-ES"/>
              </w:rPr>
              <w:t>México</w:t>
            </w:r>
          </w:p>
        </w:tc>
        <w:tc>
          <w:tcPr>
            <w:tcW w:w="3079" w:type="dxa"/>
          </w:tcPr>
          <w:p w14:paraId="52F62D7A" w14:textId="77777777" w:rsidR="00985360" w:rsidRPr="00E77F0E" w:rsidRDefault="00985360" w:rsidP="00985360">
            <w:pPr>
              <w:jc w:val="both"/>
              <w:rPr>
                <w:rFonts w:ascii="Arial" w:hAnsi="Arial" w:cs="Arial"/>
                <w:sz w:val="20"/>
                <w:szCs w:val="20"/>
                <w:lang w:val="es-ES"/>
              </w:rPr>
            </w:pPr>
            <w:r w:rsidRPr="00E77F0E">
              <w:rPr>
                <w:rFonts w:ascii="Arial" w:hAnsi="Arial" w:cs="Arial"/>
                <w:sz w:val="20"/>
                <w:szCs w:val="20"/>
                <w:lang w:val="es-ES"/>
              </w:rPr>
              <w:t>Redes comerciales para</w:t>
            </w:r>
          </w:p>
          <w:p w14:paraId="1FF8FDAF" w14:textId="493B7038" w:rsidR="00A40C40" w:rsidRPr="00E77F0E" w:rsidRDefault="00985360" w:rsidP="00985360">
            <w:pPr>
              <w:jc w:val="both"/>
              <w:rPr>
                <w:rFonts w:ascii="Arial" w:hAnsi="Arial" w:cs="Arial"/>
                <w:sz w:val="20"/>
                <w:szCs w:val="20"/>
                <w:lang w:val="es-ES"/>
              </w:rPr>
            </w:pPr>
            <w:r w:rsidRPr="00E77F0E">
              <w:rPr>
                <w:rFonts w:ascii="Arial" w:hAnsi="Arial" w:cs="Arial"/>
                <w:sz w:val="20"/>
                <w:szCs w:val="20"/>
                <w:lang w:val="es-ES"/>
              </w:rPr>
              <w:t>facilitar el ahorro pensional</w:t>
            </w:r>
          </w:p>
        </w:tc>
        <w:tc>
          <w:tcPr>
            <w:tcW w:w="1871" w:type="dxa"/>
          </w:tcPr>
          <w:p w14:paraId="2E28DA19" w14:textId="49D3EDCC" w:rsidR="00A40C40" w:rsidRPr="00E77F0E" w:rsidRDefault="00985360" w:rsidP="00A40C40">
            <w:pPr>
              <w:jc w:val="both"/>
              <w:rPr>
                <w:rFonts w:ascii="Arial" w:hAnsi="Arial" w:cs="Arial"/>
                <w:sz w:val="20"/>
                <w:szCs w:val="20"/>
                <w:lang w:val="es-ES"/>
              </w:rPr>
            </w:pPr>
            <w:r w:rsidRPr="00E77F0E">
              <w:rPr>
                <w:rFonts w:ascii="Arial" w:hAnsi="Arial" w:cs="Arial"/>
                <w:sz w:val="20"/>
                <w:szCs w:val="20"/>
                <w:lang w:val="es-ES"/>
              </w:rPr>
              <w:t>Herramientas de autocompromiso / decisión activa</w:t>
            </w:r>
          </w:p>
        </w:tc>
        <w:tc>
          <w:tcPr>
            <w:tcW w:w="1757" w:type="dxa"/>
          </w:tcPr>
          <w:p w14:paraId="7043BB69" w14:textId="1D2AC8B4" w:rsidR="00A40C40" w:rsidRPr="00E77F0E" w:rsidRDefault="00985360" w:rsidP="00A40C40">
            <w:pPr>
              <w:jc w:val="both"/>
              <w:rPr>
                <w:rFonts w:ascii="Arial" w:hAnsi="Arial" w:cs="Arial"/>
                <w:sz w:val="20"/>
                <w:szCs w:val="20"/>
                <w:lang w:val="es-ES"/>
              </w:rPr>
            </w:pPr>
            <w:r w:rsidRPr="00E77F0E">
              <w:rPr>
                <w:rFonts w:ascii="Arial" w:hAnsi="Arial" w:cs="Arial"/>
                <w:sz w:val="20"/>
                <w:szCs w:val="20"/>
                <w:lang w:val="es-ES"/>
              </w:rPr>
              <w:t>En implementación</w:t>
            </w:r>
          </w:p>
        </w:tc>
        <w:tc>
          <w:tcPr>
            <w:tcW w:w="1777" w:type="dxa"/>
          </w:tcPr>
          <w:p w14:paraId="71798C2D" w14:textId="6E09A424" w:rsidR="00A40C40" w:rsidRPr="00E77F0E" w:rsidRDefault="00933B2D" w:rsidP="00200A2E">
            <w:pPr>
              <w:jc w:val="center"/>
              <w:rPr>
                <w:rFonts w:ascii="Arial" w:hAnsi="Arial" w:cs="Arial"/>
                <w:sz w:val="20"/>
                <w:szCs w:val="20"/>
                <w:lang w:val="es-ES"/>
              </w:rPr>
            </w:pPr>
            <w:r w:rsidRPr="00E77F0E">
              <w:rPr>
                <w:rFonts w:ascii="Arial" w:hAnsi="Arial" w:cs="Arial"/>
                <w:sz w:val="20"/>
                <w:szCs w:val="20"/>
                <w:lang w:val="es-ES"/>
              </w:rPr>
              <w:t>1</w:t>
            </w:r>
            <w:r w:rsidR="0037491D" w:rsidRPr="00E77F0E">
              <w:rPr>
                <w:rFonts w:ascii="Arial" w:hAnsi="Arial" w:cs="Arial"/>
                <w:sz w:val="20"/>
                <w:szCs w:val="20"/>
                <w:lang w:val="es-ES"/>
              </w:rPr>
              <w:t>.</w:t>
            </w:r>
            <w:r w:rsidRPr="00E77F0E">
              <w:rPr>
                <w:rFonts w:ascii="Arial" w:hAnsi="Arial" w:cs="Arial"/>
                <w:sz w:val="20"/>
                <w:szCs w:val="20"/>
                <w:lang w:val="es-ES"/>
              </w:rPr>
              <w:t>000</w:t>
            </w:r>
          </w:p>
        </w:tc>
      </w:tr>
      <w:tr w:rsidR="00B321E8" w:rsidRPr="00E77F0E" w14:paraId="5A78EDF5" w14:textId="77777777" w:rsidTr="00200A2E">
        <w:tc>
          <w:tcPr>
            <w:tcW w:w="1146" w:type="dxa"/>
          </w:tcPr>
          <w:p w14:paraId="4C09AE47" w14:textId="10B6B99F" w:rsidR="00B321E8" w:rsidRPr="00E77F0E" w:rsidRDefault="00B321E8" w:rsidP="00B321E8">
            <w:pPr>
              <w:jc w:val="both"/>
              <w:rPr>
                <w:rFonts w:ascii="Arial" w:hAnsi="Arial" w:cs="Arial"/>
                <w:sz w:val="20"/>
                <w:szCs w:val="20"/>
                <w:lang w:val="es-ES"/>
              </w:rPr>
            </w:pPr>
            <w:r w:rsidRPr="00E77F0E">
              <w:rPr>
                <w:rFonts w:ascii="Arial" w:hAnsi="Arial" w:cs="Arial"/>
                <w:sz w:val="20"/>
                <w:szCs w:val="20"/>
                <w:lang w:val="es-ES"/>
              </w:rPr>
              <w:t>Perú</w:t>
            </w:r>
          </w:p>
        </w:tc>
        <w:tc>
          <w:tcPr>
            <w:tcW w:w="3079" w:type="dxa"/>
          </w:tcPr>
          <w:p w14:paraId="23DA982F" w14:textId="15F20A34" w:rsidR="00B321E8" w:rsidRPr="00E77F0E" w:rsidRDefault="00B321E8" w:rsidP="00B321E8">
            <w:pPr>
              <w:jc w:val="both"/>
              <w:rPr>
                <w:rFonts w:ascii="Arial" w:hAnsi="Arial" w:cs="Arial"/>
                <w:sz w:val="20"/>
                <w:szCs w:val="20"/>
                <w:lang w:val="es-ES"/>
              </w:rPr>
            </w:pPr>
            <w:r w:rsidRPr="00E77F0E">
              <w:rPr>
                <w:rFonts w:ascii="Arial" w:hAnsi="Arial" w:cs="Arial"/>
                <w:sz w:val="20"/>
                <w:szCs w:val="20"/>
                <w:lang w:val="es-ES"/>
              </w:rPr>
              <w:t>Ahorro digital para los trabajadores de plataformas bajo demanda</w:t>
            </w:r>
          </w:p>
        </w:tc>
        <w:tc>
          <w:tcPr>
            <w:tcW w:w="1871" w:type="dxa"/>
          </w:tcPr>
          <w:p w14:paraId="140D11C0" w14:textId="3E5B7751" w:rsidR="00B321E8" w:rsidRPr="00E77F0E" w:rsidRDefault="00B321E8" w:rsidP="00B321E8">
            <w:pPr>
              <w:jc w:val="both"/>
              <w:rPr>
                <w:rFonts w:ascii="Arial" w:hAnsi="Arial" w:cs="Arial"/>
                <w:sz w:val="20"/>
                <w:szCs w:val="20"/>
                <w:lang w:val="es-ES"/>
              </w:rPr>
            </w:pPr>
            <w:r w:rsidRPr="00E77F0E">
              <w:rPr>
                <w:rFonts w:ascii="Arial" w:hAnsi="Arial" w:cs="Arial"/>
                <w:sz w:val="20"/>
                <w:szCs w:val="20"/>
                <w:lang w:val="es-ES"/>
              </w:rPr>
              <w:t>Herramientas de autocompromiso / decisión activa</w:t>
            </w:r>
          </w:p>
        </w:tc>
        <w:tc>
          <w:tcPr>
            <w:tcW w:w="1757" w:type="dxa"/>
          </w:tcPr>
          <w:p w14:paraId="546EC1F3" w14:textId="609E6E55" w:rsidR="00B321E8" w:rsidRPr="00E77F0E" w:rsidRDefault="00B321E8" w:rsidP="00B321E8">
            <w:pPr>
              <w:jc w:val="both"/>
              <w:rPr>
                <w:rFonts w:ascii="Arial" w:hAnsi="Arial" w:cs="Arial"/>
                <w:sz w:val="20"/>
                <w:szCs w:val="20"/>
                <w:lang w:val="es-ES"/>
              </w:rPr>
            </w:pPr>
            <w:r w:rsidRPr="00E77F0E">
              <w:rPr>
                <w:rFonts w:ascii="Arial" w:hAnsi="Arial" w:cs="Arial"/>
                <w:sz w:val="20"/>
                <w:szCs w:val="20"/>
                <w:lang w:val="es-ES"/>
              </w:rPr>
              <w:t>En implementación</w:t>
            </w:r>
          </w:p>
        </w:tc>
        <w:tc>
          <w:tcPr>
            <w:tcW w:w="1777" w:type="dxa"/>
          </w:tcPr>
          <w:p w14:paraId="381360E4" w14:textId="640D0BE7" w:rsidR="00B321E8" w:rsidRPr="00E77F0E" w:rsidRDefault="0037491D" w:rsidP="00200A2E">
            <w:pPr>
              <w:jc w:val="center"/>
              <w:rPr>
                <w:rFonts w:ascii="Arial" w:hAnsi="Arial" w:cs="Arial"/>
                <w:sz w:val="20"/>
                <w:szCs w:val="20"/>
                <w:lang w:val="es-ES"/>
              </w:rPr>
            </w:pPr>
            <w:r w:rsidRPr="00E77F0E">
              <w:rPr>
                <w:rFonts w:ascii="Arial" w:hAnsi="Arial" w:cs="Arial"/>
                <w:sz w:val="20"/>
                <w:szCs w:val="20"/>
                <w:lang w:val="es-ES"/>
              </w:rPr>
              <w:t>5.000</w:t>
            </w:r>
          </w:p>
        </w:tc>
      </w:tr>
    </w:tbl>
    <w:p w14:paraId="63DBDCDD" w14:textId="77777777" w:rsidR="00446249" w:rsidRPr="00E77F0E" w:rsidRDefault="00446249" w:rsidP="00CB0B95">
      <w:pPr>
        <w:jc w:val="both"/>
        <w:rPr>
          <w:rFonts w:ascii="Arial" w:hAnsi="Arial" w:cs="Arial"/>
          <w:lang w:val="es-ES"/>
        </w:rPr>
      </w:pPr>
    </w:p>
    <w:p w14:paraId="2ECB8D09" w14:textId="1C080EC9" w:rsidR="006C2BD6" w:rsidRPr="00E77F0E" w:rsidRDefault="00D55AD4" w:rsidP="0068790A">
      <w:pPr>
        <w:jc w:val="both"/>
        <w:rPr>
          <w:rFonts w:ascii="Arial" w:hAnsi="Arial" w:cs="Arial"/>
          <w:lang w:val="es-ES_tradnl"/>
        </w:rPr>
      </w:pPr>
      <w:r w:rsidRPr="00E77F0E">
        <w:rPr>
          <w:rFonts w:ascii="Arial" w:hAnsi="Arial" w:cs="Arial"/>
          <w:lang w:val="es-ES_tradnl"/>
        </w:rPr>
        <w:t>Entre los resultados</w:t>
      </w:r>
      <w:r w:rsidR="00C92EBE" w:rsidRPr="00E77F0E">
        <w:rPr>
          <w:rFonts w:ascii="Arial" w:hAnsi="Arial" w:cs="Arial"/>
          <w:lang w:val="es-ES_tradnl"/>
        </w:rPr>
        <w:t xml:space="preserve"> o hallazgos</w:t>
      </w:r>
      <w:r w:rsidRPr="00E77F0E">
        <w:rPr>
          <w:rFonts w:ascii="Arial" w:hAnsi="Arial" w:cs="Arial"/>
          <w:lang w:val="es-ES_tradnl"/>
        </w:rPr>
        <w:t xml:space="preserve"> de los pilotos </w:t>
      </w:r>
      <w:r w:rsidR="002D79A0" w:rsidRPr="00E77F0E">
        <w:rPr>
          <w:rFonts w:ascii="Arial" w:hAnsi="Arial" w:cs="Arial"/>
          <w:lang w:val="es-ES_tradnl"/>
        </w:rPr>
        <w:t>apoyados por el Labora</w:t>
      </w:r>
      <w:r w:rsidR="006C2BD6" w:rsidRPr="00E77F0E">
        <w:rPr>
          <w:rFonts w:ascii="Arial" w:hAnsi="Arial" w:cs="Arial"/>
          <w:lang w:val="es-ES_tradnl"/>
        </w:rPr>
        <w:t xml:space="preserve">torio de Ahorro para el </w:t>
      </w:r>
      <w:r w:rsidR="00EB7814" w:rsidRPr="00E77F0E">
        <w:rPr>
          <w:rFonts w:ascii="Arial" w:hAnsi="Arial" w:cs="Arial"/>
          <w:lang w:val="es-ES_tradnl"/>
        </w:rPr>
        <w:t>Retiro del</w:t>
      </w:r>
      <w:r w:rsidR="00C92EBE" w:rsidRPr="00E77F0E">
        <w:rPr>
          <w:rFonts w:ascii="Arial" w:hAnsi="Arial" w:cs="Arial"/>
          <w:lang w:val="es-ES_tradnl"/>
        </w:rPr>
        <w:t xml:space="preserve"> BID</w:t>
      </w:r>
      <w:r w:rsidR="00A81147" w:rsidRPr="00E77F0E">
        <w:rPr>
          <w:rFonts w:ascii="Arial" w:hAnsi="Arial" w:cs="Arial"/>
          <w:lang w:val="es-ES_tradnl"/>
        </w:rPr>
        <w:t xml:space="preserve"> </w:t>
      </w:r>
      <w:r w:rsidR="006C2BD6" w:rsidRPr="00E77F0E">
        <w:rPr>
          <w:rFonts w:ascii="Arial" w:hAnsi="Arial" w:cs="Arial"/>
          <w:lang w:val="es-ES_tradnl"/>
        </w:rPr>
        <w:t>destacan</w:t>
      </w:r>
      <w:r w:rsidR="0068790A" w:rsidRPr="00E77F0E">
        <w:rPr>
          <w:rFonts w:ascii="Arial" w:hAnsi="Arial" w:cs="Arial"/>
          <w:lang w:val="es-ES_tradnl"/>
        </w:rPr>
        <w:t xml:space="preserve"> los siguientes</w:t>
      </w:r>
      <w:r w:rsidR="006C2BD6" w:rsidRPr="00E77F0E">
        <w:rPr>
          <w:rFonts w:ascii="Arial" w:hAnsi="Arial" w:cs="Arial"/>
          <w:lang w:val="es-ES_tradnl"/>
        </w:rPr>
        <w:t>:</w:t>
      </w:r>
    </w:p>
    <w:p w14:paraId="644475A3" w14:textId="72F2C106" w:rsidR="0068790A" w:rsidRPr="00E77F0E" w:rsidRDefault="0068790A" w:rsidP="0068790A">
      <w:pPr>
        <w:pStyle w:val="ListParagraph"/>
        <w:numPr>
          <w:ilvl w:val="0"/>
          <w:numId w:val="4"/>
        </w:numPr>
        <w:jc w:val="both"/>
        <w:rPr>
          <w:rFonts w:ascii="Arial" w:hAnsi="Arial" w:cs="Arial"/>
          <w:lang w:val="es-ES_tradnl"/>
        </w:rPr>
      </w:pPr>
      <w:r w:rsidRPr="00E77F0E">
        <w:rPr>
          <w:rFonts w:ascii="Arial" w:hAnsi="Arial" w:cs="Arial"/>
          <w:lang w:val="es-ES_tradnl"/>
        </w:rPr>
        <w:t xml:space="preserve">En Colombia, </w:t>
      </w:r>
      <w:r w:rsidR="00A818F0" w:rsidRPr="00E77F0E">
        <w:rPr>
          <w:rFonts w:ascii="Arial" w:hAnsi="Arial" w:cs="Arial"/>
          <w:lang w:val="es-ES_tradnl"/>
        </w:rPr>
        <w:t xml:space="preserve">después de 15 meses </w:t>
      </w:r>
      <w:r w:rsidR="00D93943" w:rsidRPr="00E77F0E">
        <w:rPr>
          <w:rFonts w:ascii="Arial" w:hAnsi="Arial" w:cs="Arial"/>
          <w:lang w:val="es-ES_tradnl"/>
        </w:rPr>
        <w:t>enviando</w:t>
      </w:r>
      <w:r w:rsidR="00A818F0" w:rsidRPr="00E77F0E">
        <w:rPr>
          <w:rFonts w:ascii="Arial" w:hAnsi="Arial" w:cs="Arial"/>
          <w:lang w:val="es-ES_tradnl"/>
        </w:rPr>
        <w:t xml:space="preserve"> SMS con recordatorios para ahorrar, las personas</w:t>
      </w:r>
      <w:r w:rsidR="00D93943" w:rsidRPr="00E77F0E">
        <w:rPr>
          <w:rFonts w:ascii="Arial" w:hAnsi="Arial" w:cs="Arial"/>
          <w:lang w:val="es-ES_tradnl"/>
        </w:rPr>
        <w:t xml:space="preserve"> </w:t>
      </w:r>
      <w:r w:rsidR="00A818F0" w:rsidRPr="00E77F0E">
        <w:rPr>
          <w:rFonts w:ascii="Arial" w:hAnsi="Arial" w:cs="Arial"/>
          <w:lang w:val="es-ES_tradnl"/>
        </w:rPr>
        <w:t xml:space="preserve">que venían ahorrando antes de la intervención ahorraron 2,8%, 9,3% o 14,1% más que el grupo de control dependiendo de si recibieron los SMS </w:t>
      </w:r>
      <w:r w:rsidR="00A818F0" w:rsidRPr="00E77F0E">
        <w:rPr>
          <w:rFonts w:ascii="Arial" w:hAnsi="Arial" w:cs="Arial"/>
          <w:lang w:val="es-ES_tradnl"/>
        </w:rPr>
        <w:lastRenderedPageBreak/>
        <w:t>durante</w:t>
      </w:r>
      <w:r w:rsidR="008E0082">
        <w:rPr>
          <w:rFonts w:ascii="Arial" w:hAnsi="Arial" w:cs="Arial"/>
          <w:lang w:val="es-ES_tradnl"/>
        </w:rPr>
        <w:t> </w:t>
      </w:r>
      <w:r w:rsidR="00A818F0" w:rsidRPr="00E77F0E">
        <w:rPr>
          <w:rFonts w:ascii="Arial" w:hAnsi="Arial" w:cs="Arial"/>
          <w:lang w:val="es-ES_tradnl"/>
        </w:rPr>
        <w:t>5,</w:t>
      </w:r>
      <w:r w:rsidR="008E0082">
        <w:rPr>
          <w:rFonts w:ascii="Arial" w:hAnsi="Arial" w:cs="Arial"/>
          <w:lang w:val="es-ES_tradnl"/>
        </w:rPr>
        <w:t> </w:t>
      </w:r>
      <w:r w:rsidR="00A818F0" w:rsidRPr="00E77F0E">
        <w:rPr>
          <w:rFonts w:ascii="Arial" w:hAnsi="Arial" w:cs="Arial"/>
          <w:lang w:val="es-ES_tradnl"/>
        </w:rPr>
        <w:t>10</w:t>
      </w:r>
      <w:r w:rsidR="008E0082">
        <w:rPr>
          <w:rFonts w:ascii="Arial" w:hAnsi="Arial" w:cs="Arial"/>
          <w:lang w:val="es-ES_tradnl"/>
        </w:rPr>
        <w:t> </w:t>
      </w:r>
      <w:r w:rsidR="00A818F0" w:rsidRPr="00E77F0E">
        <w:rPr>
          <w:rFonts w:ascii="Arial" w:hAnsi="Arial" w:cs="Arial"/>
          <w:lang w:val="es-ES_tradnl"/>
        </w:rPr>
        <w:t>o</w:t>
      </w:r>
      <w:r w:rsidR="008E0082">
        <w:rPr>
          <w:rFonts w:ascii="Arial" w:hAnsi="Arial" w:cs="Arial"/>
          <w:lang w:val="es-ES_tradnl"/>
        </w:rPr>
        <w:t> </w:t>
      </w:r>
      <w:r w:rsidR="00A818F0" w:rsidRPr="00E77F0E">
        <w:rPr>
          <w:rFonts w:ascii="Arial" w:hAnsi="Arial" w:cs="Arial"/>
          <w:lang w:val="es-ES_tradnl"/>
        </w:rPr>
        <w:t>15</w:t>
      </w:r>
      <w:r w:rsidR="008E0082">
        <w:rPr>
          <w:rFonts w:ascii="Arial" w:hAnsi="Arial" w:cs="Arial"/>
          <w:lang w:val="es-ES_tradnl"/>
        </w:rPr>
        <w:t> </w:t>
      </w:r>
      <w:r w:rsidR="00A818F0" w:rsidRPr="00E77F0E">
        <w:rPr>
          <w:rFonts w:ascii="Arial" w:hAnsi="Arial" w:cs="Arial"/>
          <w:lang w:val="es-ES_tradnl"/>
        </w:rPr>
        <w:t>meses. Esto se tradujo en incrementos de 10,71, 17,36 y 15,87 dólares de ahorro obtenidos por cada dólar invertido en SMS durante los 5, 10 o 15 meses</w:t>
      </w:r>
      <w:r w:rsidR="004F5F5C" w:rsidRPr="00E77F0E">
        <w:rPr>
          <w:rFonts w:ascii="Arial" w:hAnsi="Arial" w:cs="Arial"/>
          <w:lang w:val="es-ES_tradnl"/>
        </w:rPr>
        <w:t>;</w:t>
      </w:r>
    </w:p>
    <w:p w14:paraId="060842B8" w14:textId="497D17D4" w:rsidR="004F5F5C" w:rsidRPr="00E77F0E" w:rsidRDefault="00387021" w:rsidP="004F5F5C">
      <w:pPr>
        <w:pStyle w:val="ListParagraph"/>
        <w:numPr>
          <w:ilvl w:val="0"/>
          <w:numId w:val="4"/>
        </w:numPr>
        <w:jc w:val="both"/>
        <w:rPr>
          <w:rFonts w:ascii="Arial" w:hAnsi="Arial" w:cs="Arial"/>
          <w:lang w:val="es-ES"/>
        </w:rPr>
      </w:pPr>
      <w:r w:rsidRPr="00E77F0E">
        <w:rPr>
          <w:rFonts w:ascii="Arial" w:hAnsi="Arial" w:cs="Arial"/>
          <w:lang w:val="es-ES_tradnl"/>
        </w:rPr>
        <w:t>En Chile, e</w:t>
      </w:r>
      <w:r w:rsidRPr="00E77F0E">
        <w:rPr>
          <w:rFonts w:ascii="Arial" w:hAnsi="Arial" w:cs="Arial"/>
          <w:lang w:val="es-ES"/>
        </w:rPr>
        <w:t>l porcentaje de trabajadores en una empresa del sector financiero que particip</w:t>
      </w:r>
      <w:r w:rsidR="004F5F5C" w:rsidRPr="00E77F0E">
        <w:rPr>
          <w:rFonts w:ascii="Arial" w:hAnsi="Arial" w:cs="Arial"/>
          <w:lang w:val="es-ES"/>
        </w:rPr>
        <w:t>ó en un plan de</w:t>
      </w:r>
      <w:r w:rsidRPr="00E77F0E">
        <w:rPr>
          <w:rFonts w:ascii="Arial" w:hAnsi="Arial" w:cs="Arial"/>
          <w:lang w:val="es-ES"/>
        </w:rPr>
        <w:t xml:space="preserve"> ahorro previsional voluntario</w:t>
      </w:r>
      <w:r w:rsidR="004F5F5C" w:rsidRPr="00E77F0E">
        <w:rPr>
          <w:rFonts w:ascii="Arial" w:hAnsi="Arial" w:cs="Arial"/>
          <w:lang w:val="es-ES"/>
        </w:rPr>
        <w:t xml:space="preserve"> </w:t>
      </w:r>
      <w:r w:rsidR="005A0EFD" w:rsidRPr="00E77F0E">
        <w:rPr>
          <w:rFonts w:ascii="Arial" w:hAnsi="Arial" w:cs="Arial"/>
          <w:lang w:val="es-ES"/>
        </w:rPr>
        <w:t>grupal</w:t>
      </w:r>
      <w:r w:rsidR="004F5F5C" w:rsidRPr="00E77F0E">
        <w:rPr>
          <w:rFonts w:ascii="Arial" w:hAnsi="Arial" w:cs="Arial"/>
          <w:lang w:val="es-ES"/>
        </w:rPr>
        <w:t xml:space="preserve"> aumentó en 3 puntos porcentuales gracias a una intervención basada en el envío de cartas y subsidios al ahorro;</w:t>
      </w:r>
    </w:p>
    <w:p w14:paraId="03ACEC61" w14:textId="74C0791C" w:rsidR="004F5F5C" w:rsidRPr="00E77F0E" w:rsidRDefault="00243106" w:rsidP="004F5F5C">
      <w:pPr>
        <w:pStyle w:val="ListParagraph"/>
        <w:numPr>
          <w:ilvl w:val="0"/>
          <w:numId w:val="4"/>
        </w:numPr>
        <w:jc w:val="both"/>
        <w:rPr>
          <w:rFonts w:ascii="Arial" w:hAnsi="Arial" w:cs="Arial"/>
          <w:lang w:val="es-ES"/>
        </w:rPr>
      </w:pPr>
      <w:r w:rsidRPr="00E77F0E">
        <w:rPr>
          <w:rFonts w:ascii="Arial" w:hAnsi="Arial" w:cs="Arial"/>
          <w:lang w:val="es-ES"/>
        </w:rPr>
        <w:t xml:space="preserve">En </w:t>
      </w:r>
      <w:r w:rsidR="00A546FE" w:rsidRPr="00E77F0E">
        <w:rPr>
          <w:rFonts w:ascii="Arial" w:hAnsi="Arial" w:cs="Arial"/>
          <w:lang w:val="es-ES"/>
        </w:rPr>
        <w:t xml:space="preserve">Chile, un </w:t>
      </w:r>
      <w:r w:rsidR="00AD3B9A" w:rsidRPr="00E77F0E">
        <w:rPr>
          <w:rFonts w:ascii="Arial" w:hAnsi="Arial" w:cs="Arial"/>
          <w:lang w:val="es-ES"/>
        </w:rPr>
        <w:t>curso de educación previsional implementado en colegios t</w:t>
      </w:r>
      <w:r w:rsidR="00ED2075" w:rsidRPr="00E77F0E">
        <w:rPr>
          <w:rFonts w:ascii="Arial" w:hAnsi="Arial" w:cs="Arial"/>
          <w:lang w:val="es-ES"/>
        </w:rPr>
        <w:t>écnico</w:t>
      </w:r>
      <w:r w:rsidR="00AD3B9A" w:rsidRPr="00E77F0E">
        <w:rPr>
          <w:rFonts w:ascii="Arial" w:hAnsi="Arial" w:cs="Arial"/>
          <w:lang w:val="es-ES"/>
        </w:rPr>
        <w:t xml:space="preserve">-profesionales aumentó el </w:t>
      </w:r>
      <w:r w:rsidR="0079508D" w:rsidRPr="00E77F0E">
        <w:rPr>
          <w:rFonts w:ascii="Arial" w:hAnsi="Arial" w:cs="Arial"/>
          <w:lang w:val="es-ES"/>
        </w:rPr>
        <w:t xml:space="preserve">nivel de </w:t>
      </w:r>
      <w:r w:rsidR="002B7AA7" w:rsidRPr="00E77F0E">
        <w:rPr>
          <w:rFonts w:ascii="Arial" w:hAnsi="Arial" w:cs="Arial"/>
          <w:lang w:val="es-ES"/>
        </w:rPr>
        <w:t xml:space="preserve">conocimiento previsional y la </w:t>
      </w:r>
      <w:r w:rsidR="0079508D" w:rsidRPr="00E77F0E">
        <w:rPr>
          <w:rFonts w:ascii="Arial" w:hAnsi="Arial" w:cs="Arial"/>
          <w:lang w:val="es-ES"/>
        </w:rPr>
        <w:t xml:space="preserve">confianza </w:t>
      </w:r>
      <w:r w:rsidR="002B7AA7" w:rsidRPr="00E77F0E">
        <w:rPr>
          <w:rFonts w:ascii="Arial" w:hAnsi="Arial" w:cs="Arial"/>
          <w:lang w:val="es-ES"/>
        </w:rPr>
        <w:t xml:space="preserve">en el sistema pensional </w:t>
      </w:r>
      <w:r w:rsidR="00EB7814" w:rsidRPr="00E77F0E">
        <w:rPr>
          <w:rFonts w:ascii="Arial" w:hAnsi="Arial" w:cs="Arial"/>
          <w:lang w:val="es-ES"/>
        </w:rPr>
        <w:t>chileno</w:t>
      </w:r>
      <w:r w:rsidR="002B7AA7" w:rsidRPr="00E77F0E">
        <w:rPr>
          <w:rFonts w:ascii="Arial" w:hAnsi="Arial" w:cs="Arial"/>
          <w:lang w:val="es-ES"/>
        </w:rPr>
        <w:t xml:space="preserve"> entre los estudiantes</w:t>
      </w:r>
      <w:r w:rsidR="005318F8" w:rsidRPr="00E77F0E">
        <w:rPr>
          <w:rFonts w:ascii="Arial" w:hAnsi="Arial" w:cs="Arial"/>
          <w:lang w:val="es-ES"/>
        </w:rPr>
        <w:t>;</w:t>
      </w:r>
    </w:p>
    <w:p w14:paraId="149E1706" w14:textId="7E1AB30E" w:rsidR="00D105F2" w:rsidRPr="00E77F0E" w:rsidRDefault="00D105F2" w:rsidP="00CB0B95">
      <w:pPr>
        <w:pStyle w:val="ListParagraph"/>
        <w:numPr>
          <w:ilvl w:val="0"/>
          <w:numId w:val="4"/>
        </w:numPr>
        <w:jc w:val="both"/>
        <w:rPr>
          <w:rFonts w:ascii="Arial" w:hAnsi="Arial" w:cs="Arial"/>
          <w:lang w:val="es-ES"/>
        </w:rPr>
      </w:pPr>
      <w:r w:rsidRPr="00E77F0E">
        <w:rPr>
          <w:rFonts w:ascii="Arial" w:hAnsi="Arial" w:cs="Arial"/>
          <w:lang w:val="es-ES"/>
        </w:rPr>
        <w:t>Entre 20 y 30% de</w:t>
      </w:r>
      <w:r w:rsidR="005318F8" w:rsidRPr="00E77F0E">
        <w:rPr>
          <w:rFonts w:ascii="Arial" w:hAnsi="Arial" w:cs="Arial"/>
          <w:lang w:val="es-ES"/>
        </w:rPr>
        <w:t xml:space="preserve"> una muestra de</w:t>
      </w:r>
      <w:r w:rsidRPr="00E77F0E">
        <w:rPr>
          <w:rFonts w:ascii="Arial" w:hAnsi="Arial" w:cs="Arial"/>
          <w:lang w:val="es-ES"/>
        </w:rPr>
        <w:t xml:space="preserve"> nuevos c</w:t>
      </w:r>
      <w:r w:rsidR="006F149F" w:rsidRPr="00E77F0E">
        <w:rPr>
          <w:rFonts w:ascii="Arial" w:hAnsi="Arial" w:cs="Arial"/>
          <w:lang w:val="es-ES"/>
        </w:rPr>
        <w:t>onductores de la plataforma digital de transporte individual “Cabify”</w:t>
      </w:r>
      <w:r w:rsidRPr="00E77F0E">
        <w:rPr>
          <w:rFonts w:ascii="Arial" w:hAnsi="Arial" w:cs="Arial"/>
          <w:lang w:val="es-ES"/>
        </w:rPr>
        <w:t xml:space="preserve"> en Perú</w:t>
      </w:r>
      <w:r w:rsidR="006F149F" w:rsidRPr="00E77F0E">
        <w:rPr>
          <w:rFonts w:ascii="Arial" w:hAnsi="Arial" w:cs="Arial"/>
          <w:lang w:val="es-ES"/>
        </w:rPr>
        <w:t xml:space="preserve"> expresaron un interés en </w:t>
      </w:r>
      <w:r w:rsidR="00FB4834" w:rsidRPr="00E77F0E">
        <w:rPr>
          <w:rFonts w:ascii="Arial" w:hAnsi="Arial" w:cs="Arial"/>
          <w:lang w:val="es-ES"/>
        </w:rPr>
        <w:t>ahorrar parte de su ingreso en un plan de ahorro automático proporcionado por la plataforma</w:t>
      </w:r>
      <w:r w:rsidR="005318F8" w:rsidRPr="00E77F0E">
        <w:rPr>
          <w:rFonts w:ascii="Arial" w:hAnsi="Arial" w:cs="Arial"/>
          <w:lang w:val="es-ES"/>
        </w:rPr>
        <w:t>.</w:t>
      </w:r>
    </w:p>
    <w:p w14:paraId="053B4E15" w14:textId="77777777" w:rsidR="008E3A30" w:rsidRPr="00E77F0E" w:rsidRDefault="008E3A30" w:rsidP="00CB0B95">
      <w:pPr>
        <w:jc w:val="both"/>
        <w:rPr>
          <w:rFonts w:ascii="Arial" w:hAnsi="Arial" w:cs="Arial"/>
          <w:b/>
          <w:bCs/>
          <w:lang w:val="es-ES_tradnl"/>
        </w:rPr>
      </w:pPr>
      <w:r w:rsidRPr="00E77F0E">
        <w:rPr>
          <w:rFonts w:ascii="Arial" w:hAnsi="Arial" w:cs="Arial"/>
          <w:b/>
          <w:bCs/>
          <w:lang w:val="es-ES_tradnl"/>
        </w:rPr>
        <w:t xml:space="preserve">Mejorar la eficacia en la gestión estratégica del MH en materia de política pensional </w:t>
      </w:r>
    </w:p>
    <w:p w14:paraId="4317FAFE" w14:textId="533A7CC9" w:rsidR="0013256B" w:rsidRPr="00E77F0E" w:rsidRDefault="00173BC3" w:rsidP="00CB0B95">
      <w:pPr>
        <w:jc w:val="both"/>
        <w:rPr>
          <w:rFonts w:ascii="Arial" w:hAnsi="Arial" w:cs="Arial"/>
          <w:lang w:val="es-ES_tradnl"/>
        </w:rPr>
      </w:pPr>
      <w:r w:rsidRPr="00E77F0E">
        <w:rPr>
          <w:rFonts w:ascii="Arial" w:hAnsi="Arial" w:cs="Arial"/>
          <w:lang w:val="es-ES_tradnl"/>
        </w:rPr>
        <w:t>Tomando en cuenta las lecciones aprendidas del Laboratorio de Ahorro para el Retiro del BID, la operación PR-L1158</w:t>
      </w:r>
      <w:r w:rsidR="008E3A30" w:rsidRPr="00E77F0E">
        <w:rPr>
          <w:rFonts w:ascii="Arial" w:hAnsi="Arial" w:cs="Arial"/>
          <w:lang w:val="es-ES_tradnl"/>
        </w:rPr>
        <w:t xml:space="preserve">, dentro del componente 3, </w:t>
      </w:r>
      <w:r w:rsidRPr="00E77F0E">
        <w:rPr>
          <w:rFonts w:ascii="Arial" w:hAnsi="Arial" w:cs="Arial"/>
          <w:lang w:val="es-ES_tradnl"/>
        </w:rPr>
        <w:t xml:space="preserve">busca apoyar </w:t>
      </w:r>
      <w:r w:rsidR="008E3A30" w:rsidRPr="00E77F0E">
        <w:rPr>
          <w:rFonts w:ascii="Arial" w:hAnsi="Arial" w:cs="Arial"/>
          <w:lang w:val="es-ES_tradnl"/>
        </w:rPr>
        <w:t xml:space="preserve">al </w:t>
      </w:r>
      <w:r w:rsidR="00D105F2" w:rsidRPr="00E77F0E">
        <w:rPr>
          <w:rFonts w:ascii="Arial" w:hAnsi="Arial" w:cs="Arial"/>
          <w:lang w:val="es-ES_tradnl"/>
        </w:rPr>
        <w:t>MH</w:t>
      </w:r>
      <w:r w:rsidR="00152E63" w:rsidRPr="00E77F0E">
        <w:rPr>
          <w:rFonts w:ascii="Arial" w:hAnsi="Arial" w:cs="Arial"/>
          <w:lang w:val="es-ES_tradnl"/>
        </w:rPr>
        <w:t xml:space="preserve"> </w:t>
      </w:r>
      <w:r w:rsidR="008E3A30" w:rsidRPr="00E77F0E">
        <w:rPr>
          <w:rFonts w:ascii="Arial" w:hAnsi="Arial" w:cs="Arial"/>
          <w:lang w:val="es-ES_tradnl"/>
        </w:rPr>
        <w:t>en sus funciones de generación de información, análisis y formulación de políticas del SJP, aportando mayor consistencia a su conducción y mayor articulación a su funcionamiento</w:t>
      </w:r>
      <w:r w:rsidR="00436200" w:rsidRPr="00E77F0E">
        <w:rPr>
          <w:rFonts w:ascii="Arial" w:hAnsi="Arial" w:cs="Arial"/>
          <w:lang w:val="es-ES_tradnl"/>
        </w:rPr>
        <w:t xml:space="preserve">. </w:t>
      </w:r>
      <w:r w:rsidR="008E3A30" w:rsidRPr="00E77F0E">
        <w:rPr>
          <w:rFonts w:ascii="Arial" w:hAnsi="Arial" w:cs="Arial"/>
          <w:lang w:val="es-ES_tradnl"/>
        </w:rPr>
        <w:t xml:space="preserve">Dentro de este componente se incluirá el desarrollo de estrategias para la ampliación de la cobertura y la densidad de cotizaciones (piloto experimental basado en economía de comportamiento y nuevas tecnologías, para trabajadores informales, con énfasis en mujeres. Adicionalmente, el componente prevé </w:t>
      </w:r>
      <w:r w:rsidR="0013256B" w:rsidRPr="00E77F0E">
        <w:rPr>
          <w:rFonts w:ascii="Arial" w:hAnsi="Arial" w:cs="Arial"/>
          <w:lang w:val="es-ES_tradnl"/>
        </w:rPr>
        <w:t>las siguientes actividades:</w:t>
      </w:r>
    </w:p>
    <w:tbl>
      <w:tblPr>
        <w:tblStyle w:val="TableGrid"/>
        <w:tblW w:w="0" w:type="auto"/>
        <w:tblLook w:val="04A0" w:firstRow="1" w:lastRow="0" w:firstColumn="1" w:lastColumn="0" w:noHBand="0" w:noVBand="1"/>
      </w:tblPr>
      <w:tblGrid>
        <w:gridCol w:w="445"/>
        <w:gridCol w:w="7020"/>
        <w:gridCol w:w="1885"/>
      </w:tblGrid>
      <w:tr w:rsidR="00D21C39" w:rsidRPr="008E0082" w14:paraId="1D09D119" w14:textId="77777777" w:rsidTr="008E0082">
        <w:tc>
          <w:tcPr>
            <w:tcW w:w="445" w:type="dxa"/>
            <w:shd w:val="clear" w:color="auto" w:fill="D9D9D9" w:themeFill="background1" w:themeFillShade="D9"/>
          </w:tcPr>
          <w:p w14:paraId="58BBF318" w14:textId="39FFD78C" w:rsidR="00D21C39" w:rsidRPr="008E0082" w:rsidRDefault="00D21C39" w:rsidP="00B45E11">
            <w:pPr>
              <w:jc w:val="center"/>
              <w:rPr>
                <w:rFonts w:ascii="Arial" w:hAnsi="Arial" w:cs="Arial"/>
                <w:b/>
                <w:bCs/>
                <w:lang w:val="es-ES_tradnl"/>
              </w:rPr>
            </w:pPr>
            <w:r w:rsidRPr="008E0082">
              <w:rPr>
                <w:rFonts w:ascii="Arial" w:hAnsi="Arial" w:cs="Arial"/>
                <w:b/>
                <w:bCs/>
                <w:lang w:val="es-ES_tradnl"/>
              </w:rPr>
              <w:t>#</w:t>
            </w:r>
          </w:p>
        </w:tc>
        <w:tc>
          <w:tcPr>
            <w:tcW w:w="7020" w:type="dxa"/>
            <w:shd w:val="clear" w:color="auto" w:fill="D9D9D9" w:themeFill="background1" w:themeFillShade="D9"/>
          </w:tcPr>
          <w:p w14:paraId="3D69CA0B" w14:textId="21FB7242" w:rsidR="00D21C39" w:rsidRPr="008E0082" w:rsidRDefault="00D21C39" w:rsidP="00D21C39">
            <w:pPr>
              <w:jc w:val="both"/>
              <w:rPr>
                <w:rFonts w:ascii="Arial" w:hAnsi="Arial" w:cs="Arial"/>
                <w:b/>
                <w:bCs/>
                <w:lang w:val="es-ES_tradnl"/>
              </w:rPr>
            </w:pPr>
            <w:r w:rsidRPr="008E0082">
              <w:rPr>
                <w:rFonts w:ascii="Arial" w:hAnsi="Arial" w:cs="Arial"/>
                <w:b/>
                <w:bCs/>
                <w:lang w:val="es-ES_tradnl"/>
              </w:rPr>
              <w:t>Actividad</w:t>
            </w:r>
          </w:p>
        </w:tc>
        <w:tc>
          <w:tcPr>
            <w:tcW w:w="1885" w:type="dxa"/>
            <w:shd w:val="clear" w:color="auto" w:fill="D9D9D9" w:themeFill="background1" w:themeFillShade="D9"/>
          </w:tcPr>
          <w:p w14:paraId="1E78D82C" w14:textId="7CADFF72" w:rsidR="00D21C39" w:rsidRPr="008E0082" w:rsidRDefault="00D21C39" w:rsidP="00D21C39">
            <w:pPr>
              <w:jc w:val="both"/>
              <w:rPr>
                <w:rFonts w:ascii="Arial" w:hAnsi="Arial" w:cs="Arial"/>
                <w:b/>
                <w:bCs/>
                <w:lang w:val="es-ES_tradnl"/>
              </w:rPr>
            </w:pPr>
            <w:r w:rsidRPr="008E0082">
              <w:rPr>
                <w:rFonts w:ascii="Arial" w:hAnsi="Arial" w:cs="Arial"/>
                <w:b/>
                <w:bCs/>
                <w:lang w:val="es-ES_tradnl"/>
              </w:rPr>
              <w:t>Costo</w:t>
            </w:r>
            <w:r w:rsidR="008E0082">
              <w:rPr>
                <w:rFonts w:ascii="Arial" w:hAnsi="Arial" w:cs="Arial"/>
                <w:b/>
                <w:bCs/>
                <w:lang w:val="es-ES_tradnl"/>
              </w:rPr>
              <w:t xml:space="preserve"> </w:t>
            </w:r>
            <w:r w:rsidRPr="008E0082">
              <w:rPr>
                <w:rFonts w:ascii="Arial" w:hAnsi="Arial" w:cs="Arial"/>
                <w:b/>
                <w:bCs/>
                <w:lang w:val="es-ES_tradnl"/>
              </w:rPr>
              <w:t>(en</w:t>
            </w:r>
            <w:r w:rsidR="008E0082">
              <w:rPr>
                <w:rFonts w:ascii="Arial" w:hAnsi="Arial" w:cs="Arial"/>
                <w:b/>
                <w:bCs/>
                <w:lang w:val="es-ES_tradnl"/>
              </w:rPr>
              <w:t xml:space="preserve"> </w:t>
            </w:r>
            <w:r w:rsidRPr="008E0082">
              <w:rPr>
                <w:rFonts w:ascii="Arial" w:hAnsi="Arial" w:cs="Arial"/>
                <w:b/>
                <w:bCs/>
                <w:lang w:val="es-ES_tradnl"/>
              </w:rPr>
              <w:t>US$)</w:t>
            </w:r>
          </w:p>
        </w:tc>
      </w:tr>
      <w:tr w:rsidR="00D21C39" w:rsidRPr="00E77F0E" w14:paraId="330A7931" w14:textId="77777777" w:rsidTr="008E0082">
        <w:tc>
          <w:tcPr>
            <w:tcW w:w="445" w:type="dxa"/>
          </w:tcPr>
          <w:p w14:paraId="1CA78001" w14:textId="2C22BE29" w:rsidR="00D21C39" w:rsidRPr="00E77F0E" w:rsidRDefault="00D21C39" w:rsidP="00B45E11">
            <w:pPr>
              <w:jc w:val="center"/>
              <w:rPr>
                <w:rFonts w:ascii="Arial" w:hAnsi="Arial" w:cs="Arial"/>
                <w:lang w:val="es-ES_tradnl"/>
              </w:rPr>
            </w:pPr>
            <w:r w:rsidRPr="00E77F0E">
              <w:rPr>
                <w:rFonts w:ascii="Arial" w:hAnsi="Arial" w:cs="Arial"/>
                <w:lang w:val="es-ES_tradnl"/>
              </w:rPr>
              <w:t>1</w:t>
            </w:r>
          </w:p>
        </w:tc>
        <w:tc>
          <w:tcPr>
            <w:tcW w:w="7020" w:type="dxa"/>
          </w:tcPr>
          <w:p w14:paraId="60E66A9F" w14:textId="39AA14DD" w:rsidR="00D21C39" w:rsidRPr="00E77F0E" w:rsidRDefault="00D21C39" w:rsidP="00D21C39">
            <w:pPr>
              <w:jc w:val="both"/>
              <w:rPr>
                <w:rFonts w:ascii="Arial" w:hAnsi="Arial" w:cs="Arial"/>
                <w:lang w:val="es-ES_tradnl"/>
              </w:rPr>
            </w:pPr>
            <w:r w:rsidRPr="00E77F0E">
              <w:rPr>
                <w:rFonts w:ascii="Arial" w:hAnsi="Arial" w:cs="Arial"/>
                <w:lang w:val="es-ES_tradnl"/>
              </w:rPr>
              <w:t>Diseño e implementación de un sistema de información de alto nivel sobre el sistema de pensiones (incluye conformación de bases de datos y protocolos de transferencias de información)</w:t>
            </w:r>
          </w:p>
        </w:tc>
        <w:tc>
          <w:tcPr>
            <w:tcW w:w="1885" w:type="dxa"/>
          </w:tcPr>
          <w:p w14:paraId="029541D0" w14:textId="4E0829B1" w:rsidR="00D21C39" w:rsidRPr="00E77F0E" w:rsidRDefault="005A0EFD" w:rsidP="00EA269B">
            <w:pPr>
              <w:jc w:val="center"/>
              <w:rPr>
                <w:rFonts w:ascii="Arial" w:hAnsi="Arial" w:cs="Arial"/>
                <w:lang w:val="es-ES_tradnl"/>
              </w:rPr>
            </w:pPr>
            <w:r w:rsidRPr="00E77F0E">
              <w:rPr>
                <w:rFonts w:ascii="Arial" w:hAnsi="Arial" w:cs="Arial"/>
                <w:lang w:val="es-ES_tradnl"/>
              </w:rPr>
              <w:t>250</w:t>
            </w:r>
            <w:r w:rsidR="00D21C39" w:rsidRPr="00E77F0E">
              <w:rPr>
                <w:rFonts w:ascii="Arial" w:hAnsi="Arial" w:cs="Arial"/>
                <w:lang w:val="es-ES_tradnl"/>
              </w:rPr>
              <w:t>.000</w:t>
            </w:r>
          </w:p>
        </w:tc>
      </w:tr>
      <w:tr w:rsidR="00D21C39" w:rsidRPr="00E77F0E" w14:paraId="3C9C9D46" w14:textId="77777777" w:rsidTr="008E0082">
        <w:tc>
          <w:tcPr>
            <w:tcW w:w="445" w:type="dxa"/>
          </w:tcPr>
          <w:p w14:paraId="33D82239" w14:textId="4CEF23C6" w:rsidR="00D21C39" w:rsidRPr="00E77F0E" w:rsidRDefault="00D21C39" w:rsidP="00B45E11">
            <w:pPr>
              <w:jc w:val="center"/>
              <w:rPr>
                <w:rFonts w:ascii="Arial" w:hAnsi="Arial" w:cs="Arial"/>
                <w:lang w:val="es-ES_tradnl"/>
              </w:rPr>
            </w:pPr>
            <w:r w:rsidRPr="00E77F0E">
              <w:rPr>
                <w:rFonts w:ascii="Arial" w:hAnsi="Arial" w:cs="Arial"/>
                <w:lang w:val="es-ES_tradnl"/>
              </w:rPr>
              <w:t>2</w:t>
            </w:r>
          </w:p>
        </w:tc>
        <w:tc>
          <w:tcPr>
            <w:tcW w:w="7020" w:type="dxa"/>
          </w:tcPr>
          <w:p w14:paraId="05A5B1E3" w14:textId="1E6F01AA" w:rsidR="00D21C39" w:rsidRPr="00E77F0E" w:rsidRDefault="00D21C39" w:rsidP="00D21C39">
            <w:pPr>
              <w:jc w:val="both"/>
              <w:rPr>
                <w:rFonts w:ascii="Arial" w:hAnsi="Arial" w:cs="Arial"/>
                <w:lang w:val="es-ES_tradnl"/>
              </w:rPr>
            </w:pPr>
            <w:r w:rsidRPr="00E77F0E">
              <w:rPr>
                <w:rFonts w:ascii="Arial" w:hAnsi="Arial" w:cs="Arial"/>
                <w:lang w:val="es-ES_tradnl"/>
              </w:rPr>
              <w:t>Elaboración de estudios periódicos para dar seguimiento a los compromisos fiscales</w:t>
            </w:r>
          </w:p>
        </w:tc>
        <w:tc>
          <w:tcPr>
            <w:tcW w:w="1885" w:type="dxa"/>
          </w:tcPr>
          <w:p w14:paraId="40A60863" w14:textId="0A0F614F" w:rsidR="00D21C39" w:rsidRPr="00E77F0E" w:rsidRDefault="00D21C39" w:rsidP="00EA269B">
            <w:pPr>
              <w:jc w:val="center"/>
              <w:rPr>
                <w:rFonts w:ascii="Arial" w:hAnsi="Arial" w:cs="Arial"/>
                <w:lang w:val="es-ES_tradnl"/>
              </w:rPr>
            </w:pPr>
            <w:r w:rsidRPr="00E77F0E">
              <w:rPr>
                <w:rFonts w:ascii="Arial" w:hAnsi="Arial" w:cs="Arial"/>
                <w:lang w:val="es-ES_tradnl"/>
              </w:rPr>
              <w:t>100.000</w:t>
            </w:r>
          </w:p>
        </w:tc>
      </w:tr>
      <w:tr w:rsidR="00D21C39" w:rsidRPr="00E77F0E" w14:paraId="03020F5A" w14:textId="77777777" w:rsidTr="008E0082">
        <w:tc>
          <w:tcPr>
            <w:tcW w:w="445" w:type="dxa"/>
          </w:tcPr>
          <w:p w14:paraId="5E6ECC58" w14:textId="4BD123A9" w:rsidR="00D21C39" w:rsidRPr="00E77F0E" w:rsidRDefault="00D21C39" w:rsidP="00B45E11">
            <w:pPr>
              <w:jc w:val="center"/>
              <w:rPr>
                <w:rFonts w:ascii="Arial" w:hAnsi="Arial" w:cs="Arial"/>
                <w:lang w:val="es-ES_tradnl"/>
              </w:rPr>
            </w:pPr>
            <w:r w:rsidRPr="00E77F0E">
              <w:rPr>
                <w:rFonts w:ascii="Arial" w:hAnsi="Arial" w:cs="Arial"/>
                <w:lang w:val="es-ES_tradnl"/>
              </w:rPr>
              <w:t>3</w:t>
            </w:r>
          </w:p>
        </w:tc>
        <w:tc>
          <w:tcPr>
            <w:tcW w:w="7020" w:type="dxa"/>
          </w:tcPr>
          <w:p w14:paraId="5BA2364A" w14:textId="2B05D9E2" w:rsidR="00D21C39" w:rsidRPr="00E77F0E" w:rsidRDefault="00D21C39" w:rsidP="00D21C39">
            <w:pPr>
              <w:jc w:val="both"/>
              <w:rPr>
                <w:rFonts w:ascii="Arial" w:hAnsi="Arial" w:cs="Arial"/>
                <w:lang w:val="es-ES_tradnl"/>
              </w:rPr>
            </w:pPr>
            <w:r w:rsidRPr="00E77F0E">
              <w:rPr>
                <w:rFonts w:ascii="Arial" w:hAnsi="Arial" w:cs="Arial"/>
                <w:lang w:val="es-ES_tradnl"/>
              </w:rPr>
              <w:t>Obras de adecuación del espacio físico y tecnológico</w:t>
            </w:r>
          </w:p>
        </w:tc>
        <w:tc>
          <w:tcPr>
            <w:tcW w:w="1885" w:type="dxa"/>
          </w:tcPr>
          <w:p w14:paraId="7909AB6B" w14:textId="7059D8FD" w:rsidR="00D21C39" w:rsidRPr="00E77F0E" w:rsidRDefault="005A0EFD" w:rsidP="00EA269B">
            <w:pPr>
              <w:jc w:val="center"/>
              <w:rPr>
                <w:rFonts w:ascii="Arial" w:hAnsi="Arial" w:cs="Arial"/>
                <w:lang w:val="es-ES_tradnl"/>
              </w:rPr>
            </w:pPr>
            <w:r w:rsidRPr="00E77F0E">
              <w:rPr>
                <w:rFonts w:ascii="Arial" w:hAnsi="Arial" w:cs="Arial"/>
                <w:lang w:val="es-ES_tradnl"/>
              </w:rPr>
              <w:t>120</w:t>
            </w:r>
            <w:r w:rsidR="00D21C39" w:rsidRPr="00E77F0E">
              <w:rPr>
                <w:rFonts w:ascii="Arial" w:hAnsi="Arial" w:cs="Arial"/>
                <w:lang w:val="es-ES_tradnl"/>
              </w:rPr>
              <w:t>.000</w:t>
            </w:r>
          </w:p>
        </w:tc>
      </w:tr>
      <w:tr w:rsidR="00D21C39" w:rsidRPr="00E77F0E" w14:paraId="57B7944B" w14:textId="77777777" w:rsidTr="008E0082">
        <w:tc>
          <w:tcPr>
            <w:tcW w:w="445" w:type="dxa"/>
          </w:tcPr>
          <w:p w14:paraId="1AFCDAE3" w14:textId="76D89E8E" w:rsidR="00D21C39" w:rsidRPr="00E77F0E" w:rsidRDefault="008E0082" w:rsidP="00B45E11">
            <w:pPr>
              <w:jc w:val="center"/>
              <w:rPr>
                <w:rFonts w:ascii="Arial" w:hAnsi="Arial" w:cs="Arial"/>
                <w:lang w:val="es-ES_tradnl"/>
              </w:rPr>
            </w:pPr>
            <w:r>
              <w:rPr>
                <w:rFonts w:ascii="Arial" w:hAnsi="Arial" w:cs="Arial"/>
                <w:lang w:val="es-ES_tradnl"/>
              </w:rPr>
              <w:t>4</w:t>
            </w:r>
          </w:p>
        </w:tc>
        <w:tc>
          <w:tcPr>
            <w:tcW w:w="7020" w:type="dxa"/>
          </w:tcPr>
          <w:p w14:paraId="716606A3" w14:textId="3E000CB2" w:rsidR="00D21C39" w:rsidRPr="00E77F0E" w:rsidRDefault="00D21C39" w:rsidP="00D21C39">
            <w:pPr>
              <w:jc w:val="both"/>
              <w:rPr>
                <w:rFonts w:ascii="Arial" w:hAnsi="Arial" w:cs="Arial"/>
                <w:lang w:val="es-ES_tradnl"/>
              </w:rPr>
            </w:pPr>
            <w:r w:rsidRPr="00E77F0E">
              <w:rPr>
                <w:rFonts w:ascii="Arial" w:hAnsi="Arial" w:cs="Arial"/>
                <w:lang w:val="es-ES_tradnl"/>
              </w:rPr>
              <w:t>Estudios, capacitación y análisis de impactos de las políticas sobre segmentos poblacionales críticos (género, jóvenes, activos mayores de 50 años, etc.)</w:t>
            </w:r>
          </w:p>
        </w:tc>
        <w:tc>
          <w:tcPr>
            <w:tcW w:w="1885" w:type="dxa"/>
          </w:tcPr>
          <w:p w14:paraId="721982B0" w14:textId="690D5043" w:rsidR="00D21C39" w:rsidRPr="00E77F0E" w:rsidRDefault="00D21C39" w:rsidP="00EA269B">
            <w:pPr>
              <w:jc w:val="center"/>
              <w:rPr>
                <w:rFonts w:ascii="Arial" w:hAnsi="Arial" w:cs="Arial"/>
                <w:lang w:val="es-ES_tradnl"/>
              </w:rPr>
            </w:pPr>
            <w:r w:rsidRPr="00E77F0E">
              <w:rPr>
                <w:rFonts w:ascii="Arial" w:hAnsi="Arial" w:cs="Arial"/>
                <w:lang w:val="es-ES_tradnl"/>
              </w:rPr>
              <w:t>120.000</w:t>
            </w:r>
          </w:p>
        </w:tc>
      </w:tr>
    </w:tbl>
    <w:p w14:paraId="09555887" w14:textId="2A31E300" w:rsidR="00201C8B" w:rsidRPr="00E77F0E" w:rsidRDefault="00201C8B" w:rsidP="00D21C39">
      <w:pPr>
        <w:jc w:val="both"/>
        <w:rPr>
          <w:rFonts w:ascii="Arial" w:hAnsi="Arial" w:cs="Arial"/>
          <w:lang w:val="es-ES_tradnl"/>
        </w:rPr>
      </w:pPr>
    </w:p>
    <w:p w14:paraId="166B3488" w14:textId="77F9ED3A" w:rsidR="007D58DE" w:rsidRPr="00E77F0E" w:rsidRDefault="00E26F6F" w:rsidP="00CB0B95">
      <w:pPr>
        <w:jc w:val="both"/>
        <w:rPr>
          <w:rFonts w:ascii="Arial" w:hAnsi="Arial" w:cs="Arial"/>
          <w:color w:val="000000"/>
          <w:lang w:val="es-ES"/>
        </w:rPr>
      </w:pPr>
      <w:r w:rsidRPr="00E77F0E">
        <w:rPr>
          <w:rFonts w:ascii="Arial" w:hAnsi="Arial" w:cs="Arial"/>
          <w:color w:val="000000"/>
          <w:lang w:val="es-ES_tradnl"/>
        </w:rPr>
        <w:t xml:space="preserve">Para generar evidencia acerca de la efectividad de </w:t>
      </w:r>
      <w:r w:rsidR="00563FA1" w:rsidRPr="00E77F0E">
        <w:rPr>
          <w:rFonts w:ascii="Arial" w:hAnsi="Arial" w:cs="Arial"/>
          <w:color w:val="000000"/>
          <w:lang w:val="es-ES_tradnl"/>
        </w:rPr>
        <w:t xml:space="preserve">políticas orientadas a fortalecer el SJP, el </w:t>
      </w:r>
      <w:r w:rsidR="008E3A30" w:rsidRPr="00E77F0E">
        <w:rPr>
          <w:rFonts w:ascii="Arial" w:hAnsi="Arial" w:cs="Arial"/>
          <w:color w:val="000000"/>
          <w:lang w:val="es-ES_tradnl"/>
        </w:rPr>
        <w:t xml:space="preserve">componente incluirá la implementación de </w:t>
      </w:r>
      <w:r w:rsidR="004B7253" w:rsidRPr="00E77F0E">
        <w:rPr>
          <w:rFonts w:ascii="Arial" w:hAnsi="Arial" w:cs="Arial"/>
          <w:color w:val="000000"/>
          <w:lang w:val="es-ES_tradnl"/>
        </w:rPr>
        <w:t xml:space="preserve">pruebas piloto </w:t>
      </w:r>
      <w:r w:rsidR="001823B7" w:rsidRPr="00E77F0E">
        <w:rPr>
          <w:rFonts w:ascii="Arial" w:hAnsi="Arial" w:cs="Arial"/>
          <w:color w:val="000000"/>
          <w:lang w:val="es-ES_tradnl"/>
        </w:rPr>
        <w:t xml:space="preserve">con alcances </w:t>
      </w:r>
      <w:r w:rsidR="009E6ECB" w:rsidRPr="00E77F0E">
        <w:rPr>
          <w:rFonts w:ascii="Arial" w:hAnsi="Arial" w:cs="Arial"/>
          <w:color w:val="000000"/>
          <w:lang w:val="es-ES_tradnl"/>
        </w:rPr>
        <w:t>e</w:t>
      </w:r>
      <w:r w:rsidR="001823B7" w:rsidRPr="00E77F0E">
        <w:rPr>
          <w:rFonts w:ascii="Arial" w:hAnsi="Arial" w:cs="Arial"/>
          <w:color w:val="000000"/>
          <w:lang w:val="es-ES_tradnl"/>
        </w:rPr>
        <w:t xml:space="preserve"> </w:t>
      </w:r>
      <w:r w:rsidR="009E6ECB" w:rsidRPr="00E77F0E">
        <w:rPr>
          <w:rFonts w:ascii="Arial" w:hAnsi="Arial" w:cs="Arial"/>
          <w:color w:val="000000"/>
          <w:lang w:val="es-ES_tradnl"/>
        </w:rPr>
        <w:t>hipótesis predeterminad</w:t>
      </w:r>
      <w:r w:rsidR="004C1DD3" w:rsidRPr="00E77F0E">
        <w:rPr>
          <w:rFonts w:ascii="Arial" w:hAnsi="Arial" w:cs="Arial"/>
          <w:color w:val="000000"/>
          <w:lang w:val="es-ES_tradnl"/>
        </w:rPr>
        <w:t>o</w:t>
      </w:r>
      <w:r w:rsidR="009E6ECB" w:rsidRPr="00E77F0E">
        <w:rPr>
          <w:rFonts w:ascii="Arial" w:hAnsi="Arial" w:cs="Arial"/>
          <w:color w:val="000000"/>
          <w:lang w:val="es-ES_tradnl"/>
        </w:rPr>
        <w:t>s.</w:t>
      </w:r>
      <w:r w:rsidR="008168D5" w:rsidRPr="00E77F0E">
        <w:rPr>
          <w:rFonts w:ascii="Arial" w:hAnsi="Arial" w:cs="Arial"/>
          <w:color w:val="000000"/>
          <w:lang w:val="es-ES_tradnl"/>
        </w:rPr>
        <w:t xml:space="preserve"> </w:t>
      </w:r>
      <w:r w:rsidR="003B5E23" w:rsidRPr="00E77F0E">
        <w:rPr>
          <w:rFonts w:ascii="Arial" w:hAnsi="Arial" w:cs="Arial"/>
          <w:color w:val="000000"/>
          <w:lang w:val="es-ES_tradnl"/>
        </w:rPr>
        <w:t>En la medida de lo posible, e</w:t>
      </w:r>
      <w:r w:rsidR="008168D5" w:rsidRPr="00E77F0E">
        <w:rPr>
          <w:rFonts w:ascii="Arial" w:hAnsi="Arial" w:cs="Arial"/>
          <w:color w:val="000000"/>
          <w:lang w:val="es-ES_tradnl"/>
        </w:rPr>
        <w:t xml:space="preserve">stos pilotos deben </w:t>
      </w:r>
      <w:r w:rsidR="009D7EB8" w:rsidRPr="00E77F0E">
        <w:rPr>
          <w:rFonts w:ascii="Arial" w:hAnsi="Arial" w:cs="Arial"/>
          <w:color w:val="000000"/>
          <w:lang w:val="es-ES_tradnl"/>
        </w:rPr>
        <w:t xml:space="preserve">considerar </w:t>
      </w:r>
      <w:r w:rsidR="00D35EFD" w:rsidRPr="00E77F0E">
        <w:rPr>
          <w:rFonts w:ascii="Arial" w:hAnsi="Arial" w:cs="Arial"/>
          <w:color w:val="000000"/>
          <w:lang w:val="es-ES_tradnl"/>
        </w:rPr>
        <w:t>diseños</w:t>
      </w:r>
      <w:r w:rsidR="00DA39A9" w:rsidRPr="00E77F0E">
        <w:rPr>
          <w:rFonts w:ascii="Arial" w:hAnsi="Arial" w:cs="Arial"/>
          <w:color w:val="000000"/>
          <w:lang w:val="es-ES_tradnl"/>
        </w:rPr>
        <w:t xml:space="preserve"> </w:t>
      </w:r>
      <w:r w:rsidR="00F633C3" w:rsidRPr="00E77F0E">
        <w:rPr>
          <w:rFonts w:ascii="Arial" w:hAnsi="Arial" w:cs="Arial"/>
          <w:color w:val="000000"/>
          <w:lang w:val="es-ES_tradnl"/>
        </w:rPr>
        <w:t>experimental</w:t>
      </w:r>
      <w:r w:rsidR="00D35EFD" w:rsidRPr="00E77F0E">
        <w:rPr>
          <w:rFonts w:ascii="Arial" w:hAnsi="Arial" w:cs="Arial"/>
          <w:color w:val="000000"/>
          <w:lang w:val="es-ES_tradnl"/>
        </w:rPr>
        <w:t>es</w:t>
      </w:r>
      <w:r w:rsidR="006F3459" w:rsidRPr="00E77F0E">
        <w:rPr>
          <w:rFonts w:ascii="Arial" w:hAnsi="Arial" w:cs="Arial"/>
          <w:color w:val="000000"/>
          <w:lang w:val="es-ES_tradnl"/>
        </w:rPr>
        <w:t>, que</w:t>
      </w:r>
      <w:r w:rsidR="00396360" w:rsidRPr="00E77F0E">
        <w:rPr>
          <w:rFonts w:ascii="Arial" w:hAnsi="Arial" w:cs="Arial"/>
          <w:color w:val="000000"/>
          <w:lang w:val="es-ES_tradnl"/>
        </w:rPr>
        <w:t xml:space="preserve"> permit</w:t>
      </w:r>
      <w:r w:rsidR="006F3459" w:rsidRPr="00E77F0E">
        <w:rPr>
          <w:rFonts w:ascii="Arial" w:hAnsi="Arial" w:cs="Arial"/>
          <w:color w:val="000000"/>
          <w:lang w:val="es-ES_tradnl"/>
        </w:rPr>
        <w:t>a</w:t>
      </w:r>
      <w:r w:rsidR="00D35EFD" w:rsidRPr="00E77F0E">
        <w:rPr>
          <w:rFonts w:ascii="Arial" w:hAnsi="Arial" w:cs="Arial"/>
          <w:color w:val="000000"/>
          <w:lang w:val="es-ES_tradnl"/>
        </w:rPr>
        <w:t>n</w:t>
      </w:r>
      <w:r w:rsidR="00396360" w:rsidRPr="00E77F0E">
        <w:rPr>
          <w:rFonts w:ascii="Arial" w:hAnsi="Arial" w:cs="Arial"/>
          <w:color w:val="000000"/>
          <w:lang w:val="es-ES_tradnl"/>
        </w:rPr>
        <w:t xml:space="preserve"> una evaluación rigurosa de su</w:t>
      </w:r>
      <w:r w:rsidR="006A0E15" w:rsidRPr="00E77F0E">
        <w:rPr>
          <w:rFonts w:ascii="Arial" w:hAnsi="Arial" w:cs="Arial"/>
          <w:color w:val="000000"/>
          <w:lang w:val="es-ES_tradnl"/>
        </w:rPr>
        <w:t>s</w:t>
      </w:r>
      <w:r w:rsidR="00396360" w:rsidRPr="00E77F0E">
        <w:rPr>
          <w:rFonts w:ascii="Arial" w:hAnsi="Arial" w:cs="Arial"/>
          <w:color w:val="000000"/>
          <w:lang w:val="es-ES_tradnl"/>
        </w:rPr>
        <w:t xml:space="preserve"> impacto</w:t>
      </w:r>
      <w:r w:rsidR="006A0E15" w:rsidRPr="00E77F0E">
        <w:rPr>
          <w:rFonts w:ascii="Arial" w:hAnsi="Arial" w:cs="Arial"/>
          <w:color w:val="000000"/>
          <w:lang w:val="es-ES_tradnl"/>
        </w:rPr>
        <w:t>s</w:t>
      </w:r>
      <w:r w:rsidR="00396360" w:rsidRPr="00E77F0E">
        <w:rPr>
          <w:rFonts w:ascii="Arial" w:hAnsi="Arial" w:cs="Arial"/>
          <w:color w:val="000000"/>
          <w:lang w:val="es-ES_tradnl"/>
        </w:rPr>
        <w:t xml:space="preserve"> en </w:t>
      </w:r>
      <w:r w:rsidR="003B7330" w:rsidRPr="00E77F0E">
        <w:rPr>
          <w:rFonts w:ascii="Arial" w:hAnsi="Arial" w:cs="Arial"/>
          <w:color w:val="000000"/>
          <w:lang w:val="es-ES_tradnl"/>
        </w:rPr>
        <w:t xml:space="preserve">las variables de interés (por ejemplo, </w:t>
      </w:r>
      <w:r w:rsidR="00396360" w:rsidRPr="00E77F0E">
        <w:rPr>
          <w:rFonts w:ascii="Arial" w:hAnsi="Arial" w:cs="Arial"/>
          <w:color w:val="000000"/>
          <w:lang w:val="es-ES_tradnl"/>
        </w:rPr>
        <w:t xml:space="preserve">tasas de participación </w:t>
      </w:r>
      <w:r w:rsidR="005E06BD" w:rsidRPr="00E77F0E">
        <w:rPr>
          <w:rFonts w:ascii="Arial" w:hAnsi="Arial" w:cs="Arial"/>
          <w:color w:val="000000"/>
          <w:lang w:val="es-ES_tradnl"/>
        </w:rPr>
        <w:t xml:space="preserve">en el sistema </w:t>
      </w:r>
      <w:r w:rsidR="00396360" w:rsidRPr="00E77F0E">
        <w:rPr>
          <w:rFonts w:ascii="Arial" w:hAnsi="Arial" w:cs="Arial"/>
          <w:color w:val="000000"/>
          <w:lang w:val="es-ES_tradnl"/>
        </w:rPr>
        <w:t>o niveles de ahorro</w:t>
      </w:r>
      <w:r w:rsidR="00C15F6B" w:rsidRPr="00E77F0E">
        <w:rPr>
          <w:rFonts w:ascii="Arial" w:hAnsi="Arial" w:cs="Arial"/>
          <w:color w:val="000000"/>
          <w:lang w:val="es-ES_tradnl"/>
        </w:rPr>
        <w:t xml:space="preserve"> previsional</w:t>
      </w:r>
      <w:r w:rsidR="00883FFE" w:rsidRPr="00E77F0E">
        <w:rPr>
          <w:rFonts w:ascii="Arial" w:hAnsi="Arial" w:cs="Arial"/>
          <w:color w:val="000000"/>
          <w:lang w:val="es-ES_tradnl"/>
        </w:rPr>
        <w:t xml:space="preserve"> voluntario</w:t>
      </w:r>
      <w:r w:rsidR="003B7330" w:rsidRPr="00E77F0E">
        <w:rPr>
          <w:rFonts w:ascii="Arial" w:hAnsi="Arial" w:cs="Arial"/>
          <w:color w:val="000000"/>
          <w:lang w:val="es-ES_tradnl"/>
        </w:rPr>
        <w:t>)</w:t>
      </w:r>
      <w:r w:rsidR="002E7E4D" w:rsidRPr="00E77F0E">
        <w:rPr>
          <w:rStyle w:val="FootnoteReference"/>
          <w:rFonts w:ascii="Arial" w:hAnsi="Arial" w:cs="Arial"/>
          <w:color w:val="000000"/>
          <w:lang w:val="es-ES_tradnl"/>
        </w:rPr>
        <w:footnoteReference w:id="3"/>
      </w:r>
      <w:r w:rsidR="003B7330" w:rsidRPr="00E77F0E">
        <w:rPr>
          <w:rFonts w:ascii="Arial" w:hAnsi="Arial" w:cs="Arial"/>
          <w:color w:val="000000"/>
          <w:lang w:val="es-ES_tradnl"/>
        </w:rPr>
        <w:t>.</w:t>
      </w:r>
      <w:r w:rsidR="00883FFE" w:rsidRPr="00E77F0E">
        <w:rPr>
          <w:rFonts w:ascii="Arial" w:hAnsi="Arial" w:cs="Arial"/>
          <w:color w:val="000000"/>
          <w:lang w:val="es-ES_tradnl"/>
        </w:rPr>
        <w:t xml:space="preserve"> </w:t>
      </w:r>
      <w:r w:rsidR="0082009D" w:rsidRPr="00E77F0E">
        <w:rPr>
          <w:rFonts w:ascii="Arial" w:hAnsi="Arial" w:cs="Arial"/>
          <w:color w:val="000000"/>
          <w:lang w:val="es-ES"/>
        </w:rPr>
        <w:t xml:space="preserve">Al identificar pilotos eligibles, </w:t>
      </w:r>
      <w:r w:rsidR="004A27B7" w:rsidRPr="00E77F0E">
        <w:rPr>
          <w:rFonts w:ascii="Arial" w:hAnsi="Arial" w:cs="Arial"/>
          <w:color w:val="000000"/>
          <w:lang w:val="es-ES"/>
        </w:rPr>
        <w:t>se debe</w:t>
      </w:r>
      <w:r w:rsidR="00C558CE" w:rsidRPr="00E77F0E">
        <w:rPr>
          <w:rFonts w:ascii="Arial" w:hAnsi="Arial" w:cs="Arial"/>
          <w:color w:val="000000"/>
          <w:lang w:val="es-ES"/>
        </w:rPr>
        <w:t xml:space="preserve"> </w:t>
      </w:r>
      <w:r w:rsidR="004B587A" w:rsidRPr="00E77F0E">
        <w:rPr>
          <w:rFonts w:ascii="Arial" w:hAnsi="Arial" w:cs="Arial"/>
          <w:color w:val="000000"/>
          <w:lang w:val="es-ES"/>
        </w:rPr>
        <w:t xml:space="preserve">priorizar pilotos </w:t>
      </w:r>
      <w:r w:rsidR="00605FD9" w:rsidRPr="00E77F0E">
        <w:rPr>
          <w:rFonts w:ascii="Arial" w:hAnsi="Arial" w:cs="Arial"/>
          <w:color w:val="000000"/>
          <w:lang w:val="es-ES"/>
        </w:rPr>
        <w:t>que se bas</w:t>
      </w:r>
      <w:r w:rsidR="00192C26" w:rsidRPr="00E77F0E">
        <w:rPr>
          <w:rFonts w:ascii="Arial" w:hAnsi="Arial" w:cs="Arial"/>
          <w:color w:val="000000"/>
          <w:lang w:val="es-ES"/>
        </w:rPr>
        <w:t>e</w:t>
      </w:r>
      <w:r w:rsidR="00605FD9" w:rsidRPr="00E77F0E">
        <w:rPr>
          <w:rFonts w:ascii="Arial" w:hAnsi="Arial" w:cs="Arial"/>
          <w:color w:val="000000"/>
          <w:lang w:val="es-ES"/>
        </w:rPr>
        <w:t xml:space="preserve">n en </w:t>
      </w:r>
      <w:r w:rsidR="00192C26" w:rsidRPr="00E77F0E">
        <w:rPr>
          <w:rFonts w:ascii="Arial" w:hAnsi="Arial" w:cs="Arial"/>
          <w:color w:val="000000"/>
          <w:lang w:val="es-ES"/>
        </w:rPr>
        <w:t xml:space="preserve">los aprendizajes de </w:t>
      </w:r>
      <w:r w:rsidR="00CB0B95" w:rsidRPr="00E77F0E">
        <w:rPr>
          <w:rFonts w:ascii="Arial" w:hAnsi="Arial" w:cs="Arial"/>
          <w:color w:val="000000"/>
          <w:lang w:val="es-ES"/>
        </w:rPr>
        <w:t>la economía del comportamiento y la</w:t>
      </w:r>
      <w:r w:rsidR="00192C26" w:rsidRPr="00E77F0E">
        <w:rPr>
          <w:rFonts w:ascii="Arial" w:hAnsi="Arial" w:cs="Arial"/>
          <w:color w:val="000000"/>
          <w:lang w:val="es-ES"/>
        </w:rPr>
        <w:t xml:space="preserve"> aplicación de</w:t>
      </w:r>
      <w:r w:rsidR="00CB0B95" w:rsidRPr="00E77F0E">
        <w:rPr>
          <w:rFonts w:ascii="Arial" w:hAnsi="Arial" w:cs="Arial"/>
          <w:color w:val="000000"/>
          <w:lang w:val="es-ES"/>
        </w:rPr>
        <w:t xml:space="preserve"> </w:t>
      </w:r>
      <w:r w:rsidR="00192C26" w:rsidRPr="00E77F0E">
        <w:rPr>
          <w:rFonts w:ascii="Arial" w:hAnsi="Arial" w:cs="Arial"/>
          <w:color w:val="000000"/>
          <w:lang w:val="es-ES"/>
        </w:rPr>
        <w:t>tecnologías</w:t>
      </w:r>
      <w:r w:rsidR="00CB0B95" w:rsidRPr="00E77F0E">
        <w:rPr>
          <w:rFonts w:ascii="Arial" w:hAnsi="Arial" w:cs="Arial"/>
          <w:color w:val="000000"/>
          <w:lang w:val="es-ES"/>
        </w:rPr>
        <w:t xml:space="preserve"> digitales. </w:t>
      </w:r>
    </w:p>
    <w:p w14:paraId="23957D52" w14:textId="726B6A9C" w:rsidR="008A4B43" w:rsidRPr="00E77F0E" w:rsidRDefault="00A207C2" w:rsidP="00D95637">
      <w:pPr>
        <w:jc w:val="both"/>
        <w:rPr>
          <w:rFonts w:ascii="Arial" w:hAnsi="Arial" w:cs="Arial"/>
          <w:color w:val="000000"/>
          <w:lang w:val="es-ES_tradnl"/>
        </w:rPr>
      </w:pPr>
      <w:r w:rsidRPr="00E77F0E">
        <w:rPr>
          <w:rFonts w:ascii="Arial" w:hAnsi="Arial" w:cs="Arial"/>
          <w:b/>
          <w:bCs/>
          <w:color w:val="000000"/>
          <w:lang w:val="es-ES_tradnl"/>
        </w:rPr>
        <w:lastRenderedPageBreak/>
        <w:t>Identificación</w:t>
      </w:r>
      <w:r w:rsidR="00585622" w:rsidRPr="00E77F0E">
        <w:rPr>
          <w:rFonts w:ascii="Arial" w:hAnsi="Arial" w:cs="Arial"/>
          <w:b/>
          <w:bCs/>
          <w:color w:val="000000"/>
          <w:lang w:val="es-ES_tradnl"/>
        </w:rPr>
        <w:t xml:space="preserve"> de los pilotos </w:t>
      </w:r>
    </w:p>
    <w:p w14:paraId="3BD1A7E2" w14:textId="07AC8A33" w:rsidR="0020398B" w:rsidRPr="00E77F0E" w:rsidRDefault="006F3D32" w:rsidP="00D95637">
      <w:pPr>
        <w:jc w:val="both"/>
        <w:rPr>
          <w:rFonts w:ascii="Arial" w:hAnsi="Arial" w:cs="Arial"/>
          <w:color w:val="000000"/>
          <w:lang w:val="es-ES_tradnl"/>
        </w:rPr>
      </w:pPr>
      <w:r w:rsidRPr="00E77F0E">
        <w:rPr>
          <w:rFonts w:ascii="Arial" w:hAnsi="Arial" w:cs="Arial"/>
          <w:color w:val="000000"/>
          <w:lang w:val="es-ES_tradnl"/>
        </w:rPr>
        <w:t xml:space="preserve">La </w:t>
      </w:r>
      <w:r w:rsidR="00A207C2" w:rsidRPr="00E77F0E">
        <w:rPr>
          <w:rFonts w:ascii="Arial" w:hAnsi="Arial" w:cs="Arial"/>
          <w:color w:val="000000"/>
          <w:lang w:val="es-ES_tradnl"/>
        </w:rPr>
        <w:t>identificación</w:t>
      </w:r>
      <w:r w:rsidRPr="00E77F0E">
        <w:rPr>
          <w:rFonts w:ascii="Arial" w:hAnsi="Arial" w:cs="Arial"/>
          <w:color w:val="000000"/>
          <w:lang w:val="es-ES_tradnl"/>
        </w:rPr>
        <w:t xml:space="preserve"> de los pilotos debe </w:t>
      </w:r>
      <w:r w:rsidR="00CB0B95" w:rsidRPr="00E77F0E">
        <w:rPr>
          <w:rFonts w:ascii="Arial" w:hAnsi="Arial" w:cs="Arial"/>
          <w:color w:val="000000"/>
          <w:lang w:val="es-ES_tradnl"/>
        </w:rPr>
        <w:t>seguir uno de dos caminos</w:t>
      </w:r>
      <w:r w:rsidRPr="00E77F0E">
        <w:rPr>
          <w:rFonts w:ascii="Arial" w:hAnsi="Arial" w:cs="Arial"/>
          <w:color w:val="000000"/>
          <w:lang w:val="es-ES_tradnl"/>
        </w:rPr>
        <w:t xml:space="preserve">: Por una parte, el equipo del </w:t>
      </w:r>
      <w:r w:rsidR="008E3A30" w:rsidRPr="00E77F0E">
        <w:rPr>
          <w:rFonts w:ascii="Arial" w:hAnsi="Arial" w:cs="Arial"/>
          <w:color w:val="000000"/>
          <w:lang w:val="es-ES_tradnl"/>
        </w:rPr>
        <w:t>MH</w:t>
      </w:r>
      <w:r w:rsidRPr="00E77F0E">
        <w:rPr>
          <w:rFonts w:ascii="Arial" w:hAnsi="Arial" w:cs="Arial"/>
          <w:color w:val="000000"/>
          <w:lang w:val="es-ES_tradnl"/>
        </w:rPr>
        <w:t xml:space="preserve"> será capacitado para identificar mecanismos o iniciativas para promover la participación en sistemas pensionales que hayan logrado impactos positivos en otros países, para replicar estas iniciativas en el contexto de Paraguay. Por otra parte, se invitará a entidades </w:t>
      </w:r>
      <w:r w:rsidR="005F5565" w:rsidRPr="00E77F0E">
        <w:rPr>
          <w:rFonts w:ascii="Arial" w:hAnsi="Arial" w:cs="Arial"/>
          <w:color w:val="000000"/>
          <w:lang w:val="es-ES_tradnl"/>
        </w:rPr>
        <w:t>o equipos</w:t>
      </w:r>
      <w:r w:rsidRPr="00E77F0E">
        <w:rPr>
          <w:rFonts w:ascii="Arial" w:hAnsi="Arial" w:cs="Arial"/>
          <w:color w:val="000000"/>
          <w:lang w:val="es-ES_tradnl"/>
        </w:rPr>
        <w:t xml:space="preserve"> del sector privado, público y de la sociedad civil para presentar propuestas de piloto. </w:t>
      </w:r>
      <w:r w:rsidR="00AA7012" w:rsidRPr="00E77F0E">
        <w:rPr>
          <w:rFonts w:ascii="Arial" w:hAnsi="Arial" w:cs="Arial"/>
          <w:color w:val="000000"/>
          <w:lang w:val="es-ES_tradnl"/>
        </w:rPr>
        <w:t xml:space="preserve">Si </w:t>
      </w:r>
      <w:r w:rsidR="00CC3E44" w:rsidRPr="00E77F0E">
        <w:rPr>
          <w:rFonts w:ascii="Arial" w:hAnsi="Arial" w:cs="Arial"/>
          <w:color w:val="000000"/>
          <w:lang w:val="es-ES_tradnl"/>
        </w:rPr>
        <w:t xml:space="preserve">la </w:t>
      </w:r>
      <w:r w:rsidR="00A207C2" w:rsidRPr="00E77F0E">
        <w:rPr>
          <w:rFonts w:ascii="Arial" w:hAnsi="Arial" w:cs="Arial"/>
          <w:color w:val="000000"/>
          <w:lang w:val="es-ES_tradnl"/>
        </w:rPr>
        <w:t>identificación</w:t>
      </w:r>
      <w:r w:rsidR="00CC3E44" w:rsidRPr="00E77F0E">
        <w:rPr>
          <w:rFonts w:ascii="Arial" w:hAnsi="Arial" w:cs="Arial"/>
          <w:color w:val="000000"/>
          <w:lang w:val="es-ES_tradnl"/>
        </w:rPr>
        <w:t xml:space="preserve"> sigue el segundo camino, de preferencia d</w:t>
      </w:r>
      <w:r w:rsidR="00AA7012" w:rsidRPr="00E77F0E">
        <w:rPr>
          <w:rFonts w:ascii="Arial" w:hAnsi="Arial" w:cs="Arial"/>
          <w:color w:val="000000"/>
          <w:lang w:val="es-ES_tradnl"/>
        </w:rPr>
        <w:t xml:space="preserve">ebe implicar contribuciones de contrapartida por </w:t>
      </w:r>
      <w:r w:rsidR="00CC3E44" w:rsidRPr="00E77F0E">
        <w:rPr>
          <w:rFonts w:ascii="Arial" w:hAnsi="Arial" w:cs="Arial"/>
          <w:color w:val="000000"/>
          <w:lang w:val="es-ES_tradnl"/>
        </w:rPr>
        <w:t>la</w:t>
      </w:r>
      <w:r w:rsidR="00AF72BC" w:rsidRPr="00E77F0E">
        <w:rPr>
          <w:rFonts w:ascii="Arial" w:hAnsi="Arial" w:cs="Arial"/>
          <w:color w:val="000000"/>
          <w:lang w:val="es-ES_tradnl"/>
        </w:rPr>
        <w:t>(s)</w:t>
      </w:r>
      <w:r w:rsidR="00CC3E44" w:rsidRPr="00E77F0E">
        <w:rPr>
          <w:rFonts w:ascii="Arial" w:hAnsi="Arial" w:cs="Arial"/>
          <w:color w:val="000000"/>
          <w:lang w:val="es-ES_tradnl"/>
        </w:rPr>
        <w:t xml:space="preserve"> entidad</w:t>
      </w:r>
      <w:r w:rsidR="00AF72BC" w:rsidRPr="00E77F0E">
        <w:rPr>
          <w:rFonts w:ascii="Arial" w:hAnsi="Arial" w:cs="Arial"/>
          <w:color w:val="000000"/>
          <w:lang w:val="es-ES_tradnl"/>
        </w:rPr>
        <w:t>(</w:t>
      </w:r>
      <w:r w:rsidR="00CC3E44" w:rsidRPr="00E77F0E">
        <w:rPr>
          <w:rFonts w:ascii="Arial" w:hAnsi="Arial" w:cs="Arial"/>
          <w:color w:val="000000"/>
          <w:lang w:val="es-ES_tradnl"/>
        </w:rPr>
        <w:t>es</w:t>
      </w:r>
      <w:r w:rsidR="00AF72BC" w:rsidRPr="00E77F0E">
        <w:rPr>
          <w:rFonts w:ascii="Arial" w:hAnsi="Arial" w:cs="Arial"/>
          <w:color w:val="000000"/>
          <w:lang w:val="es-ES_tradnl"/>
        </w:rPr>
        <w:t>)</w:t>
      </w:r>
      <w:r w:rsidR="00CC3E44" w:rsidRPr="00E77F0E">
        <w:rPr>
          <w:rFonts w:ascii="Arial" w:hAnsi="Arial" w:cs="Arial"/>
          <w:color w:val="000000"/>
          <w:lang w:val="es-ES_tradnl"/>
        </w:rPr>
        <w:t xml:space="preserve"> participante</w:t>
      </w:r>
      <w:r w:rsidR="00AF72BC" w:rsidRPr="00E77F0E">
        <w:rPr>
          <w:rFonts w:ascii="Arial" w:hAnsi="Arial" w:cs="Arial"/>
          <w:color w:val="000000"/>
          <w:lang w:val="es-ES_tradnl"/>
        </w:rPr>
        <w:t>(s)</w:t>
      </w:r>
      <w:r w:rsidR="00AA7012" w:rsidRPr="00E77F0E">
        <w:rPr>
          <w:rFonts w:ascii="Arial" w:hAnsi="Arial" w:cs="Arial"/>
          <w:color w:val="000000"/>
          <w:lang w:val="es-ES_tradnl"/>
        </w:rPr>
        <w:t xml:space="preserve"> en forma de aportes financieros y/o técnicos</w:t>
      </w:r>
      <w:r w:rsidR="00CC3E44" w:rsidRPr="00E77F0E">
        <w:rPr>
          <w:rFonts w:ascii="Arial" w:hAnsi="Arial" w:cs="Arial"/>
          <w:color w:val="000000"/>
          <w:lang w:val="es-ES_tradnl"/>
        </w:rPr>
        <w:t>.</w:t>
      </w:r>
      <w:r w:rsidR="007C2A82" w:rsidRPr="00E77F0E">
        <w:rPr>
          <w:rFonts w:ascii="Arial" w:hAnsi="Arial" w:cs="Arial"/>
          <w:color w:val="000000"/>
          <w:lang w:val="es-ES_tradnl"/>
        </w:rPr>
        <w:t xml:space="preserve"> </w:t>
      </w:r>
      <w:r w:rsidR="00B643B1" w:rsidRPr="00E77F0E">
        <w:rPr>
          <w:rFonts w:ascii="Arial" w:hAnsi="Arial" w:cs="Arial"/>
          <w:color w:val="000000"/>
          <w:lang w:val="es-ES_tradnl"/>
        </w:rPr>
        <w:t xml:space="preserve">Se deben realizar actividades de diseminación multi-canal (presencial, en línea y en medios </w:t>
      </w:r>
      <w:r w:rsidR="003F3815" w:rsidRPr="00E77F0E">
        <w:rPr>
          <w:rFonts w:ascii="Arial" w:hAnsi="Arial" w:cs="Arial"/>
          <w:color w:val="000000"/>
          <w:lang w:val="es-ES_tradnl"/>
        </w:rPr>
        <w:t>impresos, entre otros) para dar a conocer</w:t>
      </w:r>
      <w:r w:rsidR="007C2A82" w:rsidRPr="00E77F0E">
        <w:rPr>
          <w:rFonts w:ascii="Arial" w:hAnsi="Arial" w:cs="Arial"/>
          <w:color w:val="000000"/>
          <w:lang w:val="es-ES_tradnl"/>
        </w:rPr>
        <w:t xml:space="preserve"> </w:t>
      </w:r>
      <w:r w:rsidR="00BE09ED" w:rsidRPr="00E77F0E">
        <w:rPr>
          <w:rFonts w:ascii="Arial" w:hAnsi="Arial" w:cs="Arial"/>
          <w:color w:val="000000"/>
          <w:lang w:val="es-ES_tradnl"/>
        </w:rPr>
        <w:t>la posibilidad de presentar propuestas de colaboración para implementar un piloto en conjunto con la DEE</w:t>
      </w:r>
      <w:r w:rsidR="003F3815" w:rsidRPr="00E77F0E">
        <w:rPr>
          <w:rFonts w:ascii="Arial" w:hAnsi="Arial" w:cs="Arial"/>
          <w:color w:val="000000"/>
          <w:lang w:val="es-ES_tradnl"/>
        </w:rPr>
        <w:t>.</w:t>
      </w:r>
      <w:r w:rsidR="00BE09ED" w:rsidRPr="00E77F0E">
        <w:rPr>
          <w:rFonts w:ascii="Arial" w:hAnsi="Arial" w:cs="Arial"/>
          <w:color w:val="000000"/>
          <w:lang w:val="es-ES_tradnl"/>
        </w:rPr>
        <w:t xml:space="preserve"> </w:t>
      </w:r>
    </w:p>
    <w:p w14:paraId="173D9A71" w14:textId="1E2C351E" w:rsidR="00264988" w:rsidRPr="00E77F0E" w:rsidRDefault="00264988" w:rsidP="00D95637">
      <w:pPr>
        <w:jc w:val="both"/>
        <w:rPr>
          <w:rFonts w:ascii="Arial" w:hAnsi="Arial" w:cs="Arial"/>
          <w:color w:val="000000"/>
          <w:lang w:val="es-ES_tradnl"/>
        </w:rPr>
      </w:pPr>
      <w:r w:rsidRPr="00E77F0E">
        <w:rPr>
          <w:rFonts w:ascii="Arial" w:hAnsi="Arial" w:cs="Arial"/>
          <w:color w:val="000000"/>
          <w:lang w:val="es-ES_tradnl"/>
        </w:rPr>
        <w:t xml:space="preserve">Si bien se debe </w:t>
      </w:r>
      <w:r w:rsidR="003F3815" w:rsidRPr="00E77F0E">
        <w:rPr>
          <w:rFonts w:ascii="Arial" w:hAnsi="Arial" w:cs="Arial"/>
          <w:color w:val="000000"/>
          <w:lang w:val="es-ES_tradnl"/>
        </w:rPr>
        <w:t>evaluar</w:t>
      </w:r>
      <w:r w:rsidRPr="00E77F0E">
        <w:rPr>
          <w:rFonts w:ascii="Arial" w:hAnsi="Arial" w:cs="Arial"/>
          <w:color w:val="000000"/>
          <w:lang w:val="es-ES_tradnl"/>
        </w:rPr>
        <w:t xml:space="preserve"> </w:t>
      </w:r>
      <w:r w:rsidR="00871E72" w:rsidRPr="00E77F0E">
        <w:rPr>
          <w:rFonts w:ascii="Arial" w:hAnsi="Arial" w:cs="Arial"/>
          <w:color w:val="000000"/>
          <w:lang w:val="es-ES_tradnl"/>
        </w:rPr>
        <w:t>cada piloto</w:t>
      </w:r>
      <w:r w:rsidR="00B40F61" w:rsidRPr="00E77F0E">
        <w:rPr>
          <w:rFonts w:ascii="Arial" w:hAnsi="Arial" w:cs="Arial"/>
          <w:color w:val="000000"/>
          <w:lang w:val="es-ES_tradnl"/>
        </w:rPr>
        <w:t xml:space="preserve"> en consideración</w:t>
      </w:r>
      <w:r w:rsidR="00871E72" w:rsidRPr="00E77F0E">
        <w:rPr>
          <w:rFonts w:ascii="Arial" w:hAnsi="Arial" w:cs="Arial"/>
          <w:color w:val="000000"/>
          <w:lang w:val="es-ES_tradnl"/>
        </w:rPr>
        <w:t xml:space="preserve"> con base en su potencial para aumentar la participación en el SJP de manera costo-efectiva, </w:t>
      </w:r>
      <w:r w:rsidR="00623F4C" w:rsidRPr="00E77F0E">
        <w:rPr>
          <w:rFonts w:ascii="Arial" w:hAnsi="Arial" w:cs="Arial"/>
          <w:color w:val="000000"/>
          <w:lang w:val="es-ES_tradnl"/>
        </w:rPr>
        <w:t>se proponen una serie de criterios de selección</w:t>
      </w:r>
      <w:r w:rsidR="002051EA" w:rsidRPr="00E77F0E">
        <w:rPr>
          <w:rFonts w:ascii="Arial" w:hAnsi="Arial" w:cs="Arial"/>
          <w:color w:val="000000"/>
          <w:lang w:val="es-ES_tradnl"/>
        </w:rPr>
        <w:t xml:space="preserve"> </w:t>
      </w:r>
      <w:r w:rsidR="00EE36E8" w:rsidRPr="00E77F0E">
        <w:rPr>
          <w:rFonts w:ascii="Arial" w:hAnsi="Arial" w:cs="Arial"/>
          <w:color w:val="000000"/>
          <w:lang w:val="es-ES_tradnl"/>
        </w:rPr>
        <w:t>concretos</w:t>
      </w:r>
      <w:r w:rsidR="002051EA" w:rsidRPr="00E77F0E">
        <w:rPr>
          <w:rFonts w:ascii="Arial" w:hAnsi="Arial" w:cs="Arial"/>
          <w:color w:val="000000"/>
          <w:lang w:val="es-ES_tradnl"/>
        </w:rPr>
        <w:t xml:space="preserve"> adicionales</w:t>
      </w:r>
      <w:r w:rsidR="00EE36E8" w:rsidRPr="00E77F0E">
        <w:rPr>
          <w:rFonts w:ascii="Arial" w:hAnsi="Arial" w:cs="Arial"/>
          <w:color w:val="000000"/>
          <w:lang w:val="es-ES_tradnl"/>
        </w:rPr>
        <w:t>:</w:t>
      </w:r>
    </w:p>
    <w:p w14:paraId="007A80B7" w14:textId="079A497A"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tiene un objetivo claro y una justificación;</w:t>
      </w:r>
    </w:p>
    <w:p w14:paraId="76A8A74C" w14:textId="43EE2934"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tiene el potencial de ser escalado</w:t>
      </w:r>
      <w:r w:rsidR="009B7B06" w:rsidRPr="00E77F0E">
        <w:rPr>
          <w:rFonts w:ascii="Arial" w:hAnsi="Arial" w:cs="Arial"/>
          <w:color w:val="000000"/>
          <w:lang w:val="es-ES"/>
        </w:rPr>
        <w:t xml:space="preserve"> y,</w:t>
      </w:r>
      <w:r w:rsidRPr="00E77F0E">
        <w:rPr>
          <w:rFonts w:ascii="Arial" w:hAnsi="Arial" w:cs="Arial"/>
          <w:color w:val="000000"/>
          <w:lang w:val="es-ES"/>
        </w:rPr>
        <w:t xml:space="preserve"> por lo tanto, se puede traducir en política pública que ayude a mejorar el sistema</w:t>
      </w:r>
      <w:r w:rsidR="00576F77" w:rsidRPr="00E77F0E">
        <w:rPr>
          <w:rFonts w:ascii="Arial" w:hAnsi="Arial" w:cs="Arial"/>
          <w:color w:val="000000"/>
          <w:lang w:val="es-ES"/>
        </w:rPr>
        <w:t xml:space="preserve"> </w:t>
      </w:r>
      <w:r w:rsidRPr="00E77F0E">
        <w:rPr>
          <w:rFonts w:ascii="Arial" w:hAnsi="Arial" w:cs="Arial"/>
          <w:color w:val="000000"/>
          <w:lang w:val="es-ES"/>
        </w:rPr>
        <w:t xml:space="preserve">de </w:t>
      </w:r>
      <w:r w:rsidR="00576F77" w:rsidRPr="00E77F0E">
        <w:rPr>
          <w:rFonts w:ascii="Arial" w:hAnsi="Arial" w:cs="Arial"/>
          <w:color w:val="000000"/>
          <w:lang w:val="es-ES"/>
        </w:rPr>
        <w:t>pensión</w:t>
      </w:r>
      <w:r w:rsidRPr="00E77F0E">
        <w:rPr>
          <w:rFonts w:ascii="Arial" w:hAnsi="Arial" w:cs="Arial"/>
          <w:color w:val="000000"/>
          <w:lang w:val="es-ES"/>
        </w:rPr>
        <w:t>;</w:t>
      </w:r>
    </w:p>
    <w:p w14:paraId="3F26FF01" w14:textId="5BBAC325"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 xml:space="preserve">La propuesta piloto es viable de implementar bajo la regulación existente en </w:t>
      </w:r>
      <w:r w:rsidR="005C360D" w:rsidRPr="00E77F0E">
        <w:rPr>
          <w:rFonts w:ascii="Arial" w:hAnsi="Arial" w:cs="Arial"/>
          <w:color w:val="000000"/>
          <w:lang w:val="es-ES"/>
        </w:rPr>
        <w:t>Paraguay</w:t>
      </w:r>
      <w:r w:rsidRPr="00E77F0E">
        <w:rPr>
          <w:rFonts w:ascii="Arial" w:hAnsi="Arial" w:cs="Arial"/>
          <w:color w:val="000000"/>
          <w:lang w:val="es-ES"/>
        </w:rPr>
        <w:t>;</w:t>
      </w:r>
    </w:p>
    <w:p w14:paraId="56119A0F" w14:textId="2C43F60C"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considera herramientas de la ciencia del comportamiento para incrementar el ahorro para el retiro más costo-efectivas, basados en evidencia internacional, como, por ejemplo:</w:t>
      </w:r>
    </w:p>
    <w:p w14:paraId="7C502356" w14:textId="4FD586D0" w:rsidR="00EE36E8" w:rsidRPr="00E77F0E" w:rsidRDefault="00EE36E8" w:rsidP="00EE36E8">
      <w:pPr>
        <w:pStyle w:val="ListParagraph"/>
        <w:numPr>
          <w:ilvl w:val="1"/>
          <w:numId w:val="2"/>
        </w:numPr>
        <w:jc w:val="both"/>
        <w:rPr>
          <w:rFonts w:ascii="Arial" w:hAnsi="Arial" w:cs="Arial"/>
          <w:color w:val="000000"/>
          <w:lang w:val="es-ES"/>
        </w:rPr>
      </w:pPr>
      <w:r w:rsidRPr="00E77F0E">
        <w:rPr>
          <w:rFonts w:ascii="Arial" w:hAnsi="Arial" w:cs="Arial"/>
          <w:i/>
          <w:iCs/>
          <w:color w:val="000000"/>
          <w:lang w:val="es-ES"/>
        </w:rPr>
        <w:t>Introducir la inscripción automática a los programas de ahorro para el retiro</w:t>
      </w:r>
      <w:r w:rsidRPr="00E77F0E">
        <w:rPr>
          <w:rFonts w:ascii="Arial" w:hAnsi="Arial" w:cs="Arial"/>
          <w:color w:val="000000"/>
          <w:lang w:val="es-ES"/>
        </w:rPr>
        <w:t>. El registro automático es una opción predeterminada que simplifica los ahorros y ayuda a las personas a comprometerse a ahorrar.</w:t>
      </w:r>
    </w:p>
    <w:p w14:paraId="29689E0B" w14:textId="7A0F3DA6" w:rsidR="00EE36E8" w:rsidRPr="00E77F0E" w:rsidRDefault="00EE36E8" w:rsidP="00EE36E8">
      <w:pPr>
        <w:pStyle w:val="ListParagraph"/>
        <w:numPr>
          <w:ilvl w:val="1"/>
          <w:numId w:val="2"/>
        </w:numPr>
        <w:jc w:val="both"/>
        <w:rPr>
          <w:rFonts w:ascii="Arial" w:hAnsi="Arial" w:cs="Arial"/>
          <w:color w:val="000000"/>
          <w:lang w:val="es-ES"/>
        </w:rPr>
      </w:pPr>
      <w:r w:rsidRPr="00E77F0E">
        <w:rPr>
          <w:rFonts w:ascii="Arial" w:hAnsi="Arial" w:cs="Arial"/>
          <w:i/>
          <w:iCs/>
          <w:color w:val="000000"/>
          <w:lang w:val="es-ES"/>
        </w:rPr>
        <w:t>Hacer uso de mecanismos de decisión activa y de auto-compromiso</w:t>
      </w:r>
      <w:r w:rsidRPr="00E77F0E">
        <w:rPr>
          <w:rFonts w:ascii="Arial" w:hAnsi="Arial" w:cs="Arial"/>
          <w:color w:val="000000"/>
          <w:lang w:val="es-ES"/>
        </w:rPr>
        <w:t>. Este tipo de herramientas busca apalancar el compromiso previo y una mentalidad favorable cuando el usuario piensa sobre su futuro de una manera concreta, lo que reduce la incertidumbre y el optimismo excesivo sobre el futuro.</w:t>
      </w:r>
    </w:p>
    <w:p w14:paraId="2D83D2F4" w14:textId="4841181F" w:rsidR="00EE36E8" w:rsidRPr="00E77F0E" w:rsidRDefault="00EE36E8" w:rsidP="00EE36E8">
      <w:pPr>
        <w:pStyle w:val="ListParagraph"/>
        <w:numPr>
          <w:ilvl w:val="1"/>
          <w:numId w:val="2"/>
        </w:numPr>
        <w:jc w:val="both"/>
        <w:rPr>
          <w:rFonts w:ascii="Arial" w:hAnsi="Arial" w:cs="Arial"/>
          <w:color w:val="000000"/>
          <w:lang w:val="es-ES"/>
        </w:rPr>
      </w:pPr>
      <w:r w:rsidRPr="00E77F0E">
        <w:rPr>
          <w:rFonts w:ascii="Arial" w:hAnsi="Arial" w:cs="Arial"/>
          <w:i/>
          <w:iCs/>
          <w:color w:val="000000"/>
          <w:lang w:val="es-ES"/>
        </w:rPr>
        <w:t>Simplificar</w:t>
      </w:r>
      <w:r w:rsidRPr="00E77F0E">
        <w:rPr>
          <w:rFonts w:ascii="Arial" w:hAnsi="Arial" w:cs="Arial"/>
          <w:color w:val="000000"/>
          <w:lang w:val="es-ES"/>
        </w:rPr>
        <w:t>. Teniendo en cuenta que las personas en general tienen una capacidad de procesamiento de información limitada, la simplificación es un principio fundamental cuando se buscar promover decisiones complejas, tales como si se debe ahorrar y cuánto ahorrar para la jubilación. La simplificación también reduce los costos "mentales" de la transacción.</w:t>
      </w:r>
    </w:p>
    <w:p w14:paraId="3540B501" w14:textId="75D352FA" w:rsidR="00EE36E8" w:rsidRPr="00E77F0E" w:rsidRDefault="00EE36E8" w:rsidP="00EE36E8">
      <w:pPr>
        <w:pStyle w:val="ListParagraph"/>
        <w:numPr>
          <w:ilvl w:val="1"/>
          <w:numId w:val="2"/>
        </w:numPr>
        <w:jc w:val="both"/>
        <w:rPr>
          <w:rFonts w:ascii="Arial" w:hAnsi="Arial" w:cs="Arial"/>
          <w:color w:val="000000"/>
          <w:lang w:val="es-ES"/>
        </w:rPr>
      </w:pPr>
      <w:r w:rsidRPr="00E77F0E">
        <w:rPr>
          <w:rFonts w:ascii="Arial" w:hAnsi="Arial" w:cs="Arial"/>
          <w:i/>
          <w:iCs/>
          <w:color w:val="000000"/>
          <w:lang w:val="es-ES"/>
        </w:rPr>
        <w:t>Recordatorios simples</w:t>
      </w:r>
      <w:r w:rsidRPr="00E77F0E">
        <w:rPr>
          <w:rFonts w:ascii="Arial" w:hAnsi="Arial" w:cs="Arial"/>
          <w:color w:val="000000"/>
          <w:lang w:val="es-ES"/>
        </w:rPr>
        <w:t>. Enviar recordatorios a las personas en momentos oportunos puede ayudarlos a considerar los ahorros como una prioridad y tomar las medidas correspondientes.</w:t>
      </w:r>
    </w:p>
    <w:p w14:paraId="0E6CC374" w14:textId="099E582B" w:rsidR="00EE36E8" w:rsidRPr="00E77F0E" w:rsidRDefault="00EE36E8" w:rsidP="00EE36E8">
      <w:pPr>
        <w:pStyle w:val="ListParagraph"/>
        <w:numPr>
          <w:ilvl w:val="1"/>
          <w:numId w:val="2"/>
        </w:numPr>
        <w:jc w:val="both"/>
        <w:rPr>
          <w:rFonts w:ascii="Arial" w:hAnsi="Arial" w:cs="Arial"/>
          <w:color w:val="000000"/>
          <w:lang w:val="es-ES"/>
        </w:rPr>
      </w:pPr>
      <w:r w:rsidRPr="00E77F0E">
        <w:rPr>
          <w:rFonts w:ascii="Arial" w:hAnsi="Arial" w:cs="Arial"/>
          <w:i/>
          <w:iCs/>
          <w:color w:val="000000"/>
          <w:lang w:val="es-ES"/>
        </w:rPr>
        <w:t>Proporcionar incentivos</w:t>
      </w:r>
      <w:r w:rsidRPr="00E77F0E">
        <w:rPr>
          <w:rFonts w:ascii="Arial" w:hAnsi="Arial" w:cs="Arial"/>
          <w:color w:val="000000"/>
          <w:lang w:val="es-ES"/>
        </w:rPr>
        <w:t>. Los incentivos en el presente, por ejemplo, en forma de subsidios al ahorro, pueden ayudar a las personas a minimizar la sensación de pérdida y, en algunos casos, a proporcionar una combinación de liquidez que responda mejor a las necesidades financieras de los trabajadores independientes y de bajos ingresos.</w:t>
      </w:r>
    </w:p>
    <w:p w14:paraId="7D92F5AE" w14:textId="44E789FC"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considera innovaciones en productos financieros para aumentar la cobertura y la adecuación del sistema pensional;</w:t>
      </w:r>
    </w:p>
    <w:p w14:paraId="09E80B6D" w14:textId="0F3E563B"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lastRenderedPageBreak/>
        <w:t>La propuesta piloto utiliza la(s) innovación(es) tecnológica(s) para aumentar la cobertura y la adecuación del sistema de pensiones;</w:t>
      </w:r>
    </w:p>
    <w:p w14:paraId="260B07C7" w14:textId="3DB67D77"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tiene el objetivo de promover el ahorro para el retiro para aquellos segmentos de trabajadores que enfrentan los mayores desafíos con respecto al acceso y la adecuación de las pensiones: trabajadores independientes, trabajadores asalariados informales y trabajadores asalariados formales</w:t>
      </w:r>
      <w:r w:rsidR="00E943B8" w:rsidRPr="00E77F0E">
        <w:rPr>
          <w:rFonts w:ascii="Arial" w:hAnsi="Arial" w:cs="Arial"/>
          <w:color w:val="000000"/>
          <w:lang w:val="es-ES"/>
        </w:rPr>
        <w:t>, mujeres, entre otros</w:t>
      </w:r>
      <w:r w:rsidRPr="00E77F0E">
        <w:rPr>
          <w:rFonts w:ascii="Arial" w:hAnsi="Arial" w:cs="Arial"/>
          <w:color w:val="000000"/>
          <w:lang w:val="es-ES"/>
        </w:rPr>
        <w:t>;</w:t>
      </w:r>
    </w:p>
    <w:p w14:paraId="10361318" w14:textId="16263A99"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considera un diseño experimental que permita una evaluación de impacto;</w:t>
      </w:r>
    </w:p>
    <w:p w14:paraId="0587433C" w14:textId="578CAC75"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 xml:space="preserve">Si se elige un diseño experimental para el piloto, </w:t>
      </w:r>
      <w:r w:rsidR="00FD17B1" w:rsidRPr="00E77F0E">
        <w:rPr>
          <w:rFonts w:ascii="Arial" w:hAnsi="Arial" w:cs="Arial"/>
          <w:color w:val="000000"/>
          <w:lang w:val="es-ES"/>
        </w:rPr>
        <w:t>se</w:t>
      </w:r>
      <w:r w:rsidRPr="00E77F0E">
        <w:rPr>
          <w:rFonts w:ascii="Arial" w:hAnsi="Arial" w:cs="Arial"/>
          <w:color w:val="000000"/>
          <w:lang w:val="es-ES"/>
        </w:rPr>
        <w:t xml:space="preserve"> tendrá acceso a los datos administrativos (por ejemplo, número de ahorradores o tasas de ahorro</w:t>
      </w:r>
      <w:r w:rsidR="00FD17B1" w:rsidRPr="00E77F0E">
        <w:rPr>
          <w:rFonts w:ascii="Arial" w:hAnsi="Arial" w:cs="Arial"/>
          <w:color w:val="000000"/>
          <w:lang w:val="es-ES"/>
        </w:rPr>
        <w:t xml:space="preserve"> o trabajadores cotizantes</w:t>
      </w:r>
      <w:r w:rsidRPr="00E77F0E">
        <w:rPr>
          <w:rFonts w:ascii="Arial" w:hAnsi="Arial" w:cs="Arial"/>
          <w:color w:val="000000"/>
          <w:lang w:val="es-ES"/>
        </w:rPr>
        <w:t>) que pueden analizarse para evaluar el impacto de la intervención;</w:t>
      </w:r>
    </w:p>
    <w:p w14:paraId="312AFB29" w14:textId="5774135D"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Las actividades propuestas y la duración del piloto prevén tiempo suficiente para que éstas se lleven a cabo adecuadamente;</w:t>
      </w:r>
    </w:p>
    <w:p w14:paraId="58F22DBB" w14:textId="263B3AD6"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incluye un presupuesto estimado, que especifique tanto la asistencia financiera del</w:t>
      </w:r>
      <w:r w:rsidR="00E166BC" w:rsidRPr="00E77F0E">
        <w:rPr>
          <w:rFonts w:ascii="Arial" w:hAnsi="Arial" w:cs="Arial"/>
          <w:color w:val="000000"/>
          <w:lang w:val="es-ES"/>
        </w:rPr>
        <w:t xml:space="preserve"> MH </w:t>
      </w:r>
      <w:r w:rsidRPr="00E77F0E">
        <w:rPr>
          <w:rFonts w:ascii="Arial" w:hAnsi="Arial" w:cs="Arial"/>
          <w:color w:val="000000"/>
          <w:lang w:val="es-ES"/>
        </w:rPr>
        <w:t xml:space="preserve">necesaria, como las contribuciones (financieras y de otro tipo) </w:t>
      </w:r>
      <w:r w:rsidR="00E166BC" w:rsidRPr="00E77F0E">
        <w:rPr>
          <w:rFonts w:ascii="Arial" w:hAnsi="Arial" w:cs="Arial"/>
          <w:color w:val="000000"/>
          <w:lang w:val="es-ES"/>
        </w:rPr>
        <w:t>se</w:t>
      </w:r>
      <w:r w:rsidRPr="00E77F0E">
        <w:rPr>
          <w:rFonts w:ascii="Arial" w:hAnsi="Arial" w:cs="Arial"/>
          <w:color w:val="000000"/>
          <w:lang w:val="es-ES"/>
        </w:rPr>
        <w:t xml:space="preserve"> est</w:t>
      </w:r>
      <w:r w:rsidR="00E166BC" w:rsidRPr="00E77F0E">
        <w:rPr>
          <w:rFonts w:ascii="Arial" w:hAnsi="Arial" w:cs="Arial"/>
          <w:color w:val="000000"/>
          <w:lang w:val="es-ES"/>
        </w:rPr>
        <w:t>aría</w:t>
      </w:r>
      <w:r w:rsidRPr="00E77F0E">
        <w:rPr>
          <w:rFonts w:ascii="Arial" w:hAnsi="Arial" w:cs="Arial"/>
          <w:color w:val="000000"/>
          <w:lang w:val="es-ES"/>
        </w:rPr>
        <w:t xml:space="preserve"> dispuesto a realizar a lo largo del proyecto</w:t>
      </w:r>
      <w:r w:rsidR="00755C59" w:rsidRPr="00E77F0E">
        <w:rPr>
          <w:rFonts w:ascii="Arial" w:hAnsi="Arial" w:cs="Arial"/>
          <w:color w:val="000000"/>
          <w:lang w:val="es-ES"/>
        </w:rPr>
        <w:t>;</w:t>
      </w:r>
      <w:r w:rsidR="0077117B">
        <w:rPr>
          <w:rFonts w:ascii="Arial" w:hAnsi="Arial" w:cs="Arial"/>
          <w:color w:val="000000"/>
          <w:lang w:val="es-ES"/>
        </w:rPr>
        <w:t xml:space="preserve"> y</w:t>
      </w:r>
      <w:bookmarkStart w:id="0" w:name="_GoBack"/>
      <w:bookmarkEnd w:id="0"/>
    </w:p>
    <w:p w14:paraId="4302417C" w14:textId="29A365F2" w:rsidR="00EE36E8" w:rsidRPr="00E77F0E" w:rsidRDefault="00EE36E8" w:rsidP="00EE36E8">
      <w:pPr>
        <w:pStyle w:val="ListParagraph"/>
        <w:numPr>
          <w:ilvl w:val="0"/>
          <w:numId w:val="2"/>
        </w:numPr>
        <w:jc w:val="both"/>
        <w:rPr>
          <w:rFonts w:ascii="Arial" w:hAnsi="Arial" w:cs="Arial"/>
          <w:color w:val="000000"/>
          <w:lang w:val="es-ES"/>
        </w:rPr>
      </w:pPr>
      <w:r w:rsidRPr="00E77F0E">
        <w:rPr>
          <w:rFonts w:ascii="Arial" w:hAnsi="Arial" w:cs="Arial"/>
          <w:color w:val="000000"/>
          <w:lang w:val="es-ES"/>
        </w:rPr>
        <w:t>La propuesta piloto involucra a actores relevantes de</w:t>
      </w:r>
      <w:r w:rsidR="00CA5560" w:rsidRPr="00E77F0E">
        <w:rPr>
          <w:rFonts w:ascii="Arial" w:hAnsi="Arial" w:cs="Arial"/>
          <w:color w:val="000000"/>
          <w:lang w:val="es-ES"/>
        </w:rPr>
        <w:t>l</w:t>
      </w:r>
      <w:r w:rsidRPr="00E77F0E">
        <w:rPr>
          <w:rFonts w:ascii="Arial" w:hAnsi="Arial" w:cs="Arial"/>
          <w:color w:val="000000"/>
          <w:lang w:val="es-ES"/>
        </w:rPr>
        <w:t xml:space="preserve"> sistema pensional tales como administradores de fondos de pensiones, empleadores, trabajadores, empresas FinTech</w:t>
      </w:r>
      <w:r w:rsidR="00755C59" w:rsidRPr="00E77F0E">
        <w:rPr>
          <w:rFonts w:ascii="Arial" w:hAnsi="Arial" w:cs="Arial"/>
          <w:color w:val="000000"/>
          <w:lang w:val="es-ES"/>
        </w:rPr>
        <w:t>, Bancos</w:t>
      </w:r>
      <w:r w:rsidRPr="00E77F0E">
        <w:rPr>
          <w:rFonts w:ascii="Arial" w:hAnsi="Arial" w:cs="Arial"/>
          <w:color w:val="000000"/>
          <w:lang w:val="es-ES"/>
        </w:rPr>
        <w:t xml:space="preserve"> y académicos, entre otros</w:t>
      </w:r>
      <w:r w:rsidR="00755C59" w:rsidRPr="00E77F0E">
        <w:rPr>
          <w:rFonts w:ascii="Arial" w:hAnsi="Arial" w:cs="Arial"/>
          <w:color w:val="000000"/>
          <w:lang w:val="es-ES"/>
        </w:rPr>
        <w:t>.</w:t>
      </w:r>
    </w:p>
    <w:p w14:paraId="13822D78" w14:textId="1A8EFB3F" w:rsidR="00486A9C" w:rsidRPr="00E77F0E" w:rsidRDefault="00EC2442" w:rsidP="00D95637">
      <w:pPr>
        <w:jc w:val="both"/>
        <w:rPr>
          <w:rFonts w:ascii="Arial" w:hAnsi="Arial" w:cs="Arial"/>
          <w:lang w:val="es-ES_tradnl"/>
        </w:rPr>
      </w:pPr>
      <w:r w:rsidRPr="00E77F0E">
        <w:rPr>
          <w:rFonts w:ascii="Arial" w:hAnsi="Arial" w:cs="Arial"/>
          <w:lang w:val="es-ES"/>
        </w:rPr>
        <w:t>Considerando</w:t>
      </w:r>
      <w:r w:rsidR="00486A9C" w:rsidRPr="00E77F0E">
        <w:rPr>
          <w:rFonts w:ascii="Arial" w:hAnsi="Arial" w:cs="Arial"/>
          <w:lang w:val="es-ES_tradnl"/>
        </w:rPr>
        <w:t xml:space="preserve"> en la experiencia del Laborat</w:t>
      </w:r>
      <w:r w:rsidR="007B2FDF" w:rsidRPr="00E77F0E">
        <w:rPr>
          <w:rFonts w:ascii="Arial" w:hAnsi="Arial" w:cs="Arial"/>
          <w:lang w:val="es-ES_tradnl"/>
        </w:rPr>
        <w:t>o</w:t>
      </w:r>
      <w:r w:rsidR="00486A9C" w:rsidRPr="00E77F0E">
        <w:rPr>
          <w:rFonts w:ascii="Arial" w:hAnsi="Arial" w:cs="Arial"/>
          <w:lang w:val="es-ES_tradnl"/>
        </w:rPr>
        <w:t>rio de Ahorro para el Retiro</w:t>
      </w:r>
      <w:r w:rsidR="007B2FDF" w:rsidRPr="00E77F0E">
        <w:rPr>
          <w:rFonts w:ascii="Arial" w:hAnsi="Arial" w:cs="Arial"/>
          <w:lang w:val="es-ES_tradnl"/>
        </w:rPr>
        <w:t xml:space="preserve"> (LAR)</w:t>
      </w:r>
      <w:r w:rsidR="00486A9C" w:rsidRPr="00E77F0E">
        <w:rPr>
          <w:rFonts w:ascii="Arial" w:hAnsi="Arial" w:cs="Arial"/>
          <w:lang w:val="es-ES_tradnl"/>
        </w:rPr>
        <w:t xml:space="preserve"> </w:t>
      </w:r>
      <w:r w:rsidR="00282503" w:rsidRPr="00E77F0E">
        <w:rPr>
          <w:rFonts w:ascii="Arial" w:hAnsi="Arial" w:cs="Arial"/>
          <w:lang w:val="es-ES_tradnl"/>
        </w:rPr>
        <w:t>(</w:t>
      </w:r>
      <w:r w:rsidR="00282503" w:rsidRPr="00E77F0E">
        <w:rPr>
          <w:rFonts w:ascii="Arial" w:hAnsi="Arial" w:cs="Arial"/>
          <w:lang w:val="es-ES"/>
        </w:rPr>
        <w:t>RG-M1277; ATN/ME-15065-RG y RG-X1247; ATN/CF-15495-RG)</w:t>
      </w:r>
      <w:r w:rsidRPr="00E77F0E">
        <w:rPr>
          <w:rFonts w:ascii="Arial" w:hAnsi="Arial" w:cs="Arial"/>
          <w:lang w:val="es-ES"/>
        </w:rPr>
        <w:t xml:space="preserve"> del BID</w:t>
      </w:r>
      <w:r w:rsidR="00282503" w:rsidRPr="00E77F0E">
        <w:rPr>
          <w:rFonts w:ascii="Arial" w:hAnsi="Arial" w:cs="Arial"/>
          <w:lang w:val="es-ES"/>
        </w:rPr>
        <w:t xml:space="preserve">, </w:t>
      </w:r>
      <w:r w:rsidR="00872EBC" w:rsidRPr="00E77F0E">
        <w:rPr>
          <w:rFonts w:ascii="Arial" w:hAnsi="Arial" w:cs="Arial"/>
          <w:lang w:val="es-ES_tradnl"/>
        </w:rPr>
        <w:t>se recom</w:t>
      </w:r>
      <w:r w:rsidR="001B52A3" w:rsidRPr="00E77F0E">
        <w:rPr>
          <w:rFonts w:ascii="Arial" w:hAnsi="Arial" w:cs="Arial"/>
          <w:lang w:val="es-ES_tradnl"/>
        </w:rPr>
        <w:t>iend</w:t>
      </w:r>
      <w:r w:rsidR="00C44780" w:rsidRPr="00E77F0E">
        <w:rPr>
          <w:rFonts w:ascii="Arial" w:hAnsi="Arial" w:cs="Arial"/>
          <w:lang w:val="es-ES_tradnl"/>
        </w:rPr>
        <w:t>a</w:t>
      </w:r>
      <w:r w:rsidR="00872EBC" w:rsidRPr="00E77F0E">
        <w:rPr>
          <w:rFonts w:ascii="Arial" w:hAnsi="Arial" w:cs="Arial"/>
          <w:lang w:val="es-ES_tradnl"/>
        </w:rPr>
        <w:t xml:space="preserve"> financiar pilotos </w:t>
      </w:r>
      <w:r w:rsidR="00C44780" w:rsidRPr="00E77F0E">
        <w:rPr>
          <w:rFonts w:ascii="Arial" w:hAnsi="Arial" w:cs="Arial"/>
          <w:lang w:val="es-ES_tradnl"/>
        </w:rPr>
        <w:t xml:space="preserve">con </w:t>
      </w:r>
      <w:r w:rsidR="00872EBC" w:rsidRPr="00E77F0E">
        <w:rPr>
          <w:rFonts w:ascii="Arial" w:hAnsi="Arial" w:cs="Arial"/>
          <w:lang w:val="es-ES_tradnl"/>
        </w:rPr>
        <w:t xml:space="preserve">un </w:t>
      </w:r>
      <w:r w:rsidRPr="00E77F0E">
        <w:rPr>
          <w:rFonts w:ascii="Arial" w:hAnsi="Arial" w:cs="Arial"/>
          <w:lang w:val="es-ES_tradnl"/>
        </w:rPr>
        <w:t xml:space="preserve">costo </w:t>
      </w:r>
      <w:r w:rsidR="00872EBC" w:rsidRPr="00E77F0E">
        <w:rPr>
          <w:rFonts w:ascii="Arial" w:hAnsi="Arial" w:cs="Arial"/>
          <w:lang w:val="es-ES_tradnl"/>
        </w:rPr>
        <w:t xml:space="preserve">de hasta US$ </w:t>
      </w:r>
      <w:r w:rsidR="00282503" w:rsidRPr="00E77F0E">
        <w:rPr>
          <w:rFonts w:ascii="Arial" w:hAnsi="Arial" w:cs="Arial"/>
          <w:lang w:val="es-ES_tradnl"/>
        </w:rPr>
        <w:t>7</w:t>
      </w:r>
      <w:r w:rsidR="00872EBC" w:rsidRPr="00E77F0E">
        <w:rPr>
          <w:rFonts w:ascii="Arial" w:hAnsi="Arial" w:cs="Arial"/>
          <w:lang w:val="es-ES_tradnl"/>
        </w:rPr>
        <w:t>0,000</w:t>
      </w:r>
      <w:r w:rsidR="00282503" w:rsidRPr="00E77F0E">
        <w:rPr>
          <w:rFonts w:ascii="Arial" w:hAnsi="Arial" w:cs="Arial"/>
          <w:lang w:val="es-ES_tradnl"/>
        </w:rPr>
        <w:t xml:space="preserve"> (</w:t>
      </w:r>
      <w:r w:rsidR="00C44780" w:rsidRPr="00E77F0E">
        <w:rPr>
          <w:rFonts w:ascii="Arial" w:hAnsi="Arial" w:cs="Arial"/>
          <w:lang w:val="es-ES_tradnl"/>
        </w:rPr>
        <w:t>excluyendo</w:t>
      </w:r>
      <w:r w:rsidR="00282503" w:rsidRPr="00E77F0E">
        <w:rPr>
          <w:rFonts w:ascii="Arial" w:hAnsi="Arial" w:cs="Arial"/>
          <w:lang w:val="es-ES_tradnl"/>
        </w:rPr>
        <w:t xml:space="preserve"> contrapartida)</w:t>
      </w:r>
      <w:r w:rsidR="00872EBC" w:rsidRPr="00E77F0E">
        <w:rPr>
          <w:rFonts w:ascii="Arial" w:hAnsi="Arial" w:cs="Arial"/>
          <w:lang w:val="es-ES_tradnl"/>
        </w:rPr>
        <w:t xml:space="preserve">. </w:t>
      </w:r>
    </w:p>
    <w:p w14:paraId="0C4B4BCE" w14:textId="5F27747B" w:rsidR="00400750" w:rsidRPr="00E77F0E" w:rsidRDefault="00775F41" w:rsidP="00D95637">
      <w:pPr>
        <w:jc w:val="both"/>
        <w:rPr>
          <w:rFonts w:ascii="Arial" w:hAnsi="Arial" w:cs="Arial"/>
          <w:lang w:val="es-ES_tradnl"/>
        </w:rPr>
      </w:pPr>
      <w:r w:rsidRPr="00E77F0E">
        <w:rPr>
          <w:rFonts w:ascii="Arial" w:hAnsi="Arial" w:cs="Arial"/>
          <w:lang w:val="es-ES_tradnl"/>
        </w:rPr>
        <w:t xml:space="preserve">Las propuestas serán evaluadas </w:t>
      </w:r>
      <w:r w:rsidR="00667ECA" w:rsidRPr="00E77F0E">
        <w:rPr>
          <w:rFonts w:ascii="Arial" w:hAnsi="Arial" w:cs="Arial"/>
          <w:lang w:val="es-ES_tradnl"/>
        </w:rPr>
        <w:t xml:space="preserve">técnicamente </w:t>
      </w:r>
      <w:r w:rsidRPr="00E77F0E">
        <w:rPr>
          <w:rFonts w:ascii="Arial" w:hAnsi="Arial" w:cs="Arial"/>
          <w:lang w:val="es-ES_tradnl"/>
        </w:rPr>
        <w:t>por el equipo de</w:t>
      </w:r>
      <w:r w:rsidR="004A27B7" w:rsidRPr="00E77F0E">
        <w:rPr>
          <w:rFonts w:ascii="Arial" w:hAnsi="Arial" w:cs="Arial"/>
          <w:lang w:val="es-ES_tradnl"/>
        </w:rPr>
        <w:t xml:space="preserve"> la DEE</w:t>
      </w:r>
      <w:r w:rsidR="00486A9C" w:rsidRPr="00E77F0E">
        <w:rPr>
          <w:rFonts w:ascii="Arial" w:hAnsi="Arial" w:cs="Arial"/>
          <w:lang w:val="es-ES_tradnl"/>
        </w:rPr>
        <w:t>. La decisión</w:t>
      </w:r>
      <w:r w:rsidR="00EC2442" w:rsidRPr="00E77F0E">
        <w:rPr>
          <w:rFonts w:ascii="Arial" w:hAnsi="Arial" w:cs="Arial"/>
          <w:lang w:val="es-ES_tradnl"/>
        </w:rPr>
        <w:t xml:space="preserve"> </w:t>
      </w:r>
      <w:r w:rsidR="00B473E8" w:rsidRPr="00E77F0E">
        <w:rPr>
          <w:rFonts w:ascii="Arial" w:hAnsi="Arial" w:cs="Arial"/>
          <w:lang w:val="es-ES_tradnl"/>
        </w:rPr>
        <w:t>última sobre la elegibilidad de un piloto tendrá el</w:t>
      </w:r>
      <w:r w:rsidR="00496379" w:rsidRPr="00E77F0E">
        <w:rPr>
          <w:rFonts w:ascii="Arial" w:hAnsi="Arial" w:cs="Arial"/>
          <w:lang w:val="es-ES_tradnl"/>
        </w:rPr>
        <w:t xml:space="preserve"> (la)</w:t>
      </w:r>
      <w:r w:rsidR="00B473E8" w:rsidRPr="00E77F0E">
        <w:rPr>
          <w:rFonts w:ascii="Arial" w:hAnsi="Arial" w:cs="Arial"/>
          <w:lang w:val="es-ES_tradnl"/>
        </w:rPr>
        <w:t xml:space="preserve"> Director(a) </w:t>
      </w:r>
      <w:r w:rsidR="00496379" w:rsidRPr="00E77F0E">
        <w:rPr>
          <w:rFonts w:ascii="Arial" w:hAnsi="Arial" w:cs="Arial"/>
          <w:lang w:val="es-ES_tradnl"/>
        </w:rPr>
        <w:t xml:space="preserve">de </w:t>
      </w:r>
      <w:r w:rsidR="00B473E8" w:rsidRPr="00E77F0E">
        <w:rPr>
          <w:rFonts w:ascii="Arial" w:hAnsi="Arial" w:cs="Arial"/>
          <w:lang w:val="es-ES_tradnl"/>
        </w:rPr>
        <w:t xml:space="preserve">Estudios Económicos. </w:t>
      </w:r>
    </w:p>
    <w:p w14:paraId="60461163" w14:textId="3CAB222F" w:rsidR="002051EA" w:rsidRPr="00E77F0E" w:rsidRDefault="00552DCE" w:rsidP="00D95637">
      <w:pPr>
        <w:jc w:val="both"/>
        <w:rPr>
          <w:rFonts w:ascii="Arial" w:hAnsi="Arial" w:cs="Arial"/>
          <w:b/>
          <w:bCs/>
          <w:lang w:val="es-ES_tradnl"/>
        </w:rPr>
      </w:pPr>
      <w:r w:rsidRPr="00E77F0E">
        <w:rPr>
          <w:rFonts w:ascii="Arial" w:hAnsi="Arial" w:cs="Arial"/>
          <w:b/>
          <w:bCs/>
          <w:lang w:val="es-ES_tradnl"/>
        </w:rPr>
        <w:t>Pruebas piloto</w:t>
      </w:r>
    </w:p>
    <w:p w14:paraId="54B98A41" w14:textId="3EFF5198" w:rsidR="00AE1E78" w:rsidRPr="00E77F0E" w:rsidRDefault="00806597" w:rsidP="00D95637">
      <w:pPr>
        <w:jc w:val="both"/>
        <w:rPr>
          <w:rFonts w:ascii="Arial" w:hAnsi="Arial" w:cs="Arial"/>
          <w:lang w:val="es-ES_tradnl"/>
        </w:rPr>
      </w:pPr>
      <w:r w:rsidRPr="00E77F0E">
        <w:rPr>
          <w:rFonts w:ascii="Arial" w:hAnsi="Arial" w:cs="Arial"/>
          <w:lang w:val="es-ES_tradnl"/>
        </w:rPr>
        <w:t>Para fortalecer la capacidad</w:t>
      </w:r>
      <w:r w:rsidR="003B55AD" w:rsidRPr="00E77F0E">
        <w:rPr>
          <w:rFonts w:ascii="Arial" w:hAnsi="Arial" w:cs="Arial"/>
          <w:lang w:val="es-ES_tradnl"/>
        </w:rPr>
        <w:t xml:space="preserve"> del DEE para diseñar políticas orientadas a aumentar la cobertura del SJP, s</w:t>
      </w:r>
      <w:r w:rsidR="006231A7" w:rsidRPr="00E77F0E">
        <w:rPr>
          <w:rFonts w:ascii="Arial" w:hAnsi="Arial" w:cs="Arial"/>
          <w:lang w:val="es-ES_tradnl"/>
        </w:rPr>
        <w:t>e brindará apoyo a la</w:t>
      </w:r>
      <w:r w:rsidR="003B55AD" w:rsidRPr="00E77F0E">
        <w:rPr>
          <w:rFonts w:ascii="Arial" w:hAnsi="Arial" w:cs="Arial"/>
          <w:lang w:val="es-ES_tradnl"/>
        </w:rPr>
        <w:t xml:space="preserve"> dirección</w:t>
      </w:r>
      <w:r w:rsidR="006231A7" w:rsidRPr="00E77F0E">
        <w:rPr>
          <w:rFonts w:ascii="Arial" w:hAnsi="Arial" w:cs="Arial"/>
          <w:lang w:val="es-ES_tradnl"/>
        </w:rPr>
        <w:t xml:space="preserve"> para la realización de dos proyectos piloto para promover la participación al sistema de pensiones </w:t>
      </w:r>
      <w:r w:rsidR="001D2A6A" w:rsidRPr="00E77F0E">
        <w:rPr>
          <w:rFonts w:ascii="Arial" w:hAnsi="Arial" w:cs="Arial"/>
          <w:lang w:val="es-ES_tradnl"/>
        </w:rPr>
        <w:t xml:space="preserve">entre poblaciones </w:t>
      </w:r>
      <w:r w:rsidR="00750E88" w:rsidRPr="00E77F0E">
        <w:rPr>
          <w:rFonts w:ascii="Arial" w:hAnsi="Arial" w:cs="Arial"/>
          <w:lang w:val="es-ES_tradnl"/>
        </w:rPr>
        <w:t xml:space="preserve">tradicionalmente desvinculadas </w:t>
      </w:r>
      <w:r w:rsidR="00AE1E78" w:rsidRPr="00E77F0E">
        <w:rPr>
          <w:rFonts w:ascii="Arial" w:hAnsi="Arial" w:cs="Arial"/>
          <w:lang w:val="es-ES_tradnl"/>
        </w:rPr>
        <w:t xml:space="preserve">de este, como trabajadores informales y mujeres. Ambos pilotos </w:t>
      </w:r>
      <w:r w:rsidR="008708B2" w:rsidRPr="00E77F0E">
        <w:rPr>
          <w:rFonts w:ascii="Arial" w:hAnsi="Arial" w:cs="Arial"/>
          <w:lang w:val="es-ES_tradnl"/>
        </w:rPr>
        <w:t xml:space="preserve">considerarán la aplicación de </w:t>
      </w:r>
      <w:r w:rsidR="00AE1E78" w:rsidRPr="00E77F0E">
        <w:rPr>
          <w:rFonts w:ascii="Arial" w:hAnsi="Arial" w:cs="Arial"/>
          <w:lang w:val="es-ES_tradnl"/>
        </w:rPr>
        <w:t>los aprendizajes de la economía del comportamiento</w:t>
      </w:r>
      <w:r w:rsidR="008708B2" w:rsidRPr="00E77F0E">
        <w:rPr>
          <w:rFonts w:ascii="Arial" w:hAnsi="Arial" w:cs="Arial"/>
          <w:lang w:val="es-ES_tradnl"/>
        </w:rPr>
        <w:t xml:space="preserve"> y de tecnologías digitales.</w:t>
      </w:r>
      <w:r w:rsidR="00D21C39" w:rsidRPr="00E77F0E">
        <w:rPr>
          <w:rFonts w:ascii="Arial" w:hAnsi="Arial" w:cs="Arial"/>
          <w:lang w:val="es-ES_tradnl"/>
        </w:rPr>
        <w:t xml:space="preserve"> El monto total asignado a los dos pilotos es de US$2</w:t>
      </w:r>
      <w:r w:rsidR="005A0EFD" w:rsidRPr="00E77F0E">
        <w:rPr>
          <w:rFonts w:ascii="Arial" w:hAnsi="Arial" w:cs="Arial"/>
          <w:lang w:val="es-ES_tradnl"/>
        </w:rPr>
        <w:t>0</w:t>
      </w:r>
      <w:r w:rsidR="00D21C39" w:rsidRPr="00E77F0E">
        <w:rPr>
          <w:rFonts w:ascii="Arial" w:hAnsi="Arial" w:cs="Arial"/>
          <w:lang w:val="es-ES_tradnl"/>
        </w:rPr>
        <w:t>0,000.</w:t>
      </w:r>
    </w:p>
    <w:p w14:paraId="55599EDE" w14:textId="49DD6107" w:rsidR="00593F7A" w:rsidRPr="00E77F0E" w:rsidRDefault="00593F7A" w:rsidP="00F05C99">
      <w:pPr>
        <w:keepNext/>
        <w:jc w:val="both"/>
        <w:rPr>
          <w:rFonts w:ascii="Arial" w:hAnsi="Arial" w:cs="Arial"/>
          <w:b/>
          <w:bCs/>
          <w:i/>
          <w:iCs/>
          <w:lang w:val="es-ES_tradnl"/>
        </w:rPr>
      </w:pPr>
      <w:r w:rsidRPr="00E77F0E">
        <w:rPr>
          <w:rFonts w:ascii="Arial" w:hAnsi="Arial" w:cs="Arial"/>
          <w:b/>
          <w:bCs/>
          <w:i/>
          <w:iCs/>
          <w:lang w:val="es-ES_tradnl"/>
        </w:rPr>
        <w:t xml:space="preserve">Piloto 1: Promover el ahorro previsional voluntario entre </w:t>
      </w:r>
      <w:r w:rsidR="008E3A30" w:rsidRPr="00E77F0E">
        <w:rPr>
          <w:rFonts w:ascii="Arial" w:hAnsi="Arial" w:cs="Arial"/>
          <w:b/>
          <w:bCs/>
          <w:i/>
          <w:iCs/>
          <w:lang w:val="es-ES_tradnl"/>
        </w:rPr>
        <w:t>trabajadores informales</w:t>
      </w:r>
    </w:p>
    <w:p w14:paraId="2458A831" w14:textId="6A8ADB47" w:rsidR="00321D4A" w:rsidRPr="00E77F0E" w:rsidRDefault="006231A7" w:rsidP="00F05C99">
      <w:pPr>
        <w:keepNext/>
        <w:jc w:val="both"/>
        <w:rPr>
          <w:rFonts w:ascii="Arial" w:hAnsi="Arial" w:cs="Arial"/>
          <w:lang w:val="es-ES_tradnl"/>
        </w:rPr>
      </w:pPr>
      <w:r w:rsidRPr="00E77F0E">
        <w:rPr>
          <w:rFonts w:ascii="Arial" w:hAnsi="Arial" w:cs="Arial"/>
          <w:lang w:val="es-ES_tradnl"/>
        </w:rPr>
        <w:t>El primer piloto tendrá como objetivo aumentar la tasa de participación</w:t>
      </w:r>
      <w:r w:rsidR="00B46DE5" w:rsidRPr="00E77F0E">
        <w:rPr>
          <w:rFonts w:ascii="Arial" w:hAnsi="Arial" w:cs="Arial"/>
          <w:lang w:val="es-ES_tradnl"/>
        </w:rPr>
        <w:t xml:space="preserve"> en el sistema de pensiones</w:t>
      </w:r>
      <w:r w:rsidRPr="00E77F0E">
        <w:rPr>
          <w:rFonts w:ascii="Arial" w:hAnsi="Arial" w:cs="Arial"/>
          <w:lang w:val="es-ES_tradnl"/>
        </w:rPr>
        <w:t xml:space="preserve"> entre </w:t>
      </w:r>
      <w:r w:rsidR="008E3A30" w:rsidRPr="00E77F0E">
        <w:rPr>
          <w:rFonts w:ascii="Arial" w:hAnsi="Arial" w:cs="Arial"/>
          <w:lang w:val="es-ES_tradnl"/>
        </w:rPr>
        <w:t>trabajadores informales</w:t>
      </w:r>
      <w:r w:rsidRPr="00E77F0E">
        <w:rPr>
          <w:rFonts w:ascii="Arial" w:hAnsi="Arial" w:cs="Arial"/>
          <w:lang w:val="es-ES_tradnl"/>
        </w:rPr>
        <w:t xml:space="preserve"> que actualmente no contribuyen al SJP. </w:t>
      </w:r>
    </w:p>
    <w:p w14:paraId="59411C4B" w14:textId="1C5F1767" w:rsidR="00B55B8D" w:rsidRPr="00E77F0E" w:rsidRDefault="00F73489" w:rsidP="00D95637">
      <w:pPr>
        <w:jc w:val="both"/>
        <w:rPr>
          <w:rFonts w:ascii="Arial" w:hAnsi="Arial" w:cs="Arial"/>
          <w:lang w:val="es-ES"/>
        </w:rPr>
      </w:pPr>
      <w:r w:rsidRPr="00E77F0E">
        <w:rPr>
          <w:rFonts w:ascii="Arial" w:hAnsi="Arial" w:cs="Arial"/>
          <w:lang w:val="es-ES"/>
        </w:rPr>
        <w:t xml:space="preserve">El piloto busca aprender lecciones sobre si el mecanismo de </w:t>
      </w:r>
      <w:r w:rsidRPr="00E77F0E">
        <w:rPr>
          <w:rFonts w:ascii="Arial" w:hAnsi="Arial" w:cs="Arial"/>
          <w:i/>
          <w:lang w:val="es-ES"/>
        </w:rPr>
        <w:t xml:space="preserve">enrolamiento por decisión activa </w:t>
      </w:r>
      <w:r w:rsidRPr="00E77F0E">
        <w:rPr>
          <w:rFonts w:ascii="Arial" w:hAnsi="Arial" w:cs="Arial"/>
          <w:lang w:val="es-ES"/>
        </w:rPr>
        <w:t xml:space="preserve">en un plan de ahorro para </w:t>
      </w:r>
      <w:r w:rsidR="004A27B7" w:rsidRPr="00E77F0E">
        <w:rPr>
          <w:rFonts w:ascii="Arial" w:hAnsi="Arial" w:cs="Arial"/>
          <w:lang w:val="es-ES"/>
        </w:rPr>
        <w:t>trabajadores independientes</w:t>
      </w:r>
      <w:r w:rsidRPr="00E77F0E">
        <w:rPr>
          <w:rFonts w:ascii="Arial" w:hAnsi="Arial" w:cs="Arial"/>
          <w:lang w:val="es-ES"/>
        </w:rPr>
        <w:t>, complementado por recordatorios con contenidos conductuales, puede ser una estrategia efectiva para aumentar la participación y las tasas de contribución en planes de ahorro previsional voluntario</w:t>
      </w:r>
      <w:r w:rsidR="00DF3C90" w:rsidRPr="00E77F0E">
        <w:rPr>
          <w:rFonts w:ascii="Arial" w:hAnsi="Arial" w:cs="Arial"/>
          <w:lang w:val="es-ES"/>
        </w:rPr>
        <w:t xml:space="preserve"> entre esta población</w:t>
      </w:r>
      <w:r w:rsidRPr="00E77F0E">
        <w:rPr>
          <w:rFonts w:ascii="Arial" w:hAnsi="Arial" w:cs="Arial"/>
          <w:lang w:val="es-ES"/>
        </w:rPr>
        <w:t>.</w:t>
      </w:r>
    </w:p>
    <w:p w14:paraId="1E7F3B98" w14:textId="5498AF1F" w:rsidR="00D222FC" w:rsidRPr="00E77F0E" w:rsidRDefault="00D222FC" w:rsidP="00D95637">
      <w:pPr>
        <w:jc w:val="both"/>
        <w:rPr>
          <w:rFonts w:ascii="Arial" w:hAnsi="Arial" w:cs="Arial"/>
          <w:lang w:val="es-ES_tradnl"/>
        </w:rPr>
      </w:pPr>
      <w:r w:rsidRPr="00E77F0E">
        <w:rPr>
          <w:rFonts w:ascii="Arial" w:hAnsi="Arial" w:cs="Arial"/>
          <w:lang w:val="es-ES_tradnl"/>
        </w:rPr>
        <w:t xml:space="preserve">La intervención consistirá en la implementación de un mecanismo que invitará a nuevos </w:t>
      </w:r>
      <w:r w:rsidR="00C818D2" w:rsidRPr="00E77F0E">
        <w:rPr>
          <w:rFonts w:ascii="Arial" w:hAnsi="Arial" w:cs="Arial"/>
          <w:lang w:val="es-ES_tradnl"/>
        </w:rPr>
        <w:t>contratados</w:t>
      </w:r>
      <w:r w:rsidRPr="00E77F0E">
        <w:rPr>
          <w:rFonts w:ascii="Arial" w:hAnsi="Arial" w:cs="Arial"/>
          <w:lang w:val="es-ES_tradnl"/>
        </w:rPr>
        <w:t xml:space="preserve"> del sector público a tomar, dentro de un periodo de 30 días desde su vinculación a la institución, la opción de elegir una tasa de contribución a un plan de ahorro previsional voluntario. Específicamente, se incluirá en el paquete de documentos que se requieren firmar por </w:t>
      </w:r>
      <w:r w:rsidRPr="00E77F0E">
        <w:rPr>
          <w:rFonts w:ascii="Arial" w:hAnsi="Arial" w:cs="Arial"/>
          <w:lang w:val="es-ES_tradnl"/>
        </w:rPr>
        <w:lastRenderedPageBreak/>
        <w:t xml:space="preserve">parte del empleado para su vinculación, un anexo que proponga la alternativa de ahorro voluntario, además de una sección de libre elección sobre el porcentaje del salario que el empleado quiere ahorrar. Se enviarán mensajes recordatorios al empleado para exigir la devolución de este anexo diligenciado dentro del plazo requerido. Las opciones de monto de ahorro a elegir incluyen 4 alternativas, incluyendo el no aporte y no habrá penalización en caso de no devolver el formato al departamento de recursos humanos.  </w:t>
      </w:r>
    </w:p>
    <w:p w14:paraId="4802B34E" w14:textId="73053B05" w:rsidR="00F25CBD" w:rsidRPr="00E77F0E" w:rsidRDefault="00F25CBD" w:rsidP="00D95637">
      <w:pPr>
        <w:jc w:val="both"/>
        <w:rPr>
          <w:rFonts w:ascii="Arial" w:hAnsi="Arial" w:cs="Arial"/>
          <w:lang w:val="es-ES_tradnl"/>
        </w:rPr>
      </w:pPr>
      <w:r w:rsidRPr="00E77F0E">
        <w:rPr>
          <w:rFonts w:ascii="Arial" w:hAnsi="Arial" w:cs="Arial"/>
          <w:lang w:val="es-ES_tradnl"/>
        </w:rPr>
        <w:t>La diferencia en el promedio de tasas de participación entre los grupos</w:t>
      </w:r>
      <w:r w:rsidR="009B1ECB" w:rsidRPr="00E77F0E">
        <w:rPr>
          <w:rFonts w:ascii="Arial" w:hAnsi="Arial" w:cs="Arial"/>
          <w:lang w:val="es-ES_tradnl"/>
        </w:rPr>
        <w:t xml:space="preserve"> de tratamiento (grupo de contratados que </w:t>
      </w:r>
      <w:r w:rsidR="0048729F" w:rsidRPr="00E77F0E">
        <w:rPr>
          <w:rFonts w:ascii="Arial" w:hAnsi="Arial" w:cs="Arial"/>
          <w:lang w:val="es-ES_tradnl"/>
        </w:rPr>
        <w:t>se</w:t>
      </w:r>
      <w:r w:rsidR="003A7B9B" w:rsidRPr="00E77F0E">
        <w:rPr>
          <w:rFonts w:ascii="Arial" w:hAnsi="Arial" w:cs="Arial"/>
          <w:lang w:val="es-ES_tradnl"/>
        </w:rPr>
        <w:t xml:space="preserve"> contrataron aplicando el nuevo mecanismo</w:t>
      </w:r>
      <w:r w:rsidR="009B1ECB" w:rsidRPr="00E77F0E">
        <w:rPr>
          <w:rFonts w:ascii="Arial" w:hAnsi="Arial" w:cs="Arial"/>
          <w:lang w:val="es-ES_tradnl"/>
        </w:rPr>
        <w:t>)</w:t>
      </w:r>
      <w:r w:rsidR="003A7B9B" w:rsidRPr="00E77F0E">
        <w:rPr>
          <w:rFonts w:ascii="Arial" w:hAnsi="Arial" w:cs="Arial"/>
          <w:lang w:val="es-ES_tradnl"/>
        </w:rPr>
        <w:t xml:space="preserve"> y de control (grupo de contratados estadísticamente </w:t>
      </w:r>
      <w:r w:rsidR="00EA6878" w:rsidRPr="00E77F0E">
        <w:rPr>
          <w:rFonts w:ascii="Arial" w:hAnsi="Arial" w:cs="Arial"/>
          <w:lang w:val="es-ES_tradnl"/>
        </w:rPr>
        <w:t>comparable,</w:t>
      </w:r>
      <w:r w:rsidR="003A7B9B" w:rsidRPr="00E77F0E">
        <w:rPr>
          <w:rFonts w:ascii="Arial" w:hAnsi="Arial" w:cs="Arial"/>
          <w:lang w:val="es-ES_tradnl"/>
        </w:rPr>
        <w:t xml:space="preserve"> pero </w:t>
      </w:r>
      <w:r w:rsidR="00091865" w:rsidRPr="00E77F0E">
        <w:rPr>
          <w:rFonts w:ascii="Arial" w:hAnsi="Arial" w:cs="Arial"/>
          <w:lang w:val="es-ES_tradnl"/>
        </w:rPr>
        <w:t xml:space="preserve">al que no se le ofreció el </w:t>
      </w:r>
      <w:r w:rsidR="0088551C" w:rsidRPr="00E77F0E">
        <w:rPr>
          <w:rFonts w:ascii="Arial" w:hAnsi="Arial" w:cs="Arial"/>
          <w:lang w:val="es-ES_tradnl"/>
        </w:rPr>
        <w:t>nuevo mecanismo</w:t>
      </w:r>
      <w:r w:rsidR="00091865" w:rsidRPr="00E77F0E">
        <w:rPr>
          <w:rFonts w:ascii="Arial" w:hAnsi="Arial" w:cs="Arial"/>
          <w:lang w:val="es-ES_tradnl"/>
        </w:rPr>
        <w:t xml:space="preserve"> de ahorro</w:t>
      </w:r>
      <w:r w:rsidR="0088551C" w:rsidRPr="00E77F0E">
        <w:rPr>
          <w:rFonts w:ascii="Arial" w:hAnsi="Arial" w:cs="Arial"/>
          <w:lang w:val="es-ES_tradnl"/>
        </w:rPr>
        <w:t>)</w:t>
      </w:r>
      <w:r w:rsidRPr="00E77F0E">
        <w:rPr>
          <w:rFonts w:ascii="Arial" w:hAnsi="Arial" w:cs="Arial"/>
          <w:lang w:val="es-ES_tradnl"/>
        </w:rPr>
        <w:t xml:space="preserve"> corresponderá al impacto de los respectivos tramos de tratamiento.</w:t>
      </w:r>
      <w:r w:rsidR="00D42A2F" w:rsidRPr="00E77F0E">
        <w:rPr>
          <w:rFonts w:ascii="Arial" w:hAnsi="Arial" w:cs="Arial"/>
          <w:lang w:val="es-ES_tradnl"/>
        </w:rPr>
        <w:t xml:space="preserve"> </w:t>
      </w:r>
      <w:r w:rsidRPr="00E77F0E">
        <w:rPr>
          <w:rFonts w:ascii="Arial" w:hAnsi="Arial" w:cs="Arial"/>
          <w:lang w:val="es-ES_tradnl"/>
        </w:rPr>
        <w:t xml:space="preserve">La asignación a los diferentes grupos de control y tratamiento se hará de forma aleatoria a nivel de institución empleadora del Estado.   </w:t>
      </w:r>
    </w:p>
    <w:p w14:paraId="2AB636AA" w14:textId="2FFF15C1" w:rsidR="00593F7A" w:rsidRPr="00E77F0E" w:rsidRDefault="00593F7A" w:rsidP="00D95637">
      <w:pPr>
        <w:jc w:val="both"/>
        <w:rPr>
          <w:rFonts w:ascii="Arial" w:hAnsi="Arial" w:cs="Arial"/>
          <w:b/>
          <w:bCs/>
          <w:i/>
          <w:iCs/>
          <w:lang w:val="es-ES_tradnl"/>
        </w:rPr>
      </w:pPr>
      <w:r w:rsidRPr="00E77F0E">
        <w:rPr>
          <w:rFonts w:ascii="Arial" w:hAnsi="Arial" w:cs="Arial"/>
          <w:b/>
          <w:bCs/>
          <w:i/>
          <w:iCs/>
          <w:lang w:val="es-ES_tradnl"/>
        </w:rPr>
        <w:t>Piloto 2: Mejorar el conocimiento previsional entre mujeres utilizando mensajes focalizados en redes sociales</w:t>
      </w:r>
    </w:p>
    <w:p w14:paraId="56547583" w14:textId="55491920" w:rsidR="00460E13" w:rsidRPr="00E77F0E" w:rsidRDefault="006231A7" w:rsidP="00D95637">
      <w:pPr>
        <w:jc w:val="both"/>
        <w:rPr>
          <w:rFonts w:ascii="Arial" w:hAnsi="Arial" w:cs="Arial"/>
          <w:lang w:val="es-ES_tradnl"/>
        </w:rPr>
      </w:pPr>
      <w:r w:rsidRPr="00E77F0E">
        <w:rPr>
          <w:rFonts w:ascii="Arial" w:hAnsi="Arial" w:cs="Arial"/>
          <w:lang w:val="es-ES_tradnl"/>
        </w:rPr>
        <w:t xml:space="preserve">El segundo piloto estará enfocado en aumentar </w:t>
      </w:r>
      <w:r w:rsidR="004B5DF5" w:rsidRPr="00E77F0E">
        <w:rPr>
          <w:rFonts w:ascii="Arial" w:hAnsi="Arial" w:cs="Arial"/>
          <w:lang w:val="es-ES_tradnl"/>
        </w:rPr>
        <w:t xml:space="preserve">el conocimiento previsional </w:t>
      </w:r>
      <w:r w:rsidR="008C0F21" w:rsidRPr="00E77F0E">
        <w:rPr>
          <w:rFonts w:ascii="Arial" w:hAnsi="Arial" w:cs="Arial"/>
          <w:lang w:val="es-ES_tradnl"/>
        </w:rPr>
        <w:t>entre</w:t>
      </w:r>
      <w:r w:rsidR="004B5DF5" w:rsidRPr="00E77F0E">
        <w:rPr>
          <w:rFonts w:ascii="Arial" w:hAnsi="Arial" w:cs="Arial"/>
          <w:lang w:val="es-ES_tradnl"/>
        </w:rPr>
        <w:t xml:space="preserve"> mujeres</w:t>
      </w:r>
      <w:r w:rsidR="008C0F21" w:rsidRPr="00E77F0E">
        <w:rPr>
          <w:rFonts w:ascii="Arial" w:hAnsi="Arial" w:cs="Arial"/>
          <w:lang w:val="es-ES_tradnl"/>
        </w:rPr>
        <w:t>.</w:t>
      </w:r>
      <w:r w:rsidR="00460E13" w:rsidRPr="00E77F0E">
        <w:rPr>
          <w:rFonts w:ascii="Arial" w:hAnsi="Arial" w:cs="Arial"/>
          <w:lang w:val="es-ES_tradnl"/>
        </w:rPr>
        <w:t xml:space="preserve"> </w:t>
      </w:r>
      <w:r w:rsidR="0088551C" w:rsidRPr="00E77F0E">
        <w:rPr>
          <w:rFonts w:ascii="Arial" w:hAnsi="Arial" w:cs="Arial"/>
          <w:lang w:val="es-ES_tradnl"/>
        </w:rPr>
        <w:t>Según datos de la EPH (2017), la proporción de aportantes/ocupados dentro del sector privado es mayor para hombres que para mujeres (17,2% vs. 14,0%), lo cual se relaciona, entre otros factores, a un menor conocimiento del sistema de pensiones con respecto a los hombres. Según la Encuesta Longitudinal de Seguridad Social (ELPS, 2015), el 79,7% de las mujeres desconoce la edad de jubilación y el 87,4% no saben el aporte que le descuentan para su jubilación (versus el 73,4% y 80,3% para hombres).</w:t>
      </w:r>
    </w:p>
    <w:p w14:paraId="4E4163B5" w14:textId="476E790C" w:rsidR="00145B0B" w:rsidRPr="00E77F0E" w:rsidRDefault="0088551C" w:rsidP="00D95637">
      <w:pPr>
        <w:jc w:val="both"/>
        <w:rPr>
          <w:rFonts w:ascii="Arial" w:hAnsi="Arial" w:cs="Arial"/>
          <w:lang w:val="es-ES"/>
        </w:rPr>
      </w:pPr>
      <w:r w:rsidRPr="00E77F0E">
        <w:rPr>
          <w:rFonts w:ascii="Arial" w:hAnsi="Arial" w:cs="Arial"/>
          <w:lang w:val="es-ES_tradnl"/>
        </w:rPr>
        <w:t>R</w:t>
      </w:r>
      <w:r w:rsidR="00460E13" w:rsidRPr="00E77F0E">
        <w:rPr>
          <w:rFonts w:ascii="Arial" w:hAnsi="Arial" w:cs="Arial"/>
          <w:lang w:val="es-ES_tradnl"/>
        </w:rPr>
        <w:t xml:space="preserve">espondiendo a las brechas de </w:t>
      </w:r>
      <w:r w:rsidR="00FA43B3" w:rsidRPr="00E77F0E">
        <w:rPr>
          <w:rFonts w:ascii="Arial" w:hAnsi="Arial" w:cs="Arial"/>
          <w:lang w:val="es-ES_tradnl"/>
        </w:rPr>
        <w:t xml:space="preserve">conocimiento </w:t>
      </w:r>
      <w:r w:rsidR="002239F2" w:rsidRPr="00E77F0E">
        <w:rPr>
          <w:rFonts w:ascii="Arial" w:hAnsi="Arial" w:cs="Arial"/>
          <w:lang w:val="es-ES_tradnl"/>
        </w:rPr>
        <w:t xml:space="preserve">sobre el sistema </w:t>
      </w:r>
      <w:r w:rsidR="009819B1" w:rsidRPr="00E77F0E">
        <w:rPr>
          <w:rFonts w:ascii="Arial" w:hAnsi="Arial" w:cs="Arial"/>
          <w:lang w:val="es-ES_tradnl"/>
        </w:rPr>
        <w:t xml:space="preserve">de pensiones entre mujeres que contribuyen a </w:t>
      </w:r>
      <w:r w:rsidR="00BB56DF" w:rsidRPr="00E77F0E">
        <w:rPr>
          <w:rFonts w:ascii="Arial" w:hAnsi="Arial" w:cs="Arial"/>
          <w:lang w:val="es-ES_tradnl"/>
        </w:rPr>
        <w:t>sus</w:t>
      </w:r>
      <w:r w:rsidR="009819B1" w:rsidRPr="00E77F0E">
        <w:rPr>
          <w:rFonts w:ascii="Arial" w:hAnsi="Arial" w:cs="Arial"/>
          <w:lang w:val="es-ES_tradnl"/>
        </w:rPr>
        <w:t xml:space="preserve"> bajas tasas de </w:t>
      </w:r>
      <w:r w:rsidR="005D0B00" w:rsidRPr="00E77F0E">
        <w:rPr>
          <w:rFonts w:ascii="Arial" w:hAnsi="Arial" w:cs="Arial"/>
          <w:lang w:val="es-ES_tradnl"/>
        </w:rPr>
        <w:t>cotización</w:t>
      </w:r>
      <w:r w:rsidR="00DA05AE" w:rsidRPr="00E77F0E">
        <w:rPr>
          <w:rFonts w:ascii="Arial" w:hAnsi="Arial" w:cs="Arial"/>
          <w:lang w:val="es-ES_tradnl"/>
        </w:rPr>
        <w:t xml:space="preserve">, </w:t>
      </w:r>
      <w:r w:rsidRPr="00E77F0E">
        <w:rPr>
          <w:rFonts w:ascii="Arial" w:hAnsi="Arial" w:cs="Arial"/>
          <w:lang w:val="es-ES_tradnl"/>
        </w:rPr>
        <w:t xml:space="preserve">se </w:t>
      </w:r>
      <w:r w:rsidR="00C42370" w:rsidRPr="00E77F0E">
        <w:rPr>
          <w:rFonts w:ascii="Arial" w:hAnsi="Arial" w:cs="Arial"/>
          <w:lang w:val="es-ES_tradnl"/>
        </w:rPr>
        <w:t>busca aprender si</w:t>
      </w:r>
      <w:r w:rsidR="00C42370" w:rsidRPr="00E77F0E">
        <w:rPr>
          <w:rFonts w:ascii="Arial" w:hAnsi="Arial" w:cs="Arial"/>
          <w:lang w:val="es-ES"/>
        </w:rPr>
        <w:t xml:space="preserve"> una campaña de concientización utilizando contenidos focalizados en redes sociales puede aumentar el </w:t>
      </w:r>
      <w:r w:rsidR="00A81C6F" w:rsidRPr="00E77F0E">
        <w:rPr>
          <w:rFonts w:ascii="Arial" w:hAnsi="Arial" w:cs="Arial"/>
          <w:lang w:val="es-ES"/>
        </w:rPr>
        <w:t xml:space="preserve">conocimiento de </w:t>
      </w:r>
      <w:r w:rsidR="00DA05AE" w:rsidRPr="00E77F0E">
        <w:rPr>
          <w:rFonts w:ascii="Arial" w:hAnsi="Arial" w:cs="Arial"/>
          <w:lang w:val="es-ES"/>
        </w:rPr>
        <w:t xml:space="preserve">las </w:t>
      </w:r>
      <w:r w:rsidR="00A81C6F" w:rsidRPr="00E77F0E">
        <w:rPr>
          <w:rFonts w:ascii="Arial" w:hAnsi="Arial" w:cs="Arial"/>
          <w:lang w:val="es-ES"/>
        </w:rPr>
        <w:t xml:space="preserve">mujeres sobre </w:t>
      </w:r>
      <w:r w:rsidR="008E2232" w:rsidRPr="00E77F0E">
        <w:rPr>
          <w:rFonts w:ascii="Arial" w:hAnsi="Arial" w:cs="Arial"/>
          <w:lang w:val="es-ES"/>
        </w:rPr>
        <w:t>aspectos importantes</w:t>
      </w:r>
      <w:r w:rsidR="00B03F04" w:rsidRPr="00E77F0E">
        <w:rPr>
          <w:rFonts w:ascii="Arial" w:hAnsi="Arial" w:cs="Arial"/>
          <w:lang w:val="es-ES"/>
        </w:rPr>
        <w:t xml:space="preserve"> </w:t>
      </w:r>
      <w:r w:rsidR="00145B0B" w:rsidRPr="00E77F0E">
        <w:rPr>
          <w:rFonts w:ascii="Arial" w:hAnsi="Arial" w:cs="Arial"/>
          <w:lang w:val="es-ES"/>
        </w:rPr>
        <w:t xml:space="preserve">de la planificación financiera al largo plazo en general. </w:t>
      </w:r>
    </w:p>
    <w:p w14:paraId="49A125FF" w14:textId="55A92705" w:rsidR="00321D4A" w:rsidRPr="00E77F0E" w:rsidRDefault="00DD699E" w:rsidP="00D95637">
      <w:pPr>
        <w:jc w:val="both"/>
        <w:rPr>
          <w:rFonts w:ascii="Arial" w:hAnsi="Arial" w:cs="Arial"/>
          <w:lang w:val="es-ES"/>
        </w:rPr>
      </w:pPr>
      <w:r w:rsidRPr="00E77F0E">
        <w:rPr>
          <w:rFonts w:ascii="Arial" w:hAnsi="Arial" w:cs="Arial"/>
          <w:lang w:val="es-ES"/>
        </w:rPr>
        <w:t xml:space="preserve">Para la </w:t>
      </w:r>
      <w:r w:rsidR="00D51C48" w:rsidRPr="00E77F0E">
        <w:rPr>
          <w:rFonts w:ascii="Arial" w:hAnsi="Arial" w:cs="Arial"/>
          <w:lang w:val="es-ES"/>
        </w:rPr>
        <w:t>intervención, se enviarán mensajes</w:t>
      </w:r>
      <w:r w:rsidR="00145B0B" w:rsidRPr="00E77F0E">
        <w:rPr>
          <w:rFonts w:ascii="Arial" w:hAnsi="Arial" w:cs="Arial"/>
          <w:lang w:val="es-ES"/>
        </w:rPr>
        <w:t xml:space="preserve"> </w:t>
      </w:r>
      <w:r w:rsidR="005A672A" w:rsidRPr="00E77F0E">
        <w:rPr>
          <w:rFonts w:ascii="Arial" w:hAnsi="Arial" w:cs="Arial"/>
          <w:lang w:val="es-ES"/>
        </w:rPr>
        <w:t>con contenidos educativos y</w:t>
      </w:r>
      <w:r w:rsidR="00D34F84" w:rsidRPr="00E77F0E">
        <w:rPr>
          <w:rFonts w:ascii="Arial" w:hAnsi="Arial" w:cs="Arial"/>
          <w:lang w:val="es-ES"/>
        </w:rPr>
        <w:t xml:space="preserve"> </w:t>
      </w:r>
      <w:r w:rsidR="008222F2" w:rsidRPr="00E77F0E">
        <w:rPr>
          <w:rFonts w:ascii="Arial" w:hAnsi="Arial" w:cs="Arial"/>
          <w:lang w:val="es-ES"/>
        </w:rPr>
        <w:t>conductuales</w:t>
      </w:r>
      <w:r w:rsidR="00D34F84" w:rsidRPr="00E77F0E">
        <w:rPr>
          <w:rFonts w:ascii="Arial" w:hAnsi="Arial" w:cs="Arial"/>
          <w:lang w:val="es-ES"/>
        </w:rPr>
        <w:t xml:space="preserve"> relacionados con el sistema de pensiones</w:t>
      </w:r>
      <w:r w:rsidR="005A672A" w:rsidRPr="00E77F0E">
        <w:rPr>
          <w:rFonts w:ascii="Arial" w:hAnsi="Arial" w:cs="Arial"/>
          <w:lang w:val="es-ES"/>
        </w:rPr>
        <w:t xml:space="preserve"> </w:t>
      </w:r>
      <w:r w:rsidR="008222F2" w:rsidRPr="00E77F0E">
        <w:rPr>
          <w:rFonts w:ascii="Arial" w:hAnsi="Arial" w:cs="Arial"/>
          <w:lang w:val="es-ES"/>
        </w:rPr>
        <w:t xml:space="preserve">a una muestra de mujeres </w:t>
      </w:r>
      <w:r w:rsidR="00145B0B" w:rsidRPr="00E77F0E">
        <w:rPr>
          <w:rFonts w:ascii="Arial" w:hAnsi="Arial" w:cs="Arial"/>
          <w:lang w:val="es-ES"/>
        </w:rPr>
        <w:t xml:space="preserve">a través </w:t>
      </w:r>
      <w:r w:rsidR="009B7A94" w:rsidRPr="00E77F0E">
        <w:rPr>
          <w:rFonts w:ascii="Arial" w:hAnsi="Arial" w:cs="Arial"/>
          <w:lang w:val="es-ES"/>
        </w:rPr>
        <w:t xml:space="preserve">de la plataforma de </w:t>
      </w:r>
      <w:r w:rsidR="0077082B" w:rsidRPr="00E77F0E">
        <w:rPr>
          <w:rFonts w:ascii="Arial" w:hAnsi="Arial" w:cs="Arial"/>
          <w:lang w:val="es-ES"/>
        </w:rPr>
        <w:t>anuncios</w:t>
      </w:r>
      <w:r w:rsidR="009B7A94" w:rsidRPr="00E77F0E">
        <w:rPr>
          <w:rFonts w:ascii="Arial" w:hAnsi="Arial" w:cs="Arial"/>
          <w:lang w:val="es-ES"/>
        </w:rPr>
        <w:t xml:space="preserve"> promocionales de la red social </w:t>
      </w:r>
      <w:r w:rsidR="00D34F84" w:rsidRPr="00E77F0E">
        <w:rPr>
          <w:rFonts w:ascii="Arial" w:hAnsi="Arial" w:cs="Arial"/>
          <w:lang w:val="es-ES"/>
        </w:rPr>
        <w:t>Facebook</w:t>
      </w:r>
      <w:r w:rsidR="0077082B" w:rsidRPr="00E77F0E">
        <w:rPr>
          <w:rFonts w:ascii="Arial" w:hAnsi="Arial" w:cs="Arial"/>
          <w:lang w:val="es-ES"/>
        </w:rPr>
        <w:t xml:space="preserve"> (“Facebook Ads”)</w:t>
      </w:r>
      <w:r w:rsidR="008222F2" w:rsidRPr="00E77F0E">
        <w:rPr>
          <w:rFonts w:ascii="Arial" w:hAnsi="Arial" w:cs="Arial"/>
          <w:lang w:val="es-ES"/>
        </w:rPr>
        <w:t>.</w:t>
      </w:r>
      <w:r w:rsidR="00D34F84" w:rsidRPr="00E77F0E">
        <w:rPr>
          <w:rFonts w:ascii="Arial" w:hAnsi="Arial" w:cs="Arial"/>
          <w:lang w:val="es-ES"/>
        </w:rPr>
        <w:t xml:space="preserve"> </w:t>
      </w:r>
      <w:r w:rsidR="007D0936" w:rsidRPr="00E77F0E">
        <w:rPr>
          <w:rFonts w:ascii="Arial" w:hAnsi="Arial" w:cs="Arial"/>
          <w:lang w:val="es-ES"/>
        </w:rPr>
        <w:t xml:space="preserve">Facebook es </w:t>
      </w:r>
      <w:r w:rsidR="00D34F84" w:rsidRPr="00E77F0E">
        <w:rPr>
          <w:rFonts w:ascii="Arial" w:hAnsi="Arial" w:cs="Arial"/>
          <w:lang w:val="es-ES"/>
        </w:rPr>
        <w:t xml:space="preserve">la red </w:t>
      </w:r>
      <w:r w:rsidR="008222F2" w:rsidRPr="00E77F0E">
        <w:rPr>
          <w:rFonts w:ascii="Arial" w:hAnsi="Arial" w:cs="Arial"/>
          <w:lang w:val="es-ES"/>
        </w:rPr>
        <w:t xml:space="preserve">social más </w:t>
      </w:r>
      <w:r w:rsidR="0098274A" w:rsidRPr="00E77F0E">
        <w:rPr>
          <w:rFonts w:ascii="Arial" w:hAnsi="Arial" w:cs="Arial"/>
          <w:lang w:val="es-ES"/>
        </w:rPr>
        <w:t>popular</w:t>
      </w:r>
      <w:r w:rsidR="008222F2" w:rsidRPr="00E77F0E">
        <w:rPr>
          <w:rFonts w:ascii="Arial" w:hAnsi="Arial" w:cs="Arial"/>
          <w:lang w:val="es-ES"/>
        </w:rPr>
        <w:t xml:space="preserve"> de Paraguay</w:t>
      </w:r>
      <w:r w:rsidR="0077082B" w:rsidRPr="00E77F0E">
        <w:rPr>
          <w:rFonts w:ascii="Arial" w:hAnsi="Arial" w:cs="Arial"/>
          <w:lang w:val="es-ES"/>
        </w:rPr>
        <w:t>, contando con 3.800.000 usuarios en el país</w:t>
      </w:r>
      <w:r w:rsidR="00264182" w:rsidRPr="00E77F0E">
        <w:rPr>
          <w:rFonts w:ascii="Arial" w:hAnsi="Arial" w:cs="Arial"/>
          <w:lang w:val="es-ES"/>
        </w:rPr>
        <w:t xml:space="preserve"> (55% de la población)</w:t>
      </w:r>
      <w:r w:rsidR="00521A74" w:rsidRPr="00E77F0E">
        <w:rPr>
          <w:rFonts w:ascii="Arial" w:hAnsi="Arial" w:cs="Arial"/>
          <w:lang w:val="es-ES"/>
        </w:rPr>
        <w:t>, de los cuales la mitad (50%) son mujeres</w:t>
      </w:r>
      <w:r w:rsidR="00852E2C" w:rsidRPr="00E77F0E">
        <w:rPr>
          <w:rStyle w:val="FootnoteReference"/>
          <w:rFonts w:ascii="Arial" w:hAnsi="Arial" w:cs="Arial"/>
          <w:lang w:val="es-ES"/>
        </w:rPr>
        <w:footnoteReference w:id="4"/>
      </w:r>
      <w:r w:rsidR="00D21FBA" w:rsidRPr="00E77F0E">
        <w:rPr>
          <w:rFonts w:ascii="Arial" w:hAnsi="Arial" w:cs="Arial"/>
          <w:vertAlign w:val="superscript"/>
          <w:lang w:val="es-ES"/>
        </w:rPr>
        <w:t>,</w:t>
      </w:r>
      <w:r w:rsidR="00D21FBA" w:rsidRPr="00E77F0E">
        <w:rPr>
          <w:rStyle w:val="FootnoteReference"/>
          <w:rFonts w:ascii="Arial" w:hAnsi="Arial" w:cs="Arial"/>
          <w:lang w:val="es-ES"/>
        </w:rPr>
        <w:footnoteReference w:id="5"/>
      </w:r>
      <w:r w:rsidR="007D0936" w:rsidRPr="00E77F0E">
        <w:rPr>
          <w:rFonts w:ascii="Arial" w:hAnsi="Arial" w:cs="Arial"/>
          <w:lang w:val="es-ES"/>
        </w:rPr>
        <w:t>.</w:t>
      </w:r>
      <w:r w:rsidR="00521A74" w:rsidRPr="00E77F0E">
        <w:rPr>
          <w:rFonts w:ascii="Arial" w:hAnsi="Arial" w:cs="Arial"/>
          <w:lang w:val="es-ES"/>
        </w:rPr>
        <w:t xml:space="preserve"> Un hecho importante es que</w:t>
      </w:r>
      <w:r w:rsidR="00BD2EE7" w:rsidRPr="00E77F0E">
        <w:rPr>
          <w:rFonts w:ascii="Arial" w:hAnsi="Arial" w:cs="Arial"/>
          <w:lang w:val="es-ES"/>
        </w:rPr>
        <w:t xml:space="preserve"> el grupo etario con mayores probabilidades para mejorar su pensión, las personas </w:t>
      </w:r>
      <w:r w:rsidR="006C5C14" w:rsidRPr="00E77F0E">
        <w:rPr>
          <w:rFonts w:ascii="Arial" w:hAnsi="Arial" w:cs="Arial"/>
          <w:lang w:val="es-ES"/>
        </w:rPr>
        <w:t xml:space="preserve">de entre 18 y 34 años de edad, representan aproximadamente </w:t>
      </w:r>
      <w:r w:rsidR="008422D2" w:rsidRPr="00E77F0E">
        <w:rPr>
          <w:rFonts w:ascii="Arial" w:hAnsi="Arial" w:cs="Arial"/>
          <w:lang w:val="es-ES"/>
        </w:rPr>
        <w:t xml:space="preserve">3/5 de </w:t>
      </w:r>
      <w:r w:rsidR="00DA4045" w:rsidRPr="00E77F0E">
        <w:rPr>
          <w:rFonts w:ascii="Arial" w:hAnsi="Arial" w:cs="Arial"/>
          <w:lang w:val="es-ES"/>
        </w:rPr>
        <w:t xml:space="preserve">los </w:t>
      </w:r>
      <w:r w:rsidR="008422D2" w:rsidRPr="00E77F0E">
        <w:rPr>
          <w:rFonts w:ascii="Arial" w:hAnsi="Arial" w:cs="Arial"/>
          <w:lang w:val="es-ES"/>
        </w:rPr>
        <w:t>usuarios</w:t>
      </w:r>
      <w:r w:rsidR="00DA4045" w:rsidRPr="00E77F0E">
        <w:rPr>
          <w:rFonts w:ascii="Arial" w:hAnsi="Arial" w:cs="Arial"/>
          <w:lang w:val="es-ES"/>
        </w:rPr>
        <w:t xml:space="preserve"> de la red en el país</w:t>
      </w:r>
      <w:r w:rsidR="008422D2" w:rsidRPr="00E77F0E">
        <w:rPr>
          <w:rFonts w:ascii="Arial" w:hAnsi="Arial" w:cs="Arial"/>
          <w:lang w:val="es-ES"/>
        </w:rPr>
        <w:t>.</w:t>
      </w:r>
    </w:p>
    <w:p w14:paraId="463C2AB5" w14:textId="59C4A36A" w:rsidR="004909E2" w:rsidRPr="00E77F0E" w:rsidRDefault="006F427F" w:rsidP="006F427F">
      <w:pPr>
        <w:jc w:val="both"/>
        <w:rPr>
          <w:rFonts w:ascii="Arial" w:hAnsi="Arial" w:cs="Arial"/>
          <w:lang w:val="es-ES"/>
        </w:rPr>
      </w:pPr>
      <w:r w:rsidRPr="00E77F0E">
        <w:rPr>
          <w:rFonts w:ascii="Arial" w:hAnsi="Arial" w:cs="Arial"/>
          <w:lang w:val="es-ES"/>
        </w:rPr>
        <w:t xml:space="preserve">Las campañas serán dirigidas a mujeres entre los 18 y 45 años, quienes son especialmente afectados por los bajos niveles de conocimiento previsional y sesgos que dificultan el ahorro para la vejez, como el sesgo hacia el presente y una menor capacidad de visualización de su vejez. </w:t>
      </w:r>
      <w:r w:rsidR="00C74C2B" w:rsidRPr="00E77F0E">
        <w:rPr>
          <w:rFonts w:ascii="Arial" w:hAnsi="Arial" w:cs="Arial"/>
          <w:lang w:val="es-ES"/>
        </w:rPr>
        <w:t xml:space="preserve">Los contenidos de los mensajes harán referencia a aspectos de planificación </w:t>
      </w:r>
      <w:r w:rsidR="0017236F" w:rsidRPr="00E77F0E">
        <w:rPr>
          <w:rFonts w:ascii="Arial" w:hAnsi="Arial" w:cs="Arial"/>
          <w:lang w:val="es-ES"/>
        </w:rPr>
        <w:t xml:space="preserve">financiera </w:t>
      </w:r>
      <w:r w:rsidR="00C74C2B" w:rsidRPr="00E77F0E">
        <w:rPr>
          <w:rFonts w:ascii="Arial" w:hAnsi="Arial" w:cs="Arial"/>
          <w:lang w:val="es-ES"/>
        </w:rPr>
        <w:t xml:space="preserve">al largo plazo </w:t>
      </w:r>
      <w:r w:rsidR="00BE701B" w:rsidRPr="00E77F0E">
        <w:rPr>
          <w:rFonts w:ascii="Arial" w:hAnsi="Arial" w:cs="Arial"/>
          <w:lang w:val="es-ES"/>
        </w:rPr>
        <w:t xml:space="preserve">que particularmente afectan a las mujeres, como las lagunas previsionales </w:t>
      </w:r>
      <w:r w:rsidR="001A655C" w:rsidRPr="00E77F0E">
        <w:rPr>
          <w:rFonts w:ascii="Arial" w:hAnsi="Arial" w:cs="Arial"/>
          <w:lang w:val="es-ES"/>
        </w:rPr>
        <w:t>debido a</w:t>
      </w:r>
      <w:r w:rsidR="0017236F" w:rsidRPr="00E77F0E">
        <w:rPr>
          <w:rFonts w:ascii="Arial" w:hAnsi="Arial" w:cs="Arial"/>
          <w:lang w:val="es-ES"/>
        </w:rPr>
        <w:t xml:space="preserve"> la maternidad que requieren mayores esfuerzos de las mujeres de cotizar voluntariamente.</w:t>
      </w:r>
      <w:r w:rsidR="001A655C" w:rsidRPr="00E77F0E">
        <w:rPr>
          <w:rFonts w:ascii="Arial" w:hAnsi="Arial" w:cs="Arial"/>
          <w:lang w:val="es-ES"/>
        </w:rPr>
        <w:t xml:space="preserve"> </w:t>
      </w:r>
    </w:p>
    <w:p w14:paraId="392A911B" w14:textId="079FEDD3" w:rsidR="004909E2" w:rsidRPr="00E77F0E" w:rsidRDefault="004909E2" w:rsidP="004909E2">
      <w:pPr>
        <w:jc w:val="both"/>
        <w:rPr>
          <w:rFonts w:ascii="Arial" w:hAnsi="Arial" w:cs="Arial"/>
          <w:lang w:val="es-ES"/>
        </w:rPr>
      </w:pPr>
      <w:r w:rsidRPr="00E77F0E">
        <w:rPr>
          <w:rFonts w:ascii="Arial" w:hAnsi="Arial" w:cs="Arial"/>
          <w:lang w:val="es-ES"/>
        </w:rPr>
        <w:lastRenderedPageBreak/>
        <w:t xml:space="preserve">Focalizar la campaña es posible gracias a que Facebook, al igual que otras plataformas de publicidad en línea, permite escoger el grupo de personas a recibir </w:t>
      </w:r>
      <w:r w:rsidR="00226EBD" w:rsidRPr="00E77F0E">
        <w:rPr>
          <w:rFonts w:ascii="Arial" w:hAnsi="Arial" w:cs="Arial"/>
          <w:lang w:val="es-ES"/>
        </w:rPr>
        <w:t xml:space="preserve">una </w:t>
      </w:r>
      <w:r w:rsidRPr="00E77F0E">
        <w:rPr>
          <w:rFonts w:ascii="Arial" w:hAnsi="Arial" w:cs="Arial"/>
          <w:lang w:val="es-ES"/>
        </w:rPr>
        <w:t xml:space="preserve">campaña de acuerdo con atributos predefinidos y mutualmente exclusivos. Estos atributos incluyen </w:t>
      </w:r>
      <w:r w:rsidR="000D5D78" w:rsidRPr="00E77F0E">
        <w:rPr>
          <w:rFonts w:ascii="Arial" w:hAnsi="Arial" w:cs="Arial"/>
          <w:lang w:val="es-ES"/>
        </w:rPr>
        <w:t xml:space="preserve">el género y la </w:t>
      </w:r>
      <w:r w:rsidRPr="00E77F0E">
        <w:rPr>
          <w:rFonts w:ascii="Arial" w:hAnsi="Arial" w:cs="Arial"/>
          <w:lang w:val="es-ES"/>
        </w:rPr>
        <w:t>ubicación del usuario y su edad. La focalización en función de características demográficas permite a investigadores realizar experimentos aleatorios controlados en la plataforma, en donde grupos de tratamiento y control se definen a través de la parametrización de dichas características.</w:t>
      </w:r>
    </w:p>
    <w:p w14:paraId="0AB64C94" w14:textId="521654B3" w:rsidR="003600CC" w:rsidRPr="00E77F0E" w:rsidRDefault="00037F84" w:rsidP="004909E2">
      <w:pPr>
        <w:jc w:val="both"/>
        <w:rPr>
          <w:rFonts w:ascii="Arial" w:hAnsi="Arial" w:cs="Arial"/>
          <w:lang w:val="es-ES"/>
        </w:rPr>
      </w:pPr>
      <w:r w:rsidRPr="00E77F0E">
        <w:rPr>
          <w:rFonts w:ascii="Arial" w:hAnsi="Arial" w:cs="Arial"/>
          <w:lang w:val="es-ES"/>
        </w:rPr>
        <w:t xml:space="preserve">Para </w:t>
      </w:r>
      <w:r w:rsidR="007E0F2A" w:rsidRPr="00E77F0E">
        <w:rPr>
          <w:rFonts w:ascii="Arial" w:hAnsi="Arial" w:cs="Arial"/>
          <w:lang w:val="es-ES"/>
        </w:rPr>
        <w:t>permitir una evaluación</w:t>
      </w:r>
      <w:r w:rsidR="008743F6" w:rsidRPr="00E77F0E">
        <w:rPr>
          <w:rFonts w:ascii="Arial" w:hAnsi="Arial" w:cs="Arial"/>
          <w:lang w:val="es-ES"/>
        </w:rPr>
        <w:t xml:space="preserve"> rigorosa</w:t>
      </w:r>
      <w:r w:rsidR="007E0F2A" w:rsidRPr="00E77F0E">
        <w:rPr>
          <w:rFonts w:ascii="Arial" w:hAnsi="Arial" w:cs="Arial"/>
          <w:lang w:val="es-ES"/>
        </w:rPr>
        <w:t xml:space="preserve"> del impacto </w:t>
      </w:r>
      <w:r w:rsidR="00055E82" w:rsidRPr="00E77F0E">
        <w:rPr>
          <w:rFonts w:ascii="Arial" w:hAnsi="Arial" w:cs="Arial"/>
          <w:lang w:val="es-ES"/>
        </w:rPr>
        <w:t xml:space="preserve">de las campañas se </w:t>
      </w:r>
      <w:r w:rsidR="00876816" w:rsidRPr="00E77F0E">
        <w:rPr>
          <w:rFonts w:ascii="Arial" w:hAnsi="Arial" w:cs="Arial"/>
          <w:lang w:val="es-ES"/>
        </w:rPr>
        <w:t>asignarán</w:t>
      </w:r>
      <w:r w:rsidR="00AA5E58" w:rsidRPr="00E77F0E">
        <w:rPr>
          <w:rFonts w:ascii="Arial" w:hAnsi="Arial" w:cs="Arial"/>
          <w:lang w:val="es-ES"/>
        </w:rPr>
        <w:t xml:space="preserve"> el mayor número de municipios (max. 255) del país</w:t>
      </w:r>
      <w:r w:rsidR="00876816" w:rsidRPr="00E77F0E">
        <w:rPr>
          <w:rFonts w:ascii="Arial" w:hAnsi="Arial" w:cs="Arial"/>
          <w:lang w:val="es-ES"/>
        </w:rPr>
        <w:t xml:space="preserve"> posible de manera</w:t>
      </w:r>
      <w:r w:rsidR="00AA5E58" w:rsidRPr="00E77F0E">
        <w:rPr>
          <w:rFonts w:ascii="Arial" w:hAnsi="Arial" w:cs="Arial"/>
          <w:lang w:val="es-ES"/>
        </w:rPr>
        <w:t xml:space="preserve"> aleatoria a grupos de control o tratamiento. Estos </w:t>
      </w:r>
      <w:r w:rsidR="003600CC" w:rsidRPr="00E77F0E">
        <w:rPr>
          <w:rFonts w:ascii="Arial" w:hAnsi="Arial" w:cs="Arial"/>
          <w:lang w:val="es-ES"/>
        </w:rPr>
        <w:t xml:space="preserve">grupos de control y tratamiento </w:t>
      </w:r>
      <w:r w:rsidR="00AA5E58" w:rsidRPr="00E77F0E">
        <w:rPr>
          <w:rFonts w:ascii="Arial" w:hAnsi="Arial" w:cs="Arial"/>
          <w:lang w:val="es-ES"/>
        </w:rPr>
        <w:t xml:space="preserve">serán </w:t>
      </w:r>
      <w:r w:rsidR="003600CC" w:rsidRPr="00E77F0E">
        <w:rPr>
          <w:rFonts w:ascii="Arial" w:hAnsi="Arial" w:cs="Arial"/>
          <w:lang w:val="es-ES"/>
        </w:rPr>
        <w:t xml:space="preserve">seleccionados de tal manera que, en promedio, son estadísticamente similares con respecto a importantes variables determinantes </w:t>
      </w:r>
      <w:r w:rsidR="008B3CD5" w:rsidRPr="00E77F0E">
        <w:rPr>
          <w:rFonts w:ascii="Arial" w:hAnsi="Arial" w:cs="Arial"/>
          <w:lang w:val="es-ES"/>
        </w:rPr>
        <w:t>del conocimiento previsionales</w:t>
      </w:r>
      <w:r w:rsidR="003600CC" w:rsidRPr="00E77F0E">
        <w:rPr>
          <w:rFonts w:ascii="Arial" w:hAnsi="Arial" w:cs="Arial"/>
          <w:lang w:val="es-ES"/>
        </w:rPr>
        <w:t xml:space="preserve"> y variables relacionadas al acceso </w:t>
      </w:r>
      <w:r w:rsidR="008B3CD5" w:rsidRPr="00E77F0E">
        <w:rPr>
          <w:rFonts w:ascii="Arial" w:hAnsi="Arial" w:cs="Arial"/>
          <w:lang w:val="es-ES"/>
        </w:rPr>
        <w:t>sistemas de pensiones formales</w:t>
      </w:r>
      <w:r w:rsidR="003600CC" w:rsidRPr="00E77F0E">
        <w:rPr>
          <w:rFonts w:ascii="Arial" w:hAnsi="Arial" w:cs="Arial"/>
          <w:lang w:val="es-ES"/>
        </w:rPr>
        <w:t>.</w:t>
      </w:r>
      <w:r w:rsidR="00CA1ADD" w:rsidRPr="00E77F0E">
        <w:rPr>
          <w:rFonts w:ascii="Arial" w:hAnsi="Arial" w:cs="Arial"/>
          <w:lang w:val="es-ES"/>
        </w:rPr>
        <w:t xml:space="preserve"> Luego, se enviarán </w:t>
      </w:r>
      <w:r w:rsidR="00672DA7" w:rsidRPr="00E77F0E">
        <w:rPr>
          <w:rFonts w:ascii="Arial" w:hAnsi="Arial" w:cs="Arial"/>
          <w:lang w:val="es-ES"/>
        </w:rPr>
        <w:t>mensajes promocionales de Facebook solamente a mujeres en el grupo de</w:t>
      </w:r>
      <w:r w:rsidR="00A74918" w:rsidRPr="00E77F0E">
        <w:rPr>
          <w:rFonts w:ascii="Arial" w:hAnsi="Arial" w:cs="Arial"/>
          <w:lang w:val="es-ES"/>
        </w:rPr>
        <w:t xml:space="preserve"> municipios de</w:t>
      </w:r>
      <w:r w:rsidR="00672DA7" w:rsidRPr="00E77F0E">
        <w:rPr>
          <w:rFonts w:ascii="Arial" w:hAnsi="Arial" w:cs="Arial"/>
          <w:lang w:val="es-ES"/>
        </w:rPr>
        <w:t xml:space="preserve"> tratamiento</w:t>
      </w:r>
      <w:r w:rsidR="00A74918" w:rsidRPr="00E77F0E">
        <w:rPr>
          <w:rFonts w:ascii="Arial" w:hAnsi="Arial" w:cs="Arial"/>
          <w:lang w:val="es-ES"/>
        </w:rPr>
        <w:t xml:space="preserve">, después comparando los resultados en la variable de impacto </w:t>
      </w:r>
      <w:r w:rsidR="00C23A40" w:rsidRPr="00E77F0E">
        <w:rPr>
          <w:rFonts w:ascii="Arial" w:hAnsi="Arial" w:cs="Arial"/>
          <w:lang w:val="es-ES"/>
        </w:rPr>
        <w:t>de</w:t>
      </w:r>
      <w:r w:rsidR="00A74918" w:rsidRPr="00E77F0E">
        <w:rPr>
          <w:rFonts w:ascii="Arial" w:hAnsi="Arial" w:cs="Arial"/>
          <w:lang w:val="es-ES"/>
        </w:rPr>
        <w:t xml:space="preserve"> mujeres viviendo en municipios incluidos en el grupo de tratamiento (que sí recibieron los mensajes) </w:t>
      </w:r>
      <w:r w:rsidR="00C23A40" w:rsidRPr="00E77F0E">
        <w:rPr>
          <w:rFonts w:ascii="Arial" w:hAnsi="Arial" w:cs="Arial"/>
          <w:lang w:val="es-ES"/>
        </w:rPr>
        <w:t>con los de</w:t>
      </w:r>
      <w:r w:rsidR="007B6A33" w:rsidRPr="00E77F0E">
        <w:rPr>
          <w:rFonts w:ascii="Arial" w:hAnsi="Arial" w:cs="Arial"/>
          <w:lang w:val="es-ES"/>
        </w:rPr>
        <w:t xml:space="preserve"> m</w:t>
      </w:r>
      <w:r w:rsidR="0046687A" w:rsidRPr="00E77F0E">
        <w:rPr>
          <w:rFonts w:ascii="Arial" w:hAnsi="Arial" w:cs="Arial"/>
          <w:lang w:val="es-ES"/>
        </w:rPr>
        <w:t xml:space="preserve">ujeres viviendo en municipios del grupo de control (que no recibieron los mensajes). </w:t>
      </w:r>
    </w:p>
    <w:p w14:paraId="01458410" w14:textId="468715B2" w:rsidR="00876816" w:rsidRPr="00E77F0E" w:rsidRDefault="0046687A" w:rsidP="004909E2">
      <w:pPr>
        <w:jc w:val="both"/>
        <w:rPr>
          <w:rFonts w:ascii="Arial" w:hAnsi="Arial" w:cs="Arial"/>
          <w:lang w:val="es-ES"/>
        </w:rPr>
      </w:pPr>
      <w:r w:rsidRPr="00E77F0E">
        <w:rPr>
          <w:rFonts w:ascii="Arial" w:hAnsi="Arial" w:cs="Arial"/>
          <w:lang w:val="es-ES"/>
        </w:rPr>
        <w:t xml:space="preserve">Para medir el impacto de las campañas, se </w:t>
      </w:r>
      <w:r w:rsidR="00E91821" w:rsidRPr="00E77F0E">
        <w:rPr>
          <w:rFonts w:ascii="Arial" w:hAnsi="Arial" w:cs="Arial"/>
          <w:lang w:val="es-ES"/>
        </w:rPr>
        <w:t>aplicar</w:t>
      </w:r>
      <w:r w:rsidR="00C23A40" w:rsidRPr="00E77F0E">
        <w:rPr>
          <w:rFonts w:ascii="Arial" w:hAnsi="Arial" w:cs="Arial"/>
          <w:lang w:val="es-ES"/>
        </w:rPr>
        <w:t>á</w:t>
      </w:r>
      <w:r w:rsidR="00E91821" w:rsidRPr="00E77F0E">
        <w:rPr>
          <w:rFonts w:ascii="Arial" w:hAnsi="Arial" w:cs="Arial"/>
          <w:lang w:val="es-ES"/>
        </w:rPr>
        <w:t xml:space="preserve"> una encuesta sobre conceptos previsionales básicos y hechos importantes del sistema de pensiones de Paraguay en todos los municipios incluidos en el piloto (grupo de tratamiento y control)</w:t>
      </w:r>
      <w:r w:rsidR="004D1294" w:rsidRPr="00E77F0E">
        <w:rPr>
          <w:rFonts w:ascii="Arial" w:hAnsi="Arial" w:cs="Arial"/>
          <w:lang w:val="es-ES"/>
        </w:rPr>
        <w:t xml:space="preserve"> antes y después del piloto.</w:t>
      </w:r>
      <w:r w:rsidR="00BA0985" w:rsidRPr="00E77F0E">
        <w:rPr>
          <w:rFonts w:ascii="Arial" w:hAnsi="Arial" w:cs="Arial"/>
          <w:lang w:val="es-ES"/>
        </w:rPr>
        <w:t xml:space="preserve"> La encuesta será enviada a usuarios a través de Facebook Ads, dirigiendo a las personas a la encuesta </w:t>
      </w:r>
      <w:r w:rsidR="004E3A31" w:rsidRPr="00E77F0E">
        <w:rPr>
          <w:rFonts w:ascii="Arial" w:hAnsi="Arial" w:cs="Arial"/>
          <w:lang w:val="es-ES"/>
        </w:rPr>
        <w:t>al hacer clic en la campaña.</w:t>
      </w:r>
    </w:p>
    <w:sectPr w:rsidR="00876816" w:rsidRPr="00E77F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AF9E4" w14:textId="77777777" w:rsidR="00980FCB" w:rsidRDefault="00980FCB" w:rsidP="007D58DE">
      <w:pPr>
        <w:spacing w:after="0" w:line="240" w:lineRule="auto"/>
      </w:pPr>
      <w:r>
        <w:separator/>
      </w:r>
    </w:p>
  </w:endnote>
  <w:endnote w:type="continuationSeparator" w:id="0">
    <w:p w14:paraId="323BEDA2" w14:textId="77777777" w:rsidR="00980FCB" w:rsidRDefault="00980FCB" w:rsidP="007D58DE">
      <w:pPr>
        <w:spacing w:after="0" w:line="240" w:lineRule="auto"/>
      </w:pPr>
      <w:r>
        <w:continuationSeparator/>
      </w:r>
    </w:p>
  </w:endnote>
  <w:endnote w:type="continuationNotice" w:id="1">
    <w:p w14:paraId="7995AD8F" w14:textId="77777777" w:rsidR="00980FCB" w:rsidRDefault="00980F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A8AA6" w14:textId="77777777" w:rsidR="00980FCB" w:rsidRDefault="00980FCB" w:rsidP="007D58DE">
      <w:pPr>
        <w:spacing w:after="0" w:line="240" w:lineRule="auto"/>
      </w:pPr>
      <w:r>
        <w:separator/>
      </w:r>
    </w:p>
  </w:footnote>
  <w:footnote w:type="continuationSeparator" w:id="0">
    <w:p w14:paraId="20F153A6" w14:textId="77777777" w:rsidR="00980FCB" w:rsidRDefault="00980FCB" w:rsidP="007D58DE">
      <w:pPr>
        <w:spacing w:after="0" w:line="240" w:lineRule="auto"/>
      </w:pPr>
      <w:r>
        <w:continuationSeparator/>
      </w:r>
    </w:p>
  </w:footnote>
  <w:footnote w:type="continuationNotice" w:id="1">
    <w:p w14:paraId="04668E2A" w14:textId="77777777" w:rsidR="00980FCB" w:rsidRDefault="00980FCB">
      <w:pPr>
        <w:spacing w:after="0" w:line="240" w:lineRule="auto"/>
      </w:pPr>
    </w:p>
  </w:footnote>
  <w:footnote w:id="2">
    <w:p w14:paraId="14EC0AA4" w14:textId="0B12E4F3" w:rsidR="00804237" w:rsidRPr="00D21FBA" w:rsidRDefault="00804237" w:rsidP="00804237">
      <w:pPr>
        <w:pStyle w:val="FootnoteText"/>
        <w:rPr>
          <w:rFonts w:ascii="Arial" w:hAnsi="Arial" w:cs="Arial"/>
          <w:sz w:val="18"/>
          <w:szCs w:val="18"/>
          <w:lang w:val="es-CL"/>
        </w:rPr>
      </w:pPr>
      <w:r w:rsidRPr="00D21FBA">
        <w:rPr>
          <w:rStyle w:val="FootnoteReference"/>
          <w:rFonts w:ascii="Arial" w:hAnsi="Arial" w:cs="Arial"/>
          <w:sz w:val="18"/>
          <w:szCs w:val="18"/>
          <w:lang w:val="es-ES"/>
        </w:rPr>
        <w:t>1</w:t>
      </w:r>
      <w:r w:rsidRPr="00D21FBA">
        <w:rPr>
          <w:rFonts w:ascii="Arial" w:hAnsi="Arial" w:cs="Arial"/>
          <w:sz w:val="18"/>
          <w:szCs w:val="18"/>
          <w:lang w:val="es-ES"/>
        </w:rPr>
        <w:t xml:space="preserve"> </w:t>
      </w:r>
      <w:r w:rsidRPr="00D21FBA">
        <w:rPr>
          <w:rFonts w:ascii="Arial" w:hAnsi="Arial" w:cs="Arial"/>
          <w:sz w:val="18"/>
          <w:szCs w:val="18"/>
          <w:lang w:val="es-ES_tradnl"/>
        </w:rPr>
        <w:t>Fajnzylber y Repetto, 2019</w:t>
      </w:r>
      <w:r w:rsidR="008E0082">
        <w:rPr>
          <w:rFonts w:ascii="Arial" w:hAnsi="Arial" w:cs="Arial"/>
          <w:sz w:val="18"/>
          <w:szCs w:val="18"/>
          <w:lang w:val="es-ES_tradnl"/>
        </w:rPr>
        <w:t>.</w:t>
      </w:r>
    </w:p>
  </w:footnote>
  <w:footnote w:id="3">
    <w:p w14:paraId="126617A2" w14:textId="28691E41" w:rsidR="002E7E4D" w:rsidRPr="00D21FBA" w:rsidRDefault="002E7E4D" w:rsidP="008E0082">
      <w:pPr>
        <w:pStyle w:val="FootnoteText"/>
        <w:ind w:left="90" w:hanging="90"/>
        <w:jc w:val="both"/>
        <w:rPr>
          <w:rFonts w:ascii="Arial" w:hAnsi="Arial" w:cs="Arial"/>
          <w:sz w:val="18"/>
          <w:szCs w:val="18"/>
          <w:lang w:val="es-ES"/>
        </w:rPr>
      </w:pPr>
      <w:r w:rsidRPr="00D21FBA">
        <w:rPr>
          <w:rStyle w:val="FootnoteReference"/>
          <w:rFonts w:ascii="Arial" w:hAnsi="Arial" w:cs="Arial"/>
          <w:sz w:val="18"/>
          <w:szCs w:val="18"/>
        </w:rPr>
        <w:footnoteRef/>
      </w:r>
      <w:r w:rsidRPr="00D21FBA">
        <w:rPr>
          <w:rFonts w:ascii="Arial" w:hAnsi="Arial" w:cs="Arial"/>
          <w:sz w:val="18"/>
          <w:szCs w:val="18"/>
          <w:lang w:val="es-ES"/>
        </w:rPr>
        <w:t xml:space="preserve"> En un diseño de investigación experimental, también conocido comúnmente como ensayo controlado aleatorio (RCT, por sus siglas en inglés), una muestra de unidades de observación (individuos, empresas, etc.) se asigna aleatoriamente a dos grupos: un grupo de tratamiento que recibe una intervención y un grupo de control que no la recibe. Debido a que los dos grupos son estadísticamente equivalentes, los investigadores pueden comparar los resultados, como los montos de los depósitos, y estar seguros de que cualquier diferencia entre estos grupos se debe a la intervención en sí misma. En otras palabras, los investigadores pueden identificar el impacto causal de la intervención.</w:t>
      </w:r>
    </w:p>
  </w:footnote>
  <w:footnote w:id="4">
    <w:p w14:paraId="1CCA6128" w14:textId="0E567B0B" w:rsidR="00852E2C" w:rsidRPr="002D4A09" w:rsidRDefault="00852E2C" w:rsidP="002D4A09">
      <w:pPr>
        <w:pStyle w:val="FootnoteText"/>
        <w:jc w:val="both"/>
        <w:rPr>
          <w:rFonts w:ascii="Arial" w:hAnsi="Arial" w:cs="Arial"/>
          <w:sz w:val="18"/>
          <w:szCs w:val="18"/>
          <w:lang w:val="es-ES"/>
        </w:rPr>
      </w:pPr>
      <w:r w:rsidRPr="002D4A09">
        <w:rPr>
          <w:rStyle w:val="FootnoteReference"/>
          <w:rFonts w:ascii="Arial" w:hAnsi="Arial" w:cs="Arial"/>
          <w:sz w:val="18"/>
          <w:szCs w:val="18"/>
        </w:rPr>
        <w:footnoteRef/>
      </w:r>
      <w:r w:rsidRPr="002D4A09">
        <w:rPr>
          <w:rFonts w:ascii="Arial" w:hAnsi="Arial" w:cs="Arial"/>
          <w:sz w:val="18"/>
          <w:szCs w:val="18"/>
          <w:lang w:val="es-ES"/>
        </w:rPr>
        <w:t xml:space="preserve"> </w:t>
      </w:r>
      <w:hyperlink r:id="rId1" w:history="1">
        <w:r w:rsidRPr="002D4A09">
          <w:rPr>
            <w:rStyle w:val="Hyperlink"/>
            <w:rFonts w:ascii="Arial" w:hAnsi="Arial" w:cs="Arial"/>
            <w:sz w:val="18"/>
            <w:szCs w:val="18"/>
            <w:lang w:val="es-ES"/>
          </w:rPr>
          <w:t>https://www.latamclick.com/estadisticas-de-las-redes-sociales-en-paraguay-2019/</w:t>
        </w:r>
      </w:hyperlink>
    </w:p>
  </w:footnote>
  <w:footnote w:id="5">
    <w:p w14:paraId="58F1F010" w14:textId="2C71B73B" w:rsidR="00D21FBA" w:rsidRPr="00D21FBA" w:rsidRDefault="00D21FBA" w:rsidP="002D4A09">
      <w:pPr>
        <w:pStyle w:val="FootnoteText"/>
        <w:jc w:val="both"/>
        <w:rPr>
          <w:rFonts w:ascii="Arial" w:hAnsi="Arial" w:cs="Arial"/>
          <w:sz w:val="18"/>
          <w:szCs w:val="18"/>
          <w:lang w:val="es-ES"/>
        </w:rPr>
      </w:pPr>
      <w:r w:rsidRPr="002D4A09">
        <w:rPr>
          <w:rStyle w:val="FootnoteReference"/>
          <w:rFonts w:ascii="Arial" w:hAnsi="Arial" w:cs="Arial"/>
          <w:sz w:val="18"/>
          <w:szCs w:val="18"/>
        </w:rPr>
        <w:footnoteRef/>
      </w:r>
      <w:r w:rsidRPr="002D4A09">
        <w:rPr>
          <w:rFonts w:ascii="Arial" w:hAnsi="Arial" w:cs="Arial"/>
          <w:sz w:val="18"/>
          <w:szCs w:val="18"/>
          <w:lang w:val="es-ES"/>
        </w:rPr>
        <w:t xml:space="preserve"> Whitaker et al. (2017) concluyen que Facebook es una herramienta muy útil para involucrar a las poblaciones "difíciles de alcanzar". También encuentran que Facebook es más efectivo que otras plataformas de redes sociales como Twitter y Myspace.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E0CC6"/>
    <w:multiLevelType w:val="hybridMultilevel"/>
    <w:tmpl w:val="6FC0A21E"/>
    <w:lvl w:ilvl="0" w:tplc="1CA8A24A">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0065BB"/>
    <w:multiLevelType w:val="hybridMultilevel"/>
    <w:tmpl w:val="9B42A55A"/>
    <w:lvl w:ilvl="0" w:tplc="7C428394">
      <w:start w:val="1"/>
      <w:numFmt w:val="decimal"/>
      <w:lvlText w:val="%1."/>
      <w:lvlJc w:val="left"/>
      <w:pPr>
        <w:ind w:left="1080" w:hanging="720"/>
      </w:pPr>
      <w:rPr>
        <w:rFonts w:hint="default"/>
      </w:rPr>
    </w:lvl>
    <w:lvl w:ilvl="1" w:tplc="E7B239A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ED334D"/>
    <w:multiLevelType w:val="hybridMultilevel"/>
    <w:tmpl w:val="B7D4B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C45B1F"/>
    <w:multiLevelType w:val="hybridMultilevel"/>
    <w:tmpl w:val="B1A48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403"/>
    <w:rsid w:val="0002141E"/>
    <w:rsid w:val="00026C62"/>
    <w:rsid w:val="00026E8C"/>
    <w:rsid w:val="00037F84"/>
    <w:rsid w:val="0004385E"/>
    <w:rsid w:val="00050B04"/>
    <w:rsid w:val="000521AA"/>
    <w:rsid w:val="00052F3D"/>
    <w:rsid w:val="00054425"/>
    <w:rsid w:val="00055E82"/>
    <w:rsid w:val="000719DF"/>
    <w:rsid w:val="0007591E"/>
    <w:rsid w:val="00085C6C"/>
    <w:rsid w:val="00091865"/>
    <w:rsid w:val="00092D8C"/>
    <w:rsid w:val="00094B4D"/>
    <w:rsid w:val="000A1C94"/>
    <w:rsid w:val="000A3180"/>
    <w:rsid w:val="000B3347"/>
    <w:rsid w:val="000B42C1"/>
    <w:rsid w:val="000B6AEA"/>
    <w:rsid w:val="000C4693"/>
    <w:rsid w:val="000C5B31"/>
    <w:rsid w:val="000C5D90"/>
    <w:rsid w:val="000D25C8"/>
    <w:rsid w:val="000D5D78"/>
    <w:rsid w:val="000E0A0E"/>
    <w:rsid w:val="000E381F"/>
    <w:rsid w:val="000F2114"/>
    <w:rsid w:val="00106C9C"/>
    <w:rsid w:val="00111137"/>
    <w:rsid w:val="0013256B"/>
    <w:rsid w:val="001359CD"/>
    <w:rsid w:val="00145B0B"/>
    <w:rsid w:val="00152E63"/>
    <w:rsid w:val="00152FB5"/>
    <w:rsid w:val="00162D3C"/>
    <w:rsid w:val="0017236F"/>
    <w:rsid w:val="00173BC3"/>
    <w:rsid w:val="001823B7"/>
    <w:rsid w:val="0019171A"/>
    <w:rsid w:val="00192C26"/>
    <w:rsid w:val="001A02B5"/>
    <w:rsid w:val="001A655C"/>
    <w:rsid w:val="001A6B26"/>
    <w:rsid w:val="001B52A3"/>
    <w:rsid w:val="001C4B51"/>
    <w:rsid w:val="001D2A6A"/>
    <w:rsid w:val="00200A2E"/>
    <w:rsid w:val="00200FAD"/>
    <w:rsid w:val="002012F9"/>
    <w:rsid w:val="00201C8B"/>
    <w:rsid w:val="0020398B"/>
    <w:rsid w:val="00204889"/>
    <w:rsid w:val="002051EA"/>
    <w:rsid w:val="002239F2"/>
    <w:rsid w:val="00226EBD"/>
    <w:rsid w:val="00230532"/>
    <w:rsid w:val="00231804"/>
    <w:rsid w:val="002326B1"/>
    <w:rsid w:val="00243106"/>
    <w:rsid w:val="002551DD"/>
    <w:rsid w:val="00264182"/>
    <w:rsid w:val="00264988"/>
    <w:rsid w:val="00276027"/>
    <w:rsid w:val="002761F9"/>
    <w:rsid w:val="002809CA"/>
    <w:rsid w:val="00282503"/>
    <w:rsid w:val="00294A5F"/>
    <w:rsid w:val="00297571"/>
    <w:rsid w:val="002A05F0"/>
    <w:rsid w:val="002B3DF2"/>
    <w:rsid w:val="002B7AA7"/>
    <w:rsid w:val="002D4A09"/>
    <w:rsid w:val="002D79A0"/>
    <w:rsid w:val="002E7E4D"/>
    <w:rsid w:val="002F4517"/>
    <w:rsid w:val="00312EB1"/>
    <w:rsid w:val="00321D4A"/>
    <w:rsid w:val="00324A47"/>
    <w:rsid w:val="003600CC"/>
    <w:rsid w:val="00362410"/>
    <w:rsid w:val="003642EB"/>
    <w:rsid w:val="00364A47"/>
    <w:rsid w:val="0037491D"/>
    <w:rsid w:val="00375385"/>
    <w:rsid w:val="003757A2"/>
    <w:rsid w:val="0038190B"/>
    <w:rsid w:val="00387021"/>
    <w:rsid w:val="00391192"/>
    <w:rsid w:val="00396360"/>
    <w:rsid w:val="003A4F9F"/>
    <w:rsid w:val="003A67D4"/>
    <w:rsid w:val="003A7B9B"/>
    <w:rsid w:val="003B1847"/>
    <w:rsid w:val="003B55AD"/>
    <w:rsid w:val="003B5E23"/>
    <w:rsid w:val="003B7330"/>
    <w:rsid w:val="003D4C60"/>
    <w:rsid w:val="003D66D8"/>
    <w:rsid w:val="003F1734"/>
    <w:rsid w:val="003F3815"/>
    <w:rsid w:val="003F53FE"/>
    <w:rsid w:val="00400750"/>
    <w:rsid w:val="00404399"/>
    <w:rsid w:val="00434C66"/>
    <w:rsid w:val="00436200"/>
    <w:rsid w:val="00446249"/>
    <w:rsid w:val="004543EC"/>
    <w:rsid w:val="00460E13"/>
    <w:rsid w:val="0046449E"/>
    <w:rsid w:val="0046548F"/>
    <w:rsid w:val="00466651"/>
    <w:rsid w:val="0046687A"/>
    <w:rsid w:val="004761F5"/>
    <w:rsid w:val="004802AD"/>
    <w:rsid w:val="00486A9C"/>
    <w:rsid w:val="0048729F"/>
    <w:rsid w:val="004909E2"/>
    <w:rsid w:val="00496379"/>
    <w:rsid w:val="004A0B61"/>
    <w:rsid w:val="004A27B7"/>
    <w:rsid w:val="004A3177"/>
    <w:rsid w:val="004B09F8"/>
    <w:rsid w:val="004B5711"/>
    <w:rsid w:val="004B587A"/>
    <w:rsid w:val="004B5DF5"/>
    <w:rsid w:val="004B7253"/>
    <w:rsid w:val="004C0086"/>
    <w:rsid w:val="004C1DD3"/>
    <w:rsid w:val="004C3C33"/>
    <w:rsid w:val="004C6D41"/>
    <w:rsid w:val="004D1294"/>
    <w:rsid w:val="004E3A31"/>
    <w:rsid w:val="004F5F5C"/>
    <w:rsid w:val="00513E60"/>
    <w:rsid w:val="005140E1"/>
    <w:rsid w:val="005211C8"/>
    <w:rsid w:val="00521A74"/>
    <w:rsid w:val="005318F8"/>
    <w:rsid w:val="00537455"/>
    <w:rsid w:val="00552DCE"/>
    <w:rsid w:val="0055460C"/>
    <w:rsid w:val="005564F7"/>
    <w:rsid w:val="00557A60"/>
    <w:rsid w:val="00563FA1"/>
    <w:rsid w:val="00565E92"/>
    <w:rsid w:val="005666EA"/>
    <w:rsid w:val="00576F77"/>
    <w:rsid w:val="00585622"/>
    <w:rsid w:val="005908CE"/>
    <w:rsid w:val="00593F7A"/>
    <w:rsid w:val="005A0EFD"/>
    <w:rsid w:val="005A672A"/>
    <w:rsid w:val="005B4818"/>
    <w:rsid w:val="005C360D"/>
    <w:rsid w:val="005C583C"/>
    <w:rsid w:val="005D0B00"/>
    <w:rsid w:val="005E06BD"/>
    <w:rsid w:val="005F1662"/>
    <w:rsid w:val="005F1A28"/>
    <w:rsid w:val="005F5565"/>
    <w:rsid w:val="005F63AE"/>
    <w:rsid w:val="00603186"/>
    <w:rsid w:val="00603AE6"/>
    <w:rsid w:val="00605FD9"/>
    <w:rsid w:val="0061162A"/>
    <w:rsid w:val="006165F6"/>
    <w:rsid w:val="006231A7"/>
    <w:rsid w:val="00623F4C"/>
    <w:rsid w:val="0063503A"/>
    <w:rsid w:val="00635C50"/>
    <w:rsid w:val="00664049"/>
    <w:rsid w:val="00665288"/>
    <w:rsid w:val="00667ECA"/>
    <w:rsid w:val="00672DA7"/>
    <w:rsid w:val="006809E5"/>
    <w:rsid w:val="00684104"/>
    <w:rsid w:val="00686B72"/>
    <w:rsid w:val="0068790A"/>
    <w:rsid w:val="006A0E15"/>
    <w:rsid w:val="006A1641"/>
    <w:rsid w:val="006A2032"/>
    <w:rsid w:val="006A692D"/>
    <w:rsid w:val="006B2C41"/>
    <w:rsid w:val="006C2BD6"/>
    <w:rsid w:val="006C5775"/>
    <w:rsid w:val="006C5C14"/>
    <w:rsid w:val="006F149F"/>
    <w:rsid w:val="006F3459"/>
    <w:rsid w:val="006F3BD8"/>
    <w:rsid w:val="006F3D32"/>
    <w:rsid w:val="006F427F"/>
    <w:rsid w:val="006F5CF3"/>
    <w:rsid w:val="00700FF8"/>
    <w:rsid w:val="007043F5"/>
    <w:rsid w:val="00711F5F"/>
    <w:rsid w:val="007167C5"/>
    <w:rsid w:val="00723BE3"/>
    <w:rsid w:val="00724677"/>
    <w:rsid w:val="007355F5"/>
    <w:rsid w:val="00750E88"/>
    <w:rsid w:val="00755C59"/>
    <w:rsid w:val="0076002A"/>
    <w:rsid w:val="00770609"/>
    <w:rsid w:val="0077082B"/>
    <w:rsid w:val="0077117B"/>
    <w:rsid w:val="00773817"/>
    <w:rsid w:val="00775F41"/>
    <w:rsid w:val="00790FFE"/>
    <w:rsid w:val="00792A35"/>
    <w:rsid w:val="0079508D"/>
    <w:rsid w:val="007A2E14"/>
    <w:rsid w:val="007B0ECC"/>
    <w:rsid w:val="007B2FDF"/>
    <w:rsid w:val="007B6A33"/>
    <w:rsid w:val="007C2A82"/>
    <w:rsid w:val="007D0936"/>
    <w:rsid w:val="007D58DE"/>
    <w:rsid w:val="007E0F2A"/>
    <w:rsid w:val="007E34FC"/>
    <w:rsid w:val="007F6403"/>
    <w:rsid w:val="007F6B4A"/>
    <w:rsid w:val="00804237"/>
    <w:rsid w:val="00806597"/>
    <w:rsid w:val="00815E73"/>
    <w:rsid w:val="008168D5"/>
    <w:rsid w:val="00816DB4"/>
    <w:rsid w:val="0082009D"/>
    <w:rsid w:val="008222F2"/>
    <w:rsid w:val="00834EBD"/>
    <w:rsid w:val="008422D2"/>
    <w:rsid w:val="00845DFC"/>
    <w:rsid w:val="00852E2C"/>
    <w:rsid w:val="0086659F"/>
    <w:rsid w:val="008708B2"/>
    <w:rsid w:val="00871E72"/>
    <w:rsid w:val="00872EBC"/>
    <w:rsid w:val="00873A5C"/>
    <w:rsid w:val="008743F6"/>
    <w:rsid w:val="00876816"/>
    <w:rsid w:val="00883FFE"/>
    <w:rsid w:val="0088551C"/>
    <w:rsid w:val="00887088"/>
    <w:rsid w:val="008A066E"/>
    <w:rsid w:val="008A2288"/>
    <w:rsid w:val="008A4B43"/>
    <w:rsid w:val="008A59AB"/>
    <w:rsid w:val="008B04A6"/>
    <w:rsid w:val="008B3CD5"/>
    <w:rsid w:val="008C06B5"/>
    <w:rsid w:val="008C0F21"/>
    <w:rsid w:val="008D6098"/>
    <w:rsid w:val="008E0082"/>
    <w:rsid w:val="008E201F"/>
    <w:rsid w:val="008E2232"/>
    <w:rsid w:val="008E3A30"/>
    <w:rsid w:val="008F55F4"/>
    <w:rsid w:val="009034AB"/>
    <w:rsid w:val="00912515"/>
    <w:rsid w:val="00926456"/>
    <w:rsid w:val="00933B2D"/>
    <w:rsid w:val="00943090"/>
    <w:rsid w:val="00947624"/>
    <w:rsid w:val="00953754"/>
    <w:rsid w:val="00960974"/>
    <w:rsid w:val="00960A7F"/>
    <w:rsid w:val="0096563D"/>
    <w:rsid w:val="00971CBD"/>
    <w:rsid w:val="0097669A"/>
    <w:rsid w:val="00977B42"/>
    <w:rsid w:val="00980A1F"/>
    <w:rsid w:val="00980FCB"/>
    <w:rsid w:val="009819B1"/>
    <w:rsid w:val="0098274A"/>
    <w:rsid w:val="00985360"/>
    <w:rsid w:val="00994E66"/>
    <w:rsid w:val="009A26F0"/>
    <w:rsid w:val="009B1ECB"/>
    <w:rsid w:val="009B7A94"/>
    <w:rsid w:val="009B7B06"/>
    <w:rsid w:val="009C2EA3"/>
    <w:rsid w:val="009D7EB8"/>
    <w:rsid w:val="009E57F3"/>
    <w:rsid w:val="009E6ECB"/>
    <w:rsid w:val="00A03AD0"/>
    <w:rsid w:val="00A04E52"/>
    <w:rsid w:val="00A058C0"/>
    <w:rsid w:val="00A207C2"/>
    <w:rsid w:val="00A2374D"/>
    <w:rsid w:val="00A24B2C"/>
    <w:rsid w:val="00A3580C"/>
    <w:rsid w:val="00A40C40"/>
    <w:rsid w:val="00A45899"/>
    <w:rsid w:val="00A523DD"/>
    <w:rsid w:val="00A546FE"/>
    <w:rsid w:val="00A57195"/>
    <w:rsid w:val="00A73388"/>
    <w:rsid w:val="00A73C04"/>
    <w:rsid w:val="00A74918"/>
    <w:rsid w:val="00A7591D"/>
    <w:rsid w:val="00A76982"/>
    <w:rsid w:val="00A81147"/>
    <w:rsid w:val="00A818F0"/>
    <w:rsid w:val="00A81C6F"/>
    <w:rsid w:val="00A86EE2"/>
    <w:rsid w:val="00AA5E58"/>
    <w:rsid w:val="00AA7012"/>
    <w:rsid w:val="00AB0132"/>
    <w:rsid w:val="00AB4C6E"/>
    <w:rsid w:val="00AC678C"/>
    <w:rsid w:val="00AC7AD9"/>
    <w:rsid w:val="00AD0532"/>
    <w:rsid w:val="00AD27AC"/>
    <w:rsid w:val="00AD3B9A"/>
    <w:rsid w:val="00AE170F"/>
    <w:rsid w:val="00AE1E78"/>
    <w:rsid w:val="00AE37E8"/>
    <w:rsid w:val="00AE391B"/>
    <w:rsid w:val="00AE5281"/>
    <w:rsid w:val="00AF07E0"/>
    <w:rsid w:val="00AF1B40"/>
    <w:rsid w:val="00AF2400"/>
    <w:rsid w:val="00AF72BC"/>
    <w:rsid w:val="00B03F04"/>
    <w:rsid w:val="00B321E8"/>
    <w:rsid w:val="00B40F61"/>
    <w:rsid w:val="00B41FC3"/>
    <w:rsid w:val="00B43E59"/>
    <w:rsid w:val="00B45E11"/>
    <w:rsid w:val="00B46DE5"/>
    <w:rsid w:val="00B473E8"/>
    <w:rsid w:val="00B53B13"/>
    <w:rsid w:val="00B55B8D"/>
    <w:rsid w:val="00B643B1"/>
    <w:rsid w:val="00B70741"/>
    <w:rsid w:val="00B72B94"/>
    <w:rsid w:val="00B77080"/>
    <w:rsid w:val="00B9699B"/>
    <w:rsid w:val="00BA0985"/>
    <w:rsid w:val="00BA45BE"/>
    <w:rsid w:val="00BA7EE9"/>
    <w:rsid w:val="00BB56DF"/>
    <w:rsid w:val="00BC2D79"/>
    <w:rsid w:val="00BD2EE7"/>
    <w:rsid w:val="00BE03D0"/>
    <w:rsid w:val="00BE09ED"/>
    <w:rsid w:val="00BE701B"/>
    <w:rsid w:val="00BF4F55"/>
    <w:rsid w:val="00C0299C"/>
    <w:rsid w:val="00C0578C"/>
    <w:rsid w:val="00C11260"/>
    <w:rsid w:val="00C15F6B"/>
    <w:rsid w:val="00C21C55"/>
    <w:rsid w:val="00C226F9"/>
    <w:rsid w:val="00C23A40"/>
    <w:rsid w:val="00C27ADE"/>
    <w:rsid w:val="00C3302F"/>
    <w:rsid w:val="00C42370"/>
    <w:rsid w:val="00C44780"/>
    <w:rsid w:val="00C47250"/>
    <w:rsid w:val="00C558CE"/>
    <w:rsid w:val="00C604B6"/>
    <w:rsid w:val="00C742F3"/>
    <w:rsid w:val="00C74C2B"/>
    <w:rsid w:val="00C818D2"/>
    <w:rsid w:val="00C8209E"/>
    <w:rsid w:val="00C92EBE"/>
    <w:rsid w:val="00C96471"/>
    <w:rsid w:val="00CA1ADD"/>
    <w:rsid w:val="00CA5560"/>
    <w:rsid w:val="00CB0B95"/>
    <w:rsid w:val="00CC07EC"/>
    <w:rsid w:val="00CC3E44"/>
    <w:rsid w:val="00CC4A74"/>
    <w:rsid w:val="00CD149B"/>
    <w:rsid w:val="00CE325C"/>
    <w:rsid w:val="00CE4890"/>
    <w:rsid w:val="00CF419E"/>
    <w:rsid w:val="00CF5771"/>
    <w:rsid w:val="00D105F2"/>
    <w:rsid w:val="00D14409"/>
    <w:rsid w:val="00D21C39"/>
    <w:rsid w:val="00D21FBA"/>
    <w:rsid w:val="00D222FC"/>
    <w:rsid w:val="00D236AE"/>
    <w:rsid w:val="00D34923"/>
    <w:rsid w:val="00D34F84"/>
    <w:rsid w:val="00D35EFD"/>
    <w:rsid w:val="00D42A2F"/>
    <w:rsid w:val="00D47A24"/>
    <w:rsid w:val="00D51C48"/>
    <w:rsid w:val="00D55AD4"/>
    <w:rsid w:val="00D6339C"/>
    <w:rsid w:val="00D73CE7"/>
    <w:rsid w:val="00D74F30"/>
    <w:rsid w:val="00D774BA"/>
    <w:rsid w:val="00D77C37"/>
    <w:rsid w:val="00D80E9F"/>
    <w:rsid w:val="00D84BB8"/>
    <w:rsid w:val="00D93943"/>
    <w:rsid w:val="00D94FAA"/>
    <w:rsid w:val="00D95637"/>
    <w:rsid w:val="00DA05AE"/>
    <w:rsid w:val="00DA39A9"/>
    <w:rsid w:val="00DA4045"/>
    <w:rsid w:val="00DA7574"/>
    <w:rsid w:val="00DB6533"/>
    <w:rsid w:val="00DB6C3D"/>
    <w:rsid w:val="00DC6EB7"/>
    <w:rsid w:val="00DD699E"/>
    <w:rsid w:val="00DF3C90"/>
    <w:rsid w:val="00DF67EE"/>
    <w:rsid w:val="00E00942"/>
    <w:rsid w:val="00E166BC"/>
    <w:rsid w:val="00E21F81"/>
    <w:rsid w:val="00E220F6"/>
    <w:rsid w:val="00E2662A"/>
    <w:rsid w:val="00E26F6F"/>
    <w:rsid w:val="00E350A9"/>
    <w:rsid w:val="00E3655C"/>
    <w:rsid w:val="00E51B2B"/>
    <w:rsid w:val="00E54113"/>
    <w:rsid w:val="00E77F0E"/>
    <w:rsid w:val="00E91821"/>
    <w:rsid w:val="00E943B8"/>
    <w:rsid w:val="00EA0A5C"/>
    <w:rsid w:val="00EA269B"/>
    <w:rsid w:val="00EA4D2B"/>
    <w:rsid w:val="00EA6878"/>
    <w:rsid w:val="00EB2BAF"/>
    <w:rsid w:val="00EB74D7"/>
    <w:rsid w:val="00EB7814"/>
    <w:rsid w:val="00EC1042"/>
    <w:rsid w:val="00EC2442"/>
    <w:rsid w:val="00ED2075"/>
    <w:rsid w:val="00EE36E8"/>
    <w:rsid w:val="00EF1AA4"/>
    <w:rsid w:val="00F05C99"/>
    <w:rsid w:val="00F169E7"/>
    <w:rsid w:val="00F17138"/>
    <w:rsid w:val="00F25CBD"/>
    <w:rsid w:val="00F31C2E"/>
    <w:rsid w:val="00F336F7"/>
    <w:rsid w:val="00F41A01"/>
    <w:rsid w:val="00F5410B"/>
    <w:rsid w:val="00F633C3"/>
    <w:rsid w:val="00F6429D"/>
    <w:rsid w:val="00F73489"/>
    <w:rsid w:val="00F74F5C"/>
    <w:rsid w:val="00F82F21"/>
    <w:rsid w:val="00F92540"/>
    <w:rsid w:val="00F95F97"/>
    <w:rsid w:val="00FA09BF"/>
    <w:rsid w:val="00FA306C"/>
    <w:rsid w:val="00FA43B3"/>
    <w:rsid w:val="00FB2543"/>
    <w:rsid w:val="00FB4834"/>
    <w:rsid w:val="00FC562C"/>
    <w:rsid w:val="00FC6869"/>
    <w:rsid w:val="00FD0D8A"/>
    <w:rsid w:val="00FD17B1"/>
    <w:rsid w:val="00FE3288"/>
    <w:rsid w:val="00FE7979"/>
    <w:rsid w:val="00FF17AB"/>
    <w:rsid w:val="00FF3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5254D"/>
  <w15:chartTrackingRefBased/>
  <w15:docId w15:val="{145DA6F1-C3DA-479C-A5FF-DE9F158D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locked/>
    <w:rsid w:val="007D58DE"/>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 Car,Texto,Texto de rodapé,nota"/>
    <w:basedOn w:val="Normal"/>
    <w:link w:val="FootnoteTextChar"/>
    <w:uiPriority w:val="99"/>
    <w:unhideWhenUsed/>
    <w:rsid w:val="007D58DE"/>
    <w:pPr>
      <w:spacing w:after="0" w:line="240" w:lineRule="auto"/>
    </w:pPr>
  </w:style>
  <w:style w:type="character" w:customStyle="1" w:styleId="FootnoteTextChar1">
    <w:name w:val="Footnote Text Char1"/>
    <w:basedOn w:val="DefaultParagraphFont"/>
    <w:uiPriority w:val="99"/>
    <w:semiHidden/>
    <w:rsid w:val="007D58DE"/>
    <w:rPr>
      <w:sz w:val="20"/>
      <w:szCs w:val="20"/>
    </w:rPr>
  </w:style>
  <w:style w:type="character" w:styleId="FootnoteReference">
    <w:name w:val="footnote reference"/>
    <w:aliases w:val="referencia nota al pie,FC,titulo 2,Fußnotenzeichen DISS"/>
    <w:basedOn w:val="DefaultParagraphFont"/>
    <w:uiPriority w:val="99"/>
    <w:semiHidden/>
    <w:unhideWhenUsed/>
    <w:rsid w:val="007D58DE"/>
    <w:rPr>
      <w:vertAlign w:val="superscript"/>
    </w:rPr>
  </w:style>
  <w:style w:type="paragraph" w:styleId="ListParagraph">
    <w:name w:val="List Paragraph"/>
    <w:basedOn w:val="Normal"/>
    <w:uiPriority w:val="34"/>
    <w:qFormat/>
    <w:rsid w:val="00EE36E8"/>
    <w:pPr>
      <w:ind w:left="720"/>
      <w:contextualSpacing/>
    </w:pPr>
  </w:style>
  <w:style w:type="character" w:styleId="Hyperlink">
    <w:name w:val="Hyperlink"/>
    <w:basedOn w:val="DefaultParagraphFont"/>
    <w:rsid w:val="0046548F"/>
    <w:rPr>
      <w:color w:val="0000FF"/>
      <w:u w:val="single"/>
    </w:rPr>
  </w:style>
  <w:style w:type="table" w:styleId="TableGrid">
    <w:name w:val="Table Grid"/>
    <w:basedOn w:val="TableNormal"/>
    <w:uiPriority w:val="39"/>
    <w:rsid w:val="000C4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1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641"/>
  </w:style>
  <w:style w:type="paragraph" w:styleId="Footer">
    <w:name w:val="footer"/>
    <w:basedOn w:val="Normal"/>
    <w:link w:val="FooterChar"/>
    <w:uiPriority w:val="99"/>
    <w:unhideWhenUsed/>
    <w:rsid w:val="006A1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641"/>
  </w:style>
  <w:style w:type="paragraph" w:styleId="BalloonText">
    <w:name w:val="Balloon Text"/>
    <w:basedOn w:val="Normal"/>
    <w:link w:val="BalloonTextChar"/>
    <w:uiPriority w:val="99"/>
    <w:semiHidden/>
    <w:unhideWhenUsed/>
    <w:rsid w:val="008E3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A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456548">
      <w:bodyDiv w:val="1"/>
      <w:marLeft w:val="0"/>
      <w:marRight w:val="0"/>
      <w:marTop w:val="0"/>
      <w:marBottom w:val="0"/>
      <w:divBdr>
        <w:top w:val="none" w:sz="0" w:space="0" w:color="auto"/>
        <w:left w:val="none" w:sz="0" w:space="0" w:color="auto"/>
        <w:bottom w:val="none" w:sz="0" w:space="0" w:color="auto"/>
        <w:right w:val="none" w:sz="0" w:space="0" w:color="auto"/>
      </w:divBdr>
    </w:div>
    <w:div w:id="344401068">
      <w:bodyDiv w:val="1"/>
      <w:marLeft w:val="0"/>
      <w:marRight w:val="0"/>
      <w:marTop w:val="0"/>
      <w:marBottom w:val="0"/>
      <w:divBdr>
        <w:top w:val="none" w:sz="0" w:space="0" w:color="auto"/>
        <w:left w:val="none" w:sz="0" w:space="0" w:color="auto"/>
        <w:bottom w:val="none" w:sz="0" w:space="0" w:color="auto"/>
        <w:right w:val="none" w:sz="0" w:space="0" w:color="auto"/>
      </w:divBdr>
    </w:div>
    <w:div w:id="984165735">
      <w:bodyDiv w:val="1"/>
      <w:marLeft w:val="0"/>
      <w:marRight w:val="0"/>
      <w:marTop w:val="0"/>
      <w:marBottom w:val="0"/>
      <w:divBdr>
        <w:top w:val="none" w:sz="0" w:space="0" w:color="auto"/>
        <w:left w:val="none" w:sz="0" w:space="0" w:color="auto"/>
        <w:bottom w:val="none" w:sz="0" w:space="0" w:color="auto"/>
        <w:right w:val="none" w:sz="0" w:space="0" w:color="auto"/>
      </w:divBdr>
      <w:divsChild>
        <w:div w:id="1808432693">
          <w:marLeft w:val="0"/>
          <w:marRight w:val="0"/>
          <w:marTop w:val="0"/>
          <w:marBottom w:val="0"/>
          <w:divBdr>
            <w:top w:val="none" w:sz="0" w:space="0" w:color="auto"/>
            <w:left w:val="none" w:sz="0" w:space="0" w:color="auto"/>
            <w:bottom w:val="none" w:sz="0" w:space="0" w:color="auto"/>
            <w:right w:val="none" w:sz="0" w:space="0" w:color="auto"/>
          </w:divBdr>
          <w:divsChild>
            <w:div w:id="706682728">
              <w:marLeft w:val="0"/>
              <w:marRight w:val="0"/>
              <w:marTop w:val="0"/>
              <w:marBottom w:val="0"/>
              <w:divBdr>
                <w:top w:val="none" w:sz="0" w:space="0" w:color="auto"/>
                <w:left w:val="none" w:sz="0" w:space="0" w:color="auto"/>
                <w:bottom w:val="none" w:sz="0" w:space="0" w:color="auto"/>
                <w:right w:val="none" w:sz="0" w:space="0" w:color="auto"/>
              </w:divBdr>
              <w:divsChild>
                <w:div w:id="1752194135">
                  <w:marLeft w:val="0"/>
                  <w:marRight w:val="0"/>
                  <w:marTop w:val="0"/>
                  <w:marBottom w:val="0"/>
                  <w:divBdr>
                    <w:top w:val="none" w:sz="0" w:space="0" w:color="auto"/>
                    <w:left w:val="none" w:sz="0" w:space="0" w:color="auto"/>
                    <w:bottom w:val="none" w:sz="0" w:space="0" w:color="auto"/>
                    <w:right w:val="none" w:sz="0" w:space="0" w:color="auto"/>
                  </w:divBdr>
                  <w:divsChild>
                    <w:div w:id="882786781">
                      <w:marLeft w:val="0"/>
                      <w:marRight w:val="0"/>
                      <w:marTop w:val="0"/>
                      <w:marBottom w:val="0"/>
                      <w:divBdr>
                        <w:top w:val="none" w:sz="0" w:space="0" w:color="auto"/>
                        <w:left w:val="none" w:sz="0" w:space="0" w:color="auto"/>
                        <w:bottom w:val="none" w:sz="0" w:space="0" w:color="auto"/>
                        <w:right w:val="none" w:sz="0" w:space="0" w:color="auto"/>
                      </w:divBdr>
                      <w:divsChild>
                        <w:div w:id="25907897">
                          <w:marLeft w:val="0"/>
                          <w:marRight w:val="0"/>
                          <w:marTop w:val="0"/>
                          <w:marBottom w:val="0"/>
                          <w:divBdr>
                            <w:top w:val="none" w:sz="0" w:space="0" w:color="auto"/>
                            <w:left w:val="none" w:sz="0" w:space="0" w:color="auto"/>
                            <w:bottom w:val="none" w:sz="0" w:space="0" w:color="auto"/>
                            <w:right w:val="none" w:sz="0" w:space="0" w:color="auto"/>
                          </w:divBdr>
                          <w:divsChild>
                            <w:div w:id="243687647">
                              <w:marLeft w:val="0"/>
                              <w:marRight w:val="300"/>
                              <w:marTop w:val="180"/>
                              <w:marBottom w:val="0"/>
                              <w:divBdr>
                                <w:top w:val="none" w:sz="0" w:space="0" w:color="auto"/>
                                <w:left w:val="none" w:sz="0" w:space="0" w:color="auto"/>
                                <w:bottom w:val="none" w:sz="0" w:space="0" w:color="auto"/>
                                <w:right w:val="none" w:sz="0" w:space="0" w:color="auto"/>
                              </w:divBdr>
                              <w:divsChild>
                                <w:div w:id="13549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577426">
          <w:marLeft w:val="0"/>
          <w:marRight w:val="0"/>
          <w:marTop w:val="0"/>
          <w:marBottom w:val="0"/>
          <w:divBdr>
            <w:top w:val="none" w:sz="0" w:space="0" w:color="auto"/>
            <w:left w:val="none" w:sz="0" w:space="0" w:color="auto"/>
            <w:bottom w:val="none" w:sz="0" w:space="0" w:color="auto"/>
            <w:right w:val="none" w:sz="0" w:space="0" w:color="auto"/>
          </w:divBdr>
          <w:divsChild>
            <w:div w:id="1887713837">
              <w:marLeft w:val="0"/>
              <w:marRight w:val="0"/>
              <w:marTop w:val="0"/>
              <w:marBottom w:val="0"/>
              <w:divBdr>
                <w:top w:val="none" w:sz="0" w:space="0" w:color="auto"/>
                <w:left w:val="none" w:sz="0" w:space="0" w:color="auto"/>
                <w:bottom w:val="none" w:sz="0" w:space="0" w:color="auto"/>
                <w:right w:val="none" w:sz="0" w:space="0" w:color="auto"/>
              </w:divBdr>
              <w:divsChild>
                <w:div w:id="1775514874">
                  <w:marLeft w:val="0"/>
                  <w:marRight w:val="0"/>
                  <w:marTop w:val="0"/>
                  <w:marBottom w:val="0"/>
                  <w:divBdr>
                    <w:top w:val="none" w:sz="0" w:space="0" w:color="auto"/>
                    <w:left w:val="none" w:sz="0" w:space="0" w:color="auto"/>
                    <w:bottom w:val="none" w:sz="0" w:space="0" w:color="auto"/>
                    <w:right w:val="none" w:sz="0" w:space="0" w:color="auto"/>
                  </w:divBdr>
                  <w:divsChild>
                    <w:div w:id="948589580">
                      <w:marLeft w:val="0"/>
                      <w:marRight w:val="0"/>
                      <w:marTop w:val="0"/>
                      <w:marBottom w:val="0"/>
                      <w:divBdr>
                        <w:top w:val="none" w:sz="0" w:space="0" w:color="auto"/>
                        <w:left w:val="none" w:sz="0" w:space="0" w:color="auto"/>
                        <w:bottom w:val="none" w:sz="0" w:space="0" w:color="auto"/>
                        <w:right w:val="none" w:sz="0" w:space="0" w:color="auto"/>
                      </w:divBdr>
                      <w:divsChild>
                        <w:div w:id="17752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261125">
      <w:bodyDiv w:val="1"/>
      <w:marLeft w:val="0"/>
      <w:marRight w:val="0"/>
      <w:marTop w:val="0"/>
      <w:marBottom w:val="0"/>
      <w:divBdr>
        <w:top w:val="none" w:sz="0" w:space="0" w:color="auto"/>
        <w:left w:val="none" w:sz="0" w:space="0" w:color="auto"/>
        <w:bottom w:val="none" w:sz="0" w:space="0" w:color="auto"/>
        <w:right w:val="none" w:sz="0" w:space="0" w:color="auto"/>
      </w:divBdr>
    </w:div>
    <w:div w:id="1587347799">
      <w:bodyDiv w:val="1"/>
      <w:marLeft w:val="0"/>
      <w:marRight w:val="0"/>
      <w:marTop w:val="0"/>
      <w:marBottom w:val="0"/>
      <w:divBdr>
        <w:top w:val="none" w:sz="0" w:space="0" w:color="auto"/>
        <w:left w:val="none" w:sz="0" w:space="0" w:color="auto"/>
        <w:bottom w:val="none" w:sz="0" w:space="0" w:color="auto"/>
        <w:right w:val="none" w:sz="0" w:space="0" w:color="auto"/>
      </w:divBdr>
    </w:div>
    <w:div w:id="163840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8.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latamclick.com/estadisticas-de-las-redes-sociales-en-paraguay-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06FCDDE4B51E40A17EA754B054C2D9" ma:contentTypeVersion="228" ma:contentTypeDescription="A content type to manage public (operations) IDB documents" ma:contentTypeScope="" ma:versionID="b32711222eb38c8342863514de61cfc6">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4896/OC-PR;</Approval_x0020_Number>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188</Value>
      <Value>24</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EZSHARE-1094675413-25</_dlc_DocId>
    <_dlc_DocIdUrl xmlns="cdc7663a-08f0-4737-9e8c-148ce897a09c">
      <Url>https://idbg.sharepoint.com/teams/EZ-PR-LON/PR-L1158/_layouts/15/DocIdRedir.aspx?ID=EZSHARE-1094675413-25</Url>
      <Description>EZSHARE-1094675413-25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6D45FFE58EC8A746ADE26DFBBF4CDA36" ma:contentTypeVersion="224" ma:contentTypeDescription="The base project type from which other project content types inherit their information." ma:contentTypeScope="" ma:versionID="0cdb33a78931cbbc177728cbb0d8b72d">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1A5BFC5-C839-4E20-AAAF-0A78E7493E97}">
  <ds:schemaRefs>
    <ds:schemaRef ds:uri="Microsoft.SharePoint.Taxonomy.ContentTypeSync"/>
  </ds:schemaRefs>
</ds:datastoreItem>
</file>

<file path=customXml/itemProps2.xml><?xml version="1.0" encoding="utf-8"?>
<ds:datastoreItem xmlns:ds="http://schemas.openxmlformats.org/officeDocument/2006/customXml" ds:itemID="{B9580C9F-268C-4A9F-BD6D-F13CF23ACAED}">
  <ds:schemaRefs>
    <ds:schemaRef ds:uri="http://schemas.microsoft.com/sharepoint/events"/>
  </ds:schemaRefs>
</ds:datastoreItem>
</file>

<file path=customXml/itemProps3.xml><?xml version="1.0" encoding="utf-8"?>
<ds:datastoreItem xmlns:ds="http://schemas.openxmlformats.org/officeDocument/2006/customXml" ds:itemID="{B35AB731-EAED-48CF-BF57-D75A7F0F9671}"/>
</file>

<file path=customXml/itemProps4.xml><?xml version="1.0" encoding="utf-8"?>
<ds:datastoreItem xmlns:ds="http://schemas.openxmlformats.org/officeDocument/2006/customXml" ds:itemID="{04EC08A9-E9DE-4E06-B67B-64A406D07FE8}">
  <ds:schemaRefs>
    <ds:schemaRef ds:uri="http://schemas.microsoft.com/sharepoint/v3/contenttype/forms"/>
  </ds:schemaRefs>
</ds:datastoreItem>
</file>

<file path=customXml/itemProps5.xml><?xml version="1.0" encoding="utf-8"?>
<ds:datastoreItem xmlns:ds="http://schemas.openxmlformats.org/officeDocument/2006/customXml" ds:itemID="{496CF652-86E1-48D0-9EB4-AB40B4A97047}">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989A85D5-22D7-45D1-81D5-B93FCB204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DA5B51B-A884-47F0-ACEA-0E4154A7A977}">
  <ds:schemaRefs>
    <ds:schemaRef ds:uri="http://schemas.openxmlformats.org/officeDocument/2006/bibliography"/>
  </ds:schemaRefs>
</ds:datastoreItem>
</file>

<file path=customXml/itemProps8.xml><?xml version="1.0" encoding="utf-8"?>
<ds:datastoreItem xmlns:ds="http://schemas.openxmlformats.org/officeDocument/2006/customXml" ds:itemID="{D8E0D6AC-0FA5-407C-86D1-8C2C0E759E95}"/>
</file>

<file path=docProps/app.xml><?xml version="1.0" encoding="utf-8"?>
<Properties xmlns="http://schemas.openxmlformats.org/officeDocument/2006/extended-properties" xmlns:vt="http://schemas.openxmlformats.org/officeDocument/2006/docPropsVTypes">
  <Template>Normal.dotm</Template>
  <TotalTime>5</TotalTime>
  <Pages>7</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Keller</dc:creator>
  <cp:keywords/>
  <dc:description/>
  <cp:lastModifiedBy>Garcia Valero, Andrea Carolina</cp:lastModifiedBy>
  <cp:revision>5</cp:revision>
  <dcterms:created xsi:type="dcterms:W3CDTF">2019-10-08T16:15:00Z</dcterms:created>
  <dcterms:modified xsi:type="dcterms:W3CDTF">2019-10-10T16:01:00Z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188;#PENSIONS ＆ SOCIAL SECURITY|4b35807b-c90d-4831-b87a-a93d2a9213d9</vt:lpwstr>
  </property>
  <property fmtid="{D5CDD505-2E9C-101B-9397-08002B2CF9AE}" pid="7" name="Country">
    <vt:lpwstr>24;#Paraguay|50282442-27e7-4526-9d04-55bf5da33a10</vt:lpwstr>
  </property>
  <property fmtid="{D5CDD505-2E9C-101B-9397-08002B2CF9AE}" pid="8" name="_dlc_DocIdItemGuid">
    <vt:lpwstr>c4f949c9-81f6-4e60-b93b-c7461fb43caf</vt:lpwstr>
  </property>
  <property fmtid="{D5CDD505-2E9C-101B-9397-08002B2CF9AE}" pid="9" name="Fund IDB">
    <vt:lpwstr/>
  </property>
  <property fmtid="{D5CDD505-2E9C-101B-9397-08002B2CF9AE}" pid="10" name="Sector IDB">
    <vt:lpwstr>49;#SOCIAL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0x0101001A458A224826124E8B45B1D613300CFC00C106FCDDE4B51E40A17EA754B054C2D9</vt:lpwstr>
  </property>
</Properties>
</file>