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285" w:rsidRPr="004166A8" w:rsidRDefault="007C2285" w:rsidP="007C2285">
      <w:pPr>
        <w:pStyle w:val="BodyText"/>
        <w:rPr>
          <w:sz w:val="24"/>
        </w:rPr>
      </w:pPr>
      <w:r w:rsidRPr="004166A8">
        <w:rPr>
          <w:sz w:val="24"/>
        </w:rPr>
        <w:t>INVITACIÓN A PRESENTAR EXPRESIONES DE INTERÉS</w:t>
      </w:r>
    </w:p>
    <w:p w:rsidR="007C2285" w:rsidRPr="004166A8" w:rsidRDefault="007C2285" w:rsidP="007C2285">
      <w:pPr>
        <w:pStyle w:val="BodyText"/>
        <w:rPr>
          <w:sz w:val="24"/>
        </w:rPr>
      </w:pPr>
      <w:r w:rsidRPr="004166A8">
        <w:rPr>
          <w:sz w:val="24"/>
        </w:rPr>
        <w:t>PARA SERVICIOS DE CONSULTORÍA</w:t>
      </w:r>
    </w:p>
    <w:p w:rsidR="007C2285" w:rsidRPr="004166A8" w:rsidRDefault="007C2285" w:rsidP="007C2285">
      <w:pPr>
        <w:spacing w:line="240" w:lineRule="auto"/>
        <w:jc w:val="center"/>
        <w:rPr>
          <w:b/>
          <w:szCs w:val="24"/>
        </w:rPr>
      </w:pPr>
    </w:p>
    <w:tbl>
      <w:tblPr>
        <w:tblW w:w="7920" w:type="dxa"/>
        <w:tblInd w:w="558" w:type="dxa"/>
        <w:tblLook w:val="01E0"/>
      </w:tblPr>
      <w:tblGrid>
        <w:gridCol w:w="2340"/>
        <w:gridCol w:w="5580"/>
      </w:tblGrid>
      <w:tr w:rsidR="007C2285" w:rsidRPr="001511B1" w:rsidTr="00DB037E">
        <w:tc>
          <w:tcPr>
            <w:tcW w:w="2340" w:type="dxa"/>
          </w:tcPr>
          <w:p w:rsidR="007C2285" w:rsidRPr="001511B1" w:rsidRDefault="007C2285" w:rsidP="00DB037E">
            <w:pPr>
              <w:spacing w:before="120" w:after="120" w:line="240" w:lineRule="auto"/>
              <w:rPr>
                <w:szCs w:val="24"/>
              </w:rPr>
            </w:pPr>
            <w:r w:rsidRPr="001511B1">
              <w:rPr>
                <w:szCs w:val="24"/>
              </w:rPr>
              <w:t>País</w:t>
            </w:r>
          </w:p>
        </w:tc>
        <w:tc>
          <w:tcPr>
            <w:tcW w:w="5580" w:type="dxa"/>
          </w:tcPr>
          <w:p w:rsidR="007C2285" w:rsidRPr="001511B1" w:rsidRDefault="007C2285" w:rsidP="00CD0625">
            <w:pPr>
              <w:spacing w:before="120" w:after="120" w:line="240" w:lineRule="auto"/>
              <w:rPr>
                <w:szCs w:val="24"/>
              </w:rPr>
            </w:pPr>
            <w:r w:rsidRPr="001511B1">
              <w:rPr>
                <w:szCs w:val="24"/>
              </w:rPr>
              <w:t>Pa</w:t>
            </w:r>
            <w:r w:rsidR="00CD0625">
              <w:rPr>
                <w:szCs w:val="24"/>
              </w:rPr>
              <w:t>raguay</w:t>
            </w:r>
            <w:r w:rsidRPr="001511B1">
              <w:rPr>
                <w:szCs w:val="24"/>
              </w:rPr>
              <w:t xml:space="preserve"> </w:t>
            </w:r>
          </w:p>
        </w:tc>
      </w:tr>
      <w:tr w:rsidR="007C2285" w:rsidRPr="001511B1" w:rsidTr="00DB037E">
        <w:tc>
          <w:tcPr>
            <w:tcW w:w="2340" w:type="dxa"/>
          </w:tcPr>
          <w:p w:rsidR="007C2285" w:rsidRPr="001511B1" w:rsidRDefault="007C2285" w:rsidP="00DB037E">
            <w:pPr>
              <w:spacing w:before="120" w:after="120" w:line="240" w:lineRule="auto"/>
              <w:rPr>
                <w:szCs w:val="24"/>
              </w:rPr>
            </w:pPr>
            <w:r w:rsidRPr="001511B1">
              <w:rPr>
                <w:szCs w:val="24"/>
              </w:rPr>
              <w:t>Denominación de la cooperación técnica</w:t>
            </w:r>
          </w:p>
        </w:tc>
        <w:tc>
          <w:tcPr>
            <w:tcW w:w="5580" w:type="dxa"/>
          </w:tcPr>
          <w:p w:rsidR="007C2285" w:rsidRPr="001511B1" w:rsidRDefault="000741E7" w:rsidP="0021279E">
            <w:pPr>
              <w:spacing w:before="120" w:after="120" w:line="240" w:lineRule="auto"/>
              <w:rPr>
                <w:szCs w:val="24"/>
              </w:rPr>
            </w:pPr>
            <w:r w:rsidRPr="000741E7">
              <w:rPr>
                <w:szCs w:val="24"/>
              </w:rPr>
              <w:t xml:space="preserve">Estudio de Viabilidad para la Utilización </w:t>
            </w:r>
            <w:r w:rsidR="0021279E">
              <w:rPr>
                <w:szCs w:val="24"/>
              </w:rPr>
              <w:t>P</w:t>
            </w:r>
            <w:r w:rsidR="0021279E" w:rsidRPr="000741E7">
              <w:rPr>
                <w:szCs w:val="24"/>
              </w:rPr>
              <w:t>roduct</w:t>
            </w:r>
            <w:r w:rsidR="0021279E">
              <w:rPr>
                <w:szCs w:val="24"/>
              </w:rPr>
              <w:t>iva</w:t>
            </w:r>
            <w:r w:rsidR="0021279E" w:rsidRPr="000741E7">
              <w:rPr>
                <w:szCs w:val="24"/>
              </w:rPr>
              <w:t xml:space="preserve"> </w:t>
            </w:r>
            <w:r w:rsidRPr="000741E7">
              <w:rPr>
                <w:szCs w:val="24"/>
              </w:rPr>
              <w:t>del Biogás de los desechos de la Planta Procesadora de Mandioca (yuca)</w:t>
            </w:r>
          </w:p>
        </w:tc>
      </w:tr>
      <w:tr w:rsidR="007C2285" w:rsidRPr="001511B1" w:rsidTr="00DB037E">
        <w:tc>
          <w:tcPr>
            <w:tcW w:w="2340" w:type="dxa"/>
          </w:tcPr>
          <w:p w:rsidR="007C2285" w:rsidRPr="001511B1" w:rsidRDefault="007C2285" w:rsidP="00DB037E">
            <w:pPr>
              <w:spacing w:before="120" w:after="120" w:line="240" w:lineRule="auto"/>
              <w:rPr>
                <w:szCs w:val="24"/>
              </w:rPr>
            </w:pPr>
            <w:r w:rsidRPr="001511B1">
              <w:rPr>
                <w:szCs w:val="24"/>
              </w:rPr>
              <w:t>Número</w:t>
            </w:r>
          </w:p>
        </w:tc>
        <w:tc>
          <w:tcPr>
            <w:tcW w:w="5580" w:type="dxa"/>
          </w:tcPr>
          <w:p w:rsidR="007C2285" w:rsidRPr="001511B1" w:rsidRDefault="000741E7" w:rsidP="000741E7">
            <w:pPr>
              <w:spacing w:before="120" w:after="120" w:line="240" w:lineRule="auto"/>
              <w:rPr>
                <w:szCs w:val="24"/>
              </w:rPr>
            </w:pPr>
            <w:r>
              <w:rPr>
                <w:szCs w:val="24"/>
              </w:rPr>
              <w:t>PR</w:t>
            </w:r>
            <w:r w:rsidR="007C2285" w:rsidRPr="001511B1">
              <w:rPr>
                <w:szCs w:val="24"/>
              </w:rPr>
              <w:t>-</w:t>
            </w:r>
            <w:r>
              <w:rPr>
                <w:szCs w:val="24"/>
              </w:rPr>
              <w:t>S1006</w:t>
            </w:r>
          </w:p>
        </w:tc>
      </w:tr>
      <w:tr w:rsidR="007C2285" w:rsidRPr="001511B1" w:rsidTr="00DB037E">
        <w:tc>
          <w:tcPr>
            <w:tcW w:w="2340" w:type="dxa"/>
          </w:tcPr>
          <w:p w:rsidR="007C2285" w:rsidRPr="001511B1" w:rsidRDefault="007C2285" w:rsidP="00DB037E">
            <w:pPr>
              <w:spacing w:before="120" w:after="120" w:line="240" w:lineRule="auto"/>
              <w:rPr>
                <w:szCs w:val="24"/>
              </w:rPr>
            </w:pPr>
            <w:r w:rsidRPr="001511B1">
              <w:rPr>
                <w:szCs w:val="24"/>
              </w:rPr>
              <w:t>Sector</w:t>
            </w:r>
          </w:p>
        </w:tc>
        <w:tc>
          <w:tcPr>
            <w:tcW w:w="5580" w:type="dxa"/>
          </w:tcPr>
          <w:p w:rsidR="007C2285" w:rsidRPr="001511B1" w:rsidRDefault="007D5699" w:rsidP="007D5699">
            <w:pPr>
              <w:spacing w:before="120" w:after="120" w:line="240" w:lineRule="auto"/>
              <w:rPr>
                <w:szCs w:val="24"/>
              </w:rPr>
            </w:pPr>
            <w:r>
              <w:rPr>
                <w:szCs w:val="24"/>
              </w:rPr>
              <w:t xml:space="preserve">Fondo Multilateral de Inversión (FOMIN) &amp; </w:t>
            </w:r>
            <w:r w:rsidR="009B5275">
              <w:rPr>
                <w:szCs w:val="24"/>
              </w:rPr>
              <w:t>Unidad de Energía Sostenible y Cambio Climático</w:t>
            </w:r>
            <w:r>
              <w:rPr>
                <w:szCs w:val="24"/>
              </w:rPr>
              <w:t xml:space="preserve"> </w:t>
            </w:r>
          </w:p>
        </w:tc>
      </w:tr>
    </w:tbl>
    <w:p w:rsidR="000741E7" w:rsidRDefault="007C2285" w:rsidP="007C2285">
      <w:pPr>
        <w:spacing w:line="240" w:lineRule="auto"/>
        <w:jc w:val="both"/>
        <w:rPr>
          <w:szCs w:val="24"/>
          <w:lang w:val="es-ES"/>
        </w:rPr>
      </w:pPr>
      <w:r w:rsidRPr="004166A8">
        <w:rPr>
          <w:szCs w:val="24"/>
        </w:rPr>
        <w:t xml:space="preserve">El </w:t>
      </w:r>
      <w:r w:rsidR="00A83F96">
        <w:rPr>
          <w:szCs w:val="24"/>
        </w:rPr>
        <w:t xml:space="preserve">Fondo Multilateral de Inversión </w:t>
      </w:r>
      <w:r w:rsidRPr="004166A8">
        <w:rPr>
          <w:szCs w:val="24"/>
        </w:rPr>
        <w:t>(</w:t>
      </w:r>
      <w:r w:rsidR="00A83F96">
        <w:rPr>
          <w:szCs w:val="24"/>
        </w:rPr>
        <w:t>FOMIN</w:t>
      </w:r>
      <w:r w:rsidRPr="004166A8">
        <w:rPr>
          <w:szCs w:val="24"/>
        </w:rPr>
        <w:t xml:space="preserve">) se propone la contratación de servicios de consultoría para apoyar a </w:t>
      </w:r>
      <w:r w:rsidR="000741E7">
        <w:rPr>
          <w:szCs w:val="24"/>
        </w:rPr>
        <w:t xml:space="preserve">uno de sus clientes en Paraguay a complementar una </w:t>
      </w:r>
      <w:r w:rsidR="009E623C">
        <w:rPr>
          <w:szCs w:val="24"/>
        </w:rPr>
        <w:t>operación</w:t>
      </w:r>
      <w:r w:rsidR="000741E7">
        <w:rPr>
          <w:szCs w:val="24"/>
          <w:lang w:val="es-ES"/>
        </w:rPr>
        <w:t xml:space="preserve"> existente en el sector agrícola productivo.</w:t>
      </w:r>
    </w:p>
    <w:p w:rsidR="000741E7" w:rsidRPr="000741E7" w:rsidRDefault="000741E7" w:rsidP="000741E7">
      <w:pPr>
        <w:spacing w:line="240" w:lineRule="auto"/>
        <w:jc w:val="both"/>
        <w:rPr>
          <w:szCs w:val="24"/>
        </w:rPr>
      </w:pPr>
    </w:p>
    <w:p w:rsidR="000741E7" w:rsidRPr="000741E7" w:rsidRDefault="009B5275" w:rsidP="000741E7">
      <w:pPr>
        <w:spacing w:line="240" w:lineRule="auto"/>
        <w:jc w:val="both"/>
        <w:rPr>
          <w:szCs w:val="24"/>
        </w:rPr>
      </w:pPr>
      <w:r>
        <w:rPr>
          <w:szCs w:val="24"/>
        </w:rPr>
        <w:t>La planta de producción de almidón</w:t>
      </w:r>
      <w:r w:rsidR="000741E7" w:rsidRPr="000741E7">
        <w:rPr>
          <w:szCs w:val="24"/>
        </w:rPr>
        <w:t xml:space="preserve"> inició operaciones en el año 1998</w:t>
      </w:r>
      <w:r w:rsidR="000741E7">
        <w:rPr>
          <w:szCs w:val="24"/>
        </w:rPr>
        <w:t xml:space="preserve">. </w:t>
      </w:r>
      <w:r w:rsidR="000741E7" w:rsidRPr="000741E7">
        <w:rPr>
          <w:szCs w:val="24"/>
        </w:rPr>
        <w:t>Este proyecto busca expandir su planta industrial para mejorar la eficiencia de proceso y reducir las emisiones efecto invernadero asociadas a la metanización de los desechos bio-degradables.</w:t>
      </w:r>
    </w:p>
    <w:p w:rsidR="000741E7" w:rsidRPr="000741E7" w:rsidRDefault="000741E7" w:rsidP="000741E7">
      <w:pPr>
        <w:spacing w:line="240" w:lineRule="auto"/>
        <w:jc w:val="both"/>
        <w:rPr>
          <w:szCs w:val="24"/>
        </w:rPr>
      </w:pPr>
    </w:p>
    <w:p w:rsidR="000741E7" w:rsidRDefault="000741E7" w:rsidP="007C2285">
      <w:pPr>
        <w:spacing w:line="240" w:lineRule="auto"/>
        <w:jc w:val="both"/>
        <w:rPr>
          <w:szCs w:val="24"/>
        </w:rPr>
      </w:pPr>
      <w:r w:rsidRPr="000741E7">
        <w:rPr>
          <w:szCs w:val="24"/>
        </w:rPr>
        <w:t>En la actualidad se estima que la planta ubicada en el Departamento de Caaguazú, Corregimiento de Repatriación, se reciben 30.000 Tons de yuca por año. Consecuentemente se espera e</w:t>
      </w:r>
      <w:r>
        <w:rPr>
          <w:szCs w:val="24"/>
        </w:rPr>
        <w:t>l</w:t>
      </w:r>
      <w:r w:rsidRPr="000741E7">
        <w:rPr>
          <w:szCs w:val="24"/>
        </w:rPr>
        <w:t xml:space="preserve"> producto del estudio confirme</w:t>
      </w:r>
      <w:r>
        <w:rPr>
          <w:szCs w:val="24"/>
        </w:rPr>
        <w:t xml:space="preserve"> </w:t>
      </w:r>
      <w:r w:rsidRPr="000741E7">
        <w:rPr>
          <w:szCs w:val="24"/>
        </w:rPr>
        <w:t xml:space="preserve">las estimaciones preliminares </w:t>
      </w:r>
      <w:r>
        <w:rPr>
          <w:szCs w:val="24"/>
        </w:rPr>
        <w:t xml:space="preserve">en torno a la factibilidad de utilizar los residuos </w:t>
      </w:r>
      <w:r w:rsidR="00A33F82">
        <w:rPr>
          <w:szCs w:val="24"/>
        </w:rPr>
        <w:t xml:space="preserve">de planta para </w:t>
      </w:r>
      <w:r>
        <w:rPr>
          <w:szCs w:val="24"/>
        </w:rPr>
        <w:t>producir calor y/o electricidad para autoconsumo en las instalaciones existentes.</w:t>
      </w:r>
      <w:r w:rsidR="00A33F82">
        <w:rPr>
          <w:szCs w:val="24"/>
        </w:rPr>
        <w:t xml:space="preserve"> Se espera que el proceso sea basado en digestión anaeróbica a partir de desechos bio-degradables.</w:t>
      </w:r>
    </w:p>
    <w:p w:rsidR="00EA5BE6" w:rsidRDefault="00EA5BE6" w:rsidP="007C2285">
      <w:pPr>
        <w:spacing w:line="240" w:lineRule="auto"/>
        <w:jc w:val="both"/>
        <w:rPr>
          <w:szCs w:val="24"/>
        </w:rPr>
      </w:pPr>
    </w:p>
    <w:p w:rsidR="00EA5BE6" w:rsidRDefault="00DC2D4E" w:rsidP="007D5699">
      <w:pPr>
        <w:spacing w:line="240" w:lineRule="auto"/>
        <w:jc w:val="both"/>
        <w:rPr>
          <w:szCs w:val="24"/>
        </w:rPr>
      </w:pPr>
      <w:r>
        <w:rPr>
          <w:szCs w:val="24"/>
        </w:rPr>
        <w:t>Calificaciones</w:t>
      </w:r>
      <w:r w:rsidR="00EA5BE6" w:rsidRPr="007D5699">
        <w:rPr>
          <w:szCs w:val="24"/>
        </w:rPr>
        <w:t xml:space="preserve"> que debe reunir la firma consultora o consorcio:</w:t>
      </w:r>
    </w:p>
    <w:p w:rsidR="007D5699" w:rsidRPr="007D5699" w:rsidRDefault="007D5699" w:rsidP="007D5699">
      <w:pPr>
        <w:spacing w:line="240" w:lineRule="auto"/>
        <w:jc w:val="both"/>
        <w:rPr>
          <w:szCs w:val="24"/>
        </w:rPr>
      </w:pPr>
    </w:p>
    <w:p w:rsidR="00A33F82" w:rsidRPr="007D5699" w:rsidRDefault="00DC2D4E" w:rsidP="00EA5BE6">
      <w:pPr>
        <w:pStyle w:val="BodyTextIndent2"/>
        <w:numPr>
          <w:ilvl w:val="0"/>
          <w:numId w:val="1"/>
        </w:numPr>
        <w:spacing w:after="0" w:line="226" w:lineRule="auto"/>
        <w:jc w:val="both"/>
        <w:rPr>
          <w:szCs w:val="24"/>
          <w:lang w:val="es-ES_tradnl"/>
        </w:rPr>
      </w:pPr>
      <w:r>
        <w:rPr>
          <w:szCs w:val="24"/>
          <w:lang w:val="es-ES_tradnl"/>
        </w:rPr>
        <w:t>Haber participado en actividades de a</w:t>
      </w:r>
      <w:r w:rsidR="00EA5BE6" w:rsidRPr="007D5699">
        <w:rPr>
          <w:szCs w:val="24"/>
          <w:lang w:val="es-ES_tradnl"/>
        </w:rPr>
        <w:t xml:space="preserve">sistencia técnica en Latinoamérica y el Caribe en </w:t>
      </w:r>
      <w:r w:rsidR="000741E7" w:rsidRPr="007D5699">
        <w:rPr>
          <w:szCs w:val="24"/>
          <w:lang w:val="es-ES_tradnl"/>
        </w:rPr>
        <w:t xml:space="preserve">el tema </w:t>
      </w:r>
      <w:r w:rsidR="00A33F82" w:rsidRPr="007D5699">
        <w:rPr>
          <w:szCs w:val="24"/>
          <w:lang w:val="es-ES_tradnl"/>
        </w:rPr>
        <w:t>de producción, manejo, y utilización de biogás</w:t>
      </w:r>
      <w:r w:rsidR="004A6CB2" w:rsidRPr="007D5699">
        <w:rPr>
          <w:szCs w:val="24"/>
          <w:lang w:val="es-ES_tradnl"/>
        </w:rPr>
        <w:t xml:space="preserve"> y sus sub-productos</w:t>
      </w:r>
      <w:r w:rsidR="00A33F82" w:rsidRPr="007D5699">
        <w:rPr>
          <w:szCs w:val="24"/>
          <w:lang w:val="es-ES_tradnl"/>
        </w:rPr>
        <w:t>.</w:t>
      </w:r>
    </w:p>
    <w:p w:rsidR="00A33F82" w:rsidRPr="007D5699" w:rsidRDefault="00E605A3" w:rsidP="00EA5BE6">
      <w:pPr>
        <w:pStyle w:val="BodyTextIndent2"/>
        <w:numPr>
          <w:ilvl w:val="0"/>
          <w:numId w:val="1"/>
        </w:numPr>
        <w:spacing w:after="0" w:line="226" w:lineRule="auto"/>
        <w:jc w:val="both"/>
        <w:rPr>
          <w:szCs w:val="24"/>
          <w:lang w:val="es-ES_tradnl"/>
        </w:rPr>
      </w:pPr>
      <w:r>
        <w:rPr>
          <w:szCs w:val="24"/>
          <w:lang w:val="es-ES_tradnl"/>
        </w:rPr>
        <w:t xml:space="preserve">Haber participado </w:t>
      </w:r>
      <w:r w:rsidR="00DC2D4E">
        <w:rPr>
          <w:szCs w:val="24"/>
          <w:lang w:val="es-ES_tradnl"/>
        </w:rPr>
        <w:t xml:space="preserve">en estudios </w:t>
      </w:r>
      <w:r>
        <w:rPr>
          <w:szCs w:val="24"/>
          <w:lang w:val="es-ES_tradnl"/>
        </w:rPr>
        <w:t xml:space="preserve">de pre-inversión </w:t>
      </w:r>
      <w:r w:rsidR="00DC2D4E">
        <w:rPr>
          <w:szCs w:val="24"/>
          <w:lang w:val="es-ES_tradnl"/>
        </w:rPr>
        <w:t xml:space="preserve">e implementación de proyectos de </w:t>
      </w:r>
      <w:r w:rsidR="00A33F82" w:rsidRPr="007D5699">
        <w:rPr>
          <w:szCs w:val="24"/>
          <w:lang w:val="es-ES_tradnl"/>
        </w:rPr>
        <w:t xml:space="preserve">energía </w:t>
      </w:r>
      <w:r w:rsidR="004A6CB2" w:rsidRPr="007D5699">
        <w:rPr>
          <w:szCs w:val="24"/>
          <w:lang w:val="es-ES_tradnl"/>
        </w:rPr>
        <w:t xml:space="preserve">a partir de desechos </w:t>
      </w:r>
      <w:r w:rsidR="00A33F82" w:rsidRPr="007D5699">
        <w:rPr>
          <w:szCs w:val="24"/>
          <w:lang w:val="es-ES_tradnl"/>
        </w:rPr>
        <w:t>en Latinoamérica y el Caribe</w:t>
      </w:r>
      <w:r w:rsidR="004A6CB2" w:rsidRPr="007D5699">
        <w:rPr>
          <w:szCs w:val="24"/>
          <w:lang w:val="es-ES_tradnl"/>
        </w:rPr>
        <w:t>, particularmente en Paraguay</w:t>
      </w:r>
      <w:r w:rsidR="00A33F82" w:rsidRPr="007D5699">
        <w:rPr>
          <w:szCs w:val="24"/>
          <w:lang w:val="es-ES_tradnl"/>
        </w:rPr>
        <w:t>.</w:t>
      </w:r>
    </w:p>
    <w:p w:rsidR="00E605A3" w:rsidRPr="007D5699" w:rsidRDefault="00E605A3" w:rsidP="00E605A3">
      <w:pPr>
        <w:pStyle w:val="BodyTextIndent2"/>
        <w:numPr>
          <w:ilvl w:val="0"/>
          <w:numId w:val="1"/>
        </w:numPr>
        <w:spacing w:after="0" w:line="226" w:lineRule="auto"/>
        <w:jc w:val="both"/>
        <w:rPr>
          <w:szCs w:val="24"/>
          <w:lang w:val="es-ES_tradnl"/>
        </w:rPr>
      </w:pPr>
      <w:r>
        <w:rPr>
          <w:szCs w:val="24"/>
          <w:lang w:val="es-ES_tradnl"/>
        </w:rPr>
        <w:t>Contar con p</w:t>
      </w:r>
      <w:r w:rsidRPr="007D5699">
        <w:rPr>
          <w:szCs w:val="24"/>
          <w:lang w:val="es-ES_tradnl"/>
        </w:rPr>
        <w:t>ersonal calificado en la evaluación financiera de proyectos de eficiencia energética a través de aplicaciones de energía renovable en la industria</w:t>
      </w:r>
    </w:p>
    <w:p w:rsidR="00E605A3" w:rsidRPr="007D5699" w:rsidRDefault="00E605A3" w:rsidP="00E605A3">
      <w:pPr>
        <w:pStyle w:val="BodyTextIndent2"/>
        <w:numPr>
          <w:ilvl w:val="0"/>
          <w:numId w:val="1"/>
        </w:numPr>
        <w:spacing w:after="0" w:line="226" w:lineRule="auto"/>
        <w:jc w:val="both"/>
        <w:rPr>
          <w:szCs w:val="24"/>
          <w:lang w:val="es-ES_tradnl"/>
        </w:rPr>
      </w:pPr>
      <w:r>
        <w:rPr>
          <w:szCs w:val="24"/>
          <w:lang w:val="es-ES_tradnl"/>
        </w:rPr>
        <w:t>Contar con p</w:t>
      </w:r>
      <w:r w:rsidRPr="007D5699">
        <w:rPr>
          <w:szCs w:val="24"/>
          <w:lang w:val="es-ES_tradnl"/>
        </w:rPr>
        <w:t xml:space="preserve">ersonal calificado </w:t>
      </w:r>
      <w:r>
        <w:rPr>
          <w:szCs w:val="24"/>
          <w:lang w:val="es-ES_tradnl"/>
        </w:rPr>
        <w:t>para realizar</w:t>
      </w:r>
      <w:r w:rsidRPr="007D5699">
        <w:rPr>
          <w:szCs w:val="24"/>
          <w:lang w:val="es-ES_tradnl"/>
        </w:rPr>
        <w:t xml:space="preserve"> auditor</w:t>
      </w:r>
      <w:r w:rsidRPr="007D5699">
        <w:rPr>
          <w:szCs w:val="24"/>
          <w:lang w:val="es-ES"/>
        </w:rPr>
        <w:t xml:space="preserve">ías energéticas </w:t>
      </w:r>
      <w:r>
        <w:rPr>
          <w:szCs w:val="24"/>
          <w:lang w:val="es-ES"/>
        </w:rPr>
        <w:t>en industria</w:t>
      </w:r>
      <w:r w:rsidRPr="007D5699">
        <w:rPr>
          <w:szCs w:val="24"/>
          <w:lang w:val="es-ES"/>
        </w:rPr>
        <w:t xml:space="preserve"> </w:t>
      </w:r>
      <w:r>
        <w:rPr>
          <w:szCs w:val="24"/>
          <w:lang w:val="es-ES"/>
        </w:rPr>
        <w:t>(</w:t>
      </w:r>
      <w:r w:rsidRPr="007D5699">
        <w:rPr>
          <w:szCs w:val="24"/>
          <w:lang w:val="es-ES"/>
        </w:rPr>
        <w:t>grado de inversión</w:t>
      </w:r>
      <w:r>
        <w:rPr>
          <w:szCs w:val="24"/>
          <w:lang w:val="es-ES"/>
        </w:rPr>
        <w:t>)</w:t>
      </w:r>
      <w:r w:rsidRPr="007D5699">
        <w:rPr>
          <w:szCs w:val="24"/>
          <w:lang w:val="es-ES"/>
        </w:rPr>
        <w:t>.</w:t>
      </w:r>
    </w:p>
    <w:p w:rsidR="00A33F82" w:rsidRPr="007D5699" w:rsidRDefault="00090896" w:rsidP="00A33F82">
      <w:pPr>
        <w:pStyle w:val="BodyTextIndent2"/>
        <w:numPr>
          <w:ilvl w:val="0"/>
          <w:numId w:val="1"/>
        </w:numPr>
        <w:spacing w:after="0" w:line="226" w:lineRule="auto"/>
        <w:jc w:val="both"/>
        <w:rPr>
          <w:szCs w:val="24"/>
          <w:lang w:val="es-ES_tradnl"/>
        </w:rPr>
      </w:pPr>
      <w:r>
        <w:rPr>
          <w:szCs w:val="24"/>
          <w:lang w:val="es-ES_tradnl"/>
        </w:rPr>
        <w:t xml:space="preserve">Experiencia en </w:t>
      </w:r>
      <w:r w:rsidR="00E605A3">
        <w:rPr>
          <w:szCs w:val="24"/>
          <w:lang w:val="es-ES_tradnl"/>
        </w:rPr>
        <w:t>análisis</w:t>
      </w:r>
      <w:r w:rsidR="00A33F82" w:rsidRPr="007D5699">
        <w:rPr>
          <w:szCs w:val="24"/>
          <w:lang w:val="es-ES_tradnl"/>
        </w:rPr>
        <w:t xml:space="preserve"> de viabilidad técnica y </w:t>
      </w:r>
      <w:r w:rsidR="00DC2D4E">
        <w:rPr>
          <w:szCs w:val="24"/>
          <w:lang w:val="es-ES_tradnl"/>
        </w:rPr>
        <w:t>financiera</w:t>
      </w:r>
      <w:r w:rsidR="00A33F82" w:rsidRPr="007D5699">
        <w:rPr>
          <w:szCs w:val="24"/>
          <w:lang w:val="es-ES_tradnl"/>
        </w:rPr>
        <w:t xml:space="preserve"> de proyectos de aprovechamiento de residuos </w:t>
      </w:r>
      <w:r w:rsidR="00E605A3">
        <w:rPr>
          <w:szCs w:val="24"/>
          <w:lang w:val="es-ES_tradnl"/>
        </w:rPr>
        <w:t>(sólidos o líquidos) en la producción de energía.</w:t>
      </w:r>
    </w:p>
    <w:p w:rsidR="009B5275" w:rsidRPr="007D5699" w:rsidRDefault="009B5275" w:rsidP="009B5275">
      <w:pPr>
        <w:pStyle w:val="BodyTextIndent2"/>
        <w:numPr>
          <w:ilvl w:val="0"/>
          <w:numId w:val="1"/>
        </w:numPr>
        <w:spacing w:after="0" w:line="226" w:lineRule="auto"/>
        <w:jc w:val="both"/>
        <w:rPr>
          <w:szCs w:val="24"/>
          <w:lang w:val="es-ES_tradnl"/>
        </w:rPr>
      </w:pPr>
      <w:r w:rsidRPr="007D5699">
        <w:rPr>
          <w:szCs w:val="24"/>
          <w:lang w:val="es-ES_tradnl"/>
        </w:rPr>
        <w:t>Experiencia en evaluación económica/financiera de proyectos de eficiencia energética a través de aplicaciones de energía renovable en la industria.</w:t>
      </w:r>
    </w:p>
    <w:p w:rsidR="00E70C57" w:rsidRPr="007D5699" w:rsidRDefault="00E70C57" w:rsidP="00A33F82">
      <w:pPr>
        <w:pStyle w:val="BodyTextIndent2"/>
        <w:numPr>
          <w:ilvl w:val="0"/>
          <w:numId w:val="1"/>
        </w:numPr>
        <w:spacing w:after="0" w:line="226" w:lineRule="auto"/>
        <w:jc w:val="both"/>
        <w:rPr>
          <w:szCs w:val="24"/>
          <w:lang w:val="es-ES_tradnl"/>
        </w:rPr>
      </w:pPr>
      <w:r w:rsidRPr="00E605A3">
        <w:rPr>
          <w:szCs w:val="24"/>
          <w:lang w:val="es-ES_tradnl"/>
        </w:rPr>
        <w:t>Experiencia en implementación de proyectos.</w:t>
      </w:r>
    </w:p>
    <w:p w:rsidR="007C2285" w:rsidRPr="004166A8" w:rsidRDefault="007C2285" w:rsidP="007C2285">
      <w:pPr>
        <w:spacing w:line="240" w:lineRule="auto"/>
        <w:jc w:val="both"/>
        <w:rPr>
          <w:szCs w:val="24"/>
        </w:rPr>
      </w:pPr>
    </w:p>
    <w:p w:rsidR="002A5D22" w:rsidRDefault="007C2285" w:rsidP="007C2285">
      <w:pPr>
        <w:spacing w:line="240" w:lineRule="auto"/>
        <w:jc w:val="both"/>
        <w:rPr>
          <w:szCs w:val="24"/>
        </w:rPr>
      </w:pPr>
      <w:r w:rsidRPr="004166A8">
        <w:rPr>
          <w:szCs w:val="24"/>
        </w:rPr>
        <w:t xml:space="preserve">El periodo </w:t>
      </w:r>
      <w:r>
        <w:rPr>
          <w:szCs w:val="24"/>
        </w:rPr>
        <w:t xml:space="preserve">estimado </w:t>
      </w:r>
      <w:r w:rsidRPr="004166A8">
        <w:rPr>
          <w:szCs w:val="24"/>
        </w:rPr>
        <w:t xml:space="preserve">de ejecución del contrato es de </w:t>
      </w:r>
      <w:r w:rsidR="00A33F82">
        <w:rPr>
          <w:szCs w:val="24"/>
        </w:rPr>
        <w:t>2</w:t>
      </w:r>
      <w:r w:rsidRPr="004166A8">
        <w:rPr>
          <w:szCs w:val="24"/>
        </w:rPr>
        <w:t xml:space="preserve"> meses y e</w:t>
      </w:r>
      <w:r w:rsidRPr="004166A8">
        <w:rPr>
          <w:iCs/>
          <w:szCs w:val="24"/>
        </w:rPr>
        <w:t xml:space="preserve">l presupuesto máximo de la contratación es </w:t>
      </w:r>
      <w:r>
        <w:rPr>
          <w:iCs/>
          <w:szCs w:val="24"/>
        </w:rPr>
        <w:t xml:space="preserve">de </w:t>
      </w:r>
      <w:r w:rsidRPr="00554188">
        <w:rPr>
          <w:iCs/>
          <w:szCs w:val="24"/>
        </w:rPr>
        <w:t xml:space="preserve">USD </w:t>
      </w:r>
      <w:r w:rsidR="004A6CB2">
        <w:rPr>
          <w:iCs/>
          <w:szCs w:val="24"/>
        </w:rPr>
        <w:t>6</w:t>
      </w:r>
      <w:r w:rsidR="00A33F82">
        <w:rPr>
          <w:iCs/>
          <w:szCs w:val="24"/>
        </w:rPr>
        <w:t>0</w:t>
      </w:r>
      <w:r w:rsidRPr="00554188">
        <w:rPr>
          <w:iCs/>
          <w:szCs w:val="24"/>
        </w:rPr>
        <w:t>,000</w:t>
      </w:r>
      <w:r w:rsidRPr="004166A8">
        <w:rPr>
          <w:iCs/>
          <w:szCs w:val="24"/>
        </w:rPr>
        <w:t>.  L</w:t>
      </w:r>
      <w:r w:rsidRPr="004166A8">
        <w:rPr>
          <w:szCs w:val="24"/>
        </w:rPr>
        <w:t xml:space="preserve">os servicios deberán brindarse </w:t>
      </w:r>
      <w:r w:rsidR="002A5D22">
        <w:rPr>
          <w:szCs w:val="24"/>
        </w:rPr>
        <w:t>como trabajo de escritorio, con al menos una misión de campo que incluya una auditoría energética (grado de inversión)</w:t>
      </w:r>
      <w:r w:rsidR="004A6CB2">
        <w:rPr>
          <w:szCs w:val="24"/>
        </w:rPr>
        <w:t xml:space="preserve"> de las actuales instalaciones en la localidad mencionada</w:t>
      </w:r>
      <w:r w:rsidR="002A5D22">
        <w:rPr>
          <w:szCs w:val="24"/>
        </w:rPr>
        <w:t>.</w:t>
      </w:r>
    </w:p>
    <w:p w:rsidR="002A5D22" w:rsidRDefault="002A5D22" w:rsidP="007C2285">
      <w:pPr>
        <w:spacing w:line="240" w:lineRule="auto"/>
        <w:jc w:val="both"/>
        <w:rPr>
          <w:szCs w:val="24"/>
        </w:rPr>
      </w:pPr>
    </w:p>
    <w:p w:rsidR="007C2285" w:rsidRPr="004166A8" w:rsidRDefault="007C2285" w:rsidP="007C2285">
      <w:pPr>
        <w:spacing w:line="240" w:lineRule="auto"/>
        <w:jc w:val="both"/>
        <w:rPr>
          <w:iCs/>
          <w:szCs w:val="24"/>
          <w:lang w:val="es-ES"/>
        </w:rPr>
      </w:pPr>
      <w:r w:rsidRPr="004166A8">
        <w:rPr>
          <w:iCs/>
          <w:szCs w:val="24"/>
          <w:lang w:val="es-ES"/>
        </w:rPr>
        <w:t xml:space="preserve">El </w:t>
      </w:r>
      <w:r w:rsidR="008435B2">
        <w:rPr>
          <w:iCs/>
          <w:szCs w:val="24"/>
          <w:lang w:val="es-ES"/>
        </w:rPr>
        <w:t>FOMIN</w:t>
      </w:r>
      <w:r w:rsidRPr="004166A8">
        <w:rPr>
          <w:iCs/>
          <w:szCs w:val="24"/>
          <w:lang w:val="es-ES"/>
        </w:rPr>
        <w:t xml:space="preserve"> invita a los consultores </w:t>
      </w:r>
      <w:r>
        <w:rPr>
          <w:iCs/>
          <w:szCs w:val="24"/>
          <w:lang w:val="es-ES"/>
        </w:rPr>
        <w:t>que reúnan los requisitos anteriormente señalados</w:t>
      </w:r>
      <w:r w:rsidRPr="004166A8">
        <w:rPr>
          <w:iCs/>
          <w:szCs w:val="24"/>
          <w:lang w:val="es-ES"/>
        </w:rPr>
        <w:t xml:space="preserve"> a expresar su interés en prestar los servicios solicitados.  Los consultores interesados deberán proporcionar información que indique que están </w:t>
      </w:r>
      <w:r w:rsidR="00DC2D4E">
        <w:rPr>
          <w:iCs/>
          <w:szCs w:val="24"/>
          <w:lang w:val="es-ES"/>
        </w:rPr>
        <w:t xml:space="preserve">calificados </w:t>
      </w:r>
      <w:r w:rsidRPr="004166A8">
        <w:rPr>
          <w:iCs/>
          <w:szCs w:val="24"/>
          <w:lang w:val="es-ES"/>
        </w:rPr>
        <w:t>para suministrar los servicios, incluyendo la descripción de trabajos similares</w:t>
      </w:r>
      <w:r>
        <w:rPr>
          <w:iCs/>
          <w:szCs w:val="24"/>
          <w:lang w:val="es-ES"/>
        </w:rPr>
        <w:t xml:space="preserve"> en la región</w:t>
      </w:r>
      <w:r w:rsidRPr="004166A8">
        <w:rPr>
          <w:iCs/>
          <w:szCs w:val="24"/>
          <w:lang w:val="es-ES"/>
        </w:rPr>
        <w:t xml:space="preserve"> y disponibilidad de personal que tenga los conocimientos </w:t>
      </w:r>
      <w:r>
        <w:rPr>
          <w:iCs/>
          <w:szCs w:val="24"/>
          <w:lang w:val="es-ES"/>
        </w:rPr>
        <w:t xml:space="preserve">y la experiencia </w:t>
      </w:r>
      <w:r w:rsidRPr="004166A8">
        <w:rPr>
          <w:iCs/>
          <w:szCs w:val="24"/>
          <w:lang w:val="es-ES"/>
        </w:rPr>
        <w:t xml:space="preserve">pertinentes. </w:t>
      </w:r>
      <w:r w:rsidR="009B5275">
        <w:rPr>
          <w:iCs/>
          <w:szCs w:val="24"/>
          <w:lang w:val="es-ES"/>
        </w:rPr>
        <w:t xml:space="preserve">Se </w:t>
      </w:r>
      <w:r w:rsidR="007D5699">
        <w:rPr>
          <w:iCs/>
          <w:szCs w:val="24"/>
          <w:lang w:val="es-ES"/>
        </w:rPr>
        <w:t>revisará</w:t>
      </w:r>
      <w:r w:rsidR="009B5275">
        <w:rPr>
          <w:iCs/>
          <w:szCs w:val="24"/>
          <w:lang w:val="es-ES"/>
        </w:rPr>
        <w:t xml:space="preserve"> la información referente a los requisitos arriba mencionados.</w:t>
      </w:r>
      <w:r w:rsidRPr="004166A8">
        <w:rPr>
          <w:iCs/>
          <w:szCs w:val="24"/>
          <w:lang w:val="es-ES"/>
        </w:rPr>
        <w:t xml:space="preserve"> </w:t>
      </w:r>
      <w:r w:rsidR="007D5699">
        <w:rPr>
          <w:iCs/>
          <w:szCs w:val="24"/>
          <w:lang w:val="es-ES"/>
        </w:rPr>
        <w:t xml:space="preserve"> </w:t>
      </w:r>
      <w:r w:rsidRPr="004166A8">
        <w:rPr>
          <w:iCs/>
          <w:szCs w:val="24"/>
          <w:lang w:val="es-ES"/>
        </w:rPr>
        <w:t>Los consultores se podrán asociar con el fin de mejorar sus calificaciones.</w:t>
      </w:r>
    </w:p>
    <w:p w:rsidR="007C2285" w:rsidRPr="004166A8" w:rsidRDefault="007C2285" w:rsidP="007C2285">
      <w:pPr>
        <w:spacing w:line="240" w:lineRule="auto"/>
        <w:jc w:val="both"/>
        <w:rPr>
          <w:iCs/>
          <w:szCs w:val="24"/>
          <w:lang w:val="es-ES"/>
        </w:rPr>
      </w:pPr>
    </w:p>
    <w:p w:rsidR="007C2285" w:rsidRPr="004166A8" w:rsidRDefault="007C2285" w:rsidP="007C2285">
      <w:pPr>
        <w:keepNext/>
        <w:spacing w:line="240" w:lineRule="auto"/>
        <w:jc w:val="both"/>
        <w:rPr>
          <w:iCs/>
          <w:szCs w:val="24"/>
          <w:lang w:val="es-ES"/>
        </w:rPr>
      </w:pPr>
      <w:r w:rsidRPr="004166A8">
        <w:rPr>
          <w:iCs/>
          <w:szCs w:val="24"/>
          <w:lang w:val="es-ES"/>
        </w:rPr>
        <w:t xml:space="preserve">Los consultores serán seleccionados conforme a los procedimientos indicados en las </w:t>
      </w:r>
      <w:r>
        <w:rPr>
          <w:iCs/>
          <w:szCs w:val="24"/>
        </w:rPr>
        <w:t xml:space="preserve">última versión aprobada de las </w:t>
      </w:r>
      <w:hyperlink r:id="rId8" w:history="1">
        <w:r w:rsidRPr="00062426">
          <w:rPr>
            <w:rStyle w:val="Hyperlink"/>
            <w:iCs/>
            <w:color w:val="3366FF"/>
            <w:szCs w:val="24"/>
            <w:lang w:val="es-ES"/>
          </w:rPr>
          <w:t>Políticas para la Selección y Contratación de Consultores financiados por el Banco Interamericano de Desarrollo</w:t>
        </w:r>
      </w:hyperlink>
      <w:r w:rsidRPr="004166A8">
        <w:rPr>
          <w:iCs/>
          <w:szCs w:val="24"/>
          <w:lang w:val="es-ES"/>
        </w:rPr>
        <w:t xml:space="preserve">, y podrán participar todos los licitantes de países de origen que </w:t>
      </w:r>
      <w:r w:rsidR="0021279E">
        <w:rPr>
          <w:iCs/>
          <w:szCs w:val="24"/>
          <w:lang w:val="es-ES"/>
        </w:rPr>
        <w:t>sean de origen de países miembros del FOMIN</w:t>
      </w:r>
      <w:r w:rsidRPr="004166A8">
        <w:rPr>
          <w:iCs/>
          <w:szCs w:val="24"/>
          <w:lang w:val="es-ES"/>
        </w:rPr>
        <w:t>, según se especifica en dichas políticas.</w:t>
      </w:r>
      <w:r w:rsidR="00A83F96">
        <w:rPr>
          <w:iCs/>
          <w:szCs w:val="24"/>
          <w:lang w:val="es-ES"/>
        </w:rPr>
        <w:t xml:space="preserve"> El proceso de contratación se</w:t>
      </w:r>
      <w:r w:rsidR="004459E3">
        <w:rPr>
          <w:iCs/>
          <w:szCs w:val="24"/>
          <w:lang w:val="es-ES"/>
        </w:rPr>
        <w:t xml:space="preserve"> realizar</w:t>
      </w:r>
      <w:r w:rsidR="00A83F96">
        <w:rPr>
          <w:iCs/>
          <w:szCs w:val="24"/>
          <w:lang w:val="es-ES"/>
        </w:rPr>
        <w:t xml:space="preserve">á </w:t>
      </w:r>
      <w:r w:rsidR="004459E3">
        <w:rPr>
          <w:iCs/>
          <w:szCs w:val="24"/>
          <w:lang w:val="es-ES"/>
        </w:rPr>
        <w:t>aplicando el método de S</w:t>
      </w:r>
      <w:r w:rsidR="00A83F96">
        <w:rPr>
          <w:iCs/>
          <w:szCs w:val="24"/>
          <w:lang w:val="es-ES"/>
        </w:rPr>
        <w:t>elección basad</w:t>
      </w:r>
      <w:r w:rsidR="004459E3">
        <w:rPr>
          <w:iCs/>
          <w:szCs w:val="24"/>
          <w:lang w:val="es-ES"/>
        </w:rPr>
        <w:t>o</w:t>
      </w:r>
      <w:r w:rsidR="00A83F96">
        <w:rPr>
          <w:iCs/>
          <w:szCs w:val="24"/>
          <w:lang w:val="es-ES"/>
        </w:rPr>
        <w:t xml:space="preserve"> en las </w:t>
      </w:r>
      <w:r w:rsidR="004459E3">
        <w:rPr>
          <w:iCs/>
          <w:szCs w:val="24"/>
          <w:lang w:val="es-ES"/>
        </w:rPr>
        <w:t xml:space="preserve">Calificaciones </w:t>
      </w:r>
      <w:r w:rsidR="00A83F96">
        <w:rPr>
          <w:iCs/>
          <w:szCs w:val="24"/>
          <w:lang w:val="es-ES"/>
        </w:rPr>
        <w:t xml:space="preserve">de los </w:t>
      </w:r>
      <w:r w:rsidR="004459E3">
        <w:rPr>
          <w:iCs/>
          <w:szCs w:val="24"/>
          <w:lang w:val="es-ES"/>
        </w:rPr>
        <w:t>C</w:t>
      </w:r>
      <w:r w:rsidR="00A83F96">
        <w:rPr>
          <w:iCs/>
          <w:szCs w:val="24"/>
          <w:lang w:val="es-ES"/>
        </w:rPr>
        <w:t>onsultores.</w:t>
      </w:r>
    </w:p>
    <w:p w:rsidR="007C2285" w:rsidRPr="004166A8" w:rsidRDefault="007C2285" w:rsidP="007C2285">
      <w:pPr>
        <w:spacing w:line="240" w:lineRule="auto"/>
        <w:jc w:val="both"/>
        <w:rPr>
          <w:iCs/>
          <w:szCs w:val="24"/>
          <w:lang w:val="es-ES"/>
        </w:rPr>
      </w:pPr>
    </w:p>
    <w:p w:rsidR="007C2285" w:rsidRDefault="007C2285" w:rsidP="007C2285">
      <w:pPr>
        <w:spacing w:line="240" w:lineRule="auto"/>
        <w:jc w:val="both"/>
        <w:rPr>
          <w:iCs/>
          <w:szCs w:val="24"/>
          <w:lang w:val="es-ES"/>
        </w:rPr>
      </w:pPr>
      <w:r w:rsidRPr="004166A8">
        <w:rPr>
          <w:iCs/>
          <w:szCs w:val="24"/>
          <w:lang w:val="es-ES"/>
        </w:rPr>
        <w:t>Los consultores interesados pueden obtener más información en la dirección indicada al final de este documento.</w:t>
      </w:r>
      <w:r>
        <w:rPr>
          <w:iCs/>
          <w:szCs w:val="24"/>
          <w:lang w:val="es-ES"/>
        </w:rPr>
        <w:t xml:space="preserve">  </w:t>
      </w:r>
      <w:r w:rsidRPr="004166A8">
        <w:rPr>
          <w:iCs/>
          <w:szCs w:val="24"/>
          <w:lang w:val="es-ES"/>
        </w:rPr>
        <w:t>Las expresiones de interés deberán ser recibidas por vía postal o correo electrónico en la dirección indicada a continuación,</w:t>
      </w:r>
      <w:r w:rsidRPr="004166A8">
        <w:rPr>
          <w:i/>
          <w:iCs/>
          <w:szCs w:val="24"/>
          <w:lang w:val="es-ES"/>
        </w:rPr>
        <w:t xml:space="preserve"> </w:t>
      </w:r>
      <w:r w:rsidRPr="004166A8">
        <w:rPr>
          <w:iCs/>
          <w:szCs w:val="24"/>
          <w:lang w:val="es-ES"/>
        </w:rPr>
        <w:t xml:space="preserve">a más tardar a las </w:t>
      </w:r>
      <w:r>
        <w:rPr>
          <w:iCs/>
          <w:szCs w:val="24"/>
          <w:lang w:val="es-ES"/>
        </w:rPr>
        <w:t xml:space="preserve">17:00 de Washington, DC (Estados Unidos) </w:t>
      </w:r>
      <w:r w:rsidRPr="004166A8">
        <w:rPr>
          <w:iCs/>
          <w:szCs w:val="24"/>
          <w:lang w:val="es-ES"/>
        </w:rPr>
        <w:t xml:space="preserve">del </w:t>
      </w:r>
      <w:r w:rsidRPr="00554188">
        <w:rPr>
          <w:iCs/>
          <w:szCs w:val="24"/>
          <w:lang w:val="es-ES"/>
        </w:rPr>
        <w:t xml:space="preserve">día </w:t>
      </w:r>
      <w:r w:rsidR="002A5D22">
        <w:rPr>
          <w:iCs/>
          <w:szCs w:val="24"/>
          <w:lang w:val="es-ES"/>
        </w:rPr>
        <w:t>3</w:t>
      </w:r>
      <w:r w:rsidRPr="00554188">
        <w:rPr>
          <w:iCs/>
          <w:szCs w:val="24"/>
          <w:lang w:val="es-ES"/>
        </w:rPr>
        <w:t xml:space="preserve"> de </w:t>
      </w:r>
      <w:r w:rsidR="002A5D22">
        <w:rPr>
          <w:iCs/>
          <w:szCs w:val="24"/>
          <w:lang w:val="es-ES"/>
        </w:rPr>
        <w:t>septiembre</w:t>
      </w:r>
      <w:r w:rsidRPr="00554188">
        <w:rPr>
          <w:iCs/>
          <w:szCs w:val="24"/>
          <w:lang w:val="es-ES"/>
        </w:rPr>
        <w:t xml:space="preserve"> de 2010.</w:t>
      </w:r>
    </w:p>
    <w:p w:rsidR="007C2285" w:rsidRPr="004166A8" w:rsidRDefault="007C2285" w:rsidP="007C2285">
      <w:pPr>
        <w:spacing w:line="240" w:lineRule="auto"/>
        <w:jc w:val="both"/>
        <w:rPr>
          <w:iCs/>
          <w:szCs w:val="24"/>
          <w:lang w:val="es-ES"/>
        </w:rPr>
      </w:pPr>
    </w:p>
    <w:p w:rsidR="008435B2" w:rsidRDefault="008435B2" w:rsidP="008435B2">
      <w:pPr>
        <w:spacing w:line="240" w:lineRule="auto"/>
        <w:jc w:val="both"/>
        <w:rPr>
          <w:iCs/>
          <w:szCs w:val="24"/>
          <w:lang w:val="es-ES"/>
        </w:rPr>
      </w:pPr>
      <w:r>
        <w:rPr>
          <w:iCs/>
          <w:szCs w:val="24"/>
          <w:lang w:val="es-ES"/>
        </w:rPr>
        <w:t>Banco Inter-Americano de Desarrollo</w:t>
      </w:r>
    </w:p>
    <w:p w:rsidR="0021279E" w:rsidRDefault="0021279E" w:rsidP="007C2285">
      <w:pPr>
        <w:spacing w:line="240" w:lineRule="auto"/>
        <w:jc w:val="both"/>
        <w:rPr>
          <w:iCs/>
          <w:szCs w:val="24"/>
          <w:lang w:val="es-ES"/>
        </w:rPr>
      </w:pPr>
      <w:r>
        <w:rPr>
          <w:iCs/>
          <w:szCs w:val="24"/>
          <w:lang w:val="es-ES"/>
        </w:rPr>
        <w:t>Fondo Multilateral de Inversiones (FOMIN)</w:t>
      </w:r>
    </w:p>
    <w:p w:rsidR="007C2285" w:rsidRDefault="0021279E" w:rsidP="007C2285">
      <w:pPr>
        <w:spacing w:line="240" w:lineRule="auto"/>
        <w:jc w:val="both"/>
        <w:rPr>
          <w:iCs/>
          <w:szCs w:val="24"/>
          <w:lang w:val="es-ES"/>
        </w:rPr>
      </w:pPr>
      <w:r>
        <w:rPr>
          <w:iCs/>
          <w:szCs w:val="24"/>
          <w:lang w:val="es-ES"/>
        </w:rPr>
        <w:t>Unidad de Acceso a Servicios Básicos</w:t>
      </w:r>
    </w:p>
    <w:p w:rsidR="0021279E" w:rsidRPr="004166A8" w:rsidRDefault="0021279E" w:rsidP="007C2285">
      <w:pPr>
        <w:spacing w:line="240" w:lineRule="auto"/>
        <w:jc w:val="both"/>
        <w:rPr>
          <w:iCs/>
          <w:szCs w:val="24"/>
          <w:lang w:val="es-ES"/>
        </w:rPr>
      </w:pPr>
      <w:r>
        <w:rPr>
          <w:iCs/>
          <w:szCs w:val="24"/>
          <w:lang w:val="es-ES"/>
        </w:rPr>
        <w:t>Attn: Zachary Levey // Alejandro Escobar // Wesly Ureña</w:t>
      </w:r>
      <w:r w:rsidRPr="004166A8">
        <w:rPr>
          <w:iCs/>
          <w:szCs w:val="24"/>
          <w:lang w:val="es-ES"/>
        </w:rPr>
        <w:t xml:space="preserve"> </w:t>
      </w:r>
      <w:r>
        <w:rPr>
          <w:iCs/>
          <w:szCs w:val="24"/>
          <w:lang w:val="es-ES"/>
        </w:rPr>
        <w:t xml:space="preserve">  </w:t>
      </w:r>
    </w:p>
    <w:p w:rsidR="007C2285" w:rsidRPr="004166A8" w:rsidRDefault="007C2285" w:rsidP="007C2285">
      <w:pPr>
        <w:spacing w:line="240" w:lineRule="auto"/>
        <w:jc w:val="both"/>
        <w:rPr>
          <w:iCs/>
          <w:szCs w:val="24"/>
          <w:lang w:val="en-US"/>
        </w:rPr>
      </w:pPr>
      <w:r w:rsidRPr="004166A8">
        <w:rPr>
          <w:iCs/>
          <w:szCs w:val="24"/>
          <w:lang w:val="en-US"/>
        </w:rPr>
        <w:t>1300 New York A</w:t>
      </w:r>
      <w:r>
        <w:rPr>
          <w:iCs/>
          <w:szCs w:val="24"/>
          <w:lang w:val="en-US"/>
        </w:rPr>
        <w:t>ve</w:t>
      </w:r>
      <w:r w:rsidRPr="004166A8">
        <w:rPr>
          <w:iCs/>
          <w:szCs w:val="24"/>
          <w:lang w:val="en-US"/>
        </w:rPr>
        <w:t>, NW</w:t>
      </w:r>
      <w:r>
        <w:rPr>
          <w:iCs/>
          <w:szCs w:val="24"/>
          <w:lang w:val="en-US"/>
        </w:rPr>
        <w:t xml:space="preserve">.  </w:t>
      </w:r>
      <w:smartTag w:uri="urn:schemas-microsoft-com:office:smarttags" w:element="place">
        <w:smartTag w:uri="urn:schemas-microsoft-com:office:smarttags" w:element="City">
          <w:r w:rsidRPr="004166A8">
            <w:rPr>
              <w:iCs/>
              <w:szCs w:val="24"/>
              <w:lang w:val="en-US"/>
            </w:rPr>
            <w:t>Washington</w:t>
          </w:r>
        </w:smartTag>
        <w:r w:rsidRPr="004166A8">
          <w:rPr>
            <w:iCs/>
            <w:szCs w:val="24"/>
            <w:lang w:val="en-US"/>
          </w:rPr>
          <w:t xml:space="preserve">, </w:t>
        </w:r>
        <w:smartTag w:uri="urn:schemas-microsoft-com:office:smarttags" w:element="State">
          <w:r w:rsidRPr="004166A8">
            <w:rPr>
              <w:iCs/>
              <w:szCs w:val="24"/>
              <w:lang w:val="en-US"/>
            </w:rPr>
            <w:t>DC</w:t>
          </w:r>
        </w:smartTag>
        <w:r w:rsidRPr="004166A8">
          <w:rPr>
            <w:iCs/>
            <w:szCs w:val="24"/>
            <w:lang w:val="en-US"/>
          </w:rPr>
          <w:t xml:space="preserve"> </w:t>
        </w:r>
        <w:smartTag w:uri="urn:schemas-microsoft-com:office:smarttags" w:element="PostalCode">
          <w:r w:rsidRPr="004166A8">
            <w:rPr>
              <w:iCs/>
              <w:szCs w:val="24"/>
              <w:lang w:val="en-US"/>
            </w:rPr>
            <w:t>20577</w:t>
          </w:r>
        </w:smartTag>
        <w:r w:rsidRPr="004166A8">
          <w:rPr>
            <w:iCs/>
            <w:szCs w:val="24"/>
            <w:lang w:val="en-US"/>
          </w:rPr>
          <w:t xml:space="preserve">, </w:t>
        </w:r>
        <w:smartTag w:uri="urn:schemas-microsoft-com:office:smarttags" w:element="country-region">
          <w:r w:rsidRPr="004166A8">
            <w:rPr>
              <w:iCs/>
              <w:szCs w:val="24"/>
              <w:lang w:val="en-US"/>
            </w:rPr>
            <w:t>USA</w:t>
          </w:r>
        </w:smartTag>
      </w:smartTag>
    </w:p>
    <w:p w:rsidR="007C2285" w:rsidRPr="00F04ACB" w:rsidRDefault="007C2285" w:rsidP="007C2285">
      <w:pPr>
        <w:spacing w:line="240" w:lineRule="auto"/>
        <w:jc w:val="both"/>
        <w:rPr>
          <w:iCs/>
          <w:szCs w:val="24"/>
          <w:lang w:val="en-US"/>
        </w:rPr>
      </w:pPr>
    </w:p>
    <w:p w:rsidR="007C2285" w:rsidRPr="004166A8" w:rsidRDefault="007C2285" w:rsidP="007C2285">
      <w:pPr>
        <w:spacing w:line="240" w:lineRule="auto"/>
        <w:jc w:val="both"/>
        <w:rPr>
          <w:iCs/>
          <w:szCs w:val="24"/>
          <w:lang w:val="es-ES"/>
        </w:rPr>
      </w:pPr>
      <w:r w:rsidRPr="004166A8">
        <w:rPr>
          <w:iCs/>
          <w:szCs w:val="24"/>
          <w:lang w:val="es-ES"/>
        </w:rPr>
        <w:t>Correos electrónicos:</w:t>
      </w:r>
      <w:r w:rsidR="002A5D22">
        <w:rPr>
          <w:iCs/>
          <w:szCs w:val="24"/>
          <w:lang w:val="es-ES"/>
        </w:rPr>
        <w:t xml:space="preserve"> </w:t>
      </w:r>
      <w:r w:rsidR="0021279E">
        <w:rPr>
          <w:iCs/>
          <w:szCs w:val="24"/>
          <w:lang w:val="es-ES"/>
        </w:rPr>
        <w:t>zacharyl</w:t>
      </w:r>
      <w:r w:rsidR="004A6CB2" w:rsidRPr="00090896">
        <w:rPr>
          <w:iCs/>
          <w:szCs w:val="24"/>
        </w:rPr>
        <w:t>@iadb.org</w:t>
      </w:r>
      <w:r>
        <w:rPr>
          <w:iCs/>
          <w:szCs w:val="24"/>
          <w:lang w:val="es-ES"/>
        </w:rPr>
        <w:t xml:space="preserve">, </w:t>
      </w:r>
      <w:r w:rsidR="0021279E">
        <w:rPr>
          <w:iCs/>
          <w:szCs w:val="24"/>
          <w:lang w:val="es-ES"/>
        </w:rPr>
        <w:t>alejandroe</w:t>
      </w:r>
      <w:r w:rsidR="004A6CB2">
        <w:rPr>
          <w:iCs/>
          <w:szCs w:val="24"/>
          <w:lang w:val="es-ES"/>
        </w:rPr>
        <w:t>@iadb.org</w:t>
      </w:r>
      <w:r>
        <w:rPr>
          <w:iCs/>
          <w:szCs w:val="24"/>
          <w:lang w:val="es-ES"/>
        </w:rPr>
        <w:t xml:space="preserve"> </w:t>
      </w:r>
      <w:r w:rsidRPr="004166A8">
        <w:rPr>
          <w:iCs/>
          <w:szCs w:val="24"/>
          <w:lang w:val="es-ES"/>
        </w:rPr>
        <w:t xml:space="preserve">y </w:t>
      </w:r>
      <w:r w:rsidR="0021279E">
        <w:rPr>
          <w:iCs/>
          <w:szCs w:val="24"/>
          <w:lang w:val="es-ES"/>
        </w:rPr>
        <w:t>weslyu</w:t>
      </w:r>
      <w:r w:rsidR="004A6CB2">
        <w:rPr>
          <w:iCs/>
          <w:szCs w:val="24"/>
          <w:lang w:val="es-ES"/>
        </w:rPr>
        <w:t xml:space="preserve">@iadb.org </w:t>
      </w:r>
      <w:hyperlink r:id="rId9" w:history="1"/>
    </w:p>
    <w:p w:rsidR="007C2285" w:rsidRDefault="007C2285" w:rsidP="007C2285">
      <w:pPr>
        <w:spacing w:line="240" w:lineRule="auto"/>
        <w:jc w:val="both"/>
        <w:rPr>
          <w:iCs/>
          <w:szCs w:val="24"/>
          <w:lang w:val="en-US"/>
        </w:rPr>
      </w:pPr>
      <w:proofErr w:type="spellStart"/>
      <w:r w:rsidRPr="00EF3617">
        <w:rPr>
          <w:iCs/>
          <w:szCs w:val="24"/>
          <w:lang w:val="en-US"/>
        </w:rPr>
        <w:t>Sitio</w:t>
      </w:r>
      <w:proofErr w:type="spellEnd"/>
      <w:r w:rsidRPr="00EF3617">
        <w:rPr>
          <w:iCs/>
          <w:szCs w:val="24"/>
          <w:lang w:val="en-US"/>
        </w:rPr>
        <w:t xml:space="preserve"> Web:</w:t>
      </w:r>
      <w:r w:rsidR="00AD4A99">
        <w:rPr>
          <w:iCs/>
          <w:szCs w:val="24"/>
          <w:lang w:val="en-US"/>
        </w:rPr>
        <w:t xml:space="preserve">  </w:t>
      </w:r>
      <w:hyperlink r:id="rId10" w:history="1">
        <w:r w:rsidR="00AD4A99" w:rsidRPr="00413B3D">
          <w:rPr>
            <w:rStyle w:val="Hyperlink"/>
            <w:iCs/>
            <w:szCs w:val="24"/>
            <w:lang w:val="en-US"/>
          </w:rPr>
          <w:t>www.iadb.org/fomin</w:t>
        </w:r>
      </w:hyperlink>
      <w:proofErr w:type="gramStart"/>
      <w:r w:rsidR="00AD4A99">
        <w:rPr>
          <w:iCs/>
          <w:szCs w:val="24"/>
          <w:lang w:val="en-US"/>
        </w:rPr>
        <w:t xml:space="preserve">; </w:t>
      </w:r>
      <w:r w:rsidRPr="00EF3617">
        <w:rPr>
          <w:iCs/>
          <w:szCs w:val="24"/>
          <w:lang w:val="en-US"/>
        </w:rPr>
        <w:t xml:space="preserve"> </w:t>
      </w:r>
      <w:proofErr w:type="gramEnd"/>
      <w:hyperlink r:id="rId11" w:history="1">
        <w:r w:rsidRPr="00590D54">
          <w:rPr>
            <w:rStyle w:val="Hyperlink"/>
            <w:iCs/>
            <w:szCs w:val="24"/>
            <w:lang w:val="en-US"/>
          </w:rPr>
          <w:t>www.iadb.org/secci</w:t>
        </w:r>
      </w:hyperlink>
      <w:r>
        <w:rPr>
          <w:iCs/>
          <w:szCs w:val="24"/>
          <w:lang w:val="en-US"/>
        </w:rPr>
        <w:t xml:space="preserve"> </w:t>
      </w:r>
    </w:p>
    <w:p w:rsidR="0021279E" w:rsidRDefault="0021279E" w:rsidP="007C2285">
      <w:pPr>
        <w:spacing w:line="240" w:lineRule="auto"/>
        <w:jc w:val="both"/>
        <w:rPr>
          <w:iCs/>
          <w:szCs w:val="24"/>
          <w:lang w:val="en-US"/>
        </w:rPr>
      </w:pPr>
    </w:p>
    <w:p w:rsidR="0021279E" w:rsidRPr="00EF3617" w:rsidRDefault="0021279E" w:rsidP="007C2285">
      <w:pPr>
        <w:spacing w:line="240" w:lineRule="auto"/>
        <w:jc w:val="both"/>
        <w:rPr>
          <w:szCs w:val="24"/>
          <w:lang w:val="en-US"/>
        </w:rPr>
      </w:pPr>
    </w:p>
    <w:p w:rsidR="007C2285" w:rsidRPr="00AD4A99" w:rsidRDefault="007C2285" w:rsidP="007C2285">
      <w:pPr>
        <w:spacing w:line="240" w:lineRule="auto"/>
        <w:jc w:val="center"/>
        <w:rPr>
          <w:szCs w:val="24"/>
          <w:lang w:val="en-US"/>
        </w:rPr>
      </w:pPr>
      <w:r w:rsidRPr="00AD4A99">
        <w:rPr>
          <w:szCs w:val="24"/>
          <w:lang w:val="en-US"/>
        </w:rPr>
        <w:t>- - - - -</w:t>
      </w:r>
    </w:p>
    <w:p w:rsidR="006745EA" w:rsidRPr="00AD4A99" w:rsidRDefault="006745EA">
      <w:pPr>
        <w:rPr>
          <w:lang w:val="en-US"/>
        </w:rPr>
      </w:pPr>
    </w:p>
    <w:sectPr w:rsidR="006745EA" w:rsidRPr="00AD4A99" w:rsidSect="000212EF">
      <w:headerReference w:type="default" r:id="rId12"/>
      <w:endnotePr>
        <w:numFmt w:val="decimal"/>
      </w:endnotePr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457" w:rsidRDefault="006F1457" w:rsidP="00DC0995">
      <w:pPr>
        <w:spacing w:line="240" w:lineRule="auto"/>
      </w:pPr>
      <w:r>
        <w:separator/>
      </w:r>
    </w:p>
  </w:endnote>
  <w:endnote w:type="continuationSeparator" w:id="0">
    <w:p w:rsidR="006F1457" w:rsidRDefault="006F1457" w:rsidP="00DC099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457" w:rsidRDefault="006F1457" w:rsidP="00DC0995">
      <w:pPr>
        <w:spacing w:line="240" w:lineRule="auto"/>
      </w:pPr>
      <w:r>
        <w:separator/>
      </w:r>
    </w:p>
  </w:footnote>
  <w:footnote w:type="continuationSeparator" w:id="0">
    <w:p w:rsidR="006F1457" w:rsidRDefault="006F1457" w:rsidP="00DC099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A63" w:rsidRDefault="007C2285">
    <w:pPr>
      <w:pStyle w:val="Header"/>
      <w:tabs>
        <w:tab w:val="clear" w:pos="4320"/>
        <w:tab w:val="clear" w:pos="8640"/>
      </w:tabs>
      <w:jc w:val="right"/>
      <w:rPr>
        <w:sz w:val="20"/>
      </w:rPr>
    </w:pPr>
    <w:r>
      <w:rPr>
        <w:sz w:val="20"/>
      </w:rPr>
      <w:t xml:space="preserve">Página </w:t>
    </w:r>
    <w:r w:rsidR="00675406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675406">
      <w:rPr>
        <w:rStyle w:val="PageNumber"/>
        <w:sz w:val="20"/>
      </w:rPr>
      <w:fldChar w:fldCharType="separate"/>
    </w:r>
    <w:r w:rsidR="004459E3">
      <w:rPr>
        <w:rStyle w:val="PageNumber"/>
        <w:noProof/>
        <w:sz w:val="20"/>
      </w:rPr>
      <w:t>2</w:t>
    </w:r>
    <w:r w:rsidR="00675406"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de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42A9D"/>
    <w:multiLevelType w:val="hybridMultilevel"/>
    <w:tmpl w:val="06D8FE04"/>
    <w:lvl w:ilvl="0" w:tplc="1E282938">
      <w:start w:val="1"/>
      <w:numFmt w:val="low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7C2285"/>
    <w:rsid w:val="000741E7"/>
    <w:rsid w:val="00090896"/>
    <w:rsid w:val="0021279E"/>
    <w:rsid w:val="002A5D22"/>
    <w:rsid w:val="003141AE"/>
    <w:rsid w:val="003B605F"/>
    <w:rsid w:val="003D4AA4"/>
    <w:rsid w:val="003F264D"/>
    <w:rsid w:val="004459E3"/>
    <w:rsid w:val="004A6CB2"/>
    <w:rsid w:val="004E17BD"/>
    <w:rsid w:val="00544177"/>
    <w:rsid w:val="00554188"/>
    <w:rsid w:val="005B50D5"/>
    <w:rsid w:val="006745EA"/>
    <w:rsid w:val="00675406"/>
    <w:rsid w:val="006D6C26"/>
    <w:rsid w:val="006F1457"/>
    <w:rsid w:val="00726A8A"/>
    <w:rsid w:val="007C2285"/>
    <w:rsid w:val="007D5699"/>
    <w:rsid w:val="008435B2"/>
    <w:rsid w:val="008E2A05"/>
    <w:rsid w:val="009B5275"/>
    <w:rsid w:val="009E623C"/>
    <w:rsid w:val="00A33F82"/>
    <w:rsid w:val="00A83F96"/>
    <w:rsid w:val="00AC6D82"/>
    <w:rsid w:val="00AD4A99"/>
    <w:rsid w:val="00B07FA9"/>
    <w:rsid w:val="00C86D13"/>
    <w:rsid w:val="00CD0625"/>
    <w:rsid w:val="00DC0995"/>
    <w:rsid w:val="00DC2D4E"/>
    <w:rsid w:val="00E31C98"/>
    <w:rsid w:val="00E605A3"/>
    <w:rsid w:val="00E70C57"/>
    <w:rsid w:val="00EA5BE6"/>
    <w:rsid w:val="00F33175"/>
    <w:rsid w:val="00F50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285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5D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C22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C2285"/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styleId="PageNumber">
    <w:name w:val="page number"/>
    <w:basedOn w:val="DefaultParagraphFont"/>
    <w:rsid w:val="007C2285"/>
  </w:style>
  <w:style w:type="character" w:styleId="Hyperlink">
    <w:name w:val="Hyperlink"/>
    <w:basedOn w:val="DefaultParagraphFont"/>
    <w:rsid w:val="007C2285"/>
    <w:rPr>
      <w:color w:val="0000FF"/>
      <w:u w:val="single"/>
    </w:rPr>
  </w:style>
  <w:style w:type="paragraph" w:styleId="BodyText">
    <w:name w:val="Body Text"/>
    <w:basedOn w:val="Normal"/>
    <w:link w:val="BodyTextChar"/>
    <w:rsid w:val="007C2285"/>
    <w:pPr>
      <w:spacing w:line="240" w:lineRule="auto"/>
      <w:jc w:val="center"/>
    </w:pPr>
    <w:rPr>
      <w:b/>
      <w:sz w:val="32"/>
    </w:rPr>
  </w:style>
  <w:style w:type="character" w:customStyle="1" w:styleId="BodyTextChar">
    <w:name w:val="Body Text Char"/>
    <w:basedOn w:val="DefaultParagraphFont"/>
    <w:link w:val="BodyText"/>
    <w:rsid w:val="007C2285"/>
    <w:rPr>
      <w:rFonts w:ascii="Times New Roman" w:eastAsia="Times New Roman" w:hAnsi="Times New Roman" w:cs="Times New Roman"/>
      <w:b/>
      <w:sz w:val="32"/>
      <w:szCs w:val="20"/>
      <w:lang w:val="es-ES_tradnl"/>
    </w:rPr>
  </w:style>
  <w:style w:type="paragraph" w:styleId="Footer">
    <w:name w:val="footer"/>
    <w:basedOn w:val="Normal"/>
    <w:link w:val="FooterChar"/>
    <w:uiPriority w:val="99"/>
    <w:semiHidden/>
    <w:unhideWhenUsed/>
    <w:rsid w:val="0054417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4177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BodyTextIndent2">
    <w:name w:val="Body Text Indent 2"/>
    <w:basedOn w:val="Normal"/>
    <w:link w:val="BodyTextIndent2Char"/>
    <w:uiPriority w:val="99"/>
    <w:rsid w:val="00EA5BE6"/>
    <w:pPr>
      <w:spacing w:after="120"/>
      <w:ind w:left="360"/>
    </w:pPr>
    <w:rPr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A5BE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A5D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0908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89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896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8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89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8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896"/>
    <w:rPr>
      <w:rFonts w:ascii="Tahoma" w:eastAsia="Times New Roman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dc05.iadb.org/idbppis?pLanguage=SPANISH&amp;pMenuOption=oMenuPolicies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20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db.org/secci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www.iadb.org/fomin" TargetMode="External"/><Relationship Id="rId19" Type="http://schemas.openxmlformats.org/officeDocument/2006/relationships/customXml" Target="../customXml/item6.xml"/><Relationship Id="rId4" Type="http://schemas.openxmlformats.org/officeDocument/2006/relationships/settings" Target="settings.xml"/><Relationship Id="rId9" Type="http://schemas.openxmlformats.org/officeDocument/2006/relationships/hyperlink" Target="mailto:GrisselP@iadb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35314213</IDBDocs_x0020_Number>
    <TaxCatchAll xmlns="cdc7663a-08f0-4737-9e8c-148ce897a09c">
      <Value>11</Value>
      <Value>29</Value>
      <Value>14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>ATN/SF-9599-PR,SP/SF-05-16-PR</Approval_x0020_Number>
    <Document_x0020_Author xmlns="cdc7663a-08f0-4737-9e8c-148ce897a09c">SHIVAKUMARC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PR-L1112,PR-S1006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class="ExternalClass3D79168297134B48839AB1A6B5CB07F1"&gt;MS WORDGPNGeneral Procurement Notices0&lt;/div&gt;</Migration_x0020_Info>
    <Operation_x0020_Type xmlns="cdc7663a-08f0-4737-9e8c-148ce897a09c" xsi:nil="true"/>
    <Record_x0020_Number xmlns="cdc7663a-08f0-4737-9e8c-148ce897a09c">R0002780794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General Procurement Notices</Disclosure_x0020_Activity>
    <Region xmlns="cdc7663a-08f0-4737-9e8c-148ce897a09c" xsi:nil="true"/>
    <_dlc_DocId xmlns="cdc7663a-08f0-4737-9e8c-148ce897a09c">EZSHARE-1096799344-497</_dlc_DocId>
    <Publication_x0020_Type xmlns="cdc7663a-08f0-4737-9e8c-148ce897a09c" xsi:nil="true"/>
    <Issue_x0020_Date xmlns="cdc7663a-08f0-4737-9e8c-148ce897a09c" xsi:nil="true"/>
    <Webtopic xmlns="cdc7663a-08f0-4737-9e8c-148ce897a09c">Poverty Reduction</Webtopic>
    <Publishing_x0020_House xmlns="cdc7663a-08f0-4737-9e8c-148ce897a09c" xsi:nil="true"/>
    <Disclosed xmlns="cdc7663a-08f0-4737-9e8c-148ce897a09c">true</Disclosed>
    <KP_x0020_Topics xmlns="cdc7663a-08f0-4737-9e8c-148ce897a09c" xsi:nil="true"/>
    <_dlc_DocIdUrl xmlns="cdc7663a-08f0-4737-9e8c-148ce897a09c">
      <Url>https://idbg.sharepoint.com/teams/EZ-PR-TCP/PR-S1006/_layouts/15/DocIdRedir.aspx?ID=EZSHARE-1096799344-497</Url>
      <Description>EZSHARE-1096799344-497</Description>
    </_dlc_DocIdUrl>
  </documentManagement>
</p:properties>
</file>

<file path=customXml/item2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7FB92CDE6D3AA4FBC951EF68F0DF9B0" ma:contentTypeVersion="1049" ma:contentTypeDescription="A content type to manage public (operations) IDB documents" ma:contentTypeScope="" ma:versionID="d6ca369ef0f95ba23e633776be95879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9540fe0fb51d11494373eb79f8d8de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A98FEFE8-B621-408E-8225-394247E32E22}"/>
</file>

<file path=customXml/itemProps2.xml><?xml version="1.0" encoding="utf-8"?>
<ds:datastoreItem xmlns:ds="http://schemas.openxmlformats.org/officeDocument/2006/customXml" ds:itemID="{C8D11A50-8DAF-4D19-AE5F-D8C479184452}"/>
</file>

<file path=customXml/itemProps3.xml><?xml version="1.0" encoding="utf-8"?>
<ds:datastoreItem xmlns:ds="http://schemas.openxmlformats.org/officeDocument/2006/customXml" ds:itemID="{A675C0E3-5CE8-4298-BF3E-09A3733FB5F5}"/>
</file>

<file path=customXml/itemProps4.xml><?xml version="1.0" encoding="utf-8"?>
<ds:datastoreItem xmlns:ds="http://schemas.openxmlformats.org/officeDocument/2006/customXml" ds:itemID="{ED4DB59F-97F2-45CB-9088-B33C8665D968}"/>
</file>

<file path=customXml/itemProps5.xml><?xml version="1.0" encoding="utf-8"?>
<ds:datastoreItem xmlns:ds="http://schemas.openxmlformats.org/officeDocument/2006/customXml" ds:itemID="{216A4262-517D-4438-BF14-10F92864C1B4}"/>
</file>

<file path=customXml/itemProps6.xml><?xml version="1.0" encoding="utf-8"?>
<ds:datastoreItem xmlns:ds="http://schemas.openxmlformats.org/officeDocument/2006/customXml" ds:itemID="{69A6CEBF-9ADE-431A-83FE-4A68D6E07B03}"/>
</file>

<file path=customXml/itemProps7.xml><?xml version="1.0" encoding="utf-8"?>
<ds:datastoreItem xmlns:ds="http://schemas.openxmlformats.org/officeDocument/2006/customXml" ds:itemID="{D5F78E1B-19AC-4FE6-B52C-713637E3DD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INVITACIÓN A PRESENTAR EXPRESIONES DE INTERÉS PARA SERVICIOS DE CONSULTORÍA</dc:title>
  <dc:subject/>
  <dc:creator>Erin K. Compton</dc:creator>
  <cp:keywords/>
  <dc:description/>
  <cp:lastModifiedBy>Nelly C Wheelock</cp:lastModifiedBy>
  <cp:revision>2</cp:revision>
  <cp:lastPrinted>2010-08-12T21:10:00Z</cp:lastPrinted>
  <dcterms:created xsi:type="dcterms:W3CDTF">2010-08-13T18:31:00Z</dcterms:created>
  <dcterms:modified xsi:type="dcterms:W3CDTF">2010-08-13T18:31:00Z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0x0101001A458A224826124E8B45B1D613300CFC0077FB92CDE6D3AA4FBC951EF68F0DF9B0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14;#Unclassified|a6dff32e-d477-44cd-a56b-85efe9e0a56c</vt:lpwstr>
  </property>
  <property fmtid="{D5CDD505-2E9C-101B-9397-08002B2CF9AE}" pid="8" name="Country">
    <vt:lpwstr>29;#Paraguay|50282442-27e7-4526-9d04-55bf5da33a10</vt:lpwstr>
  </property>
  <property fmtid="{D5CDD505-2E9C-101B-9397-08002B2CF9AE}" pid="9" name="Fund IDB">
    <vt:lpwstr/>
  </property>
  <property fmtid="{D5CDD505-2E9C-101B-9397-08002B2CF9AE}" pid="12" name="Sector IDB">
    <vt:lpwstr/>
  </property>
  <property fmtid="{D5CDD505-2E9C-101B-9397-08002B2CF9AE}" pid="13" name="Function Operations IDB">
    <vt:lpwstr>11;#IDBDocs|cca77002-e150-4b2d-ab1f-1d7a7cdcae16</vt:lpwstr>
  </property>
  <property fmtid="{D5CDD505-2E9C-101B-9397-08002B2CF9AE}" pid="14" name="Sub-Sector">
    <vt:lpwstr/>
  </property>
  <property fmtid="{D5CDD505-2E9C-101B-9397-08002B2CF9AE}" pid="15" name="Order">
    <vt:r8>49700</vt:r8>
  </property>
  <property fmtid="{D5CDD505-2E9C-101B-9397-08002B2CF9AE}" pid="16" name="URL">
    <vt:lpwstr/>
  </property>
  <property fmtid="{D5CDD505-2E9C-101B-9397-08002B2CF9AE}" pid="17" name="_dlc_DocIdItemGuid">
    <vt:lpwstr>ee019685-20ea-45ce-9ab9-ecc7b501fd39</vt:lpwstr>
  </property>
</Properties>
</file>