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7C0C" w:rsidRDefault="00897C0C" w:rsidP="00E81220">
      <w:pPr>
        <w:jc w:val="center"/>
        <w:rPr>
          <w:b/>
          <w:color w:val="000000" w:themeColor="text1"/>
          <w:lang w:val="es-ES_tradnl"/>
        </w:rPr>
      </w:pPr>
      <w:r w:rsidRPr="00037E16">
        <w:rPr>
          <w:b/>
          <w:color w:val="000000" w:themeColor="text1"/>
          <w:lang w:val="es-ES_tradnl"/>
        </w:rPr>
        <w:t>M</w:t>
      </w:r>
      <w:r w:rsidR="008B14AE">
        <w:rPr>
          <w:b/>
          <w:color w:val="000000" w:themeColor="text1"/>
          <w:lang w:val="es-ES_tradnl"/>
        </w:rPr>
        <w:t>atriz de m</w:t>
      </w:r>
      <w:r w:rsidR="00443562">
        <w:rPr>
          <w:b/>
          <w:color w:val="000000" w:themeColor="text1"/>
          <w:lang w:val="es-ES_tradnl"/>
        </w:rPr>
        <w:t>edios de verificación</w:t>
      </w:r>
    </w:p>
    <w:p w:rsidR="00443562" w:rsidRPr="00443562" w:rsidRDefault="00443562" w:rsidP="00E81220">
      <w:pPr>
        <w:jc w:val="center"/>
        <w:rPr>
          <w:b/>
          <w:color w:val="000000" w:themeColor="text1"/>
          <w:sz w:val="10"/>
          <w:lang w:val="es-ES_tradnl"/>
        </w:rPr>
      </w:pPr>
    </w:p>
    <w:tbl>
      <w:tblPr>
        <w:tblpPr w:leftFromText="141" w:rightFromText="141" w:vertAnchor="text" w:horzAnchor="margin" w:tblpX="198" w:tblpY="48"/>
        <w:tblW w:w="12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88"/>
        <w:gridCol w:w="6462"/>
      </w:tblGrid>
      <w:tr w:rsidR="006A0464" w:rsidRPr="00E16E94" w:rsidTr="0037333D">
        <w:trPr>
          <w:trHeight w:val="40"/>
        </w:trPr>
        <w:tc>
          <w:tcPr>
            <w:tcW w:w="5688" w:type="dxa"/>
            <w:shd w:val="clear" w:color="auto" w:fill="D9D9D9" w:themeFill="background1" w:themeFillShade="D9"/>
          </w:tcPr>
          <w:p w:rsidR="006A0464" w:rsidRPr="006A0464" w:rsidRDefault="006A0464" w:rsidP="00BC1D54">
            <w:pPr>
              <w:pStyle w:val="Paragraph"/>
              <w:numPr>
                <w:ilvl w:val="0"/>
                <w:numId w:val="0"/>
              </w:numPr>
              <w:spacing w:before="20" w:after="20"/>
              <w:jc w:val="center"/>
              <w:rPr>
                <w:b/>
                <w:color w:val="000000" w:themeColor="text1"/>
                <w:sz w:val="20"/>
              </w:rPr>
            </w:pPr>
            <w:r w:rsidRPr="006A0464">
              <w:rPr>
                <w:b/>
                <w:color w:val="000000" w:themeColor="text1"/>
                <w:sz w:val="20"/>
              </w:rPr>
              <w:t>Acción de política</w:t>
            </w:r>
          </w:p>
        </w:tc>
        <w:tc>
          <w:tcPr>
            <w:tcW w:w="6462" w:type="dxa"/>
            <w:shd w:val="clear" w:color="auto" w:fill="D9D9D9" w:themeFill="background1" w:themeFillShade="D9"/>
          </w:tcPr>
          <w:p w:rsidR="006A0464" w:rsidRPr="006A0464" w:rsidRDefault="006A0464" w:rsidP="00BC1D54">
            <w:pPr>
              <w:pStyle w:val="Paragraph"/>
              <w:numPr>
                <w:ilvl w:val="0"/>
                <w:numId w:val="0"/>
              </w:numPr>
              <w:spacing w:before="20" w:after="20"/>
              <w:jc w:val="center"/>
              <w:rPr>
                <w:b/>
                <w:color w:val="000000" w:themeColor="text1"/>
                <w:sz w:val="20"/>
              </w:rPr>
            </w:pPr>
            <w:r w:rsidRPr="006A0464">
              <w:rPr>
                <w:b/>
                <w:color w:val="000000" w:themeColor="text1"/>
                <w:sz w:val="20"/>
              </w:rPr>
              <w:t>Medio de Verificación</w:t>
            </w:r>
          </w:p>
        </w:tc>
      </w:tr>
      <w:tr w:rsidR="006A0464" w:rsidRPr="00E16E94" w:rsidTr="0037333D">
        <w:trPr>
          <w:trHeight w:val="40"/>
        </w:trPr>
        <w:tc>
          <w:tcPr>
            <w:tcW w:w="12150" w:type="dxa"/>
            <w:gridSpan w:val="2"/>
            <w:shd w:val="clear" w:color="auto" w:fill="D9D9D9" w:themeFill="background1" w:themeFillShade="D9"/>
          </w:tcPr>
          <w:p w:rsidR="006A0464" w:rsidRDefault="006A0464" w:rsidP="00BC1D54">
            <w:pPr>
              <w:pStyle w:val="Paragraph"/>
              <w:numPr>
                <w:ilvl w:val="0"/>
                <w:numId w:val="0"/>
              </w:numPr>
              <w:spacing w:before="20" w:after="20"/>
              <w:rPr>
                <w:color w:val="000000" w:themeColor="text1"/>
                <w:sz w:val="20"/>
              </w:rPr>
            </w:pPr>
            <w:r w:rsidRPr="00520787">
              <w:rPr>
                <w:b/>
                <w:color w:val="000000" w:themeColor="text1"/>
                <w:sz w:val="20"/>
              </w:rPr>
              <w:t xml:space="preserve">Componente 1. </w:t>
            </w:r>
            <w:r>
              <w:rPr>
                <w:b/>
                <w:color w:val="000000" w:themeColor="text1"/>
                <w:sz w:val="20"/>
              </w:rPr>
              <w:t>Estabilidad macroeconómica</w:t>
            </w:r>
          </w:p>
        </w:tc>
      </w:tr>
      <w:tr w:rsidR="00892635" w:rsidRPr="00E16E94" w:rsidTr="0037333D">
        <w:trPr>
          <w:trHeight w:val="40"/>
        </w:trPr>
        <w:tc>
          <w:tcPr>
            <w:tcW w:w="5688" w:type="dxa"/>
            <w:tcBorders>
              <w:bottom w:val="single" w:sz="4" w:space="0" w:color="000000"/>
            </w:tcBorders>
            <w:shd w:val="clear" w:color="auto" w:fill="auto"/>
          </w:tcPr>
          <w:p w:rsidR="00892635" w:rsidRPr="00037E16" w:rsidRDefault="00892635" w:rsidP="00BC1D54">
            <w:pPr>
              <w:pStyle w:val="Paragraph"/>
              <w:numPr>
                <w:ilvl w:val="0"/>
                <w:numId w:val="0"/>
              </w:numPr>
              <w:spacing w:before="20" w:after="20"/>
              <w:rPr>
                <w:color w:val="000000" w:themeColor="text1"/>
                <w:sz w:val="20"/>
              </w:rPr>
            </w:pPr>
            <w:r w:rsidRPr="00037E16">
              <w:rPr>
                <w:color w:val="000000" w:themeColor="text1"/>
                <w:sz w:val="20"/>
              </w:rPr>
              <w:t>Mantenimiento de un marco de políticas apropiado y consistente con los objetivos del Programa</w:t>
            </w:r>
            <w:r>
              <w:rPr>
                <w:color w:val="000000" w:themeColor="text1"/>
                <w:sz w:val="20"/>
              </w:rPr>
              <w:t>.</w:t>
            </w:r>
          </w:p>
        </w:tc>
        <w:tc>
          <w:tcPr>
            <w:tcW w:w="6462" w:type="dxa"/>
            <w:tcBorders>
              <w:bottom w:val="single" w:sz="4" w:space="0" w:color="000000"/>
            </w:tcBorders>
          </w:tcPr>
          <w:p w:rsidR="00892635" w:rsidRPr="00037E16" w:rsidRDefault="00892635" w:rsidP="00BC1D54">
            <w:pPr>
              <w:pStyle w:val="Paragraph"/>
              <w:numPr>
                <w:ilvl w:val="0"/>
                <w:numId w:val="0"/>
              </w:numPr>
              <w:spacing w:before="20" w:after="20"/>
              <w:rPr>
                <w:color w:val="000000" w:themeColor="text1"/>
                <w:sz w:val="20"/>
              </w:rPr>
            </w:pPr>
            <w:r>
              <w:rPr>
                <w:color w:val="000000" w:themeColor="text1"/>
                <w:sz w:val="20"/>
              </w:rPr>
              <w:t>Estadísticas oficiales del MEFP.</w:t>
            </w:r>
          </w:p>
        </w:tc>
      </w:tr>
      <w:tr w:rsidR="006A0464" w:rsidRPr="0037333D" w:rsidTr="0037333D">
        <w:trPr>
          <w:trHeight w:val="40"/>
        </w:trPr>
        <w:tc>
          <w:tcPr>
            <w:tcW w:w="12150" w:type="dxa"/>
            <w:gridSpan w:val="2"/>
            <w:shd w:val="clear" w:color="auto" w:fill="D9D9D9" w:themeFill="background1" w:themeFillShade="D9"/>
          </w:tcPr>
          <w:p w:rsidR="006A0464" w:rsidRDefault="006A0464" w:rsidP="00BC1D54">
            <w:pPr>
              <w:pStyle w:val="Paragraph"/>
              <w:numPr>
                <w:ilvl w:val="0"/>
                <w:numId w:val="0"/>
              </w:numPr>
              <w:spacing w:before="20" w:after="20"/>
              <w:rPr>
                <w:color w:val="000000" w:themeColor="text1"/>
                <w:sz w:val="20"/>
              </w:rPr>
            </w:pPr>
            <w:r w:rsidRPr="00520787">
              <w:rPr>
                <w:b/>
                <w:color w:val="000000" w:themeColor="text1"/>
                <w:sz w:val="20"/>
              </w:rPr>
              <w:t xml:space="preserve">Componente </w:t>
            </w:r>
            <w:r>
              <w:rPr>
                <w:b/>
                <w:color w:val="000000" w:themeColor="text1"/>
                <w:sz w:val="20"/>
              </w:rPr>
              <w:t>2</w:t>
            </w:r>
            <w:r w:rsidRPr="00520787">
              <w:rPr>
                <w:b/>
                <w:color w:val="000000" w:themeColor="text1"/>
                <w:sz w:val="20"/>
              </w:rPr>
              <w:t>. Integralidad y calidad del proceso presupuestario</w:t>
            </w:r>
          </w:p>
        </w:tc>
      </w:tr>
      <w:tr w:rsidR="00892635" w:rsidRPr="0037333D" w:rsidTr="0037333D">
        <w:trPr>
          <w:trHeight w:val="40"/>
        </w:trPr>
        <w:tc>
          <w:tcPr>
            <w:tcW w:w="5688" w:type="dxa"/>
          </w:tcPr>
          <w:p w:rsidR="00892635" w:rsidRPr="00037E16" w:rsidRDefault="00892635" w:rsidP="00BC1D54">
            <w:pPr>
              <w:pStyle w:val="Paragraph"/>
              <w:numPr>
                <w:ilvl w:val="0"/>
                <w:numId w:val="0"/>
              </w:numPr>
              <w:spacing w:before="20" w:after="20"/>
              <w:rPr>
                <w:color w:val="000000" w:themeColor="text1"/>
                <w:sz w:val="20"/>
              </w:rPr>
            </w:pPr>
            <w:r w:rsidRPr="00037E16">
              <w:rPr>
                <w:color w:val="000000" w:themeColor="text1"/>
                <w:sz w:val="20"/>
              </w:rPr>
              <w:t xml:space="preserve">Formulación del presupuesto plurianual en 10 </w:t>
            </w:r>
            <w:r w:rsidR="00D05854">
              <w:rPr>
                <w:color w:val="000000" w:themeColor="text1"/>
                <w:sz w:val="20"/>
              </w:rPr>
              <w:t>e</w:t>
            </w:r>
            <w:r w:rsidRPr="00037E16">
              <w:rPr>
                <w:color w:val="000000" w:themeColor="text1"/>
                <w:sz w:val="20"/>
              </w:rPr>
              <w:t xml:space="preserve">mpresas </w:t>
            </w:r>
            <w:r w:rsidR="00D05854">
              <w:rPr>
                <w:color w:val="000000" w:themeColor="text1"/>
                <w:sz w:val="20"/>
              </w:rPr>
              <w:t>p</w:t>
            </w:r>
            <w:r w:rsidRPr="00037E16">
              <w:rPr>
                <w:color w:val="000000" w:themeColor="text1"/>
                <w:sz w:val="20"/>
              </w:rPr>
              <w:t xml:space="preserve">úblicas </w:t>
            </w:r>
            <w:r w:rsidR="00D05854">
              <w:rPr>
                <w:color w:val="000000" w:themeColor="text1"/>
                <w:sz w:val="20"/>
              </w:rPr>
              <w:t>n</w:t>
            </w:r>
            <w:r w:rsidRPr="00037E16">
              <w:rPr>
                <w:color w:val="000000" w:themeColor="text1"/>
                <w:sz w:val="20"/>
              </w:rPr>
              <w:t>acionales que comprenden, al menos, el 60% del presupuesto de la Administración Central.</w:t>
            </w:r>
          </w:p>
          <w:p w:rsidR="00892635" w:rsidRPr="00037E16" w:rsidRDefault="00892635" w:rsidP="00BC1D54">
            <w:pPr>
              <w:pStyle w:val="Paragraph"/>
              <w:numPr>
                <w:ilvl w:val="0"/>
                <w:numId w:val="0"/>
              </w:numPr>
              <w:spacing w:before="20" w:after="20"/>
              <w:rPr>
                <w:color w:val="000000" w:themeColor="text1"/>
                <w:sz w:val="20"/>
              </w:rPr>
            </w:pPr>
          </w:p>
          <w:p w:rsidR="00892635" w:rsidRPr="00037E16" w:rsidRDefault="00892635" w:rsidP="00BC1D54">
            <w:pPr>
              <w:pStyle w:val="Paragraph"/>
              <w:numPr>
                <w:ilvl w:val="0"/>
                <w:numId w:val="0"/>
              </w:numPr>
              <w:spacing w:before="20" w:after="20"/>
              <w:rPr>
                <w:color w:val="000000" w:themeColor="text1"/>
                <w:sz w:val="20"/>
              </w:rPr>
            </w:pPr>
            <w:r w:rsidRPr="00037E16">
              <w:rPr>
                <w:color w:val="000000" w:themeColor="text1"/>
                <w:sz w:val="20"/>
              </w:rPr>
              <w:t>Formulación del presupuesto plurianual en, al menos 5, entidades públicas, del Gobierno Central, cuyo presupuesto conjunto sea equivalente, al menos, al 5% del Presupuesto de la Administración Central.</w:t>
            </w:r>
          </w:p>
          <w:p w:rsidR="00892635" w:rsidRPr="00037E16" w:rsidRDefault="00892635" w:rsidP="00BC1D54">
            <w:pPr>
              <w:pStyle w:val="Paragraph"/>
              <w:numPr>
                <w:ilvl w:val="0"/>
                <w:numId w:val="0"/>
              </w:numPr>
              <w:spacing w:before="20" w:after="20"/>
              <w:rPr>
                <w:color w:val="000000" w:themeColor="text1"/>
                <w:sz w:val="20"/>
              </w:rPr>
            </w:pPr>
          </w:p>
          <w:p w:rsidR="00892635" w:rsidRPr="00037E16" w:rsidRDefault="00892635" w:rsidP="00BC1D54">
            <w:pPr>
              <w:pStyle w:val="Paragraph"/>
              <w:numPr>
                <w:ilvl w:val="0"/>
                <w:numId w:val="0"/>
              </w:numPr>
              <w:spacing w:before="20" w:after="20"/>
              <w:rPr>
                <w:color w:val="000000" w:themeColor="text1"/>
                <w:sz w:val="20"/>
              </w:rPr>
            </w:pPr>
            <w:r w:rsidRPr="00037E16">
              <w:rPr>
                <w:color w:val="000000" w:themeColor="text1"/>
                <w:sz w:val="20"/>
              </w:rPr>
              <w:t>Elaboración y distribución a las entidades del sector público del Manual de Modificaciones y Compendio de Normas Presupuestarias</w:t>
            </w:r>
            <w:r>
              <w:rPr>
                <w:color w:val="000000" w:themeColor="text1"/>
                <w:sz w:val="20"/>
              </w:rPr>
              <w:t>.</w:t>
            </w:r>
          </w:p>
        </w:tc>
        <w:tc>
          <w:tcPr>
            <w:tcW w:w="6462" w:type="dxa"/>
          </w:tcPr>
          <w:p w:rsidR="00892635" w:rsidRPr="00520787" w:rsidRDefault="00892635" w:rsidP="00BC1D54">
            <w:pPr>
              <w:pStyle w:val="Paragraph"/>
              <w:numPr>
                <w:ilvl w:val="0"/>
                <w:numId w:val="0"/>
              </w:numPr>
              <w:spacing w:before="20" w:after="20"/>
              <w:rPr>
                <w:color w:val="000000" w:themeColor="text1"/>
                <w:sz w:val="20"/>
              </w:rPr>
            </w:pPr>
            <w:r>
              <w:rPr>
                <w:color w:val="000000" w:themeColor="text1"/>
                <w:sz w:val="20"/>
              </w:rPr>
              <w:t>Informe del VPCF que evidencie la formulación d</w:t>
            </w:r>
            <w:r w:rsidRPr="00520787">
              <w:rPr>
                <w:color w:val="000000" w:themeColor="text1"/>
                <w:sz w:val="20"/>
              </w:rPr>
              <w:t xml:space="preserve">el presupuesto plurianual en 10 </w:t>
            </w:r>
            <w:r w:rsidR="00D05854">
              <w:rPr>
                <w:color w:val="000000" w:themeColor="text1"/>
                <w:sz w:val="20"/>
              </w:rPr>
              <w:t>e</w:t>
            </w:r>
            <w:r w:rsidRPr="00520787">
              <w:rPr>
                <w:color w:val="000000" w:themeColor="text1"/>
                <w:sz w:val="20"/>
              </w:rPr>
              <w:t xml:space="preserve">mpresas </w:t>
            </w:r>
            <w:r w:rsidR="00D05854">
              <w:rPr>
                <w:color w:val="000000" w:themeColor="text1"/>
                <w:sz w:val="20"/>
              </w:rPr>
              <w:t>p</w:t>
            </w:r>
            <w:r w:rsidRPr="00520787">
              <w:rPr>
                <w:color w:val="000000" w:themeColor="text1"/>
                <w:sz w:val="20"/>
              </w:rPr>
              <w:t xml:space="preserve">úblicas </w:t>
            </w:r>
            <w:r w:rsidR="00D05854">
              <w:rPr>
                <w:color w:val="000000" w:themeColor="text1"/>
                <w:sz w:val="20"/>
              </w:rPr>
              <w:t>n</w:t>
            </w:r>
            <w:r w:rsidRPr="00635BFB">
              <w:rPr>
                <w:color w:val="000000" w:themeColor="text1"/>
                <w:sz w:val="20"/>
              </w:rPr>
              <w:t xml:space="preserve">acionales que comprenden, al menos, el </w:t>
            </w:r>
            <w:r>
              <w:rPr>
                <w:color w:val="000000" w:themeColor="text1"/>
                <w:sz w:val="20"/>
              </w:rPr>
              <w:t>60</w:t>
            </w:r>
            <w:r w:rsidRPr="005B3604">
              <w:rPr>
                <w:color w:val="000000" w:themeColor="text1"/>
                <w:sz w:val="20"/>
              </w:rPr>
              <w:t>%</w:t>
            </w:r>
            <w:r w:rsidRPr="00635BFB">
              <w:rPr>
                <w:color w:val="000000" w:themeColor="text1"/>
                <w:sz w:val="20"/>
              </w:rPr>
              <w:t xml:space="preserve"> del p</w:t>
            </w:r>
            <w:r>
              <w:rPr>
                <w:color w:val="000000" w:themeColor="text1"/>
                <w:sz w:val="20"/>
              </w:rPr>
              <w:t>resupuesto de la Administración Central.</w:t>
            </w:r>
          </w:p>
          <w:p w:rsidR="00892635" w:rsidRDefault="00892635" w:rsidP="00BC1D54">
            <w:pPr>
              <w:pStyle w:val="Paragraph"/>
              <w:numPr>
                <w:ilvl w:val="0"/>
                <w:numId w:val="0"/>
              </w:numPr>
              <w:spacing w:before="20" w:after="20"/>
              <w:jc w:val="left"/>
              <w:rPr>
                <w:color w:val="000000" w:themeColor="text1"/>
                <w:sz w:val="20"/>
              </w:rPr>
            </w:pPr>
          </w:p>
          <w:p w:rsidR="00892635" w:rsidRDefault="00892635" w:rsidP="00BC1D54">
            <w:pPr>
              <w:pStyle w:val="Paragraph"/>
              <w:numPr>
                <w:ilvl w:val="0"/>
                <w:numId w:val="0"/>
              </w:numPr>
              <w:spacing w:before="20" w:after="20"/>
              <w:rPr>
                <w:color w:val="000000" w:themeColor="text1"/>
                <w:sz w:val="20"/>
              </w:rPr>
            </w:pPr>
            <w:r>
              <w:rPr>
                <w:color w:val="000000" w:themeColor="text1"/>
                <w:sz w:val="20"/>
              </w:rPr>
              <w:t xml:space="preserve">Informe del VPCF que evidencie la formulación del </w:t>
            </w:r>
            <w:r w:rsidRPr="00520787">
              <w:rPr>
                <w:color w:val="000000" w:themeColor="text1"/>
                <w:sz w:val="20"/>
              </w:rPr>
              <w:t xml:space="preserve"> presupuesto plurianual </w:t>
            </w:r>
            <w:r>
              <w:rPr>
                <w:color w:val="000000" w:themeColor="text1"/>
                <w:sz w:val="20"/>
              </w:rPr>
              <w:t xml:space="preserve">de </w:t>
            </w:r>
            <w:r w:rsidRPr="00520787">
              <w:rPr>
                <w:color w:val="000000" w:themeColor="text1"/>
                <w:sz w:val="20"/>
              </w:rPr>
              <w:t xml:space="preserve">al </w:t>
            </w:r>
            <w:r w:rsidRPr="005B3604">
              <w:rPr>
                <w:color w:val="000000" w:themeColor="text1"/>
                <w:sz w:val="20"/>
              </w:rPr>
              <w:t>menos 5 entidades públicas</w:t>
            </w:r>
            <w:r w:rsidRPr="00542F27">
              <w:rPr>
                <w:color w:val="000000" w:themeColor="text1"/>
                <w:sz w:val="20"/>
              </w:rPr>
              <w:t>, de la</w:t>
            </w:r>
            <w:r w:rsidRPr="00D902A2">
              <w:rPr>
                <w:color w:val="000000" w:themeColor="text1"/>
                <w:sz w:val="20"/>
              </w:rPr>
              <w:t xml:space="preserve"> </w:t>
            </w:r>
            <w:r w:rsidRPr="0060290B">
              <w:rPr>
                <w:color w:val="000000" w:themeColor="text1"/>
                <w:sz w:val="20"/>
              </w:rPr>
              <w:t xml:space="preserve">Administración </w:t>
            </w:r>
            <w:r w:rsidRPr="00542F27">
              <w:rPr>
                <w:color w:val="000000" w:themeColor="text1"/>
                <w:sz w:val="20"/>
              </w:rPr>
              <w:t xml:space="preserve"> Central, cuyo presupuesto conjunto sea equivalente, al menos, al 5% del Presupuesto de la Administración Central.</w:t>
            </w:r>
          </w:p>
          <w:p w:rsidR="00892635" w:rsidRDefault="00892635" w:rsidP="00BC1D54">
            <w:pPr>
              <w:pStyle w:val="Paragraph"/>
              <w:numPr>
                <w:ilvl w:val="0"/>
                <w:numId w:val="0"/>
              </w:numPr>
              <w:spacing w:before="20" w:after="20"/>
              <w:jc w:val="left"/>
              <w:rPr>
                <w:color w:val="000000" w:themeColor="text1"/>
                <w:sz w:val="20"/>
              </w:rPr>
            </w:pPr>
          </w:p>
          <w:p w:rsidR="00892635" w:rsidRPr="00520787" w:rsidRDefault="00892635" w:rsidP="00BC1D54">
            <w:pPr>
              <w:pStyle w:val="Paragraph"/>
              <w:numPr>
                <w:ilvl w:val="0"/>
                <w:numId w:val="0"/>
              </w:numPr>
              <w:spacing w:before="20" w:after="20"/>
              <w:rPr>
                <w:color w:val="000000" w:themeColor="text1"/>
                <w:sz w:val="20"/>
                <w:highlight w:val="yellow"/>
              </w:rPr>
            </w:pPr>
            <w:r w:rsidRPr="00520787">
              <w:rPr>
                <w:color w:val="000000" w:themeColor="text1"/>
                <w:sz w:val="20"/>
              </w:rPr>
              <w:t>Manual de Modificaciones y Compendio de Normas Presupuestarias</w:t>
            </w:r>
            <w:r>
              <w:rPr>
                <w:color w:val="000000" w:themeColor="text1"/>
                <w:sz w:val="20"/>
              </w:rPr>
              <w:t xml:space="preserve"> publicado e informe del VPCF sobre la distribución del Manual.</w:t>
            </w:r>
          </w:p>
        </w:tc>
      </w:tr>
      <w:tr w:rsidR="00892635" w:rsidRPr="0037333D" w:rsidTr="004F764E">
        <w:trPr>
          <w:trHeight w:val="1682"/>
        </w:trPr>
        <w:tc>
          <w:tcPr>
            <w:tcW w:w="5688" w:type="dxa"/>
          </w:tcPr>
          <w:p w:rsidR="00892635" w:rsidRPr="00037E16" w:rsidRDefault="00892635" w:rsidP="00BC1D54">
            <w:pPr>
              <w:pStyle w:val="Paragraph"/>
              <w:numPr>
                <w:ilvl w:val="0"/>
                <w:numId w:val="0"/>
              </w:numPr>
              <w:spacing w:before="20" w:after="20"/>
              <w:rPr>
                <w:color w:val="000000" w:themeColor="text1"/>
                <w:sz w:val="20"/>
              </w:rPr>
            </w:pPr>
            <w:r w:rsidRPr="00037E16">
              <w:rPr>
                <w:color w:val="000000" w:themeColor="text1"/>
                <w:sz w:val="20"/>
              </w:rPr>
              <w:t>La formulación presupuestaria para la gestión 2014 incorpora las variables macroeconómicas establecidas a partir del marco macro-fiscal.</w:t>
            </w:r>
          </w:p>
          <w:p w:rsidR="00892635" w:rsidRPr="00037E16" w:rsidRDefault="00892635" w:rsidP="00BC1D54">
            <w:pPr>
              <w:pStyle w:val="Paragraph"/>
              <w:numPr>
                <w:ilvl w:val="0"/>
                <w:numId w:val="0"/>
              </w:numPr>
              <w:spacing w:before="20" w:after="20"/>
              <w:rPr>
                <w:color w:val="000000" w:themeColor="text1"/>
                <w:sz w:val="20"/>
              </w:rPr>
            </w:pPr>
          </w:p>
          <w:p w:rsidR="00892635" w:rsidRPr="00037E16" w:rsidRDefault="00892635" w:rsidP="00BC1D54">
            <w:pPr>
              <w:pStyle w:val="Paragraph"/>
              <w:numPr>
                <w:ilvl w:val="0"/>
                <w:numId w:val="0"/>
              </w:numPr>
              <w:spacing w:before="20" w:after="20"/>
              <w:rPr>
                <w:strike/>
                <w:color w:val="000000" w:themeColor="text1"/>
                <w:sz w:val="20"/>
              </w:rPr>
            </w:pPr>
            <w:r w:rsidRPr="00037E16">
              <w:rPr>
                <w:color w:val="000000" w:themeColor="text1"/>
                <w:sz w:val="20"/>
              </w:rPr>
              <w:t xml:space="preserve">Incorporación de las variables macroeconómicas establecidas en el marco macro fiscal al presupuesto plurianual de 10 empresas públicas nacionales, a partir del ciclo presupuestario 2013.  </w:t>
            </w:r>
          </w:p>
        </w:tc>
        <w:tc>
          <w:tcPr>
            <w:tcW w:w="6462" w:type="dxa"/>
          </w:tcPr>
          <w:p w:rsidR="00892635" w:rsidRDefault="00892635" w:rsidP="00BC1D54">
            <w:pPr>
              <w:pStyle w:val="Paragraph"/>
              <w:numPr>
                <w:ilvl w:val="0"/>
                <w:numId w:val="0"/>
              </w:numPr>
              <w:spacing w:before="20" w:after="20"/>
              <w:rPr>
                <w:color w:val="000000" w:themeColor="text1"/>
                <w:sz w:val="20"/>
              </w:rPr>
            </w:pPr>
            <w:r>
              <w:rPr>
                <w:color w:val="000000" w:themeColor="text1"/>
                <w:sz w:val="20"/>
              </w:rPr>
              <w:t>La exposición de motivos considerada en el Anteproyecto de Presupuesto General del Estado 2014 hace referencia a las variables macroeconómicas establecidas a partir del marco macro fiscal.</w:t>
            </w:r>
          </w:p>
          <w:p w:rsidR="00892635" w:rsidRDefault="00892635" w:rsidP="00BC1D54">
            <w:pPr>
              <w:pStyle w:val="Paragraph"/>
              <w:numPr>
                <w:ilvl w:val="0"/>
                <w:numId w:val="0"/>
              </w:numPr>
              <w:spacing w:before="20" w:after="20"/>
              <w:rPr>
                <w:color w:val="000000" w:themeColor="text1"/>
                <w:sz w:val="20"/>
                <w:highlight w:val="yellow"/>
              </w:rPr>
            </w:pPr>
          </w:p>
          <w:p w:rsidR="00892635" w:rsidRDefault="00892635" w:rsidP="00BC1D54">
            <w:pPr>
              <w:pStyle w:val="Paragraph"/>
              <w:numPr>
                <w:ilvl w:val="0"/>
                <w:numId w:val="0"/>
              </w:numPr>
              <w:spacing w:before="20" w:after="20"/>
              <w:rPr>
                <w:color w:val="000000" w:themeColor="text1"/>
                <w:sz w:val="20"/>
              </w:rPr>
            </w:pPr>
            <w:r>
              <w:rPr>
                <w:color w:val="000000" w:themeColor="text1"/>
                <w:sz w:val="20"/>
              </w:rPr>
              <w:t>Informe del VPCF que evidencie que el</w:t>
            </w:r>
            <w:r w:rsidRPr="00520787">
              <w:rPr>
                <w:color w:val="000000" w:themeColor="text1"/>
                <w:sz w:val="20"/>
              </w:rPr>
              <w:t xml:space="preserve"> presupuesto plurianual de 10 empresas públicas </w:t>
            </w:r>
            <w:r>
              <w:rPr>
                <w:color w:val="000000" w:themeColor="text1"/>
                <w:sz w:val="20"/>
              </w:rPr>
              <w:t>nacionales</w:t>
            </w:r>
            <w:r w:rsidRPr="00520787">
              <w:rPr>
                <w:color w:val="000000" w:themeColor="text1"/>
                <w:sz w:val="20"/>
              </w:rPr>
              <w:t xml:space="preserve">, </w:t>
            </w:r>
            <w:r>
              <w:rPr>
                <w:color w:val="000000" w:themeColor="text1"/>
                <w:sz w:val="20"/>
              </w:rPr>
              <w:t xml:space="preserve">incorpora, </w:t>
            </w:r>
            <w:r w:rsidRPr="00520787">
              <w:rPr>
                <w:color w:val="000000" w:themeColor="text1"/>
                <w:sz w:val="20"/>
              </w:rPr>
              <w:t>a partir del ciclo presupuestario 2013</w:t>
            </w:r>
            <w:r>
              <w:rPr>
                <w:color w:val="000000" w:themeColor="text1"/>
                <w:sz w:val="20"/>
              </w:rPr>
              <w:t xml:space="preserve">, las variables macroeconómicas </w:t>
            </w:r>
            <w:r w:rsidRPr="00520787">
              <w:rPr>
                <w:color w:val="000000" w:themeColor="text1"/>
                <w:sz w:val="20"/>
              </w:rPr>
              <w:t>establecid</w:t>
            </w:r>
            <w:r>
              <w:rPr>
                <w:color w:val="000000" w:themeColor="text1"/>
                <w:sz w:val="20"/>
              </w:rPr>
              <w:t>a</w:t>
            </w:r>
            <w:r w:rsidRPr="00520787">
              <w:rPr>
                <w:color w:val="000000" w:themeColor="text1"/>
                <w:sz w:val="20"/>
              </w:rPr>
              <w:t>s en el marco macro fiscal</w:t>
            </w:r>
            <w:r>
              <w:rPr>
                <w:color w:val="000000" w:themeColor="text1"/>
                <w:sz w:val="20"/>
              </w:rPr>
              <w:t>.</w:t>
            </w:r>
          </w:p>
          <w:p w:rsidR="00892635" w:rsidRPr="00520787" w:rsidRDefault="00892635" w:rsidP="00BC1D54">
            <w:pPr>
              <w:pStyle w:val="Paragraph"/>
              <w:numPr>
                <w:ilvl w:val="0"/>
                <w:numId w:val="0"/>
              </w:numPr>
              <w:spacing w:before="20" w:after="20"/>
              <w:rPr>
                <w:color w:val="000000" w:themeColor="text1"/>
                <w:sz w:val="20"/>
              </w:rPr>
            </w:pPr>
          </w:p>
        </w:tc>
      </w:tr>
      <w:tr w:rsidR="00892635" w:rsidRPr="0037333D" w:rsidTr="0037333D">
        <w:trPr>
          <w:trHeight w:val="1390"/>
        </w:trPr>
        <w:tc>
          <w:tcPr>
            <w:tcW w:w="5688" w:type="dxa"/>
          </w:tcPr>
          <w:p w:rsidR="00892635" w:rsidRPr="00037E16" w:rsidRDefault="00892635" w:rsidP="00BC1D54">
            <w:pPr>
              <w:spacing w:before="40"/>
              <w:rPr>
                <w:strike/>
                <w:color w:val="000000" w:themeColor="text1"/>
                <w:sz w:val="20"/>
                <w:lang w:val="es-ES_tradnl"/>
              </w:rPr>
            </w:pPr>
            <w:r w:rsidRPr="0037333D">
              <w:rPr>
                <w:color w:val="000000" w:themeColor="text1"/>
                <w:sz w:val="20"/>
                <w:lang w:val="es-ES_tradnl"/>
              </w:rPr>
              <w:t xml:space="preserve">Firma de Convenios de Gestión con 7 entidades públicas de la administración central, y avance sustancial en la ejecución. </w:t>
            </w:r>
          </w:p>
        </w:tc>
        <w:tc>
          <w:tcPr>
            <w:tcW w:w="6462" w:type="dxa"/>
          </w:tcPr>
          <w:p w:rsidR="00892635" w:rsidRPr="00520787" w:rsidRDefault="00892635" w:rsidP="00BC1D54">
            <w:pPr>
              <w:pStyle w:val="Paragraph"/>
              <w:numPr>
                <w:ilvl w:val="0"/>
                <w:numId w:val="0"/>
              </w:numPr>
              <w:spacing w:before="20" w:after="20"/>
              <w:rPr>
                <w:color w:val="000000" w:themeColor="text1"/>
                <w:sz w:val="20"/>
              </w:rPr>
            </w:pPr>
            <w:r>
              <w:rPr>
                <w:color w:val="000000" w:themeColor="text1"/>
                <w:sz w:val="20"/>
              </w:rPr>
              <w:t>Convenios firmados entre el MEFP y el SIN, ANB, SENASIR, ASPB, RUAT, AIT y AJ, e informe de los Viceministerios que correspondan respecto del cumplimiento de las metas de los convenios.</w:t>
            </w:r>
          </w:p>
        </w:tc>
      </w:tr>
      <w:tr w:rsidR="00892635" w:rsidRPr="0037333D" w:rsidTr="0037333D">
        <w:trPr>
          <w:trHeight w:val="40"/>
        </w:trPr>
        <w:tc>
          <w:tcPr>
            <w:tcW w:w="5688" w:type="dxa"/>
            <w:tcBorders>
              <w:bottom w:val="single" w:sz="4" w:space="0" w:color="000000"/>
            </w:tcBorders>
          </w:tcPr>
          <w:p w:rsidR="00892635" w:rsidRPr="00037E16" w:rsidRDefault="00892635" w:rsidP="00BC1D54">
            <w:pPr>
              <w:pStyle w:val="Paragraph"/>
              <w:numPr>
                <w:ilvl w:val="0"/>
                <w:numId w:val="0"/>
              </w:numPr>
              <w:spacing w:before="20" w:after="20"/>
              <w:rPr>
                <w:color w:val="000000" w:themeColor="text1"/>
                <w:sz w:val="20"/>
              </w:rPr>
            </w:pPr>
            <w:r w:rsidRPr="00037E16">
              <w:rPr>
                <w:color w:val="000000" w:themeColor="text1"/>
                <w:sz w:val="20"/>
              </w:rPr>
              <w:t>Las Directrices Presupuestarias para el Presupuesto 2014, integran los objetivos de gestión institucional de las entidades públicas con la programación presupuestaria para la formulación del Presupuesto General del Estado</w:t>
            </w:r>
          </w:p>
          <w:p w:rsidR="00892635" w:rsidRPr="00037E16" w:rsidRDefault="00892635" w:rsidP="0037333D">
            <w:pPr>
              <w:pStyle w:val="Paragraph"/>
              <w:numPr>
                <w:ilvl w:val="0"/>
                <w:numId w:val="0"/>
              </w:numPr>
              <w:spacing w:before="20" w:after="20"/>
              <w:rPr>
                <w:color w:val="000000" w:themeColor="text1"/>
                <w:spacing w:val="-2"/>
                <w:sz w:val="20"/>
              </w:rPr>
            </w:pPr>
            <w:r w:rsidRPr="00037E16">
              <w:rPr>
                <w:color w:val="000000" w:themeColor="text1"/>
                <w:spacing w:val="-2"/>
                <w:sz w:val="20"/>
              </w:rPr>
              <w:lastRenderedPageBreak/>
              <w:t xml:space="preserve">Directrices </w:t>
            </w:r>
            <w:r w:rsidR="005171B6">
              <w:rPr>
                <w:color w:val="000000" w:themeColor="text1"/>
                <w:spacing w:val="-2"/>
                <w:sz w:val="20"/>
              </w:rPr>
              <w:t xml:space="preserve">de </w:t>
            </w:r>
            <w:r w:rsidRPr="00037E16">
              <w:rPr>
                <w:color w:val="000000" w:themeColor="text1"/>
                <w:spacing w:val="-2"/>
                <w:sz w:val="20"/>
              </w:rPr>
              <w:t xml:space="preserve">Inversión Pública para la </w:t>
            </w:r>
            <w:r w:rsidRPr="00E81220">
              <w:rPr>
                <w:color w:val="000000" w:themeColor="text1"/>
                <w:spacing w:val="-2"/>
                <w:sz w:val="20"/>
              </w:rPr>
              <w:t xml:space="preserve">Formulación del  Presupuesto 2014 que incluyan </w:t>
            </w:r>
            <w:r w:rsidRPr="00E81220">
              <w:rPr>
                <w:sz w:val="20"/>
              </w:rPr>
              <w:t xml:space="preserve"> </w:t>
            </w:r>
            <w:r w:rsidRPr="00E81220">
              <w:rPr>
                <w:color w:val="000000" w:themeColor="text1"/>
                <w:spacing w:val="-2"/>
                <w:sz w:val="20"/>
              </w:rPr>
              <w:t xml:space="preserve">lineamientos y procedimientos para: (i) la formulación del presupuesto de inversión para las diferentes entidades del nivel central, las empresas públicas, </w:t>
            </w:r>
            <w:r w:rsidR="005171B6">
              <w:rPr>
                <w:color w:val="000000" w:themeColor="text1"/>
                <w:spacing w:val="-2"/>
                <w:sz w:val="20"/>
              </w:rPr>
              <w:t>u</w:t>
            </w:r>
            <w:r w:rsidRPr="00E81220">
              <w:rPr>
                <w:color w:val="000000" w:themeColor="text1"/>
                <w:spacing w:val="-2"/>
                <w:sz w:val="20"/>
              </w:rPr>
              <w:t>niversidades y del nivel territorial; (ii) elaboración y registro de los presupuestos anuales de las entidades; (iii) inversión capitalizable y no capitalizable; y (iv) revisión y adecuación</w:t>
            </w:r>
            <w:r w:rsidRPr="00037E16">
              <w:rPr>
                <w:color w:val="000000" w:themeColor="text1"/>
                <w:spacing w:val="-2"/>
                <w:sz w:val="20"/>
              </w:rPr>
              <w:t xml:space="preserve"> de las partidas de gasto asoc</w:t>
            </w:r>
            <w:r>
              <w:rPr>
                <w:color w:val="000000" w:themeColor="text1"/>
                <w:spacing w:val="-2"/>
                <w:sz w:val="20"/>
              </w:rPr>
              <w:t>iadas a proyectos de inversión.</w:t>
            </w:r>
          </w:p>
        </w:tc>
        <w:tc>
          <w:tcPr>
            <w:tcW w:w="6462" w:type="dxa"/>
            <w:tcBorders>
              <w:bottom w:val="single" w:sz="4" w:space="0" w:color="000000"/>
            </w:tcBorders>
          </w:tcPr>
          <w:p w:rsidR="00892635" w:rsidRPr="00520787" w:rsidRDefault="00892635" w:rsidP="00BC1D54">
            <w:pPr>
              <w:pStyle w:val="Paragraph"/>
              <w:numPr>
                <w:ilvl w:val="0"/>
                <w:numId w:val="0"/>
              </w:numPr>
              <w:spacing w:before="20" w:after="20"/>
              <w:rPr>
                <w:color w:val="000000" w:themeColor="text1"/>
                <w:sz w:val="20"/>
              </w:rPr>
            </w:pPr>
            <w:r>
              <w:rPr>
                <w:color w:val="000000" w:themeColor="text1"/>
                <w:spacing w:val="-2"/>
                <w:sz w:val="20"/>
              </w:rPr>
              <w:lastRenderedPageBreak/>
              <w:t xml:space="preserve">Resolución Ministerial del MEFP que aprueba las </w:t>
            </w:r>
            <w:r w:rsidRPr="00520787">
              <w:rPr>
                <w:color w:val="000000" w:themeColor="text1"/>
                <w:spacing w:val="-2"/>
                <w:sz w:val="20"/>
              </w:rPr>
              <w:t>Directrices Presupuestarias para el presupuesto 2014</w:t>
            </w:r>
            <w:r>
              <w:rPr>
                <w:color w:val="000000" w:themeColor="text1"/>
                <w:spacing w:val="-2"/>
                <w:sz w:val="20"/>
              </w:rPr>
              <w:t xml:space="preserve"> </w:t>
            </w:r>
            <w:r w:rsidRPr="00542F27">
              <w:rPr>
                <w:color w:val="000000" w:themeColor="text1"/>
                <w:spacing w:val="-2"/>
                <w:sz w:val="20"/>
              </w:rPr>
              <w:t xml:space="preserve">que </w:t>
            </w:r>
            <w:r w:rsidRPr="00542F27">
              <w:rPr>
                <w:color w:val="000000" w:themeColor="text1"/>
                <w:sz w:val="20"/>
              </w:rPr>
              <w:t xml:space="preserve"> in</w:t>
            </w:r>
            <w:r w:rsidRPr="00520787">
              <w:rPr>
                <w:color w:val="000000" w:themeColor="text1"/>
                <w:sz w:val="20"/>
              </w:rPr>
              <w:t>tegran los objetivos de gestión institucional</w:t>
            </w:r>
            <w:r>
              <w:rPr>
                <w:color w:val="000000" w:themeColor="text1"/>
                <w:sz w:val="20"/>
              </w:rPr>
              <w:t xml:space="preserve"> </w:t>
            </w:r>
            <w:r w:rsidRPr="00520787">
              <w:rPr>
                <w:color w:val="000000" w:themeColor="text1"/>
                <w:sz w:val="20"/>
              </w:rPr>
              <w:t>de las entidades públicas con la programación presupuestaria para la formulación del Presupuesto General del Estado</w:t>
            </w:r>
            <w:r w:rsidR="00232990">
              <w:rPr>
                <w:color w:val="000000" w:themeColor="text1"/>
                <w:sz w:val="20"/>
              </w:rPr>
              <w:t>.</w:t>
            </w:r>
          </w:p>
          <w:p w:rsidR="00892635" w:rsidRPr="00520787" w:rsidRDefault="00892635" w:rsidP="00BC1D54">
            <w:pPr>
              <w:pStyle w:val="Paragraph"/>
              <w:numPr>
                <w:ilvl w:val="0"/>
                <w:numId w:val="0"/>
              </w:numPr>
              <w:spacing w:before="20" w:after="20"/>
              <w:rPr>
                <w:color w:val="000000" w:themeColor="text1"/>
                <w:spacing w:val="-2"/>
                <w:sz w:val="20"/>
              </w:rPr>
            </w:pPr>
            <w:r>
              <w:rPr>
                <w:color w:val="000000" w:themeColor="text1"/>
                <w:spacing w:val="-2"/>
                <w:sz w:val="20"/>
              </w:rPr>
              <w:lastRenderedPageBreak/>
              <w:t xml:space="preserve">Resolución Ministerial del MPD que aprueba las Directrices de Inversión Pública que incluyan </w:t>
            </w:r>
            <w:r w:rsidRPr="005C23B6">
              <w:rPr>
                <w:color w:val="000000" w:themeColor="text1"/>
                <w:spacing w:val="-2"/>
                <w:sz w:val="20"/>
              </w:rPr>
              <w:t xml:space="preserve"> lineamientos y procedimientos para: (i) la formulación del presupuesto de inversión para las diferentes entidades del nivel central, las empresas públicas, </w:t>
            </w:r>
            <w:r w:rsidR="009B6CF4">
              <w:rPr>
                <w:color w:val="000000" w:themeColor="text1"/>
                <w:spacing w:val="-2"/>
                <w:sz w:val="20"/>
              </w:rPr>
              <w:t>u</w:t>
            </w:r>
            <w:r w:rsidRPr="005C23B6">
              <w:rPr>
                <w:color w:val="000000" w:themeColor="text1"/>
                <w:spacing w:val="-2"/>
                <w:sz w:val="20"/>
              </w:rPr>
              <w:t xml:space="preserve">niversidades y del nivel </w:t>
            </w:r>
            <w:r w:rsidRPr="00D902A2">
              <w:rPr>
                <w:color w:val="000000" w:themeColor="text1"/>
                <w:spacing w:val="-2"/>
                <w:sz w:val="20"/>
              </w:rPr>
              <w:t>territorial; (</w:t>
            </w:r>
            <w:r w:rsidRPr="00443562">
              <w:rPr>
                <w:color w:val="000000" w:themeColor="text1"/>
                <w:spacing w:val="-2"/>
                <w:sz w:val="20"/>
              </w:rPr>
              <w:t>ii) elaboración y registro de los presupuestos anuales de las entidades;</w:t>
            </w:r>
            <w:r>
              <w:rPr>
                <w:color w:val="000000" w:themeColor="text1"/>
                <w:spacing w:val="-2"/>
                <w:sz w:val="20"/>
              </w:rPr>
              <w:t xml:space="preserve"> (iii) inversión cap</w:t>
            </w:r>
            <w:r w:rsidRPr="005C23B6">
              <w:rPr>
                <w:color w:val="000000" w:themeColor="text1"/>
                <w:spacing w:val="-2"/>
                <w:sz w:val="20"/>
              </w:rPr>
              <w:t>italizable y no capitalizable; y (iv) revisión y adecuación de las partidas de gasto asoc</w:t>
            </w:r>
            <w:r>
              <w:rPr>
                <w:color w:val="000000" w:themeColor="text1"/>
                <w:spacing w:val="-2"/>
                <w:sz w:val="20"/>
              </w:rPr>
              <w:t>iadas a proyectos de inversión.</w:t>
            </w:r>
          </w:p>
        </w:tc>
      </w:tr>
      <w:tr w:rsidR="006A0464" w:rsidRPr="0037333D" w:rsidTr="0037333D">
        <w:trPr>
          <w:trHeight w:val="40"/>
        </w:trPr>
        <w:tc>
          <w:tcPr>
            <w:tcW w:w="12150" w:type="dxa"/>
            <w:gridSpan w:val="2"/>
            <w:tcBorders>
              <w:bottom w:val="single" w:sz="4" w:space="0" w:color="auto"/>
            </w:tcBorders>
            <w:shd w:val="clear" w:color="auto" w:fill="D9D9D9" w:themeFill="background1" w:themeFillShade="D9"/>
          </w:tcPr>
          <w:p w:rsidR="006A0464" w:rsidRDefault="006A0464" w:rsidP="00BC1D54">
            <w:pPr>
              <w:pStyle w:val="Paragraph"/>
              <w:numPr>
                <w:ilvl w:val="0"/>
                <w:numId w:val="0"/>
              </w:numPr>
              <w:spacing w:before="20" w:after="20"/>
              <w:rPr>
                <w:color w:val="000000" w:themeColor="text1"/>
                <w:spacing w:val="-2"/>
                <w:sz w:val="20"/>
              </w:rPr>
            </w:pPr>
            <w:r w:rsidRPr="00520787">
              <w:rPr>
                <w:b/>
                <w:color w:val="000000" w:themeColor="text1"/>
                <w:sz w:val="20"/>
              </w:rPr>
              <w:lastRenderedPageBreak/>
              <w:t xml:space="preserve">Componente </w:t>
            </w:r>
            <w:r>
              <w:rPr>
                <w:b/>
                <w:color w:val="000000" w:themeColor="text1"/>
                <w:sz w:val="20"/>
              </w:rPr>
              <w:t>3</w:t>
            </w:r>
            <w:r w:rsidRPr="00520787">
              <w:rPr>
                <w:b/>
                <w:color w:val="000000" w:themeColor="text1"/>
                <w:sz w:val="20"/>
              </w:rPr>
              <w:t xml:space="preserve">. </w:t>
            </w:r>
            <w:r>
              <w:rPr>
                <w:b/>
                <w:color w:val="000000" w:themeColor="text1"/>
                <w:sz w:val="20"/>
              </w:rPr>
              <w:t>Política de i</w:t>
            </w:r>
            <w:r w:rsidRPr="00520787">
              <w:rPr>
                <w:b/>
                <w:color w:val="000000" w:themeColor="text1"/>
                <w:sz w:val="20"/>
              </w:rPr>
              <w:t xml:space="preserve">ntegración de sistemas de gestión </w:t>
            </w:r>
            <w:r>
              <w:rPr>
                <w:b/>
                <w:color w:val="000000" w:themeColor="text1"/>
                <w:sz w:val="20"/>
              </w:rPr>
              <w:t>fiscal</w:t>
            </w:r>
            <w:r w:rsidRPr="00520787">
              <w:rPr>
                <w:b/>
                <w:color w:val="000000" w:themeColor="text1"/>
                <w:sz w:val="20"/>
              </w:rPr>
              <w:t xml:space="preserve"> en la Administración Central y los Gobiernos Subnacionales</w:t>
            </w:r>
          </w:p>
        </w:tc>
      </w:tr>
      <w:tr w:rsidR="00892635" w:rsidRPr="0037333D" w:rsidTr="0037333D">
        <w:trPr>
          <w:trHeight w:val="2444"/>
        </w:trPr>
        <w:tc>
          <w:tcPr>
            <w:tcW w:w="5688" w:type="dxa"/>
            <w:tcBorders>
              <w:top w:val="single" w:sz="4" w:space="0" w:color="auto"/>
            </w:tcBorders>
          </w:tcPr>
          <w:p w:rsidR="00892635" w:rsidRPr="00037E16" w:rsidRDefault="00892635" w:rsidP="00BC1D54">
            <w:pPr>
              <w:keepNext/>
              <w:spacing w:beforeLines="20" w:before="48" w:afterLines="20" w:after="48"/>
              <w:jc w:val="both"/>
              <w:rPr>
                <w:color w:val="000000" w:themeColor="text1"/>
                <w:sz w:val="20"/>
                <w:lang w:val="es-ES_tradnl"/>
              </w:rPr>
            </w:pPr>
            <w:r w:rsidRPr="00037E16">
              <w:rPr>
                <w:color w:val="000000" w:themeColor="text1"/>
                <w:sz w:val="20"/>
                <w:lang w:val="es-ES_tradnl"/>
              </w:rPr>
              <w:t>Avance en la política de expansión de la cobertura de los sistemas de gestión fiscal:</w:t>
            </w:r>
          </w:p>
          <w:p w:rsidR="00892635" w:rsidRPr="00037E16" w:rsidRDefault="00892635" w:rsidP="00BC1D54">
            <w:pPr>
              <w:pStyle w:val="ListParagraph"/>
              <w:keepNext/>
              <w:numPr>
                <w:ilvl w:val="0"/>
                <w:numId w:val="18"/>
              </w:numPr>
              <w:spacing w:beforeLines="20" w:before="48" w:afterLines="20" w:after="48"/>
              <w:ind w:left="125" w:hanging="170"/>
              <w:jc w:val="both"/>
              <w:rPr>
                <w:color w:val="000000" w:themeColor="text1"/>
                <w:sz w:val="20"/>
                <w:szCs w:val="20"/>
                <w:lang w:val="es-ES_tradnl"/>
              </w:rPr>
            </w:pPr>
            <w:r w:rsidRPr="00037E16">
              <w:rPr>
                <w:color w:val="000000" w:themeColor="text1"/>
                <w:sz w:val="20"/>
                <w:szCs w:val="20"/>
                <w:lang w:val="es-ES_tradnl"/>
              </w:rPr>
              <w:t>SIGEP en línea implantado y operando con los módulos de presupuesto, tesorería y contabilidad en 110 entidades sub nacionales</w:t>
            </w:r>
          </w:p>
          <w:p w:rsidR="00892635" w:rsidRPr="00037E16" w:rsidRDefault="00892635" w:rsidP="00BC1D54">
            <w:pPr>
              <w:pStyle w:val="ListParagraph"/>
              <w:keepNext/>
              <w:numPr>
                <w:ilvl w:val="0"/>
                <w:numId w:val="18"/>
              </w:numPr>
              <w:spacing w:beforeLines="20" w:before="48" w:afterLines="20" w:after="48"/>
              <w:ind w:left="125" w:hanging="170"/>
              <w:jc w:val="both"/>
              <w:rPr>
                <w:color w:val="000000" w:themeColor="text1"/>
                <w:sz w:val="20"/>
                <w:szCs w:val="20"/>
                <w:lang w:val="es-ES_tradnl"/>
              </w:rPr>
            </w:pPr>
          </w:p>
          <w:p w:rsidR="00892635" w:rsidRPr="00037E16" w:rsidRDefault="00892635" w:rsidP="00BC1D54">
            <w:pPr>
              <w:pStyle w:val="ListParagraph"/>
              <w:keepNext/>
              <w:spacing w:beforeLines="20" w:before="48" w:afterLines="20" w:after="48"/>
              <w:ind w:left="125"/>
              <w:jc w:val="both"/>
              <w:rPr>
                <w:color w:val="000000" w:themeColor="text1"/>
                <w:sz w:val="20"/>
                <w:szCs w:val="20"/>
                <w:lang w:val="es-ES_tradnl"/>
              </w:rPr>
            </w:pPr>
            <w:r w:rsidRPr="00037E16">
              <w:rPr>
                <w:color w:val="000000" w:themeColor="text1"/>
                <w:sz w:val="20"/>
                <w:szCs w:val="20"/>
                <w:lang w:val="es-ES_tradnl"/>
              </w:rPr>
              <w:t>SIGEP móvil implantado y operando en 150 entidades sub nacionales</w:t>
            </w:r>
          </w:p>
        </w:tc>
        <w:tc>
          <w:tcPr>
            <w:tcW w:w="6462" w:type="dxa"/>
            <w:tcBorders>
              <w:top w:val="single" w:sz="4" w:space="0" w:color="auto"/>
            </w:tcBorders>
          </w:tcPr>
          <w:p w:rsidR="00892635" w:rsidRPr="00520787" w:rsidRDefault="00892635" w:rsidP="00BC1D54">
            <w:pPr>
              <w:keepNext/>
              <w:spacing w:beforeLines="20" w:before="48" w:afterLines="20" w:after="48"/>
              <w:rPr>
                <w:color w:val="000000" w:themeColor="text1"/>
                <w:sz w:val="20"/>
                <w:lang w:val="es-BO"/>
              </w:rPr>
            </w:pPr>
            <w:r>
              <w:rPr>
                <w:color w:val="000000" w:themeColor="text1"/>
                <w:sz w:val="20"/>
                <w:lang w:val="es-BO"/>
              </w:rPr>
              <w:t xml:space="preserve">Informe de consultoría independiente que acredite el cumplimiento de la meta en base a los reportes del SIGEP (para entidades en línea) y del sistema centralizador de recursos y gastos para entidades con SIGEP móvil. </w:t>
            </w:r>
          </w:p>
        </w:tc>
      </w:tr>
      <w:tr w:rsidR="00892635" w:rsidRPr="0037333D" w:rsidTr="0037333D">
        <w:trPr>
          <w:trHeight w:val="40"/>
        </w:trPr>
        <w:tc>
          <w:tcPr>
            <w:tcW w:w="5688" w:type="dxa"/>
          </w:tcPr>
          <w:p w:rsidR="00892635" w:rsidRPr="00037E16" w:rsidRDefault="00892635" w:rsidP="00BC1D54">
            <w:pPr>
              <w:keepNext/>
              <w:spacing w:beforeLines="20" w:before="48" w:afterLines="20" w:after="48"/>
              <w:jc w:val="both"/>
              <w:rPr>
                <w:color w:val="000000" w:themeColor="text1"/>
                <w:sz w:val="20"/>
                <w:lang w:val="es-ES_tradnl"/>
              </w:rPr>
            </w:pPr>
            <w:r w:rsidRPr="00037E16">
              <w:rPr>
                <w:color w:val="000000" w:themeColor="text1"/>
                <w:sz w:val="20"/>
                <w:lang w:val="es-ES_tradnl"/>
              </w:rPr>
              <w:t>Consolidación de la política de estandarización y centralización de la  información fiscal de la administración pública central y subnacional, mediante el uso de formatos estandarizados para el envío de información al MEFP.</w:t>
            </w:r>
          </w:p>
          <w:p w:rsidR="00892635" w:rsidRPr="00037E16" w:rsidRDefault="00892635" w:rsidP="00BC1D54">
            <w:pPr>
              <w:keepNext/>
              <w:spacing w:beforeLines="20" w:before="48" w:afterLines="20" w:after="48"/>
              <w:jc w:val="both"/>
              <w:rPr>
                <w:color w:val="000000" w:themeColor="text1"/>
                <w:sz w:val="20"/>
                <w:lang w:val="es-ES_tradnl"/>
              </w:rPr>
            </w:pPr>
          </w:p>
          <w:p w:rsidR="00892635" w:rsidRPr="00037E16" w:rsidRDefault="00892635" w:rsidP="00BC1D54">
            <w:pPr>
              <w:pStyle w:val="Paragraph"/>
              <w:numPr>
                <w:ilvl w:val="0"/>
                <w:numId w:val="0"/>
              </w:numPr>
              <w:spacing w:before="20" w:after="20"/>
              <w:rPr>
                <w:color w:val="000000" w:themeColor="text1"/>
                <w:sz w:val="20"/>
              </w:rPr>
            </w:pPr>
            <w:r w:rsidRPr="00037E16">
              <w:rPr>
                <w:color w:val="000000" w:themeColor="text1"/>
                <w:sz w:val="20"/>
              </w:rPr>
              <w:t>Avance de la política de intercambio de información, en cumplimiento de la Resolución Biministerial 002 de 19 de agosto de 2011,</w:t>
            </w:r>
            <w:r w:rsidRPr="00037E16" w:rsidDel="00E0553D">
              <w:rPr>
                <w:color w:val="000000" w:themeColor="text1"/>
                <w:sz w:val="20"/>
              </w:rPr>
              <w:t xml:space="preserve"> </w:t>
            </w:r>
            <w:r w:rsidRPr="00037E16">
              <w:rPr>
                <w:color w:val="000000" w:themeColor="text1"/>
                <w:sz w:val="20"/>
              </w:rPr>
              <w:t xml:space="preserve"> mediante la definición de protocolos de intercambio automático de información entre el SISIN y SIGEP</w:t>
            </w:r>
            <w:r>
              <w:rPr>
                <w:color w:val="000000" w:themeColor="text1"/>
                <w:sz w:val="20"/>
              </w:rPr>
              <w:t>.</w:t>
            </w:r>
          </w:p>
        </w:tc>
        <w:tc>
          <w:tcPr>
            <w:tcW w:w="6462" w:type="dxa"/>
          </w:tcPr>
          <w:p w:rsidR="00892635" w:rsidRPr="00520787" w:rsidRDefault="00892635" w:rsidP="00BC1D54">
            <w:pPr>
              <w:pStyle w:val="Paragraph"/>
              <w:numPr>
                <w:ilvl w:val="0"/>
                <w:numId w:val="0"/>
              </w:numPr>
              <w:spacing w:before="20" w:after="20"/>
              <w:jc w:val="left"/>
              <w:rPr>
                <w:color w:val="000000" w:themeColor="text1"/>
                <w:sz w:val="20"/>
              </w:rPr>
            </w:pPr>
            <w:r>
              <w:rPr>
                <w:color w:val="000000" w:themeColor="text1"/>
                <w:sz w:val="20"/>
                <w:lang w:val="es-BO"/>
              </w:rPr>
              <w:t xml:space="preserve">Informe de consultoría independiente para la verificación </w:t>
            </w:r>
            <w:r>
              <w:rPr>
                <w:color w:val="000000" w:themeColor="text1"/>
                <w:sz w:val="20"/>
              </w:rPr>
              <w:t>de</w:t>
            </w:r>
            <w:r w:rsidRPr="00520787">
              <w:rPr>
                <w:color w:val="000000" w:themeColor="text1"/>
                <w:sz w:val="20"/>
              </w:rPr>
              <w:t xml:space="preserve"> </w:t>
            </w:r>
            <w:r>
              <w:rPr>
                <w:color w:val="000000" w:themeColor="text1"/>
                <w:sz w:val="20"/>
              </w:rPr>
              <w:t>que al menos el 90% de la administración pública central y subnacion</w:t>
            </w:r>
            <w:r w:rsidRPr="00D902A2">
              <w:rPr>
                <w:color w:val="000000" w:themeColor="text1"/>
                <w:sz w:val="20"/>
              </w:rPr>
              <w:t>al</w:t>
            </w:r>
            <w:r>
              <w:rPr>
                <w:color w:val="000000" w:themeColor="text1"/>
                <w:sz w:val="20"/>
              </w:rPr>
              <w:t xml:space="preserve"> en</w:t>
            </w:r>
            <w:r w:rsidRPr="00D902A2">
              <w:rPr>
                <w:color w:val="000000" w:themeColor="text1"/>
                <w:sz w:val="20"/>
              </w:rPr>
              <w:t>vía</w:t>
            </w:r>
            <w:r w:rsidR="00232990" w:rsidRPr="00D902A2">
              <w:rPr>
                <w:color w:val="000000" w:themeColor="text1"/>
                <w:sz w:val="20"/>
              </w:rPr>
              <w:t>n</w:t>
            </w:r>
            <w:r>
              <w:rPr>
                <w:color w:val="000000" w:themeColor="text1"/>
                <w:sz w:val="20"/>
              </w:rPr>
              <w:t xml:space="preserve"> información al MEFP en los formatos estandarizados.</w:t>
            </w:r>
          </w:p>
          <w:p w:rsidR="00892635" w:rsidRPr="00520787" w:rsidRDefault="00892635" w:rsidP="00BC1D54">
            <w:pPr>
              <w:pStyle w:val="Paragraph"/>
              <w:numPr>
                <w:ilvl w:val="0"/>
                <w:numId w:val="0"/>
              </w:numPr>
              <w:spacing w:before="20" w:after="20"/>
              <w:rPr>
                <w:color w:val="000000" w:themeColor="text1"/>
                <w:sz w:val="20"/>
              </w:rPr>
            </w:pPr>
          </w:p>
          <w:p w:rsidR="00892635" w:rsidRPr="00520787" w:rsidRDefault="00892635" w:rsidP="00BC1D54">
            <w:pPr>
              <w:pStyle w:val="Paragraph"/>
              <w:numPr>
                <w:ilvl w:val="0"/>
                <w:numId w:val="0"/>
              </w:numPr>
              <w:spacing w:before="20" w:after="20"/>
              <w:rPr>
                <w:color w:val="000000" w:themeColor="text1"/>
                <w:sz w:val="20"/>
              </w:rPr>
            </w:pPr>
          </w:p>
          <w:p w:rsidR="00892635" w:rsidRPr="00520787" w:rsidRDefault="00892635" w:rsidP="00BC1D54">
            <w:pPr>
              <w:pStyle w:val="Paragraph"/>
              <w:numPr>
                <w:ilvl w:val="0"/>
                <w:numId w:val="0"/>
              </w:numPr>
              <w:spacing w:before="20" w:after="20"/>
              <w:rPr>
                <w:color w:val="000000" w:themeColor="text1"/>
                <w:sz w:val="20"/>
              </w:rPr>
            </w:pPr>
            <w:r>
              <w:rPr>
                <w:color w:val="000000" w:themeColor="text1"/>
                <w:sz w:val="20"/>
              </w:rPr>
              <w:t>Documento técnico aprobado por las direcciones o unidades de sistemas, según corresponda, que administran el SISIN y el SIGEP.</w:t>
            </w:r>
          </w:p>
        </w:tc>
      </w:tr>
      <w:tr w:rsidR="00892635" w:rsidRPr="0037333D" w:rsidTr="0037333D">
        <w:trPr>
          <w:trHeight w:val="40"/>
        </w:trPr>
        <w:tc>
          <w:tcPr>
            <w:tcW w:w="5688" w:type="dxa"/>
          </w:tcPr>
          <w:p w:rsidR="00892635" w:rsidRPr="00037E16" w:rsidRDefault="00892635" w:rsidP="00BC1D54">
            <w:pPr>
              <w:pStyle w:val="Paragraph"/>
              <w:numPr>
                <w:ilvl w:val="0"/>
                <w:numId w:val="0"/>
              </w:numPr>
              <w:spacing w:before="20" w:after="20"/>
              <w:rPr>
                <w:color w:val="000000" w:themeColor="text1"/>
                <w:sz w:val="20"/>
              </w:rPr>
            </w:pPr>
            <w:r w:rsidRPr="00037E16">
              <w:rPr>
                <w:color w:val="000000" w:themeColor="text1"/>
                <w:sz w:val="20"/>
              </w:rPr>
              <w:t>Plan de Acción para el desarrollo e implantación de los siguientes módulos del SIGEP que incluya recursos financieros y cronograma:</w:t>
            </w:r>
          </w:p>
          <w:p w:rsidR="00892635" w:rsidRPr="00037E16" w:rsidRDefault="00892635" w:rsidP="00BC1D54">
            <w:pPr>
              <w:pStyle w:val="Paragraph"/>
              <w:numPr>
                <w:ilvl w:val="0"/>
                <w:numId w:val="0"/>
              </w:numPr>
              <w:spacing w:before="20" w:after="20"/>
              <w:rPr>
                <w:color w:val="000000" w:themeColor="text1"/>
                <w:sz w:val="20"/>
              </w:rPr>
            </w:pPr>
          </w:p>
          <w:p w:rsidR="00892635" w:rsidRDefault="00892635" w:rsidP="00BC1D54">
            <w:pPr>
              <w:pStyle w:val="Paragraph"/>
              <w:numPr>
                <w:ilvl w:val="0"/>
                <w:numId w:val="9"/>
              </w:numPr>
              <w:spacing w:before="20" w:after="20"/>
              <w:ind w:left="367" w:hanging="425"/>
              <w:rPr>
                <w:color w:val="000000" w:themeColor="text1"/>
                <w:sz w:val="20"/>
              </w:rPr>
            </w:pPr>
            <w:r w:rsidRPr="00037E16">
              <w:rPr>
                <w:color w:val="000000" w:themeColor="text1"/>
                <w:sz w:val="20"/>
              </w:rPr>
              <w:t>Módulo web de administración de deuda para entidades subnacionales (SAIDS) integrado con el SIGEP.</w:t>
            </w:r>
          </w:p>
          <w:p w:rsidR="009A0F09" w:rsidRDefault="009A0F09" w:rsidP="00BC1D54">
            <w:pPr>
              <w:pStyle w:val="Paragraph"/>
              <w:numPr>
                <w:ilvl w:val="0"/>
                <w:numId w:val="0"/>
              </w:numPr>
              <w:spacing w:before="20" w:after="20"/>
              <w:ind w:left="367"/>
              <w:rPr>
                <w:color w:val="000000" w:themeColor="text1"/>
                <w:sz w:val="20"/>
              </w:rPr>
            </w:pPr>
          </w:p>
          <w:p w:rsidR="00892635" w:rsidRPr="00037E16" w:rsidRDefault="00892635" w:rsidP="00BC1D54">
            <w:pPr>
              <w:pStyle w:val="Paragraph"/>
              <w:numPr>
                <w:ilvl w:val="0"/>
                <w:numId w:val="9"/>
              </w:numPr>
              <w:spacing w:before="20" w:after="20"/>
              <w:ind w:left="367" w:hanging="425"/>
              <w:rPr>
                <w:color w:val="000000" w:themeColor="text1"/>
                <w:sz w:val="20"/>
              </w:rPr>
            </w:pPr>
            <w:r w:rsidRPr="00037E16">
              <w:rPr>
                <w:color w:val="000000" w:themeColor="text1"/>
                <w:sz w:val="20"/>
              </w:rPr>
              <w:t>Módulo de contrataciones electrónicas</w:t>
            </w:r>
          </w:p>
          <w:p w:rsidR="00892635" w:rsidRPr="00037E16" w:rsidRDefault="00892635" w:rsidP="00BC1D54">
            <w:pPr>
              <w:pStyle w:val="Paragraph"/>
              <w:numPr>
                <w:ilvl w:val="0"/>
                <w:numId w:val="0"/>
              </w:numPr>
              <w:spacing w:before="20" w:after="20"/>
              <w:ind w:left="367"/>
              <w:rPr>
                <w:color w:val="000000" w:themeColor="text1"/>
                <w:sz w:val="20"/>
              </w:rPr>
            </w:pPr>
          </w:p>
          <w:p w:rsidR="00892635" w:rsidRPr="00037E16" w:rsidRDefault="00892635" w:rsidP="00BC1D54">
            <w:pPr>
              <w:pStyle w:val="Paragraph"/>
              <w:numPr>
                <w:ilvl w:val="0"/>
                <w:numId w:val="9"/>
              </w:numPr>
              <w:spacing w:before="20" w:after="20"/>
              <w:ind w:left="367" w:hanging="425"/>
              <w:rPr>
                <w:color w:val="000000" w:themeColor="text1"/>
                <w:sz w:val="20"/>
              </w:rPr>
            </w:pPr>
            <w:r w:rsidRPr="00037E16">
              <w:rPr>
                <w:color w:val="000000" w:themeColor="text1"/>
                <w:sz w:val="20"/>
              </w:rPr>
              <w:t xml:space="preserve">Módulo de </w:t>
            </w:r>
            <w:r w:rsidR="009A0F09">
              <w:rPr>
                <w:color w:val="000000" w:themeColor="text1"/>
                <w:sz w:val="20"/>
              </w:rPr>
              <w:t>a</w:t>
            </w:r>
            <w:r w:rsidRPr="00037E16">
              <w:rPr>
                <w:color w:val="000000" w:themeColor="text1"/>
                <w:sz w:val="20"/>
              </w:rPr>
              <w:t xml:space="preserve">dministración de </w:t>
            </w:r>
            <w:r w:rsidR="009A0F09">
              <w:rPr>
                <w:color w:val="000000" w:themeColor="text1"/>
                <w:sz w:val="20"/>
              </w:rPr>
              <w:t>p</w:t>
            </w:r>
            <w:r w:rsidRPr="00037E16">
              <w:rPr>
                <w:color w:val="000000" w:themeColor="text1"/>
                <w:sz w:val="20"/>
              </w:rPr>
              <w:t>ersonal</w:t>
            </w:r>
          </w:p>
          <w:p w:rsidR="00892635" w:rsidRPr="00037E16" w:rsidRDefault="00892635" w:rsidP="00BC1D54">
            <w:pPr>
              <w:pStyle w:val="Paragraph"/>
              <w:numPr>
                <w:ilvl w:val="0"/>
                <w:numId w:val="0"/>
              </w:numPr>
              <w:spacing w:before="20" w:after="20"/>
              <w:rPr>
                <w:color w:val="000000" w:themeColor="text1"/>
                <w:sz w:val="20"/>
              </w:rPr>
            </w:pPr>
          </w:p>
          <w:p w:rsidR="00892635" w:rsidRPr="00037E16" w:rsidRDefault="00892635" w:rsidP="00BC1D54">
            <w:pPr>
              <w:pStyle w:val="Paragraph"/>
              <w:numPr>
                <w:ilvl w:val="0"/>
                <w:numId w:val="9"/>
              </w:numPr>
              <w:spacing w:before="20" w:after="20"/>
              <w:ind w:left="367" w:hanging="425"/>
              <w:rPr>
                <w:color w:val="000000" w:themeColor="text1"/>
                <w:sz w:val="20"/>
              </w:rPr>
            </w:pPr>
            <w:r w:rsidRPr="00037E16">
              <w:rPr>
                <w:color w:val="000000" w:themeColor="text1"/>
                <w:sz w:val="20"/>
              </w:rPr>
              <w:t xml:space="preserve">Módulo de administración de cuentas fiscales </w:t>
            </w:r>
          </w:p>
          <w:p w:rsidR="00892635" w:rsidRPr="00037E16" w:rsidRDefault="00892635" w:rsidP="00BC1D54">
            <w:pPr>
              <w:pStyle w:val="Paragraph"/>
              <w:numPr>
                <w:ilvl w:val="0"/>
                <w:numId w:val="0"/>
              </w:numPr>
              <w:spacing w:before="20" w:after="20"/>
              <w:rPr>
                <w:color w:val="000000" w:themeColor="text1"/>
                <w:sz w:val="20"/>
              </w:rPr>
            </w:pPr>
          </w:p>
          <w:p w:rsidR="00892635" w:rsidRPr="00037E16" w:rsidRDefault="00892635" w:rsidP="00BC1D54">
            <w:pPr>
              <w:pStyle w:val="Paragraph"/>
              <w:numPr>
                <w:ilvl w:val="0"/>
                <w:numId w:val="9"/>
              </w:numPr>
              <w:spacing w:before="20" w:after="20"/>
              <w:ind w:left="367" w:hanging="425"/>
              <w:rPr>
                <w:color w:val="000000" w:themeColor="text1"/>
                <w:sz w:val="20"/>
              </w:rPr>
            </w:pPr>
            <w:r w:rsidRPr="00037E16">
              <w:rPr>
                <w:color w:val="000000" w:themeColor="text1"/>
                <w:sz w:val="20"/>
              </w:rPr>
              <w:t>Módulo de pago electrónico subnacional</w:t>
            </w:r>
          </w:p>
          <w:p w:rsidR="00892635" w:rsidRPr="00037E16" w:rsidRDefault="00892635" w:rsidP="00BC1D54">
            <w:pPr>
              <w:pStyle w:val="Paragraph"/>
              <w:numPr>
                <w:ilvl w:val="0"/>
                <w:numId w:val="0"/>
              </w:numPr>
              <w:spacing w:before="20" w:after="20"/>
              <w:rPr>
                <w:color w:val="000000" w:themeColor="text1"/>
                <w:sz w:val="20"/>
              </w:rPr>
            </w:pPr>
          </w:p>
          <w:p w:rsidR="00892635" w:rsidRPr="00037E16" w:rsidRDefault="00892635" w:rsidP="00BC1D54">
            <w:pPr>
              <w:pStyle w:val="Paragraph"/>
              <w:numPr>
                <w:ilvl w:val="0"/>
                <w:numId w:val="0"/>
              </w:numPr>
              <w:spacing w:before="20" w:after="20"/>
              <w:ind w:left="2736" w:hanging="1296"/>
              <w:rPr>
                <w:color w:val="000000" w:themeColor="text1"/>
                <w:sz w:val="20"/>
              </w:rPr>
            </w:pPr>
          </w:p>
        </w:tc>
        <w:tc>
          <w:tcPr>
            <w:tcW w:w="6462" w:type="dxa"/>
          </w:tcPr>
          <w:p w:rsidR="00892635" w:rsidRPr="00520787" w:rsidRDefault="00892635" w:rsidP="00BC1D54">
            <w:pPr>
              <w:pStyle w:val="Paragraph"/>
              <w:numPr>
                <w:ilvl w:val="0"/>
                <w:numId w:val="0"/>
              </w:numPr>
              <w:spacing w:before="20" w:after="20"/>
              <w:rPr>
                <w:color w:val="000000" w:themeColor="text1"/>
                <w:sz w:val="20"/>
              </w:rPr>
            </w:pPr>
            <w:r w:rsidRPr="00520787">
              <w:rPr>
                <w:color w:val="000000" w:themeColor="text1"/>
                <w:sz w:val="20"/>
              </w:rPr>
              <w:lastRenderedPageBreak/>
              <w:t xml:space="preserve">Plan de </w:t>
            </w:r>
            <w:r>
              <w:rPr>
                <w:color w:val="000000" w:themeColor="text1"/>
                <w:sz w:val="20"/>
              </w:rPr>
              <w:t>A</w:t>
            </w:r>
            <w:r w:rsidRPr="00520787">
              <w:rPr>
                <w:color w:val="000000" w:themeColor="text1"/>
                <w:sz w:val="20"/>
              </w:rPr>
              <w:t>cción aprobado</w:t>
            </w:r>
            <w:r>
              <w:rPr>
                <w:color w:val="000000" w:themeColor="text1"/>
                <w:sz w:val="20"/>
              </w:rPr>
              <w:t xml:space="preserve"> con Resolución Ministerial del MEFP.</w:t>
            </w:r>
          </w:p>
        </w:tc>
      </w:tr>
      <w:tr w:rsidR="00892635" w:rsidRPr="0037333D" w:rsidTr="0037333D">
        <w:trPr>
          <w:trHeight w:val="416"/>
        </w:trPr>
        <w:tc>
          <w:tcPr>
            <w:tcW w:w="5688" w:type="dxa"/>
          </w:tcPr>
          <w:p w:rsidR="00892635" w:rsidRPr="00037E16" w:rsidRDefault="00892635" w:rsidP="00BC1D54">
            <w:pPr>
              <w:pStyle w:val="Paragraph"/>
              <w:numPr>
                <w:ilvl w:val="0"/>
                <w:numId w:val="0"/>
              </w:numPr>
              <w:spacing w:before="20" w:after="20"/>
              <w:rPr>
                <w:color w:val="000000" w:themeColor="text1"/>
                <w:sz w:val="20"/>
              </w:rPr>
            </w:pPr>
            <w:r w:rsidRPr="00037E16">
              <w:rPr>
                <w:color w:val="000000" w:themeColor="text1"/>
                <w:sz w:val="20"/>
              </w:rPr>
              <w:lastRenderedPageBreak/>
              <w:t xml:space="preserve">Pruebas de funcionamiento de la publicación de convocatorias para contrataciones estatales  con la correspondiente afectación presupuestaria en el Módulo de Contrataciones del SIGEP; </w:t>
            </w:r>
          </w:p>
          <w:p w:rsidR="00892635" w:rsidRPr="00037E16" w:rsidRDefault="00892635" w:rsidP="00BC1D54">
            <w:pPr>
              <w:pStyle w:val="Paragraph"/>
              <w:numPr>
                <w:ilvl w:val="0"/>
                <w:numId w:val="0"/>
              </w:numPr>
              <w:spacing w:before="20" w:after="20"/>
              <w:rPr>
                <w:color w:val="000000" w:themeColor="text1"/>
                <w:sz w:val="20"/>
              </w:rPr>
            </w:pPr>
          </w:p>
          <w:p w:rsidR="00892635" w:rsidRPr="00037E16" w:rsidRDefault="00892635" w:rsidP="00BC1D54">
            <w:pPr>
              <w:pStyle w:val="Paragraph"/>
              <w:numPr>
                <w:ilvl w:val="0"/>
                <w:numId w:val="0"/>
              </w:numPr>
              <w:spacing w:before="20" w:after="20"/>
              <w:rPr>
                <w:color w:val="000000" w:themeColor="text1"/>
                <w:sz w:val="20"/>
              </w:rPr>
            </w:pPr>
            <w:r w:rsidRPr="00037E16">
              <w:rPr>
                <w:color w:val="000000" w:themeColor="text1"/>
                <w:sz w:val="20"/>
              </w:rPr>
              <w:t xml:space="preserve">Prueba de funcionamiento del Módulo de </w:t>
            </w:r>
            <w:r w:rsidR="000B3C8D">
              <w:rPr>
                <w:color w:val="000000" w:themeColor="text1"/>
                <w:sz w:val="20"/>
              </w:rPr>
              <w:t>p</w:t>
            </w:r>
            <w:r w:rsidRPr="00037E16">
              <w:rPr>
                <w:color w:val="000000" w:themeColor="text1"/>
                <w:sz w:val="20"/>
              </w:rPr>
              <w:t xml:space="preserve">ago </w:t>
            </w:r>
            <w:r w:rsidR="000B3C8D">
              <w:rPr>
                <w:color w:val="000000" w:themeColor="text1"/>
                <w:sz w:val="20"/>
              </w:rPr>
              <w:t>e</w:t>
            </w:r>
            <w:r w:rsidRPr="00037E16">
              <w:rPr>
                <w:color w:val="000000" w:themeColor="text1"/>
                <w:sz w:val="20"/>
              </w:rPr>
              <w:t>lectrónico subnacional del SIGEP en una entidad territorial</w:t>
            </w:r>
            <w:r>
              <w:rPr>
                <w:color w:val="000000" w:themeColor="text1"/>
                <w:sz w:val="20"/>
              </w:rPr>
              <w:t>.</w:t>
            </w:r>
          </w:p>
        </w:tc>
        <w:tc>
          <w:tcPr>
            <w:tcW w:w="6462" w:type="dxa"/>
          </w:tcPr>
          <w:p w:rsidR="00892635" w:rsidRDefault="00892635" w:rsidP="00BC1D54">
            <w:pPr>
              <w:pStyle w:val="Paragraph"/>
              <w:numPr>
                <w:ilvl w:val="0"/>
                <w:numId w:val="0"/>
              </w:numPr>
              <w:spacing w:before="20" w:after="20"/>
              <w:rPr>
                <w:color w:val="000000" w:themeColor="text1"/>
                <w:sz w:val="20"/>
              </w:rPr>
            </w:pPr>
            <w:r>
              <w:rPr>
                <w:color w:val="000000" w:themeColor="text1"/>
                <w:sz w:val="20"/>
              </w:rPr>
              <w:t xml:space="preserve">Informe de consultoría independiente que verifique el desarrollo de las pruebas </w:t>
            </w:r>
            <w:r w:rsidR="00232990" w:rsidRPr="00D902A2">
              <w:rPr>
                <w:color w:val="000000" w:themeColor="text1"/>
                <w:sz w:val="20"/>
              </w:rPr>
              <w:t>de</w:t>
            </w:r>
            <w:r w:rsidR="00232990">
              <w:rPr>
                <w:color w:val="000000" w:themeColor="text1"/>
                <w:sz w:val="20"/>
              </w:rPr>
              <w:t xml:space="preserve"> </w:t>
            </w:r>
            <w:r>
              <w:rPr>
                <w:color w:val="000000" w:themeColor="text1"/>
                <w:sz w:val="20"/>
              </w:rPr>
              <w:t xml:space="preserve">funcionamiento de la publicación de convocatorias para contrataciones estatales con la correspondiente afectación presupuestaria en el </w:t>
            </w:r>
            <w:r w:rsidRPr="00520787">
              <w:rPr>
                <w:color w:val="000000" w:themeColor="text1"/>
                <w:sz w:val="20"/>
              </w:rPr>
              <w:t xml:space="preserve">Módulo de </w:t>
            </w:r>
            <w:r>
              <w:rPr>
                <w:color w:val="000000" w:themeColor="text1"/>
                <w:sz w:val="20"/>
              </w:rPr>
              <w:t xml:space="preserve">Contrataciones </w:t>
            </w:r>
            <w:r w:rsidRPr="00520787">
              <w:rPr>
                <w:color w:val="000000" w:themeColor="text1"/>
                <w:sz w:val="20"/>
              </w:rPr>
              <w:t>del SIGEP</w:t>
            </w:r>
            <w:r>
              <w:rPr>
                <w:color w:val="000000" w:themeColor="text1"/>
                <w:sz w:val="20"/>
              </w:rPr>
              <w:t>.</w:t>
            </w:r>
          </w:p>
          <w:p w:rsidR="00892635" w:rsidRDefault="00892635" w:rsidP="00BC1D54">
            <w:pPr>
              <w:pStyle w:val="Paragraph"/>
              <w:numPr>
                <w:ilvl w:val="0"/>
                <w:numId w:val="0"/>
              </w:numPr>
              <w:spacing w:before="20" w:after="20"/>
              <w:rPr>
                <w:color w:val="000000" w:themeColor="text1"/>
                <w:sz w:val="20"/>
              </w:rPr>
            </w:pPr>
          </w:p>
          <w:p w:rsidR="00892635" w:rsidRPr="00520787" w:rsidRDefault="00892635" w:rsidP="00BC1D54">
            <w:pPr>
              <w:pStyle w:val="Paragraph"/>
              <w:numPr>
                <w:ilvl w:val="0"/>
                <w:numId w:val="0"/>
              </w:numPr>
              <w:spacing w:before="20" w:after="20"/>
              <w:jc w:val="left"/>
              <w:rPr>
                <w:color w:val="000000" w:themeColor="text1"/>
                <w:sz w:val="20"/>
              </w:rPr>
            </w:pPr>
            <w:r>
              <w:rPr>
                <w:color w:val="000000" w:themeColor="text1"/>
                <w:sz w:val="20"/>
              </w:rPr>
              <w:t>Informe de consultoría independiente que verifique el desarrollo de la prueba de funcionamiento</w:t>
            </w:r>
            <w:r w:rsidRPr="00520787">
              <w:rPr>
                <w:color w:val="000000" w:themeColor="text1"/>
                <w:sz w:val="20"/>
              </w:rPr>
              <w:t xml:space="preserve"> del Módulo de </w:t>
            </w:r>
            <w:r w:rsidR="009B6CF4">
              <w:rPr>
                <w:color w:val="000000" w:themeColor="text1"/>
                <w:sz w:val="20"/>
              </w:rPr>
              <w:t>p</w:t>
            </w:r>
            <w:r w:rsidRPr="00520787">
              <w:rPr>
                <w:color w:val="000000" w:themeColor="text1"/>
                <w:sz w:val="20"/>
              </w:rPr>
              <w:t xml:space="preserve">ago </w:t>
            </w:r>
            <w:r w:rsidR="009B6CF4">
              <w:rPr>
                <w:color w:val="000000" w:themeColor="text1"/>
                <w:sz w:val="20"/>
              </w:rPr>
              <w:t>e</w:t>
            </w:r>
            <w:r w:rsidRPr="00520787">
              <w:rPr>
                <w:color w:val="000000" w:themeColor="text1"/>
                <w:sz w:val="20"/>
              </w:rPr>
              <w:t>lectrónico subnacional</w:t>
            </w:r>
            <w:r>
              <w:rPr>
                <w:color w:val="000000" w:themeColor="text1"/>
                <w:sz w:val="20"/>
              </w:rPr>
              <w:t xml:space="preserve"> d</w:t>
            </w:r>
            <w:r w:rsidRPr="00520787">
              <w:rPr>
                <w:color w:val="000000" w:themeColor="text1"/>
                <w:sz w:val="20"/>
              </w:rPr>
              <w:t>el SIGEP</w:t>
            </w:r>
            <w:r>
              <w:rPr>
                <w:color w:val="000000" w:themeColor="text1"/>
                <w:sz w:val="20"/>
              </w:rPr>
              <w:t xml:space="preserve"> en una entidad </w:t>
            </w:r>
            <w:r w:rsidRPr="00D902A2">
              <w:rPr>
                <w:color w:val="000000" w:themeColor="text1"/>
                <w:sz w:val="20"/>
              </w:rPr>
              <w:t>territorial</w:t>
            </w:r>
            <w:r w:rsidR="00232990" w:rsidRPr="00D902A2">
              <w:rPr>
                <w:color w:val="000000" w:themeColor="text1"/>
                <w:sz w:val="20"/>
              </w:rPr>
              <w:t>.</w:t>
            </w:r>
          </w:p>
          <w:p w:rsidR="00892635" w:rsidRPr="00520787" w:rsidRDefault="00892635" w:rsidP="00BC1D54">
            <w:pPr>
              <w:pStyle w:val="Paragraph"/>
              <w:numPr>
                <w:ilvl w:val="0"/>
                <w:numId w:val="0"/>
              </w:numPr>
              <w:spacing w:before="20" w:after="20"/>
              <w:rPr>
                <w:color w:val="000000" w:themeColor="text1"/>
                <w:sz w:val="20"/>
              </w:rPr>
            </w:pPr>
            <w:r>
              <w:rPr>
                <w:color w:val="000000" w:themeColor="text1"/>
                <w:sz w:val="20"/>
              </w:rPr>
              <w:t xml:space="preserve"> </w:t>
            </w:r>
          </w:p>
        </w:tc>
      </w:tr>
      <w:tr w:rsidR="00892635" w:rsidRPr="0037333D" w:rsidTr="0037333D">
        <w:trPr>
          <w:trHeight w:val="40"/>
        </w:trPr>
        <w:tc>
          <w:tcPr>
            <w:tcW w:w="5688" w:type="dxa"/>
            <w:tcBorders>
              <w:bottom w:val="single" w:sz="4" w:space="0" w:color="000000"/>
            </w:tcBorders>
          </w:tcPr>
          <w:p w:rsidR="00892635" w:rsidRPr="00037E16" w:rsidRDefault="00892635" w:rsidP="00BC1D54">
            <w:pPr>
              <w:pStyle w:val="Paragraph"/>
              <w:numPr>
                <w:ilvl w:val="0"/>
                <w:numId w:val="0"/>
              </w:numPr>
              <w:spacing w:before="20" w:after="20"/>
              <w:rPr>
                <w:color w:val="000000" w:themeColor="text1"/>
                <w:sz w:val="20"/>
              </w:rPr>
            </w:pPr>
            <w:r w:rsidRPr="00037E16">
              <w:rPr>
                <w:sz w:val="20"/>
                <w:lang w:val="es-ES"/>
              </w:rPr>
              <w:t xml:space="preserve">Implementación de la nueva plataforma informática de recopilación de información financiera para la generación de cifras fiscales (SIET) en al menos 80 entidades públicas subnacionales. </w:t>
            </w:r>
          </w:p>
        </w:tc>
        <w:tc>
          <w:tcPr>
            <w:tcW w:w="6462" w:type="dxa"/>
            <w:tcBorders>
              <w:bottom w:val="single" w:sz="4" w:space="0" w:color="000000"/>
            </w:tcBorders>
          </w:tcPr>
          <w:p w:rsidR="00892635" w:rsidRPr="00520787" w:rsidRDefault="00892635" w:rsidP="00BC1D54">
            <w:pPr>
              <w:pStyle w:val="Paragraph"/>
              <w:numPr>
                <w:ilvl w:val="0"/>
                <w:numId w:val="0"/>
              </w:numPr>
              <w:spacing w:before="20" w:after="20"/>
              <w:jc w:val="left"/>
              <w:rPr>
                <w:color w:val="000000" w:themeColor="text1"/>
                <w:spacing w:val="-2"/>
                <w:sz w:val="20"/>
              </w:rPr>
            </w:pPr>
            <w:r>
              <w:rPr>
                <w:color w:val="000000" w:themeColor="text1"/>
                <w:spacing w:val="-2"/>
                <w:sz w:val="20"/>
              </w:rPr>
              <w:t>Informe de consultoría independiente que verifique, a partir de reportes del SIET</w:t>
            </w:r>
            <w:r w:rsidRPr="00D902A2">
              <w:rPr>
                <w:color w:val="000000" w:themeColor="text1"/>
                <w:spacing w:val="-2"/>
                <w:sz w:val="20"/>
              </w:rPr>
              <w:t xml:space="preserve">, </w:t>
            </w:r>
            <w:r w:rsidRPr="00D902A2">
              <w:rPr>
                <w:sz w:val="20"/>
                <w:lang w:val="es-ES"/>
              </w:rPr>
              <w:t xml:space="preserve"> </w:t>
            </w:r>
            <w:r w:rsidR="00232990" w:rsidRPr="00D902A2">
              <w:rPr>
                <w:sz w:val="20"/>
                <w:lang w:val="es-ES"/>
              </w:rPr>
              <w:t>la i</w:t>
            </w:r>
            <w:r w:rsidRPr="00D902A2">
              <w:rPr>
                <w:sz w:val="20"/>
                <w:lang w:val="es-ES"/>
              </w:rPr>
              <w:t>mplementa</w:t>
            </w:r>
            <w:r w:rsidRPr="000C2039">
              <w:rPr>
                <w:sz w:val="20"/>
                <w:lang w:val="es-ES"/>
              </w:rPr>
              <w:t xml:space="preserve">ción de la nueva plataforma informática de recopilación de información financiera para la generación de cifras </w:t>
            </w:r>
            <w:r w:rsidRPr="00D902A2">
              <w:rPr>
                <w:sz w:val="20"/>
                <w:lang w:val="es-ES"/>
              </w:rPr>
              <w:t>fiscales e</w:t>
            </w:r>
            <w:r w:rsidRPr="000C2039">
              <w:rPr>
                <w:sz w:val="20"/>
                <w:lang w:val="es-ES"/>
              </w:rPr>
              <w:t>n al menos 80 entidades públicas</w:t>
            </w:r>
            <w:r>
              <w:rPr>
                <w:sz w:val="20"/>
                <w:lang w:val="es-ES"/>
              </w:rPr>
              <w:t xml:space="preserve"> subnacionales</w:t>
            </w:r>
            <w:r w:rsidRPr="000C2039">
              <w:rPr>
                <w:sz w:val="20"/>
                <w:lang w:val="es-ES"/>
              </w:rPr>
              <w:t>.</w:t>
            </w:r>
          </w:p>
        </w:tc>
      </w:tr>
      <w:tr w:rsidR="00A65E03" w:rsidRPr="0037333D" w:rsidTr="0037333D">
        <w:trPr>
          <w:trHeight w:val="317"/>
        </w:trPr>
        <w:tc>
          <w:tcPr>
            <w:tcW w:w="12150" w:type="dxa"/>
            <w:gridSpan w:val="2"/>
            <w:shd w:val="clear" w:color="auto" w:fill="D9D9D9" w:themeFill="background1" w:themeFillShade="D9"/>
          </w:tcPr>
          <w:p w:rsidR="00A65E03" w:rsidRPr="00520787" w:rsidRDefault="00A65E03" w:rsidP="00BC1D54">
            <w:pPr>
              <w:pStyle w:val="Paragraph"/>
              <w:numPr>
                <w:ilvl w:val="0"/>
                <w:numId w:val="0"/>
              </w:numPr>
              <w:spacing w:before="20" w:after="20"/>
              <w:rPr>
                <w:color w:val="000000" w:themeColor="text1"/>
                <w:sz w:val="20"/>
              </w:rPr>
            </w:pPr>
            <w:r w:rsidRPr="00520787">
              <w:rPr>
                <w:b/>
                <w:color w:val="000000" w:themeColor="text1"/>
                <w:sz w:val="20"/>
              </w:rPr>
              <w:t xml:space="preserve">Componente </w:t>
            </w:r>
            <w:r>
              <w:rPr>
                <w:b/>
                <w:color w:val="000000" w:themeColor="text1"/>
                <w:sz w:val="20"/>
              </w:rPr>
              <w:t>4</w:t>
            </w:r>
            <w:r w:rsidRPr="00520787">
              <w:rPr>
                <w:b/>
                <w:color w:val="000000" w:themeColor="text1"/>
                <w:sz w:val="20"/>
              </w:rPr>
              <w:t xml:space="preserve">. Mejora en la ejecución y </w:t>
            </w:r>
            <w:r>
              <w:rPr>
                <w:b/>
                <w:color w:val="000000" w:themeColor="text1"/>
                <w:sz w:val="20"/>
              </w:rPr>
              <w:t>eficiencia</w:t>
            </w:r>
            <w:r w:rsidRPr="00520787">
              <w:rPr>
                <w:b/>
                <w:color w:val="000000" w:themeColor="text1"/>
                <w:sz w:val="20"/>
              </w:rPr>
              <w:t xml:space="preserve"> del gasto</w:t>
            </w:r>
            <w:r>
              <w:rPr>
                <w:b/>
                <w:color w:val="000000" w:themeColor="text1"/>
                <w:sz w:val="20"/>
              </w:rPr>
              <w:t xml:space="preserve"> público</w:t>
            </w:r>
          </w:p>
        </w:tc>
      </w:tr>
      <w:tr w:rsidR="00AB4C80" w:rsidRPr="0037333D" w:rsidTr="0037333D">
        <w:trPr>
          <w:trHeight w:val="1744"/>
        </w:trPr>
        <w:tc>
          <w:tcPr>
            <w:tcW w:w="5688" w:type="dxa"/>
          </w:tcPr>
          <w:p w:rsidR="00AB4C80" w:rsidRPr="00037E16" w:rsidRDefault="00AB4C80" w:rsidP="00BC1D54">
            <w:pPr>
              <w:pStyle w:val="Paragraph"/>
              <w:numPr>
                <w:ilvl w:val="0"/>
                <w:numId w:val="0"/>
              </w:numPr>
              <w:spacing w:before="20" w:after="20"/>
              <w:rPr>
                <w:color w:val="000000" w:themeColor="text1"/>
                <w:sz w:val="20"/>
              </w:rPr>
            </w:pPr>
            <w:r w:rsidRPr="00037E16">
              <w:rPr>
                <w:color w:val="000000" w:themeColor="text1"/>
                <w:sz w:val="20"/>
              </w:rPr>
              <w:t xml:space="preserve">Implementación en todos los ministerios de la AC y en 5 </w:t>
            </w:r>
            <w:r w:rsidR="000B3C8D">
              <w:rPr>
                <w:color w:val="000000" w:themeColor="text1"/>
                <w:sz w:val="20"/>
              </w:rPr>
              <w:t>e</w:t>
            </w:r>
            <w:r w:rsidRPr="00037E16">
              <w:rPr>
                <w:color w:val="000000" w:themeColor="text1"/>
                <w:sz w:val="20"/>
              </w:rPr>
              <w:t xml:space="preserve">mpresas </w:t>
            </w:r>
            <w:r w:rsidR="000B3C8D">
              <w:rPr>
                <w:color w:val="000000" w:themeColor="text1"/>
                <w:sz w:val="20"/>
              </w:rPr>
              <w:t>p</w:t>
            </w:r>
            <w:r w:rsidRPr="00037E16">
              <w:rPr>
                <w:color w:val="000000" w:themeColor="text1"/>
                <w:sz w:val="20"/>
              </w:rPr>
              <w:t xml:space="preserve">úblicas </w:t>
            </w:r>
            <w:r w:rsidR="000B3C8D">
              <w:rPr>
                <w:color w:val="000000" w:themeColor="text1"/>
                <w:sz w:val="20"/>
              </w:rPr>
              <w:t>n</w:t>
            </w:r>
            <w:r w:rsidRPr="00037E16">
              <w:rPr>
                <w:color w:val="000000" w:themeColor="text1"/>
                <w:sz w:val="20"/>
              </w:rPr>
              <w:t>acionales de la herramienta de apoyo para la generación de información gerencial, que contenga información sobre ejecución presupuestaria del gobierno central, entidades territoriales y empresas públicas.</w:t>
            </w:r>
          </w:p>
        </w:tc>
        <w:tc>
          <w:tcPr>
            <w:tcW w:w="6462" w:type="dxa"/>
          </w:tcPr>
          <w:p w:rsidR="00AB4C80" w:rsidRPr="00520787" w:rsidRDefault="00AB4C80" w:rsidP="00BC1D54">
            <w:pPr>
              <w:pStyle w:val="Paragraph"/>
              <w:numPr>
                <w:ilvl w:val="0"/>
                <w:numId w:val="0"/>
              </w:numPr>
              <w:spacing w:before="20" w:after="20"/>
              <w:rPr>
                <w:color w:val="000000" w:themeColor="text1"/>
                <w:sz w:val="20"/>
              </w:rPr>
            </w:pPr>
            <w:r w:rsidRPr="00520787">
              <w:rPr>
                <w:color w:val="000000" w:themeColor="text1"/>
                <w:sz w:val="20"/>
              </w:rPr>
              <w:t>Informe de consultoría</w:t>
            </w:r>
            <w:r>
              <w:rPr>
                <w:color w:val="000000" w:themeColor="text1"/>
                <w:sz w:val="20"/>
              </w:rPr>
              <w:t xml:space="preserve"> independiente que verifique la</w:t>
            </w:r>
            <w:r w:rsidRPr="00520787">
              <w:rPr>
                <w:color w:val="000000" w:themeColor="text1"/>
                <w:sz w:val="20"/>
              </w:rPr>
              <w:t xml:space="preserve"> implementación en </w:t>
            </w:r>
            <w:r>
              <w:rPr>
                <w:color w:val="000000" w:themeColor="text1"/>
                <w:sz w:val="20"/>
              </w:rPr>
              <w:t xml:space="preserve">todos </w:t>
            </w:r>
            <w:r w:rsidRPr="00520787">
              <w:rPr>
                <w:color w:val="000000" w:themeColor="text1"/>
                <w:sz w:val="20"/>
              </w:rPr>
              <w:t xml:space="preserve">los ministerios de la </w:t>
            </w:r>
            <w:r w:rsidRPr="00635BFB">
              <w:rPr>
                <w:color w:val="000000" w:themeColor="text1"/>
                <w:sz w:val="20"/>
              </w:rPr>
              <w:t xml:space="preserve">AC y en </w:t>
            </w:r>
            <w:r>
              <w:rPr>
                <w:color w:val="000000" w:themeColor="text1"/>
                <w:sz w:val="20"/>
              </w:rPr>
              <w:t>5</w:t>
            </w:r>
            <w:r w:rsidRPr="00635BFB">
              <w:rPr>
                <w:color w:val="000000" w:themeColor="text1"/>
                <w:sz w:val="20"/>
              </w:rPr>
              <w:t xml:space="preserve"> </w:t>
            </w:r>
            <w:r w:rsidR="009B6CF4">
              <w:rPr>
                <w:color w:val="000000" w:themeColor="text1"/>
                <w:sz w:val="20"/>
              </w:rPr>
              <w:t>e</w:t>
            </w:r>
            <w:r w:rsidRPr="00635BFB">
              <w:rPr>
                <w:color w:val="000000" w:themeColor="text1"/>
                <w:sz w:val="20"/>
              </w:rPr>
              <w:t xml:space="preserve">mpresas </w:t>
            </w:r>
            <w:r w:rsidR="009B6CF4">
              <w:rPr>
                <w:color w:val="000000" w:themeColor="text1"/>
                <w:sz w:val="20"/>
              </w:rPr>
              <w:t>p</w:t>
            </w:r>
            <w:r w:rsidRPr="00635BFB">
              <w:rPr>
                <w:color w:val="000000" w:themeColor="text1"/>
                <w:sz w:val="20"/>
              </w:rPr>
              <w:t xml:space="preserve">úblicas </w:t>
            </w:r>
            <w:r w:rsidR="009B6CF4">
              <w:rPr>
                <w:color w:val="000000" w:themeColor="text1"/>
                <w:sz w:val="20"/>
              </w:rPr>
              <w:t>n</w:t>
            </w:r>
            <w:r w:rsidRPr="00635BFB">
              <w:rPr>
                <w:color w:val="000000" w:themeColor="text1"/>
                <w:sz w:val="20"/>
              </w:rPr>
              <w:t>acionales</w:t>
            </w:r>
            <w:r>
              <w:rPr>
                <w:color w:val="000000" w:themeColor="text1"/>
                <w:sz w:val="20"/>
              </w:rPr>
              <w:t xml:space="preserve"> </w:t>
            </w:r>
            <w:r w:rsidRPr="00635BFB">
              <w:rPr>
                <w:color w:val="000000" w:themeColor="text1"/>
                <w:sz w:val="20"/>
              </w:rPr>
              <w:t>de</w:t>
            </w:r>
            <w:r w:rsidRPr="00520787">
              <w:rPr>
                <w:color w:val="000000" w:themeColor="text1"/>
                <w:sz w:val="20"/>
              </w:rPr>
              <w:t xml:space="preserve"> la herramienta de apoyo para la generación de información gerencial, que contenga información sobre </w:t>
            </w:r>
            <w:r>
              <w:rPr>
                <w:color w:val="000000" w:themeColor="text1"/>
                <w:sz w:val="20"/>
              </w:rPr>
              <w:t>ejecución presupuestaria del gobierno central, entidades territoriales y empresas públicas.</w:t>
            </w:r>
          </w:p>
        </w:tc>
      </w:tr>
      <w:tr w:rsidR="00AB4C80" w:rsidRPr="0037333D" w:rsidTr="0037333D">
        <w:trPr>
          <w:trHeight w:val="416"/>
        </w:trPr>
        <w:tc>
          <w:tcPr>
            <w:tcW w:w="5688" w:type="dxa"/>
          </w:tcPr>
          <w:p w:rsidR="00AB4C80" w:rsidRPr="00037E16" w:rsidRDefault="00AB4C80" w:rsidP="00BC1D54">
            <w:pPr>
              <w:pStyle w:val="Paragraph"/>
              <w:numPr>
                <w:ilvl w:val="0"/>
                <w:numId w:val="0"/>
              </w:numPr>
              <w:spacing w:before="20" w:after="20"/>
              <w:rPr>
                <w:color w:val="000000" w:themeColor="text1"/>
                <w:sz w:val="20"/>
              </w:rPr>
            </w:pPr>
            <w:r w:rsidRPr="00037E16">
              <w:rPr>
                <w:color w:val="000000" w:themeColor="text1"/>
                <w:sz w:val="20"/>
              </w:rPr>
              <w:t>Módulo de gestión contable de proyectos financiados con recursos externos del SIGEP para prueba de funcionamiento en una entidad pública.</w:t>
            </w:r>
          </w:p>
          <w:p w:rsidR="00AB4C80" w:rsidRPr="00037E16" w:rsidRDefault="00AB4C80" w:rsidP="00BC1D54">
            <w:pPr>
              <w:pStyle w:val="Paragraph"/>
              <w:numPr>
                <w:ilvl w:val="0"/>
                <w:numId w:val="0"/>
              </w:numPr>
              <w:spacing w:before="20" w:after="20"/>
              <w:rPr>
                <w:strike/>
                <w:color w:val="000000" w:themeColor="text1"/>
                <w:sz w:val="20"/>
              </w:rPr>
            </w:pPr>
          </w:p>
          <w:p w:rsidR="00AB4C80" w:rsidRPr="00037E16" w:rsidRDefault="00AB4C80" w:rsidP="00BC1D54">
            <w:pPr>
              <w:pStyle w:val="Paragraph"/>
              <w:numPr>
                <w:ilvl w:val="0"/>
                <w:numId w:val="0"/>
              </w:numPr>
              <w:spacing w:before="20" w:after="20"/>
              <w:rPr>
                <w:strike/>
                <w:color w:val="000000" w:themeColor="text1"/>
                <w:sz w:val="20"/>
              </w:rPr>
            </w:pPr>
            <w:r w:rsidRPr="00037E16">
              <w:rPr>
                <w:color w:val="000000" w:themeColor="text1"/>
                <w:sz w:val="20"/>
                <w:lang w:val="es-AR"/>
              </w:rPr>
              <w:t>Creación del Registro Único de Proveedores del Estado que acredita a los proveedores del Estado a nivel nacional.</w:t>
            </w:r>
          </w:p>
          <w:p w:rsidR="00AB4C80" w:rsidRPr="00037E16" w:rsidRDefault="00AB4C80" w:rsidP="00BC1D54">
            <w:pPr>
              <w:pStyle w:val="Paragraph"/>
              <w:numPr>
                <w:ilvl w:val="0"/>
                <w:numId w:val="0"/>
              </w:numPr>
              <w:spacing w:before="20" w:after="20"/>
              <w:rPr>
                <w:strike/>
                <w:color w:val="000000" w:themeColor="text1"/>
                <w:sz w:val="20"/>
              </w:rPr>
            </w:pPr>
          </w:p>
          <w:p w:rsidR="00AB4C80" w:rsidRPr="00037E16" w:rsidRDefault="00AB4C80" w:rsidP="00BC1D54">
            <w:pPr>
              <w:pStyle w:val="Paragraph"/>
              <w:numPr>
                <w:ilvl w:val="0"/>
                <w:numId w:val="0"/>
              </w:numPr>
              <w:spacing w:before="20" w:after="20"/>
              <w:rPr>
                <w:color w:val="000000" w:themeColor="text1"/>
                <w:sz w:val="20"/>
              </w:rPr>
            </w:pPr>
            <w:r w:rsidRPr="00037E16">
              <w:rPr>
                <w:color w:val="000000" w:themeColor="text1"/>
                <w:sz w:val="20"/>
              </w:rPr>
              <w:t>Mejora en la política de  contrataciones estatales, a través de la inclusión en los Documentos Base de  Contratación. de reglas</w:t>
            </w:r>
            <w:r>
              <w:rPr>
                <w:color w:val="000000" w:themeColor="text1"/>
                <w:sz w:val="20"/>
              </w:rPr>
              <w:t xml:space="preserve"> </w:t>
            </w:r>
            <w:r w:rsidRPr="00037E16">
              <w:rPr>
                <w:color w:val="000000" w:themeColor="text1"/>
                <w:sz w:val="20"/>
              </w:rPr>
              <w:t xml:space="preserve">sobre: (i) criterios subsanabilidad; (ii) aclaración de métodos de </w:t>
            </w:r>
            <w:r w:rsidRPr="00037E16">
              <w:rPr>
                <w:color w:val="000000" w:themeColor="text1"/>
                <w:sz w:val="20"/>
              </w:rPr>
              <w:lastRenderedPageBreak/>
              <w:t>selección; (iii) uso de garantías y (iv) utilización del Registro Único de Proveedores del Estado.</w:t>
            </w:r>
          </w:p>
          <w:p w:rsidR="00AB4C80" w:rsidRPr="00037E16" w:rsidRDefault="00AB4C80" w:rsidP="00BC1D54">
            <w:pPr>
              <w:pStyle w:val="Paragraph"/>
              <w:numPr>
                <w:ilvl w:val="0"/>
                <w:numId w:val="0"/>
              </w:numPr>
              <w:spacing w:before="20" w:after="20"/>
              <w:ind w:left="225"/>
              <w:rPr>
                <w:color w:val="000000" w:themeColor="text1"/>
                <w:sz w:val="20"/>
              </w:rPr>
            </w:pPr>
          </w:p>
          <w:p w:rsidR="00AB4C80" w:rsidRPr="00037E16" w:rsidRDefault="00AB4C80" w:rsidP="00BC1D54">
            <w:pPr>
              <w:pStyle w:val="Paragraph"/>
              <w:numPr>
                <w:ilvl w:val="0"/>
                <w:numId w:val="0"/>
              </w:numPr>
              <w:spacing w:before="20" w:after="20"/>
              <w:rPr>
                <w:color w:val="000000" w:themeColor="text1"/>
                <w:sz w:val="20"/>
              </w:rPr>
            </w:pPr>
            <w:r w:rsidRPr="00037E16">
              <w:rPr>
                <w:color w:val="000000" w:themeColor="text1"/>
                <w:sz w:val="20"/>
              </w:rPr>
              <w:t>Política de difusión de buenas prácticas en adquisiciones, a través de la publicación y difusión  de Cartillas con pautas sobre: i) Criterios de subsanabilidad, ii) garantías, iii) criterios de selección y iv) correcto registro en el SICOES de impedidos para participar en las adquisiciones públicas del Estado.</w:t>
            </w:r>
          </w:p>
        </w:tc>
        <w:tc>
          <w:tcPr>
            <w:tcW w:w="6462" w:type="dxa"/>
          </w:tcPr>
          <w:p w:rsidR="00AB4C80" w:rsidRPr="00520787" w:rsidRDefault="00AB4C80" w:rsidP="00BC1D54">
            <w:pPr>
              <w:pStyle w:val="Paragraph"/>
              <w:numPr>
                <w:ilvl w:val="0"/>
                <w:numId w:val="0"/>
              </w:numPr>
              <w:spacing w:before="20" w:after="20"/>
              <w:jc w:val="left"/>
              <w:rPr>
                <w:color w:val="000000" w:themeColor="text1"/>
                <w:sz w:val="20"/>
              </w:rPr>
            </w:pPr>
            <w:r>
              <w:rPr>
                <w:color w:val="000000" w:themeColor="text1"/>
                <w:sz w:val="20"/>
              </w:rPr>
              <w:lastRenderedPageBreak/>
              <w:t xml:space="preserve">Informe de consultoría independiente que verifique el desarrollo de la prueba </w:t>
            </w:r>
            <w:r w:rsidR="00D94200">
              <w:rPr>
                <w:color w:val="000000" w:themeColor="text1"/>
                <w:sz w:val="20"/>
              </w:rPr>
              <w:t xml:space="preserve">de funcionamiento </w:t>
            </w:r>
            <w:r w:rsidRPr="00D94200">
              <w:rPr>
                <w:color w:val="000000" w:themeColor="text1"/>
                <w:sz w:val="20"/>
              </w:rPr>
              <w:t>d</w:t>
            </w:r>
            <w:r>
              <w:rPr>
                <w:color w:val="000000" w:themeColor="text1"/>
                <w:sz w:val="20"/>
              </w:rPr>
              <w:t xml:space="preserve">el </w:t>
            </w:r>
            <w:r w:rsidRPr="00A65202">
              <w:rPr>
                <w:color w:val="000000" w:themeColor="text1"/>
                <w:sz w:val="20"/>
              </w:rPr>
              <w:t>Módulo de gestión contable de proyectos financiados con recursos externos del SIGEP</w:t>
            </w:r>
            <w:r>
              <w:rPr>
                <w:color w:val="000000" w:themeColor="text1"/>
                <w:sz w:val="20"/>
              </w:rPr>
              <w:t xml:space="preserve"> </w:t>
            </w:r>
            <w:r w:rsidRPr="00A65202">
              <w:rPr>
                <w:color w:val="000000" w:themeColor="text1"/>
                <w:sz w:val="20"/>
              </w:rPr>
              <w:t xml:space="preserve">en </w:t>
            </w:r>
            <w:r>
              <w:rPr>
                <w:color w:val="000000" w:themeColor="text1"/>
                <w:sz w:val="20"/>
              </w:rPr>
              <w:t>una</w:t>
            </w:r>
            <w:r w:rsidRPr="00A65202">
              <w:rPr>
                <w:color w:val="000000" w:themeColor="text1"/>
                <w:sz w:val="20"/>
              </w:rPr>
              <w:t xml:space="preserve"> entidad pública</w:t>
            </w:r>
            <w:r>
              <w:rPr>
                <w:color w:val="000000" w:themeColor="text1"/>
                <w:sz w:val="20"/>
              </w:rPr>
              <w:t>.</w:t>
            </w:r>
            <w:r w:rsidDel="00851716">
              <w:rPr>
                <w:color w:val="000000" w:themeColor="text1"/>
                <w:sz w:val="20"/>
              </w:rPr>
              <w:t xml:space="preserve"> </w:t>
            </w:r>
          </w:p>
          <w:p w:rsidR="00AB4C80" w:rsidRPr="00520787" w:rsidRDefault="00AB4C80" w:rsidP="00BC1D54">
            <w:pPr>
              <w:pStyle w:val="Paragraph"/>
              <w:numPr>
                <w:ilvl w:val="0"/>
                <w:numId w:val="0"/>
              </w:numPr>
              <w:spacing w:before="20" w:after="20"/>
              <w:jc w:val="left"/>
              <w:rPr>
                <w:color w:val="000000" w:themeColor="text1"/>
                <w:sz w:val="20"/>
              </w:rPr>
            </w:pPr>
          </w:p>
          <w:p w:rsidR="00AB4C80" w:rsidRDefault="00AB4C80" w:rsidP="00BC1D54">
            <w:pPr>
              <w:pStyle w:val="Paragraph"/>
              <w:numPr>
                <w:ilvl w:val="0"/>
                <w:numId w:val="0"/>
              </w:numPr>
              <w:spacing w:before="20" w:after="20"/>
              <w:jc w:val="left"/>
              <w:rPr>
                <w:color w:val="000000" w:themeColor="text1"/>
                <w:sz w:val="20"/>
              </w:rPr>
            </w:pPr>
            <w:r>
              <w:rPr>
                <w:color w:val="000000" w:themeColor="text1"/>
                <w:sz w:val="20"/>
              </w:rPr>
              <w:t xml:space="preserve">Decreto Supremo de </w:t>
            </w:r>
            <w:r>
              <w:rPr>
                <w:color w:val="000000" w:themeColor="text1"/>
                <w:sz w:val="20"/>
                <w:lang w:val="es-AR"/>
              </w:rPr>
              <w:t>Creación</w:t>
            </w:r>
            <w:r w:rsidRPr="00520787">
              <w:rPr>
                <w:color w:val="000000" w:themeColor="text1"/>
                <w:sz w:val="20"/>
                <w:lang w:val="es-AR"/>
              </w:rPr>
              <w:t xml:space="preserve"> del Registro Único de Proveedores del Estado que acredita a los proveedores del Estado a nivel nacional</w:t>
            </w:r>
            <w:r>
              <w:rPr>
                <w:color w:val="000000" w:themeColor="text1"/>
                <w:sz w:val="20"/>
                <w:lang w:val="es-AR"/>
              </w:rPr>
              <w:t>, promulgado.</w:t>
            </w:r>
            <w:r w:rsidDel="00BB7DEA">
              <w:rPr>
                <w:color w:val="000000" w:themeColor="text1"/>
                <w:sz w:val="20"/>
              </w:rPr>
              <w:t xml:space="preserve"> </w:t>
            </w:r>
          </w:p>
          <w:p w:rsidR="00AB4C80" w:rsidRDefault="00AB4C80" w:rsidP="00BC1D54">
            <w:pPr>
              <w:pStyle w:val="Paragraph"/>
              <w:numPr>
                <w:ilvl w:val="0"/>
                <w:numId w:val="0"/>
              </w:numPr>
              <w:spacing w:before="20" w:after="20"/>
              <w:jc w:val="left"/>
              <w:rPr>
                <w:color w:val="000000" w:themeColor="text1"/>
                <w:sz w:val="20"/>
              </w:rPr>
            </w:pPr>
          </w:p>
          <w:p w:rsidR="00AB4C80" w:rsidRPr="00520787" w:rsidRDefault="00AB4C80" w:rsidP="00BC1D54">
            <w:pPr>
              <w:pStyle w:val="Paragraph"/>
              <w:numPr>
                <w:ilvl w:val="0"/>
                <w:numId w:val="0"/>
              </w:numPr>
              <w:spacing w:before="20" w:after="20"/>
              <w:jc w:val="left"/>
              <w:rPr>
                <w:color w:val="000000" w:themeColor="text1"/>
                <w:sz w:val="20"/>
              </w:rPr>
            </w:pPr>
            <w:r>
              <w:rPr>
                <w:color w:val="000000" w:themeColor="text1"/>
                <w:sz w:val="20"/>
              </w:rPr>
              <w:t>Resolución Ministerial del MEFP que apruebe los Documentos Base de Contratación.</w:t>
            </w:r>
          </w:p>
          <w:p w:rsidR="00AB4C80" w:rsidRDefault="00AB4C80" w:rsidP="00BC1D54">
            <w:pPr>
              <w:pStyle w:val="Paragraph"/>
              <w:numPr>
                <w:ilvl w:val="0"/>
                <w:numId w:val="0"/>
              </w:numPr>
              <w:spacing w:before="20" w:after="20"/>
              <w:jc w:val="left"/>
              <w:rPr>
                <w:color w:val="000000" w:themeColor="text1"/>
                <w:sz w:val="20"/>
              </w:rPr>
            </w:pPr>
          </w:p>
          <w:p w:rsidR="00AB4C80" w:rsidRDefault="00AB4C80" w:rsidP="00BC1D54">
            <w:pPr>
              <w:pStyle w:val="Paragraph"/>
              <w:numPr>
                <w:ilvl w:val="0"/>
                <w:numId w:val="0"/>
              </w:numPr>
              <w:spacing w:before="20" w:after="20"/>
              <w:jc w:val="left"/>
              <w:rPr>
                <w:color w:val="000000" w:themeColor="text1"/>
                <w:sz w:val="20"/>
              </w:rPr>
            </w:pPr>
          </w:p>
          <w:p w:rsidR="00AB4C80" w:rsidRDefault="00AB4C80" w:rsidP="00BC1D54">
            <w:pPr>
              <w:pStyle w:val="Paragraph"/>
              <w:numPr>
                <w:ilvl w:val="0"/>
                <w:numId w:val="0"/>
              </w:numPr>
              <w:spacing w:before="20" w:after="20"/>
              <w:jc w:val="left"/>
              <w:rPr>
                <w:color w:val="000000" w:themeColor="text1"/>
                <w:sz w:val="20"/>
              </w:rPr>
            </w:pPr>
          </w:p>
          <w:p w:rsidR="00AB4C80" w:rsidRDefault="00AB4C80" w:rsidP="00BC1D54">
            <w:pPr>
              <w:pStyle w:val="Paragraph"/>
              <w:numPr>
                <w:ilvl w:val="0"/>
                <w:numId w:val="0"/>
              </w:numPr>
              <w:spacing w:before="20" w:after="20"/>
              <w:jc w:val="left"/>
              <w:rPr>
                <w:color w:val="000000" w:themeColor="text1"/>
                <w:sz w:val="20"/>
              </w:rPr>
            </w:pPr>
          </w:p>
          <w:p w:rsidR="00AB4C80" w:rsidRDefault="00AB4C80" w:rsidP="00BC1D54">
            <w:pPr>
              <w:pStyle w:val="Paragraph"/>
              <w:numPr>
                <w:ilvl w:val="0"/>
                <w:numId w:val="0"/>
              </w:numPr>
              <w:spacing w:before="20" w:after="20"/>
              <w:jc w:val="left"/>
              <w:rPr>
                <w:color w:val="000000" w:themeColor="text1"/>
                <w:sz w:val="20"/>
              </w:rPr>
            </w:pPr>
          </w:p>
          <w:p w:rsidR="00AB4C80" w:rsidRPr="00520787" w:rsidRDefault="00AB4C80" w:rsidP="00BC1D54">
            <w:pPr>
              <w:pStyle w:val="Paragraph"/>
              <w:numPr>
                <w:ilvl w:val="0"/>
                <w:numId w:val="0"/>
              </w:numPr>
              <w:spacing w:before="20" w:after="20"/>
              <w:jc w:val="left"/>
              <w:rPr>
                <w:color w:val="000000" w:themeColor="text1"/>
                <w:sz w:val="20"/>
              </w:rPr>
            </w:pPr>
            <w:r>
              <w:rPr>
                <w:color w:val="000000" w:themeColor="text1"/>
                <w:sz w:val="20"/>
              </w:rPr>
              <w:t xml:space="preserve">Informe del VPCF sobre la distribución de 500 </w:t>
            </w:r>
            <w:r w:rsidR="007B3671" w:rsidRPr="00D94200">
              <w:rPr>
                <w:color w:val="000000" w:themeColor="text1"/>
                <w:sz w:val="20"/>
              </w:rPr>
              <w:t>c</w:t>
            </w:r>
            <w:r w:rsidRPr="00D94200">
              <w:rPr>
                <w:color w:val="000000" w:themeColor="text1"/>
                <w:sz w:val="20"/>
              </w:rPr>
              <w:t>a</w:t>
            </w:r>
            <w:r>
              <w:rPr>
                <w:color w:val="000000" w:themeColor="text1"/>
                <w:sz w:val="20"/>
              </w:rPr>
              <w:t>rtillas a entidades de la administración pública central y subnacional.</w:t>
            </w:r>
          </w:p>
          <w:p w:rsidR="00AB4C80" w:rsidRDefault="00AB4C80" w:rsidP="00BC1D54">
            <w:pPr>
              <w:pStyle w:val="Paragraph"/>
              <w:numPr>
                <w:ilvl w:val="0"/>
                <w:numId w:val="0"/>
              </w:numPr>
              <w:spacing w:before="20" w:after="20"/>
              <w:jc w:val="left"/>
              <w:rPr>
                <w:color w:val="000000" w:themeColor="text1"/>
                <w:sz w:val="20"/>
              </w:rPr>
            </w:pPr>
          </w:p>
          <w:p w:rsidR="00AB4C80" w:rsidRPr="00520787" w:rsidRDefault="00AB4C80" w:rsidP="00BC1D54">
            <w:pPr>
              <w:pStyle w:val="Paragraph"/>
              <w:numPr>
                <w:ilvl w:val="0"/>
                <w:numId w:val="0"/>
              </w:numPr>
              <w:spacing w:before="20" w:after="20"/>
              <w:jc w:val="left"/>
              <w:rPr>
                <w:color w:val="000000" w:themeColor="text1"/>
                <w:sz w:val="20"/>
              </w:rPr>
            </w:pPr>
          </w:p>
        </w:tc>
      </w:tr>
      <w:tr w:rsidR="00AB4C80" w:rsidRPr="0037333D" w:rsidTr="0037333D">
        <w:trPr>
          <w:trHeight w:val="40"/>
        </w:trPr>
        <w:tc>
          <w:tcPr>
            <w:tcW w:w="5688" w:type="dxa"/>
          </w:tcPr>
          <w:p w:rsidR="00AB4C80" w:rsidRPr="00037E16" w:rsidRDefault="00AB4C80" w:rsidP="00BC1D54">
            <w:pPr>
              <w:pStyle w:val="Paragraph"/>
              <w:numPr>
                <w:ilvl w:val="0"/>
                <w:numId w:val="0"/>
              </w:numPr>
              <w:spacing w:before="20" w:after="20"/>
              <w:rPr>
                <w:color w:val="000000" w:themeColor="text1"/>
                <w:sz w:val="20"/>
              </w:rPr>
            </w:pPr>
            <w:r w:rsidRPr="00037E16">
              <w:rPr>
                <w:color w:val="000000" w:themeColor="text1"/>
                <w:sz w:val="20"/>
              </w:rPr>
              <w:lastRenderedPageBreak/>
              <w:t>Módulo de contabilidad del SIGEP adaptado para el registro del plan de cuentas armonizado para las empresas públicas.</w:t>
            </w:r>
          </w:p>
          <w:p w:rsidR="00AB4C80" w:rsidRPr="00037E16" w:rsidRDefault="00AB4C80" w:rsidP="00BC1D54">
            <w:pPr>
              <w:pStyle w:val="Paragraph"/>
              <w:numPr>
                <w:ilvl w:val="0"/>
                <w:numId w:val="0"/>
              </w:numPr>
              <w:spacing w:before="20" w:after="20"/>
              <w:rPr>
                <w:color w:val="000000" w:themeColor="text1"/>
                <w:sz w:val="20"/>
              </w:rPr>
            </w:pPr>
          </w:p>
          <w:p w:rsidR="00C612EF" w:rsidRDefault="00C612EF" w:rsidP="00BC1D54">
            <w:pPr>
              <w:pStyle w:val="Paragraph"/>
              <w:numPr>
                <w:ilvl w:val="0"/>
                <w:numId w:val="0"/>
              </w:numPr>
              <w:spacing w:before="20" w:after="20"/>
              <w:rPr>
                <w:color w:val="000000" w:themeColor="text1"/>
                <w:sz w:val="20"/>
              </w:rPr>
            </w:pPr>
          </w:p>
          <w:p w:rsidR="00AB4C80" w:rsidRPr="00037E16" w:rsidRDefault="00AB4C80" w:rsidP="00BC1D54">
            <w:pPr>
              <w:pStyle w:val="Paragraph"/>
              <w:numPr>
                <w:ilvl w:val="0"/>
                <w:numId w:val="0"/>
              </w:numPr>
              <w:spacing w:before="20" w:after="20"/>
              <w:rPr>
                <w:color w:val="000000" w:themeColor="text1"/>
                <w:sz w:val="20"/>
              </w:rPr>
            </w:pPr>
            <w:r w:rsidRPr="00037E16">
              <w:rPr>
                <w:color w:val="000000" w:themeColor="text1"/>
                <w:sz w:val="20"/>
              </w:rPr>
              <w:t xml:space="preserve">Evaluación semestral de las actividades económicas, financieras y de gestión de las </w:t>
            </w:r>
            <w:r w:rsidR="006E1034">
              <w:rPr>
                <w:color w:val="000000" w:themeColor="text1"/>
                <w:sz w:val="20"/>
              </w:rPr>
              <w:t>e</w:t>
            </w:r>
            <w:r w:rsidRPr="00037E16">
              <w:rPr>
                <w:color w:val="000000" w:themeColor="text1"/>
                <w:sz w:val="20"/>
              </w:rPr>
              <w:t xml:space="preserve">mpresas </w:t>
            </w:r>
            <w:r w:rsidR="006E1034">
              <w:rPr>
                <w:color w:val="000000" w:themeColor="text1"/>
                <w:sz w:val="20"/>
              </w:rPr>
              <w:t>p</w:t>
            </w:r>
            <w:r w:rsidRPr="00037E16">
              <w:rPr>
                <w:color w:val="000000" w:themeColor="text1"/>
                <w:sz w:val="20"/>
              </w:rPr>
              <w:t xml:space="preserve">úblicas </w:t>
            </w:r>
            <w:r w:rsidR="006E1034">
              <w:rPr>
                <w:color w:val="000000" w:themeColor="text1"/>
                <w:sz w:val="20"/>
              </w:rPr>
              <w:t>n</w:t>
            </w:r>
            <w:r w:rsidRPr="00037E16">
              <w:rPr>
                <w:color w:val="000000" w:themeColor="text1"/>
                <w:sz w:val="20"/>
              </w:rPr>
              <w:t xml:space="preserve">acionales. </w:t>
            </w:r>
          </w:p>
        </w:tc>
        <w:tc>
          <w:tcPr>
            <w:tcW w:w="6462" w:type="dxa"/>
          </w:tcPr>
          <w:p w:rsidR="00AB4C80" w:rsidRPr="006C5FB7" w:rsidRDefault="00AB4C80" w:rsidP="00BC1D54">
            <w:pPr>
              <w:pStyle w:val="Paragraph"/>
              <w:numPr>
                <w:ilvl w:val="0"/>
                <w:numId w:val="0"/>
              </w:numPr>
              <w:spacing w:before="20" w:after="20"/>
              <w:jc w:val="left"/>
              <w:rPr>
                <w:color w:val="000000" w:themeColor="text1"/>
                <w:sz w:val="20"/>
              </w:rPr>
            </w:pPr>
            <w:r>
              <w:rPr>
                <w:color w:val="000000" w:themeColor="text1"/>
                <w:sz w:val="20"/>
              </w:rPr>
              <w:t>Informe de consultoría independiente que verifique la adaptación del módulo de contabilidad del SIGE</w:t>
            </w:r>
            <w:r w:rsidRPr="00D94200">
              <w:rPr>
                <w:color w:val="000000" w:themeColor="text1"/>
                <w:sz w:val="20"/>
              </w:rPr>
              <w:t>P</w:t>
            </w:r>
            <w:r>
              <w:rPr>
                <w:color w:val="000000" w:themeColor="text1"/>
                <w:sz w:val="20"/>
              </w:rPr>
              <w:t xml:space="preserve"> para el registro del plan de cuentas armonizado para las empresas públicas.</w:t>
            </w:r>
          </w:p>
          <w:p w:rsidR="00AB4C80" w:rsidRDefault="00AB4C80" w:rsidP="00BC1D54">
            <w:pPr>
              <w:pStyle w:val="Paragraph"/>
              <w:numPr>
                <w:ilvl w:val="0"/>
                <w:numId w:val="0"/>
              </w:numPr>
              <w:spacing w:before="20" w:after="20"/>
              <w:jc w:val="left"/>
              <w:rPr>
                <w:color w:val="000000" w:themeColor="text1"/>
                <w:sz w:val="20"/>
              </w:rPr>
            </w:pPr>
          </w:p>
          <w:p w:rsidR="00AB4C80" w:rsidRPr="00520787" w:rsidRDefault="00AB4C80" w:rsidP="00BC1D54">
            <w:pPr>
              <w:pStyle w:val="Paragraph"/>
              <w:numPr>
                <w:ilvl w:val="0"/>
                <w:numId w:val="0"/>
              </w:numPr>
              <w:spacing w:before="20" w:after="20"/>
              <w:jc w:val="left"/>
              <w:rPr>
                <w:color w:val="000000" w:themeColor="text1"/>
                <w:sz w:val="20"/>
              </w:rPr>
            </w:pPr>
            <w:r w:rsidRPr="001E1E3D">
              <w:rPr>
                <w:color w:val="000000" w:themeColor="text1"/>
                <w:sz w:val="20"/>
              </w:rPr>
              <w:t>Informe</w:t>
            </w:r>
            <w:r>
              <w:rPr>
                <w:color w:val="000000" w:themeColor="text1"/>
                <w:sz w:val="20"/>
              </w:rPr>
              <w:t xml:space="preserve"> </w:t>
            </w:r>
            <w:r w:rsidRPr="00D94200">
              <w:rPr>
                <w:color w:val="000000" w:themeColor="text1"/>
                <w:sz w:val="20"/>
              </w:rPr>
              <w:t>de evaluación de</w:t>
            </w:r>
            <w:r>
              <w:rPr>
                <w:color w:val="000000" w:themeColor="text1"/>
                <w:sz w:val="20"/>
              </w:rPr>
              <w:t xml:space="preserve"> las actividades económicas, financieras y de gestión</w:t>
            </w:r>
            <w:r w:rsidRPr="001E1E3D">
              <w:rPr>
                <w:color w:val="000000" w:themeColor="text1"/>
                <w:sz w:val="20"/>
              </w:rPr>
              <w:t xml:space="preserve"> de EPN</w:t>
            </w:r>
            <w:r>
              <w:rPr>
                <w:color w:val="000000" w:themeColor="text1"/>
                <w:sz w:val="20"/>
              </w:rPr>
              <w:t xml:space="preserve"> al primer semestre de 2013, en cumplimiento de la Resolución Biministerial 001 de 8 de abril de 2009.</w:t>
            </w:r>
          </w:p>
          <w:p w:rsidR="00AB4C80" w:rsidRPr="00520787" w:rsidRDefault="00AB4C80" w:rsidP="00BC1D54">
            <w:pPr>
              <w:pStyle w:val="Paragraph"/>
              <w:numPr>
                <w:ilvl w:val="0"/>
                <w:numId w:val="0"/>
              </w:numPr>
              <w:spacing w:before="20" w:after="20"/>
              <w:jc w:val="left"/>
              <w:rPr>
                <w:color w:val="000000" w:themeColor="text1"/>
                <w:sz w:val="20"/>
              </w:rPr>
            </w:pPr>
          </w:p>
        </w:tc>
      </w:tr>
      <w:tr w:rsidR="00AB4C80" w:rsidRPr="0037333D" w:rsidTr="0037333D">
        <w:trPr>
          <w:trHeight w:val="40"/>
        </w:trPr>
        <w:tc>
          <w:tcPr>
            <w:tcW w:w="5688" w:type="dxa"/>
            <w:tcBorders>
              <w:bottom w:val="single" w:sz="4" w:space="0" w:color="auto"/>
            </w:tcBorders>
            <w:shd w:val="clear" w:color="auto" w:fill="auto"/>
          </w:tcPr>
          <w:p w:rsidR="00AB4C80" w:rsidRPr="00037E16" w:rsidRDefault="00AB4C80" w:rsidP="00BC1D54">
            <w:pPr>
              <w:pStyle w:val="Paragraph"/>
              <w:numPr>
                <w:ilvl w:val="0"/>
                <w:numId w:val="0"/>
              </w:numPr>
              <w:spacing w:before="20" w:after="20"/>
              <w:rPr>
                <w:color w:val="000000" w:themeColor="text1"/>
                <w:sz w:val="20"/>
              </w:rPr>
            </w:pPr>
            <w:r w:rsidRPr="00037E16">
              <w:rPr>
                <w:color w:val="000000" w:themeColor="text1"/>
                <w:sz w:val="20"/>
              </w:rPr>
              <w:t>Avance en la política de control de pagos indebidos de beneficios, mediante el cruce de información de las bases de datos de SENASIR, APS y SEGIP</w:t>
            </w:r>
            <w:r w:rsidR="006E1034">
              <w:rPr>
                <w:color w:val="000000" w:themeColor="text1"/>
                <w:sz w:val="20"/>
              </w:rPr>
              <w:t>,</w:t>
            </w:r>
            <w:r w:rsidRPr="00037E16">
              <w:rPr>
                <w:color w:val="000000" w:themeColor="text1"/>
                <w:sz w:val="20"/>
              </w:rPr>
              <w:t xml:space="preserve"> con el objetivo de identificar en los registros la duplicidad de beneficiarios, fallecidos</w:t>
            </w:r>
            <w:r>
              <w:rPr>
                <w:color w:val="000000" w:themeColor="text1"/>
                <w:sz w:val="20"/>
              </w:rPr>
              <w:t xml:space="preserve"> </w:t>
            </w:r>
            <w:r w:rsidRPr="00037E16">
              <w:rPr>
                <w:color w:val="000000" w:themeColor="text1"/>
                <w:sz w:val="20"/>
              </w:rPr>
              <w:t>y nombres erróneos.</w:t>
            </w:r>
          </w:p>
          <w:p w:rsidR="00AB4C80" w:rsidRPr="00037E16" w:rsidRDefault="00AB4C80" w:rsidP="00BC1D54">
            <w:pPr>
              <w:pStyle w:val="Paragraph"/>
              <w:numPr>
                <w:ilvl w:val="0"/>
                <w:numId w:val="0"/>
              </w:numPr>
              <w:spacing w:before="20" w:after="20"/>
              <w:rPr>
                <w:color w:val="000000" w:themeColor="text1"/>
                <w:sz w:val="20"/>
              </w:rPr>
            </w:pPr>
          </w:p>
          <w:p w:rsidR="00AB4C80" w:rsidRPr="00037E16" w:rsidRDefault="00AB4C80" w:rsidP="00BC1D54">
            <w:pPr>
              <w:shd w:val="clear" w:color="auto" w:fill="FFFFFF"/>
              <w:jc w:val="both"/>
              <w:rPr>
                <w:color w:val="000000" w:themeColor="text1"/>
                <w:sz w:val="20"/>
                <w:lang w:val="es-ES_tradnl"/>
              </w:rPr>
            </w:pPr>
            <w:r w:rsidRPr="00037E16">
              <w:rPr>
                <w:color w:val="000000" w:themeColor="text1"/>
                <w:sz w:val="20"/>
                <w:lang w:val="es-ES_tradnl"/>
              </w:rPr>
              <w:t>Expansión de la política de intercambio de información sobre beneficiarios del sistema de reparto  mediante la firma de  un convenio de cooperación interinstitucional entre el TSE, el MEFP, el VPSF, la APS y el SENASIR, que admita el acceso a la información del Servicio de Registro Cívico (SERECI), para la verificación de los datos de identidad de personas naturales, con el objetivo de realizar la actualización continua de datos personales de los Beneficiarios y Asegurados del Sistema Integral de Pensiones y de los rentistas del Sistema de Reparto, y de este modo reducir los costos fiscales en el pago de rentas.</w:t>
            </w:r>
          </w:p>
          <w:p w:rsidR="00AB4C80" w:rsidRPr="00037E16" w:rsidRDefault="00AB4C80" w:rsidP="00BC1D54">
            <w:pPr>
              <w:pStyle w:val="Paragraph"/>
              <w:numPr>
                <w:ilvl w:val="0"/>
                <w:numId w:val="0"/>
              </w:numPr>
              <w:spacing w:before="20" w:after="20"/>
              <w:rPr>
                <w:color w:val="000000" w:themeColor="text1"/>
                <w:sz w:val="20"/>
              </w:rPr>
            </w:pPr>
          </w:p>
        </w:tc>
        <w:tc>
          <w:tcPr>
            <w:tcW w:w="6462" w:type="dxa"/>
            <w:tcBorders>
              <w:bottom w:val="single" w:sz="4" w:space="0" w:color="auto"/>
            </w:tcBorders>
          </w:tcPr>
          <w:p w:rsidR="00AB4C80" w:rsidRDefault="00AB4C80" w:rsidP="00BC1D54">
            <w:pPr>
              <w:pStyle w:val="Paragraph"/>
              <w:numPr>
                <w:ilvl w:val="0"/>
                <w:numId w:val="0"/>
              </w:numPr>
              <w:spacing w:before="20" w:after="20"/>
              <w:jc w:val="left"/>
              <w:rPr>
                <w:color w:val="000000" w:themeColor="text1"/>
                <w:sz w:val="20"/>
              </w:rPr>
            </w:pPr>
            <w:r w:rsidRPr="00A62C71">
              <w:rPr>
                <w:color w:val="000000" w:themeColor="text1"/>
                <w:sz w:val="20"/>
              </w:rPr>
              <w:t xml:space="preserve">Informe del SENASIR sobre </w:t>
            </w:r>
            <w:r>
              <w:rPr>
                <w:color w:val="000000" w:themeColor="text1"/>
                <w:sz w:val="20"/>
              </w:rPr>
              <w:t xml:space="preserve">el control de pagos indebidos de beneficios, mediante el cruce de </w:t>
            </w:r>
            <w:r w:rsidRPr="00AA7FAD">
              <w:rPr>
                <w:color w:val="000000" w:themeColor="text1"/>
                <w:sz w:val="20"/>
              </w:rPr>
              <w:t>información de las bases de datos de SENASIR, APS y SEGIP con el objetivo de identificar</w:t>
            </w:r>
            <w:r>
              <w:rPr>
                <w:color w:val="000000" w:themeColor="text1"/>
                <w:sz w:val="20"/>
              </w:rPr>
              <w:t xml:space="preserve"> en los registros la</w:t>
            </w:r>
            <w:r w:rsidRPr="00AA7FAD">
              <w:rPr>
                <w:color w:val="000000" w:themeColor="text1"/>
                <w:sz w:val="20"/>
              </w:rPr>
              <w:t xml:space="preserve"> </w:t>
            </w:r>
            <w:r>
              <w:rPr>
                <w:color w:val="000000" w:themeColor="text1"/>
                <w:sz w:val="20"/>
              </w:rPr>
              <w:t xml:space="preserve">duplicidad de beneficiarios, </w:t>
            </w:r>
            <w:r w:rsidRPr="000277D9">
              <w:rPr>
                <w:color w:val="000000" w:themeColor="text1"/>
                <w:sz w:val="20"/>
              </w:rPr>
              <w:t>fallecidos</w:t>
            </w:r>
            <w:r>
              <w:rPr>
                <w:color w:val="000000" w:themeColor="text1"/>
                <w:sz w:val="20"/>
              </w:rPr>
              <w:t xml:space="preserve"> </w:t>
            </w:r>
            <w:r w:rsidRPr="000277D9">
              <w:rPr>
                <w:color w:val="000000" w:themeColor="text1"/>
                <w:sz w:val="20"/>
              </w:rPr>
              <w:t xml:space="preserve">y nombres erróneos, </w:t>
            </w:r>
            <w:r w:rsidRPr="00A62C71">
              <w:rPr>
                <w:color w:val="000000" w:themeColor="text1"/>
                <w:sz w:val="20"/>
              </w:rPr>
              <w:t>aprobado por el VPSF</w:t>
            </w:r>
            <w:r>
              <w:rPr>
                <w:color w:val="000000" w:themeColor="text1"/>
                <w:sz w:val="20"/>
              </w:rPr>
              <w:t>.</w:t>
            </w:r>
            <w:r w:rsidRPr="00A62C71">
              <w:rPr>
                <w:color w:val="000000" w:themeColor="text1"/>
                <w:sz w:val="20"/>
              </w:rPr>
              <w:t xml:space="preserve"> </w:t>
            </w:r>
          </w:p>
          <w:p w:rsidR="00AB4C80" w:rsidRDefault="00AB4C80" w:rsidP="00BC1D54">
            <w:pPr>
              <w:pStyle w:val="Paragraph"/>
              <w:numPr>
                <w:ilvl w:val="0"/>
                <w:numId w:val="0"/>
              </w:numPr>
              <w:spacing w:before="20" w:after="20"/>
              <w:jc w:val="left"/>
              <w:rPr>
                <w:color w:val="000000" w:themeColor="text1"/>
                <w:sz w:val="20"/>
              </w:rPr>
            </w:pPr>
          </w:p>
          <w:p w:rsidR="00AB4C80" w:rsidRDefault="00AB4C80" w:rsidP="00BC1D54">
            <w:pPr>
              <w:pStyle w:val="Paragraph"/>
              <w:numPr>
                <w:ilvl w:val="0"/>
                <w:numId w:val="0"/>
              </w:numPr>
              <w:spacing w:before="20" w:after="20"/>
              <w:jc w:val="left"/>
              <w:rPr>
                <w:color w:val="000000" w:themeColor="text1"/>
                <w:sz w:val="20"/>
              </w:rPr>
            </w:pPr>
          </w:p>
          <w:p w:rsidR="00AB4C80" w:rsidRPr="002F32B8" w:rsidRDefault="00AB4C80" w:rsidP="00BC1D54">
            <w:pPr>
              <w:shd w:val="clear" w:color="auto" w:fill="FFFFFF"/>
              <w:jc w:val="both"/>
              <w:rPr>
                <w:color w:val="000000" w:themeColor="text1"/>
                <w:sz w:val="20"/>
                <w:lang w:val="es-ES_tradnl"/>
              </w:rPr>
            </w:pPr>
            <w:r w:rsidRPr="000D32DE">
              <w:rPr>
                <w:color w:val="000000" w:themeColor="text1"/>
                <w:sz w:val="20"/>
                <w:lang w:val="es-ES_tradnl"/>
              </w:rPr>
              <w:t>Convenio de Cooperación Interinstitucional suscrito entre  las máximas autoridades del TSE, el MEFP, el VPSF</w:t>
            </w:r>
            <w:r>
              <w:rPr>
                <w:color w:val="000000" w:themeColor="text1"/>
                <w:sz w:val="20"/>
                <w:lang w:val="es-ES_tradnl"/>
              </w:rPr>
              <w:t xml:space="preserve">, la </w:t>
            </w:r>
            <w:r w:rsidRPr="000D32DE">
              <w:rPr>
                <w:color w:val="000000" w:themeColor="text1"/>
                <w:sz w:val="20"/>
                <w:lang w:val="es-ES_tradnl"/>
              </w:rPr>
              <w:t>APS</w:t>
            </w:r>
            <w:r>
              <w:rPr>
                <w:color w:val="000000" w:themeColor="text1"/>
                <w:sz w:val="20"/>
                <w:lang w:val="es-ES_tradnl"/>
              </w:rPr>
              <w:t xml:space="preserve"> y el </w:t>
            </w:r>
            <w:r w:rsidRPr="000D32DE">
              <w:rPr>
                <w:color w:val="000000" w:themeColor="text1"/>
                <w:sz w:val="20"/>
                <w:lang w:val="es-ES_tradnl"/>
              </w:rPr>
              <w:t>SENASIR</w:t>
            </w:r>
            <w:r>
              <w:rPr>
                <w:color w:val="000000" w:themeColor="text1"/>
                <w:sz w:val="20"/>
                <w:lang w:val="es-ES_tradnl"/>
              </w:rPr>
              <w:t>;</w:t>
            </w:r>
            <w:r w:rsidRPr="003014FB">
              <w:rPr>
                <w:color w:val="000000" w:themeColor="text1"/>
                <w:sz w:val="20"/>
                <w:lang w:val="es-ES_tradnl"/>
              </w:rPr>
              <w:t xml:space="preserve"> que admita el acceso a la información del SERECI, para la verificación de los datos de identidad de personas naturales, con el objetivo de realizar la actualización continua de datos personales de los Beneficiarios y Asegurados del Sistema Integral de Pensiones y de los rentistas del Sistema de Reparto</w:t>
            </w:r>
            <w:r>
              <w:rPr>
                <w:color w:val="000000" w:themeColor="text1"/>
                <w:sz w:val="20"/>
                <w:lang w:val="es-ES_tradnl"/>
              </w:rPr>
              <w:t>.</w:t>
            </w:r>
          </w:p>
          <w:p w:rsidR="00AB4C80" w:rsidRPr="006C5FB7" w:rsidRDefault="00AB4C80" w:rsidP="00BC1D54">
            <w:pPr>
              <w:pStyle w:val="Paragraph"/>
              <w:numPr>
                <w:ilvl w:val="0"/>
                <w:numId w:val="0"/>
              </w:numPr>
              <w:spacing w:before="20" w:after="20"/>
              <w:jc w:val="left"/>
              <w:rPr>
                <w:color w:val="000000" w:themeColor="text1"/>
                <w:sz w:val="20"/>
                <w:highlight w:val="yellow"/>
              </w:rPr>
            </w:pPr>
          </w:p>
        </w:tc>
      </w:tr>
      <w:tr w:rsidR="00AB4C80" w:rsidRPr="0037333D" w:rsidTr="0037333D">
        <w:trPr>
          <w:trHeight w:val="40"/>
        </w:trPr>
        <w:tc>
          <w:tcPr>
            <w:tcW w:w="5688" w:type="dxa"/>
            <w:tcBorders>
              <w:top w:val="single" w:sz="4" w:space="0" w:color="auto"/>
              <w:bottom w:val="single" w:sz="4" w:space="0" w:color="000000"/>
            </w:tcBorders>
            <w:shd w:val="clear" w:color="auto" w:fill="auto"/>
          </w:tcPr>
          <w:p w:rsidR="00AB4C80" w:rsidRPr="00037E16" w:rsidRDefault="00AB4C80" w:rsidP="00BC1D54">
            <w:pPr>
              <w:pStyle w:val="Paragraph"/>
              <w:numPr>
                <w:ilvl w:val="0"/>
                <w:numId w:val="0"/>
              </w:numPr>
              <w:spacing w:before="20" w:after="20"/>
              <w:rPr>
                <w:color w:val="000000" w:themeColor="text1"/>
                <w:sz w:val="20"/>
              </w:rPr>
            </w:pPr>
            <w:r w:rsidRPr="00037E16">
              <w:rPr>
                <w:color w:val="000000" w:themeColor="text1"/>
                <w:sz w:val="20"/>
              </w:rPr>
              <w:t>Efectuar al menos el registro biométrico de un 10% de la población de Rentistas (Titulares y derechohabientes) y Beneficiarios de Pensiones Vitalicias (Beneméritos, Viudas de Benemé</w:t>
            </w:r>
            <w:r>
              <w:rPr>
                <w:color w:val="000000" w:themeColor="text1"/>
                <w:sz w:val="20"/>
              </w:rPr>
              <w:t>ritos e Inválidos de Guerra).</w:t>
            </w:r>
          </w:p>
          <w:p w:rsidR="00AB4C80" w:rsidRPr="00037E16" w:rsidRDefault="00AB4C80" w:rsidP="00BC1D54">
            <w:pPr>
              <w:pStyle w:val="Paragraph"/>
              <w:numPr>
                <w:ilvl w:val="0"/>
                <w:numId w:val="0"/>
              </w:numPr>
              <w:spacing w:before="20" w:after="20"/>
              <w:rPr>
                <w:color w:val="000000" w:themeColor="text1"/>
                <w:sz w:val="20"/>
              </w:rPr>
            </w:pPr>
          </w:p>
          <w:p w:rsidR="00AB4C80" w:rsidRPr="00037E16" w:rsidRDefault="00AB4C80" w:rsidP="00BC1D54">
            <w:pPr>
              <w:pStyle w:val="Paragraph"/>
              <w:numPr>
                <w:ilvl w:val="0"/>
                <w:numId w:val="0"/>
              </w:numPr>
              <w:spacing w:before="20" w:after="20"/>
              <w:rPr>
                <w:color w:val="000000" w:themeColor="text1"/>
                <w:sz w:val="20"/>
              </w:rPr>
            </w:pPr>
            <w:r w:rsidRPr="00037E16">
              <w:rPr>
                <w:color w:val="000000" w:themeColor="text1"/>
                <w:sz w:val="20"/>
              </w:rPr>
              <w:lastRenderedPageBreak/>
              <w:t>Efectuar el registro biométrico de las personas que no son rentistas y sean beneficiarias de la Renta Dignidad de al menos un 85% del grupo a 2012</w:t>
            </w:r>
            <w:r>
              <w:rPr>
                <w:color w:val="000000" w:themeColor="text1"/>
                <w:sz w:val="20"/>
              </w:rPr>
              <w:t>.</w:t>
            </w:r>
          </w:p>
        </w:tc>
        <w:tc>
          <w:tcPr>
            <w:tcW w:w="6462" w:type="dxa"/>
            <w:tcBorders>
              <w:top w:val="single" w:sz="4" w:space="0" w:color="auto"/>
              <w:bottom w:val="single" w:sz="4" w:space="0" w:color="000000"/>
            </w:tcBorders>
          </w:tcPr>
          <w:p w:rsidR="00AB4C80" w:rsidRDefault="00AB4C80" w:rsidP="00BC1D54">
            <w:pPr>
              <w:pStyle w:val="Paragraph"/>
              <w:numPr>
                <w:ilvl w:val="0"/>
                <w:numId w:val="0"/>
              </w:numPr>
              <w:spacing w:before="20" w:after="20"/>
              <w:rPr>
                <w:color w:val="000000" w:themeColor="text1"/>
                <w:sz w:val="20"/>
              </w:rPr>
            </w:pPr>
            <w:r>
              <w:rPr>
                <w:color w:val="000000" w:themeColor="text1"/>
                <w:sz w:val="20"/>
              </w:rPr>
              <w:lastRenderedPageBreak/>
              <w:t xml:space="preserve">Informe del SENASIR que verifique el </w:t>
            </w:r>
            <w:r w:rsidRPr="005B0795">
              <w:rPr>
                <w:color w:val="000000" w:themeColor="text1"/>
                <w:sz w:val="20"/>
              </w:rPr>
              <w:t xml:space="preserve">registro biométrico de </w:t>
            </w:r>
            <w:r>
              <w:rPr>
                <w:color w:val="000000" w:themeColor="text1"/>
                <w:sz w:val="20"/>
              </w:rPr>
              <w:t xml:space="preserve">al menos </w:t>
            </w:r>
            <w:r w:rsidRPr="005B0795">
              <w:rPr>
                <w:color w:val="000000" w:themeColor="text1"/>
                <w:sz w:val="20"/>
              </w:rPr>
              <w:t>un 10% de la población de Rentistas (Titulares y derechohabientes) y Beneficiarios de Pensiones Vitalicias (Beneméritos, Viudas de Beneméritos e Inválidos de Guerra</w:t>
            </w:r>
            <w:r w:rsidRPr="00D94200">
              <w:rPr>
                <w:color w:val="000000" w:themeColor="text1"/>
                <w:sz w:val="20"/>
              </w:rPr>
              <w:t>), a</w:t>
            </w:r>
            <w:r>
              <w:rPr>
                <w:color w:val="000000" w:themeColor="text1"/>
                <w:sz w:val="20"/>
              </w:rPr>
              <w:t>probado por el VPSF.</w:t>
            </w:r>
          </w:p>
          <w:p w:rsidR="00AB4C80" w:rsidRDefault="00AB4C80" w:rsidP="00BC1D54">
            <w:pPr>
              <w:pStyle w:val="Paragraph"/>
              <w:numPr>
                <w:ilvl w:val="0"/>
                <w:numId w:val="0"/>
              </w:numPr>
              <w:spacing w:before="20" w:after="20"/>
              <w:rPr>
                <w:color w:val="000000" w:themeColor="text1"/>
                <w:sz w:val="20"/>
              </w:rPr>
            </w:pPr>
          </w:p>
          <w:p w:rsidR="00AB4C80" w:rsidRDefault="00AB4C80" w:rsidP="00BC1D54">
            <w:pPr>
              <w:pStyle w:val="Paragraph"/>
              <w:numPr>
                <w:ilvl w:val="0"/>
                <w:numId w:val="0"/>
              </w:numPr>
              <w:spacing w:before="20" w:after="20"/>
              <w:rPr>
                <w:color w:val="000000" w:themeColor="text1"/>
                <w:sz w:val="20"/>
              </w:rPr>
            </w:pPr>
            <w:r>
              <w:rPr>
                <w:color w:val="000000" w:themeColor="text1"/>
                <w:sz w:val="20"/>
              </w:rPr>
              <w:lastRenderedPageBreak/>
              <w:t xml:space="preserve">Informe de la APS que verifique el </w:t>
            </w:r>
            <w:r w:rsidRPr="005B0795">
              <w:rPr>
                <w:color w:val="000000" w:themeColor="text1"/>
                <w:sz w:val="20"/>
              </w:rPr>
              <w:t xml:space="preserve">registro </w:t>
            </w:r>
            <w:r>
              <w:rPr>
                <w:color w:val="000000" w:themeColor="text1"/>
                <w:sz w:val="20"/>
              </w:rPr>
              <w:t>biométrico</w:t>
            </w:r>
            <w:r w:rsidRPr="005B0795">
              <w:rPr>
                <w:color w:val="000000" w:themeColor="text1"/>
                <w:sz w:val="20"/>
              </w:rPr>
              <w:t xml:space="preserve"> de las personas que no son rentistas y sean beneficiarias de la Renta Dignidad de al menos un 85% del grupo al 2012</w:t>
            </w:r>
            <w:r>
              <w:rPr>
                <w:color w:val="000000" w:themeColor="text1"/>
                <w:sz w:val="20"/>
              </w:rPr>
              <w:t>,  aprobado por el VPSF.</w:t>
            </w:r>
          </w:p>
          <w:p w:rsidR="00AB4C80" w:rsidRDefault="00AB4C80" w:rsidP="00BC1D54">
            <w:pPr>
              <w:pStyle w:val="Paragraph"/>
              <w:numPr>
                <w:ilvl w:val="0"/>
                <w:numId w:val="0"/>
              </w:numPr>
              <w:spacing w:before="20" w:after="20"/>
              <w:rPr>
                <w:color w:val="000000" w:themeColor="text1"/>
                <w:sz w:val="20"/>
              </w:rPr>
            </w:pPr>
          </w:p>
          <w:p w:rsidR="00AB4C80" w:rsidRDefault="00AB4C80" w:rsidP="00BC1D54">
            <w:pPr>
              <w:pStyle w:val="Paragraph"/>
              <w:numPr>
                <w:ilvl w:val="0"/>
                <w:numId w:val="0"/>
              </w:numPr>
              <w:spacing w:before="20" w:after="20"/>
              <w:rPr>
                <w:color w:val="000000" w:themeColor="text1"/>
                <w:sz w:val="20"/>
              </w:rPr>
            </w:pPr>
          </w:p>
          <w:p w:rsidR="00AB4C80" w:rsidRPr="00520787" w:rsidRDefault="00AB4C80" w:rsidP="00BC1D54">
            <w:pPr>
              <w:pStyle w:val="Paragraph"/>
              <w:numPr>
                <w:ilvl w:val="0"/>
                <w:numId w:val="0"/>
              </w:numPr>
              <w:spacing w:before="20" w:after="20"/>
              <w:rPr>
                <w:color w:val="000000" w:themeColor="text1"/>
                <w:sz w:val="20"/>
              </w:rPr>
            </w:pPr>
          </w:p>
        </w:tc>
      </w:tr>
      <w:tr w:rsidR="00A65E03" w:rsidRPr="0037333D" w:rsidTr="0037333D">
        <w:trPr>
          <w:trHeight w:val="40"/>
        </w:trPr>
        <w:tc>
          <w:tcPr>
            <w:tcW w:w="12150" w:type="dxa"/>
            <w:gridSpan w:val="2"/>
            <w:shd w:val="clear" w:color="auto" w:fill="D9D9D9" w:themeFill="background1" w:themeFillShade="D9"/>
          </w:tcPr>
          <w:p w:rsidR="00A65E03" w:rsidRPr="00037E16" w:rsidRDefault="00A65E03" w:rsidP="00BC1D54">
            <w:pPr>
              <w:pStyle w:val="Paragraph"/>
              <w:numPr>
                <w:ilvl w:val="0"/>
                <w:numId w:val="0"/>
              </w:numPr>
              <w:spacing w:before="20" w:after="20"/>
              <w:jc w:val="left"/>
              <w:rPr>
                <w:color w:val="000000" w:themeColor="text1"/>
                <w:sz w:val="20"/>
              </w:rPr>
            </w:pPr>
            <w:r w:rsidRPr="00520787">
              <w:rPr>
                <w:b/>
                <w:color w:val="000000" w:themeColor="text1"/>
                <w:sz w:val="20"/>
              </w:rPr>
              <w:lastRenderedPageBreak/>
              <w:t xml:space="preserve">Componente </w:t>
            </w:r>
            <w:r>
              <w:rPr>
                <w:b/>
                <w:color w:val="000000" w:themeColor="text1"/>
                <w:sz w:val="20"/>
              </w:rPr>
              <w:t>5</w:t>
            </w:r>
            <w:r w:rsidRPr="00520787">
              <w:rPr>
                <w:b/>
                <w:color w:val="000000" w:themeColor="text1"/>
                <w:sz w:val="20"/>
              </w:rPr>
              <w:t>. Medidas de incremento de la transparencia y combate a la corrupción</w:t>
            </w:r>
          </w:p>
        </w:tc>
      </w:tr>
      <w:tr w:rsidR="008B670D" w:rsidRPr="0037333D" w:rsidTr="0037333D">
        <w:trPr>
          <w:trHeight w:val="40"/>
        </w:trPr>
        <w:tc>
          <w:tcPr>
            <w:tcW w:w="5688" w:type="dxa"/>
            <w:shd w:val="clear" w:color="auto" w:fill="auto"/>
          </w:tcPr>
          <w:p w:rsidR="008B670D" w:rsidRPr="00037E16" w:rsidRDefault="008B670D" w:rsidP="00BC1D54">
            <w:pPr>
              <w:pStyle w:val="Paragraph"/>
              <w:numPr>
                <w:ilvl w:val="0"/>
                <w:numId w:val="0"/>
              </w:numPr>
              <w:spacing w:before="20" w:after="20"/>
              <w:rPr>
                <w:color w:val="000000" w:themeColor="text1"/>
                <w:sz w:val="20"/>
              </w:rPr>
            </w:pPr>
            <w:r w:rsidRPr="00037E16">
              <w:rPr>
                <w:color w:val="000000" w:themeColor="text1"/>
                <w:sz w:val="20"/>
              </w:rPr>
              <w:t xml:space="preserve">Implementación de la política de transparencia en las adquisiciones estatales, con la publicación en línea de un </w:t>
            </w:r>
            <w:r>
              <w:rPr>
                <w:color w:val="000000" w:themeColor="text1"/>
                <w:sz w:val="20"/>
              </w:rPr>
              <w:t>c</w:t>
            </w:r>
            <w:r w:rsidRPr="00037E16">
              <w:rPr>
                <w:color w:val="000000" w:themeColor="text1"/>
                <w:sz w:val="20"/>
              </w:rPr>
              <w:t xml:space="preserve">atálogo de </w:t>
            </w:r>
            <w:r>
              <w:rPr>
                <w:color w:val="000000" w:themeColor="text1"/>
                <w:sz w:val="20"/>
              </w:rPr>
              <w:t>p</w:t>
            </w:r>
            <w:r w:rsidRPr="00037E16">
              <w:rPr>
                <w:color w:val="000000" w:themeColor="text1"/>
                <w:sz w:val="20"/>
              </w:rPr>
              <w:t>roveedores a nivel nacional, con la información de la oferta de bienes y servicios.</w:t>
            </w:r>
          </w:p>
        </w:tc>
        <w:tc>
          <w:tcPr>
            <w:tcW w:w="6462" w:type="dxa"/>
          </w:tcPr>
          <w:p w:rsidR="008B670D" w:rsidRDefault="008B670D" w:rsidP="00BC1D54">
            <w:pPr>
              <w:pStyle w:val="Paragraph"/>
              <w:numPr>
                <w:ilvl w:val="0"/>
                <w:numId w:val="0"/>
              </w:numPr>
              <w:spacing w:before="20" w:after="20"/>
              <w:jc w:val="left"/>
              <w:rPr>
                <w:color w:val="000000" w:themeColor="text1"/>
                <w:sz w:val="20"/>
              </w:rPr>
            </w:pPr>
            <w:r>
              <w:rPr>
                <w:color w:val="000000" w:themeColor="text1"/>
                <w:sz w:val="20"/>
              </w:rPr>
              <w:t xml:space="preserve">Informe de consultoría independiente que verifique </w:t>
            </w:r>
            <w:r w:rsidRPr="00D94200">
              <w:rPr>
                <w:color w:val="000000" w:themeColor="text1"/>
                <w:sz w:val="20"/>
              </w:rPr>
              <w:t>la</w:t>
            </w:r>
            <w:r>
              <w:rPr>
                <w:color w:val="000000" w:themeColor="text1"/>
                <w:sz w:val="20"/>
              </w:rPr>
              <w:t xml:space="preserve"> publicación en línea de un Catálogo </w:t>
            </w:r>
            <w:r w:rsidRPr="00520787">
              <w:rPr>
                <w:color w:val="000000" w:themeColor="text1"/>
                <w:sz w:val="20"/>
              </w:rPr>
              <w:t xml:space="preserve">de Proveedores a nivel nacional, </w:t>
            </w:r>
            <w:r>
              <w:rPr>
                <w:color w:val="000000" w:themeColor="text1"/>
                <w:sz w:val="20"/>
              </w:rPr>
              <w:t xml:space="preserve">con </w:t>
            </w:r>
            <w:r w:rsidRPr="00520787">
              <w:rPr>
                <w:color w:val="000000" w:themeColor="text1"/>
                <w:sz w:val="20"/>
              </w:rPr>
              <w:t>la información de la oferta de bienes y servicios</w:t>
            </w:r>
            <w:r>
              <w:rPr>
                <w:color w:val="000000" w:themeColor="text1"/>
                <w:sz w:val="20"/>
              </w:rPr>
              <w:t>.</w:t>
            </w:r>
          </w:p>
        </w:tc>
      </w:tr>
      <w:tr w:rsidR="008B670D" w:rsidRPr="0037333D" w:rsidTr="0037333D">
        <w:trPr>
          <w:trHeight w:val="40"/>
        </w:trPr>
        <w:tc>
          <w:tcPr>
            <w:tcW w:w="5688" w:type="dxa"/>
            <w:shd w:val="clear" w:color="auto" w:fill="auto"/>
          </w:tcPr>
          <w:p w:rsidR="008B670D" w:rsidRPr="00037E16" w:rsidRDefault="008B670D" w:rsidP="00BC1D54">
            <w:pPr>
              <w:pStyle w:val="Paragraph"/>
              <w:numPr>
                <w:ilvl w:val="0"/>
                <w:numId w:val="0"/>
              </w:numPr>
              <w:spacing w:before="20" w:after="20"/>
              <w:rPr>
                <w:color w:val="000000" w:themeColor="text1"/>
                <w:sz w:val="20"/>
              </w:rPr>
            </w:pPr>
            <w:r w:rsidRPr="00037E16">
              <w:rPr>
                <w:color w:val="000000" w:themeColor="text1"/>
                <w:sz w:val="20"/>
              </w:rPr>
              <w:t>Expansión de la cobertura de entidades que realizan procesos anuales de rendición pública de cuentas:</w:t>
            </w:r>
          </w:p>
          <w:p w:rsidR="008B670D" w:rsidRPr="00037E16" w:rsidRDefault="008B670D" w:rsidP="00BC1D54">
            <w:pPr>
              <w:pStyle w:val="Paragraph"/>
              <w:numPr>
                <w:ilvl w:val="0"/>
                <w:numId w:val="0"/>
              </w:numPr>
              <w:spacing w:before="20" w:after="20"/>
              <w:rPr>
                <w:color w:val="000000" w:themeColor="text1"/>
                <w:sz w:val="20"/>
              </w:rPr>
            </w:pPr>
          </w:p>
          <w:p w:rsidR="008B670D" w:rsidRPr="00037E16" w:rsidRDefault="008B670D" w:rsidP="00BC1D54">
            <w:pPr>
              <w:pStyle w:val="Paragraph"/>
              <w:numPr>
                <w:ilvl w:val="0"/>
                <w:numId w:val="18"/>
              </w:numPr>
              <w:spacing w:before="20" w:after="20"/>
              <w:ind w:left="125" w:hanging="170"/>
              <w:rPr>
                <w:color w:val="000000" w:themeColor="text1"/>
                <w:sz w:val="20"/>
              </w:rPr>
            </w:pPr>
            <w:r w:rsidRPr="00037E16">
              <w:rPr>
                <w:color w:val="000000" w:themeColor="text1"/>
                <w:sz w:val="20"/>
              </w:rPr>
              <w:t>Se incorporan al programa de rendición pública de cuentas 50 municipios y 5 gobernaciones</w:t>
            </w:r>
            <w:r>
              <w:rPr>
                <w:color w:val="000000" w:themeColor="text1"/>
                <w:sz w:val="20"/>
              </w:rPr>
              <w:t>.</w:t>
            </w:r>
            <w:r w:rsidRPr="00037E16">
              <w:rPr>
                <w:color w:val="000000" w:themeColor="text1"/>
                <w:sz w:val="20"/>
              </w:rPr>
              <w:t xml:space="preserve"> </w:t>
            </w:r>
          </w:p>
          <w:p w:rsidR="008B670D" w:rsidRPr="00037E16" w:rsidRDefault="008B670D" w:rsidP="00BC1D54">
            <w:pPr>
              <w:pStyle w:val="Paragraph"/>
              <w:numPr>
                <w:ilvl w:val="0"/>
                <w:numId w:val="0"/>
              </w:numPr>
              <w:spacing w:before="20" w:after="20"/>
              <w:ind w:left="125" w:hanging="170"/>
              <w:jc w:val="left"/>
              <w:rPr>
                <w:color w:val="000000" w:themeColor="text1"/>
                <w:sz w:val="20"/>
              </w:rPr>
            </w:pPr>
          </w:p>
          <w:p w:rsidR="008B670D" w:rsidRDefault="008B670D" w:rsidP="00BC1D54">
            <w:pPr>
              <w:pStyle w:val="Paragraph"/>
              <w:numPr>
                <w:ilvl w:val="0"/>
                <w:numId w:val="18"/>
              </w:numPr>
              <w:spacing w:before="20" w:after="20"/>
              <w:ind w:left="125" w:hanging="170"/>
              <w:rPr>
                <w:color w:val="000000" w:themeColor="text1"/>
                <w:sz w:val="20"/>
              </w:rPr>
            </w:pPr>
            <w:r w:rsidRPr="00037E16">
              <w:rPr>
                <w:color w:val="000000" w:themeColor="text1"/>
                <w:sz w:val="20"/>
              </w:rPr>
              <w:t>Se realiza una rendición pública de cuentas para 5 entidades del Gobierno Central (incluyendo sus entidades descentralizadas y desconcentradas)</w:t>
            </w:r>
            <w:r>
              <w:rPr>
                <w:color w:val="000000" w:themeColor="text1"/>
                <w:sz w:val="20"/>
              </w:rPr>
              <w:t>.</w:t>
            </w:r>
            <w:bookmarkStart w:id="0" w:name="_GoBack"/>
            <w:bookmarkEnd w:id="0"/>
          </w:p>
          <w:p w:rsidR="008B670D" w:rsidRPr="00037E16" w:rsidRDefault="008B670D" w:rsidP="00BC1D54">
            <w:pPr>
              <w:pStyle w:val="Paragraph"/>
              <w:numPr>
                <w:ilvl w:val="0"/>
                <w:numId w:val="0"/>
              </w:numPr>
              <w:spacing w:before="20" w:after="20"/>
              <w:rPr>
                <w:color w:val="000000" w:themeColor="text1"/>
                <w:sz w:val="20"/>
              </w:rPr>
            </w:pPr>
          </w:p>
        </w:tc>
        <w:tc>
          <w:tcPr>
            <w:tcW w:w="6462" w:type="dxa"/>
          </w:tcPr>
          <w:p w:rsidR="008B670D" w:rsidRPr="00520787" w:rsidRDefault="008B670D" w:rsidP="00BC1D54">
            <w:pPr>
              <w:pStyle w:val="Paragraph"/>
              <w:numPr>
                <w:ilvl w:val="0"/>
                <w:numId w:val="0"/>
              </w:numPr>
              <w:spacing w:before="20" w:after="20"/>
              <w:jc w:val="left"/>
              <w:rPr>
                <w:color w:val="000000" w:themeColor="text1"/>
                <w:sz w:val="20"/>
              </w:rPr>
            </w:pPr>
            <w:r>
              <w:rPr>
                <w:color w:val="000000" w:themeColor="text1"/>
                <w:sz w:val="20"/>
              </w:rPr>
              <w:t xml:space="preserve">Informe del Ministerio de Transparencia Institucional y Lucha Contra la Corrupción que </w:t>
            </w:r>
            <w:r w:rsidRPr="00D94200">
              <w:rPr>
                <w:color w:val="000000" w:themeColor="text1"/>
                <w:sz w:val="20"/>
              </w:rPr>
              <w:t>evidencie la rendición</w:t>
            </w:r>
            <w:r w:rsidRPr="00520787">
              <w:rPr>
                <w:color w:val="000000" w:themeColor="text1"/>
                <w:sz w:val="20"/>
              </w:rPr>
              <w:t xml:space="preserve"> pública de cuentas 50 municipios</w:t>
            </w:r>
            <w:r>
              <w:rPr>
                <w:color w:val="000000" w:themeColor="text1"/>
                <w:sz w:val="20"/>
              </w:rPr>
              <w:t xml:space="preserve">, </w:t>
            </w:r>
            <w:r w:rsidRPr="00520787">
              <w:rPr>
                <w:color w:val="000000" w:themeColor="text1"/>
                <w:sz w:val="20"/>
              </w:rPr>
              <w:t xml:space="preserve">5 </w:t>
            </w:r>
            <w:r>
              <w:rPr>
                <w:color w:val="000000" w:themeColor="text1"/>
                <w:sz w:val="20"/>
              </w:rPr>
              <w:t xml:space="preserve">gobernaciones y 5 entidades </w:t>
            </w:r>
            <w:r w:rsidRPr="00520787">
              <w:rPr>
                <w:color w:val="000000" w:themeColor="text1"/>
                <w:sz w:val="20"/>
              </w:rPr>
              <w:t xml:space="preserve"> </w:t>
            </w:r>
            <w:r>
              <w:rPr>
                <w:color w:val="000000" w:themeColor="text1"/>
                <w:sz w:val="20"/>
              </w:rPr>
              <w:t xml:space="preserve">del </w:t>
            </w:r>
            <w:r w:rsidRPr="00520787">
              <w:rPr>
                <w:color w:val="000000" w:themeColor="text1"/>
                <w:sz w:val="20"/>
              </w:rPr>
              <w:t>Gobierno Central (incluyendo sus entidades descentralizadas y desconcentrada</w:t>
            </w:r>
            <w:r w:rsidRPr="00D94200">
              <w:rPr>
                <w:color w:val="000000" w:themeColor="text1"/>
                <w:sz w:val="20"/>
              </w:rPr>
              <w:t>s)</w:t>
            </w:r>
            <w:r w:rsidR="007B3671" w:rsidRPr="00D94200">
              <w:rPr>
                <w:color w:val="000000" w:themeColor="text1"/>
                <w:sz w:val="20"/>
              </w:rPr>
              <w:t>.</w:t>
            </w:r>
          </w:p>
        </w:tc>
      </w:tr>
      <w:tr w:rsidR="008B670D" w:rsidRPr="0037333D" w:rsidTr="0037333D">
        <w:trPr>
          <w:trHeight w:val="40"/>
        </w:trPr>
        <w:tc>
          <w:tcPr>
            <w:tcW w:w="5688" w:type="dxa"/>
            <w:shd w:val="clear" w:color="auto" w:fill="auto"/>
          </w:tcPr>
          <w:p w:rsidR="008B670D" w:rsidRPr="00037E16" w:rsidRDefault="008B670D" w:rsidP="00BC1D54">
            <w:pPr>
              <w:pStyle w:val="Paragraph"/>
              <w:numPr>
                <w:ilvl w:val="0"/>
                <w:numId w:val="0"/>
              </w:numPr>
              <w:spacing w:before="20" w:after="20"/>
              <w:rPr>
                <w:strike/>
                <w:color w:val="000000" w:themeColor="text1"/>
                <w:sz w:val="20"/>
                <w:highlight w:val="red"/>
              </w:rPr>
            </w:pPr>
            <w:r w:rsidRPr="00037E16">
              <w:rPr>
                <w:color w:val="000000" w:themeColor="text1"/>
                <w:sz w:val="20"/>
              </w:rPr>
              <w:t>Presentación a la Asamblea Legislativa Plurinacional del Proyecto de Ley que regulará el ejercicio del control social acorde con la nueva Constitución.</w:t>
            </w:r>
          </w:p>
        </w:tc>
        <w:tc>
          <w:tcPr>
            <w:tcW w:w="6462" w:type="dxa"/>
          </w:tcPr>
          <w:p w:rsidR="008B670D" w:rsidRPr="00520787" w:rsidRDefault="008B670D" w:rsidP="00BC1D54">
            <w:pPr>
              <w:pStyle w:val="Paragraph"/>
              <w:numPr>
                <w:ilvl w:val="0"/>
                <w:numId w:val="0"/>
              </w:numPr>
              <w:spacing w:before="20" w:after="20"/>
              <w:rPr>
                <w:color w:val="000000" w:themeColor="text1"/>
                <w:sz w:val="20"/>
              </w:rPr>
            </w:pPr>
            <w:r>
              <w:rPr>
                <w:color w:val="000000" w:themeColor="text1"/>
                <w:sz w:val="20"/>
              </w:rPr>
              <w:t>Constancia de la Promulgación en la Gaceta Oficial de la Ley que regula</w:t>
            </w:r>
            <w:r w:rsidRPr="00520787">
              <w:rPr>
                <w:color w:val="000000" w:themeColor="text1"/>
                <w:sz w:val="20"/>
              </w:rPr>
              <w:t xml:space="preserve"> el ejercicio del control social</w:t>
            </w:r>
            <w:r>
              <w:rPr>
                <w:color w:val="000000" w:themeColor="text1"/>
                <w:sz w:val="20"/>
              </w:rPr>
              <w:t xml:space="preserve">, acorde con la nueva </w:t>
            </w:r>
            <w:r w:rsidRPr="00D94200">
              <w:rPr>
                <w:color w:val="000000" w:themeColor="text1"/>
                <w:sz w:val="20"/>
              </w:rPr>
              <w:t>Constitución</w:t>
            </w:r>
            <w:r w:rsidR="007B3671" w:rsidRPr="00D94200">
              <w:rPr>
                <w:color w:val="000000" w:themeColor="text1"/>
                <w:sz w:val="20"/>
              </w:rPr>
              <w:t>.</w:t>
            </w:r>
            <w:r>
              <w:rPr>
                <w:color w:val="000000" w:themeColor="text1"/>
                <w:sz w:val="20"/>
              </w:rPr>
              <w:t xml:space="preserve"> </w:t>
            </w:r>
          </w:p>
        </w:tc>
      </w:tr>
    </w:tbl>
    <w:p w:rsidR="00E16207" w:rsidRPr="00037E16" w:rsidRDefault="00E16207" w:rsidP="009013B6">
      <w:pPr>
        <w:rPr>
          <w:color w:val="000000" w:themeColor="text1"/>
          <w:sz w:val="20"/>
          <w:lang w:val="es-BO"/>
        </w:rPr>
      </w:pPr>
    </w:p>
    <w:p w:rsidR="00520787" w:rsidRPr="00037E16" w:rsidRDefault="00520787">
      <w:pPr>
        <w:rPr>
          <w:color w:val="000000" w:themeColor="text1"/>
          <w:sz w:val="20"/>
          <w:lang w:val="es-BO"/>
        </w:rPr>
      </w:pPr>
    </w:p>
    <w:sectPr w:rsidR="00520787" w:rsidRPr="00037E16" w:rsidSect="0037333D">
      <w:headerReference w:type="default" r:id="rId9"/>
      <w:pgSz w:w="15840" w:h="12240" w:orient="landscape" w:code="1"/>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48D5" w:rsidRDefault="005D48D5" w:rsidP="00897C0C">
      <w:r>
        <w:separator/>
      </w:r>
    </w:p>
  </w:endnote>
  <w:endnote w:type="continuationSeparator" w:id="0">
    <w:p w:rsidR="005D48D5" w:rsidRDefault="005D48D5" w:rsidP="00897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48D5" w:rsidRDefault="005D48D5" w:rsidP="00897C0C">
      <w:r>
        <w:separator/>
      </w:r>
    </w:p>
  </w:footnote>
  <w:footnote w:type="continuationSeparator" w:id="0">
    <w:p w:rsidR="005D48D5" w:rsidRDefault="005D48D5" w:rsidP="00897C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3B9" w:rsidRPr="0018379F" w:rsidRDefault="007A73B9" w:rsidP="0018379F">
    <w:pPr>
      <w:pStyle w:val="Header"/>
      <w:jc w:val="right"/>
      <w:rPr>
        <w:lang w:val="pt-BR"/>
      </w:rPr>
    </w:pPr>
    <w:r w:rsidRPr="0018379F">
      <w:rPr>
        <w:lang w:val="pt-BR"/>
      </w:rPr>
      <w:t>BO-L</w:t>
    </w:r>
    <w:r>
      <w:rPr>
        <w:lang w:val="pt-BR"/>
      </w:rPr>
      <w:t>1081</w:t>
    </w:r>
  </w:p>
  <w:p w:rsidR="007A73B9" w:rsidRPr="00A61963" w:rsidRDefault="007A73B9" w:rsidP="00A61963">
    <w:pPr>
      <w:pStyle w:val="Header"/>
      <w:pBdr>
        <w:bottom w:val="single" w:sz="4" w:space="1" w:color="000000" w:themeColor="text1"/>
      </w:pBdr>
      <w:jc w:val="right"/>
      <w:rPr>
        <w:lang w:val="pt-BR"/>
      </w:rPr>
    </w:pPr>
    <w:r w:rsidRPr="0018379F">
      <w:rPr>
        <w:lang w:val="pt-BR"/>
      </w:rPr>
      <w:t xml:space="preserve">Página </w:t>
    </w:r>
    <w:sdt>
      <w:sdtPr>
        <w:id w:val="693839595"/>
        <w:docPartObj>
          <w:docPartGallery w:val="Page Numbers (Top of Page)"/>
          <w:docPartUnique/>
        </w:docPartObj>
      </w:sdtPr>
      <w:sdtEndPr/>
      <w:sdtContent>
        <w:r>
          <w:fldChar w:fldCharType="begin"/>
        </w:r>
        <w:r w:rsidRPr="00A61963">
          <w:rPr>
            <w:lang w:val="pt-BR"/>
          </w:rPr>
          <w:instrText xml:space="preserve"> PAGE   \* MERGEFORMAT </w:instrText>
        </w:r>
        <w:r>
          <w:fldChar w:fldCharType="separate"/>
        </w:r>
        <w:r w:rsidR="004F764E">
          <w:rPr>
            <w:noProof/>
            <w:lang w:val="pt-BR"/>
          </w:rPr>
          <w:t>5</w:t>
        </w:r>
        <w:r>
          <w:fldChar w:fldCharType="end"/>
        </w:r>
      </w:sdtContent>
    </w:sdt>
    <w:r w:rsidRPr="00A61963">
      <w:rPr>
        <w:lang w:val="pt-BR"/>
      </w:rPr>
      <w:t xml:space="preserve"> de </w:t>
    </w:r>
    <w:r w:rsidR="00E81220">
      <w:rPr>
        <w:lang w:val="pt-BR"/>
      </w:rPr>
      <w:t>8</w:t>
    </w:r>
  </w:p>
  <w:p w:rsidR="007A73B9" w:rsidRPr="0018379F" w:rsidRDefault="007A73B9">
    <w:pPr>
      <w:pStyle w:val="Header"/>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9468BB"/>
    <w:multiLevelType w:val="hybridMultilevel"/>
    <w:tmpl w:val="1554A73C"/>
    <w:lvl w:ilvl="0" w:tplc="3F34FCC0">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nsid w:val="27F63571"/>
    <w:multiLevelType w:val="hybridMultilevel"/>
    <w:tmpl w:val="F64C8462"/>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nsid w:val="41FB78ED"/>
    <w:multiLevelType w:val="hybridMultilevel"/>
    <w:tmpl w:val="D2C678F6"/>
    <w:lvl w:ilvl="0" w:tplc="23224782">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nsid w:val="4DA91EA6"/>
    <w:multiLevelType w:val="hybridMultilevel"/>
    <w:tmpl w:val="76E236A6"/>
    <w:lvl w:ilvl="0" w:tplc="094E3082">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580A3B8D"/>
    <w:multiLevelType w:val="multilevel"/>
    <w:tmpl w:val="DA0A729A"/>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2736"/>
        </w:tabs>
        <w:ind w:left="2736" w:hanging="1296"/>
      </w:pPr>
      <w:rPr>
        <w:b w:val="0"/>
      </w:r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5">
    <w:nsid w:val="6431746B"/>
    <w:multiLevelType w:val="hybridMultilevel"/>
    <w:tmpl w:val="48E26542"/>
    <w:lvl w:ilvl="0" w:tplc="67E8C3C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DBC12AB"/>
    <w:multiLevelType w:val="hybridMultilevel"/>
    <w:tmpl w:val="E4843BA8"/>
    <w:lvl w:ilvl="0" w:tplc="B9A463B0">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nsid w:val="71D600C9"/>
    <w:multiLevelType w:val="hybridMultilevel"/>
    <w:tmpl w:val="CC88FB44"/>
    <w:lvl w:ilvl="0" w:tplc="0CFC67C8">
      <w:start w:val="1"/>
      <w:numFmt w:val="bullet"/>
      <w:lvlText w:val="-"/>
      <w:lvlJc w:val="left"/>
      <w:pPr>
        <w:ind w:left="720" w:hanging="360"/>
      </w:pPr>
      <w:rPr>
        <w:rFonts w:ascii="TimesNewRoman" w:eastAsiaTheme="minorHAnsi" w:hAnsi="TimesNewRoman"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4"/>
  </w:num>
  <w:num w:numId="3">
    <w:abstractNumId w:val="4"/>
  </w:num>
  <w:num w:numId="4">
    <w:abstractNumId w:val="4"/>
  </w:num>
  <w:num w:numId="5">
    <w:abstractNumId w:val="4"/>
  </w:num>
  <w:num w:numId="6">
    <w:abstractNumId w:val="4"/>
  </w:num>
  <w:num w:numId="7">
    <w:abstractNumId w:val="4"/>
  </w:num>
  <w:num w:numId="8">
    <w:abstractNumId w:val="2"/>
  </w:num>
  <w:num w:numId="9">
    <w:abstractNumId w:val="6"/>
  </w:num>
  <w:num w:numId="10">
    <w:abstractNumId w:val="4"/>
  </w:num>
  <w:num w:numId="11">
    <w:abstractNumId w:val="4"/>
  </w:num>
  <w:num w:numId="12">
    <w:abstractNumId w:val="4"/>
  </w:num>
  <w:num w:numId="13">
    <w:abstractNumId w:val="3"/>
  </w:num>
  <w:num w:numId="14">
    <w:abstractNumId w:val="0"/>
  </w:num>
  <w:num w:numId="15">
    <w:abstractNumId w:val="1"/>
  </w:num>
  <w:num w:numId="16">
    <w:abstractNumId w:val="4"/>
  </w:num>
  <w:num w:numId="17">
    <w:abstractNumId w:val="4"/>
  </w:num>
  <w:num w:numId="18">
    <w:abstractNumId w:val="5"/>
  </w:num>
  <w:num w:numId="19">
    <w:abstractNumId w:val="7"/>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visionView w:markup="0"/>
  <w:trackRevisions/>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7C0C"/>
    <w:rsid w:val="00001689"/>
    <w:rsid w:val="000037EB"/>
    <w:rsid w:val="0002269C"/>
    <w:rsid w:val="000277D9"/>
    <w:rsid w:val="00027C53"/>
    <w:rsid w:val="0003107C"/>
    <w:rsid w:val="00035BAB"/>
    <w:rsid w:val="000364D4"/>
    <w:rsid w:val="00037E16"/>
    <w:rsid w:val="0004166A"/>
    <w:rsid w:val="000469A1"/>
    <w:rsid w:val="00046C16"/>
    <w:rsid w:val="0005405B"/>
    <w:rsid w:val="00056062"/>
    <w:rsid w:val="00056679"/>
    <w:rsid w:val="000609FD"/>
    <w:rsid w:val="000647C4"/>
    <w:rsid w:val="000670DC"/>
    <w:rsid w:val="00067C6E"/>
    <w:rsid w:val="00071930"/>
    <w:rsid w:val="00072B0E"/>
    <w:rsid w:val="000758C3"/>
    <w:rsid w:val="0008202F"/>
    <w:rsid w:val="00091D4D"/>
    <w:rsid w:val="000A2793"/>
    <w:rsid w:val="000A3045"/>
    <w:rsid w:val="000A75F4"/>
    <w:rsid w:val="000B3C8D"/>
    <w:rsid w:val="000B52BC"/>
    <w:rsid w:val="000B708B"/>
    <w:rsid w:val="000C0EC9"/>
    <w:rsid w:val="000C1929"/>
    <w:rsid w:val="000C2039"/>
    <w:rsid w:val="000D3B2C"/>
    <w:rsid w:val="000E23C6"/>
    <w:rsid w:val="000E36E3"/>
    <w:rsid w:val="000E3F97"/>
    <w:rsid w:val="000E5174"/>
    <w:rsid w:val="000F0BE7"/>
    <w:rsid w:val="00107D8E"/>
    <w:rsid w:val="001219A6"/>
    <w:rsid w:val="00125C8E"/>
    <w:rsid w:val="001308C8"/>
    <w:rsid w:val="00132FE5"/>
    <w:rsid w:val="00133398"/>
    <w:rsid w:val="0014097E"/>
    <w:rsid w:val="00141FEE"/>
    <w:rsid w:val="00146C28"/>
    <w:rsid w:val="001476AE"/>
    <w:rsid w:val="00150C96"/>
    <w:rsid w:val="00153FE1"/>
    <w:rsid w:val="00163657"/>
    <w:rsid w:val="00163C90"/>
    <w:rsid w:val="00164B87"/>
    <w:rsid w:val="0016702A"/>
    <w:rsid w:val="001677DA"/>
    <w:rsid w:val="00175A56"/>
    <w:rsid w:val="00175EFF"/>
    <w:rsid w:val="0018379F"/>
    <w:rsid w:val="00184488"/>
    <w:rsid w:val="001857D4"/>
    <w:rsid w:val="001968FA"/>
    <w:rsid w:val="00197EF6"/>
    <w:rsid w:val="001A73B7"/>
    <w:rsid w:val="001B5502"/>
    <w:rsid w:val="001B58AC"/>
    <w:rsid w:val="001B69E5"/>
    <w:rsid w:val="001B6CFC"/>
    <w:rsid w:val="001B74CF"/>
    <w:rsid w:val="001C0BA2"/>
    <w:rsid w:val="001C5158"/>
    <w:rsid w:val="001C5B1B"/>
    <w:rsid w:val="001C61E4"/>
    <w:rsid w:val="001D3482"/>
    <w:rsid w:val="001E1E3D"/>
    <w:rsid w:val="001E2BD4"/>
    <w:rsid w:val="001E43CA"/>
    <w:rsid w:val="001F263E"/>
    <w:rsid w:val="001F2B44"/>
    <w:rsid w:val="001F3885"/>
    <w:rsid w:val="0020128D"/>
    <w:rsid w:val="0021491A"/>
    <w:rsid w:val="00217E5E"/>
    <w:rsid w:val="0022159D"/>
    <w:rsid w:val="00225964"/>
    <w:rsid w:val="00225FBE"/>
    <w:rsid w:val="00232990"/>
    <w:rsid w:val="00236602"/>
    <w:rsid w:val="00237293"/>
    <w:rsid w:val="0024177B"/>
    <w:rsid w:val="002527EB"/>
    <w:rsid w:val="00253188"/>
    <w:rsid w:val="00253A55"/>
    <w:rsid w:val="00261100"/>
    <w:rsid w:val="002622A9"/>
    <w:rsid w:val="00263DFA"/>
    <w:rsid w:val="00264CD9"/>
    <w:rsid w:val="00264D94"/>
    <w:rsid w:val="00266EAD"/>
    <w:rsid w:val="00270E63"/>
    <w:rsid w:val="0027171F"/>
    <w:rsid w:val="0027599C"/>
    <w:rsid w:val="00276502"/>
    <w:rsid w:val="00281F92"/>
    <w:rsid w:val="00282165"/>
    <w:rsid w:val="0028281F"/>
    <w:rsid w:val="0028382C"/>
    <w:rsid w:val="0028706B"/>
    <w:rsid w:val="0028791B"/>
    <w:rsid w:val="002913D4"/>
    <w:rsid w:val="00293179"/>
    <w:rsid w:val="002A4319"/>
    <w:rsid w:val="002A45C1"/>
    <w:rsid w:val="002B5B26"/>
    <w:rsid w:val="002C10A7"/>
    <w:rsid w:val="002D05D4"/>
    <w:rsid w:val="002D0B10"/>
    <w:rsid w:val="002E0A67"/>
    <w:rsid w:val="002F32B8"/>
    <w:rsid w:val="002F35A8"/>
    <w:rsid w:val="002F4AE6"/>
    <w:rsid w:val="00300D51"/>
    <w:rsid w:val="003059A9"/>
    <w:rsid w:val="00315901"/>
    <w:rsid w:val="00316325"/>
    <w:rsid w:val="00320F95"/>
    <w:rsid w:val="003278AD"/>
    <w:rsid w:val="003338CE"/>
    <w:rsid w:val="00333C61"/>
    <w:rsid w:val="003420D9"/>
    <w:rsid w:val="0034609D"/>
    <w:rsid w:val="00347BB4"/>
    <w:rsid w:val="0035496D"/>
    <w:rsid w:val="00356D0F"/>
    <w:rsid w:val="00366B0E"/>
    <w:rsid w:val="00373252"/>
    <w:rsid w:val="0037333D"/>
    <w:rsid w:val="00375093"/>
    <w:rsid w:val="00375487"/>
    <w:rsid w:val="003814A3"/>
    <w:rsid w:val="003819FE"/>
    <w:rsid w:val="0038347D"/>
    <w:rsid w:val="00384DF0"/>
    <w:rsid w:val="0038567F"/>
    <w:rsid w:val="003A5225"/>
    <w:rsid w:val="003A6977"/>
    <w:rsid w:val="003B21FB"/>
    <w:rsid w:val="003C45E3"/>
    <w:rsid w:val="003C69F8"/>
    <w:rsid w:val="003C78F2"/>
    <w:rsid w:val="003D34B9"/>
    <w:rsid w:val="003D41F0"/>
    <w:rsid w:val="003E269D"/>
    <w:rsid w:val="003E5428"/>
    <w:rsid w:val="003E5A7B"/>
    <w:rsid w:val="003E7525"/>
    <w:rsid w:val="003F49F2"/>
    <w:rsid w:val="003F6B99"/>
    <w:rsid w:val="004007FB"/>
    <w:rsid w:val="004036A9"/>
    <w:rsid w:val="00403B56"/>
    <w:rsid w:val="004056F2"/>
    <w:rsid w:val="0041284C"/>
    <w:rsid w:val="00412E31"/>
    <w:rsid w:val="00422CF3"/>
    <w:rsid w:val="004257D3"/>
    <w:rsid w:val="004318FA"/>
    <w:rsid w:val="00443562"/>
    <w:rsid w:val="0045039C"/>
    <w:rsid w:val="00450DC1"/>
    <w:rsid w:val="00463A6F"/>
    <w:rsid w:val="004673E0"/>
    <w:rsid w:val="00472E43"/>
    <w:rsid w:val="0048292D"/>
    <w:rsid w:val="004835C6"/>
    <w:rsid w:val="0048561B"/>
    <w:rsid w:val="0048654B"/>
    <w:rsid w:val="00491A2E"/>
    <w:rsid w:val="00493480"/>
    <w:rsid w:val="004937CE"/>
    <w:rsid w:val="00494A2A"/>
    <w:rsid w:val="00494A38"/>
    <w:rsid w:val="004968AD"/>
    <w:rsid w:val="004A3CBE"/>
    <w:rsid w:val="004A7622"/>
    <w:rsid w:val="004A7F7F"/>
    <w:rsid w:val="004B197D"/>
    <w:rsid w:val="004B33F7"/>
    <w:rsid w:val="004C1049"/>
    <w:rsid w:val="004C5FAD"/>
    <w:rsid w:val="004C6952"/>
    <w:rsid w:val="004D205E"/>
    <w:rsid w:val="004D5849"/>
    <w:rsid w:val="004E099B"/>
    <w:rsid w:val="004E722A"/>
    <w:rsid w:val="004E7594"/>
    <w:rsid w:val="004F0F9F"/>
    <w:rsid w:val="004F6FFA"/>
    <w:rsid w:val="004F764E"/>
    <w:rsid w:val="00513852"/>
    <w:rsid w:val="00516756"/>
    <w:rsid w:val="00517122"/>
    <w:rsid w:val="005171B6"/>
    <w:rsid w:val="00520787"/>
    <w:rsid w:val="005277A6"/>
    <w:rsid w:val="00531816"/>
    <w:rsid w:val="00532EAC"/>
    <w:rsid w:val="00534EED"/>
    <w:rsid w:val="0053571B"/>
    <w:rsid w:val="00542A14"/>
    <w:rsid w:val="00542F27"/>
    <w:rsid w:val="00555F6D"/>
    <w:rsid w:val="00575825"/>
    <w:rsid w:val="00581BD1"/>
    <w:rsid w:val="005921A4"/>
    <w:rsid w:val="005A0F44"/>
    <w:rsid w:val="005A228E"/>
    <w:rsid w:val="005A3147"/>
    <w:rsid w:val="005A37E1"/>
    <w:rsid w:val="005A3A00"/>
    <w:rsid w:val="005A3F06"/>
    <w:rsid w:val="005B0795"/>
    <w:rsid w:val="005B3604"/>
    <w:rsid w:val="005B5025"/>
    <w:rsid w:val="005C23B6"/>
    <w:rsid w:val="005D48D5"/>
    <w:rsid w:val="005D558E"/>
    <w:rsid w:val="005D6780"/>
    <w:rsid w:val="005D6B1C"/>
    <w:rsid w:val="005F3567"/>
    <w:rsid w:val="0060290B"/>
    <w:rsid w:val="00606E77"/>
    <w:rsid w:val="00610D6C"/>
    <w:rsid w:val="0061206C"/>
    <w:rsid w:val="0062746A"/>
    <w:rsid w:val="00634A65"/>
    <w:rsid w:val="00635BFB"/>
    <w:rsid w:val="006409DF"/>
    <w:rsid w:val="00647181"/>
    <w:rsid w:val="006502B6"/>
    <w:rsid w:val="006516BA"/>
    <w:rsid w:val="00662E78"/>
    <w:rsid w:val="006640FC"/>
    <w:rsid w:val="006702AB"/>
    <w:rsid w:val="00682DEF"/>
    <w:rsid w:val="00684A2B"/>
    <w:rsid w:val="00690598"/>
    <w:rsid w:val="006924E9"/>
    <w:rsid w:val="00696A89"/>
    <w:rsid w:val="006A0464"/>
    <w:rsid w:val="006A2548"/>
    <w:rsid w:val="006A4B74"/>
    <w:rsid w:val="006A5FAA"/>
    <w:rsid w:val="006B2539"/>
    <w:rsid w:val="006B55AB"/>
    <w:rsid w:val="006B6AF1"/>
    <w:rsid w:val="006C2902"/>
    <w:rsid w:val="006C5FB7"/>
    <w:rsid w:val="006D1F4B"/>
    <w:rsid w:val="006D5492"/>
    <w:rsid w:val="006D723A"/>
    <w:rsid w:val="006E1034"/>
    <w:rsid w:val="006E12C0"/>
    <w:rsid w:val="006E134C"/>
    <w:rsid w:val="006E19E1"/>
    <w:rsid w:val="006E28CA"/>
    <w:rsid w:val="006E782D"/>
    <w:rsid w:val="006F3674"/>
    <w:rsid w:val="006F5804"/>
    <w:rsid w:val="006F59E8"/>
    <w:rsid w:val="0070284A"/>
    <w:rsid w:val="00705492"/>
    <w:rsid w:val="0071293B"/>
    <w:rsid w:val="007176A7"/>
    <w:rsid w:val="007301F6"/>
    <w:rsid w:val="00744984"/>
    <w:rsid w:val="0075135E"/>
    <w:rsid w:val="00752AA9"/>
    <w:rsid w:val="00754FDC"/>
    <w:rsid w:val="00757BD0"/>
    <w:rsid w:val="00761788"/>
    <w:rsid w:val="0076221B"/>
    <w:rsid w:val="0076737F"/>
    <w:rsid w:val="00772A42"/>
    <w:rsid w:val="00776AB7"/>
    <w:rsid w:val="007772F1"/>
    <w:rsid w:val="007820C9"/>
    <w:rsid w:val="00787427"/>
    <w:rsid w:val="0079045F"/>
    <w:rsid w:val="0079383C"/>
    <w:rsid w:val="00794D1D"/>
    <w:rsid w:val="00795D8E"/>
    <w:rsid w:val="00796FEA"/>
    <w:rsid w:val="007A4E8E"/>
    <w:rsid w:val="007A73B9"/>
    <w:rsid w:val="007B3671"/>
    <w:rsid w:val="007B58EB"/>
    <w:rsid w:val="007C3448"/>
    <w:rsid w:val="007C3A91"/>
    <w:rsid w:val="007D05FF"/>
    <w:rsid w:val="007D2B8B"/>
    <w:rsid w:val="007D2EB7"/>
    <w:rsid w:val="007D4128"/>
    <w:rsid w:val="007E322B"/>
    <w:rsid w:val="007E367D"/>
    <w:rsid w:val="007E5192"/>
    <w:rsid w:val="007E6323"/>
    <w:rsid w:val="007E6529"/>
    <w:rsid w:val="007F2B44"/>
    <w:rsid w:val="0080671A"/>
    <w:rsid w:val="00811D1B"/>
    <w:rsid w:val="00812AA6"/>
    <w:rsid w:val="00812E7B"/>
    <w:rsid w:val="00821029"/>
    <w:rsid w:val="00823A5D"/>
    <w:rsid w:val="00827792"/>
    <w:rsid w:val="00831DAE"/>
    <w:rsid w:val="008460B0"/>
    <w:rsid w:val="008475DC"/>
    <w:rsid w:val="00851716"/>
    <w:rsid w:val="0085653A"/>
    <w:rsid w:val="00860617"/>
    <w:rsid w:val="00871037"/>
    <w:rsid w:val="00875BD0"/>
    <w:rsid w:val="00884602"/>
    <w:rsid w:val="00884C36"/>
    <w:rsid w:val="00884CE1"/>
    <w:rsid w:val="008878FB"/>
    <w:rsid w:val="008921E8"/>
    <w:rsid w:val="00892635"/>
    <w:rsid w:val="008965BF"/>
    <w:rsid w:val="008965FA"/>
    <w:rsid w:val="0089666D"/>
    <w:rsid w:val="00896B85"/>
    <w:rsid w:val="00897C0C"/>
    <w:rsid w:val="008A1CF6"/>
    <w:rsid w:val="008A475F"/>
    <w:rsid w:val="008B1447"/>
    <w:rsid w:val="008B14AE"/>
    <w:rsid w:val="008B670D"/>
    <w:rsid w:val="008B6C85"/>
    <w:rsid w:val="008B6CDD"/>
    <w:rsid w:val="008C2F4E"/>
    <w:rsid w:val="008D2A51"/>
    <w:rsid w:val="008D64AF"/>
    <w:rsid w:val="008E0964"/>
    <w:rsid w:val="008E3471"/>
    <w:rsid w:val="008E3F01"/>
    <w:rsid w:val="008F234A"/>
    <w:rsid w:val="009002DC"/>
    <w:rsid w:val="009013B6"/>
    <w:rsid w:val="009028A9"/>
    <w:rsid w:val="00907640"/>
    <w:rsid w:val="00916947"/>
    <w:rsid w:val="00921497"/>
    <w:rsid w:val="0092264F"/>
    <w:rsid w:val="009248CE"/>
    <w:rsid w:val="00925B6E"/>
    <w:rsid w:val="0093014B"/>
    <w:rsid w:val="00931A04"/>
    <w:rsid w:val="00933B7D"/>
    <w:rsid w:val="00940571"/>
    <w:rsid w:val="009409E4"/>
    <w:rsid w:val="009419FC"/>
    <w:rsid w:val="009433EA"/>
    <w:rsid w:val="00945378"/>
    <w:rsid w:val="00946171"/>
    <w:rsid w:val="009463DD"/>
    <w:rsid w:val="00956EC4"/>
    <w:rsid w:val="00960C51"/>
    <w:rsid w:val="00963599"/>
    <w:rsid w:val="009644E1"/>
    <w:rsid w:val="00972D93"/>
    <w:rsid w:val="00974165"/>
    <w:rsid w:val="0098061A"/>
    <w:rsid w:val="00983D81"/>
    <w:rsid w:val="00983F31"/>
    <w:rsid w:val="00986A7C"/>
    <w:rsid w:val="009955CB"/>
    <w:rsid w:val="00995EC2"/>
    <w:rsid w:val="009A0EC6"/>
    <w:rsid w:val="009A0F09"/>
    <w:rsid w:val="009A5F15"/>
    <w:rsid w:val="009A63E8"/>
    <w:rsid w:val="009B0895"/>
    <w:rsid w:val="009B2B32"/>
    <w:rsid w:val="009B368C"/>
    <w:rsid w:val="009B4BFE"/>
    <w:rsid w:val="009B6CF4"/>
    <w:rsid w:val="009B7318"/>
    <w:rsid w:val="009C00A3"/>
    <w:rsid w:val="009E08E3"/>
    <w:rsid w:val="009E2754"/>
    <w:rsid w:val="009E33D5"/>
    <w:rsid w:val="009E7C88"/>
    <w:rsid w:val="009F4016"/>
    <w:rsid w:val="009F6B87"/>
    <w:rsid w:val="00A00416"/>
    <w:rsid w:val="00A00DBB"/>
    <w:rsid w:val="00A0115E"/>
    <w:rsid w:val="00A0465C"/>
    <w:rsid w:val="00A05560"/>
    <w:rsid w:val="00A13DD9"/>
    <w:rsid w:val="00A15737"/>
    <w:rsid w:val="00A16522"/>
    <w:rsid w:val="00A17A95"/>
    <w:rsid w:val="00A30DBE"/>
    <w:rsid w:val="00A3198C"/>
    <w:rsid w:val="00A3528A"/>
    <w:rsid w:val="00A40BBE"/>
    <w:rsid w:val="00A505EC"/>
    <w:rsid w:val="00A51386"/>
    <w:rsid w:val="00A52357"/>
    <w:rsid w:val="00A61963"/>
    <w:rsid w:val="00A62C71"/>
    <w:rsid w:val="00A6388C"/>
    <w:rsid w:val="00A65202"/>
    <w:rsid w:val="00A65E03"/>
    <w:rsid w:val="00A66EB4"/>
    <w:rsid w:val="00A70210"/>
    <w:rsid w:val="00A71443"/>
    <w:rsid w:val="00A75B91"/>
    <w:rsid w:val="00A77E37"/>
    <w:rsid w:val="00A80D88"/>
    <w:rsid w:val="00A8564E"/>
    <w:rsid w:val="00A946EB"/>
    <w:rsid w:val="00AA3229"/>
    <w:rsid w:val="00AA5647"/>
    <w:rsid w:val="00AA6806"/>
    <w:rsid w:val="00AA7FAD"/>
    <w:rsid w:val="00AB1B7A"/>
    <w:rsid w:val="00AB2FF0"/>
    <w:rsid w:val="00AB4C80"/>
    <w:rsid w:val="00AB6C6C"/>
    <w:rsid w:val="00AC4CAA"/>
    <w:rsid w:val="00AD05D9"/>
    <w:rsid w:val="00AD37D6"/>
    <w:rsid w:val="00AD6274"/>
    <w:rsid w:val="00AE19F0"/>
    <w:rsid w:val="00AE501F"/>
    <w:rsid w:val="00AE6B0A"/>
    <w:rsid w:val="00AE7980"/>
    <w:rsid w:val="00AF2B9F"/>
    <w:rsid w:val="00AF5109"/>
    <w:rsid w:val="00AF5130"/>
    <w:rsid w:val="00AF7645"/>
    <w:rsid w:val="00B00E97"/>
    <w:rsid w:val="00B038AB"/>
    <w:rsid w:val="00B03939"/>
    <w:rsid w:val="00B207CC"/>
    <w:rsid w:val="00B20B6C"/>
    <w:rsid w:val="00B346FD"/>
    <w:rsid w:val="00B40502"/>
    <w:rsid w:val="00B42A11"/>
    <w:rsid w:val="00B42E92"/>
    <w:rsid w:val="00B44E70"/>
    <w:rsid w:val="00B44EEB"/>
    <w:rsid w:val="00B45A6C"/>
    <w:rsid w:val="00B45C4B"/>
    <w:rsid w:val="00B475D2"/>
    <w:rsid w:val="00B5319B"/>
    <w:rsid w:val="00B53311"/>
    <w:rsid w:val="00B54A4C"/>
    <w:rsid w:val="00B575AD"/>
    <w:rsid w:val="00B61499"/>
    <w:rsid w:val="00B64B0E"/>
    <w:rsid w:val="00B65029"/>
    <w:rsid w:val="00B65A30"/>
    <w:rsid w:val="00B76232"/>
    <w:rsid w:val="00B82999"/>
    <w:rsid w:val="00B84055"/>
    <w:rsid w:val="00B94802"/>
    <w:rsid w:val="00B974C9"/>
    <w:rsid w:val="00B9781A"/>
    <w:rsid w:val="00BA5753"/>
    <w:rsid w:val="00BA7204"/>
    <w:rsid w:val="00BB3752"/>
    <w:rsid w:val="00BB37AC"/>
    <w:rsid w:val="00BB42D6"/>
    <w:rsid w:val="00BB54BF"/>
    <w:rsid w:val="00BB7DEA"/>
    <w:rsid w:val="00BC1D54"/>
    <w:rsid w:val="00BC450C"/>
    <w:rsid w:val="00BC522F"/>
    <w:rsid w:val="00BD08D1"/>
    <w:rsid w:val="00BD2362"/>
    <w:rsid w:val="00BE2FEE"/>
    <w:rsid w:val="00BE3C57"/>
    <w:rsid w:val="00BE44FB"/>
    <w:rsid w:val="00BE6D28"/>
    <w:rsid w:val="00BF1DAE"/>
    <w:rsid w:val="00BF1EAF"/>
    <w:rsid w:val="00C025E4"/>
    <w:rsid w:val="00C038A7"/>
    <w:rsid w:val="00C04A57"/>
    <w:rsid w:val="00C10C6B"/>
    <w:rsid w:val="00C10DDA"/>
    <w:rsid w:val="00C13DE8"/>
    <w:rsid w:val="00C20785"/>
    <w:rsid w:val="00C21247"/>
    <w:rsid w:val="00C261A3"/>
    <w:rsid w:val="00C276D1"/>
    <w:rsid w:val="00C370A0"/>
    <w:rsid w:val="00C37847"/>
    <w:rsid w:val="00C40A29"/>
    <w:rsid w:val="00C4788A"/>
    <w:rsid w:val="00C50081"/>
    <w:rsid w:val="00C52C6D"/>
    <w:rsid w:val="00C5312E"/>
    <w:rsid w:val="00C53A8D"/>
    <w:rsid w:val="00C612EF"/>
    <w:rsid w:val="00C63A3A"/>
    <w:rsid w:val="00C652D4"/>
    <w:rsid w:val="00C66B4E"/>
    <w:rsid w:val="00C77570"/>
    <w:rsid w:val="00C851CE"/>
    <w:rsid w:val="00C90974"/>
    <w:rsid w:val="00C912AA"/>
    <w:rsid w:val="00C936D7"/>
    <w:rsid w:val="00C946D2"/>
    <w:rsid w:val="00CA0AB1"/>
    <w:rsid w:val="00CA1C58"/>
    <w:rsid w:val="00CA56C6"/>
    <w:rsid w:val="00CB36DD"/>
    <w:rsid w:val="00CB4A59"/>
    <w:rsid w:val="00CB55B7"/>
    <w:rsid w:val="00CB5D9E"/>
    <w:rsid w:val="00CD2B48"/>
    <w:rsid w:val="00CD70E4"/>
    <w:rsid w:val="00CE5287"/>
    <w:rsid w:val="00CE64D9"/>
    <w:rsid w:val="00CF27AD"/>
    <w:rsid w:val="00CF7B80"/>
    <w:rsid w:val="00D00E3B"/>
    <w:rsid w:val="00D01710"/>
    <w:rsid w:val="00D01C9F"/>
    <w:rsid w:val="00D05854"/>
    <w:rsid w:val="00D11412"/>
    <w:rsid w:val="00D122E1"/>
    <w:rsid w:val="00D1232E"/>
    <w:rsid w:val="00D17916"/>
    <w:rsid w:val="00D17BD3"/>
    <w:rsid w:val="00D20568"/>
    <w:rsid w:val="00D238C8"/>
    <w:rsid w:val="00D32245"/>
    <w:rsid w:val="00D34319"/>
    <w:rsid w:val="00D35B7E"/>
    <w:rsid w:val="00D475A5"/>
    <w:rsid w:val="00D47745"/>
    <w:rsid w:val="00D554B5"/>
    <w:rsid w:val="00D55500"/>
    <w:rsid w:val="00D57FB2"/>
    <w:rsid w:val="00D619AD"/>
    <w:rsid w:val="00D64B60"/>
    <w:rsid w:val="00D70A7E"/>
    <w:rsid w:val="00D7459D"/>
    <w:rsid w:val="00D75045"/>
    <w:rsid w:val="00D870C1"/>
    <w:rsid w:val="00D902A2"/>
    <w:rsid w:val="00D91AD5"/>
    <w:rsid w:val="00D94200"/>
    <w:rsid w:val="00D948BE"/>
    <w:rsid w:val="00DA00FF"/>
    <w:rsid w:val="00DA6E0B"/>
    <w:rsid w:val="00DB29AB"/>
    <w:rsid w:val="00DB42CA"/>
    <w:rsid w:val="00DB497C"/>
    <w:rsid w:val="00DC4BFC"/>
    <w:rsid w:val="00DC56DA"/>
    <w:rsid w:val="00DD405E"/>
    <w:rsid w:val="00DD68EF"/>
    <w:rsid w:val="00DE506A"/>
    <w:rsid w:val="00DE5BE6"/>
    <w:rsid w:val="00DE7FEA"/>
    <w:rsid w:val="00DF1592"/>
    <w:rsid w:val="00DF2C45"/>
    <w:rsid w:val="00DF6582"/>
    <w:rsid w:val="00E004D0"/>
    <w:rsid w:val="00E0553D"/>
    <w:rsid w:val="00E07CB2"/>
    <w:rsid w:val="00E16207"/>
    <w:rsid w:val="00E16E94"/>
    <w:rsid w:val="00E225A2"/>
    <w:rsid w:val="00E232BC"/>
    <w:rsid w:val="00E23B54"/>
    <w:rsid w:val="00E26071"/>
    <w:rsid w:val="00E2676C"/>
    <w:rsid w:val="00E30569"/>
    <w:rsid w:val="00E30FCA"/>
    <w:rsid w:val="00E34E2A"/>
    <w:rsid w:val="00E4038F"/>
    <w:rsid w:val="00E42D23"/>
    <w:rsid w:val="00E43E7D"/>
    <w:rsid w:val="00E51010"/>
    <w:rsid w:val="00E60EB8"/>
    <w:rsid w:val="00E6361E"/>
    <w:rsid w:val="00E63B13"/>
    <w:rsid w:val="00E67440"/>
    <w:rsid w:val="00E67BE0"/>
    <w:rsid w:val="00E707BF"/>
    <w:rsid w:val="00E70F4D"/>
    <w:rsid w:val="00E81220"/>
    <w:rsid w:val="00E838D5"/>
    <w:rsid w:val="00E83C0F"/>
    <w:rsid w:val="00E858CD"/>
    <w:rsid w:val="00E877E7"/>
    <w:rsid w:val="00E9295E"/>
    <w:rsid w:val="00E93739"/>
    <w:rsid w:val="00E94E6A"/>
    <w:rsid w:val="00E96356"/>
    <w:rsid w:val="00E97A36"/>
    <w:rsid w:val="00EA10E1"/>
    <w:rsid w:val="00EA3766"/>
    <w:rsid w:val="00EA57F7"/>
    <w:rsid w:val="00EA6F2F"/>
    <w:rsid w:val="00EB0B28"/>
    <w:rsid w:val="00EB2A8B"/>
    <w:rsid w:val="00EB655B"/>
    <w:rsid w:val="00EC1E92"/>
    <w:rsid w:val="00EC71F3"/>
    <w:rsid w:val="00EC7938"/>
    <w:rsid w:val="00ED3C52"/>
    <w:rsid w:val="00ED4750"/>
    <w:rsid w:val="00EE441E"/>
    <w:rsid w:val="00EF2590"/>
    <w:rsid w:val="00EF3F5D"/>
    <w:rsid w:val="00F0211B"/>
    <w:rsid w:val="00F03B2E"/>
    <w:rsid w:val="00F05833"/>
    <w:rsid w:val="00F05CA9"/>
    <w:rsid w:val="00F05D7C"/>
    <w:rsid w:val="00F0794F"/>
    <w:rsid w:val="00F109C2"/>
    <w:rsid w:val="00F25B80"/>
    <w:rsid w:val="00F262CE"/>
    <w:rsid w:val="00F35DA4"/>
    <w:rsid w:val="00F3775E"/>
    <w:rsid w:val="00F40ECC"/>
    <w:rsid w:val="00F46A2F"/>
    <w:rsid w:val="00F512B6"/>
    <w:rsid w:val="00F51E1C"/>
    <w:rsid w:val="00F534EE"/>
    <w:rsid w:val="00F55EF3"/>
    <w:rsid w:val="00F62858"/>
    <w:rsid w:val="00F635D2"/>
    <w:rsid w:val="00F64804"/>
    <w:rsid w:val="00F65F69"/>
    <w:rsid w:val="00F6721C"/>
    <w:rsid w:val="00F7324F"/>
    <w:rsid w:val="00F773EF"/>
    <w:rsid w:val="00F77FBD"/>
    <w:rsid w:val="00F800DD"/>
    <w:rsid w:val="00F8583F"/>
    <w:rsid w:val="00F92268"/>
    <w:rsid w:val="00FA5C2C"/>
    <w:rsid w:val="00FA618E"/>
    <w:rsid w:val="00FB3139"/>
    <w:rsid w:val="00FB37A3"/>
    <w:rsid w:val="00FB57E8"/>
    <w:rsid w:val="00FB6B23"/>
    <w:rsid w:val="00FD2066"/>
    <w:rsid w:val="00FE3C38"/>
    <w:rsid w:val="00FE5D63"/>
    <w:rsid w:val="00FE78C6"/>
    <w:rsid w:val="00FF348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7C0C"/>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897C0C"/>
    <w:pPr>
      <w:keepNext/>
      <w:spacing w:before="60"/>
      <w:jc w:val="cente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rsid w:val="00897C0C"/>
    <w:pPr>
      <w:keepNext/>
      <w:numPr>
        <w:numId w:val="1"/>
      </w:numPr>
      <w:tabs>
        <w:tab w:val="clear" w:pos="2088"/>
        <w:tab w:val="num" w:pos="648"/>
        <w:tab w:val="left" w:pos="1440"/>
      </w:tabs>
      <w:spacing w:before="240" w:after="240"/>
      <w:ind w:left="0"/>
      <w:jc w:val="center"/>
    </w:pPr>
    <w:rPr>
      <w:b/>
      <w:smallCaps/>
      <w:lang w:val="es-ES_tradnl"/>
    </w:rPr>
  </w:style>
  <w:style w:type="paragraph" w:customStyle="1" w:styleId="Paragraph">
    <w:name w:val="Paragraph"/>
    <w:basedOn w:val="BodyTextIndent"/>
    <w:rsid w:val="00897C0C"/>
    <w:pPr>
      <w:numPr>
        <w:ilvl w:val="1"/>
        <w:numId w:val="1"/>
      </w:numPr>
      <w:spacing w:before="120"/>
      <w:jc w:val="both"/>
      <w:outlineLvl w:val="1"/>
    </w:pPr>
    <w:rPr>
      <w:lang w:val="es-ES_tradnl"/>
    </w:rPr>
  </w:style>
  <w:style w:type="paragraph" w:customStyle="1" w:styleId="subpar">
    <w:name w:val="subpar"/>
    <w:basedOn w:val="BodyTextIndent3"/>
    <w:rsid w:val="00897C0C"/>
    <w:pPr>
      <w:numPr>
        <w:ilvl w:val="2"/>
        <w:numId w:val="1"/>
      </w:numPr>
      <w:tabs>
        <w:tab w:val="clear" w:pos="2592"/>
        <w:tab w:val="num" w:pos="1152"/>
      </w:tabs>
      <w:spacing w:before="120"/>
      <w:ind w:left="1152"/>
      <w:jc w:val="both"/>
      <w:outlineLvl w:val="2"/>
    </w:pPr>
    <w:rPr>
      <w:sz w:val="24"/>
      <w:szCs w:val="20"/>
      <w:lang w:val="es-ES_tradnl"/>
    </w:rPr>
  </w:style>
  <w:style w:type="paragraph" w:customStyle="1" w:styleId="SubSubPar">
    <w:name w:val="SubSubPar"/>
    <w:basedOn w:val="subpar"/>
    <w:rsid w:val="00897C0C"/>
    <w:pPr>
      <w:numPr>
        <w:ilvl w:val="3"/>
      </w:numPr>
      <w:tabs>
        <w:tab w:val="clear" w:pos="3024"/>
        <w:tab w:val="left" w:pos="0"/>
        <w:tab w:val="num" w:pos="1296"/>
      </w:tabs>
      <w:ind w:left="1296"/>
    </w:pPr>
  </w:style>
  <w:style w:type="paragraph" w:styleId="BodyTextIndent">
    <w:name w:val="Body Text Indent"/>
    <w:basedOn w:val="Normal"/>
    <w:link w:val="BodyTextIndentChar"/>
    <w:uiPriority w:val="99"/>
    <w:semiHidden/>
    <w:unhideWhenUsed/>
    <w:rsid w:val="00897C0C"/>
    <w:pPr>
      <w:spacing w:after="120"/>
      <w:ind w:left="360"/>
    </w:pPr>
  </w:style>
  <w:style w:type="character" w:customStyle="1" w:styleId="BodyTextIndentChar">
    <w:name w:val="Body Text Indent Char"/>
    <w:basedOn w:val="DefaultParagraphFont"/>
    <w:link w:val="BodyTextIndent"/>
    <w:uiPriority w:val="99"/>
    <w:semiHidden/>
    <w:rsid w:val="00897C0C"/>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897C0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97C0C"/>
    <w:rPr>
      <w:rFonts w:ascii="Times New Roman" w:eastAsia="Times New Roman" w:hAnsi="Times New Roman" w:cs="Times New Roman"/>
      <w:sz w:val="16"/>
      <w:szCs w:val="16"/>
    </w:rPr>
  </w:style>
  <w:style w:type="character" w:customStyle="1" w:styleId="Heading1Char">
    <w:name w:val="Heading 1 Char"/>
    <w:basedOn w:val="DefaultParagraphFont"/>
    <w:link w:val="Heading1"/>
    <w:rsid w:val="00897C0C"/>
    <w:rPr>
      <w:rFonts w:ascii="Times New Roman" w:eastAsia="Times New Roman" w:hAnsi="Times New Roman" w:cs="Times New Roman"/>
      <w:b/>
      <w:sz w:val="24"/>
      <w:szCs w:val="20"/>
    </w:rPr>
  </w:style>
  <w:style w:type="paragraph" w:styleId="Header">
    <w:name w:val="header"/>
    <w:basedOn w:val="Normal"/>
    <w:link w:val="HeaderChar"/>
    <w:uiPriority w:val="99"/>
    <w:unhideWhenUsed/>
    <w:rsid w:val="00897C0C"/>
    <w:pPr>
      <w:tabs>
        <w:tab w:val="center" w:pos="4680"/>
        <w:tab w:val="right" w:pos="9360"/>
      </w:tabs>
    </w:pPr>
  </w:style>
  <w:style w:type="character" w:customStyle="1" w:styleId="HeaderChar">
    <w:name w:val="Header Char"/>
    <w:basedOn w:val="DefaultParagraphFont"/>
    <w:link w:val="Header"/>
    <w:uiPriority w:val="99"/>
    <w:rsid w:val="00897C0C"/>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897C0C"/>
    <w:pPr>
      <w:tabs>
        <w:tab w:val="center" w:pos="4680"/>
        <w:tab w:val="right" w:pos="9360"/>
      </w:tabs>
    </w:pPr>
  </w:style>
  <w:style w:type="character" w:customStyle="1" w:styleId="FooterChar">
    <w:name w:val="Footer Char"/>
    <w:basedOn w:val="DefaultParagraphFont"/>
    <w:link w:val="Footer"/>
    <w:uiPriority w:val="99"/>
    <w:rsid w:val="00897C0C"/>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6D5492"/>
    <w:rPr>
      <w:rFonts w:ascii="Tahoma" w:hAnsi="Tahoma" w:cs="Tahoma"/>
      <w:sz w:val="16"/>
      <w:szCs w:val="16"/>
    </w:rPr>
  </w:style>
  <w:style w:type="character" w:customStyle="1" w:styleId="BalloonTextChar">
    <w:name w:val="Balloon Text Char"/>
    <w:basedOn w:val="DefaultParagraphFont"/>
    <w:link w:val="BalloonText"/>
    <w:uiPriority w:val="99"/>
    <w:semiHidden/>
    <w:rsid w:val="006D5492"/>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6B2539"/>
    <w:rPr>
      <w:sz w:val="16"/>
      <w:szCs w:val="16"/>
    </w:rPr>
  </w:style>
  <w:style w:type="paragraph" w:styleId="CommentText">
    <w:name w:val="annotation text"/>
    <w:basedOn w:val="Normal"/>
    <w:link w:val="CommentTextChar"/>
    <w:uiPriority w:val="99"/>
    <w:semiHidden/>
    <w:unhideWhenUsed/>
    <w:rsid w:val="006B2539"/>
    <w:rPr>
      <w:sz w:val="20"/>
    </w:rPr>
  </w:style>
  <w:style w:type="character" w:customStyle="1" w:styleId="CommentTextChar">
    <w:name w:val="Comment Text Char"/>
    <w:basedOn w:val="DefaultParagraphFont"/>
    <w:link w:val="CommentText"/>
    <w:uiPriority w:val="99"/>
    <w:semiHidden/>
    <w:rsid w:val="006B253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B2539"/>
    <w:rPr>
      <w:b/>
      <w:bCs/>
    </w:rPr>
  </w:style>
  <w:style w:type="character" w:customStyle="1" w:styleId="CommentSubjectChar">
    <w:name w:val="Comment Subject Char"/>
    <w:basedOn w:val="CommentTextChar"/>
    <w:link w:val="CommentSubject"/>
    <w:uiPriority w:val="99"/>
    <w:semiHidden/>
    <w:rsid w:val="006B2539"/>
    <w:rPr>
      <w:rFonts w:ascii="Times New Roman" w:eastAsia="Times New Roman" w:hAnsi="Times New Roman" w:cs="Times New Roman"/>
      <w:b/>
      <w:bCs/>
      <w:sz w:val="20"/>
      <w:szCs w:val="20"/>
    </w:rPr>
  </w:style>
  <w:style w:type="paragraph" w:styleId="ListParagraph">
    <w:name w:val="List Paragraph"/>
    <w:basedOn w:val="Normal"/>
    <w:uiPriority w:val="34"/>
    <w:qFormat/>
    <w:rsid w:val="00AF5130"/>
    <w:pPr>
      <w:spacing w:before="100" w:beforeAutospacing="1" w:after="100" w:afterAutospacing="1"/>
    </w:pPr>
    <w:rPr>
      <w:rFonts w:eastAsiaTheme="minorHAnsi"/>
      <w:szCs w:val="24"/>
      <w:lang w:val="es-BO" w:eastAsia="es-BO"/>
    </w:rPr>
  </w:style>
  <w:style w:type="paragraph" w:styleId="NormalWeb">
    <w:name w:val="Normal (Web)"/>
    <w:basedOn w:val="Normal"/>
    <w:uiPriority w:val="99"/>
    <w:unhideWhenUsed/>
    <w:rsid w:val="00AF5130"/>
    <w:pPr>
      <w:spacing w:before="100" w:beforeAutospacing="1" w:after="100" w:afterAutospacing="1"/>
    </w:pPr>
    <w:rPr>
      <w:rFonts w:eastAsiaTheme="minorHAnsi"/>
      <w:szCs w:val="24"/>
      <w:lang w:val="es-BO" w:eastAsia="es-BO"/>
    </w:rPr>
  </w:style>
  <w:style w:type="paragraph" w:styleId="FootnoteText">
    <w:name w:val="footnote text"/>
    <w:basedOn w:val="Normal"/>
    <w:link w:val="FootnoteTextChar"/>
    <w:uiPriority w:val="99"/>
    <w:semiHidden/>
    <w:unhideWhenUsed/>
    <w:rsid w:val="004B197D"/>
    <w:rPr>
      <w:sz w:val="20"/>
    </w:rPr>
  </w:style>
  <w:style w:type="character" w:customStyle="1" w:styleId="FootnoteTextChar">
    <w:name w:val="Footnote Text Char"/>
    <w:basedOn w:val="DefaultParagraphFont"/>
    <w:link w:val="FootnoteText"/>
    <w:uiPriority w:val="99"/>
    <w:semiHidden/>
    <w:rsid w:val="004B197D"/>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4B197D"/>
    <w:rPr>
      <w:vertAlign w:val="superscript"/>
    </w:rPr>
  </w:style>
  <w:style w:type="paragraph" w:styleId="Revision">
    <w:name w:val="Revision"/>
    <w:hidden/>
    <w:uiPriority w:val="99"/>
    <w:semiHidden/>
    <w:rsid w:val="002F35A8"/>
    <w:pPr>
      <w:spacing w:after="0" w:line="240" w:lineRule="auto"/>
    </w:pPr>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7C0C"/>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897C0C"/>
    <w:pPr>
      <w:keepNext/>
      <w:spacing w:before="60"/>
      <w:jc w:val="cente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rsid w:val="00897C0C"/>
    <w:pPr>
      <w:keepNext/>
      <w:numPr>
        <w:numId w:val="1"/>
      </w:numPr>
      <w:tabs>
        <w:tab w:val="clear" w:pos="2088"/>
        <w:tab w:val="num" w:pos="648"/>
        <w:tab w:val="left" w:pos="1440"/>
      </w:tabs>
      <w:spacing w:before="240" w:after="240"/>
      <w:ind w:left="0"/>
      <w:jc w:val="center"/>
    </w:pPr>
    <w:rPr>
      <w:b/>
      <w:smallCaps/>
      <w:lang w:val="es-ES_tradnl"/>
    </w:rPr>
  </w:style>
  <w:style w:type="paragraph" w:customStyle="1" w:styleId="Paragraph">
    <w:name w:val="Paragraph"/>
    <w:basedOn w:val="BodyTextIndent"/>
    <w:rsid w:val="00897C0C"/>
    <w:pPr>
      <w:numPr>
        <w:ilvl w:val="1"/>
        <w:numId w:val="1"/>
      </w:numPr>
      <w:spacing w:before="120"/>
      <w:jc w:val="both"/>
      <w:outlineLvl w:val="1"/>
    </w:pPr>
    <w:rPr>
      <w:lang w:val="es-ES_tradnl"/>
    </w:rPr>
  </w:style>
  <w:style w:type="paragraph" w:customStyle="1" w:styleId="subpar">
    <w:name w:val="subpar"/>
    <w:basedOn w:val="BodyTextIndent3"/>
    <w:rsid w:val="00897C0C"/>
    <w:pPr>
      <w:numPr>
        <w:ilvl w:val="2"/>
        <w:numId w:val="1"/>
      </w:numPr>
      <w:tabs>
        <w:tab w:val="clear" w:pos="2592"/>
        <w:tab w:val="num" w:pos="1152"/>
      </w:tabs>
      <w:spacing w:before="120"/>
      <w:ind w:left="1152"/>
      <w:jc w:val="both"/>
      <w:outlineLvl w:val="2"/>
    </w:pPr>
    <w:rPr>
      <w:sz w:val="24"/>
      <w:szCs w:val="20"/>
      <w:lang w:val="es-ES_tradnl"/>
    </w:rPr>
  </w:style>
  <w:style w:type="paragraph" w:customStyle="1" w:styleId="SubSubPar">
    <w:name w:val="SubSubPar"/>
    <w:basedOn w:val="subpar"/>
    <w:rsid w:val="00897C0C"/>
    <w:pPr>
      <w:numPr>
        <w:ilvl w:val="3"/>
      </w:numPr>
      <w:tabs>
        <w:tab w:val="clear" w:pos="3024"/>
        <w:tab w:val="left" w:pos="0"/>
        <w:tab w:val="num" w:pos="1296"/>
      </w:tabs>
      <w:ind w:left="1296"/>
    </w:pPr>
  </w:style>
  <w:style w:type="paragraph" w:styleId="BodyTextIndent">
    <w:name w:val="Body Text Indent"/>
    <w:basedOn w:val="Normal"/>
    <w:link w:val="BodyTextIndentChar"/>
    <w:uiPriority w:val="99"/>
    <w:semiHidden/>
    <w:unhideWhenUsed/>
    <w:rsid w:val="00897C0C"/>
    <w:pPr>
      <w:spacing w:after="120"/>
      <w:ind w:left="360"/>
    </w:pPr>
  </w:style>
  <w:style w:type="character" w:customStyle="1" w:styleId="BodyTextIndentChar">
    <w:name w:val="Body Text Indent Char"/>
    <w:basedOn w:val="DefaultParagraphFont"/>
    <w:link w:val="BodyTextIndent"/>
    <w:uiPriority w:val="99"/>
    <w:semiHidden/>
    <w:rsid w:val="00897C0C"/>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897C0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97C0C"/>
    <w:rPr>
      <w:rFonts w:ascii="Times New Roman" w:eastAsia="Times New Roman" w:hAnsi="Times New Roman" w:cs="Times New Roman"/>
      <w:sz w:val="16"/>
      <w:szCs w:val="16"/>
    </w:rPr>
  </w:style>
  <w:style w:type="character" w:customStyle="1" w:styleId="Heading1Char">
    <w:name w:val="Heading 1 Char"/>
    <w:basedOn w:val="DefaultParagraphFont"/>
    <w:link w:val="Heading1"/>
    <w:rsid w:val="00897C0C"/>
    <w:rPr>
      <w:rFonts w:ascii="Times New Roman" w:eastAsia="Times New Roman" w:hAnsi="Times New Roman" w:cs="Times New Roman"/>
      <w:b/>
      <w:sz w:val="24"/>
      <w:szCs w:val="20"/>
    </w:rPr>
  </w:style>
  <w:style w:type="paragraph" w:styleId="Header">
    <w:name w:val="header"/>
    <w:basedOn w:val="Normal"/>
    <w:link w:val="HeaderChar"/>
    <w:uiPriority w:val="99"/>
    <w:unhideWhenUsed/>
    <w:rsid w:val="00897C0C"/>
    <w:pPr>
      <w:tabs>
        <w:tab w:val="center" w:pos="4680"/>
        <w:tab w:val="right" w:pos="9360"/>
      </w:tabs>
    </w:pPr>
  </w:style>
  <w:style w:type="character" w:customStyle="1" w:styleId="HeaderChar">
    <w:name w:val="Header Char"/>
    <w:basedOn w:val="DefaultParagraphFont"/>
    <w:link w:val="Header"/>
    <w:uiPriority w:val="99"/>
    <w:rsid w:val="00897C0C"/>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897C0C"/>
    <w:pPr>
      <w:tabs>
        <w:tab w:val="center" w:pos="4680"/>
        <w:tab w:val="right" w:pos="9360"/>
      </w:tabs>
    </w:pPr>
  </w:style>
  <w:style w:type="character" w:customStyle="1" w:styleId="FooterChar">
    <w:name w:val="Footer Char"/>
    <w:basedOn w:val="DefaultParagraphFont"/>
    <w:link w:val="Footer"/>
    <w:uiPriority w:val="99"/>
    <w:rsid w:val="00897C0C"/>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6D5492"/>
    <w:rPr>
      <w:rFonts w:ascii="Tahoma" w:hAnsi="Tahoma" w:cs="Tahoma"/>
      <w:sz w:val="16"/>
      <w:szCs w:val="16"/>
    </w:rPr>
  </w:style>
  <w:style w:type="character" w:customStyle="1" w:styleId="BalloonTextChar">
    <w:name w:val="Balloon Text Char"/>
    <w:basedOn w:val="DefaultParagraphFont"/>
    <w:link w:val="BalloonText"/>
    <w:uiPriority w:val="99"/>
    <w:semiHidden/>
    <w:rsid w:val="006D5492"/>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6B2539"/>
    <w:rPr>
      <w:sz w:val="16"/>
      <w:szCs w:val="16"/>
    </w:rPr>
  </w:style>
  <w:style w:type="paragraph" w:styleId="CommentText">
    <w:name w:val="annotation text"/>
    <w:basedOn w:val="Normal"/>
    <w:link w:val="CommentTextChar"/>
    <w:uiPriority w:val="99"/>
    <w:semiHidden/>
    <w:unhideWhenUsed/>
    <w:rsid w:val="006B2539"/>
    <w:rPr>
      <w:sz w:val="20"/>
    </w:rPr>
  </w:style>
  <w:style w:type="character" w:customStyle="1" w:styleId="CommentTextChar">
    <w:name w:val="Comment Text Char"/>
    <w:basedOn w:val="DefaultParagraphFont"/>
    <w:link w:val="CommentText"/>
    <w:uiPriority w:val="99"/>
    <w:semiHidden/>
    <w:rsid w:val="006B253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B2539"/>
    <w:rPr>
      <w:b/>
      <w:bCs/>
    </w:rPr>
  </w:style>
  <w:style w:type="character" w:customStyle="1" w:styleId="CommentSubjectChar">
    <w:name w:val="Comment Subject Char"/>
    <w:basedOn w:val="CommentTextChar"/>
    <w:link w:val="CommentSubject"/>
    <w:uiPriority w:val="99"/>
    <w:semiHidden/>
    <w:rsid w:val="006B2539"/>
    <w:rPr>
      <w:rFonts w:ascii="Times New Roman" w:eastAsia="Times New Roman" w:hAnsi="Times New Roman" w:cs="Times New Roman"/>
      <w:b/>
      <w:bCs/>
      <w:sz w:val="20"/>
      <w:szCs w:val="20"/>
    </w:rPr>
  </w:style>
  <w:style w:type="paragraph" w:styleId="ListParagraph">
    <w:name w:val="List Paragraph"/>
    <w:basedOn w:val="Normal"/>
    <w:uiPriority w:val="34"/>
    <w:qFormat/>
    <w:rsid w:val="00AF5130"/>
    <w:pPr>
      <w:spacing w:before="100" w:beforeAutospacing="1" w:after="100" w:afterAutospacing="1"/>
    </w:pPr>
    <w:rPr>
      <w:rFonts w:eastAsiaTheme="minorHAnsi"/>
      <w:szCs w:val="24"/>
      <w:lang w:val="es-BO" w:eastAsia="es-BO"/>
    </w:rPr>
  </w:style>
  <w:style w:type="paragraph" w:styleId="NormalWeb">
    <w:name w:val="Normal (Web)"/>
    <w:basedOn w:val="Normal"/>
    <w:uiPriority w:val="99"/>
    <w:unhideWhenUsed/>
    <w:rsid w:val="00AF5130"/>
    <w:pPr>
      <w:spacing w:before="100" w:beforeAutospacing="1" w:after="100" w:afterAutospacing="1"/>
    </w:pPr>
    <w:rPr>
      <w:rFonts w:eastAsiaTheme="minorHAnsi"/>
      <w:szCs w:val="24"/>
      <w:lang w:val="es-BO" w:eastAsia="es-BO"/>
    </w:rPr>
  </w:style>
  <w:style w:type="paragraph" w:styleId="FootnoteText">
    <w:name w:val="footnote text"/>
    <w:basedOn w:val="Normal"/>
    <w:link w:val="FootnoteTextChar"/>
    <w:uiPriority w:val="99"/>
    <w:semiHidden/>
    <w:unhideWhenUsed/>
    <w:rsid w:val="004B197D"/>
    <w:rPr>
      <w:sz w:val="20"/>
    </w:rPr>
  </w:style>
  <w:style w:type="character" w:customStyle="1" w:styleId="FootnoteTextChar">
    <w:name w:val="Footnote Text Char"/>
    <w:basedOn w:val="DefaultParagraphFont"/>
    <w:link w:val="FootnoteText"/>
    <w:uiPriority w:val="99"/>
    <w:semiHidden/>
    <w:rsid w:val="004B197D"/>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4B197D"/>
    <w:rPr>
      <w:vertAlign w:val="superscript"/>
    </w:rPr>
  </w:style>
  <w:style w:type="paragraph" w:styleId="Revision">
    <w:name w:val="Revision"/>
    <w:hidden/>
    <w:uiPriority w:val="99"/>
    <w:semiHidden/>
    <w:rsid w:val="002F35A8"/>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463169">
      <w:bodyDiv w:val="1"/>
      <w:marLeft w:val="0"/>
      <w:marRight w:val="0"/>
      <w:marTop w:val="0"/>
      <w:marBottom w:val="0"/>
      <w:divBdr>
        <w:top w:val="none" w:sz="0" w:space="0" w:color="auto"/>
        <w:left w:val="none" w:sz="0" w:space="0" w:color="auto"/>
        <w:bottom w:val="none" w:sz="0" w:space="0" w:color="auto"/>
        <w:right w:val="none" w:sz="0" w:space="0" w:color="auto"/>
      </w:divBdr>
    </w:div>
    <w:div w:id="670333691">
      <w:bodyDiv w:val="1"/>
      <w:marLeft w:val="0"/>
      <w:marRight w:val="0"/>
      <w:marTop w:val="0"/>
      <w:marBottom w:val="0"/>
      <w:divBdr>
        <w:top w:val="none" w:sz="0" w:space="0" w:color="auto"/>
        <w:left w:val="none" w:sz="0" w:space="0" w:color="auto"/>
        <w:bottom w:val="none" w:sz="0" w:space="0" w:color="auto"/>
        <w:right w:val="none" w:sz="0" w:space="0" w:color="auto"/>
      </w:divBdr>
    </w:div>
    <w:div w:id="1637298864">
      <w:bodyDiv w:val="1"/>
      <w:marLeft w:val="0"/>
      <w:marRight w:val="0"/>
      <w:marTop w:val="0"/>
      <w:marBottom w:val="0"/>
      <w:divBdr>
        <w:top w:val="none" w:sz="0" w:space="0" w:color="auto"/>
        <w:left w:val="none" w:sz="0" w:space="0" w:color="auto"/>
        <w:bottom w:val="none" w:sz="0" w:space="0" w:color="auto"/>
        <w:right w:val="none" w:sz="0" w:space="0" w:color="auto"/>
      </w:divBdr>
    </w:div>
    <w:div w:id="1957251165">
      <w:bodyDiv w:val="1"/>
      <w:marLeft w:val="0"/>
      <w:marRight w:val="0"/>
      <w:marTop w:val="0"/>
      <w:marBottom w:val="0"/>
      <w:divBdr>
        <w:top w:val="none" w:sz="0" w:space="0" w:color="auto"/>
        <w:left w:val="none" w:sz="0" w:space="0" w:color="auto"/>
        <w:bottom w:val="none" w:sz="0" w:space="0" w:color="auto"/>
        <w:right w:val="none" w:sz="0" w:space="0" w:color="auto"/>
      </w:divBdr>
    </w:div>
    <w:div w:id="2013994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7D1E3062641A30448C1B0821658FEEE5" ma:contentTypeVersion="0" ma:contentTypeDescription="A content type to manage public (operations) IDB documents" ma:contentTypeScope="" ma:versionID="04a1dd173266532d7a283ce50d41c048">
  <xsd:schema xmlns:xsd="http://www.w3.org/2001/XMLSchema" xmlns:xs="http://www.w3.org/2001/XMLSchema" xmlns:p="http://schemas.microsoft.com/office/2006/metadata/properties" xmlns:ns2="9c571b2f-e523-4ab2-ba2e-09e151a03ef4" targetNamespace="http://schemas.microsoft.com/office/2006/metadata/properties" ma:root="true" ma:fieldsID="a2f35d561953e80db1bffc0dcd0e39ba"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1a2346d-6124-4814-a24a-c812c5756eca}" ma:internalName="TaxCatchAll" ma:showField="CatchAllData" ma:web="fe00fc37-500a-4191-8b4e-dc7f460ba6f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1a2346d-6124-4814-a24a-c812c5756eca}" ma:internalName="TaxCatchAllLabel" ma:readOnly="true" ma:showField="CatchAllDataLabel" ma:web="fe00fc37-500a-4191-8b4e-dc7f460ba6f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Record_x0020_Number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IFD/FMM</Division_x0020_or_x0020_Unit>
    <Other_x0020_Author xmlns="9c571b2f-e523-4ab2-ba2e-09e151a03ef4" xsi:nil="true"/>
    <Region xmlns="9c571b2f-e523-4ab2-ba2e-09e151a03ef4" xsi:nil="true"/>
    <IDBDocs_x0020_Number xmlns="9c571b2f-e523-4ab2-ba2e-09e151a03ef4">37772515</IDBDocs_x0020_Number>
    <Document_x0020_Author xmlns="9c571b2f-e523-4ab2-ba2e-09e151a03ef4">Lopez Ghio, Ramiro Andres</Document_x0020_Author>
    <Publication_x0020_Type xmlns="9c571b2f-e523-4ab2-ba2e-09e151a03ef4" xsi:nil="true"/>
    <Operation_x0020_Type xmlns="9c571b2f-e523-4ab2-ba2e-09e151a03ef4" xsi:nil="true"/>
    <TaxCatchAll xmlns="9c571b2f-e523-4ab2-ba2e-09e151a03ef4">
      <Value>6</Value>
      <Value>5</Value>
      <Value>25</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BO-L1081</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Package_x0020_Code xmlns="9c571b2f-e523-4ab2-ba2e-09e151a03ef4" xsi:nil="true"/>
    <Migration_x0020_Info xmlns="9c571b2f-e523-4ab2-ba2e-09e151a03ef4">&lt;Data&gt;&lt;APPLICATION&gt;MS WORD&lt;/APPLICATION&gt;&lt;STAGE_CODE&gt;LP&lt;/STAGE_CODE&gt;&lt;USER_STAGE&gt;Loan Proposal&lt;/USER_STAGE&gt;&lt;PD_OBJ_TYPE&gt;0&lt;/PD_OBJ_TYPE&gt;&lt;MAKERECORD&gt;N&lt;/MAKERECORD&gt;&lt;PD_FILEPT_NO&gt;PO-BO-L1081-Anl&lt;/PD_FILEPT_NO&gt;&lt;PD_FILE_PART&gt;118968045&lt;/PD_FILE_PART&gt;&lt;/Data&gt;</Migration_x0020_Info>
    <Approval_x0020_Number xmlns="9c571b2f-e523-4ab2-ba2e-09e151a03ef4" xsi:nil="true"/>
    <Access_x0020_to_x0020_Information_x00a0_Policy xmlns="9c571b2f-e523-4ab2-ba2e-09e151a03ef4">Confidential</Access_x0020_to_x0020_Information_x00a0_Policy>
    <Business_x0020_Area xmlns="9c571b2f-e523-4ab2-ba2e-09e151a03ef4" xsi:nil="true"/>
    <SISCOR_x0020_Number xmlns="9c571b2f-e523-4ab2-ba2e-09e151a03ef4" xsi:nil="true"/>
    <Webtopic xmlns="9c571b2f-e523-4ab2-ba2e-09e151a03ef4">Financial Sector Development;Fiscal Issues and Public Finance;Finance</Webtopic>
    <Identifier xmlns="9c571b2f-e523-4ab2-ba2e-09e151a03ef4"> TECFILE</Identifier>
    <Publishing_x0020_House xmlns="9c571b2f-e523-4ab2-ba2e-09e151a03ef4" xsi:nil="true"/>
    <Disclosed xmlns="9c571b2f-e523-4ab2-ba2e-09e151a03ef4">false</Disclosed>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j8b96605ee2f4c4e988849e658583fee>
  </documentManagement>
</p:properties>
</file>

<file path=customXml/itemProps1.xml><?xml version="1.0" encoding="utf-8"?>
<ds:datastoreItem xmlns:ds="http://schemas.openxmlformats.org/officeDocument/2006/customXml" ds:itemID="{1601BFD9-8DC6-4154-9878-458A2D5FA1E3}"/>
</file>

<file path=customXml/itemProps2.xml><?xml version="1.0" encoding="utf-8"?>
<ds:datastoreItem xmlns:ds="http://schemas.openxmlformats.org/officeDocument/2006/customXml" ds:itemID="{7D260FD1-638F-405F-96C1-EE8689385DDA}"/>
</file>

<file path=customXml/itemProps3.xml><?xml version="1.0" encoding="utf-8"?>
<ds:datastoreItem xmlns:ds="http://schemas.openxmlformats.org/officeDocument/2006/customXml" ds:itemID="{02DE11A3-0E8B-4D85-A5C7-D20AF5EB4083}"/>
</file>

<file path=customXml/itemProps4.xml><?xml version="1.0" encoding="utf-8"?>
<ds:datastoreItem xmlns:ds="http://schemas.openxmlformats.org/officeDocument/2006/customXml" ds:itemID="{9E7C84C5-B1F5-4FEE-8CCF-747B5B10CDE1}"/>
</file>

<file path=customXml/itemProps5.xml><?xml version="1.0" encoding="utf-8"?>
<ds:datastoreItem xmlns:ds="http://schemas.openxmlformats.org/officeDocument/2006/customXml" ds:itemID="{D7A97EBC-38BF-4FA9-9F9C-436794BA113A}"/>
</file>

<file path=customXml/itemProps6.xml><?xml version="1.0" encoding="utf-8"?>
<ds:datastoreItem xmlns:ds="http://schemas.openxmlformats.org/officeDocument/2006/customXml" ds:itemID="{8F250038-EAC6-48A1-94E7-CF8F97FFC7C6}"/>
</file>

<file path=docProps/app.xml><?xml version="1.0" encoding="utf-8"?>
<Properties xmlns="http://schemas.openxmlformats.org/officeDocument/2006/extended-properties" xmlns:vt="http://schemas.openxmlformats.org/officeDocument/2006/docPropsVTypes">
  <Template>Normal.dotm</Template>
  <TotalTime>2</TotalTime>
  <Pages>5</Pages>
  <Words>2007</Words>
  <Characters>11442</Characters>
  <Application>Microsoft Office Word</Application>
  <DocSecurity>0</DocSecurity>
  <Lines>95</Lines>
  <Paragraphs>26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13423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Matriz de Medios de Verificación (BR-L1081)</dc:title>
  <dc:creator>Valeria Wedolowski</dc:creator>
  <cp:lastModifiedBy>Test</cp:lastModifiedBy>
  <cp:revision>5</cp:revision>
  <cp:lastPrinted>2013-03-20T21:43:00Z</cp:lastPrinted>
  <dcterms:created xsi:type="dcterms:W3CDTF">2013-06-05T13:52:00Z</dcterms:created>
  <dcterms:modified xsi:type="dcterms:W3CDTF">2013-06-05T13:54:00Z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0x01010046CF21643EE8D14686A648AA6DAD0892007D1E3062641A30448C1B0821658FEEE5</vt:lpwstr>
  </property>
  <property fmtid="{D5CDD505-2E9C-101B-9397-08002B2CF9AE}" pid="5" name="TaxKeywordTaxHTField">
    <vt:lpwstr/>
  </property>
  <property fmtid="{D5CDD505-2E9C-101B-9397-08002B2CF9AE}" pid="6" name="Series Operations IDB">
    <vt:lpwstr>5;#Loan Proposal|6ee86b6f-6e46-485b-8bfb-87a1f44622ac</vt:lpwstr>
  </property>
  <property fmtid="{D5CDD505-2E9C-101B-9397-08002B2CF9AE}" pid="7" name="Sub-Sector">
    <vt:lpwstr/>
  </property>
  <property fmtid="{D5CDD505-2E9C-101B-9397-08002B2CF9AE}" pid="8" name="Country">
    <vt:lpwstr>25;#Bolivia|6445a937-aea4-4907-9f24-bff96a7c61c8</vt:lpwstr>
  </property>
  <property fmtid="{D5CDD505-2E9C-101B-9397-08002B2CF9AE}" pid="9" name="Fund IDB">
    <vt:lpwstr/>
  </property>
  <property fmtid="{D5CDD505-2E9C-101B-9397-08002B2CF9AE}" pid="10" name="Series_x0020_Operations_x0020_IDB">
    <vt:lpwstr>5;#Loan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6;#Project Preparation, Planning and Design|29ca0c72-1fc4-435f-a09c-28585cb5eac9</vt:lpwstr>
  </property>
</Properties>
</file>