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57EA1" w14:textId="77777777" w:rsidR="001C1B52" w:rsidRDefault="001C1B52" w:rsidP="00C300A1">
      <w:pPr>
        <w:spacing w:after="0"/>
        <w:jc w:val="center"/>
        <w:rPr>
          <w:rFonts w:ascii="Arial" w:hAnsi="Arial" w:cs="Arial"/>
          <w:b/>
          <w:lang w:val="es-HN"/>
        </w:rPr>
      </w:pPr>
    </w:p>
    <w:p w14:paraId="5C4F2EAE" w14:textId="63D327E0" w:rsidR="00A14A3C" w:rsidRPr="00B40112" w:rsidRDefault="002C5F54" w:rsidP="00B40112">
      <w:pPr>
        <w:jc w:val="center"/>
        <w:rPr>
          <w:rFonts w:ascii="Arial" w:hAnsi="Arial" w:cs="Arial"/>
          <w:b/>
          <w:lang w:val="es-HN"/>
        </w:rPr>
      </w:pPr>
      <w:r>
        <w:rPr>
          <w:rFonts w:ascii="Arial" w:hAnsi="Arial" w:cs="Arial"/>
          <w:b/>
          <w:lang w:val="es-HN"/>
        </w:rPr>
        <w:t>Matriz de Medios de Verificación</w:t>
      </w:r>
    </w:p>
    <w:tbl>
      <w:tblPr>
        <w:tblStyle w:val="TableGrid"/>
        <w:tblW w:w="13576" w:type="dxa"/>
        <w:jc w:val="center"/>
        <w:tblLook w:val="04A0" w:firstRow="1" w:lastRow="0" w:firstColumn="1" w:lastColumn="0" w:noHBand="0" w:noVBand="1"/>
      </w:tblPr>
      <w:tblGrid>
        <w:gridCol w:w="2317"/>
        <w:gridCol w:w="4023"/>
        <w:gridCol w:w="3904"/>
        <w:gridCol w:w="3332"/>
      </w:tblGrid>
      <w:tr w:rsidR="004060B6" w:rsidRPr="00345418" w14:paraId="1B923706" w14:textId="77777777" w:rsidTr="00A14A3C">
        <w:trPr>
          <w:tblHeader/>
          <w:jc w:val="center"/>
        </w:trPr>
        <w:tc>
          <w:tcPr>
            <w:tcW w:w="2317" w:type="dxa"/>
            <w:shd w:val="clear" w:color="auto" w:fill="C6D9F1" w:themeFill="text2" w:themeFillTint="33"/>
            <w:vAlign w:val="center"/>
          </w:tcPr>
          <w:p w14:paraId="436F1122" w14:textId="77777777" w:rsidR="004060B6" w:rsidRPr="00345418" w:rsidRDefault="004060B6" w:rsidP="001C1B52">
            <w:pPr>
              <w:jc w:val="center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HN"/>
              </w:rPr>
              <w:t>Componente y Objetivo especifico</w:t>
            </w:r>
          </w:p>
        </w:tc>
        <w:tc>
          <w:tcPr>
            <w:tcW w:w="4023" w:type="dxa"/>
            <w:shd w:val="clear" w:color="auto" w:fill="C6D9F1" w:themeFill="text2" w:themeFillTint="33"/>
            <w:vAlign w:val="center"/>
          </w:tcPr>
          <w:p w14:paraId="16F11621" w14:textId="77777777" w:rsidR="004060B6" w:rsidRPr="00345418" w:rsidRDefault="004060B6" w:rsidP="001C1B52">
            <w:pPr>
              <w:jc w:val="center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HN"/>
              </w:rPr>
              <w:t>Condiciones de política Programático I (2017)</w:t>
            </w:r>
          </w:p>
        </w:tc>
        <w:tc>
          <w:tcPr>
            <w:tcW w:w="3904" w:type="dxa"/>
            <w:shd w:val="clear" w:color="auto" w:fill="C6D9F1" w:themeFill="text2" w:themeFillTint="33"/>
            <w:vAlign w:val="center"/>
          </w:tcPr>
          <w:p w14:paraId="39EA9C1F" w14:textId="77777777" w:rsidR="004060B6" w:rsidRPr="00345418" w:rsidRDefault="004060B6" w:rsidP="00A00B5B">
            <w:pPr>
              <w:jc w:val="center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HN"/>
              </w:rPr>
              <w:t>Medio de Verificación</w:t>
            </w:r>
          </w:p>
        </w:tc>
        <w:tc>
          <w:tcPr>
            <w:tcW w:w="3332" w:type="dxa"/>
            <w:shd w:val="clear" w:color="auto" w:fill="C6D9F1" w:themeFill="text2" w:themeFillTint="33"/>
            <w:vAlign w:val="center"/>
          </w:tcPr>
          <w:p w14:paraId="78742A93" w14:textId="77777777" w:rsidR="004060B6" w:rsidRPr="00345418" w:rsidRDefault="004060B6" w:rsidP="00A00B5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HN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HN"/>
              </w:rPr>
              <w:t>Entidad Responsable</w:t>
            </w:r>
          </w:p>
        </w:tc>
      </w:tr>
      <w:tr w:rsidR="00A14A3C" w:rsidRPr="00A14A3C" w14:paraId="4063DEF3" w14:textId="77777777" w:rsidTr="00A14A3C">
        <w:trPr>
          <w:jc w:val="center"/>
        </w:trPr>
        <w:tc>
          <w:tcPr>
            <w:tcW w:w="13576" w:type="dxa"/>
            <w:gridSpan w:val="4"/>
            <w:shd w:val="clear" w:color="auto" w:fill="D9D9D9" w:themeFill="background1" w:themeFillShade="D9"/>
            <w:vAlign w:val="center"/>
          </w:tcPr>
          <w:p w14:paraId="47270E7E" w14:textId="795F48A1" w:rsidR="00A14A3C" w:rsidRPr="00A14A3C" w:rsidRDefault="00A14A3C" w:rsidP="00A14A3C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A14A3C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 1. Marco macroeconómico</w:t>
            </w:r>
          </w:p>
        </w:tc>
      </w:tr>
      <w:tr w:rsidR="004060B6" w:rsidRPr="00630998" w14:paraId="17C1F413" w14:textId="77777777" w:rsidTr="00D60A61">
        <w:trPr>
          <w:jc w:val="center"/>
        </w:trPr>
        <w:tc>
          <w:tcPr>
            <w:tcW w:w="2317" w:type="dxa"/>
            <w:shd w:val="clear" w:color="auto" w:fill="FFFFFF" w:themeFill="background1"/>
          </w:tcPr>
          <w:p w14:paraId="5355B121" w14:textId="10702584" w:rsidR="004060B6" w:rsidRPr="00345418" w:rsidRDefault="00A14A3C" w:rsidP="00511043">
            <w:pPr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1.1. </w:t>
            </w:r>
            <w:r w:rsidRPr="00F34C2F">
              <w:rPr>
                <w:rFonts w:ascii="Arial" w:hAnsi="Arial" w:cs="Arial"/>
                <w:sz w:val="20"/>
                <w:szCs w:val="20"/>
                <w:lang w:val="es-ES_tradnl"/>
              </w:rPr>
              <w:t>Estabilidad del Marco General de Políticas Macroeconómicas.</w:t>
            </w:r>
          </w:p>
        </w:tc>
        <w:tc>
          <w:tcPr>
            <w:tcW w:w="4023" w:type="dxa"/>
            <w:shd w:val="clear" w:color="auto" w:fill="FFFFFF" w:themeFill="background1"/>
          </w:tcPr>
          <w:p w14:paraId="19791190" w14:textId="01FE685E" w:rsidR="004060B6" w:rsidRPr="00345418" w:rsidRDefault="00A14A3C" w:rsidP="00511043">
            <w:pPr>
              <w:spacing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HN"/>
              </w:rPr>
              <w:t>1.1</w:t>
            </w:r>
            <w:r w:rsidR="00787A36">
              <w:rPr>
                <w:rFonts w:ascii="Arial" w:hAnsi="Arial" w:cs="Arial"/>
                <w:sz w:val="20"/>
                <w:szCs w:val="20"/>
                <w:lang w:val="es-HN"/>
              </w:rPr>
              <w:t>.1</w:t>
            </w:r>
            <w:r>
              <w:rPr>
                <w:rFonts w:ascii="Arial" w:hAnsi="Arial" w:cs="Arial"/>
                <w:sz w:val="20"/>
                <w:szCs w:val="20"/>
                <w:lang w:val="es-HN"/>
              </w:rPr>
              <w:t>.</w:t>
            </w:r>
            <w:r w:rsidR="004060B6" w:rsidRPr="00345418">
              <w:rPr>
                <w:rFonts w:ascii="Arial" w:hAnsi="Arial" w:cs="Arial"/>
                <w:sz w:val="20"/>
                <w:szCs w:val="20"/>
                <w:lang w:val="es-HN"/>
              </w:rPr>
              <w:t xml:space="preserve"> </w:t>
            </w:r>
            <w:r w:rsidR="00787A36">
              <w:rPr>
                <w:rFonts w:ascii="Arial" w:hAnsi="Arial" w:cs="Arial"/>
                <w:sz w:val="20"/>
                <w:szCs w:val="20"/>
                <w:lang w:val="es-HN"/>
              </w:rPr>
              <w:t>M</w:t>
            </w:r>
            <w:r w:rsidR="004060B6" w:rsidRPr="00345418">
              <w:rPr>
                <w:rFonts w:ascii="Arial" w:hAnsi="Arial" w:cs="Arial"/>
                <w:sz w:val="20"/>
                <w:szCs w:val="20"/>
                <w:lang w:val="es-HN"/>
              </w:rPr>
              <w:t xml:space="preserve">arco macroeconómico estable y conducente al logro de los objetivos del programa y los lineamientos establecidos en la Carta de Política </w:t>
            </w:r>
            <w:r w:rsidR="00323A86" w:rsidRPr="00345418">
              <w:rPr>
                <w:rFonts w:ascii="Arial" w:hAnsi="Arial" w:cs="Arial"/>
                <w:sz w:val="20"/>
                <w:szCs w:val="20"/>
                <w:lang w:val="es-HN"/>
              </w:rPr>
              <w:t>Sectorial</w:t>
            </w:r>
            <w:r w:rsidR="00F01DDA" w:rsidRPr="009A1C06">
              <w:rPr>
                <w:rFonts w:ascii="Arial" w:hAnsi="Arial" w:cs="Arial"/>
                <w:lang w:val="es-ES_tradnl"/>
              </w:rPr>
              <w:t xml:space="preserve"> y en lo establecido en la matriz de pol</w:t>
            </w:r>
            <w:r w:rsidR="00F01DDA">
              <w:rPr>
                <w:rFonts w:ascii="Arial" w:hAnsi="Arial" w:cs="Arial"/>
                <w:lang w:val="es-ES_tradnl"/>
              </w:rPr>
              <w:t>í</w:t>
            </w:r>
            <w:r w:rsidR="00F01DDA" w:rsidRPr="009A1C06">
              <w:rPr>
                <w:rFonts w:ascii="Arial" w:hAnsi="Arial" w:cs="Arial"/>
                <w:lang w:val="es-ES_tradnl"/>
              </w:rPr>
              <w:t>ticas (Anexo II)</w:t>
            </w:r>
            <w:r w:rsidR="004060B6" w:rsidRPr="00345418">
              <w:rPr>
                <w:rFonts w:ascii="Arial" w:hAnsi="Arial" w:cs="Arial"/>
                <w:sz w:val="20"/>
                <w:szCs w:val="20"/>
                <w:lang w:val="es-HN"/>
              </w:rPr>
              <w:t>.</w:t>
            </w:r>
          </w:p>
        </w:tc>
        <w:tc>
          <w:tcPr>
            <w:tcW w:w="3904" w:type="dxa"/>
            <w:shd w:val="clear" w:color="auto" w:fill="FFFFFF" w:themeFill="background1"/>
          </w:tcPr>
          <w:p w14:paraId="54A37B3B" w14:textId="4790FA95" w:rsidR="004060B6" w:rsidRPr="00345418" w:rsidRDefault="00787A36" w:rsidP="00511043">
            <w:pPr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HN"/>
              </w:rPr>
              <w:t>1.1.1</w:t>
            </w:r>
            <w:r w:rsidR="00A14A3C">
              <w:rPr>
                <w:rFonts w:ascii="Arial" w:hAnsi="Arial" w:cs="Arial"/>
                <w:sz w:val="20"/>
                <w:szCs w:val="20"/>
                <w:lang w:val="es-HN"/>
              </w:rPr>
              <w:t>.</w:t>
            </w:r>
            <w:r w:rsidR="004060B6" w:rsidRPr="00345418">
              <w:rPr>
                <w:rFonts w:ascii="Arial" w:hAnsi="Arial" w:cs="Arial"/>
                <w:sz w:val="20"/>
                <w:szCs w:val="20"/>
                <w:lang w:val="es-DO"/>
              </w:rPr>
              <w:t xml:space="preserve"> Evaluación Independiente de Condiciones Macroeconómicas (IAMC, por su</w:t>
            </w:r>
            <w:r w:rsidR="00861090" w:rsidRPr="00345418">
              <w:rPr>
                <w:rFonts w:ascii="Arial" w:hAnsi="Arial" w:cs="Arial"/>
                <w:sz w:val="20"/>
                <w:szCs w:val="20"/>
                <w:lang w:val="es-DO"/>
              </w:rPr>
              <w:t xml:space="preserve">s </w:t>
            </w:r>
            <w:r w:rsidR="004060B6" w:rsidRPr="00345418">
              <w:rPr>
                <w:rFonts w:ascii="Arial" w:hAnsi="Arial" w:cs="Arial"/>
                <w:sz w:val="20"/>
                <w:szCs w:val="20"/>
                <w:lang w:val="es-DO"/>
              </w:rPr>
              <w:t>siglas en inglés) vigente al momento del desembolso.</w:t>
            </w:r>
          </w:p>
        </w:tc>
        <w:tc>
          <w:tcPr>
            <w:tcW w:w="3332" w:type="dxa"/>
            <w:shd w:val="clear" w:color="auto" w:fill="FFFFFF" w:themeFill="background1"/>
          </w:tcPr>
          <w:p w14:paraId="1EBB6FEF" w14:textId="24B5610A" w:rsidR="004060B6" w:rsidRPr="00345418" w:rsidRDefault="00A9794D" w:rsidP="00A00B5B">
            <w:pPr>
              <w:jc w:val="both"/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HN"/>
              </w:rPr>
              <w:t>BID – Secretaría de Finanzas (</w:t>
            </w:r>
            <w:r w:rsidR="004060B6" w:rsidRPr="00345418">
              <w:rPr>
                <w:rFonts w:ascii="Arial" w:hAnsi="Arial" w:cs="Arial"/>
                <w:sz w:val="20"/>
                <w:szCs w:val="20"/>
                <w:lang w:val="es-HN"/>
              </w:rPr>
              <w:t>SEFIN</w:t>
            </w:r>
            <w:r>
              <w:rPr>
                <w:rFonts w:ascii="Arial" w:hAnsi="Arial" w:cs="Arial"/>
                <w:sz w:val="20"/>
                <w:szCs w:val="20"/>
                <w:lang w:val="es-HN"/>
              </w:rPr>
              <w:t>).</w:t>
            </w:r>
          </w:p>
        </w:tc>
      </w:tr>
      <w:tr w:rsidR="00A14A3C" w:rsidRPr="00630998" w14:paraId="1C016B35" w14:textId="77777777" w:rsidTr="00A14A3C">
        <w:trPr>
          <w:jc w:val="center"/>
        </w:trPr>
        <w:tc>
          <w:tcPr>
            <w:tcW w:w="13576" w:type="dxa"/>
            <w:gridSpan w:val="4"/>
            <w:shd w:val="clear" w:color="auto" w:fill="D9D9D9" w:themeFill="background1" w:themeFillShade="D9"/>
          </w:tcPr>
          <w:p w14:paraId="30739AA2" w14:textId="77777777" w:rsidR="00A14A3C" w:rsidRPr="00345418" w:rsidRDefault="00A14A3C" w:rsidP="00A14A3C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 2. Sostenibilidad financiera y eficiencia en la protección social redistributiva.</w:t>
            </w:r>
          </w:p>
          <w:p w14:paraId="28E60959" w14:textId="77777777" w:rsidR="00A14A3C" w:rsidRPr="00345418" w:rsidRDefault="00A14A3C" w:rsidP="00A00B5B">
            <w:pPr>
              <w:jc w:val="both"/>
              <w:rPr>
                <w:rFonts w:ascii="Arial" w:hAnsi="Arial" w:cs="Arial"/>
                <w:sz w:val="20"/>
                <w:szCs w:val="20"/>
                <w:lang w:val="es-HN"/>
              </w:rPr>
            </w:pPr>
          </w:p>
        </w:tc>
      </w:tr>
      <w:tr w:rsidR="00A14A3C" w:rsidRPr="00630998" w14:paraId="68B63EF1" w14:textId="77777777" w:rsidTr="00A14A3C">
        <w:trPr>
          <w:trHeight w:val="1718"/>
          <w:jc w:val="center"/>
        </w:trPr>
        <w:tc>
          <w:tcPr>
            <w:tcW w:w="2317" w:type="dxa"/>
            <w:vMerge w:val="restart"/>
            <w:shd w:val="clear" w:color="auto" w:fill="FFFFFF" w:themeFill="background1"/>
          </w:tcPr>
          <w:p w14:paraId="16462DFC" w14:textId="60EB9980" w:rsidR="00A14A3C" w:rsidRPr="00E35811" w:rsidRDefault="00A14A3C" w:rsidP="00A14A3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2.1. Fortalecer la sostenibilidad financiera del </w:t>
            </w:r>
            <w:r w:rsidR="00C300A1" w:rsidRPr="00E35811"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rograma Bono Vida Mejor.</w:t>
            </w:r>
          </w:p>
        </w:tc>
        <w:tc>
          <w:tcPr>
            <w:tcW w:w="4023" w:type="dxa"/>
            <w:shd w:val="clear" w:color="auto" w:fill="FFFFFF" w:themeFill="background1"/>
          </w:tcPr>
          <w:p w14:paraId="1D5ECB4E" w14:textId="6342C0D4" w:rsidR="00A14A3C" w:rsidRPr="00E35811" w:rsidRDefault="001C2FC7" w:rsidP="00A14A3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2.1.1. Asignación por parte del </w:t>
            </w:r>
            <w:proofErr w:type="gramStart"/>
            <w:r w:rsidR="00956C13">
              <w:rPr>
                <w:rFonts w:ascii="Arial" w:hAnsi="Arial" w:cs="Arial"/>
                <w:sz w:val="20"/>
                <w:szCs w:val="20"/>
                <w:lang w:val="es-ES_tradnl"/>
              </w:rPr>
              <w:t>Presidente</w:t>
            </w:r>
            <w:proofErr w:type="gramEnd"/>
            <w:r w:rsidR="00956C1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la República y de la Secretaría de Coordinación General de Gobierno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de un mínimo de 10% del Fondo de Solidaridad y Protección Social para la Reducción de la Pobreza para el financiamiento del </w:t>
            </w:r>
            <w:r w:rsidR="00C300A1" w:rsidRPr="00E35811"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rograma Bono Vida Mejor.</w:t>
            </w:r>
          </w:p>
        </w:tc>
        <w:tc>
          <w:tcPr>
            <w:tcW w:w="3904" w:type="dxa"/>
            <w:shd w:val="clear" w:color="auto" w:fill="FFFFFF" w:themeFill="background1"/>
          </w:tcPr>
          <w:p w14:paraId="58AA2FFF" w14:textId="78F15D62" w:rsidR="00A14A3C" w:rsidRPr="00E35811" w:rsidRDefault="00A14A3C" w:rsidP="00A14A3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2.1.1. Decreto Ejecutivo publicado en Diario Oficial “La Gaceta” asignando un </w:t>
            </w:r>
            <w:r w:rsidR="000926DA"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mínimo 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10% del Fondo de Solidaridad y Protección Social para la Reducción de la Pobreza para </w:t>
            </w:r>
            <w:bookmarkStart w:id="0" w:name="_GoBack"/>
            <w:bookmarkEnd w:id="0"/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el financiamiento del Bono Vida Mejor.</w:t>
            </w:r>
          </w:p>
        </w:tc>
        <w:tc>
          <w:tcPr>
            <w:tcW w:w="3332" w:type="dxa"/>
            <w:shd w:val="clear" w:color="auto" w:fill="FFFFFF" w:themeFill="background1"/>
          </w:tcPr>
          <w:p w14:paraId="1400407A" w14:textId="34BC2406" w:rsidR="00A14A3C" w:rsidRPr="00E35811" w:rsidRDefault="00A9794D" w:rsidP="00A14A3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Secretaría de Coordinación General de Gobierno (SCGG)</w:t>
            </w:r>
          </w:p>
        </w:tc>
      </w:tr>
      <w:tr w:rsidR="00A9794D" w:rsidRPr="00630998" w14:paraId="0B47DA29" w14:textId="77777777" w:rsidTr="000926DA">
        <w:trPr>
          <w:trHeight w:val="611"/>
          <w:jc w:val="center"/>
        </w:trPr>
        <w:tc>
          <w:tcPr>
            <w:tcW w:w="2317" w:type="dxa"/>
            <w:vMerge/>
            <w:shd w:val="clear" w:color="auto" w:fill="FFFFFF" w:themeFill="background1"/>
          </w:tcPr>
          <w:p w14:paraId="7E139889" w14:textId="77777777" w:rsidR="00A9794D" w:rsidRPr="00E35811" w:rsidRDefault="00A9794D" w:rsidP="00A9794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023" w:type="dxa"/>
            <w:shd w:val="clear" w:color="auto" w:fill="FFFFFF" w:themeFill="background1"/>
          </w:tcPr>
          <w:p w14:paraId="50CFC272" w14:textId="18DB39F8" w:rsidR="00A9794D" w:rsidRPr="00E35811" w:rsidRDefault="001C2FC7" w:rsidP="00A9794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2.1.2. Aprobación</w:t>
            </w:r>
            <w:r w:rsidR="00956C1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por parte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del Comité Técnico del Fondo de Solidaridad y Protección Social para la Reducción de la Pobreza</w:t>
            </w:r>
            <w:r w:rsidR="00956C1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del manual operativo con los lineamientos </w:t>
            </w:r>
            <w:r w:rsidR="00D91888">
              <w:rPr>
                <w:rFonts w:ascii="Arial" w:hAnsi="Arial" w:cs="Arial"/>
                <w:sz w:val="20"/>
                <w:szCs w:val="20"/>
                <w:lang w:val="es-ES_tradnl"/>
              </w:rPr>
              <w:t>para su</w:t>
            </w:r>
            <w:r w:rsidR="00956C1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funcionamiento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904" w:type="dxa"/>
            <w:shd w:val="clear" w:color="auto" w:fill="FFFFFF" w:themeFill="background1"/>
          </w:tcPr>
          <w:p w14:paraId="4D6360DC" w14:textId="2D4BA561" w:rsidR="00A9794D" w:rsidRPr="00E35811" w:rsidRDefault="00A9794D" w:rsidP="00A9794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2.1.2. Acta del Comité Técnico del Fondo de Solidaridad y Protección Social para la Reducción de la Pobreza conteniendo el manual operativo con los lineamientos para su funcionamiento.</w:t>
            </w:r>
          </w:p>
        </w:tc>
        <w:tc>
          <w:tcPr>
            <w:tcW w:w="3332" w:type="dxa"/>
            <w:shd w:val="clear" w:color="auto" w:fill="FFFFFF" w:themeFill="background1"/>
          </w:tcPr>
          <w:p w14:paraId="7887C2C4" w14:textId="05583E11" w:rsidR="00A9794D" w:rsidRPr="00E35811" w:rsidRDefault="00956C13" w:rsidP="00A9794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Desarrollo e Inclusión Social</w:t>
            </w:r>
            <w:r w:rsidR="00A9794D"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SEDIS</w:t>
            </w:r>
            <w:r w:rsidR="00A9794D" w:rsidRPr="00E35811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</w:tr>
      <w:tr w:rsidR="00D66EE3" w:rsidRPr="00630998" w14:paraId="55851329" w14:textId="77777777" w:rsidTr="00A14A3C">
        <w:trPr>
          <w:trHeight w:val="3041"/>
          <w:jc w:val="center"/>
        </w:trPr>
        <w:tc>
          <w:tcPr>
            <w:tcW w:w="2317" w:type="dxa"/>
            <w:shd w:val="clear" w:color="auto" w:fill="FFFFFF" w:themeFill="background1"/>
          </w:tcPr>
          <w:p w14:paraId="04115997" w14:textId="5ABDC4C0" w:rsidR="00D66EE3" w:rsidRPr="00E35811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HN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2.2. Unificar los dominios urbano y rural del </w:t>
            </w:r>
            <w:r w:rsidR="00C300A1" w:rsidRPr="00E35811"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rograma Bono Vida Mejor para facilitar su gestión operativa.</w:t>
            </w:r>
            <w:r w:rsidRPr="00E35811" w:rsidDel="00DF4F50">
              <w:rPr>
                <w:rFonts w:ascii="Arial" w:hAnsi="Arial" w:cs="Arial"/>
                <w:b/>
                <w:sz w:val="20"/>
                <w:szCs w:val="20"/>
                <w:lang w:val="es-HN"/>
              </w:rPr>
              <w:t xml:space="preserve"> </w:t>
            </w:r>
          </w:p>
          <w:p w14:paraId="55E137D3" w14:textId="77777777" w:rsidR="00D66EE3" w:rsidRPr="00E35811" w:rsidRDefault="00D66EE3" w:rsidP="00D66EE3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023" w:type="dxa"/>
            <w:shd w:val="clear" w:color="auto" w:fill="FFFFFF" w:themeFill="background1"/>
          </w:tcPr>
          <w:p w14:paraId="7A81C9CE" w14:textId="2551CB59" w:rsidR="001C2FC7" w:rsidRPr="00E35811" w:rsidRDefault="001C2FC7" w:rsidP="001C2FC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2.2.1. Aprobación de </w:t>
            </w:r>
            <w:r w:rsidR="00956C13">
              <w:rPr>
                <w:rFonts w:ascii="Arial" w:hAnsi="Arial" w:cs="Arial"/>
                <w:sz w:val="20"/>
                <w:szCs w:val="20"/>
                <w:lang w:val="es-ES_tradnl"/>
              </w:rPr>
              <w:t>lineamientos generales</w:t>
            </w:r>
            <w:r w:rsidR="00956C13"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para la unificación de los dominios urbano y rural del </w:t>
            </w:r>
            <w:r w:rsidR="00C300A1" w:rsidRPr="00E35811"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rograma Bono Vida Mejor, incluyendo:</w:t>
            </w:r>
          </w:p>
          <w:p w14:paraId="6027CA7C" w14:textId="4DF2DF83" w:rsidR="001C2FC7" w:rsidRPr="00E35811" w:rsidRDefault="001C2FC7" w:rsidP="00C300A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- </w:t>
            </w:r>
            <w:r w:rsidR="00956C13">
              <w:rPr>
                <w:rFonts w:ascii="Arial" w:hAnsi="Arial" w:cs="Arial"/>
                <w:sz w:val="20"/>
                <w:szCs w:val="20"/>
                <w:lang w:val="es-ES_tradnl"/>
              </w:rPr>
              <w:t>El proceso unificado de emisión de planillas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718FF18D" w14:textId="797577AF" w:rsidR="001C2FC7" w:rsidRPr="00E35811" w:rsidRDefault="001C2FC7" w:rsidP="00C300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- </w:t>
            </w:r>
            <w:r w:rsidR="00956C13">
              <w:rPr>
                <w:rFonts w:ascii="Arial" w:hAnsi="Arial" w:cs="Arial"/>
                <w:sz w:val="20"/>
                <w:szCs w:val="20"/>
                <w:lang w:val="es-ES_tradnl"/>
              </w:rPr>
              <w:t>Proceso unificado de convocatorias y entrega de Transferencias Monetarias Condicionadas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</w:p>
          <w:p w14:paraId="3C277BA9" w14:textId="34147180" w:rsidR="00D66EE3" w:rsidRPr="00E35811" w:rsidRDefault="001C2FC7" w:rsidP="001C2FC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- </w:t>
            </w:r>
            <w:r w:rsidR="00956C13">
              <w:rPr>
                <w:rFonts w:ascii="Arial" w:hAnsi="Arial" w:cs="Arial"/>
                <w:sz w:val="20"/>
                <w:szCs w:val="20"/>
                <w:lang w:val="es-ES_tradnl"/>
              </w:rPr>
              <w:t>Proceso de seguimiento y registro de corresponsabilidades en el componente de educación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904" w:type="dxa"/>
            <w:shd w:val="clear" w:color="auto" w:fill="FFFFFF" w:themeFill="background1"/>
          </w:tcPr>
          <w:p w14:paraId="51BFCC59" w14:textId="0F53114C" w:rsidR="00D66EE3" w:rsidRPr="00E35811" w:rsidRDefault="00D66EE3" w:rsidP="00C300A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2.2.1. Acta del Comité Técnico del </w:t>
            </w:r>
            <w:r w:rsidR="00C300A1" w:rsidRPr="00E35811"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rograma Bono Vida Mejor con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>teniendo las instrucciones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para la unificación de los dominios urbano y rural del </w:t>
            </w:r>
            <w:r w:rsidR="00C300A1" w:rsidRPr="00E35811"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rograma Bono Vida Mejor.</w:t>
            </w:r>
          </w:p>
        </w:tc>
        <w:tc>
          <w:tcPr>
            <w:tcW w:w="3332" w:type="dxa"/>
            <w:shd w:val="clear" w:color="auto" w:fill="FFFFFF" w:themeFill="background1"/>
          </w:tcPr>
          <w:p w14:paraId="65773230" w14:textId="5B6F1828" w:rsidR="00D66EE3" w:rsidRPr="00E35811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Secretaría de Desarrollo e Inclusión Social (SEDIS).</w:t>
            </w:r>
          </w:p>
          <w:p w14:paraId="460F56E3" w14:textId="77777777" w:rsidR="00D66EE3" w:rsidRPr="00E35811" w:rsidRDefault="00D66EE3" w:rsidP="00D66EE3">
            <w:pPr>
              <w:jc w:val="both"/>
              <w:rPr>
                <w:rFonts w:ascii="Arial" w:hAnsi="Arial" w:cs="Arial"/>
                <w:sz w:val="20"/>
                <w:szCs w:val="20"/>
                <w:lang w:val="es-HN"/>
              </w:rPr>
            </w:pPr>
          </w:p>
        </w:tc>
      </w:tr>
      <w:tr w:rsidR="00D66EE3" w:rsidRPr="00630998" w14:paraId="5AB07F97" w14:textId="77777777" w:rsidTr="004E0C4A">
        <w:trPr>
          <w:trHeight w:val="1691"/>
          <w:jc w:val="center"/>
        </w:trPr>
        <w:tc>
          <w:tcPr>
            <w:tcW w:w="2317" w:type="dxa"/>
            <w:shd w:val="clear" w:color="auto" w:fill="FFFFFF" w:themeFill="background1"/>
          </w:tcPr>
          <w:p w14:paraId="414D80A2" w14:textId="77777777" w:rsidR="00D66EE3" w:rsidRPr="00E35811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2.3. Fortalecer la desconcentración operativa del Bono Vida Mejor para optimizar el uso de sus recursos.</w:t>
            </w:r>
          </w:p>
          <w:p w14:paraId="35BE7EC6" w14:textId="77777777" w:rsidR="00D66EE3" w:rsidRPr="00E35811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023" w:type="dxa"/>
            <w:shd w:val="clear" w:color="auto" w:fill="FFFFFF" w:themeFill="background1"/>
          </w:tcPr>
          <w:p w14:paraId="1F50CFE8" w14:textId="7565B221" w:rsidR="001C2FC7" w:rsidRPr="00E35811" w:rsidRDefault="001C2FC7" w:rsidP="001C2FC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2.3.1. Aprobación</w:t>
            </w:r>
            <w:r w:rsidR="00D9188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por parte del Comité Técnico del PBVM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</w:t>
            </w:r>
            <w:r w:rsidR="00D176F0">
              <w:rPr>
                <w:rFonts w:ascii="Arial" w:hAnsi="Arial" w:cs="Arial"/>
                <w:sz w:val="20"/>
                <w:szCs w:val="20"/>
                <w:lang w:val="es-ES_tradnl"/>
              </w:rPr>
              <w:t>los lineamientos de Atención Integral al participante para operativizar la desconcentración y descentralización</w:t>
            </w:r>
            <w:r w:rsidR="000B424D"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del </w:t>
            </w:r>
            <w:r w:rsidR="00C300A1" w:rsidRPr="00E35811"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rograma Bono Vida Mejor, incluyendo: </w:t>
            </w:r>
          </w:p>
          <w:p w14:paraId="7A44B757" w14:textId="77777777" w:rsidR="001C2FC7" w:rsidRPr="00E35811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Roles y responsabilidades de las partes.</w:t>
            </w:r>
          </w:p>
          <w:p w14:paraId="393A906C" w14:textId="77777777" w:rsidR="001C2FC7" w:rsidRPr="00E35811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Indicadores de monitoreo y seguimiento.</w:t>
            </w:r>
          </w:p>
          <w:p w14:paraId="6812348A" w14:textId="16C356FA" w:rsidR="00D66EE3" w:rsidRPr="00E35811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Cronograma operativo.</w:t>
            </w:r>
          </w:p>
        </w:tc>
        <w:tc>
          <w:tcPr>
            <w:tcW w:w="3904" w:type="dxa"/>
            <w:shd w:val="clear" w:color="auto" w:fill="FFFFFF" w:themeFill="background1"/>
          </w:tcPr>
          <w:p w14:paraId="1D767E55" w14:textId="596F9991" w:rsidR="00D66EE3" w:rsidRPr="00E35811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2.3.1. Acta de Comité Técnico del </w:t>
            </w:r>
            <w:r w:rsidR="00C300A1" w:rsidRPr="00E35811"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rograma Bono Vida Mejor conteniendo el documento aprobado de la Estrategia de Desconcentración Operativa.</w:t>
            </w:r>
          </w:p>
        </w:tc>
        <w:tc>
          <w:tcPr>
            <w:tcW w:w="3332" w:type="dxa"/>
            <w:shd w:val="clear" w:color="auto" w:fill="FFFFFF" w:themeFill="background1"/>
          </w:tcPr>
          <w:p w14:paraId="586AE78E" w14:textId="77777777" w:rsidR="00D66EE3" w:rsidRPr="00E35811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Secretaría de Desarrollo e Inclusión Social (SEDIS).</w:t>
            </w:r>
          </w:p>
          <w:p w14:paraId="65D94171" w14:textId="73D89F79" w:rsidR="00D66EE3" w:rsidRPr="00E35811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</w:p>
        </w:tc>
      </w:tr>
      <w:tr w:rsidR="00D66EE3" w:rsidRPr="00630998" w14:paraId="57FF16A0" w14:textId="77777777" w:rsidTr="001C2FC7">
        <w:trPr>
          <w:trHeight w:val="530"/>
          <w:jc w:val="center"/>
        </w:trPr>
        <w:tc>
          <w:tcPr>
            <w:tcW w:w="2317" w:type="dxa"/>
            <w:shd w:val="clear" w:color="auto" w:fill="FFFFFF" w:themeFill="background1"/>
          </w:tcPr>
          <w:p w14:paraId="54CF9F6F" w14:textId="72B929BA" w:rsidR="00D66EE3" w:rsidRPr="00E35811" w:rsidRDefault="00D66EE3" w:rsidP="00B379B8">
            <w:pPr>
              <w:autoSpaceDE w:val="0"/>
              <w:autoSpaceDN w:val="0"/>
              <w:adjustRightInd w:val="0"/>
              <w:spacing w:before="120" w:after="120"/>
              <w:ind w:left="-42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2.4. Unificar y fortalecer institucionalmente los mecanismos de medición de pobreza y desigualdad en Honduras.</w:t>
            </w:r>
          </w:p>
          <w:p w14:paraId="5922BDF7" w14:textId="77777777" w:rsidR="00D66EE3" w:rsidRPr="00E35811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023" w:type="dxa"/>
            <w:shd w:val="clear" w:color="auto" w:fill="FFFFFF" w:themeFill="background1"/>
          </w:tcPr>
          <w:p w14:paraId="5F3C6F1E" w14:textId="77777777" w:rsidR="001C2FC7" w:rsidRPr="00E35811" w:rsidRDefault="001C2FC7" w:rsidP="001C2FC7">
            <w:pPr>
              <w:autoSpaceDE w:val="0"/>
              <w:autoSpaceDN w:val="0"/>
              <w:adjustRightInd w:val="0"/>
              <w:spacing w:before="120" w:after="120"/>
              <w:ind w:left="-42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2.4.1 Aprobación por parte del Consejo de Ministros de la Política Nacional de Medición de la Pobreza y Desigualdad en Honduras incluyendo: </w:t>
            </w:r>
          </w:p>
          <w:p w14:paraId="2C7FAF09" w14:textId="77777777" w:rsidR="001C2FC7" w:rsidRPr="00E35811" w:rsidRDefault="001C2FC7" w:rsidP="001C2FC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- Unificación institucional para la rectoría y publicación de indicadores de pobreza (monetaria y no monetaria).</w:t>
            </w:r>
          </w:p>
          <w:p w14:paraId="396ABDA4" w14:textId="77777777" w:rsidR="001C2FC7" w:rsidRPr="00E35811" w:rsidRDefault="001C2FC7" w:rsidP="001C2FC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- Conformación de un comité técnico para la actualización de la metodología para medición de la pobreza y desigualdad.</w:t>
            </w:r>
          </w:p>
          <w:p w14:paraId="24DE9628" w14:textId="4EFA2075" w:rsidR="00D66EE3" w:rsidRPr="00E35811" w:rsidRDefault="001C2FC7" w:rsidP="001C2FC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- Conformación de un comité técnico para la definición de las recomendaciones de requerimientos calóricos y micronutrientes para la población hondureña.</w:t>
            </w:r>
          </w:p>
        </w:tc>
        <w:tc>
          <w:tcPr>
            <w:tcW w:w="3904" w:type="dxa"/>
            <w:shd w:val="clear" w:color="auto" w:fill="FFFFFF" w:themeFill="background1"/>
          </w:tcPr>
          <w:p w14:paraId="1E1EAB87" w14:textId="76A9FBA8" w:rsidR="00D66EE3" w:rsidRPr="00E35811" w:rsidRDefault="00D66EE3" w:rsidP="00D66EE3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2.4.1. Decreto Ejecutivo en Consejo de Ministros (PCM) publicado en Diario Oficial “La Gaceta” conteniendo 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="000B424D"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olítica 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>N</w:t>
            </w:r>
            <w:r w:rsidR="000B424D"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acional 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 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>M</w:t>
            </w:r>
            <w:r w:rsidR="000B424D"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edición 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 la 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="000B424D"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obreza 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y 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>D</w:t>
            </w:r>
            <w:r w:rsidR="000B424D" w:rsidRPr="00E3581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esigualdad </w:t>
            </w: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en Honduras.</w:t>
            </w:r>
          </w:p>
          <w:p w14:paraId="0A3345D1" w14:textId="77777777" w:rsidR="00D66EE3" w:rsidRPr="00E35811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332" w:type="dxa"/>
            <w:shd w:val="clear" w:color="auto" w:fill="FFFFFF" w:themeFill="background1"/>
          </w:tcPr>
          <w:p w14:paraId="6C0A08C3" w14:textId="6F4A26AC" w:rsidR="00D66EE3" w:rsidRPr="00E35811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35811">
              <w:rPr>
                <w:rFonts w:ascii="Arial" w:hAnsi="Arial" w:cs="Arial"/>
                <w:sz w:val="20"/>
                <w:szCs w:val="20"/>
                <w:lang w:val="es-ES_tradnl"/>
              </w:rPr>
              <w:t>Secretaría de Coordinación General de Gobierno (SCGG)</w:t>
            </w:r>
          </w:p>
        </w:tc>
      </w:tr>
      <w:tr w:rsidR="00D66EE3" w:rsidRPr="00630998" w14:paraId="74DCC051" w14:textId="77777777" w:rsidTr="00DB49DE">
        <w:trPr>
          <w:trHeight w:val="3401"/>
          <w:jc w:val="center"/>
        </w:trPr>
        <w:tc>
          <w:tcPr>
            <w:tcW w:w="2317" w:type="dxa"/>
            <w:shd w:val="clear" w:color="auto" w:fill="FFFFFF" w:themeFill="background1"/>
          </w:tcPr>
          <w:p w14:paraId="3616931F" w14:textId="524EA33C" w:rsidR="00D66EE3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2.5.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Optimizar la progresividad en la redistribución del gasto público social mediante la actualización de la identificación de potenciales participantes y los criterios geográficos de programas sociales con criterios de selección basado en pobreza monetaria y/o priorización geográfica</w:t>
            </w:r>
          </w:p>
        </w:tc>
        <w:tc>
          <w:tcPr>
            <w:tcW w:w="4023" w:type="dxa"/>
            <w:shd w:val="clear" w:color="auto" w:fill="FFFFFF" w:themeFill="background1"/>
          </w:tcPr>
          <w:p w14:paraId="1B16D0C0" w14:textId="6894C111" w:rsidR="00D66EE3" w:rsidRPr="00345418" w:rsidRDefault="001C2FC7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2.5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.1.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Actualización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por parte de la Secretaría de Coordinación General de Gobierno (SCGG)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del algoritmo de generación de puntajes para la </w:t>
            </w:r>
            <w:r w:rsidRPr="00C001F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identificación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de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hogares en pobreza potencialmente participantes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programas sociales, y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del mapa de pobreza por ingresos con base en el Censo de Población y Vivienda 2013 del Ins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tituto Nacional de Estadísticas.</w:t>
            </w:r>
          </w:p>
        </w:tc>
        <w:tc>
          <w:tcPr>
            <w:tcW w:w="3904" w:type="dxa"/>
            <w:shd w:val="clear" w:color="auto" w:fill="FFFFFF" w:themeFill="background1"/>
          </w:tcPr>
          <w:p w14:paraId="18141002" w14:textId="769F1DC1" w:rsidR="00D66EE3" w:rsidRPr="00345418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2.5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.1.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Acuerdo Ministerial de la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Secretaría de Coordinación General de Gobierno (SCGG), publicado en Diario Oficial “La Gaceta”,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adoptando el algoritmo actualizado y oficializando el mapa de pobreza por ingresos.</w:t>
            </w:r>
          </w:p>
          <w:p w14:paraId="555309F9" w14:textId="77777777" w:rsidR="00D66EE3" w:rsidRPr="00345418" w:rsidRDefault="00D66EE3" w:rsidP="00D66EE3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332" w:type="dxa"/>
            <w:shd w:val="clear" w:color="auto" w:fill="FFFFFF" w:themeFill="background1"/>
          </w:tcPr>
          <w:p w14:paraId="6DB28672" w14:textId="04E34AA7" w:rsidR="00D66EE3" w:rsidRPr="004E0C4A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Coordinación General de Gobierno (SCGG)</w:t>
            </w:r>
          </w:p>
        </w:tc>
      </w:tr>
      <w:tr w:rsidR="00D66EE3" w:rsidRPr="00630998" w14:paraId="01583B20" w14:textId="77777777" w:rsidTr="00DB49DE">
        <w:trPr>
          <w:trHeight w:val="341"/>
          <w:jc w:val="center"/>
        </w:trPr>
        <w:tc>
          <w:tcPr>
            <w:tcW w:w="13576" w:type="dxa"/>
            <w:gridSpan w:val="4"/>
            <w:shd w:val="clear" w:color="auto" w:fill="D9D9D9" w:themeFill="background1" w:themeFillShade="D9"/>
          </w:tcPr>
          <w:p w14:paraId="437BD99D" w14:textId="6C4AC615" w:rsidR="00D66EE3" w:rsidRPr="004E0C4A" w:rsidRDefault="00D66EE3" w:rsidP="00D66EE3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 3. Consolidar la oferta de servicios básicos en protección social redistributiva</w:t>
            </w:r>
          </w:p>
        </w:tc>
      </w:tr>
      <w:tr w:rsidR="00D66EE3" w:rsidRPr="00A14A3C" w14:paraId="13439B1A" w14:textId="77777777" w:rsidTr="00DB49DE">
        <w:trPr>
          <w:trHeight w:val="2411"/>
          <w:jc w:val="center"/>
        </w:trPr>
        <w:tc>
          <w:tcPr>
            <w:tcW w:w="2317" w:type="dxa"/>
            <w:shd w:val="clear" w:color="auto" w:fill="FFFFFF" w:themeFill="background1"/>
          </w:tcPr>
          <w:p w14:paraId="55B8B29B" w14:textId="11BF621A" w:rsidR="00D66EE3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3.1.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Dar sostenibilidad a la provisión de servicios del tercer ciclo de educación básica mediante la incorporación de escuelas tercerizadas en el presupuesto de la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Educación (SEDUC)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4023" w:type="dxa"/>
            <w:shd w:val="clear" w:color="auto" w:fill="FFFFFF" w:themeFill="background1"/>
          </w:tcPr>
          <w:p w14:paraId="29A8CD36" w14:textId="4F0ACDA1" w:rsidR="00D66EE3" w:rsidRPr="00345418" w:rsidRDefault="001C2FC7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D4941">
              <w:rPr>
                <w:rFonts w:ascii="Arial" w:hAnsi="Arial" w:cs="Arial"/>
                <w:sz w:val="20"/>
                <w:szCs w:val="20"/>
                <w:lang w:val="es-ES_tradnl"/>
              </w:rPr>
              <w:t>3.1.1.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Aprobación del Plan Estratégico Institucional 2019-2022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por parte de la Secretaría de Educación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incluyendo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criterios para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la incorporación gradual de escuelas atendidas por el Instituto Hondureño de Educación por Radio (IHER) en el presupuest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o de la Secretaría de Educación (SEDUC</w:t>
            </w:r>
            <w:r w:rsidRPr="003E5DD7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904" w:type="dxa"/>
            <w:shd w:val="clear" w:color="auto" w:fill="FFFFFF" w:themeFill="background1"/>
          </w:tcPr>
          <w:p w14:paraId="154E4879" w14:textId="3FC8FB59" w:rsidR="00D66EE3" w:rsidRPr="00345418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3.1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.1.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Acuerdo Ministerial publicado en Diario Oficial “La Gaceta” aprobando Plan Estratégico Institucional 2019-2022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4BD54F7B" w14:textId="77777777" w:rsidR="00D66EE3" w:rsidRPr="00345418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332" w:type="dxa"/>
            <w:shd w:val="clear" w:color="auto" w:fill="FFFFFF" w:themeFill="background1"/>
          </w:tcPr>
          <w:p w14:paraId="51570ABB" w14:textId="3B4233CF" w:rsidR="00D66EE3" w:rsidRDefault="00D66EE3" w:rsidP="00D66EE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Educación (SEDUC)</w:t>
            </w:r>
          </w:p>
        </w:tc>
      </w:tr>
      <w:tr w:rsidR="00D66EE3" w:rsidRPr="00A14A3C" w14:paraId="68D75E71" w14:textId="77777777" w:rsidTr="009A1C06">
        <w:trPr>
          <w:trHeight w:val="2762"/>
          <w:jc w:val="center"/>
        </w:trPr>
        <w:tc>
          <w:tcPr>
            <w:tcW w:w="2317" w:type="dxa"/>
            <w:vMerge w:val="restart"/>
            <w:shd w:val="clear" w:color="auto" w:fill="FFFFFF" w:themeFill="background1"/>
          </w:tcPr>
          <w:p w14:paraId="746C6A12" w14:textId="5595A8CE" w:rsidR="00D66EE3" w:rsidRDefault="00D66EE3" w:rsidP="009A1C0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3.2.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Promover la acumulación del capital humano adecuando la oferta educativa para poblaciones vulnerables.</w:t>
            </w:r>
          </w:p>
        </w:tc>
        <w:tc>
          <w:tcPr>
            <w:tcW w:w="4023" w:type="dxa"/>
            <w:shd w:val="clear" w:color="auto" w:fill="FFFFFF" w:themeFill="background1"/>
          </w:tcPr>
          <w:p w14:paraId="52748013" w14:textId="77777777" w:rsidR="001C2FC7" w:rsidRPr="00F34C2F" w:rsidRDefault="001C2FC7" w:rsidP="009A1C06">
            <w:pPr>
              <w:spacing w:before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3.2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.1.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Remisión al Consejo Nacional de Educación de la propuesta de Política de Educación Inclusiva, que contenga las siguientes medidas</w:t>
            </w:r>
            <w:r w:rsidRPr="00F34C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  <w:p w14:paraId="5A623D28" w14:textId="5EB4E22C" w:rsidR="001C2FC7" w:rsidRPr="00F34C2F" w:rsidRDefault="00901ADC" w:rsidP="009A1C0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Formalización de la normativa que permite la incorporación</w:t>
            </w:r>
            <w:r w:rsidRPr="00F34C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1C2FC7" w:rsidRPr="00F34C2F">
              <w:rPr>
                <w:rFonts w:ascii="Arial" w:hAnsi="Arial" w:cs="Arial"/>
                <w:sz w:val="20"/>
                <w:szCs w:val="20"/>
                <w:lang w:val="es-ES_tradnl"/>
              </w:rPr>
              <w:t>a las escuelas de niños</w:t>
            </w:r>
            <w:r w:rsidR="001C2FC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niñas</w:t>
            </w:r>
            <w:r w:rsidR="001C2FC7" w:rsidRPr="00F34C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 extra-edad o con discapacidad.</w:t>
            </w:r>
          </w:p>
          <w:p w14:paraId="7E2E1B56" w14:textId="54B664A4" w:rsidR="00D66EE3" w:rsidRPr="00DB49DE" w:rsidRDefault="00901ADC" w:rsidP="009A1C0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Promoción de la matrícula</w:t>
            </w:r>
            <w:r w:rsidR="001C2FC7" w:rsidRPr="00F34C2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estudiantes que finalicen el 6to grado en el 7mo grado a través de la estructura de redes.</w:t>
            </w:r>
          </w:p>
        </w:tc>
        <w:tc>
          <w:tcPr>
            <w:tcW w:w="3904" w:type="dxa"/>
            <w:shd w:val="clear" w:color="auto" w:fill="FFFFFF" w:themeFill="background1"/>
          </w:tcPr>
          <w:p w14:paraId="65591A6E" w14:textId="4B546AB1" w:rsidR="00D66EE3" w:rsidRPr="00345418" w:rsidRDefault="00D66EE3" w:rsidP="009A1C0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3.2.1.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Oficio de remisión recibido por el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Consejo Nacional de Educación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enviado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por la Secretaría de Educación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(SEDUC)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conteniendo la propuesta de Política de Educación Inclusiva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49DBBA89" w14:textId="77777777" w:rsidR="00D66EE3" w:rsidRPr="00345418" w:rsidRDefault="00D66EE3" w:rsidP="009A1C0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332" w:type="dxa"/>
            <w:shd w:val="clear" w:color="auto" w:fill="FFFFFF" w:themeFill="background1"/>
          </w:tcPr>
          <w:p w14:paraId="0D900332" w14:textId="6CFF0A3D" w:rsidR="00D66EE3" w:rsidRDefault="00D66EE3" w:rsidP="009A1C0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Educación (SEDUC)</w:t>
            </w:r>
          </w:p>
        </w:tc>
      </w:tr>
      <w:tr w:rsidR="007E607E" w:rsidRPr="00A14A3C" w14:paraId="03AF2972" w14:textId="77777777" w:rsidTr="00DB49DE">
        <w:trPr>
          <w:trHeight w:val="1286"/>
          <w:jc w:val="center"/>
        </w:trPr>
        <w:tc>
          <w:tcPr>
            <w:tcW w:w="2317" w:type="dxa"/>
            <w:vMerge/>
            <w:shd w:val="clear" w:color="auto" w:fill="FFFFFF" w:themeFill="background1"/>
          </w:tcPr>
          <w:p w14:paraId="0DAF84F4" w14:textId="77777777" w:rsidR="007E607E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023" w:type="dxa"/>
            <w:shd w:val="clear" w:color="auto" w:fill="FFFFFF" w:themeFill="background1"/>
          </w:tcPr>
          <w:p w14:paraId="218C3426" w14:textId="3232CAE6" w:rsidR="007E607E" w:rsidRPr="004E0C4A" w:rsidRDefault="001C2FC7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3.2.2.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Definición y aprobación de los </w:t>
            </w:r>
            <w:r w:rsidRPr="008D4941">
              <w:rPr>
                <w:rFonts w:ascii="Arial" w:hAnsi="Arial" w:cs="Arial"/>
                <w:sz w:val="20"/>
                <w:szCs w:val="20"/>
                <w:lang w:val="es-ES_tradnl"/>
              </w:rPr>
              <w:t>lineamientos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por parte de la Secretaría de Educación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para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la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aplicación de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la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Ley Fundamental de Educación en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lo referido al ingreso de estudiantes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que no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cursaron la educación prebásica.</w:t>
            </w:r>
          </w:p>
        </w:tc>
        <w:tc>
          <w:tcPr>
            <w:tcW w:w="3904" w:type="dxa"/>
            <w:shd w:val="clear" w:color="auto" w:fill="FFFFFF" w:themeFill="background1"/>
          </w:tcPr>
          <w:p w14:paraId="1AB94F6D" w14:textId="7B2B9BD4" w:rsidR="007E607E" w:rsidRPr="00345418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3.2.2. Oficio de la Secretaría de Educación (SEDUC) notificad</w:t>
            </w:r>
            <w:r w:rsidR="00901ADC">
              <w:rPr>
                <w:rFonts w:ascii="Arial" w:hAnsi="Arial" w:cs="Arial"/>
                <w:sz w:val="20"/>
                <w:szCs w:val="20"/>
                <w:lang w:val="es-ES_tradnl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 todos los directores de Centros de Educación Básica a cargo de la SEDUC, </w:t>
            </w:r>
            <w:r w:rsidR="00901AD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informando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los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lineamientos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32" w:type="dxa"/>
            <w:shd w:val="clear" w:color="auto" w:fill="FFFFFF" w:themeFill="background1"/>
          </w:tcPr>
          <w:p w14:paraId="5228D639" w14:textId="0E24C64C" w:rsidR="007E607E" w:rsidRPr="00345418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Educación (SEDUC)</w:t>
            </w:r>
          </w:p>
        </w:tc>
      </w:tr>
      <w:tr w:rsidR="007E607E" w:rsidRPr="00DB49DE" w14:paraId="5C4E73FB" w14:textId="77777777" w:rsidTr="004060B6">
        <w:trPr>
          <w:jc w:val="center"/>
        </w:trPr>
        <w:tc>
          <w:tcPr>
            <w:tcW w:w="2317" w:type="dxa"/>
          </w:tcPr>
          <w:p w14:paraId="4C322203" w14:textId="68386650" w:rsidR="007E607E" w:rsidRPr="00DB49DE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B49DE">
              <w:rPr>
                <w:rFonts w:ascii="Arial" w:hAnsi="Arial" w:cs="Arial"/>
                <w:sz w:val="20"/>
                <w:szCs w:val="20"/>
                <w:lang w:val="es-ES_tradnl"/>
              </w:rPr>
              <w:t>3.3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Garantizar la sostenibilidad del Modelo de Gestión Descentralizada en salud.</w:t>
            </w:r>
          </w:p>
        </w:tc>
        <w:tc>
          <w:tcPr>
            <w:tcW w:w="4023" w:type="dxa"/>
          </w:tcPr>
          <w:p w14:paraId="71E7C580" w14:textId="4E8B4E4B" w:rsidR="001C2FC7" w:rsidRDefault="001C2FC7" w:rsidP="001C2FC7">
            <w:pPr>
              <w:spacing w:before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D4941">
              <w:rPr>
                <w:rFonts w:ascii="Arial" w:hAnsi="Arial" w:cs="Arial"/>
                <w:sz w:val="20"/>
                <w:szCs w:val="20"/>
                <w:lang w:val="es-ES_tradnl"/>
              </w:rPr>
              <w:t>3.3.1.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D494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Aprobación de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una </w:t>
            </w:r>
            <w:r w:rsidRPr="008D4941">
              <w:rPr>
                <w:rFonts w:ascii="Arial" w:hAnsi="Arial" w:cs="Arial"/>
                <w:sz w:val="20"/>
                <w:szCs w:val="20"/>
                <w:lang w:val="es-ES_tradnl"/>
              </w:rPr>
              <w:t>directriz</w:t>
            </w:r>
            <w:r w:rsidR="004E7B7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política</w:t>
            </w:r>
            <w:r w:rsidRPr="008D494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por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parte de la Secretaría de Salud,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para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4E7B7E">
              <w:rPr>
                <w:rFonts w:ascii="Arial" w:hAnsi="Arial" w:cs="Arial"/>
                <w:sz w:val="20"/>
                <w:szCs w:val="20"/>
                <w:lang w:val="es-ES_tradnl"/>
              </w:rPr>
              <w:t>institucionalizar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la implementación del Modelo de Gestión Descentralizada en salud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(MGD), incluyendo la definición de:</w:t>
            </w:r>
          </w:p>
          <w:p w14:paraId="6390A88C" w14:textId="77777777" w:rsidR="001C2FC7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>arámetros bajos los cuales opera el modelo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3F9EF62D" w14:textId="5072441C" w:rsidR="001C2FC7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>ipo de gestores</w:t>
            </w:r>
            <w:r w:rsidR="00D176F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descentralizados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servicios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5056E4BA" w14:textId="748C45B3" w:rsidR="001C2FC7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G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>rado de autonomía de los gestores</w:t>
            </w:r>
            <w:r w:rsidR="00D176F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descentralizados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14:paraId="30919F3E" w14:textId="20AA7E4D" w:rsidR="001C2FC7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M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>ecanismos de certificación de los gestores</w:t>
            </w:r>
            <w:r w:rsidR="00D176F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descentralizados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5D96E809" w14:textId="3E57F76E" w:rsidR="001C2FC7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M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>ecanismos de pago y de relacionamiento entre la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Secretaría de Salud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SESAL y el gestor</w:t>
            </w:r>
            <w:r w:rsidR="00D176F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descentralizado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14:paraId="01508B4C" w14:textId="77777777" w:rsidR="001C2FC7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M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>ecanismos de monitoreo, supervisión, evaluación y seguimiento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14:paraId="09FC96EA" w14:textId="77777777" w:rsidR="001C2FC7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R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>esponsabilidades de las instancias de la SESAL y otros actores externos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3A4FBAC9" w14:textId="3A363A3E" w:rsidR="007E607E" w:rsidRPr="00DB49DE" w:rsidRDefault="001C2FC7" w:rsidP="001C2FC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N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>ormas aplicables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904" w:type="dxa"/>
          </w:tcPr>
          <w:p w14:paraId="1FBD87DD" w14:textId="72285423" w:rsidR="007E607E" w:rsidRPr="00DB49DE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3.3.1.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Acuerdo Ministerial de la Secretaría de Salud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(SESAL),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publicado en el Diario Oficial “La Gaceta”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conteniendo 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>la directriz de política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para 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institucionalizar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la implementación del modelo gestión descentralizada en salud.</w:t>
            </w:r>
          </w:p>
        </w:tc>
        <w:tc>
          <w:tcPr>
            <w:tcW w:w="3332" w:type="dxa"/>
          </w:tcPr>
          <w:p w14:paraId="4511F0C4" w14:textId="6179B753" w:rsidR="007E607E" w:rsidRPr="00DB49DE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Salud (SESAL)</w:t>
            </w:r>
          </w:p>
        </w:tc>
      </w:tr>
      <w:tr w:rsidR="007E607E" w:rsidRPr="00630998" w14:paraId="6EA7804B" w14:textId="77777777" w:rsidTr="00DB49DE">
        <w:trPr>
          <w:trHeight w:val="296"/>
          <w:jc w:val="center"/>
        </w:trPr>
        <w:tc>
          <w:tcPr>
            <w:tcW w:w="13576" w:type="dxa"/>
            <w:gridSpan w:val="4"/>
            <w:shd w:val="clear" w:color="auto" w:fill="D9D9D9" w:themeFill="background1" w:themeFillShade="D9"/>
          </w:tcPr>
          <w:p w14:paraId="121299EB" w14:textId="65CFDEC3" w:rsidR="007E607E" w:rsidRPr="00DB49DE" w:rsidRDefault="007E607E" w:rsidP="007E607E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 4. Sostenibilidad en la coordinación institucional del sector social.</w:t>
            </w:r>
          </w:p>
        </w:tc>
      </w:tr>
      <w:tr w:rsidR="007E607E" w:rsidRPr="00630998" w14:paraId="56615DF3" w14:textId="77777777" w:rsidTr="004060B6">
        <w:trPr>
          <w:jc w:val="center"/>
        </w:trPr>
        <w:tc>
          <w:tcPr>
            <w:tcW w:w="2317" w:type="dxa"/>
          </w:tcPr>
          <w:p w14:paraId="6BAA47E4" w14:textId="28736808" w:rsidR="007E607E" w:rsidRPr="00DB49DE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4.1.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Fortalecimiento de la gestión del sector social por medio del intercambio y acceso a la información para el monitoreo y seguimiento del cumplimiento de metas.</w:t>
            </w:r>
          </w:p>
        </w:tc>
        <w:tc>
          <w:tcPr>
            <w:tcW w:w="4023" w:type="dxa"/>
          </w:tcPr>
          <w:p w14:paraId="43CD08A7" w14:textId="28E25065" w:rsidR="001C2FC7" w:rsidRDefault="001C2FC7" w:rsidP="00C300A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4.1.1. Aprobación de</w:t>
            </w:r>
            <w:r w:rsidR="00767C5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los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términos y condiciones por parte del Instituto de Acceso a la Información Pública,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para el intercambio de información entre instituciones del Estado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 el sector social, incluyendo:</w:t>
            </w:r>
          </w:p>
          <w:p w14:paraId="2BD1C044" w14:textId="77777777" w:rsidR="001C2FC7" w:rsidRPr="008A5E9E" w:rsidRDefault="001C2FC7" w:rsidP="001C2FC7">
            <w:pPr>
              <w:rPr>
                <w:rFonts w:ascii="Arial" w:hAnsi="Arial" w:cs="Arial"/>
                <w:sz w:val="6"/>
                <w:szCs w:val="20"/>
                <w:lang w:val="es-ES_tradnl"/>
              </w:rPr>
            </w:pPr>
          </w:p>
          <w:p w14:paraId="28C9C320" w14:textId="77777777" w:rsidR="001C2FC7" w:rsidRPr="000B3854" w:rsidRDefault="001C2FC7" w:rsidP="00C300A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Definición del tipo de i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nformación proveniente de los sistemas de información del Estado en el sector social (RUP, SIG, SACE, SINOVA, RENPI, entre otros) susceptible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de</w:t>
            </w:r>
            <w:r w:rsidRPr="000B385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ser compartida entre instituciones para el desarrollo de sus funciones.</w:t>
            </w:r>
          </w:p>
          <w:p w14:paraId="5F4F74F8" w14:textId="77777777" w:rsidR="001C2FC7" w:rsidRDefault="001C2FC7" w:rsidP="003E14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Definición del instrumento adecuado, los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términos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condiciones,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los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plazos,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entre otros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7E94D668" w14:textId="06473FD7" w:rsidR="007E607E" w:rsidRDefault="001C2FC7" w:rsidP="001C2FC7">
            <w:pPr>
              <w:spacing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336F5">
              <w:rPr>
                <w:rFonts w:ascii="Arial" w:hAnsi="Arial" w:cs="Arial"/>
                <w:sz w:val="20"/>
                <w:szCs w:val="20"/>
                <w:lang w:val="es-ES_tradnl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efinición de los d</w:t>
            </w:r>
            <w:r w:rsidRPr="004336F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erechos y obligaciones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aplicables para</w:t>
            </w:r>
            <w:r w:rsidRPr="004336F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compartir información entre instituciones del sector social para el desarrollo de sus funciones.</w:t>
            </w:r>
          </w:p>
        </w:tc>
        <w:tc>
          <w:tcPr>
            <w:tcW w:w="3904" w:type="dxa"/>
          </w:tcPr>
          <w:p w14:paraId="57A6B834" w14:textId="1030C984" w:rsidR="007E607E" w:rsidRPr="00345418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4.1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.1.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Resolución de Instituto de Acceso a la Información Pública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(IAIP), publicada en sitio web oficial del IAIP y notificada a la SEDIS, SEDUC, SESAL y CENISS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indicando los 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>términos y condiciones</w:t>
            </w:r>
            <w:r w:rsidR="000B424D"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para el intercambio de información entre instituciones del Estado en el sector social.</w:t>
            </w:r>
          </w:p>
          <w:p w14:paraId="2EF2593B" w14:textId="77777777" w:rsidR="007E607E" w:rsidRDefault="007E607E" w:rsidP="007E607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332" w:type="dxa"/>
          </w:tcPr>
          <w:p w14:paraId="2255F33E" w14:textId="2D71260B" w:rsidR="007E607E" w:rsidRDefault="007E607E" w:rsidP="00C300A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Instituto de Acceso a la Información Pública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(IAIP)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7E607E" w:rsidRPr="00DB49DE" w14:paraId="4BDC582F" w14:textId="77777777" w:rsidTr="004060B6">
        <w:trPr>
          <w:jc w:val="center"/>
        </w:trPr>
        <w:tc>
          <w:tcPr>
            <w:tcW w:w="2317" w:type="dxa"/>
          </w:tcPr>
          <w:p w14:paraId="110AB633" w14:textId="39777586" w:rsidR="007E607E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4.2.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Mejorar la gestión de información nominal de la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Salud (SESAL)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para el monitoreo y seguimiento de los objetivos del sector.</w:t>
            </w:r>
          </w:p>
        </w:tc>
        <w:tc>
          <w:tcPr>
            <w:tcW w:w="4023" w:type="dxa"/>
          </w:tcPr>
          <w:p w14:paraId="62FC9014" w14:textId="7C059EB5" w:rsidR="007E607E" w:rsidRPr="00345418" w:rsidRDefault="001C2FC7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4.2.1. Suscripción de un convenio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entre la Secretaría de Salud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(SESAL)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el Registro Nacional de las Personas (RNP)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para la v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alidación de la información nominal de los usuarios de servicios de salud, con prioridad en la primera infancia, atendidos en centros de atención primaria en salud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904" w:type="dxa"/>
          </w:tcPr>
          <w:p w14:paraId="0E302908" w14:textId="4454B89B" w:rsidR="007E607E" w:rsidRPr="00345418" w:rsidRDefault="007E607E" w:rsidP="00C300A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4.2.1.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Convenio firmado entre la Secretaría de Salud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(SESAL)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el Registro Nacional de las Personas (RNP) para el intercambio de la información nominal sobre pacientes usuarios ingresados en centros de atención primaria en salud, con énfasis en la primera infancia.</w:t>
            </w:r>
          </w:p>
        </w:tc>
        <w:tc>
          <w:tcPr>
            <w:tcW w:w="3332" w:type="dxa"/>
          </w:tcPr>
          <w:p w14:paraId="68A2E29C" w14:textId="21D89677" w:rsidR="007E607E" w:rsidRPr="00345418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Salud (SESAL)</w:t>
            </w:r>
          </w:p>
        </w:tc>
      </w:tr>
      <w:tr w:rsidR="007E607E" w:rsidRPr="00DB49DE" w14:paraId="65A6E74C" w14:textId="77777777" w:rsidTr="004060B6">
        <w:trPr>
          <w:jc w:val="center"/>
        </w:trPr>
        <w:tc>
          <w:tcPr>
            <w:tcW w:w="2317" w:type="dxa"/>
          </w:tcPr>
          <w:p w14:paraId="1D6F6B5F" w14:textId="745AB5B4" w:rsidR="007E607E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4.3.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Modernización de la gestión de la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información de la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Salud (SESAL)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 énfasis en la primera infancia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4023" w:type="dxa"/>
          </w:tcPr>
          <w:p w14:paraId="5676DE0C" w14:textId="0FB9C94C" w:rsidR="007E607E" w:rsidRDefault="001C2FC7" w:rsidP="0063099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4.3.1.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Aprobación de un plan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por parte de la Secretaría de Salud para la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captura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digital de la información del Sistema Nominal de Vacunación (SINOVA) con </w:t>
            </w:r>
            <w:r w:rsidR="00901AD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tecnología de reconocimiento automático de caracteres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acuerdo con las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recomendaciones del informe de levantamiento de información digital llevado a cabo por medio de una prueba de campo</w:t>
            </w:r>
            <w:r w:rsidR="00901ADC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904" w:type="dxa"/>
          </w:tcPr>
          <w:p w14:paraId="29315797" w14:textId="78915CA2" w:rsidR="007E607E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4.3.1.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Acuerdo Ministerial de la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Secretaría de Salud (SESAL), publicado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en Diario Oficial “La Gaceta”,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conteniendo el plan para la 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>captura digital de la información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del Sistema Nominal de Vacunación (SINOVA)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 inteligencia artificial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32" w:type="dxa"/>
          </w:tcPr>
          <w:p w14:paraId="64F9FE8A" w14:textId="63A243C0" w:rsidR="007E607E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Secretaría de Salud (SESAL)</w:t>
            </w:r>
          </w:p>
        </w:tc>
      </w:tr>
      <w:tr w:rsidR="007E607E" w:rsidRPr="00345418" w14:paraId="18617762" w14:textId="77777777" w:rsidTr="004060B6">
        <w:trPr>
          <w:jc w:val="center"/>
        </w:trPr>
        <w:tc>
          <w:tcPr>
            <w:tcW w:w="2317" w:type="dxa"/>
          </w:tcPr>
          <w:p w14:paraId="63036698" w14:textId="0B0E2BB4" w:rsidR="007E607E" w:rsidRPr="00345418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4.4.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I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>nstitucionalización del Sistema de Administración de Centros Educativos (SACE) para el monitoreo y seguimiento de metas en el sector educativo.</w:t>
            </w:r>
          </w:p>
        </w:tc>
        <w:tc>
          <w:tcPr>
            <w:tcW w:w="4023" w:type="dxa"/>
          </w:tcPr>
          <w:p w14:paraId="2C560995" w14:textId="2DA85C68" w:rsidR="007E607E" w:rsidRPr="00345418" w:rsidRDefault="001C2FC7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8D4941">
              <w:rPr>
                <w:rFonts w:ascii="Arial" w:hAnsi="Arial" w:cs="Arial"/>
                <w:sz w:val="20"/>
                <w:szCs w:val="20"/>
                <w:lang w:val="es-ES_tradnl"/>
              </w:rPr>
              <w:t>4.4.1. Designación del SACE como fuente oficial de producción de estadísticas para el monitoreo y seguimiento de metas del sector educativo, incluyendo (i) definición de las instancias responsables de su monitoreo y control</w:t>
            </w:r>
            <w:r w:rsidR="00767C59">
              <w:rPr>
                <w:rFonts w:ascii="Arial" w:hAnsi="Arial" w:cs="Arial"/>
                <w:sz w:val="20"/>
                <w:szCs w:val="20"/>
                <w:lang w:val="es-ES_tradnl"/>
              </w:rPr>
              <w:t>;</w:t>
            </w:r>
            <w:r w:rsidR="000B424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</w:t>
            </w:r>
            <w:r w:rsidRPr="008D494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(ii) asignación de recursos para llevar a cabo gestiones administrativas relacionadas con el SACE.</w:t>
            </w:r>
          </w:p>
        </w:tc>
        <w:tc>
          <w:tcPr>
            <w:tcW w:w="3904" w:type="dxa"/>
          </w:tcPr>
          <w:p w14:paraId="66B8D970" w14:textId="6F11FE8F" w:rsidR="007E607E" w:rsidRPr="00345418" w:rsidRDefault="007E607E" w:rsidP="007E60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4.4.1. 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Acuerdo Ministerial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de la Secretaría de Educación (SEDUC),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publicado en el Diario Oficial “La Gaceta”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34541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designando al SACE como fuente oficial de producción estadísticas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32" w:type="dxa"/>
          </w:tcPr>
          <w:p w14:paraId="5C1E7AFF" w14:textId="33D80802" w:rsidR="007E607E" w:rsidRPr="00345418" w:rsidRDefault="007E607E" w:rsidP="00C300A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Secretaría de Educación (SEDUC)</w:t>
            </w:r>
          </w:p>
        </w:tc>
      </w:tr>
    </w:tbl>
    <w:p w14:paraId="6E2DAFE8" w14:textId="77777777" w:rsidR="00820F78" w:rsidRPr="001C1B52" w:rsidRDefault="00820F78">
      <w:pPr>
        <w:rPr>
          <w:rFonts w:ascii="Arial" w:hAnsi="Arial" w:cs="Arial"/>
          <w:sz w:val="16"/>
          <w:szCs w:val="16"/>
          <w:lang w:val="es-HN"/>
        </w:rPr>
      </w:pPr>
    </w:p>
    <w:sectPr w:rsidR="00820F78" w:rsidRPr="001C1B52" w:rsidSect="001B0175">
      <w:headerReference w:type="default" r:id="rId8"/>
      <w:pgSz w:w="15840" w:h="12240" w:orient="landscape" w:code="1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07F9D" w14:textId="77777777" w:rsidR="00C60E74" w:rsidRDefault="00C60E74" w:rsidP="009F0B87">
      <w:pPr>
        <w:spacing w:after="0" w:line="240" w:lineRule="auto"/>
      </w:pPr>
      <w:r>
        <w:separator/>
      </w:r>
    </w:p>
  </w:endnote>
  <w:endnote w:type="continuationSeparator" w:id="0">
    <w:p w14:paraId="76D7D0D8" w14:textId="77777777" w:rsidR="00C60E74" w:rsidRDefault="00C60E74" w:rsidP="009F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78844" w14:textId="77777777" w:rsidR="00C60E74" w:rsidRDefault="00C60E74" w:rsidP="009F0B87">
      <w:pPr>
        <w:spacing w:after="0" w:line="240" w:lineRule="auto"/>
      </w:pPr>
      <w:r>
        <w:separator/>
      </w:r>
    </w:p>
  </w:footnote>
  <w:footnote w:type="continuationSeparator" w:id="0">
    <w:p w14:paraId="71EF44FD" w14:textId="77777777" w:rsidR="00C60E74" w:rsidRDefault="00C60E74" w:rsidP="009F0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477648756"/>
      <w:docPartObj>
        <w:docPartGallery w:val="Page Numbers (Top of Page)"/>
        <w:docPartUnique/>
      </w:docPartObj>
    </w:sdtPr>
    <w:sdtEndPr/>
    <w:sdtContent>
      <w:p w14:paraId="6496DC9F" w14:textId="3805EEAB" w:rsidR="001C1B52" w:rsidRPr="00E04273" w:rsidRDefault="001C1B52">
        <w:pPr>
          <w:pStyle w:val="Header"/>
          <w:jc w:val="right"/>
          <w:rPr>
            <w:rFonts w:ascii="Arial" w:hAnsi="Arial" w:cs="Arial"/>
            <w:sz w:val="20"/>
            <w:szCs w:val="20"/>
            <w:lang w:val="es-HN"/>
          </w:rPr>
        </w:pPr>
        <w:r w:rsidRPr="00E04273">
          <w:rPr>
            <w:rFonts w:ascii="Arial" w:hAnsi="Arial" w:cs="Arial"/>
            <w:sz w:val="20"/>
            <w:szCs w:val="20"/>
            <w:lang w:val="es-HN"/>
          </w:rPr>
          <w:t>HO-</w:t>
        </w:r>
        <w:r w:rsidR="00D61D20" w:rsidRPr="00E04273">
          <w:rPr>
            <w:rFonts w:ascii="Arial" w:hAnsi="Arial" w:cs="Arial"/>
            <w:sz w:val="20"/>
            <w:szCs w:val="20"/>
            <w:lang w:val="es-HN"/>
          </w:rPr>
          <w:t>L11</w:t>
        </w:r>
        <w:r w:rsidR="00D61D20">
          <w:rPr>
            <w:rFonts w:ascii="Arial" w:hAnsi="Arial" w:cs="Arial"/>
            <w:sz w:val="20"/>
            <w:szCs w:val="20"/>
            <w:lang w:val="es-HN"/>
          </w:rPr>
          <w:t>93</w:t>
        </w:r>
      </w:p>
      <w:p w14:paraId="0A9AAAB0" w14:textId="6DE9EACA" w:rsidR="001C1B52" w:rsidRPr="00E04273" w:rsidRDefault="001C1B52">
        <w:pPr>
          <w:pStyle w:val="Header"/>
          <w:jc w:val="right"/>
          <w:rPr>
            <w:rFonts w:ascii="Arial" w:hAnsi="Arial" w:cs="Arial"/>
            <w:sz w:val="20"/>
            <w:szCs w:val="20"/>
            <w:lang w:val="es-HN"/>
          </w:rPr>
        </w:pPr>
        <w:r w:rsidRPr="00E04273">
          <w:rPr>
            <w:rFonts w:ascii="Arial" w:hAnsi="Arial" w:cs="Arial"/>
            <w:sz w:val="20"/>
            <w:szCs w:val="20"/>
            <w:lang w:val="es-HN"/>
          </w:rPr>
          <w:t xml:space="preserve">Página </w: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begin"/>
        </w:r>
        <w:r w:rsidRPr="00E04273">
          <w:rPr>
            <w:rFonts w:ascii="Arial" w:hAnsi="Arial" w:cs="Arial"/>
            <w:bCs/>
            <w:sz w:val="20"/>
            <w:szCs w:val="20"/>
            <w:lang w:val="es-HN"/>
          </w:rPr>
          <w:instrText xml:space="preserve"> PAGE </w:instrTex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separate"/>
        </w:r>
        <w:r w:rsidR="00950A63">
          <w:rPr>
            <w:rFonts w:ascii="Arial" w:hAnsi="Arial" w:cs="Arial"/>
            <w:bCs/>
            <w:noProof/>
            <w:sz w:val="20"/>
            <w:szCs w:val="20"/>
            <w:lang w:val="es-HN"/>
          </w:rPr>
          <w:t>5</w: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end"/>
        </w:r>
        <w:r w:rsidRPr="00E04273">
          <w:rPr>
            <w:rFonts w:ascii="Arial" w:hAnsi="Arial" w:cs="Arial"/>
            <w:sz w:val="20"/>
            <w:szCs w:val="20"/>
            <w:lang w:val="es-HN"/>
          </w:rPr>
          <w:t xml:space="preserve"> de </w: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begin"/>
        </w:r>
        <w:r w:rsidRPr="00E04273">
          <w:rPr>
            <w:rFonts w:ascii="Arial" w:hAnsi="Arial" w:cs="Arial"/>
            <w:bCs/>
            <w:sz w:val="20"/>
            <w:szCs w:val="20"/>
            <w:lang w:val="es-HN"/>
          </w:rPr>
          <w:instrText xml:space="preserve"> NUMPAGES  </w:instrTex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separate"/>
        </w:r>
        <w:r w:rsidR="00950A63">
          <w:rPr>
            <w:rFonts w:ascii="Arial" w:hAnsi="Arial" w:cs="Arial"/>
            <w:bCs/>
            <w:noProof/>
            <w:sz w:val="20"/>
            <w:szCs w:val="20"/>
            <w:lang w:val="es-HN"/>
          </w:rPr>
          <w:t>5</w: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end"/>
        </w:r>
      </w:p>
    </w:sdtContent>
  </w:sdt>
  <w:p w14:paraId="6A92DD21" w14:textId="77777777" w:rsidR="001C1B52" w:rsidRPr="00E04273" w:rsidRDefault="001C1B52" w:rsidP="001C1B52">
    <w:pPr>
      <w:pStyle w:val="Header"/>
      <w:jc w:val="right"/>
      <w:rPr>
        <w:rFonts w:ascii="Arial" w:hAnsi="Arial" w:cs="Arial"/>
        <w:sz w:val="20"/>
        <w:szCs w:val="20"/>
        <w:lang w:val="es-H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42AA1"/>
    <w:multiLevelType w:val="hybridMultilevel"/>
    <w:tmpl w:val="5BA074C8"/>
    <w:lvl w:ilvl="0" w:tplc="3A066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81BAB"/>
    <w:multiLevelType w:val="hybridMultilevel"/>
    <w:tmpl w:val="3664F2AC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E65DF"/>
    <w:multiLevelType w:val="hybridMultilevel"/>
    <w:tmpl w:val="20724014"/>
    <w:lvl w:ilvl="0" w:tplc="2ADEE62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B4991"/>
    <w:multiLevelType w:val="multilevel"/>
    <w:tmpl w:val="9288EA3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rFonts w:ascii="Arial" w:hAnsi="Arial" w:cs="Arial" w:hint="default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4" w15:restartNumberingAfterBreak="0">
    <w:nsid w:val="47501EC3"/>
    <w:multiLevelType w:val="hybridMultilevel"/>
    <w:tmpl w:val="707CCEB8"/>
    <w:lvl w:ilvl="0" w:tplc="3A066B0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080" w:hanging="360"/>
      </w:pPr>
    </w:lvl>
    <w:lvl w:ilvl="2" w:tplc="580A001B" w:tentative="1">
      <w:start w:val="1"/>
      <w:numFmt w:val="lowerRoman"/>
      <w:lvlText w:val="%3."/>
      <w:lvlJc w:val="right"/>
      <w:pPr>
        <w:ind w:left="1800" w:hanging="180"/>
      </w:pPr>
    </w:lvl>
    <w:lvl w:ilvl="3" w:tplc="580A000F" w:tentative="1">
      <w:start w:val="1"/>
      <w:numFmt w:val="decimal"/>
      <w:lvlText w:val="%4."/>
      <w:lvlJc w:val="left"/>
      <w:pPr>
        <w:ind w:left="2520" w:hanging="360"/>
      </w:pPr>
    </w:lvl>
    <w:lvl w:ilvl="4" w:tplc="580A0019" w:tentative="1">
      <w:start w:val="1"/>
      <w:numFmt w:val="lowerLetter"/>
      <w:lvlText w:val="%5."/>
      <w:lvlJc w:val="left"/>
      <w:pPr>
        <w:ind w:left="3240" w:hanging="360"/>
      </w:pPr>
    </w:lvl>
    <w:lvl w:ilvl="5" w:tplc="580A001B" w:tentative="1">
      <w:start w:val="1"/>
      <w:numFmt w:val="lowerRoman"/>
      <w:lvlText w:val="%6."/>
      <w:lvlJc w:val="right"/>
      <w:pPr>
        <w:ind w:left="3960" w:hanging="180"/>
      </w:pPr>
    </w:lvl>
    <w:lvl w:ilvl="6" w:tplc="580A000F" w:tentative="1">
      <w:start w:val="1"/>
      <w:numFmt w:val="decimal"/>
      <w:lvlText w:val="%7."/>
      <w:lvlJc w:val="left"/>
      <w:pPr>
        <w:ind w:left="4680" w:hanging="360"/>
      </w:pPr>
    </w:lvl>
    <w:lvl w:ilvl="7" w:tplc="580A0019" w:tentative="1">
      <w:start w:val="1"/>
      <w:numFmt w:val="lowerLetter"/>
      <w:lvlText w:val="%8."/>
      <w:lvlJc w:val="left"/>
      <w:pPr>
        <w:ind w:left="5400" w:hanging="360"/>
      </w:pPr>
    </w:lvl>
    <w:lvl w:ilvl="8" w:tplc="5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0F6590"/>
    <w:multiLevelType w:val="hybridMultilevel"/>
    <w:tmpl w:val="7056206C"/>
    <w:lvl w:ilvl="0" w:tplc="3A066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C4F3D"/>
    <w:multiLevelType w:val="hybridMultilevel"/>
    <w:tmpl w:val="544EAADA"/>
    <w:lvl w:ilvl="0" w:tplc="FF38B750">
      <w:start w:val="1"/>
      <w:numFmt w:val="lowerRoman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3FF3"/>
    <w:multiLevelType w:val="hybridMultilevel"/>
    <w:tmpl w:val="4008E36E"/>
    <w:lvl w:ilvl="0" w:tplc="D5E07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E21F1"/>
    <w:multiLevelType w:val="hybridMultilevel"/>
    <w:tmpl w:val="AC98E6BE"/>
    <w:lvl w:ilvl="0" w:tplc="3A066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190925"/>
    <w:multiLevelType w:val="hybridMultilevel"/>
    <w:tmpl w:val="EF02CADA"/>
    <w:lvl w:ilvl="0" w:tplc="3A066B0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080" w:hanging="360"/>
      </w:pPr>
    </w:lvl>
    <w:lvl w:ilvl="2" w:tplc="580A001B" w:tentative="1">
      <w:start w:val="1"/>
      <w:numFmt w:val="lowerRoman"/>
      <w:lvlText w:val="%3."/>
      <w:lvlJc w:val="right"/>
      <w:pPr>
        <w:ind w:left="1800" w:hanging="180"/>
      </w:pPr>
    </w:lvl>
    <w:lvl w:ilvl="3" w:tplc="580A000F" w:tentative="1">
      <w:start w:val="1"/>
      <w:numFmt w:val="decimal"/>
      <w:lvlText w:val="%4."/>
      <w:lvlJc w:val="left"/>
      <w:pPr>
        <w:ind w:left="2520" w:hanging="360"/>
      </w:pPr>
    </w:lvl>
    <w:lvl w:ilvl="4" w:tplc="580A0019" w:tentative="1">
      <w:start w:val="1"/>
      <w:numFmt w:val="lowerLetter"/>
      <w:lvlText w:val="%5."/>
      <w:lvlJc w:val="left"/>
      <w:pPr>
        <w:ind w:left="3240" w:hanging="360"/>
      </w:pPr>
    </w:lvl>
    <w:lvl w:ilvl="5" w:tplc="580A001B" w:tentative="1">
      <w:start w:val="1"/>
      <w:numFmt w:val="lowerRoman"/>
      <w:lvlText w:val="%6."/>
      <w:lvlJc w:val="right"/>
      <w:pPr>
        <w:ind w:left="3960" w:hanging="180"/>
      </w:pPr>
    </w:lvl>
    <w:lvl w:ilvl="6" w:tplc="580A000F" w:tentative="1">
      <w:start w:val="1"/>
      <w:numFmt w:val="decimal"/>
      <w:lvlText w:val="%7."/>
      <w:lvlJc w:val="left"/>
      <w:pPr>
        <w:ind w:left="4680" w:hanging="360"/>
      </w:pPr>
    </w:lvl>
    <w:lvl w:ilvl="7" w:tplc="580A0019" w:tentative="1">
      <w:start w:val="1"/>
      <w:numFmt w:val="lowerLetter"/>
      <w:lvlText w:val="%8."/>
      <w:lvlJc w:val="left"/>
      <w:pPr>
        <w:ind w:left="5400" w:hanging="360"/>
      </w:pPr>
    </w:lvl>
    <w:lvl w:ilvl="8" w:tplc="5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726EE6"/>
    <w:multiLevelType w:val="hybridMultilevel"/>
    <w:tmpl w:val="0498B77E"/>
    <w:lvl w:ilvl="0" w:tplc="F3C221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40652"/>
    <w:multiLevelType w:val="multilevel"/>
    <w:tmpl w:val="2C3A26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473035"/>
    <w:multiLevelType w:val="hybridMultilevel"/>
    <w:tmpl w:val="F62A50B2"/>
    <w:lvl w:ilvl="0" w:tplc="153C04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2"/>
  </w:num>
  <w:num w:numId="5">
    <w:abstractNumId w:val="10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4"/>
  </w:num>
  <w:num w:numId="11">
    <w:abstractNumId w:val="11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DO" w:vendorID="64" w:dllVersion="6" w:nlCheck="1" w:checkStyle="1"/>
  <w:activeWritingStyle w:appName="MSWord" w:lang="es-HN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HN" w:vendorID="64" w:dllVersion="0" w:nlCheck="1" w:checkStyle="0"/>
  <w:activeWritingStyle w:appName="MSWord" w:lang="es-ES_tradnl" w:vendorID="64" w:dllVersion="0" w:nlCheck="1" w:checkStyle="0"/>
  <w:activeWritingStyle w:appName="MSWord" w:lang="es-DO" w:vendorID="64" w:dllVersion="0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F78"/>
    <w:rsid w:val="00012346"/>
    <w:rsid w:val="000225DA"/>
    <w:rsid w:val="00026C7B"/>
    <w:rsid w:val="00030572"/>
    <w:rsid w:val="00031093"/>
    <w:rsid w:val="000457FD"/>
    <w:rsid w:val="00063BE7"/>
    <w:rsid w:val="00071259"/>
    <w:rsid w:val="000926DA"/>
    <w:rsid w:val="000930FF"/>
    <w:rsid w:val="000944DA"/>
    <w:rsid w:val="00096F9E"/>
    <w:rsid w:val="000B3851"/>
    <w:rsid w:val="000B424D"/>
    <w:rsid w:val="000B6DC4"/>
    <w:rsid w:val="000C6153"/>
    <w:rsid w:val="000E0FB4"/>
    <w:rsid w:val="000E772D"/>
    <w:rsid w:val="001124AE"/>
    <w:rsid w:val="00170C7C"/>
    <w:rsid w:val="00181738"/>
    <w:rsid w:val="00186290"/>
    <w:rsid w:val="001A640A"/>
    <w:rsid w:val="001B0175"/>
    <w:rsid w:val="001C1B52"/>
    <w:rsid w:val="001C2FC7"/>
    <w:rsid w:val="001C34D0"/>
    <w:rsid w:val="001D49FF"/>
    <w:rsid w:val="001F7A3C"/>
    <w:rsid w:val="00212044"/>
    <w:rsid w:val="00242DAF"/>
    <w:rsid w:val="0026158E"/>
    <w:rsid w:val="0028169C"/>
    <w:rsid w:val="0029639D"/>
    <w:rsid w:val="002A295F"/>
    <w:rsid w:val="002C5F54"/>
    <w:rsid w:val="0030623C"/>
    <w:rsid w:val="00310921"/>
    <w:rsid w:val="00323A86"/>
    <w:rsid w:val="00345418"/>
    <w:rsid w:val="00354FEF"/>
    <w:rsid w:val="00381615"/>
    <w:rsid w:val="00381EB1"/>
    <w:rsid w:val="003918A5"/>
    <w:rsid w:val="003A0974"/>
    <w:rsid w:val="003A1947"/>
    <w:rsid w:val="003C70D7"/>
    <w:rsid w:val="003E1481"/>
    <w:rsid w:val="003E382F"/>
    <w:rsid w:val="003F2B5B"/>
    <w:rsid w:val="003F5E3E"/>
    <w:rsid w:val="00400FB7"/>
    <w:rsid w:val="004025A0"/>
    <w:rsid w:val="004060B6"/>
    <w:rsid w:val="00410C07"/>
    <w:rsid w:val="00410D44"/>
    <w:rsid w:val="00413918"/>
    <w:rsid w:val="00423339"/>
    <w:rsid w:val="004406CA"/>
    <w:rsid w:val="0047014E"/>
    <w:rsid w:val="00472EA9"/>
    <w:rsid w:val="004732F0"/>
    <w:rsid w:val="00490ACB"/>
    <w:rsid w:val="004A3E35"/>
    <w:rsid w:val="004A52C5"/>
    <w:rsid w:val="004B008D"/>
    <w:rsid w:val="004E0C4A"/>
    <w:rsid w:val="004E7B7E"/>
    <w:rsid w:val="004F1F51"/>
    <w:rsid w:val="00511043"/>
    <w:rsid w:val="0051660A"/>
    <w:rsid w:val="005225C5"/>
    <w:rsid w:val="00524712"/>
    <w:rsid w:val="005654F5"/>
    <w:rsid w:val="00571A95"/>
    <w:rsid w:val="005960BD"/>
    <w:rsid w:val="005A63F5"/>
    <w:rsid w:val="005B2A4B"/>
    <w:rsid w:val="005C5677"/>
    <w:rsid w:val="005D1D02"/>
    <w:rsid w:val="005D56E5"/>
    <w:rsid w:val="005E46BF"/>
    <w:rsid w:val="005E79B0"/>
    <w:rsid w:val="005F3CBC"/>
    <w:rsid w:val="005F4CED"/>
    <w:rsid w:val="005F7C57"/>
    <w:rsid w:val="00617E71"/>
    <w:rsid w:val="006220D2"/>
    <w:rsid w:val="00630998"/>
    <w:rsid w:val="00631D34"/>
    <w:rsid w:val="006418C5"/>
    <w:rsid w:val="00672EA5"/>
    <w:rsid w:val="0067710C"/>
    <w:rsid w:val="006910A6"/>
    <w:rsid w:val="00696AD9"/>
    <w:rsid w:val="006A73F9"/>
    <w:rsid w:val="006D09E1"/>
    <w:rsid w:val="00702E25"/>
    <w:rsid w:val="00703A71"/>
    <w:rsid w:val="00734817"/>
    <w:rsid w:val="00736395"/>
    <w:rsid w:val="0073793D"/>
    <w:rsid w:val="00741020"/>
    <w:rsid w:val="007608A5"/>
    <w:rsid w:val="0076154A"/>
    <w:rsid w:val="00767C59"/>
    <w:rsid w:val="00781846"/>
    <w:rsid w:val="00787A36"/>
    <w:rsid w:val="007B3441"/>
    <w:rsid w:val="007B4E14"/>
    <w:rsid w:val="007B7566"/>
    <w:rsid w:val="007D1677"/>
    <w:rsid w:val="007D5763"/>
    <w:rsid w:val="007E607E"/>
    <w:rsid w:val="00803B7D"/>
    <w:rsid w:val="00813159"/>
    <w:rsid w:val="00820F78"/>
    <w:rsid w:val="00830C91"/>
    <w:rsid w:val="00835FAD"/>
    <w:rsid w:val="00861090"/>
    <w:rsid w:val="00867944"/>
    <w:rsid w:val="0087263C"/>
    <w:rsid w:val="00876F5B"/>
    <w:rsid w:val="008775BA"/>
    <w:rsid w:val="00877DE2"/>
    <w:rsid w:val="008A5E9E"/>
    <w:rsid w:val="008D0AD3"/>
    <w:rsid w:val="008D113A"/>
    <w:rsid w:val="008D24DF"/>
    <w:rsid w:val="00901ADC"/>
    <w:rsid w:val="00903C06"/>
    <w:rsid w:val="00920547"/>
    <w:rsid w:val="00921FD4"/>
    <w:rsid w:val="00925B46"/>
    <w:rsid w:val="009336CE"/>
    <w:rsid w:val="0093377F"/>
    <w:rsid w:val="009453AD"/>
    <w:rsid w:val="00950A63"/>
    <w:rsid w:val="009558AD"/>
    <w:rsid w:val="00956C13"/>
    <w:rsid w:val="009575E2"/>
    <w:rsid w:val="009600D6"/>
    <w:rsid w:val="009A1C06"/>
    <w:rsid w:val="009B1CA4"/>
    <w:rsid w:val="009E3388"/>
    <w:rsid w:val="009E5B04"/>
    <w:rsid w:val="009E6C24"/>
    <w:rsid w:val="009F0B87"/>
    <w:rsid w:val="00A00B5B"/>
    <w:rsid w:val="00A0763F"/>
    <w:rsid w:val="00A14A3C"/>
    <w:rsid w:val="00A15BBB"/>
    <w:rsid w:val="00A26304"/>
    <w:rsid w:val="00A27E72"/>
    <w:rsid w:val="00A32544"/>
    <w:rsid w:val="00A33FCE"/>
    <w:rsid w:val="00A76E5E"/>
    <w:rsid w:val="00A91B6B"/>
    <w:rsid w:val="00A9794D"/>
    <w:rsid w:val="00AA0E80"/>
    <w:rsid w:val="00AD017F"/>
    <w:rsid w:val="00AE2B4A"/>
    <w:rsid w:val="00B10BF5"/>
    <w:rsid w:val="00B20C88"/>
    <w:rsid w:val="00B20FEF"/>
    <w:rsid w:val="00B322A2"/>
    <w:rsid w:val="00B36AAD"/>
    <w:rsid w:val="00B379B8"/>
    <w:rsid w:val="00B40112"/>
    <w:rsid w:val="00B87790"/>
    <w:rsid w:val="00B92196"/>
    <w:rsid w:val="00B9246C"/>
    <w:rsid w:val="00BB462E"/>
    <w:rsid w:val="00BC08CA"/>
    <w:rsid w:val="00BE1C0C"/>
    <w:rsid w:val="00BE4420"/>
    <w:rsid w:val="00C06BDB"/>
    <w:rsid w:val="00C22A6A"/>
    <w:rsid w:val="00C300A1"/>
    <w:rsid w:val="00C46359"/>
    <w:rsid w:val="00C55AE0"/>
    <w:rsid w:val="00C60E74"/>
    <w:rsid w:val="00C75578"/>
    <w:rsid w:val="00CD635B"/>
    <w:rsid w:val="00D13F37"/>
    <w:rsid w:val="00D176F0"/>
    <w:rsid w:val="00D3417D"/>
    <w:rsid w:val="00D44912"/>
    <w:rsid w:val="00D57CB4"/>
    <w:rsid w:val="00D600CE"/>
    <w:rsid w:val="00D60A61"/>
    <w:rsid w:val="00D61D20"/>
    <w:rsid w:val="00D66EE3"/>
    <w:rsid w:val="00D86C8D"/>
    <w:rsid w:val="00D917F6"/>
    <w:rsid w:val="00D91888"/>
    <w:rsid w:val="00DB1B5D"/>
    <w:rsid w:val="00DB49DE"/>
    <w:rsid w:val="00DC2ABC"/>
    <w:rsid w:val="00DE24C0"/>
    <w:rsid w:val="00DF53A1"/>
    <w:rsid w:val="00E04273"/>
    <w:rsid w:val="00E10B2E"/>
    <w:rsid w:val="00E171B7"/>
    <w:rsid w:val="00E22191"/>
    <w:rsid w:val="00E31391"/>
    <w:rsid w:val="00E34C23"/>
    <w:rsid w:val="00E35811"/>
    <w:rsid w:val="00E42707"/>
    <w:rsid w:val="00E503A4"/>
    <w:rsid w:val="00E51AE7"/>
    <w:rsid w:val="00E652C9"/>
    <w:rsid w:val="00E76547"/>
    <w:rsid w:val="00E846B0"/>
    <w:rsid w:val="00EB152E"/>
    <w:rsid w:val="00EB6002"/>
    <w:rsid w:val="00ED04E9"/>
    <w:rsid w:val="00ED079B"/>
    <w:rsid w:val="00ED1DA6"/>
    <w:rsid w:val="00EF2DC3"/>
    <w:rsid w:val="00EF5029"/>
    <w:rsid w:val="00EF580E"/>
    <w:rsid w:val="00F01DDA"/>
    <w:rsid w:val="00F042DB"/>
    <w:rsid w:val="00F32CE4"/>
    <w:rsid w:val="00F56BFD"/>
    <w:rsid w:val="00F601CF"/>
    <w:rsid w:val="00F774FF"/>
    <w:rsid w:val="00FA5FBC"/>
    <w:rsid w:val="00FA746A"/>
    <w:rsid w:val="00FB1FEB"/>
    <w:rsid w:val="00FD6AD3"/>
    <w:rsid w:val="00FE2E44"/>
    <w:rsid w:val="00FE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5F82E"/>
  <w15:docId w15:val="{EB60D00F-09CB-43F8-81E2-A92FC6D8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49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0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F0B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B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0B8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34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C23"/>
  </w:style>
  <w:style w:type="paragraph" w:styleId="Footer">
    <w:name w:val="footer"/>
    <w:basedOn w:val="Normal"/>
    <w:link w:val="FooterChar"/>
    <w:uiPriority w:val="99"/>
    <w:unhideWhenUsed/>
    <w:rsid w:val="00E34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C23"/>
  </w:style>
  <w:style w:type="character" w:styleId="CommentReference">
    <w:name w:val="annotation reference"/>
    <w:basedOn w:val="DefaultParagraphFont"/>
    <w:uiPriority w:val="99"/>
    <w:semiHidden/>
    <w:unhideWhenUsed/>
    <w:rsid w:val="00A15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B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2E25"/>
    <w:pPr>
      <w:ind w:left="720"/>
      <w:contextualSpacing/>
    </w:pPr>
  </w:style>
  <w:style w:type="paragraph" w:customStyle="1" w:styleId="Chapter">
    <w:name w:val="Chapter"/>
    <w:basedOn w:val="Normal"/>
    <w:next w:val="Normal"/>
    <w:rsid w:val="004406CA"/>
    <w:pPr>
      <w:keepNext/>
      <w:numPr>
        <w:numId w:val="12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qFormat/>
    <w:rsid w:val="004406CA"/>
    <w:pPr>
      <w:numPr>
        <w:ilvl w:val="1"/>
        <w:numId w:val="12"/>
      </w:numPr>
      <w:tabs>
        <w:tab w:val="clear" w:pos="2448"/>
        <w:tab w:val="num" w:pos="360"/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4406CA"/>
    <w:pPr>
      <w:numPr>
        <w:ilvl w:val="2"/>
        <w:numId w:val="12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uiPriority w:val="99"/>
    <w:rsid w:val="004406CA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406C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406C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406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406C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E2CB6A6B80AA0A4B86AEA88A0603EBE5" ma:contentTypeVersion="343" ma:contentTypeDescription="The base project type from which other project content types inherit their information." ma:contentTypeScope="" ma:versionID="02f17d829e6fdfeac01bbca53dfd935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46ef03a8de6ee125a7cc830d17e343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HO-L1193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0178422679F01478DD577B145436CAD" ma:contentTypeVersion="343" ma:contentTypeDescription="A content type to manage public (operations) IDB documents" ma:contentTypeScope="" ma:versionID="610564b3091a35078923ed74cf0b650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a558d039526dae452cb1fd2fa728c6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O-L119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R0002430947</Record_x0020_Number>
    <Key_x0020_Document xmlns="cdc7663a-08f0-4737-9e8c-148ce897a09c">false</Key_x0020_Document>
    <Division_x0020_or_x0020_Unit xmlns="cdc7663a-08f0-4737-9e8c-148ce897a09c">SCL/SPH</Division_x0020_or_x0020_Unit>
    <IDBDocs_x0020_Number xmlns="cdc7663a-08f0-4737-9e8c-148ce897a09c" xsi:nil="true"/>
    <Document_x0020_Author xmlns="cdc7663a-08f0-4737-9e8c-148ce897a09c">Guerra, Martha M.</Document_x0020_Author>
    <_dlc_DocId xmlns="cdc7663a-08f0-4737-9e8c-148ce897a09c">EZSHARE-1109545940-6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Honduras</TermName>
          <TermId xmlns="http://schemas.microsoft.com/office/infopath/2007/PartnerControls">0dd9f989-602d-4742-8212-5c1b8b0b74d5</TermId>
        </TermInfo>
      </Terms>
    </ic46d7e087fd4a108fb86518ca413cc6>
    <TaxCatchAll xmlns="cdc7663a-08f0-4737-9e8c-148ce897a09c">
      <Value>30</Value>
      <Value>282</Value>
      <Value>26</Value>
      <Value>25</Value>
      <Value>175</Value>
      <Value>4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HO-L1193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General Documents</Business_x0020_Area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Access_x0020_to_x0020_Information_x00a0_Policy xmlns="cdc7663a-08f0-4737-9e8c-148ce897a09c">Public - Simultaneous Disclosure</Access_x0020_to_x0020_Information_x00a0_Policy>
    <Identifier xmlns="cdc7663a-08f0-4737-9e8c-148ce897a09c">Loan Proposal PR-4600</Identifier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BLD</TermName>
          <TermId xmlns="http://schemas.microsoft.com/office/infopath/2007/PartnerControls">60acb4c1-0ef3-40ba-9d70-f741cd9e6c23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396ec9c3-9632-4cdc-a19a-36df0d2b2979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https://idbg.sharepoint.com/teams/EZ-HO-LON/HO-L1193/_layouts/15/DocIdRedir.aspx?ID=EZSHARE-1109545940-6</Url>
      <Description>EZSHARE-1109545940-6</Description>
    </_dlc_DocIdUrl>
    <Phase xmlns="cdc7663a-08f0-4737-9e8c-148ce897a09c">ACTIVE</Phase>
    <Other_x0020_Author xmlns="cdc7663a-08f0-4737-9e8c-148ce897a09c">Villa, Juan Miguel</Other_x0020_Author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Social Reforms;</Webtopic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56DD5F40-D5AB-4CC7-86B2-A69CDABDAF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86755B-05C7-4005-9FEC-9E42ECF5A437}"/>
</file>

<file path=customXml/itemProps3.xml><?xml version="1.0" encoding="utf-8"?>
<ds:datastoreItem xmlns:ds="http://schemas.openxmlformats.org/officeDocument/2006/customXml" ds:itemID="{AD47D788-4284-49E3-9F11-053A80B3991E}"/>
</file>

<file path=customXml/itemProps4.xml><?xml version="1.0" encoding="utf-8"?>
<ds:datastoreItem xmlns:ds="http://schemas.openxmlformats.org/officeDocument/2006/customXml" ds:itemID="{CE6DD235-7071-44FD-B83C-F753ED0F28A1}"/>
</file>

<file path=customXml/itemProps5.xml><?xml version="1.0" encoding="utf-8"?>
<ds:datastoreItem xmlns:ds="http://schemas.openxmlformats.org/officeDocument/2006/customXml" ds:itemID="{39910741-F34C-4CD0-A24A-A83BF63131D5}"/>
</file>

<file path=customXml/itemProps6.xml><?xml version="1.0" encoding="utf-8"?>
<ds:datastoreItem xmlns:ds="http://schemas.openxmlformats.org/officeDocument/2006/customXml" ds:itemID="{B2AD37D2-87F0-4100-A319-415232F34A6D}"/>
</file>

<file path=customXml/itemProps7.xml><?xml version="1.0" encoding="utf-8"?>
<ds:datastoreItem xmlns:ds="http://schemas.openxmlformats.org/officeDocument/2006/customXml" ds:itemID="{603A3F87-B45D-4DF3-B765-5720CF735BF9}"/>
</file>

<file path=customXml/itemProps8.xml><?xml version="1.0" encoding="utf-8"?>
<ds:datastoreItem xmlns:ds="http://schemas.openxmlformats.org/officeDocument/2006/customXml" ds:itemID="{5017B88B-ECEC-4C02-A946-2103F44994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1674</Words>
  <Characters>9511</Characters>
  <Application>Microsoft Office Word</Application>
  <DocSecurity>0</DocSecurity>
  <Lines>306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Inter-American Development Bank</dc:creator>
  <cp:keywords>Enlace</cp:keywords>
  <cp:lastModifiedBy>Guerra, Martha M.</cp:lastModifiedBy>
  <cp:revision>2</cp:revision>
  <cp:lastPrinted>2016-10-12T22:20:00Z</cp:lastPrinted>
  <dcterms:created xsi:type="dcterms:W3CDTF">2018-09-04T15:09:00Z</dcterms:created>
  <dcterms:modified xsi:type="dcterms:W3CDTF">2018-09-04T15:09:00Z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>282;#Enlace|5c75310a-998d-4216-af48-df8e3d0c972f</vt:lpwstr>
  </property>
  <property fmtid="{D5CDD505-2E9C-101B-9397-08002B2CF9AE}" pid="4" name="TaxKeywordTaxHTField">
    <vt:lpwstr>Enlace|5c75310a-998d-4216-af48-df8e3d0c972f</vt:lpwstr>
  </property>
  <property fmtid="{D5CDD505-2E9C-101B-9397-08002B2CF9AE}" pid="5" name="Series Operations IDB">
    <vt:lpwstr/>
  </property>
  <property fmtid="{D5CDD505-2E9C-101B-9397-08002B2CF9AE}" pid="6" name="Sub-Sector">
    <vt:lpwstr>175;#SOCIAL INVESTMENT|396ec9c3-9632-4cdc-a19a-36df0d2b2979</vt:lpwstr>
  </property>
  <property fmtid="{D5CDD505-2E9C-101B-9397-08002B2CF9AE}" pid="7" name="Country">
    <vt:lpwstr>26;#Honduras|0dd9f989-602d-4742-8212-5c1b8b0b74d5</vt:lpwstr>
  </property>
  <property fmtid="{D5CDD505-2E9C-101B-9397-08002B2CF9AE}" pid="8" name="Fund IDB">
    <vt:lpwstr>25;#BLD|60acb4c1-0ef3-40ba-9d70-f741cd9e6c23</vt:lpwstr>
  </property>
  <property fmtid="{D5CDD505-2E9C-101B-9397-08002B2CF9AE}" pid="9" name="_dlc_DocIdItemGuid">
    <vt:lpwstr>9db70438-fbf7-4cc6-a1d3-c95a639e1ff2</vt:lpwstr>
  </property>
  <property fmtid="{D5CDD505-2E9C-101B-9397-08002B2CF9AE}" pid="10" name="Sector IDB">
    <vt:lpwstr>30;#SOCIAL INVESTMENT|3f908695-d5b5-49f6-941f-76876b39564f</vt:lpwstr>
  </property>
  <property fmtid="{D5CDD505-2E9C-101B-9397-08002B2CF9AE}" pid="11" name="Function Operations IDB">
    <vt:lpwstr>4;#Project Administration|751f71fd-1433-4702-a2db-ff12a4e45594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0x0101001A458A224826124E8B45B1D613300CFC0080178422679F01478DD577B145436CAD</vt:lpwstr>
  </property>
</Properties>
</file>