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15162" w14:textId="77777777" w:rsidR="00B34642" w:rsidRDefault="007F6801" w:rsidP="00AB2DF8">
      <w:pPr>
        <w:spacing w:after="200"/>
        <w:jc w:val="center"/>
      </w:pPr>
      <w:r>
        <w:rPr>
          <w:rFonts w:ascii="Arial" w:hAnsi="Arial" w:cs="Arial"/>
          <w:b/>
        </w:rPr>
        <w:t>TC ABSTRACT</w:t>
      </w:r>
    </w:p>
    <w:p w14:paraId="2D4BC18B" w14:textId="77777777" w:rsidR="00B34642" w:rsidRDefault="007F6801">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tblInd w:w="738" w:type="dxa"/>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3735"/>
        <w:gridCol w:w="3827"/>
      </w:tblGrid>
      <w:tr w:rsidR="00B34642" w14:paraId="63DF24A7" w14:textId="77777777" w:rsidTr="00AB2DF8">
        <w:tc>
          <w:tcPr>
            <w:tcW w:w="4114" w:type="dxa"/>
          </w:tcPr>
          <w:p w14:paraId="4E4CBA07" w14:textId="77777777" w:rsidR="00B34642" w:rsidRDefault="007F6801">
            <w:pPr>
              <w:spacing w:before="40" w:after="40"/>
              <w:ind w:left="115" w:hanging="115"/>
            </w:pPr>
            <w:r>
              <w:rPr>
                <w:rFonts w:ascii="Arial" w:hAnsi="Arial" w:cs="Arial"/>
                <w:sz w:val="18"/>
                <w:szCs w:val="18"/>
              </w:rPr>
              <w:t>▪ Country/Region:</w:t>
            </w:r>
          </w:p>
        </w:tc>
        <w:tc>
          <w:tcPr>
            <w:tcW w:w="4256" w:type="dxa"/>
          </w:tcPr>
          <w:p w14:paraId="708971C9" w14:textId="77777777" w:rsidR="00B34642" w:rsidRDefault="007F6801">
            <w:pPr>
              <w:spacing w:before="40" w:after="40"/>
            </w:pPr>
            <w:r>
              <w:rPr>
                <w:rFonts w:ascii="Arial" w:hAnsi="Arial" w:cs="Arial"/>
                <w:sz w:val="18"/>
                <w:szCs w:val="18"/>
              </w:rPr>
              <w:t>REGIONAL/IDB</w:t>
            </w:r>
          </w:p>
        </w:tc>
      </w:tr>
      <w:tr w:rsidR="00B34642" w14:paraId="5281D004" w14:textId="77777777" w:rsidTr="00AB2DF8">
        <w:tc>
          <w:tcPr>
            <w:tcW w:w="4114" w:type="dxa"/>
          </w:tcPr>
          <w:p w14:paraId="028E0598" w14:textId="77777777" w:rsidR="00B34642" w:rsidRDefault="007F6801">
            <w:pPr>
              <w:spacing w:before="40" w:after="40"/>
              <w:ind w:left="115" w:hanging="115"/>
            </w:pPr>
            <w:r>
              <w:rPr>
                <w:rFonts w:ascii="Arial" w:hAnsi="Arial" w:cs="Arial"/>
                <w:sz w:val="18"/>
                <w:szCs w:val="18"/>
              </w:rPr>
              <w:t>▪ TC Name:</w:t>
            </w:r>
          </w:p>
        </w:tc>
        <w:tc>
          <w:tcPr>
            <w:tcW w:w="4256" w:type="dxa"/>
          </w:tcPr>
          <w:p w14:paraId="1D79536A" w14:textId="77777777" w:rsidR="00B34642" w:rsidRDefault="007F6801">
            <w:pPr>
              <w:spacing w:before="40" w:after="40"/>
            </w:pPr>
            <w:r>
              <w:rPr>
                <w:rFonts w:ascii="Arial" w:hAnsi="Arial" w:cs="Arial"/>
                <w:sz w:val="18"/>
                <w:szCs w:val="18"/>
              </w:rPr>
              <w:t>Promoting Comprehensive Data Policy Frameworks in Latin America and the Caribbean</w:t>
            </w:r>
          </w:p>
        </w:tc>
      </w:tr>
      <w:tr w:rsidR="00B34642" w14:paraId="66375C75" w14:textId="77777777" w:rsidTr="00AB2DF8">
        <w:tc>
          <w:tcPr>
            <w:tcW w:w="4114" w:type="dxa"/>
          </w:tcPr>
          <w:p w14:paraId="5916175F" w14:textId="77777777" w:rsidR="00B34642" w:rsidRDefault="007F6801">
            <w:pPr>
              <w:spacing w:before="40" w:after="40"/>
              <w:ind w:left="115" w:hanging="115"/>
            </w:pPr>
            <w:r>
              <w:rPr>
                <w:rFonts w:ascii="Arial" w:hAnsi="Arial" w:cs="Arial"/>
                <w:sz w:val="18"/>
                <w:szCs w:val="18"/>
              </w:rPr>
              <w:t>▪ TC Number:</w:t>
            </w:r>
          </w:p>
        </w:tc>
        <w:tc>
          <w:tcPr>
            <w:tcW w:w="4256" w:type="dxa"/>
          </w:tcPr>
          <w:p w14:paraId="3F8B8342" w14:textId="77777777" w:rsidR="00B34642" w:rsidRDefault="007F6801">
            <w:pPr>
              <w:spacing w:before="40" w:after="40"/>
            </w:pPr>
            <w:r>
              <w:rPr>
                <w:rFonts w:ascii="Arial" w:hAnsi="Arial" w:cs="Arial"/>
                <w:sz w:val="18"/>
                <w:szCs w:val="18"/>
              </w:rPr>
              <w:t>RG-T3867</w:t>
            </w:r>
          </w:p>
        </w:tc>
      </w:tr>
      <w:tr w:rsidR="00B34642" w14:paraId="14302071" w14:textId="77777777" w:rsidTr="00AB2DF8">
        <w:tc>
          <w:tcPr>
            <w:tcW w:w="4114" w:type="dxa"/>
          </w:tcPr>
          <w:p w14:paraId="74E2DA67" w14:textId="77777777" w:rsidR="00B34642" w:rsidRDefault="007F6801">
            <w:pPr>
              <w:spacing w:before="40" w:after="40"/>
              <w:ind w:left="115" w:hanging="115"/>
            </w:pPr>
            <w:r>
              <w:rPr>
                <w:rFonts w:ascii="Arial" w:hAnsi="Arial" w:cs="Arial"/>
                <w:sz w:val="18"/>
                <w:szCs w:val="18"/>
              </w:rPr>
              <w:t>▪ Team Leader/Members:</w:t>
            </w:r>
          </w:p>
        </w:tc>
        <w:tc>
          <w:tcPr>
            <w:tcW w:w="4256" w:type="dxa"/>
          </w:tcPr>
          <w:p w14:paraId="3DE1A2D2" w14:textId="29A97D0B" w:rsidR="00B34642" w:rsidRDefault="00AB2DF8">
            <w:pPr>
              <w:spacing w:before="40" w:after="40"/>
            </w:pPr>
            <w:r>
              <w:rPr>
                <w:rFonts w:ascii="Arial" w:hAnsi="Arial" w:cs="Arial"/>
                <w:sz w:val="18"/>
                <w:szCs w:val="18"/>
              </w:rPr>
              <w:t xml:space="preserve">Muente Kunigami, Arturo </w:t>
            </w:r>
            <w:r w:rsidR="007F6801">
              <w:rPr>
                <w:rFonts w:ascii="Arial" w:hAnsi="Arial" w:cs="Arial"/>
                <w:sz w:val="18"/>
                <w:szCs w:val="18"/>
              </w:rPr>
              <w:t xml:space="preserve">(IFD/ICS) Team Leader; </w:t>
            </w:r>
            <w:r>
              <w:rPr>
                <w:rFonts w:ascii="Arial" w:hAnsi="Arial" w:cs="Arial"/>
                <w:sz w:val="18"/>
                <w:szCs w:val="18"/>
              </w:rPr>
              <w:t xml:space="preserve">Vila Saint-Etienne, Sara </w:t>
            </w:r>
            <w:r w:rsidR="007F6801">
              <w:rPr>
                <w:rFonts w:ascii="Arial" w:hAnsi="Arial" w:cs="Arial"/>
                <w:sz w:val="18"/>
                <w:szCs w:val="18"/>
              </w:rPr>
              <w:t xml:space="preserve">(LEG/SGO); </w:t>
            </w:r>
            <w:r>
              <w:rPr>
                <w:rFonts w:ascii="Arial" w:hAnsi="Arial" w:cs="Arial"/>
                <w:sz w:val="18"/>
                <w:szCs w:val="18"/>
              </w:rPr>
              <w:t xml:space="preserve">Aguilar Blandon, Maria Alejandra </w:t>
            </w:r>
            <w:r w:rsidR="007F6801">
              <w:rPr>
                <w:rFonts w:ascii="Arial" w:hAnsi="Arial" w:cs="Arial"/>
                <w:sz w:val="18"/>
                <w:szCs w:val="18"/>
              </w:rPr>
              <w:t xml:space="preserve">(IFD/ICS); </w:t>
            </w:r>
            <w:r>
              <w:rPr>
                <w:rFonts w:ascii="Arial" w:hAnsi="Arial" w:cs="Arial"/>
                <w:sz w:val="18"/>
                <w:szCs w:val="18"/>
              </w:rPr>
              <w:t xml:space="preserve">Molina Bolanos, Evelyn Maria </w:t>
            </w:r>
            <w:r w:rsidR="007F6801">
              <w:rPr>
                <w:rFonts w:ascii="Arial" w:hAnsi="Arial" w:cs="Arial"/>
                <w:sz w:val="18"/>
                <w:szCs w:val="18"/>
              </w:rPr>
              <w:t>(IFD/ICS)</w:t>
            </w:r>
          </w:p>
        </w:tc>
      </w:tr>
      <w:tr w:rsidR="00B34642" w14:paraId="464A009D" w14:textId="77777777" w:rsidTr="00AB2DF8">
        <w:tc>
          <w:tcPr>
            <w:tcW w:w="4114" w:type="dxa"/>
          </w:tcPr>
          <w:p w14:paraId="155953D6" w14:textId="77777777" w:rsidR="00B34642" w:rsidRDefault="007F6801">
            <w:pPr>
              <w:spacing w:before="40" w:after="40"/>
              <w:ind w:left="115" w:hanging="115"/>
            </w:pPr>
            <w:r>
              <w:rPr>
                <w:rFonts w:ascii="Arial" w:hAnsi="Arial" w:cs="Arial"/>
                <w:sz w:val="18"/>
                <w:szCs w:val="18"/>
              </w:rPr>
              <w:t>▪ Taxonomy:</w:t>
            </w:r>
          </w:p>
        </w:tc>
        <w:tc>
          <w:tcPr>
            <w:tcW w:w="4256" w:type="dxa"/>
          </w:tcPr>
          <w:p w14:paraId="1EF208D8" w14:textId="77777777" w:rsidR="00B34642" w:rsidRDefault="007F6801">
            <w:pPr>
              <w:spacing w:before="40" w:after="40"/>
            </w:pPr>
            <w:r>
              <w:rPr>
                <w:rFonts w:ascii="Arial" w:hAnsi="Arial" w:cs="Arial"/>
                <w:sz w:val="18"/>
                <w:szCs w:val="18"/>
              </w:rPr>
              <w:t>Client Support</w:t>
            </w:r>
          </w:p>
        </w:tc>
      </w:tr>
      <w:tr w:rsidR="00B34642" w14:paraId="00E20F61" w14:textId="77777777" w:rsidTr="00AB2DF8">
        <w:tc>
          <w:tcPr>
            <w:tcW w:w="4114" w:type="dxa"/>
          </w:tcPr>
          <w:p w14:paraId="20065F14" w14:textId="77777777" w:rsidR="00B34642" w:rsidRDefault="007F6801">
            <w:pPr>
              <w:spacing w:before="40" w:after="40"/>
              <w:ind w:left="115" w:hanging="115"/>
            </w:pPr>
            <w:r>
              <w:rPr>
                <w:rFonts w:ascii="Arial" w:hAnsi="Arial" w:cs="Arial"/>
                <w:sz w:val="18"/>
                <w:szCs w:val="18"/>
              </w:rPr>
              <w:t>▪ Number and name of operation supported by the TC:</w:t>
            </w:r>
          </w:p>
        </w:tc>
        <w:tc>
          <w:tcPr>
            <w:tcW w:w="4256" w:type="dxa"/>
          </w:tcPr>
          <w:p w14:paraId="2F7A4627" w14:textId="77777777" w:rsidR="00B34642" w:rsidRDefault="007F6801">
            <w:pPr>
              <w:spacing w:before="40" w:after="40"/>
            </w:pPr>
            <w:r>
              <w:rPr>
                <w:rFonts w:ascii="Arial" w:hAnsi="Arial" w:cs="Arial"/>
                <w:sz w:val="18"/>
                <w:szCs w:val="18"/>
              </w:rPr>
              <w:t>N/A</w:t>
            </w:r>
          </w:p>
        </w:tc>
      </w:tr>
      <w:tr w:rsidR="00B34642" w14:paraId="2111EA3E" w14:textId="77777777" w:rsidTr="00AB2DF8">
        <w:tc>
          <w:tcPr>
            <w:tcW w:w="4114" w:type="dxa"/>
          </w:tcPr>
          <w:p w14:paraId="7B749B1B" w14:textId="77777777" w:rsidR="00B34642" w:rsidRDefault="007F6801">
            <w:pPr>
              <w:spacing w:before="40" w:after="40"/>
              <w:ind w:left="115" w:hanging="115"/>
            </w:pPr>
            <w:r>
              <w:rPr>
                <w:rFonts w:ascii="Arial" w:hAnsi="Arial" w:cs="Arial"/>
                <w:sz w:val="18"/>
                <w:szCs w:val="18"/>
              </w:rPr>
              <w:t>▪ Date of TC Abstract:</w:t>
            </w:r>
          </w:p>
        </w:tc>
        <w:tc>
          <w:tcPr>
            <w:tcW w:w="4256" w:type="dxa"/>
          </w:tcPr>
          <w:p w14:paraId="436F54B8" w14:textId="77777777" w:rsidR="00B34642" w:rsidRDefault="007F6801">
            <w:pPr>
              <w:spacing w:before="40" w:after="40"/>
            </w:pPr>
            <w:r>
              <w:rPr>
                <w:rFonts w:ascii="Arial" w:hAnsi="Arial" w:cs="Arial"/>
                <w:sz w:val="18"/>
                <w:szCs w:val="18"/>
              </w:rPr>
              <w:t>08 Mar 2021</w:t>
            </w:r>
          </w:p>
        </w:tc>
      </w:tr>
      <w:tr w:rsidR="00B34642" w14:paraId="7829B594" w14:textId="77777777" w:rsidTr="00AB2DF8">
        <w:tc>
          <w:tcPr>
            <w:tcW w:w="4114" w:type="dxa"/>
          </w:tcPr>
          <w:p w14:paraId="4754065E" w14:textId="77777777" w:rsidR="00B34642" w:rsidRDefault="007F6801">
            <w:pPr>
              <w:spacing w:before="40" w:after="40"/>
              <w:ind w:left="115" w:hanging="115"/>
            </w:pPr>
            <w:r>
              <w:rPr>
                <w:rFonts w:ascii="Arial" w:hAnsi="Arial" w:cs="Arial"/>
                <w:sz w:val="18"/>
                <w:szCs w:val="18"/>
              </w:rPr>
              <w:t>▪ Beneficiary:</w:t>
            </w:r>
          </w:p>
        </w:tc>
        <w:tc>
          <w:tcPr>
            <w:tcW w:w="4256" w:type="dxa"/>
          </w:tcPr>
          <w:p w14:paraId="7D8526AD" w14:textId="77777777" w:rsidR="00B34642" w:rsidRDefault="007F6801">
            <w:pPr>
              <w:spacing w:before="40" w:after="40"/>
            </w:pPr>
            <w:r>
              <w:rPr>
                <w:rFonts w:ascii="Arial" w:hAnsi="Arial" w:cs="Arial"/>
                <w:sz w:val="18"/>
                <w:szCs w:val="18"/>
              </w:rPr>
              <w:t>Peru, Jamaica and/or Brazil</w:t>
            </w:r>
          </w:p>
        </w:tc>
      </w:tr>
      <w:tr w:rsidR="00B34642" w14:paraId="7CA3DFC7" w14:textId="77777777" w:rsidTr="00AB2DF8">
        <w:tc>
          <w:tcPr>
            <w:tcW w:w="4114" w:type="dxa"/>
          </w:tcPr>
          <w:p w14:paraId="7327DCFB" w14:textId="77777777" w:rsidR="00B34642" w:rsidRDefault="007F6801">
            <w:pPr>
              <w:spacing w:before="40" w:after="40"/>
              <w:ind w:left="115" w:hanging="115"/>
            </w:pPr>
            <w:r>
              <w:rPr>
                <w:rFonts w:ascii="Arial" w:hAnsi="Arial" w:cs="Arial"/>
                <w:sz w:val="18"/>
                <w:szCs w:val="18"/>
              </w:rPr>
              <w:t>▪ Executing Agency:</w:t>
            </w:r>
          </w:p>
        </w:tc>
        <w:tc>
          <w:tcPr>
            <w:tcW w:w="4256" w:type="dxa"/>
          </w:tcPr>
          <w:p w14:paraId="5B5590E1" w14:textId="77777777" w:rsidR="00B34642" w:rsidRDefault="007F6801">
            <w:pPr>
              <w:spacing w:before="40" w:after="40"/>
            </w:pPr>
            <w:r>
              <w:rPr>
                <w:rFonts w:ascii="Arial" w:hAnsi="Arial" w:cs="Arial"/>
                <w:sz w:val="18"/>
                <w:szCs w:val="18"/>
              </w:rPr>
              <w:t>INTER-AMERICAN DEVELOPMENT BANK</w:t>
            </w:r>
          </w:p>
        </w:tc>
      </w:tr>
      <w:tr w:rsidR="00B34642" w14:paraId="5B767E5D" w14:textId="77777777" w:rsidTr="00AB2DF8">
        <w:tc>
          <w:tcPr>
            <w:tcW w:w="4114" w:type="dxa"/>
          </w:tcPr>
          <w:p w14:paraId="35CCBF8B" w14:textId="77777777" w:rsidR="00B34642" w:rsidRDefault="007F6801">
            <w:pPr>
              <w:spacing w:before="40" w:after="40"/>
              <w:ind w:left="115" w:hanging="115"/>
            </w:pPr>
            <w:r>
              <w:rPr>
                <w:rFonts w:ascii="Arial" w:hAnsi="Arial" w:cs="Arial"/>
                <w:sz w:val="18"/>
                <w:szCs w:val="18"/>
              </w:rPr>
              <w:t>▪ IDB funding requested:</w:t>
            </w:r>
          </w:p>
        </w:tc>
        <w:tc>
          <w:tcPr>
            <w:tcW w:w="4256" w:type="dxa"/>
          </w:tcPr>
          <w:p w14:paraId="0ADD00DB" w14:textId="77777777" w:rsidR="00B34642" w:rsidRDefault="007F6801" w:rsidP="00AB2DF8">
            <w:pPr>
              <w:bidi/>
              <w:spacing w:before="40" w:after="40"/>
              <w:jc w:val="right"/>
            </w:pPr>
            <w:r>
              <w:rPr>
                <w:rFonts w:ascii="Arial" w:hAnsi="Arial" w:cs="Arial"/>
                <w:sz w:val="18"/>
                <w:szCs w:val="18"/>
              </w:rPr>
              <w:t>US$200,000.00</w:t>
            </w:r>
          </w:p>
        </w:tc>
      </w:tr>
      <w:tr w:rsidR="00B34642" w14:paraId="244FFABB" w14:textId="77777777" w:rsidTr="00AB2DF8">
        <w:tc>
          <w:tcPr>
            <w:tcW w:w="4114" w:type="dxa"/>
          </w:tcPr>
          <w:p w14:paraId="6BDAA773" w14:textId="77777777" w:rsidR="00B34642" w:rsidRDefault="007F6801">
            <w:pPr>
              <w:spacing w:before="40" w:after="40"/>
              <w:ind w:left="115" w:hanging="115"/>
            </w:pPr>
            <w:r>
              <w:rPr>
                <w:rFonts w:ascii="Arial" w:hAnsi="Arial" w:cs="Arial"/>
                <w:sz w:val="18"/>
                <w:szCs w:val="18"/>
              </w:rPr>
              <w:t>▪ Local counterpart funding:</w:t>
            </w:r>
          </w:p>
        </w:tc>
        <w:tc>
          <w:tcPr>
            <w:tcW w:w="4256" w:type="dxa"/>
          </w:tcPr>
          <w:p w14:paraId="3E56D5AC" w14:textId="77777777" w:rsidR="00B34642" w:rsidRDefault="007F6801" w:rsidP="00AB2DF8">
            <w:pPr>
              <w:bidi/>
              <w:spacing w:before="40" w:after="40"/>
              <w:jc w:val="right"/>
            </w:pPr>
            <w:r>
              <w:rPr>
                <w:rFonts w:ascii="Arial" w:hAnsi="Arial" w:cs="Arial"/>
                <w:sz w:val="18"/>
                <w:szCs w:val="18"/>
              </w:rPr>
              <w:t>US$0.00</w:t>
            </w:r>
          </w:p>
        </w:tc>
      </w:tr>
      <w:tr w:rsidR="00B34642" w14:paraId="65F38860" w14:textId="77777777" w:rsidTr="00AB2DF8">
        <w:tc>
          <w:tcPr>
            <w:tcW w:w="4114" w:type="dxa"/>
          </w:tcPr>
          <w:p w14:paraId="2B52AA35" w14:textId="77777777" w:rsidR="00B34642" w:rsidRDefault="007F6801">
            <w:pPr>
              <w:spacing w:before="40" w:after="40"/>
              <w:ind w:left="115" w:hanging="115"/>
            </w:pPr>
            <w:r>
              <w:rPr>
                <w:rFonts w:ascii="Arial" w:hAnsi="Arial" w:cs="Arial"/>
                <w:sz w:val="18"/>
                <w:szCs w:val="18"/>
              </w:rPr>
              <w:t>▪ Disbursement period:</w:t>
            </w:r>
          </w:p>
        </w:tc>
        <w:tc>
          <w:tcPr>
            <w:tcW w:w="4256" w:type="dxa"/>
          </w:tcPr>
          <w:p w14:paraId="1D5877AA" w14:textId="77777777" w:rsidR="00B34642" w:rsidRDefault="007F6801" w:rsidP="00AB2DF8">
            <w:pPr>
              <w:bidi/>
              <w:spacing w:before="40" w:after="40"/>
              <w:jc w:val="right"/>
            </w:pPr>
            <w:r>
              <w:rPr>
                <w:rFonts w:ascii="Arial" w:hAnsi="Arial" w:cs="Arial"/>
                <w:sz w:val="18"/>
                <w:szCs w:val="18"/>
              </w:rPr>
              <w:t>30 months</w:t>
            </w:r>
          </w:p>
        </w:tc>
      </w:tr>
      <w:tr w:rsidR="00B34642" w14:paraId="3DB38BC2" w14:textId="77777777" w:rsidTr="00AB2DF8">
        <w:tc>
          <w:tcPr>
            <w:tcW w:w="4114" w:type="dxa"/>
          </w:tcPr>
          <w:p w14:paraId="4AC3BFFD" w14:textId="77777777" w:rsidR="00B34642" w:rsidRDefault="007F6801">
            <w:pPr>
              <w:spacing w:before="40" w:after="40"/>
              <w:ind w:left="115" w:hanging="115"/>
            </w:pPr>
            <w:r>
              <w:rPr>
                <w:rFonts w:ascii="Arial" w:hAnsi="Arial" w:cs="Arial"/>
                <w:sz w:val="18"/>
                <w:szCs w:val="18"/>
              </w:rPr>
              <w:t>▪ Types of consultants:</w:t>
            </w:r>
          </w:p>
        </w:tc>
        <w:tc>
          <w:tcPr>
            <w:tcW w:w="4256" w:type="dxa"/>
          </w:tcPr>
          <w:p w14:paraId="52A92314" w14:textId="77777777" w:rsidR="00B34642" w:rsidRDefault="007F6801">
            <w:pPr>
              <w:spacing w:before="40" w:after="40"/>
            </w:pPr>
            <w:r>
              <w:rPr>
                <w:rFonts w:ascii="Arial" w:hAnsi="Arial" w:cs="Arial"/>
                <w:sz w:val="18"/>
                <w:szCs w:val="18"/>
              </w:rPr>
              <w:t>Individuals; Firms</w:t>
            </w:r>
          </w:p>
        </w:tc>
      </w:tr>
      <w:tr w:rsidR="00B34642" w14:paraId="1E3AF85F" w14:textId="77777777" w:rsidTr="00AB2DF8">
        <w:tc>
          <w:tcPr>
            <w:tcW w:w="4114" w:type="dxa"/>
          </w:tcPr>
          <w:p w14:paraId="2C0574FC" w14:textId="77777777" w:rsidR="00B34642" w:rsidRDefault="007F6801">
            <w:pPr>
              <w:spacing w:before="40" w:after="40"/>
              <w:ind w:left="115" w:hanging="115"/>
            </w:pPr>
            <w:r>
              <w:rPr>
                <w:rFonts w:ascii="Arial" w:hAnsi="Arial" w:cs="Arial"/>
                <w:sz w:val="18"/>
                <w:szCs w:val="18"/>
              </w:rPr>
              <w:t>▪ Prepared by Unit:</w:t>
            </w:r>
          </w:p>
        </w:tc>
        <w:tc>
          <w:tcPr>
            <w:tcW w:w="4256" w:type="dxa"/>
          </w:tcPr>
          <w:p w14:paraId="6865A36A" w14:textId="77777777" w:rsidR="00B34642" w:rsidRDefault="007F6801">
            <w:pPr>
              <w:spacing w:before="40" w:after="40"/>
            </w:pPr>
            <w:r>
              <w:rPr>
                <w:rFonts w:ascii="Arial" w:hAnsi="Arial" w:cs="Arial"/>
                <w:sz w:val="18"/>
                <w:szCs w:val="18"/>
              </w:rPr>
              <w:t>IFD/ICS - Innovation in Citizen Services Division</w:t>
            </w:r>
          </w:p>
        </w:tc>
      </w:tr>
      <w:tr w:rsidR="00B34642" w14:paraId="16C581ED" w14:textId="77777777" w:rsidTr="00AB2DF8">
        <w:tc>
          <w:tcPr>
            <w:tcW w:w="4114" w:type="dxa"/>
          </w:tcPr>
          <w:p w14:paraId="57570657" w14:textId="77777777" w:rsidR="00B34642" w:rsidRDefault="007F6801">
            <w:pPr>
              <w:spacing w:before="40" w:after="40"/>
              <w:ind w:left="115" w:hanging="115"/>
            </w:pPr>
            <w:r>
              <w:rPr>
                <w:rFonts w:ascii="Arial" w:hAnsi="Arial" w:cs="Arial"/>
                <w:sz w:val="18"/>
                <w:szCs w:val="18"/>
              </w:rPr>
              <w:t>▪ Unit of Disbursement Responsibility:</w:t>
            </w:r>
          </w:p>
        </w:tc>
        <w:tc>
          <w:tcPr>
            <w:tcW w:w="4256" w:type="dxa"/>
          </w:tcPr>
          <w:p w14:paraId="409B096D" w14:textId="77777777" w:rsidR="00B34642" w:rsidRDefault="007F6801">
            <w:pPr>
              <w:spacing w:before="40" w:after="40"/>
            </w:pPr>
            <w:r>
              <w:rPr>
                <w:rFonts w:ascii="Arial" w:hAnsi="Arial" w:cs="Arial"/>
                <w:sz w:val="18"/>
                <w:szCs w:val="18"/>
              </w:rPr>
              <w:t>IFD/ICS - Innovation in Citizen Services Division</w:t>
            </w:r>
          </w:p>
        </w:tc>
      </w:tr>
      <w:tr w:rsidR="00B34642" w14:paraId="14F8664A" w14:textId="77777777" w:rsidTr="00AB2DF8">
        <w:tc>
          <w:tcPr>
            <w:tcW w:w="4114" w:type="dxa"/>
          </w:tcPr>
          <w:p w14:paraId="32162715" w14:textId="72806841" w:rsidR="00B34642" w:rsidRDefault="007F6801">
            <w:pPr>
              <w:spacing w:before="40" w:after="40"/>
            </w:pPr>
            <w:r>
              <w:rPr>
                <w:rFonts w:ascii="Arial" w:hAnsi="Arial" w:cs="Arial"/>
                <w:sz w:val="18"/>
                <w:szCs w:val="18"/>
              </w:rPr>
              <w:t>▪ TC included in Country Strategy (y/n):</w:t>
            </w:r>
          </w:p>
        </w:tc>
        <w:tc>
          <w:tcPr>
            <w:tcW w:w="4256" w:type="dxa"/>
          </w:tcPr>
          <w:p w14:paraId="16E61D22" w14:textId="1B4AB4F4" w:rsidR="00B34642" w:rsidRDefault="007F6801">
            <w:pPr>
              <w:spacing w:before="40" w:after="40"/>
            </w:pPr>
            <w:r>
              <w:rPr>
                <w:rFonts w:ascii="Arial" w:hAnsi="Arial" w:cs="Arial"/>
                <w:sz w:val="18"/>
                <w:szCs w:val="18"/>
              </w:rPr>
              <w:t>No</w:t>
            </w:r>
          </w:p>
        </w:tc>
      </w:tr>
      <w:tr w:rsidR="00B34642" w14:paraId="1C7D82FD" w14:textId="77777777" w:rsidTr="00AB2DF8">
        <w:tc>
          <w:tcPr>
            <w:tcW w:w="4114" w:type="dxa"/>
          </w:tcPr>
          <w:p w14:paraId="1878DC8F" w14:textId="7EFD6606" w:rsidR="00B34642" w:rsidRDefault="00AB2DF8">
            <w:pPr>
              <w:spacing w:before="40" w:after="40"/>
              <w:ind w:left="115" w:hanging="115"/>
            </w:pPr>
            <w:r>
              <w:rPr>
                <w:rFonts w:ascii="Arial" w:hAnsi="Arial" w:cs="Arial"/>
                <w:sz w:val="18"/>
                <w:szCs w:val="18"/>
              </w:rPr>
              <w:t>▪ TC included in CPD (y/n):</w:t>
            </w:r>
          </w:p>
        </w:tc>
        <w:tc>
          <w:tcPr>
            <w:tcW w:w="4256" w:type="dxa"/>
          </w:tcPr>
          <w:p w14:paraId="6FB20BD9" w14:textId="7CDF17E7" w:rsidR="00B34642" w:rsidRDefault="00AB2DF8">
            <w:pPr>
              <w:spacing w:before="40" w:after="40"/>
            </w:pPr>
            <w:r>
              <w:rPr>
                <w:rFonts w:ascii="Arial" w:hAnsi="Arial" w:cs="Arial"/>
                <w:sz w:val="18"/>
                <w:szCs w:val="18"/>
              </w:rPr>
              <w:t>No</w:t>
            </w:r>
          </w:p>
        </w:tc>
      </w:tr>
      <w:tr w:rsidR="00AB2DF8" w14:paraId="734CDED3" w14:textId="77777777" w:rsidTr="00AB2DF8">
        <w:tc>
          <w:tcPr>
            <w:tcW w:w="4114" w:type="dxa"/>
          </w:tcPr>
          <w:p w14:paraId="1616E0D4" w14:textId="3C3C3751" w:rsidR="00AB2DF8" w:rsidRDefault="00AB2DF8" w:rsidP="00AB2DF8">
            <w:r>
              <w:rPr>
                <w:rFonts w:ascii="Arial" w:hAnsi="Arial" w:cs="Arial"/>
                <w:sz w:val="18"/>
                <w:szCs w:val="18"/>
              </w:rPr>
              <w:t>▪ Alignment to the Update to the Institutional Strategy 2010-2020:</w:t>
            </w:r>
          </w:p>
        </w:tc>
        <w:tc>
          <w:tcPr>
            <w:tcW w:w="4256" w:type="dxa"/>
          </w:tcPr>
          <w:p w14:paraId="06BBF258" w14:textId="6D22E9E0" w:rsidR="00AB2DF8" w:rsidRDefault="00AB2DF8" w:rsidP="00AB2DF8">
            <w:r>
              <w:rPr>
                <w:rFonts w:ascii="Arial" w:hAnsi="Arial" w:cs="Arial"/>
                <w:sz w:val="18"/>
                <w:szCs w:val="18"/>
              </w:rPr>
              <w:t>Institutional capacity and rule of law</w:t>
            </w:r>
          </w:p>
        </w:tc>
      </w:tr>
    </w:tbl>
    <w:p w14:paraId="670D4215" w14:textId="77777777" w:rsidR="00B34642" w:rsidRDefault="007F6801">
      <w:pPr>
        <w:spacing w:before="120" w:after="120"/>
        <w:ind w:left="579" w:hanging="579"/>
      </w:pPr>
      <w:r>
        <w:rPr>
          <w:rFonts w:ascii="Arial" w:hAnsi="Arial" w:cs="Arial"/>
          <w:b/>
        </w:rPr>
        <w:t>II.</w:t>
      </w:r>
      <w:r>
        <w:rPr>
          <w:rFonts w:ascii="Arial" w:hAnsi="Arial" w:cs="Arial"/>
          <w:b/>
        </w:rPr>
        <w:tab/>
        <w:t>Objective and Justification</w:t>
      </w:r>
    </w:p>
    <w:p w14:paraId="02ACFC2B" w14:textId="77777777" w:rsidR="00B34642" w:rsidRDefault="007F6801">
      <w:pPr>
        <w:spacing w:before="120" w:after="120"/>
        <w:ind w:left="579" w:hanging="579"/>
        <w:jc w:val="both"/>
      </w:pPr>
      <w:r>
        <w:rPr>
          <w:rFonts w:ascii="Arial" w:hAnsi="Arial" w:cs="Arial"/>
        </w:rPr>
        <w:t>2.1</w:t>
      </w:r>
      <w:r>
        <w:rPr>
          <w:rFonts w:ascii="Arial" w:hAnsi="Arial" w:cs="Arial"/>
        </w:rPr>
        <w:tab/>
        <w:t xml:space="preserve">The main objective of this technical cooperation is to promote the adoption and coordination of data policies within and between countries in the region. </w:t>
      </w:r>
      <w:proofErr w:type="gramStart"/>
      <w:r>
        <w:rPr>
          <w:rFonts w:ascii="Arial" w:hAnsi="Arial" w:cs="Arial"/>
        </w:rPr>
        <w:t>In particular, this</w:t>
      </w:r>
      <w:proofErr w:type="gramEnd"/>
      <w:r>
        <w:rPr>
          <w:rFonts w:ascii="Arial" w:hAnsi="Arial" w:cs="Arial"/>
        </w:rPr>
        <w:t xml:space="preserve"> TC will work on (i) creating awareness about the importance of comprehensive data policies; (ii) assessing the maturity of data protection in the region; (iii) create tools to help countries improve existing policy frameworks; and (iv) promote knowledge exchanges between countries.</w:t>
      </w:r>
    </w:p>
    <w:p w14:paraId="4152BD9C" w14:textId="77777777" w:rsidR="00B34642" w:rsidRDefault="007F6801">
      <w:pPr>
        <w:spacing w:before="120" w:after="120"/>
        <w:ind w:left="579" w:hanging="579"/>
        <w:jc w:val="both"/>
      </w:pPr>
      <w:r>
        <w:rPr>
          <w:rFonts w:ascii="Arial" w:hAnsi="Arial" w:cs="Arial"/>
        </w:rPr>
        <w:t>2.2</w:t>
      </w:r>
      <w:r>
        <w:rPr>
          <w:rFonts w:ascii="Arial" w:hAnsi="Arial" w:cs="Arial"/>
        </w:rPr>
        <w:tab/>
        <w:t>Governments have been reacting independently to different data-related challenges, creating different “groups” – committees, advisory groups, or even new agencies – each aimed at addressing a specific challenge (“Data Protection”, “Data Sharing / Interoperability”, “Open Data”, “Cybersecurity”, “Artificial Intelligence”, and “Big Data”, among others). These thematic groups, however, do not coordinate with each other, and this has resulted in both overlaps and vacuums that end up creating a more fractured landscape around data practices.</w:t>
      </w:r>
    </w:p>
    <w:p w14:paraId="1E40E829" w14:textId="662EE6BC" w:rsidR="00B34642" w:rsidRDefault="007F6801">
      <w:pPr>
        <w:spacing w:before="120" w:after="120"/>
        <w:ind w:left="579" w:hanging="579"/>
        <w:jc w:val="both"/>
      </w:pPr>
      <w:r>
        <w:rPr>
          <w:rFonts w:ascii="Arial" w:hAnsi="Arial" w:cs="Arial"/>
        </w:rPr>
        <w:t>2.3</w:t>
      </w:r>
      <w:r>
        <w:rPr>
          <w:rFonts w:ascii="Arial" w:hAnsi="Arial" w:cs="Arial"/>
        </w:rPr>
        <w:tab/>
        <w:t xml:space="preserve">Countries with a more sophisticated data infrastructure such as the US, Canada, UK, and Uruguay have recently started to adopt a more holistic approach to data that is expected to facilitate coordination and promote innovation while at the same time safeguarding the privacy and rights of individuals, ensuring adoption by all sectors, in and outside government, so that the potential benefits are effectively realized. The US and Canada have each issued a federal “Data Strategy”, UK has launched a “National Data Strategy”, and Uruguay has </w:t>
      </w:r>
      <w:r>
        <w:rPr>
          <w:rFonts w:ascii="Arial" w:hAnsi="Arial" w:cs="Arial"/>
        </w:rPr>
        <w:lastRenderedPageBreak/>
        <w:t>implemented a “Data 360” initiative. The European Union released a draft Data Governance Act in late 2020, following the launch of its Data Strategy in 2020 and the General Data Protection Regulation (GDPR), which quickly became the reference for data protection in the world. Countries and regions with less developed data landscapes will soon face the need for such approaches.</w:t>
      </w:r>
    </w:p>
    <w:p w14:paraId="3B17393F" w14:textId="77777777" w:rsidR="00B34642" w:rsidRDefault="007F6801">
      <w:pPr>
        <w:spacing w:before="120" w:after="120"/>
        <w:ind w:left="579" w:hanging="579"/>
      </w:pPr>
      <w:r>
        <w:rPr>
          <w:rFonts w:ascii="Arial" w:hAnsi="Arial" w:cs="Arial"/>
          <w:b/>
        </w:rPr>
        <w:t>III.</w:t>
      </w:r>
      <w:r>
        <w:rPr>
          <w:rFonts w:ascii="Arial" w:hAnsi="Arial" w:cs="Arial"/>
          <w:b/>
        </w:rPr>
        <w:tab/>
        <w:t>Description of Activities and Outputs</w:t>
      </w:r>
    </w:p>
    <w:p w14:paraId="04FC0340" w14:textId="77777777" w:rsidR="00B34642" w:rsidRDefault="007F6801">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I: Creation and dissemination of knowledge. </w:t>
      </w:r>
      <w:r>
        <w:rPr>
          <w:rFonts w:ascii="Arial" w:hAnsi="Arial" w:cs="Arial"/>
        </w:rPr>
        <w:t>To help make the case for a more comprehensive data policy framework, this component will focus on two activities: (i) a review of existing studies related to the economic impact of data policy frameworks; and (ii) establish a methodology for a country Data Protection assessment, to be applied in at least one country, complementing existing efforts on open data and cybersecurity.</w:t>
      </w:r>
    </w:p>
    <w:p w14:paraId="53156E2A" w14:textId="77777777" w:rsidR="00B34642" w:rsidRDefault="007F6801">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II: Development of toolkits and country support. </w:t>
      </w:r>
      <w:r>
        <w:rPr>
          <w:rFonts w:ascii="Arial" w:hAnsi="Arial" w:cs="Arial"/>
        </w:rPr>
        <w:t>This component will support the elaboration of general toolkits that will help public administrations design an overall data strategy; and will support the implementation of specific instruments in at least two administrations, namely, Jamaica and Peru. Even though the National Data Strategy needs to be specific for each country, the methodology will be designed so that it may be applicable to other countries in the region.</w:t>
      </w:r>
    </w:p>
    <w:p w14:paraId="783018C5" w14:textId="77777777" w:rsidR="00B34642" w:rsidRDefault="007F6801">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III: Regional exchanges and learning event. </w:t>
      </w:r>
      <w:r>
        <w:rPr>
          <w:rFonts w:ascii="Arial" w:hAnsi="Arial" w:cs="Arial"/>
        </w:rPr>
        <w:t>This component will support regional events (virtual and/or in person), as well as creating a first version of a learning resource (a MOOC will be explored) that will showcase the main findings of the TC and other efforts around data-related topics. The learning resource will be implemented in both Jamaica and Peru.</w:t>
      </w:r>
    </w:p>
    <w:p w14:paraId="683343C3" w14:textId="77777777" w:rsidR="00B34642" w:rsidRDefault="007F6801">
      <w:pPr>
        <w:spacing w:before="120" w:after="120"/>
        <w:ind w:left="579" w:hanging="579"/>
      </w:pPr>
      <w:r>
        <w:rPr>
          <w:rFonts w:ascii="Arial" w:hAnsi="Arial" w:cs="Arial"/>
          <w:b/>
        </w:rPr>
        <w:t>IV.</w:t>
      </w:r>
      <w:r>
        <w:rPr>
          <w:rFonts w:ascii="Arial" w:hAnsi="Arial" w:cs="Arial"/>
          <w:b/>
        </w:rPr>
        <w:tab/>
        <w:t>Budget</w:t>
      </w:r>
    </w:p>
    <w:p w14:paraId="11BB75F8" w14:textId="77777777" w:rsidR="00B34642" w:rsidRDefault="007F6801" w:rsidP="00AB2DF8">
      <w:pPr>
        <w:spacing w:before="120"/>
        <w:jc w:val="center"/>
      </w:pPr>
      <w:r>
        <w:rPr>
          <w:rFonts w:ascii="Arial" w:hAnsi="Arial" w:cs="Arial"/>
          <w:b/>
          <w:sz w:val="18"/>
          <w:szCs w:val="18"/>
        </w:rPr>
        <w:t>Indicative Budget</w:t>
      </w:r>
    </w:p>
    <w:tbl>
      <w:tblPr>
        <w:tblStyle w:val="TableGrid"/>
        <w:tblW w:w="0" w:type="auto"/>
        <w:tblInd w:w="1368" w:type="dxa"/>
        <w:tblLook w:val="04A0" w:firstRow="1" w:lastRow="0" w:firstColumn="1" w:lastColumn="0" w:noHBand="0" w:noVBand="1"/>
      </w:tblPr>
      <w:tblGrid>
        <w:gridCol w:w="4653"/>
        <w:gridCol w:w="2275"/>
      </w:tblGrid>
      <w:tr w:rsidR="00AB2DF8" w14:paraId="4D3F86C0" w14:textId="77777777" w:rsidTr="00AB2DF8">
        <w:tc>
          <w:tcPr>
            <w:tcW w:w="4770" w:type="dxa"/>
            <w:vAlign w:val="center"/>
          </w:tcPr>
          <w:p w14:paraId="5FA974AC" w14:textId="77777777" w:rsidR="00AB2DF8" w:rsidRDefault="00AB2DF8">
            <w:pPr>
              <w:spacing w:before="40" w:after="40"/>
              <w:jc w:val="center"/>
            </w:pPr>
            <w:r>
              <w:rPr>
                <w:rFonts w:ascii="Arial" w:hAnsi="Arial" w:cs="Arial"/>
                <w:b/>
                <w:sz w:val="18"/>
                <w:szCs w:val="18"/>
              </w:rPr>
              <w:t>Activity/Component</w:t>
            </w:r>
          </w:p>
        </w:tc>
        <w:tc>
          <w:tcPr>
            <w:tcW w:w="2310" w:type="dxa"/>
          </w:tcPr>
          <w:p w14:paraId="1DA49046" w14:textId="4D288F0B" w:rsidR="00AB2DF8" w:rsidRDefault="00AB2DF8">
            <w:pPr>
              <w:spacing w:before="40" w:after="40"/>
              <w:jc w:val="center"/>
            </w:pPr>
            <w:r>
              <w:rPr>
                <w:rFonts w:ascii="Arial" w:hAnsi="Arial" w:cs="Arial"/>
                <w:b/>
                <w:sz w:val="18"/>
                <w:szCs w:val="18"/>
              </w:rPr>
              <w:t>Total Funding (IDB)</w:t>
            </w:r>
          </w:p>
        </w:tc>
      </w:tr>
      <w:tr w:rsidR="00AB2DF8" w14:paraId="18A90E7E" w14:textId="77777777" w:rsidTr="00AB2DF8">
        <w:tc>
          <w:tcPr>
            <w:tcW w:w="4770" w:type="dxa"/>
            <w:vAlign w:val="center"/>
          </w:tcPr>
          <w:p w14:paraId="19214BDE" w14:textId="77777777" w:rsidR="00AB2DF8" w:rsidRDefault="00AB2DF8">
            <w:pPr>
              <w:spacing w:before="40" w:after="40"/>
            </w:pPr>
            <w:r>
              <w:rPr>
                <w:rFonts w:ascii="Arial" w:hAnsi="Arial" w:cs="Arial"/>
                <w:sz w:val="18"/>
                <w:szCs w:val="18"/>
              </w:rPr>
              <w:t>Creation and dissemination of knowledge</w:t>
            </w:r>
          </w:p>
        </w:tc>
        <w:tc>
          <w:tcPr>
            <w:tcW w:w="2310" w:type="dxa"/>
            <w:vAlign w:val="center"/>
          </w:tcPr>
          <w:p w14:paraId="140B82E4" w14:textId="77777777" w:rsidR="00AB2DF8" w:rsidRDefault="00AB2DF8">
            <w:pPr>
              <w:spacing w:before="40" w:after="40"/>
              <w:jc w:val="right"/>
            </w:pPr>
            <w:r>
              <w:rPr>
                <w:rFonts w:ascii="Arial" w:hAnsi="Arial" w:cs="Arial"/>
                <w:sz w:val="18"/>
                <w:szCs w:val="18"/>
              </w:rPr>
              <w:t>US$60,000.00</w:t>
            </w:r>
          </w:p>
        </w:tc>
      </w:tr>
      <w:tr w:rsidR="00AB2DF8" w14:paraId="26708079" w14:textId="77777777" w:rsidTr="00AB2DF8">
        <w:tc>
          <w:tcPr>
            <w:tcW w:w="4770" w:type="dxa"/>
            <w:vAlign w:val="center"/>
          </w:tcPr>
          <w:p w14:paraId="289DAAF4" w14:textId="77777777" w:rsidR="00AB2DF8" w:rsidRDefault="00AB2DF8">
            <w:pPr>
              <w:spacing w:before="40" w:after="40"/>
            </w:pPr>
            <w:r>
              <w:rPr>
                <w:rFonts w:ascii="Arial" w:hAnsi="Arial" w:cs="Arial"/>
                <w:sz w:val="18"/>
                <w:szCs w:val="18"/>
              </w:rPr>
              <w:t>Development of toolkits and country support</w:t>
            </w:r>
          </w:p>
        </w:tc>
        <w:tc>
          <w:tcPr>
            <w:tcW w:w="2310" w:type="dxa"/>
            <w:vAlign w:val="center"/>
          </w:tcPr>
          <w:p w14:paraId="679A5309" w14:textId="77777777" w:rsidR="00AB2DF8" w:rsidRDefault="00AB2DF8">
            <w:pPr>
              <w:spacing w:before="40" w:after="40"/>
              <w:jc w:val="right"/>
            </w:pPr>
            <w:r>
              <w:rPr>
                <w:rFonts w:ascii="Arial" w:hAnsi="Arial" w:cs="Arial"/>
                <w:sz w:val="18"/>
                <w:szCs w:val="18"/>
              </w:rPr>
              <w:t>US$80,000.00</w:t>
            </w:r>
          </w:p>
        </w:tc>
      </w:tr>
      <w:tr w:rsidR="007F6801" w14:paraId="2DAC52A5" w14:textId="77777777" w:rsidTr="00AB2DF8">
        <w:tc>
          <w:tcPr>
            <w:tcW w:w="4770" w:type="dxa"/>
            <w:vAlign w:val="center"/>
          </w:tcPr>
          <w:p w14:paraId="4AFB7744" w14:textId="77777777" w:rsidR="007F6801" w:rsidRDefault="007F6801">
            <w:pPr>
              <w:spacing w:before="40" w:after="40"/>
              <w:rPr>
                <w:rFonts w:ascii="Arial" w:hAnsi="Arial" w:cs="Arial"/>
                <w:sz w:val="18"/>
                <w:szCs w:val="18"/>
              </w:rPr>
            </w:pPr>
          </w:p>
        </w:tc>
        <w:tc>
          <w:tcPr>
            <w:tcW w:w="2310" w:type="dxa"/>
            <w:vAlign w:val="center"/>
          </w:tcPr>
          <w:p w14:paraId="2C1B482B" w14:textId="77777777" w:rsidR="007F6801" w:rsidRDefault="007F6801">
            <w:pPr>
              <w:spacing w:before="40" w:after="40"/>
              <w:jc w:val="right"/>
              <w:rPr>
                <w:rFonts w:ascii="Arial" w:hAnsi="Arial" w:cs="Arial"/>
                <w:sz w:val="18"/>
                <w:szCs w:val="18"/>
              </w:rPr>
            </w:pPr>
          </w:p>
        </w:tc>
      </w:tr>
      <w:tr w:rsidR="00AB2DF8" w14:paraId="1D19C107" w14:textId="77777777" w:rsidTr="00AB2DF8">
        <w:tc>
          <w:tcPr>
            <w:tcW w:w="4770" w:type="dxa"/>
            <w:vAlign w:val="center"/>
          </w:tcPr>
          <w:p w14:paraId="44FD73A1" w14:textId="77777777" w:rsidR="00AB2DF8" w:rsidRDefault="00AB2DF8">
            <w:pPr>
              <w:spacing w:before="40" w:after="40"/>
            </w:pPr>
            <w:r>
              <w:rPr>
                <w:rFonts w:ascii="Arial" w:hAnsi="Arial" w:cs="Arial"/>
                <w:sz w:val="18"/>
                <w:szCs w:val="18"/>
              </w:rPr>
              <w:t>Regional exchanges and learning event</w:t>
            </w:r>
          </w:p>
        </w:tc>
        <w:tc>
          <w:tcPr>
            <w:tcW w:w="2310" w:type="dxa"/>
            <w:vAlign w:val="center"/>
          </w:tcPr>
          <w:p w14:paraId="697DE07B" w14:textId="77777777" w:rsidR="00AB2DF8" w:rsidRDefault="00AB2DF8">
            <w:pPr>
              <w:spacing w:before="40" w:after="40"/>
              <w:jc w:val="right"/>
            </w:pPr>
            <w:r>
              <w:rPr>
                <w:rFonts w:ascii="Arial" w:hAnsi="Arial" w:cs="Arial"/>
                <w:sz w:val="18"/>
                <w:szCs w:val="18"/>
              </w:rPr>
              <w:t>US$60,000.00</w:t>
            </w:r>
          </w:p>
        </w:tc>
      </w:tr>
      <w:tr w:rsidR="00AB2DF8" w14:paraId="339DFFEE" w14:textId="77777777" w:rsidTr="00AB2DF8">
        <w:tc>
          <w:tcPr>
            <w:tcW w:w="4770" w:type="dxa"/>
            <w:vAlign w:val="center"/>
          </w:tcPr>
          <w:p w14:paraId="000EE411" w14:textId="77777777" w:rsidR="00AB2DF8" w:rsidRDefault="00AB2DF8">
            <w:pPr>
              <w:spacing w:before="40" w:after="40"/>
            </w:pPr>
            <w:r>
              <w:rPr>
                <w:rFonts w:ascii="Arial" w:hAnsi="Arial" w:cs="Arial"/>
                <w:b/>
                <w:sz w:val="18"/>
                <w:szCs w:val="18"/>
              </w:rPr>
              <w:t>Total</w:t>
            </w:r>
          </w:p>
        </w:tc>
        <w:tc>
          <w:tcPr>
            <w:tcW w:w="2310" w:type="dxa"/>
            <w:vAlign w:val="center"/>
          </w:tcPr>
          <w:p w14:paraId="1047F566" w14:textId="77777777" w:rsidR="00AB2DF8" w:rsidRDefault="00AB2DF8">
            <w:pPr>
              <w:spacing w:before="40" w:after="40"/>
              <w:jc w:val="right"/>
            </w:pPr>
            <w:r>
              <w:rPr>
                <w:rFonts w:ascii="Arial" w:hAnsi="Arial" w:cs="Arial"/>
                <w:b/>
                <w:sz w:val="18"/>
                <w:szCs w:val="18"/>
              </w:rPr>
              <w:t>US$200,000.00</w:t>
            </w:r>
          </w:p>
        </w:tc>
      </w:tr>
    </w:tbl>
    <w:p w14:paraId="4F7017F0" w14:textId="77777777" w:rsidR="00B34642" w:rsidRDefault="007F6801">
      <w:pPr>
        <w:spacing w:before="120" w:after="120"/>
        <w:ind w:left="579" w:hanging="579"/>
      </w:pPr>
      <w:r>
        <w:rPr>
          <w:rFonts w:ascii="Arial" w:hAnsi="Arial" w:cs="Arial"/>
          <w:b/>
        </w:rPr>
        <w:t>V.</w:t>
      </w:r>
      <w:r>
        <w:rPr>
          <w:rFonts w:ascii="Arial" w:hAnsi="Arial" w:cs="Arial"/>
          <w:b/>
        </w:rPr>
        <w:tab/>
        <w:t>Executing Agency and Execution Structure</w:t>
      </w:r>
    </w:p>
    <w:p w14:paraId="1A534129" w14:textId="57F42D07" w:rsidR="00B34642" w:rsidRDefault="007F6801">
      <w:pPr>
        <w:spacing w:before="200" w:after="200"/>
        <w:ind w:left="579" w:hanging="579"/>
        <w:jc w:val="both"/>
      </w:pPr>
      <w:r>
        <w:rPr>
          <w:rFonts w:ascii="Arial" w:hAnsi="Arial" w:cs="Arial"/>
        </w:rPr>
        <w:t>5.1</w:t>
      </w:r>
      <w:r>
        <w:rPr>
          <w:rFonts w:ascii="Arial" w:hAnsi="Arial" w:cs="Arial"/>
        </w:rPr>
        <w:tab/>
        <w:t>The executing agency for this TC will be the IDB, under responsibility of IFD/ICS.</w:t>
      </w:r>
    </w:p>
    <w:p w14:paraId="06F775C0" w14:textId="77777777" w:rsidR="00B34642" w:rsidRDefault="007F6801">
      <w:pPr>
        <w:spacing w:before="200" w:after="200"/>
        <w:ind w:left="579" w:hanging="579"/>
        <w:jc w:val="both"/>
      </w:pPr>
      <w:r>
        <w:rPr>
          <w:rFonts w:ascii="Arial" w:hAnsi="Arial" w:cs="Arial"/>
        </w:rPr>
        <w:t>5.2</w:t>
      </w:r>
      <w:r>
        <w:rPr>
          <w:rFonts w:ascii="Arial" w:hAnsi="Arial" w:cs="Arial"/>
        </w:rPr>
        <w:tab/>
        <w:t xml:space="preserve">A regional entity with legal capacity to execute the TC in both countries (and/or others that may be added) and with technical knowledge of the topic </w:t>
      </w:r>
      <w:proofErr w:type="gramStart"/>
      <w:r>
        <w:rPr>
          <w:rFonts w:ascii="Arial" w:hAnsi="Arial" w:cs="Arial"/>
        </w:rPr>
        <w:t>can’t</w:t>
      </w:r>
      <w:proofErr w:type="gramEnd"/>
      <w:r>
        <w:rPr>
          <w:rFonts w:ascii="Arial" w:hAnsi="Arial" w:cs="Arial"/>
        </w:rPr>
        <w:t xml:space="preserve"> be identified. Thus, it would be appropriate for the Bank to carry out the implementation of the project. Additionally, the Bank has provided technical assistance around data-related topics to different countries in the region, supporting initiatives related to open data, data protection, and algorithmic auditing. This has positioned the Bank as a key player in disseminating best practices around the region in this relatively nascent field.</w:t>
      </w:r>
    </w:p>
    <w:p w14:paraId="5E6CEE89" w14:textId="77777777" w:rsidR="00B34642" w:rsidRDefault="007F6801">
      <w:pPr>
        <w:spacing w:before="120" w:after="120"/>
        <w:ind w:left="579" w:hanging="579"/>
      </w:pPr>
      <w:r>
        <w:rPr>
          <w:rFonts w:ascii="Arial" w:hAnsi="Arial" w:cs="Arial"/>
          <w:b/>
        </w:rPr>
        <w:t>VI.</w:t>
      </w:r>
      <w:r>
        <w:rPr>
          <w:rFonts w:ascii="Arial" w:hAnsi="Arial" w:cs="Arial"/>
          <w:b/>
        </w:rPr>
        <w:tab/>
        <w:t>Project Risks and Issues</w:t>
      </w:r>
    </w:p>
    <w:p w14:paraId="1407E8EC" w14:textId="77777777" w:rsidR="00B34642" w:rsidRDefault="007F6801">
      <w:pPr>
        <w:spacing w:before="200" w:after="200"/>
        <w:ind w:left="579" w:hanging="579"/>
        <w:jc w:val="both"/>
      </w:pPr>
      <w:r>
        <w:rPr>
          <w:rFonts w:ascii="Arial" w:hAnsi="Arial" w:cs="Arial"/>
        </w:rPr>
        <w:t>6.1</w:t>
      </w:r>
      <w:r>
        <w:rPr>
          <w:rFonts w:ascii="Arial" w:hAnsi="Arial" w:cs="Arial"/>
        </w:rPr>
        <w:tab/>
        <w:t xml:space="preserve">The main risk is related to follow-up of recommendations and action plan that will stem from the design of the National Data Strategies (Component 2). </w:t>
      </w:r>
      <w:proofErr w:type="gramStart"/>
      <w:r>
        <w:rPr>
          <w:rFonts w:ascii="Arial" w:hAnsi="Arial" w:cs="Arial"/>
        </w:rPr>
        <w:t>Taking into account</w:t>
      </w:r>
      <w:proofErr w:type="gramEnd"/>
      <w:r>
        <w:rPr>
          <w:rFonts w:ascii="Arial" w:hAnsi="Arial" w:cs="Arial"/>
        </w:rPr>
        <w:t xml:space="preserve"> the extent of change in public administration that other countries’ strategies have proposed, it is possible that governments will not be able to </w:t>
      </w:r>
      <w:r>
        <w:rPr>
          <w:rFonts w:ascii="Arial" w:hAnsi="Arial" w:cs="Arial"/>
        </w:rPr>
        <w:lastRenderedPageBreak/>
        <w:t>follow through with implementation. To mitigate this, the action plan to be designed as part of the strategy will include a component to secure political and financial resources that will help maintain the strategy and its implementation.</w:t>
      </w:r>
    </w:p>
    <w:p w14:paraId="0E7F4F79" w14:textId="77777777" w:rsidR="00B34642" w:rsidRDefault="007F6801">
      <w:pPr>
        <w:spacing w:before="120" w:after="120"/>
        <w:ind w:left="579" w:hanging="579"/>
      </w:pPr>
      <w:r>
        <w:rPr>
          <w:rFonts w:ascii="Arial" w:hAnsi="Arial" w:cs="Arial"/>
          <w:b/>
        </w:rPr>
        <w:t>VII.</w:t>
      </w:r>
      <w:r>
        <w:rPr>
          <w:rFonts w:ascii="Arial" w:hAnsi="Arial" w:cs="Arial"/>
          <w:b/>
        </w:rPr>
        <w:tab/>
        <w:t>Environmental and Social Classification</w:t>
      </w:r>
    </w:p>
    <w:p w14:paraId="45188F1A" w14:textId="77777777" w:rsidR="00B34642" w:rsidRDefault="007F6801">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B34642" w:rsidSect="00C206A7">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57EE7" w14:textId="77777777" w:rsidR="0038052D" w:rsidRDefault="0038052D">
      <w:r>
        <w:separator/>
      </w:r>
    </w:p>
  </w:endnote>
  <w:endnote w:type="continuationSeparator" w:id="0">
    <w:p w14:paraId="4E5D719E" w14:textId="77777777" w:rsidR="0038052D" w:rsidRDefault="00380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69DFD" w14:textId="77777777" w:rsidR="00B34642" w:rsidRDefault="007F6801">
    <w:pPr>
      <w:pStyle w:val="FooterStyle"/>
      <w:jc w:val="center"/>
    </w:pPr>
    <w:r>
      <w:t xml:space="preserve"> - </w:t>
    </w:r>
    <w:r>
      <w:fldChar w:fldCharType="begin"/>
    </w:r>
    <w:r>
      <w:instrText xml:space="preserve"> PAGE </w:instrText>
    </w:r>
    <w:r>
      <w:fldChar w:fldCharType="separate"/>
    </w:r>
    <w:r w:rsidR="00AB2DF8">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50B69" w14:textId="77777777" w:rsidR="0038052D" w:rsidRDefault="0038052D">
      <w:r>
        <w:separator/>
      </w:r>
    </w:p>
  </w:footnote>
  <w:footnote w:type="continuationSeparator" w:id="0">
    <w:p w14:paraId="60501E30" w14:textId="77777777" w:rsidR="0038052D" w:rsidRDefault="00380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38052D"/>
    <w:rsid w:val="007F6801"/>
    <w:rsid w:val="00A906D8"/>
    <w:rsid w:val="00AB2DF8"/>
    <w:rsid w:val="00AB5A74"/>
    <w:rsid w:val="00B34642"/>
    <w:rsid w:val="00C10159"/>
    <w:rsid w:val="00C206A7"/>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4608D"/>
  <w15:docId w15:val="{210FC506-055A-446F-9B05-330E42A6C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17BAC19DAA99646BC2B483385634A80" ma:contentTypeVersion="0" ma:contentTypeDescription="The base project type from which other project content types inherit their information." ma:contentTypeScope="" ma:versionID="e2db5be75f9066909894e1f06615e0d3">
  <xsd:schema xmlns:xsd="http://www.w3.org/2001/XMLSchema" xmlns:xs="http://www.w3.org/2001/XMLSchema" xmlns:p="http://schemas.microsoft.com/office/2006/metadata/properties" xmlns:ns2="cdc7663a-08f0-4737-9e8c-148ce897a09c" targetNamespace="http://schemas.microsoft.com/office/2006/metadata/properties" ma:root="true" ma:fieldsID="ccc007e42bc35dabe9ab296effcb67c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D8A3208FB5EBB48BEDE6754A3033BAC" ma:contentTypeVersion="0" ma:contentTypeDescription="A content type to manage public (operations) IDB documents" ma:contentTypeScope="" ma:versionID="de52f21ffb3d684ea856e4bffdad35cc">
  <xsd:schema xmlns:xsd="http://www.w3.org/2001/XMLSchema" xmlns:xs="http://www.w3.org/2001/XMLSchema" xmlns:p="http://schemas.microsoft.com/office/2006/metadata/properties" xmlns:ns2="cdc7663a-08f0-4737-9e8c-148ce897a09c" targetNamespace="http://schemas.microsoft.com/office/2006/metadata/properties" ma:root="true" ma:fieldsID="93231262c1b4fc7adaa4168d3abbbc1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Muente Kunigami, Arturo</Other_x0020_Author>
    <Migration_x0020_Info xmlns="cdc7663a-08f0-4737-9e8c-148ce897a09c" xsi:nil="true"/>
    <Approval_x0020_Number xmlns="cdc7663a-08f0-4737-9e8c-148ce897a09c" xsi:nil="true"/>
    <Phase xmlns="cdc7663a-08f0-4737-9e8c-148ce897a09c">PHASE_PREPARATION</Phase>
    <Document_x0020_Author xmlns="cdc7663a-08f0-4737-9e8c-148ce897a09c">Aguilar Blandon Maria Alejandra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432</Value>
      <Value>56</Value>
      <Value>44</Value>
      <Value>1</Value>
      <Value>378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RG-T3867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Extracted_x0020_Keywords xmlns="cdc7663a-08f0-4737-9e8c-148ce897a09c"/>
    <_dlc_DocId xmlns="cdc7663a-08f0-4737-9e8c-148ce897a09c">EZSHARE-1113329753-3</_dlc_DocId>
    <_dlc_DocIdUrl xmlns="cdc7663a-08f0-4737-9e8c-148ce897a09c">
      <Url>https://idbg.sharepoint.com/teams/EZ-RG-TCP/RG-T3867/_layouts/15/DocIdRedir.aspx?ID=EZSHARE-1113329753-3</Url>
      <Description>EZSHARE-1113329753-3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919F8CA-9805-4B33-AE66-BAAE29956889}"/>
</file>

<file path=customXml/itemProps2.xml><?xml version="1.0" encoding="utf-8"?>
<ds:datastoreItem xmlns:ds="http://schemas.openxmlformats.org/officeDocument/2006/customXml" ds:itemID="{DE41294B-9FD2-4DEB-9145-89CE097A2271}"/>
</file>

<file path=customXml/itemProps3.xml><?xml version="1.0" encoding="utf-8"?>
<ds:datastoreItem xmlns:ds="http://schemas.openxmlformats.org/officeDocument/2006/customXml" ds:itemID="{5AE0AC37-6C40-4E5A-A051-76D497EA2EAF}"/>
</file>

<file path=customXml/itemProps4.xml><?xml version="1.0" encoding="utf-8"?>
<ds:datastoreItem xmlns:ds="http://schemas.openxmlformats.org/officeDocument/2006/customXml" ds:itemID="{73C1E7BB-227E-4B00-BD77-C7BFE93C9D71}"/>
</file>

<file path=customXml/itemProps5.xml><?xml version="1.0" encoding="utf-8"?>
<ds:datastoreItem xmlns:ds="http://schemas.openxmlformats.org/officeDocument/2006/customXml" ds:itemID="{26E1870A-61E2-4415-B214-08C31218448A}"/>
</file>

<file path=customXml/itemProps6.xml><?xml version="1.0" encoding="utf-8"?>
<ds:datastoreItem xmlns:ds="http://schemas.openxmlformats.org/officeDocument/2006/customXml" ds:itemID="{C46EAFE7-E31F-4E62-B945-D18D9794CB0C}"/>
</file>

<file path=docProps/app.xml><?xml version="1.0" encoding="utf-8"?>
<Properties xmlns="http://schemas.openxmlformats.org/officeDocument/2006/extended-properties" xmlns:vt="http://schemas.openxmlformats.org/officeDocument/2006/docPropsVTypes">
  <Template>Normal</Template>
  <TotalTime>2</TotalTime>
  <Pages>3</Pages>
  <Words>918</Words>
  <Characters>5180</Characters>
  <Application>Microsoft Office Word</Application>
  <DocSecurity>0</DocSecurity>
  <Lines>123</Lines>
  <Paragraphs>76</Paragraphs>
  <ScaleCrop>false</ScaleCrop>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Aguilar Blandon, Maria Alejandra</dc:creator>
  <cp:keywords/>
  <cp:lastModifiedBy>Aguilar Blandon, Maria Alejandra</cp:lastModifiedBy>
  <cp:revision>3</cp:revision>
  <dcterms:created xsi:type="dcterms:W3CDTF">2021-07-19T18:32:00Z</dcterms:created>
  <dcterms:modified xsi:type="dcterms:W3CDTF">2021-07-19T18:33:00Z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432;#E-GOVERNMENT|281505e9-fdf9-47b0-b36a-d5df63f0fdea</vt:lpwstr>
  </property>
  <property fmtid="{D5CDD505-2E9C-101B-9397-08002B2CF9AE}" pid="13" name="Fund IDB">
    <vt:lpwstr>378;#INS|e59f52b4-6a5d-4c44-8c43-084396cc07ba</vt:lpwstr>
  </property>
  <property fmtid="{D5CDD505-2E9C-101B-9397-08002B2CF9AE}" pid="14" name="Sector IDB">
    <vt:lpwstr>56;#REFORM / MODERNIZATION OF THE STATE|c8fda4a7-691a-4c65-b227-9825197b5cd2</vt:lpwstr>
  </property>
  <property fmtid="{D5CDD505-2E9C-101B-9397-08002B2CF9AE}" pid="15" name="_dlc_DocIdItemGuid">
    <vt:lpwstr>1baf91e6-30cb-46b6-b3f9-b86fbe22ed34</vt:lpwstr>
  </property>
  <property fmtid="{D5CDD505-2E9C-101B-9397-08002B2CF9AE}" pid="16" name="Disclosure Activity">
    <vt:lpwstr>TC Abstract</vt:lpwstr>
  </property>
  <property fmtid="{D5CDD505-2E9C-101B-9397-08002B2CF9AE}" pid="18" name="ContentTypeId">
    <vt:lpwstr>0x0101001A458A224826124E8B45B1D613300CFC004D8A3208FB5EBB48BEDE6754A3033BAC</vt:lpwstr>
  </property>
  <property fmtid="{D5CDD505-2E9C-101B-9397-08002B2CF9AE}" pid="19" name="Series Operations IDB">
    <vt:lpwstr/>
  </property>
</Properties>
</file>