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harts/chart7.xml" ContentType="application/vnd.openxmlformats-officedocument.drawingml.chart+xml"/>
  <Override PartName="/word/charts/chart8.xml" ContentType="application/vnd.openxmlformats-officedocument.drawingml.chart+xml"/>
  <Override PartName="/word/theme/theme1.xml" ContentType="application/vnd.openxmlformats-officedocument.theme+xml"/>
  <Override PartName="/word/charts/chart6.xml" ContentType="application/vnd.openxmlformats-officedocument.drawingml.chart+xml"/>
  <Override PartName="/word/charts/chart5.xml" ContentType="application/vnd.openxmlformats-officedocument.drawingml.chart+xml"/>
  <Override PartName="/word/charts/chart4.xml" ContentType="application/vnd.openxmlformats-officedocument.drawingml.chart+xml"/>
  <Override PartName="/word/charts/chart1.xml" ContentType="application/vnd.openxmlformats-officedocument.drawingml.chart+xml"/>
  <Override PartName="/word/charts/chart3.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A8C" w:rsidRDefault="00D35A6C" w:rsidP="00D35A6C">
      <w:pPr>
        <w:ind w:left="360"/>
        <w:jc w:val="center"/>
        <w:rPr>
          <w:rFonts w:ascii="Times New Roman" w:eastAsia="Times New Roman" w:hAnsi="Times New Roman" w:cs="Times New Roman"/>
          <w:b/>
          <w:smallCaps w:val="0"/>
          <w:color w:val="auto"/>
          <w:sz w:val="24"/>
          <w:szCs w:val="24"/>
          <w:u w:val="none"/>
          <w:lang w:val="es-ES" w:eastAsia="es-ES"/>
        </w:rPr>
      </w:pPr>
      <w:r>
        <w:rPr>
          <w:rFonts w:ascii="Times New Roman" w:eastAsia="Times New Roman" w:hAnsi="Times New Roman" w:cs="Times New Roman"/>
          <w:b/>
          <w:smallCaps w:val="0"/>
          <w:color w:val="auto"/>
          <w:sz w:val="24"/>
          <w:szCs w:val="24"/>
          <w:u w:val="none"/>
          <w:lang w:val="es-ES" w:eastAsia="es-ES"/>
        </w:rPr>
        <w:t>P</w:t>
      </w:r>
      <w:r w:rsidR="00B65A78" w:rsidRPr="00D46A8C">
        <w:rPr>
          <w:rFonts w:ascii="Times New Roman" w:eastAsia="Times New Roman" w:hAnsi="Times New Roman" w:cs="Times New Roman"/>
          <w:b/>
          <w:smallCaps w:val="0"/>
          <w:color w:val="auto"/>
          <w:sz w:val="24"/>
          <w:szCs w:val="24"/>
          <w:u w:val="none"/>
          <w:lang w:val="es-ES" w:eastAsia="es-ES"/>
        </w:rPr>
        <w:t>roblemática asociada con la deficiencia en el suministro o provisión de Servicios Públicos</w:t>
      </w:r>
    </w:p>
    <w:p w:rsidR="008E69E1" w:rsidRPr="00D46A8C" w:rsidRDefault="00D46A8C" w:rsidP="00D46A8C">
      <w:pPr>
        <w:snapToGrid w:val="0"/>
        <w:spacing w:after="0" w:line="240" w:lineRule="auto"/>
        <w:jc w:val="both"/>
        <w:rPr>
          <w:rFonts w:ascii="Times New Roman" w:eastAsia="Times New Roman" w:hAnsi="Times New Roman" w:cs="Times New Roman"/>
          <w:smallCaps w:val="0"/>
          <w:color w:val="auto"/>
          <w:sz w:val="24"/>
          <w:szCs w:val="24"/>
          <w:u w:val="none"/>
          <w:lang w:val="es-ES" w:eastAsia="es-ES"/>
        </w:rPr>
      </w:pPr>
      <w:r>
        <w:rPr>
          <w:rFonts w:ascii="Times New Roman" w:eastAsia="Times New Roman" w:hAnsi="Times New Roman" w:cs="Times New Roman"/>
          <w:smallCaps w:val="0"/>
          <w:color w:val="auto"/>
          <w:sz w:val="24"/>
          <w:szCs w:val="24"/>
          <w:u w:val="none"/>
          <w:lang w:val="es-ES" w:eastAsia="es-ES"/>
        </w:rPr>
        <w:t xml:space="preserve">A continuación </w:t>
      </w:r>
      <w:r w:rsidR="00D35A6C">
        <w:rPr>
          <w:rFonts w:ascii="Times New Roman" w:eastAsia="Times New Roman" w:hAnsi="Times New Roman" w:cs="Times New Roman"/>
          <w:smallCaps w:val="0"/>
          <w:color w:val="auto"/>
          <w:sz w:val="24"/>
          <w:szCs w:val="24"/>
          <w:u w:val="none"/>
          <w:lang w:val="es-ES" w:eastAsia="es-ES"/>
        </w:rPr>
        <w:t xml:space="preserve">se muestran indicadores que </w:t>
      </w:r>
      <w:r>
        <w:rPr>
          <w:rFonts w:ascii="Times New Roman" w:eastAsia="Times New Roman" w:hAnsi="Times New Roman" w:cs="Times New Roman"/>
          <w:smallCaps w:val="0"/>
          <w:color w:val="auto"/>
          <w:sz w:val="24"/>
          <w:szCs w:val="24"/>
          <w:u w:val="none"/>
          <w:lang w:val="es-ES" w:eastAsia="es-ES"/>
        </w:rPr>
        <w:t>refleja</w:t>
      </w:r>
      <w:r w:rsidR="00D35A6C">
        <w:rPr>
          <w:rFonts w:ascii="Times New Roman" w:eastAsia="Times New Roman" w:hAnsi="Times New Roman" w:cs="Times New Roman"/>
          <w:smallCaps w:val="0"/>
          <w:color w:val="auto"/>
          <w:sz w:val="24"/>
          <w:szCs w:val="24"/>
          <w:u w:val="none"/>
          <w:lang w:val="es-ES" w:eastAsia="es-ES"/>
        </w:rPr>
        <w:t>n</w:t>
      </w:r>
      <w:r>
        <w:rPr>
          <w:rFonts w:ascii="Times New Roman" w:eastAsia="Times New Roman" w:hAnsi="Times New Roman" w:cs="Times New Roman"/>
          <w:smallCaps w:val="0"/>
          <w:color w:val="auto"/>
          <w:sz w:val="24"/>
          <w:szCs w:val="24"/>
          <w:u w:val="none"/>
          <w:lang w:val="es-ES" w:eastAsia="es-ES"/>
        </w:rPr>
        <w:t xml:space="preserve"> la </w:t>
      </w:r>
      <w:r w:rsidR="00B65A78" w:rsidRPr="00D46A8C">
        <w:rPr>
          <w:rFonts w:ascii="Times New Roman" w:eastAsia="Times New Roman" w:hAnsi="Times New Roman" w:cs="Times New Roman"/>
          <w:smallCaps w:val="0"/>
          <w:color w:val="auto"/>
          <w:sz w:val="24"/>
          <w:szCs w:val="24"/>
          <w:u w:val="none"/>
          <w:lang w:val="es-ES" w:eastAsia="es-ES"/>
        </w:rPr>
        <w:t xml:space="preserve">desigualdad en cobertura </w:t>
      </w:r>
      <w:r>
        <w:rPr>
          <w:rFonts w:ascii="Times New Roman" w:eastAsia="Times New Roman" w:hAnsi="Times New Roman" w:cs="Times New Roman"/>
          <w:smallCaps w:val="0"/>
          <w:color w:val="auto"/>
          <w:sz w:val="24"/>
          <w:szCs w:val="24"/>
          <w:u w:val="none"/>
          <w:lang w:val="es-ES" w:eastAsia="es-ES"/>
        </w:rPr>
        <w:t xml:space="preserve">a nivel </w:t>
      </w:r>
      <w:r w:rsidR="00B65A78" w:rsidRPr="00D46A8C">
        <w:rPr>
          <w:rFonts w:ascii="Times New Roman" w:eastAsia="Times New Roman" w:hAnsi="Times New Roman" w:cs="Times New Roman"/>
          <w:smallCaps w:val="0"/>
          <w:color w:val="auto"/>
          <w:sz w:val="24"/>
          <w:szCs w:val="24"/>
          <w:u w:val="none"/>
          <w:lang w:val="es-ES" w:eastAsia="es-ES"/>
        </w:rPr>
        <w:t>urbano</w:t>
      </w:r>
      <w:r>
        <w:rPr>
          <w:rFonts w:ascii="Times New Roman" w:eastAsia="Times New Roman" w:hAnsi="Times New Roman" w:cs="Times New Roman"/>
          <w:smallCaps w:val="0"/>
          <w:color w:val="auto"/>
          <w:sz w:val="24"/>
          <w:szCs w:val="24"/>
          <w:u w:val="none"/>
          <w:lang w:val="es-ES" w:eastAsia="es-ES"/>
        </w:rPr>
        <w:t>/r</w:t>
      </w:r>
      <w:r w:rsidR="00B65A78" w:rsidRPr="00D46A8C">
        <w:rPr>
          <w:rFonts w:ascii="Times New Roman" w:eastAsia="Times New Roman" w:hAnsi="Times New Roman" w:cs="Times New Roman"/>
          <w:smallCaps w:val="0"/>
          <w:color w:val="auto"/>
          <w:sz w:val="24"/>
          <w:szCs w:val="24"/>
          <w:u w:val="none"/>
          <w:lang w:val="es-ES" w:eastAsia="es-ES"/>
        </w:rPr>
        <w:t xml:space="preserve">ural o entre regiones. </w:t>
      </w:r>
    </w:p>
    <w:p w:rsidR="00D619B3" w:rsidRDefault="00D619B3" w:rsidP="00B65A78">
      <w:pPr>
        <w:snapToGrid w:val="0"/>
        <w:spacing w:after="0" w:line="240" w:lineRule="auto"/>
        <w:jc w:val="both"/>
        <w:rPr>
          <w:rFonts w:ascii="Times New Roman" w:eastAsia="Times New Roman" w:hAnsi="Times New Roman" w:cs="Times New Roman"/>
          <w:b/>
          <w:smallCaps w:val="0"/>
          <w:color w:val="auto"/>
          <w:sz w:val="24"/>
          <w:szCs w:val="24"/>
          <w:u w:val="none"/>
          <w:lang w:val="es-ES" w:eastAsia="es-ES"/>
        </w:rPr>
      </w:pPr>
    </w:p>
    <w:p w:rsidR="00B65A78" w:rsidRPr="00B65A78" w:rsidRDefault="00B65A78" w:rsidP="00B65A78">
      <w:pPr>
        <w:snapToGrid w:val="0"/>
        <w:spacing w:after="0" w:line="240" w:lineRule="auto"/>
        <w:jc w:val="both"/>
        <w:rPr>
          <w:rFonts w:ascii="Times New Roman" w:eastAsia="Times New Roman" w:hAnsi="Times New Roman" w:cs="Times New Roman"/>
          <w:b/>
          <w:smallCaps w:val="0"/>
          <w:color w:val="auto"/>
          <w:sz w:val="24"/>
          <w:szCs w:val="24"/>
          <w:u w:val="none"/>
          <w:lang w:val="es-ES" w:eastAsia="es-ES"/>
        </w:rPr>
      </w:pPr>
      <w:r w:rsidRPr="00B65A78">
        <w:rPr>
          <w:rFonts w:ascii="Times New Roman" w:eastAsia="Times New Roman" w:hAnsi="Times New Roman" w:cs="Times New Roman"/>
          <w:b/>
          <w:smallCaps w:val="0"/>
          <w:color w:val="auto"/>
          <w:sz w:val="24"/>
          <w:szCs w:val="24"/>
          <w:u w:val="none"/>
          <w:lang w:val="es-ES" w:eastAsia="es-ES"/>
        </w:rPr>
        <w:t>Coberturas de acueducto y alcantarillado</w:t>
      </w:r>
    </w:p>
    <w:p w:rsidR="00B65A78" w:rsidRPr="00B65A78" w:rsidRDefault="00B65A78" w:rsidP="00B65A78">
      <w:pPr>
        <w:snapToGrid w:val="0"/>
        <w:spacing w:after="0" w:line="240" w:lineRule="auto"/>
        <w:jc w:val="both"/>
        <w:rPr>
          <w:rFonts w:ascii="Times New Roman" w:eastAsia="Times New Roman" w:hAnsi="Times New Roman" w:cs="Times New Roman"/>
          <w:smallCaps w:val="0"/>
          <w:color w:val="auto"/>
          <w:sz w:val="24"/>
          <w:szCs w:val="24"/>
          <w:u w:val="none"/>
          <w:lang w:val="es-ES" w:eastAsia="es-ES"/>
        </w:rPr>
      </w:pPr>
    </w:p>
    <w:p w:rsidR="00B65A78" w:rsidRPr="00B65A78" w:rsidRDefault="00B65A78" w:rsidP="00B65A78">
      <w:pPr>
        <w:snapToGrid w:val="0"/>
        <w:spacing w:after="0" w:line="240" w:lineRule="auto"/>
        <w:jc w:val="both"/>
        <w:rPr>
          <w:rFonts w:ascii="Times New Roman" w:eastAsia="Times New Roman" w:hAnsi="Times New Roman" w:cs="Times New Roman"/>
          <w:smallCaps w:val="0"/>
          <w:color w:val="auto"/>
          <w:sz w:val="24"/>
          <w:szCs w:val="24"/>
          <w:u w:val="none"/>
          <w:lang w:val="es-ES" w:eastAsia="es-ES"/>
        </w:rPr>
      </w:pPr>
      <w:r w:rsidRPr="00B65A78">
        <w:rPr>
          <w:rFonts w:ascii="Times New Roman" w:eastAsia="Times New Roman" w:hAnsi="Times New Roman" w:cs="Times New Roman"/>
          <w:smallCaps w:val="0"/>
          <w:color w:val="auto"/>
          <w:sz w:val="24"/>
          <w:szCs w:val="24"/>
          <w:u w:val="none"/>
          <w:lang w:val="es-ES" w:eastAsia="es-ES"/>
        </w:rPr>
        <w:t xml:space="preserve">Frente a los objetivos del milenio, Colombia presenta un crecimiento en los índices de cobertura, que se viene acelerando desde principios de la década de los noventa, dentro de los cuales se alcanza para el subsector acueducto niveles del 97,4% mientras que 90,2% de la población tiene acceso alcantarillado. Asimismo, el sector de agua y saneamiento básico ha tenido un comportamiento muy favorable en los últimos años, Colombia presenta un nivel global de coberturas de acceso a agua mejorada por encima del promedio latinoamericano. </w:t>
      </w:r>
    </w:p>
    <w:p w:rsidR="00B65A78" w:rsidRPr="00B65A78" w:rsidRDefault="00B65A78" w:rsidP="00B65A78">
      <w:pPr>
        <w:snapToGrid w:val="0"/>
        <w:spacing w:after="0" w:line="240" w:lineRule="auto"/>
        <w:jc w:val="both"/>
        <w:rPr>
          <w:rFonts w:ascii="Times New Roman" w:eastAsia="Times New Roman" w:hAnsi="Times New Roman" w:cs="Times New Roman"/>
          <w:smallCaps w:val="0"/>
          <w:color w:val="auto"/>
          <w:sz w:val="24"/>
          <w:szCs w:val="24"/>
          <w:u w:val="none"/>
          <w:lang w:val="es-ES" w:eastAsia="es-ES"/>
        </w:rPr>
      </w:pPr>
    </w:p>
    <w:p w:rsidR="00B65A78" w:rsidRPr="00655FE6" w:rsidRDefault="00B65A78" w:rsidP="00B65A78">
      <w:pPr>
        <w:rPr>
          <w:rFonts w:ascii="Times New Roman" w:hAnsi="Times New Roman" w:cs="Times New Roman"/>
        </w:rPr>
      </w:pPr>
    </w:p>
    <w:p w:rsidR="00B65A78" w:rsidRPr="00655FE6" w:rsidRDefault="00BD3F13" w:rsidP="00B65A78">
      <w:pPr>
        <w:rPr>
          <w:rFonts w:ascii="Times New Roman" w:hAnsi="Times New Roman" w:cs="Times New Roman"/>
        </w:rPr>
      </w:pPr>
      <w:r>
        <w:rPr>
          <w:smallCaps w:val="0"/>
          <w:noProof/>
          <w:lang w:val="en-US" w:eastAsia="ja-JP"/>
        </w:rPr>
        <w:drawing>
          <wp:anchor distT="0" distB="0" distL="114300" distR="114300" simplePos="0" relativeHeight="251656704" behindDoc="0" locked="0" layoutInCell="1" allowOverlap="1">
            <wp:simplePos x="0" y="0"/>
            <wp:positionH relativeFrom="column">
              <wp:posOffset>21590</wp:posOffset>
            </wp:positionH>
            <wp:positionV relativeFrom="paragraph">
              <wp:posOffset>-190500</wp:posOffset>
            </wp:positionV>
            <wp:extent cx="2633345" cy="2136140"/>
            <wp:effectExtent l="0" t="0" r="0" b="0"/>
            <wp:wrapSquare wrapText="right"/>
            <wp:docPr id="1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6" cstate="print"/>
                    <a:srcRect/>
                    <a:stretch>
                      <a:fillRect/>
                    </a:stretch>
                  </pic:blipFill>
                  <pic:spPr bwMode="auto">
                    <a:xfrm>
                      <a:off x="0" y="0"/>
                      <a:ext cx="2633345" cy="2136140"/>
                    </a:xfrm>
                    <a:prstGeom prst="rect">
                      <a:avLst/>
                    </a:prstGeom>
                    <a:noFill/>
                    <a:ln w="9525">
                      <a:noFill/>
                      <a:miter lim="800000"/>
                      <a:headEnd/>
                      <a:tailEnd/>
                    </a:ln>
                  </pic:spPr>
                </pic:pic>
              </a:graphicData>
            </a:graphic>
          </wp:anchor>
        </w:drawing>
      </w:r>
      <w:r>
        <w:rPr>
          <w:rFonts w:ascii="Times New Roman" w:hAnsi="Times New Roman" w:cs="Times New Roman"/>
          <w:noProof/>
          <w:lang w:val="en-US" w:eastAsia="ja-JP"/>
        </w:rPr>
        <w:drawing>
          <wp:inline distT="0" distB="0" distL="0" distR="0">
            <wp:extent cx="2640965" cy="1887220"/>
            <wp:effectExtent l="0" t="0" r="6985"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7" cstate="print"/>
                    <a:srcRect/>
                    <a:stretch>
                      <a:fillRect/>
                    </a:stretch>
                  </pic:blipFill>
                  <pic:spPr bwMode="auto">
                    <a:xfrm>
                      <a:off x="0" y="0"/>
                      <a:ext cx="2640965" cy="1887220"/>
                    </a:xfrm>
                    <a:prstGeom prst="rect">
                      <a:avLst/>
                    </a:prstGeom>
                    <a:noFill/>
                    <a:ln w="9525">
                      <a:noFill/>
                      <a:miter lim="800000"/>
                      <a:headEnd/>
                      <a:tailEnd/>
                    </a:ln>
                  </pic:spPr>
                </pic:pic>
              </a:graphicData>
            </a:graphic>
          </wp:inline>
        </w:drawing>
      </w:r>
    </w:p>
    <w:p w:rsidR="00B65A78" w:rsidRPr="001C19A3" w:rsidRDefault="00B65A78" w:rsidP="00B65A78">
      <w:pPr>
        <w:rPr>
          <w:rFonts w:ascii="Times New Roman" w:hAnsi="Times New Roman" w:cs="Times New Roman"/>
        </w:rPr>
      </w:pPr>
    </w:p>
    <w:p w:rsidR="00B65A78" w:rsidRPr="00B65A78" w:rsidRDefault="00B65A78" w:rsidP="00B65A78">
      <w:pPr>
        <w:rPr>
          <w:rFonts w:ascii="Times New Roman" w:eastAsia="Times New Roman" w:hAnsi="Times New Roman" w:cs="Times New Roman"/>
          <w:smallCaps w:val="0"/>
          <w:color w:val="auto"/>
          <w:sz w:val="18"/>
          <w:szCs w:val="24"/>
          <w:u w:val="none"/>
          <w:lang w:val="es-ES" w:eastAsia="es-ES"/>
        </w:rPr>
      </w:pPr>
      <w:r w:rsidRPr="00B65A78">
        <w:rPr>
          <w:rFonts w:ascii="Times New Roman" w:eastAsia="Times New Roman" w:hAnsi="Times New Roman" w:cs="Times New Roman"/>
          <w:smallCaps w:val="0"/>
          <w:color w:val="auto"/>
          <w:sz w:val="18"/>
          <w:szCs w:val="24"/>
          <w:u w:val="none"/>
          <w:lang w:val="es-ES" w:eastAsia="es-ES"/>
        </w:rPr>
        <w:t>Fuente: Visión 2019 – DNP</w:t>
      </w:r>
    </w:p>
    <w:p w:rsidR="00B65A78" w:rsidRDefault="00B65A78" w:rsidP="00B65A78">
      <w:pPr>
        <w:rPr>
          <w:rFonts w:cs="Times New Roman"/>
        </w:rPr>
      </w:pPr>
    </w:p>
    <w:p w:rsidR="00B65A78" w:rsidRPr="00B65A78" w:rsidRDefault="00B65A78" w:rsidP="00B65A78">
      <w:pPr>
        <w:snapToGrid w:val="0"/>
        <w:spacing w:after="0" w:line="240" w:lineRule="auto"/>
        <w:jc w:val="both"/>
        <w:rPr>
          <w:rFonts w:ascii="Times New Roman" w:eastAsia="Times New Roman" w:hAnsi="Times New Roman" w:cs="Times New Roman"/>
          <w:smallCaps w:val="0"/>
          <w:color w:val="auto"/>
          <w:sz w:val="24"/>
          <w:szCs w:val="24"/>
          <w:u w:val="none"/>
          <w:lang w:val="es-ES" w:eastAsia="es-ES"/>
        </w:rPr>
      </w:pPr>
      <w:r w:rsidRPr="00B65A78">
        <w:rPr>
          <w:rFonts w:ascii="Times New Roman" w:eastAsia="Times New Roman" w:hAnsi="Times New Roman" w:cs="Times New Roman"/>
          <w:smallCaps w:val="0"/>
          <w:color w:val="auto"/>
          <w:sz w:val="24"/>
          <w:szCs w:val="24"/>
          <w:u w:val="none"/>
          <w:lang w:val="es-ES" w:eastAsia="es-ES"/>
        </w:rPr>
        <w:t>En el 2010, 4,6 millones de personas se beneficiaron con el servicio de acueducto y se espera que para 2014 se beneficien 2,8 millones de personas. Para el servicio de alcantarillado, 3,6 millones de personas fueron beneficiadas en el 2010 y se espera que 4.5 millones de personas logren tener acceso en el 2014.</w:t>
      </w:r>
    </w:p>
    <w:p w:rsidR="00B65A78" w:rsidRDefault="00B65A78" w:rsidP="00B65A78">
      <w:pPr>
        <w:rPr>
          <w:rFonts w:cs="Times New Roman"/>
        </w:rPr>
      </w:pPr>
    </w:p>
    <w:p w:rsidR="00B65A78" w:rsidRPr="00B65A78" w:rsidRDefault="00B65A78" w:rsidP="00B65A78">
      <w:pPr>
        <w:snapToGrid w:val="0"/>
        <w:spacing w:after="0" w:line="240" w:lineRule="auto"/>
        <w:jc w:val="both"/>
        <w:rPr>
          <w:rFonts w:ascii="Times New Roman" w:eastAsia="Times New Roman" w:hAnsi="Times New Roman" w:cs="Times New Roman"/>
          <w:smallCaps w:val="0"/>
          <w:color w:val="auto"/>
          <w:sz w:val="24"/>
          <w:szCs w:val="24"/>
          <w:u w:val="none"/>
          <w:lang w:val="es-ES" w:eastAsia="es-ES"/>
        </w:rPr>
      </w:pPr>
      <w:r w:rsidRPr="00B65A78">
        <w:rPr>
          <w:rFonts w:ascii="Times New Roman" w:eastAsia="Times New Roman" w:hAnsi="Times New Roman" w:cs="Times New Roman"/>
          <w:smallCaps w:val="0"/>
          <w:color w:val="auto"/>
          <w:sz w:val="24"/>
          <w:szCs w:val="24"/>
          <w:u w:val="none"/>
          <w:lang w:val="es-ES" w:eastAsia="es-ES"/>
        </w:rPr>
        <w:t xml:space="preserve">En el periodo 2002 – 2009, el sector recibió cerca de $24,2 billones para inversión, incluyendo los recursos provenientes de las tarifa. De esta cifra, alrededor del 65% </w:t>
      </w:r>
      <w:r w:rsidRPr="00B65A78">
        <w:rPr>
          <w:rFonts w:ascii="Times New Roman" w:eastAsia="Times New Roman" w:hAnsi="Times New Roman" w:cs="Times New Roman"/>
          <w:smallCaps w:val="0"/>
          <w:color w:val="auto"/>
          <w:sz w:val="24"/>
          <w:szCs w:val="24"/>
          <w:u w:val="none"/>
          <w:lang w:val="es-ES" w:eastAsia="es-ES"/>
        </w:rPr>
        <w:lastRenderedPageBreak/>
        <w:t>corresponden a recursos públicos, presentando un aumento de más del 17% en el rubro de recursos públicos.</w:t>
      </w:r>
    </w:p>
    <w:p w:rsidR="00B65A78" w:rsidRDefault="00B65A78" w:rsidP="00B65A78">
      <w:pPr>
        <w:rPr>
          <w:rFonts w:cs="Times New Roman"/>
        </w:rPr>
      </w:pPr>
    </w:p>
    <w:p w:rsidR="00B65A78" w:rsidRDefault="00B65A78" w:rsidP="00B65A78">
      <w:pPr>
        <w:jc w:val="center"/>
        <w:rPr>
          <w:rFonts w:cs="Times New Roman"/>
        </w:rPr>
      </w:pPr>
      <w:r w:rsidRPr="00B65A78">
        <w:rPr>
          <w:rFonts w:ascii="Times New Roman" w:eastAsia="Times New Roman" w:hAnsi="Times New Roman" w:cs="Times New Roman"/>
          <w:b/>
          <w:smallCaps w:val="0"/>
          <w:color w:val="auto"/>
          <w:szCs w:val="24"/>
          <w:u w:val="none"/>
          <w:lang w:val="es-ES" w:eastAsia="es-ES"/>
        </w:rPr>
        <w:t>Recursos asignados Sector de Agua y SB  2002 – 2009</w:t>
      </w:r>
      <w:r w:rsidRPr="00B65A78">
        <w:rPr>
          <w:rFonts w:cs="Times New Roman"/>
          <w:b/>
          <w:color w:val="1F497D"/>
          <w:sz w:val="20"/>
        </w:rPr>
        <w:t xml:space="preserve"> </w:t>
      </w:r>
      <w:r w:rsidR="00BD3F13">
        <w:rPr>
          <w:rFonts w:cs="Times New Roman"/>
          <w:noProof/>
          <w:lang w:val="en-US" w:eastAsia="ja-JP"/>
        </w:rPr>
        <w:drawing>
          <wp:inline distT="0" distB="0" distL="0" distR="0">
            <wp:extent cx="4052570" cy="2545715"/>
            <wp:effectExtent l="19050" t="0" r="508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4052570" cy="2545715"/>
                    </a:xfrm>
                    <a:prstGeom prst="rect">
                      <a:avLst/>
                    </a:prstGeom>
                    <a:noFill/>
                    <a:ln w="9525">
                      <a:noFill/>
                      <a:miter lim="800000"/>
                      <a:headEnd/>
                      <a:tailEnd/>
                    </a:ln>
                  </pic:spPr>
                </pic:pic>
              </a:graphicData>
            </a:graphic>
          </wp:inline>
        </w:drawing>
      </w:r>
    </w:p>
    <w:p w:rsidR="00B65A78" w:rsidRDefault="00B65A78" w:rsidP="002363DF">
      <w:pPr>
        <w:ind w:firstLine="1418"/>
        <w:rPr>
          <w:rFonts w:ascii="Times New Roman" w:eastAsia="Times New Roman" w:hAnsi="Times New Roman" w:cs="Times New Roman"/>
          <w:smallCaps w:val="0"/>
          <w:color w:val="auto"/>
          <w:sz w:val="20"/>
          <w:szCs w:val="24"/>
          <w:u w:val="none"/>
          <w:lang w:val="es-ES" w:eastAsia="es-ES"/>
        </w:rPr>
      </w:pPr>
      <w:r w:rsidRPr="00B65A78">
        <w:rPr>
          <w:rFonts w:ascii="Times New Roman" w:eastAsia="Times New Roman" w:hAnsi="Times New Roman" w:cs="Times New Roman"/>
          <w:smallCaps w:val="0"/>
          <w:color w:val="auto"/>
          <w:sz w:val="20"/>
          <w:szCs w:val="24"/>
          <w:u w:val="none"/>
          <w:lang w:val="es-ES" w:eastAsia="es-ES"/>
        </w:rPr>
        <w:t xml:space="preserve">Fuente: Superintendencia de Servicios Públicos y Andesco </w:t>
      </w:r>
    </w:p>
    <w:p w:rsidR="007328D5" w:rsidRDefault="00BD3F13" w:rsidP="007328D5">
      <w:pPr>
        <w:rPr>
          <w:rFonts w:ascii="Times New Roman" w:eastAsia="Times New Roman" w:hAnsi="Times New Roman" w:cs="Times New Roman"/>
          <w:b/>
          <w:smallCaps w:val="0"/>
          <w:color w:val="auto"/>
          <w:sz w:val="24"/>
          <w:szCs w:val="24"/>
          <w:u w:val="none"/>
          <w:lang w:val="es-ES" w:eastAsia="es-ES"/>
        </w:rPr>
      </w:pPr>
      <w:r>
        <w:rPr>
          <w:smallCaps w:val="0"/>
          <w:noProof/>
          <w:lang w:val="en-US" w:eastAsia="ja-JP"/>
        </w:rPr>
        <w:drawing>
          <wp:anchor distT="0" distB="0" distL="114300" distR="114300" simplePos="0" relativeHeight="251657728" behindDoc="0" locked="0" layoutInCell="1" allowOverlap="0">
            <wp:simplePos x="0" y="0"/>
            <wp:positionH relativeFrom="column">
              <wp:posOffset>2983693</wp:posOffset>
            </wp:positionH>
            <wp:positionV relativeFrom="paragraph">
              <wp:posOffset>528910</wp:posOffset>
            </wp:positionV>
            <wp:extent cx="2527392" cy="2000525"/>
            <wp:effectExtent l="7448" t="4400" r="3255" b="1675"/>
            <wp:wrapSquare wrapText="bothSides"/>
            <wp:docPr id="10"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5D639A" w:rsidRPr="005D639A">
        <w:rPr>
          <w:rFonts w:ascii="Times New Roman" w:eastAsia="Times New Roman" w:hAnsi="Times New Roman" w:cs="Times New Roman"/>
          <w:b/>
          <w:smallCaps w:val="0"/>
          <w:color w:val="auto"/>
          <w:sz w:val="24"/>
          <w:szCs w:val="24"/>
          <w:u w:val="none"/>
          <w:lang w:val="es-ES" w:eastAsia="es-ES"/>
        </w:rPr>
        <w:t>Déficit de vivienda y de espacio público</w:t>
      </w:r>
    </w:p>
    <w:p w:rsidR="00231611" w:rsidRPr="007328D5" w:rsidRDefault="00BD3F13" w:rsidP="007328D5">
      <w:pPr>
        <w:rPr>
          <w:rFonts w:ascii="Times New Roman" w:eastAsia="Times New Roman" w:hAnsi="Times New Roman" w:cs="Times New Roman"/>
          <w:b/>
          <w:smallCaps w:val="0"/>
          <w:color w:val="auto"/>
          <w:sz w:val="24"/>
          <w:szCs w:val="24"/>
          <w:u w:val="none"/>
          <w:lang w:val="es-ES" w:eastAsia="es-ES"/>
        </w:rPr>
      </w:pPr>
      <w:r>
        <w:rPr>
          <w:rFonts w:ascii="Times New Roman" w:eastAsia="Times New Roman" w:hAnsi="Times New Roman" w:cs="Times New Roman"/>
          <w:smallCaps w:val="0"/>
          <w:noProof/>
          <w:color w:val="auto"/>
          <w:sz w:val="20"/>
          <w:szCs w:val="24"/>
          <w:u w:val="none"/>
          <w:lang w:val="en-US" w:eastAsia="ja-JP"/>
        </w:rPr>
        <w:drawing>
          <wp:anchor distT="0" distB="0" distL="114300" distR="114300" simplePos="0" relativeHeight="251658752" behindDoc="0" locked="0" layoutInCell="1" allowOverlap="1">
            <wp:simplePos x="0" y="0"/>
            <wp:positionH relativeFrom="column">
              <wp:posOffset>-20011</wp:posOffset>
            </wp:positionH>
            <wp:positionV relativeFrom="paragraph">
              <wp:posOffset>157073</wp:posOffset>
            </wp:positionV>
            <wp:extent cx="2616557" cy="2045095"/>
            <wp:effectExtent l="6659" t="4038" r="1874" b="1282"/>
            <wp:wrapSquare wrapText="bothSides"/>
            <wp:docPr id="9"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843C08" w:rsidRDefault="00843C08" w:rsidP="005D639A">
      <w:pPr>
        <w:jc w:val="both"/>
        <w:rPr>
          <w:rFonts w:ascii="Times New Roman" w:eastAsia="Times New Roman" w:hAnsi="Times New Roman" w:cs="Times New Roman"/>
          <w:b/>
          <w:smallCaps w:val="0"/>
          <w:color w:val="auto"/>
          <w:sz w:val="24"/>
          <w:szCs w:val="24"/>
          <w:u w:val="none"/>
          <w:lang w:val="es-ES" w:eastAsia="es-ES"/>
        </w:rPr>
      </w:pPr>
    </w:p>
    <w:p w:rsidR="005D639A" w:rsidRPr="005D639A" w:rsidRDefault="005D639A" w:rsidP="005D639A">
      <w:pPr>
        <w:jc w:val="both"/>
        <w:rPr>
          <w:rFonts w:ascii="Times New Roman" w:eastAsia="Times New Roman" w:hAnsi="Times New Roman" w:cs="Times New Roman"/>
          <w:b/>
          <w:smallCaps w:val="0"/>
          <w:color w:val="auto"/>
          <w:sz w:val="24"/>
          <w:szCs w:val="24"/>
          <w:u w:val="none"/>
          <w:lang w:val="es-ES" w:eastAsia="es-ES"/>
        </w:rPr>
      </w:pPr>
      <w:r w:rsidRPr="005D639A">
        <w:rPr>
          <w:rFonts w:ascii="Times New Roman" w:eastAsia="Times New Roman" w:hAnsi="Times New Roman" w:cs="Times New Roman"/>
          <w:b/>
          <w:smallCaps w:val="0"/>
          <w:color w:val="auto"/>
          <w:sz w:val="24"/>
          <w:szCs w:val="24"/>
          <w:u w:val="none"/>
          <w:lang w:val="es-ES" w:eastAsia="es-ES"/>
        </w:rPr>
        <w:t>Cobertura Suministro Eléctrico</w:t>
      </w:r>
    </w:p>
    <w:p w:rsidR="00231611" w:rsidRDefault="00BD3F13" w:rsidP="005D639A">
      <w:pPr>
        <w:jc w:val="both"/>
        <w:rPr>
          <w:rFonts w:ascii="Times New Roman" w:eastAsia="Times New Roman" w:hAnsi="Times New Roman" w:cs="Times New Roman"/>
          <w:smallCaps w:val="0"/>
          <w:color w:val="auto"/>
          <w:sz w:val="24"/>
          <w:szCs w:val="24"/>
          <w:u w:val="none"/>
          <w:lang w:val="es-ES" w:eastAsia="es-ES"/>
        </w:rPr>
      </w:pPr>
      <w:r>
        <w:rPr>
          <w:rFonts w:ascii="Times New Roman" w:eastAsia="Times New Roman" w:hAnsi="Times New Roman" w:cs="Times New Roman"/>
          <w:smallCaps w:val="0"/>
          <w:noProof/>
          <w:color w:val="auto"/>
          <w:sz w:val="24"/>
          <w:szCs w:val="24"/>
          <w:u w:val="none"/>
          <w:lang w:val="en-US" w:eastAsia="ja-JP"/>
        </w:rPr>
        <w:lastRenderedPageBreak/>
        <w:drawing>
          <wp:inline distT="0" distB="0" distL="0" distR="0">
            <wp:extent cx="2630452" cy="2029398"/>
            <wp:effectExtent l="7009" t="4507" r="3504" b="0"/>
            <wp:docPr id="3"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D639A" w:rsidRPr="005D639A" w:rsidRDefault="005D639A" w:rsidP="005D639A">
      <w:pPr>
        <w:jc w:val="both"/>
        <w:rPr>
          <w:rFonts w:ascii="Times New Roman" w:eastAsia="Times New Roman" w:hAnsi="Times New Roman" w:cs="Times New Roman"/>
          <w:smallCaps w:val="0"/>
          <w:color w:val="auto"/>
          <w:sz w:val="24"/>
          <w:szCs w:val="24"/>
          <w:u w:val="none"/>
          <w:lang w:val="es-ES" w:eastAsia="es-ES"/>
        </w:rPr>
      </w:pPr>
      <w:r w:rsidRPr="005D639A">
        <w:rPr>
          <w:rFonts w:ascii="Times New Roman" w:eastAsia="Times New Roman" w:hAnsi="Times New Roman" w:cs="Times New Roman"/>
          <w:smallCaps w:val="0"/>
          <w:color w:val="auto"/>
          <w:sz w:val="24"/>
          <w:szCs w:val="24"/>
          <w:u w:val="none"/>
          <w:lang w:val="es-ES" w:eastAsia="es-ES"/>
        </w:rPr>
        <w:t xml:space="preserve">El suministro eléctrico en Colombia depende del Sistema de Interconexión Nacional (SIN) y varios sistemas locales aislados en las Zonas No Interconectadas (ZNI). El SIN comprende la tercera parte del territorio, proveyendo cobertura al 96% de la población. El sistema ZNI, que cubre las dos terceras partes restantes del territorio nacional, solamente provee servicio al 4% de la población.] 32 grandes plantas hidroeléctricas y 30 estaciones de energía térmica proveen electricidad al SIN. </w:t>
      </w:r>
    </w:p>
    <w:p w:rsidR="005D639A" w:rsidRPr="005D639A" w:rsidRDefault="005D639A" w:rsidP="005D639A">
      <w:pPr>
        <w:jc w:val="both"/>
        <w:rPr>
          <w:rFonts w:ascii="Times New Roman" w:eastAsia="Times New Roman" w:hAnsi="Times New Roman" w:cs="Times New Roman"/>
          <w:smallCaps w:val="0"/>
          <w:color w:val="auto"/>
          <w:sz w:val="24"/>
          <w:szCs w:val="24"/>
          <w:u w:val="none"/>
          <w:lang w:val="es-ES" w:eastAsia="es-ES"/>
        </w:rPr>
      </w:pPr>
      <w:r w:rsidRPr="005D639A">
        <w:rPr>
          <w:rFonts w:ascii="Times New Roman" w:eastAsia="Times New Roman" w:hAnsi="Times New Roman" w:cs="Times New Roman"/>
          <w:smallCaps w:val="0"/>
          <w:color w:val="auto"/>
          <w:sz w:val="24"/>
          <w:szCs w:val="24"/>
          <w:u w:val="none"/>
          <w:lang w:val="es-ES" w:eastAsia="es-ES"/>
        </w:rPr>
        <w:t>Según la UPME, la generación de energía eléctrica entre los años 2002 a 2006 presentó un incremento de 7.625 GWh lo que representa el 17% de la capacidad instalada total en el país.</w:t>
      </w:r>
    </w:p>
    <w:p w:rsidR="005D639A" w:rsidRPr="005D639A" w:rsidRDefault="005D639A" w:rsidP="005D639A">
      <w:pPr>
        <w:jc w:val="both"/>
        <w:rPr>
          <w:rFonts w:ascii="Times New Roman" w:eastAsia="Times New Roman" w:hAnsi="Times New Roman" w:cs="Times New Roman"/>
          <w:smallCaps w:val="0"/>
          <w:color w:val="auto"/>
          <w:sz w:val="24"/>
          <w:szCs w:val="24"/>
          <w:u w:val="none"/>
          <w:lang w:val="es-ES" w:eastAsia="es-ES"/>
        </w:rPr>
      </w:pPr>
      <w:r w:rsidRPr="005D639A">
        <w:rPr>
          <w:rFonts w:ascii="Times New Roman" w:eastAsia="Times New Roman" w:hAnsi="Times New Roman" w:cs="Times New Roman"/>
          <w:smallCaps w:val="0"/>
          <w:color w:val="auto"/>
          <w:sz w:val="24"/>
          <w:szCs w:val="24"/>
          <w:u w:val="none"/>
          <w:lang w:val="es-ES" w:eastAsia="es-ES"/>
        </w:rPr>
        <w:t>Colombia tiene registrados 66 productores de electricidad. Las compañías privadas son propietarias del 60% de la capacidad de generación instalada y totalizan del 43% (medido en número de consumidores) al 49% (medido en ventas de kWh) de la energía suministrada a la red interconectada. Solamente tres compañías juntas, Empresas Públicas de Medellín e ISAGEN así como la privada EMGESA, controlan el 52% de la capacidad de generación total.</w:t>
      </w:r>
    </w:p>
    <w:p w:rsidR="007328D5" w:rsidRDefault="005D639A" w:rsidP="005D639A">
      <w:pPr>
        <w:jc w:val="both"/>
        <w:rPr>
          <w:rFonts w:ascii="Times New Roman" w:eastAsia="Times New Roman" w:hAnsi="Times New Roman" w:cs="Times New Roman"/>
          <w:smallCaps w:val="0"/>
          <w:color w:val="auto"/>
          <w:sz w:val="24"/>
          <w:szCs w:val="24"/>
          <w:u w:val="none"/>
          <w:lang w:val="es-ES" w:eastAsia="es-ES"/>
        </w:rPr>
      </w:pPr>
      <w:r w:rsidRPr="005D639A">
        <w:rPr>
          <w:rFonts w:ascii="Times New Roman" w:eastAsia="Times New Roman" w:hAnsi="Times New Roman" w:cs="Times New Roman"/>
          <w:smallCaps w:val="0"/>
          <w:color w:val="auto"/>
          <w:sz w:val="24"/>
          <w:szCs w:val="24"/>
          <w:u w:val="none"/>
          <w:lang w:val="es-ES" w:eastAsia="es-ES"/>
        </w:rPr>
        <w:t xml:space="preserve">Las necesidades de inversión en el sector de generación, transmisión y distribución de electricidad suman US$767 millones por año. Alrededor del 60% se redestinaría a mantenimiento y pago de garantías de los Acuerdos de Compra de Energía (ACE), y el restante 40% a nuevas inversiones en generación y transmisión. Estas necesidades de inversión solamente tienen en cuenta el SIN y no tienen en cuenta las necesidades asociadas con las ZNI. </w:t>
      </w:r>
    </w:p>
    <w:p w:rsidR="008E69E1" w:rsidRDefault="00A1397A" w:rsidP="005D639A">
      <w:pPr>
        <w:jc w:val="both"/>
        <w:rPr>
          <w:rFonts w:ascii="Times New Roman" w:eastAsia="Times New Roman" w:hAnsi="Times New Roman" w:cs="Times New Roman"/>
          <w:b/>
          <w:smallCaps w:val="0"/>
          <w:color w:val="auto"/>
          <w:sz w:val="24"/>
          <w:szCs w:val="24"/>
          <w:u w:val="none"/>
          <w:lang w:val="es-ES" w:eastAsia="es-ES"/>
        </w:rPr>
      </w:pPr>
      <w:r>
        <w:rPr>
          <w:rFonts w:ascii="Times New Roman" w:eastAsia="Times New Roman" w:hAnsi="Times New Roman" w:cs="Times New Roman"/>
          <w:b/>
          <w:smallCaps w:val="0"/>
          <w:color w:val="auto"/>
          <w:sz w:val="24"/>
          <w:szCs w:val="24"/>
          <w:u w:val="none"/>
          <w:lang w:val="es-ES" w:eastAsia="es-ES"/>
        </w:rPr>
        <w:t>Acceso a servicios públicos</w:t>
      </w:r>
    </w:p>
    <w:p w:rsidR="008E69E1" w:rsidRPr="005D639A" w:rsidRDefault="00A1397A" w:rsidP="005D639A">
      <w:pPr>
        <w:jc w:val="both"/>
        <w:rPr>
          <w:rFonts w:ascii="Times New Roman" w:eastAsia="Times New Roman" w:hAnsi="Times New Roman" w:cs="Times New Roman"/>
          <w:smallCaps w:val="0"/>
          <w:color w:val="auto"/>
          <w:sz w:val="24"/>
          <w:szCs w:val="24"/>
          <w:u w:val="none"/>
          <w:lang w:val="es-ES" w:eastAsia="es-ES"/>
        </w:rPr>
      </w:pPr>
      <w:r w:rsidRPr="00A1397A">
        <w:rPr>
          <w:noProof/>
          <w:lang w:val="es-ES" w:eastAsia="es-ES"/>
        </w:rPr>
        <w:t xml:space="preserve"> </w:t>
      </w:r>
      <w:r w:rsidR="007328D5" w:rsidRPr="007328D5">
        <w:rPr>
          <w:noProof/>
          <w:lang w:val="es-ES" w:eastAsia="es-ES"/>
        </w:rPr>
        <w:t xml:space="preserve"> </w:t>
      </w:r>
      <w:r w:rsidR="00F42C99">
        <w:rPr>
          <w:noProof/>
          <w:lang w:val="en-US" w:eastAsia="ja-JP"/>
        </w:rPr>
        <w:drawing>
          <wp:inline distT="0" distB="0" distL="0" distR="0">
            <wp:extent cx="5292312" cy="2979022"/>
            <wp:effectExtent l="19050" t="0" r="22638" b="0"/>
            <wp:docPr id="12"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BD3F13">
        <w:rPr>
          <w:noProof/>
          <w:lang w:val="en-US" w:eastAsia="ja-JP"/>
        </w:rPr>
        <w:drawing>
          <wp:inline distT="0" distB="0" distL="0" distR="0">
            <wp:extent cx="5203603" cy="2590534"/>
            <wp:effectExtent l="19050" t="0" r="16097" b="266"/>
            <wp:docPr id="5"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1397A" w:rsidRPr="002363DF" w:rsidRDefault="002363DF" w:rsidP="002363DF">
      <w:pPr>
        <w:rPr>
          <w:rFonts w:ascii="Times New Roman" w:eastAsia="Times New Roman" w:hAnsi="Times New Roman" w:cs="Times New Roman"/>
          <w:smallCaps w:val="0"/>
          <w:color w:val="auto"/>
          <w:sz w:val="18"/>
          <w:szCs w:val="24"/>
          <w:u w:val="none"/>
          <w:lang w:val="es-ES" w:eastAsia="es-ES"/>
        </w:rPr>
      </w:pPr>
      <w:r w:rsidRPr="00B65A78">
        <w:rPr>
          <w:rFonts w:ascii="Times New Roman" w:eastAsia="Times New Roman" w:hAnsi="Times New Roman" w:cs="Times New Roman"/>
          <w:smallCaps w:val="0"/>
          <w:color w:val="auto"/>
          <w:sz w:val="18"/>
          <w:szCs w:val="24"/>
          <w:u w:val="none"/>
          <w:lang w:val="es-ES" w:eastAsia="es-ES"/>
        </w:rPr>
        <w:t xml:space="preserve">Fuente: </w:t>
      </w:r>
      <w:r>
        <w:rPr>
          <w:rFonts w:ascii="Times New Roman" w:eastAsia="Times New Roman" w:hAnsi="Times New Roman" w:cs="Times New Roman"/>
          <w:smallCaps w:val="0"/>
          <w:color w:val="auto"/>
          <w:sz w:val="18"/>
          <w:szCs w:val="24"/>
          <w:u w:val="none"/>
          <w:lang w:val="es-ES" w:eastAsia="es-ES"/>
        </w:rPr>
        <w:t>DANE</w:t>
      </w:r>
    </w:p>
    <w:p w:rsidR="00A1397A" w:rsidRDefault="00A1397A">
      <w:pPr>
        <w:jc w:val="both"/>
        <w:rPr>
          <w:rFonts w:ascii="Times New Roman" w:eastAsia="Times New Roman" w:hAnsi="Times New Roman" w:cs="Times New Roman"/>
          <w:b/>
          <w:smallCaps w:val="0"/>
          <w:color w:val="auto"/>
          <w:sz w:val="24"/>
          <w:szCs w:val="24"/>
          <w:u w:val="none"/>
          <w:lang w:val="es-ES" w:eastAsia="es-ES"/>
        </w:rPr>
      </w:pPr>
    </w:p>
    <w:p w:rsidR="005D639A" w:rsidRDefault="00A1397A">
      <w:pPr>
        <w:jc w:val="both"/>
        <w:rPr>
          <w:rFonts w:ascii="Times New Roman" w:eastAsia="Times New Roman" w:hAnsi="Times New Roman" w:cs="Times New Roman"/>
          <w:b/>
          <w:smallCaps w:val="0"/>
          <w:color w:val="auto"/>
          <w:sz w:val="24"/>
          <w:szCs w:val="24"/>
          <w:u w:val="none"/>
          <w:lang w:val="es-ES" w:eastAsia="es-ES"/>
        </w:rPr>
      </w:pPr>
      <w:r w:rsidRPr="00A1397A">
        <w:rPr>
          <w:rFonts w:ascii="Times New Roman" w:eastAsia="Times New Roman" w:hAnsi="Times New Roman" w:cs="Times New Roman"/>
          <w:b/>
          <w:smallCaps w:val="0"/>
          <w:color w:val="auto"/>
          <w:sz w:val="24"/>
          <w:szCs w:val="24"/>
          <w:u w:val="none"/>
          <w:lang w:val="es-ES" w:eastAsia="es-ES"/>
        </w:rPr>
        <w:t>Cobertura en educación</w:t>
      </w:r>
    </w:p>
    <w:p w:rsidR="00A1397A" w:rsidRDefault="00BD3F13">
      <w:pPr>
        <w:jc w:val="both"/>
        <w:rPr>
          <w:rFonts w:ascii="Times New Roman" w:eastAsia="Times New Roman" w:hAnsi="Times New Roman" w:cs="Times New Roman"/>
          <w:smallCaps w:val="0"/>
          <w:noProof/>
          <w:color w:val="auto"/>
          <w:sz w:val="24"/>
          <w:szCs w:val="24"/>
          <w:u w:val="none"/>
          <w:lang w:val="es-ES" w:eastAsia="es-ES"/>
        </w:rPr>
      </w:pPr>
      <w:r>
        <w:rPr>
          <w:rFonts w:ascii="Times New Roman" w:eastAsia="Times New Roman" w:hAnsi="Times New Roman" w:cs="Times New Roman"/>
          <w:smallCaps w:val="0"/>
          <w:noProof/>
          <w:color w:val="auto"/>
          <w:sz w:val="24"/>
          <w:szCs w:val="24"/>
          <w:u w:val="none"/>
          <w:lang w:val="en-US" w:eastAsia="ja-JP"/>
        </w:rPr>
        <w:drawing>
          <wp:inline distT="0" distB="0" distL="0" distR="0">
            <wp:extent cx="2643602" cy="2086229"/>
            <wp:effectExtent l="12192" t="6096" r="6761" b="0"/>
            <wp:docPr id="6"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A1397A" w:rsidRPr="00A1397A">
        <w:rPr>
          <w:noProof/>
          <w:lang w:val="es-ES" w:eastAsia="es-ES"/>
        </w:rPr>
        <w:t xml:space="preserve"> </w:t>
      </w:r>
      <w:r>
        <w:rPr>
          <w:rFonts w:ascii="Times New Roman" w:eastAsia="Times New Roman" w:hAnsi="Times New Roman" w:cs="Times New Roman"/>
          <w:smallCaps w:val="0"/>
          <w:noProof/>
          <w:color w:val="auto"/>
          <w:sz w:val="24"/>
          <w:szCs w:val="24"/>
          <w:u w:val="none"/>
          <w:lang w:val="en-US" w:eastAsia="ja-JP"/>
        </w:rPr>
        <w:drawing>
          <wp:inline distT="0" distB="0" distL="0" distR="0">
            <wp:extent cx="2652083" cy="2078609"/>
            <wp:effectExtent l="12192" t="6096" r="5900" b="0"/>
            <wp:docPr id="7"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363DF" w:rsidRPr="002363DF" w:rsidRDefault="002363DF" w:rsidP="002363DF">
      <w:pPr>
        <w:rPr>
          <w:rFonts w:ascii="Times New Roman" w:eastAsia="Times New Roman" w:hAnsi="Times New Roman" w:cs="Times New Roman"/>
          <w:smallCaps w:val="0"/>
          <w:color w:val="auto"/>
          <w:sz w:val="18"/>
          <w:szCs w:val="24"/>
          <w:u w:val="none"/>
          <w:lang w:val="es-ES" w:eastAsia="es-ES"/>
        </w:rPr>
      </w:pPr>
      <w:r w:rsidRPr="00B65A78">
        <w:rPr>
          <w:rFonts w:ascii="Times New Roman" w:eastAsia="Times New Roman" w:hAnsi="Times New Roman" w:cs="Times New Roman"/>
          <w:smallCaps w:val="0"/>
          <w:color w:val="auto"/>
          <w:sz w:val="18"/>
          <w:szCs w:val="24"/>
          <w:u w:val="none"/>
          <w:lang w:val="es-ES" w:eastAsia="es-ES"/>
        </w:rPr>
        <w:t xml:space="preserve">Fuente: </w:t>
      </w:r>
      <w:r>
        <w:rPr>
          <w:rFonts w:ascii="Times New Roman" w:eastAsia="Times New Roman" w:hAnsi="Times New Roman" w:cs="Times New Roman"/>
          <w:smallCaps w:val="0"/>
          <w:color w:val="auto"/>
          <w:sz w:val="18"/>
          <w:szCs w:val="24"/>
          <w:u w:val="none"/>
          <w:lang w:val="es-ES" w:eastAsia="es-ES"/>
        </w:rPr>
        <w:t>Ministerio de Educación</w:t>
      </w:r>
    </w:p>
    <w:p w:rsidR="00A1397A" w:rsidRDefault="00A1397A">
      <w:pPr>
        <w:jc w:val="both"/>
        <w:rPr>
          <w:rFonts w:ascii="Times New Roman" w:eastAsia="Times New Roman" w:hAnsi="Times New Roman" w:cs="Times New Roman"/>
          <w:smallCaps w:val="0"/>
          <w:color w:val="auto"/>
          <w:sz w:val="24"/>
          <w:szCs w:val="24"/>
          <w:u w:val="none"/>
          <w:lang w:val="es-ES" w:eastAsia="es-ES"/>
        </w:rPr>
      </w:pPr>
      <w:r w:rsidRPr="00A1397A">
        <w:rPr>
          <w:rFonts w:ascii="Times New Roman" w:eastAsia="Times New Roman" w:hAnsi="Times New Roman" w:cs="Times New Roman"/>
          <w:smallCaps w:val="0"/>
          <w:color w:val="auto"/>
          <w:sz w:val="24"/>
          <w:szCs w:val="24"/>
          <w:u w:val="none"/>
          <w:lang w:val="es-ES" w:eastAsia="es-ES"/>
        </w:rPr>
        <w:t>El país ha hecho un gran esfuerzo en términos de financiación para impulsar el sector educativo en el país. En el año 2002 el gasto público en educación básica y media ascendía a $11.9 billones (3.3% del PIB) y para el año 2010 ya alcanzaba $20.1 billones (3.9% del PIB). El gasto privado para el mismo período pasó de $5.4 billones (3.6% del PIB) a $6.0 billones (3.1% del PIB). En educación superior el sector público en 2002 desembolsó $3.4 billones (1%del PIB), cifra que aumento en 2010 a $5.7 billones (1.1% del PIB), un crecimiento del 67.6%. El sector privado en educación superior aumentó su aporte de $4.2 billones (1.2% del PIB) a $5.4billones (1%del PIB), con un crecimiento del 28.2%. En síntesis, el gasto total entre 2002-2010 paso de $28.4 billones (8% del PIB) a $42.1 billones (8.10% del PIB), siendo el sector público con $26.1 billones (5% del PIB) el que más aporto.</w:t>
      </w:r>
    </w:p>
    <w:p w:rsidR="00B521BF" w:rsidRPr="00B521BF" w:rsidRDefault="00B521BF">
      <w:pPr>
        <w:jc w:val="both"/>
        <w:rPr>
          <w:rFonts w:ascii="Times New Roman" w:eastAsia="Times New Roman" w:hAnsi="Times New Roman" w:cs="Times New Roman"/>
          <w:b/>
          <w:smallCaps w:val="0"/>
          <w:color w:val="auto"/>
          <w:sz w:val="24"/>
          <w:szCs w:val="24"/>
          <w:u w:val="none"/>
          <w:lang w:val="es-ES" w:eastAsia="es-ES"/>
        </w:rPr>
      </w:pPr>
      <w:r w:rsidRPr="00B521BF">
        <w:rPr>
          <w:rFonts w:ascii="Times New Roman" w:eastAsia="Times New Roman" w:hAnsi="Times New Roman" w:cs="Times New Roman"/>
          <w:b/>
          <w:smallCaps w:val="0"/>
          <w:color w:val="auto"/>
          <w:sz w:val="24"/>
          <w:szCs w:val="24"/>
          <w:u w:val="none"/>
          <w:lang w:val="es-ES" w:eastAsia="es-ES"/>
        </w:rPr>
        <w:t>Cobertura en Salud</w:t>
      </w:r>
    </w:p>
    <w:p w:rsidR="00B521BF" w:rsidRDefault="00BD3F13">
      <w:pPr>
        <w:jc w:val="both"/>
        <w:rPr>
          <w:rFonts w:ascii="Times New Roman" w:eastAsia="Times New Roman" w:hAnsi="Times New Roman" w:cs="Times New Roman"/>
          <w:smallCaps w:val="0"/>
          <w:color w:val="auto"/>
          <w:sz w:val="24"/>
          <w:szCs w:val="24"/>
          <w:u w:val="none"/>
          <w:lang w:val="es-ES" w:eastAsia="es-ES"/>
        </w:rPr>
      </w:pPr>
      <w:r>
        <w:rPr>
          <w:rFonts w:ascii="Times New Roman" w:eastAsia="Times New Roman" w:hAnsi="Times New Roman" w:cs="Times New Roman"/>
          <w:smallCaps w:val="0"/>
          <w:noProof/>
          <w:color w:val="auto"/>
          <w:sz w:val="24"/>
          <w:szCs w:val="24"/>
          <w:u w:val="none"/>
          <w:lang w:val="en-US" w:eastAsia="ja-JP"/>
        </w:rPr>
        <w:drawing>
          <wp:inline distT="0" distB="0" distL="0" distR="0">
            <wp:extent cx="4065285" cy="2143332"/>
            <wp:effectExtent l="19050" t="0" r="11415" b="9318"/>
            <wp:docPr id="8" name="Gráfico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521BF" w:rsidRPr="002363DF" w:rsidRDefault="00B521BF" w:rsidP="00B521BF">
      <w:pPr>
        <w:rPr>
          <w:rFonts w:ascii="Times New Roman" w:eastAsia="Times New Roman" w:hAnsi="Times New Roman" w:cs="Times New Roman"/>
          <w:smallCaps w:val="0"/>
          <w:color w:val="auto"/>
          <w:sz w:val="18"/>
          <w:szCs w:val="24"/>
          <w:u w:val="none"/>
          <w:lang w:val="es-ES" w:eastAsia="es-ES"/>
        </w:rPr>
      </w:pPr>
      <w:r w:rsidRPr="00B65A78">
        <w:rPr>
          <w:rFonts w:ascii="Times New Roman" w:eastAsia="Times New Roman" w:hAnsi="Times New Roman" w:cs="Times New Roman"/>
          <w:smallCaps w:val="0"/>
          <w:color w:val="auto"/>
          <w:sz w:val="18"/>
          <w:szCs w:val="24"/>
          <w:u w:val="none"/>
          <w:lang w:val="es-ES" w:eastAsia="es-ES"/>
        </w:rPr>
        <w:t xml:space="preserve">Fuente: </w:t>
      </w:r>
      <w:r>
        <w:rPr>
          <w:rFonts w:ascii="Times New Roman" w:eastAsia="Times New Roman" w:hAnsi="Times New Roman" w:cs="Times New Roman"/>
          <w:smallCaps w:val="0"/>
          <w:color w:val="auto"/>
          <w:sz w:val="18"/>
          <w:szCs w:val="24"/>
          <w:u w:val="none"/>
          <w:lang w:val="es-ES" w:eastAsia="es-ES"/>
        </w:rPr>
        <w:t>DANE</w:t>
      </w:r>
    </w:p>
    <w:p w:rsidR="002363DF" w:rsidRPr="00150E0E" w:rsidRDefault="00B521BF" w:rsidP="00150E0E">
      <w:pPr>
        <w:jc w:val="both"/>
        <w:rPr>
          <w:rFonts w:ascii="Times New Roman" w:eastAsia="Times New Roman" w:hAnsi="Times New Roman" w:cs="Times New Roman"/>
          <w:smallCaps w:val="0"/>
          <w:color w:val="auto"/>
          <w:sz w:val="24"/>
          <w:szCs w:val="24"/>
          <w:u w:val="none"/>
          <w:lang w:val="es-ES" w:eastAsia="es-ES"/>
        </w:rPr>
      </w:pPr>
      <w:r w:rsidRPr="00B521BF">
        <w:rPr>
          <w:rFonts w:ascii="Times New Roman" w:eastAsia="Times New Roman" w:hAnsi="Times New Roman" w:cs="Times New Roman"/>
          <w:smallCaps w:val="0"/>
          <w:color w:val="auto"/>
          <w:sz w:val="24"/>
          <w:szCs w:val="24"/>
          <w:u w:val="none"/>
          <w:lang w:eastAsia="es-ES"/>
        </w:rPr>
        <w:t>Para Colombia el gasto en salud (público y privado) pasó entre 1999 y 2009 de alrededor de 14 billones a 32 billones de pesos, según datos de la OMS. Sin embargo, para el último año solo alcanz</w:t>
      </w:r>
      <w:r w:rsidR="00150E0E">
        <w:rPr>
          <w:rFonts w:ascii="Times New Roman" w:eastAsia="Times New Roman" w:hAnsi="Times New Roman" w:cs="Times New Roman"/>
          <w:smallCaps w:val="0"/>
          <w:color w:val="auto"/>
          <w:sz w:val="24"/>
          <w:szCs w:val="24"/>
          <w:u w:val="none"/>
          <w:lang w:eastAsia="es-ES"/>
        </w:rPr>
        <w:t xml:space="preserve">a el 6.4 por ciento del PIB. </w:t>
      </w:r>
      <w:r w:rsidR="00150E0E" w:rsidRPr="00150E0E">
        <w:rPr>
          <w:rFonts w:ascii="Times New Roman" w:eastAsia="Times New Roman" w:hAnsi="Times New Roman" w:cs="Times New Roman"/>
          <w:smallCaps w:val="0"/>
          <w:color w:val="auto"/>
          <w:sz w:val="24"/>
          <w:szCs w:val="24"/>
          <w:u w:val="none"/>
          <w:lang w:val="es-ES" w:eastAsia="es-ES"/>
        </w:rPr>
        <w:t>En comparación con otros países de América Latina, Colombia se identifica</w:t>
      </w:r>
      <w:r w:rsidR="00150E0E">
        <w:rPr>
          <w:rFonts w:ascii="Times New Roman" w:eastAsia="Times New Roman" w:hAnsi="Times New Roman" w:cs="Times New Roman"/>
          <w:smallCaps w:val="0"/>
          <w:color w:val="auto"/>
          <w:sz w:val="24"/>
          <w:szCs w:val="24"/>
          <w:u w:val="none"/>
          <w:lang w:val="es-ES" w:eastAsia="es-ES"/>
        </w:rPr>
        <w:t xml:space="preserve"> </w:t>
      </w:r>
      <w:r w:rsidR="00150E0E" w:rsidRPr="00150E0E">
        <w:rPr>
          <w:rFonts w:ascii="Times New Roman" w:eastAsia="Times New Roman" w:hAnsi="Times New Roman" w:cs="Times New Roman"/>
          <w:smallCaps w:val="0"/>
          <w:color w:val="auto"/>
          <w:sz w:val="24"/>
          <w:szCs w:val="24"/>
          <w:u w:val="none"/>
          <w:lang w:val="es-ES" w:eastAsia="es-ES"/>
        </w:rPr>
        <w:t>con un gasto en salud relativamente alto (8,5 % como proporción del PIB, en</w:t>
      </w:r>
      <w:r w:rsidR="00150E0E">
        <w:rPr>
          <w:rFonts w:ascii="Times New Roman" w:eastAsia="Times New Roman" w:hAnsi="Times New Roman" w:cs="Times New Roman"/>
          <w:smallCaps w:val="0"/>
          <w:color w:val="auto"/>
          <w:sz w:val="24"/>
          <w:szCs w:val="24"/>
          <w:u w:val="none"/>
          <w:lang w:val="es-ES" w:eastAsia="es-ES"/>
        </w:rPr>
        <w:t xml:space="preserve"> </w:t>
      </w:r>
      <w:r w:rsidR="00150E0E" w:rsidRPr="00150E0E">
        <w:rPr>
          <w:rFonts w:ascii="Times New Roman" w:eastAsia="Times New Roman" w:hAnsi="Times New Roman" w:cs="Times New Roman"/>
          <w:smallCaps w:val="0"/>
          <w:color w:val="auto"/>
          <w:sz w:val="24"/>
          <w:szCs w:val="24"/>
          <w:u w:val="none"/>
          <w:lang w:val="es-ES" w:eastAsia="es-ES"/>
        </w:rPr>
        <w:t>promedio, durante el periodo 1998-2002), en tanto que el promedio de la región</w:t>
      </w:r>
      <w:r w:rsidR="00150E0E">
        <w:rPr>
          <w:rFonts w:ascii="Times New Roman" w:eastAsia="Times New Roman" w:hAnsi="Times New Roman" w:cs="Times New Roman"/>
          <w:smallCaps w:val="0"/>
          <w:color w:val="auto"/>
          <w:sz w:val="24"/>
          <w:szCs w:val="24"/>
          <w:u w:val="none"/>
          <w:lang w:val="es-ES" w:eastAsia="es-ES"/>
        </w:rPr>
        <w:t xml:space="preserve"> </w:t>
      </w:r>
      <w:r w:rsidR="00150E0E" w:rsidRPr="00150E0E">
        <w:rPr>
          <w:rFonts w:ascii="Times New Roman" w:eastAsia="Times New Roman" w:hAnsi="Times New Roman" w:cs="Times New Roman"/>
          <w:smallCaps w:val="0"/>
          <w:color w:val="auto"/>
          <w:sz w:val="24"/>
          <w:szCs w:val="24"/>
          <w:u w:val="none"/>
          <w:lang w:val="es-ES" w:eastAsia="es-ES"/>
        </w:rPr>
        <w:t>durante el mismo periodo fue de 7 %.</w:t>
      </w:r>
    </w:p>
    <w:sectPr w:rsidR="002363DF" w:rsidRPr="00150E0E" w:rsidSect="007A50B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125A"/>
    <w:multiLevelType w:val="hybridMultilevel"/>
    <w:tmpl w:val="6EF65628"/>
    <w:lvl w:ilvl="0" w:tplc="240A0001">
      <w:start w:val="1"/>
      <w:numFmt w:val="bullet"/>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
    <w:nsid w:val="32453BC8"/>
    <w:multiLevelType w:val="hybridMultilevel"/>
    <w:tmpl w:val="388A97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9750A4E"/>
    <w:multiLevelType w:val="hybridMultilevel"/>
    <w:tmpl w:val="014C2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E34225"/>
    <w:multiLevelType w:val="hybridMultilevel"/>
    <w:tmpl w:val="8CCE27FC"/>
    <w:lvl w:ilvl="0" w:tplc="35240C6C">
      <w:start w:val="1"/>
      <w:numFmt w:val="bullet"/>
      <w:lvlText w:val="•"/>
      <w:lvlJc w:val="left"/>
      <w:pPr>
        <w:tabs>
          <w:tab w:val="num" w:pos="720"/>
        </w:tabs>
        <w:ind w:left="720" w:hanging="360"/>
      </w:pPr>
      <w:rPr>
        <w:rFonts w:ascii="Arial" w:hAnsi="Arial" w:hint="default"/>
      </w:rPr>
    </w:lvl>
    <w:lvl w:ilvl="1" w:tplc="DA60403C" w:tentative="1">
      <w:start w:val="1"/>
      <w:numFmt w:val="bullet"/>
      <w:lvlText w:val="•"/>
      <w:lvlJc w:val="left"/>
      <w:pPr>
        <w:tabs>
          <w:tab w:val="num" w:pos="1440"/>
        </w:tabs>
        <w:ind w:left="1440" w:hanging="360"/>
      </w:pPr>
      <w:rPr>
        <w:rFonts w:ascii="Arial" w:hAnsi="Arial" w:hint="default"/>
      </w:rPr>
    </w:lvl>
    <w:lvl w:ilvl="2" w:tplc="89C49FEC" w:tentative="1">
      <w:start w:val="1"/>
      <w:numFmt w:val="bullet"/>
      <w:lvlText w:val="•"/>
      <w:lvlJc w:val="left"/>
      <w:pPr>
        <w:tabs>
          <w:tab w:val="num" w:pos="2160"/>
        </w:tabs>
        <w:ind w:left="2160" w:hanging="360"/>
      </w:pPr>
      <w:rPr>
        <w:rFonts w:ascii="Arial" w:hAnsi="Arial" w:hint="default"/>
      </w:rPr>
    </w:lvl>
    <w:lvl w:ilvl="3" w:tplc="8F485CA6" w:tentative="1">
      <w:start w:val="1"/>
      <w:numFmt w:val="bullet"/>
      <w:lvlText w:val="•"/>
      <w:lvlJc w:val="left"/>
      <w:pPr>
        <w:tabs>
          <w:tab w:val="num" w:pos="2880"/>
        </w:tabs>
        <w:ind w:left="2880" w:hanging="360"/>
      </w:pPr>
      <w:rPr>
        <w:rFonts w:ascii="Arial" w:hAnsi="Arial" w:hint="default"/>
      </w:rPr>
    </w:lvl>
    <w:lvl w:ilvl="4" w:tplc="A3128560" w:tentative="1">
      <w:start w:val="1"/>
      <w:numFmt w:val="bullet"/>
      <w:lvlText w:val="•"/>
      <w:lvlJc w:val="left"/>
      <w:pPr>
        <w:tabs>
          <w:tab w:val="num" w:pos="3600"/>
        </w:tabs>
        <w:ind w:left="3600" w:hanging="360"/>
      </w:pPr>
      <w:rPr>
        <w:rFonts w:ascii="Arial" w:hAnsi="Arial" w:hint="default"/>
      </w:rPr>
    </w:lvl>
    <w:lvl w:ilvl="5" w:tplc="451A54F8" w:tentative="1">
      <w:start w:val="1"/>
      <w:numFmt w:val="bullet"/>
      <w:lvlText w:val="•"/>
      <w:lvlJc w:val="left"/>
      <w:pPr>
        <w:tabs>
          <w:tab w:val="num" w:pos="4320"/>
        </w:tabs>
        <w:ind w:left="4320" w:hanging="360"/>
      </w:pPr>
      <w:rPr>
        <w:rFonts w:ascii="Arial" w:hAnsi="Arial" w:hint="default"/>
      </w:rPr>
    </w:lvl>
    <w:lvl w:ilvl="6" w:tplc="1972994C" w:tentative="1">
      <w:start w:val="1"/>
      <w:numFmt w:val="bullet"/>
      <w:lvlText w:val="•"/>
      <w:lvlJc w:val="left"/>
      <w:pPr>
        <w:tabs>
          <w:tab w:val="num" w:pos="5040"/>
        </w:tabs>
        <w:ind w:left="5040" w:hanging="360"/>
      </w:pPr>
      <w:rPr>
        <w:rFonts w:ascii="Arial" w:hAnsi="Arial" w:hint="default"/>
      </w:rPr>
    </w:lvl>
    <w:lvl w:ilvl="7" w:tplc="6484B172" w:tentative="1">
      <w:start w:val="1"/>
      <w:numFmt w:val="bullet"/>
      <w:lvlText w:val="•"/>
      <w:lvlJc w:val="left"/>
      <w:pPr>
        <w:tabs>
          <w:tab w:val="num" w:pos="5760"/>
        </w:tabs>
        <w:ind w:left="5760" w:hanging="360"/>
      </w:pPr>
      <w:rPr>
        <w:rFonts w:ascii="Arial" w:hAnsi="Arial" w:hint="default"/>
      </w:rPr>
    </w:lvl>
    <w:lvl w:ilvl="8" w:tplc="E814F3E6" w:tentative="1">
      <w:start w:val="1"/>
      <w:numFmt w:val="bullet"/>
      <w:lvlText w:val="•"/>
      <w:lvlJc w:val="left"/>
      <w:pPr>
        <w:tabs>
          <w:tab w:val="num" w:pos="6480"/>
        </w:tabs>
        <w:ind w:left="6480" w:hanging="360"/>
      </w:pPr>
      <w:rPr>
        <w:rFonts w:ascii="Arial" w:hAnsi="Arial" w:hint="default"/>
      </w:rPr>
    </w:lvl>
  </w:abstractNum>
  <w:abstractNum w:abstractNumId="4">
    <w:nsid w:val="65886A92"/>
    <w:multiLevelType w:val="hybridMultilevel"/>
    <w:tmpl w:val="851E6C76"/>
    <w:lvl w:ilvl="0" w:tplc="55AC1706">
      <w:start w:val="1"/>
      <w:numFmt w:val="bullet"/>
      <w:lvlText w:val="•"/>
      <w:lvlJc w:val="left"/>
      <w:pPr>
        <w:tabs>
          <w:tab w:val="num" w:pos="720"/>
        </w:tabs>
        <w:ind w:left="720" w:hanging="360"/>
      </w:pPr>
      <w:rPr>
        <w:rFonts w:ascii="Arial" w:hAnsi="Arial" w:hint="default"/>
      </w:rPr>
    </w:lvl>
    <w:lvl w:ilvl="1" w:tplc="815AF8CA" w:tentative="1">
      <w:start w:val="1"/>
      <w:numFmt w:val="bullet"/>
      <w:lvlText w:val="•"/>
      <w:lvlJc w:val="left"/>
      <w:pPr>
        <w:tabs>
          <w:tab w:val="num" w:pos="1440"/>
        </w:tabs>
        <w:ind w:left="1440" w:hanging="360"/>
      </w:pPr>
      <w:rPr>
        <w:rFonts w:ascii="Arial" w:hAnsi="Arial" w:hint="default"/>
      </w:rPr>
    </w:lvl>
    <w:lvl w:ilvl="2" w:tplc="0BC607D6" w:tentative="1">
      <w:start w:val="1"/>
      <w:numFmt w:val="bullet"/>
      <w:lvlText w:val="•"/>
      <w:lvlJc w:val="left"/>
      <w:pPr>
        <w:tabs>
          <w:tab w:val="num" w:pos="2160"/>
        </w:tabs>
        <w:ind w:left="2160" w:hanging="360"/>
      </w:pPr>
      <w:rPr>
        <w:rFonts w:ascii="Arial" w:hAnsi="Arial" w:hint="default"/>
      </w:rPr>
    </w:lvl>
    <w:lvl w:ilvl="3" w:tplc="F68298C8" w:tentative="1">
      <w:start w:val="1"/>
      <w:numFmt w:val="bullet"/>
      <w:lvlText w:val="•"/>
      <w:lvlJc w:val="left"/>
      <w:pPr>
        <w:tabs>
          <w:tab w:val="num" w:pos="2880"/>
        </w:tabs>
        <w:ind w:left="2880" w:hanging="360"/>
      </w:pPr>
      <w:rPr>
        <w:rFonts w:ascii="Arial" w:hAnsi="Arial" w:hint="default"/>
      </w:rPr>
    </w:lvl>
    <w:lvl w:ilvl="4" w:tplc="B1B63D78" w:tentative="1">
      <w:start w:val="1"/>
      <w:numFmt w:val="bullet"/>
      <w:lvlText w:val="•"/>
      <w:lvlJc w:val="left"/>
      <w:pPr>
        <w:tabs>
          <w:tab w:val="num" w:pos="3600"/>
        </w:tabs>
        <w:ind w:left="3600" w:hanging="360"/>
      </w:pPr>
      <w:rPr>
        <w:rFonts w:ascii="Arial" w:hAnsi="Arial" w:hint="default"/>
      </w:rPr>
    </w:lvl>
    <w:lvl w:ilvl="5" w:tplc="AB24FCC0" w:tentative="1">
      <w:start w:val="1"/>
      <w:numFmt w:val="bullet"/>
      <w:lvlText w:val="•"/>
      <w:lvlJc w:val="left"/>
      <w:pPr>
        <w:tabs>
          <w:tab w:val="num" w:pos="4320"/>
        </w:tabs>
        <w:ind w:left="4320" w:hanging="360"/>
      </w:pPr>
      <w:rPr>
        <w:rFonts w:ascii="Arial" w:hAnsi="Arial" w:hint="default"/>
      </w:rPr>
    </w:lvl>
    <w:lvl w:ilvl="6" w:tplc="FE1ACAC4" w:tentative="1">
      <w:start w:val="1"/>
      <w:numFmt w:val="bullet"/>
      <w:lvlText w:val="•"/>
      <w:lvlJc w:val="left"/>
      <w:pPr>
        <w:tabs>
          <w:tab w:val="num" w:pos="5040"/>
        </w:tabs>
        <w:ind w:left="5040" w:hanging="360"/>
      </w:pPr>
      <w:rPr>
        <w:rFonts w:ascii="Arial" w:hAnsi="Arial" w:hint="default"/>
      </w:rPr>
    </w:lvl>
    <w:lvl w:ilvl="7" w:tplc="5D6A23AC" w:tentative="1">
      <w:start w:val="1"/>
      <w:numFmt w:val="bullet"/>
      <w:lvlText w:val="•"/>
      <w:lvlJc w:val="left"/>
      <w:pPr>
        <w:tabs>
          <w:tab w:val="num" w:pos="5760"/>
        </w:tabs>
        <w:ind w:left="5760" w:hanging="360"/>
      </w:pPr>
      <w:rPr>
        <w:rFonts w:ascii="Arial" w:hAnsi="Arial" w:hint="default"/>
      </w:rPr>
    </w:lvl>
    <w:lvl w:ilvl="8" w:tplc="095AFB06" w:tentative="1">
      <w:start w:val="1"/>
      <w:numFmt w:val="bullet"/>
      <w:lvlText w:val="•"/>
      <w:lvlJc w:val="left"/>
      <w:pPr>
        <w:tabs>
          <w:tab w:val="num" w:pos="6480"/>
        </w:tabs>
        <w:ind w:left="6480" w:hanging="360"/>
      </w:pPr>
      <w:rPr>
        <w:rFonts w:ascii="Arial" w:hAnsi="Arial" w:hint="default"/>
      </w:rPr>
    </w:lvl>
  </w:abstractNum>
  <w:abstractNum w:abstractNumId="5">
    <w:nsid w:val="77356FD4"/>
    <w:multiLevelType w:val="hybridMultilevel"/>
    <w:tmpl w:val="EAEC1E1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4"/>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5816ED"/>
    <w:rsid w:val="000232FD"/>
    <w:rsid w:val="000F77E7"/>
    <w:rsid w:val="00105D9E"/>
    <w:rsid w:val="0011259B"/>
    <w:rsid w:val="001322D0"/>
    <w:rsid w:val="00150E0E"/>
    <w:rsid w:val="0016341A"/>
    <w:rsid w:val="00164957"/>
    <w:rsid w:val="00167B77"/>
    <w:rsid w:val="001A1947"/>
    <w:rsid w:val="001B3E1F"/>
    <w:rsid w:val="00231611"/>
    <w:rsid w:val="002363DF"/>
    <w:rsid w:val="0025237F"/>
    <w:rsid w:val="002B0430"/>
    <w:rsid w:val="002F37C0"/>
    <w:rsid w:val="00337F28"/>
    <w:rsid w:val="00374C8A"/>
    <w:rsid w:val="00440B35"/>
    <w:rsid w:val="00457D4E"/>
    <w:rsid w:val="004A0294"/>
    <w:rsid w:val="00517906"/>
    <w:rsid w:val="005324D4"/>
    <w:rsid w:val="00537F63"/>
    <w:rsid w:val="005816ED"/>
    <w:rsid w:val="00596103"/>
    <w:rsid w:val="005D639A"/>
    <w:rsid w:val="006A28D1"/>
    <w:rsid w:val="00710C21"/>
    <w:rsid w:val="007328D5"/>
    <w:rsid w:val="007371FB"/>
    <w:rsid w:val="0077630F"/>
    <w:rsid w:val="007A50B6"/>
    <w:rsid w:val="007D6B7D"/>
    <w:rsid w:val="007F43B2"/>
    <w:rsid w:val="008046FB"/>
    <w:rsid w:val="00843C08"/>
    <w:rsid w:val="008944A8"/>
    <w:rsid w:val="008C013D"/>
    <w:rsid w:val="008E69E1"/>
    <w:rsid w:val="0097287E"/>
    <w:rsid w:val="00986EA0"/>
    <w:rsid w:val="00A1397A"/>
    <w:rsid w:val="00A92F38"/>
    <w:rsid w:val="00B30A70"/>
    <w:rsid w:val="00B357E4"/>
    <w:rsid w:val="00B521BF"/>
    <w:rsid w:val="00B65A78"/>
    <w:rsid w:val="00B73AF6"/>
    <w:rsid w:val="00BA447E"/>
    <w:rsid w:val="00BD0F98"/>
    <w:rsid w:val="00BD3F13"/>
    <w:rsid w:val="00BE4EB1"/>
    <w:rsid w:val="00C975E2"/>
    <w:rsid w:val="00CC2A31"/>
    <w:rsid w:val="00D124E4"/>
    <w:rsid w:val="00D35A6C"/>
    <w:rsid w:val="00D4580C"/>
    <w:rsid w:val="00D46A8C"/>
    <w:rsid w:val="00D60B46"/>
    <w:rsid w:val="00D619B3"/>
    <w:rsid w:val="00DD3341"/>
    <w:rsid w:val="00E21311"/>
    <w:rsid w:val="00EA1EC4"/>
    <w:rsid w:val="00F42C99"/>
    <w:rsid w:val="00F70B59"/>
    <w:rsid w:val="00FC1B46"/>
  </w:rsids>
  <m:mathPr>
    <m:mathFont m:val="Cambria Math"/>
    <m:brkBin m:val="before"/>
    <m:brkBinSub m:val="--"/>
    <m:smallFrac m:val="off"/>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mbria"/>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0B6"/>
    <w:pPr>
      <w:spacing w:after="200" w:line="276" w:lineRule="auto"/>
    </w:pPr>
    <w:rPr>
      <w:smallCaps/>
      <w:color w:val="0000FF"/>
      <w:sz w:val="22"/>
      <w:szCs w:val="22"/>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6ED"/>
    <w:pPr>
      <w:spacing w:after="0" w:line="240" w:lineRule="auto"/>
      <w:ind w:left="720"/>
    </w:pPr>
    <w:rPr>
      <w:rFonts w:cs="Calibri"/>
      <w:smallCaps w:val="0"/>
      <w:color w:val="auto"/>
      <w:u w:val="none"/>
      <w:lang w:eastAsia="es-CO"/>
    </w:rPr>
  </w:style>
  <w:style w:type="paragraph" w:styleId="BalloonText">
    <w:name w:val="Balloon Text"/>
    <w:basedOn w:val="Normal"/>
    <w:link w:val="BalloonTextChar"/>
    <w:uiPriority w:val="99"/>
    <w:semiHidden/>
    <w:unhideWhenUsed/>
    <w:rsid w:val="001634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41A"/>
    <w:rPr>
      <w:rFonts w:ascii="Tahoma" w:hAnsi="Tahoma" w:cs="Tahoma"/>
      <w:smallCaps/>
      <w:color w:val="0000FF"/>
      <w:sz w:val="16"/>
      <w:szCs w:val="16"/>
      <w:u w:val="single"/>
      <w:lang w:val="es-CO" w:eastAsia="en-US"/>
    </w:rPr>
  </w:style>
</w:styles>
</file>

<file path=word/webSettings.xml><?xml version="1.0" encoding="utf-8"?>
<w:webSettings xmlns:r="http://schemas.openxmlformats.org/officeDocument/2006/relationships" xmlns:w="http://schemas.openxmlformats.org/wordprocessingml/2006/main">
  <w:divs>
    <w:div w:id="5712817">
      <w:bodyDiv w:val="1"/>
      <w:marLeft w:val="0"/>
      <w:marRight w:val="0"/>
      <w:marTop w:val="0"/>
      <w:marBottom w:val="0"/>
      <w:divBdr>
        <w:top w:val="none" w:sz="0" w:space="0" w:color="auto"/>
        <w:left w:val="none" w:sz="0" w:space="0" w:color="auto"/>
        <w:bottom w:val="none" w:sz="0" w:space="0" w:color="auto"/>
        <w:right w:val="none" w:sz="0" w:space="0" w:color="auto"/>
      </w:divBdr>
    </w:div>
    <w:div w:id="129174959">
      <w:bodyDiv w:val="1"/>
      <w:marLeft w:val="0"/>
      <w:marRight w:val="0"/>
      <w:marTop w:val="0"/>
      <w:marBottom w:val="0"/>
      <w:divBdr>
        <w:top w:val="none" w:sz="0" w:space="0" w:color="auto"/>
        <w:left w:val="none" w:sz="0" w:space="0" w:color="auto"/>
        <w:bottom w:val="none" w:sz="0" w:space="0" w:color="auto"/>
        <w:right w:val="none" w:sz="0" w:space="0" w:color="auto"/>
      </w:divBdr>
    </w:div>
    <w:div w:id="148913293">
      <w:bodyDiv w:val="1"/>
      <w:marLeft w:val="0"/>
      <w:marRight w:val="0"/>
      <w:marTop w:val="0"/>
      <w:marBottom w:val="0"/>
      <w:divBdr>
        <w:top w:val="none" w:sz="0" w:space="0" w:color="auto"/>
        <w:left w:val="none" w:sz="0" w:space="0" w:color="auto"/>
        <w:bottom w:val="none" w:sz="0" w:space="0" w:color="auto"/>
        <w:right w:val="none" w:sz="0" w:space="0" w:color="auto"/>
      </w:divBdr>
      <w:divsChild>
        <w:div w:id="1363559155">
          <w:marLeft w:val="274"/>
          <w:marRight w:val="0"/>
          <w:marTop w:val="0"/>
          <w:marBottom w:val="0"/>
          <w:divBdr>
            <w:top w:val="none" w:sz="0" w:space="0" w:color="auto"/>
            <w:left w:val="none" w:sz="0" w:space="0" w:color="auto"/>
            <w:bottom w:val="none" w:sz="0" w:space="0" w:color="auto"/>
            <w:right w:val="none" w:sz="0" w:space="0" w:color="auto"/>
          </w:divBdr>
        </w:div>
        <w:div w:id="1432437506">
          <w:marLeft w:val="274"/>
          <w:marRight w:val="0"/>
          <w:marTop w:val="0"/>
          <w:marBottom w:val="0"/>
          <w:divBdr>
            <w:top w:val="none" w:sz="0" w:space="0" w:color="auto"/>
            <w:left w:val="none" w:sz="0" w:space="0" w:color="auto"/>
            <w:bottom w:val="none" w:sz="0" w:space="0" w:color="auto"/>
            <w:right w:val="none" w:sz="0" w:space="0" w:color="auto"/>
          </w:divBdr>
        </w:div>
      </w:divsChild>
    </w:div>
    <w:div w:id="1043363425">
      <w:bodyDiv w:val="1"/>
      <w:marLeft w:val="0"/>
      <w:marRight w:val="0"/>
      <w:marTop w:val="0"/>
      <w:marBottom w:val="0"/>
      <w:divBdr>
        <w:top w:val="none" w:sz="0" w:space="0" w:color="auto"/>
        <w:left w:val="none" w:sz="0" w:space="0" w:color="auto"/>
        <w:bottom w:val="none" w:sz="0" w:space="0" w:color="auto"/>
        <w:right w:val="none" w:sz="0" w:space="0" w:color="auto"/>
      </w:divBdr>
      <w:divsChild>
        <w:div w:id="973173490">
          <w:marLeft w:val="274"/>
          <w:marRight w:val="0"/>
          <w:marTop w:val="0"/>
          <w:marBottom w:val="0"/>
          <w:divBdr>
            <w:top w:val="none" w:sz="0" w:space="0" w:color="auto"/>
            <w:left w:val="none" w:sz="0" w:space="0" w:color="auto"/>
            <w:bottom w:val="none" w:sz="0" w:space="0" w:color="auto"/>
            <w:right w:val="none" w:sz="0" w:space="0" w:color="auto"/>
          </w:divBdr>
        </w:div>
        <w:div w:id="1315988131">
          <w:marLeft w:val="274"/>
          <w:marRight w:val="0"/>
          <w:marTop w:val="0"/>
          <w:marBottom w:val="0"/>
          <w:divBdr>
            <w:top w:val="none" w:sz="0" w:space="0" w:color="auto"/>
            <w:left w:val="none" w:sz="0" w:space="0" w:color="auto"/>
            <w:bottom w:val="none" w:sz="0" w:space="0" w:color="auto"/>
            <w:right w:val="none" w:sz="0" w:space="0" w:color="auto"/>
          </w:divBdr>
        </w:div>
      </w:divsChild>
    </w:div>
    <w:div w:id="1431662095">
      <w:bodyDiv w:val="1"/>
      <w:marLeft w:val="0"/>
      <w:marRight w:val="0"/>
      <w:marTop w:val="0"/>
      <w:marBottom w:val="0"/>
      <w:divBdr>
        <w:top w:val="none" w:sz="0" w:space="0" w:color="auto"/>
        <w:left w:val="none" w:sz="0" w:space="0" w:color="auto"/>
        <w:bottom w:val="none" w:sz="0" w:space="0" w:color="auto"/>
        <w:right w:val="none" w:sz="0" w:space="0" w:color="auto"/>
      </w:divBdr>
    </w:div>
    <w:div w:id="203843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chart" Target="charts/chart5.xml"/><Relationship Id="rId18" Type="http://schemas.openxmlformats.org/officeDocument/2006/relationships/theme" Target="theme/theme1.xml"/><Relationship Id="rId26" Type="http://schemas.openxmlformats.org/officeDocument/2006/relationships/customXml" Target="../customXml/item9.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image" Target="media/image2.png"/><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ustomXml" Target="../customXml/item3.xml"/><Relationship Id="rId24" Type="http://schemas.openxmlformats.org/officeDocument/2006/relationships/customXml" Target="../customXml/item7.xml"/><Relationship Id="rId6" Type="http://schemas.openxmlformats.org/officeDocument/2006/relationships/image" Target="media/image1.png"/><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ustomXml" Target="../customXml/item6.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ustomXml" Target="../customXml/item5.xml"/><Relationship Id="rId27" Type="http://schemas.openxmlformats.org/officeDocument/2006/relationships/customXml" Target="../customXml/item10.xm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s-CO" sz="1600">
                <a:solidFill>
                  <a:srgbClr val="002060"/>
                </a:solidFill>
              </a:rPr>
              <a:t>Espacio</a:t>
            </a:r>
            <a:r>
              <a:rPr lang="es-CO" sz="1600" baseline="0">
                <a:solidFill>
                  <a:srgbClr val="002060"/>
                </a:solidFill>
              </a:rPr>
              <a:t> público por habitante (m2/hab)</a:t>
            </a:r>
            <a:endParaRPr lang="es-CO" sz="1600">
              <a:solidFill>
                <a:srgbClr val="002060"/>
              </a:solidFill>
            </a:endParaRPr>
          </a:p>
        </c:rich>
      </c:tx>
      <c:layout/>
    </c:title>
    <c:plotArea>
      <c:layout/>
      <c:barChart>
        <c:barDir val="col"/>
        <c:grouping val="clustered"/>
        <c:ser>
          <c:idx val="0"/>
          <c:order val="0"/>
          <c:spPr>
            <a:solidFill>
              <a:schemeClr val="accent4">
                <a:lumMod val="75000"/>
              </a:schemeClr>
            </a:solidFill>
          </c:spPr>
          <c:dPt>
            <c:idx val="3"/>
            <c:spPr>
              <a:solidFill>
                <a:schemeClr val="accent5">
                  <a:lumMod val="75000"/>
                </a:schemeClr>
              </a:solidFill>
            </c:spPr>
          </c:dPt>
          <c:dPt>
            <c:idx val="4"/>
            <c:spPr>
              <a:solidFill>
                <a:schemeClr val="accent5">
                  <a:lumMod val="75000"/>
                </a:schemeClr>
              </a:solidFill>
            </c:spPr>
          </c:dPt>
          <c:dPt>
            <c:idx val="5"/>
            <c:spPr>
              <a:solidFill>
                <a:schemeClr val="accent5">
                  <a:lumMod val="75000"/>
                </a:schemeClr>
              </a:solidFill>
            </c:spPr>
          </c:dPt>
          <c:dPt>
            <c:idx val="6"/>
            <c:spPr>
              <a:solidFill>
                <a:schemeClr val="accent5">
                  <a:lumMod val="75000"/>
                </a:schemeClr>
              </a:solidFill>
            </c:spPr>
          </c:dPt>
          <c:dPt>
            <c:idx val="7"/>
            <c:spPr>
              <a:solidFill>
                <a:schemeClr val="accent5">
                  <a:lumMod val="75000"/>
                </a:schemeClr>
              </a:solidFill>
            </c:spPr>
          </c:dPt>
          <c:dLbls>
            <c:txPr>
              <a:bodyPr/>
              <a:lstStyle/>
              <a:p>
                <a:pPr>
                  <a:defRPr sz="1400">
                    <a:solidFill>
                      <a:srgbClr val="002060"/>
                    </a:solidFill>
                  </a:defRPr>
                </a:pPr>
                <a:endParaRPr lang="en-US"/>
              </a:p>
            </c:txPr>
            <c:showVal val="1"/>
          </c:dLbls>
          <c:cat>
            <c:strRef>
              <c:f>Hoja1!$B$35:$B$42</c:f>
              <c:strCache>
                <c:ptCount val="8"/>
                <c:pt idx="0">
                  <c:v>Buenos Aires</c:v>
                </c:pt>
                <c:pt idx="1">
                  <c:v>Nueva York</c:v>
                </c:pt>
                <c:pt idx="2">
                  <c:v>Londres</c:v>
                </c:pt>
                <c:pt idx="3">
                  <c:v>Bogotá</c:v>
                </c:pt>
                <c:pt idx="4">
                  <c:v>Medellín</c:v>
                </c:pt>
                <c:pt idx="5">
                  <c:v>Bucaramanga</c:v>
                </c:pt>
                <c:pt idx="6">
                  <c:v>Pereira</c:v>
                </c:pt>
                <c:pt idx="7">
                  <c:v>Barranquilla</c:v>
                </c:pt>
              </c:strCache>
            </c:strRef>
          </c:cat>
          <c:val>
            <c:numRef>
              <c:f>Hoja1!$C$35:$C$42</c:f>
              <c:numCache>
                <c:formatCode>General</c:formatCode>
                <c:ptCount val="8"/>
                <c:pt idx="0">
                  <c:v>22</c:v>
                </c:pt>
                <c:pt idx="1">
                  <c:v>22</c:v>
                </c:pt>
                <c:pt idx="2">
                  <c:v>20</c:v>
                </c:pt>
                <c:pt idx="3">
                  <c:v>6</c:v>
                </c:pt>
                <c:pt idx="4">
                  <c:v>4</c:v>
                </c:pt>
                <c:pt idx="5">
                  <c:v>4</c:v>
                </c:pt>
                <c:pt idx="6">
                  <c:v>2</c:v>
                </c:pt>
                <c:pt idx="7">
                  <c:v>1</c:v>
                </c:pt>
              </c:numCache>
            </c:numRef>
          </c:val>
        </c:ser>
        <c:axId val="195422848"/>
        <c:axId val="212906368"/>
      </c:barChart>
      <c:catAx>
        <c:axId val="195422848"/>
        <c:scaling>
          <c:orientation val="minMax"/>
        </c:scaling>
        <c:axPos val="b"/>
        <c:majorTickMark val="none"/>
        <c:tickLblPos val="nextTo"/>
        <c:txPr>
          <a:bodyPr rot="-5400000" vert="horz"/>
          <a:lstStyle/>
          <a:p>
            <a:pPr>
              <a:defRPr sz="1200">
                <a:solidFill>
                  <a:srgbClr val="002060"/>
                </a:solidFill>
              </a:defRPr>
            </a:pPr>
            <a:endParaRPr lang="en-US"/>
          </a:p>
        </c:txPr>
        <c:crossAx val="212906368"/>
        <c:crosses val="autoZero"/>
        <c:auto val="1"/>
        <c:lblAlgn val="ctr"/>
        <c:lblOffset val="100"/>
      </c:catAx>
      <c:valAx>
        <c:axId val="212906368"/>
        <c:scaling>
          <c:orientation val="minMax"/>
        </c:scaling>
        <c:axPos val="l"/>
        <c:majorGridlines>
          <c:spPr>
            <a:ln>
              <a:solidFill>
                <a:sysClr val="window" lastClr="FFFFFF"/>
              </a:solidFill>
            </a:ln>
          </c:spPr>
        </c:majorGridlines>
        <c:numFmt formatCode="General" sourceLinked="1"/>
        <c:majorTickMark val="none"/>
        <c:tickLblPos val="nextTo"/>
        <c:txPr>
          <a:bodyPr/>
          <a:lstStyle/>
          <a:p>
            <a:pPr>
              <a:defRPr sz="1200">
                <a:solidFill>
                  <a:srgbClr val="002060"/>
                </a:solidFill>
              </a:defRPr>
            </a:pPr>
            <a:endParaRPr lang="en-US"/>
          </a:p>
        </c:txPr>
        <c:crossAx val="195422848"/>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s-CO">
                <a:solidFill>
                  <a:srgbClr val="002060"/>
                </a:solidFill>
              </a:rPr>
              <a:t>Deficit</a:t>
            </a:r>
            <a:r>
              <a:rPr lang="es-CO" baseline="0">
                <a:solidFill>
                  <a:srgbClr val="002060"/>
                </a:solidFill>
              </a:rPr>
              <a:t> de vivienda</a:t>
            </a:r>
          </a:p>
          <a:p>
            <a:pPr>
              <a:defRPr/>
            </a:pPr>
            <a:r>
              <a:rPr lang="es-CO" baseline="0">
                <a:solidFill>
                  <a:srgbClr val="002060"/>
                </a:solidFill>
              </a:rPr>
              <a:t>(% de Hogares)</a:t>
            </a:r>
            <a:endParaRPr lang="es-CO">
              <a:solidFill>
                <a:srgbClr val="002060"/>
              </a:solidFill>
            </a:endParaRPr>
          </a:p>
        </c:rich>
      </c:tx>
      <c:layout/>
    </c:title>
    <c:plotArea>
      <c:layout/>
      <c:barChart>
        <c:barDir val="col"/>
        <c:grouping val="clustered"/>
        <c:ser>
          <c:idx val="0"/>
          <c:order val="0"/>
          <c:spPr>
            <a:solidFill>
              <a:schemeClr val="tx2">
                <a:lumMod val="75000"/>
              </a:schemeClr>
            </a:solidFill>
          </c:spPr>
          <c:dPt>
            <c:idx val="7"/>
            <c:spPr>
              <a:solidFill>
                <a:srgbClr val="C00000"/>
              </a:solidFill>
            </c:spPr>
          </c:dPt>
          <c:dLbls>
            <c:txPr>
              <a:bodyPr/>
              <a:lstStyle/>
              <a:p>
                <a:pPr>
                  <a:defRPr sz="1200">
                    <a:solidFill>
                      <a:srgbClr val="002060"/>
                    </a:solidFill>
                  </a:defRPr>
                </a:pPr>
                <a:endParaRPr lang="en-US"/>
              </a:p>
            </c:txPr>
            <c:showVal val="1"/>
          </c:dLbls>
          <c:cat>
            <c:strRef>
              <c:f>Hoja1!$B$48:$B$55</c:f>
              <c:strCache>
                <c:ptCount val="8"/>
                <c:pt idx="0">
                  <c:v>Cartagena</c:v>
                </c:pt>
                <c:pt idx="1">
                  <c:v>B/quilla</c:v>
                </c:pt>
                <c:pt idx="2">
                  <c:v>B/manga</c:v>
                </c:pt>
                <c:pt idx="3">
                  <c:v>Bogotá</c:v>
                </c:pt>
                <c:pt idx="4">
                  <c:v>Cali</c:v>
                </c:pt>
                <c:pt idx="5">
                  <c:v>Medellin</c:v>
                </c:pt>
                <c:pt idx="6">
                  <c:v>Pereira</c:v>
                </c:pt>
                <c:pt idx="7">
                  <c:v>Colombia</c:v>
                </c:pt>
              </c:strCache>
            </c:strRef>
          </c:cat>
          <c:val>
            <c:numRef>
              <c:f>Hoja1!$C$48:$C$55</c:f>
              <c:numCache>
                <c:formatCode>General</c:formatCode>
                <c:ptCount val="8"/>
                <c:pt idx="0">
                  <c:v>37.9</c:v>
                </c:pt>
                <c:pt idx="1">
                  <c:v>27.4</c:v>
                </c:pt>
                <c:pt idx="2">
                  <c:v>22.7</c:v>
                </c:pt>
                <c:pt idx="3">
                  <c:v>19.2</c:v>
                </c:pt>
                <c:pt idx="4">
                  <c:v>17.899999999999999</c:v>
                </c:pt>
                <c:pt idx="5">
                  <c:v>14</c:v>
                </c:pt>
                <c:pt idx="6">
                  <c:v>14</c:v>
                </c:pt>
                <c:pt idx="7">
                  <c:v>36.200000000000003</c:v>
                </c:pt>
              </c:numCache>
            </c:numRef>
          </c:val>
        </c:ser>
        <c:axId val="230913920"/>
        <c:axId val="230915456"/>
      </c:barChart>
      <c:catAx>
        <c:axId val="230913920"/>
        <c:scaling>
          <c:orientation val="minMax"/>
        </c:scaling>
        <c:axPos val="b"/>
        <c:majorTickMark val="none"/>
        <c:tickLblPos val="nextTo"/>
        <c:txPr>
          <a:bodyPr rot="-5400000" vert="horz"/>
          <a:lstStyle/>
          <a:p>
            <a:pPr>
              <a:defRPr sz="1200">
                <a:solidFill>
                  <a:srgbClr val="002060"/>
                </a:solidFill>
              </a:defRPr>
            </a:pPr>
            <a:endParaRPr lang="en-US"/>
          </a:p>
        </c:txPr>
        <c:crossAx val="230915456"/>
        <c:crosses val="autoZero"/>
        <c:auto val="1"/>
        <c:lblAlgn val="ctr"/>
        <c:lblOffset val="100"/>
      </c:catAx>
      <c:valAx>
        <c:axId val="230915456"/>
        <c:scaling>
          <c:orientation val="minMax"/>
        </c:scaling>
        <c:axPos val="l"/>
        <c:majorGridlines>
          <c:spPr>
            <a:ln>
              <a:solidFill>
                <a:sysClr val="window" lastClr="FFFFFF"/>
              </a:solidFill>
            </a:ln>
          </c:spPr>
        </c:majorGridlines>
        <c:numFmt formatCode="General" sourceLinked="1"/>
        <c:majorTickMark val="none"/>
        <c:tickLblPos val="nextTo"/>
        <c:txPr>
          <a:bodyPr/>
          <a:lstStyle/>
          <a:p>
            <a:pPr>
              <a:defRPr sz="1200">
                <a:solidFill>
                  <a:srgbClr val="002060"/>
                </a:solidFill>
              </a:defRPr>
            </a:pPr>
            <a:endParaRPr lang="en-US"/>
          </a:p>
        </c:txPr>
        <c:crossAx val="230913920"/>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solidFill>
                  <a:srgbClr val="002060"/>
                </a:solidFill>
              </a:rPr>
              <a:t>Energía</a:t>
            </a:r>
            <a:r>
              <a:rPr lang="en-US" sz="1400" baseline="0">
                <a:solidFill>
                  <a:srgbClr val="002060"/>
                </a:solidFill>
              </a:rPr>
              <a:t> Eléctrica</a:t>
            </a:r>
          </a:p>
          <a:p>
            <a:pPr>
              <a:defRPr/>
            </a:pPr>
            <a:r>
              <a:rPr lang="en-US" sz="1400" baseline="0">
                <a:solidFill>
                  <a:srgbClr val="002060"/>
                </a:solidFill>
              </a:rPr>
              <a:t>% de cobertura</a:t>
            </a:r>
            <a:endParaRPr lang="en-US" sz="1400">
              <a:solidFill>
                <a:srgbClr val="002060"/>
              </a:solidFill>
            </a:endParaRPr>
          </a:p>
        </c:rich>
      </c:tx>
      <c:layout/>
    </c:title>
    <c:plotArea>
      <c:layout/>
      <c:barChart>
        <c:barDir val="col"/>
        <c:grouping val="clustered"/>
        <c:ser>
          <c:idx val="0"/>
          <c:order val="0"/>
          <c:tx>
            <c:v>Tasa de cobertura</c:v>
          </c:tx>
          <c:dLbls>
            <c:txPr>
              <a:bodyPr/>
              <a:lstStyle/>
              <a:p>
                <a:pPr>
                  <a:defRPr b="1">
                    <a:solidFill>
                      <a:srgbClr val="002060"/>
                    </a:solidFill>
                  </a:defRPr>
                </a:pPr>
                <a:endParaRPr lang="en-US"/>
              </a:p>
            </c:txPr>
            <c:showVal val="1"/>
          </c:dLbls>
          <c:cat>
            <c:numRef>
              <c:f>Hoja1!$E$73:$E$84</c:f>
              <c:numCache>
                <c:formatCode>General</c:formatCode>
                <c:ptCount val="12"/>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Hoja1!$F$73:$F$83</c:f>
              <c:numCache>
                <c:formatCode>General</c:formatCode>
                <c:ptCount val="11"/>
                <c:pt idx="0">
                  <c:v>87.6</c:v>
                </c:pt>
                <c:pt idx="1">
                  <c:v>89.7</c:v>
                </c:pt>
                <c:pt idx="2">
                  <c:v>89.5</c:v>
                </c:pt>
                <c:pt idx="3">
                  <c:v>90.6</c:v>
                </c:pt>
                <c:pt idx="4">
                  <c:v>91.5</c:v>
                </c:pt>
                <c:pt idx="5">
                  <c:v>93.6</c:v>
                </c:pt>
                <c:pt idx="6">
                  <c:v>93.9</c:v>
                </c:pt>
                <c:pt idx="7">
                  <c:v>94.2</c:v>
                </c:pt>
                <c:pt idx="8">
                  <c:v>94.5</c:v>
                </c:pt>
                <c:pt idx="9">
                  <c:v>94.8</c:v>
                </c:pt>
                <c:pt idx="10">
                  <c:v>99.6</c:v>
                </c:pt>
              </c:numCache>
            </c:numRef>
          </c:val>
        </c:ser>
        <c:axId val="123484800"/>
        <c:axId val="123502976"/>
      </c:barChart>
      <c:catAx>
        <c:axId val="123484800"/>
        <c:scaling>
          <c:orientation val="minMax"/>
        </c:scaling>
        <c:axPos val="b"/>
        <c:numFmt formatCode="General" sourceLinked="1"/>
        <c:tickLblPos val="nextTo"/>
        <c:txPr>
          <a:bodyPr/>
          <a:lstStyle/>
          <a:p>
            <a:pPr>
              <a:defRPr>
                <a:solidFill>
                  <a:srgbClr val="002060"/>
                </a:solidFill>
              </a:defRPr>
            </a:pPr>
            <a:endParaRPr lang="en-US"/>
          </a:p>
        </c:txPr>
        <c:crossAx val="123502976"/>
        <c:crosses val="autoZero"/>
        <c:auto val="1"/>
        <c:lblAlgn val="ctr"/>
        <c:lblOffset val="100"/>
      </c:catAx>
      <c:valAx>
        <c:axId val="123502976"/>
        <c:scaling>
          <c:orientation val="minMax"/>
          <c:max val="100"/>
          <c:min val="80"/>
        </c:scaling>
        <c:axPos val="l"/>
        <c:majorGridlines>
          <c:spPr>
            <a:ln>
              <a:solidFill>
                <a:sysClr val="window" lastClr="FFFFFF"/>
              </a:solidFill>
            </a:ln>
          </c:spPr>
        </c:majorGridlines>
        <c:numFmt formatCode="General" sourceLinked="1"/>
        <c:tickLblPos val="nextTo"/>
        <c:txPr>
          <a:bodyPr/>
          <a:lstStyle/>
          <a:p>
            <a:pPr>
              <a:defRPr>
                <a:solidFill>
                  <a:srgbClr val="002060"/>
                </a:solidFill>
              </a:defRPr>
            </a:pPr>
            <a:endParaRPr lang="en-US"/>
          </a:p>
        </c:txPr>
        <c:crossAx val="123484800"/>
        <c:crosses val="autoZero"/>
        <c:crossBetween val="between"/>
      </c:valAx>
    </c:plotArea>
    <c:legend>
      <c:legendPos val="b"/>
      <c:layout/>
      <c:txPr>
        <a:bodyPr/>
        <a:lstStyle/>
        <a:p>
          <a:pPr>
            <a:defRPr>
              <a:solidFill>
                <a:srgbClr val="002060"/>
              </a:solidFill>
            </a:defRPr>
          </a:pPr>
          <a:endParaRPr lang="en-US"/>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s-ES" sz="1600">
                <a:solidFill>
                  <a:srgbClr val="002060"/>
                </a:solidFill>
              </a:rPr>
              <a:t>Acceso</a:t>
            </a:r>
            <a:r>
              <a:rPr lang="es-ES" sz="1600" baseline="0">
                <a:solidFill>
                  <a:srgbClr val="002060"/>
                </a:solidFill>
              </a:rPr>
              <a:t> a servicios públicos-</a:t>
            </a:r>
          </a:p>
          <a:p>
            <a:pPr>
              <a:defRPr/>
            </a:pPr>
            <a:r>
              <a:rPr lang="es-ES" sz="1600" baseline="0">
                <a:solidFill>
                  <a:srgbClr val="002060"/>
                </a:solidFill>
              </a:rPr>
              <a:t>Total Urbano</a:t>
            </a:r>
            <a:endParaRPr lang="es-ES" sz="1600">
              <a:solidFill>
                <a:srgbClr val="002060"/>
              </a:solidFill>
            </a:endParaRPr>
          </a:p>
        </c:rich>
      </c:tx>
      <c:layout/>
    </c:title>
    <c:plotArea>
      <c:layout/>
      <c:barChart>
        <c:barDir val="col"/>
        <c:grouping val="clustered"/>
        <c:ser>
          <c:idx val="0"/>
          <c:order val="0"/>
          <c:tx>
            <c:strRef>
              <c:f>Hoja1!$F$5</c:f>
              <c:strCache>
                <c:ptCount val="1"/>
                <c:pt idx="0">
                  <c:v>2003</c:v>
                </c:pt>
              </c:strCache>
            </c:strRef>
          </c:tx>
          <c:dLbls>
            <c:txPr>
              <a:bodyPr rot="-5400000" vert="horz"/>
              <a:lstStyle/>
              <a:p>
                <a:pPr>
                  <a:defRPr/>
                </a:pPr>
                <a:endParaRPr lang="en-US"/>
              </a:p>
            </c:txPr>
            <c:showVal val="1"/>
          </c:dLbls>
          <c:cat>
            <c:strRef>
              <c:f>Hoja1!$E$6:$E$11</c:f>
              <c:strCache>
                <c:ptCount val="6"/>
                <c:pt idx="0">
                  <c:v>Energía Eléctrica</c:v>
                </c:pt>
                <c:pt idx="1">
                  <c:v>Gas natural conectado a red pública</c:v>
                </c:pt>
                <c:pt idx="2">
                  <c:v>Acueducto</c:v>
                </c:pt>
                <c:pt idx="3">
                  <c:v>Alcantarillado</c:v>
                </c:pt>
                <c:pt idx="4">
                  <c:v>Télefono fijo</c:v>
                </c:pt>
                <c:pt idx="5">
                  <c:v>Télefono Celular</c:v>
                </c:pt>
              </c:strCache>
            </c:strRef>
          </c:cat>
          <c:val>
            <c:numRef>
              <c:f>Hoja1!$F$6:$F$11</c:f>
              <c:numCache>
                <c:formatCode>0.0</c:formatCode>
                <c:ptCount val="6"/>
                <c:pt idx="0">
                  <c:v>99.7</c:v>
                </c:pt>
                <c:pt idx="1">
                  <c:v>45.6</c:v>
                </c:pt>
                <c:pt idx="2">
                  <c:v>97.6</c:v>
                </c:pt>
                <c:pt idx="3">
                  <c:v>90.5</c:v>
                </c:pt>
                <c:pt idx="4">
                  <c:v>68.3</c:v>
                </c:pt>
                <c:pt idx="5">
                  <c:v>21.8</c:v>
                </c:pt>
              </c:numCache>
            </c:numRef>
          </c:val>
        </c:ser>
        <c:ser>
          <c:idx val="1"/>
          <c:order val="1"/>
          <c:tx>
            <c:strRef>
              <c:f>Hoja1!$G$5</c:f>
              <c:strCache>
                <c:ptCount val="1"/>
                <c:pt idx="0">
                  <c:v>2008</c:v>
                </c:pt>
              </c:strCache>
            </c:strRef>
          </c:tx>
          <c:dLbls>
            <c:txPr>
              <a:bodyPr rot="-5400000" vert="horz"/>
              <a:lstStyle/>
              <a:p>
                <a:pPr>
                  <a:defRPr/>
                </a:pPr>
                <a:endParaRPr lang="en-US"/>
              </a:p>
            </c:txPr>
            <c:showVal val="1"/>
          </c:dLbls>
          <c:cat>
            <c:strRef>
              <c:f>Hoja1!$E$6:$E$11</c:f>
              <c:strCache>
                <c:ptCount val="6"/>
                <c:pt idx="0">
                  <c:v>Energía Eléctrica</c:v>
                </c:pt>
                <c:pt idx="1">
                  <c:v>Gas natural conectado a red pública</c:v>
                </c:pt>
                <c:pt idx="2">
                  <c:v>Acueducto</c:v>
                </c:pt>
                <c:pt idx="3">
                  <c:v>Alcantarillado</c:v>
                </c:pt>
                <c:pt idx="4">
                  <c:v>Télefono fijo</c:v>
                </c:pt>
                <c:pt idx="5">
                  <c:v>Télefono Celular</c:v>
                </c:pt>
              </c:strCache>
            </c:strRef>
          </c:cat>
          <c:val>
            <c:numRef>
              <c:f>Hoja1!$G$6:$G$11</c:f>
              <c:numCache>
                <c:formatCode>0.0</c:formatCode>
                <c:ptCount val="6"/>
                <c:pt idx="0">
                  <c:v>99.4</c:v>
                </c:pt>
                <c:pt idx="1">
                  <c:v>59.8</c:v>
                </c:pt>
                <c:pt idx="2">
                  <c:v>94.8</c:v>
                </c:pt>
                <c:pt idx="3">
                  <c:v>90.6</c:v>
                </c:pt>
                <c:pt idx="4">
                  <c:v>55.4</c:v>
                </c:pt>
                <c:pt idx="5">
                  <c:v>87.5</c:v>
                </c:pt>
              </c:numCache>
            </c:numRef>
          </c:val>
        </c:ser>
        <c:ser>
          <c:idx val="2"/>
          <c:order val="2"/>
          <c:tx>
            <c:strRef>
              <c:f>Hoja1!$H$5</c:f>
              <c:strCache>
                <c:ptCount val="1"/>
                <c:pt idx="0">
                  <c:v>2010</c:v>
                </c:pt>
              </c:strCache>
            </c:strRef>
          </c:tx>
          <c:dLbls>
            <c:txPr>
              <a:bodyPr rot="-5400000" vert="horz"/>
              <a:lstStyle/>
              <a:p>
                <a:pPr>
                  <a:defRPr/>
                </a:pPr>
                <a:endParaRPr lang="en-US"/>
              </a:p>
            </c:txPr>
            <c:showVal val="1"/>
          </c:dLbls>
          <c:cat>
            <c:strRef>
              <c:f>Hoja1!$E$6:$E$11</c:f>
              <c:strCache>
                <c:ptCount val="6"/>
                <c:pt idx="0">
                  <c:v>Energía Eléctrica</c:v>
                </c:pt>
                <c:pt idx="1">
                  <c:v>Gas natural conectado a red pública</c:v>
                </c:pt>
                <c:pt idx="2">
                  <c:v>Acueducto</c:v>
                </c:pt>
                <c:pt idx="3">
                  <c:v>Alcantarillado</c:v>
                </c:pt>
                <c:pt idx="4">
                  <c:v>Télefono fijo</c:v>
                </c:pt>
                <c:pt idx="5">
                  <c:v>Télefono Celular</c:v>
                </c:pt>
              </c:strCache>
            </c:strRef>
          </c:cat>
          <c:val>
            <c:numRef>
              <c:f>Hoja1!$H$6:$H$11</c:f>
              <c:numCache>
                <c:formatCode>0.0</c:formatCode>
                <c:ptCount val="6"/>
                <c:pt idx="0">
                  <c:v>99.6</c:v>
                </c:pt>
                <c:pt idx="1">
                  <c:v>65.400000000000006</c:v>
                </c:pt>
                <c:pt idx="2">
                  <c:v>95.9</c:v>
                </c:pt>
                <c:pt idx="3">
                  <c:v>91.8</c:v>
                </c:pt>
                <c:pt idx="4">
                  <c:v>49.4</c:v>
                </c:pt>
                <c:pt idx="5">
                  <c:v>90.5</c:v>
                </c:pt>
              </c:numCache>
            </c:numRef>
          </c:val>
        </c:ser>
        <c:axId val="214707584"/>
        <c:axId val="214729856"/>
      </c:barChart>
      <c:catAx>
        <c:axId val="214707584"/>
        <c:scaling>
          <c:orientation val="minMax"/>
        </c:scaling>
        <c:axPos val="b"/>
        <c:majorTickMark val="none"/>
        <c:tickLblPos val="nextTo"/>
        <c:txPr>
          <a:bodyPr/>
          <a:lstStyle/>
          <a:p>
            <a:pPr>
              <a:defRPr>
                <a:solidFill>
                  <a:srgbClr val="002060"/>
                </a:solidFill>
              </a:defRPr>
            </a:pPr>
            <a:endParaRPr lang="en-US"/>
          </a:p>
        </c:txPr>
        <c:crossAx val="214729856"/>
        <c:crosses val="autoZero"/>
        <c:auto val="1"/>
        <c:lblAlgn val="ctr"/>
        <c:lblOffset val="100"/>
      </c:catAx>
      <c:valAx>
        <c:axId val="214729856"/>
        <c:scaling>
          <c:orientation val="minMax"/>
        </c:scaling>
        <c:axPos val="l"/>
        <c:majorGridlines>
          <c:spPr>
            <a:ln>
              <a:solidFill>
                <a:schemeClr val="bg1"/>
              </a:solidFill>
            </a:ln>
          </c:spPr>
        </c:majorGridlines>
        <c:numFmt formatCode="#,##0" sourceLinked="0"/>
        <c:majorTickMark val="none"/>
        <c:tickLblPos val="nextTo"/>
        <c:crossAx val="214707584"/>
        <c:crosses val="autoZero"/>
        <c:crossBetween val="between"/>
      </c:valAx>
    </c:plotArea>
    <c:legend>
      <c:legendPos val="r"/>
      <c:layout/>
      <c:txPr>
        <a:bodyPr/>
        <a:lstStyle/>
        <a:p>
          <a:pPr>
            <a:defRPr>
              <a:solidFill>
                <a:srgbClr val="002060"/>
              </a:solidFill>
            </a:defRPr>
          </a:pPr>
          <a:endParaRPr lang="en-US"/>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s-ES" sz="1400">
                <a:solidFill>
                  <a:srgbClr val="002060"/>
                </a:solidFill>
              </a:rPr>
              <a:t>Acceso</a:t>
            </a:r>
            <a:r>
              <a:rPr lang="es-ES" sz="1400" baseline="0">
                <a:solidFill>
                  <a:srgbClr val="002060"/>
                </a:solidFill>
              </a:rPr>
              <a:t> a servicios públicos </a:t>
            </a:r>
          </a:p>
          <a:p>
            <a:pPr>
              <a:defRPr/>
            </a:pPr>
            <a:r>
              <a:rPr lang="es-ES" sz="1400" baseline="0">
                <a:solidFill>
                  <a:srgbClr val="002060"/>
                </a:solidFill>
              </a:rPr>
              <a:t>Total Rural</a:t>
            </a:r>
            <a:endParaRPr lang="es-ES" sz="1400">
              <a:solidFill>
                <a:srgbClr val="002060"/>
              </a:solidFill>
            </a:endParaRPr>
          </a:p>
        </c:rich>
      </c:tx>
      <c:layout/>
    </c:title>
    <c:plotArea>
      <c:layout/>
      <c:barChart>
        <c:barDir val="col"/>
        <c:grouping val="clustered"/>
        <c:ser>
          <c:idx val="0"/>
          <c:order val="0"/>
          <c:tx>
            <c:strRef>
              <c:f>Hoja1!$F$13</c:f>
              <c:strCache>
                <c:ptCount val="1"/>
                <c:pt idx="0">
                  <c:v>2003</c:v>
                </c:pt>
              </c:strCache>
            </c:strRef>
          </c:tx>
          <c:dLbls>
            <c:txPr>
              <a:bodyPr rot="-5400000" vert="horz"/>
              <a:lstStyle/>
              <a:p>
                <a:pPr>
                  <a:defRPr>
                    <a:solidFill>
                      <a:srgbClr val="002060"/>
                    </a:solidFill>
                  </a:defRPr>
                </a:pPr>
                <a:endParaRPr lang="en-US"/>
              </a:p>
            </c:txPr>
            <c:showVal val="1"/>
          </c:dLbls>
          <c:cat>
            <c:strRef>
              <c:f>Hoja1!$E$14:$E$19</c:f>
              <c:strCache>
                <c:ptCount val="6"/>
                <c:pt idx="0">
                  <c:v>Energía Eléctrica</c:v>
                </c:pt>
                <c:pt idx="1">
                  <c:v>Gas natural conectado a red pública</c:v>
                </c:pt>
                <c:pt idx="2">
                  <c:v>Acueducto</c:v>
                </c:pt>
                <c:pt idx="3">
                  <c:v>Alcantarillado</c:v>
                </c:pt>
                <c:pt idx="4">
                  <c:v>Télefono fijo</c:v>
                </c:pt>
                <c:pt idx="5">
                  <c:v>Télefono Celular</c:v>
                </c:pt>
              </c:strCache>
            </c:strRef>
          </c:cat>
          <c:val>
            <c:numRef>
              <c:f>Hoja1!$F$14:$F$19</c:f>
              <c:numCache>
                <c:formatCode>0.0</c:formatCode>
                <c:ptCount val="6"/>
                <c:pt idx="0">
                  <c:v>83.2</c:v>
                </c:pt>
                <c:pt idx="1">
                  <c:v>2</c:v>
                </c:pt>
                <c:pt idx="2">
                  <c:v>53.8</c:v>
                </c:pt>
                <c:pt idx="3">
                  <c:v>16.100000000000001</c:v>
                </c:pt>
                <c:pt idx="4">
                  <c:v>10.9</c:v>
                </c:pt>
                <c:pt idx="5">
                  <c:v>4.5999999999999996</c:v>
                </c:pt>
              </c:numCache>
            </c:numRef>
          </c:val>
        </c:ser>
        <c:ser>
          <c:idx val="1"/>
          <c:order val="1"/>
          <c:tx>
            <c:strRef>
              <c:f>Hoja1!$G$13</c:f>
              <c:strCache>
                <c:ptCount val="1"/>
                <c:pt idx="0">
                  <c:v>2008</c:v>
                </c:pt>
              </c:strCache>
            </c:strRef>
          </c:tx>
          <c:dLbls>
            <c:txPr>
              <a:bodyPr rot="-5400000" vert="horz"/>
              <a:lstStyle/>
              <a:p>
                <a:pPr>
                  <a:defRPr>
                    <a:solidFill>
                      <a:srgbClr val="002060"/>
                    </a:solidFill>
                  </a:defRPr>
                </a:pPr>
                <a:endParaRPr lang="en-US"/>
              </a:p>
            </c:txPr>
            <c:showVal val="1"/>
          </c:dLbls>
          <c:cat>
            <c:strRef>
              <c:f>Hoja1!$E$14:$E$19</c:f>
              <c:strCache>
                <c:ptCount val="6"/>
                <c:pt idx="0">
                  <c:v>Energía Eléctrica</c:v>
                </c:pt>
                <c:pt idx="1">
                  <c:v>Gas natural conectado a red pública</c:v>
                </c:pt>
                <c:pt idx="2">
                  <c:v>Acueducto</c:v>
                </c:pt>
                <c:pt idx="3">
                  <c:v>Alcantarillado</c:v>
                </c:pt>
                <c:pt idx="4">
                  <c:v>Télefono fijo</c:v>
                </c:pt>
                <c:pt idx="5">
                  <c:v>Télefono Celular</c:v>
                </c:pt>
              </c:strCache>
            </c:strRef>
          </c:cat>
          <c:val>
            <c:numRef>
              <c:f>Hoja1!$G$14:$G$19</c:f>
              <c:numCache>
                <c:formatCode>0.0</c:formatCode>
                <c:ptCount val="6"/>
                <c:pt idx="0">
                  <c:v>89.4</c:v>
                </c:pt>
                <c:pt idx="1">
                  <c:v>3.4</c:v>
                </c:pt>
                <c:pt idx="2">
                  <c:v>58.3</c:v>
                </c:pt>
                <c:pt idx="3">
                  <c:v>14.9</c:v>
                </c:pt>
                <c:pt idx="4">
                  <c:v>5.3</c:v>
                </c:pt>
                <c:pt idx="5">
                  <c:v>70.8</c:v>
                </c:pt>
              </c:numCache>
            </c:numRef>
          </c:val>
        </c:ser>
        <c:ser>
          <c:idx val="2"/>
          <c:order val="2"/>
          <c:tx>
            <c:strRef>
              <c:f>Hoja1!$H$13</c:f>
              <c:strCache>
                <c:ptCount val="1"/>
                <c:pt idx="0">
                  <c:v>2010</c:v>
                </c:pt>
              </c:strCache>
            </c:strRef>
          </c:tx>
          <c:dLbls>
            <c:txPr>
              <a:bodyPr rot="-5400000" vert="horz"/>
              <a:lstStyle/>
              <a:p>
                <a:pPr>
                  <a:defRPr>
                    <a:solidFill>
                      <a:srgbClr val="002060"/>
                    </a:solidFill>
                  </a:defRPr>
                </a:pPr>
                <a:endParaRPr lang="en-US"/>
              </a:p>
            </c:txPr>
            <c:showVal val="1"/>
          </c:dLbls>
          <c:cat>
            <c:strRef>
              <c:f>Hoja1!$E$14:$E$19</c:f>
              <c:strCache>
                <c:ptCount val="6"/>
                <c:pt idx="0">
                  <c:v>Energía Eléctrica</c:v>
                </c:pt>
                <c:pt idx="1">
                  <c:v>Gas natural conectado a red pública</c:v>
                </c:pt>
                <c:pt idx="2">
                  <c:v>Acueducto</c:v>
                </c:pt>
                <c:pt idx="3">
                  <c:v>Alcantarillado</c:v>
                </c:pt>
                <c:pt idx="4">
                  <c:v>Télefono fijo</c:v>
                </c:pt>
                <c:pt idx="5">
                  <c:v>Télefono Celular</c:v>
                </c:pt>
              </c:strCache>
            </c:strRef>
          </c:cat>
          <c:val>
            <c:numRef>
              <c:f>Hoja1!$H$14:$H$19</c:f>
              <c:numCache>
                <c:formatCode>General</c:formatCode>
                <c:ptCount val="6"/>
                <c:pt idx="0">
                  <c:v>90.7</c:v>
                </c:pt>
                <c:pt idx="1">
                  <c:v>5.0999999999999996</c:v>
                </c:pt>
                <c:pt idx="2">
                  <c:v>57.1</c:v>
                </c:pt>
                <c:pt idx="3">
                  <c:v>15.1</c:v>
                </c:pt>
                <c:pt idx="4">
                  <c:v>4.7</c:v>
                </c:pt>
                <c:pt idx="5">
                  <c:v>79.400000000000006</c:v>
                </c:pt>
              </c:numCache>
            </c:numRef>
          </c:val>
        </c:ser>
        <c:axId val="209463936"/>
        <c:axId val="212758912"/>
      </c:barChart>
      <c:catAx>
        <c:axId val="209463936"/>
        <c:scaling>
          <c:orientation val="minMax"/>
        </c:scaling>
        <c:axPos val="b"/>
        <c:majorTickMark val="none"/>
        <c:tickLblPos val="nextTo"/>
        <c:txPr>
          <a:bodyPr/>
          <a:lstStyle/>
          <a:p>
            <a:pPr>
              <a:defRPr>
                <a:solidFill>
                  <a:srgbClr val="002060"/>
                </a:solidFill>
              </a:defRPr>
            </a:pPr>
            <a:endParaRPr lang="en-US"/>
          </a:p>
        </c:txPr>
        <c:crossAx val="212758912"/>
        <c:crosses val="autoZero"/>
        <c:auto val="1"/>
        <c:lblAlgn val="ctr"/>
        <c:lblOffset val="100"/>
      </c:catAx>
      <c:valAx>
        <c:axId val="212758912"/>
        <c:scaling>
          <c:orientation val="minMax"/>
        </c:scaling>
        <c:axPos val="l"/>
        <c:majorGridlines>
          <c:spPr>
            <a:ln>
              <a:solidFill>
                <a:sysClr val="window" lastClr="FFFFFF"/>
              </a:solidFill>
            </a:ln>
          </c:spPr>
        </c:majorGridlines>
        <c:numFmt formatCode="#,##0" sourceLinked="0"/>
        <c:majorTickMark val="none"/>
        <c:tickLblPos val="nextTo"/>
        <c:txPr>
          <a:bodyPr/>
          <a:lstStyle/>
          <a:p>
            <a:pPr>
              <a:defRPr>
                <a:solidFill>
                  <a:srgbClr val="002060"/>
                </a:solidFill>
              </a:defRPr>
            </a:pPr>
            <a:endParaRPr lang="en-US"/>
          </a:p>
        </c:txPr>
        <c:crossAx val="209463936"/>
        <c:crosses val="autoZero"/>
        <c:crossBetween val="between"/>
      </c:valAx>
    </c:plotArea>
    <c:legend>
      <c:legendPos val="r"/>
      <c:layout/>
      <c:txPr>
        <a:bodyPr/>
        <a:lstStyle/>
        <a:p>
          <a:pPr>
            <a:defRPr>
              <a:solidFill>
                <a:srgbClr val="002060"/>
              </a:solidFill>
            </a:defRPr>
          </a:pPr>
          <a:endParaRPr lang="en-US"/>
        </a:p>
      </c:txP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s-ES" sz="1400">
                <a:solidFill>
                  <a:srgbClr val="002060"/>
                </a:solidFill>
              </a:rPr>
              <a:t>Educación</a:t>
            </a:r>
            <a:r>
              <a:rPr lang="es-ES" sz="1400" baseline="0">
                <a:solidFill>
                  <a:srgbClr val="002060"/>
                </a:solidFill>
              </a:rPr>
              <a:t> Basica y Media</a:t>
            </a:r>
          </a:p>
          <a:p>
            <a:pPr>
              <a:defRPr/>
            </a:pPr>
            <a:r>
              <a:rPr lang="es-ES" sz="1400" baseline="0">
                <a:solidFill>
                  <a:srgbClr val="002060"/>
                </a:solidFill>
              </a:rPr>
              <a:t>Tasa de cobertura</a:t>
            </a:r>
            <a:endParaRPr lang="es-ES" sz="1400">
              <a:solidFill>
                <a:srgbClr val="002060"/>
              </a:solidFill>
            </a:endParaRPr>
          </a:p>
        </c:rich>
      </c:tx>
      <c:layout/>
    </c:title>
    <c:plotArea>
      <c:layout/>
      <c:lineChart>
        <c:grouping val="standard"/>
        <c:ser>
          <c:idx val="0"/>
          <c:order val="0"/>
          <c:tx>
            <c:strRef>
              <c:f>Hoja1!$F$46</c:f>
              <c:strCache>
                <c:ptCount val="1"/>
                <c:pt idx="0">
                  <c:v>Cobertura bruta</c:v>
                </c:pt>
              </c:strCache>
            </c:strRef>
          </c:tx>
          <c:cat>
            <c:numRef>
              <c:f>Hoja1!$E$47:$E$55</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Hoja1!$F$47:$F$55</c:f>
              <c:numCache>
                <c:formatCode>0.00</c:formatCode>
                <c:ptCount val="9"/>
                <c:pt idx="0">
                  <c:v>90.5</c:v>
                </c:pt>
                <c:pt idx="1">
                  <c:v>94.2</c:v>
                </c:pt>
                <c:pt idx="2" formatCode="General">
                  <c:v>95.51</c:v>
                </c:pt>
                <c:pt idx="3" formatCode="General">
                  <c:v>97.86</c:v>
                </c:pt>
                <c:pt idx="4" formatCode="General">
                  <c:v>100.51</c:v>
                </c:pt>
                <c:pt idx="5" formatCode="General">
                  <c:v>100.86999999999999</c:v>
                </c:pt>
                <c:pt idx="6" formatCode="General">
                  <c:v>102.36</c:v>
                </c:pt>
                <c:pt idx="7" formatCode="General">
                  <c:v>104.64999999999999</c:v>
                </c:pt>
                <c:pt idx="8" formatCode="General">
                  <c:v>104</c:v>
                </c:pt>
              </c:numCache>
            </c:numRef>
          </c:val>
        </c:ser>
        <c:ser>
          <c:idx val="1"/>
          <c:order val="1"/>
          <c:tx>
            <c:strRef>
              <c:f>Hoja1!$G$46</c:f>
              <c:strCache>
                <c:ptCount val="1"/>
                <c:pt idx="0">
                  <c:v>Cobertura neta</c:v>
                </c:pt>
              </c:strCache>
            </c:strRef>
          </c:tx>
          <c:cat>
            <c:numRef>
              <c:f>Hoja1!$E$47:$E$55</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Hoja1!$G$47:$G$55</c:f>
              <c:numCache>
                <c:formatCode>General</c:formatCode>
                <c:ptCount val="9"/>
                <c:pt idx="0">
                  <c:v>84.39</c:v>
                </c:pt>
                <c:pt idx="1">
                  <c:v>86.14</c:v>
                </c:pt>
                <c:pt idx="2">
                  <c:v>86.210000000000022</c:v>
                </c:pt>
                <c:pt idx="3">
                  <c:v>88.11</c:v>
                </c:pt>
                <c:pt idx="4">
                  <c:v>89.42</c:v>
                </c:pt>
                <c:pt idx="5">
                  <c:v>89.38</c:v>
                </c:pt>
                <c:pt idx="6">
                  <c:v>89.2</c:v>
                </c:pt>
                <c:pt idx="7">
                  <c:v>90.03</c:v>
                </c:pt>
                <c:pt idx="8">
                  <c:v>89.7</c:v>
                </c:pt>
              </c:numCache>
            </c:numRef>
          </c:val>
        </c:ser>
        <c:marker val="1"/>
        <c:axId val="212779776"/>
        <c:axId val="212781312"/>
      </c:lineChart>
      <c:catAx>
        <c:axId val="212779776"/>
        <c:scaling>
          <c:orientation val="minMax"/>
        </c:scaling>
        <c:axPos val="b"/>
        <c:numFmt formatCode="General" sourceLinked="1"/>
        <c:majorTickMark val="none"/>
        <c:tickLblPos val="nextTo"/>
        <c:txPr>
          <a:bodyPr/>
          <a:lstStyle/>
          <a:p>
            <a:pPr>
              <a:defRPr>
                <a:solidFill>
                  <a:srgbClr val="002060"/>
                </a:solidFill>
              </a:defRPr>
            </a:pPr>
            <a:endParaRPr lang="en-US"/>
          </a:p>
        </c:txPr>
        <c:crossAx val="212781312"/>
        <c:crosses val="autoZero"/>
        <c:auto val="1"/>
        <c:lblAlgn val="ctr"/>
        <c:lblOffset val="100"/>
      </c:catAx>
      <c:valAx>
        <c:axId val="212781312"/>
        <c:scaling>
          <c:orientation val="minMax"/>
          <c:max val="120"/>
          <c:min val="50"/>
        </c:scaling>
        <c:axPos val="l"/>
        <c:majorGridlines>
          <c:spPr>
            <a:ln>
              <a:solidFill>
                <a:sysClr val="window" lastClr="FFFFFF"/>
              </a:solidFill>
            </a:ln>
          </c:spPr>
        </c:majorGridlines>
        <c:numFmt formatCode="#,##0" sourceLinked="0"/>
        <c:majorTickMark val="none"/>
        <c:tickLblPos val="nextTo"/>
        <c:spPr>
          <a:ln w="9525">
            <a:noFill/>
          </a:ln>
        </c:spPr>
        <c:txPr>
          <a:bodyPr/>
          <a:lstStyle/>
          <a:p>
            <a:pPr>
              <a:defRPr>
                <a:solidFill>
                  <a:srgbClr val="002060"/>
                </a:solidFill>
              </a:defRPr>
            </a:pPr>
            <a:endParaRPr lang="en-US"/>
          </a:p>
        </c:txPr>
        <c:crossAx val="212779776"/>
        <c:crosses val="autoZero"/>
        <c:crossBetween val="between"/>
      </c:valAx>
    </c:plotArea>
    <c:legend>
      <c:legendPos val="b"/>
      <c:layout/>
      <c:txPr>
        <a:bodyPr/>
        <a:lstStyle/>
        <a:p>
          <a:pPr>
            <a:defRPr>
              <a:solidFill>
                <a:srgbClr val="002060"/>
              </a:solidFill>
            </a:defRPr>
          </a:pPr>
          <a:endParaRPr lang="en-US"/>
        </a:p>
      </c:txP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solidFill>
                  <a:srgbClr val="002060"/>
                </a:solidFill>
              </a:rPr>
              <a:t>Educación</a:t>
            </a:r>
            <a:r>
              <a:rPr lang="en-US" sz="1400" baseline="0">
                <a:solidFill>
                  <a:srgbClr val="002060"/>
                </a:solidFill>
              </a:rPr>
              <a:t> Superior</a:t>
            </a:r>
          </a:p>
          <a:p>
            <a:pPr>
              <a:defRPr/>
            </a:pPr>
            <a:r>
              <a:rPr lang="en-US" sz="1400" baseline="0">
                <a:solidFill>
                  <a:srgbClr val="002060"/>
                </a:solidFill>
              </a:rPr>
              <a:t>Tasa de cobertura</a:t>
            </a:r>
            <a:endParaRPr lang="en-US">
              <a:solidFill>
                <a:srgbClr val="002060"/>
              </a:solidFill>
            </a:endParaRPr>
          </a:p>
        </c:rich>
      </c:tx>
      <c:layout>
        <c:manualLayout>
          <c:xMode val="edge"/>
          <c:yMode val="edge"/>
          <c:x val="0.33354155730533686"/>
          <c:y val="2.7777777777777842E-2"/>
        </c:manualLayout>
      </c:layout>
    </c:title>
    <c:plotArea>
      <c:layout/>
      <c:lineChart>
        <c:grouping val="standard"/>
        <c:ser>
          <c:idx val="0"/>
          <c:order val="0"/>
          <c:tx>
            <c:strRef>
              <c:f>Hoja1!$F$59</c:f>
              <c:strCache>
                <c:ptCount val="1"/>
                <c:pt idx="0">
                  <c:v>Cobertura bruta</c:v>
                </c:pt>
              </c:strCache>
            </c:strRef>
          </c:tx>
          <c:cat>
            <c:numRef>
              <c:f>Hoja1!$E$60:$E$68</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Hoja1!$F$60:$F$68</c:f>
              <c:numCache>
                <c:formatCode>General</c:formatCode>
                <c:ptCount val="9"/>
                <c:pt idx="0">
                  <c:v>24.5</c:v>
                </c:pt>
                <c:pt idx="1">
                  <c:v>25.6</c:v>
                </c:pt>
                <c:pt idx="2">
                  <c:v>27</c:v>
                </c:pt>
                <c:pt idx="3">
                  <c:v>28.4</c:v>
                </c:pt>
                <c:pt idx="4">
                  <c:v>30.1</c:v>
                </c:pt>
                <c:pt idx="5">
                  <c:v>31.6</c:v>
                </c:pt>
                <c:pt idx="6">
                  <c:v>34.1</c:v>
                </c:pt>
                <c:pt idx="7">
                  <c:v>35.6</c:v>
                </c:pt>
                <c:pt idx="8">
                  <c:v>37.200000000000003</c:v>
                </c:pt>
              </c:numCache>
            </c:numRef>
          </c:val>
        </c:ser>
        <c:marker val="1"/>
        <c:axId val="213325696"/>
        <c:axId val="213327232"/>
      </c:lineChart>
      <c:catAx>
        <c:axId val="213325696"/>
        <c:scaling>
          <c:orientation val="minMax"/>
        </c:scaling>
        <c:axPos val="b"/>
        <c:numFmt formatCode="General" sourceLinked="1"/>
        <c:tickLblPos val="nextTo"/>
        <c:txPr>
          <a:bodyPr/>
          <a:lstStyle/>
          <a:p>
            <a:pPr>
              <a:defRPr>
                <a:solidFill>
                  <a:srgbClr val="002060"/>
                </a:solidFill>
              </a:defRPr>
            </a:pPr>
            <a:endParaRPr lang="en-US"/>
          </a:p>
        </c:txPr>
        <c:crossAx val="213327232"/>
        <c:crosses val="autoZero"/>
        <c:auto val="1"/>
        <c:lblAlgn val="ctr"/>
        <c:lblOffset val="100"/>
      </c:catAx>
      <c:valAx>
        <c:axId val="213327232"/>
        <c:scaling>
          <c:orientation val="minMax"/>
        </c:scaling>
        <c:axPos val="l"/>
        <c:majorGridlines>
          <c:spPr>
            <a:ln>
              <a:solidFill>
                <a:sysClr val="window" lastClr="FFFFFF"/>
              </a:solidFill>
            </a:ln>
          </c:spPr>
        </c:majorGridlines>
        <c:numFmt formatCode="General" sourceLinked="1"/>
        <c:tickLblPos val="nextTo"/>
        <c:txPr>
          <a:bodyPr/>
          <a:lstStyle/>
          <a:p>
            <a:pPr>
              <a:defRPr>
                <a:solidFill>
                  <a:srgbClr val="002060"/>
                </a:solidFill>
              </a:defRPr>
            </a:pPr>
            <a:endParaRPr lang="en-US"/>
          </a:p>
        </c:txPr>
        <c:crossAx val="213325696"/>
        <c:crosses val="autoZero"/>
        <c:crossBetween val="between"/>
      </c:valAx>
    </c:plotArea>
    <c:legend>
      <c:legendPos val="b"/>
      <c:layout/>
      <c:txPr>
        <a:bodyPr/>
        <a:lstStyle/>
        <a:p>
          <a:pPr>
            <a:defRPr>
              <a:solidFill>
                <a:srgbClr val="002060"/>
              </a:solidFill>
            </a:defRPr>
          </a:pPr>
          <a:endParaRPr lang="en-US"/>
        </a:p>
      </c:txP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s-ES" sz="1400">
                <a:solidFill>
                  <a:srgbClr val="002060"/>
                </a:solidFill>
              </a:rPr>
              <a:t>Distribucion</a:t>
            </a:r>
            <a:r>
              <a:rPr lang="es-ES" sz="1400" baseline="0">
                <a:solidFill>
                  <a:srgbClr val="002060"/>
                </a:solidFill>
              </a:rPr>
              <a:t> Porcentual de la poblacion afiliada al SGSSS</a:t>
            </a:r>
            <a:endParaRPr lang="es-ES" sz="1400">
              <a:solidFill>
                <a:srgbClr val="002060"/>
              </a:solidFill>
            </a:endParaRPr>
          </a:p>
        </c:rich>
      </c:tx>
      <c:layout/>
    </c:title>
    <c:view3D>
      <c:rAngAx val="1"/>
    </c:view3D>
    <c:plotArea>
      <c:layout/>
      <c:bar3DChart>
        <c:barDir val="col"/>
        <c:grouping val="percentStacked"/>
        <c:ser>
          <c:idx val="0"/>
          <c:order val="0"/>
          <c:tx>
            <c:strRef>
              <c:f>Hoja1!$D$97</c:f>
              <c:strCache>
                <c:ptCount val="1"/>
                <c:pt idx="0">
                  <c:v>Afiliados</c:v>
                </c:pt>
              </c:strCache>
            </c:strRef>
          </c:tx>
          <c:dLbls>
            <c:showVal val="1"/>
          </c:dLbls>
          <c:cat>
            <c:multiLvlStrRef>
              <c:f>Hoja1!$E$95:$J$96</c:f>
              <c:multiLvlStrCache>
                <c:ptCount val="6"/>
                <c:lvl>
                  <c:pt idx="0">
                    <c:v>2008</c:v>
                  </c:pt>
                  <c:pt idx="1">
                    <c:v>2010</c:v>
                  </c:pt>
                  <c:pt idx="2">
                    <c:v>2008</c:v>
                  </c:pt>
                  <c:pt idx="3">
                    <c:v>2010</c:v>
                  </c:pt>
                  <c:pt idx="4">
                    <c:v>2008</c:v>
                  </c:pt>
                  <c:pt idx="5">
                    <c:v>2010</c:v>
                  </c:pt>
                </c:lvl>
                <c:lvl>
                  <c:pt idx="0">
                    <c:v>Total Nacional</c:v>
                  </c:pt>
                  <c:pt idx="2">
                    <c:v>Zonas Urbanas</c:v>
                  </c:pt>
                  <c:pt idx="4">
                    <c:v>Zonas Rurales</c:v>
                  </c:pt>
                </c:lvl>
              </c:multiLvlStrCache>
            </c:multiLvlStrRef>
          </c:cat>
          <c:val>
            <c:numRef>
              <c:f>Hoja1!$E$97:$J$97</c:f>
              <c:numCache>
                <c:formatCode>General</c:formatCode>
                <c:ptCount val="6"/>
                <c:pt idx="0">
                  <c:v>86</c:v>
                </c:pt>
                <c:pt idx="1">
                  <c:v>88.7</c:v>
                </c:pt>
                <c:pt idx="2">
                  <c:v>86.5</c:v>
                </c:pt>
                <c:pt idx="3">
                  <c:v>88.8</c:v>
                </c:pt>
                <c:pt idx="4">
                  <c:v>84.6</c:v>
                </c:pt>
                <c:pt idx="5">
                  <c:v>88.5</c:v>
                </c:pt>
              </c:numCache>
            </c:numRef>
          </c:val>
        </c:ser>
        <c:ser>
          <c:idx val="1"/>
          <c:order val="1"/>
          <c:tx>
            <c:strRef>
              <c:f>Hoja1!$D$98</c:f>
              <c:strCache>
                <c:ptCount val="1"/>
                <c:pt idx="0">
                  <c:v>No Afiliados</c:v>
                </c:pt>
              </c:strCache>
            </c:strRef>
          </c:tx>
          <c:dLbls>
            <c:dLbl>
              <c:idx val="0"/>
              <c:layout/>
              <c:showVal val="1"/>
            </c:dLbl>
            <c:dLbl>
              <c:idx val="1"/>
              <c:layout/>
              <c:showVal val="1"/>
            </c:dLbl>
            <c:dLbl>
              <c:idx val="2"/>
              <c:layout/>
              <c:showVal val="1"/>
            </c:dLbl>
            <c:dLbl>
              <c:idx val="3"/>
              <c:layout/>
              <c:showVal val="1"/>
            </c:dLbl>
            <c:dLbl>
              <c:idx val="4"/>
              <c:layout/>
              <c:showVal val="1"/>
            </c:dLbl>
            <c:dLbl>
              <c:idx val="5"/>
              <c:layout/>
              <c:showVal val="1"/>
            </c:dLbl>
            <c:delete val="1"/>
          </c:dLbls>
          <c:cat>
            <c:multiLvlStrRef>
              <c:f>Hoja1!$E$95:$J$96</c:f>
              <c:multiLvlStrCache>
                <c:ptCount val="6"/>
                <c:lvl>
                  <c:pt idx="0">
                    <c:v>2008</c:v>
                  </c:pt>
                  <c:pt idx="1">
                    <c:v>2010</c:v>
                  </c:pt>
                  <c:pt idx="2">
                    <c:v>2008</c:v>
                  </c:pt>
                  <c:pt idx="3">
                    <c:v>2010</c:v>
                  </c:pt>
                  <c:pt idx="4">
                    <c:v>2008</c:v>
                  </c:pt>
                  <c:pt idx="5">
                    <c:v>2010</c:v>
                  </c:pt>
                </c:lvl>
                <c:lvl>
                  <c:pt idx="0">
                    <c:v>Total Nacional</c:v>
                  </c:pt>
                  <c:pt idx="2">
                    <c:v>Zonas Urbanas</c:v>
                  </c:pt>
                  <c:pt idx="4">
                    <c:v>Zonas Rurales</c:v>
                  </c:pt>
                </c:lvl>
              </c:multiLvlStrCache>
            </c:multiLvlStrRef>
          </c:cat>
          <c:val>
            <c:numRef>
              <c:f>Hoja1!$E$98:$J$98</c:f>
              <c:numCache>
                <c:formatCode>General</c:formatCode>
                <c:ptCount val="6"/>
                <c:pt idx="0">
                  <c:v>13.8</c:v>
                </c:pt>
                <c:pt idx="1">
                  <c:v>11.1</c:v>
                </c:pt>
                <c:pt idx="2">
                  <c:v>13.4</c:v>
                </c:pt>
                <c:pt idx="3">
                  <c:v>11.1</c:v>
                </c:pt>
                <c:pt idx="4">
                  <c:v>15.3</c:v>
                </c:pt>
                <c:pt idx="5">
                  <c:v>11.3</c:v>
                </c:pt>
              </c:numCache>
            </c:numRef>
          </c:val>
        </c:ser>
        <c:gapWidth val="55"/>
        <c:gapDepth val="55"/>
        <c:shape val="cylinder"/>
        <c:axId val="213914752"/>
        <c:axId val="213916288"/>
        <c:axId val="0"/>
      </c:bar3DChart>
      <c:catAx>
        <c:axId val="213914752"/>
        <c:scaling>
          <c:orientation val="minMax"/>
        </c:scaling>
        <c:axPos val="b"/>
        <c:majorTickMark val="none"/>
        <c:tickLblPos val="nextTo"/>
        <c:txPr>
          <a:bodyPr/>
          <a:lstStyle/>
          <a:p>
            <a:pPr>
              <a:defRPr>
                <a:solidFill>
                  <a:srgbClr val="002060"/>
                </a:solidFill>
              </a:defRPr>
            </a:pPr>
            <a:endParaRPr lang="en-US"/>
          </a:p>
        </c:txPr>
        <c:crossAx val="213916288"/>
        <c:crosses val="autoZero"/>
        <c:auto val="1"/>
        <c:lblAlgn val="ctr"/>
        <c:lblOffset val="100"/>
      </c:catAx>
      <c:valAx>
        <c:axId val="213916288"/>
        <c:scaling>
          <c:orientation val="minMax"/>
        </c:scaling>
        <c:axPos val="l"/>
        <c:majorGridlines>
          <c:spPr>
            <a:ln>
              <a:solidFill>
                <a:sysClr val="window" lastClr="FFFFFF"/>
              </a:solidFill>
            </a:ln>
          </c:spPr>
        </c:majorGridlines>
        <c:numFmt formatCode="0%" sourceLinked="1"/>
        <c:majorTickMark val="none"/>
        <c:tickLblPos val="nextTo"/>
        <c:txPr>
          <a:bodyPr/>
          <a:lstStyle/>
          <a:p>
            <a:pPr>
              <a:defRPr>
                <a:solidFill>
                  <a:srgbClr val="002060"/>
                </a:solidFill>
              </a:defRPr>
            </a:pPr>
            <a:endParaRPr lang="en-US"/>
          </a:p>
        </c:txPr>
        <c:crossAx val="213914752"/>
        <c:crosses val="autoZero"/>
        <c:crossBetween val="between"/>
      </c:valAx>
    </c:plotArea>
    <c:legend>
      <c:legendPos val="b"/>
      <c:layout/>
      <c:txPr>
        <a:bodyPr/>
        <a:lstStyle/>
        <a:p>
          <a:pPr>
            <a:defRPr>
              <a:solidFill>
                <a:srgbClr val="002060"/>
              </a:solidFill>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8BB9915F780BA4F954354CDBC5F084C" ma:contentTypeVersion="441" ma:contentTypeDescription="The base project type from which other project content types inherit their information." ma:contentTypeScope="" ma:versionID="9c209a003c3e6e3b4d7357317acf3832">
  <xsd:schema xmlns:xsd="http://www.w3.org/2001/XMLSchema" xmlns:xs="http://www.w3.org/2001/XMLSchema" xmlns:p="http://schemas.microsoft.com/office/2006/metadata/properties" xmlns:ns2="cdc7663a-08f0-4737-9e8c-148ce897a09c" targetNamespace="http://schemas.microsoft.com/office/2006/metadata/properties" ma:root="true" ma:fieldsID="75eaf2196027f9d5926d7398e25f39f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11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36707701</IDBDocs_x0020_Number>
    <TaxCatchAll xmlns="cdc7663a-08f0-4737-9e8c-148ce897a09c"/>
    <Phase xmlns="cdc7663a-08f0-4737-9e8c-148ce897a09c" xsi:nil="true"/>
    <SISCOR_x0020_Number xmlns="cdc7663a-08f0-4737-9e8c-148ce897a09c" xsi:nil="true"/>
    <Division_x0020_or_x0020_Unit xmlns="cdc7663a-08f0-4737-9e8c-148ce897a09c">IFD/CMF</Division_x0020_or_x0020_Unit>
    <Approval_x0020_Number xmlns="cdc7663a-08f0-4737-9e8c-148ce897a09c" xsi:nil="true"/>
    <Document_x0020_Author xmlns="cdc7663a-08f0-4737-9e8c-148ce897a09c">De Olloqui, Fernando</Document_x0020_Author>
    <Fiscal_x0020_Year_x0020_IDB xmlns="cdc7663a-08f0-4737-9e8c-148ce897a09c">2012</Fiscal_x0020_Year_x0020_IDB>
    <Other_x0020_Author xmlns="cdc7663a-08f0-4737-9e8c-148ce897a09c" xsi:nil="true"/>
    <Project_x0020_Number xmlns="cdc7663a-08f0-4737-9e8c-148ce897a09c">CO-L1116</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R0002733376</Record_x0020_Number>
    <Document_x0020_Language_x0020_IDB xmlns="cdc7663a-08f0-4737-9e8c-148ce897a09c">Spanish</Document_x0020_Language_x0020_IDB>
    <Identifier xmlns="cdc7663a-08f0-4737-9e8c-148ce897a09c">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EZSHARE-1121463166-22</_dlc_DocId>
    <From_x003a_ xmlns="cdc7663a-08f0-4737-9e8c-148ce897a09c" xsi:nil="true"/>
    <To_x003a_ xmlns="cdc7663a-08f0-4737-9e8c-148ce897a09c" xsi:nil="true"/>
    <_dlc_DocIdUrl xmlns="cdc7663a-08f0-4737-9e8c-148ce897a09c">
      <Url>https://idbg.sharepoint.com/teams/EZ-CO-LON/CO-L1116/_layouts/15/DocIdRedir.aspx?ID=EZSHARE-1121463166-22</Url>
      <Description>EZSHARE-1121463166-22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68BB9915F780BA4F954354CDBC5F084C" ma:contentTypeVersion="465" ma:contentTypeDescription="The base project type from which other project content types inherit their information." ma:contentTypeScope="" ma:versionID="e3baebf2b17fc146ac026726b5af81ff">
  <xsd:schema xmlns:xsd="http://www.w3.org/2001/XMLSchema" xmlns:xs="http://www.w3.org/2001/XMLSchema" xmlns:p="http://schemas.microsoft.com/office/2006/metadata/properties" xmlns:ns2="cdc7663a-08f0-4737-9e8c-148ce897a09c" targetNamespace="http://schemas.microsoft.com/office/2006/metadata/properties" ma:root="true" ma:fieldsID="75eaf2196027f9d5926d7398e25f39f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11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Operations" ma:contentTypeID="0x010100ACF722E9F6B0B149B0CD8BE2560A66720068BB9915F780BA4F954354CDBC5F084C" ma:contentTypeVersion="1671" ma:contentTypeDescription="The base project type from which other project content types inherit their information." ma:contentTypeScope="" ma:versionID="bff24d457d8abae10e0c9c05f3443d31">
  <xsd:schema xmlns:xsd="http://www.w3.org/2001/XMLSchema" xmlns:xs="http://www.w3.org/2001/XMLSchema" xmlns:p="http://schemas.microsoft.com/office/2006/metadata/properties" xmlns:ns2="cdc7663a-08f0-4737-9e8c-148ce897a09c" targetNamespace="http://schemas.microsoft.com/office/2006/metadata/properties" ma:root="true" ma:fieldsID="3639c7f0b72ac8b5934c562916c0abc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11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859057-3F0A-49F7-AAAC-AB6F4521CB90}"/>
</file>

<file path=customXml/itemProps10.xml><?xml version="1.0" encoding="utf-8"?>
<ds:datastoreItem xmlns:ds="http://schemas.openxmlformats.org/officeDocument/2006/customXml" ds:itemID="{A0D2195E-3A93-4731-9722-68535ABE55B4}"/>
</file>

<file path=customXml/itemProps2.xml><?xml version="1.0" encoding="utf-8"?>
<ds:datastoreItem xmlns:ds="http://schemas.openxmlformats.org/officeDocument/2006/customXml" ds:itemID="{EA85C1CA-AED1-4A24-A0DF-EBB1B2DC2B6E}"/>
</file>

<file path=customXml/itemProps3.xml><?xml version="1.0" encoding="utf-8"?>
<ds:datastoreItem xmlns:ds="http://schemas.openxmlformats.org/officeDocument/2006/customXml" ds:itemID="{900F144A-88ED-4D8D-8D08-81A312F55071}"/>
</file>

<file path=customXml/itemProps4.xml><?xml version="1.0" encoding="utf-8"?>
<ds:datastoreItem xmlns:ds="http://schemas.openxmlformats.org/officeDocument/2006/customXml" ds:itemID="{94AF51EF-8587-4DAF-9D2E-B0DA8F67D22C}"/>
</file>

<file path=customXml/itemProps5.xml><?xml version="1.0" encoding="utf-8"?>
<ds:datastoreItem xmlns:ds="http://schemas.openxmlformats.org/officeDocument/2006/customXml" ds:itemID="{EE9E109E-E547-4010-8240-E334CB9E4F58}"/>
</file>

<file path=customXml/itemProps6.xml><?xml version="1.0" encoding="utf-8"?>
<ds:datastoreItem xmlns:ds="http://schemas.openxmlformats.org/officeDocument/2006/customXml" ds:itemID="{17764C20-B180-48B0-8382-7967A768ED03}"/>
</file>

<file path=customXml/itemProps7.xml><?xml version="1.0" encoding="utf-8"?>
<ds:datastoreItem xmlns:ds="http://schemas.openxmlformats.org/officeDocument/2006/customXml" ds:itemID="{0EFB01F7-E3C4-47AC-999F-15ECED07EAA2}"/>
</file>

<file path=customXml/itemProps8.xml><?xml version="1.0" encoding="utf-8"?>
<ds:datastoreItem xmlns:ds="http://schemas.openxmlformats.org/officeDocument/2006/customXml" ds:itemID="{45F53682-CC96-4E1C-8EC4-9D8CA457BE1D}"/>
</file>

<file path=customXml/itemProps9.xml><?xml version="1.0" encoding="utf-8"?>
<ds:datastoreItem xmlns:ds="http://schemas.openxmlformats.org/officeDocument/2006/customXml" ds:itemID="{9CAC5CBF-F576-4C79-BF40-05B488900F4F}"/>
</file>

<file path=docProps/app.xml><?xml version="1.0" encoding="utf-8"?>
<Properties xmlns="http://schemas.openxmlformats.org/officeDocument/2006/extended-properties" xmlns:vt="http://schemas.openxmlformats.org/officeDocument/2006/docPropsVTypes">
  <Template>Normal.dotm</Template>
  <TotalTime>24</TotalTime>
  <Pages>6</Pages>
  <Words>698</Words>
  <Characters>3980</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4669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Indicadores servicios publcios</dc:title>
  <dc:subject/>
  <dc:creator>dpereira</dc:creator>
  <cp:keywords/>
  <cp:lastModifiedBy>fdeolloqui</cp:lastModifiedBy>
  <cp:revision>8</cp:revision>
  <cp:lastPrinted>2012-02-22T19:52:00Z</cp:lastPrinted>
  <dcterms:created xsi:type="dcterms:W3CDTF">2012-02-29T18:07:00Z</dcterms:created>
  <dcterms:modified xsi:type="dcterms:W3CDTF">2012-02-29T18:35:00Z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0x010100ACF722E9F6B0B149B0CD8BE2560A66720068BB9915F780BA4F954354CDBC5F084C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2200</vt:r8>
  </property>
  <property fmtid="{D5CDD505-2E9C-101B-9397-08002B2CF9AE}" pid="18" name="Disclosure Activity">
    <vt:lpwstr>Loan Proposal</vt:lpwstr>
  </property>
  <property fmtid="{D5CDD505-2E9C-101B-9397-08002B2CF9AE}" pid="22" name="Webtopic">
    <vt:lpwstr>Rural Land Management;Banking and Financial Services;Financial Sector Development;Finance;Finance</vt:lpwstr>
  </property>
  <property fmtid="{D5CDD505-2E9C-101B-9397-08002B2CF9AE}" pid="24" name="Disclosed">
    <vt:bool>true</vt:bool>
  </property>
  <property fmtid="{D5CDD505-2E9C-101B-9397-08002B2CF9AE}" pid="28" name="_dlc_DocIdItemGuid">
    <vt:lpwstr>33bf56c3-ea40-4b5c-a62c-eb9d25ce6825</vt:lpwstr>
  </property>
</Properties>
</file>