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482" w:rsidRPr="00F77947" w:rsidRDefault="00496482" w:rsidP="00496482">
      <w:pPr>
        <w:pStyle w:val="SubSubPar"/>
        <w:numPr>
          <w:ilvl w:val="0"/>
          <w:numId w:val="0"/>
        </w:numPr>
        <w:spacing w:after="0"/>
        <w:jc w:val="center"/>
        <w:rPr>
          <w:smallCaps/>
          <w:lang w:val="es-ES"/>
        </w:rPr>
      </w:pPr>
      <w:r w:rsidRPr="00F77947">
        <w:rPr>
          <w:smallCaps/>
          <w:lang w:val="es-ES"/>
        </w:rPr>
        <w:t>Documento del Banco Interamericano De Desarrollo</w:t>
      </w:r>
    </w:p>
    <w:p w:rsidR="00496482" w:rsidRPr="00F77947" w:rsidRDefault="00496482" w:rsidP="00496482">
      <w:pPr>
        <w:tabs>
          <w:tab w:val="left" w:pos="1440"/>
          <w:tab w:val="left" w:pos="3060"/>
        </w:tabs>
        <w:jc w:val="center"/>
        <w:rPr>
          <w:rFonts w:ascii="Times New Roman" w:hAnsi="Times New Roman"/>
          <w:smallCaps/>
          <w:lang w:val="es-ES_tradnl"/>
        </w:rPr>
      </w:pPr>
      <w:r>
        <w:rPr>
          <w:rFonts w:ascii="Times New Roman" w:hAnsi="Times New Roman"/>
          <w:smallCaps/>
          <w:lang w:val="es-ES_tradnl"/>
        </w:rPr>
        <w:t>No Autorizado para Uso Público</w:t>
      </w:r>
    </w:p>
    <w:p w:rsidR="00496482" w:rsidRPr="00F77947" w:rsidRDefault="00496482" w:rsidP="00496482">
      <w:pPr>
        <w:tabs>
          <w:tab w:val="left" w:pos="1440"/>
          <w:tab w:val="left" w:pos="3060"/>
        </w:tabs>
        <w:jc w:val="center"/>
        <w:rPr>
          <w:rFonts w:ascii="Times New Roman" w:hAnsi="Times New Roman"/>
          <w:lang w:val="es-ES_tradnl"/>
        </w:rPr>
      </w:pPr>
    </w:p>
    <w:p w:rsidR="00496482" w:rsidRPr="00F77947" w:rsidRDefault="00496482" w:rsidP="00496482">
      <w:pPr>
        <w:tabs>
          <w:tab w:val="left" w:pos="1440"/>
          <w:tab w:val="left" w:pos="3060"/>
        </w:tabs>
        <w:jc w:val="center"/>
        <w:rPr>
          <w:rFonts w:ascii="Times New Roman" w:hAnsi="Times New Roman"/>
          <w:lang w:val="es-ES_tradnl"/>
        </w:rPr>
      </w:pPr>
    </w:p>
    <w:p w:rsidR="00496482" w:rsidRDefault="00496482" w:rsidP="00496482">
      <w:pPr>
        <w:tabs>
          <w:tab w:val="left" w:pos="1440"/>
          <w:tab w:val="left" w:pos="3060"/>
        </w:tabs>
        <w:jc w:val="center"/>
        <w:rPr>
          <w:rFonts w:ascii="Times New Roman" w:hAnsi="Times New Roman"/>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b/>
          <w:smallCaps/>
          <w:sz w:val="24"/>
          <w:szCs w:val="20"/>
          <w:lang w:val="es-ES_tradnl"/>
        </w:rPr>
      </w:pPr>
      <w:r w:rsidRPr="005A6171">
        <w:rPr>
          <w:rFonts w:ascii="Times New Roman" w:eastAsia="Times New Roman" w:hAnsi="Times New Roman" w:cs="Times New Roman"/>
          <w:b/>
          <w:smallCaps/>
          <w:sz w:val="24"/>
          <w:szCs w:val="20"/>
          <w:lang w:val="es-ES_tradnl"/>
        </w:rPr>
        <w:t>COLOMBIA</w:t>
      </w: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smallCaps/>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smallCaps/>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smallCaps/>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smallCaps/>
          <w:sz w:val="24"/>
          <w:szCs w:val="20"/>
          <w:lang w:val="es-ES_tradnl"/>
        </w:rPr>
      </w:pPr>
    </w:p>
    <w:p w:rsidR="005A6171" w:rsidRPr="005A6171" w:rsidRDefault="005A6171" w:rsidP="005A6171">
      <w:pPr>
        <w:keepNext/>
        <w:tabs>
          <w:tab w:val="left" w:pos="1440"/>
          <w:tab w:val="left" w:pos="3060"/>
        </w:tabs>
        <w:spacing w:before="240" w:after="0" w:line="240" w:lineRule="auto"/>
        <w:jc w:val="center"/>
        <w:rPr>
          <w:rFonts w:ascii="Times New Roman" w:eastAsia="Times New Roman" w:hAnsi="Times New Roman" w:cs="Times New Roman"/>
          <w:b/>
          <w:smallCaps/>
          <w:sz w:val="24"/>
          <w:szCs w:val="20"/>
          <w:lang w:val="es-ES_tradnl"/>
        </w:rPr>
      </w:pPr>
      <w:r w:rsidRPr="005A6171">
        <w:rPr>
          <w:rFonts w:ascii="Times New Roman" w:eastAsia="Times New Roman" w:hAnsi="Times New Roman" w:cs="Times New Roman"/>
          <w:b/>
          <w:smallCaps/>
          <w:sz w:val="24"/>
          <w:szCs w:val="20"/>
          <w:lang w:val="es-ES_tradnl"/>
        </w:rPr>
        <w:t>FINDETER -  Tercer Préstamo Individual para el Financiamiento a Entidades Prestadoras de Servicios Públicos</w:t>
      </w:r>
    </w:p>
    <w:p w:rsidR="005A6171" w:rsidRPr="005A6171" w:rsidRDefault="005A6171" w:rsidP="005A6171">
      <w:pPr>
        <w:tabs>
          <w:tab w:val="left" w:pos="1440"/>
          <w:tab w:val="left" w:pos="3060"/>
        </w:tabs>
        <w:spacing w:before="240" w:after="0" w:line="240" w:lineRule="auto"/>
        <w:jc w:val="center"/>
        <w:rPr>
          <w:rFonts w:ascii="Times New Roman" w:eastAsia="Times New Roman" w:hAnsi="Times New Roman" w:cs="Times New Roman"/>
          <w:b/>
          <w:smallCaps/>
          <w:sz w:val="24"/>
          <w:szCs w:val="20"/>
          <w:lang w:val="es-ES_tradnl"/>
        </w:rPr>
      </w:pPr>
      <w:r w:rsidRPr="005A6171">
        <w:rPr>
          <w:rFonts w:ascii="Times New Roman" w:eastAsia="Times New Roman" w:hAnsi="Times New Roman" w:cs="Times New Roman"/>
          <w:b/>
          <w:smallCaps/>
          <w:sz w:val="24"/>
          <w:szCs w:val="20"/>
          <w:lang w:val="es-ES_tradnl"/>
        </w:rPr>
        <w:t>(CO-L1116)</w:t>
      </w: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b/>
          <w:smallCaps/>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b/>
          <w:smallCaps/>
          <w:sz w:val="24"/>
          <w:szCs w:val="20"/>
          <w:lang w:val="es-ES_tradnl"/>
        </w:rPr>
      </w:pPr>
    </w:p>
    <w:p w:rsidR="005A6171" w:rsidRPr="005A6171" w:rsidRDefault="005A6171" w:rsidP="005A6171">
      <w:pPr>
        <w:tabs>
          <w:tab w:val="left" w:pos="1440"/>
          <w:tab w:val="left" w:pos="3060"/>
        </w:tabs>
        <w:spacing w:after="0" w:line="240" w:lineRule="auto"/>
        <w:jc w:val="center"/>
        <w:rPr>
          <w:rFonts w:ascii="Times New Roman" w:eastAsia="Times New Roman" w:hAnsi="Times New Roman" w:cs="Times New Roman"/>
          <w:b/>
          <w:smallCaps/>
          <w:sz w:val="24"/>
          <w:szCs w:val="20"/>
          <w:lang w:val="es-ES_tradnl"/>
        </w:rPr>
      </w:pPr>
    </w:p>
    <w:p w:rsidR="005A6171" w:rsidRPr="005A6171" w:rsidRDefault="005A6171" w:rsidP="005A6171">
      <w:pPr>
        <w:keepNext/>
        <w:tabs>
          <w:tab w:val="left" w:pos="1440"/>
          <w:tab w:val="left" w:pos="3060"/>
        </w:tabs>
        <w:spacing w:before="240" w:after="0" w:line="240" w:lineRule="auto"/>
        <w:jc w:val="center"/>
        <w:rPr>
          <w:rFonts w:ascii="Times New Roman" w:eastAsia="Times New Roman" w:hAnsi="Times New Roman" w:cs="Times New Roman"/>
          <w:b/>
          <w:smallCaps/>
          <w:sz w:val="24"/>
          <w:szCs w:val="20"/>
          <w:lang w:val="es-ES_tradnl"/>
        </w:rPr>
      </w:pPr>
      <w:r w:rsidRPr="005A6171">
        <w:rPr>
          <w:rFonts w:ascii="Times New Roman" w:eastAsia="Times New Roman" w:hAnsi="Times New Roman" w:cs="Times New Roman"/>
          <w:b/>
          <w:smallCaps/>
          <w:sz w:val="24"/>
          <w:szCs w:val="20"/>
          <w:lang w:val="es-ES_tradnl"/>
        </w:rPr>
        <w:t>CCLIP para el Programa de Financiamiento a Entidades Prestadoras de Servicios Públicos</w:t>
      </w:r>
    </w:p>
    <w:p w:rsidR="005A6171" w:rsidRPr="005A6171" w:rsidRDefault="005A6171" w:rsidP="005A6171">
      <w:pPr>
        <w:keepNext/>
        <w:tabs>
          <w:tab w:val="left" w:pos="1440"/>
          <w:tab w:val="left" w:pos="3060"/>
        </w:tabs>
        <w:spacing w:before="240" w:after="0" w:line="240" w:lineRule="auto"/>
        <w:jc w:val="center"/>
        <w:rPr>
          <w:rFonts w:ascii="Times New Roman" w:eastAsia="Times New Roman" w:hAnsi="Times New Roman" w:cs="Times New Roman"/>
          <w:b/>
          <w:smallCaps/>
          <w:sz w:val="24"/>
          <w:szCs w:val="20"/>
          <w:lang w:val="es-ES_tradnl"/>
        </w:rPr>
      </w:pPr>
      <w:r w:rsidRPr="005A6171">
        <w:rPr>
          <w:rFonts w:ascii="Times New Roman" w:eastAsia="Times New Roman" w:hAnsi="Times New Roman" w:cs="Times New Roman"/>
          <w:b/>
          <w:smallCaps/>
          <w:sz w:val="24"/>
          <w:szCs w:val="20"/>
          <w:lang w:val="es-ES_tradnl"/>
        </w:rPr>
        <w:t>(CO-X1003)</w:t>
      </w:r>
    </w:p>
    <w:p w:rsidR="00F830E2" w:rsidRPr="005A6171" w:rsidRDefault="00F830E2" w:rsidP="00496482">
      <w:pPr>
        <w:tabs>
          <w:tab w:val="left" w:pos="1440"/>
          <w:tab w:val="left" w:pos="3060"/>
        </w:tabs>
        <w:jc w:val="center"/>
        <w:rPr>
          <w:rFonts w:ascii="Times New Roman" w:hAnsi="Times New Roman"/>
          <w:smallCaps/>
          <w:lang w:val="es-ES"/>
        </w:rPr>
      </w:pPr>
    </w:p>
    <w:p w:rsidR="00F830E2" w:rsidRDefault="00F830E2" w:rsidP="00496482">
      <w:pPr>
        <w:tabs>
          <w:tab w:val="left" w:pos="1440"/>
          <w:tab w:val="left" w:pos="3060"/>
        </w:tabs>
        <w:jc w:val="center"/>
        <w:rPr>
          <w:rFonts w:ascii="Times New Roman" w:hAnsi="Times New Roman"/>
          <w:smallCaps/>
          <w:lang w:val="es-MX"/>
        </w:rPr>
      </w:pPr>
    </w:p>
    <w:p w:rsidR="005A6171" w:rsidRDefault="005A6171" w:rsidP="00496482">
      <w:pPr>
        <w:tabs>
          <w:tab w:val="left" w:pos="1440"/>
          <w:tab w:val="left" w:pos="3060"/>
        </w:tabs>
        <w:jc w:val="center"/>
        <w:rPr>
          <w:rFonts w:ascii="Times New Roman" w:hAnsi="Times New Roman"/>
          <w:smallCaps/>
          <w:lang w:val="es-MX"/>
        </w:rPr>
      </w:pPr>
    </w:p>
    <w:p w:rsidR="00F830E2" w:rsidRPr="00F77947" w:rsidRDefault="00F830E2" w:rsidP="00496482">
      <w:pPr>
        <w:tabs>
          <w:tab w:val="left" w:pos="1440"/>
          <w:tab w:val="left" w:pos="3060"/>
        </w:tabs>
        <w:jc w:val="center"/>
        <w:rPr>
          <w:rFonts w:ascii="Times New Roman" w:hAnsi="Times New Roman"/>
          <w:smallCaps/>
          <w:lang w:val="es-MX"/>
        </w:rPr>
      </w:pPr>
    </w:p>
    <w:p w:rsidR="00496482" w:rsidRPr="00F77947" w:rsidRDefault="00496482" w:rsidP="00496482">
      <w:pPr>
        <w:tabs>
          <w:tab w:val="left" w:pos="1440"/>
          <w:tab w:val="left" w:pos="3060"/>
        </w:tabs>
        <w:jc w:val="center"/>
        <w:outlineLvl w:val="0"/>
        <w:rPr>
          <w:rFonts w:ascii="Times New Roman" w:hAnsi="Times New Roman"/>
          <w:b/>
          <w:smallCaps/>
          <w:sz w:val="28"/>
          <w:szCs w:val="28"/>
          <w:lang w:val="es-ES_tradnl"/>
        </w:rPr>
      </w:pPr>
      <w:r>
        <w:rPr>
          <w:rFonts w:ascii="Times New Roman" w:hAnsi="Times New Roman"/>
          <w:b/>
          <w:smallCaps/>
          <w:sz w:val="28"/>
          <w:szCs w:val="28"/>
          <w:lang w:val="es-MX"/>
        </w:rPr>
        <w:t>Análisis Económico</w:t>
      </w:r>
    </w:p>
    <w:p w:rsidR="00496482" w:rsidRDefault="00496482" w:rsidP="001E1C12">
      <w:pPr>
        <w:jc w:val="both"/>
        <w:rPr>
          <w:rFonts w:ascii="Times New Roman" w:hAnsi="Times New Roman"/>
          <w:sz w:val="24"/>
          <w:lang w:val="es-ES_tradnl"/>
        </w:rPr>
      </w:pPr>
    </w:p>
    <w:p w:rsidR="00496482" w:rsidRDefault="00496482" w:rsidP="001E1C12">
      <w:pPr>
        <w:jc w:val="both"/>
        <w:rPr>
          <w:rFonts w:ascii="Times New Roman" w:hAnsi="Times New Roman" w:cs="Times New Roman"/>
          <w:b/>
          <w:sz w:val="24"/>
          <w:szCs w:val="32"/>
          <w:lang w:val="es-ES_tradnl"/>
        </w:rPr>
      </w:pPr>
    </w:p>
    <w:p w:rsidR="005A6171" w:rsidRDefault="005A6171" w:rsidP="001E1C12">
      <w:pPr>
        <w:jc w:val="both"/>
        <w:rPr>
          <w:rFonts w:ascii="Times New Roman" w:hAnsi="Times New Roman" w:cs="Times New Roman"/>
          <w:b/>
          <w:sz w:val="24"/>
          <w:szCs w:val="32"/>
          <w:lang w:val="es-ES_tradnl"/>
        </w:rPr>
      </w:pPr>
    </w:p>
    <w:p w:rsidR="005A6171" w:rsidRDefault="005A6171" w:rsidP="001E1C12">
      <w:pPr>
        <w:jc w:val="both"/>
        <w:rPr>
          <w:rFonts w:ascii="Times New Roman" w:hAnsi="Times New Roman" w:cs="Times New Roman"/>
          <w:b/>
          <w:sz w:val="24"/>
          <w:szCs w:val="32"/>
          <w:lang w:val="es-ES_tradnl"/>
        </w:rPr>
      </w:pPr>
    </w:p>
    <w:p w:rsidR="005A6171" w:rsidRDefault="005A6171" w:rsidP="001E1C12">
      <w:pPr>
        <w:jc w:val="both"/>
        <w:rPr>
          <w:rFonts w:ascii="Times New Roman" w:hAnsi="Times New Roman" w:cs="Times New Roman"/>
          <w:b/>
          <w:sz w:val="24"/>
          <w:szCs w:val="32"/>
          <w:lang w:val="es-ES_tradnl"/>
        </w:rPr>
      </w:pPr>
    </w:p>
    <w:p w:rsidR="00496482" w:rsidRDefault="00496482" w:rsidP="001E1C12">
      <w:pPr>
        <w:jc w:val="both"/>
        <w:rPr>
          <w:rFonts w:ascii="Times New Roman" w:hAnsi="Times New Roman" w:cs="Times New Roman"/>
          <w:b/>
          <w:sz w:val="24"/>
          <w:szCs w:val="32"/>
          <w:lang w:val="es-ES_tradnl"/>
        </w:rPr>
      </w:pPr>
    </w:p>
    <w:p w:rsidR="001E4EF5" w:rsidRPr="001E4EF5" w:rsidRDefault="008C4F91" w:rsidP="00496482">
      <w:pPr>
        <w:jc w:val="center"/>
        <w:rPr>
          <w:rFonts w:ascii="Times New Roman" w:hAnsi="Times New Roman" w:cs="Times New Roman"/>
          <w:b/>
          <w:sz w:val="24"/>
          <w:szCs w:val="24"/>
          <w:lang w:val="es-ES_tradnl"/>
        </w:rPr>
      </w:pPr>
      <w:r w:rsidRPr="001E4EF5">
        <w:rPr>
          <w:rFonts w:ascii="Times New Roman" w:hAnsi="Times New Roman" w:cs="Times New Roman"/>
          <w:b/>
          <w:sz w:val="24"/>
          <w:szCs w:val="24"/>
          <w:lang w:val="es-ES_tradnl"/>
        </w:rPr>
        <w:lastRenderedPageBreak/>
        <w:t>Conten</w:t>
      </w:r>
      <w:r w:rsidR="00DE0315" w:rsidRPr="001E4EF5">
        <w:rPr>
          <w:rFonts w:ascii="Times New Roman" w:hAnsi="Times New Roman" w:cs="Times New Roman"/>
          <w:b/>
          <w:sz w:val="24"/>
          <w:szCs w:val="24"/>
          <w:lang w:val="es-ES_tradnl"/>
        </w:rPr>
        <w:t>ido</w:t>
      </w:r>
    </w:p>
    <w:p w:rsidR="008C4F91" w:rsidRDefault="008C4F91" w:rsidP="001E1C12">
      <w:pPr>
        <w:jc w:val="both"/>
        <w:rPr>
          <w:rFonts w:ascii="Times New Roman" w:hAnsi="Times New Roman" w:cs="Times New Roman"/>
          <w:b/>
          <w:sz w:val="24"/>
          <w:szCs w:val="24"/>
          <w:lang w:val="es-ES_tradnl"/>
        </w:rPr>
      </w:pPr>
    </w:p>
    <w:p w:rsidR="00F830E2" w:rsidRDefault="00F830E2" w:rsidP="001E1C12">
      <w:pPr>
        <w:jc w:val="both"/>
        <w:rPr>
          <w:rFonts w:ascii="Times New Roman" w:hAnsi="Times New Roman" w:cs="Times New Roman"/>
          <w:b/>
          <w:sz w:val="24"/>
          <w:szCs w:val="24"/>
          <w:lang w:val="es-ES_tradnl"/>
        </w:rPr>
      </w:pPr>
    </w:p>
    <w:p w:rsidR="00F830E2" w:rsidRPr="001E4EF5" w:rsidRDefault="00F830E2" w:rsidP="001E1C12">
      <w:pPr>
        <w:jc w:val="both"/>
        <w:rPr>
          <w:rFonts w:ascii="Times New Roman" w:hAnsi="Times New Roman" w:cs="Times New Roman"/>
          <w:b/>
          <w:sz w:val="24"/>
          <w:szCs w:val="24"/>
          <w:lang w:val="es-ES_tradnl"/>
        </w:rPr>
      </w:pPr>
    </w:p>
    <w:p w:rsidR="001E4EF5" w:rsidRPr="002D3A54" w:rsidRDefault="00493C25" w:rsidP="001E1C12">
      <w:pPr>
        <w:jc w:val="both"/>
        <w:rPr>
          <w:rFonts w:ascii="Times New Roman" w:hAnsi="Times New Roman"/>
          <w:noProof/>
          <w:sz w:val="24"/>
          <w:lang w:val="es-ES_tradnl"/>
        </w:rPr>
      </w:pPr>
      <w:r w:rsidRPr="001E4EF5">
        <w:rPr>
          <w:rFonts w:ascii="Times New Roman" w:hAnsi="Times New Roman"/>
          <w:sz w:val="24"/>
          <w:lang w:val="es-ES_tradnl"/>
        </w:rPr>
        <w:fldChar w:fldCharType="begin"/>
      </w:r>
      <w:r w:rsidR="008C4F91" w:rsidRPr="001E4EF5">
        <w:rPr>
          <w:rFonts w:ascii="Times New Roman" w:hAnsi="Times New Roman"/>
          <w:sz w:val="24"/>
          <w:lang w:val="es-ES_tradnl"/>
        </w:rPr>
        <w:instrText xml:space="preserve"> TOC \f \t "Chapter,1,FirstHeading,2,SecHeading,3" </w:instrText>
      </w:r>
      <w:r w:rsidRPr="001E4EF5">
        <w:rPr>
          <w:rFonts w:ascii="Times New Roman" w:hAnsi="Times New Roman"/>
          <w:sz w:val="24"/>
          <w:lang w:val="es-ES_tradnl"/>
        </w:rPr>
        <w:fldChar w:fldCharType="separate"/>
      </w:r>
      <w:r w:rsidR="008C4F91" w:rsidRPr="002D3A54">
        <w:rPr>
          <w:rFonts w:ascii="Times New Roman" w:hAnsi="Times New Roman"/>
          <w:noProof/>
          <w:sz w:val="24"/>
          <w:lang w:val="es-ES_tradnl"/>
        </w:rPr>
        <w:t>I.</w:t>
      </w:r>
      <w:r w:rsidR="008C4F91" w:rsidRPr="002D3A54">
        <w:rPr>
          <w:rFonts w:ascii="Times New Roman" w:eastAsiaTheme="minorEastAsia" w:hAnsi="Times New Roman"/>
          <w:noProof/>
          <w:sz w:val="24"/>
          <w:lang w:val="es-ES_tradnl"/>
        </w:rPr>
        <w:tab/>
      </w:r>
      <w:r w:rsidR="00095F4F" w:rsidRPr="002D3A54">
        <w:rPr>
          <w:rFonts w:ascii="Times New Roman" w:hAnsi="Times New Roman"/>
          <w:noProof/>
          <w:sz w:val="24"/>
          <w:lang w:val="es-ES_tradnl"/>
        </w:rPr>
        <w:t>Introducc</w:t>
      </w:r>
      <w:r w:rsidR="00496482" w:rsidRPr="002D3A54">
        <w:rPr>
          <w:rFonts w:ascii="Times New Roman" w:hAnsi="Times New Roman"/>
          <w:noProof/>
          <w:sz w:val="24"/>
          <w:lang w:val="es-ES_tradnl"/>
        </w:rPr>
        <w:t>ió</w:t>
      </w:r>
      <w:r w:rsidR="001E4EF5" w:rsidRPr="002D3A54">
        <w:rPr>
          <w:rFonts w:ascii="Times New Roman" w:hAnsi="Times New Roman"/>
          <w:noProof/>
          <w:sz w:val="24"/>
          <w:lang w:val="es-ES_tradnl"/>
        </w:rPr>
        <w:t>n</w:t>
      </w:r>
    </w:p>
    <w:p w:rsidR="008C4F91" w:rsidRPr="001E4EF5" w:rsidRDefault="002D3A54" w:rsidP="002D3A54">
      <w:pPr>
        <w:jc w:val="both"/>
        <w:rPr>
          <w:rFonts w:ascii="Times New Roman" w:eastAsiaTheme="minorEastAsia" w:hAnsi="Times New Roman"/>
          <w:noProof/>
          <w:sz w:val="24"/>
          <w:lang w:val="es-ES_tradnl"/>
        </w:rPr>
      </w:pPr>
      <w:r>
        <w:rPr>
          <w:rFonts w:ascii="Times New Roman" w:hAnsi="Times New Roman"/>
          <w:noProof/>
          <w:sz w:val="24"/>
          <w:lang w:val="es-ES_tradnl"/>
        </w:rPr>
        <w:t>II</w:t>
      </w:r>
      <w:r w:rsidR="00496482">
        <w:rPr>
          <w:rFonts w:ascii="Times New Roman" w:hAnsi="Times New Roman"/>
          <w:noProof/>
          <w:sz w:val="24"/>
          <w:lang w:val="es-ES_tradnl"/>
        </w:rPr>
        <w:t>.</w:t>
      </w:r>
      <w:r w:rsidR="00496482">
        <w:rPr>
          <w:rFonts w:ascii="Times New Roman" w:hAnsi="Times New Roman"/>
          <w:noProof/>
          <w:sz w:val="24"/>
          <w:lang w:val="es-ES_tradnl"/>
        </w:rPr>
        <w:tab/>
        <w:t>Metodologí</w:t>
      </w:r>
      <w:r w:rsidR="00095F4F" w:rsidRPr="001E4EF5">
        <w:rPr>
          <w:rFonts w:ascii="Times New Roman" w:hAnsi="Times New Roman"/>
          <w:noProof/>
          <w:sz w:val="24"/>
          <w:lang w:val="es-ES_tradnl"/>
        </w:rPr>
        <w:t>a y Supuestos</w:t>
      </w:r>
    </w:p>
    <w:p w:rsidR="008C4F91" w:rsidRPr="001E4EF5" w:rsidRDefault="002D3A54" w:rsidP="002D3A54">
      <w:pPr>
        <w:jc w:val="both"/>
        <w:rPr>
          <w:rFonts w:ascii="Times New Roman" w:eastAsiaTheme="minorEastAsia" w:hAnsi="Times New Roman"/>
          <w:noProof/>
          <w:sz w:val="24"/>
          <w:lang w:val="es-ES_tradnl"/>
        </w:rPr>
      </w:pPr>
      <w:r>
        <w:rPr>
          <w:rFonts w:ascii="Times New Roman" w:hAnsi="Times New Roman"/>
          <w:noProof/>
          <w:sz w:val="24"/>
          <w:lang w:val="es-ES_tradnl"/>
        </w:rPr>
        <w:t>III</w:t>
      </w:r>
      <w:r w:rsidR="008C4F91" w:rsidRPr="001E4EF5">
        <w:rPr>
          <w:rFonts w:ascii="Times New Roman" w:hAnsi="Times New Roman"/>
          <w:noProof/>
          <w:sz w:val="24"/>
          <w:lang w:val="es-ES_tradnl"/>
        </w:rPr>
        <w:t>.</w:t>
      </w:r>
      <w:r w:rsidR="008C4F91" w:rsidRPr="001E4EF5">
        <w:rPr>
          <w:rFonts w:ascii="Times New Roman" w:eastAsiaTheme="minorEastAsia" w:hAnsi="Times New Roman"/>
          <w:noProof/>
          <w:sz w:val="24"/>
          <w:lang w:val="es-ES_tradnl"/>
        </w:rPr>
        <w:tab/>
      </w:r>
      <w:r w:rsidR="00496482">
        <w:rPr>
          <w:rFonts w:ascii="Times New Roman" w:hAnsi="Times New Roman"/>
          <w:noProof/>
          <w:sz w:val="24"/>
          <w:lang w:val="es-ES_tradnl"/>
        </w:rPr>
        <w:t>Valoración del Beneficio Económico</w:t>
      </w:r>
    </w:p>
    <w:p w:rsidR="008C4F91" w:rsidRDefault="002D3A54" w:rsidP="002D3A54">
      <w:pPr>
        <w:jc w:val="both"/>
        <w:rPr>
          <w:rFonts w:ascii="Times New Roman" w:hAnsi="Times New Roman"/>
          <w:noProof/>
          <w:sz w:val="24"/>
          <w:lang w:val="es-ES_tradnl"/>
        </w:rPr>
      </w:pPr>
      <w:r>
        <w:rPr>
          <w:rFonts w:ascii="Times New Roman" w:hAnsi="Times New Roman"/>
          <w:noProof/>
          <w:sz w:val="24"/>
          <w:lang w:val="es-ES_tradnl"/>
        </w:rPr>
        <w:t>IV</w:t>
      </w:r>
      <w:r w:rsidR="008C4F91" w:rsidRPr="001E4EF5">
        <w:rPr>
          <w:rFonts w:ascii="Times New Roman" w:hAnsi="Times New Roman"/>
          <w:noProof/>
          <w:sz w:val="24"/>
          <w:lang w:val="es-ES_tradnl"/>
        </w:rPr>
        <w:t>.</w:t>
      </w:r>
      <w:r w:rsidR="008C4F91" w:rsidRPr="001E4EF5">
        <w:rPr>
          <w:rFonts w:ascii="Times New Roman" w:eastAsiaTheme="minorEastAsia" w:hAnsi="Times New Roman"/>
          <w:noProof/>
          <w:sz w:val="24"/>
          <w:lang w:val="es-ES_tradnl"/>
        </w:rPr>
        <w:tab/>
      </w:r>
      <w:r w:rsidR="00496482">
        <w:rPr>
          <w:rFonts w:ascii="Times New Roman" w:hAnsi="Times New Roman"/>
          <w:noProof/>
          <w:sz w:val="24"/>
          <w:lang w:val="es-ES_tradnl"/>
        </w:rPr>
        <w:t>Aná</w:t>
      </w:r>
      <w:r w:rsidR="00095F4F" w:rsidRPr="001E4EF5">
        <w:rPr>
          <w:rFonts w:ascii="Times New Roman" w:hAnsi="Times New Roman"/>
          <w:noProof/>
          <w:sz w:val="24"/>
          <w:lang w:val="es-ES_tradnl"/>
        </w:rPr>
        <w:t>lisis de Sensibilidad</w:t>
      </w:r>
    </w:p>
    <w:p w:rsidR="00042B9E" w:rsidRPr="001E4EF5" w:rsidRDefault="002D3A54" w:rsidP="002D3A54">
      <w:pPr>
        <w:jc w:val="both"/>
        <w:rPr>
          <w:rFonts w:ascii="Times New Roman" w:eastAsiaTheme="minorEastAsia" w:hAnsi="Times New Roman"/>
          <w:noProof/>
          <w:sz w:val="24"/>
          <w:lang w:val="es-ES_tradnl"/>
        </w:rPr>
      </w:pPr>
      <w:r>
        <w:rPr>
          <w:rFonts w:ascii="Times New Roman" w:hAnsi="Times New Roman"/>
          <w:noProof/>
          <w:sz w:val="24"/>
          <w:lang w:val="es-ES_tradnl"/>
        </w:rPr>
        <w:t>V</w:t>
      </w:r>
      <w:r w:rsidR="00042B9E">
        <w:rPr>
          <w:rFonts w:ascii="Times New Roman" w:hAnsi="Times New Roman"/>
          <w:noProof/>
          <w:sz w:val="24"/>
          <w:lang w:val="es-ES_tradnl"/>
        </w:rPr>
        <w:t>.</w:t>
      </w:r>
      <w:r w:rsidR="00042B9E">
        <w:rPr>
          <w:rFonts w:ascii="Times New Roman" w:hAnsi="Times New Roman"/>
          <w:noProof/>
          <w:sz w:val="24"/>
          <w:lang w:val="es-ES_tradnl"/>
        </w:rPr>
        <w:tab/>
        <w:t>Conclusiones</w:t>
      </w:r>
    </w:p>
    <w:p w:rsidR="00095F4F" w:rsidRPr="001E4EF5" w:rsidRDefault="00493C25" w:rsidP="00042B9E">
      <w:pPr>
        <w:jc w:val="both"/>
        <w:rPr>
          <w:rFonts w:ascii="Times New Roman" w:eastAsiaTheme="minorEastAsia" w:hAnsi="Times New Roman"/>
          <w:b/>
          <w:noProof/>
          <w:sz w:val="24"/>
          <w:lang w:val="es-ES_tradnl"/>
        </w:rPr>
        <w:sectPr w:rsidR="00095F4F" w:rsidRPr="001E4EF5">
          <w:pgSz w:w="12240" w:h="15840"/>
          <w:pgMar w:top="1440" w:right="1800" w:bottom="1440" w:left="1800" w:header="720" w:footer="720" w:gutter="0"/>
          <w:cols w:space="720"/>
          <w:titlePg/>
          <w:docGrid w:linePitch="360"/>
        </w:sectPr>
      </w:pPr>
      <w:r w:rsidRPr="001E4EF5">
        <w:rPr>
          <w:rFonts w:ascii="Times New Roman" w:hAnsi="Times New Roman"/>
          <w:sz w:val="24"/>
          <w:lang w:val="es-ES_tradnl"/>
        </w:rPr>
        <w:fldChar w:fldCharType="end"/>
      </w:r>
    </w:p>
    <w:p w:rsidR="00C86F50" w:rsidRDefault="00C86F50" w:rsidP="001E1C12">
      <w:pPr>
        <w:jc w:val="center"/>
        <w:rPr>
          <w:rFonts w:ascii="Times New Roman" w:hAnsi="Times New Roman"/>
          <w:b/>
          <w:sz w:val="24"/>
          <w:lang w:val="es-ES_tradnl"/>
        </w:rPr>
      </w:pPr>
      <w:bookmarkStart w:id="0" w:name="_Toc298764664"/>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p w:rsidR="00C86F50" w:rsidRDefault="00C86F50" w:rsidP="001E1C12">
      <w:pPr>
        <w:jc w:val="center"/>
        <w:rPr>
          <w:rFonts w:ascii="Times New Roman" w:hAnsi="Times New Roman"/>
          <w:b/>
          <w:sz w:val="24"/>
          <w:lang w:val="es-ES_tradnl"/>
        </w:rPr>
      </w:pPr>
    </w:p>
    <w:bookmarkEnd w:id="0"/>
    <w:p w:rsidR="001E00BB" w:rsidRPr="001E4EF5" w:rsidRDefault="001E4EF5" w:rsidP="000B062B">
      <w:pPr>
        <w:pStyle w:val="Chapter"/>
        <w:numPr>
          <w:ilvl w:val="0"/>
          <w:numId w:val="6"/>
        </w:numPr>
        <w:rPr>
          <w:lang w:val="es-ES_tradnl"/>
        </w:rPr>
      </w:pPr>
      <w:r w:rsidRPr="001E4EF5">
        <w:rPr>
          <w:lang w:val="es-ES_tradnl"/>
        </w:rPr>
        <w:lastRenderedPageBreak/>
        <w:t>Introducción</w:t>
      </w:r>
    </w:p>
    <w:p w:rsidR="00262053" w:rsidRPr="00262053" w:rsidRDefault="00262053" w:rsidP="00262053">
      <w:pPr>
        <w:pStyle w:val="Paragraph"/>
        <w:tabs>
          <w:tab w:val="clear" w:pos="2448"/>
          <w:tab w:val="num" w:pos="720"/>
        </w:tabs>
        <w:ind w:left="720" w:hanging="720"/>
        <w:rPr>
          <w:iCs/>
          <w:lang w:val="es-ES_tradnl"/>
        </w:rPr>
      </w:pPr>
      <w:r w:rsidRPr="00262053">
        <w:rPr>
          <w:lang w:val="es-ES_tradnl"/>
        </w:rPr>
        <w:t>Actualmente existen en Colombia importantes necesidades insatisfechas en materia de infraestructura para la provisión de servicios públicos. Los desiguales niveles de cobertura a nivel urbano/rural o entre regiones</w:t>
      </w:r>
      <w:r>
        <w:rPr>
          <w:rStyle w:val="FootnoteReference"/>
        </w:rPr>
        <w:footnoteReference w:id="1"/>
      </w:r>
      <w:r w:rsidRPr="00262053">
        <w:rPr>
          <w:lang w:val="es-ES_tradnl"/>
        </w:rPr>
        <w:t xml:space="preserve"> en la provisión de agua (96% urbano y 50% rural), alcantarillado (91% urbano y 25% rural), salud y educación, junto con los déficits vivienda (36% de los hogares) y la necesidad de modernización de la infraestructura de transporte, hacen que éstas áreas sean prioritarias dentro del Plan Nacional de Desarrollo 2010-2014 (PND)</w:t>
      </w:r>
      <w:r>
        <w:rPr>
          <w:rStyle w:val="FootnoteReference"/>
        </w:rPr>
        <w:footnoteReference w:id="2"/>
      </w:r>
      <w:r w:rsidRPr="00262053">
        <w:rPr>
          <w:lang w:val="es-ES_tradnl"/>
        </w:rPr>
        <w:t>.</w:t>
      </w:r>
    </w:p>
    <w:p w:rsidR="00262053" w:rsidRPr="00262053" w:rsidRDefault="00262053" w:rsidP="00262053">
      <w:pPr>
        <w:pStyle w:val="Paragraph"/>
        <w:tabs>
          <w:tab w:val="clear" w:pos="2448"/>
          <w:tab w:val="num" w:pos="720"/>
        </w:tabs>
        <w:ind w:left="720" w:hanging="720"/>
        <w:rPr>
          <w:lang w:val="es-ES_tradnl"/>
        </w:rPr>
      </w:pPr>
      <w:r w:rsidRPr="00262053">
        <w:rPr>
          <w:lang w:val="es-ES_tradnl"/>
        </w:rPr>
        <w:t>En la actualidad existen alrededor de 15,000 empresas prestadoras de servicios públicos</w:t>
      </w:r>
      <w:r w:rsidR="00EE30E0">
        <w:rPr>
          <w:lang w:val="es-ES_tradnl"/>
        </w:rPr>
        <w:t>, dentro de las cuales se cuent</w:t>
      </w:r>
      <w:r w:rsidRPr="00262053">
        <w:rPr>
          <w:lang w:val="es-ES_tradnl"/>
        </w:rPr>
        <w:t>an cerca de 40 empresas de telecomunicaciones, más de 550 empresas de aseo, más de 1,500 prestadores de servicios de acueducto y alcantarillado en las cabeceras municipales, más de 12,000 prestadores rurales, y numerosas empresas de energía eléctrica y gas</w:t>
      </w:r>
      <w:r w:rsidRPr="00E776DD">
        <w:rPr>
          <w:rStyle w:val="FootnoteReference"/>
        </w:rPr>
        <w:footnoteReference w:id="3"/>
      </w:r>
      <w:r w:rsidRPr="00262053">
        <w:rPr>
          <w:lang w:val="es-ES_tradnl"/>
        </w:rPr>
        <w:t xml:space="preserve"> predominantemente de carácter privado.</w:t>
      </w:r>
    </w:p>
    <w:p w:rsidR="00262053" w:rsidRPr="00262053" w:rsidRDefault="00262053" w:rsidP="00262053">
      <w:pPr>
        <w:pStyle w:val="Paragraph"/>
        <w:tabs>
          <w:tab w:val="clear" w:pos="2448"/>
          <w:tab w:val="num" w:pos="720"/>
        </w:tabs>
        <w:ind w:left="720" w:hanging="720"/>
        <w:rPr>
          <w:lang w:val="es-ES_tradnl"/>
        </w:rPr>
      </w:pPr>
      <w:r w:rsidRPr="00262053">
        <w:rPr>
          <w:lang w:val="es-ES_tradnl"/>
        </w:rPr>
        <w:t>En general, las Entidades Prestadoras de Servicios Públicos (EPSP)</w:t>
      </w:r>
      <w:r w:rsidRPr="00E776DD">
        <w:rPr>
          <w:rStyle w:val="FootnoteReference"/>
          <w:iCs/>
          <w:szCs w:val="24"/>
        </w:rPr>
        <w:footnoteReference w:id="4"/>
      </w:r>
      <w:r w:rsidRPr="00262053">
        <w:rPr>
          <w:lang w:val="es-ES_tradnl"/>
        </w:rPr>
        <w:t xml:space="preserve"> tienen un limitado acceso a crédito y dificultades para acceder a financiamiento en las condiciones de plazo que requiere el periodo de maduración de los proyectos de infraestructura y dotación de equipos que bus</w:t>
      </w:r>
      <w:r w:rsidRPr="00262053">
        <w:rPr>
          <w:lang w:val="es-ES_tradnl"/>
        </w:rPr>
        <w:softHyphen/>
        <w:t xml:space="preserve">can financiar. </w:t>
      </w:r>
    </w:p>
    <w:p w:rsidR="00262053" w:rsidRPr="00262053" w:rsidRDefault="00262053" w:rsidP="00262053">
      <w:pPr>
        <w:pStyle w:val="Paragraph"/>
        <w:tabs>
          <w:tab w:val="clear" w:pos="2448"/>
          <w:tab w:val="num" w:pos="720"/>
        </w:tabs>
        <w:ind w:left="720" w:hanging="720"/>
        <w:rPr>
          <w:lang w:val="es-ES_tradnl"/>
        </w:rPr>
      </w:pPr>
      <w:r w:rsidRPr="00262053">
        <w:rPr>
          <w:lang w:val="es-ES_tradnl"/>
        </w:rPr>
        <w:t>Del lado público, es ilustrativo que las fuentes de financiamiento utilizadas a nivel departamental para este tipo de inversiones proceden principalmente del Gobierno Central a través del Sistema General de Participa</w:t>
      </w:r>
      <w:r w:rsidRPr="00262053">
        <w:rPr>
          <w:lang w:val="es-ES_tradnl"/>
        </w:rPr>
        <w:softHyphen/>
        <w:t xml:space="preserve">ciones (SGP) y regalías en forma directa o indirecta, las cuales representan casi el 75% de la financiación de inversiones departamentales, mientras que los recursos de crédito apenas representan </w:t>
      </w:r>
      <w:r w:rsidRPr="00070567">
        <w:rPr>
          <w:szCs w:val="24"/>
          <w:lang w:val="es-ES" w:eastAsia="es-ES"/>
        </w:rPr>
        <w:t>el 3%. Este</w:t>
      </w:r>
      <w:r w:rsidRPr="00262053">
        <w:rPr>
          <w:szCs w:val="24"/>
          <w:lang w:val="es-ES_tradnl"/>
        </w:rPr>
        <w:t xml:space="preserve"> patrón es similar a nivel municipal.</w:t>
      </w:r>
      <w:r w:rsidRPr="00262053">
        <w:rPr>
          <w:lang w:val="es-ES_tradnl"/>
        </w:rPr>
        <w:t xml:space="preserve">  </w:t>
      </w:r>
      <w:r w:rsidRPr="00167B77">
        <w:rPr>
          <w:szCs w:val="24"/>
          <w:lang w:val="es-ES" w:eastAsia="es-ES"/>
        </w:rPr>
        <w:t>En gran cantidad de municipios, la viabilidad</w:t>
      </w:r>
      <w:r>
        <w:rPr>
          <w:szCs w:val="24"/>
          <w:lang w:val="es-ES" w:eastAsia="es-ES"/>
        </w:rPr>
        <w:t xml:space="preserve"> </w:t>
      </w:r>
      <w:r w:rsidRPr="00167B77">
        <w:rPr>
          <w:szCs w:val="24"/>
          <w:lang w:val="es-ES" w:eastAsia="es-ES"/>
        </w:rPr>
        <w:t>financiera de los servicios depende de los aportes</w:t>
      </w:r>
      <w:r>
        <w:rPr>
          <w:szCs w:val="24"/>
          <w:lang w:val="es-ES" w:eastAsia="es-ES"/>
        </w:rPr>
        <w:t xml:space="preserve"> </w:t>
      </w:r>
      <w:r w:rsidRPr="00167B77">
        <w:rPr>
          <w:szCs w:val="24"/>
          <w:lang w:val="es-ES" w:eastAsia="es-ES"/>
        </w:rPr>
        <w:t>estatales para subsidiar el consumo y la inversión</w:t>
      </w:r>
      <w:r>
        <w:rPr>
          <w:szCs w:val="24"/>
          <w:lang w:val="es-ES" w:eastAsia="es-ES"/>
        </w:rPr>
        <w:t>.</w:t>
      </w:r>
      <w:r w:rsidRPr="00CF1A05">
        <w:rPr>
          <w:szCs w:val="24"/>
          <w:lang w:val="es-ES" w:eastAsia="es-ES"/>
        </w:rPr>
        <w:t xml:space="preserve"> </w:t>
      </w:r>
    </w:p>
    <w:p w:rsidR="00EE30E0" w:rsidRDefault="00262053" w:rsidP="00262053">
      <w:pPr>
        <w:pStyle w:val="Paragraph"/>
        <w:tabs>
          <w:tab w:val="clear" w:pos="2448"/>
          <w:tab w:val="num" w:pos="720"/>
        </w:tabs>
        <w:ind w:left="720" w:hanging="720"/>
        <w:rPr>
          <w:lang w:val="es-ES_tradnl"/>
        </w:rPr>
      </w:pPr>
      <w:r w:rsidRPr="00262053">
        <w:rPr>
          <w:lang w:val="es-ES_tradnl"/>
        </w:rPr>
        <w:t>Los principales factores que restringen el acceso al crédito de mediano y largo plazo de este tipo de entidades</w:t>
      </w:r>
      <w:r w:rsidRPr="002E0236">
        <w:rPr>
          <w:szCs w:val="24"/>
          <w:lang w:val="es-ES" w:eastAsia="es-ES"/>
        </w:rPr>
        <w:t xml:space="preserve"> </w:t>
      </w:r>
      <w:r>
        <w:rPr>
          <w:szCs w:val="24"/>
          <w:lang w:val="es-ES" w:eastAsia="es-ES"/>
        </w:rPr>
        <w:t xml:space="preserve">para financiar inversiones </w:t>
      </w:r>
      <w:r w:rsidRPr="00262053">
        <w:rPr>
          <w:lang w:val="es-ES_tradnl"/>
        </w:rPr>
        <w:t>son: (i) limitaciones en el fondeo a mayor plazo d</w:t>
      </w:r>
      <w:r>
        <w:rPr>
          <w:szCs w:val="24"/>
          <w:lang w:val="es-ES" w:eastAsia="es-ES"/>
        </w:rPr>
        <w:t>el sector financiero</w:t>
      </w:r>
      <w:r w:rsidRPr="00262053">
        <w:rPr>
          <w:lang w:val="es-ES_tradnl"/>
        </w:rPr>
        <w:t>, dada las condiciones de plazo del ahorro interno y la falta de profundidad del sistema financiero; (ii) el riesgo percibido de los proyectos, por el largo periodo de maduración de las cuantiosas inversiones iniciales y por la incertidumbre acerca de la asignación y efectiva ejecución de los recursos públicos, y la falta de instrumentos financieros que lo atenúen; y (iii) falta de capacidad institucional de las EPSP y de las entidades territoriales, las cuales presentan debilidades internas de carácter organizacional, de gestión financiera y técnica, lo cual afecta la capacidad para la elaboración de proyectos financieramente viables que satisfagan los requisitos exigidos por la banca comercial.</w:t>
      </w:r>
    </w:p>
    <w:p w:rsidR="00262053" w:rsidRPr="00EE30E0" w:rsidRDefault="00EE30E0" w:rsidP="00EE30E0">
      <w:pPr>
        <w:pStyle w:val="Paragraph"/>
        <w:tabs>
          <w:tab w:val="clear" w:pos="2448"/>
          <w:tab w:val="num" w:pos="720"/>
        </w:tabs>
        <w:ind w:left="720" w:hanging="720"/>
        <w:rPr>
          <w:lang w:val="es-ES_tradnl"/>
        </w:rPr>
      </w:pPr>
      <w:r w:rsidRPr="00262053">
        <w:rPr>
          <w:lang w:val="es-ES_tradnl"/>
        </w:rPr>
        <w:t xml:space="preserve">El </w:t>
      </w:r>
      <w:r w:rsidRPr="00114FDE">
        <w:rPr>
          <w:lang w:val="es-ES_tradnl"/>
        </w:rPr>
        <w:t>objetivo</w:t>
      </w:r>
      <w:r w:rsidRPr="00262053">
        <w:rPr>
          <w:lang w:val="es-ES_tradnl"/>
        </w:rPr>
        <w:t xml:space="preserve"> del programa será impulsar el desarrollo de los sectores prioritarios de infraestructura del gobierno nacional en los territorios a través del financiamiento de proyectos de inversión asociados a la provisión de servicios públicos sostenibles. Al igual que los programas anteriores bajo el CLIIP, habrá dos Componentes: uno de Financiamiento y otro de fortalecimiento institucional</w:t>
      </w:r>
      <w:r w:rsidR="00262053">
        <w:rPr>
          <w:lang w:val="es-ES_tradnl"/>
        </w:rPr>
        <w:t>.</w:t>
      </w:r>
    </w:p>
    <w:p w:rsidR="001E00BB" w:rsidRPr="0097530C" w:rsidRDefault="001E00BB" w:rsidP="0097530C">
      <w:pPr>
        <w:pStyle w:val="Chapter"/>
        <w:numPr>
          <w:ilvl w:val="0"/>
          <w:numId w:val="6"/>
        </w:numPr>
        <w:rPr>
          <w:lang w:val="es-ES_tradnl"/>
        </w:rPr>
      </w:pPr>
      <w:r w:rsidRPr="0097530C">
        <w:rPr>
          <w:lang w:val="es-ES_tradnl"/>
        </w:rPr>
        <w:t>Metodología</w:t>
      </w:r>
      <w:r w:rsidR="00D66825" w:rsidRPr="0097530C">
        <w:rPr>
          <w:lang w:val="es-ES_tradnl"/>
        </w:rPr>
        <w:t xml:space="preserve"> y Supuestos</w:t>
      </w:r>
    </w:p>
    <w:p w:rsidR="00BF3158" w:rsidRPr="005A3749" w:rsidRDefault="00BF3158" w:rsidP="00BF3158">
      <w:pPr>
        <w:ind w:left="450" w:hanging="450"/>
        <w:jc w:val="both"/>
        <w:rPr>
          <w:rFonts w:ascii="Times New Roman" w:hAnsi="Times New Roman"/>
          <w:b/>
          <w:sz w:val="24"/>
          <w:lang w:val="es-ES_tradnl"/>
        </w:rPr>
      </w:pPr>
      <w:r w:rsidRPr="005A3749">
        <w:rPr>
          <w:rFonts w:ascii="Times New Roman" w:hAnsi="Times New Roman"/>
          <w:b/>
          <w:sz w:val="24"/>
          <w:lang w:val="es-ES_tradnl"/>
        </w:rPr>
        <w:t>Metodología</w:t>
      </w:r>
    </w:p>
    <w:p w:rsidR="00BF3158" w:rsidRPr="00BF3158" w:rsidRDefault="00BF3158" w:rsidP="00820E14">
      <w:pPr>
        <w:pStyle w:val="Paragraph"/>
        <w:tabs>
          <w:tab w:val="clear" w:pos="2448"/>
          <w:tab w:val="num" w:pos="720"/>
        </w:tabs>
        <w:spacing w:after="80"/>
        <w:ind w:left="720" w:hanging="720"/>
        <w:rPr>
          <w:lang w:val="es-ES_tradnl"/>
        </w:rPr>
      </w:pPr>
      <w:r w:rsidRPr="00BF3158">
        <w:rPr>
          <w:lang w:val="es-ES_tradnl"/>
        </w:rPr>
        <w:t xml:space="preserve">La información básica para estimar los costos y beneficios del programa, en términos de </w:t>
      </w:r>
      <w:r w:rsidR="00C866AE">
        <w:rPr>
          <w:lang w:val="es-ES_tradnl"/>
        </w:rPr>
        <w:t>rentabilidad de los proyectos de infraestructura</w:t>
      </w:r>
      <w:r w:rsidRPr="00BF3158">
        <w:rPr>
          <w:lang w:val="es-ES_tradnl"/>
        </w:rPr>
        <w:t>, incluye:</w:t>
      </w:r>
    </w:p>
    <w:p w:rsidR="00D66825" w:rsidRPr="001E4EF5" w:rsidRDefault="00C40BE3" w:rsidP="000B062B">
      <w:pPr>
        <w:pStyle w:val="Paragraph"/>
        <w:numPr>
          <w:ilvl w:val="0"/>
          <w:numId w:val="7"/>
        </w:numPr>
        <w:spacing w:after="80"/>
        <w:ind w:left="1260" w:hanging="540"/>
        <w:rPr>
          <w:lang w:val="es-ES_tradnl"/>
        </w:rPr>
      </w:pPr>
      <w:r>
        <w:rPr>
          <w:lang w:val="es-ES_tradnl"/>
        </w:rPr>
        <w:t xml:space="preserve">El monto </w:t>
      </w:r>
      <w:r w:rsidR="00C866AE">
        <w:rPr>
          <w:lang w:val="es-ES_tradnl"/>
        </w:rPr>
        <w:t>total</w:t>
      </w:r>
      <w:r>
        <w:rPr>
          <w:lang w:val="es-ES_tradnl"/>
        </w:rPr>
        <w:t xml:space="preserve"> de los </w:t>
      </w:r>
      <w:r w:rsidR="00C866AE">
        <w:rPr>
          <w:lang w:val="es-ES_tradnl"/>
        </w:rPr>
        <w:t>fond</w:t>
      </w:r>
      <w:r>
        <w:rPr>
          <w:lang w:val="es-ES_tradnl"/>
        </w:rPr>
        <w:t xml:space="preserve">os otorgados para </w:t>
      </w:r>
      <w:r w:rsidR="00C866AE">
        <w:rPr>
          <w:lang w:val="es-ES_tradnl"/>
        </w:rPr>
        <w:t>inversión en proyectos de infraestructura de servicios públicos, en base a los términos del financiamiento BID</w:t>
      </w:r>
      <w:r w:rsidR="00D66825" w:rsidRPr="001E4EF5">
        <w:rPr>
          <w:lang w:val="es-ES_tradnl"/>
        </w:rPr>
        <w:t>.</w:t>
      </w:r>
    </w:p>
    <w:p w:rsidR="00D66825" w:rsidRDefault="00C866AE" w:rsidP="000B062B">
      <w:pPr>
        <w:pStyle w:val="Paragraph"/>
        <w:numPr>
          <w:ilvl w:val="0"/>
          <w:numId w:val="7"/>
        </w:numPr>
        <w:spacing w:after="80"/>
        <w:ind w:left="1260" w:hanging="540"/>
        <w:rPr>
          <w:lang w:val="es-ES_tradnl"/>
        </w:rPr>
      </w:pPr>
      <w:r>
        <w:rPr>
          <w:lang w:val="es-ES_tradnl"/>
        </w:rPr>
        <w:t>La rentabilidad estimada de proyectos relacionados con infraestructura</w:t>
      </w:r>
      <w:r w:rsidR="001C58DE">
        <w:rPr>
          <w:lang w:val="es-ES_tradnl"/>
        </w:rPr>
        <w:t>.</w:t>
      </w:r>
      <w:r>
        <w:rPr>
          <w:lang w:val="es-ES_tradnl"/>
        </w:rPr>
        <w:t xml:space="preserve"> </w:t>
      </w:r>
      <w:r w:rsidRPr="00C866AE">
        <w:rPr>
          <w:lang w:val="es-ES_tradnl"/>
        </w:rPr>
        <w:t xml:space="preserve">A nivel de proyectos del Banco Mundial, todos aquellos que tienen relación con obras de infraestructura han tenido una tasa de rentabilidad promedio de 20%, </w:t>
      </w:r>
      <w:r>
        <w:rPr>
          <w:lang w:val="es-ES_tradnl"/>
        </w:rPr>
        <w:t>promediando un 35% en los últimos años</w:t>
      </w:r>
      <w:r w:rsidR="00D66825" w:rsidRPr="001E4EF5">
        <w:rPr>
          <w:lang w:val="es-ES_tradnl"/>
        </w:rPr>
        <w:t>.</w:t>
      </w:r>
      <w:r>
        <w:rPr>
          <w:rStyle w:val="FootnoteReference"/>
          <w:lang w:val="es-ES_tradnl"/>
        </w:rPr>
        <w:footnoteReference w:id="5"/>
      </w:r>
    </w:p>
    <w:p w:rsidR="00D66825" w:rsidRPr="001E4EF5" w:rsidRDefault="00D66825" w:rsidP="000B062B">
      <w:pPr>
        <w:pStyle w:val="Paragraph"/>
        <w:numPr>
          <w:ilvl w:val="0"/>
          <w:numId w:val="7"/>
        </w:numPr>
        <w:spacing w:after="80"/>
        <w:ind w:left="1260" w:hanging="540"/>
        <w:rPr>
          <w:lang w:val="es-ES_tradnl"/>
        </w:rPr>
      </w:pPr>
      <w:r w:rsidRPr="001E4EF5">
        <w:rPr>
          <w:lang w:val="es-ES_tradnl"/>
        </w:rPr>
        <w:t xml:space="preserve">Los </w:t>
      </w:r>
      <w:r w:rsidR="00A704AB" w:rsidRPr="001E4EF5">
        <w:rPr>
          <w:lang w:val="es-ES_tradnl"/>
        </w:rPr>
        <w:t>términos</w:t>
      </w:r>
      <w:r w:rsidRPr="001E4EF5">
        <w:rPr>
          <w:lang w:val="es-ES_tradnl"/>
        </w:rPr>
        <w:t xml:space="preserve"> financieros del grueso de los recursos desembolsados </w:t>
      </w:r>
      <w:r w:rsidR="00A75758">
        <w:rPr>
          <w:lang w:val="es-ES_tradnl"/>
        </w:rPr>
        <w:t xml:space="preserve">por la operación </w:t>
      </w:r>
      <w:r w:rsidR="00DE0315" w:rsidRPr="001E4EF5">
        <w:rPr>
          <w:lang w:val="es-ES_tradnl"/>
        </w:rPr>
        <w:t xml:space="preserve">para </w:t>
      </w:r>
      <w:r w:rsidR="00A75758">
        <w:rPr>
          <w:lang w:val="es-ES_tradnl"/>
        </w:rPr>
        <w:t xml:space="preserve">este </w:t>
      </w:r>
      <w:r w:rsidR="00C866AE">
        <w:rPr>
          <w:lang w:val="es-ES_tradnl"/>
        </w:rPr>
        <w:t>tercer</w:t>
      </w:r>
      <w:r w:rsidR="00A75758">
        <w:rPr>
          <w:lang w:val="es-ES_tradnl"/>
        </w:rPr>
        <w:t xml:space="preserve"> programa de </w:t>
      </w:r>
      <w:r w:rsidR="00C866AE" w:rsidRPr="00C866AE">
        <w:rPr>
          <w:lang w:val="es-ES_tradnl"/>
        </w:rPr>
        <w:t xml:space="preserve">acceso sostenible a financiamiento de proyectos de infraestructura y servicios asociados a la provisión de servicios públicos </w:t>
      </w:r>
      <w:r w:rsidR="00DE0315" w:rsidRPr="001E4EF5">
        <w:rPr>
          <w:lang w:val="es-ES_tradnl"/>
        </w:rPr>
        <w:t>(</w:t>
      </w:r>
      <w:r w:rsidR="00A75758">
        <w:rPr>
          <w:lang w:val="es-ES_tradnl"/>
        </w:rPr>
        <w:t xml:space="preserve">hasta USD </w:t>
      </w:r>
      <w:r w:rsidR="00C866AE">
        <w:rPr>
          <w:lang w:val="es-ES_tradnl"/>
        </w:rPr>
        <w:t>75</w:t>
      </w:r>
      <w:r w:rsidR="00A75758">
        <w:rPr>
          <w:lang w:val="es-ES_tradnl"/>
        </w:rPr>
        <w:t xml:space="preserve"> millones</w:t>
      </w:r>
      <w:r w:rsidR="00DE0315" w:rsidRPr="001E4EF5">
        <w:rPr>
          <w:lang w:val="es-ES_tradnl"/>
        </w:rPr>
        <w:t>)</w:t>
      </w:r>
      <w:r w:rsidRPr="001E4EF5">
        <w:rPr>
          <w:lang w:val="es-ES_tradnl"/>
        </w:rPr>
        <w:t>.</w:t>
      </w:r>
    </w:p>
    <w:p w:rsidR="001C58DE" w:rsidRDefault="00A43489" w:rsidP="001C58DE">
      <w:pPr>
        <w:pStyle w:val="Paragraph"/>
        <w:tabs>
          <w:tab w:val="clear" w:pos="2448"/>
          <w:tab w:val="num" w:pos="720"/>
        </w:tabs>
        <w:spacing w:after="80"/>
        <w:ind w:left="720" w:hanging="720"/>
        <w:rPr>
          <w:lang w:val="es-ES_tradnl"/>
        </w:rPr>
      </w:pPr>
      <w:r>
        <w:rPr>
          <w:lang w:val="es-ES_tradnl"/>
        </w:rPr>
        <w:t xml:space="preserve">En línea con los objetivos del programa establecidos en la </w:t>
      </w:r>
      <w:r w:rsidR="00BA595B">
        <w:rPr>
          <w:lang w:val="es-ES_tradnl"/>
        </w:rPr>
        <w:t>M</w:t>
      </w:r>
      <w:r>
        <w:rPr>
          <w:lang w:val="es-ES_tradnl"/>
        </w:rPr>
        <w:t xml:space="preserve">atriz de </w:t>
      </w:r>
      <w:r w:rsidR="00BA595B">
        <w:rPr>
          <w:lang w:val="es-ES_tradnl"/>
        </w:rPr>
        <w:t>R</w:t>
      </w:r>
      <w:r>
        <w:rPr>
          <w:lang w:val="es-ES_tradnl"/>
        </w:rPr>
        <w:t xml:space="preserve">esultados, el programa busca </w:t>
      </w:r>
      <w:r w:rsidR="001C58DE">
        <w:rPr>
          <w:lang w:val="es-ES_tradnl"/>
        </w:rPr>
        <w:t>i</w:t>
      </w:r>
      <w:r w:rsidR="001C58DE" w:rsidRPr="001C58DE">
        <w:rPr>
          <w:lang w:val="es-ES_tradnl"/>
        </w:rPr>
        <w:t>mpulsar el desarrollo de los sectores prioritarios de infraestructura del gobierno nacional en los territorios</w:t>
      </w:r>
      <w:r w:rsidR="001C58DE">
        <w:rPr>
          <w:lang w:val="es-ES_tradnl"/>
        </w:rPr>
        <w:t>,</w:t>
      </w:r>
      <w:r w:rsidR="001C58DE" w:rsidRPr="001C58DE">
        <w:rPr>
          <w:lang w:val="es-ES_tradnl"/>
        </w:rPr>
        <w:t xml:space="preserve"> a través del financiamiento de proyectos de inversión asociados a la provisión de servicios públicos sostenibles</w:t>
      </w:r>
      <w:r>
        <w:rPr>
          <w:lang w:val="es-ES_tradnl"/>
        </w:rPr>
        <w:t>. Por ello, el análisis económico se bas</w:t>
      </w:r>
      <w:r w:rsidR="001C58DE">
        <w:rPr>
          <w:lang w:val="es-ES_tradnl"/>
        </w:rPr>
        <w:t>a en el cálculo de beneficios para este tipo de proyectos</w:t>
      </w:r>
      <w:r>
        <w:rPr>
          <w:lang w:val="es-ES_tradnl"/>
        </w:rPr>
        <w:t xml:space="preserve">, </w:t>
      </w:r>
      <w:r w:rsidR="001C58DE">
        <w:rPr>
          <w:lang w:val="es-ES_tradnl"/>
        </w:rPr>
        <w:t>como proxy del beneficio general para las entidades territoriales en los que serían llevados a cabo.</w:t>
      </w:r>
    </w:p>
    <w:p w:rsidR="001C565D" w:rsidRPr="001E4EF5" w:rsidRDefault="00305DEB" w:rsidP="00820E14">
      <w:pPr>
        <w:pStyle w:val="Paragraph"/>
        <w:tabs>
          <w:tab w:val="clear" w:pos="2448"/>
          <w:tab w:val="num" w:pos="720"/>
        </w:tabs>
        <w:spacing w:after="80"/>
        <w:ind w:left="720" w:hanging="720"/>
        <w:rPr>
          <w:lang w:val="es-ES_tradnl"/>
        </w:rPr>
      </w:pPr>
      <w:r>
        <w:rPr>
          <w:lang w:val="es-ES_tradnl"/>
        </w:rPr>
        <w:t>La suma de</w:t>
      </w:r>
      <w:r w:rsidR="001C565D">
        <w:rPr>
          <w:lang w:val="es-ES_tradnl"/>
        </w:rPr>
        <w:t>l valor actuali</w:t>
      </w:r>
      <w:r>
        <w:rPr>
          <w:lang w:val="es-ES_tradnl"/>
        </w:rPr>
        <w:t xml:space="preserve">zado </w:t>
      </w:r>
      <w:r w:rsidR="00581359">
        <w:rPr>
          <w:lang w:val="es-ES_tradnl"/>
        </w:rPr>
        <w:t>de</w:t>
      </w:r>
      <w:r>
        <w:rPr>
          <w:lang w:val="es-ES_tradnl"/>
        </w:rPr>
        <w:t xml:space="preserve"> l</w:t>
      </w:r>
      <w:r w:rsidR="001C565D">
        <w:rPr>
          <w:lang w:val="es-ES_tradnl"/>
        </w:rPr>
        <w:t>os beneficios</w:t>
      </w:r>
      <w:r>
        <w:rPr>
          <w:lang w:val="es-ES_tradnl"/>
        </w:rPr>
        <w:t xml:space="preserve"> </w:t>
      </w:r>
      <w:r w:rsidR="001C58DE">
        <w:rPr>
          <w:lang w:val="es-ES_tradnl"/>
        </w:rPr>
        <w:t>descritos</w:t>
      </w:r>
      <w:r w:rsidR="001C565D">
        <w:rPr>
          <w:lang w:val="es-ES_tradnl"/>
        </w:rPr>
        <w:t xml:space="preserve">, </w:t>
      </w:r>
      <w:r w:rsidR="001C565D" w:rsidRPr="001E4EF5">
        <w:rPr>
          <w:lang w:val="es-ES_tradnl"/>
        </w:rPr>
        <w:t xml:space="preserve">se compara </w:t>
      </w:r>
      <w:r w:rsidR="001C565D">
        <w:rPr>
          <w:lang w:val="es-ES_tradnl"/>
        </w:rPr>
        <w:t xml:space="preserve">luego </w:t>
      </w:r>
      <w:r w:rsidR="001C565D" w:rsidRPr="001E4EF5">
        <w:rPr>
          <w:lang w:val="es-ES_tradnl"/>
        </w:rPr>
        <w:t xml:space="preserve">con </w:t>
      </w:r>
      <w:r>
        <w:rPr>
          <w:lang w:val="es-ES_tradnl"/>
        </w:rPr>
        <w:t xml:space="preserve">el valor actualizado </w:t>
      </w:r>
      <w:r w:rsidR="00581359">
        <w:rPr>
          <w:lang w:val="es-ES_tradnl"/>
        </w:rPr>
        <w:t xml:space="preserve">de los </w:t>
      </w:r>
      <w:r w:rsidR="001C565D">
        <w:rPr>
          <w:lang w:val="es-ES_tradnl"/>
        </w:rPr>
        <w:t>costo</w:t>
      </w:r>
      <w:r>
        <w:rPr>
          <w:lang w:val="es-ES_tradnl"/>
        </w:rPr>
        <w:t>s del programa</w:t>
      </w:r>
      <w:r w:rsidR="001C565D">
        <w:rPr>
          <w:lang w:val="es-ES_tradnl"/>
        </w:rPr>
        <w:t xml:space="preserve">, ambos </w:t>
      </w:r>
      <w:r w:rsidR="005A3749">
        <w:rPr>
          <w:lang w:val="es-ES_tradnl"/>
        </w:rPr>
        <w:t>descontados</w:t>
      </w:r>
      <w:r w:rsidR="001C565D">
        <w:rPr>
          <w:lang w:val="es-ES_tradnl"/>
        </w:rPr>
        <w:t xml:space="preserve"> a</w:t>
      </w:r>
      <w:r w:rsidR="00581359">
        <w:rPr>
          <w:lang w:val="es-ES_tradnl"/>
        </w:rPr>
        <w:t xml:space="preserve"> </w:t>
      </w:r>
      <w:r w:rsidR="001C565D">
        <w:rPr>
          <w:lang w:val="es-ES_tradnl"/>
        </w:rPr>
        <w:t>l</w:t>
      </w:r>
      <w:r w:rsidR="00581359">
        <w:rPr>
          <w:lang w:val="es-ES_tradnl"/>
        </w:rPr>
        <w:t xml:space="preserve">a tasa del </w:t>
      </w:r>
      <w:r w:rsidR="001C565D">
        <w:rPr>
          <w:lang w:val="es-ES_tradnl"/>
        </w:rPr>
        <w:t>12%</w:t>
      </w:r>
      <w:r w:rsidR="005A3749">
        <w:rPr>
          <w:lang w:val="es-ES_tradnl"/>
        </w:rPr>
        <w:t xml:space="preserve"> (tasa estándar para programas del BID)</w:t>
      </w:r>
      <w:r w:rsidR="001C565D">
        <w:rPr>
          <w:lang w:val="es-ES_tradnl"/>
        </w:rPr>
        <w:t>.</w:t>
      </w:r>
    </w:p>
    <w:p w:rsidR="00D66825" w:rsidRPr="001E4EF5" w:rsidRDefault="00A704AB" w:rsidP="00820E14">
      <w:pPr>
        <w:pStyle w:val="Paragraph"/>
        <w:tabs>
          <w:tab w:val="clear" w:pos="2448"/>
          <w:tab w:val="num" w:pos="720"/>
        </w:tabs>
        <w:spacing w:after="80"/>
        <w:ind w:left="720" w:hanging="720"/>
        <w:rPr>
          <w:lang w:val="es-ES_tradnl"/>
        </w:rPr>
      </w:pPr>
      <w:r w:rsidRPr="001E4EF5">
        <w:rPr>
          <w:lang w:val="es-ES_tradnl"/>
        </w:rPr>
        <w:t>Posteriormente</w:t>
      </w:r>
      <w:r w:rsidR="00581359">
        <w:rPr>
          <w:lang w:val="es-ES_tradnl"/>
        </w:rPr>
        <w:t>,</w:t>
      </w:r>
      <w:r w:rsidR="00972F2F" w:rsidRPr="001E4EF5">
        <w:rPr>
          <w:lang w:val="es-ES_tradnl"/>
        </w:rPr>
        <w:t xml:space="preserve"> se hace una </w:t>
      </w:r>
      <w:r w:rsidRPr="001E4EF5">
        <w:rPr>
          <w:lang w:val="es-ES_tradnl"/>
        </w:rPr>
        <w:t>evaluación</w:t>
      </w:r>
      <w:r w:rsidR="00972F2F" w:rsidRPr="001E4EF5">
        <w:rPr>
          <w:lang w:val="es-ES_tradnl"/>
        </w:rPr>
        <w:t xml:space="preserve"> d</w:t>
      </w:r>
      <w:r w:rsidR="00581359">
        <w:rPr>
          <w:lang w:val="es-ES_tradnl"/>
        </w:rPr>
        <w:t>e la tolerancia del programa con</w:t>
      </w:r>
      <w:r w:rsidR="00972F2F" w:rsidRPr="001E4EF5">
        <w:rPr>
          <w:lang w:val="es-ES_tradnl"/>
        </w:rPr>
        <w:t xml:space="preserve"> </w:t>
      </w:r>
      <w:r w:rsidRPr="001E4EF5">
        <w:rPr>
          <w:lang w:val="es-ES_tradnl"/>
        </w:rPr>
        <w:t>relación</w:t>
      </w:r>
      <w:r w:rsidR="00893D0D">
        <w:rPr>
          <w:lang w:val="es-ES_tradnl"/>
        </w:rPr>
        <w:t xml:space="preserve"> al principal </w:t>
      </w:r>
      <w:r w:rsidR="00581359">
        <w:rPr>
          <w:lang w:val="es-ES_tradnl"/>
        </w:rPr>
        <w:t>parámetro de cálculo de los beneficios</w:t>
      </w:r>
      <w:r w:rsidR="00972F2F" w:rsidRPr="001E4EF5">
        <w:rPr>
          <w:lang w:val="es-ES_tradnl"/>
        </w:rPr>
        <w:t xml:space="preserve">, </w:t>
      </w:r>
      <w:r w:rsidR="00893D0D">
        <w:rPr>
          <w:lang w:val="es-ES_tradnl"/>
        </w:rPr>
        <w:t xml:space="preserve">la rentabilidad de los proyectos financiados, </w:t>
      </w:r>
      <w:r w:rsidR="00972F2F" w:rsidRPr="001E4EF5">
        <w:rPr>
          <w:lang w:val="es-ES_tradnl"/>
        </w:rPr>
        <w:t>c</w:t>
      </w:r>
      <w:r w:rsidR="00893D0D">
        <w:rPr>
          <w:lang w:val="es-ES_tradnl"/>
        </w:rPr>
        <w:t>alculando su valor de equilibrio, es decir el valor por debajo del cual el programa dejaría de ser económicamente viable</w:t>
      </w:r>
      <w:r w:rsidR="00C65186">
        <w:rPr>
          <w:lang w:val="es-ES_tradnl"/>
        </w:rPr>
        <w:t xml:space="preserve"> </w:t>
      </w:r>
      <w:r w:rsidR="005A3749">
        <w:rPr>
          <w:lang w:val="es-ES_tradnl"/>
        </w:rPr>
        <w:t>(ver análisis de sensibilidad, sección IV)</w:t>
      </w:r>
      <w:r w:rsidR="00893D0D">
        <w:rPr>
          <w:lang w:val="es-ES_tradnl"/>
        </w:rPr>
        <w:t>.</w:t>
      </w:r>
    </w:p>
    <w:p w:rsidR="005A3749" w:rsidRPr="005A3749" w:rsidRDefault="005A3749" w:rsidP="005A3749">
      <w:pPr>
        <w:ind w:left="450" w:hanging="450"/>
        <w:jc w:val="both"/>
        <w:rPr>
          <w:rFonts w:ascii="Times New Roman" w:hAnsi="Times New Roman"/>
          <w:b/>
          <w:sz w:val="24"/>
          <w:lang w:val="es-ES_tradnl"/>
        </w:rPr>
      </w:pPr>
      <w:r>
        <w:rPr>
          <w:rFonts w:ascii="Times New Roman" w:hAnsi="Times New Roman"/>
          <w:b/>
          <w:sz w:val="24"/>
          <w:lang w:val="es-ES_tradnl"/>
        </w:rPr>
        <w:t>Supuestos</w:t>
      </w:r>
    </w:p>
    <w:p w:rsidR="00D742D0" w:rsidRPr="001E4EF5" w:rsidRDefault="005A3749" w:rsidP="00820E14">
      <w:pPr>
        <w:pStyle w:val="Paragraph"/>
        <w:tabs>
          <w:tab w:val="clear" w:pos="2448"/>
          <w:tab w:val="num" w:pos="720"/>
        </w:tabs>
        <w:spacing w:after="80"/>
        <w:ind w:left="720" w:hanging="720"/>
        <w:rPr>
          <w:lang w:val="es-ES_tradnl"/>
        </w:rPr>
      </w:pPr>
      <w:r>
        <w:rPr>
          <w:lang w:val="es-ES_tradnl"/>
        </w:rPr>
        <w:t xml:space="preserve">Para la realización del cálculo de los </w:t>
      </w:r>
      <w:r w:rsidR="0097530C">
        <w:rPr>
          <w:lang w:val="es-ES_tradnl"/>
        </w:rPr>
        <w:t>beneficios y costos</w:t>
      </w:r>
      <w:r>
        <w:rPr>
          <w:lang w:val="es-ES_tradnl"/>
        </w:rPr>
        <w:t>, se han utilizado los siguientes supuestos</w:t>
      </w:r>
      <w:r w:rsidR="00D742D0" w:rsidRPr="001E4EF5">
        <w:rPr>
          <w:lang w:val="es-ES_tradnl"/>
        </w:rPr>
        <w:t>:</w:t>
      </w:r>
    </w:p>
    <w:p w:rsidR="00D742D0" w:rsidRPr="00820E14" w:rsidRDefault="005A3749" w:rsidP="00820E14">
      <w:pPr>
        <w:pStyle w:val="Paragraph"/>
        <w:numPr>
          <w:ilvl w:val="0"/>
          <w:numId w:val="23"/>
        </w:numPr>
        <w:spacing w:after="80"/>
        <w:ind w:left="1260" w:hanging="540"/>
        <w:rPr>
          <w:lang w:val="es-ES_tradnl"/>
        </w:rPr>
      </w:pPr>
      <w:r>
        <w:rPr>
          <w:lang w:val="es-ES_tradnl"/>
        </w:rPr>
        <w:t xml:space="preserve">El </w:t>
      </w:r>
      <w:r w:rsidR="00633485">
        <w:rPr>
          <w:lang w:val="es-ES_tradnl"/>
        </w:rPr>
        <w:t xml:space="preserve">100% del </w:t>
      </w:r>
      <w:r>
        <w:rPr>
          <w:lang w:val="es-ES_tradnl"/>
        </w:rPr>
        <w:t>valor del monto</w:t>
      </w:r>
      <w:r w:rsidR="005F09CB">
        <w:rPr>
          <w:lang w:val="es-ES_tradnl"/>
        </w:rPr>
        <w:t xml:space="preserve"> </w:t>
      </w:r>
      <w:r w:rsidR="00633485">
        <w:rPr>
          <w:lang w:val="es-ES_tradnl"/>
        </w:rPr>
        <w:t xml:space="preserve">total </w:t>
      </w:r>
      <w:r>
        <w:rPr>
          <w:lang w:val="es-ES_tradnl"/>
        </w:rPr>
        <w:t xml:space="preserve">financiado </w:t>
      </w:r>
      <w:r w:rsidR="00633485">
        <w:rPr>
          <w:lang w:val="es-ES_tradnl"/>
        </w:rPr>
        <w:t>es invertido en</w:t>
      </w:r>
      <w:r>
        <w:rPr>
          <w:lang w:val="es-ES_tradnl"/>
        </w:rPr>
        <w:t xml:space="preserve"> </w:t>
      </w:r>
      <w:r w:rsidR="00633485">
        <w:rPr>
          <w:lang w:val="es-ES_tradnl"/>
        </w:rPr>
        <w:t>proyectos de provisión de servicios públicos (USD 75 millones)</w:t>
      </w:r>
      <w:r w:rsidR="00820E14">
        <w:rPr>
          <w:lang w:val="es-ES_tradnl"/>
        </w:rPr>
        <w:t>.</w:t>
      </w:r>
    </w:p>
    <w:p w:rsidR="00447A0F" w:rsidRPr="001E4EF5" w:rsidRDefault="005A3749" w:rsidP="00820E14">
      <w:pPr>
        <w:pStyle w:val="Paragraph"/>
        <w:numPr>
          <w:ilvl w:val="0"/>
          <w:numId w:val="23"/>
        </w:numPr>
        <w:spacing w:after="80"/>
        <w:ind w:left="1260" w:hanging="540"/>
        <w:rPr>
          <w:lang w:val="es-ES_tradnl"/>
        </w:rPr>
      </w:pPr>
      <w:r>
        <w:rPr>
          <w:lang w:val="es-ES_tradnl"/>
        </w:rPr>
        <w:t>E</w:t>
      </w:r>
      <w:r w:rsidR="005F09CB">
        <w:rPr>
          <w:lang w:val="es-ES_tradnl"/>
        </w:rPr>
        <w:t xml:space="preserve">l </w:t>
      </w:r>
      <w:r w:rsidR="00820E14">
        <w:rPr>
          <w:lang w:val="es-ES_tradnl"/>
        </w:rPr>
        <w:t>ratio Loan-to-</w:t>
      </w:r>
      <w:r>
        <w:rPr>
          <w:lang w:val="es-ES_tradnl"/>
        </w:rPr>
        <w:t>Value (proporción del monto fina</w:t>
      </w:r>
      <w:r w:rsidR="0007522D">
        <w:rPr>
          <w:lang w:val="es-ES_tradnl"/>
        </w:rPr>
        <w:t>nciado sobre el valor total de la inversión financiada</w:t>
      </w:r>
      <w:r>
        <w:rPr>
          <w:lang w:val="es-ES_tradnl"/>
        </w:rPr>
        <w:t xml:space="preserve">) es de </w:t>
      </w:r>
      <w:r w:rsidR="00A07D1C">
        <w:rPr>
          <w:lang w:val="es-ES_tradnl"/>
        </w:rPr>
        <w:t>0.</w:t>
      </w:r>
      <w:r w:rsidR="00633485">
        <w:rPr>
          <w:lang w:val="es-ES_tradnl"/>
        </w:rPr>
        <w:t>7</w:t>
      </w:r>
      <w:r w:rsidR="00AB3625">
        <w:rPr>
          <w:lang w:val="es-ES_tradnl"/>
        </w:rPr>
        <w:t>0</w:t>
      </w:r>
      <w:r w:rsidR="005F09CB" w:rsidRPr="00D55D1B">
        <w:rPr>
          <w:lang w:val="es-ES_tradnl"/>
        </w:rPr>
        <w:t>,</w:t>
      </w:r>
      <w:r w:rsidR="00753D5F" w:rsidRPr="00D55D1B">
        <w:rPr>
          <w:lang w:val="es-ES_tradnl"/>
        </w:rPr>
        <w:t xml:space="preserve"> </w:t>
      </w:r>
      <w:r w:rsidR="00A07D1C">
        <w:rPr>
          <w:lang w:val="es-ES_tradnl"/>
        </w:rPr>
        <w:t xml:space="preserve">según datos de </w:t>
      </w:r>
      <w:r w:rsidR="00633485">
        <w:rPr>
          <w:lang w:val="es-ES_tradnl"/>
        </w:rPr>
        <w:t>programas municipales anteriores con FINDETER</w:t>
      </w:r>
      <w:r>
        <w:rPr>
          <w:lang w:val="es-ES_tradnl"/>
        </w:rPr>
        <w:t>. E</w:t>
      </w:r>
      <w:r w:rsidR="00753D5F">
        <w:rPr>
          <w:lang w:val="es-ES_tradnl"/>
        </w:rPr>
        <w:t xml:space="preserve">ste </w:t>
      </w:r>
      <w:r>
        <w:rPr>
          <w:lang w:val="es-ES_tradnl"/>
        </w:rPr>
        <w:t>índice nos</w:t>
      </w:r>
      <w:r w:rsidR="005F09CB">
        <w:rPr>
          <w:lang w:val="es-ES_tradnl"/>
        </w:rPr>
        <w:t xml:space="preserve"> permite calcular un estimado del</w:t>
      </w:r>
      <w:r>
        <w:rPr>
          <w:lang w:val="es-ES_tradnl"/>
        </w:rPr>
        <w:t xml:space="preserve"> valor promedio de la </w:t>
      </w:r>
      <w:r w:rsidR="00633485">
        <w:rPr>
          <w:lang w:val="es-ES_tradnl"/>
        </w:rPr>
        <w:t>inversión total</w:t>
      </w:r>
      <w:r>
        <w:rPr>
          <w:lang w:val="es-ES_tradnl"/>
        </w:rPr>
        <w:t>, tal y como se indica en la sección III: Valoración del Beneficio Económico</w:t>
      </w:r>
      <w:r w:rsidR="00A07D1C">
        <w:rPr>
          <w:lang w:val="es-ES_tradnl"/>
        </w:rPr>
        <w:t>.</w:t>
      </w:r>
    </w:p>
    <w:p w:rsidR="00B6753E" w:rsidRDefault="00633485" w:rsidP="00820E14">
      <w:pPr>
        <w:pStyle w:val="Paragraph"/>
        <w:numPr>
          <w:ilvl w:val="0"/>
          <w:numId w:val="23"/>
        </w:numPr>
        <w:spacing w:after="80"/>
        <w:ind w:left="1260" w:hanging="540"/>
        <w:rPr>
          <w:lang w:val="es-ES_tradnl"/>
        </w:rPr>
      </w:pPr>
      <w:r>
        <w:rPr>
          <w:lang w:val="es-ES_tradnl"/>
        </w:rPr>
        <w:t>La rentabilidad generada por los proyectos de inversión se contabiliza a partir del tercer año</w:t>
      </w:r>
      <w:r w:rsidR="001355B0">
        <w:rPr>
          <w:lang w:val="es-ES_tradnl"/>
        </w:rPr>
        <w:t xml:space="preserve"> (plazo </w:t>
      </w:r>
      <w:r>
        <w:rPr>
          <w:lang w:val="es-ES_tradnl"/>
        </w:rPr>
        <w:t xml:space="preserve">máximo </w:t>
      </w:r>
      <w:r w:rsidR="001355B0">
        <w:rPr>
          <w:lang w:val="es-ES_tradnl"/>
        </w:rPr>
        <w:t>en que se estima la finalización de</w:t>
      </w:r>
      <w:r>
        <w:rPr>
          <w:lang w:val="es-ES_tradnl"/>
        </w:rPr>
        <w:t xml:space="preserve"> las actividades de generación y la consiguiente puesta en marcha de las operaciones</w:t>
      </w:r>
      <w:r w:rsidR="001355B0">
        <w:rPr>
          <w:lang w:val="es-ES_tradnl"/>
        </w:rPr>
        <w:t>)</w:t>
      </w:r>
      <w:r w:rsidR="002C7F16">
        <w:rPr>
          <w:lang w:val="es-ES_tradnl"/>
        </w:rPr>
        <w:t>, y constante durante un periodo de 15 años.</w:t>
      </w:r>
    </w:p>
    <w:p w:rsidR="0014478B" w:rsidRPr="00893D0D" w:rsidRDefault="002C7F16" w:rsidP="00893D0D">
      <w:pPr>
        <w:pStyle w:val="Paragraph"/>
        <w:tabs>
          <w:tab w:val="clear" w:pos="2448"/>
          <w:tab w:val="num" w:pos="720"/>
        </w:tabs>
        <w:spacing w:after="80"/>
        <w:ind w:left="720" w:hanging="720"/>
        <w:rPr>
          <w:lang w:val="es-ES_tradnl"/>
        </w:rPr>
      </w:pPr>
      <w:r>
        <w:rPr>
          <w:lang w:val="es-ES_tradnl"/>
        </w:rPr>
        <w:t>S</w:t>
      </w:r>
      <w:r w:rsidR="001E4EF5" w:rsidRPr="00893D0D">
        <w:rPr>
          <w:lang w:val="es-ES_tradnl"/>
        </w:rPr>
        <w:t xml:space="preserve">i bien el </w:t>
      </w:r>
      <w:r w:rsidR="00A704AB" w:rsidRPr="00893D0D">
        <w:rPr>
          <w:lang w:val="es-ES_tradnl"/>
        </w:rPr>
        <w:t>análisis</w:t>
      </w:r>
      <w:r>
        <w:rPr>
          <w:lang w:val="es-ES_tradnl"/>
        </w:rPr>
        <w:t xml:space="preserve"> considera</w:t>
      </w:r>
      <w:r w:rsidR="00C648FA">
        <w:rPr>
          <w:lang w:val="es-ES_tradnl"/>
        </w:rPr>
        <w:t>,</w:t>
      </w:r>
      <w:r>
        <w:rPr>
          <w:lang w:val="es-ES_tradnl"/>
        </w:rPr>
        <w:t xml:space="preserve"> </w:t>
      </w:r>
      <w:r w:rsidR="00C648FA">
        <w:rPr>
          <w:lang w:val="es-ES_tradnl"/>
        </w:rPr>
        <w:t>a modo de</w:t>
      </w:r>
      <w:r>
        <w:rPr>
          <w:lang w:val="es-ES_tradnl"/>
        </w:rPr>
        <w:t xml:space="preserve"> simplifica</w:t>
      </w:r>
      <w:r w:rsidR="00C648FA">
        <w:rPr>
          <w:lang w:val="es-ES_tradnl"/>
        </w:rPr>
        <w:t>ción,</w:t>
      </w:r>
      <w:r>
        <w:rPr>
          <w:lang w:val="es-ES_tradnl"/>
        </w:rPr>
        <w:t xml:space="preserve"> un promedio de rentabilidad para todos los proyectos en su conjunto, al no conocer ex ante los servicios específicos que serán financiados</w:t>
      </w:r>
      <w:r w:rsidR="001E4EF5" w:rsidRPr="00893D0D">
        <w:rPr>
          <w:lang w:val="es-ES_tradnl"/>
        </w:rPr>
        <w:t xml:space="preserve">, </w:t>
      </w:r>
      <w:r w:rsidR="00A704AB" w:rsidRPr="00893D0D">
        <w:rPr>
          <w:lang w:val="es-ES_tradnl"/>
        </w:rPr>
        <w:t>también</w:t>
      </w:r>
      <w:r w:rsidR="001E4EF5" w:rsidRPr="00893D0D">
        <w:rPr>
          <w:lang w:val="es-ES_tradnl"/>
        </w:rPr>
        <w:t xml:space="preserve"> deja de lado una serie de externalidades positivas al enfocarse </w:t>
      </w:r>
      <w:r w:rsidR="00A704AB" w:rsidRPr="00893D0D">
        <w:rPr>
          <w:lang w:val="es-ES_tradnl"/>
        </w:rPr>
        <w:t>únicamente</w:t>
      </w:r>
      <w:r w:rsidR="001E4EF5" w:rsidRPr="00893D0D">
        <w:rPr>
          <w:lang w:val="es-ES_tradnl"/>
        </w:rPr>
        <w:t xml:space="preserve"> en los objetivos relacionados con </w:t>
      </w:r>
      <w:r>
        <w:rPr>
          <w:lang w:val="es-ES_tradnl"/>
        </w:rPr>
        <w:t>la rentabilidad de los proyectos financiados</w:t>
      </w:r>
      <w:r w:rsidR="001355B0" w:rsidRPr="00893D0D">
        <w:rPr>
          <w:lang w:val="es-ES_tradnl"/>
        </w:rPr>
        <w:t xml:space="preserve">, proxy para determinar el beneficio </w:t>
      </w:r>
      <w:r>
        <w:rPr>
          <w:lang w:val="es-ES_tradnl"/>
        </w:rPr>
        <w:t>económico de las entidades territoriales beneficiarias</w:t>
      </w:r>
      <w:r w:rsidR="001C10C0" w:rsidRPr="00893D0D">
        <w:rPr>
          <w:lang w:val="es-ES_tradnl"/>
        </w:rPr>
        <w:t xml:space="preserve">. </w:t>
      </w:r>
      <w:r w:rsidR="001355B0" w:rsidRPr="00893D0D">
        <w:rPr>
          <w:lang w:val="es-ES_tradnl"/>
        </w:rPr>
        <w:t>Ejemplo de estos beneficios o externalidades positivas adicionales</w:t>
      </w:r>
      <w:r w:rsidR="001E00BB" w:rsidRPr="00893D0D">
        <w:rPr>
          <w:lang w:val="es-ES_tradnl"/>
        </w:rPr>
        <w:t>, que por fines prácticos nos limitamos a mencionar,</w:t>
      </w:r>
      <w:r w:rsidR="001355B0" w:rsidRPr="00893D0D">
        <w:rPr>
          <w:lang w:val="es-ES_tradnl"/>
        </w:rPr>
        <w:t xml:space="preserve"> son: (i) </w:t>
      </w:r>
      <w:r>
        <w:rPr>
          <w:lang w:val="es-ES_tradnl"/>
        </w:rPr>
        <w:t>la</w:t>
      </w:r>
      <w:r w:rsidRPr="00893D0D">
        <w:rPr>
          <w:lang w:val="es-ES_tradnl"/>
        </w:rPr>
        <w:t xml:space="preserve"> mejora en el bienestar de los beneficiarios últimos</w:t>
      </w:r>
      <w:r w:rsidR="00C648FA">
        <w:rPr>
          <w:lang w:val="es-ES_tradnl"/>
        </w:rPr>
        <w:t xml:space="preserve"> de los servicios</w:t>
      </w:r>
      <w:r w:rsidRPr="00893D0D">
        <w:rPr>
          <w:lang w:val="es-ES_tradnl"/>
        </w:rPr>
        <w:t xml:space="preserve">, al </w:t>
      </w:r>
      <w:r>
        <w:rPr>
          <w:lang w:val="es-ES_tradnl"/>
        </w:rPr>
        <w:t>tener</w:t>
      </w:r>
      <w:r w:rsidRPr="00893D0D">
        <w:rPr>
          <w:lang w:val="es-ES_tradnl"/>
        </w:rPr>
        <w:t xml:space="preserve"> </w:t>
      </w:r>
      <w:r>
        <w:rPr>
          <w:lang w:val="es-ES_tradnl"/>
        </w:rPr>
        <w:t xml:space="preserve">la infraestructura en servicios públicos un </w:t>
      </w:r>
      <w:r w:rsidRPr="002C7F16">
        <w:rPr>
          <w:lang w:val="es-ES_tradnl"/>
        </w:rPr>
        <w:t>efecto importante sobre otros objetivos de desarrollo, tales como la salud, la educación y la equidad de género</w:t>
      </w:r>
      <w:r w:rsidR="001355B0" w:rsidRPr="00893D0D">
        <w:rPr>
          <w:lang w:val="es-ES_tradnl"/>
        </w:rPr>
        <w:t xml:space="preserve"> y (ii) el m</w:t>
      </w:r>
      <w:r w:rsidR="0014478B" w:rsidRPr="00893D0D">
        <w:rPr>
          <w:lang w:val="es-ES_tradnl"/>
        </w:rPr>
        <w:t xml:space="preserve">ejoramiento en las condiciones de las tasas de interés y de los plazos </w:t>
      </w:r>
      <w:r w:rsidR="001355B0" w:rsidRPr="00893D0D">
        <w:rPr>
          <w:lang w:val="es-ES_tradnl"/>
        </w:rPr>
        <w:t xml:space="preserve">promedio </w:t>
      </w:r>
      <w:r w:rsidR="00C648FA">
        <w:rPr>
          <w:lang w:val="es-ES_tradnl"/>
        </w:rPr>
        <w:t>de los créditos dirigidos al sector, como resultado del efecto catalizador de este tipo de programas para</w:t>
      </w:r>
      <w:r w:rsidR="00C648FA" w:rsidRPr="00C648FA">
        <w:rPr>
          <w:lang w:val="es-ES_tradnl"/>
        </w:rPr>
        <w:t xml:space="preserve"> multiplicar la asistencia financiera y de otro tipo proveniente de asociados en el desarrollo y del sector privado</w:t>
      </w:r>
      <w:r w:rsidR="001355B0" w:rsidRPr="00893D0D">
        <w:rPr>
          <w:lang w:val="es-ES_tradnl"/>
        </w:rPr>
        <w:t>.</w:t>
      </w:r>
    </w:p>
    <w:p w:rsidR="003D0CF8" w:rsidRDefault="003D0CF8" w:rsidP="00B06095">
      <w:pPr>
        <w:pStyle w:val="Paragraph"/>
        <w:tabs>
          <w:tab w:val="clear" w:pos="2448"/>
          <w:tab w:val="num" w:pos="720"/>
        </w:tabs>
        <w:spacing w:after="80"/>
        <w:ind w:left="720" w:hanging="720"/>
        <w:rPr>
          <w:lang w:val="es-ES_tradnl"/>
        </w:rPr>
      </w:pPr>
      <w:r w:rsidRPr="00D77CC4">
        <w:rPr>
          <w:lang w:val="es-ES_tradnl"/>
        </w:rPr>
        <w:t>Para asegurar que los beneficios estimados se alcancen, se asume que e</w:t>
      </w:r>
      <w:r w:rsidRPr="00B06095">
        <w:rPr>
          <w:lang w:val="es-ES_tradnl"/>
        </w:rPr>
        <w:t xml:space="preserve">l país mantendrá </w:t>
      </w:r>
      <w:r w:rsidRPr="00D77CC4">
        <w:rPr>
          <w:lang w:val="es-ES_tradnl"/>
        </w:rPr>
        <w:t>un marco que asegure condici</w:t>
      </w:r>
      <w:r>
        <w:rPr>
          <w:lang w:val="es-ES_tradnl"/>
        </w:rPr>
        <w:t xml:space="preserve">ones propicias para la sostenibilidad del crecimiento </w:t>
      </w:r>
      <w:r w:rsidR="00C648FA">
        <w:rPr>
          <w:lang w:val="es-ES_tradnl"/>
        </w:rPr>
        <w:t xml:space="preserve">económico </w:t>
      </w:r>
      <w:r w:rsidR="001E00BB">
        <w:rPr>
          <w:lang w:val="es-ES_tradnl"/>
        </w:rPr>
        <w:t>y de los sistemas financieros</w:t>
      </w:r>
      <w:r>
        <w:rPr>
          <w:lang w:val="es-ES_tradnl"/>
        </w:rPr>
        <w:t>.</w:t>
      </w:r>
    </w:p>
    <w:p w:rsidR="00D66825" w:rsidRPr="0097530C" w:rsidRDefault="00A704AB" w:rsidP="0097530C">
      <w:pPr>
        <w:pStyle w:val="Chapter"/>
        <w:numPr>
          <w:ilvl w:val="0"/>
          <w:numId w:val="6"/>
        </w:numPr>
        <w:rPr>
          <w:lang w:val="es-ES_tradnl"/>
        </w:rPr>
      </w:pPr>
      <w:bookmarkStart w:id="1" w:name="_Toc298764670"/>
      <w:r w:rsidRPr="0097530C">
        <w:rPr>
          <w:lang w:val="es-ES_tradnl"/>
        </w:rPr>
        <w:t>Valoración</w:t>
      </w:r>
      <w:r w:rsidR="00992158" w:rsidRPr="0097530C">
        <w:rPr>
          <w:lang w:val="es-ES_tradnl"/>
        </w:rPr>
        <w:t xml:space="preserve"> </w:t>
      </w:r>
      <w:r w:rsidR="002D3A54" w:rsidRPr="0097530C">
        <w:rPr>
          <w:lang w:val="es-ES_tradnl"/>
        </w:rPr>
        <w:t xml:space="preserve">del </w:t>
      </w:r>
      <w:bookmarkEnd w:id="1"/>
      <w:r w:rsidR="002D3A54" w:rsidRPr="0097530C">
        <w:rPr>
          <w:lang w:val="es-ES_tradnl"/>
        </w:rPr>
        <w:t>Beneficio Económico</w:t>
      </w:r>
    </w:p>
    <w:p w:rsidR="00820E14" w:rsidRDefault="00676E33" w:rsidP="00B06095">
      <w:pPr>
        <w:pStyle w:val="Paragraph"/>
        <w:tabs>
          <w:tab w:val="clear" w:pos="2448"/>
          <w:tab w:val="num" w:pos="720"/>
        </w:tabs>
        <w:spacing w:after="80"/>
        <w:ind w:left="720" w:hanging="720"/>
        <w:rPr>
          <w:lang w:val="es-ES_tradnl"/>
        </w:rPr>
      </w:pPr>
      <w:r>
        <w:rPr>
          <w:b/>
          <w:lang w:val="es-ES_tradnl"/>
        </w:rPr>
        <w:t xml:space="preserve">Beneficio por </w:t>
      </w:r>
      <w:r w:rsidR="008F010B">
        <w:rPr>
          <w:b/>
          <w:lang w:val="es-ES_tradnl"/>
        </w:rPr>
        <w:t>rentabilidad de proyectos financiados</w:t>
      </w:r>
      <w:r>
        <w:rPr>
          <w:b/>
          <w:lang w:val="es-ES_tradnl"/>
        </w:rPr>
        <w:t>.</w:t>
      </w:r>
      <w:r>
        <w:rPr>
          <w:lang w:val="es-ES_tradnl"/>
        </w:rPr>
        <w:t xml:space="preserve"> </w:t>
      </w:r>
      <w:r w:rsidR="00CF4C8F">
        <w:rPr>
          <w:lang w:val="es-ES_tradnl"/>
        </w:rPr>
        <w:t>Utiliza</w:t>
      </w:r>
      <w:r w:rsidR="00F379A5">
        <w:rPr>
          <w:lang w:val="es-ES_tradnl"/>
        </w:rPr>
        <w:t xml:space="preserve">ndo </w:t>
      </w:r>
      <w:r w:rsidR="008F010B">
        <w:rPr>
          <w:lang w:val="es-ES_tradnl"/>
        </w:rPr>
        <w:t xml:space="preserve">el </w:t>
      </w:r>
      <w:r w:rsidR="0097530C">
        <w:rPr>
          <w:lang w:val="es-ES_tradnl"/>
        </w:rPr>
        <w:t>dato</w:t>
      </w:r>
      <w:r w:rsidR="008F010B">
        <w:rPr>
          <w:lang w:val="es-ES_tradnl"/>
        </w:rPr>
        <w:t xml:space="preserve"> de rentabilidad promedio de proyectos relacionados con infraestructura que publica el Banco Mundial en su sitio web,</w:t>
      </w:r>
      <w:r w:rsidR="0097530C">
        <w:rPr>
          <w:lang w:val="es-ES_tradnl"/>
        </w:rPr>
        <w:t xml:space="preserve"> </w:t>
      </w:r>
      <w:r w:rsidR="00820E14">
        <w:rPr>
          <w:lang w:val="es-ES_tradnl"/>
        </w:rPr>
        <w:t xml:space="preserve">se calcula el </w:t>
      </w:r>
      <w:r w:rsidR="008F010B">
        <w:rPr>
          <w:lang w:val="es-ES_tradnl"/>
        </w:rPr>
        <w:t>beneficio</w:t>
      </w:r>
      <w:r w:rsidR="00820E14">
        <w:rPr>
          <w:lang w:val="es-ES_tradnl"/>
        </w:rPr>
        <w:t xml:space="preserve"> anual </w:t>
      </w:r>
      <w:r w:rsidR="008F010B">
        <w:rPr>
          <w:lang w:val="es-ES_tradnl"/>
        </w:rPr>
        <w:t>con respecto a la inversión acumulada</w:t>
      </w:r>
      <w:r w:rsidR="00CF4C8F">
        <w:rPr>
          <w:lang w:val="es-ES_tradnl"/>
        </w:rPr>
        <w:t xml:space="preserve">, </w:t>
      </w:r>
      <w:r w:rsidR="00F379A5">
        <w:rPr>
          <w:lang w:val="es-ES_tradnl"/>
        </w:rPr>
        <w:t xml:space="preserve">aplicando </w:t>
      </w:r>
      <w:r w:rsidR="008F010B">
        <w:rPr>
          <w:lang w:val="es-ES_tradnl"/>
        </w:rPr>
        <w:t>el ratio Loan-to-Value (proporción del monto fina</w:t>
      </w:r>
      <w:r w:rsidR="0007522D">
        <w:rPr>
          <w:lang w:val="es-ES_tradnl"/>
        </w:rPr>
        <w:t>nciado sobre el valor total de la inversión financiada</w:t>
      </w:r>
      <w:r w:rsidR="008F010B">
        <w:rPr>
          <w:lang w:val="es-ES_tradnl"/>
        </w:rPr>
        <w:t>) al valor del monto total de préstamo, tal como se detalla a continuación</w:t>
      </w:r>
      <w:r w:rsidR="00D55D1B">
        <w:rPr>
          <w:lang w:val="es-ES_tradnl"/>
        </w:rPr>
        <w:t>:</w:t>
      </w:r>
    </w:p>
    <w:p w:rsidR="00D208D7" w:rsidRPr="00A07D1C" w:rsidRDefault="00D208D7" w:rsidP="00676E33">
      <w:pPr>
        <w:pStyle w:val="Paragraph"/>
        <w:numPr>
          <w:ilvl w:val="0"/>
          <w:numId w:val="0"/>
        </w:numPr>
        <w:spacing w:after="80"/>
        <w:ind w:left="1890"/>
        <w:jc w:val="left"/>
        <w:rPr>
          <w:lang w:val="es-ES_tradnl"/>
        </w:rPr>
      </w:pPr>
      <w:r w:rsidRPr="00A07D1C">
        <w:rPr>
          <w:lang w:val="es-ES_tradnl"/>
        </w:rPr>
        <w:t>Beneficio</w:t>
      </w:r>
      <w:r w:rsidR="008F010B">
        <w:rPr>
          <w:lang w:val="es-ES_tradnl"/>
        </w:rPr>
        <w:t xml:space="preserve"> = r</w:t>
      </w:r>
      <w:r w:rsidRPr="00A07D1C">
        <w:rPr>
          <w:lang w:val="es-ES_tradnl"/>
        </w:rPr>
        <w:t xml:space="preserve"> </w:t>
      </w:r>
      <w:r w:rsidR="00AB3625" w:rsidRPr="00A07D1C">
        <w:rPr>
          <w:lang w:val="es-ES_tradnl"/>
        </w:rPr>
        <w:t>×</w:t>
      </w:r>
      <w:r w:rsidRPr="00A07D1C">
        <w:rPr>
          <w:lang w:val="es-ES_tradnl"/>
        </w:rPr>
        <w:t xml:space="preserve"> </w:t>
      </w:r>
      <w:r w:rsidR="00A120B5">
        <w:rPr>
          <w:lang w:val="es-ES_tradnl"/>
        </w:rPr>
        <w:t>MI</w:t>
      </w:r>
      <w:r w:rsidRPr="00A07D1C">
        <w:rPr>
          <w:vertAlign w:val="subscript"/>
          <w:lang w:val="es-ES_tradnl"/>
        </w:rPr>
        <w:t>N</w:t>
      </w:r>
    </w:p>
    <w:p w:rsidR="008F010B" w:rsidRPr="00AB3625" w:rsidRDefault="008F010B" w:rsidP="008F010B">
      <w:pPr>
        <w:pStyle w:val="Paragraph"/>
        <w:numPr>
          <w:ilvl w:val="0"/>
          <w:numId w:val="0"/>
        </w:numPr>
        <w:spacing w:after="80"/>
        <w:ind w:left="1890"/>
        <w:jc w:val="left"/>
        <w:rPr>
          <w:lang w:val="es-ES_tradnl"/>
        </w:rPr>
      </w:pPr>
      <w:r>
        <w:rPr>
          <w:lang w:val="es-ES_tradnl"/>
        </w:rPr>
        <w:t>MI</w:t>
      </w:r>
      <w:r w:rsidR="00A120B5">
        <w:rPr>
          <w:vertAlign w:val="subscript"/>
          <w:lang w:val="es-ES_tradnl"/>
        </w:rPr>
        <w:t>N</w:t>
      </w:r>
      <w:r w:rsidRPr="00AB3625">
        <w:rPr>
          <w:lang w:val="es-ES_tradnl"/>
        </w:rPr>
        <w:t xml:space="preserve"> = M</w:t>
      </w:r>
      <w:r>
        <w:rPr>
          <w:lang w:val="es-ES_tradnl"/>
        </w:rPr>
        <w:t>F</w:t>
      </w:r>
      <w:r w:rsidR="00A120B5">
        <w:rPr>
          <w:vertAlign w:val="subscript"/>
          <w:lang w:val="es-ES_tradnl"/>
        </w:rPr>
        <w:t>N</w:t>
      </w:r>
      <w:r w:rsidRPr="00AB3625">
        <w:rPr>
          <w:lang w:val="es-ES_tradnl"/>
        </w:rPr>
        <w:t xml:space="preserve"> ÷ LTV;</w:t>
      </w:r>
      <w:r w:rsidRPr="00AB3625">
        <w:rPr>
          <w:lang w:val="es-ES_tradnl"/>
        </w:rPr>
        <w:tab/>
        <w:t xml:space="preserve">LTV = </w:t>
      </w:r>
      <w:r w:rsidR="00A120B5">
        <w:rPr>
          <w:lang w:val="es-ES_tradnl"/>
        </w:rPr>
        <w:t>0.7</w:t>
      </w:r>
      <w:r w:rsidRPr="00A35EA2">
        <w:rPr>
          <w:lang w:val="es-ES_tradnl"/>
        </w:rPr>
        <w:t>0</w:t>
      </w:r>
    </w:p>
    <w:p w:rsidR="00D208D7" w:rsidRDefault="00D208D7" w:rsidP="00CB1789">
      <w:pPr>
        <w:pStyle w:val="Paragraph"/>
        <w:numPr>
          <w:ilvl w:val="0"/>
          <w:numId w:val="0"/>
        </w:numPr>
        <w:spacing w:after="80"/>
        <w:ind w:left="720"/>
        <w:rPr>
          <w:sz w:val="20"/>
          <w:lang w:val="es-ES_tradnl"/>
        </w:rPr>
      </w:pPr>
      <w:r>
        <w:rPr>
          <w:sz w:val="20"/>
          <w:lang w:val="es-ES_tradnl"/>
        </w:rPr>
        <w:t>Donde:</w:t>
      </w:r>
    </w:p>
    <w:p w:rsidR="00C30024" w:rsidRDefault="00A120B5" w:rsidP="00C30024">
      <w:pPr>
        <w:pStyle w:val="Paragraph"/>
        <w:numPr>
          <w:ilvl w:val="0"/>
          <w:numId w:val="0"/>
        </w:numPr>
        <w:spacing w:before="0" w:after="80"/>
        <w:ind w:left="720"/>
        <w:rPr>
          <w:sz w:val="20"/>
          <w:lang w:val="es-ES_tradnl"/>
        </w:rPr>
      </w:pPr>
      <w:r>
        <w:rPr>
          <w:sz w:val="20"/>
          <w:lang w:val="es-ES_tradnl"/>
        </w:rPr>
        <w:t>r</w:t>
      </w:r>
      <w:r w:rsidR="00C30024">
        <w:rPr>
          <w:sz w:val="20"/>
          <w:lang w:val="es-ES_tradnl"/>
        </w:rPr>
        <w:t xml:space="preserve"> = </w:t>
      </w:r>
      <w:r>
        <w:rPr>
          <w:sz w:val="20"/>
          <w:lang w:val="es-ES_tradnl"/>
        </w:rPr>
        <w:t>tasa de rentabilidad promedio</w:t>
      </w:r>
    </w:p>
    <w:p w:rsidR="00D208D7" w:rsidRDefault="00A120B5" w:rsidP="00676E33">
      <w:pPr>
        <w:pStyle w:val="Paragraph"/>
        <w:numPr>
          <w:ilvl w:val="0"/>
          <w:numId w:val="0"/>
        </w:numPr>
        <w:spacing w:before="0" w:after="80"/>
        <w:ind w:left="720"/>
        <w:rPr>
          <w:sz w:val="20"/>
          <w:lang w:val="es-ES_tradnl"/>
        </w:rPr>
      </w:pPr>
      <w:r>
        <w:rPr>
          <w:sz w:val="20"/>
          <w:lang w:val="es-ES_tradnl"/>
        </w:rPr>
        <w:t>MI</w:t>
      </w:r>
      <w:r w:rsidR="00D208D7" w:rsidRPr="00D208D7">
        <w:rPr>
          <w:sz w:val="20"/>
          <w:vertAlign w:val="subscript"/>
          <w:lang w:val="es-ES_tradnl"/>
        </w:rPr>
        <w:t>N</w:t>
      </w:r>
      <w:r w:rsidR="00D208D7">
        <w:rPr>
          <w:sz w:val="20"/>
          <w:lang w:val="es-ES_tradnl"/>
        </w:rPr>
        <w:t xml:space="preserve"> = </w:t>
      </w:r>
      <w:r>
        <w:rPr>
          <w:sz w:val="20"/>
          <w:lang w:val="es-ES_tradnl"/>
        </w:rPr>
        <w:t>monto invertido en proyectos de infraestructura de servicios públicos</w:t>
      </w:r>
      <w:r w:rsidR="00C30024">
        <w:rPr>
          <w:sz w:val="20"/>
          <w:lang w:val="es-ES_tradnl"/>
        </w:rPr>
        <w:t>;</w:t>
      </w:r>
      <w:r w:rsidR="00D208D7" w:rsidRPr="00CB1789">
        <w:rPr>
          <w:sz w:val="20"/>
          <w:lang w:val="es-ES_tradnl"/>
        </w:rPr>
        <w:t xml:space="preserve"> </w:t>
      </w:r>
      <w:r w:rsidR="00D208D7">
        <w:rPr>
          <w:sz w:val="20"/>
          <w:lang w:val="es-ES_tradnl"/>
        </w:rPr>
        <w:t>año N</w:t>
      </w:r>
    </w:p>
    <w:p w:rsidR="00C30024" w:rsidRDefault="00A120B5" w:rsidP="00C30024">
      <w:pPr>
        <w:pStyle w:val="Paragraph"/>
        <w:numPr>
          <w:ilvl w:val="0"/>
          <w:numId w:val="0"/>
        </w:numPr>
        <w:spacing w:before="0" w:after="80"/>
        <w:ind w:left="720"/>
        <w:rPr>
          <w:sz w:val="20"/>
          <w:lang w:val="es-ES_tradnl"/>
        </w:rPr>
      </w:pPr>
      <w:r>
        <w:rPr>
          <w:sz w:val="20"/>
          <w:lang w:val="es-ES_tradnl"/>
        </w:rPr>
        <w:t>MF</w:t>
      </w:r>
      <w:r w:rsidR="00C30024" w:rsidRPr="00CB1789">
        <w:rPr>
          <w:sz w:val="20"/>
          <w:vertAlign w:val="subscript"/>
          <w:lang w:val="es-ES_tradnl"/>
        </w:rPr>
        <w:t>N</w:t>
      </w:r>
      <w:r w:rsidR="00C30024">
        <w:rPr>
          <w:sz w:val="20"/>
          <w:lang w:val="es-ES_tradnl"/>
        </w:rPr>
        <w:t xml:space="preserve"> = </w:t>
      </w:r>
      <w:r>
        <w:rPr>
          <w:sz w:val="20"/>
          <w:lang w:val="es-ES_tradnl"/>
        </w:rPr>
        <w:t>monto financiado para proyectos de infraestructura de servicios públicos</w:t>
      </w:r>
      <w:r w:rsidR="00C30024">
        <w:rPr>
          <w:sz w:val="20"/>
          <w:lang w:val="es-ES_tradnl"/>
        </w:rPr>
        <w:t>;</w:t>
      </w:r>
      <w:r w:rsidR="00C30024" w:rsidRPr="00CB1789">
        <w:rPr>
          <w:sz w:val="20"/>
          <w:lang w:val="es-ES_tradnl"/>
        </w:rPr>
        <w:t xml:space="preserve"> </w:t>
      </w:r>
      <w:r w:rsidR="00C30024">
        <w:rPr>
          <w:sz w:val="20"/>
          <w:lang w:val="es-ES_tradnl"/>
        </w:rPr>
        <w:t>año N</w:t>
      </w:r>
    </w:p>
    <w:p w:rsidR="00A120B5" w:rsidRDefault="00A120B5" w:rsidP="00A120B5">
      <w:pPr>
        <w:pStyle w:val="Paragraph"/>
        <w:numPr>
          <w:ilvl w:val="0"/>
          <w:numId w:val="0"/>
        </w:numPr>
        <w:spacing w:before="0" w:after="80"/>
        <w:ind w:left="720"/>
        <w:rPr>
          <w:sz w:val="20"/>
          <w:lang w:val="es-ES_tradnl"/>
        </w:rPr>
      </w:pPr>
      <w:r>
        <w:rPr>
          <w:sz w:val="20"/>
          <w:lang w:val="es-ES_tradnl"/>
        </w:rPr>
        <w:t>LTV = Loan-to-Value; p</w:t>
      </w:r>
      <w:r w:rsidRPr="00C30024">
        <w:rPr>
          <w:sz w:val="20"/>
          <w:lang w:val="es-ES_tradnl"/>
        </w:rPr>
        <w:t>roporción del monto fina</w:t>
      </w:r>
      <w:r>
        <w:rPr>
          <w:sz w:val="20"/>
          <w:lang w:val="es-ES_tradnl"/>
        </w:rPr>
        <w:t>nciado sobre el valor total de</w:t>
      </w:r>
      <w:r w:rsidR="0007522D">
        <w:rPr>
          <w:sz w:val="20"/>
          <w:lang w:val="es-ES_tradnl"/>
        </w:rPr>
        <w:t xml:space="preserve"> </w:t>
      </w:r>
      <w:r>
        <w:rPr>
          <w:sz w:val="20"/>
          <w:lang w:val="es-ES_tradnl"/>
        </w:rPr>
        <w:t>l</w:t>
      </w:r>
      <w:r w:rsidR="0007522D">
        <w:rPr>
          <w:sz w:val="20"/>
          <w:lang w:val="es-ES_tradnl"/>
        </w:rPr>
        <w:t>a</w:t>
      </w:r>
      <w:r>
        <w:rPr>
          <w:sz w:val="20"/>
          <w:lang w:val="es-ES_tradnl"/>
        </w:rPr>
        <w:t xml:space="preserve"> </w:t>
      </w:r>
      <w:r w:rsidR="0007522D">
        <w:rPr>
          <w:sz w:val="20"/>
          <w:lang w:val="es-ES_tradnl"/>
        </w:rPr>
        <w:t>inversión financiada</w:t>
      </w:r>
    </w:p>
    <w:p w:rsidR="00742F66" w:rsidRDefault="00742F66" w:rsidP="008921F5">
      <w:pPr>
        <w:pStyle w:val="Paragraph"/>
        <w:tabs>
          <w:tab w:val="clear" w:pos="2448"/>
          <w:tab w:val="num" w:pos="720"/>
        </w:tabs>
        <w:spacing w:after="80"/>
        <w:ind w:left="720" w:hanging="720"/>
        <w:rPr>
          <w:lang w:val="es-ES_tradnl"/>
        </w:rPr>
      </w:pPr>
      <w:r>
        <w:rPr>
          <w:lang w:val="es-ES_tradnl"/>
        </w:rPr>
        <w:t>En base a dichas proyecciones</w:t>
      </w:r>
      <w:r w:rsidR="00BE1DA1">
        <w:rPr>
          <w:lang w:val="es-ES_tradnl"/>
        </w:rPr>
        <w:t xml:space="preserve"> y descontando al 12%</w:t>
      </w:r>
      <w:r>
        <w:rPr>
          <w:lang w:val="es-ES_tradnl"/>
        </w:rPr>
        <w:t>, se ha calculado el Valor Presente Neto (VPN)</w:t>
      </w:r>
      <w:r w:rsidR="00BE1DA1">
        <w:rPr>
          <w:lang w:val="es-ES_tradnl"/>
        </w:rPr>
        <w:t xml:space="preserve"> </w:t>
      </w:r>
      <w:r>
        <w:rPr>
          <w:lang w:val="es-ES_tradnl"/>
        </w:rPr>
        <w:t xml:space="preserve">de los beneficios incrementales por </w:t>
      </w:r>
      <w:r w:rsidR="00E516E1">
        <w:rPr>
          <w:lang w:val="es-ES_tradnl"/>
        </w:rPr>
        <w:t>rentabilidad de los proyectos financiados</w:t>
      </w:r>
      <w:r w:rsidR="00A35EA2">
        <w:rPr>
          <w:lang w:val="es-ES_tradnl"/>
        </w:rPr>
        <w:t xml:space="preserve"> (USD </w:t>
      </w:r>
      <w:r w:rsidR="00E516E1">
        <w:rPr>
          <w:lang w:val="es-ES_tradnl"/>
        </w:rPr>
        <w:t>93.15</w:t>
      </w:r>
      <w:r w:rsidR="008921F5">
        <w:rPr>
          <w:lang w:val="es-ES_tradnl"/>
        </w:rPr>
        <w:t xml:space="preserve"> millones),</w:t>
      </w:r>
      <w:r w:rsidR="00E516E1">
        <w:rPr>
          <w:lang w:val="es-ES_tradnl"/>
        </w:rPr>
        <w:t xml:space="preserve"> el cual</w:t>
      </w:r>
      <w:r w:rsidR="008921F5">
        <w:rPr>
          <w:lang w:val="es-ES_tradnl"/>
        </w:rPr>
        <w:t xml:space="preserve"> resulta mayor que e</w:t>
      </w:r>
      <w:r>
        <w:rPr>
          <w:lang w:val="es-ES_tradnl"/>
        </w:rPr>
        <w:t xml:space="preserve">l </w:t>
      </w:r>
      <w:r w:rsidR="007B6208">
        <w:rPr>
          <w:lang w:val="es-ES_tradnl"/>
        </w:rPr>
        <w:t>VPN</w:t>
      </w:r>
      <w:r>
        <w:rPr>
          <w:lang w:val="es-ES_tradnl"/>
        </w:rPr>
        <w:t xml:space="preserve"> del costo efectivo asociado al préstamo, </w:t>
      </w:r>
      <w:r w:rsidR="00E516E1">
        <w:rPr>
          <w:lang w:val="es-ES_tradnl"/>
        </w:rPr>
        <w:t>que</w:t>
      </w:r>
      <w:r w:rsidR="008921F5">
        <w:rPr>
          <w:lang w:val="es-ES_tradnl"/>
        </w:rPr>
        <w:t xml:space="preserve"> </w:t>
      </w:r>
      <w:r>
        <w:rPr>
          <w:lang w:val="es-ES_tradnl"/>
        </w:rPr>
        <w:t xml:space="preserve">también descontado a la tasa del </w:t>
      </w:r>
      <w:r w:rsidR="007B6208">
        <w:rPr>
          <w:lang w:val="es-ES_tradnl"/>
        </w:rPr>
        <w:t xml:space="preserve">12%, </w:t>
      </w:r>
      <w:r w:rsidR="008921F5">
        <w:rPr>
          <w:lang w:val="es-ES_tradnl"/>
        </w:rPr>
        <w:t xml:space="preserve">arroja un valor de USD </w:t>
      </w:r>
      <w:r w:rsidR="00CC1654" w:rsidRPr="00CC1654">
        <w:rPr>
          <w:lang w:val="es-ES_tradnl"/>
        </w:rPr>
        <w:t xml:space="preserve"> </w:t>
      </w:r>
      <w:r w:rsidR="00E516E1">
        <w:rPr>
          <w:lang w:val="es-ES_tradnl"/>
        </w:rPr>
        <w:t>60.05</w:t>
      </w:r>
      <w:r w:rsidRPr="001E4EF5">
        <w:rPr>
          <w:lang w:val="es-ES_tradnl"/>
        </w:rPr>
        <w:t>.</w:t>
      </w:r>
      <w:r w:rsidR="008921F5">
        <w:rPr>
          <w:lang w:val="es-ES_tradnl"/>
        </w:rPr>
        <w:t xml:space="preserve"> En conclusión</w:t>
      </w:r>
      <w:r>
        <w:rPr>
          <w:lang w:val="es-ES_tradnl"/>
        </w:rPr>
        <w:t>,</w:t>
      </w:r>
      <w:r w:rsidR="007B6208">
        <w:rPr>
          <w:lang w:val="es-ES_tradnl"/>
        </w:rPr>
        <w:t xml:space="preserve"> los beneficios alcanzarían los </w:t>
      </w:r>
      <w:r w:rsidR="008921F5">
        <w:rPr>
          <w:lang w:val="es-ES_tradnl"/>
        </w:rPr>
        <w:t xml:space="preserve">USD </w:t>
      </w:r>
      <w:r w:rsidR="00E516E1">
        <w:rPr>
          <w:lang w:val="es-ES_tradnl"/>
        </w:rPr>
        <w:t>33.10</w:t>
      </w:r>
      <w:r w:rsidR="00CC1654" w:rsidRPr="00CC1654">
        <w:rPr>
          <w:lang w:val="es-ES_tradnl"/>
        </w:rPr>
        <w:t xml:space="preserve"> </w:t>
      </w:r>
      <w:r w:rsidR="008921F5">
        <w:rPr>
          <w:lang w:val="es-ES_tradnl"/>
        </w:rPr>
        <w:t>millones.</w:t>
      </w:r>
      <w:r w:rsidR="00BE1DA1">
        <w:rPr>
          <w:lang w:val="es-ES_tradnl"/>
        </w:rPr>
        <w:t xml:space="preserve"> El detalle</w:t>
      </w:r>
      <w:r w:rsidR="003C394E">
        <w:rPr>
          <w:lang w:val="es-ES_tradnl"/>
        </w:rPr>
        <w:t xml:space="preserve"> </w:t>
      </w:r>
      <w:r w:rsidR="00BE1DA1">
        <w:rPr>
          <w:lang w:val="es-ES_tradnl"/>
        </w:rPr>
        <w:t xml:space="preserve">de los cálculos y flujos se encuentra </w:t>
      </w:r>
      <w:r w:rsidR="003C394E">
        <w:rPr>
          <w:lang w:val="es-ES_tradnl"/>
        </w:rPr>
        <w:t>en el anexo 1</w:t>
      </w:r>
      <w:r w:rsidR="00BE1DA1">
        <w:rPr>
          <w:lang w:val="es-ES_tradnl"/>
        </w:rPr>
        <w:t>,</w:t>
      </w:r>
      <w:r w:rsidR="003C394E">
        <w:rPr>
          <w:lang w:val="es-ES_tradnl"/>
        </w:rPr>
        <w:t xml:space="preserve"> </w:t>
      </w:r>
      <w:r w:rsidR="00BE1DA1">
        <w:rPr>
          <w:lang w:val="es-ES_tradnl"/>
        </w:rPr>
        <w:t xml:space="preserve">al final del </w:t>
      </w:r>
      <w:r w:rsidR="003C394E">
        <w:rPr>
          <w:lang w:val="es-ES_tradnl"/>
        </w:rPr>
        <w:t>documento</w:t>
      </w:r>
      <w:r>
        <w:rPr>
          <w:lang w:val="es-ES_tradnl"/>
        </w:rPr>
        <w:t>.</w:t>
      </w:r>
    </w:p>
    <w:p w:rsidR="00CF4C8F" w:rsidRPr="008921F5" w:rsidRDefault="008921F5" w:rsidP="008921F5">
      <w:pPr>
        <w:pStyle w:val="Paragraph"/>
        <w:numPr>
          <w:ilvl w:val="0"/>
          <w:numId w:val="0"/>
        </w:numPr>
        <w:spacing w:after="80"/>
        <w:ind w:left="720"/>
        <w:rPr>
          <w:b/>
          <w:sz w:val="20"/>
          <w:lang w:val="es-ES_tradnl"/>
        </w:rPr>
      </w:pPr>
      <w:r w:rsidRPr="008921F5">
        <w:rPr>
          <w:b/>
          <w:sz w:val="20"/>
          <w:lang w:val="es-ES_tradnl"/>
        </w:rPr>
        <w:t>Tabla 3.1:</w:t>
      </w:r>
      <w:r w:rsidR="00CF4C8F" w:rsidRPr="008921F5">
        <w:rPr>
          <w:b/>
          <w:sz w:val="20"/>
          <w:lang w:val="es-ES_tradnl"/>
        </w:rPr>
        <w:t xml:space="preserve"> </w:t>
      </w:r>
      <w:r w:rsidRPr="008921F5">
        <w:rPr>
          <w:b/>
          <w:sz w:val="20"/>
          <w:lang w:val="es-ES_tradnl"/>
        </w:rPr>
        <w:t>Resumen</w:t>
      </w:r>
      <w:r w:rsidR="00CF4C8F" w:rsidRPr="008921F5">
        <w:rPr>
          <w:b/>
          <w:sz w:val="20"/>
          <w:lang w:val="es-ES_tradnl"/>
        </w:rPr>
        <w:t xml:space="preserve"> del Análisis Costo-Beneficio</w:t>
      </w:r>
    </w:p>
    <w:tbl>
      <w:tblPr>
        <w:tblStyle w:val="TableGrid"/>
        <w:tblW w:w="0" w:type="auto"/>
        <w:tblInd w:w="828" w:type="dxa"/>
        <w:tblLook w:val="04A0"/>
      </w:tblPr>
      <w:tblGrid>
        <w:gridCol w:w="4668"/>
        <w:gridCol w:w="1036"/>
      </w:tblGrid>
      <w:tr w:rsidR="00D34EC9" w:rsidRPr="008921F5" w:rsidTr="00D34EC9">
        <w:trPr>
          <w:trHeight w:val="420"/>
        </w:trPr>
        <w:tc>
          <w:tcPr>
            <w:tcW w:w="4668" w:type="dxa"/>
            <w:hideMark/>
          </w:tcPr>
          <w:p w:rsidR="00D34EC9" w:rsidRPr="008921F5" w:rsidRDefault="00D34EC9" w:rsidP="00E516E1">
            <w:pPr>
              <w:pStyle w:val="Paragraph"/>
              <w:numPr>
                <w:ilvl w:val="0"/>
                <w:numId w:val="0"/>
              </w:numPr>
              <w:spacing w:after="80"/>
              <w:rPr>
                <w:sz w:val="20"/>
                <w:lang w:val="es-ES_tradnl"/>
              </w:rPr>
            </w:pPr>
            <w:r w:rsidRPr="008921F5">
              <w:rPr>
                <w:sz w:val="20"/>
                <w:lang w:val="es-ES_tradnl"/>
              </w:rPr>
              <w:t>VPN Beneficio (millones de USD)</w:t>
            </w:r>
          </w:p>
        </w:tc>
        <w:tc>
          <w:tcPr>
            <w:tcW w:w="1036" w:type="dxa"/>
            <w:noWrap/>
            <w:vAlign w:val="center"/>
            <w:hideMark/>
          </w:tcPr>
          <w:p w:rsidR="00D34EC9" w:rsidRPr="00D34EC9" w:rsidRDefault="00E516E1" w:rsidP="00D34EC9">
            <w:pPr>
              <w:jc w:val="right"/>
              <w:rPr>
                <w:rFonts w:ascii="Times New Roman" w:hAnsi="Times New Roman" w:cs="Times New Roman"/>
                <w:bCs/>
                <w:sz w:val="20"/>
                <w:szCs w:val="20"/>
              </w:rPr>
            </w:pPr>
            <w:r>
              <w:rPr>
                <w:rFonts w:ascii="Times New Roman" w:hAnsi="Times New Roman" w:cs="Times New Roman"/>
                <w:bCs/>
                <w:sz w:val="20"/>
                <w:szCs w:val="20"/>
              </w:rPr>
              <w:t>93.1</w:t>
            </w:r>
            <w:r w:rsidR="00A35EA2" w:rsidRPr="00A35EA2">
              <w:rPr>
                <w:rFonts w:ascii="Times New Roman" w:hAnsi="Times New Roman" w:cs="Times New Roman"/>
                <w:bCs/>
                <w:sz w:val="20"/>
                <w:szCs w:val="20"/>
              </w:rPr>
              <w:t>5</w:t>
            </w:r>
          </w:p>
        </w:tc>
      </w:tr>
      <w:tr w:rsidR="00D34EC9" w:rsidRPr="008921F5" w:rsidTr="00D34EC9">
        <w:trPr>
          <w:trHeight w:val="420"/>
        </w:trPr>
        <w:tc>
          <w:tcPr>
            <w:tcW w:w="4668" w:type="dxa"/>
            <w:hideMark/>
          </w:tcPr>
          <w:p w:rsidR="00D34EC9" w:rsidRPr="008921F5" w:rsidRDefault="00D34EC9" w:rsidP="008921F5">
            <w:pPr>
              <w:pStyle w:val="Paragraph"/>
              <w:numPr>
                <w:ilvl w:val="0"/>
                <w:numId w:val="0"/>
              </w:numPr>
              <w:spacing w:after="80"/>
              <w:rPr>
                <w:sz w:val="20"/>
                <w:lang w:val="es-ES_tradnl"/>
              </w:rPr>
            </w:pPr>
            <w:r w:rsidRPr="008921F5">
              <w:rPr>
                <w:sz w:val="20"/>
                <w:lang w:val="es-ES_tradnl"/>
              </w:rPr>
              <w:t>VPN Costo (millones de USD)</w:t>
            </w:r>
          </w:p>
        </w:tc>
        <w:tc>
          <w:tcPr>
            <w:tcW w:w="1036" w:type="dxa"/>
            <w:noWrap/>
            <w:vAlign w:val="center"/>
            <w:hideMark/>
          </w:tcPr>
          <w:p w:rsidR="00D34EC9" w:rsidRPr="00D34EC9" w:rsidRDefault="00E516E1" w:rsidP="00E516E1">
            <w:pPr>
              <w:jc w:val="right"/>
              <w:rPr>
                <w:rFonts w:ascii="Times New Roman" w:hAnsi="Times New Roman" w:cs="Times New Roman"/>
                <w:bCs/>
                <w:sz w:val="20"/>
                <w:szCs w:val="20"/>
              </w:rPr>
            </w:pPr>
            <w:r>
              <w:rPr>
                <w:rFonts w:ascii="Times New Roman" w:hAnsi="Times New Roman" w:cs="Times New Roman"/>
                <w:bCs/>
                <w:sz w:val="20"/>
                <w:szCs w:val="20"/>
              </w:rPr>
              <w:t>60</w:t>
            </w:r>
            <w:r w:rsidR="00CC1654" w:rsidRPr="00CC1654">
              <w:rPr>
                <w:rFonts w:ascii="Times New Roman" w:hAnsi="Times New Roman" w:cs="Times New Roman"/>
                <w:bCs/>
                <w:sz w:val="20"/>
                <w:szCs w:val="20"/>
              </w:rPr>
              <w:t>.</w:t>
            </w:r>
            <w:r>
              <w:rPr>
                <w:rFonts w:ascii="Times New Roman" w:hAnsi="Times New Roman" w:cs="Times New Roman"/>
                <w:bCs/>
                <w:sz w:val="20"/>
                <w:szCs w:val="20"/>
              </w:rPr>
              <w:t>05</w:t>
            </w:r>
          </w:p>
        </w:tc>
      </w:tr>
      <w:tr w:rsidR="00D34EC9" w:rsidRPr="008921F5" w:rsidTr="00D34EC9">
        <w:trPr>
          <w:trHeight w:val="420"/>
        </w:trPr>
        <w:tc>
          <w:tcPr>
            <w:tcW w:w="4668" w:type="dxa"/>
            <w:hideMark/>
          </w:tcPr>
          <w:p w:rsidR="00D34EC9" w:rsidRPr="008921F5" w:rsidRDefault="00D34EC9" w:rsidP="008921F5">
            <w:pPr>
              <w:pStyle w:val="Paragraph"/>
              <w:numPr>
                <w:ilvl w:val="0"/>
                <w:numId w:val="0"/>
              </w:numPr>
              <w:spacing w:after="80"/>
              <w:rPr>
                <w:b/>
                <w:sz w:val="20"/>
                <w:lang w:val="es-ES_tradnl"/>
              </w:rPr>
            </w:pPr>
            <w:r w:rsidRPr="008921F5">
              <w:rPr>
                <w:b/>
                <w:sz w:val="20"/>
                <w:lang w:val="es-ES_tradnl"/>
              </w:rPr>
              <w:t>Beneficio Neto (millones de USD)</w:t>
            </w:r>
          </w:p>
        </w:tc>
        <w:tc>
          <w:tcPr>
            <w:tcW w:w="1036" w:type="dxa"/>
            <w:noWrap/>
            <w:vAlign w:val="center"/>
            <w:hideMark/>
          </w:tcPr>
          <w:p w:rsidR="00D34EC9" w:rsidRPr="00D34EC9" w:rsidRDefault="00E516E1" w:rsidP="00E516E1">
            <w:pPr>
              <w:jc w:val="right"/>
              <w:rPr>
                <w:rFonts w:ascii="Times New Roman" w:hAnsi="Times New Roman" w:cs="Times New Roman"/>
                <w:b/>
                <w:bCs/>
                <w:sz w:val="20"/>
                <w:szCs w:val="20"/>
              </w:rPr>
            </w:pPr>
            <w:r>
              <w:rPr>
                <w:rFonts w:ascii="Times New Roman" w:hAnsi="Times New Roman" w:cs="Times New Roman"/>
                <w:b/>
                <w:bCs/>
                <w:sz w:val="20"/>
                <w:szCs w:val="20"/>
              </w:rPr>
              <w:t>33</w:t>
            </w:r>
            <w:r w:rsidR="00CC1654" w:rsidRPr="00CC1654">
              <w:rPr>
                <w:rFonts w:ascii="Times New Roman" w:hAnsi="Times New Roman" w:cs="Times New Roman"/>
                <w:b/>
                <w:bCs/>
                <w:sz w:val="20"/>
                <w:szCs w:val="20"/>
              </w:rPr>
              <w:t>.1</w:t>
            </w:r>
            <w:r>
              <w:rPr>
                <w:rFonts w:ascii="Times New Roman" w:hAnsi="Times New Roman" w:cs="Times New Roman"/>
                <w:b/>
                <w:bCs/>
                <w:sz w:val="20"/>
                <w:szCs w:val="20"/>
              </w:rPr>
              <w:t>0</w:t>
            </w:r>
          </w:p>
        </w:tc>
      </w:tr>
    </w:tbl>
    <w:p w:rsidR="008921F5" w:rsidRPr="00D02F34" w:rsidRDefault="008921F5" w:rsidP="00D02F34">
      <w:pPr>
        <w:pStyle w:val="Paragraph"/>
        <w:tabs>
          <w:tab w:val="clear" w:pos="2448"/>
          <w:tab w:val="num" w:pos="720"/>
        </w:tabs>
        <w:spacing w:after="80"/>
        <w:ind w:left="720" w:hanging="720"/>
        <w:rPr>
          <w:lang w:val="es-ES_tradnl"/>
        </w:rPr>
      </w:pPr>
      <w:r>
        <w:rPr>
          <w:lang w:val="es-ES_tradnl"/>
        </w:rPr>
        <w:t>Por otro lado, c</w:t>
      </w:r>
      <w:r w:rsidR="003D7B88">
        <w:rPr>
          <w:lang w:val="es-ES_tradnl"/>
        </w:rPr>
        <w:t xml:space="preserve">abe mencionar </w:t>
      </w:r>
      <w:r>
        <w:rPr>
          <w:lang w:val="es-ES_tradnl"/>
        </w:rPr>
        <w:t>dos</w:t>
      </w:r>
      <w:r w:rsidR="003D7B88">
        <w:rPr>
          <w:lang w:val="es-ES_tradnl"/>
        </w:rPr>
        <w:t xml:space="preserve"> consideraciones </w:t>
      </w:r>
      <w:r>
        <w:rPr>
          <w:lang w:val="es-ES_tradnl"/>
        </w:rPr>
        <w:t xml:space="preserve">adicionales </w:t>
      </w:r>
      <w:r w:rsidR="003D7B88">
        <w:rPr>
          <w:lang w:val="es-ES_tradnl"/>
        </w:rPr>
        <w:t xml:space="preserve">importantes sobre este </w:t>
      </w:r>
      <w:r w:rsidR="00A704AB">
        <w:rPr>
          <w:lang w:val="es-ES_tradnl"/>
        </w:rPr>
        <w:t>análisis</w:t>
      </w:r>
      <w:r w:rsidR="007906E3" w:rsidRPr="001E4EF5">
        <w:rPr>
          <w:lang w:val="es-ES_tradnl"/>
        </w:rPr>
        <w:t>: (i)</w:t>
      </w:r>
      <w:r w:rsidR="00CF4C8F">
        <w:rPr>
          <w:lang w:val="es-ES_tradnl"/>
        </w:rPr>
        <w:t xml:space="preserve"> tomar </w:t>
      </w:r>
      <w:r w:rsidR="004178F8">
        <w:rPr>
          <w:lang w:val="es-ES_tradnl"/>
        </w:rPr>
        <w:t>un estimado de rentabilidad promedio de proyectos financiados por el programa</w:t>
      </w:r>
      <w:r w:rsidR="00D02F34">
        <w:rPr>
          <w:lang w:val="es-ES_tradnl"/>
        </w:rPr>
        <w:t>,</w:t>
      </w:r>
      <w:r w:rsidR="00CF4C8F">
        <w:rPr>
          <w:lang w:val="es-ES_tradnl"/>
        </w:rPr>
        <w:t xml:space="preserve"> </w:t>
      </w:r>
      <w:r w:rsidR="004178F8">
        <w:rPr>
          <w:lang w:val="es-ES_tradnl"/>
        </w:rPr>
        <w:t>y asumir dicho valor</w:t>
      </w:r>
      <w:r w:rsidR="00D02F34">
        <w:rPr>
          <w:lang w:val="es-ES_tradnl"/>
        </w:rPr>
        <w:t xml:space="preserve"> sostenido </w:t>
      </w:r>
      <w:r w:rsidR="00BE1DA1">
        <w:rPr>
          <w:lang w:val="es-ES_tradnl"/>
        </w:rPr>
        <w:t>para un periodo de 15</w:t>
      </w:r>
      <w:r w:rsidR="003D7B88">
        <w:rPr>
          <w:lang w:val="es-ES_tradnl"/>
        </w:rPr>
        <w:t xml:space="preserve"> años</w:t>
      </w:r>
      <w:r w:rsidR="00D02F34">
        <w:rPr>
          <w:lang w:val="es-ES_tradnl"/>
        </w:rPr>
        <w:t>,</w:t>
      </w:r>
      <w:r w:rsidR="003D7B88">
        <w:rPr>
          <w:lang w:val="es-ES_tradnl"/>
        </w:rPr>
        <w:t xml:space="preserve"> es una simplificación de un pr</w:t>
      </w:r>
      <w:r w:rsidR="00D02F34">
        <w:rPr>
          <w:lang w:val="es-ES_tradnl"/>
        </w:rPr>
        <w:t xml:space="preserve">oceso </w:t>
      </w:r>
      <w:r w:rsidR="004178F8">
        <w:rPr>
          <w:lang w:val="es-ES_tradnl"/>
        </w:rPr>
        <w:t xml:space="preserve">de ponderación </w:t>
      </w:r>
      <w:r w:rsidR="00D02F34">
        <w:rPr>
          <w:lang w:val="es-ES_tradnl"/>
        </w:rPr>
        <w:t>extremadamente complicado</w:t>
      </w:r>
      <w:r w:rsidR="003D7B88">
        <w:rPr>
          <w:lang w:val="es-ES_tradnl"/>
        </w:rPr>
        <w:t xml:space="preserve"> y fuera del alcance de este </w:t>
      </w:r>
      <w:r w:rsidR="00A704AB">
        <w:rPr>
          <w:lang w:val="es-ES_tradnl"/>
        </w:rPr>
        <w:t>análisis</w:t>
      </w:r>
      <w:r w:rsidR="00D02F34">
        <w:rPr>
          <w:lang w:val="es-ES_tradnl"/>
        </w:rPr>
        <w:t xml:space="preserve"> </w:t>
      </w:r>
      <w:r w:rsidR="007906E3" w:rsidRPr="001E4EF5">
        <w:rPr>
          <w:lang w:val="es-ES_tradnl"/>
        </w:rPr>
        <w:t xml:space="preserve">(ii) </w:t>
      </w:r>
      <w:r w:rsidR="003D7B88">
        <w:rPr>
          <w:lang w:val="es-ES_tradnl"/>
        </w:rPr>
        <w:t>si bien las external</w:t>
      </w:r>
      <w:r w:rsidR="004178F8">
        <w:rPr>
          <w:lang w:val="es-ES_tradnl"/>
        </w:rPr>
        <w:t xml:space="preserve">idades positivas asociadas a la provisión de servicios públicos </w:t>
      </w:r>
      <w:r w:rsidR="00CF4C8F">
        <w:rPr>
          <w:lang w:val="es-ES_tradnl"/>
        </w:rPr>
        <w:t>impactan</w:t>
      </w:r>
      <w:r w:rsidR="003D7B88">
        <w:rPr>
          <w:lang w:val="es-ES_tradnl"/>
        </w:rPr>
        <w:t xml:space="preserve"> </w:t>
      </w:r>
      <w:r w:rsidR="00CF4C8F">
        <w:rPr>
          <w:lang w:val="es-ES_tradnl"/>
        </w:rPr>
        <w:t xml:space="preserve">en gran medida </w:t>
      </w:r>
      <w:r w:rsidR="00D02F34">
        <w:rPr>
          <w:lang w:val="es-ES_tradnl"/>
        </w:rPr>
        <w:t xml:space="preserve">en otros aspectos en </w:t>
      </w:r>
      <w:r w:rsidR="004178F8">
        <w:rPr>
          <w:lang w:val="es-ES_tradnl"/>
        </w:rPr>
        <w:t>el desarrollo económico y social</w:t>
      </w:r>
      <w:r w:rsidR="00D02F34">
        <w:rPr>
          <w:lang w:val="es-ES_tradnl"/>
        </w:rPr>
        <w:t xml:space="preserve"> de los </w:t>
      </w:r>
      <w:r w:rsidR="004178F8">
        <w:rPr>
          <w:lang w:val="es-ES_tradnl"/>
        </w:rPr>
        <w:t>beneficiarios últimos de dichos servicios</w:t>
      </w:r>
      <w:r w:rsidR="003D7B88">
        <w:rPr>
          <w:lang w:val="es-ES_tradnl"/>
        </w:rPr>
        <w:t>, no es posible determinar ex</w:t>
      </w:r>
      <w:r w:rsidR="003F20B8">
        <w:rPr>
          <w:lang w:val="es-ES_tradnl"/>
        </w:rPr>
        <w:t xml:space="preserve"> </w:t>
      </w:r>
      <w:r w:rsidR="003D7B88">
        <w:rPr>
          <w:lang w:val="es-ES_tradnl"/>
        </w:rPr>
        <w:t xml:space="preserve">ante el valor monetario de </w:t>
      </w:r>
      <w:r w:rsidR="00CF4C8F">
        <w:rPr>
          <w:lang w:val="es-ES_tradnl"/>
        </w:rPr>
        <w:t>estos efectos</w:t>
      </w:r>
      <w:r w:rsidR="003D7B88">
        <w:rPr>
          <w:lang w:val="es-ES_tradnl"/>
        </w:rPr>
        <w:t xml:space="preserve">, </w:t>
      </w:r>
      <w:r w:rsidR="00BE1DA1">
        <w:rPr>
          <w:lang w:val="es-ES_tradnl"/>
        </w:rPr>
        <w:t xml:space="preserve">por lo que se toma el valor del </w:t>
      </w:r>
      <w:r w:rsidR="004178F8">
        <w:rPr>
          <w:lang w:val="es-ES_tradnl"/>
        </w:rPr>
        <w:t>proyecto</w:t>
      </w:r>
      <w:r w:rsidR="00BE1DA1">
        <w:rPr>
          <w:lang w:val="es-ES_tradnl"/>
        </w:rPr>
        <w:t xml:space="preserve"> como proxy de una medida de bienestar incrementado para los beneficiarios últimos del programa</w:t>
      </w:r>
      <w:r w:rsidR="003D7B88">
        <w:rPr>
          <w:lang w:val="es-ES_tradnl"/>
        </w:rPr>
        <w:t>.</w:t>
      </w:r>
    </w:p>
    <w:p w:rsidR="00D66825" w:rsidRPr="0097530C" w:rsidRDefault="00A704AB" w:rsidP="0097530C">
      <w:pPr>
        <w:pStyle w:val="Chapter"/>
        <w:numPr>
          <w:ilvl w:val="0"/>
          <w:numId w:val="6"/>
        </w:numPr>
        <w:rPr>
          <w:lang w:val="es-ES_tradnl"/>
        </w:rPr>
      </w:pPr>
      <w:bookmarkStart w:id="2" w:name="_Toc298764672"/>
      <w:r w:rsidRPr="0097530C">
        <w:rPr>
          <w:lang w:val="es-ES_tradnl"/>
        </w:rPr>
        <w:t>Análisis</w:t>
      </w:r>
      <w:r w:rsidR="003D7B88" w:rsidRPr="0097530C">
        <w:rPr>
          <w:lang w:val="es-ES_tradnl"/>
        </w:rPr>
        <w:t xml:space="preserve"> de Sensibilidad</w:t>
      </w:r>
      <w:bookmarkEnd w:id="2"/>
    </w:p>
    <w:p w:rsidR="0018141F" w:rsidRDefault="00893D0D" w:rsidP="00D02F34">
      <w:pPr>
        <w:pStyle w:val="Paragraph"/>
        <w:tabs>
          <w:tab w:val="clear" w:pos="2448"/>
          <w:tab w:val="num" w:pos="720"/>
        </w:tabs>
        <w:spacing w:after="80"/>
        <w:ind w:left="720" w:hanging="720"/>
        <w:rPr>
          <w:lang w:val="es-ES_tradnl"/>
        </w:rPr>
      </w:pPr>
      <w:r>
        <w:rPr>
          <w:lang w:val="es-ES_tradnl"/>
        </w:rPr>
        <w:t>L</w:t>
      </w:r>
      <w:r w:rsidRPr="00893D0D">
        <w:rPr>
          <w:lang w:val="es-ES_tradnl"/>
        </w:rPr>
        <w:t>a rentabilidad de los proyectos de inversión varía según el nivel de infraestructura ya existente y según la calidad y la eficiencia de cada uno de los proyectos, tal</w:t>
      </w:r>
      <w:r>
        <w:rPr>
          <w:lang w:val="es-ES_tradnl"/>
        </w:rPr>
        <w:t xml:space="preserve"> </w:t>
      </w:r>
      <w:r w:rsidRPr="00893D0D">
        <w:rPr>
          <w:lang w:val="es-ES_tradnl"/>
        </w:rPr>
        <w:t>como ocurre con cualquier otra inversión</w:t>
      </w:r>
      <w:r>
        <w:rPr>
          <w:lang w:val="es-ES_tradnl"/>
        </w:rPr>
        <w:t xml:space="preserve">. Por ello, se incluye un análisis de sensibilidad que pretende determinar el escenario de rentabilidad mínima para que el programa se mantenga viable, si todo lo demás permanece constante. </w:t>
      </w:r>
      <w:r w:rsidR="003D7B88">
        <w:rPr>
          <w:lang w:val="es-ES_tradnl"/>
        </w:rPr>
        <w:t xml:space="preserve">La Tabla </w:t>
      </w:r>
      <w:r w:rsidR="00D02F34">
        <w:rPr>
          <w:lang w:val="es-ES_tradnl"/>
        </w:rPr>
        <w:t>4.1</w:t>
      </w:r>
      <w:r w:rsidR="003D7B88">
        <w:rPr>
          <w:lang w:val="es-ES_tradnl"/>
        </w:rPr>
        <w:t xml:space="preserve"> </w:t>
      </w:r>
      <w:r w:rsidR="00420B78">
        <w:rPr>
          <w:lang w:val="es-ES_tradnl"/>
        </w:rPr>
        <w:t>presenta un resumen de</w:t>
      </w:r>
      <w:r>
        <w:rPr>
          <w:lang w:val="es-ES_tradnl"/>
        </w:rPr>
        <w:t xml:space="preserve"> dicho</w:t>
      </w:r>
      <w:r w:rsidR="00420B78">
        <w:rPr>
          <w:lang w:val="es-ES_tradnl"/>
        </w:rPr>
        <w:t xml:space="preserve"> análisis</w:t>
      </w:r>
      <w:r w:rsidR="0018141F">
        <w:rPr>
          <w:lang w:val="es-ES_tradnl"/>
        </w:rPr>
        <w:t>.</w:t>
      </w:r>
    </w:p>
    <w:p w:rsidR="00420B78" w:rsidRDefault="00105082" w:rsidP="00D02F34">
      <w:pPr>
        <w:pStyle w:val="Paragraph"/>
        <w:tabs>
          <w:tab w:val="clear" w:pos="2448"/>
          <w:tab w:val="num" w:pos="720"/>
        </w:tabs>
        <w:spacing w:after="80"/>
        <w:ind w:left="720" w:hanging="720"/>
        <w:rPr>
          <w:lang w:val="es-ES_tradnl"/>
        </w:rPr>
      </w:pPr>
      <w:r>
        <w:rPr>
          <w:lang w:val="es-ES_tradnl"/>
        </w:rPr>
        <w:t>Con base en esto,</w:t>
      </w:r>
      <w:r w:rsidR="00420B78">
        <w:rPr>
          <w:lang w:val="es-ES_tradnl"/>
        </w:rPr>
        <w:t xml:space="preserve"> </w:t>
      </w:r>
      <w:r w:rsidR="00D02F34">
        <w:rPr>
          <w:lang w:val="es-ES_tradnl"/>
        </w:rPr>
        <w:t>se obtienen</w:t>
      </w:r>
      <w:r w:rsidR="0018141F">
        <w:rPr>
          <w:lang w:val="es-ES_tradnl"/>
        </w:rPr>
        <w:t xml:space="preserve"> como conclusión </w:t>
      </w:r>
      <w:r w:rsidR="00420B78">
        <w:rPr>
          <w:lang w:val="es-ES_tradnl"/>
        </w:rPr>
        <w:t>central</w:t>
      </w:r>
      <w:r w:rsidR="0018141F">
        <w:rPr>
          <w:lang w:val="es-ES_tradnl"/>
        </w:rPr>
        <w:t xml:space="preserve"> que en el caso</w:t>
      </w:r>
      <w:r w:rsidR="0018141F" w:rsidRPr="000631D8">
        <w:rPr>
          <w:lang w:val="es-ES_tradnl"/>
        </w:rPr>
        <w:t xml:space="preserve"> </w:t>
      </w:r>
      <w:r w:rsidR="0018141F">
        <w:rPr>
          <w:lang w:val="es-ES_tradnl"/>
        </w:rPr>
        <w:t xml:space="preserve">que hayan cambios sustanciales en el entorno de inversión que generen una caída en las tasas de rentabilidad obtenidas de proyectos similares en el pasado, la presente operación seguiría siendo viable siempre que la tasa promedio de los proyectos financiados con recursos del programa no experimente una caída de más del </w:t>
      </w:r>
      <w:r w:rsidR="001678D3">
        <w:rPr>
          <w:lang w:val="es-ES_tradnl"/>
        </w:rPr>
        <w:t>35.54</w:t>
      </w:r>
      <w:r w:rsidR="0018141F">
        <w:rPr>
          <w:lang w:val="es-ES_tradnl"/>
        </w:rPr>
        <w:t>%, es decir</w:t>
      </w:r>
      <w:r w:rsidR="0018141F" w:rsidRPr="008A47CB">
        <w:rPr>
          <w:lang w:val="es-ES_tradnl"/>
        </w:rPr>
        <w:t xml:space="preserve"> </w:t>
      </w:r>
      <w:r w:rsidR="001678D3">
        <w:rPr>
          <w:lang w:val="es-ES_tradnl"/>
        </w:rPr>
        <w:t>que se mantenga por encima de 12.89%</w:t>
      </w:r>
      <w:r w:rsidR="0018141F">
        <w:rPr>
          <w:lang w:val="es-ES_tradnl"/>
        </w:rPr>
        <w:t>, si todo lo demás permanece constante.</w:t>
      </w:r>
    </w:p>
    <w:p w:rsidR="00420B78" w:rsidRPr="008F6818" w:rsidRDefault="004B42D0" w:rsidP="008F6818">
      <w:pPr>
        <w:pStyle w:val="Paragraph"/>
        <w:numPr>
          <w:ilvl w:val="0"/>
          <w:numId w:val="0"/>
        </w:numPr>
        <w:spacing w:after="80"/>
        <w:ind w:left="720"/>
        <w:rPr>
          <w:b/>
          <w:sz w:val="20"/>
          <w:lang w:val="es-ES_tradnl"/>
        </w:rPr>
      </w:pPr>
      <w:r>
        <w:rPr>
          <w:b/>
          <w:sz w:val="20"/>
          <w:lang w:val="es-ES_tradnl"/>
        </w:rPr>
        <w:t>Tabla 4</w:t>
      </w:r>
      <w:r w:rsidR="00420B78" w:rsidRPr="008F6818">
        <w:rPr>
          <w:b/>
          <w:sz w:val="20"/>
          <w:lang w:val="es-ES_tradnl"/>
        </w:rPr>
        <w:t>.</w:t>
      </w:r>
      <w:r w:rsidR="008F6818">
        <w:rPr>
          <w:b/>
          <w:sz w:val="20"/>
          <w:lang w:val="es-ES_tradnl"/>
        </w:rPr>
        <w:t>1:</w:t>
      </w:r>
      <w:r w:rsidR="00420B78" w:rsidRPr="008F6818">
        <w:rPr>
          <w:b/>
          <w:sz w:val="20"/>
          <w:lang w:val="es-ES_tradnl"/>
        </w:rPr>
        <w:t xml:space="preserve"> </w:t>
      </w:r>
      <w:r w:rsidR="008F6818">
        <w:rPr>
          <w:b/>
          <w:sz w:val="20"/>
          <w:lang w:val="es-ES_tradnl"/>
        </w:rPr>
        <w:t xml:space="preserve">Resumen del </w:t>
      </w:r>
      <w:r w:rsidR="00420B78" w:rsidRPr="008F6818">
        <w:rPr>
          <w:b/>
          <w:sz w:val="20"/>
          <w:lang w:val="es-ES_tradnl"/>
        </w:rPr>
        <w:t>Análisis de Sensibilidad</w:t>
      </w:r>
    </w:p>
    <w:tbl>
      <w:tblPr>
        <w:tblW w:w="7604" w:type="dxa"/>
        <w:jc w:val="center"/>
        <w:tblInd w:w="840" w:type="dxa"/>
        <w:tblLook w:val="04A0"/>
      </w:tblPr>
      <w:tblGrid>
        <w:gridCol w:w="3346"/>
        <w:gridCol w:w="1452"/>
        <w:gridCol w:w="1518"/>
        <w:gridCol w:w="1288"/>
      </w:tblGrid>
      <w:tr w:rsidR="00CA457F" w:rsidRPr="00C866AE" w:rsidTr="0016645D">
        <w:trPr>
          <w:trHeight w:val="862"/>
          <w:jc w:val="center"/>
        </w:trPr>
        <w:tc>
          <w:tcPr>
            <w:tcW w:w="3346" w:type="dxa"/>
            <w:tcBorders>
              <w:top w:val="single" w:sz="8" w:space="0" w:color="auto"/>
              <w:left w:val="single" w:sz="8" w:space="0" w:color="auto"/>
              <w:bottom w:val="single" w:sz="8" w:space="0" w:color="auto"/>
              <w:right w:val="nil"/>
            </w:tcBorders>
            <w:shd w:val="clear" w:color="auto" w:fill="auto"/>
            <w:noWrap/>
            <w:vAlign w:val="center"/>
            <w:hideMark/>
          </w:tcPr>
          <w:p w:rsidR="00CA457F" w:rsidRPr="008F6818" w:rsidRDefault="00CA457F" w:rsidP="008F6818">
            <w:pPr>
              <w:pStyle w:val="Paragraph"/>
              <w:numPr>
                <w:ilvl w:val="0"/>
                <w:numId w:val="0"/>
              </w:numPr>
              <w:spacing w:after="80"/>
              <w:jc w:val="center"/>
              <w:rPr>
                <w:sz w:val="18"/>
                <w:lang w:val="es-ES_tradnl"/>
              </w:rPr>
            </w:pPr>
            <w:r w:rsidRPr="008F6818">
              <w:rPr>
                <w:sz w:val="18"/>
                <w:lang w:val="es-ES_tradnl"/>
              </w:rPr>
              <w:t>Parámetro</w:t>
            </w:r>
          </w:p>
        </w:tc>
        <w:tc>
          <w:tcPr>
            <w:tcW w:w="145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CA457F" w:rsidRPr="008F6818" w:rsidRDefault="00CA457F" w:rsidP="008F6818">
            <w:pPr>
              <w:pStyle w:val="Paragraph"/>
              <w:numPr>
                <w:ilvl w:val="0"/>
                <w:numId w:val="0"/>
              </w:numPr>
              <w:spacing w:after="80"/>
              <w:jc w:val="center"/>
              <w:rPr>
                <w:sz w:val="18"/>
                <w:lang w:val="es-ES_tradnl"/>
              </w:rPr>
            </w:pPr>
            <w:r w:rsidRPr="008F6818">
              <w:rPr>
                <w:sz w:val="18"/>
                <w:lang w:val="es-ES_tradnl"/>
              </w:rPr>
              <w:t>Valor del parámetro</w:t>
            </w:r>
            <w:r w:rsidR="0016645D">
              <w:rPr>
                <w:sz w:val="18"/>
                <w:lang w:val="es-ES_tradnl"/>
              </w:rPr>
              <w:t xml:space="preserve"> utilizado</w:t>
            </w:r>
          </w:p>
        </w:tc>
        <w:tc>
          <w:tcPr>
            <w:tcW w:w="1518" w:type="dxa"/>
            <w:tcBorders>
              <w:top w:val="single" w:sz="8" w:space="0" w:color="auto"/>
              <w:left w:val="nil"/>
              <w:bottom w:val="single" w:sz="8" w:space="0" w:color="auto"/>
              <w:right w:val="single" w:sz="4" w:space="0" w:color="auto"/>
            </w:tcBorders>
            <w:shd w:val="clear" w:color="000000" w:fill="FFFFFF"/>
            <w:vAlign w:val="center"/>
            <w:hideMark/>
          </w:tcPr>
          <w:p w:rsidR="00CA457F" w:rsidRPr="008F6818" w:rsidRDefault="0016645D" w:rsidP="0016645D">
            <w:pPr>
              <w:pStyle w:val="Paragraph"/>
              <w:numPr>
                <w:ilvl w:val="0"/>
                <w:numId w:val="0"/>
              </w:numPr>
              <w:spacing w:after="80"/>
              <w:jc w:val="center"/>
              <w:rPr>
                <w:sz w:val="18"/>
                <w:lang w:val="es-ES_tradnl"/>
              </w:rPr>
            </w:pPr>
            <w:r w:rsidRPr="008F6818">
              <w:rPr>
                <w:sz w:val="18"/>
                <w:lang w:val="es-ES_tradnl"/>
              </w:rPr>
              <w:t>Valor del parámetro</w:t>
            </w:r>
            <w:r>
              <w:rPr>
                <w:sz w:val="18"/>
                <w:lang w:val="es-ES_tradnl"/>
              </w:rPr>
              <w:t xml:space="preserve"> que hace cero el VPN del programa</w:t>
            </w:r>
          </w:p>
        </w:tc>
        <w:tc>
          <w:tcPr>
            <w:tcW w:w="1288" w:type="dxa"/>
            <w:tcBorders>
              <w:top w:val="single" w:sz="8" w:space="0" w:color="auto"/>
              <w:left w:val="nil"/>
              <w:bottom w:val="single" w:sz="8" w:space="0" w:color="auto"/>
              <w:right w:val="single" w:sz="8" w:space="0" w:color="auto"/>
            </w:tcBorders>
            <w:shd w:val="clear" w:color="000000" w:fill="FFFFFF"/>
            <w:vAlign w:val="center"/>
            <w:hideMark/>
          </w:tcPr>
          <w:p w:rsidR="00CA457F" w:rsidRPr="008F6818" w:rsidRDefault="00CA457F" w:rsidP="008F6818">
            <w:pPr>
              <w:pStyle w:val="Paragraph"/>
              <w:numPr>
                <w:ilvl w:val="0"/>
                <w:numId w:val="0"/>
              </w:numPr>
              <w:spacing w:after="80"/>
              <w:jc w:val="center"/>
              <w:rPr>
                <w:sz w:val="18"/>
                <w:lang w:val="es-ES_tradnl"/>
              </w:rPr>
            </w:pPr>
            <w:r w:rsidRPr="008F6818">
              <w:rPr>
                <w:sz w:val="18"/>
                <w:lang w:val="es-ES_tradnl"/>
              </w:rPr>
              <w:t>Variación en el parámetro analizado (%)</w:t>
            </w:r>
          </w:p>
        </w:tc>
      </w:tr>
      <w:tr w:rsidR="0016645D" w:rsidRPr="008F6818" w:rsidTr="0020069F">
        <w:trPr>
          <w:trHeight w:val="367"/>
          <w:jc w:val="center"/>
        </w:trPr>
        <w:tc>
          <w:tcPr>
            <w:tcW w:w="3346" w:type="dxa"/>
            <w:tcBorders>
              <w:top w:val="nil"/>
              <w:left w:val="single" w:sz="8" w:space="0" w:color="auto"/>
              <w:bottom w:val="single" w:sz="4" w:space="0" w:color="000000"/>
              <w:right w:val="single" w:sz="4" w:space="0" w:color="auto"/>
            </w:tcBorders>
            <w:shd w:val="clear" w:color="000000" w:fill="FFFFFF"/>
            <w:vAlign w:val="center"/>
            <w:hideMark/>
          </w:tcPr>
          <w:p w:rsidR="0016645D" w:rsidRPr="008F6818" w:rsidRDefault="001678D3" w:rsidP="008F6818">
            <w:pPr>
              <w:pStyle w:val="Paragraph"/>
              <w:numPr>
                <w:ilvl w:val="0"/>
                <w:numId w:val="0"/>
              </w:numPr>
              <w:spacing w:after="80"/>
              <w:jc w:val="left"/>
              <w:rPr>
                <w:sz w:val="20"/>
                <w:lang w:val="es-ES_tradnl"/>
              </w:rPr>
            </w:pPr>
            <w:r>
              <w:rPr>
                <w:sz w:val="20"/>
                <w:lang w:val="es-ES_tradnl"/>
              </w:rPr>
              <w:t>Rentabilidad de proyectos financiados</w:t>
            </w:r>
          </w:p>
        </w:tc>
        <w:tc>
          <w:tcPr>
            <w:tcW w:w="1452" w:type="dxa"/>
            <w:tcBorders>
              <w:top w:val="nil"/>
              <w:left w:val="nil"/>
              <w:bottom w:val="single" w:sz="4" w:space="0" w:color="auto"/>
              <w:right w:val="single" w:sz="4" w:space="0" w:color="auto"/>
            </w:tcBorders>
            <w:shd w:val="clear" w:color="000000" w:fill="FFFFFF"/>
            <w:noWrap/>
            <w:vAlign w:val="center"/>
            <w:hideMark/>
          </w:tcPr>
          <w:p w:rsidR="0016645D" w:rsidRPr="008F6818" w:rsidRDefault="00E516E1" w:rsidP="0016645D">
            <w:pPr>
              <w:pStyle w:val="Paragraph"/>
              <w:numPr>
                <w:ilvl w:val="0"/>
                <w:numId w:val="0"/>
              </w:numPr>
              <w:spacing w:after="80"/>
              <w:jc w:val="right"/>
              <w:rPr>
                <w:sz w:val="20"/>
                <w:lang w:val="es-ES_tradnl"/>
              </w:rPr>
            </w:pPr>
            <w:r>
              <w:rPr>
                <w:sz w:val="20"/>
                <w:lang w:val="es-ES_tradnl"/>
              </w:rPr>
              <w:t>20%</w:t>
            </w:r>
          </w:p>
        </w:tc>
        <w:tc>
          <w:tcPr>
            <w:tcW w:w="1518" w:type="dxa"/>
            <w:tcBorders>
              <w:top w:val="nil"/>
              <w:left w:val="nil"/>
              <w:bottom w:val="single" w:sz="4" w:space="0" w:color="auto"/>
              <w:right w:val="single" w:sz="4" w:space="0" w:color="auto"/>
            </w:tcBorders>
            <w:shd w:val="clear" w:color="000000" w:fill="FFFFFF"/>
            <w:noWrap/>
            <w:vAlign w:val="center"/>
            <w:hideMark/>
          </w:tcPr>
          <w:p w:rsidR="0016645D" w:rsidRPr="008F6818" w:rsidRDefault="00E516E1" w:rsidP="00E516E1">
            <w:pPr>
              <w:pStyle w:val="Paragraph"/>
              <w:numPr>
                <w:ilvl w:val="0"/>
                <w:numId w:val="0"/>
              </w:numPr>
              <w:spacing w:after="80"/>
              <w:jc w:val="right"/>
              <w:rPr>
                <w:sz w:val="20"/>
                <w:lang w:val="es-ES_tradnl"/>
              </w:rPr>
            </w:pPr>
            <w:r>
              <w:rPr>
                <w:sz w:val="20"/>
                <w:lang w:val="es-ES_tradnl"/>
              </w:rPr>
              <w:t>12.89%</w:t>
            </w:r>
          </w:p>
        </w:tc>
        <w:tc>
          <w:tcPr>
            <w:tcW w:w="1288" w:type="dxa"/>
            <w:tcBorders>
              <w:top w:val="single" w:sz="8" w:space="0" w:color="auto"/>
              <w:left w:val="nil"/>
              <w:bottom w:val="single" w:sz="4" w:space="0" w:color="auto"/>
              <w:right w:val="single" w:sz="8" w:space="0" w:color="auto"/>
            </w:tcBorders>
            <w:shd w:val="clear" w:color="000000" w:fill="FFFFFF"/>
            <w:noWrap/>
            <w:vAlign w:val="center"/>
            <w:hideMark/>
          </w:tcPr>
          <w:p w:rsidR="0016645D" w:rsidRDefault="00E516E1" w:rsidP="00512A61">
            <w:pPr>
              <w:pStyle w:val="Paragraph"/>
              <w:numPr>
                <w:ilvl w:val="0"/>
                <w:numId w:val="0"/>
              </w:numPr>
              <w:spacing w:after="80"/>
              <w:jc w:val="right"/>
              <w:rPr>
                <w:sz w:val="20"/>
                <w:lang w:val="es-ES_tradnl"/>
              </w:rPr>
            </w:pPr>
            <w:r>
              <w:rPr>
                <w:sz w:val="20"/>
                <w:lang w:val="es-ES_tradnl"/>
              </w:rPr>
              <w:t>-</w:t>
            </w:r>
            <w:r w:rsidRPr="00E516E1">
              <w:rPr>
                <w:sz w:val="20"/>
                <w:lang w:val="es-ES_tradnl"/>
              </w:rPr>
              <w:t>35</w:t>
            </w:r>
            <w:r>
              <w:rPr>
                <w:sz w:val="20"/>
                <w:lang w:val="es-ES_tradnl"/>
              </w:rPr>
              <w:t>.54</w:t>
            </w:r>
            <w:r w:rsidR="0016645D" w:rsidRPr="008F6818">
              <w:rPr>
                <w:sz w:val="20"/>
                <w:lang w:val="es-ES_tradnl"/>
              </w:rPr>
              <w:t>%</w:t>
            </w:r>
          </w:p>
        </w:tc>
      </w:tr>
    </w:tbl>
    <w:p w:rsidR="0069544C" w:rsidRPr="0097530C" w:rsidRDefault="0069544C" w:rsidP="0097530C">
      <w:pPr>
        <w:pStyle w:val="Chapter"/>
        <w:numPr>
          <w:ilvl w:val="0"/>
          <w:numId w:val="6"/>
        </w:numPr>
        <w:rPr>
          <w:lang w:val="es-ES_tradnl"/>
        </w:rPr>
      </w:pPr>
      <w:r w:rsidRPr="0097530C">
        <w:rPr>
          <w:lang w:val="es-ES_tradnl"/>
        </w:rPr>
        <w:t>Conclusiones</w:t>
      </w:r>
    </w:p>
    <w:p w:rsidR="00D1145F" w:rsidRDefault="002D3A54" w:rsidP="008F6818">
      <w:pPr>
        <w:pStyle w:val="Paragraph"/>
        <w:tabs>
          <w:tab w:val="clear" w:pos="2448"/>
          <w:tab w:val="num" w:pos="720"/>
        </w:tabs>
        <w:spacing w:after="80"/>
        <w:ind w:left="720" w:hanging="720"/>
        <w:rPr>
          <w:lang w:val="es-ES_tradnl"/>
        </w:rPr>
      </w:pPr>
      <w:r>
        <w:rPr>
          <w:lang w:val="es-ES_tradnl"/>
        </w:rPr>
        <w:t>El</w:t>
      </w:r>
      <w:r w:rsidR="007B6A7F">
        <w:rPr>
          <w:lang w:val="es-ES_tradnl"/>
        </w:rPr>
        <w:t xml:space="preserve"> presente</w:t>
      </w:r>
      <w:r w:rsidR="00455162" w:rsidRPr="001E4EF5">
        <w:rPr>
          <w:lang w:val="es-ES_tradnl"/>
        </w:rPr>
        <w:t xml:space="preserve"> análisis cos</w:t>
      </w:r>
      <w:r w:rsidR="007B6A7F">
        <w:rPr>
          <w:lang w:val="es-ES_tradnl"/>
        </w:rPr>
        <w:t xml:space="preserve">to beneficio </w:t>
      </w:r>
      <w:r w:rsidR="00F56D0E">
        <w:rPr>
          <w:lang w:val="es-ES_tradnl"/>
        </w:rPr>
        <w:t>muestra</w:t>
      </w:r>
      <w:r w:rsidR="00455162" w:rsidRPr="001E4EF5">
        <w:rPr>
          <w:lang w:val="es-ES_tradnl"/>
        </w:rPr>
        <w:t xml:space="preserve"> que los beneficios actualizados superan</w:t>
      </w:r>
      <w:r w:rsidR="00105082">
        <w:rPr>
          <w:lang w:val="es-ES_tradnl"/>
        </w:rPr>
        <w:t xml:space="preserve"> los costos actualizados</w:t>
      </w:r>
      <w:r w:rsidR="00455162" w:rsidRPr="001E4EF5">
        <w:rPr>
          <w:lang w:val="es-ES_tradnl"/>
        </w:rPr>
        <w:t>, arrojando en consecuencia, un valor presente actualizado positivo.</w:t>
      </w:r>
    </w:p>
    <w:p w:rsidR="007B6A7F" w:rsidRDefault="007B6A7F" w:rsidP="008F6818">
      <w:pPr>
        <w:pStyle w:val="Paragraph"/>
        <w:tabs>
          <w:tab w:val="clear" w:pos="2448"/>
          <w:tab w:val="num" w:pos="720"/>
        </w:tabs>
        <w:spacing w:after="80"/>
        <w:ind w:left="720" w:hanging="720"/>
        <w:rPr>
          <w:lang w:val="es-ES_tradnl"/>
        </w:rPr>
      </w:pPr>
      <w:r>
        <w:rPr>
          <w:lang w:val="es-ES_tradnl"/>
        </w:rPr>
        <w:t>Con respecto al beneficio asociado a</w:t>
      </w:r>
      <w:r w:rsidR="002D3A54">
        <w:rPr>
          <w:lang w:val="es-ES_tradnl"/>
        </w:rPr>
        <w:t xml:space="preserve"> </w:t>
      </w:r>
      <w:r>
        <w:rPr>
          <w:lang w:val="es-ES_tradnl"/>
        </w:rPr>
        <w:t>l</w:t>
      </w:r>
      <w:r w:rsidR="002D3A54">
        <w:rPr>
          <w:lang w:val="es-ES_tradnl"/>
        </w:rPr>
        <w:t>os</w:t>
      </w:r>
      <w:r>
        <w:rPr>
          <w:lang w:val="es-ES_tradnl"/>
        </w:rPr>
        <w:t xml:space="preserve"> objetivo</w:t>
      </w:r>
      <w:r w:rsidR="002D3A54">
        <w:rPr>
          <w:lang w:val="es-ES_tradnl"/>
        </w:rPr>
        <w:t>s</w:t>
      </w:r>
      <w:r>
        <w:rPr>
          <w:lang w:val="es-ES_tradnl"/>
        </w:rPr>
        <w:t xml:space="preserve"> de</w:t>
      </w:r>
      <w:r w:rsidR="002D3A54">
        <w:rPr>
          <w:lang w:val="es-ES_tradnl"/>
        </w:rPr>
        <w:t>l programa</w:t>
      </w:r>
      <w:r w:rsidR="00105082">
        <w:rPr>
          <w:lang w:val="es-ES_tradnl"/>
        </w:rPr>
        <w:t xml:space="preserve">, el </w:t>
      </w:r>
      <w:r>
        <w:rPr>
          <w:lang w:val="es-ES_tradnl"/>
        </w:rPr>
        <w:t xml:space="preserve">VPN de los flujos anuales de </w:t>
      </w:r>
      <w:r w:rsidR="0018141F">
        <w:rPr>
          <w:lang w:val="es-ES_tradnl"/>
        </w:rPr>
        <w:t xml:space="preserve">beneficios por </w:t>
      </w:r>
      <w:r w:rsidR="00E547B5">
        <w:rPr>
          <w:lang w:val="es-ES_tradnl"/>
        </w:rPr>
        <w:t xml:space="preserve">inversión incremental en servicios públicos </w:t>
      </w:r>
      <w:r>
        <w:rPr>
          <w:lang w:val="es-ES_tradnl"/>
        </w:rPr>
        <w:t xml:space="preserve">es de </w:t>
      </w:r>
      <w:r w:rsidR="00F56D0E">
        <w:rPr>
          <w:lang w:val="es-ES_tradnl"/>
        </w:rPr>
        <w:t xml:space="preserve">USD </w:t>
      </w:r>
      <w:r w:rsidR="001678D3">
        <w:rPr>
          <w:lang w:val="es-ES_tradnl"/>
        </w:rPr>
        <w:t>93.15</w:t>
      </w:r>
      <w:r w:rsidR="00A35EA2">
        <w:rPr>
          <w:lang w:val="es-ES_tradnl"/>
        </w:rPr>
        <w:t xml:space="preserve"> </w:t>
      </w:r>
      <w:r w:rsidR="00F56D0E">
        <w:rPr>
          <w:lang w:val="es-ES_tradnl"/>
        </w:rPr>
        <w:t>millones. Este</w:t>
      </w:r>
      <w:r>
        <w:rPr>
          <w:lang w:val="es-ES_tradnl"/>
        </w:rPr>
        <w:t xml:space="preserve"> monto representa </w:t>
      </w:r>
      <w:r w:rsidR="00262CC2">
        <w:rPr>
          <w:lang w:val="es-ES_tradnl"/>
        </w:rPr>
        <w:t xml:space="preserve">un valor actualizado </w:t>
      </w:r>
      <w:r w:rsidR="00F56D0E">
        <w:rPr>
          <w:lang w:val="es-ES_tradnl"/>
        </w:rPr>
        <w:t xml:space="preserve">significativamente </w:t>
      </w:r>
      <w:r w:rsidR="00262CC2">
        <w:rPr>
          <w:lang w:val="es-ES_tradnl"/>
        </w:rPr>
        <w:t xml:space="preserve">mayor al del </w:t>
      </w:r>
      <w:r>
        <w:rPr>
          <w:lang w:val="es-ES_tradnl"/>
        </w:rPr>
        <w:t xml:space="preserve">costo efectivo asociado al </w:t>
      </w:r>
      <w:r w:rsidR="00A704AB">
        <w:rPr>
          <w:lang w:val="es-ES_tradnl"/>
        </w:rPr>
        <w:t>préstamo</w:t>
      </w:r>
      <w:r w:rsidR="00F56D0E">
        <w:rPr>
          <w:lang w:val="es-ES_tradnl"/>
        </w:rPr>
        <w:t xml:space="preserve"> BID</w:t>
      </w:r>
      <w:r w:rsidR="00105082">
        <w:rPr>
          <w:lang w:val="es-ES_tradnl"/>
        </w:rPr>
        <w:t xml:space="preserve"> </w:t>
      </w:r>
      <w:r w:rsidRPr="001E4EF5">
        <w:rPr>
          <w:lang w:val="es-ES_tradnl"/>
        </w:rPr>
        <w:t>(</w:t>
      </w:r>
      <w:r w:rsidR="00F56D0E">
        <w:rPr>
          <w:lang w:val="es-ES_tradnl"/>
        </w:rPr>
        <w:t xml:space="preserve">USD </w:t>
      </w:r>
      <w:r w:rsidR="00E547B5">
        <w:rPr>
          <w:lang w:val="es-ES_tradnl"/>
        </w:rPr>
        <w:t>75</w:t>
      </w:r>
      <w:r w:rsidR="00F56D0E">
        <w:rPr>
          <w:lang w:val="es-ES_tradnl"/>
        </w:rPr>
        <w:t xml:space="preserve"> millo</w:t>
      </w:r>
      <w:r w:rsidR="00CC1654">
        <w:rPr>
          <w:lang w:val="es-ES_tradnl"/>
        </w:rPr>
        <w:t>n</w:t>
      </w:r>
      <w:r w:rsidR="00E547B5">
        <w:rPr>
          <w:lang w:val="es-ES_tradnl"/>
        </w:rPr>
        <w:t>es en tres desembolsos de USD 25</w:t>
      </w:r>
      <w:r w:rsidR="00F56D0E">
        <w:rPr>
          <w:lang w:val="es-ES_tradnl"/>
        </w:rPr>
        <w:t xml:space="preserve"> millones cada uno</w:t>
      </w:r>
      <w:r w:rsidRPr="001E4EF5">
        <w:rPr>
          <w:lang w:val="es-ES_tradnl"/>
        </w:rPr>
        <w:t>)</w:t>
      </w:r>
      <w:r w:rsidR="00F56D0E">
        <w:rPr>
          <w:lang w:val="es-ES_tradnl"/>
        </w:rPr>
        <w:t xml:space="preserve">, que alcanza los USD </w:t>
      </w:r>
      <w:r w:rsidR="001678D3">
        <w:rPr>
          <w:lang w:val="es-ES_tradnl"/>
        </w:rPr>
        <w:t>60.05</w:t>
      </w:r>
      <w:r w:rsidR="00CC1654" w:rsidRPr="00CC1654">
        <w:rPr>
          <w:lang w:val="es-ES_tradnl"/>
        </w:rPr>
        <w:t xml:space="preserve"> </w:t>
      </w:r>
      <w:r w:rsidR="00F56D0E">
        <w:rPr>
          <w:lang w:val="es-ES_tradnl"/>
        </w:rPr>
        <w:t>millones</w:t>
      </w:r>
      <w:r w:rsidRPr="001E4EF5">
        <w:rPr>
          <w:lang w:val="es-ES_tradnl"/>
        </w:rPr>
        <w:t>.</w:t>
      </w:r>
      <w:r>
        <w:rPr>
          <w:lang w:val="es-ES_tradnl"/>
        </w:rPr>
        <w:t xml:space="preserve"> En </w:t>
      </w:r>
      <w:r w:rsidR="00A704AB">
        <w:rPr>
          <w:lang w:val="es-ES_tradnl"/>
        </w:rPr>
        <w:t>consecuencia</w:t>
      </w:r>
      <w:r>
        <w:rPr>
          <w:lang w:val="es-ES_tradnl"/>
        </w:rPr>
        <w:t xml:space="preserve">, los beneficios monetarios </w:t>
      </w:r>
      <w:r w:rsidR="00F56D0E">
        <w:rPr>
          <w:lang w:val="es-ES_tradnl"/>
        </w:rPr>
        <w:t xml:space="preserve">del programa </w:t>
      </w:r>
      <w:r w:rsidR="00A704AB">
        <w:rPr>
          <w:lang w:val="es-ES_tradnl"/>
        </w:rPr>
        <w:t>alcanzarían</w:t>
      </w:r>
      <w:r>
        <w:rPr>
          <w:lang w:val="es-ES_tradnl"/>
        </w:rPr>
        <w:t xml:space="preserve"> los</w:t>
      </w:r>
      <w:r w:rsidR="00F56D0E">
        <w:rPr>
          <w:lang w:val="es-ES_tradnl"/>
        </w:rPr>
        <w:t xml:space="preserve"> USD</w:t>
      </w:r>
      <w:r>
        <w:rPr>
          <w:lang w:val="es-ES_tradnl"/>
        </w:rPr>
        <w:t xml:space="preserve"> </w:t>
      </w:r>
      <w:r w:rsidR="001678D3">
        <w:rPr>
          <w:lang w:val="es-ES_tradnl"/>
        </w:rPr>
        <w:t>33.10</w:t>
      </w:r>
      <w:r w:rsidR="00CC1654" w:rsidRPr="00CC1654">
        <w:rPr>
          <w:lang w:val="es-ES_tradnl"/>
        </w:rPr>
        <w:t xml:space="preserve"> </w:t>
      </w:r>
      <w:r w:rsidR="00F56D0E">
        <w:rPr>
          <w:lang w:val="es-ES_tradnl"/>
        </w:rPr>
        <w:t>millones</w:t>
      </w:r>
      <w:r>
        <w:rPr>
          <w:lang w:val="es-ES_tradnl"/>
        </w:rPr>
        <w:t>.</w:t>
      </w:r>
      <w:r w:rsidR="0056697E">
        <w:rPr>
          <w:lang w:val="es-ES_tradnl"/>
        </w:rPr>
        <w:t xml:space="preserve"> Adicionalmente, el análisis de sensibilidad muestra que aun variando los parámetros utilizados en la estimación de los beneficios, reduciéndolos a valores más conservadores, el programa resulta igualmente viable. </w:t>
      </w:r>
    </w:p>
    <w:p w:rsidR="00455162" w:rsidRDefault="00D1145F" w:rsidP="008F6818">
      <w:pPr>
        <w:pStyle w:val="Paragraph"/>
        <w:tabs>
          <w:tab w:val="clear" w:pos="2448"/>
          <w:tab w:val="num" w:pos="720"/>
        </w:tabs>
        <w:spacing w:after="80"/>
        <w:ind w:left="720" w:hanging="720"/>
        <w:rPr>
          <w:lang w:val="es-ES_tradnl"/>
        </w:rPr>
      </w:pPr>
      <w:r>
        <w:rPr>
          <w:lang w:val="es-ES_tradnl"/>
        </w:rPr>
        <w:t xml:space="preserve">En base a lo expuesto </w:t>
      </w:r>
      <w:r w:rsidR="0069544C">
        <w:rPr>
          <w:lang w:val="es-ES_tradnl"/>
        </w:rPr>
        <w:t>anteriormente</w:t>
      </w:r>
      <w:r>
        <w:rPr>
          <w:lang w:val="es-ES_tradnl"/>
        </w:rPr>
        <w:t>, e</w:t>
      </w:r>
      <w:r w:rsidR="00455162" w:rsidRPr="001E4EF5">
        <w:rPr>
          <w:lang w:val="es-ES_tradnl"/>
        </w:rPr>
        <w:t>l equipo de proyecto recomienda que el BID apruebe el financiamiento del presente programa.</w:t>
      </w:r>
    </w:p>
    <w:p w:rsidR="003C394E" w:rsidRDefault="003C394E">
      <w:pPr>
        <w:rPr>
          <w:rFonts w:ascii="Times New Roman" w:hAnsi="Times New Roman"/>
          <w:sz w:val="24"/>
          <w:lang w:val="es-ES_tradnl"/>
        </w:rPr>
      </w:pPr>
      <w:r>
        <w:rPr>
          <w:rFonts w:ascii="Times New Roman" w:hAnsi="Times New Roman"/>
          <w:sz w:val="24"/>
          <w:lang w:val="es-ES_tradnl"/>
        </w:rPr>
        <w:br w:type="page"/>
      </w:r>
    </w:p>
    <w:p w:rsidR="003C394E" w:rsidRDefault="003C394E" w:rsidP="0069544C">
      <w:pPr>
        <w:ind w:left="450" w:hanging="450"/>
        <w:jc w:val="both"/>
        <w:rPr>
          <w:rFonts w:ascii="Times New Roman" w:hAnsi="Times New Roman"/>
          <w:sz w:val="24"/>
          <w:lang w:val="es-ES_tradnl"/>
        </w:rPr>
        <w:sectPr w:rsidR="003C394E" w:rsidSect="00BA23C8">
          <w:headerReference w:type="default" r:id="rId8"/>
          <w:type w:val="continuous"/>
          <w:pgSz w:w="12240" w:h="15840"/>
          <w:pgMar w:top="1440" w:right="1800" w:bottom="1440" w:left="1800" w:header="720" w:footer="720" w:gutter="0"/>
          <w:cols w:space="720"/>
          <w:docGrid w:linePitch="360"/>
        </w:sectPr>
      </w:pPr>
    </w:p>
    <w:p w:rsidR="003C394E" w:rsidRDefault="003C394E" w:rsidP="003C394E">
      <w:pPr>
        <w:spacing w:after="0"/>
        <w:ind w:left="360" w:firstLine="360"/>
        <w:jc w:val="center"/>
        <w:rPr>
          <w:rFonts w:ascii="Times New Roman" w:hAnsi="Times New Roman"/>
          <w:b/>
          <w:sz w:val="20"/>
          <w:lang w:val="es-ES_tradnl"/>
        </w:rPr>
      </w:pPr>
      <w:r>
        <w:rPr>
          <w:rFonts w:ascii="Times New Roman" w:hAnsi="Times New Roman"/>
          <w:b/>
          <w:sz w:val="20"/>
          <w:lang w:val="es-ES_tradnl"/>
        </w:rPr>
        <w:t>Anexo 1</w:t>
      </w:r>
      <w:r w:rsidRPr="006609C4">
        <w:rPr>
          <w:rFonts w:ascii="Times New Roman" w:hAnsi="Times New Roman"/>
          <w:b/>
          <w:sz w:val="20"/>
          <w:lang w:val="es-ES_tradnl"/>
        </w:rPr>
        <w:t xml:space="preserve">. </w:t>
      </w:r>
      <w:r>
        <w:rPr>
          <w:rFonts w:ascii="Times New Roman" w:hAnsi="Times New Roman"/>
          <w:b/>
          <w:sz w:val="20"/>
          <w:lang w:val="es-ES_tradnl"/>
        </w:rPr>
        <w:t>Cuadro detallado de Flujos Anuales Costo-Beneficio</w:t>
      </w:r>
    </w:p>
    <w:p w:rsidR="003C394E" w:rsidRDefault="003C394E" w:rsidP="0069544C">
      <w:pPr>
        <w:ind w:left="450" w:hanging="450"/>
        <w:jc w:val="both"/>
        <w:rPr>
          <w:rFonts w:ascii="Times New Roman" w:hAnsi="Times New Roman"/>
          <w:sz w:val="24"/>
          <w:lang w:val="es-ES_tradnl"/>
        </w:rPr>
      </w:pPr>
    </w:p>
    <w:p w:rsidR="003C394E" w:rsidRPr="001E4EF5" w:rsidRDefault="004178F8" w:rsidP="0020069F">
      <w:pPr>
        <w:ind w:left="-450"/>
        <w:jc w:val="both"/>
        <w:rPr>
          <w:rFonts w:ascii="Times New Roman" w:hAnsi="Times New Roman"/>
          <w:sz w:val="24"/>
          <w:lang w:val="es-ES_tradnl"/>
        </w:rPr>
      </w:pPr>
      <w:r w:rsidRPr="004178F8">
        <w:rPr>
          <w:noProof/>
          <w:lang w:eastAsia="ja-JP"/>
        </w:rPr>
        <w:drawing>
          <wp:inline distT="0" distB="0" distL="0" distR="0">
            <wp:extent cx="8229600" cy="23072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29600" cy="2307243"/>
                    </a:xfrm>
                    <a:prstGeom prst="rect">
                      <a:avLst/>
                    </a:prstGeom>
                    <a:noFill/>
                    <a:ln w="9525">
                      <a:noFill/>
                      <a:miter lim="800000"/>
                      <a:headEnd/>
                      <a:tailEnd/>
                    </a:ln>
                  </pic:spPr>
                </pic:pic>
              </a:graphicData>
            </a:graphic>
          </wp:inline>
        </w:drawing>
      </w:r>
    </w:p>
    <w:sectPr w:rsidR="003C394E" w:rsidRPr="001E4EF5" w:rsidSect="003C394E">
      <w:type w:val="continuous"/>
      <w:pgSz w:w="15840" w:h="12240" w:orient="landscape"/>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FA" w:rsidRDefault="00C648FA" w:rsidP="000B2B08">
      <w:pPr>
        <w:spacing w:after="0" w:line="240" w:lineRule="auto"/>
      </w:pPr>
      <w:r>
        <w:separator/>
      </w:r>
    </w:p>
  </w:endnote>
  <w:endnote w:type="continuationSeparator" w:id="0">
    <w:p w:rsidR="00C648FA" w:rsidRDefault="00C648FA" w:rsidP="000B2B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Times New Roman Bold">
    <w:altName w:val="Heavy Heap"/>
    <w:panose1 w:val="020208030705050203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FA" w:rsidRDefault="00C648FA" w:rsidP="000B2B08">
      <w:pPr>
        <w:spacing w:after="0" w:line="240" w:lineRule="auto"/>
      </w:pPr>
      <w:r>
        <w:separator/>
      </w:r>
    </w:p>
  </w:footnote>
  <w:footnote w:type="continuationSeparator" w:id="0">
    <w:p w:rsidR="00C648FA" w:rsidRDefault="00C648FA" w:rsidP="000B2B08">
      <w:pPr>
        <w:spacing w:after="0" w:line="240" w:lineRule="auto"/>
      </w:pPr>
      <w:r>
        <w:continuationSeparator/>
      </w:r>
    </w:p>
  </w:footnote>
  <w:footnote w:id="1">
    <w:p w:rsidR="00C648FA" w:rsidRPr="00C6775F" w:rsidRDefault="00C648FA" w:rsidP="00C866AE">
      <w:pPr>
        <w:pStyle w:val="FootnoteText"/>
        <w:spacing w:after="0"/>
        <w:rPr>
          <w:lang w:val="es-ES_tradnl"/>
        </w:rPr>
      </w:pPr>
      <w:r>
        <w:rPr>
          <w:rStyle w:val="FootnoteReference"/>
        </w:rPr>
        <w:footnoteRef/>
      </w:r>
      <w:r w:rsidRPr="00070567">
        <w:rPr>
          <w:lang w:val="es-ES_tradnl"/>
        </w:rPr>
        <w:t xml:space="preserve"> </w:t>
      </w:r>
      <w:r>
        <w:rPr>
          <w:lang w:val="es-ES_tradnl"/>
        </w:rPr>
        <w:t>Anexo Problemática asociada con la deficiencia en el suministro o provisión de Servicios Públicos</w:t>
      </w:r>
      <w:r w:rsidRPr="00070567">
        <w:rPr>
          <w:lang w:val="es-ES_tradnl"/>
        </w:rPr>
        <w:t>.</w:t>
      </w:r>
    </w:p>
  </w:footnote>
  <w:footnote w:id="2">
    <w:p w:rsidR="00C648FA" w:rsidRDefault="00C648FA" w:rsidP="00262053">
      <w:pPr>
        <w:pStyle w:val="FootnoteText"/>
        <w:spacing w:after="0"/>
        <w:rPr>
          <w:lang w:val="es-MX"/>
        </w:rPr>
      </w:pPr>
      <w:r>
        <w:rPr>
          <w:rStyle w:val="FootnoteReference"/>
        </w:rPr>
        <w:footnoteRef/>
      </w:r>
      <w:r>
        <w:rPr>
          <w:lang w:val="es-MX"/>
        </w:rPr>
        <w:t xml:space="preserve"> Anexo </w:t>
      </w:r>
      <w:hyperlink r:id="rId1" w:history="1">
        <w:r>
          <w:rPr>
            <w:rStyle w:val="Hyperlink"/>
            <w:lang w:val="es-MX"/>
          </w:rPr>
          <w:t>Resumen del Plan Nacional de Desarrollo</w:t>
        </w:r>
      </w:hyperlink>
      <w:r>
        <w:rPr>
          <w:lang w:val="es-MX"/>
        </w:rPr>
        <w:t>.</w:t>
      </w:r>
    </w:p>
  </w:footnote>
  <w:footnote w:id="3">
    <w:p w:rsidR="00C648FA" w:rsidRPr="00D031C4" w:rsidRDefault="00C648FA" w:rsidP="00262053">
      <w:pPr>
        <w:pStyle w:val="FootnoteText"/>
        <w:spacing w:after="0"/>
        <w:ind w:left="270" w:hanging="270"/>
        <w:rPr>
          <w:lang w:val="es-ES_tradnl"/>
        </w:rPr>
      </w:pPr>
      <w:r>
        <w:rPr>
          <w:rStyle w:val="FootnoteReference"/>
        </w:rPr>
        <w:footnoteRef/>
      </w:r>
      <w:r>
        <w:rPr>
          <w:lang w:val="es-ES"/>
        </w:rPr>
        <w:t xml:space="preserve"> Sistema Unificado se Información de Servicios Públicos. Superintendencia de Servicios Públicos Domiciliarios.  .</w:t>
      </w:r>
      <w:r w:rsidRPr="00D031C4">
        <w:rPr>
          <w:lang w:val="es-ES_tradnl"/>
        </w:rPr>
        <w:t xml:space="preserve"> </w:t>
      </w:r>
    </w:p>
  </w:footnote>
  <w:footnote w:id="4">
    <w:p w:rsidR="00C648FA" w:rsidRDefault="00C648FA" w:rsidP="00C866AE">
      <w:pPr>
        <w:pStyle w:val="FootnoteText"/>
        <w:spacing w:after="0"/>
        <w:ind w:left="270" w:hanging="270"/>
        <w:rPr>
          <w:lang w:val="es-AR"/>
        </w:rPr>
      </w:pPr>
      <w:r>
        <w:rPr>
          <w:rStyle w:val="FootnoteReference"/>
        </w:rPr>
        <w:footnoteRef/>
      </w:r>
      <w:r>
        <w:rPr>
          <w:lang w:val="es-AR"/>
        </w:rPr>
        <w:t xml:space="preserve"> Las EPSP incluyen entidades de derecho privado, entes territoriales, entidades descentralizadas, asociaciones de municipios, empresas de servicios públicos, entidades públicas del orden nacional y patrimonios autónomos que operan a nivel territorial en los siguientes sectores: servicios públicos domiciliarios; salud; educación; vivienda; transporte; recuperación y renovación urbana y equipamiento urbano; deporte, recreación y cultura; centros de comercialización; maquinaria y equipo; telecomunicaciones; medio ambiente; desarrollo institucional; y turismo.</w:t>
      </w:r>
    </w:p>
  </w:footnote>
  <w:footnote w:id="5">
    <w:p w:rsidR="00C648FA" w:rsidRPr="00C866AE" w:rsidRDefault="00C648FA">
      <w:pPr>
        <w:pStyle w:val="FootnoteText"/>
        <w:rPr>
          <w:lang w:val="es-ES_tradnl"/>
        </w:rPr>
      </w:pPr>
      <w:r>
        <w:rPr>
          <w:rStyle w:val="FootnoteReference"/>
        </w:rPr>
        <w:footnoteRef/>
      </w:r>
      <w:r w:rsidRPr="00C866AE">
        <w:rPr>
          <w:lang w:val="es-ES_tradnl"/>
        </w:rPr>
        <w:t xml:space="preserve"> Reseña sobre la infraestructura. </w:t>
      </w:r>
      <w:hyperlink r:id="rId2" w:history="1">
        <w:r w:rsidRPr="0045524C">
          <w:rPr>
            <w:rStyle w:val="Hyperlink"/>
            <w:lang w:val="es-ES_tradnl"/>
          </w:rPr>
          <w:t>http://www.bancomundial.org/temas/resenas/infraestructura.htm</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2533961"/>
      <w:docPartObj>
        <w:docPartGallery w:val="Page Numbers (Top of Page)"/>
        <w:docPartUnique/>
      </w:docPartObj>
    </w:sdtPr>
    <w:sdtContent>
      <w:p w:rsidR="00C648FA" w:rsidRDefault="00C648FA">
        <w:pPr>
          <w:pStyle w:val="Header"/>
          <w:jc w:val="center"/>
          <w:rPr>
            <w:rFonts w:asciiTheme="majorHAnsi" w:hAnsiTheme="majorHAnsi"/>
            <w:sz w:val="28"/>
            <w:szCs w:val="28"/>
          </w:rPr>
        </w:pPr>
        <w:r>
          <w:rPr>
            <w:rFonts w:ascii="Times New Roman" w:hAnsi="Times New Roman" w:cs="Times New Roman"/>
            <w:sz w:val="24"/>
            <w:szCs w:val="24"/>
          </w:rPr>
          <w:t>-</w:t>
        </w:r>
        <w:r w:rsidRPr="000B2B08">
          <w:rPr>
            <w:rFonts w:ascii="Times New Roman" w:hAnsi="Times New Roman" w:cs="Times New Roman"/>
            <w:sz w:val="24"/>
            <w:szCs w:val="24"/>
          </w:rPr>
          <w:t xml:space="preserve"> </w:t>
        </w:r>
        <w:fldSimple w:instr=" PAGE    \* MERGEFORMAT ">
          <w:r w:rsidR="0056158D" w:rsidRPr="0056158D">
            <w:rPr>
              <w:rFonts w:ascii="Times New Roman" w:hAnsi="Times New Roman" w:cs="Times New Roman"/>
              <w:noProof/>
              <w:sz w:val="24"/>
              <w:szCs w:val="24"/>
            </w:rPr>
            <w:t>4</w:t>
          </w:r>
        </w:fldSimple>
        <w:r>
          <w:rPr>
            <w:rFonts w:ascii="Times New Roman" w:hAnsi="Times New Roman" w:cs="Times New Roman"/>
            <w:sz w:val="24"/>
            <w:szCs w:val="24"/>
          </w:rPr>
          <w:t xml:space="preserve"> -</w:t>
        </w:r>
      </w:p>
    </w:sdtContent>
  </w:sdt>
  <w:p w:rsidR="00C648FA" w:rsidRDefault="00C648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3865"/>
    <w:multiLevelType w:val="hybridMultilevel"/>
    <w:tmpl w:val="97E6B66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B1955"/>
    <w:multiLevelType w:val="hybridMultilevel"/>
    <w:tmpl w:val="5C84B752"/>
    <w:lvl w:ilvl="0" w:tplc="5310F83A">
      <w:start w:val="1"/>
      <w:numFmt w:val="lowerRoman"/>
      <w:lvlText w:val="%1."/>
      <w:lvlJc w:val="left"/>
      <w:pPr>
        <w:ind w:left="720" w:hanging="360"/>
      </w:pPr>
      <w:rPr>
        <w:rFonts w:hint="default"/>
      </w:rPr>
    </w:lvl>
    <w:lvl w:ilvl="1" w:tplc="61F42FC0" w:tentative="1">
      <w:start w:val="1"/>
      <w:numFmt w:val="lowerLetter"/>
      <w:lvlText w:val="%2."/>
      <w:lvlJc w:val="left"/>
      <w:pPr>
        <w:ind w:left="1440" w:hanging="360"/>
      </w:pPr>
    </w:lvl>
    <w:lvl w:ilvl="2" w:tplc="3FD2DC8A" w:tentative="1">
      <w:start w:val="1"/>
      <w:numFmt w:val="lowerRoman"/>
      <w:lvlText w:val="%3."/>
      <w:lvlJc w:val="right"/>
      <w:pPr>
        <w:ind w:left="2160" w:hanging="180"/>
      </w:pPr>
    </w:lvl>
    <w:lvl w:ilvl="3" w:tplc="1D9E8174" w:tentative="1">
      <w:start w:val="1"/>
      <w:numFmt w:val="decimal"/>
      <w:lvlText w:val="%4."/>
      <w:lvlJc w:val="left"/>
      <w:pPr>
        <w:ind w:left="2880" w:hanging="360"/>
      </w:pPr>
    </w:lvl>
    <w:lvl w:ilvl="4" w:tplc="9E1E6D62" w:tentative="1">
      <w:start w:val="1"/>
      <w:numFmt w:val="lowerLetter"/>
      <w:lvlText w:val="%5."/>
      <w:lvlJc w:val="left"/>
      <w:pPr>
        <w:ind w:left="3600" w:hanging="360"/>
      </w:pPr>
    </w:lvl>
    <w:lvl w:ilvl="5" w:tplc="A34C3D92" w:tentative="1">
      <w:start w:val="1"/>
      <w:numFmt w:val="lowerRoman"/>
      <w:lvlText w:val="%6."/>
      <w:lvlJc w:val="right"/>
      <w:pPr>
        <w:ind w:left="4320" w:hanging="180"/>
      </w:pPr>
    </w:lvl>
    <w:lvl w:ilvl="6" w:tplc="64BAA4D2" w:tentative="1">
      <w:start w:val="1"/>
      <w:numFmt w:val="decimal"/>
      <w:lvlText w:val="%7."/>
      <w:lvlJc w:val="left"/>
      <w:pPr>
        <w:ind w:left="5040" w:hanging="360"/>
      </w:pPr>
    </w:lvl>
    <w:lvl w:ilvl="7" w:tplc="9490DB6A" w:tentative="1">
      <w:start w:val="1"/>
      <w:numFmt w:val="lowerLetter"/>
      <w:lvlText w:val="%8."/>
      <w:lvlJc w:val="left"/>
      <w:pPr>
        <w:ind w:left="5760" w:hanging="360"/>
      </w:pPr>
    </w:lvl>
    <w:lvl w:ilvl="8" w:tplc="0680BE34" w:tentative="1">
      <w:start w:val="1"/>
      <w:numFmt w:val="lowerRoman"/>
      <w:lvlText w:val="%9."/>
      <w:lvlJc w:val="right"/>
      <w:pPr>
        <w:ind w:left="6480" w:hanging="180"/>
      </w:pPr>
    </w:lvl>
  </w:abstractNum>
  <w:abstractNum w:abstractNumId="2">
    <w:nsid w:val="2EDA1684"/>
    <w:multiLevelType w:val="hybridMultilevel"/>
    <w:tmpl w:val="18F038D0"/>
    <w:lvl w:ilvl="0" w:tplc="EB36FA48">
      <w:start w:val="1"/>
      <w:numFmt w:val="lowerRoman"/>
      <w:lvlText w:val="(%1)"/>
      <w:lvlJc w:val="left"/>
      <w:pPr>
        <w:ind w:left="720" w:hanging="360"/>
      </w:pPr>
      <w:rPr>
        <w:rFonts w:hint="default"/>
      </w:rPr>
    </w:lvl>
    <w:lvl w:ilvl="1" w:tplc="5232D8B2" w:tentative="1">
      <w:start w:val="1"/>
      <w:numFmt w:val="bullet"/>
      <w:lvlText w:val="o"/>
      <w:lvlJc w:val="left"/>
      <w:pPr>
        <w:ind w:left="1440" w:hanging="360"/>
      </w:pPr>
      <w:rPr>
        <w:rFonts w:ascii="Courier New" w:hAnsi="Courier New" w:hint="default"/>
      </w:rPr>
    </w:lvl>
    <w:lvl w:ilvl="2" w:tplc="DB9A6492" w:tentative="1">
      <w:start w:val="1"/>
      <w:numFmt w:val="bullet"/>
      <w:lvlText w:val=""/>
      <w:lvlJc w:val="left"/>
      <w:pPr>
        <w:ind w:left="2160" w:hanging="360"/>
      </w:pPr>
      <w:rPr>
        <w:rFonts w:ascii="Wingdings" w:hAnsi="Wingdings" w:hint="default"/>
      </w:rPr>
    </w:lvl>
    <w:lvl w:ilvl="3" w:tplc="C80AA85E" w:tentative="1">
      <w:start w:val="1"/>
      <w:numFmt w:val="bullet"/>
      <w:lvlText w:val=""/>
      <w:lvlJc w:val="left"/>
      <w:pPr>
        <w:ind w:left="2880" w:hanging="360"/>
      </w:pPr>
      <w:rPr>
        <w:rFonts w:ascii="Symbol" w:hAnsi="Symbol" w:hint="default"/>
      </w:rPr>
    </w:lvl>
    <w:lvl w:ilvl="4" w:tplc="D0CCCB7E" w:tentative="1">
      <w:start w:val="1"/>
      <w:numFmt w:val="bullet"/>
      <w:lvlText w:val="o"/>
      <w:lvlJc w:val="left"/>
      <w:pPr>
        <w:ind w:left="3600" w:hanging="360"/>
      </w:pPr>
      <w:rPr>
        <w:rFonts w:ascii="Courier New" w:hAnsi="Courier New" w:hint="default"/>
      </w:rPr>
    </w:lvl>
    <w:lvl w:ilvl="5" w:tplc="46467D34" w:tentative="1">
      <w:start w:val="1"/>
      <w:numFmt w:val="bullet"/>
      <w:lvlText w:val=""/>
      <w:lvlJc w:val="left"/>
      <w:pPr>
        <w:ind w:left="4320" w:hanging="360"/>
      </w:pPr>
      <w:rPr>
        <w:rFonts w:ascii="Wingdings" w:hAnsi="Wingdings" w:hint="default"/>
      </w:rPr>
    </w:lvl>
    <w:lvl w:ilvl="6" w:tplc="96BE98AE" w:tentative="1">
      <w:start w:val="1"/>
      <w:numFmt w:val="bullet"/>
      <w:lvlText w:val=""/>
      <w:lvlJc w:val="left"/>
      <w:pPr>
        <w:ind w:left="5040" w:hanging="360"/>
      </w:pPr>
      <w:rPr>
        <w:rFonts w:ascii="Symbol" w:hAnsi="Symbol" w:hint="default"/>
      </w:rPr>
    </w:lvl>
    <w:lvl w:ilvl="7" w:tplc="EFF0845E" w:tentative="1">
      <w:start w:val="1"/>
      <w:numFmt w:val="bullet"/>
      <w:lvlText w:val="o"/>
      <w:lvlJc w:val="left"/>
      <w:pPr>
        <w:ind w:left="5760" w:hanging="360"/>
      </w:pPr>
      <w:rPr>
        <w:rFonts w:ascii="Courier New" w:hAnsi="Courier New" w:hint="default"/>
      </w:rPr>
    </w:lvl>
    <w:lvl w:ilvl="8" w:tplc="90A479D0" w:tentative="1">
      <w:start w:val="1"/>
      <w:numFmt w:val="bullet"/>
      <w:lvlText w:val=""/>
      <w:lvlJc w:val="left"/>
      <w:pPr>
        <w:ind w:left="6480" w:hanging="360"/>
      </w:pPr>
      <w:rPr>
        <w:rFonts w:ascii="Wingdings" w:hAnsi="Wingdings" w:hint="default"/>
      </w:rPr>
    </w:lvl>
  </w:abstractNum>
  <w:abstractNum w:abstractNumId="3">
    <w:nsid w:val="42F878B7"/>
    <w:multiLevelType w:val="multilevel"/>
    <w:tmpl w:val="CF14DDD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48786677"/>
    <w:multiLevelType w:val="hybridMultilevel"/>
    <w:tmpl w:val="17E61750"/>
    <w:lvl w:ilvl="0" w:tplc="DA2E997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124FFC"/>
    <w:multiLevelType w:val="hybridMultilevel"/>
    <w:tmpl w:val="17E61750"/>
    <w:lvl w:ilvl="0" w:tplc="53A20782">
      <w:start w:val="1"/>
      <w:numFmt w:val="lowerRoman"/>
      <w:lvlText w:val="(%1)"/>
      <w:lvlJc w:val="left"/>
      <w:pPr>
        <w:ind w:left="1080" w:hanging="360"/>
      </w:pPr>
      <w:rPr>
        <w:rFonts w:hint="default"/>
      </w:rPr>
    </w:lvl>
    <w:lvl w:ilvl="1" w:tplc="5C9AFB5A" w:tentative="1">
      <w:start w:val="1"/>
      <w:numFmt w:val="lowerLetter"/>
      <w:lvlText w:val="%2."/>
      <w:lvlJc w:val="left"/>
      <w:pPr>
        <w:ind w:left="1800" w:hanging="360"/>
      </w:pPr>
    </w:lvl>
    <w:lvl w:ilvl="2" w:tplc="5258753C" w:tentative="1">
      <w:start w:val="1"/>
      <w:numFmt w:val="lowerRoman"/>
      <w:lvlText w:val="%3."/>
      <w:lvlJc w:val="right"/>
      <w:pPr>
        <w:ind w:left="2520" w:hanging="180"/>
      </w:pPr>
    </w:lvl>
    <w:lvl w:ilvl="3" w:tplc="E45C24BC" w:tentative="1">
      <w:start w:val="1"/>
      <w:numFmt w:val="decimal"/>
      <w:lvlText w:val="%4."/>
      <w:lvlJc w:val="left"/>
      <w:pPr>
        <w:ind w:left="3240" w:hanging="360"/>
      </w:pPr>
    </w:lvl>
    <w:lvl w:ilvl="4" w:tplc="AF1E9D9A" w:tentative="1">
      <w:start w:val="1"/>
      <w:numFmt w:val="lowerLetter"/>
      <w:lvlText w:val="%5."/>
      <w:lvlJc w:val="left"/>
      <w:pPr>
        <w:ind w:left="3960" w:hanging="360"/>
      </w:pPr>
    </w:lvl>
    <w:lvl w:ilvl="5" w:tplc="9CC81BD8" w:tentative="1">
      <w:start w:val="1"/>
      <w:numFmt w:val="lowerRoman"/>
      <w:lvlText w:val="%6."/>
      <w:lvlJc w:val="right"/>
      <w:pPr>
        <w:ind w:left="4680" w:hanging="180"/>
      </w:pPr>
    </w:lvl>
    <w:lvl w:ilvl="6" w:tplc="ACD27CB4" w:tentative="1">
      <w:start w:val="1"/>
      <w:numFmt w:val="decimal"/>
      <w:lvlText w:val="%7."/>
      <w:lvlJc w:val="left"/>
      <w:pPr>
        <w:ind w:left="5400" w:hanging="360"/>
      </w:pPr>
    </w:lvl>
    <w:lvl w:ilvl="7" w:tplc="A17230AC" w:tentative="1">
      <w:start w:val="1"/>
      <w:numFmt w:val="lowerLetter"/>
      <w:lvlText w:val="%8."/>
      <w:lvlJc w:val="left"/>
      <w:pPr>
        <w:ind w:left="6120" w:hanging="360"/>
      </w:pPr>
    </w:lvl>
    <w:lvl w:ilvl="8" w:tplc="8222D7BC" w:tentative="1">
      <w:start w:val="1"/>
      <w:numFmt w:val="lowerRoman"/>
      <w:lvlText w:val="%9."/>
      <w:lvlJc w:val="right"/>
      <w:pPr>
        <w:ind w:left="6840" w:hanging="180"/>
      </w:pPr>
    </w:lvl>
  </w:abstractNum>
  <w:abstractNum w:abstractNumId="6">
    <w:nsid w:val="620933FF"/>
    <w:multiLevelType w:val="multilevel"/>
    <w:tmpl w:val="3ECC820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66E05CB2"/>
    <w:multiLevelType w:val="hybridMultilevel"/>
    <w:tmpl w:val="E8A80530"/>
    <w:lvl w:ilvl="0" w:tplc="DA2E9976">
      <w:start w:val="1"/>
      <w:numFmt w:val="lowerRoman"/>
      <w:lvlText w:val="(%1)"/>
      <w:lvlJc w:val="left"/>
      <w:pPr>
        <w:ind w:left="720" w:hanging="360"/>
      </w:pPr>
      <w:rPr>
        <w:rFonts w:hint="default"/>
      </w:rPr>
    </w:lvl>
    <w:lvl w:ilvl="1" w:tplc="A956D908">
      <w:start w:val="1"/>
      <w:numFmt w:val="lowerLetter"/>
      <w:lvlText w:val="%2."/>
      <w:lvlJc w:val="left"/>
      <w:pPr>
        <w:ind w:left="1440" w:hanging="360"/>
      </w:pPr>
    </w:lvl>
    <w:lvl w:ilvl="2" w:tplc="A6940106" w:tentative="1">
      <w:start w:val="1"/>
      <w:numFmt w:val="lowerRoman"/>
      <w:lvlText w:val="%3."/>
      <w:lvlJc w:val="right"/>
      <w:pPr>
        <w:ind w:left="2160" w:hanging="180"/>
      </w:pPr>
    </w:lvl>
    <w:lvl w:ilvl="3" w:tplc="AA0069D0" w:tentative="1">
      <w:start w:val="1"/>
      <w:numFmt w:val="decimal"/>
      <w:lvlText w:val="%4."/>
      <w:lvlJc w:val="left"/>
      <w:pPr>
        <w:ind w:left="2880" w:hanging="360"/>
      </w:pPr>
    </w:lvl>
    <w:lvl w:ilvl="4" w:tplc="DCD0B5D4" w:tentative="1">
      <w:start w:val="1"/>
      <w:numFmt w:val="lowerLetter"/>
      <w:lvlText w:val="%5."/>
      <w:lvlJc w:val="left"/>
      <w:pPr>
        <w:ind w:left="3600" w:hanging="360"/>
      </w:pPr>
    </w:lvl>
    <w:lvl w:ilvl="5" w:tplc="F34AF7D6" w:tentative="1">
      <w:start w:val="1"/>
      <w:numFmt w:val="lowerRoman"/>
      <w:lvlText w:val="%6."/>
      <w:lvlJc w:val="right"/>
      <w:pPr>
        <w:ind w:left="4320" w:hanging="180"/>
      </w:pPr>
    </w:lvl>
    <w:lvl w:ilvl="6" w:tplc="93A6F324" w:tentative="1">
      <w:start w:val="1"/>
      <w:numFmt w:val="decimal"/>
      <w:lvlText w:val="%7."/>
      <w:lvlJc w:val="left"/>
      <w:pPr>
        <w:ind w:left="5040" w:hanging="360"/>
      </w:pPr>
    </w:lvl>
    <w:lvl w:ilvl="7" w:tplc="601A2444" w:tentative="1">
      <w:start w:val="1"/>
      <w:numFmt w:val="lowerLetter"/>
      <w:lvlText w:val="%8."/>
      <w:lvlJc w:val="left"/>
      <w:pPr>
        <w:ind w:left="5760" w:hanging="360"/>
      </w:pPr>
    </w:lvl>
    <w:lvl w:ilvl="8" w:tplc="8C7040B6" w:tentative="1">
      <w:start w:val="1"/>
      <w:numFmt w:val="lowerRoman"/>
      <w:lvlText w:val="%9."/>
      <w:lvlJc w:val="right"/>
      <w:pPr>
        <w:ind w:left="6480" w:hanging="180"/>
      </w:pPr>
    </w:lvl>
  </w:abstractNum>
  <w:abstractNum w:abstractNumId="8">
    <w:nsid w:val="78C310E0"/>
    <w:multiLevelType w:val="hybridMultilevel"/>
    <w:tmpl w:val="17E61750"/>
    <w:lvl w:ilvl="0" w:tplc="B53419E6">
      <w:start w:val="1"/>
      <w:numFmt w:val="lowerRoman"/>
      <w:lvlText w:val="(%1)"/>
      <w:lvlJc w:val="left"/>
      <w:pPr>
        <w:ind w:left="1080" w:hanging="360"/>
      </w:pPr>
      <w:rPr>
        <w:rFonts w:hint="default"/>
      </w:rPr>
    </w:lvl>
    <w:lvl w:ilvl="1" w:tplc="0EE25A0E" w:tentative="1">
      <w:start w:val="1"/>
      <w:numFmt w:val="lowerLetter"/>
      <w:lvlText w:val="%2."/>
      <w:lvlJc w:val="left"/>
      <w:pPr>
        <w:ind w:left="1800" w:hanging="360"/>
      </w:pPr>
    </w:lvl>
    <w:lvl w:ilvl="2" w:tplc="3ABA7240" w:tentative="1">
      <w:start w:val="1"/>
      <w:numFmt w:val="lowerRoman"/>
      <w:lvlText w:val="%3."/>
      <w:lvlJc w:val="right"/>
      <w:pPr>
        <w:ind w:left="2520" w:hanging="180"/>
      </w:pPr>
    </w:lvl>
    <w:lvl w:ilvl="3" w:tplc="5C267EC4" w:tentative="1">
      <w:start w:val="1"/>
      <w:numFmt w:val="decimal"/>
      <w:lvlText w:val="%4."/>
      <w:lvlJc w:val="left"/>
      <w:pPr>
        <w:ind w:left="3240" w:hanging="360"/>
      </w:pPr>
    </w:lvl>
    <w:lvl w:ilvl="4" w:tplc="CB5C1744" w:tentative="1">
      <w:start w:val="1"/>
      <w:numFmt w:val="lowerLetter"/>
      <w:lvlText w:val="%5."/>
      <w:lvlJc w:val="left"/>
      <w:pPr>
        <w:ind w:left="3960" w:hanging="360"/>
      </w:pPr>
    </w:lvl>
    <w:lvl w:ilvl="5" w:tplc="F4DE9276" w:tentative="1">
      <w:start w:val="1"/>
      <w:numFmt w:val="lowerRoman"/>
      <w:lvlText w:val="%6."/>
      <w:lvlJc w:val="right"/>
      <w:pPr>
        <w:ind w:left="4680" w:hanging="180"/>
      </w:pPr>
    </w:lvl>
    <w:lvl w:ilvl="6" w:tplc="212E22AE" w:tentative="1">
      <w:start w:val="1"/>
      <w:numFmt w:val="decimal"/>
      <w:lvlText w:val="%7."/>
      <w:lvlJc w:val="left"/>
      <w:pPr>
        <w:ind w:left="5400" w:hanging="360"/>
      </w:pPr>
    </w:lvl>
    <w:lvl w:ilvl="7" w:tplc="E814E380" w:tentative="1">
      <w:start w:val="1"/>
      <w:numFmt w:val="lowerLetter"/>
      <w:lvlText w:val="%8."/>
      <w:lvlJc w:val="left"/>
      <w:pPr>
        <w:ind w:left="6120" w:hanging="360"/>
      </w:pPr>
    </w:lvl>
    <w:lvl w:ilvl="8" w:tplc="4382656E" w:tentative="1">
      <w:start w:val="1"/>
      <w:numFmt w:val="lowerRoman"/>
      <w:lvlText w:val="%9."/>
      <w:lvlJc w:val="right"/>
      <w:pPr>
        <w:ind w:left="6840" w:hanging="180"/>
      </w:pPr>
    </w:lvl>
  </w:abstractNum>
  <w:abstractNum w:abstractNumId="9">
    <w:nsid w:val="7A7824F3"/>
    <w:multiLevelType w:val="hybridMultilevel"/>
    <w:tmpl w:val="17E61750"/>
    <w:lvl w:ilvl="0" w:tplc="DA2E997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275BF7"/>
    <w:multiLevelType w:val="hybridMultilevel"/>
    <w:tmpl w:val="C8C611A2"/>
    <w:lvl w:ilvl="0" w:tplc="DA2E9976">
      <w:start w:val="1"/>
      <w:numFmt w:val="lowerRoman"/>
      <w:lvlText w:val="%1."/>
      <w:lvlJc w:val="left"/>
      <w:pPr>
        <w:ind w:left="720" w:hanging="360"/>
      </w:pPr>
      <w:rPr>
        <w:rFonts w:hint="default"/>
      </w:rPr>
    </w:lvl>
    <w:lvl w:ilvl="1" w:tplc="A956D908" w:tentative="1">
      <w:start w:val="1"/>
      <w:numFmt w:val="bullet"/>
      <w:lvlText w:val="o"/>
      <w:lvlJc w:val="left"/>
      <w:pPr>
        <w:ind w:left="1440" w:hanging="360"/>
      </w:pPr>
      <w:rPr>
        <w:rFonts w:ascii="Courier New" w:hAnsi="Courier New" w:hint="default"/>
      </w:rPr>
    </w:lvl>
    <w:lvl w:ilvl="2" w:tplc="A6940106" w:tentative="1">
      <w:start w:val="1"/>
      <w:numFmt w:val="bullet"/>
      <w:lvlText w:val=""/>
      <w:lvlJc w:val="left"/>
      <w:pPr>
        <w:ind w:left="2160" w:hanging="360"/>
      </w:pPr>
      <w:rPr>
        <w:rFonts w:ascii="Wingdings" w:hAnsi="Wingdings" w:hint="default"/>
      </w:rPr>
    </w:lvl>
    <w:lvl w:ilvl="3" w:tplc="AA0069D0" w:tentative="1">
      <w:start w:val="1"/>
      <w:numFmt w:val="bullet"/>
      <w:lvlText w:val=""/>
      <w:lvlJc w:val="left"/>
      <w:pPr>
        <w:ind w:left="2880" w:hanging="360"/>
      </w:pPr>
      <w:rPr>
        <w:rFonts w:ascii="Symbol" w:hAnsi="Symbol" w:hint="default"/>
      </w:rPr>
    </w:lvl>
    <w:lvl w:ilvl="4" w:tplc="DCD0B5D4" w:tentative="1">
      <w:start w:val="1"/>
      <w:numFmt w:val="bullet"/>
      <w:lvlText w:val="o"/>
      <w:lvlJc w:val="left"/>
      <w:pPr>
        <w:ind w:left="3600" w:hanging="360"/>
      </w:pPr>
      <w:rPr>
        <w:rFonts w:ascii="Courier New" w:hAnsi="Courier New" w:hint="default"/>
      </w:rPr>
    </w:lvl>
    <w:lvl w:ilvl="5" w:tplc="F34AF7D6" w:tentative="1">
      <w:start w:val="1"/>
      <w:numFmt w:val="bullet"/>
      <w:lvlText w:val=""/>
      <w:lvlJc w:val="left"/>
      <w:pPr>
        <w:ind w:left="4320" w:hanging="360"/>
      </w:pPr>
      <w:rPr>
        <w:rFonts w:ascii="Wingdings" w:hAnsi="Wingdings" w:hint="default"/>
      </w:rPr>
    </w:lvl>
    <w:lvl w:ilvl="6" w:tplc="93A6F324" w:tentative="1">
      <w:start w:val="1"/>
      <w:numFmt w:val="bullet"/>
      <w:lvlText w:val=""/>
      <w:lvlJc w:val="left"/>
      <w:pPr>
        <w:ind w:left="5040" w:hanging="360"/>
      </w:pPr>
      <w:rPr>
        <w:rFonts w:ascii="Symbol" w:hAnsi="Symbol" w:hint="default"/>
      </w:rPr>
    </w:lvl>
    <w:lvl w:ilvl="7" w:tplc="601A2444" w:tentative="1">
      <w:start w:val="1"/>
      <w:numFmt w:val="bullet"/>
      <w:lvlText w:val="o"/>
      <w:lvlJc w:val="left"/>
      <w:pPr>
        <w:ind w:left="5760" w:hanging="360"/>
      </w:pPr>
      <w:rPr>
        <w:rFonts w:ascii="Courier New" w:hAnsi="Courier New" w:hint="default"/>
      </w:rPr>
    </w:lvl>
    <w:lvl w:ilvl="8" w:tplc="8C7040B6" w:tentative="1">
      <w:start w:val="1"/>
      <w:numFmt w:val="bullet"/>
      <w:lvlText w:val=""/>
      <w:lvlJc w:val="left"/>
      <w:pPr>
        <w:ind w:left="6480" w:hanging="360"/>
      </w:pPr>
      <w:rPr>
        <w:rFonts w:ascii="Wingdings" w:hAnsi="Wingdings" w:hint="default"/>
      </w:rPr>
    </w:lvl>
  </w:abstractNum>
  <w:abstractNum w:abstractNumId="11">
    <w:nsid w:val="7E991043"/>
    <w:multiLevelType w:val="hybridMultilevel"/>
    <w:tmpl w:val="17E61750"/>
    <w:lvl w:ilvl="0" w:tplc="DA2E9976">
      <w:start w:val="1"/>
      <w:numFmt w:val="lowerRoman"/>
      <w:lvlText w:val="(%1)"/>
      <w:lvlJc w:val="left"/>
      <w:pPr>
        <w:ind w:left="1080" w:hanging="360"/>
      </w:pPr>
      <w:rPr>
        <w:rFonts w:hint="default"/>
      </w:rPr>
    </w:lvl>
    <w:lvl w:ilvl="1" w:tplc="A956D908" w:tentative="1">
      <w:start w:val="1"/>
      <w:numFmt w:val="lowerLetter"/>
      <w:lvlText w:val="%2."/>
      <w:lvlJc w:val="left"/>
      <w:pPr>
        <w:ind w:left="1800" w:hanging="360"/>
      </w:pPr>
    </w:lvl>
    <w:lvl w:ilvl="2" w:tplc="A6940106" w:tentative="1">
      <w:start w:val="1"/>
      <w:numFmt w:val="lowerRoman"/>
      <w:lvlText w:val="%3."/>
      <w:lvlJc w:val="right"/>
      <w:pPr>
        <w:ind w:left="2520" w:hanging="180"/>
      </w:pPr>
    </w:lvl>
    <w:lvl w:ilvl="3" w:tplc="AA0069D0" w:tentative="1">
      <w:start w:val="1"/>
      <w:numFmt w:val="decimal"/>
      <w:lvlText w:val="%4."/>
      <w:lvlJc w:val="left"/>
      <w:pPr>
        <w:ind w:left="3240" w:hanging="360"/>
      </w:pPr>
    </w:lvl>
    <w:lvl w:ilvl="4" w:tplc="DCD0B5D4" w:tentative="1">
      <w:start w:val="1"/>
      <w:numFmt w:val="lowerLetter"/>
      <w:lvlText w:val="%5."/>
      <w:lvlJc w:val="left"/>
      <w:pPr>
        <w:ind w:left="3960" w:hanging="360"/>
      </w:pPr>
    </w:lvl>
    <w:lvl w:ilvl="5" w:tplc="F34AF7D6" w:tentative="1">
      <w:start w:val="1"/>
      <w:numFmt w:val="lowerRoman"/>
      <w:lvlText w:val="%6."/>
      <w:lvlJc w:val="right"/>
      <w:pPr>
        <w:ind w:left="4680" w:hanging="180"/>
      </w:pPr>
    </w:lvl>
    <w:lvl w:ilvl="6" w:tplc="93A6F324" w:tentative="1">
      <w:start w:val="1"/>
      <w:numFmt w:val="decimal"/>
      <w:lvlText w:val="%7."/>
      <w:lvlJc w:val="left"/>
      <w:pPr>
        <w:ind w:left="5400" w:hanging="360"/>
      </w:pPr>
    </w:lvl>
    <w:lvl w:ilvl="7" w:tplc="601A2444" w:tentative="1">
      <w:start w:val="1"/>
      <w:numFmt w:val="lowerLetter"/>
      <w:lvlText w:val="%8."/>
      <w:lvlJc w:val="left"/>
      <w:pPr>
        <w:ind w:left="6120" w:hanging="360"/>
      </w:pPr>
    </w:lvl>
    <w:lvl w:ilvl="8" w:tplc="8C7040B6" w:tentative="1">
      <w:start w:val="1"/>
      <w:numFmt w:val="lowerRoman"/>
      <w:lvlText w:val="%9."/>
      <w:lvlJc w:val="right"/>
      <w:pPr>
        <w:ind w:left="6840" w:hanging="180"/>
      </w:pPr>
    </w:lvl>
  </w:abstractNum>
  <w:num w:numId="1">
    <w:abstractNumId w:val="3"/>
  </w:num>
  <w:num w:numId="2">
    <w:abstractNumId w:val="6"/>
  </w:num>
  <w:num w:numId="3">
    <w:abstractNumId w:val="10"/>
  </w:num>
  <w:num w:numId="4">
    <w:abstractNumId w:val="1"/>
  </w:num>
  <w:num w:numId="5">
    <w:abstractNumId w:val="8"/>
  </w:num>
  <w:num w:numId="6">
    <w:abstractNumId w:val="0"/>
  </w:num>
  <w:num w:numId="7">
    <w:abstractNumId w:val="9"/>
  </w:num>
  <w:num w:numId="8">
    <w:abstractNumId w:val="3"/>
  </w:num>
  <w:num w:numId="9">
    <w:abstractNumId w:val="2"/>
  </w:num>
  <w:num w:numId="10">
    <w:abstractNumId w:val="7"/>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5"/>
  </w:num>
  <w:num w:numId="20">
    <w:abstractNumId w:val="3"/>
  </w:num>
  <w:num w:numId="21">
    <w:abstractNumId w:val="3"/>
  </w:num>
  <w:num w:numId="22">
    <w:abstractNumId w:val="3"/>
  </w:num>
  <w:num w:numId="23">
    <w:abstractNumId w:val="11"/>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10"/>
  <w:displayHorizontalDrawingGridEvery w:val="2"/>
  <w:characterSpacingControl w:val="doNotCompress"/>
  <w:savePreviewPicture/>
  <w:hdrShapeDefaults>
    <o:shapedefaults v:ext="edit" spidmax="26625"/>
  </w:hdrShapeDefaults>
  <w:footnotePr>
    <w:footnote w:id="-1"/>
    <w:footnote w:id="0"/>
  </w:footnotePr>
  <w:endnotePr>
    <w:endnote w:id="-1"/>
    <w:endnote w:id="0"/>
  </w:endnotePr>
  <w:compat>
    <w:doNotUseHTMLParagraphAutoSpacing/>
  </w:compat>
  <w:rsids>
    <w:rsidRoot w:val="004C0076"/>
    <w:rsid w:val="00011264"/>
    <w:rsid w:val="00027662"/>
    <w:rsid w:val="0003466E"/>
    <w:rsid w:val="00042B9E"/>
    <w:rsid w:val="000631D8"/>
    <w:rsid w:val="0007522D"/>
    <w:rsid w:val="00081173"/>
    <w:rsid w:val="000912F5"/>
    <w:rsid w:val="00095F4F"/>
    <w:rsid w:val="000A0A8C"/>
    <w:rsid w:val="000B062B"/>
    <w:rsid w:val="000B16D6"/>
    <w:rsid w:val="000B2B08"/>
    <w:rsid w:val="000B6E12"/>
    <w:rsid w:val="000B6E66"/>
    <w:rsid w:val="000B7DF6"/>
    <w:rsid w:val="000E7874"/>
    <w:rsid w:val="000F2055"/>
    <w:rsid w:val="00105082"/>
    <w:rsid w:val="00114FDE"/>
    <w:rsid w:val="001355B0"/>
    <w:rsid w:val="0014478B"/>
    <w:rsid w:val="0016645D"/>
    <w:rsid w:val="001678D3"/>
    <w:rsid w:val="0018141F"/>
    <w:rsid w:val="001A519B"/>
    <w:rsid w:val="001A7378"/>
    <w:rsid w:val="001B25C1"/>
    <w:rsid w:val="001B48B9"/>
    <w:rsid w:val="001C10C0"/>
    <w:rsid w:val="001C2AF0"/>
    <w:rsid w:val="001C565D"/>
    <w:rsid w:val="001C58DE"/>
    <w:rsid w:val="001D06CF"/>
    <w:rsid w:val="001E00BB"/>
    <w:rsid w:val="001E0C82"/>
    <w:rsid w:val="001E1C12"/>
    <w:rsid w:val="001E2AE6"/>
    <w:rsid w:val="001E4EF5"/>
    <w:rsid w:val="0020069F"/>
    <w:rsid w:val="002345AA"/>
    <w:rsid w:val="002352FD"/>
    <w:rsid w:val="002427E3"/>
    <w:rsid w:val="00243843"/>
    <w:rsid w:val="00262053"/>
    <w:rsid w:val="00262CC2"/>
    <w:rsid w:val="00297CDD"/>
    <w:rsid w:val="002A06F2"/>
    <w:rsid w:val="002A56F2"/>
    <w:rsid w:val="002B7DA8"/>
    <w:rsid w:val="002C7F16"/>
    <w:rsid w:val="002D3A54"/>
    <w:rsid w:val="002D68E3"/>
    <w:rsid w:val="002E66AC"/>
    <w:rsid w:val="003011A4"/>
    <w:rsid w:val="003042AC"/>
    <w:rsid w:val="00305DEB"/>
    <w:rsid w:val="00315656"/>
    <w:rsid w:val="003279BB"/>
    <w:rsid w:val="0033207F"/>
    <w:rsid w:val="003723C3"/>
    <w:rsid w:val="00373054"/>
    <w:rsid w:val="003752A5"/>
    <w:rsid w:val="003A39FF"/>
    <w:rsid w:val="003A6898"/>
    <w:rsid w:val="003B38A2"/>
    <w:rsid w:val="003C2F71"/>
    <w:rsid w:val="003C394E"/>
    <w:rsid w:val="003D0CF8"/>
    <w:rsid w:val="003D7B88"/>
    <w:rsid w:val="003F20B8"/>
    <w:rsid w:val="003F4A68"/>
    <w:rsid w:val="00400EAD"/>
    <w:rsid w:val="00406BF2"/>
    <w:rsid w:val="004171C8"/>
    <w:rsid w:val="004178F8"/>
    <w:rsid w:val="00420B78"/>
    <w:rsid w:val="00423005"/>
    <w:rsid w:val="00447A0F"/>
    <w:rsid w:val="0045183B"/>
    <w:rsid w:val="00455162"/>
    <w:rsid w:val="00493C25"/>
    <w:rsid w:val="00496482"/>
    <w:rsid w:val="004B42D0"/>
    <w:rsid w:val="004C0076"/>
    <w:rsid w:val="004C2745"/>
    <w:rsid w:val="004C38D6"/>
    <w:rsid w:val="004C43A5"/>
    <w:rsid w:val="004F30C6"/>
    <w:rsid w:val="00511B15"/>
    <w:rsid w:val="00512A61"/>
    <w:rsid w:val="005133E5"/>
    <w:rsid w:val="00552D05"/>
    <w:rsid w:val="0056158D"/>
    <w:rsid w:val="00565829"/>
    <w:rsid w:val="0056697E"/>
    <w:rsid w:val="00581359"/>
    <w:rsid w:val="0058355F"/>
    <w:rsid w:val="005916F4"/>
    <w:rsid w:val="005972BB"/>
    <w:rsid w:val="005A3749"/>
    <w:rsid w:val="005A6171"/>
    <w:rsid w:val="005B163F"/>
    <w:rsid w:val="005B7F59"/>
    <w:rsid w:val="005D6CBC"/>
    <w:rsid w:val="005F09CB"/>
    <w:rsid w:val="005F7BFB"/>
    <w:rsid w:val="00602F69"/>
    <w:rsid w:val="00603599"/>
    <w:rsid w:val="00617C83"/>
    <w:rsid w:val="00633485"/>
    <w:rsid w:val="00637170"/>
    <w:rsid w:val="0064307C"/>
    <w:rsid w:val="006453C6"/>
    <w:rsid w:val="006562E7"/>
    <w:rsid w:val="006609C4"/>
    <w:rsid w:val="00676E33"/>
    <w:rsid w:val="0069544C"/>
    <w:rsid w:val="00700B33"/>
    <w:rsid w:val="00710BE1"/>
    <w:rsid w:val="00740082"/>
    <w:rsid w:val="00742F66"/>
    <w:rsid w:val="00753D5F"/>
    <w:rsid w:val="0078026B"/>
    <w:rsid w:val="007906E3"/>
    <w:rsid w:val="007A5A76"/>
    <w:rsid w:val="007B48F2"/>
    <w:rsid w:val="007B6208"/>
    <w:rsid w:val="007B6A7F"/>
    <w:rsid w:val="007C0ECB"/>
    <w:rsid w:val="007C1D99"/>
    <w:rsid w:val="007D3E49"/>
    <w:rsid w:val="007D6517"/>
    <w:rsid w:val="00807168"/>
    <w:rsid w:val="00820E14"/>
    <w:rsid w:val="008325D8"/>
    <w:rsid w:val="00883326"/>
    <w:rsid w:val="00885B62"/>
    <w:rsid w:val="00887A7C"/>
    <w:rsid w:val="008921F5"/>
    <w:rsid w:val="00893D0D"/>
    <w:rsid w:val="008A47CB"/>
    <w:rsid w:val="008A6DCA"/>
    <w:rsid w:val="008B70E6"/>
    <w:rsid w:val="008C4F91"/>
    <w:rsid w:val="008E149A"/>
    <w:rsid w:val="008E397B"/>
    <w:rsid w:val="008E3AFE"/>
    <w:rsid w:val="008F010B"/>
    <w:rsid w:val="008F6818"/>
    <w:rsid w:val="009044F5"/>
    <w:rsid w:val="0092404A"/>
    <w:rsid w:val="00936BA2"/>
    <w:rsid w:val="00972F2F"/>
    <w:rsid w:val="0097530C"/>
    <w:rsid w:val="00980B47"/>
    <w:rsid w:val="00981503"/>
    <w:rsid w:val="00992158"/>
    <w:rsid w:val="009B5866"/>
    <w:rsid w:val="009D20B5"/>
    <w:rsid w:val="009D4AFD"/>
    <w:rsid w:val="009D7FC3"/>
    <w:rsid w:val="00A07D1C"/>
    <w:rsid w:val="00A120B5"/>
    <w:rsid w:val="00A225ED"/>
    <w:rsid w:val="00A35EA2"/>
    <w:rsid w:val="00A41F78"/>
    <w:rsid w:val="00A43489"/>
    <w:rsid w:val="00A65A9B"/>
    <w:rsid w:val="00A704AB"/>
    <w:rsid w:val="00A75758"/>
    <w:rsid w:val="00A76EC1"/>
    <w:rsid w:val="00AB3625"/>
    <w:rsid w:val="00AC2A6A"/>
    <w:rsid w:val="00AD44EA"/>
    <w:rsid w:val="00AD60DA"/>
    <w:rsid w:val="00AE2B9C"/>
    <w:rsid w:val="00B05278"/>
    <w:rsid w:val="00B06095"/>
    <w:rsid w:val="00B31E49"/>
    <w:rsid w:val="00B51CD0"/>
    <w:rsid w:val="00B6753E"/>
    <w:rsid w:val="00B7776E"/>
    <w:rsid w:val="00B865FA"/>
    <w:rsid w:val="00BA23C8"/>
    <w:rsid w:val="00BA595B"/>
    <w:rsid w:val="00BB0155"/>
    <w:rsid w:val="00BC22A8"/>
    <w:rsid w:val="00BD5197"/>
    <w:rsid w:val="00BE1DA1"/>
    <w:rsid w:val="00BF2354"/>
    <w:rsid w:val="00BF3158"/>
    <w:rsid w:val="00BF667A"/>
    <w:rsid w:val="00C07E0C"/>
    <w:rsid w:val="00C11636"/>
    <w:rsid w:val="00C16414"/>
    <w:rsid w:val="00C2549D"/>
    <w:rsid w:val="00C30024"/>
    <w:rsid w:val="00C40BE3"/>
    <w:rsid w:val="00C648FA"/>
    <w:rsid w:val="00C65186"/>
    <w:rsid w:val="00C724EC"/>
    <w:rsid w:val="00C85B68"/>
    <w:rsid w:val="00C866AE"/>
    <w:rsid w:val="00C86F50"/>
    <w:rsid w:val="00CA1B84"/>
    <w:rsid w:val="00CA457F"/>
    <w:rsid w:val="00CB1789"/>
    <w:rsid w:val="00CC1654"/>
    <w:rsid w:val="00CC4D08"/>
    <w:rsid w:val="00CF4C8F"/>
    <w:rsid w:val="00CF5ACD"/>
    <w:rsid w:val="00D02F34"/>
    <w:rsid w:val="00D1145F"/>
    <w:rsid w:val="00D17997"/>
    <w:rsid w:val="00D208D7"/>
    <w:rsid w:val="00D34EC9"/>
    <w:rsid w:val="00D435B7"/>
    <w:rsid w:val="00D55D1B"/>
    <w:rsid w:val="00D560D9"/>
    <w:rsid w:val="00D66825"/>
    <w:rsid w:val="00D72966"/>
    <w:rsid w:val="00D742D0"/>
    <w:rsid w:val="00D77CC4"/>
    <w:rsid w:val="00D978AD"/>
    <w:rsid w:val="00DA03EA"/>
    <w:rsid w:val="00DB1502"/>
    <w:rsid w:val="00DC1279"/>
    <w:rsid w:val="00DD412C"/>
    <w:rsid w:val="00DE0315"/>
    <w:rsid w:val="00DF433F"/>
    <w:rsid w:val="00E21E1A"/>
    <w:rsid w:val="00E264ED"/>
    <w:rsid w:val="00E464E6"/>
    <w:rsid w:val="00E516E1"/>
    <w:rsid w:val="00E547B5"/>
    <w:rsid w:val="00E54825"/>
    <w:rsid w:val="00E7570F"/>
    <w:rsid w:val="00E81924"/>
    <w:rsid w:val="00E81EFE"/>
    <w:rsid w:val="00E837CB"/>
    <w:rsid w:val="00E838B7"/>
    <w:rsid w:val="00E95469"/>
    <w:rsid w:val="00EA4CF0"/>
    <w:rsid w:val="00EC6B5A"/>
    <w:rsid w:val="00ED1E4B"/>
    <w:rsid w:val="00EE30E0"/>
    <w:rsid w:val="00F379A5"/>
    <w:rsid w:val="00F45591"/>
    <w:rsid w:val="00F4575F"/>
    <w:rsid w:val="00F50E58"/>
    <w:rsid w:val="00F56D0E"/>
    <w:rsid w:val="00F66D79"/>
    <w:rsid w:val="00F830E2"/>
    <w:rsid w:val="00FB08E1"/>
    <w:rsid w:val="00FB0A1D"/>
    <w:rsid w:val="00FC5CEB"/>
    <w:rsid w:val="00FD358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31561B"/>
  </w:style>
  <w:style w:type="paragraph" w:styleId="Heading2">
    <w:name w:val="heading 2"/>
    <w:basedOn w:val="Normal"/>
    <w:next w:val="Normal"/>
    <w:link w:val="Heading2Char"/>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EA4C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A23C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A23C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A23C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A23C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A23C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rsid w:val="00BA23C8"/>
    <w:pPr>
      <w:numPr>
        <w:ilvl w:val="1"/>
        <w:numId w:val="1"/>
      </w:numPr>
      <w:spacing w:before="1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A23C8"/>
    <w:rPr>
      <w:rFonts w:ascii="Times New Roman Bold" w:hAnsi="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A4C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A23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A23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A23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A23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A23C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
    <w:basedOn w:val="Normal"/>
    <w:link w:val="FootnoteTextChar"/>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rsid w:val="000B2B08"/>
    <w:pPr>
      <w:tabs>
        <w:tab w:val="center" w:pos="4680"/>
        <w:tab w:val="right" w:pos="9360"/>
      </w:tabs>
      <w:spacing w:after="0" w:line="240" w:lineRule="auto"/>
    </w:pPr>
  </w:style>
  <w:style w:type="character" w:customStyle="1" w:styleId="FooterChar">
    <w:name w:val="Footer Char"/>
    <w:basedOn w:val="DefaultParagraphFont"/>
    <w:link w:val="Footer"/>
    <w:rsid w:val="000B2B08"/>
  </w:style>
  <w:style w:type="paragraph" w:customStyle="1" w:styleId="Newpage">
    <w:name w:val="Newpage"/>
    <w:basedOn w:val="Chapter"/>
    <w:rsid w:val="00095F4F"/>
    <w:pPr>
      <w:numPr>
        <w:numId w:val="0"/>
      </w:numPr>
      <w:tabs>
        <w:tab w:val="clear" w:pos="1440"/>
        <w:tab w:val="left" w:pos="3060"/>
      </w:tabs>
      <w:spacing w:after="0"/>
    </w:pPr>
    <w:rPr>
      <w:rFonts w:eastAsia="Times New Roman"/>
      <w:szCs w:val="20"/>
      <w:lang w:val="es-ES"/>
    </w:rPr>
  </w:style>
  <w:style w:type="paragraph" w:customStyle="1" w:styleId="Default">
    <w:name w:val="Default"/>
    <w:rsid w:val="00095F4F"/>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aliases w:val="ftref,titulo 2"/>
    <w:basedOn w:val="DefaultParagraphFont"/>
    <w:rsid w:val="00455162"/>
    <w:rPr>
      <w:vertAlign w:val="superscript"/>
    </w:rPr>
  </w:style>
  <w:style w:type="table" w:styleId="TableGrid">
    <w:name w:val="Table Grid"/>
    <w:basedOn w:val="TableNormal"/>
    <w:uiPriority w:val="59"/>
    <w:rsid w:val="00455162"/>
    <w:pPr>
      <w:spacing w:after="0" w:line="240" w:lineRule="auto"/>
    </w:pPr>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55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5162"/>
    <w:rPr>
      <w:rFonts w:ascii="Tahoma" w:hAnsi="Tahoma" w:cs="Tahoma"/>
      <w:sz w:val="16"/>
      <w:szCs w:val="16"/>
    </w:rPr>
  </w:style>
  <w:style w:type="character" w:styleId="FollowedHyperlink">
    <w:name w:val="FollowedHyperlink"/>
    <w:basedOn w:val="DefaultParagraphFont"/>
    <w:rsid w:val="0003466E"/>
    <w:rPr>
      <w:color w:val="800080" w:themeColor="followedHyperlink"/>
      <w:u w:val="single"/>
    </w:rPr>
  </w:style>
  <w:style w:type="character" w:styleId="CommentReference">
    <w:name w:val="annotation reference"/>
    <w:basedOn w:val="DefaultParagraphFont"/>
    <w:rsid w:val="00262053"/>
    <w:rPr>
      <w:sz w:val="16"/>
      <w:szCs w:val="16"/>
    </w:rPr>
  </w:style>
  <w:style w:type="paragraph" w:styleId="CommentText">
    <w:name w:val="annotation text"/>
    <w:basedOn w:val="Normal"/>
    <w:link w:val="CommentTextChar"/>
    <w:rsid w:val="0026205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2620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648FA"/>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rsid w:val="00C648FA"/>
    <w:rPr>
      <w:b/>
      <w:bCs/>
    </w:rPr>
  </w:style>
</w:styles>
</file>

<file path=word/webSettings.xml><?xml version="1.0" encoding="utf-8"?>
<w:webSettings xmlns:r="http://schemas.openxmlformats.org/officeDocument/2006/relationships" xmlns:w="http://schemas.openxmlformats.org/wordprocessingml/2006/main">
  <w:divs>
    <w:div w:id="1326320">
      <w:bodyDiv w:val="1"/>
      <w:marLeft w:val="0"/>
      <w:marRight w:val="0"/>
      <w:marTop w:val="0"/>
      <w:marBottom w:val="0"/>
      <w:divBdr>
        <w:top w:val="none" w:sz="0" w:space="0" w:color="auto"/>
        <w:left w:val="none" w:sz="0" w:space="0" w:color="auto"/>
        <w:bottom w:val="none" w:sz="0" w:space="0" w:color="auto"/>
        <w:right w:val="none" w:sz="0" w:space="0" w:color="auto"/>
      </w:divBdr>
    </w:div>
    <w:div w:id="26032446">
      <w:bodyDiv w:val="1"/>
      <w:marLeft w:val="0"/>
      <w:marRight w:val="0"/>
      <w:marTop w:val="0"/>
      <w:marBottom w:val="0"/>
      <w:divBdr>
        <w:top w:val="none" w:sz="0" w:space="0" w:color="auto"/>
        <w:left w:val="none" w:sz="0" w:space="0" w:color="auto"/>
        <w:bottom w:val="none" w:sz="0" w:space="0" w:color="auto"/>
        <w:right w:val="none" w:sz="0" w:space="0" w:color="auto"/>
      </w:divBdr>
    </w:div>
    <w:div w:id="28839459">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51925317">
      <w:bodyDiv w:val="1"/>
      <w:marLeft w:val="0"/>
      <w:marRight w:val="0"/>
      <w:marTop w:val="0"/>
      <w:marBottom w:val="0"/>
      <w:divBdr>
        <w:top w:val="none" w:sz="0" w:space="0" w:color="auto"/>
        <w:left w:val="none" w:sz="0" w:space="0" w:color="auto"/>
        <w:bottom w:val="none" w:sz="0" w:space="0" w:color="auto"/>
        <w:right w:val="none" w:sz="0" w:space="0" w:color="auto"/>
      </w:divBdr>
    </w:div>
    <w:div w:id="54859072">
      <w:bodyDiv w:val="1"/>
      <w:marLeft w:val="0"/>
      <w:marRight w:val="0"/>
      <w:marTop w:val="0"/>
      <w:marBottom w:val="0"/>
      <w:divBdr>
        <w:top w:val="none" w:sz="0" w:space="0" w:color="auto"/>
        <w:left w:val="none" w:sz="0" w:space="0" w:color="auto"/>
        <w:bottom w:val="none" w:sz="0" w:space="0" w:color="auto"/>
        <w:right w:val="none" w:sz="0" w:space="0" w:color="auto"/>
      </w:divBdr>
    </w:div>
    <w:div w:id="59253040">
      <w:bodyDiv w:val="1"/>
      <w:marLeft w:val="0"/>
      <w:marRight w:val="0"/>
      <w:marTop w:val="0"/>
      <w:marBottom w:val="0"/>
      <w:divBdr>
        <w:top w:val="none" w:sz="0" w:space="0" w:color="auto"/>
        <w:left w:val="none" w:sz="0" w:space="0" w:color="auto"/>
        <w:bottom w:val="none" w:sz="0" w:space="0" w:color="auto"/>
        <w:right w:val="none" w:sz="0" w:space="0" w:color="auto"/>
      </w:divBdr>
    </w:div>
    <w:div w:id="77874727">
      <w:bodyDiv w:val="1"/>
      <w:marLeft w:val="0"/>
      <w:marRight w:val="0"/>
      <w:marTop w:val="0"/>
      <w:marBottom w:val="0"/>
      <w:divBdr>
        <w:top w:val="none" w:sz="0" w:space="0" w:color="auto"/>
        <w:left w:val="none" w:sz="0" w:space="0" w:color="auto"/>
        <w:bottom w:val="none" w:sz="0" w:space="0" w:color="auto"/>
        <w:right w:val="none" w:sz="0" w:space="0" w:color="auto"/>
      </w:divBdr>
    </w:div>
    <w:div w:id="138429134">
      <w:bodyDiv w:val="1"/>
      <w:marLeft w:val="0"/>
      <w:marRight w:val="0"/>
      <w:marTop w:val="0"/>
      <w:marBottom w:val="0"/>
      <w:divBdr>
        <w:top w:val="none" w:sz="0" w:space="0" w:color="auto"/>
        <w:left w:val="none" w:sz="0" w:space="0" w:color="auto"/>
        <w:bottom w:val="none" w:sz="0" w:space="0" w:color="auto"/>
        <w:right w:val="none" w:sz="0" w:space="0" w:color="auto"/>
      </w:divBdr>
    </w:div>
    <w:div w:id="238249499">
      <w:bodyDiv w:val="1"/>
      <w:marLeft w:val="0"/>
      <w:marRight w:val="0"/>
      <w:marTop w:val="0"/>
      <w:marBottom w:val="0"/>
      <w:divBdr>
        <w:top w:val="none" w:sz="0" w:space="0" w:color="auto"/>
        <w:left w:val="none" w:sz="0" w:space="0" w:color="auto"/>
        <w:bottom w:val="none" w:sz="0" w:space="0" w:color="auto"/>
        <w:right w:val="none" w:sz="0" w:space="0" w:color="auto"/>
      </w:divBdr>
    </w:div>
    <w:div w:id="291443390">
      <w:bodyDiv w:val="1"/>
      <w:marLeft w:val="0"/>
      <w:marRight w:val="0"/>
      <w:marTop w:val="0"/>
      <w:marBottom w:val="0"/>
      <w:divBdr>
        <w:top w:val="none" w:sz="0" w:space="0" w:color="auto"/>
        <w:left w:val="none" w:sz="0" w:space="0" w:color="auto"/>
        <w:bottom w:val="none" w:sz="0" w:space="0" w:color="auto"/>
        <w:right w:val="none" w:sz="0" w:space="0" w:color="auto"/>
      </w:divBdr>
    </w:div>
    <w:div w:id="338970924">
      <w:bodyDiv w:val="1"/>
      <w:marLeft w:val="0"/>
      <w:marRight w:val="0"/>
      <w:marTop w:val="0"/>
      <w:marBottom w:val="0"/>
      <w:divBdr>
        <w:top w:val="none" w:sz="0" w:space="0" w:color="auto"/>
        <w:left w:val="none" w:sz="0" w:space="0" w:color="auto"/>
        <w:bottom w:val="none" w:sz="0" w:space="0" w:color="auto"/>
        <w:right w:val="none" w:sz="0" w:space="0" w:color="auto"/>
      </w:divBdr>
    </w:div>
    <w:div w:id="487136689">
      <w:bodyDiv w:val="1"/>
      <w:marLeft w:val="0"/>
      <w:marRight w:val="0"/>
      <w:marTop w:val="0"/>
      <w:marBottom w:val="0"/>
      <w:divBdr>
        <w:top w:val="none" w:sz="0" w:space="0" w:color="auto"/>
        <w:left w:val="none" w:sz="0" w:space="0" w:color="auto"/>
        <w:bottom w:val="none" w:sz="0" w:space="0" w:color="auto"/>
        <w:right w:val="none" w:sz="0" w:space="0" w:color="auto"/>
      </w:divBdr>
    </w:div>
    <w:div w:id="495804301">
      <w:bodyDiv w:val="1"/>
      <w:marLeft w:val="0"/>
      <w:marRight w:val="0"/>
      <w:marTop w:val="0"/>
      <w:marBottom w:val="0"/>
      <w:divBdr>
        <w:top w:val="none" w:sz="0" w:space="0" w:color="auto"/>
        <w:left w:val="none" w:sz="0" w:space="0" w:color="auto"/>
        <w:bottom w:val="none" w:sz="0" w:space="0" w:color="auto"/>
        <w:right w:val="none" w:sz="0" w:space="0" w:color="auto"/>
      </w:divBdr>
    </w:div>
    <w:div w:id="502667532">
      <w:bodyDiv w:val="1"/>
      <w:marLeft w:val="0"/>
      <w:marRight w:val="0"/>
      <w:marTop w:val="0"/>
      <w:marBottom w:val="0"/>
      <w:divBdr>
        <w:top w:val="none" w:sz="0" w:space="0" w:color="auto"/>
        <w:left w:val="none" w:sz="0" w:space="0" w:color="auto"/>
        <w:bottom w:val="none" w:sz="0" w:space="0" w:color="auto"/>
        <w:right w:val="none" w:sz="0" w:space="0" w:color="auto"/>
      </w:divBdr>
    </w:div>
    <w:div w:id="560019451">
      <w:bodyDiv w:val="1"/>
      <w:marLeft w:val="0"/>
      <w:marRight w:val="0"/>
      <w:marTop w:val="0"/>
      <w:marBottom w:val="0"/>
      <w:divBdr>
        <w:top w:val="none" w:sz="0" w:space="0" w:color="auto"/>
        <w:left w:val="none" w:sz="0" w:space="0" w:color="auto"/>
        <w:bottom w:val="none" w:sz="0" w:space="0" w:color="auto"/>
        <w:right w:val="none" w:sz="0" w:space="0" w:color="auto"/>
      </w:divBdr>
    </w:div>
    <w:div w:id="601761877">
      <w:bodyDiv w:val="1"/>
      <w:marLeft w:val="0"/>
      <w:marRight w:val="0"/>
      <w:marTop w:val="0"/>
      <w:marBottom w:val="0"/>
      <w:divBdr>
        <w:top w:val="none" w:sz="0" w:space="0" w:color="auto"/>
        <w:left w:val="none" w:sz="0" w:space="0" w:color="auto"/>
        <w:bottom w:val="none" w:sz="0" w:space="0" w:color="auto"/>
        <w:right w:val="none" w:sz="0" w:space="0" w:color="auto"/>
      </w:divBdr>
    </w:div>
    <w:div w:id="681662963">
      <w:bodyDiv w:val="1"/>
      <w:marLeft w:val="0"/>
      <w:marRight w:val="0"/>
      <w:marTop w:val="0"/>
      <w:marBottom w:val="0"/>
      <w:divBdr>
        <w:top w:val="none" w:sz="0" w:space="0" w:color="auto"/>
        <w:left w:val="none" w:sz="0" w:space="0" w:color="auto"/>
        <w:bottom w:val="none" w:sz="0" w:space="0" w:color="auto"/>
        <w:right w:val="none" w:sz="0" w:space="0" w:color="auto"/>
      </w:divBdr>
    </w:div>
    <w:div w:id="725028985">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88089396">
      <w:bodyDiv w:val="1"/>
      <w:marLeft w:val="0"/>
      <w:marRight w:val="0"/>
      <w:marTop w:val="0"/>
      <w:marBottom w:val="0"/>
      <w:divBdr>
        <w:top w:val="none" w:sz="0" w:space="0" w:color="auto"/>
        <w:left w:val="none" w:sz="0" w:space="0" w:color="auto"/>
        <w:bottom w:val="none" w:sz="0" w:space="0" w:color="auto"/>
        <w:right w:val="none" w:sz="0" w:space="0" w:color="auto"/>
      </w:divBdr>
    </w:div>
    <w:div w:id="791939353">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1053623453">
      <w:bodyDiv w:val="1"/>
      <w:marLeft w:val="0"/>
      <w:marRight w:val="0"/>
      <w:marTop w:val="0"/>
      <w:marBottom w:val="0"/>
      <w:divBdr>
        <w:top w:val="none" w:sz="0" w:space="0" w:color="auto"/>
        <w:left w:val="none" w:sz="0" w:space="0" w:color="auto"/>
        <w:bottom w:val="none" w:sz="0" w:space="0" w:color="auto"/>
        <w:right w:val="none" w:sz="0" w:space="0" w:color="auto"/>
      </w:divBdr>
    </w:div>
    <w:div w:id="1062406059">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281063131">
      <w:bodyDiv w:val="1"/>
      <w:marLeft w:val="0"/>
      <w:marRight w:val="0"/>
      <w:marTop w:val="0"/>
      <w:marBottom w:val="0"/>
      <w:divBdr>
        <w:top w:val="none" w:sz="0" w:space="0" w:color="auto"/>
        <w:left w:val="none" w:sz="0" w:space="0" w:color="auto"/>
        <w:bottom w:val="none" w:sz="0" w:space="0" w:color="auto"/>
        <w:right w:val="none" w:sz="0" w:space="0" w:color="auto"/>
      </w:divBdr>
    </w:div>
    <w:div w:id="1316300816">
      <w:bodyDiv w:val="1"/>
      <w:marLeft w:val="0"/>
      <w:marRight w:val="0"/>
      <w:marTop w:val="0"/>
      <w:marBottom w:val="0"/>
      <w:divBdr>
        <w:top w:val="none" w:sz="0" w:space="0" w:color="auto"/>
        <w:left w:val="none" w:sz="0" w:space="0" w:color="auto"/>
        <w:bottom w:val="none" w:sz="0" w:space="0" w:color="auto"/>
        <w:right w:val="none" w:sz="0" w:space="0" w:color="auto"/>
      </w:divBdr>
    </w:div>
    <w:div w:id="1371150205">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61877751">
      <w:bodyDiv w:val="1"/>
      <w:marLeft w:val="0"/>
      <w:marRight w:val="0"/>
      <w:marTop w:val="0"/>
      <w:marBottom w:val="0"/>
      <w:divBdr>
        <w:top w:val="none" w:sz="0" w:space="0" w:color="auto"/>
        <w:left w:val="none" w:sz="0" w:space="0" w:color="auto"/>
        <w:bottom w:val="none" w:sz="0" w:space="0" w:color="auto"/>
        <w:right w:val="none" w:sz="0" w:space="0" w:color="auto"/>
      </w:divBdr>
    </w:div>
    <w:div w:id="1473447446">
      <w:bodyDiv w:val="1"/>
      <w:marLeft w:val="0"/>
      <w:marRight w:val="0"/>
      <w:marTop w:val="0"/>
      <w:marBottom w:val="0"/>
      <w:divBdr>
        <w:top w:val="none" w:sz="0" w:space="0" w:color="auto"/>
        <w:left w:val="none" w:sz="0" w:space="0" w:color="auto"/>
        <w:bottom w:val="none" w:sz="0" w:space="0" w:color="auto"/>
        <w:right w:val="none" w:sz="0" w:space="0" w:color="auto"/>
      </w:divBdr>
    </w:div>
    <w:div w:id="1507137692">
      <w:bodyDiv w:val="1"/>
      <w:marLeft w:val="0"/>
      <w:marRight w:val="0"/>
      <w:marTop w:val="0"/>
      <w:marBottom w:val="0"/>
      <w:divBdr>
        <w:top w:val="none" w:sz="0" w:space="0" w:color="auto"/>
        <w:left w:val="none" w:sz="0" w:space="0" w:color="auto"/>
        <w:bottom w:val="none" w:sz="0" w:space="0" w:color="auto"/>
        <w:right w:val="none" w:sz="0" w:space="0" w:color="auto"/>
      </w:divBdr>
    </w:div>
    <w:div w:id="1561405310">
      <w:bodyDiv w:val="1"/>
      <w:marLeft w:val="0"/>
      <w:marRight w:val="0"/>
      <w:marTop w:val="0"/>
      <w:marBottom w:val="0"/>
      <w:divBdr>
        <w:top w:val="none" w:sz="0" w:space="0" w:color="auto"/>
        <w:left w:val="none" w:sz="0" w:space="0" w:color="auto"/>
        <w:bottom w:val="none" w:sz="0" w:space="0" w:color="auto"/>
        <w:right w:val="none" w:sz="0" w:space="0" w:color="auto"/>
      </w:divBdr>
    </w:div>
    <w:div w:id="1664317617">
      <w:bodyDiv w:val="1"/>
      <w:marLeft w:val="0"/>
      <w:marRight w:val="0"/>
      <w:marTop w:val="0"/>
      <w:marBottom w:val="0"/>
      <w:divBdr>
        <w:top w:val="none" w:sz="0" w:space="0" w:color="auto"/>
        <w:left w:val="none" w:sz="0" w:space="0" w:color="auto"/>
        <w:bottom w:val="none" w:sz="0" w:space="0" w:color="auto"/>
        <w:right w:val="none" w:sz="0" w:space="0" w:color="auto"/>
      </w:divBdr>
    </w:div>
    <w:div w:id="1678658489">
      <w:bodyDiv w:val="1"/>
      <w:marLeft w:val="0"/>
      <w:marRight w:val="0"/>
      <w:marTop w:val="0"/>
      <w:marBottom w:val="0"/>
      <w:divBdr>
        <w:top w:val="none" w:sz="0" w:space="0" w:color="auto"/>
        <w:left w:val="none" w:sz="0" w:space="0" w:color="auto"/>
        <w:bottom w:val="none" w:sz="0" w:space="0" w:color="auto"/>
        <w:right w:val="none" w:sz="0" w:space="0" w:color="auto"/>
      </w:divBdr>
    </w:div>
    <w:div w:id="1710102976">
      <w:bodyDiv w:val="1"/>
      <w:marLeft w:val="0"/>
      <w:marRight w:val="0"/>
      <w:marTop w:val="0"/>
      <w:marBottom w:val="0"/>
      <w:divBdr>
        <w:top w:val="none" w:sz="0" w:space="0" w:color="auto"/>
        <w:left w:val="none" w:sz="0" w:space="0" w:color="auto"/>
        <w:bottom w:val="none" w:sz="0" w:space="0" w:color="auto"/>
        <w:right w:val="none" w:sz="0" w:space="0" w:color="auto"/>
      </w:divBdr>
    </w:div>
    <w:div w:id="1752697974">
      <w:bodyDiv w:val="1"/>
      <w:marLeft w:val="0"/>
      <w:marRight w:val="0"/>
      <w:marTop w:val="0"/>
      <w:marBottom w:val="0"/>
      <w:divBdr>
        <w:top w:val="none" w:sz="0" w:space="0" w:color="auto"/>
        <w:left w:val="none" w:sz="0" w:space="0" w:color="auto"/>
        <w:bottom w:val="none" w:sz="0" w:space="0" w:color="auto"/>
        <w:right w:val="none" w:sz="0" w:space="0" w:color="auto"/>
      </w:divBdr>
    </w:div>
    <w:div w:id="1784419174">
      <w:bodyDiv w:val="1"/>
      <w:marLeft w:val="0"/>
      <w:marRight w:val="0"/>
      <w:marTop w:val="0"/>
      <w:marBottom w:val="0"/>
      <w:divBdr>
        <w:top w:val="none" w:sz="0" w:space="0" w:color="auto"/>
        <w:left w:val="none" w:sz="0" w:space="0" w:color="auto"/>
        <w:bottom w:val="none" w:sz="0" w:space="0" w:color="auto"/>
        <w:right w:val="none" w:sz="0" w:space="0" w:color="auto"/>
      </w:divBdr>
    </w:div>
    <w:div w:id="1881504305">
      <w:bodyDiv w:val="1"/>
      <w:marLeft w:val="0"/>
      <w:marRight w:val="0"/>
      <w:marTop w:val="0"/>
      <w:marBottom w:val="0"/>
      <w:divBdr>
        <w:top w:val="none" w:sz="0" w:space="0" w:color="auto"/>
        <w:left w:val="none" w:sz="0" w:space="0" w:color="auto"/>
        <w:bottom w:val="none" w:sz="0" w:space="0" w:color="auto"/>
        <w:right w:val="none" w:sz="0" w:space="0" w:color="auto"/>
      </w:divBdr>
    </w:div>
    <w:div w:id="1925719685">
      <w:bodyDiv w:val="1"/>
      <w:marLeft w:val="0"/>
      <w:marRight w:val="0"/>
      <w:marTop w:val="0"/>
      <w:marBottom w:val="0"/>
      <w:divBdr>
        <w:top w:val="none" w:sz="0" w:space="0" w:color="auto"/>
        <w:left w:val="none" w:sz="0" w:space="0" w:color="auto"/>
        <w:bottom w:val="none" w:sz="0" w:space="0" w:color="auto"/>
        <w:right w:val="none" w:sz="0" w:space="0" w:color="auto"/>
      </w:divBdr>
    </w:div>
    <w:div w:id="1999185359">
      <w:bodyDiv w:val="1"/>
      <w:marLeft w:val="0"/>
      <w:marRight w:val="0"/>
      <w:marTop w:val="0"/>
      <w:marBottom w:val="0"/>
      <w:divBdr>
        <w:top w:val="none" w:sz="0" w:space="0" w:color="auto"/>
        <w:left w:val="none" w:sz="0" w:space="0" w:color="auto"/>
        <w:bottom w:val="none" w:sz="0" w:space="0" w:color="auto"/>
        <w:right w:val="none" w:sz="0" w:space="0" w:color="auto"/>
      </w:divBdr>
    </w:div>
    <w:div w:id="2060590590">
      <w:bodyDiv w:val="1"/>
      <w:marLeft w:val="0"/>
      <w:marRight w:val="0"/>
      <w:marTop w:val="0"/>
      <w:marBottom w:val="0"/>
      <w:divBdr>
        <w:top w:val="none" w:sz="0" w:space="0" w:color="auto"/>
        <w:left w:val="none" w:sz="0" w:space="0" w:color="auto"/>
        <w:bottom w:val="none" w:sz="0" w:space="0" w:color="auto"/>
        <w:right w:val="none" w:sz="0" w:space="0" w:color="auto"/>
      </w:divBdr>
    </w:div>
    <w:div w:id="2094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www.bancomundial.org/temas/resenas/infraestructura.htm" TargetMode="External"/><Relationship Id="rId1" Type="http://schemas.openxmlformats.org/officeDocument/2006/relationships/hyperlink" Target="http://www.dnp.gov.co/PortalWeb/PND/PND20062010/tabid/65/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36757707</IDBDocs_x0020_Number>
    <TaxCatchAll xmlns="cdc7663a-08f0-4737-9e8c-148ce897a09c"/>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De Olloqui, Fernando</Document_x0020_Author>
    <Fiscal_x0020_Year_x0020_IDB xmlns="cdc7663a-08f0-4737-9e8c-148ce897a09c">2012</Fiscal_x0020_Year_x0020_IDB>
    <Other_x0020_Author xmlns="cdc7663a-08f0-4737-9e8c-148ce897a09c" xsi:nil="true"/>
    <Project_x0020_Number xmlns="cdc7663a-08f0-4737-9e8c-148ce897a09c">CO-L1116</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R0002733372</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EZSHARE-1121463166-24</_dlc_DocId>
    <From_x003a_ xmlns="cdc7663a-08f0-4737-9e8c-148ce897a09c" xsi:nil="true"/>
    <To_x003a_ xmlns="cdc7663a-08f0-4737-9e8c-148ce897a09c" xsi:nil="true"/>
    <_dlc_DocIdUrl xmlns="cdc7663a-08f0-4737-9e8c-148ce897a09c">
      <Url>https://idbg.sharepoint.com/teams/EZ-CO-LON/CO-L1116/_layouts/15/DocIdRedir.aspx?ID=EZSHARE-1121463166-24</Url>
      <Description>EZSHARE-1121463166-24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BB9915F780BA4F954354CDBC5F084C" ma:contentTypeVersion="441" ma:contentTypeDescription="The base project type from which other project content types inherit their information." ma:contentTypeScope="" ma:versionID="9c209a003c3e6e3b4d7357317acf3832">
  <xsd:schema xmlns:xsd="http://www.w3.org/2001/XMLSchema" xmlns:xs="http://www.w3.org/2001/XMLSchema" xmlns:p="http://schemas.microsoft.com/office/2006/metadata/properties" xmlns:ns2="cdc7663a-08f0-4737-9e8c-148ce897a09c" targetNamespace="http://schemas.microsoft.com/office/2006/metadata/properties" ma:root="true" ma:fieldsID="75eaf2196027f9d5926d7398e25f39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1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BB9915F780BA4F954354CDBC5F084C" ma:contentTypeVersion="1671" ma:contentTypeDescription="The base project type from which other project content types inherit their information." ma:contentTypeScope="" ma:versionID="bff24d457d8abae10e0c9c05f3443d31">
  <xsd:schema xmlns:xsd="http://www.w3.org/2001/XMLSchema" xmlns:xs="http://www.w3.org/2001/XMLSchema" xmlns:p="http://schemas.microsoft.com/office/2006/metadata/properties" xmlns:ns2="cdc7663a-08f0-4737-9e8c-148ce897a09c" targetNamespace="http://schemas.microsoft.com/office/2006/metadata/properties" ma:root="true" ma:fieldsID="3639c7f0b72ac8b5934c562916c0abc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1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F7E04D7-5688-4CD9-97DB-8E6AC0D14663}"/>
</file>

<file path=customXml/itemProps2.xml><?xml version="1.0" encoding="utf-8"?>
<ds:datastoreItem xmlns:ds="http://schemas.openxmlformats.org/officeDocument/2006/customXml" ds:itemID="{34EEB4A0-3D9E-4143-807A-9C3618A8EBE2}"/>
</file>

<file path=customXml/itemProps3.xml><?xml version="1.0" encoding="utf-8"?>
<ds:datastoreItem xmlns:ds="http://schemas.openxmlformats.org/officeDocument/2006/customXml" ds:itemID="{870F0D3A-1C89-43C0-8BA9-59DC8A4A8613}"/>
</file>

<file path=customXml/itemProps4.xml><?xml version="1.0" encoding="utf-8"?>
<ds:datastoreItem xmlns:ds="http://schemas.openxmlformats.org/officeDocument/2006/customXml" ds:itemID="{17F63D98-10E4-40DA-868C-2E4265D3159F}"/>
</file>

<file path=customXml/itemProps5.xml><?xml version="1.0" encoding="utf-8"?>
<ds:datastoreItem xmlns:ds="http://schemas.openxmlformats.org/officeDocument/2006/customXml" ds:itemID="{01CAA47D-AC53-40C9-8272-D1F0843F3B90}"/>
</file>

<file path=customXml/itemProps6.xml><?xml version="1.0" encoding="utf-8"?>
<ds:datastoreItem xmlns:ds="http://schemas.openxmlformats.org/officeDocument/2006/customXml" ds:itemID="{71665205-F39A-40D2-AB85-A8E3240D0E3A}"/>
</file>

<file path=customXml/itemProps7.xml><?xml version="1.0" encoding="utf-8"?>
<ds:datastoreItem xmlns:ds="http://schemas.openxmlformats.org/officeDocument/2006/customXml" ds:itemID="{582BEA49-658F-480D-8A64-7F3E9743CF0B}"/>
</file>

<file path=customXml/itemProps8.xml><?xml version="1.0" encoding="utf-8"?>
<ds:datastoreItem xmlns:ds="http://schemas.openxmlformats.org/officeDocument/2006/customXml" ds:itemID="{C3568D8A-6454-4435-AAEE-D52984432DF9}"/>
</file>

<file path=customXml/itemProps9.xml><?xml version="1.0" encoding="utf-8"?>
<ds:datastoreItem xmlns:ds="http://schemas.openxmlformats.org/officeDocument/2006/customXml" ds:itemID="{B218957B-4BC5-48D3-A391-2418C43C57EB}"/>
</file>

<file path=docProps/app.xml><?xml version="1.0" encoding="utf-8"?>
<Properties xmlns="http://schemas.openxmlformats.org/officeDocument/2006/extended-properties" xmlns:vt="http://schemas.openxmlformats.org/officeDocument/2006/docPropsVTypes">
  <Template>Normal.dotm</Template>
  <TotalTime>6</TotalTime>
  <Pages>8</Pages>
  <Words>1860</Words>
  <Characters>10607</Characters>
  <Application>Microsoft Office Word</Application>
  <DocSecurity>4</DocSecurity>
  <Lines>88</Lines>
  <Paragraphs>24</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        Documento del Banco Interamericano De Desarrollo</vt:lpstr>
      <vt:lpstr>Análisis Económico</vt:lpstr>
      <vt:lpstr>    Actualmente existen en Colombia importantes necesidades insatisfechas en materia</vt:lpstr>
      <vt:lpstr>    En la actualidad existen alrededor de 15,000 empresas prestadoras de servicios p</vt:lpstr>
      <vt:lpstr>    En general, las Entidades Prestadoras de Servicios Públicos (EPSP)  tienen un li</vt:lpstr>
      <vt:lpstr>    Del lado público, es ilustrativo que las fuentes de financiamiento utilizadas a </vt:lpstr>
      <vt:lpstr>    Los principales factores que restringen el acceso al crédito de mediano y largo </vt:lpstr>
      <vt:lpstr>    El objetivo del programa será impulsar el desarrollo de los sectores prioritario</vt:lpstr>
      <vt:lpstr>    La información básica para estimar los costos y beneficios del programa, en térm</vt:lpstr>
      <vt:lpstr>    El monto total de los fondos otorgados para inversión en proyectos de infraestru</vt:lpstr>
      <vt:lpstr>    La rentabilidad estimada de proyectos relacionados con infraestructura. A nivel </vt:lpstr>
      <vt:lpstr>    Los términos financieros del grueso de los recursos desembolsados por la operaci</vt:lpstr>
      <vt:lpstr>    En línea con los objetivos del programa establecidos en la Matriz de Resultados,</vt:lpstr>
      <vt:lpstr>    La suma del valor actualizado de los beneficios descritos, se compara luego con </vt:lpstr>
      <vt:lpstr>    Posteriormente, se hace una evaluación de la tolerancia del programa con relació</vt:lpstr>
      <vt:lpstr>    Para la realización del cálculo de los beneficios y costos, se han utilizado los</vt:lpstr>
      <vt:lpstr>    El 100% del valor del monto total financiado es invertido en proyectos de provis</vt:lpstr>
      <vt:lpstr>    El ratio Loan-to-Value (proporción del monto financiado sobre el valor total del</vt:lpstr>
      <vt:lpstr>    La rentabilidad generada por los proyectos de inversión se contabiliza a partir </vt:lpstr>
      <vt:lpstr>    Si bien el análisis considera, a modo de simplificación, un promedio de rentabil</vt:lpstr>
      <vt:lpstr>    Para asegurar que los beneficios estimados se alcancen, se asume que el país man</vt:lpstr>
      <vt:lpstr>    Beneficio por rentabilidad de proyectos financiados. Utilizando el dato de renta</vt:lpstr>
      <vt:lpstr>    Beneficio = r × MIN</vt:lpstr>
      <vt:lpstr>    MIN = MFN ÷ LTV;	LTV = 0.70</vt:lpstr>
      <vt:lpstr>    Donde:</vt:lpstr>
      <vt:lpstr>    r = tasa de rentabilidad promedio</vt:lpstr>
      <vt:lpstr>    MIN = monto invertido en proyectos de infraestructura de servicios públicos; año</vt:lpstr>
      <vt:lpstr>    MFN = monto financiado para proyectos de infraestructura de servicios públicos; </vt:lpstr>
      <vt:lpstr>    LTV = Loan-to-Value; proporción del monto financiado sobre el valor total del pr</vt:lpstr>
      <vt:lpstr>    En base a dichas proyecciones y descontando al 12%, se ha calculado el Valor Pre</vt:lpstr>
      <vt:lpstr>    Tabla 3.1: Resumen del Análisis Costo-Beneficio</vt:lpstr>
      <vt:lpstr>    Por otro lado, cabe mencionar dos consideraciones adicionales importantes sobre </vt:lpstr>
      <vt:lpstr>    La rentabilidad de los proyectos de inversión varía según el nivel de infraestru</vt:lpstr>
      <vt:lpstr>    Con base en esto, se obtienen como conclusión central que en el caso que hayan c</vt:lpstr>
      <vt:lpstr>    Tabla 4.1: Resumen del Análisis de Sensibilidad</vt:lpstr>
      <vt:lpstr>    El presente análisis costo beneficio muestra que los beneficios actualizados sup</vt:lpstr>
      <vt:lpstr>    Con respecto al beneficio asociado a los objetivos del programa, el VPN de los f</vt:lpstr>
      <vt:lpstr>    En base a lo expuesto anteriormente, el equipo de proyecto recomienda que el BID</vt:lpstr>
    </vt:vector>
  </TitlesOfParts>
  <Company>Inter-American Development Bank</Company>
  <LinksUpToDate>false</LinksUpToDate>
  <CharactersWithSpaces>12443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Anexo-Analisis Economico Costo-Beneficio</dc:title>
  <dc:subject/>
  <dc:creator>IADB</dc:creator>
  <cp:keywords/>
  <cp:lastModifiedBy>fdeolloqui</cp:lastModifiedBy>
  <cp:revision>2</cp:revision>
  <cp:lastPrinted>2011-07-18T02:58:00Z</cp:lastPrinted>
  <dcterms:created xsi:type="dcterms:W3CDTF">2012-03-27T20:01:00Z</dcterms:created>
  <dcterms:modified xsi:type="dcterms:W3CDTF">2012-03-27T20:01:00Z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0x010100ACF722E9F6B0B149B0CD8BE2560A66720068BB9915F780BA4F954354CDBC5F084C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2400</vt:r8>
  </property>
  <property fmtid="{D5CDD505-2E9C-101B-9397-08002B2CF9AE}" pid="18" name="Disclosure Activity">
    <vt:lpwstr>Loan Proposal</vt:lpwstr>
  </property>
  <property fmtid="{D5CDD505-2E9C-101B-9397-08002B2CF9AE}" pid="22" name="Webtopic">
    <vt:lpwstr>Rural Land Management;Banking and Financial Services;Financial Sector Development;Finance;Finance</vt:lpwstr>
  </property>
  <property fmtid="{D5CDD505-2E9C-101B-9397-08002B2CF9AE}" pid="24" name="Disclosed">
    <vt:bool>true</vt:bool>
  </property>
  <property fmtid="{D5CDD505-2E9C-101B-9397-08002B2CF9AE}" pid="28" name="_dlc_DocIdItemGuid">
    <vt:lpwstr>eaa580fd-fd55-436c-a89a-52bee9b4d15c</vt:lpwstr>
  </property>
</Properties>
</file>