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A2D10" w14:textId="77777777" w:rsidR="007116B2" w:rsidRPr="001F731F" w:rsidRDefault="007116B2" w:rsidP="007116B2">
      <w:pPr>
        <w:pStyle w:val="SubSubPar"/>
        <w:numPr>
          <w:ilvl w:val="0"/>
          <w:numId w:val="0"/>
        </w:numPr>
        <w:spacing w:after="0"/>
        <w:jc w:val="center"/>
        <w:rPr>
          <w:rFonts w:ascii="Arial" w:hAnsi="Arial" w:cs="Arial"/>
          <w:smallCaps/>
          <w:sz w:val="22"/>
          <w:szCs w:val="22"/>
          <w:lang w:val="es-ES_tradnl"/>
        </w:rPr>
      </w:pPr>
      <w:bookmarkStart w:id="0" w:name="_Toc388249744"/>
      <w:bookmarkStart w:id="1" w:name="_Hlk36292361"/>
      <w:r w:rsidRPr="001F731F">
        <w:rPr>
          <w:rFonts w:ascii="Arial" w:hAnsi="Arial" w:cs="Arial"/>
          <w:smallCaps/>
          <w:sz w:val="22"/>
          <w:szCs w:val="22"/>
          <w:lang w:val="es-ES_tradnl"/>
        </w:rPr>
        <w:t>Documento del Banco Interamericano De Desarrollo</w:t>
      </w:r>
      <w:bookmarkEnd w:id="0"/>
    </w:p>
    <w:p w14:paraId="716F8AF0" w14:textId="77777777" w:rsidR="007116B2" w:rsidRPr="001F731F" w:rsidRDefault="007116B2" w:rsidP="007116B2">
      <w:pPr>
        <w:spacing w:before="120" w:after="120" w:line="240" w:lineRule="auto"/>
        <w:jc w:val="center"/>
        <w:rPr>
          <w:rFonts w:ascii="Arial" w:hAnsi="Arial" w:cs="Arial"/>
          <w:lang w:val="es-ES_tradnl"/>
        </w:rPr>
      </w:pPr>
    </w:p>
    <w:p w14:paraId="5F320801" w14:textId="77777777" w:rsidR="007116B2" w:rsidRPr="001F731F" w:rsidRDefault="007116B2" w:rsidP="007116B2">
      <w:pPr>
        <w:spacing w:before="120" w:after="120" w:line="240" w:lineRule="auto"/>
        <w:jc w:val="center"/>
        <w:rPr>
          <w:rFonts w:ascii="Arial" w:hAnsi="Arial" w:cs="Arial"/>
          <w:lang w:val="es-ES_tradnl"/>
        </w:rPr>
      </w:pPr>
    </w:p>
    <w:p w14:paraId="1D6A0115" w14:textId="77777777" w:rsidR="007116B2" w:rsidRPr="001F731F" w:rsidRDefault="007116B2" w:rsidP="007116B2">
      <w:pPr>
        <w:spacing w:before="120" w:after="120" w:line="240" w:lineRule="auto"/>
        <w:jc w:val="center"/>
        <w:rPr>
          <w:rFonts w:ascii="Arial" w:hAnsi="Arial" w:cs="Arial"/>
          <w:lang w:val="es-ES_tradnl"/>
        </w:rPr>
      </w:pPr>
    </w:p>
    <w:p w14:paraId="06B839A1" w14:textId="77777777" w:rsidR="007116B2" w:rsidRPr="001F731F" w:rsidRDefault="007116B2" w:rsidP="007116B2">
      <w:pPr>
        <w:spacing w:before="120" w:after="120" w:line="240" w:lineRule="auto"/>
        <w:jc w:val="center"/>
        <w:rPr>
          <w:rFonts w:ascii="Arial" w:hAnsi="Arial" w:cs="Arial"/>
          <w:lang w:val="es-ES_tradnl"/>
        </w:rPr>
      </w:pPr>
    </w:p>
    <w:p w14:paraId="64879566" w14:textId="349B51B6" w:rsidR="007116B2" w:rsidRPr="001F731F" w:rsidRDefault="00911ED9" w:rsidP="007116B2">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Panam</w:t>
      </w:r>
      <w:r w:rsidR="00942D91">
        <w:rPr>
          <w:rFonts w:ascii="Arial" w:hAnsi="Arial" w:cs="Arial"/>
          <w:b/>
          <w:smallCaps/>
          <w:sz w:val="28"/>
          <w:szCs w:val="28"/>
          <w:lang w:val="es-ES_tradnl"/>
        </w:rPr>
        <w:t>á</w:t>
      </w:r>
    </w:p>
    <w:p w14:paraId="407B67EF" w14:textId="77777777" w:rsidR="007116B2" w:rsidRPr="001F731F" w:rsidRDefault="007116B2" w:rsidP="007116B2">
      <w:pPr>
        <w:tabs>
          <w:tab w:val="left" w:pos="1440"/>
          <w:tab w:val="left" w:pos="3060"/>
        </w:tabs>
        <w:jc w:val="center"/>
        <w:rPr>
          <w:rFonts w:ascii="Arial" w:hAnsi="Arial" w:cs="Arial"/>
          <w:smallCaps/>
          <w:lang w:val="es-ES_tradnl"/>
        </w:rPr>
      </w:pPr>
    </w:p>
    <w:p w14:paraId="594F1BA8" w14:textId="77777777" w:rsidR="007116B2" w:rsidRPr="001F731F" w:rsidRDefault="007116B2" w:rsidP="007116B2">
      <w:pPr>
        <w:tabs>
          <w:tab w:val="left" w:pos="1440"/>
          <w:tab w:val="left" w:pos="3060"/>
        </w:tabs>
        <w:jc w:val="center"/>
        <w:rPr>
          <w:rFonts w:ascii="Arial" w:hAnsi="Arial" w:cs="Arial"/>
          <w:smallCaps/>
          <w:lang w:val="es-ES_tradnl"/>
        </w:rPr>
      </w:pPr>
    </w:p>
    <w:p w14:paraId="4AE4E215" w14:textId="77777777" w:rsidR="007116B2" w:rsidRPr="001F731F" w:rsidRDefault="007116B2" w:rsidP="007116B2">
      <w:pPr>
        <w:tabs>
          <w:tab w:val="left" w:pos="1440"/>
          <w:tab w:val="left" w:pos="3060"/>
        </w:tabs>
        <w:jc w:val="center"/>
        <w:rPr>
          <w:rFonts w:ascii="Arial" w:hAnsi="Arial" w:cs="Arial"/>
          <w:smallCaps/>
          <w:lang w:val="es-ES_tradnl"/>
        </w:rPr>
      </w:pPr>
    </w:p>
    <w:p w14:paraId="49C2289A" w14:textId="77777777" w:rsidR="007116B2" w:rsidRPr="001F731F" w:rsidRDefault="007116B2" w:rsidP="007116B2">
      <w:pPr>
        <w:tabs>
          <w:tab w:val="left" w:pos="1440"/>
          <w:tab w:val="left" w:pos="3060"/>
        </w:tabs>
        <w:jc w:val="center"/>
        <w:rPr>
          <w:rFonts w:ascii="Arial" w:hAnsi="Arial" w:cs="Arial"/>
          <w:smallCaps/>
          <w:lang w:val="es-ES_tradnl"/>
        </w:rPr>
      </w:pPr>
    </w:p>
    <w:p w14:paraId="389C8824" w14:textId="77777777" w:rsidR="007116B2" w:rsidRPr="001F731F" w:rsidRDefault="007116B2" w:rsidP="007116B2">
      <w:pPr>
        <w:tabs>
          <w:tab w:val="left" w:pos="1440"/>
          <w:tab w:val="left" w:pos="3060"/>
        </w:tabs>
        <w:jc w:val="center"/>
        <w:rPr>
          <w:rFonts w:ascii="Arial" w:hAnsi="Arial" w:cs="Arial"/>
          <w:smallCaps/>
          <w:lang w:val="es-ES_tradnl"/>
        </w:rPr>
      </w:pPr>
    </w:p>
    <w:p w14:paraId="681FB201" w14:textId="77777777" w:rsidR="007116B2" w:rsidRPr="001F731F" w:rsidRDefault="007116B2" w:rsidP="007116B2">
      <w:pPr>
        <w:tabs>
          <w:tab w:val="left" w:pos="1440"/>
          <w:tab w:val="left" w:pos="3060"/>
        </w:tabs>
        <w:jc w:val="center"/>
        <w:rPr>
          <w:rFonts w:ascii="Arial" w:hAnsi="Arial" w:cs="Arial"/>
          <w:smallCaps/>
          <w:lang w:val="es-ES_tradnl"/>
        </w:rPr>
      </w:pPr>
    </w:p>
    <w:p w14:paraId="22FCC3E8" w14:textId="61136E6F" w:rsidR="007116B2" w:rsidRPr="001F731F" w:rsidRDefault="007116B2" w:rsidP="007116B2">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sidR="00C52729">
        <w:rPr>
          <w:rFonts w:ascii="Arial" w:hAnsi="Arial" w:cs="Arial"/>
          <w:sz w:val="28"/>
          <w:szCs w:val="28"/>
          <w:lang w:val="es-ES_tradnl"/>
        </w:rPr>
        <w:t xml:space="preserve">Global de Crédito para la Defensa del Tejido Productivo y el Empleo </w:t>
      </w:r>
    </w:p>
    <w:p w14:paraId="55F45234" w14:textId="77777777" w:rsidR="007116B2" w:rsidRPr="001F731F" w:rsidRDefault="007116B2" w:rsidP="007116B2">
      <w:pPr>
        <w:pStyle w:val="Newpage"/>
        <w:rPr>
          <w:rFonts w:ascii="Arial" w:hAnsi="Arial" w:cs="Arial"/>
          <w:b w:val="0"/>
          <w:caps/>
          <w:smallCaps w:val="0"/>
          <w:sz w:val="22"/>
          <w:szCs w:val="22"/>
          <w:lang w:val="es-ES_tradnl"/>
        </w:rPr>
      </w:pPr>
    </w:p>
    <w:p w14:paraId="19027434" w14:textId="77777777" w:rsidR="007116B2" w:rsidRPr="001F731F" w:rsidRDefault="007116B2" w:rsidP="007116B2">
      <w:pPr>
        <w:pStyle w:val="Newpage"/>
        <w:rPr>
          <w:rFonts w:ascii="Arial" w:hAnsi="Arial" w:cs="Arial"/>
          <w:b w:val="0"/>
          <w:caps/>
          <w:smallCaps w:val="0"/>
          <w:sz w:val="22"/>
          <w:szCs w:val="22"/>
          <w:lang w:val="es-ES_tradnl"/>
        </w:rPr>
      </w:pPr>
    </w:p>
    <w:p w14:paraId="0E30A42B" w14:textId="418081E6" w:rsidR="007116B2" w:rsidRPr="001F731F" w:rsidRDefault="007116B2" w:rsidP="007116B2">
      <w:pPr>
        <w:tabs>
          <w:tab w:val="left" w:pos="1440"/>
          <w:tab w:val="left" w:pos="3060"/>
        </w:tabs>
        <w:jc w:val="center"/>
        <w:rPr>
          <w:rFonts w:ascii="Arial" w:hAnsi="Arial" w:cs="Arial"/>
          <w:b/>
          <w:smallCaps/>
          <w:lang w:val="es-ES_tradnl"/>
        </w:rPr>
      </w:pPr>
      <w:r w:rsidRPr="001F731F">
        <w:rPr>
          <w:rFonts w:ascii="Arial" w:hAnsi="Arial" w:cs="Arial"/>
          <w:b/>
          <w:smallCaps/>
          <w:lang w:val="es-ES_tradnl"/>
        </w:rPr>
        <w:t>(</w:t>
      </w:r>
      <w:r w:rsidR="00FA63F2">
        <w:rPr>
          <w:rFonts w:ascii="Arial" w:hAnsi="Arial" w:cs="Arial"/>
          <w:b/>
          <w:smallCaps/>
          <w:lang w:val="es-ES_tradnl"/>
        </w:rPr>
        <w:t>PN-L1164</w:t>
      </w:r>
      <w:r w:rsidRPr="001F731F">
        <w:rPr>
          <w:rFonts w:ascii="Arial" w:hAnsi="Arial" w:cs="Arial"/>
          <w:b/>
          <w:smallCaps/>
          <w:lang w:val="es-ES_tradnl"/>
        </w:rPr>
        <w:t>)</w:t>
      </w:r>
    </w:p>
    <w:p w14:paraId="7B16BEB7" w14:textId="77777777" w:rsidR="007116B2" w:rsidRPr="001F731F" w:rsidRDefault="007116B2" w:rsidP="007116B2">
      <w:pPr>
        <w:jc w:val="center"/>
        <w:outlineLvl w:val="0"/>
        <w:rPr>
          <w:rFonts w:ascii="Arial" w:hAnsi="Arial" w:cs="Arial"/>
          <w:b/>
          <w:bCs/>
          <w:smallCaps/>
          <w:sz w:val="24"/>
          <w:szCs w:val="24"/>
          <w:lang w:val="es-ES_tradnl"/>
        </w:rPr>
      </w:pPr>
    </w:p>
    <w:p w14:paraId="329F5C0E" w14:textId="77777777" w:rsidR="007116B2" w:rsidRPr="001F731F" w:rsidRDefault="007116B2" w:rsidP="007116B2">
      <w:pPr>
        <w:tabs>
          <w:tab w:val="left" w:pos="1440"/>
          <w:tab w:val="left" w:pos="3060"/>
        </w:tabs>
        <w:jc w:val="center"/>
        <w:outlineLvl w:val="0"/>
        <w:rPr>
          <w:rFonts w:ascii="Arial" w:hAnsi="Arial" w:cs="Arial"/>
          <w:b/>
          <w:smallCaps/>
          <w:sz w:val="24"/>
          <w:lang w:val="es-ES_tradnl"/>
        </w:rPr>
      </w:pPr>
    </w:p>
    <w:p w14:paraId="269B5C61" w14:textId="77777777" w:rsidR="007116B2" w:rsidRPr="001F731F" w:rsidRDefault="007116B2" w:rsidP="007116B2">
      <w:pPr>
        <w:tabs>
          <w:tab w:val="left" w:pos="1440"/>
          <w:tab w:val="left" w:pos="3060"/>
        </w:tabs>
        <w:jc w:val="center"/>
        <w:outlineLvl w:val="0"/>
        <w:rPr>
          <w:rFonts w:ascii="Arial" w:hAnsi="Arial" w:cs="Arial"/>
          <w:b/>
          <w:smallCaps/>
          <w:sz w:val="24"/>
          <w:lang w:val="es-ES_tradnl"/>
        </w:rPr>
      </w:pPr>
      <w:r w:rsidRPr="001F731F">
        <w:rPr>
          <w:rFonts w:ascii="Arial" w:hAnsi="Arial" w:cs="Arial"/>
          <w:b/>
          <w:smallCaps/>
          <w:sz w:val="24"/>
          <w:lang w:val="es-ES_tradnl"/>
        </w:rPr>
        <w:t>Plan de Monitoreo y Evaluación</w:t>
      </w:r>
    </w:p>
    <w:p w14:paraId="3133C02B" w14:textId="77777777" w:rsidR="007116B2" w:rsidRPr="001F731F" w:rsidRDefault="007116B2" w:rsidP="007116B2">
      <w:pPr>
        <w:spacing w:after="100" w:afterAutospacing="1" w:line="240" w:lineRule="auto"/>
        <w:jc w:val="center"/>
        <w:rPr>
          <w:rFonts w:ascii="Arial" w:hAnsi="Arial" w:cs="Arial"/>
          <w:b/>
          <w:lang w:val="es-ES_tradnl"/>
        </w:rPr>
      </w:pPr>
    </w:p>
    <w:p w14:paraId="295FFDAD" w14:textId="77777777" w:rsidR="007116B2" w:rsidRPr="001F731F" w:rsidRDefault="007116B2" w:rsidP="007116B2">
      <w:pPr>
        <w:pStyle w:val="TOC3"/>
        <w:rPr>
          <w:rFonts w:ascii="Arial" w:hAnsi="Arial" w:cs="Arial"/>
          <w:sz w:val="22"/>
          <w:lang w:val="es-ES_tradnl"/>
        </w:rPr>
      </w:pPr>
    </w:p>
    <w:p w14:paraId="62939755" w14:textId="77777777" w:rsidR="007116B2" w:rsidRPr="001F731F" w:rsidRDefault="007116B2" w:rsidP="007116B2">
      <w:pPr>
        <w:rPr>
          <w:rFonts w:ascii="Arial" w:hAnsi="Arial" w:cs="Arial"/>
          <w:lang w:val="es-ES_tradnl"/>
        </w:rPr>
      </w:pPr>
    </w:p>
    <w:p w14:paraId="79E4AECE" w14:textId="77777777" w:rsidR="00B708E6" w:rsidRDefault="00B708E6" w:rsidP="007116B2">
      <w:pPr>
        <w:rPr>
          <w:rFonts w:ascii="Arial" w:hAnsi="Arial" w:cs="Arial"/>
          <w:b/>
          <w:lang w:val="es-ES_tradnl"/>
        </w:rPr>
      </w:pPr>
    </w:p>
    <w:p w14:paraId="53218EA4" w14:textId="1994BB5D" w:rsidR="007116B2" w:rsidRPr="001F731F" w:rsidRDefault="007116B2" w:rsidP="007116B2">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321CF101" wp14:editId="510DA613">
                <wp:simplePos x="0" y="0"/>
                <wp:positionH relativeFrom="margin">
                  <wp:align>center</wp:align>
                </wp:positionH>
                <wp:positionV relativeFrom="paragraph">
                  <wp:posOffset>174625</wp:posOffset>
                </wp:positionV>
                <wp:extent cx="5734050" cy="1226820"/>
                <wp:effectExtent l="0" t="0" r="19050"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226820"/>
                        </a:xfrm>
                        <a:prstGeom prst="rect">
                          <a:avLst/>
                        </a:prstGeom>
                        <a:solidFill>
                          <a:srgbClr val="FFFFFF"/>
                        </a:solidFill>
                        <a:ln w="9525">
                          <a:solidFill>
                            <a:srgbClr val="000000"/>
                          </a:solidFill>
                          <a:miter lim="800000"/>
                          <a:headEnd/>
                          <a:tailEnd/>
                        </a:ln>
                      </wps:spPr>
                      <wps:txbx>
                        <w:txbxContent>
                          <w:p w14:paraId="5D017DC1" w14:textId="3B45856D" w:rsidR="005822E1" w:rsidRPr="00486549" w:rsidRDefault="00166D23" w:rsidP="007116B2">
                            <w:pPr>
                              <w:spacing w:after="0" w:line="240" w:lineRule="auto"/>
                              <w:jc w:val="both"/>
                              <w:rPr>
                                <w:rFonts w:ascii="Arial" w:hAnsi="Arial" w:cs="Arial"/>
                                <w:sz w:val="20"/>
                                <w:lang w:val="es-ES_tradnl"/>
                              </w:rPr>
                            </w:pPr>
                            <w:r w:rsidRPr="00166D23">
                              <w:rPr>
                                <w:rFonts w:ascii="Arial" w:hAnsi="Arial" w:cs="Arial"/>
                                <w:szCs w:val="24"/>
                                <w:lang w:val="es-419"/>
                              </w:rPr>
                              <w:t>Este documento fue preparado por el equipo de proyecto integrado por: Christian Schneider Talavera (IFD/CMF) Jefe de Equipo; Daniel Fonseca (IFD/CMF) Jefe de Equipo Alterno; Pau Puig, Sebastián Vargas, María Carmen Fernández, Isabelle Braly-Cartillier, Claudia Márquez y Cynthia Martínez (IFD/CMF); Ana de Obaldia</w:t>
                            </w:r>
                            <w:r w:rsidR="001F2C44">
                              <w:rPr>
                                <w:rFonts w:ascii="Arial" w:hAnsi="Arial" w:cs="Arial"/>
                                <w:szCs w:val="24"/>
                                <w:lang w:val="es-419"/>
                              </w:rPr>
                              <w:t xml:space="preserve">, </w:t>
                            </w:r>
                            <w:r w:rsidRPr="00166D23">
                              <w:rPr>
                                <w:rFonts w:ascii="Arial" w:hAnsi="Arial" w:cs="Arial"/>
                                <w:szCs w:val="24"/>
                                <w:lang w:val="es-419"/>
                              </w:rPr>
                              <w:t>Carlos Garcimartin</w:t>
                            </w:r>
                            <w:r w:rsidR="001F2C44">
                              <w:rPr>
                                <w:rFonts w:ascii="Arial" w:hAnsi="Arial" w:cs="Arial"/>
                                <w:szCs w:val="24"/>
                                <w:lang w:val="es-419"/>
                              </w:rPr>
                              <w:t xml:space="preserve"> y Anabelle Wever</w:t>
                            </w:r>
                            <w:r w:rsidRPr="00166D23">
                              <w:rPr>
                                <w:rFonts w:ascii="Arial" w:hAnsi="Arial" w:cs="Arial"/>
                                <w:szCs w:val="24"/>
                                <w:lang w:val="es-419"/>
                              </w:rPr>
                              <w:t xml:space="preserve"> (CID/CPN); Ezequiel Cambiasso y David Ochoa (VPC/FMP); Jan Petter Eskildsen (INO/FLIO); Shirley Cañete (INE/TSP); Marion Le Pommellec y Olga Gómez (CSD/RND); Margarita Libby (INT/TIN); y Esteban de Dobrzynski (LEG/SGO).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1CF101" id="_x0000_t202" coordsize="21600,21600" o:spt="202" path="m,l,21600r21600,l21600,xe">
                <v:stroke joinstyle="miter"/>
                <v:path gradientshapeok="t" o:connecttype="rect"/>
              </v:shapetype>
              <v:shape id="Text Box 1" o:spid="_x0000_s1026" type="#_x0000_t202" style="position:absolute;margin-left:0;margin-top:13.75pt;width:451.5pt;height:96.6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">
                <v:textbox>
                  <w:txbxContent>
                    <w:p w14:paraId="5D017DC1" w14:textId="3B45856D" w:rsidR="005822E1" w:rsidRPr="00486549" w:rsidRDefault="00166D23" w:rsidP="007116B2">
                      <w:pPr>
                        <w:spacing w:after="0" w:line="240" w:lineRule="auto"/>
                        <w:jc w:val="both"/>
                        <w:rPr>
                          <w:rFonts w:ascii="Arial" w:hAnsi="Arial" w:cs="Arial"/>
                          <w:sz w:val="20"/>
                          <w:lang w:val="es-ES_tradnl"/>
                        </w:rPr>
                      </w:pPr>
                      <w:r w:rsidRPr="00166D23">
                        <w:rPr>
                          <w:rFonts w:ascii="Arial" w:hAnsi="Arial" w:cs="Arial"/>
                          <w:szCs w:val="24"/>
                          <w:lang w:val="es-419"/>
                        </w:rPr>
                        <w:t>Este documento fue preparado por el equipo de proyecto integrado por: Christian Schneider Talavera (IFD/CMF) Jefe de Equipo; Daniel Fonseca (IFD/CMF) Jefe de Equipo Alterno; Pau Puig, Sebastián Vargas, María Carmen Fernández, Isabelle Braly-Cartillier, Claudia Márquez y Cynthia Martínez (IFD/CMF); Ana de Obaldia</w:t>
                      </w:r>
                      <w:r w:rsidR="001F2C44">
                        <w:rPr>
                          <w:rFonts w:ascii="Arial" w:hAnsi="Arial" w:cs="Arial"/>
                          <w:szCs w:val="24"/>
                          <w:lang w:val="es-419"/>
                        </w:rPr>
                        <w:t xml:space="preserve">, </w:t>
                      </w:r>
                      <w:r w:rsidRPr="00166D23">
                        <w:rPr>
                          <w:rFonts w:ascii="Arial" w:hAnsi="Arial" w:cs="Arial"/>
                          <w:szCs w:val="24"/>
                          <w:lang w:val="es-419"/>
                        </w:rPr>
                        <w:t>Carlos Garcimartin</w:t>
                      </w:r>
                      <w:r w:rsidR="001F2C44">
                        <w:rPr>
                          <w:rFonts w:ascii="Arial" w:hAnsi="Arial" w:cs="Arial"/>
                          <w:szCs w:val="24"/>
                          <w:lang w:val="es-419"/>
                        </w:rPr>
                        <w:t xml:space="preserve"> y </w:t>
                      </w:r>
                      <w:proofErr w:type="spellStart"/>
                      <w:r w:rsidR="001F2C44">
                        <w:rPr>
                          <w:rFonts w:ascii="Arial" w:hAnsi="Arial" w:cs="Arial"/>
                          <w:szCs w:val="24"/>
                          <w:lang w:val="es-419"/>
                        </w:rPr>
                        <w:t>Anabelle</w:t>
                      </w:r>
                      <w:proofErr w:type="spellEnd"/>
                      <w:r w:rsidR="001F2C44">
                        <w:rPr>
                          <w:rFonts w:ascii="Arial" w:hAnsi="Arial" w:cs="Arial"/>
                          <w:szCs w:val="24"/>
                          <w:lang w:val="es-419"/>
                        </w:rPr>
                        <w:t xml:space="preserve"> </w:t>
                      </w:r>
                      <w:proofErr w:type="spellStart"/>
                      <w:r w:rsidR="001F2C44">
                        <w:rPr>
                          <w:rFonts w:ascii="Arial" w:hAnsi="Arial" w:cs="Arial"/>
                          <w:szCs w:val="24"/>
                          <w:lang w:val="es-419"/>
                        </w:rPr>
                        <w:t>Wever</w:t>
                      </w:r>
                      <w:proofErr w:type="spellEnd"/>
                      <w:r w:rsidRPr="00166D23">
                        <w:rPr>
                          <w:rFonts w:ascii="Arial" w:hAnsi="Arial" w:cs="Arial"/>
                          <w:szCs w:val="24"/>
                          <w:lang w:val="es-419"/>
                        </w:rPr>
                        <w:t xml:space="preserve"> (CID/CPN); Ezequiel Cambiasso y David Ochoa (VPC/FMP); Jan Petter Eskildsen (INO/FLIO); Shirley Cañete (INE/TSP); Marion Le Pommellec y Olga Gómez (CSD/RND); Margarita Libby (INT/TIN); y Esteban de Dobrzynski (LEG/SGO).</w:t>
                      </w:r>
                    </w:p>
                  </w:txbxContent>
                </v:textbox>
                <w10:wrap anchorx="margin"/>
              </v:shape>
            </w:pict>
          </mc:Fallback>
        </mc:AlternateContent>
      </w:r>
    </w:p>
    <w:p w14:paraId="4969FF98" w14:textId="77777777" w:rsidR="007116B2" w:rsidRPr="001F731F" w:rsidRDefault="007116B2" w:rsidP="007116B2">
      <w:pPr>
        <w:rPr>
          <w:rFonts w:ascii="Arial" w:hAnsi="Arial" w:cs="Arial"/>
          <w:b/>
          <w:lang w:val="es-ES_tradnl"/>
        </w:rPr>
      </w:pPr>
    </w:p>
    <w:p w14:paraId="027F5825" w14:textId="77777777" w:rsidR="007116B2" w:rsidRPr="001F731F" w:rsidRDefault="007116B2" w:rsidP="007116B2">
      <w:pPr>
        <w:rPr>
          <w:rFonts w:ascii="Arial" w:hAnsi="Arial" w:cs="Arial"/>
          <w:b/>
          <w:lang w:val="es-ES_tradnl"/>
        </w:rPr>
      </w:pPr>
    </w:p>
    <w:p w14:paraId="6A652276" w14:textId="77777777" w:rsidR="007116B2" w:rsidRPr="001F731F" w:rsidRDefault="007116B2" w:rsidP="007116B2">
      <w:pPr>
        <w:rPr>
          <w:rFonts w:ascii="Arial" w:hAnsi="Arial" w:cs="Arial"/>
          <w:b/>
          <w:lang w:val="es-ES_tradnl"/>
        </w:rPr>
        <w:sectPr w:rsidR="007116B2" w:rsidRPr="001F731F" w:rsidSect="001539B3">
          <w:footerReference w:type="default" r:id="rId11"/>
          <w:type w:val="continuous"/>
          <w:pgSz w:w="12240" w:h="15840"/>
          <w:pgMar w:top="1440" w:right="1800" w:bottom="1440" w:left="1800" w:header="720" w:footer="720" w:gutter="0"/>
          <w:cols w:space="720"/>
          <w:titlePg/>
          <w:docGrid w:linePitch="360"/>
        </w:sectPr>
      </w:pPr>
    </w:p>
    <w:p w14:paraId="44E7EA5A" w14:textId="77777777" w:rsidR="007116B2" w:rsidRPr="001F731F" w:rsidRDefault="007116B2" w:rsidP="007116B2">
      <w:pPr>
        <w:jc w:val="center"/>
        <w:rPr>
          <w:rFonts w:ascii="Arial" w:hAnsi="Arial" w:cs="Arial"/>
          <w:b/>
          <w:bCs/>
          <w:smallCaps/>
          <w:spacing w:val="5"/>
          <w:lang w:val="es-ES_tradnl"/>
        </w:rPr>
      </w:pPr>
      <w:r w:rsidRPr="001F731F">
        <w:rPr>
          <w:rStyle w:val="BookTitle"/>
          <w:rFonts w:ascii="Arial" w:hAnsi="Arial" w:cs="Arial"/>
          <w:lang w:val="es-ES_tradnl"/>
        </w:rPr>
        <w:t>CONTENIDO</w:t>
      </w:r>
    </w:p>
    <w:p w14:paraId="5272823A" w14:textId="63AD0001" w:rsidR="00B708E6" w:rsidRPr="00F57549" w:rsidRDefault="007116B2">
      <w:pPr>
        <w:pStyle w:val="TOC1"/>
        <w:rPr>
          <w:rFonts w:ascii="Arial" w:hAnsi="Arial" w:cs="Arial"/>
          <w:b w:val="0"/>
          <w:smallCaps w:val="0"/>
          <w:sz w:val="22"/>
          <w:lang w:val="es-ES_tradnl" w:eastAsia="es-ES_tradnl"/>
        </w:rPr>
      </w:pPr>
      <w:r w:rsidRPr="0016237B">
        <w:rPr>
          <w:rFonts w:ascii="Arial" w:hAnsi="Arial" w:cs="Arial"/>
          <w:b w:val="0"/>
          <w:noProof w:val="0"/>
          <w:sz w:val="22"/>
          <w:lang w:val="es-ES_tradnl"/>
        </w:rPr>
        <w:lastRenderedPageBreak/>
        <w:fldChar w:fldCharType="begin"/>
      </w:r>
      <w:r w:rsidRPr="0016237B">
        <w:rPr>
          <w:rFonts w:ascii="Arial" w:hAnsi="Arial" w:cs="Arial"/>
          <w:b w:val="0"/>
          <w:noProof w:val="0"/>
          <w:sz w:val="22"/>
          <w:lang w:val="es-ES_tradnl"/>
        </w:rPr>
        <w:instrText xml:space="preserve"> TOC \f \t "Chapter,1,FirstHeading,2,SecHeading,3" </w:instrText>
      </w:r>
      <w:r w:rsidRPr="0016237B">
        <w:rPr>
          <w:rFonts w:ascii="Arial" w:hAnsi="Arial" w:cs="Arial"/>
          <w:b w:val="0"/>
          <w:noProof w:val="0"/>
          <w:sz w:val="22"/>
          <w:lang w:val="es-ES_tradnl"/>
        </w:rPr>
        <w:fldChar w:fldCharType="separate"/>
      </w:r>
      <w:r w:rsidR="00B708E6" w:rsidRPr="00B6184F">
        <w:rPr>
          <w:rFonts w:ascii="Arial" w:hAnsi="Arial" w:cs="Arial"/>
          <w:lang w:val="es-ES_tradnl"/>
        </w:rPr>
        <w:t>I.</w:t>
      </w:r>
      <w:r w:rsidR="00B708E6">
        <w:rPr>
          <w:rFonts w:asciiTheme="minorHAnsi" w:hAnsiTheme="minorHAnsi" w:cstheme="minorBidi"/>
          <w:b w:val="0"/>
          <w:smallCaps w:val="0"/>
          <w:sz w:val="22"/>
          <w:lang w:val="es-ES_tradnl" w:eastAsia="es-ES_tradnl"/>
        </w:rPr>
        <w:tab/>
      </w:r>
      <w:r w:rsidR="00B708E6" w:rsidRPr="00B6184F">
        <w:rPr>
          <w:rFonts w:ascii="Arial" w:hAnsi="Arial" w:cs="Arial"/>
          <w:lang w:val="es-ES_tradnl"/>
        </w:rPr>
        <w:t>Introducción</w:t>
      </w:r>
      <w:r w:rsidR="00B708E6" w:rsidRPr="00942D91">
        <w:rPr>
          <w:lang w:val="pt-BR"/>
        </w:rPr>
        <w:tab/>
      </w:r>
      <w:r w:rsidR="00B708E6" w:rsidRPr="00F57549">
        <w:rPr>
          <w:rFonts w:ascii="Arial" w:hAnsi="Arial" w:cs="Arial"/>
        </w:rPr>
        <w:fldChar w:fldCharType="begin"/>
      </w:r>
      <w:r w:rsidR="00B708E6" w:rsidRPr="00F57549">
        <w:rPr>
          <w:rFonts w:ascii="Arial" w:hAnsi="Arial" w:cs="Arial"/>
          <w:lang w:val="pt-BR"/>
        </w:rPr>
        <w:instrText xml:space="preserve"> PAGEREF _Toc38625955 \h </w:instrText>
      </w:r>
      <w:r w:rsidR="00B708E6" w:rsidRPr="00F57549">
        <w:rPr>
          <w:rFonts w:ascii="Arial" w:hAnsi="Arial" w:cs="Arial"/>
        </w:rPr>
      </w:r>
      <w:r w:rsidR="00B708E6" w:rsidRPr="00F57549">
        <w:rPr>
          <w:rFonts w:ascii="Arial" w:hAnsi="Arial" w:cs="Arial"/>
        </w:rPr>
        <w:fldChar w:fldCharType="separate"/>
      </w:r>
      <w:r w:rsidR="00236031" w:rsidRPr="00F57549">
        <w:rPr>
          <w:rFonts w:ascii="Arial" w:hAnsi="Arial" w:cs="Arial"/>
          <w:lang w:val="pt-BR"/>
        </w:rPr>
        <w:t>2</w:t>
      </w:r>
      <w:r w:rsidR="00B708E6" w:rsidRPr="00F57549">
        <w:rPr>
          <w:rFonts w:ascii="Arial" w:hAnsi="Arial" w:cs="Arial"/>
        </w:rPr>
        <w:fldChar w:fldCharType="end"/>
      </w:r>
    </w:p>
    <w:p w14:paraId="0DFAC609" w14:textId="44290466" w:rsidR="00B708E6" w:rsidRPr="00F57549" w:rsidRDefault="00B708E6">
      <w:pPr>
        <w:pStyle w:val="TOC1"/>
        <w:rPr>
          <w:rFonts w:ascii="Arial" w:hAnsi="Arial" w:cs="Arial"/>
          <w:b w:val="0"/>
          <w:smallCaps w:val="0"/>
          <w:sz w:val="22"/>
          <w:lang w:val="es-ES_tradnl" w:eastAsia="es-ES_tradnl"/>
        </w:rPr>
      </w:pPr>
      <w:r w:rsidRPr="00B6184F">
        <w:rPr>
          <w:rFonts w:ascii="Arial" w:hAnsi="Arial" w:cs="Arial"/>
          <w:lang w:val="es-ES_tradnl"/>
        </w:rPr>
        <w:t>II.</w:t>
      </w:r>
      <w:r>
        <w:rPr>
          <w:rFonts w:asciiTheme="minorHAnsi" w:hAnsiTheme="minorHAnsi" w:cstheme="minorBidi"/>
          <w:b w:val="0"/>
          <w:smallCaps w:val="0"/>
          <w:sz w:val="22"/>
          <w:lang w:val="es-ES_tradnl" w:eastAsia="es-ES_tradnl"/>
        </w:rPr>
        <w:tab/>
      </w:r>
      <w:r w:rsidRPr="00B6184F">
        <w:rPr>
          <w:rFonts w:ascii="Arial" w:hAnsi="Arial" w:cs="Arial"/>
          <w:lang w:val="es-ES_tradnl"/>
        </w:rPr>
        <w:t>Monitoreo</w:t>
      </w:r>
      <w:r w:rsidRPr="00942D91">
        <w:rPr>
          <w:lang w:val="pt-BR"/>
        </w:rPr>
        <w:tab/>
      </w:r>
      <w:r w:rsidR="00DF49D6" w:rsidRPr="00E92AB5">
        <w:rPr>
          <w:rFonts w:ascii="Arial" w:hAnsi="Arial" w:cs="Arial"/>
          <w:lang w:val="pt-BR"/>
        </w:rPr>
        <w:t>5</w:t>
      </w:r>
    </w:p>
    <w:p w14:paraId="688C0E60" w14:textId="1563E2AA" w:rsidR="00B708E6" w:rsidRDefault="00B708E6">
      <w:pPr>
        <w:pStyle w:val="TOC3"/>
        <w:rPr>
          <w:rFonts w:asciiTheme="minorHAnsi" w:hAnsiTheme="minorHAnsi" w:cstheme="minorBidi"/>
          <w:noProof/>
          <w:sz w:val="22"/>
          <w:lang w:val="es-ES_tradnl" w:eastAsia="es-ES_tradnl"/>
        </w:rPr>
      </w:pPr>
      <w:r w:rsidRPr="00942D91">
        <w:rPr>
          <w:rFonts w:ascii="Arial" w:hAnsi="Arial" w:cs="Arial"/>
          <w:noProof/>
          <w:lang w:val="pt-BR"/>
        </w:rPr>
        <w:t>1.</w:t>
      </w:r>
      <w:r>
        <w:rPr>
          <w:rFonts w:asciiTheme="minorHAnsi" w:hAnsiTheme="minorHAnsi" w:cstheme="minorBidi"/>
          <w:noProof/>
          <w:sz w:val="22"/>
          <w:lang w:val="es-ES_tradnl" w:eastAsia="es-ES_tradnl"/>
        </w:rPr>
        <w:tab/>
      </w:r>
      <w:r w:rsidRPr="00942D91">
        <w:rPr>
          <w:rFonts w:ascii="Arial" w:hAnsi="Arial" w:cs="Arial"/>
          <w:noProof/>
          <w:lang w:val="pt-BR"/>
        </w:rPr>
        <w:t>Indicadores</w:t>
      </w:r>
      <w:r w:rsidRPr="00942D91">
        <w:rPr>
          <w:noProof/>
          <w:lang w:val="pt-BR"/>
        </w:rPr>
        <w:tab/>
      </w:r>
      <w:r w:rsidRPr="00F57549">
        <w:rPr>
          <w:rFonts w:ascii="Arial" w:hAnsi="Arial" w:cs="Arial"/>
          <w:noProof/>
        </w:rPr>
        <w:fldChar w:fldCharType="begin"/>
      </w:r>
      <w:r w:rsidRPr="00F57549">
        <w:rPr>
          <w:rFonts w:ascii="Arial" w:hAnsi="Arial" w:cs="Arial"/>
          <w:noProof/>
          <w:lang w:val="pt-BR"/>
        </w:rPr>
        <w:instrText xml:space="preserve"> PAGEREF _Toc38625957 \h </w:instrText>
      </w:r>
      <w:r w:rsidRPr="00F57549">
        <w:rPr>
          <w:rFonts w:ascii="Arial" w:hAnsi="Arial" w:cs="Arial"/>
          <w:noProof/>
        </w:rPr>
      </w:r>
      <w:r w:rsidRPr="00F57549">
        <w:rPr>
          <w:rFonts w:ascii="Arial" w:hAnsi="Arial" w:cs="Arial"/>
          <w:noProof/>
        </w:rPr>
        <w:fldChar w:fldCharType="separate"/>
      </w:r>
      <w:r w:rsidR="00236031" w:rsidRPr="00F57549">
        <w:rPr>
          <w:rFonts w:ascii="Arial" w:hAnsi="Arial" w:cs="Arial"/>
          <w:noProof/>
          <w:lang w:val="pt-BR"/>
        </w:rPr>
        <w:t>5</w:t>
      </w:r>
      <w:r w:rsidRPr="00F57549">
        <w:rPr>
          <w:rFonts w:ascii="Arial" w:hAnsi="Arial" w:cs="Arial"/>
          <w:noProof/>
        </w:rPr>
        <w:fldChar w:fldCharType="end"/>
      </w:r>
    </w:p>
    <w:p w14:paraId="6010612C" w14:textId="4CD9B896" w:rsidR="00B708E6" w:rsidRPr="00F57549" w:rsidRDefault="00B708E6">
      <w:pPr>
        <w:pStyle w:val="TOC3"/>
        <w:rPr>
          <w:rFonts w:ascii="Arial" w:hAnsi="Arial" w:cs="Arial"/>
          <w:noProof/>
          <w:sz w:val="22"/>
          <w:lang w:val="es-ES_tradnl" w:eastAsia="es-ES_tradnl"/>
        </w:rPr>
      </w:pPr>
      <w:r w:rsidRPr="00942D91">
        <w:rPr>
          <w:rFonts w:ascii="Arial" w:hAnsi="Arial" w:cs="Arial"/>
          <w:noProof/>
          <w:lang w:val="pt-BR"/>
        </w:rPr>
        <w:t>2.</w:t>
      </w:r>
      <w:r>
        <w:rPr>
          <w:rFonts w:asciiTheme="minorHAnsi" w:hAnsiTheme="minorHAnsi" w:cstheme="minorBidi"/>
          <w:noProof/>
          <w:sz w:val="22"/>
          <w:lang w:val="es-ES_tradnl" w:eastAsia="es-ES_tradnl"/>
        </w:rPr>
        <w:tab/>
      </w:r>
      <w:r w:rsidRPr="00942D91">
        <w:rPr>
          <w:rFonts w:ascii="Arial" w:hAnsi="Arial" w:cs="Arial"/>
          <w:noProof/>
          <w:lang w:val="pt-BR"/>
        </w:rPr>
        <w:t>Recolección de Información e Instrumentos</w:t>
      </w:r>
      <w:r w:rsidRPr="00942D91">
        <w:rPr>
          <w:noProof/>
          <w:lang w:val="pt-BR"/>
        </w:rPr>
        <w:tab/>
      </w:r>
      <w:r w:rsidRPr="00F57549">
        <w:rPr>
          <w:rFonts w:ascii="Arial" w:hAnsi="Arial" w:cs="Arial"/>
          <w:noProof/>
        </w:rPr>
        <w:fldChar w:fldCharType="begin"/>
      </w:r>
      <w:r w:rsidRPr="00F57549">
        <w:rPr>
          <w:rFonts w:ascii="Arial" w:hAnsi="Arial" w:cs="Arial"/>
          <w:noProof/>
          <w:lang w:val="pt-BR"/>
        </w:rPr>
        <w:instrText xml:space="preserve"> PAGEREF _Toc38625958 \h </w:instrText>
      </w:r>
      <w:r w:rsidRPr="00F57549">
        <w:rPr>
          <w:rFonts w:ascii="Arial" w:hAnsi="Arial" w:cs="Arial"/>
          <w:noProof/>
        </w:rPr>
      </w:r>
      <w:r w:rsidRPr="00F57549">
        <w:rPr>
          <w:rFonts w:ascii="Arial" w:hAnsi="Arial" w:cs="Arial"/>
          <w:noProof/>
        </w:rPr>
        <w:fldChar w:fldCharType="separate"/>
      </w:r>
      <w:r w:rsidR="00236031" w:rsidRPr="00F57549">
        <w:rPr>
          <w:rFonts w:ascii="Arial" w:hAnsi="Arial" w:cs="Arial"/>
          <w:noProof/>
          <w:lang w:val="pt-BR"/>
        </w:rPr>
        <w:t>11</w:t>
      </w:r>
      <w:r w:rsidRPr="00F57549">
        <w:rPr>
          <w:rFonts w:ascii="Arial" w:hAnsi="Arial" w:cs="Arial"/>
          <w:noProof/>
        </w:rPr>
        <w:fldChar w:fldCharType="end"/>
      </w:r>
    </w:p>
    <w:p w14:paraId="6F6CCF31" w14:textId="655CB38D" w:rsidR="00B708E6" w:rsidRPr="00DF49D6" w:rsidRDefault="00B708E6">
      <w:pPr>
        <w:pStyle w:val="TOC3"/>
        <w:rPr>
          <w:rFonts w:ascii="Arial" w:hAnsi="Arial" w:cs="Arial"/>
          <w:noProof/>
          <w:sz w:val="22"/>
          <w:lang w:val="pt-BR" w:eastAsia="es-ES_tradnl"/>
        </w:rPr>
      </w:pPr>
      <w:r w:rsidRPr="00F57549">
        <w:rPr>
          <w:rFonts w:ascii="Arial" w:hAnsi="Arial" w:cs="Arial"/>
          <w:noProof/>
          <w:lang w:val="pt-BR"/>
        </w:rPr>
        <w:t>3.</w:t>
      </w:r>
      <w:r w:rsidRPr="00F57549">
        <w:rPr>
          <w:rFonts w:ascii="Arial" w:hAnsi="Arial" w:cs="Arial"/>
          <w:noProof/>
          <w:sz w:val="22"/>
          <w:lang w:val="es-ES_tradnl" w:eastAsia="es-ES_tradnl"/>
        </w:rPr>
        <w:tab/>
      </w:r>
      <w:r w:rsidRPr="00F57549">
        <w:rPr>
          <w:rFonts w:ascii="Arial" w:hAnsi="Arial" w:cs="Arial"/>
          <w:noProof/>
          <w:lang w:val="pt-BR"/>
        </w:rPr>
        <w:t>Presentación de Informes</w:t>
      </w:r>
      <w:r w:rsidRPr="00F57549">
        <w:rPr>
          <w:rFonts w:ascii="Arial" w:hAnsi="Arial" w:cs="Arial"/>
          <w:noProof/>
          <w:lang w:val="pt-BR"/>
        </w:rPr>
        <w:tab/>
      </w:r>
      <w:r w:rsidR="00DF49D6" w:rsidRPr="00DF49D6">
        <w:rPr>
          <w:rFonts w:ascii="Arial" w:hAnsi="Arial" w:cs="Arial"/>
          <w:noProof/>
          <w:lang w:val="pt-BR"/>
        </w:rPr>
        <w:t>1</w:t>
      </w:r>
      <w:r w:rsidR="00DF49D6">
        <w:rPr>
          <w:rFonts w:ascii="Arial" w:hAnsi="Arial" w:cs="Arial"/>
          <w:noProof/>
          <w:lang w:val="pt-BR"/>
        </w:rPr>
        <w:t>2</w:t>
      </w:r>
    </w:p>
    <w:p w14:paraId="3C556E75" w14:textId="44BD710A" w:rsidR="00B708E6" w:rsidRPr="00F57549" w:rsidRDefault="00B708E6">
      <w:pPr>
        <w:pStyle w:val="TOC3"/>
        <w:rPr>
          <w:rFonts w:ascii="Arial" w:hAnsi="Arial" w:cs="Arial"/>
          <w:noProof/>
          <w:szCs w:val="24"/>
          <w:lang w:val="es-ES_tradnl" w:eastAsia="es-ES_tradnl"/>
        </w:rPr>
      </w:pPr>
      <w:r w:rsidRPr="00F57549">
        <w:rPr>
          <w:rFonts w:ascii="Arial" w:hAnsi="Arial" w:cs="Arial"/>
          <w:noProof/>
          <w:lang w:val="pt-BR"/>
        </w:rPr>
        <w:t>4.</w:t>
      </w:r>
      <w:r w:rsidRPr="00F57549">
        <w:rPr>
          <w:rFonts w:ascii="Arial" w:hAnsi="Arial" w:cs="Arial"/>
          <w:noProof/>
          <w:sz w:val="22"/>
          <w:lang w:val="es-ES_tradnl" w:eastAsia="es-ES_tradnl"/>
        </w:rPr>
        <w:tab/>
      </w:r>
      <w:r w:rsidRPr="00F57549">
        <w:rPr>
          <w:rFonts w:ascii="Arial" w:hAnsi="Arial" w:cs="Arial"/>
          <w:noProof/>
          <w:lang w:val="pt-BR"/>
        </w:rPr>
        <w:t>Coordinación del Monitoreo, Plan de Trabajo y Presupuesto</w:t>
      </w:r>
      <w:r w:rsidRPr="00F57549">
        <w:rPr>
          <w:rFonts w:ascii="Arial" w:hAnsi="Arial" w:cs="Arial"/>
          <w:noProof/>
          <w:lang w:val="pt-BR"/>
        </w:rPr>
        <w:tab/>
      </w:r>
      <w:r w:rsidRPr="00F57549">
        <w:rPr>
          <w:rFonts w:ascii="Arial" w:hAnsi="Arial" w:cs="Arial"/>
          <w:noProof/>
        </w:rPr>
        <w:fldChar w:fldCharType="begin"/>
      </w:r>
      <w:r w:rsidRPr="00F57549">
        <w:rPr>
          <w:rFonts w:ascii="Arial" w:hAnsi="Arial" w:cs="Arial"/>
          <w:noProof/>
          <w:lang w:val="pt-BR"/>
        </w:rPr>
        <w:instrText xml:space="preserve"> PAGEREF _Toc38625960 \h </w:instrText>
      </w:r>
      <w:r w:rsidRPr="00F57549">
        <w:rPr>
          <w:rFonts w:ascii="Arial" w:hAnsi="Arial" w:cs="Arial"/>
          <w:noProof/>
        </w:rPr>
      </w:r>
      <w:r w:rsidRPr="00F57549">
        <w:rPr>
          <w:rFonts w:ascii="Arial" w:hAnsi="Arial" w:cs="Arial"/>
          <w:noProof/>
        </w:rPr>
        <w:fldChar w:fldCharType="separate"/>
      </w:r>
      <w:r w:rsidR="00236031" w:rsidRPr="00F57549">
        <w:rPr>
          <w:rFonts w:ascii="Arial" w:hAnsi="Arial" w:cs="Arial"/>
          <w:noProof/>
          <w:lang w:val="pt-BR"/>
        </w:rPr>
        <w:t>12</w:t>
      </w:r>
      <w:r w:rsidRPr="00F57549">
        <w:rPr>
          <w:rFonts w:ascii="Arial" w:hAnsi="Arial" w:cs="Arial"/>
          <w:noProof/>
        </w:rPr>
        <w:fldChar w:fldCharType="end"/>
      </w:r>
    </w:p>
    <w:p w14:paraId="347B4876" w14:textId="4447EC62" w:rsidR="00B708E6" w:rsidRDefault="00B708E6">
      <w:pPr>
        <w:pStyle w:val="TOC1"/>
        <w:rPr>
          <w:rFonts w:asciiTheme="minorHAnsi" w:hAnsiTheme="minorHAnsi" w:cstheme="minorBidi"/>
          <w:b w:val="0"/>
          <w:smallCaps w:val="0"/>
          <w:sz w:val="22"/>
          <w:lang w:val="es-ES_tradnl" w:eastAsia="es-ES_tradnl"/>
        </w:rPr>
      </w:pPr>
      <w:r w:rsidRPr="00B6184F">
        <w:rPr>
          <w:rFonts w:ascii="Arial" w:hAnsi="Arial" w:cs="Arial"/>
          <w:lang w:val="es-ES_tradnl"/>
        </w:rPr>
        <w:t>III.</w:t>
      </w:r>
      <w:r>
        <w:rPr>
          <w:rFonts w:asciiTheme="minorHAnsi" w:hAnsiTheme="minorHAnsi" w:cstheme="minorBidi"/>
          <w:b w:val="0"/>
          <w:smallCaps w:val="0"/>
          <w:sz w:val="22"/>
          <w:lang w:val="es-ES_tradnl" w:eastAsia="es-ES_tradnl"/>
        </w:rPr>
        <w:tab/>
      </w:r>
      <w:r w:rsidRPr="00B6184F">
        <w:rPr>
          <w:rFonts w:ascii="Arial" w:hAnsi="Arial" w:cs="Arial"/>
          <w:lang w:val="es-ES_tradnl"/>
        </w:rPr>
        <w:t>Evaluación</w:t>
      </w:r>
      <w:r>
        <w:tab/>
      </w:r>
      <w:r w:rsidR="00DF49D6">
        <w:rPr>
          <w:rFonts w:ascii="Arial" w:hAnsi="Arial" w:cs="Arial"/>
        </w:rPr>
        <w:t>13</w:t>
      </w:r>
    </w:p>
    <w:p w14:paraId="4E2C68EB" w14:textId="7897950E" w:rsidR="007116B2" w:rsidRPr="001F731F" w:rsidRDefault="007116B2" w:rsidP="007116B2">
      <w:pPr>
        <w:pStyle w:val="TOC3"/>
        <w:rPr>
          <w:rFonts w:ascii="Arial" w:hAnsi="Arial" w:cs="Arial"/>
          <w:sz w:val="22"/>
          <w:lang w:val="es-ES_tradnl"/>
        </w:rPr>
      </w:pPr>
      <w:r w:rsidRPr="0016237B">
        <w:rPr>
          <w:rFonts w:ascii="Arial" w:hAnsi="Arial" w:cs="Arial"/>
          <w:sz w:val="22"/>
          <w:lang w:val="es-ES_tradnl"/>
        </w:rPr>
        <w:fldChar w:fldCharType="end"/>
      </w:r>
    </w:p>
    <w:p w14:paraId="18C1DBAF" w14:textId="77777777" w:rsidR="007116B2" w:rsidRPr="001F731F" w:rsidRDefault="007116B2" w:rsidP="007116B2">
      <w:pPr>
        <w:rPr>
          <w:rFonts w:ascii="Arial" w:hAnsi="Arial" w:cs="Arial"/>
          <w:lang w:val="es-ES_tradnl"/>
        </w:rPr>
      </w:pPr>
    </w:p>
    <w:p w14:paraId="60159A05" w14:textId="77777777" w:rsidR="007116B2" w:rsidRPr="001F731F" w:rsidRDefault="007116B2" w:rsidP="007116B2">
      <w:pPr>
        <w:rPr>
          <w:rFonts w:ascii="Arial" w:hAnsi="Arial" w:cs="Arial"/>
          <w:lang w:val="es-ES_tradnl"/>
        </w:rPr>
      </w:pPr>
    </w:p>
    <w:p w14:paraId="37C29CAA" w14:textId="77777777" w:rsidR="007116B2" w:rsidRPr="001F731F" w:rsidRDefault="007116B2" w:rsidP="007116B2">
      <w:pPr>
        <w:rPr>
          <w:rFonts w:ascii="Arial" w:hAnsi="Arial" w:cs="Arial"/>
          <w:lang w:val="es-ES_tradnl"/>
        </w:rPr>
        <w:sectPr w:rsidR="007116B2" w:rsidRPr="001F731F" w:rsidSect="001539B3">
          <w:footerReference w:type="default" r:id="rId12"/>
          <w:type w:val="continuous"/>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40010059" w14:textId="77777777" w:rsidR="007116B2" w:rsidRPr="001F2C44" w:rsidRDefault="007116B2" w:rsidP="007116B2">
      <w:pPr>
        <w:pStyle w:val="Chapter"/>
        <w:spacing w:before="0"/>
        <w:rPr>
          <w:rFonts w:ascii="Arial" w:hAnsi="Arial" w:cs="Arial"/>
          <w:szCs w:val="24"/>
          <w:lang w:val="es-ES_tradnl"/>
        </w:rPr>
      </w:pPr>
      <w:bookmarkStart w:id="2" w:name="_Toc352756751"/>
      <w:bookmarkStart w:id="3" w:name="_Toc38625955"/>
      <w:r w:rsidRPr="001F2C44">
        <w:rPr>
          <w:rFonts w:ascii="Arial" w:hAnsi="Arial" w:cs="Arial"/>
          <w:szCs w:val="24"/>
          <w:lang w:val="es-ES_tradnl"/>
        </w:rPr>
        <w:lastRenderedPageBreak/>
        <w:t>Introducción</w:t>
      </w:r>
      <w:bookmarkEnd w:id="2"/>
      <w:bookmarkEnd w:id="3"/>
      <w:r w:rsidRPr="001F2C44">
        <w:rPr>
          <w:rFonts w:ascii="Arial" w:hAnsi="Arial" w:cs="Arial"/>
          <w:szCs w:val="24"/>
          <w:lang w:val="es-ES_tradnl"/>
        </w:rPr>
        <w:t xml:space="preserve"> </w:t>
      </w:r>
    </w:p>
    <w:p w14:paraId="255F09F1" w14:textId="1DC871D4" w:rsidR="00454CB5" w:rsidRPr="00A8655B" w:rsidRDefault="00454CB5" w:rsidP="00997021">
      <w:pPr>
        <w:pStyle w:val="Paragraph"/>
        <w:numPr>
          <w:ilvl w:val="1"/>
          <w:numId w:val="4"/>
        </w:numPr>
        <w:ind w:left="720" w:hanging="720"/>
        <w:rPr>
          <w:rFonts w:ascii="Arial" w:hAnsi="Arial" w:cs="Arial"/>
          <w:sz w:val="22"/>
          <w:szCs w:val="22"/>
          <w:lang w:val="es-ES_tradnl"/>
        </w:rPr>
      </w:pPr>
      <w:r w:rsidRPr="00454CB5">
        <w:rPr>
          <w:rFonts w:ascii="Arial" w:hAnsi="Arial" w:cs="Arial"/>
          <w:b/>
          <w:bCs/>
          <w:sz w:val="22"/>
          <w:szCs w:val="22"/>
          <w:lang w:val="es-ES_tradnl"/>
        </w:rPr>
        <w:t xml:space="preserve">Antecedentes de la intervención. </w:t>
      </w:r>
      <w:r w:rsidR="008E6D9F" w:rsidRPr="008E6D9F">
        <w:rPr>
          <w:rFonts w:ascii="Arial" w:hAnsi="Arial" w:cs="Arial"/>
          <w:sz w:val="22"/>
          <w:szCs w:val="22"/>
          <w:lang w:val="es-ES"/>
        </w:rPr>
        <w:t xml:space="preserve">El 11 de marzo de 2020, la Organización Mundial de la Salud (OMS) </w:t>
      </w:r>
      <w:r w:rsidR="00DC060C">
        <w:rPr>
          <w:rFonts w:ascii="Arial" w:hAnsi="Arial" w:cs="Arial"/>
          <w:sz w:val="22"/>
          <w:szCs w:val="22"/>
          <w:lang w:val="es-ES"/>
        </w:rPr>
        <w:t>declar</w:t>
      </w:r>
      <w:r w:rsidR="008E6D9F" w:rsidRPr="008E6D9F">
        <w:rPr>
          <w:rFonts w:ascii="Arial" w:hAnsi="Arial" w:cs="Arial"/>
          <w:sz w:val="22"/>
          <w:szCs w:val="22"/>
          <w:lang w:val="es-ES"/>
        </w:rPr>
        <w:t xml:space="preserve">ó como una pandemia a la enfermedad COVID-19, causada por el virus que afecta las vías respiratorias, novel-Coronavirus o nCoV2019. A la fecha de 28 de abril de 2020, según la OMS se registran más de 2,9 millones de casos confirmados en 213 países, que han resultado en más de 202 mil muertes. En América Latina y el Caribe (ALC) se han reportado cerca de 181 mil casos confirmados de COVID-19, en todos los países de la región, y más de 9 mil fallecidos, mientras que en Panamá se reportan más de 5 mil casos con </w:t>
      </w:r>
      <w:r w:rsidR="00A25987">
        <w:rPr>
          <w:rFonts w:ascii="Arial" w:hAnsi="Arial" w:cs="Arial"/>
          <w:sz w:val="22"/>
          <w:szCs w:val="22"/>
          <w:lang w:val="es-ES"/>
        </w:rPr>
        <w:t>165 fallecidos</w:t>
      </w:r>
      <w:r w:rsidR="00A25987" w:rsidRPr="00506016">
        <w:rPr>
          <w:rFonts w:ascii="Arial" w:hAnsi="Arial" w:cs="Arial"/>
          <w:sz w:val="22"/>
          <w:szCs w:val="22"/>
          <w:vertAlign w:val="superscript"/>
          <w:lang w:val="es-ES"/>
        </w:rPr>
        <w:footnoteReference w:id="2"/>
      </w:r>
      <w:r w:rsidR="00A25987">
        <w:rPr>
          <w:rFonts w:ascii="Arial" w:hAnsi="Arial" w:cs="Arial"/>
          <w:sz w:val="22"/>
          <w:szCs w:val="22"/>
          <w:lang w:val="es-ES"/>
        </w:rPr>
        <w:t>.</w:t>
      </w:r>
      <w:r w:rsidR="00A25987" w:rsidRPr="00506016">
        <w:rPr>
          <w:rFonts w:ascii="Arial" w:hAnsi="Arial" w:cs="Arial"/>
          <w:sz w:val="22"/>
          <w:szCs w:val="22"/>
          <w:lang w:val="es-ES"/>
        </w:rPr>
        <w:t xml:space="preserve"> </w:t>
      </w:r>
      <w:r w:rsidR="00A25987" w:rsidRPr="00A25987">
        <w:rPr>
          <w:rFonts w:ascii="Arial" w:hAnsi="Arial" w:cs="Arial"/>
          <w:spacing w:val="-3"/>
          <w:sz w:val="22"/>
          <w:szCs w:val="22"/>
          <w:lang w:val="pt-BR"/>
        </w:rPr>
        <w:t>Además, según la OMS, el país se encuentra en el nivel 3 de 5 en cuanto a su nivel de preparación y capacidad para manejar eventos de salud pública</w:t>
      </w:r>
      <w:r w:rsidR="00A25987" w:rsidRPr="005354BE">
        <w:rPr>
          <w:rStyle w:val="FootnoteReference"/>
          <w:rFonts w:ascii="Arial" w:hAnsi="Arial" w:cs="Arial"/>
          <w:spacing w:val="-3"/>
          <w:sz w:val="22"/>
          <w:szCs w:val="22"/>
        </w:rPr>
        <w:footnoteReference w:id="3"/>
      </w:r>
      <w:r w:rsidR="00A25987" w:rsidRPr="00A25987">
        <w:rPr>
          <w:rFonts w:ascii="Arial" w:hAnsi="Arial" w:cs="Arial"/>
          <w:spacing w:val="-3"/>
          <w:sz w:val="22"/>
          <w:szCs w:val="22"/>
          <w:lang w:val="pt-BR"/>
        </w:rPr>
        <w:t xml:space="preserve">. </w:t>
      </w:r>
      <w:r w:rsidR="00A25987" w:rsidRPr="00506016">
        <w:rPr>
          <w:rFonts w:ascii="Arial" w:hAnsi="Arial" w:cs="Arial"/>
          <w:sz w:val="22"/>
          <w:szCs w:val="22"/>
          <w:lang w:val="es-ES"/>
        </w:rPr>
        <w:t xml:space="preserve">Se espera que el número de casos, el número de muertes </w:t>
      </w:r>
      <w:r w:rsidR="00A25987" w:rsidRPr="00A70967">
        <w:rPr>
          <w:rFonts w:ascii="Arial" w:hAnsi="Arial" w:cs="Arial"/>
          <w:sz w:val="22"/>
          <w:szCs w:val="22"/>
          <w:lang w:val="es-ES"/>
        </w:rPr>
        <w:t xml:space="preserve">y </w:t>
      </w:r>
      <w:r w:rsidR="00A25987" w:rsidRPr="00D13CDA">
        <w:rPr>
          <w:rFonts w:ascii="Arial" w:hAnsi="Arial" w:cs="Arial"/>
          <w:sz w:val="22"/>
          <w:szCs w:val="22"/>
          <w:lang w:val="es-ES"/>
        </w:rPr>
        <w:t>el número</w:t>
      </w:r>
      <w:r w:rsidR="00A25987" w:rsidRPr="00506016">
        <w:rPr>
          <w:rFonts w:ascii="Arial" w:hAnsi="Arial" w:cs="Arial"/>
          <w:sz w:val="22"/>
          <w:szCs w:val="22"/>
          <w:lang w:val="es-ES"/>
        </w:rPr>
        <w:t xml:space="preserve"> de países afectados siga aumentando</w:t>
      </w:r>
      <w:r w:rsidR="00A25987">
        <w:rPr>
          <w:rFonts w:ascii="Arial" w:hAnsi="Arial" w:cs="Arial"/>
          <w:sz w:val="22"/>
          <w:szCs w:val="22"/>
          <w:lang w:val="es-ES"/>
        </w:rPr>
        <w:t>.</w:t>
      </w:r>
    </w:p>
    <w:p w14:paraId="310BDC92" w14:textId="77777777" w:rsidR="00997021" w:rsidRPr="00997021" w:rsidRDefault="00997021" w:rsidP="00997021">
      <w:pPr>
        <w:pStyle w:val="ListParagraph"/>
        <w:numPr>
          <w:ilvl w:val="0"/>
          <w:numId w:val="8"/>
        </w:numPr>
        <w:spacing w:before="120" w:after="120"/>
        <w:contextualSpacing w:val="0"/>
        <w:jc w:val="both"/>
        <w:rPr>
          <w:rFonts w:ascii="Arial" w:eastAsia="Arial" w:hAnsi="Arial" w:cs="Arial"/>
          <w:b/>
          <w:bCs/>
          <w:vanish/>
          <w:sz w:val="22"/>
          <w:szCs w:val="22"/>
        </w:rPr>
      </w:pPr>
    </w:p>
    <w:p w14:paraId="017DCCF5" w14:textId="77777777" w:rsidR="00997021" w:rsidRPr="00997021" w:rsidRDefault="00997021" w:rsidP="00997021">
      <w:pPr>
        <w:pStyle w:val="ListParagraph"/>
        <w:numPr>
          <w:ilvl w:val="1"/>
          <w:numId w:val="8"/>
        </w:numPr>
        <w:spacing w:before="120" w:after="120"/>
        <w:contextualSpacing w:val="0"/>
        <w:jc w:val="both"/>
        <w:rPr>
          <w:rFonts w:ascii="Arial" w:eastAsia="Arial" w:hAnsi="Arial" w:cs="Arial"/>
          <w:b/>
          <w:bCs/>
          <w:vanish/>
          <w:sz w:val="22"/>
          <w:szCs w:val="22"/>
        </w:rPr>
      </w:pPr>
    </w:p>
    <w:p w14:paraId="138FC120" w14:textId="7B20794E" w:rsidR="000E68BC" w:rsidRPr="00E07A4B" w:rsidRDefault="000E68BC" w:rsidP="00997021">
      <w:pPr>
        <w:pStyle w:val="ListParagraph"/>
        <w:numPr>
          <w:ilvl w:val="1"/>
          <w:numId w:val="8"/>
        </w:numPr>
        <w:spacing w:before="120" w:after="120"/>
        <w:ind w:left="720" w:hanging="720"/>
        <w:contextualSpacing w:val="0"/>
        <w:jc w:val="both"/>
        <w:rPr>
          <w:sz w:val="22"/>
          <w:szCs w:val="22"/>
        </w:rPr>
      </w:pPr>
      <w:r w:rsidRPr="00316758">
        <w:rPr>
          <w:rFonts w:ascii="Arial" w:eastAsia="Arial" w:hAnsi="Arial" w:cs="Arial"/>
          <w:b/>
          <w:bCs/>
          <w:sz w:val="22"/>
          <w:szCs w:val="22"/>
        </w:rPr>
        <w:t xml:space="preserve">Limitaciones actuales de acceso a financiamiento de </w:t>
      </w:r>
      <w:r w:rsidRPr="0036380A">
        <w:rPr>
          <w:rFonts w:ascii="Arial" w:eastAsia="Arial" w:hAnsi="Arial" w:cs="Arial"/>
          <w:b/>
          <w:bCs/>
          <w:sz w:val="22"/>
          <w:szCs w:val="22"/>
        </w:rPr>
        <w:t xml:space="preserve">las </w:t>
      </w:r>
      <w:r>
        <w:rPr>
          <w:rFonts w:ascii="Arial" w:eastAsia="Arial" w:hAnsi="Arial" w:cs="Arial"/>
          <w:b/>
          <w:bCs/>
          <w:sz w:val="22"/>
          <w:szCs w:val="22"/>
        </w:rPr>
        <w:t>Micro, Pequeñas y Medianas Empresas</w:t>
      </w:r>
      <w:r w:rsidRPr="00316758">
        <w:rPr>
          <w:rFonts w:ascii="Arial" w:eastAsia="Arial" w:hAnsi="Arial" w:cs="Arial"/>
          <w:b/>
          <w:bCs/>
          <w:sz w:val="22"/>
          <w:szCs w:val="22"/>
        </w:rPr>
        <w:t xml:space="preserve"> </w:t>
      </w:r>
      <w:r>
        <w:rPr>
          <w:rFonts w:ascii="Arial" w:eastAsia="Arial" w:hAnsi="Arial" w:cs="Arial"/>
          <w:b/>
          <w:bCs/>
          <w:sz w:val="22"/>
          <w:szCs w:val="22"/>
        </w:rPr>
        <w:t>(</w:t>
      </w:r>
      <w:r w:rsidR="005149EA" w:rsidRPr="005149EA">
        <w:rPr>
          <w:rFonts w:ascii="Arial" w:eastAsia="Arial" w:hAnsi="Arial" w:cs="Arial"/>
          <w:b/>
          <w:bCs/>
          <w:sz w:val="22"/>
          <w:szCs w:val="22"/>
        </w:rPr>
        <w:t>MIPYME</w:t>
      </w:r>
      <w:r>
        <w:rPr>
          <w:rFonts w:ascii="Arial" w:eastAsia="Arial" w:hAnsi="Arial" w:cs="Arial"/>
          <w:b/>
          <w:bCs/>
          <w:sz w:val="22"/>
          <w:szCs w:val="22"/>
        </w:rPr>
        <w:t>)</w:t>
      </w:r>
      <w:r w:rsidRPr="00316758">
        <w:rPr>
          <w:rFonts w:ascii="Arial" w:eastAsia="Arial" w:hAnsi="Arial" w:cs="Arial"/>
          <w:b/>
          <w:bCs/>
          <w:sz w:val="22"/>
          <w:szCs w:val="22"/>
        </w:rPr>
        <w:t xml:space="preserve"> en</w:t>
      </w:r>
      <w:r w:rsidRPr="00316758">
        <w:rPr>
          <w:rFonts w:ascii="Arial" w:eastAsia="Arial" w:hAnsi="Arial" w:cs="Arial"/>
          <w:sz w:val="22"/>
          <w:szCs w:val="22"/>
        </w:rPr>
        <w:t xml:space="preserve"> </w:t>
      </w:r>
      <w:bookmarkStart w:id="4" w:name="_Hlk39440254"/>
      <w:r>
        <w:rPr>
          <w:rFonts w:ascii="Arial" w:eastAsia="Arial" w:hAnsi="Arial" w:cs="Arial"/>
          <w:b/>
          <w:bCs/>
          <w:sz w:val="22"/>
          <w:szCs w:val="22"/>
        </w:rPr>
        <w:t>Panamá</w:t>
      </w:r>
      <w:r w:rsidRPr="008C182A">
        <w:rPr>
          <w:rStyle w:val="FootnoteReference"/>
          <w:rFonts w:ascii="Arial" w:eastAsia="Arial" w:hAnsi="Arial" w:cs="Arial"/>
          <w:sz w:val="22"/>
          <w:szCs w:val="22"/>
        </w:rPr>
        <w:footnoteReference w:id="4"/>
      </w:r>
      <w:r w:rsidR="00E92AB5">
        <w:rPr>
          <w:rFonts w:ascii="Arial" w:eastAsia="Arial" w:hAnsi="Arial" w:cs="Arial"/>
          <w:b/>
          <w:bCs/>
          <w:sz w:val="22"/>
          <w:szCs w:val="22"/>
        </w:rPr>
        <w:t>.</w:t>
      </w:r>
      <w:r w:rsidRPr="00316758">
        <w:rPr>
          <w:rFonts w:ascii="Arial" w:eastAsia="Arial" w:hAnsi="Arial" w:cs="Arial"/>
          <w:sz w:val="22"/>
          <w:szCs w:val="22"/>
        </w:rPr>
        <w:t xml:space="preserve"> </w:t>
      </w:r>
      <w:r>
        <w:rPr>
          <w:rFonts w:ascii="Arial" w:eastAsia="Arial" w:hAnsi="Arial" w:cs="Arial"/>
          <w:sz w:val="22"/>
          <w:szCs w:val="22"/>
        </w:rPr>
        <w:t xml:space="preserve">Se estima que hay aproximadamente 200 mil </w:t>
      </w:r>
      <w:r w:rsidR="005149EA" w:rsidRPr="005149EA">
        <w:rPr>
          <w:rFonts w:ascii="Arial" w:eastAsia="Arial" w:hAnsi="Arial" w:cs="Arial"/>
          <w:sz w:val="22"/>
          <w:szCs w:val="22"/>
        </w:rPr>
        <w:t>MIPYME</w:t>
      </w:r>
      <w:r>
        <w:rPr>
          <w:rStyle w:val="FootnoteReference"/>
          <w:rFonts w:ascii="Arial" w:eastAsia="Arial" w:hAnsi="Arial" w:cs="Arial"/>
          <w:sz w:val="22"/>
          <w:szCs w:val="22"/>
        </w:rPr>
        <w:footnoteReference w:id="5"/>
      </w:r>
      <w:r>
        <w:rPr>
          <w:rFonts w:ascii="Arial" w:eastAsia="Arial" w:hAnsi="Arial" w:cs="Arial"/>
          <w:sz w:val="22"/>
          <w:szCs w:val="22"/>
        </w:rPr>
        <w:t xml:space="preserve"> en Panamá, las cuales representan 96,3% del total de empresas y 49% del empleo formal en el país. En promedio la microempresa en Panamá emplea a 3 personas, la pequeña a 11 y la mediana a 26. En términos de ingresos, las </w:t>
      </w:r>
      <w:r w:rsidR="005149EA" w:rsidRPr="005149EA">
        <w:rPr>
          <w:rFonts w:ascii="Arial" w:eastAsia="Arial" w:hAnsi="Arial" w:cs="Arial"/>
          <w:sz w:val="22"/>
          <w:szCs w:val="22"/>
        </w:rPr>
        <w:t>MIPYME</w:t>
      </w:r>
      <w:r>
        <w:rPr>
          <w:rFonts w:ascii="Arial" w:eastAsia="Arial" w:hAnsi="Arial" w:cs="Arial"/>
          <w:sz w:val="22"/>
          <w:szCs w:val="22"/>
        </w:rPr>
        <w:t xml:space="preserve"> formales en su conjunto son responsables de la generación de US$6.500 millones al 2016, de los </w:t>
      </w:r>
      <w:r w:rsidR="002056DF">
        <w:rPr>
          <w:rFonts w:ascii="Arial" w:eastAsia="Arial" w:hAnsi="Arial" w:cs="Arial"/>
          <w:sz w:val="22"/>
          <w:szCs w:val="22"/>
        </w:rPr>
        <w:t>cuáles</w:t>
      </w:r>
      <w:r>
        <w:rPr>
          <w:rFonts w:ascii="Arial" w:eastAsia="Arial" w:hAnsi="Arial" w:cs="Arial"/>
          <w:sz w:val="22"/>
          <w:szCs w:val="22"/>
        </w:rPr>
        <w:t xml:space="preserve"> las </w:t>
      </w:r>
      <w:r w:rsidRPr="008F37FE">
        <w:rPr>
          <w:rFonts w:ascii="Arial" w:eastAsia="Arial" w:hAnsi="Arial" w:cs="Arial"/>
          <w:sz w:val="22"/>
          <w:szCs w:val="22"/>
        </w:rPr>
        <w:t>pequeñas empresas aportan el 41</w:t>
      </w:r>
      <w:r>
        <w:rPr>
          <w:rFonts w:ascii="Arial" w:eastAsia="Arial" w:hAnsi="Arial" w:cs="Arial"/>
          <w:sz w:val="22"/>
          <w:szCs w:val="22"/>
        </w:rPr>
        <w:t>,</w:t>
      </w:r>
      <w:r w:rsidRPr="008F37FE">
        <w:rPr>
          <w:rFonts w:ascii="Arial" w:eastAsia="Arial" w:hAnsi="Arial" w:cs="Arial"/>
          <w:sz w:val="22"/>
          <w:szCs w:val="22"/>
        </w:rPr>
        <w:t>6%</w:t>
      </w:r>
      <w:r>
        <w:rPr>
          <w:rFonts w:ascii="Arial" w:eastAsia="Arial" w:hAnsi="Arial" w:cs="Arial"/>
          <w:sz w:val="22"/>
          <w:szCs w:val="22"/>
        </w:rPr>
        <w:t xml:space="preserve"> del total de ingresos; </w:t>
      </w:r>
      <w:r w:rsidRPr="008F37FE">
        <w:rPr>
          <w:rFonts w:ascii="Arial" w:eastAsia="Arial" w:hAnsi="Arial" w:cs="Arial"/>
          <w:sz w:val="22"/>
          <w:szCs w:val="22"/>
        </w:rPr>
        <w:t>las medianas empresas</w:t>
      </w:r>
      <w:r>
        <w:rPr>
          <w:rFonts w:ascii="Arial" w:eastAsia="Arial" w:hAnsi="Arial" w:cs="Arial"/>
          <w:sz w:val="22"/>
          <w:szCs w:val="22"/>
        </w:rPr>
        <w:t>,</w:t>
      </w:r>
      <w:r w:rsidRPr="008F37FE">
        <w:rPr>
          <w:rFonts w:ascii="Arial" w:eastAsia="Arial" w:hAnsi="Arial" w:cs="Arial"/>
          <w:sz w:val="22"/>
          <w:szCs w:val="22"/>
        </w:rPr>
        <w:t xml:space="preserve"> </w:t>
      </w:r>
      <w:r>
        <w:rPr>
          <w:rFonts w:ascii="Arial" w:eastAsia="Arial" w:hAnsi="Arial" w:cs="Arial"/>
          <w:sz w:val="22"/>
          <w:szCs w:val="22"/>
        </w:rPr>
        <w:t xml:space="preserve">el </w:t>
      </w:r>
      <w:r w:rsidRPr="008F37FE">
        <w:rPr>
          <w:rFonts w:ascii="Arial" w:eastAsia="Arial" w:hAnsi="Arial" w:cs="Arial"/>
          <w:sz w:val="22"/>
          <w:szCs w:val="22"/>
        </w:rPr>
        <w:t>40</w:t>
      </w:r>
      <w:r>
        <w:rPr>
          <w:rFonts w:ascii="Arial" w:eastAsia="Arial" w:hAnsi="Arial" w:cs="Arial"/>
          <w:sz w:val="22"/>
          <w:szCs w:val="22"/>
        </w:rPr>
        <w:t>,</w:t>
      </w:r>
      <w:r w:rsidRPr="008F37FE">
        <w:rPr>
          <w:rFonts w:ascii="Arial" w:eastAsia="Arial" w:hAnsi="Arial" w:cs="Arial"/>
          <w:sz w:val="22"/>
          <w:szCs w:val="22"/>
        </w:rPr>
        <w:t>9%</w:t>
      </w:r>
      <w:r>
        <w:rPr>
          <w:rFonts w:ascii="Arial" w:eastAsia="Arial" w:hAnsi="Arial" w:cs="Arial"/>
          <w:sz w:val="22"/>
          <w:szCs w:val="22"/>
        </w:rPr>
        <w:t>;</w:t>
      </w:r>
      <w:r w:rsidRPr="008F37FE">
        <w:rPr>
          <w:rFonts w:ascii="Arial" w:eastAsia="Arial" w:hAnsi="Arial" w:cs="Arial"/>
          <w:sz w:val="22"/>
          <w:szCs w:val="22"/>
        </w:rPr>
        <w:t xml:space="preserve"> y</w:t>
      </w:r>
      <w:r>
        <w:rPr>
          <w:rFonts w:ascii="Arial" w:eastAsia="Arial" w:hAnsi="Arial" w:cs="Arial"/>
          <w:sz w:val="22"/>
          <w:szCs w:val="22"/>
        </w:rPr>
        <w:t xml:space="preserve"> </w:t>
      </w:r>
      <w:r w:rsidRPr="008F37FE">
        <w:rPr>
          <w:rFonts w:ascii="Arial" w:eastAsia="Arial" w:hAnsi="Arial" w:cs="Arial"/>
          <w:sz w:val="22"/>
          <w:szCs w:val="22"/>
        </w:rPr>
        <w:t>las microempresas</w:t>
      </w:r>
      <w:r>
        <w:rPr>
          <w:rFonts w:ascii="Arial" w:eastAsia="Arial" w:hAnsi="Arial" w:cs="Arial"/>
          <w:sz w:val="22"/>
          <w:szCs w:val="22"/>
        </w:rPr>
        <w:t xml:space="preserve">, </w:t>
      </w:r>
      <w:r w:rsidRPr="008F37FE">
        <w:rPr>
          <w:rFonts w:ascii="Arial" w:eastAsia="Arial" w:hAnsi="Arial" w:cs="Arial"/>
          <w:sz w:val="22"/>
          <w:szCs w:val="22"/>
        </w:rPr>
        <w:t>el 17</w:t>
      </w:r>
      <w:r>
        <w:rPr>
          <w:rFonts w:ascii="Arial" w:eastAsia="Arial" w:hAnsi="Arial" w:cs="Arial"/>
          <w:sz w:val="22"/>
          <w:szCs w:val="22"/>
        </w:rPr>
        <w:t>,</w:t>
      </w:r>
      <w:r w:rsidRPr="008F37FE">
        <w:rPr>
          <w:rFonts w:ascii="Arial" w:eastAsia="Arial" w:hAnsi="Arial" w:cs="Arial"/>
          <w:sz w:val="22"/>
          <w:szCs w:val="22"/>
        </w:rPr>
        <w:t>5%</w:t>
      </w:r>
      <w:r>
        <w:rPr>
          <w:rStyle w:val="FootnoteReference"/>
          <w:rFonts w:ascii="Arial" w:eastAsia="Arial" w:hAnsi="Arial" w:cs="Arial"/>
          <w:sz w:val="22"/>
          <w:szCs w:val="22"/>
        </w:rPr>
        <w:footnoteReference w:id="6"/>
      </w:r>
      <w:r w:rsidRPr="008F37FE">
        <w:rPr>
          <w:rFonts w:ascii="Arial" w:eastAsia="Arial" w:hAnsi="Arial" w:cs="Arial"/>
          <w:sz w:val="22"/>
          <w:szCs w:val="22"/>
        </w:rPr>
        <w:t>.</w:t>
      </w:r>
      <w:bookmarkEnd w:id="4"/>
    </w:p>
    <w:p w14:paraId="62005BF0" w14:textId="6AD7889E" w:rsidR="00EC5B37" w:rsidRDefault="000E68BC" w:rsidP="000E68BC">
      <w:pPr>
        <w:pStyle w:val="ListParagraph"/>
        <w:numPr>
          <w:ilvl w:val="1"/>
          <w:numId w:val="8"/>
        </w:numPr>
        <w:spacing w:before="120" w:after="120"/>
        <w:ind w:left="720" w:hanging="720"/>
        <w:contextualSpacing w:val="0"/>
        <w:jc w:val="both"/>
        <w:rPr>
          <w:rFonts w:ascii="Arial" w:eastAsia="Arial" w:hAnsi="Arial" w:cs="Arial"/>
          <w:sz w:val="22"/>
          <w:szCs w:val="22"/>
        </w:rPr>
      </w:pPr>
      <w:bookmarkStart w:id="6" w:name="_Hlk39440277"/>
      <w:r>
        <w:rPr>
          <w:rFonts w:ascii="Arial" w:eastAsia="Arial" w:hAnsi="Arial" w:cs="Arial"/>
          <w:sz w:val="22"/>
          <w:szCs w:val="22"/>
        </w:rPr>
        <w:t xml:space="preserve">A diferencia de otros países de ALC, Panamá tiene un mercado financiero relativamente bien </w:t>
      </w:r>
      <w:bookmarkStart w:id="7" w:name="_Hlk39440473"/>
      <w:r>
        <w:rPr>
          <w:rFonts w:ascii="Arial" w:eastAsia="Arial" w:hAnsi="Arial" w:cs="Arial"/>
          <w:sz w:val="22"/>
          <w:szCs w:val="22"/>
        </w:rPr>
        <w:t>desarrollado</w:t>
      </w:r>
      <w:r>
        <w:rPr>
          <w:rStyle w:val="FootnoteReference"/>
          <w:rFonts w:ascii="Arial" w:eastAsia="Arial" w:hAnsi="Arial" w:cs="Arial"/>
          <w:sz w:val="22"/>
          <w:szCs w:val="22"/>
        </w:rPr>
        <w:footnoteReference w:id="7"/>
      </w:r>
      <w:r>
        <w:rPr>
          <w:rFonts w:ascii="Arial" w:eastAsia="Arial" w:hAnsi="Arial" w:cs="Arial"/>
          <w:sz w:val="22"/>
          <w:szCs w:val="22"/>
        </w:rPr>
        <w:t xml:space="preserve">, </w:t>
      </w:r>
      <w:bookmarkEnd w:id="7"/>
      <w:r>
        <w:rPr>
          <w:rFonts w:ascii="Arial" w:eastAsia="Arial" w:hAnsi="Arial" w:cs="Arial"/>
          <w:sz w:val="22"/>
          <w:szCs w:val="22"/>
        </w:rPr>
        <w:t>clasificado por el Foro Económico Mundial en las posiciones 33 y 44 de 141 países observados en crédito al sector privado sobre PIB y financiamiento de Pequeñas y Medianas Empresas (P</w:t>
      </w:r>
      <w:r w:rsidR="00A85BFD">
        <w:rPr>
          <w:rFonts w:ascii="Arial" w:eastAsia="Arial" w:hAnsi="Arial" w:cs="Arial"/>
          <w:sz w:val="22"/>
          <w:szCs w:val="22"/>
        </w:rPr>
        <w:t>Y</w:t>
      </w:r>
      <w:r>
        <w:rPr>
          <w:rFonts w:ascii="Arial" w:eastAsia="Arial" w:hAnsi="Arial" w:cs="Arial"/>
          <w:sz w:val="22"/>
          <w:szCs w:val="22"/>
        </w:rPr>
        <w:t xml:space="preserve">ME), respectivamente ([1] de </w:t>
      </w:r>
      <w:hyperlink r:id="rId13" w:history="1">
        <w:r w:rsidRPr="00A85BFD">
          <w:rPr>
            <w:rStyle w:val="Hyperlink"/>
            <w:rFonts w:ascii="Arial" w:eastAsia="Arial" w:hAnsi="Arial" w:cs="Arial"/>
            <w:sz w:val="22"/>
            <w:szCs w:val="22"/>
          </w:rPr>
          <w:t>EEO#3</w:t>
        </w:r>
      </w:hyperlink>
      <w:r>
        <w:rPr>
          <w:rFonts w:ascii="Arial" w:eastAsia="Arial" w:hAnsi="Arial" w:cs="Arial"/>
          <w:sz w:val="22"/>
          <w:szCs w:val="22"/>
        </w:rPr>
        <w:t xml:space="preserve">). No obstante, persiste una diferenciación en el acceso de las empresas grandes, que reciben financiamiento de tamaño y en condiciones más apropiadas que las </w:t>
      </w:r>
      <w:r w:rsidR="005149EA" w:rsidRPr="005149EA">
        <w:rPr>
          <w:rFonts w:ascii="Arial" w:eastAsia="Arial" w:hAnsi="Arial" w:cs="Arial"/>
          <w:sz w:val="22"/>
          <w:szCs w:val="22"/>
        </w:rPr>
        <w:t>MIPYME</w:t>
      </w:r>
      <w:r>
        <w:rPr>
          <w:rFonts w:ascii="Arial" w:eastAsia="Arial" w:hAnsi="Arial" w:cs="Arial"/>
          <w:sz w:val="22"/>
          <w:szCs w:val="22"/>
        </w:rPr>
        <w:t xml:space="preserve">. </w:t>
      </w:r>
      <w:r w:rsidRPr="00302B8B">
        <w:rPr>
          <w:rFonts w:ascii="Arial" w:eastAsia="Arial" w:hAnsi="Arial" w:cs="Arial"/>
          <w:sz w:val="22"/>
          <w:szCs w:val="22"/>
        </w:rPr>
        <w:t>Según el análisis realizad</w:t>
      </w:r>
      <w:r>
        <w:rPr>
          <w:rFonts w:ascii="Arial" w:eastAsia="Arial" w:hAnsi="Arial" w:cs="Arial"/>
          <w:sz w:val="22"/>
          <w:szCs w:val="22"/>
        </w:rPr>
        <w:t>o</w:t>
      </w:r>
      <w:r w:rsidRPr="00302B8B">
        <w:rPr>
          <w:rFonts w:ascii="Arial" w:eastAsia="Arial" w:hAnsi="Arial" w:cs="Arial"/>
          <w:sz w:val="22"/>
          <w:szCs w:val="22"/>
        </w:rPr>
        <w:t xml:space="preserve"> por la Corporación Financi</w:t>
      </w:r>
      <w:r>
        <w:rPr>
          <w:rFonts w:ascii="Arial" w:eastAsia="Arial" w:hAnsi="Arial" w:cs="Arial"/>
          <w:sz w:val="22"/>
          <w:szCs w:val="22"/>
        </w:rPr>
        <w:t>er</w:t>
      </w:r>
      <w:r w:rsidRPr="00302B8B">
        <w:rPr>
          <w:rFonts w:ascii="Arial" w:eastAsia="Arial" w:hAnsi="Arial" w:cs="Arial"/>
          <w:sz w:val="22"/>
          <w:szCs w:val="22"/>
        </w:rPr>
        <w:t xml:space="preserve">a Internacional del Grupo Banco Mundial (IFC, por </w:t>
      </w:r>
      <w:r>
        <w:rPr>
          <w:rFonts w:ascii="Arial" w:eastAsia="Arial" w:hAnsi="Arial" w:cs="Arial"/>
          <w:sz w:val="22"/>
          <w:szCs w:val="22"/>
        </w:rPr>
        <w:t>las</w:t>
      </w:r>
      <w:r w:rsidRPr="00302B8B">
        <w:rPr>
          <w:rFonts w:ascii="Arial" w:eastAsia="Arial" w:hAnsi="Arial" w:cs="Arial"/>
          <w:sz w:val="22"/>
          <w:szCs w:val="22"/>
        </w:rPr>
        <w:t xml:space="preserve"> siglas en inglés) en 2017, la brecha de financiamiento en Panamá para el sector </w:t>
      </w:r>
      <w:r w:rsidR="005149EA" w:rsidRPr="005149EA">
        <w:rPr>
          <w:rFonts w:ascii="Arial" w:eastAsia="Arial" w:hAnsi="Arial" w:cs="Arial"/>
          <w:sz w:val="22"/>
          <w:szCs w:val="22"/>
        </w:rPr>
        <w:t>MIPYME</w:t>
      </w:r>
      <w:r w:rsidRPr="00302B8B">
        <w:rPr>
          <w:rFonts w:ascii="Arial" w:eastAsia="Arial" w:hAnsi="Arial" w:cs="Arial"/>
          <w:sz w:val="22"/>
          <w:szCs w:val="22"/>
        </w:rPr>
        <w:t xml:space="preserve"> era de US$21</w:t>
      </w:r>
      <w:r>
        <w:rPr>
          <w:rFonts w:ascii="Arial" w:eastAsia="Arial" w:hAnsi="Arial" w:cs="Arial"/>
          <w:sz w:val="22"/>
          <w:szCs w:val="22"/>
        </w:rPr>
        <w:t xml:space="preserve"> mil</w:t>
      </w:r>
      <w:r w:rsidRPr="00302B8B">
        <w:rPr>
          <w:rFonts w:ascii="Arial" w:eastAsia="Arial" w:hAnsi="Arial" w:cs="Arial"/>
          <w:sz w:val="22"/>
          <w:szCs w:val="22"/>
        </w:rPr>
        <w:t xml:space="preserve"> millones </w:t>
      </w:r>
      <w:r>
        <w:rPr>
          <w:rFonts w:ascii="Arial" w:eastAsia="Arial" w:hAnsi="Arial" w:cs="Arial"/>
          <w:sz w:val="22"/>
          <w:szCs w:val="22"/>
        </w:rPr>
        <w:t>(solamente se financian US$6 mil millones de los 27 mil millones que se demandan) equivaliendo esta brecha a</w:t>
      </w:r>
      <w:r w:rsidRPr="00302B8B">
        <w:rPr>
          <w:rFonts w:ascii="Arial" w:eastAsia="Arial" w:hAnsi="Arial" w:cs="Arial"/>
          <w:sz w:val="22"/>
          <w:szCs w:val="22"/>
        </w:rPr>
        <w:t>l 41% del PIB</w:t>
      </w:r>
      <w:r w:rsidRPr="00302B8B">
        <w:rPr>
          <w:rStyle w:val="FootnoteReference"/>
          <w:rFonts w:ascii="Arial" w:eastAsia="Arial" w:hAnsi="Arial" w:cs="Arial"/>
          <w:sz w:val="22"/>
          <w:szCs w:val="22"/>
        </w:rPr>
        <w:footnoteReference w:id="8"/>
      </w:r>
      <w:r w:rsidRPr="00302B8B">
        <w:rPr>
          <w:rFonts w:ascii="Arial" w:eastAsia="Arial" w:hAnsi="Arial" w:cs="Arial"/>
          <w:sz w:val="22"/>
          <w:szCs w:val="22"/>
        </w:rPr>
        <w:t xml:space="preserve"> y representando únicamente el 26% de la cartera del sistema. </w:t>
      </w:r>
      <w:r w:rsidR="00EC5B37" w:rsidRPr="00EC5B37">
        <w:rPr>
          <w:rFonts w:ascii="Arial" w:eastAsia="Arial" w:hAnsi="Arial" w:cs="Arial"/>
          <w:sz w:val="22"/>
          <w:szCs w:val="22"/>
        </w:rPr>
        <w:t>Según la misma fuente, el país se encuentra entre los cuatro países de la región con mayores restricciones al crédito para MIPYME. Las MIPYME panameñas enfrentan mayores obstáculos en términos de provisión de garantías que en promedio las MIPYME de la región. Históricamente las asimetrías de información, así como los costos transaccionales y la alta percepción de riesgo de este segmento han sido los limitantes en cuanto al acceso a financiamiento se refiere.</w:t>
      </w:r>
    </w:p>
    <w:p w14:paraId="0CF0AAA4" w14:textId="49C234C4" w:rsidR="000E68BC" w:rsidRPr="00EC5B37" w:rsidRDefault="00EC5B37" w:rsidP="00EC5B37">
      <w:pPr>
        <w:pStyle w:val="ListParagraph"/>
        <w:numPr>
          <w:ilvl w:val="1"/>
          <w:numId w:val="8"/>
        </w:numPr>
        <w:spacing w:before="120" w:after="120"/>
        <w:ind w:left="720" w:hanging="720"/>
        <w:contextualSpacing w:val="0"/>
        <w:jc w:val="both"/>
        <w:rPr>
          <w:rFonts w:ascii="Arial" w:eastAsia="Arial" w:hAnsi="Arial" w:cs="Arial"/>
          <w:sz w:val="22"/>
          <w:szCs w:val="22"/>
        </w:rPr>
      </w:pPr>
      <w:bookmarkStart w:id="8" w:name="_Hlk39349124"/>
      <w:bookmarkEnd w:id="6"/>
      <w:r>
        <w:rPr>
          <w:rFonts w:ascii="Arial" w:eastAsia="Arial" w:hAnsi="Arial" w:cs="Arial"/>
          <w:sz w:val="22"/>
          <w:szCs w:val="22"/>
        </w:rPr>
        <w:t>La disparidad en el financiamiento a las MIPYME se fundament</w:t>
      </w:r>
      <w:r w:rsidR="00A25987">
        <w:rPr>
          <w:rFonts w:ascii="Arial" w:eastAsia="Arial" w:hAnsi="Arial" w:cs="Arial"/>
          <w:sz w:val="22"/>
          <w:szCs w:val="22"/>
        </w:rPr>
        <w:t>a</w:t>
      </w:r>
      <w:r>
        <w:rPr>
          <w:rFonts w:ascii="Arial" w:eastAsia="Arial" w:hAnsi="Arial" w:cs="Arial"/>
          <w:sz w:val="22"/>
          <w:szCs w:val="22"/>
        </w:rPr>
        <w:t xml:space="preserve"> </w:t>
      </w:r>
      <w:r w:rsidR="00A25987">
        <w:rPr>
          <w:rFonts w:ascii="Arial" w:eastAsia="Arial" w:hAnsi="Arial" w:cs="Arial"/>
          <w:sz w:val="22"/>
          <w:szCs w:val="22"/>
        </w:rPr>
        <w:t>debido</w:t>
      </w:r>
      <w:r>
        <w:rPr>
          <w:rFonts w:ascii="Arial" w:eastAsia="Arial" w:hAnsi="Arial" w:cs="Arial"/>
          <w:sz w:val="22"/>
          <w:szCs w:val="22"/>
        </w:rPr>
        <w:t xml:space="preserve"> a: (i) la falta de capacidad que tienen dichas empresas para proveer información de crédito en la </w:t>
      </w:r>
      <w:r>
        <w:rPr>
          <w:rFonts w:ascii="Arial" w:eastAsia="Arial" w:hAnsi="Arial" w:cs="Arial"/>
          <w:sz w:val="22"/>
          <w:szCs w:val="22"/>
        </w:rPr>
        <w:lastRenderedPageBreak/>
        <w:t xml:space="preserve">sustancia y calidad requerida por las instituciones financieras; (ii) la influencia del entorno institucional y normativo en cuánto a la gestión incierta </w:t>
      </w:r>
      <w:r w:rsidR="00A25987">
        <w:rPr>
          <w:rFonts w:ascii="Arial" w:eastAsia="Arial" w:hAnsi="Arial" w:cs="Arial"/>
          <w:sz w:val="22"/>
          <w:szCs w:val="22"/>
        </w:rPr>
        <w:t xml:space="preserve">de </w:t>
      </w:r>
      <w:r>
        <w:rPr>
          <w:rFonts w:ascii="Arial" w:eastAsia="Arial" w:hAnsi="Arial" w:cs="Arial"/>
          <w:sz w:val="22"/>
          <w:szCs w:val="22"/>
        </w:rPr>
        <w:t xml:space="preserve">derechos de propiedad, cumplimiento de contratos financieros y manejo de riesgos macro financieros; (iii) la incertidumbre en general y asimetría de información que pueden provocar una subóptima asignación de crédito; y (iv) el costo de escalamiento a segmentos más atomizados para abastecerlos de </w:t>
      </w:r>
      <w:bookmarkStart w:id="9" w:name="_Hlk39439324"/>
      <w:r>
        <w:rPr>
          <w:rFonts w:ascii="Arial" w:eastAsia="Arial" w:hAnsi="Arial" w:cs="Arial"/>
          <w:sz w:val="22"/>
          <w:szCs w:val="22"/>
        </w:rPr>
        <w:t>financiamiento</w:t>
      </w:r>
      <w:r>
        <w:rPr>
          <w:rStyle w:val="FootnoteReference"/>
          <w:rFonts w:ascii="Arial" w:eastAsia="Arial" w:hAnsi="Arial" w:cs="Arial"/>
          <w:sz w:val="22"/>
          <w:szCs w:val="22"/>
        </w:rPr>
        <w:footnoteReference w:id="9"/>
      </w:r>
      <w:r>
        <w:rPr>
          <w:rFonts w:ascii="Arial" w:eastAsia="Arial" w:hAnsi="Arial" w:cs="Arial"/>
          <w:sz w:val="22"/>
          <w:szCs w:val="22"/>
        </w:rPr>
        <w:t xml:space="preserve">. Si bien en Panamá todos estos factores explican el rezago histórico, el sistema financiero ha ido </w:t>
      </w:r>
      <w:r w:rsidRPr="00F9493D">
        <w:rPr>
          <w:rFonts w:ascii="Arial" w:eastAsia="Arial" w:hAnsi="Arial" w:cs="Arial"/>
          <w:sz w:val="22"/>
          <w:szCs w:val="22"/>
        </w:rPr>
        <w:t>superando estas barreras para centrarse gradualmente en la necesidad de superar las economías de escala para poder asignar una mayor proporción de su capital disponible para préstamos a MIPYME.</w:t>
      </w:r>
      <w:bookmarkEnd w:id="8"/>
      <w:r w:rsidRPr="00F9493D">
        <w:rPr>
          <w:rFonts w:ascii="Arial" w:eastAsia="Arial" w:hAnsi="Arial" w:cs="Arial"/>
          <w:sz w:val="22"/>
          <w:szCs w:val="22"/>
        </w:rPr>
        <w:t xml:space="preserve"> </w:t>
      </w:r>
      <w:r w:rsidR="00A25987">
        <w:rPr>
          <w:rFonts w:ascii="Arial" w:eastAsia="Arial" w:hAnsi="Arial" w:cs="Arial"/>
          <w:sz w:val="22"/>
          <w:szCs w:val="22"/>
        </w:rPr>
        <w:t>L</w:t>
      </w:r>
      <w:r w:rsidR="000E68BC" w:rsidRPr="00F9493D">
        <w:rPr>
          <w:rFonts w:ascii="Arial" w:eastAsia="Arial" w:hAnsi="Arial" w:cs="Arial"/>
          <w:sz w:val="22"/>
          <w:szCs w:val="22"/>
        </w:rPr>
        <w:t>a brecha</w:t>
      </w:r>
      <w:r w:rsidR="00A25987">
        <w:rPr>
          <w:rFonts w:ascii="Arial" w:eastAsia="Arial" w:hAnsi="Arial" w:cs="Arial"/>
          <w:sz w:val="22"/>
          <w:szCs w:val="22"/>
        </w:rPr>
        <w:t xml:space="preserve"> existente</w:t>
      </w:r>
      <w:r w:rsidR="000E68BC" w:rsidRPr="00F9493D">
        <w:rPr>
          <w:rFonts w:ascii="Arial" w:eastAsia="Arial" w:hAnsi="Arial" w:cs="Arial"/>
          <w:sz w:val="22"/>
          <w:szCs w:val="22"/>
        </w:rPr>
        <w:t xml:space="preserve"> podría incrementarse aún más en las condiciones actuales de crisis, teniendo en cuenta un aumento en el perfil de riesgo de las </w:t>
      </w:r>
      <w:r w:rsidR="005149EA" w:rsidRPr="00F9493D">
        <w:rPr>
          <w:rFonts w:ascii="Arial" w:eastAsia="Arial" w:hAnsi="Arial" w:cs="Arial"/>
          <w:sz w:val="22"/>
          <w:szCs w:val="22"/>
        </w:rPr>
        <w:t>MIPYME</w:t>
      </w:r>
      <w:r w:rsidR="000E68BC" w:rsidRPr="00F9493D">
        <w:rPr>
          <w:rFonts w:ascii="Arial" w:eastAsia="Arial" w:hAnsi="Arial" w:cs="Arial"/>
          <w:sz w:val="22"/>
          <w:szCs w:val="22"/>
        </w:rPr>
        <w:t xml:space="preserve">, que obligaría a las instituciones financieras a constituir mayores provisiones sobre dicha cartera. Si bien el sistema cuenta aún con buenos niveles de liquidez, el fondeo depende en gran medida de fuentes externas que ya comienzan a ser más escasas, </w:t>
      </w:r>
      <w:r w:rsidR="002056DF">
        <w:rPr>
          <w:rFonts w:ascii="Arial" w:eastAsia="Arial" w:hAnsi="Arial" w:cs="Arial"/>
          <w:sz w:val="22"/>
          <w:szCs w:val="22"/>
        </w:rPr>
        <w:t xml:space="preserve">por lo cual </w:t>
      </w:r>
      <w:r w:rsidR="000E68BC" w:rsidRPr="00F9493D">
        <w:rPr>
          <w:rFonts w:ascii="Arial" w:eastAsia="Arial" w:hAnsi="Arial" w:cs="Arial"/>
          <w:sz w:val="22"/>
          <w:szCs w:val="22"/>
        </w:rPr>
        <w:t xml:space="preserve">la situación puede </w:t>
      </w:r>
      <w:r w:rsidR="002056DF">
        <w:rPr>
          <w:rFonts w:ascii="Arial" w:eastAsia="Arial" w:hAnsi="Arial" w:cs="Arial"/>
          <w:sz w:val="22"/>
          <w:szCs w:val="22"/>
        </w:rPr>
        <w:t>deteriorarse</w:t>
      </w:r>
      <w:r w:rsidR="000E68BC" w:rsidRPr="00F9493D">
        <w:rPr>
          <w:rStyle w:val="FootnoteReference"/>
          <w:rFonts w:ascii="Arial" w:eastAsia="Arial" w:hAnsi="Arial" w:cs="Arial"/>
          <w:sz w:val="22"/>
          <w:szCs w:val="22"/>
        </w:rPr>
        <w:footnoteReference w:id="10"/>
      </w:r>
      <w:r w:rsidR="000E68BC" w:rsidRPr="00F9493D">
        <w:rPr>
          <w:rFonts w:ascii="Arial" w:eastAsia="Arial" w:hAnsi="Arial" w:cs="Arial"/>
          <w:sz w:val="22"/>
          <w:szCs w:val="22"/>
        </w:rPr>
        <w:t>.</w:t>
      </w:r>
      <w:bookmarkEnd w:id="9"/>
    </w:p>
    <w:p w14:paraId="4B632251" w14:textId="07A43B83" w:rsidR="00E92AB5" w:rsidRPr="005F5F44" w:rsidRDefault="00E92AB5" w:rsidP="00E92AB5">
      <w:pPr>
        <w:pStyle w:val="ListParagraph"/>
        <w:numPr>
          <w:ilvl w:val="1"/>
          <w:numId w:val="8"/>
        </w:numPr>
        <w:spacing w:before="120" w:after="120"/>
        <w:ind w:left="720" w:hanging="720"/>
        <w:contextualSpacing w:val="0"/>
        <w:jc w:val="both"/>
        <w:rPr>
          <w:rFonts w:ascii="Arial" w:hAnsi="Arial" w:cs="Arial"/>
          <w:sz w:val="22"/>
          <w:szCs w:val="22"/>
        </w:rPr>
      </w:pPr>
      <w:r>
        <w:rPr>
          <w:rFonts w:ascii="Arial" w:eastAsia="Arial" w:hAnsi="Arial" w:cs="Arial"/>
          <w:sz w:val="22"/>
          <w:szCs w:val="22"/>
        </w:rPr>
        <w:t xml:space="preserve">Ante los efectos de la pandemia, se espera que la situación económica agrave los desafíos para la viabilidad de las MIPYME y su acceso a fuentes de financiamiento, deteriorando su situación financiera y en consecuencia su capacidad para hacer frente a sus obligaciones. Según una encuesta realizada por el Centro Nacional de Competitividad (CNC) en abril </w:t>
      </w:r>
      <w:r w:rsidRPr="00D13CDA">
        <w:rPr>
          <w:rFonts w:ascii="Arial" w:eastAsia="Arial" w:hAnsi="Arial" w:cs="Arial"/>
          <w:sz w:val="22"/>
          <w:szCs w:val="22"/>
        </w:rPr>
        <w:t xml:space="preserve">de </w:t>
      </w:r>
      <w:r w:rsidRPr="00191888">
        <w:rPr>
          <w:rFonts w:ascii="Arial" w:eastAsia="Arial" w:hAnsi="Arial" w:cs="Arial"/>
          <w:sz w:val="22"/>
          <w:szCs w:val="22"/>
        </w:rPr>
        <w:t>2020 ([2]</w:t>
      </w:r>
      <w:r w:rsidRPr="00191888">
        <w:rPr>
          <w:rStyle w:val="CommentReference"/>
          <w:rFonts w:eastAsia="Arial"/>
        </w:rPr>
        <w:t xml:space="preserve"> </w:t>
      </w:r>
      <w:r w:rsidRPr="00191888">
        <w:rPr>
          <w:rFonts w:ascii="Arial" w:eastAsia="Arial" w:hAnsi="Arial" w:cs="Arial"/>
          <w:sz w:val="22"/>
          <w:szCs w:val="22"/>
        </w:rPr>
        <w:t xml:space="preserve"> de</w:t>
      </w:r>
      <w:r w:rsidRPr="004D6B63">
        <w:rPr>
          <w:rFonts w:ascii="Arial" w:eastAsia="Arial" w:hAnsi="Arial" w:cs="Arial"/>
          <w:sz w:val="22"/>
          <w:szCs w:val="22"/>
        </w:rPr>
        <w:t xml:space="preserve"> </w:t>
      </w:r>
      <w:hyperlink r:id="rId14" w:history="1">
        <w:r w:rsidRPr="004D6B63">
          <w:rPr>
            <w:rStyle w:val="Hyperlink"/>
            <w:rFonts w:ascii="Arial" w:eastAsia="Arial" w:hAnsi="Arial" w:cs="Arial"/>
            <w:sz w:val="22"/>
            <w:szCs w:val="22"/>
          </w:rPr>
          <w:t>EEO#3</w:t>
        </w:r>
      </w:hyperlink>
      <w:r w:rsidRPr="004D6B63">
        <w:rPr>
          <w:rFonts w:ascii="Arial" w:eastAsia="Arial" w:hAnsi="Arial" w:cs="Arial"/>
          <w:sz w:val="22"/>
          <w:szCs w:val="22"/>
        </w:rPr>
        <w:t>),</w:t>
      </w:r>
      <w:r>
        <w:rPr>
          <w:rFonts w:ascii="Arial" w:eastAsia="Arial" w:hAnsi="Arial" w:cs="Arial"/>
          <w:sz w:val="22"/>
          <w:szCs w:val="22"/>
        </w:rPr>
        <w:t xml:space="preserve"> las MIPYME cuentan con la capacidad para mantenerse solventes con recursos propios duran</w:t>
      </w:r>
      <w:r w:rsidRPr="00FF4617">
        <w:rPr>
          <w:rFonts w:ascii="Arial" w:eastAsia="Arial" w:hAnsi="Arial" w:cs="Arial"/>
          <w:sz w:val="22"/>
          <w:szCs w:val="22"/>
        </w:rPr>
        <w:t>te la pandemia: (i) hasta un mes, 64% de las microempresas, 47%</w:t>
      </w:r>
      <w:r>
        <w:rPr>
          <w:rFonts w:ascii="Arial" w:eastAsia="Arial" w:hAnsi="Arial" w:cs="Arial"/>
          <w:sz w:val="22"/>
          <w:szCs w:val="22"/>
        </w:rPr>
        <w:t> </w:t>
      </w:r>
      <w:r w:rsidRPr="00FF4617">
        <w:rPr>
          <w:rFonts w:ascii="Arial" w:eastAsia="Arial" w:hAnsi="Arial" w:cs="Arial"/>
          <w:sz w:val="22"/>
          <w:szCs w:val="22"/>
        </w:rPr>
        <w:t>de las empresas pequeñas y 30% de las medianas empresas; y (ii) más de tres meses, 16</w:t>
      </w:r>
      <w:r>
        <w:rPr>
          <w:rFonts w:ascii="Arial" w:eastAsia="Arial" w:hAnsi="Arial" w:cs="Arial"/>
          <w:sz w:val="22"/>
          <w:szCs w:val="22"/>
        </w:rPr>
        <w:t>% de las microempresas, 24% de las pequeñas empresas y 36% de las medianas empresas</w:t>
      </w:r>
      <w:r w:rsidRPr="00D13CDA">
        <w:rPr>
          <w:rFonts w:ascii="Arial" w:eastAsia="Arial" w:hAnsi="Arial" w:cs="Arial"/>
          <w:sz w:val="22"/>
          <w:szCs w:val="22"/>
        </w:rPr>
        <w:t>.</w:t>
      </w:r>
      <w:r>
        <w:rPr>
          <w:rFonts w:ascii="Arial" w:eastAsia="Arial" w:hAnsi="Arial" w:cs="Arial"/>
          <w:sz w:val="22"/>
          <w:szCs w:val="22"/>
        </w:rPr>
        <w:t xml:space="preserve"> Adicionalmente, el 27% de las MIPYME encuestadas identificaron el capital de trabajo como su principal requerimiento de apoyo por parte del gobierno para sobrellevar la crisis. Una encuesta de la Cámara de Comercio, Industrias y Agricultura de Panamá (</w:t>
      </w:r>
      <w:r w:rsidRPr="00326AA3">
        <w:rPr>
          <w:rFonts w:ascii="Arial" w:eastAsia="Arial" w:hAnsi="Arial" w:cs="Arial"/>
          <w:sz w:val="22"/>
          <w:szCs w:val="22"/>
        </w:rPr>
        <w:t>CCIYAP</w:t>
      </w:r>
      <w:r>
        <w:rPr>
          <w:rFonts w:ascii="Arial" w:eastAsia="Arial" w:hAnsi="Arial" w:cs="Arial"/>
          <w:sz w:val="22"/>
          <w:szCs w:val="22"/>
        </w:rPr>
        <w:t xml:space="preserve">) arroja resultados similares: el 31% de empresas tendrá que reducir personal y operaciones si el periodo de emergencia se extiende por 3 o 4 semanas más; probablemente debido a que el 84% afirma que, a raíz de la emergencia por el COVID-19, sus ventas/ingresos han disminuido significativamente (37% de las </w:t>
      </w:r>
      <w:r w:rsidRPr="005F5F44">
        <w:rPr>
          <w:rFonts w:ascii="Arial" w:eastAsia="Arial" w:hAnsi="Arial" w:cs="Arial"/>
          <w:sz w:val="22"/>
          <w:szCs w:val="22"/>
        </w:rPr>
        <w:t xml:space="preserve">empresas indican que la caída en ventas/ingresos ha sido de más de la mitad, mientras que las ventas/ingresos se han reducido en un promedio de 40% para el sector de </w:t>
      </w:r>
      <w:bookmarkStart w:id="10" w:name="_Hlk39439999"/>
      <w:r w:rsidRPr="005F5F44">
        <w:rPr>
          <w:rFonts w:ascii="Arial" w:eastAsia="Arial" w:hAnsi="Arial" w:cs="Arial"/>
          <w:sz w:val="22"/>
          <w:szCs w:val="22"/>
        </w:rPr>
        <w:t xml:space="preserve">agricultura, ganadería y </w:t>
      </w:r>
      <w:bookmarkStart w:id="11" w:name="_Hlk39439914"/>
      <w:r w:rsidRPr="005F5F44">
        <w:rPr>
          <w:rFonts w:ascii="Arial" w:eastAsia="Arial" w:hAnsi="Arial" w:cs="Arial"/>
          <w:sz w:val="22"/>
          <w:szCs w:val="22"/>
        </w:rPr>
        <w:t>avicultura</w:t>
      </w:r>
      <w:r w:rsidRPr="005F5F44">
        <w:rPr>
          <w:rStyle w:val="FootnoteReference"/>
          <w:rFonts w:ascii="Arial" w:eastAsia="Arial" w:hAnsi="Arial" w:cs="Arial"/>
          <w:sz w:val="22"/>
          <w:szCs w:val="22"/>
        </w:rPr>
        <w:footnoteReference w:id="11"/>
      </w:r>
      <w:bookmarkEnd w:id="11"/>
      <w:r w:rsidRPr="005F5F44">
        <w:rPr>
          <w:rFonts w:ascii="Arial" w:eastAsia="Arial" w:hAnsi="Arial" w:cs="Arial"/>
          <w:sz w:val="22"/>
          <w:szCs w:val="22"/>
        </w:rPr>
        <w:t>), además de una considerable afectación en el flujo de caja para un gran porcentaje de empresas (30%)</w:t>
      </w:r>
      <w:r w:rsidRPr="005F5F44">
        <w:rPr>
          <w:rStyle w:val="FootnoteReference"/>
          <w:rFonts w:ascii="Arial" w:eastAsia="Arial" w:hAnsi="Arial" w:cs="Arial"/>
          <w:sz w:val="22"/>
          <w:szCs w:val="22"/>
        </w:rPr>
        <w:footnoteReference w:id="12"/>
      </w:r>
      <w:r w:rsidRPr="005F5F44">
        <w:rPr>
          <w:rFonts w:ascii="Arial" w:eastAsia="Arial" w:hAnsi="Arial" w:cs="Arial"/>
          <w:sz w:val="22"/>
          <w:szCs w:val="22"/>
        </w:rPr>
        <w:t>.</w:t>
      </w:r>
      <w:bookmarkEnd w:id="10"/>
    </w:p>
    <w:p w14:paraId="649EDCF8" w14:textId="77777777" w:rsidR="00CF590F" w:rsidRPr="005F5F44" w:rsidRDefault="00CF590F" w:rsidP="00CF590F">
      <w:pPr>
        <w:pStyle w:val="ListParagraph"/>
        <w:numPr>
          <w:ilvl w:val="1"/>
          <w:numId w:val="4"/>
        </w:numPr>
        <w:spacing w:before="120" w:after="120"/>
        <w:contextualSpacing w:val="0"/>
        <w:jc w:val="both"/>
        <w:outlineLvl w:val="1"/>
        <w:rPr>
          <w:rFonts w:ascii="Arial" w:hAnsi="Arial" w:cs="Arial"/>
          <w:b/>
          <w:bCs/>
          <w:vanish/>
          <w:sz w:val="22"/>
          <w:szCs w:val="22"/>
          <w:lang w:eastAsia="en-GB"/>
        </w:rPr>
      </w:pPr>
    </w:p>
    <w:p w14:paraId="5AF67BD1" w14:textId="77777777" w:rsidR="00CF590F" w:rsidRPr="005F5F44" w:rsidRDefault="00CF590F" w:rsidP="00CF590F">
      <w:pPr>
        <w:pStyle w:val="ListParagraph"/>
        <w:numPr>
          <w:ilvl w:val="1"/>
          <w:numId w:val="4"/>
        </w:numPr>
        <w:spacing w:before="120" w:after="120"/>
        <w:contextualSpacing w:val="0"/>
        <w:jc w:val="both"/>
        <w:outlineLvl w:val="1"/>
        <w:rPr>
          <w:rFonts w:ascii="Arial" w:hAnsi="Arial" w:cs="Arial"/>
          <w:b/>
          <w:bCs/>
          <w:vanish/>
          <w:sz w:val="22"/>
          <w:szCs w:val="22"/>
          <w:lang w:eastAsia="en-GB"/>
        </w:rPr>
      </w:pPr>
    </w:p>
    <w:p w14:paraId="32605DB4" w14:textId="77777777" w:rsidR="00CF590F" w:rsidRPr="005F5F44" w:rsidRDefault="00CF590F" w:rsidP="00CF590F">
      <w:pPr>
        <w:pStyle w:val="ListParagraph"/>
        <w:numPr>
          <w:ilvl w:val="1"/>
          <w:numId w:val="4"/>
        </w:numPr>
        <w:spacing w:before="120" w:after="120"/>
        <w:contextualSpacing w:val="0"/>
        <w:jc w:val="both"/>
        <w:outlineLvl w:val="1"/>
        <w:rPr>
          <w:rFonts w:ascii="Arial" w:hAnsi="Arial" w:cs="Arial"/>
          <w:b/>
          <w:bCs/>
          <w:vanish/>
          <w:sz w:val="22"/>
          <w:szCs w:val="22"/>
          <w:lang w:eastAsia="en-GB"/>
        </w:rPr>
      </w:pPr>
    </w:p>
    <w:p w14:paraId="047A7191" w14:textId="3EA66581" w:rsidR="00454CB5" w:rsidRPr="005F5F44" w:rsidRDefault="00DC060C" w:rsidP="00F77580">
      <w:pPr>
        <w:pStyle w:val="ListParagraph"/>
        <w:numPr>
          <w:ilvl w:val="1"/>
          <w:numId w:val="8"/>
        </w:numPr>
        <w:spacing w:before="120" w:after="120"/>
        <w:ind w:left="720" w:hanging="720"/>
        <w:contextualSpacing w:val="0"/>
        <w:jc w:val="both"/>
        <w:rPr>
          <w:rFonts w:ascii="Arial" w:hAnsi="Arial" w:cs="Arial"/>
          <w:sz w:val="22"/>
          <w:szCs w:val="22"/>
        </w:rPr>
      </w:pPr>
      <w:r>
        <w:rPr>
          <w:rFonts w:ascii="Arial" w:hAnsi="Arial" w:cs="Arial"/>
          <w:b/>
          <w:bCs/>
          <w:sz w:val="22"/>
          <w:szCs w:val="22"/>
        </w:rPr>
        <w:t>Focalización del programa</w:t>
      </w:r>
      <w:r w:rsidR="00454CB5" w:rsidRPr="005F5F44">
        <w:rPr>
          <w:rFonts w:ascii="Arial" w:hAnsi="Arial" w:cs="Arial"/>
          <w:b/>
          <w:bCs/>
          <w:sz w:val="22"/>
          <w:szCs w:val="22"/>
        </w:rPr>
        <w:t>.</w:t>
      </w:r>
      <w:r w:rsidR="00454CB5" w:rsidRPr="005F5F44">
        <w:rPr>
          <w:rFonts w:ascii="Arial" w:hAnsi="Arial" w:cs="Arial"/>
          <w:sz w:val="22"/>
          <w:szCs w:val="22"/>
        </w:rPr>
        <w:t xml:space="preserve"> </w:t>
      </w:r>
      <w:r w:rsidRPr="00DC060C">
        <w:rPr>
          <w:rFonts w:ascii="Arial" w:hAnsi="Arial" w:cs="Arial"/>
          <w:sz w:val="22"/>
          <w:szCs w:val="22"/>
        </w:rPr>
        <w:t>El programa propuesto buscará priorizar las MIPYME en el sector agropecuario</w:t>
      </w:r>
      <w:r w:rsidR="002056DF">
        <w:rPr>
          <w:rFonts w:ascii="Arial" w:hAnsi="Arial" w:cs="Arial"/>
          <w:sz w:val="22"/>
          <w:szCs w:val="22"/>
        </w:rPr>
        <w:t xml:space="preserve"> y su cadena de valor</w:t>
      </w:r>
      <w:r w:rsidRPr="00DC060C">
        <w:rPr>
          <w:rFonts w:ascii="Arial" w:hAnsi="Arial" w:cs="Arial"/>
          <w:sz w:val="22"/>
          <w:szCs w:val="22"/>
        </w:rPr>
        <w:t>, principalmente alin</w:t>
      </w:r>
      <w:r>
        <w:rPr>
          <w:rFonts w:ascii="Arial" w:hAnsi="Arial" w:cs="Arial"/>
          <w:sz w:val="22"/>
          <w:szCs w:val="22"/>
        </w:rPr>
        <w:t>e</w:t>
      </w:r>
      <w:r w:rsidRPr="00DC060C">
        <w:rPr>
          <w:rFonts w:ascii="Arial" w:hAnsi="Arial" w:cs="Arial"/>
          <w:sz w:val="22"/>
          <w:szCs w:val="22"/>
        </w:rPr>
        <w:t xml:space="preserve">ado con la priorización estratégica que el gobierno panameño le ha dado a la seguridad alimenticia. </w:t>
      </w:r>
      <w:r w:rsidR="00EA3A4B">
        <w:rPr>
          <w:rFonts w:ascii="Arial" w:eastAsia="Calibri" w:hAnsi="Arial" w:cs="Arial"/>
          <w:sz w:val="22"/>
          <w:szCs w:val="22"/>
          <w:lang w:val="es-ES"/>
        </w:rPr>
        <w:t xml:space="preserve">Asimismo, </w:t>
      </w:r>
      <w:r w:rsidR="00EA3A4B">
        <w:rPr>
          <w:rFonts w:ascii="Arial" w:hAnsi="Arial" w:cs="Arial"/>
          <w:sz w:val="22"/>
          <w:szCs w:val="22"/>
          <w:lang w:val="es-ES"/>
        </w:rPr>
        <w:t>e</w:t>
      </w:r>
      <w:r w:rsidR="00EA3A4B" w:rsidRPr="00EA7AE9">
        <w:rPr>
          <w:rFonts w:ascii="Arial" w:hAnsi="Arial" w:cs="Arial"/>
          <w:sz w:val="22"/>
          <w:szCs w:val="22"/>
          <w:lang w:val="es-ES"/>
        </w:rPr>
        <w:t xml:space="preserve">l programa </w:t>
      </w:r>
      <w:r w:rsidR="00EA3A4B">
        <w:rPr>
          <w:rFonts w:ascii="Arial" w:hAnsi="Arial" w:cs="Arial"/>
          <w:sz w:val="22"/>
          <w:szCs w:val="22"/>
          <w:lang w:val="es-ES"/>
        </w:rPr>
        <w:t xml:space="preserve">apoyará los demás sectores afectados según se ha identificado en el análisis de vulnerabilidad </w:t>
      </w:r>
      <w:r w:rsidR="00EA3A4B">
        <w:rPr>
          <w:rFonts w:ascii="Arial" w:eastAsia="Calibri" w:hAnsi="Arial" w:cs="Arial"/>
          <w:sz w:val="22"/>
          <w:szCs w:val="22"/>
          <w:lang w:val="es-ES"/>
        </w:rPr>
        <w:t>(</w:t>
      </w:r>
      <w:r w:rsidR="00EA3A4B" w:rsidRPr="00CE137B">
        <w:rPr>
          <w:rFonts w:ascii="Arial" w:eastAsia="Calibri" w:hAnsi="Arial" w:cs="Arial"/>
          <w:sz w:val="22"/>
          <w:szCs w:val="22"/>
          <w:lang w:val="es-ES"/>
        </w:rPr>
        <w:t xml:space="preserve">ver </w:t>
      </w:r>
      <w:hyperlink r:id="rId15" w:history="1">
        <w:r w:rsidR="00EA3A4B" w:rsidRPr="00CE137B">
          <w:rPr>
            <w:rStyle w:val="Hyperlink"/>
            <w:rFonts w:ascii="Arial" w:eastAsiaTheme="minorEastAsia" w:hAnsi="Arial" w:cs="Arial"/>
            <w:sz w:val="22"/>
            <w:szCs w:val="22"/>
          </w:rPr>
          <w:t>EEO#5</w:t>
        </w:r>
      </w:hyperlink>
      <w:r w:rsidR="00EA3A4B">
        <w:rPr>
          <w:rStyle w:val="Hyperlink"/>
          <w:rFonts w:ascii="Arial" w:eastAsiaTheme="minorEastAsia" w:hAnsi="Arial" w:cs="Arial"/>
          <w:sz w:val="22"/>
          <w:szCs w:val="22"/>
        </w:rPr>
        <w:t>)</w:t>
      </w:r>
      <w:r w:rsidR="00EA3A4B">
        <w:rPr>
          <w:rFonts w:ascii="Arial" w:hAnsi="Arial" w:cs="Arial"/>
          <w:sz w:val="22"/>
          <w:szCs w:val="22"/>
          <w:lang w:val="es-ES"/>
        </w:rPr>
        <w:t xml:space="preserve">, incluyendo turismo e industria sectores </w:t>
      </w:r>
      <w:r w:rsidR="00EA3A4B" w:rsidRPr="00FF7A82">
        <w:rPr>
          <w:rFonts w:ascii="Arial" w:hAnsi="Arial" w:cs="Arial"/>
          <w:sz w:val="22"/>
          <w:szCs w:val="22"/>
        </w:rPr>
        <w:t xml:space="preserve">en los cuales </w:t>
      </w:r>
      <w:r w:rsidR="00EA3A4B">
        <w:rPr>
          <w:rFonts w:ascii="Arial" w:hAnsi="Arial" w:cs="Arial"/>
          <w:sz w:val="22"/>
          <w:szCs w:val="22"/>
        </w:rPr>
        <w:t>BNP también tiene una larga experiencia crediticia en el acompañamiento.</w:t>
      </w:r>
    </w:p>
    <w:p w14:paraId="53C6DA61" w14:textId="1F396C2A" w:rsidR="0018105C" w:rsidRPr="005F5F44" w:rsidRDefault="00F8529B" w:rsidP="008757AF">
      <w:pPr>
        <w:pStyle w:val="ListParagraph"/>
        <w:numPr>
          <w:ilvl w:val="1"/>
          <w:numId w:val="8"/>
        </w:numPr>
        <w:spacing w:before="120" w:after="120"/>
        <w:ind w:left="720" w:hanging="720"/>
        <w:contextualSpacing w:val="0"/>
        <w:jc w:val="both"/>
        <w:rPr>
          <w:rFonts w:ascii="Arial" w:hAnsi="Arial" w:cs="Arial"/>
          <w:sz w:val="22"/>
          <w:szCs w:val="22"/>
        </w:rPr>
      </w:pPr>
      <w:r w:rsidRPr="005F5F44">
        <w:rPr>
          <w:rFonts w:ascii="Arial" w:hAnsi="Arial" w:cs="Arial"/>
          <w:b/>
          <w:bCs/>
          <w:sz w:val="22"/>
          <w:szCs w:val="22"/>
        </w:rPr>
        <w:t>Objetivos del programa</w:t>
      </w:r>
      <w:r w:rsidRPr="005F5F44">
        <w:rPr>
          <w:rFonts w:ascii="Arial" w:hAnsi="Arial" w:cs="Arial"/>
          <w:sz w:val="22"/>
          <w:szCs w:val="22"/>
        </w:rPr>
        <w:t>.</w:t>
      </w:r>
      <w:r w:rsidR="00B437B3" w:rsidRPr="005F5F44">
        <w:rPr>
          <w:rFonts w:ascii="Arial" w:hAnsi="Arial" w:cs="Arial"/>
          <w:sz w:val="22"/>
          <w:szCs w:val="22"/>
        </w:rPr>
        <w:t xml:space="preserve"> </w:t>
      </w:r>
      <w:r w:rsidR="0018105C" w:rsidRPr="005F5F44">
        <w:rPr>
          <w:rFonts w:ascii="Arial" w:hAnsi="Arial" w:cs="Arial"/>
          <w:sz w:val="22"/>
          <w:szCs w:val="22"/>
        </w:rPr>
        <w:t xml:space="preserve">El objetivo general de este proyecto es apoyar la sostenibilidad frente a la crisis del COVID-19, de las </w:t>
      </w:r>
      <w:r w:rsidR="005149EA" w:rsidRPr="005F5F44">
        <w:rPr>
          <w:rFonts w:ascii="Arial" w:hAnsi="Arial" w:cs="Arial"/>
          <w:sz w:val="22"/>
          <w:szCs w:val="22"/>
        </w:rPr>
        <w:t>MIPYME</w:t>
      </w:r>
      <w:r w:rsidR="0018105C" w:rsidRPr="005F5F44">
        <w:rPr>
          <w:rFonts w:ascii="Arial" w:hAnsi="Arial" w:cs="Arial"/>
          <w:sz w:val="22"/>
          <w:szCs w:val="22"/>
        </w:rPr>
        <w:t xml:space="preserve"> como sostén del empleo en Panamá. Los objetivos específicos son: (i) apoyar la sostenibilidad financiera de corto plazo de las </w:t>
      </w:r>
      <w:r w:rsidR="005149EA" w:rsidRPr="005F5F44">
        <w:rPr>
          <w:rFonts w:ascii="Arial" w:hAnsi="Arial" w:cs="Arial"/>
          <w:sz w:val="22"/>
          <w:szCs w:val="22"/>
        </w:rPr>
        <w:lastRenderedPageBreak/>
        <w:t>MIPYME</w:t>
      </w:r>
      <w:r w:rsidR="0018105C" w:rsidRPr="005F5F44">
        <w:rPr>
          <w:rFonts w:ascii="Arial" w:hAnsi="Arial" w:cs="Arial"/>
          <w:sz w:val="22"/>
          <w:szCs w:val="22"/>
        </w:rPr>
        <w:t xml:space="preserve">; y (ii) promover la recuperación económica de las </w:t>
      </w:r>
      <w:r w:rsidR="005149EA" w:rsidRPr="005F5F44">
        <w:rPr>
          <w:rFonts w:ascii="Arial" w:hAnsi="Arial" w:cs="Arial"/>
          <w:sz w:val="22"/>
          <w:szCs w:val="22"/>
        </w:rPr>
        <w:t>MIPYME</w:t>
      </w:r>
      <w:r w:rsidR="0018105C" w:rsidRPr="005F5F44">
        <w:rPr>
          <w:rFonts w:ascii="Arial" w:hAnsi="Arial" w:cs="Arial"/>
          <w:sz w:val="22"/>
          <w:szCs w:val="22"/>
        </w:rPr>
        <w:t xml:space="preserve"> a través del acceso al financiamiento productivo.</w:t>
      </w:r>
    </w:p>
    <w:p w14:paraId="0EB493BB" w14:textId="6F43B850" w:rsidR="0018105C" w:rsidRPr="005F5F44" w:rsidRDefault="0018105C" w:rsidP="0018105C">
      <w:pPr>
        <w:numPr>
          <w:ilvl w:val="1"/>
          <w:numId w:val="8"/>
        </w:numPr>
        <w:spacing w:before="120" w:after="120" w:line="240" w:lineRule="auto"/>
        <w:ind w:left="720" w:hanging="720"/>
        <w:jc w:val="both"/>
        <w:rPr>
          <w:rFonts w:ascii="Arial" w:eastAsia="Times New Roman" w:hAnsi="Arial" w:cs="Arial"/>
          <w:lang w:val="es-ES" w:eastAsia="en-US"/>
        </w:rPr>
      </w:pPr>
      <w:r w:rsidRPr="005F5F44">
        <w:rPr>
          <w:rFonts w:ascii="Arial" w:eastAsia="Times New Roman" w:hAnsi="Arial" w:cs="Arial"/>
          <w:b/>
          <w:bCs/>
          <w:lang w:val="es-ES_tradnl" w:eastAsia="en-US"/>
        </w:rPr>
        <w:t xml:space="preserve">Componente Único. Apoyo al financiamiento de las </w:t>
      </w:r>
      <w:r w:rsidR="005149EA" w:rsidRPr="005F5F44">
        <w:rPr>
          <w:rFonts w:ascii="Arial" w:eastAsia="Times New Roman" w:hAnsi="Arial" w:cs="Arial"/>
          <w:b/>
          <w:bCs/>
          <w:lang w:val="es-ES_tradnl" w:eastAsia="en-US"/>
        </w:rPr>
        <w:t xml:space="preserve">MIPYME </w:t>
      </w:r>
      <w:r w:rsidR="005149EA" w:rsidRPr="005F5F44">
        <w:rPr>
          <w:rFonts w:ascii="Arial" w:eastAsia="Times New Roman" w:hAnsi="Arial" w:cs="Arial"/>
          <w:b/>
          <w:bCs/>
          <w:lang w:val="es-ES" w:eastAsia="en-US"/>
        </w:rPr>
        <w:t>(US$</w:t>
      </w:r>
      <w:r w:rsidR="005149EA" w:rsidRPr="005F5F44">
        <w:rPr>
          <w:rFonts w:ascii="Arial" w:eastAsia="Times New Roman" w:hAnsi="Arial" w:cs="Arial"/>
          <w:b/>
          <w:lang w:val="es-ES" w:eastAsia="en-US"/>
        </w:rPr>
        <w:t>150</w:t>
      </w:r>
      <w:r w:rsidR="005149EA" w:rsidRPr="005F5F44">
        <w:rPr>
          <w:rFonts w:ascii="Arial" w:eastAsia="Times New Roman" w:hAnsi="Arial" w:cs="Arial"/>
          <w:b/>
          <w:bCs/>
          <w:lang w:val="es-ES" w:eastAsia="en-US"/>
        </w:rPr>
        <w:t xml:space="preserve"> millones)</w:t>
      </w:r>
      <w:r w:rsidRPr="005F5F44">
        <w:rPr>
          <w:rFonts w:ascii="Arial" w:eastAsia="Times New Roman" w:hAnsi="Arial" w:cs="Arial"/>
          <w:b/>
          <w:bCs/>
          <w:lang w:val="es-ES_tradnl" w:eastAsia="en-US"/>
        </w:rPr>
        <w:t>.</w:t>
      </w:r>
      <w:r w:rsidRPr="005F5F44">
        <w:rPr>
          <w:rFonts w:ascii="Arial" w:eastAsia="Times New Roman" w:hAnsi="Arial" w:cs="Arial"/>
          <w:lang w:val="es-ES_tradnl" w:eastAsia="en-US"/>
        </w:rPr>
        <w:t xml:space="preserve"> </w:t>
      </w:r>
      <w:r w:rsidR="001F2C44" w:rsidRPr="005F5F44">
        <w:rPr>
          <w:rFonts w:ascii="Arial" w:eastAsia="Times New Roman" w:hAnsi="Arial" w:cs="Arial"/>
          <w:lang w:val="es-ES_tradnl" w:eastAsia="en-US"/>
        </w:rPr>
        <w:t>Esta intervención se estructura en un préstamo canalizado en su totalidad a través de un fideicomiso que administrará el BNP y compuesto por los siguientes subcomponentes.</w:t>
      </w:r>
    </w:p>
    <w:p w14:paraId="40943444" w14:textId="07F4B675" w:rsidR="0018105C" w:rsidRPr="0018105C" w:rsidRDefault="0018105C" w:rsidP="0018105C">
      <w:pPr>
        <w:numPr>
          <w:ilvl w:val="1"/>
          <w:numId w:val="8"/>
        </w:numPr>
        <w:spacing w:before="120" w:after="120" w:line="240" w:lineRule="auto"/>
        <w:ind w:left="720" w:hanging="720"/>
        <w:jc w:val="both"/>
        <w:rPr>
          <w:rFonts w:ascii="Arial" w:eastAsia="Times New Roman" w:hAnsi="Arial" w:cs="Arial"/>
          <w:lang w:val="es-ES_tradnl" w:eastAsia="en-US"/>
        </w:rPr>
      </w:pPr>
      <w:r w:rsidRPr="005F5F44">
        <w:rPr>
          <w:rFonts w:ascii="Arial" w:eastAsia="Times New Roman" w:hAnsi="Arial" w:cs="Arial"/>
          <w:b/>
          <w:bCs/>
          <w:lang w:val="es-ES" w:eastAsia="en-US"/>
        </w:rPr>
        <w:t>Subcomponente 1. Apoyo a la mejora de las capacidades financieras a corto plazo (</w:t>
      </w:r>
      <w:bookmarkStart w:id="12" w:name="_Hlk38454151"/>
      <w:r w:rsidRPr="005F5F44">
        <w:rPr>
          <w:rFonts w:ascii="Arial" w:eastAsia="Times New Roman" w:hAnsi="Arial" w:cs="Arial"/>
          <w:b/>
          <w:bCs/>
          <w:lang w:val="es-ES" w:eastAsia="en-US"/>
        </w:rPr>
        <w:t>US$</w:t>
      </w:r>
      <w:r w:rsidRPr="005F5F44">
        <w:rPr>
          <w:rFonts w:ascii="Arial" w:eastAsia="Times New Roman" w:hAnsi="Arial" w:cs="Arial"/>
          <w:b/>
          <w:lang w:val="es-ES" w:eastAsia="en-US"/>
        </w:rPr>
        <w:t>90</w:t>
      </w:r>
      <w:r w:rsidRPr="005F5F44">
        <w:rPr>
          <w:rFonts w:ascii="Arial" w:eastAsia="Times New Roman" w:hAnsi="Arial" w:cs="Arial"/>
          <w:b/>
          <w:bCs/>
          <w:lang w:val="es-ES" w:eastAsia="en-US"/>
        </w:rPr>
        <w:t xml:space="preserve"> millones</w:t>
      </w:r>
      <w:bookmarkEnd w:id="12"/>
      <w:r w:rsidRPr="005F5F44">
        <w:rPr>
          <w:rFonts w:ascii="Arial" w:eastAsia="Times New Roman" w:hAnsi="Arial" w:cs="Arial"/>
          <w:b/>
          <w:bCs/>
          <w:lang w:val="es-ES" w:eastAsia="en-US"/>
        </w:rPr>
        <w:t xml:space="preserve">). </w:t>
      </w:r>
      <w:bookmarkStart w:id="13" w:name="_Hlk38454225"/>
      <w:r w:rsidRPr="005F5F44">
        <w:rPr>
          <w:rFonts w:ascii="Arial" w:eastAsia="Times New Roman" w:hAnsi="Arial" w:cs="Arial"/>
          <w:lang w:val="es-ES_tradnl" w:eastAsia="en-US"/>
        </w:rPr>
        <w:t>Los recursos de este subcomponente van destinados a contribuir a que las M</w:t>
      </w:r>
      <w:r w:rsidR="005149EA" w:rsidRPr="005F5F44">
        <w:rPr>
          <w:rFonts w:ascii="Arial" w:eastAsia="Times New Roman" w:hAnsi="Arial" w:cs="Arial"/>
          <w:lang w:val="es-ES_tradnl" w:eastAsia="en-US"/>
        </w:rPr>
        <w:t>I</w:t>
      </w:r>
      <w:r w:rsidRPr="005F5F44">
        <w:rPr>
          <w:rFonts w:ascii="Arial" w:eastAsia="Times New Roman" w:hAnsi="Arial" w:cs="Arial"/>
          <w:lang w:val="es-ES_tradnl" w:eastAsia="en-US"/>
        </w:rPr>
        <w:t>P</w:t>
      </w:r>
      <w:r w:rsidR="005149EA" w:rsidRPr="005F5F44">
        <w:rPr>
          <w:rFonts w:ascii="Arial" w:eastAsia="Times New Roman" w:hAnsi="Arial" w:cs="Arial"/>
          <w:lang w:val="es-ES_tradnl" w:eastAsia="en-US"/>
        </w:rPr>
        <w:t>Y</w:t>
      </w:r>
      <w:r w:rsidRPr="005F5F44">
        <w:rPr>
          <w:rFonts w:ascii="Arial" w:eastAsia="Times New Roman" w:hAnsi="Arial" w:cs="Arial"/>
          <w:lang w:val="es-ES_tradnl" w:eastAsia="en-US"/>
        </w:rPr>
        <w:t>ME afectadas</w:t>
      </w:r>
      <w:r w:rsidRPr="0018105C">
        <w:rPr>
          <w:rFonts w:ascii="Arial" w:eastAsia="Times New Roman" w:hAnsi="Arial" w:cs="Arial"/>
          <w:lang w:val="es-ES_tradnl" w:eastAsia="en-US"/>
        </w:rPr>
        <w:t xml:space="preserve"> por la crisis superen problemas temporales de liquidez y puedan dar continuidad a su operación. Este subcomponente contempla mecanismos para proveer liquidez a las </w:t>
      </w:r>
      <w:r w:rsidR="005149EA" w:rsidRPr="0018105C">
        <w:rPr>
          <w:rFonts w:ascii="Arial" w:eastAsia="Times New Roman" w:hAnsi="Arial" w:cs="Arial"/>
          <w:lang w:val="es-ES_tradnl" w:eastAsia="en-US"/>
        </w:rPr>
        <w:t>M</w:t>
      </w:r>
      <w:r w:rsidR="005149EA">
        <w:rPr>
          <w:rFonts w:ascii="Arial" w:eastAsia="Times New Roman" w:hAnsi="Arial" w:cs="Arial"/>
          <w:lang w:val="es-ES_tradnl" w:eastAsia="en-US"/>
        </w:rPr>
        <w:t>I</w:t>
      </w:r>
      <w:r w:rsidR="005149EA" w:rsidRPr="0018105C">
        <w:rPr>
          <w:rFonts w:ascii="Arial" w:eastAsia="Times New Roman" w:hAnsi="Arial" w:cs="Arial"/>
          <w:lang w:val="es-ES_tradnl" w:eastAsia="en-US"/>
        </w:rPr>
        <w:t>P</w:t>
      </w:r>
      <w:r w:rsidR="005149EA">
        <w:rPr>
          <w:rFonts w:ascii="Arial" w:eastAsia="Times New Roman" w:hAnsi="Arial" w:cs="Arial"/>
          <w:lang w:val="es-ES_tradnl" w:eastAsia="en-US"/>
        </w:rPr>
        <w:t>Y</w:t>
      </w:r>
      <w:r w:rsidR="005149EA" w:rsidRPr="0018105C">
        <w:rPr>
          <w:rFonts w:ascii="Arial" w:eastAsia="Times New Roman" w:hAnsi="Arial" w:cs="Arial"/>
          <w:lang w:val="es-ES_tradnl" w:eastAsia="en-US"/>
        </w:rPr>
        <w:t>ME</w:t>
      </w:r>
      <w:r w:rsidRPr="0018105C">
        <w:rPr>
          <w:rFonts w:ascii="Arial" w:eastAsia="Times New Roman" w:hAnsi="Arial" w:cs="Arial"/>
          <w:lang w:val="es-ES_tradnl" w:eastAsia="en-US"/>
        </w:rPr>
        <w:t xml:space="preserve"> focalizándose en el sector agropecuario, así como comercio y servicios entre otros, y/o cadenas de valor en donde se integran mediante líneas de anticipo y redescuento para obtener financiamiento de capital de trabajo; y facilidades de apoyo a la restructuración o refinanciamiento para evitar quiebras de empresas viables. </w:t>
      </w:r>
      <w:bookmarkEnd w:id="13"/>
      <w:r w:rsidR="009E351A" w:rsidRPr="009E351A">
        <w:rPr>
          <w:rFonts w:ascii="Arial" w:hAnsi="Arial" w:cs="Arial"/>
          <w:lang w:val="pt-BR"/>
        </w:rPr>
        <w:t>Los recursos del componente podrán ser canalizados mediante IFI elegibles para MIPYME</w:t>
      </w:r>
      <w:r w:rsidR="009E351A">
        <w:rPr>
          <w:rStyle w:val="FootnoteReference"/>
          <w:rFonts w:ascii="Arial" w:hAnsi="Arial" w:cs="Arial"/>
        </w:rPr>
        <w:footnoteReference w:id="13"/>
      </w:r>
      <w:r w:rsidR="009E351A" w:rsidRPr="009E351A">
        <w:rPr>
          <w:rFonts w:ascii="Arial" w:hAnsi="Arial" w:cs="Arial"/>
          <w:lang w:val="pt-BR"/>
        </w:rPr>
        <w:t xml:space="preserve"> y de manera directa a través del fideicomiso administrado por el BNP para PYME y empresas ancla</w:t>
      </w:r>
      <w:r w:rsidR="00B9528D">
        <w:rPr>
          <w:rFonts w:ascii="Arial" w:hAnsi="Arial" w:cs="Arial"/>
          <w:lang w:val="pt-BR"/>
        </w:rPr>
        <w:t xml:space="preserve"> </w:t>
      </w:r>
      <w:bookmarkStart w:id="14" w:name="_Hlk40864795"/>
      <w:r w:rsidR="00B9528D" w:rsidRPr="00B9528D">
        <w:rPr>
          <w:rFonts w:ascii="Arial" w:hAnsi="Arial" w:cs="Arial"/>
          <w:lang w:val="pt-BR"/>
        </w:rPr>
        <w:t>(</w:t>
      </w:r>
      <w:r w:rsidR="00B9528D">
        <w:rPr>
          <w:rFonts w:ascii="Arial" w:hAnsi="Arial" w:cs="Arial"/>
          <w:lang w:val="pt-BR"/>
        </w:rPr>
        <w:t xml:space="preserve">ver párrafo </w:t>
      </w:r>
      <w:r w:rsidR="00B9528D" w:rsidRPr="00B9528D">
        <w:rPr>
          <w:rFonts w:ascii="Arial" w:hAnsi="Arial" w:cs="Arial"/>
          <w:lang w:val="pt-BR"/>
        </w:rPr>
        <w:t>¶3.4</w:t>
      </w:r>
      <w:r w:rsidR="00B9528D">
        <w:rPr>
          <w:rFonts w:ascii="Arial" w:hAnsi="Arial" w:cs="Arial"/>
          <w:lang w:val="pt-BR"/>
        </w:rPr>
        <w:t xml:space="preserve"> del documento de préstamo</w:t>
      </w:r>
      <w:r w:rsidR="00B9528D" w:rsidRPr="00B9528D">
        <w:rPr>
          <w:rFonts w:ascii="Arial" w:hAnsi="Arial" w:cs="Arial"/>
          <w:lang w:val="pt-BR"/>
        </w:rPr>
        <w:t>).</w:t>
      </w:r>
      <w:bookmarkEnd w:id="14"/>
    </w:p>
    <w:p w14:paraId="1559C1D3" w14:textId="1EF6F1A9" w:rsidR="004B2FDE" w:rsidRPr="004B2FDE" w:rsidRDefault="0018105C" w:rsidP="004B2FDE">
      <w:pPr>
        <w:numPr>
          <w:ilvl w:val="1"/>
          <w:numId w:val="8"/>
        </w:numPr>
        <w:spacing w:before="120" w:after="120" w:line="240" w:lineRule="auto"/>
        <w:ind w:left="720" w:hanging="720"/>
        <w:jc w:val="both"/>
        <w:rPr>
          <w:rFonts w:ascii="Arial" w:eastAsia="Times New Roman" w:hAnsi="Arial" w:cs="Arial"/>
          <w:lang w:val="es-ES" w:eastAsia="en-US"/>
        </w:rPr>
      </w:pPr>
      <w:r w:rsidRPr="0018105C">
        <w:rPr>
          <w:rFonts w:ascii="Arial" w:eastAsia="Calibri" w:hAnsi="Arial" w:cs="Arial"/>
          <w:b/>
          <w:bCs/>
          <w:color w:val="000000"/>
          <w:shd w:val="clear" w:color="auto" w:fill="FFFFFF"/>
          <w:lang w:val="es-ES" w:eastAsia="en-US"/>
        </w:rPr>
        <w:t xml:space="preserve">Subcomponente 2. </w:t>
      </w:r>
      <w:r w:rsidRPr="0018105C">
        <w:rPr>
          <w:rFonts w:ascii="Arial" w:eastAsia="Calibri" w:hAnsi="Arial" w:cs="Arial"/>
          <w:b/>
          <w:bCs/>
          <w:color w:val="000000"/>
          <w:lang w:val="es-ES" w:eastAsia="en-US"/>
        </w:rPr>
        <w:t>Apoyo a</w:t>
      </w:r>
      <w:r w:rsidRPr="0018105C">
        <w:rPr>
          <w:rFonts w:ascii="Arial" w:eastAsia="Calibri" w:hAnsi="Arial" w:cs="Arial"/>
          <w:b/>
          <w:bCs/>
          <w:color w:val="000000"/>
          <w:shd w:val="clear" w:color="auto" w:fill="FFFFFF"/>
          <w:lang w:val="es-ES" w:eastAsia="en-US"/>
        </w:rPr>
        <w:t>l acceso al financiamiento productivo para la recuperación económica (US$60 millones</w:t>
      </w:r>
      <w:r w:rsidRPr="0018105C">
        <w:rPr>
          <w:rFonts w:ascii="Arial" w:eastAsia="Calibri" w:hAnsi="Arial" w:cs="Arial"/>
          <w:b/>
          <w:bCs/>
          <w:lang w:val="es-ES" w:eastAsia="en-US"/>
        </w:rPr>
        <w:t>)</w:t>
      </w:r>
      <w:r w:rsidRPr="0018105C">
        <w:rPr>
          <w:rFonts w:ascii="Arial" w:eastAsia="Calibri" w:hAnsi="Arial" w:cs="Arial"/>
          <w:b/>
          <w:bCs/>
          <w:color w:val="000000"/>
          <w:shd w:val="clear" w:color="auto" w:fill="FFFFFF"/>
          <w:lang w:val="es-ES" w:eastAsia="en-US"/>
        </w:rPr>
        <w:t>.</w:t>
      </w:r>
      <w:r w:rsidRPr="0018105C">
        <w:rPr>
          <w:rFonts w:ascii="Arial" w:eastAsia="Calibri" w:hAnsi="Arial" w:cs="Arial"/>
          <w:color w:val="000000"/>
          <w:shd w:val="clear" w:color="auto" w:fill="FFFFFF"/>
          <w:lang w:val="es-ES" w:eastAsia="en-US"/>
        </w:rPr>
        <w:t xml:space="preserve"> </w:t>
      </w:r>
      <w:r w:rsidRPr="0018105C">
        <w:rPr>
          <w:rFonts w:ascii="Arial" w:eastAsia="Times New Roman" w:hAnsi="Arial" w:cs="Arial"/>
          <w:lang w:val="es-ES_tradnl" w:eastAsia="en-US"/>
        </w:rPr>
        <w:t xml:space="preserve">Los recursos de este subcomponente van destinados a apoyar la recuperación económica a través del financiamiento productivo de las </w:t>
      </w:r>
      <w:r w:rsidR="005149EA" w:rsidRPr="0018105C">
        <w:rPr>
          <w:rFonts w:ascii="Arial" w:eastAsia="Times New Roman" w:hAnsi="Arial" w:cs="Arial"/>
          <w:lang w:val="es-ES_tradnl" w:eastAsia="en-US"/>
        </w:rPr>
        <w:t>M</w:t>
      </w:r>
      <w:r w:rsidR="005149EA">
        <w:rPr>
          <w:rFonts w:ascii="Arial" w:eastAsia="Times New Roman" w:hAnsi="Arial" w:cs="Arial"/>
          <w:lang w:val="es-ES_tradnl" w:eastAsia="en-US"/>
        </w:rPr>
        <w:t>I</w:t>
      </w:r>
      <w:r w:rsidR="005149EA" w:rsidRPr="0018105C">
        <w:rPr>
          <w:rFonts w:ascii="Arial" w:eastAsia="Times New Roman" w:hAnsi="Arial" w:cs="Arial"/>
          <w:lang w:val="es-ES_tradnl" w:eastAsia="en-US"/>
        </w:rPr>
        <w:t>P</w:t>
      </w:r>
      <w:r w:rsidR="005149EA">
        <w:rPr>
          <w:rFonts w:ascii="Arial" w:eastAsia="Times New Roman" w:hAnsi="Arial" w:cs="Arial"/>
          <w:lang w:val="es-ES_tradnl" w:eastAsia="en-US"/>
        </w:rPr>
        <w:t>Y</w:t>
      </w:r>
      <w:r w:rsidR="005149EA" w:rsidRPr="0018105C">
        <w:rPr>
          <w:rFonts w:ascii="Arial" w:eastAsia="Times New Roman" w:hAnsi="Arial" w:cs="Arial"/>
          <w:lang w:val="es-ES_tradnl" w:eastAsia="en-US"/>
        </w:rPr>
        <w:t>ME</w:t>
      </w:r>
      <w:r w:rsidRPr="0018105C">
        <w:rPr>
          <w:rFonts w:ascii="Arial" w:eastAsia="Times New Roman" w:hAnsi="Arial" w:cs="Arial"/>
          <w:lang w:val="es-ES_tradnl" w:eastAsia="en-US"/>
        </w:rPr>
        <w:t xml:space="preserve"> afectadas por la crisis sanitaria del COVID-19, focalizándose en el sector agropecuario, así como comercio y servicios entre otros y/o cadenas de valor en donde se integran. El subcomponente contempla: la creación o apoyo de líneas de financiamiento de crédito para facilitar que las </w:t>
      </w:r>
      <w:r w:rsidR="005149EA" w:rsidRPr="0018105C">
        <w:rPr>
          <w:rFonts w:ascii="Arial" w:eastAsia="Times New Roman" w:hAnsi="Arial" w:cs="Arial"/>
          <w:lang w:val="es-ES_tradnl" w:eastAsia="en-US"/>
        </w:rPr>
        <w:t>M</w:t>
      </w:r>
      <w:r w:rsidR="005149EA">
        <w:rPr>
          <w:rFonts w:ascii="Arial" w:eastAsia="Times New Roman" w:hAnsi="Arial" w:cs="Arial"/>
          <w:lang w:val="es-ES_tradnl" w:eastAsia="en-US"/>
        </w:rPr>
        <w:t>I</w:t>
      </w:r>
      <w:r w:rsidR="005149EA" w:rsidRPr="0018105C">
        <w:rPr>
          <w:rFonts w:ascii="Arial" w:eastAsia="Times New Roman" w:hAnsi="Arial" w:cs="Arial"/>
          <w:lang w:val="es-ES_tradnl" w:eastAsia="en-US"/>
        </w:rPr>
        <w:t>P</w:t>
      </w:r>
      <w:r w:rsidR="005149EA">
        <w:rPr>
          <w:rFonts w:ascii="Arial" w:eastAsia="Times New Roman" w:hAnsi="Arial" w:cs="Arial"/>
          <w:lang w:val="es-ES_tradnl" w:eastAsia="en-US"/>
        </w:rPr>
        <w:t>Y</w:t>
      </w:r>
      <w:r w:rsidR="005149EA" w:rsidRPr="0018105C">
        <w:rPr>
          <w:rFonts w:ascii="Arial" w:eastAsia="Times New Roman" w:hAnsi="Arial" w:cs="Arial"/>
          <w:lang w:val="es-ES_tradnl" w:eastAsia="en-US"/>
        </w:rPr>
        <w:t>ME</w:t>
      </w:r>
      <w:r w:rsidRPr="0018105C">
        <w:rPr>
          <w:rFonts w:ascii="Arial" w:eastAsia="Times New Roman" w:hAnsi="Arial" w:cs="Arial"/>
          <w:lang w:val="es-ES_tradnl" w:eastAsia="en-US"/>
        </w:rPr>
        <w:t xml:space="preserve"> tengan acceso continuado al financiamiento que necesitan para continuar operando sus negocios o para atender un incremento en demanda por consecuencia del COVID-19; así como el apoyo para cubrir las necesidades de acceso y continuidad en el financiamiento a nivel de cadenas de valor estratégicas a fin de que las empresas anclas que reciban financiamiento puedan contribuir a la recuperación de sus proveedores en la cadena productiva. </w:t>
      </w:r>
      <w:r w:rsidR="009E351A" w:rsidRPr="009E351A">
        <w:rPr>
          <w:rFonts w:ascii="Arial" w:hAnsi="Arial" w:cs="Arial"/>
          <w:lang w:val="pt-BR"/>
        </w:rPr>
        <w:t>Los recursos del componente podrán ser canalizados mediante IFI elegibles para MIPYME y de manera directa a través del fideicomiso administrado por el BNP para PYME y empresas ancla</w:t>
      </w:r>
      <w:bookmarkEnd w:id="1"/>
      <w:r w:rsidR="00B9528D">
        <w:rPr>
          <w:rFonts w:ascii="Arial" w:hAnsi="Arial" w:cs="Arial"/>
          <w:lang w:val="pt-BR"/>
        </w:rPr>
        <w:t xml:space="preserve"> </w:t>
      </w:r>
      <w:r w:rsidR="00B9528D" w:rsidRPr="00B9528D">
        <w:rPr>
          <w:rFonts w:ascii="Arial" w:hAnsi="Arial" w:cs="Arial"/>
          <w:lang w:val="pt-BR"/>
        </w:rPr>
        <w:t>(ver párrafo ¶3.4 del documento de préstamo).</w:t>
      </w:r>
      <w:bookmarkStart w:id="15" w:name="_GoBack"/>
      <w:bookmarkEnd w:id="15"/>
    </w:p>
    <w:p w14:paraId="1661E845" w14:textId="77777777" w:rsidR="004B2FDE" w:rsidRPr="004B2FDE" w:rsidRDefault="00F8529B" w:rsidP="004B2FDE">
      <w:pPr>
        <w:numPr>
          <w:ilvl w:val="1"/>
          <w:numId w:val="8"/>
        </w:numPr>
        <w:spacing w:before="120" w:after="120" w:line="240" w:lineRule="auto"/>
        <w:ind w:left="720" w:hanging="720"/>
        <w:jc w:val="both"/>
        <w:rPr>
          <w:rFonts w:ascii="Arial" w:eastAsia="Times New Roman" w:hAnsi="Arial" w:cs="Arial"/>
          <w:lang w:val="es-ES" w:eastAsia="en-US"/>
        </w:rPr>
      </w:pPr>
      <w:r w:rsidRPr="004B2FDE">
        <w:rPr>
          <w:rFonts w:ascii="Arial" w:hAnsi="Arial" w:cs="Arial"/>
          <w:b/>
          <w:bCs/>
          <w:lang w:val="es-ES_tradnl"/>
        </w:rPr>
        <w:t>Organismo ejecutor</w:t>
      </w:r>
      <w:r w:rsidRPr="004B2FDE">
        <w:rPr>
          <w:rFonts w:ascii="Arial" w:hAnsi="Arial" w:cs="Arial"/>
          <w:lang w:val="es-ES_tradnl"/>
        </w:rPr>
        <w:t xml:space="preserve">. </w:t>
      </w:r>
      <w:r w:rsidR="008E36C9" w:rsidRPr="004B2FDE">
        <w:rPr>
          <w:rFonts w:ascii="Arial" w:eastAsia="Arial" w:hAnsi="Arial" w:cs="Arial"/>
          <w:lang w:val="es-ES_tradnl"/>
        </w:rPr>
        <w:t>El Prestatario de esta operación será la República de Panamá y el OE de esta operación será B</w:t>
      </w:r>
      <w:r w:rsidR="00661C8A" w:rsidRPr="004B2FDE">
        <w:rPr>
          <w:rFonts w:ascii="Arial" w:eastAsia="Arial" w:hAnsi="Arial" w:cs="Arial"/>
          <w:lang w:val="es-ES_tradnl"/>
        </w:rPr>
        <w:t>NP</w:t>
      </w:r>
      <w:r w:rsidR="008E36C9" w:rsidRPr="004B2FDE">
        <w:rPr>
          <w:rFonts w:ascii="Arial" w:eastAsia="Arial" w:hAnsi="Arial" w:cs="Arial"/>
          <w:lang w:val="es-ES_tradnl"/>
        </w:rPr>
        <w:t>. Esto se realizará mediante un fideicomiso que contará con la garantía de la República de Panamá. El OE llevará a cabo la administración, ejecución, control y monitoreo de los recursos de la operación.</w:t>
      </w:r>
    </w:p>
    <w:p w14:paraId="55F7E39E" w14:textId="09D6F42C" w:rsidR="007116B2" w:rsidRPr="004B2FDE" w:rsidRDefault="00E13ADD" w:rsidP="004B2FDE">
      <w:pPr>
        <w:numPr>
          <w:ilvl w:val="1"/>
          <w:numId w:val="8"/>
        </w:numPr>
        <w:spacing w:before="120" w:after="120" w:line="240" w:lineRule="auto"/>
        <w:ind w:left="720" w:hanging="720"/>
        <w:jc w:val="both"/>
        <w:rPr>
          <w:rFonts w:ascii="Arial" w:eastAsia="Times New Roman" w:hAnsi="Arial" w:cs="Arial"/>
          <w:lang w:val="es-ES" w:eastAsia="en-US"/>
        </w:rPr>
      </w:pPr>
      <w:r w:rsidRPr="004B2FDE">
        <w:rPr>
          <w:rFonts w:ascii="Arial" w:hAnsi="Arial" w:cs="Arial"/>
          <w:lang w:val="es-ES_tradnl"/>
        </w:rPr>
        <w:t>C</w:t>
      </w:r>
      <w:r w:rsidR="007116B2" w:rsidRPr="004B2FDE">
        <w:rPr>
          <w:rFonts w:ascii="Arial" w:hAnsi="Arial" w:cs="Arial"/>
          <w:lang w:val="es-ES_tradnl"/>
        </w:rPr>
        <w:t xml:space="preserve">omo parte de la ejecución del programa, se han identificado los siguientes instrumentos de monitoreo y evaluación: </w:t>
      </w:r>
    </w:p>
    <w:p w14:paraId="21E3FEC4" w14:textId="77777777" w:rsidR="007116B2" w:rsidRPr="001F731F"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Informes semestrales de seguimiento del programa en el que el OE informa al Banco el progreso en la ejecución de las actividades programadas, incluyendo el cumplimiento de objetivos previamente acordados para los indicadores de producto y resultado que se describen en la matriz de resultados que se adjunta al programa propuesto (descritos en el Cuadro 1); </w:t>
      </w:r>
    </w:p>
    <w:p w14:paraId="42B15AED" w14:textId="77777777" w:rsidR="007116B2" w:rsidRPr="001F731F"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Auditorías financieras anuales del programa;</w:t>
      </w:r>
    </w:p>
    <w:p w14:paraId="28FA1901" w14:textId="77777777" w:rsidR="007116B2" w:rsidRPr="00DC37D8"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lastRenderedPageBreak/>
        <w:t xml:space="preserve">Evaluaciones de </w:t>
      </w:r>
      <w:r w:rsidRPr="00DC37D8">
        <w:rPr>
          <w:rFonts w:ascii="Arial" w:hAnsi="Arial" w:cs="Arial"/>
          <w:sz w:val="22"/>
          <w:szCs w:val="22"/>
          <w:lang w:val="es-ES_tradnl"/>
        </w:rPr>
        <w:t xml:space="preserve">cumplimiento de Sostenibilidad y Salvaguardas Ambientales (ESG, por sus siglas en inglés); y </w:t>
      </w:r>
    </w:p>
    <w:p w14:paraId="2EB4E59D" w14:textId="166D2592" w:rsidR="00F8529B" w:rsidRPr="00DC37D8" w:rsidRDefault="006D24DE" w:rsidP="007116B2">
      <w:pPr>
        <w:pStyle w:val="subpar"/>
        <w:tabs>
          <w:tab w:val="num" w:pos="1440"/>
        </w:tabs>
        <w:spacing w:before="60" w:after="60"/>
        <w:ind w:left="1440" w:hanging="450"/>
        <w:rPr>
          <w:rFonts w:ascii="Arial" w:hAnsi="Arial" w:cs="Arial"/>
          <w:sz w:val="22"/>
          <w:szCs w:val="22"/>
          <w:lang w:val="es-ES_tradnl"/>
        </w:rPr>
      </w:pPr>
      <w:r w:rsidRPr="00DC37D8">
        <w:rPr>
          <w:rFonts w:ascii="Arial" w:hAnsi="Arial" w:cs="Arial"/>
          <w:sz w:val="22"/>
          <w:szCs w:val="22"/>
          <w:lang w:val="es-ES_tradnl"/>
        </w:rPr>
        <w:t>Análisis reflexivo</w:t>
      </w:r>
      <w:r w:rsidR="00F8529B" w:rsidRPr="00DC37D8">
        <w:rPr>
          <w:rFonts w:ascii="Arial" w:hAnsi="Arial" w:cs="Arial"/>
          <w:sz w:val="22"/>
          <w:szCs w:val="22"/>
          <w:lang w:val="es-ES_tradnl"/>
        </w:rPr>
        <w:t>.</w:t>
      </w:r>
    </w:p>
    <w:p w14:paraId="1D9E0C37" w14:textId="5A5F5F9D" w:rsidR="007116B2" w:rsidRPr="00DC37D8" w:rsidRDefault="00DC37D8" w:rsidP="007116B2">
      <w:pPr>
        <w:pStyle w:val="subpar"/>
        <w:tabs>
          <w:tab w:val="num" w:pos="1440"/>
        </w:tabs>
        <w:spacing w:before="60" w:after="60"/>
        <w:ind w:left="1440" w:hanging="450"/>
        <w:rPr>
          <w:rFonts w:ascii="Arial" w:hAnsi="Arial" w:cs="Arial"/>
          <w:sz w:val="22"/>
          <w:szCs w:val="22"/>
          <w:lang w:val="es-ES_tradnl"/>
        </w:rPr>
      </w:pPr>
      <w:r w:rsidRPr="00DC37D8">
        <w:rPr>
          <w:rFonts w:ascii="Arial" w:hAnsi="Arial" w:cs="Arial"/>
          <w:sz w:val="22"/>
          <w:szCs w:val="22"/>
          <w:lang w:val="es-ES_tradnl"/>
        </w:rPr>
        <w:t>Análisis cualitativo</w:t>
      </w:r>
      <w:r w:rsidR="007116B2" w:rsidRPr="00DC37D8">
        <w:rPr>
          <w:rFonts w:ascii="Arial" w:hAnsi="Arial" w:cs="Arial"/>
          <w:sz w:val="22"/>
          <w:szCs w:val="22"/>
          <w:lang w:val="es-ES_tradnl"/>
        </w:rPr>
        <w:t xml:space="preserve">. </w:t>
      </w:r>
    </w:p>
    <w:p w14:paraId="757561D8" w14:textId="3163847D" w:rsidR="002F732E" w:rsidRDefault="002F732E" w:rsidP="004B2FDE">
      <w:pPr>
        <w:pStyle w:val="Paragraph"/>
        <w:numPr>
          <w:ilvl w:val="1"/>
          <w:numId w:val="8"/>
        </w:numPr>
        <w:tabs>
          <w:tab w:val="left" w:pos="630"/>
        </w:tabs>
        <w:ind w:left="630" w:hanging="630"/>
        <w:rPr>
          <w:rFonts w:ascii="Arial" w:hAnsi="Arial" w:cs="Arial"/>
          <w:sz w:val="22"/>
          <w:szCs w:val="22"/>
          <w:lang w:val="es-ES_tradnl"/>
        </w:rPr>
      </w:pPr>
      <w:r w:rsidRPr="00F40584">
        <w:rPr>
          <w:rFonts w:ascii="Arial" w:hAnsi="Arial" w:cs="Arial"/>
          <w:b/>
          <w:bCs/>
          <w:sz w:val="22"/>
          <w:szCs w:val="22"/>
          <w:lang w:val="es-ES"/>
        </w:rPr>
        <w:t>Costos de administración, evaluación y auditoría</w:t>
      </w:r>
      <w:r>
        <w:rPr>
          <w:rFonts w:ascii="Arial" w:hAnsi="Arial" w:cs="Arial"/>
          <w:sz w:val="22"/>
          <w:szCs w:val="22"/>
          <w:lang w:val="es-ES"/>
        </w:rPr>
        <w:t xml:space="preserve">. </w:t>
      </w:r>
      <w:r w:rsidR="002F1DD4">
        <w:rPr>
          <w:rFonts w:ascii="Arial" w:hAnsi="Arial" w:cs="Arial"/>
          <w:sz w:val="22"/>
          <w:szCs w:val="22"/>
          <w:lang w:val="es-ES"/>
        </w:rPr>
        <w:t>Lo</w:t>
      </w:r>
      <w:r w:rsidR="00531EC0">
        <w:rPr>
          <w:rFonts w:ascii="Arial" w:hAnsi="Arial" w:cs="Arial"/>
          <w:sz w:val="22"/>
          <w:szCs w:val="22"/>
          <w:lang w:val="es-ES"/>
        </w:rPr>
        <w:t>s costos de administración y monitoreo</w:t>
      </w:r>
      <w:r w:rsidR="001D3F9A">
        <w:rPr>
          <w:rFonts w:ascii="Arial" w:hAnsi="Arial" w:cs="Arial"/>
          <w:sz w:val="22"/>
          <w:szCs w:val="22"/>
          <w:lang w:val="es-ES"/>
        </w:rPr>
        <w:t xml:space="preserve"> suman </w:t>
      </w:r>
      <w:r w:rsidR="00593965">
        <w:rPr>
          <w:rFonts w:ascii="Arial" w:hAnsi="Arial" w:cs="Arial"/>
          <w:sz w:val="22"/>
          <w:szCs w:val="22"/>
          <w:lang w:val="es-ES"/>
        </w:rPr>
        <w:t>U</w:t>
      </w:r>
      <w:r w:rsidR="001D3F9A">
        <w:rPr>
          <w:rFonts w:ascii="Arial" w:hAnsi="Arial" w:cs="Arial"/>
          <w:sz w:val="22"/>
          <w:szCs w:val="22"/>
          <w:lang w:val="es-ES"/>
        </w:rPr>
        <w:t>S$69.500 (ver</w:t>
      </w:r>
      <w:r w:rsidR="00CE79FE">
        <w:rPr>
          <w:rFonts w:ascii="Arial" w:hAnsi="Arial" w:cs="Arial"/>
          <w:sz w:val="22"/>
          <w:szCs w:val="22"/>
          <w:lang w:val="es-ES"/>
        </w:rPr>
        <w:t xml:space="preserve"> Cuadro 2 para más detalles) y los costos de evaluación suman US$13.000 (ver Cuadro</w:t>
      </w:r>
      <w:r w:rsidR="00C4738C">
        <w:rPr>
          <w:rFonts w:ascii="Arial" w:hAnsi="Arial" w:cs="Arial"/>
          <w:sz w:val="22"/>
          <w:szCs w:val="22"/>
          <w:lang w:val="es-ES"/>
        </w:rPr>
        <w:t xml:space="preserve"> 3)</w:t>
      </w:r>
      <w:r w:rsidR="00593965">
        <w:rPr>
          <w:rFonts w:ascii="Arial" w:hAnsi="Arial" w:cs="Arial"/>
          <w:sz w:val="22"/>
          <w:szCs w:val="22"/>
          <w:lang w:val="es-ES"/>
        </w:rPr>
        <w:t>.</w:t>
      </w:r>
      <w:r w:rsidR="001D3F9A">
        <w:rPr>
          <w:rFonts w:ascii="Arial" w:hAnsi="Arial" w:cs="Arial"/>
          <w:sz w:val="22"/>
          <w:szCs w:val="22"/>
          <w:lang w:val="es-ES"/>
        </w:rPr>
        <w:t xml:space="preserve"> </w:t>
      </w:r>
      <w:r w:rsidR="00531EC0">
        <w:rPr>
          <w:rFonts w:ascii="Arial" w:hAnsi="Arial" w:cs="Arial"/>
          <w:sz w:val="22"/>
          <w:szCs w:val="22"/>
          <w:lang w:val="es-ES"/>
        </w:rPr>
        <w:t xml:space="preserve"> </w:t>
      </w:r>
      <w:r>
        <w:rPr>
          <w:rFonts w:ascii="Arial" w:hAnsi="Arial" w:cs="Arial"/>
          <w:sz w:val="22"/>
          <w:szCs w:val="22"/>
          <w:lang w:val="es-ES"/>
        </w:rPr>
        <w:t>En general:</w:t>
      </w:r>
      <w:r w:rsidRPr="001F731F">
        <w:rPr>
          <w:rFonts w:ascii="Arial" w:hAnsi="Arial" w:cs="Arial"/>
          <w:sz w:val="22"/>
          <w:szCs w:val="22"/>
          <w:lang w:val="es-ES_tradnl"/>
        </w:rPr>
        <w:t xml:space="preserve"> Los recursos del programa para apoyar la administración, promoción, monitoreo</w:t>
      </w:r>
      <w:r w:rsidR="00593965">
        <w:rPr>
          <w:rFonts w:ascii="Arial" w:hAnsi="Arial" w:cs="Arial"/>
          <w:sz w:val="22"/>
          <w:szCs w:val="22"/>
          <w:lang w:val="es-ES_tradnl"/>
        </w:rPr>
        <w:t xml:space="preserve"> </w:t>
      </w:r>
      <w:r w:rsidRPr="001F731F">
        <w:rPr>
          <w:rFonts w:ascii="Arial" w:hAnsi="Arial" w:cs="Arial"/>
          <w:sz w:val="22"/>
          <w:szCs w:val="22"/>
          <w:lang w:val="es-ES_tradnl"/>
        </w:rPr>
        <w:t>del programa estarán a cargo de</w:t>
      </w:r>
      <w:r>
        <w:rPr>
          <w:rFonts w:ascii="Arial" w:hAnsi="Arial" w:cs="Arial"/>
          <w:sz w:val="22"/>
          <w:szCs w:val="22"/>
          <w:lang w:val="es-ES_tradnl"/>
        </w:rPr>
        <w:t xml:space="preserve">l Organismo Ejecutor. </w:t>
      </w:r>
      <w:r w:rsidR="00593965">
        <w:rPr>
          <w:rFonts w:ascii="Arial" w:hAnsi="Arial" w:cs="Arial"/>
          <w:sz w:val="22"/>
          <w:szCs w:val="22"/>
          <w:lang w:val="es-ES_tradnl"/>
        </w:rPr>
        <w:t>Las actividades de evaluación se podrán financiar con recursos del OE y del BID.</w:t>
      </w:r>
    </w:p>
    <w:p w14:paraId="03FE8F1D" w14:textId="12DCE406" w:rsidR="00F40584" w:rsidRPr="00F40584" w:rsidRDefault="00F40584" w:rsidP="004B2FDE">
      <w:pPr>
        <w:pStyle w:val="Paragraph"/>
        <w:numPr>
          <w:ilvl w:val="1"/>
          <w:numId w:val="8"/>
        </w:numPr>
        <w:ind w:left="630" w:hanging="630"/>
        <w:rPr>
          <w:rFonts w:ascii="Arial" w:hAnsi="Arial" w:cs="Arial"/>
          <w:sz w:val="22"/>
          <w:szCs w:val="22"/>
          <w:lang w:val="es-ES_tradnl"/>
        </w:rPr>
      </w:pPr>
      <w:r w:rsidRPr="00F40584">
        <w:rPr>
          <w:rFonts w:ascii="Arial" w:hAnsi="Arial" w:cs="Arial"/>
          <w:color w:val="000000"/>
          <w:sz w:val="22"/>
          <w:szCs w:val="22"/>
          <w:lang w:val="es-ES"/>
        </w:rPr>
        <w:t>El presente documente presenta el plan de monitoreo y evaluación del Programa y cuenta con dos secciones, además de esta sección introductoria. La sección</w:t>
      </w:r>
      <w:r>
        <w:rPr>
          <w:rFonts w:ascii="Arial" w:hAnsi="Arial" w:cs="Arial"/>
          <w:color w:val="000000"/>
          <w:sz w:val="22"/>
          <w:szCs w:val="22"/>
          <w:lang w:val="es-ES"/>
        </w:rPr>
        <w:t xml:space="preserve"> II</w:t>
      </w:r>
      <w:r w:rsidRPr="00F40584">
        <w:rPr>
          <w:rFonts w:ascii="Arial" w:hAnsi="Arial" w:cs="Arial"/>
          <w:color w:val="000000"/>
          <w:sz w:val="22"/>
          <w:szCs w:val="22"/>
          <w:lang w:val="es-ES"/>
        </w:rPr>
        <w:t xml:space="preserve"> se refiere al monitoreo del programa, </w:t>
      </w:r>
      <w:r>
        <w:rPr>
          <w:rFonts w:ascii="Arial" w:hAnsi="Arial" w:cs="Arial"/>
          <w:color w:val="000000"/>
          <w:sz w:val="22"/>
          <w:szCs w:val="22"/>
          <w:lang w:val="es-ES"/>
        </w:rPr>
        <w:t>indicando los compromisos de información y reporte necesarios para el seguimiento del mismo</w:t>
      </w:r>
      <w:r w:rsidR="008521B3">
        <w:rPr>
          <w:rFonts w:ascii="Arial" w:hAnsi="Arial" w:cs="Arial"/>
          <w:color w:val="000000"/>
          <w:sz w:val="22"/>
          <w:szCs w:val="22"/>
          <w:lang w:val="es-ES"/>
        </w:rPr>
        <w:t xml:space="preserve"> y los recursos estimados a tales efectos</w:t>
      </w:r>
      <w:r>
        <w:rPr>
          <w:rFonts w:ascii="Arial" w:hAnsi="Arial" w:cs="Arial"/>
          <w:color w:val="000000"/>
          <w:sz w:val="22"/>
          <w:szCs w:val="22"/>
          <w:lang w:val="es-ES"/>
        </w:rPr>
        <w:t xml:space="preserve">. </w:t>
      </w:r>
      <w:r w:rsidRPr="00F40584">
        <w:rPr>
          <w:rFonts w:ascii="Arial" w:hAnsi="Arial" w:cs="Arial"/>
          <w:color w:val="000000"/>
          <w:sz w:val="22"/>
          <w:szCs w:val="22"/>
          <w:lang w:val="es-ES"/>
        </w:rPr>
        <w:t>La sección</w:t>
      </w:r>
      <w:r>
        <w:rPr>
          <w:rFonts w:ascii="Arial" w:hAnsi="Arial" w:cs="Arial"/>
          <w:color w:val="000000"/>
          <w:sz w:val="22"/>
          <w:szCs w:val="22"/>
          <w:lang w:val="es-ES"/>
        </w:rPr>
        <w:t xml:space="preserve"> III</w:t>
      </w:r>
      <w:r w:rsidRPr="00F40584">
        <w:rPr>
          <w:rFonts w:ascii="Arial" w:hAnsi="Arial" w:cs="Arial"/>
          <w:color w:val="000000"/>
          <w:sz w:val="22"/>
          <w:szCs w:val="22"/>
          <w:lang w:val="es-ES"/>
        </w:rPr>
        <w:t xml:space="preserve"> presenta la estrategia de evaluación del Programa</w:t>
      </w:r>
      <w:r w:rsidR="008521B3">
        <w:rPr>
          <w:rFonts w:ascii="Arial" w:hAnsi="Arial" w:cs="Arial"/>
          <w:color w:val="000000"/>
          <w:sz w:val="22"/>
          <w:szCs w:val="22"/>
          <w:lang w:val="es-ES"/>
        </w:rPr>
        <w:t xml:space="preserve"> y el cronograma y presupuesto de la misma</w:t>
      </w:r>
      <w:r w:rsidRPr="00F40584">
        <w:rPr>
          <w:rFonts w:ascii="Arial" w:hAnsi="Arial" w:cs="Arial"/>
          <w:color w:val="000000"/>
          <w:sz w:val="22"/>
          <w:szCs w:val="22"/>
          <w:lang w:val="es-ES"/>
        </w:rPr>
        <w:t xml:space="preserve">. </w:t>
      </w:r>
    </w:p>
    <w:p w14:paraId="0DB06960" w14:textId="77777777" w:rsidR="007116B2" w:rsidRPr="00180D7E" w:rsidRDefault="007116B2" w:rsidP="007116B2">
      <w:pPr>
        <w:pStyle w:val="Chapter"/>
        <w:rPr>
          <w:rFonts w:ascii="Arial" w:hAnsi="Arial" w:cs="Arial"/>
          <w:szCs w:val="24"/>
          <w:lang w:val="es-ES_tradnl"/>
        </w:rPr>
      </w:pPr>
      <w:bookmarkStart w:id="16" w:name="_Toc38625956"/>
      <w:bookmarkStart w:id="17" w:name="_Toc352756752"/>
      <w:r w:rsidRPr="00180D7E">
        <w:rPr>
          <w:rFonts w:ascii="Arial" w:hAnsi="Arial" w:cs="Arial"/>
          <w:szCs w:val="24"/>
          <w:lang w:val="es-ES_tradnl"/>
        </w:rPr>
        <w:t>Monitoreo</w:t>
      </w:r>
      <w:bookmarkEnd w:id="16"/>
    </w:p>
    <w:p w14:paraId="43C747F0" w14:textId="524DF5E5" w:rsidR="007116B2" w:rsidRPr="002B4E9B" w:rsidRDefault="007116B2" w:rsidP="002B4E9B">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El objetivo de esta sección es describir el proceso de seguimiento que se aplicará a lo largo de la ejecución del programa para garantizar su correcto desarrollo y adecuada utilización de los recursos. </w:t>
      </w:r>
      <w:r w:rsidR="00F27BCF">
        <w:rPr>
          <w:rFonts w:ascii="Arial" w:hAnsi="Arial" w:cs="Arial"/>
          <w:sz w:val="22"/>
          <w:szCs w:val="22"/>
          <w:lang w:val="es-ES_tradnl"/>
        </w:rPr>
        <w:t>El OE</w:t>
      </w:r>
      <w:r w:rsidRPr="001F731F">
        <w:rPr>
          <w:rFonts w:ascii="Arial" w:hAnsi="Arial" w:cs="Arial"/>
          <w:sz w:val="22"/>
          <w:szCs w:val="22"/>
          <w:lang w:val="es-ES_tradnl"/>
        </w:rPr>
        <w:t xml:space="preserve"> </w:t>
      </w:r>
      <w:r w:rsidR="002B4E9B">
        <w:rPr>
          <w:rFonts w:ascii="Arial" w:hAnsi="Arial" w:cs="Arial"/>
          <w:sz w:val="22"/>
          <w:szCs w:val="22"/>
          <w:lang w:val="es-ES_tradnl"/>
        </w:rPr>
        <w:t>será Banco Nacional de Panamá (B</w:t>
      </w:r>
      <w:r w:rsidR="00661C8A">
        <w:rPr>
          <w:rFonts w:ascii="Arial" w:hAnsi="Arial" w:cs="Arial"/>
          <w:sz w:val="22"/>
          <w:szCs w:val="22"/>
          <w:lang w:val="es-ES_tradnl"/>
        </w:rPr>
        <w:t>NP</w:t>
      </w:r>
      <w:r w:rsidR="002B4E9B">
        <w:rPr>
          <w:rFonts w:ascii="Arial" w:hAnsi="Arial" w:cs="Arial"/>
          <w:sz w:val="22"/>
          <w:szCs w:val="22"/>
          <w:lang w:val="es-ES_tradnl"/>
        </w:rPr>
        <w:t xml:space="preserve">), quien será </w:t>
      </w:r>
      <w:r w:rsidRPr="002B4E9B">
        <w:rPr>
          <w:rFonts w:ascii="Arial" w:hAnsi="Arial" w:cs="Arial"/>
          <w:sz w:val="22"/>
          <w:szCs w:val="22"/>
          <w:lang w:val="es-ES_tradnl"/>
        </w:rPr>
        <w:t xml:space="preserve">el responsable de realizar el monitoreo del programa. </w:t>
      </w:r>
    </w:p>
    <w:p w14:paraId="4F1FA7A4" w14:textId="77777777" w:rsidR="007116B2" w:rsidRPr="00D4349B" w:rsidRDefault="007116B2" w:rsidP="007116B2">
      <w:pPr>
        <w:pStyle w:val="SecHeading"/>
        <w:tabs>
          <w:tab w:val="clear" w:pos="5400"/>
          <w:tab w:val="num" w:pos="1260"/>
        </w:tabs>
        <w:ind w:hanging="4680"/>
        <w:rPr>
          <w:rFonts w:ascii="Arial" w:hAnsi="Arial" w:cs="Arial"/>
          <w:color w:val="auto"/>
          <w:sz w:val="22"/>
          <w:szCs w:val="22"/>
        </w:rPr>
      </w:pPr>
      <w:bookmarkStart w:id="18" w:name="_Toc352756753"/>
      <w:bookmarkStart w:id="19" w:name="_Toc38625957"/>
      <w:r w:rsidRPr="00D4349B">
        <w:rPr>
          <w:rFonts w:ascii="Arial" w:hAnsi="Arial" w:cs="Arial"/>
          <w:color w:val="auto"/>
          <w:sz w:val="22"/>
          <w:szCs w:val="22"/>
        </w:rPr>
        <w:t>Indicadores</w:t>
      </w:r>
      <w:bookmarkEnd w:id="18"/>
      <w:bookmarkEnd w:id="19"/>
      <w:r w:rsidRPr="00D4349B">
        <w:rPr>
          <w:rFonts w:ascii="Arial" w:hAnsi="Arial" w:cs="Arial"/>
          <w:color w:val="auto"/>
          <w:sz w:val="22"/>
          <w:szCs w:val="22"/>
        </w:rPr>
        <w:t xml:space="preserve"> </w:t>
      </w:r>
    </w:p>
    <w:p w14:paraId="0C6F162C" w14:textId="1B70DF13" w:rsidR="007116B2" w:rsidRPr="00D4349B" w:rsidRDefault="007116B2" w:rsidP="007116B2">
      <w:pPr>
        <w:pStyle w:val="Paragraph"/>
        <w:numPr>
          <w:ilvl w:val="1"/>
          <w:numId w:val="5"/>
        </w:numPr>
        <w:ind w:left="630" w:hanging="630"/>
        <w:rPr>
          <w:rFonts w:ascii="Arial" w:hAnsi="Arial" w:cs="Arial"/>
          <w:sz w:val="22"/>
          <w:szCs w:val="22"/>
          <w:lang w:val="es-ES_tradnl"/>
        </w:rPr>
      </w:pPr>
      <w:r w:rsidRPr="00D4349B">
        <w:rPr>
          <w:rFonts w:ascii="Arial" w:hAnsi="Arial" w:cs="Arial"/>
          <w:sz w:val="22"/>
          <w:szCs w:val="22"/>
          <w:lang w:val="es-ES_tradnl"/>
        </w:rPr>
        <w:t>Los indicadores que serán monitoreados y registrados en el Informe de Seguimiento del Proyecto (PMR</w:t>
      </w:r>
      <w:r w:rsidRPr="00D4349B">
        <w:rPr>
          <w:rFonts w:ascii="Arial" w:hAnsi="Arial" w:cs="Arial"/>
          <w:sz w:val="22"/>
          <w:szCs w:val="22"/>
          <w:vertAlign w:val="superscript"/>
          <w:lang w:val="es-ES_tradnl"/>
        </w:rPr>
        <w:footnoteReference w:id="14"/>
      </w:r>
      <w:r w:rsidRPr="00D4349B">
        <w:rPr>
          <w:rFonts w:ascii="Arial" w:hAnsi="Arial" w:cs="Arial"/>
          <w:sz w:val="22"/>
          <w:szCs w:val="22"/>
          <w:lang w:val="es-ES_tradnl"/>
        </w:rPr>
        <w:t>) se encuentran descritos en la Matriz de Resultados del Programa</w:t>
      </w:r>
      <w:r w:rsidRPr="00D4349B">
        <w:rPr>
          <w:rFonts w:ascii="Arial" w:hAnsi="Arial" w:cs="Arial"/>
          <w:sz w:val="22"/>
          <w:szCs w:val="22"/>
          <w:vertAlign w:val="superscript"/>
          <w:lang w:val="es-ES_tradnl"/>
        </w:rPr>
        <w:footnoteReference w:id="15"/>
      </w:r>
      <w:r w:rsidRPr="00D4349B">
        <w:rPr>
          <w:rFonts w:ascii="Arial" w:hAnsi="Arial" w:cs="Arial"/>
          <w:sz w:val="22"/>
          <w:szCs w:val="22"/>
          <w:lang w:val="es-ES_tradnl"/>
        </w:rPr>
        <w:t xml:space="preserve"> acordada con el OE.</w:t>
      </w:r>
    </w:p>
    <w:p w14:paraId="7AD85CBB" w14:textId="5BAF7601" w:rsidR="005B06A8" w:rsidRDefault="007116B2" w:rsidP="009347F1">
      <w:pPr>
        <w:pStyle w:val="Paragraph"/>
        <w:numPr>
          <w:ilvl w:val="0"/>
          <w:numId w:val="0"/>
        </w:numPr>
        <w:spacing w:after="160" w:line="259" w:lineRule="auto"/>
        <w:ind w:left="630"/>
        <w:rPr>
          <w:rFonts w:ascii="Arial" w:hAnsi="Arial" w:cs="Arial"/>
          <w:lang w:val="es-ES_tradnl"/>
        </w:rPr>
      </w:pPr>
      <w:r w:rsidRPr="009347F1">
        <w:rPr>
          <w:rFonts w:ascii="Arial" w:hAnsi="Arial" w:cs="Arial"/>
          <w:sz w:val="22"/>
          <w:szCs w:val="22"/>
          <w:lang w:val="es-ES_tradnl"/>
        </w:rPr>
        <w:t>El monitoreo tendrá una frecuencia semestral y será actualizado en el Informe de Monitoreo y en el PMR del Programa. El Cuadro 1 muestra los indicadores que recibirán seguimiento y la frecuencia de medición.</w:t>
      </w:r>
      <w:r w:rsidR="00F27BCF" w:rsidRPr="009347F1">
        <w:rPr>
          <w:rFonts w:ascii="Arial" w:hAnsi="Arial" w:cs="Arial"/>
          <w:sz w:val="22"/>
          <w:szCs w:val="22"/>
          <w:lang w:val="es-ES_tradnl"/>
        </w:rPr>
        <w:t xml:space="preserve"> </w:t>
      </w:r>
    </w:p>
    <w:p w14:paraId="0C69302A" w14:textId="77777777" w:rsidR="0034570F" w:rsidRPr="00180D7E" w:rsidRDefault="0034570F" w:rsidP="007116B2">
      <w:pPr>
        <w:pStyle w:val="Default"/>
        <w:spacing w:before="120" w:after="120"/>
        <w:jc w:val="center"/>
        <w:rPr>
          <w:rFonts w:ascii="Arial" w:hAnsi="Arial" w:cs="Arial"/>
          <w:b/>
          <w:color w:val="auto"/>
          <w:sz w:val="18"/>
          <w:szCs w:val="18"/>
          <w:highlight w:val="yellow"/>
          <w:lang w:val="es-ES_tradnl"/>
        </w:rPr>
      </w:pPr>
    </w:p>
    <w:p w14:paraId="3188569A" w14:textId="77777777" w:rsidR="00491302" w:rsidRPr="00180D7E" w:rsidRDefault="00491302" w:rsidP="00491302">
      <w:pPr>
        <w:pStyle w:val="Default"/>
        <w:spacing w:before="120" w:after="120"/>
        <w:jc w:val="center"/>
        <w:rPr>
          <w:rFonts w:ascii="Arial" w:hAnsi="Arial" w:cs="Arial"/>
          <w:b/>
          <w:color w:val="auto"/>
          <w:sz w:val="18"/>
          <w:szCs w:val="18"/>
          <w:lang w:val="es-ES_tradnl"/>
        </w:rPr>
      </w:pPr>
      <w:r w:rsidRPr="00180D7E">
        <w:rPr>
          <w:rFonts w:ascii="Arial" w:hAnsi="Arial" w:cs="Arial"/>
          <w:b/>
          <w:color w:val="auto"/>
          <w:sz w:val="18"/>
          <w:szCs w:val="18"/>
          <w:lang w:val="es-ES_tradnl"/>
        </w:rPr>
        <w:t>Cuadro 1. Indicadores de Monitoreo</w:t>
      </w:r>
    </w:p>
    <w:tbl>
      <w:tblPr>
        <w:tblW w:w="8813" w:type="dxa"/>
        <w:jc w:val="right"/>
        <w:tblCellMar>
          <w:left w:w="70" w:type="dxa"/>
          <w:right w:w="70" w:type="dxa"/>
        </w:tblCellMar>
        <w:tblLook w:val="04A0" w:firstRow="1" w:lastRow="0" w:firstColumn="1" w:lastColumn="0" w:noHBand="0" w:noVBand="1"/>
      </w:tblPr>
      <w:tblGrid>
        <w:gridCol w:w="2094"/>
        <w:gridCol w:w="1552"/>
        <w:gridCol w:w="1542"/>
        <w:gridCol w:w="3625"/>
      </w:tblGrid>
      <w:tr w:rsidR="00F56C15" w:rsidRPr="007E69D8" w14:paraId="59499505" w14:textId="77777777" w:rsidTr="007226F4">
        <w:trPr>
          <w:trHeight w:val="734"/>
          <w:tblHeader/>
          <w:jc w:val="right"/>
        </w:trPr>
        <w:tc>
          <w:tcPr>
            <w:tcW w:w="209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289C9C3" w14:textId="77777777" w:rsidR="00F56C15" w:rsidRPr="00180D7E" w:rsidRDefault="00F56C15" w:rsidP="00EE19F3">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Indicador</w:t>
            </w:r>
          </w:p>
        </w:tc>
        <w:tc>
          <w:tcPr>
            <w:tcW w:w="155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B0E12E2" w14:textId="77777777" w:rsidR="00F56C15" w:rsidRPr="00180D7E" w:rsidRDefault="00F56C15" w:rsidP="00EE19F3">
            <w:pPr>
              <w:spacing w:after="0" w:line="240" w:lineRule="auto"/>
              <w:jc w:val="center"/>
              <w:rPr>
                <w:rFonts w:ascii="Arial" w:eastAsia="Times New Roman" w:hAnsi="Arial" w:cs="Arial"/>
                <w:b/>
                <w:color w:val="000000"/>
                <w:sz w:val="18"/>
                <w:szCs w:val="18"/>
                <w:lang w:val="es-ES_tradnl" w:eastAsia="es-ES"/>
              </w:rPr>
            </w:pPr>
            <w:r w:rsidRPr="00180D7E">
              <w:rPr>
                <w:rFonts w:ascii="Arial" w:eastAsia="Times New Roman" w:hAnsi="Arial" w:cs="Arial"/>
                <w:b/>
                <w:color w:val="000000"/>
                <w:sz w:val="18"/>
                <w:szCs w:val="18"/>
                <w:lang w:val="es-ES_tradnl" w:eastAsia="es-ES"/>
              </w:rPr>
              <w:t>Unidad de Medida</w:t>
            </w:r>
          </w:p>
        </w:tc>
        <w:tc>
          <w:tcPr>
            <w:tcW w:w="154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5F74829" w14:textId="77777777" w:rsidR="00F56C15" w:rsidRPr="00180D7E" w:rsidRDefault="00F56C15" w:rsidP="00EE19F3">
            <w:pPr>
              <w:spacing w:after="0" w:line="240" w:lineRule="auto"/>
              <w:jc w:val="center"/>
              <w:rPr>
                <w:rFonts w:ascii="Arial" w:eastAsia="Times New Roman" w:hAnsi="Arial" w:cs="Arial"/>
                <w:b/>
                <w:color w:val="000000"/>
                <w:sz w:val="18"/>
                <w:szCs w:val="18"/>
                <w:lang w:val="es-ES_tradnl" w:eastAsia="es-ES"/>
              </w:rPr>
            </w:pPr>
            <w:r w:rsidRPr="00180D7E">
              <w:rPr>
                <w:rFonts w:ascii="Arial" w:eastAsia="Times New Roman" w:hAnsi="Arial" w:cs="Arial"/>
                <w:b/>
                <w:color w:val="000000"/>
                <w:sz w:val="18"/>
                <w:szCs w:val="18"/>
                <w:lang w:val="es-ES_tradnl" w:eastAsia="es-ES"/>
              </w:rPr>
              <w:t>Medio de Verificación</w:t>
            </w:r>
          </w:p>
        </w:tc>
        <w:tc>
          <w:tcPr>
            <w:tcW w:w="362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A98217E" w14:textId="77777777" w:rsidR="00F56C15" w:rsidRPr="00180D7E" w:rsidRDefault="00F56C15" w:rsidP="00EE19F3">
            <w:pPr>
              <w:spacing w:after="0" w:line="240" w:lineRule="auto"/>
              <w:jc w:val="center"/>
              <w:rPr>
                <w:rFonts w:ascii="Arial" w:eastAsia="Times New Roman" w:hAnsi="Arial" w:cs="Arial"/>
                <w:b/>
                <w:color w:val="000000"/>
                <w:sz w:val="18"/>
                <w:szCs w:val="18"/>
                <w:lang w:val="es-ES_tradnl" w:eastAsia="es-ES"/>
              </w:rPr>
            </w:pPr>
            <w:r w:rsidRPr="00180D7E">
              <w:rPr>
                <w:rFonts w:ascii="Arial" w:eastAsia="Times New Roman" w:hAnsi="Arial" w:cs="Arial"/>
                <w:b/>
                <w:color w:val="000000"/>
                <w:sz w:val="18"/>
                <w:szCs w:val="18"/>
                <w:lang w:val="es-ES_tradnl" w:eastAsia="es-ES"/>
              </w:rPr>
              <w:t>Comentarios</w:t>
            </w:r>
          </w:p>
        </w:tc>
      </w:tr>
      <w:tr w:rsidR="00F56C15" w:rsidRPr="007E69D8" w14:paraId="0F7EEF15" w14:textId="77777777" w:rsidTr="007226F4">
        <w:trPr>
          <w:trHeight w:val="320"/>
          <w:jc w:val="right"/>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76E6CE22" w14:textId="77777777" w:rsidR="00F56C15" w:rsidRPr="007E69D8" w:rsidRDefault="00F56C15" w:rsidP="00EE19F3">
            <w:pPr>
              <w:spacing w:after="0" w:line="240" w:lineRule="auto"/>
              <w:jc w:val="center"/>
              <w:rPr>
                <w:rFonts w:ascii="Arial" w:eastAsia="Times New Roman" w:hAnsi="Arial" w:cs="Arial"/>
                <w:b/>
                <w:bCs/>
                <w:color w:val="000000"/>
                <w:sz w:val="18"/>
                <w:szCs w:val="18"/>
                <w:lang w:val="es-ES_tradnl" w:eastAsia="es-ES"/>
              </w:rPr>
            </w:pPr>
            <w:r w:rsidRPr="007E69D8">
              <w:rPr>
                <w:rFonts w:ascii="Arial" w:eastAsia="Times New Roman" w:hAnsi="Arial" w:cs="Arial"/>
                <w:b/>
                <w:bCs/>
                <w:color w:val="000000"/>
                <w:sz w:val="18"/>
                <w:szCs w:val="18"/>
                <w:lang w:val="es-ES_tradnl" w:eastAsia="es-ES"/>
              </w:rPr>
              <w:t>Indicadores de Impacto</w:t>
            </w:r>
          </w:p>
        </w:tc>
      </w:tr>
      <w:tr w:rsidR="00E74C64" w:rsidRPr="002056DF" w14:paraId="7C815557" w14:textId="77777777" w:rsidTr="007226F4">
        <w:trPr>
          <w:trHeight w:val="320"/>
          <w:jc w:val="right"/>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hideMark/>
          </w:tcPr>
          <w:p w14:paraId="13A6AE81" w14:textId="731FA4E7" w:rsidR="00E74C64" w:rsidRPr="007E69D8" w:rsidRDefault="00E74C64" w:rsidP="00E74C64">
            <w:pPr>
              <w:spacing w:after="0" w:line="240" w:lineRule="auto"/>
              <w:jc w:val="both"/>
              <w:rPr>
                <w:rFonts w:ascii="Arial" w:eastAsia="Times New Roman" w:hAnsi="Arial" w:cs="Arial"/>
                <w:b/>
                <w:bCs/>
                <w:color w:val="000000"/>
                <w:sz w:val="18"/>
                <w:szCs w:val="18"/>
                <w:u w:val="single"/>
                <w:lang w:val="es-ES_tradnl" w:eastAsia="es-ES"/>
              </w:rPr>
            </w:pPr>
            <w:r w:rsidRPr="42CD9B99">
              <w:rPr>
                <w:rFonts w:ascii="Arial" w:hAnsi="Arial" w:cs="Arial"/>
                <w:b/>
                <w:bCs/>
                <w:sz w:val="18"/>
                <w:szCs w:val="18"/>
                <w:u w:val="single"/>
                <w:lang w:val="es-ES" w:eastAsia="zh-CN"/>
              </w:rPr>
              <w:t>Objetivo específico 1: Apoyar la sostenibilidad financiera de corto plazo de las MIPYME</w:t>
            </w:r>
            <w:r>
              <w:rPr>
                <w:rFonts w:ascii="Arial" w:hAnsi="Arial" w:cs="Arial"/>
                <w:b/>
                <w:bCs/>
                <w:sz w:val="18"/>
                <w:szCs w:val="18"/>
                <w:u w:val="single"/>
                <w:lang w:val="es-ES" w:eastAsia="zh-CN"/>
              </w:rPr>
              <w:t xml:space="preserve"> </w:t>
            </w:r>
          </w:p>
        </w:tc>
      </w:tr>
      <w:tr w:rsidR="00143185" w:rsidRPr="002056DF" w14:paraId="5979C5D7" w14:textId="77777777" w:rsidTr="007226F4">
        <w:trPr>
          <w:trHeight w:val="1320"/>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64284489" w14:textId="77777777" w:rsidR="00143185" w:rsidRDefault="00143185" w:rsidP="00143185">
            <w:pPr>
              <w:pStyle w:val="ListParagraph"/>
              <w:spacing w:after="120"/>
              <w:ind w:left="0"/>
              <w:rPr>
                <w:rFonts w:ascii="Arial" w:hAnsi="Arial" w:cs="Arial"/>
                <w:b/>
                <w:sz w:val="18"/>
                <w:szCs w:val="18"/>
                <w:lang w:val="es-ES"/>
              </w:rPr>
            </w:pPr>
            <w:r>
              <w:rPr>
                <w:rFonts w:ascii="Arial" w:hAnsi="Arial" w:cs="Arial"/>
                <w:b/>
                <w:sz w:val="18"/>
                <w:szCs w:val="18"/>
                <w:lang w:val="es-ES"/>
              </w:rPr>
              <w:t>Indicador 1:</w:t>
            </w:r>
          </w:p>
          <w:p w14:paraId="08B3D994" w14:textId="77DA1F6C" w:rsidR="00143185" w:rsidRPr="007E69D8" w:rsidRDefault="00143185" w:rsidP="00143185">
            <w:pPr>
              <w:spacing w:after="0" w:line="240" w:lineRule="auto"/>
              <w:rPr>
                <w:rFonts w:ascii="Arial" w:eastAsia="Times New Roman" w:hAnsi="Arial" w:cs="Arial"/>
                <w:b/>
                <w:bCs/>
                <w:color w:val="000000"/>
                <w:sz w:val="18"/>
                <w:szCs w:val="18"/>
                <w:lang w:val="es-ES_tradnl" w:eastAsia="es-ES"/>
              </w:rPr>
            </w:pPr>
            <w:r>
              <w:rPr>
                <w:rFonts w:ascii="Arial" w:hAnsi="Arial" w:cs="Arial"/>
                <w:bCs/>
                <w:sz w:val="18"/>
                <w:szCs w:val="18"/>
                <w:lang w:val="es-ES"/>
              </w:rPr>
              <w:t>Ingreso por ventas en las MIPYME en los sectores apoyados con el programa.</w:t>
            </w:r>
          </w:p>
        </w:tc>
        <w:tc>
          <w:tcPr>
            <w:tcW w:w="1552" w:type="dxa"/>
            <w:tcBorders>
              <w:top w:val="single" w:sz="8" w:space="0" w:color="000000"/>
              <w:left w:val="nil"/>
              <w:bottom w:val="nil"/>
              <w:right w:val="single" w:sz="8" w:space="0" w:color="000000"/>
            </w:tcBorders>
            <w:shd w:val="clear" w:color="auto" w:fill="auto"/>
          </w:tcPr>
          <w:p w14:paraId="76AEB6B0" w14:textId="35479F7E" w:rsidR="00143185" w:rsidRPr="007E69D8" w:rsidRDefault="00143185" w:rsidP="00143185">
            <w:pPr>
              <w:spacing w:after="0" w:line="240" w:lineRule="auto"/>
              <w:jc w:val="center"/>
              <w:rPr>
                <w:rFonts w:ascii="Arial" w:eastAsia="Times New Roman" w:hAnsi="Arial" w:cs="Arial"/>
                <w:color w:val="000000"/>
                <w:sz w:val="18"/>
                <w:szCs w:val="18"/>
                <w:lang w:val="es-ES_tradnl" w:eastAsia="es-ES"/>
              </w:rPr>
            </w:pPr>
            <w:r w:rsidRPr="00ED7ACF">
              <w:rPr>
                <w:rFonts w:ascii="Arial" w:hAnsi="Arial" w:cs="Arial"/>
                <w:sz w:val="18"/>
                <w:szCs w:val="18"/>
                <w:lang w:val="es-ES"/>
              </w:rPr>
              <w:t>US$ miles</w:t>
            </w:r>
          </w:p>
        </w:tc>
        <w:tc>
          <w:tcPr>
            <w:tcW w:w="1542" w:type="dxa"/>
            <w:tcBorders>
              <w:top w:val="single" w:sz="8" w:space="0" w:color="000000"/>
              <w:left w:val="nil"/>
              <w:bottom w:val="nil"/>
              <w:right w:val="single" w:sz="8" w:space="0" w:color="000000"/>
            </w:tcBorders>
            <w:shd w:val="clear" w:color="auto" w:fill="auto"/>
          </w:tcPr>
          <w:p w14:paraId="27A3796C" w14:textId="7DD34F54" w:rsidR="00143185" w:rsidRPr="007E69D8" w:rsidRDefault="00143185" w:rsidP="00143185">
            <w:pPr>
              <w:spacing w:after="0" w:line="240" w:lineRule="auto"/>
              <w:rPr>
                <w:rFonts w:ascii="Arial" w:eastAsia="Times New Roman" w:hAnsi="Arial" w:cs="Arial"/>
                <w:color w:val="000000"/>
                <w:sz w:val="18"/>
                <w:szCs w:val="18"/>
                <w:lang w:val="es-ES_tradnl" w:eastAsia="es-ES"/>
              </w:rPr>
            </w:pPr>
            <w:r w:rsidRPr="00ED7ACF">
              <w:rPr>
                <w:rFonts w:ascii="Arial" w:hAnsi="Arial" w:cs="Arial"/>
                <w:sz w:val="18"/>
                <w:szCs w:val="18"/>
                <w:lang w:val="es-ES"/>
              </w:rPr>
              <w:t>US$ miles</w:t>
            </w:r>
          </w:p>
        </w:tc>
        <w:tc>
          <w:tcPr>
            <w:tcW w:w="3625" w:type="dxa"/>
            <w:tcBorders>
              <w:top w:val="single" w:sz="8" w:space="0" w:color="000000"/>
              <w:left w:val="nil"/>
              <w:bottom w:val="nil"/>
              <w:right w:val="single" w:sz="8" w:space="0" w:color="000000"/>
            </w:tcBorders>
            <w:shd w:val="clear" w:color="auto" w:fill="auto"/>
          </w:tcPr>
          <w:p w14:paraId="2ECF1588" w14:textId="109A4138" w:rsidR="00143185" w:rsidRPr="007E69D8" w:rsidRDefault="00143185" w:rsidP="00143185">
            <w:pPr>
              <w:spacing w:after="0" w:line="240" w:lineRule="auto"/>
              <w:jc w:val="both"/>
              <w:rPr>
                <w:rFonts w:ascii="Arial" w:eastAsia="Times New Roman" w:hAnsi="Arial" w:cs="Arial"/>
                <w:color w:val="000000"/>
                <w:sz w:val="18"/>
                <w:szCs w:val="18"/>
                <w:lang w:val="es-ES_tradnl" w:eastAsia="es-ES"/>
              </w:rPr>
            </w:pPr>
            <w:r>
              <w:rPr>
                <w:rFonts w:ascii="Arial" w:hAnsi="Arial" w:cs="Arial"/>
                <w:sz w:val="18"/>
                <w:szCs w:val="18"/>
                <w:lang w:val="es-ES"/>
              </w:rPr>
              <w:t xml:space="preserve">La línea de base es igual al ingreso promedio ponderado de las MIPYME en Panamá, calculado en base a la información más reciente (2016) del Directorio Estadístico de Empresas y Locales publicado por el INEC. Dado que se espera apoyar, además del sector agrícola a múltiples sectores económicos, la línea de base se calcula sobre el promedio </w:t>
            </w:r>
            <w:r>
              <w:rPr>
                <w:rFonts w:ascii="Arial" w:hAnsi="Arial" w:cs="Arial"/>
                <w:sz w:val="18"/>
                <w:szCs w:val="18"/>
                <w:lang w:val="es-ES"/>
              </w:rPr>
              <w:lastRenderedPageBreak/>
              <w:t>multisectorial. En consistencia con el análisis económico, se espera que para fines del programa las ventas retornen a sus niveles pre-crisis.</w:t>
            </w:r>
          </w:p>
        </w:tc>
      </w:tr>
      <w:tr w:rsidR="00143185" w:rsidRPr="002056DF" w14:paraId="27DD44B0" w14:textId="77777777" w:rsidTr="007226F4">
        <w:trPr>
          <w:trHeight w:val="1320"/>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05F46268" w14:textId="77777777" w:rsidR="00143185" w:rsidRDefault="00143185" w:rsidP="00143185">
            <w:pPr>
              <w:pStyle w:val="ListParagraph"/>
              <w:spacing w:after="120"/>
              <w:ind w:left="0"/>
              <w:rPr>
                <w:rFonts w:ascii="Arial" w:hAnsi="Arial" w:cs="Arial"/>
                <w:b/>
                <w:sz w:val="18"/>
                <w:szCs w:val="18"/>
                <w:lang w:val="es-ES"/>
              </w:rPr>
            </w:pPr>
            <w:r>
              <w:rPr>
                <w:rFonts w:ascii="Arial" w:hAnsi="Arial" w:cs="Arial"/>
                <w:b/>
                <w:sz w:val="18"/>
                <w:szCs w:val="18"/>
                <w:lang w:val="es-ES"/>
              </w:rPr>
              <w:lastRenderedPageBreak/>
              <w:t>Indicador 2:</w:t>
            </w:r>
          </w:p>
          <w:p w14:paraId="16A81B81" w14:textId="0B6FE01D" w:rsidR="00143185" w:rsidRPr="007E69D8" w:rsidRDefault="00143185" w:rsidP="00143185">
            <w:pPr>
              <w:spacing w:after="0" w:line="240" w:lineRule="auto"/>
              <w:rPr>
                <w:rFonts w:ascii="Arial" w:hAnsi="Arial" w:cs="Arial"/>
                <w:sz w:val="18"/>
                <w:szCs w:val="18"/>
                <w:lang w:val="es-ES_tradnl"/>
              </w:rPr>
            </w:pPr>
            <w:r>
              <w:rPr>
                <w:rFonts w:ascii="Arial" w:hAnsi="Arial" w:cs="Arial"/>
                <w:sz w:val="18"/>
                <w:szCs w:val="18"/>
                <w:lang w:val="es-ES"/>
              </w:rPr>
              <w:t>Porcentaje del empleo en los sectores apoyados por el programa sobre el empleo total de MIPYME en el país</w:t>
            </w:r>
            <w:r>
              <w:rPr>
                <w:rFonts w:ascii="Arial" w:hAnsi="Arial" w:cs="Arial"/>
                <w:bCs/>
                <w:sz w:val="18"/>
                <w:szCs w:val="18"/>
                <w:lang w:val="es-ES"/>
              </w:rPr>
              <w:t>.</w:t>
            </w:r>
          </w:p>
        </w:tc>
        <w:tc>
          <w:tcPr>
            <w:tcW w:w="1552" w:type="dxa"/>
            <w:tcBorders>
              <w:top w:val="single" w:sz="8" w:space="0" w:color="000000"/>
              <w:left w:val="nil"/>
              <w:bottom w:val="nil"/>
              <w:right w:val="single" w:sz="8" w:space="0" w:color="000000"/>
            </w:tcBorders>
            <w:shd w:val="clear" w:color="auto" w:fill="auto"/>
          </w:tcPr>
          <w:p w14:paraId="4A33E1D4" w14:textId="17BE6271" w:rsidR="00143185" w:rsidRPr="007E69D8" w:rsidRDefault="00143185" w:rsidP="00143185">
            <w:pPr>
              <w:spacing w:after="0" w:line="240" w:lineRule="auto"/>
              <w:jc w:val="center"/>
              <w:rPr>
                <w:rFonts w:ascii="Arial" w:eastAsia="Times New Roman" w:hAnsi="Arial" w:cs="Arial"/>
                <w:color w:val="000000"/>
                <w:sz w:val="18"/>
                <w:szCs w:val="18"/>
                <w:lang w:val="es-ES_tradnl" w:eastAsia="es-ES"/>
              </w:rPr>
            </w:pPr>
            <w:r w:rsidRPr="00ED7ACF">
              <w:rPr>
                <w:rFonts w:ascii="Arial" w:hAnsi="Arial" w:cs="Arial"/>
                <w:sz w:val="18"/>
                <w:szCs w:val="18"/>
                <w:lang w:val="es-ES"/>
              </w:rPr>
              <w:t>%</w:t>
            </w:r>
          </w:p>
        </w:tc>
        <w:tc>
          <w:tcPr>
            <w:tcW w:w="1542" w:type="dxa"/>
            <w:tcBorders>
              <w:top w:val="single" w:sz="8" w:space="0" w:color="000000"/>
              <w:left w:val="nil"/>
              <w:bottom w:val="nil"/>
              <w:right w:val="single" w:sz="8" w:space="0" w:color="000000"/>
            </w:tcBorders>
            <w:shd w:val="clear" w:color="auto" w:fill="auto"/>
          </w:tcPr>
          <w:p w14:paraId="436B642C" w14:textId="2E975841" w:rsidR="00143185" w:rsidRPr="007E69D8" w:rsidRDefault="00143185" w:rsidP="00143185">
            <w:pPr>
              <w:spacing w:after="0" w:line="240" w:lineRule="auto"/>
              <w:rPr>
                <w:rFonts w:ascii="Arial" w:eastAsia="Times New Roman" w:hAnsi="Arial" w:cs="Arial"/>
                <w:color w:val="000000"/>
                <w:sz w:val="18"/>
                <w:szCs w:val="18"/>
                <w:lang w:val="es-ES_tradnl" w:eastAsia="es-ES"/>
              </w:rPr>
            </w:pPr>
            <w:r w:rsidRPr="00ED7ACF">
              <w:rPr>
                <w:rFonts w:ascii="Arial" w:hAnsi="Arial" w:cs="Arial"/>
                <w:sz w:val="18"/>
                <w:szCs w:val="18"/>
                <w:lang w:val="es-ES"/>
              </w:rPr>
              <w:t>%</w:t>
            </w:r>
          </w:p>
        </w:tc>
        <w:tc>
          <w:tcPr>
            <w:tcW w:w="3625" w:type="dxa"/>
            <w:tcBorders>
              <w:top w:val="single" w:sz="8" w:space="0" w:color="000000"/>
              <w:left w:val="nil"/>
              <w:bottom w:val="nil"/>
              <w:right w:val="single" w:sz="8" w:space="0" w:color="000000"/>
            </w:tcBorders>
            <w:shd w:val="clear" w:color="auto" w:fill="auto"/>
          </w:tcPr>
          <w:p w14:paraId="09EEC3E1" w14:textId="60B459F9" w:rsidR="00143185" w:rsidRPr="007E69D8" w:rsidRDefault="00143185" w:rsidP="00143185">
            <w:pPr>
              <w:spacing w:after="0" w:line="240" w:lineRule="auto"/>
              <w:jc w:val="both"/>
              <w:rPr>
                <w:rFonts w:ascii="Arial" w:hAnsi="Arial" w:cs="Arial"/>
                <w:sz w:val="18"/>
                <w:szCs w:val="18"/>
                <w:lang w:val="es-ES_tradnl"/>
              </w:rPr>
            </w:pPr>
            <w:r>
              <w:rPr>
                <w:rFonts w:ascii="Arial" w:hAnsi="Arial" w:cs="Arial"/>
                <w:sz w:val="18"/>
                <w:szCs w:val="18"/>
                <w:lang w:val="es-ES"/>
              </w:rPr>
              <w:t xml:space="preserve"> La línea de base, con datos del 2016, corresponde al porcentaje del empleo del país aportado por las MIPYME para todos los </w:t>
            </w:r>
            <w:r w:rsidR="00B437B3">
              <w:rPr>
                <w:rFonts w:ascii="Arial" w:hAnsi="Arial" w:cs="Arial"/>
                <w:sz w:val="18"/>
                <w:szCs w:val="18"/>
                <w:lang w:val="es-ES"/>
              </w:rPr>
              <w:t>sectores.</w:t>
            </w:r>
            <w:r>
              <w:rPr>
                <w:rFonts w:ascii="Arial" w:hAnsi="Arial" w:cs="Arial"/>
                <w:sz w:val="18"/>
                <w:szCs w:val="18"/>
                <w:lang w:val="es-ES"/>
              </w:rPr>
              <w:t xml:space="preserve"> Dado que se espera apoyar, además del sector agrícola a múltiples sectores económicos, la línea de base se calcula sobre el promedio multisectorial. Es de esperar que para fines del programa este porcentaje vuelva a su nivel pre-crisis.</w:t>
            </w:r>
          </w:p>
        </w:tc>
      </w:tr>
      <w:tr w:rsidR="00BD3298" w:rsidRPr="007E69D8" w14:paraId="4FE05008" w14:textId="77777777" w:rsidTr="007226F4">
        <w:trPr>
          <w:trHeight w:val="320"/>
          <w:jc w:val="right"/>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2FA7B53A" w14:textId="77777777" w:rsidR="00BD3298" w:rsidRPr="007E69D8" w:rsidRDefault="00BD3298" w:rsidP="00BD3298">
            <w:pPr>
              <w:spacing w:after="0" w:line="240" w:lineRule="auto"/>
              <w:jc w:val="center"/>
              <w:rPr>
                <w:rFonts w:ascii="Arial" w:eastAsia="Times New Roman" w:hAnsi="Arial" w:cs="Arial"/>
                <w:b/>
                <w:bCs/>
                <w:color w:val="000000"/>
                <w:sz w:val="18"/>
                <w:szCs w:val="18"/>
                <w:lang w:val="es-ES_tradnl" w:eastAsia="es-ES"/>
              </w:rPr>
            </w:pPr>
            <w:r w:rsidRPr="007E69D8">
              <w:rPr>
                <w:rFonts w:ascii="Arial" w:eastAsia="Times New Roman" w:hAnsi="Arial" w:cs="Arial"/>
                <w:b/>
                <w:bCs/>
                <w:color w:val="000000"/>
                <w:sz w:val="18"/>
                <w:szCs w:val="18"/>
                <w:lang w:val="es-ES_tradnl" w:eastAsia="es-ES"/>
              </w:rPr>
              <w:t>Indicadores de Resultado</w:t>
            </w:r>
          </w:p>
        </w:tc>
      </w:tr>
      <w:tr w:rsidR="00EA06F5" w:rsidRPr="002056DF" w14:paraId="05F2EBCE" w14:textId="77777777" w:rsidTr="007226F4">
        <w:trPr>
          <w:trHeight w:val="320"/>
          <w:jc w:val="right"/>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hideMark/>
          </w:tcPr>
          <w:p w14:paraId="6B6B1433" w14:textId="123C2C77" w:rsidR="00EA06F5" w:rsidRPr="007E69D8" w:rsidRDefault="00EA06F5" w:rsidP="00EA06F5">
            <w:pPr>
              <w:spacing w:after="0" w:line="240" w:lineRule="auto"/>
              <w:jc w:val="both"/>
              <w:rPr>
                <w:rFonts w:ascii="Arial" w:eastAsia="Times New Roman" w:hAnsi="Arial" w:cs="Arial"/>
                <w:b/>
                <w:bCs/>
                <w:color w:val="000000"/>
                <w:sz w:val="18"/>
                <w:szCs w:val="18"/>
                <w:u w:val="single"/>
                <w:lang w:val="es-ES_tradnl" w:eastAsia="es-ES"/>
              </w:rPr>
            </w:pPr>
            <w:r w:rsidRPr="42CD9B99">
              <w:rPr>
                <w:rFonts w:ascii="Arial" w:hAnsi="Arial" w:cs="Arial"/>
                <w:b/>
                <w:bCs/>
                <w:sz w:val="18"/>
                <w:szCs w:val="18"/>
                <w:u w:val="single"/>
                <w:lang w:val="es-ES" w:eastAsia="zh-CN"/>
              </w:rPr>
              <w:t>Objetivo específico 1: Apoyar la sostenibilidad financiera de corto plazo de las MIPYME</w:t>
            </w:r>
            <w:r>
              <w:rPr>
                <w:rFonts w:ascii="Arial" w:hAnsi="Arial" w:cs="Arial"/>
                <w:b/>
                <w:bCs/>
                <w:sz w:val="18"/>
                <w:szCs w:val="18"/>
                <w:u w:val="single"/>
                <w:lang w:val="es-ES" w:eastAsia="zh-CN"/>
              </w:rPr>
              <w:t xml:space="preserve"> </w:t>
            </w:r>
          </w:p>
        </w:tc>
      </w:tr>
      <w:tr w:rsidR="004F6B77" w:rsidRPr="002056DF" w14:paraId="22B1AB98" w14:textId="77777777" w:rsidTr="007226F4">
        <w:trPr>
          <w:trHeight w:val="1760"/>
          <w:jc w:val="right"/>
        </w:trPr>
        <w:tc>
          <w:tcPr>
            <w:tcW w:w="2094" w:type="dxa"/>
            <w:tcBorders>
              <w:top w:val="nil"/>
              <w:left w:val="single" w:sz="8" w:space="0" w:color="000000"/>
              <w:bottom w:val="single" w:sz="8" w:space="0" w:color="000000"/>
              <w:right w:val="single" w:sz="8" w:space="0" w:color="000000"/>
            </w:tcBorders>
            <w:shd w:val="clear" w:color="auto" w:fill="auto"/>
            <w:vAlign w:val="center"/>
          </w:tcPr>
          <w:p w14:paraId="534CFA4D" w14:textId="6028B26F" w:rsidR="004F6B77" w:rsidRPr="007E69D8" w:rsidRDefault="004F6B77" w:rsidP="004F6B77">
            <w:pPr>
              <w:spacing w:after="0" w:line="240" w:lineRule="auto"/>
              <w:rPr>
                <w:rFonts w:ascii="Arial" w:eastAsia="Times New Roman" w:hAnsi="Arial" w:cs="Arial"/>
                <w:b/>
                <w:bCs/>
                <w:color w:val="000000"/>
                <w:sz w:val="18"/>
                <w:szCs w:val="18"/>
                <w:lang w:val="es-ES_tradnl" w:eastAsia="es-ES"/>
              </w:rPr>
            </w:pPr>
            <w:r w:rsidRPr="42CD9B99">
              <w:rPr>
                <w:rFonts w:ascii="Arial" w:hAnsi="Arial" w:cs="Arial"/>
                <w:b/>
                <w:bCs/>
                <w:sz w:val="18"/>
                <w:szCs w:val="18"/>
                <w:lang w:val="es-ES"/>
              </w:rPr>
              <w:t xml:space="preserve">Indicador 1 </w:t>
            </w:r>
            <w:r w:rsidRPr="005B6FA9">
              <w:rPr>
                <w:rFonts w:ascii="Arial" w:hAnsi="Arial" w:cs="Arial"/>
                <w:sz w:val="18"/>
                <w:szCs w:val="18"/>
                <w:lang w:val="es-ES"/>
              </w:rPr>
              <w:t>Tasa de mora relativa, a los 6</w:t>
            </w:r>
            <w:r w:rsidR="00257340">
              <w:rPr>
                <w:rFonts w:ascii="Arial" w:hAnsi="Arial" w:cs="Arial"/>
                <w:sz w:val="18"/>
                <w:szCs w:val="18"/>
                <w:lang w:val="es-ES"/>
              </w:rPr>
              <w:t> </w:t>
            </w:r>
            <w:r w:rsidRPr="005B6FA9">
              <w:rPr>
                <w:rFonts w:ascii="Arial" w:hAnsi="Arial" w:cs="Arial"/>
                <w:sz w:val="18"/>
                <w:szCs w:val="18"/>
                <w:lang w:val="es-ES"/>
              </w:rPr>
              <w:t xml:space="preserve">meses de comenzar el programa, en la cartera relevante de financiamiento de capital de trabajo colocada través de IFI frente a la tasa de mora de créditos a </w:t>
            </w:r>
            <w:r>
              <w:rPr>
                <w:rFonts w:ascii="Arial" w:hAnsi="Arial" w:cs="Arial"/>
                <w:sz w:val="18"/>
                <w:szCs w:val="18"/>
                <w:lang w:val="es-ES"/>
              </w:rPr>
              <w:t>microempresas</w:t>
            </w:r>
            <w:r w:rsidRPr="005B6FA9">
              <w:rPr>
                <w:rFonts w:ascii="Arial" w:hAnsi="Arial" w:cs="Arial"/>
                <w:sz w:val="18"/>
                <w:szCs w:val="18"/>
                <w:lang w:val="es-ES"/>
              </w:rPr>
              <w:t xml:space="preserve"> del sistema bancario nacional.</w:t>
            </w:r>
          </w:p>
        </w:tc>
        <w:tc>
          <w:tcPr>
            <w:tcW w:w="1552" w:type="dxa"/>
            <w:tcBorders>
              <w:top w:val="nil"/>
              <w:left w:val="nil"/>
              <w:bottom w:val="single" w:sz="8" w:space="0" w:color="000000"/>
              <w:right w:val="single" w:sz="8" w:space="0" w:color="000000"/>
            </w:tcBorders>
            <w:shd w:val="clear" w:color="auto" w:fill="auto"/>
            <w:vAlign w:val="center"/>
          </w:tcPr>
          <w:p w14:paraId="4B2B4C37" w14:textId="77777777" w:rsidR="004F6B77" w:rsidRPr="002E0ACF" w:rsidRDefault="004F6B77" w:rsidP="004F6B77">
            <w:pPr>
              <w:spacing w:after="0" w:line="240" w:lineRule="auto"/>
              <w:jc w:val="center"/>
              <w:rPr>
                <w:rFonts w:ascii="Arial" w:eastAsia="Times New Roman" w:hAnsi="Arial" w:cs="Arial"/>
                <w:color w:val="000000"/>
                <w:sz w:val="18"/>
                <w:szCs w:val="18"/>
                <w:lang w:val="es-ES_tradnl" w:eastAsia="es-ES"/>
              </w:rPr>
            </w:pPr>
            <w:r w:rsidRPr="002E0ACF">
              <w:rPr>
                <w:rFonts w:ascii="Arial" w:hAnsi="Arial" w:cs="Arial"/>
                <w:sz w:val="18"/>
                <w:szCs w:val="18"/>
                <w:lang w:val="es-ES_tradnl"/>
              </w:rPr>
              <w:t>%</w:t>
            </w:r>
          </w:p>
        </w:tc>
        <w:tc>
          <w:tcPr>
            <w:tcW w:w="1542" w:type="dxa"/>
            <w:tcBorders>
              <w:top w:val="nil"/>
              <w:left w:val="nil"/>
              <w:bottom w:val="single" w:sz="8" w:space="0" w:color="000000"/>
              <w:right w:val="single" w:sz="8" w:space="0" w:color="000000"/>
            </w:tcBorders>
            <w:shd w:val="clear" w:color="auto" w:fill="auto"/>
            <w:vAlign w:val="center"/>
          </w:tcPr>
          <w:p w14:paraId="5717B791" w14:textId="4AEF4236" w:rsidR="004F6B77" w:rsidRPr="002E0ACF" w:rsidRDefault="004F6B77" w:rsidP="004F6B77">
            <w:pPr>
              <w:spacing w:after="0" w:line="240" w:lineRule="auto"/>
              <w:rPr>
                <w:rFonts w:ascii="Arial" w:eastAsia="Times New Roman" w:hAnsi="Arial" w:cs="Arial"/>
                <w:color w:val="000000"/>
                <w:sz w:val="18"/>
                <w:szCs w:val="18"/>
                <w:lang w:val="es-ES_tradnl" w:eastAsia="es-ES"/>
              </w:rPr>
            </w:pPr>
            <w:r w:rsidRPr="002E0ACF">
              <w:rPr>
                <w:rFonts w:ascii="Arial" w:eastAsia="Times New Roman" w:hAnsi="Arial" w:cs="Arial"/>
                <w:color w:val="000000"/>
                <w:sz w:val="18"/>
                <w:szCs w:val="18"/>
                <w:lang w:val="es-ES_tradnl" w:eastAsia="es-ES"/>
              </w:rPr>
              <w:t>Información de seguimiento y monitoreo del programa recolectada por B</w:t>
            </w:r>
            <w:r w:rsidR="00661C8A" w:rsidRPr="002E0ACF">
              <w:rPr>
                <w:rFonts w:ascii="Arial" w:eastAsia="Times New Roman" w:hAnsi="Arial" w:cs="Arial"/>
                <w:color w:val="000000"/>
                <w:sz w:val="18"/>
                <w:szCs w:val="18"/>
                <w:lang w:val="es-ES_tradnl" w:eastAsia="es-ES"/>
              </w:rPr>
              <w:t>NP</w:t>
            </w:r>
            <w:r w:rsidR="009F6E4F" w:rsidRPr="002E0ACF">
              <w:rPr>
                <w:rFonts w:ascii="Arial" w:eastAsia="Times New Roman" w:hAnsi="Arial" w:cs="Arial"/>
                <w:color w:val="000000"/>
                <w:sz w:val="18"/>
                <w:szCs w:val="18"/>
                <w:lang w:val="es-ES_tradnl" w:eastAsia="es-ES"/>
              </w:rPr>
              <w:t xml:space="preserve"> y reportes financieros </w:t>
            </w:r>
            <w:r w:rsidR="00691A1D" w:rsidRPr="002E0ACF">
              <w:rPr>
                <w:rFonts w:ascii="Arial" w:eastAsia="Times New Roman" w:hAnsi="Arial" w:cs="Arial"/>
                <w:color w:val="000000"/>
                <w:sz w:val="18"/>
                <w:szCs w:val="18"/>
                <w:lang w:val="es-ES_tradnl" w:eastAsia="es-ES"/>
              </w:rPr>
              <w:t>de la Superintendencia de Bancos de Panamá.</w:t>
            </w:r>
          </w:p>
        </w:tc>
        <w:tc>
          <w:tcPr>
            <w:tcW w:w="3625" w:type="dxa"/>
            <w:tcBorders>
              <w:top w:val="nil"/>
              <w:left w:val="nil"/>
              <w:bottom w:val="single" w:sz="8" w:space="0" w:color="000000"/>
              <w:right w:val="single" w:sz="8" w:space="0" w:color="000000"/>
            </w:tcBorders>
            <w:shd w:val="clear" w:color="auto" w:fill="auto"/>
            <w:vAlign w:val="center"/>
          </w:tcPr>
          <w:p w14:paraId="098E7483" w14:textId="6DAA0D86" w:rsidR="004F6B77" w:rsidRDefault="004F6B77" w:rsidP="004F6B77">
            <w:pPr>
              <w:spacing w:before="20" w:after="120" w:line="240" w:lineRule="auto"/>
              <w:jc w:val="both"/>
              <w:rPr>
                <w:rFonts w:ascii="Arial" w:hAnsi="Arial" w:cs="Arial"/>
                <w:sz w:val="18"/>
                <w:szCs w:val="18"/>
                <w:lang w:val="es-ES"/>
              </w:rPr>
            </w:pPr>
            <w:r w:rsidRPr="000A4898">
              <w:rPr>
                <w:rFonts w:ascii="Arial" w:hAnsi="Arial" w:cs="Arial"/>
                <w:sz w:val="18"/>
                <w:szCs w:val="18"/>
                <w:lang w:val="es-ES"/>
              </w:rPr>
              <w:t>La línea de base se calculó de la siguiente manera: El numerador corresponde a la tasa de cartera vencida de las microfinancieras pertenecientes a</w:t>
            </w:r>
            <w:r>
              <w:rPr>
                <w:rFonts w:ascii="Arial" w:hAnsi="Arial" w:cs="Arial"/>
                <w:sz w:val="18"/>
                <w:szCs w:val="18"/>
                <w:lang w:val="es-ES"/>
              </w:rPr>
              <w:t xml:space="preserve"> la Red Panameña de Microfinanzas (</w:t>
            </w:r>
            <w:r w:rsidR="00B437B3" w:rsidRPr="000A4898">
              <w:rPr>
                <w:rFonts w:ascii="Arial" w:hAnsi="Arial" w:cs="Arial"/>
                <w:sz w:val="18"/>
                <w:szCs w:val="18"/>
                <w:lang w:val="es-ES"/>
              </w:rPr>
              <w:t>REDPAMIF</w:t>
            </w:r>
            <w:r w:rsidR="00B437B3">
              <w:rPr>
                <w:rFonts w:ascii="Arial" w:hAnsi="Arial" w:cs="Arial"/>
                <w:sz w:val="18"/>
                <w:szCs w:val="18"/>
                <w:lang w:val="es-ES"/>
              </w:rPr>
              <w:t>) a</w:t>
            </w:r>
            <w:r>
              <w:rPr>
                <w:rFonts w:ascii="Arial" w:hAnsi="Arial" w:cs="Arial"/>
                <w:sz w:val="18"/>
                <w:szCs w:val="18"/>
                <w:lang w:val="es-ES"/>
              </w:rPr>
              <w:t xml:space="preserve"> diciembre 2019</w:t>
            </w:r>
            <w:r w:rsidRPr="000A4898">
              <w:rPr>
                <w:rFonts w:ascii="Arial" w:hAnsi="Arial" w:cs="Arial"/>
                <w:sz w:val="18"/>
                <w:szCs w:val="18"/>
                <w:lang w:val="es-ES"/>
              </w:rPr>
              <w:t>. El denominador corresponde a la tasa promedio de cartera vencida de créditos a microempresas</w:t>
            </w:r>
            <w:r>
              <w:rPr>
                <w:rStyle w:val="FootnoteReference"/>
                <w:rFonts w:ascii="Arial" w:hAnsi="Arial" w:cs="Arial"/>
                <w:sz w:val="18"/>
                <w:szCs w:val="18"/>
                <w:lang w:val="es-ES"/>
              </w:rPr>
              <w:footnoteReference w:id="16"/>
            </w:r>
            <w:r w:rsidRPr="000A4898">
              <w:rPr>
                <w:rFonts w:ascii="Arial" w:hAnsi="Arial" w:cs="Arial"/>
                <w:sz w:val="18"/>
                <w:szCs w:val="18"/>
                <w:lang w:val="es-ES"/>
              </w:rPr>
              <w:t xml:space="preserve"> del sector bancario nacional</w:t>
            </w:r>
            <w:r>
              <w:rPr>
                <w:rFonts w:ascii="Arial" w:hAnsi="Arial" w:cs="Arial"/>
                <w:sz w:val="18"/>
                <w:szCs w:val="18"/>
                <w:lang w:val="es-ES"/>
              </w:rPr>
              <w:t xml:space="preserve"> a febrero 2020.</w:t>
            </w:r>
          </w:p>
          <w:p w14:paraId="391889C6" w14:textId="4D481500" w:rsidR="004F6B77" w:rsidRDefault="004F6B77" w:rsidP="004F6B77">
            <w:pPr>
              <w:spacing w:before="20" w:after="120" w:line="240" w:lineRule="auto"/>
              <w:rPr>
                <w:rFonts w:ascii="Arial" w:hAnsi="Arial" w:cs="Arial"/>
                <w:sz w:val="18"/>
                <w:szCs w:val="18"/>
                <w:lang w:val="es-ES_tradnl"/>
              </w:rPr>
            </w:pPr>
            <w:r w:rsidRPr="00BF735D">
              <w:rPr>
                <w:rFonts w:ascii="Arial" w:hAnsi="Arial" w:cs="Arial"/>
                <w:sz w:val="18"/>
                <w:szCs w:val="18"/>
                <w:lang w:val="es-ES_tradnl"/>
              </w:rPr>
              <w:t>La meta final se calculará promediando la tasa de mora de l</w:t>
            </w:r>
            <w:r>
              <w:rPr>
                <w:rFonts w:ascii="Arial" w:hAnsi="Arial" w:cs="Arial"/>
                <w:sz w:val="18"/>
                <w:szCs w:val="18"/>
                <w:lang w:val="es-ES_tradnl"/>
              </w:rPr>
              <w:t>os créditos del numerado y denominador</w:t>
            </w:r>
            <w:r w:rsidRPr="00BF735D">
              <w:rPr>
                <w:rFonts w:ascii="Arial" w:hAnsi="Arial" w:cs="Arial"/>
                <w:sz w:val="18"/>
                <w:szCs w:val="18"/>
                <w:lang w:val="es-ES_tradnl"/>
              </w:rPr>
              <w:t>, 6 meses después de recibir fondos del programa.</w:t>
            </w:r>
          </w:p>
          <w:p w14:paraId="411D78D7" w14:textId="361A81F0" w:rsidR="004F6B77" w:rsidRPr="007E69D8" w:rsidRDefault="00D1017D" w:rsidP="009F6E4F">
            <w:pPr>
              <w:spacing w:before="20" w:after="120" w:line="240" w:lineRule="auto"/>
              <w:jc w:val="both"/>
              <w:rPr>
                <w:rFonts w:ascii="Arial" w:eastAsia="Times New Roman" w:hAnsi="Arial" w:cs="Arial"/>
                <w:color w:val="000000"/>
                <w:sz w:val="18"/>
                <w:szCs w:val="18"/>
                <w:lang w:val="es-ES_tradnl" w:eastAsia="es-ES"/>
              </w:rPr>
            </w:pPr>
            <w:r w:rsidRPr="007E69D8">
              <w:rPr>
                <w:rFonts w:ascii="Arial" w:hAnsi="Arial" w:cs="Arial"/>
                <w:sz w:val="18"/>
                <w:szCs w:val="18"/>
                <w:lang w:val="es-ES_tradnl"/>
              </w:rPr>
              <w:t xml:space="preserve">Proyecciones más recientes estiman que el PIB </w:t>
            </w:r>
            <w:r>
              <w:rPr>
                <w:rFonts w:ascii="Arial" w:hAnsi="Arial" w:cs="Arial"/>
                <w:sz w:val="18"/>
                <w:szCs w:val="18"/>
                <w:lang w:val="es-ES_tradnl"/>
              </w:rPr>
              <w:t xml:space="preserve">de </w:t>
            </w:r>
            <w:r w:rsidR="00691A1D">
              <w:rPr>
                <w:rFonts w:ascii="Arial" w:hAnsi="Arial" w:cs="Arial"/>
                <w:sz w:val="18"/>
                <w:szCs w:val="18"/>
                <w:lang w:val="es-ES_tradnl"/>
              </w:rPr>
              <w:t>Panamá</w:t>
            </w:r>
            <w:r w:rsidRPr="007E69D8">
              <w:rPr>
                <w:rFonts w:ascii="Arial" w:hAnsi="Arial" w:cs="Arial"/>
                <w:sz w:val="18"/>
                <w:szCs w:val="18"/>
                <w:lang w:val="es-ES_tradnl"/>
              </w:rPr>
              <w:t xml:space="preserve"> se contraerá entre </w:t>
            </w:r>
            <w:r>
              <w:rPr>
                <w:rFonts w:ascii="Arial" w:hAnsi="Arial" w:cs="Arial"/>
                <w:sz w:val="18"/>
                <w:szCs w:val="18"/>
                <w:lang w:val="es-ES_tradnl"/>
              </w:rPr>
              <w:t>1</w:t>
            </w:r>
            <w:r w:rsidRPr="007E69D8">
              <w:rPr>
                <w:rFonts w:ascii="Arial" w:hAnsi="Arial" w:cs="Arial"/>
                <w:sz w:val="18"/>
                <w:szCs w:val="18"/>
                <w:lang w:val="es-ES_tradnl"/>
              </w:rPr>
              <w:t>% en 2020</w:t>
            </w:r>
            <w:r w:rsidRPr="007E69D8">
              <w:rPr>
                <w:rStyle w:val="FootnoteReference"/>
                <w:rFonts w:ascii="Arial" w:hAnsi="Arial" w:cs="Arial"/>
                <w:sz w:val="18"/>
                <w:szCs w:val="18"/>
                <w:lang w:val="es-ES_tradnl"/>
              </w:rPr>
              <w:footnoteReference w:id="17"/>
            </w:r>
            <w:r w:rsidRPr="007E69D8">
              <w:rPr>
                <w:rFonts w:ascii="Arial" w:hAnsi="Arial" w:cs="Arial"/>
                <w:sz w:val="18"/>
                <w:szCs w:val="18"/>
                <w:lang w:val="es-ES_tradnl"/>
              </w:rPr>
              <w:t xml:space="preserve"> como conse</w:t>
            </w:r>
            <w:r w:rsidRPr="00D30C5B">
              <w:rPr>
                <w:rFonts w:ascii="Arial" w:hAnsi="Arial" w:cs="Arial"/>
                <w:sz w:val="18"/>
                <w:szCs w:val="18"/>
                <w:lang w:val="es-PE"/>
              </w:rPr>
              <w:t xml:space="preserve">cuencia de la crisis. </w:t>
            </w:r>
            <w:r w:rsidR="00DA6758" w:rsidRPr="00D30C5B">
              <w:rPr>
                <w:rFonts w:ascii="Arial" w:hAnsi="Arial" w:cs="Arial"/>
                <w:sz w:val="18"/>
                <w:szCs w:val="18"/>
                <w:lang w:val="es-PE"/>
              </w:rPr>
              <w:t xml:space="preserve">Más aún, se estima que 64% de las microempresas solo cuenta con recursos para mantenerse solvente durante un mes o menos, y que </w:t>
            </w:r>
            <w:r w:rsidR="00D30C5B" w:rsidRPr="00D30C5B">
              <w:rPr>
                <w:rFonts w:ascii="Arial" w:hAnsi="Arial" w:cs="Arial"/>
                <w:sz w:val="18"/>
                <w:szCs w:val="18"/>
                <w:lang w:val="es-PE"/>
              </w:rPr>
              <w:t xml:space="preserve">las </w:t>
            </w:r>
            <w:r w:rsidR="00B437B3" w:rsidRPr="00D30C5B">
              <w:rPr>
                <w:rFonts w:ascii="Arial" w:hAnsi="Arial" w:cs="Arial"/>
                <w:sz w:val="18"/>
                <w:szCs w:val="18"/>
                <w:lang w:val="es-PE"/>
              </w:rPr>
              <w:t>ventas de</w:t>
            </w:r>
            <w:r w:rsidR="00D30C5B" w:rsidRPr="00D30C5B">
              <w:rPr>
                <w:rFonts w:ascii="Arial" w:hAnsi="Arial" w:cs="Arial"/>
                <w:sz w:val="18"/>
                <w:szCs w:val="18"/>
                <w:lang w:val="es-PE"/>
              </w:rPr>
              <w:t xml:space="preserve"> estas caerán, respecto al 2019, en 61%-80%.</w:t>
            </w:r>
            <w:r w:rsidR="00DA6758" w:rsidRPr="00D30C5B">
              <w:rPr>
                <w:rFonts w:ascii="Arial" w:hAnsi="Arial" w:cs="Arial"/>
                <w:sz w:val="18"/>
                <w:szCs w:val="18"/>
                <w:vertAlign w:val="superscript"/>
                <w:lang w:val="es-PE"/>
              </w:rPr>
              <w:footnoteReference w:id="18"/>
            </w:r>
            <w:r w:rsidR="00D30C5B" w:rsidRPr="00D30C5B">
              <w:rPr>
                <w:rFonts w:ascii="Arial" w:hAnsi="Arial" w:cs="Arial"/>
                <w:sz w:val="18"/>
                <w:szCs w:val="18"/>
                <w:lang w:val="es-PE"/>
              </w:rPr>
              <w:t xml:space="preserve"> </w:t>
            </w:r>
            <w:r w:rsidR="00DD5E19">
              <w:rPr>
                <w:rFonts w:ascii="Arial" w:hAnsi="Arial" w:cs="Arial"/>
                <w:sz w:val="18"/>
                <w:szCs w:val="18"/>
                <w:lang w:val="es-PE"/>
              </w:rPr>
              <w:t>En la misma línea, e</w:t>
            </w:r>
            <w:r w:rsidRPr="00D30C5B">
              <w:rPr>
                <w:rFonts w:ascii="Arial" w:hAnsi="Arial" w:cs="Arial"/>
                <w:sz w:val="18"/>
                <w:szCs w:val="18"/>
                <w:lang w:val="es-PE"/>
              </w:rPr>
              <w:t>n base a experiencias previas en países de Sudamérica de efectos</w:t>
            </w:r>
            <w:r w:rsidRPr="007E69D8">
              <w:rPr>
                <w:rFonts w:ascii="Arial" w:hAnsi="Arial" w:cs="Arial"/>
                <w:sz w:val="18"/>
                <w:szCs w:val="18"/>
                <w:lang w:val="es-ES_tradnl"/>
              </w:rPr>
              <w:t xml:space="preserve"> de crisis financieras y económicas en las cuales hubo un impacto negativo sobre la demanda interna y, por tanto, sobre los ingresos de los micro y pequeños empresarios</w:t>
            </w:r>
            <w:r w:rsidRPr="007E69D8">
              <w:rPr>
                <w:rStyle w:val="FootnoteReference"/>
                <w:rFonts w:ascii="Arial" w:hAnsi="Arial" w:cs="Arial"/>
                <w:sz w:val="18"/>
                <w:szCs w:val="18"/>
                <w:lang w:val="es-ES_tradnl"/>
              </w:rPr>
              <w:footnoteReference w:id="19"/>
            </w:r>
            <w:r w:rsidRPr="007E69D8">
              <w:rPr>
                <w:rFonts w:ascii="Arial" w:hAnsi="Arial" w:cs="Arial"/>
                <w:sz w:val="18"/>
                <w:szCs w:val="18"/>
                <w:lang w:val="es-ES_tradnl"/>
              </w:rPr>
              <w:t xml:space="preserve">. Es de esperar, por tanto, que la presente crisis del COVID-19 impacte </w:t>
            </w:r>
            <w:r w:rsidRPr="007E69D8">
              <w:rPr>
                <w:rFonts w:ascii="Arial" w:hAnsi="Arial" w:cs="Arial"/>
                <w:sz w:val="18"/>
                <w:szCs w:val="18"/>
                <w:lang w:val="es-ES_tradnl"/>
              </w:rPr>
              <w:lastRenderedPageBreak/>
              <w:t xml:space="preserve">negativamente la morosidad las </w:t>
            </w:r>
            <w:r w:rsidR="0074691A">
              <w:rPr>
                <w:rFonts w:ascii="Arial" w:hAnsi="Arial" w:cs="Arial"/>
                <w:sz w:val="18"/>
                <w:szCs w:val="18"/>
                <w:lang w:val="es-ES_tradnl"/>
              </w:rPr>
              <w:t>firmas</w:t>
            </w:r>
            <w:r w:rsidRPr="007E69D8">
              <w:rPr>
                <w:rFonts w:ascii="Arial" w:hAnsi="Arial" w:cs="Arial"/>
                <w:sz w:val="18"/>
                <w:szCs w:val="18"/>
                <w:lang w:val="es-ES_tradnl"/>
              </w:rPr>
              <w:t xml:space="preserve">. Dado que no se espera distinciones particulares entre </w:t>
            </w:r>
            <w:r w:rsidR="005C1699">
              <w:rPr>
                <w:rFonts w:ascii="Arial" w:hAnsi="Arial" w:cs="Arial"/>
                <w:sz w:val="18"/>
                <w:szCs w:val="18"/>
                <w:lang w:val="es-ES_tradnl"/>
              </w:rPr>
              <w:t>las microempresas</w:t>
            </w:r>
            <w:r w:rsidRPr="007E69D8">
              <w:rPr>
                <w:rFonts w:ascii="Arial" w:hAnsi="Arial" w:cs="Arial"/>
                <w:sz w:val="18"/>
                <w:szCs w:val="18"/>
                <w:lang w:val="es-ES_tradnl"/>
              </w:rPr>
              <w:t xml:space="preserve"> beneficiadas por </w:t>
            </w:r>
            <w:r w:rsidR="005C1699">
              <w:rPr>
                <w:rFonts w:ascii="Arial" w:hAnsi="Arial" w:cs="Arial"/>
                <w:sz w:val="18"/>
                <w:szCs w:val="18"/>
                <w:lang w:val="es-ES_tradnl"/>
              </w:rPr>
              <w:t>las IFI</w:t>
            </w:r>
            <w:r w:rsidRPr="007E69D8">
              <w:rPr>
                <w:rFonts w:ascii="Arial" w:hAnsi="Arial" w:cs="Arial"/>
                <w:sz w:val="18"/>
                <w:szCs w:val="18"/>
                <w:lang w:val="es-ES_tradnl"/>
              </w:rPr>
              <w:t xml:space="preserve"> y </w:t>
            </w:r>
            <w:r w:rsidR="009F6E4F">
              <w:rPr>
                <w:rFonts w:ascii="Arial" w:hAnsi="Arial" w:cs="Arial"/>
                <w:sz w:val="18"/>
                <w:szCs w:val="18"/>
                <w:lang w:val="es-ES_tradnl"/>
              </w:rPr>
              <w:t>las microempresas promedio beneficiadas por el sistema bancario nacional</w:t>
            </w:r>
            <w:r w:rsidRPr="007E69D8">
              <w:rPr>
                <w:rFonts w:ascii="Arial" w:hAnsi="Arial" w:cs="Arial"/>
                <w:sz w:val="18"/>
                <w:szCs w:val="18"/>
                <w:lang w:val="es-ES_tradnl"/>
              </w:rPr>
              <w:t>, se espera que la ratio de 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No obstante, vale resaltar que un escenario optimista consistiría en una reducción de esta ratio a fines del programa.</w:t>
            </w:r>
          </w:p>
        </w:tc>
      </w:tr>
      <w:tr w:rsidR="008B5A3C" w:rsidRPr="002056DF" w14:paraId="558F924C" w14:textId="77777777" w:rsidTr="007226F4">
        <w:trPr>
          <w:trHeight w:val="2100"/>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1510B7BE" w14:textId="0F2E8EFE" w:rsidR="008B5A3C" w:rsidRPr="007E69D8" w:rsidRDefault="008B5A3C" w:rsidP="008B5A3C">
            <w:pPr>
              <w:spacing w:after="0" w:line="240" w:lineRule="auto"/>
              <w:rPr>
                <w:rFonts w:ascii="Arial" w:eastAsia="Times New Roman" w:hAnsi="Arial" w:cs="Arial"/>
                <w:b/>
                <w:bCs/>
                <w:color w:val="000000"/>
                <w:sz w:val="18"/>
                <w:szCs w:val="18"/>
                <w:lang w:val="es-ES_tradnl" w:eastAsia="es-ES"/>
              </w:rPr>
            </w:pPr>
            <w:r w:rsidRPr="00C60B3C">
              <w:rPr>
                <w:rFonts w:ascii="Arial" w:hAnsi="Arial" w:cs="Arial"/>
                <w:b/>
                <w:bCs/>
                <w:sz w:val="18"/>
                <w:szCs w:val="18"/>
                <w:lang w:val="es-ES"/>
              </w:rPr>
              <w:lastRenderedPageBreak/>
              <w:t xml:space="preserve">Indicador </w:t>
            </w:r>
            <w:r>
              <w:rPr>
                <w:rFonts w:ascii="Arial" w:hAnsi="Arial" w:cs="Arial"/>
                <w:b/>
                <w:bCs/>
                <w:sz w:val="18"/>
                <w:szCs w:val="18"/>
                <w:lang w:val="es-ES"/>
              </w:rPr>
              <w:t>2</w:t>
            </w:r>
            <w:r>
              <w:rPr>
                <w:rFonts w:ascii="Arial" w:hAnsi="Arial" w:cs="Arial"/>
                <w:sz w:val="18"/>
                <w:szCs w:val="18"/>
                <w:lang w:val="es-ES"/>
              </w:rPr>
              <w:t xml:space="preserve"> </w:t>
            </w:r>
            <w:r w:rsidRPr="00C60B3C">
              <w:rPr>
                <w:rFonts w:ascii="Arial" w:hAnsi="Arial" w:cs="Arial"/>
                <w:sz w:val="18"/>
                <w:szCs w:val="18"/>
                <w:lang w:val="es-ES"/>
              </w:rPr>
              <w:t>Tasa de mora relativa, a los 6</w:t>
            </w:r>
            <w:r w:rsidR="004A229B">
              <w:rPr>
                <w:rFonts w:ascii="Arial" w:hAnsi="Arial" w:cs="Arial"/>
                <w:sz w:val="18"/>
                <w:szCs w:val="18"/>
                <w:lang w:val="es-ES"/>
              </w:rPr>
              <w:t> </w:t>
            </w:r>
            <w:r w:rsidRPr="00C60B3C">
              <w:rPr>
                <w:rFonts w:ascii="Arial" w:hAnsi="Arial" w:cs="Arial"/>
                <w:sz w:val="18"/>
                <w:szCs w:val="18"/>
                <w:lang w:val="es-ES"/>
              </w:rPr>
              <w:t>meses de comenzar el programa, en la cartera relevante de financiamiento de capital de trabajo colocada través de B</w:t>
            </w:r>
            <w:r w:rsidR="004A229B">
              <w:rPr>
                <w:rFonts w:ascii="Arial" w:hAnsi="Arial" w:cs="Arial"/>
                <w:sz w:val="18"/>
                <w:szCs w:val="18"/>
                <w:lang w:val="es-ES"/>
              </w:rPr>
              <w:t>NP</w:t>
            </w:r>
            <w:r w:rsidRPr="00C60B3C">
              <w:rPr>
                <w:rFonts w:ascii="Arial" w:hAnsi="Arial" w:cs="Arial"/>
                <w:sz w:val="18"/>
                <w:szCs w:val="18"/>
                <w:lang w:val="es-ES"/>
              </w:rPr>
              <w:t xml:space="preserve"> a la tasa de mora de créditos a </w:t>
            </w:r>
            <w:r>
              <w:rPr>
                <w:rFonts w:ascii="Arial" w:hAnsi="Arial" w:cs="Arial"/>
                <w:sz w:val="18"/>
                <w:szCs w:val="18"/>
                <w:lang w:val="es-ES"/>
              </w:rPr>
              <w:t>pequeñas empresas</w:t>
            </w:r>
            <w:r w:rsidRPr="00C60B3C">
              <w:rPr>
                <w:rFonts w:ascii="Arial" w:hAnsi="Arial" w:cs="Arial"/>
                <w:sz w:val="18"/>
                <w:szCs w:val="18"/>
                <w:lang w:val="es-ES"/>
              </w:rPr>
              <w:t xml:space="preserve"> del sistema bancario nacional.</w:t>
            </w:r>
          </w:p>
        </w:tc>
        <w:tc>
          <w:tcPr>
            <w:tcW w:w="1552" w:type="dxa"/>
            <w:tcBorders>
              <w:top w:val="single" w:sz="8" w:space="0" w:color="000000"/>
              <w:left w:val="nil"/>
              <w:bottom w:val="nil"/>
              <w:right w:val="single" w:sz="8" w:space="0" w:color="000000"/>
            </w:tcBorders>
            <w:shd w:val="clear" w:color="auto" w:fill="auto"/>
            <w:vAlign w:val="center"/>
          </w:tcPr>
          <w:p w14:paraId="3D65BF7A" w14:textId="77777777" w:rsidR="008B5A3C" w:rsidRPr="007E69D8" w:rsidRDefault="008B5A3C" w:rsidP="008B5A3C">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w:t>
            </w:r>
          </w:p>
        </w:tc>
        <w:tc>
          <w:tcPr>
            <w:tcW w:w="1542" w:type="dxa"/>
            <w:tcBorders>
              <w:top w:val="single" w:sz="8" w:space="0" w:color="000000"/>
              <w:left w:val="nil"/>
              <w:bottom w:val="nil"/>
              <w:right w:val="single" w:sz="8" w:space="0" w:color="000000"/>
            </w:tcBorders>
            <w:shd w:val="clear" w:color="auto" w:fill="auto"/>
            <w:vAlign w:val="center"/>
          </w:tcPr>
          <w:p w14:paraId="036F81CB" w14:textId="09A5B731" w:rsidR="008B5A3C" w:rsidRPr="007E69D8" w:rsidRDefault="008B5A3C" w:rsidP="008B5A3C">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sidR="00661C8A">
              <w:rPr>
                <w:rFonts w:ascii="Arial" w:eastAsia="Times New Roman" w:hAnsi="Arial" w:cs="Arial"/>
                <w:color w:val="000000"/>
                <w:sz w:val="18"/>
                <w:szCs w:val="18"/>
                <w:lang w:val="es-ES_tradnl" w:eastAsia="es-ES"/>
              </w:rPr>
              <w:t>BNP</w:t>
            </w:r>
            <w:r>
              <w:rPr>
                <w:rFonts w:ascii="Arial" w:eastAsia="Times New Roman" w:hAnsi="Arial" w:cs="Arial"/>
                <w:color w:val="000000"/>
                <w:sz w:val="18"/>
                <w:szCs w:val="18"/>
                <w:lang w:val="es-ES_tradnl" w:eastAsia="es-ES"/>
              </w:rPr>
              <w:t xml:space="preserve"> y reportes financieros de la Superintendencia de Bancos de Panamá.</w:t>
            </w:r>
          </w:p>
        </w:tc>
        <w:tc>
          <w:tcPr>
            <w:tcW w:w="3625" w:type="dxa"/>
            <w:tcBorders>
              <w:top w:val="single" w:sz="8" w:space="0" w:color="000000"/>
              <w:left w:val="nil"/>
              <w:bottom w:val="nil"/>
              <w:right w:val="single" w:sz="8" w:space="0" w:color="000000"/>
            </w:tcBorders>
            <w:shd w:val="clear" w:color="auto" w:fill="auto"/>
            <w:vAlign w:val="center"/>
          </w:tcPr>
          <w:p w14:paraId="5D91ADC0" w14:textId="0F504A08" w:rsidR="008B5A3C" w:rsidRDefault="008B5A3C" w:rsidP="008B5A3C">
            <w:pPr>
              <w:spacing w:before="20" w:after="120" w:line="240" w:lineRule="auto"/>
              <w:jc w:val="both"/>
              <w:rPr>
                <w:rFonts w:ascii="Arial" w:hAnsi="Arial" w:cs="Arial"/>
                <w:sz w:val="18"/>
                <w:szCs w:val="18"/>
                <w:lang w:val="es-ES"/>
              </w:rPr>
            </w:pPr>
            <w:r w:rsidRPr="000D6824">
              <w:rPr>
                <w:rFonts w:ascii="Arial" w:hAnsi="Arial" w:cs="Arial"/>
                <w:sz w:val="18"/>
                <w:szCs w:val="18"/>
                <w:lang w:val="es-ES"/>
              </w:rPr>
              <w:t xml:space="preserve">La línea de base se calculó de la siguiente manera: El numerador corresponde a la tasa de cartera vencida de créditos a pequeñas empresas de </w:t>
            </w:r>
            <w:r>
              <w:rPr>
                <w:rFonts w:ascii="Arial" w:hAnsi="Arial" w:cs="Arial"/>
                <w:sz w:val="18"/>
                <w:szCs w:val="18"/>
                <w:lang w:val="es-ES"/>
              </w:rPr>
              <w:t xml:space="preserve">Banco Nacional </w:t>
            </w:r>
            <w:r w:rsidRPr="002E0ACF">
              <w:rPr>
                <w:rFonts w:ascii="Arial" w:hAnsi="Arial" w:cs="Arial"/>
                <w:sz w:val="18"/>
                <w:szCs w:val="18"/>
                <w:lang w:val="es-ES"/>
              </w:rPr>
              <w:t>(B</w:t>
            </w:r>
            <w:r w:rsidR="00B437B3" w:rsidRPr="002E0ACF">
              <w:rPr>
                <w:rFonts w:ascii="Arial" w:hAnsi="Arial" w:cs="Arial"/>
                <w:sz w:val="18"/>
                <w:szCs w:val="18"/>
                <w:lang w:val="es-ES"/>
              </w:rPr>
              <w:t>NP</w:t>
            </w:r>
            <w:r w:rsidRPr="002E0ACF">
              <w:rPr>
                <w:rFonts w:ascii="Arial" w:hAnsi="Arial" w:cs="Arial"/>
                <w:sz w:val="18"/>
                <w:szCs w:val="18"/>
                <w:lang w:val="es-ES"/>
              </w:rPr>
              <w:t>). El</w:t>
            </w:r>
            <w:r w:rsidRPr="000D6824">
              <w:rPr>
                <w:rFonts w:ascii="Arial" w:hAnsi="Arial" w:cs="Arial"/>
                <w:sz w:val="18"/>
                <w:szCs w:val="18"/>
                <w:lang w:val="es-ES"/>
              </w:rPr>
              <w:t xml:space="preserve"> denominador corresponde a la tasa promedio de cartera vencida de créditos a</w:t>
            </w:r>
            <w:r>
              <w:rPr>
                <w:rFonts w:ascii="Arial" w:hAnsi="Arial" w:cs="Arial"/>
                <w:sz w:val="18"/>
                <w:szCs w:val="18"/>
                <w:lang w:val="es-ES"/>
              </w:rPr>
              <w:t xml:space="preserve"> </w:t>
            </w:r>
            <w:r w:rsidRPr="000D6824">
              <w:rPr>
                <w:rFonts w:ascii="Arial" w:hAnsi="Arial" w:cs="Arial"/>
                <w:sz w:val="18"/>
                <w:szCs w:val="18"/>
                <w:lang w:val="es-ES"/>
              </w:rPr>
              <w:t>pequeñas empresas del sector bancario nacional</w:t>
            </w:r>
            <w:r>
              <w:rPr>
                <w:rFonts w:ascii="Arial" w:hAnsi="Arial" w:cs="Arial"/>
                <w:sz w:val="18"/>
                <w:szCs w:val="18"/>
                <w:lang w:val="es-ES"/>
              </w:rPr>
              <w:t>. Ambas cifras son a febrero 2020.</w:t>
            </w:r>
          </w:p>
          <w:p w14:paraId="38C3773E" w14:textId="77777777" w:rsidR="008B5A3C" w:rsidRPr="00BF735D" w:rsidRDefault="008B5A3C" w:rsidP="008B5A3C">
            <w:pPr>
              <w:spacing w:before="20" w:after="120" w:line="240" w:lineRule="auto"/>
              <w:rPr>
                <w:rFonts w:ascii="Arial" w:hAnsi="Arial" w:cs="Arial"/>
                <w:sz w:val="18"/>
                <w:szCs w:val="18"/>
                <w:lang w:val="es-ES_tradnl"/>
              </w:rPr>
            </w:pPr>
            <w:r w:rsidRPr="00BF735D">
              <w:rPr>
                <w:rFonts w:ascii="Arial" w:hAnsi="Arial" w:cs="Arial"/>
                <w:sz w:val="18"/>
                <w:szCs w:val="18"/>
                <w:lang w:val="es-ES_tradnl"/>
              </w:rPr>
              <w:t>La meta final se calculará promediando la tasa de mora de l</w:t>
            </w:r>
            <w:r>
              <w:rPr>
                <w:rFonts w:ascii="Arial" w:hAnsi="Arial" w:cs="Arial"/>
                <w:sz w:val="18"/>
                <w:szCs w:val="18"/>
                <w:lang w:val="es-ES_tradnl"/>
              </w:rPr>
              <w:t>os créditos del numerado y denominador</w:t>
            </w:r>
            <w:r w:rsidRPr="00BF735D">
              <w:rPr>
                <w:rFonts w:ascii="Arial" w:hAnsi="Arial" w:cs="Arial"/>
                <w:sz w:val="18"/>
                <w:szCs w:val="18"/>
                <w:lang w:val="es-ES_tradnl"/>
              </w:rPr>
              <w:t>, 6 meses después de recibir fondos del programa.</w:t>
            </w:r>
          </w:p>
          <w:p w14:paraId="2248952D" w14:textId="44D611A8" w:rsidR="008B5A3C" w:rsidRPr="007E69D8" w:rsidRDefault="008B5A3C" w:rsidP="008B5A3C">
            <w:pPr>
              <w:spacing w:after="0" w:line="240" w:lineRule="auto"/>
              <w:jc w:val="both"/>
              <w:rPr>
                <w:rFonts w:ascii="Arial" w:eastAsia="Times New Roman" w:hAnsi="Arial" w:cs="Arial"/>
                <w:color w:val="000000"/>
                <w:sz w:val="18"/>
                <w:szCs w:val="18"/>
                <w:lang w:val="es-ES_tradnl" w:eastAsia="es-ES"/>
              </w:rPr>
            </w:pPr>
            <w:r w:rsidRPr="007E69D8">
              <w:rPr>
                <w:rFonts w:ascii="Arial" w:hAnsi="Arial" w:cs="Arial"/>
                <w:sz w:val="18"/>
                <w:szCs w:val="18"/>
                <w:lang w:val="es-ES_tradnl"/>
              </w:rPr>
              <w:t xml:space="preserve">Proyecciones más recientes estiman que el PIB </w:t>
            </w:r>
            <w:r>
              <w:rPr>
                <w:rFonts w:ascii="Arial" w:hAnsi="Arial" w:cs="Arial"/>
                <w:sz w:val="18"/>
                <w:szCs w:val="18"/>
                <w:lang w:val="es-ES_tradnl"/>
              </w:rPr>
              <w:t>de Panamá</w:t>
            </w:r>
            <w:r w:rsidRPr="007E69D8">
              <w:rPr>
                <w:rFonts w:ascii="Arial" w:hAnsi="Arial" w:cs="Arial"/>
                <w:sz w:val="18"/>
                <w:szCs w:val="18"/>
                <w:lang w:val="es-ES_tradnl"/>
              </w:rPr>
              <w:t xml:space="preserve"> se contraerá entre </w:t>
            </w:r>
            <w:r>
              <w:rPr>
                <w:rFonts w:ascii="Arial" w:hAnsi="Arial" w:cs="Arial"/>
                <w:sz w:val="18"/>
                <w:szCs w:val="18"/>
                <w:lang w:val="es-ES_tradnl"/>
              </w:rPr>
              <w:t>1</w:t>
            </w:r>
            <w:r w:rsidRPr="007E69D8">
              <w:rPr>
                <w:rFonts w:ascii="Arial" w:hAnsi="Arial" w:cs="Arial"/>
                <w:sz w:val="18"/>
                <w:szCs w:val="18"/>
                <w:lang w:val="es-ES_tradnl"/>
              </w:rPr>
              <w:t>% en 2020</w:t>
            </w:r>
            <w:r w:rsidRPr="007E69D8">
              <w:rPr>
                <w:rStyle w:val="FootnoteReference"/>
                <w:rFonts w:ascii="Arial" w:hAnsi="Arial" w:cs="Arial"/>
                <w:sz w:val="18"/>
                <w:szCs w:val="18"/>
                <w:lang w:val="es-ES_tradnl"/>
              </w:rPr>
              <w:footnoteReference w:id="20"/>
            </w:r>
            <w:r w:rsidRPr="007E69D8">
              <w:rPr>
                <w:rFonts w:ascii="Arial" w:hAnsi="Arial" w:cs="Arial"/>
                <w:sz w:val="18"/>
                <w:szCs w:val="18"/>
                <w:lang w:val="es-ES_tradnl"/>
              </w:rPr>
              <w:t xml:space="preserve"> como conse</w:t>
            </w:r>
            <w:r w:rsidRPr="00D30C5B">
              <w:rPr>
                <w:rFonts w:ascii="Arial" w:hAnsi="Arial" w:cs="Arial"/>
                <w:sz w:val="18"/>
                <w:szCs w:val="18"/>
                <w:lang w:val="es-PE"/>
              </w:rPr>
              <w:t xml:space="preserve">cuencia de la crisis. Más aún, se estima que </w:t>
            </w:r>
            <w:r>
              <w:rPr>
                <w:rFonts w:ascii="Arial" w:hAnsi="Arial" w:cs="Arial"/>
                <w:sz w:val="18"/>
                <w:szCs w:val="18"/>
                <w:lang w:val="es-PE"/>
              </w:rPr>
              <w:t>47</w:t>
            </w:r>
            <w:r w:rsidRPr="00D30C5B">
              <w:rPr>
                <w:rFonts w:ascii="Arial" w:hAnsi="Arial" w:cs="Arial"/>
                <w:sz w:val="18"/>
                <w:szCs w:val="18"/>
                <w:lang w:val="es-PE"/>
              </w:rPr>
              <w:t xml:space="preserve">% de las </w:t>
            </w:r>
            <w:r>
              <w:rPr>
                <w:rFonts w:ascii="Arial" w:hAnsi="Arial" w:cs="Arial"/>
                <w:sz w:val="18"/>
                <w:szCs w:val="18"/>
                <w:lang w:val="es-PE"/>
              </w:rPr>
              <w:t>pequeñas empresas</w:t>
            </w:r>
            <w:r w:rsidRPr="00D30C5B">
              <w:rPr>
                <w:rFonts w:ascii="Arial" w:hAnsi="Arial" w:cs="Arial"/>
                <w:sz w:val="18"/>
                <w:szCs w:val="18"/>
                <w:lang w:val="es-PE"/>
              </w:rPr>
              <w:t xml:space="preserve"> solo cuenta con recursos para mantenerse solvente durante un mes o menos, y que las </w:t>
            </w:r>
            <w:r w:rsidR="00B437B3" w:rsidRPr="00D30C5B">
              <w:rPr>
                <w:rFonts w:ascii="Arial" w:hAnsi="Arial" w:cs="Arial"/>
                <w:sz w:val="18"/>
                <w:szCs w:val="18"/>
                <w:lang w:val="es-PE"/>
              </w:rPr>
              <w:t>ventas de</w:t>
            </w:r>
            <w:r w:rsidRPr="00D30C5B">
              <w:rPr>
                <w:rFonts w:ascii="Arial" w:hAnsi="Arial" w:cs="Arial"/>
                <w:sz w:val="18"/>
                <w:szCs w:val="18"/>
                <w:lang w:val="es-PE"/>
              </w:rPr>
              <w:t xml:space="preserve"> estas caerán, respecto al 2019, en </w:t>
            </w:r>
            <w:r>
              <w:rPr>
                <w:rFonts w:ascii="Arial" w:hAnsi="Arial" w:cs="Arial"/>
                <w:sz w:val="18"/>
                <w:szCs w:val="18"/>
                <w:lang w:val="es-PE"/>
              </w:rPr>
              <w:t>4</w:t>
            </w:r>
            <w:r w:rsidRPr="00D30C5B">
              <w:rPr>
                <w:rFonts w:ascii="Arial" w:hAnsi="Arial" w:cs="Arial"/>
                <w:sz w:val="18"/>
                <w:szCs w:val="18"/>
                <w:lang w:val="es-PE"/>
              </w:rPr>
              <w:t>1%-</w:t>
            </w:r>
            <w:r>
              <w:rPr>
                <w:rFonts w:ascii="Arial" w:hAnsi="Arial" w:cs="Arial"/>
                <w:sz w:val="18"/>
                <w:szCs w:val="18"/>
                <w:lang w:val="es-PE"/>
              </w:rPr>
              <w:t>6</w:t>
            </w:r>
            <w:r w:rsidRPr="00D30C5B">
              <w:rPr>
                <w:rFonts w:ascii="Arial" w:hAnsi="Arial" w:cs="Arial"/>
                <w:sz w:val="18"/>
                <w:szCs w:val="18"/>
                <w:lang w:val="es-PE"/>
              </w:rPr>
              <w:t>0%.</w:t>
            </w:r>
            <w:r w:rsidRPr="00D30C5B">
              <w:rPr>
                <w:rFonts w:ascii="Arial" w:hAnsi="Arial" w:cs="Arial"/>
                <w:sz w:val="18"/>
                <w:szCs w:val="18"/>
                <w:vertAlign w:val="superscript"/>
                <w:lang w:val="es-PE"/>
              </w:rPr>
              <w:footnoteReference w:id="21"/>
            </w:r>
            <w:r w:rsidRPr="00D30C5B">
              <w:rPr>
                <w:rFonts w:ascii="Arial" w:hAnsi="Arial" w:cs="Arial"/>
                <w:sz w:val="18"/>
                <w:szCs w:val="18"/>
                <w:lang w:val="es-PE"/>
              </w:rPr>
              <w:t xml:space="preserve"> </w:t>
            </w:r>
            <w:r>
              <w:rPr>
                <w:rFonts w:ascii="Arial" w:hAnsi="Arial" w:cs="Arial"/>
                <w:sz w:val="18"/>
                <w:szCs w:val="18"/>
                <w:lang w:val="es-PE"/>
              </w:rPr>
              <w:t>En la misma línea, e</w:t>
            </w:r>
            <w:r w:rsidRPr="00D30C5B">
              <w:rPr>
                <w:rFonts w:ascii="Arial" w:hAnsi="Arial" w:cs="Arial"/>
                <w:sz w:val="18"/>
                <w:szCs w:val="18"/>
                <w:lang w:val="es-PE"/>
              </w:rPr>
              <w:t>n base a experiencias previas en países de Sudamérica de efectos</w:t>
            </w:r>
            <w:r w:rsidRPr="007E69D8">
              <w:rPr>
                <w:rFonts w:ascii="Arial" w:hAnsi="Arial" w:cs="Arial"/>
                <w:sz w:val="18"/>
                <w:szCs w:val="18"/>
                <w:lang w:val="es-ES_tradnl"/>
              </w:rPr>
              <w:t xml:space="preserve"> de crisis financieras y económicas en las cuales hubo un impacto negativo sobre la demanda interna y, por tanto, sobre los ingresos de los micro y pequeños empresarios</w:t>
            </w:r>
            <w:r w:rsidRPr="007E69D8">
              <w:rPr>
                <w:rStyle w:val="FootnoteReference"/>
                <w:rFonts w:ascii="Arial" w:hAnsi="Arial" w:cs="Arial"/>
                <w:sz w:val="18"/>
                <w:szCs w:val="18"/>
                <w:lang w:val="es-ES_tradnl"/>
              </w:rPr>
              <w:footnoteReference w:id="22"/>
            </w:r>
            <w:r w:rsidRPr="007E69D8">
              <w:rPr>
                <w:rFonts w:ascii="Arial" w:hAnsi="Arial" w:cs="Arial"/>
                <w:sz w:val="18"/>
                <w:szCs w:val="18"/>
                <w:lang w:val="es-ES_tradnl"/>
              </w:rPr>
              <w:t xml:space="preserve">. Es de esperar, por tanto, que la presente crisis del COVID-19 impacte negativamente la morosidad las </w:t>
            </w:r>
            <w:r>
              <w:rPr>
                <w:rFonts w:ascii="Arial" w:hAnsi="Arial" w:cs="Arial"/>
                <w:sz w:val="18"/>
                <w:szCs w:val="18"/>
                <w:lang w:val="es-ES_tradnl"/>
              </w:rPr>
              <w:t>firmas</w:t>
            </w:r>
            <w:r w:rsidRPr="007E69D8">
              <w:rPr>
                <w:rFonts w:ascii="Arial" w:hAnsi="Arial" w:cs="Arial"/>
                <w:sz w:val="18"/>
                <w:szCs w:val="18"/>
                <w:lang w:val="es-ES_tradnl"/>
              </w:rPr>
              <w:t xml:space="preserve">. Dado que no se espera distinciones particulares entre </w:t>
            </w:r>
            <w:r>
              <w:rPr>
                <w:rFonts w:ascii="Arial" w:hAnsi="Arial" w:cs="Arial"/>
                <w:sz w:val="18"/>
                <w:szCs w:val="18"/>
                <w:lang w:val="es-ES_tradnl"/>
              </w:rPr>
              <w:t xml:space="preserve">las </w:t>
            </w:r>
            <w:r w:rsidR="005664AC">
              <w:rPr>
                <w:rFonts w:ascii="Arial" w:hAnsi="Arial" w:cs="Arial"/>
                <w:sz w:val="18"/>
                <w:szCs w:val="18"/>
                <w:lang w:val="es-ES_tradnl"/>
              </w:rPr>
              <w:t>pequeñas empresas</w:t>
            </w:r>
            <w:r w:rsidRPr="007E69D8">
              <w:rPr>
                <w:rFonts w:ascii="Arial" w:hAnsi="Arial" w:cs="Arial"/>
                <w:sz w:val="18"/>
                <w:szCs w:val="18"/>
                <w:lang w:val="es-ES_tradnl"/>
              </w:rPr>
              <w:t xml:space="preserve"> beneficiadas por </w:t>
            </w:r>
            <w:r w:rsidR="00B9487E">
              <w:rPr>
                <w:rFonts w:ascii="Arial" w:hAnsi="Arial" w:cs="Arial"/>
                <w:sz w:val="18"/>
                <w:szCs w:val="18"/>
                <w:lang w:val="es-ES_tradnl"/>
              </w:rPr>
              <w:t>B</w:t>
            </w:r>
            <w:r w:rsidR="00840F7B">
              <w:rPr>
                <w:rFonts w:ascii="Arial" w:hAnsi="Arial" w:cs="Arial"/>
                <w:sz w:val="18"/>
                <w:szCs w:val="18"/>
                <w:lang w:val="es-ES_tradnl"/>
              </w:rPr>
              <w:t>NP</w:t>
            </w:r>
            <w:r w:rsidR="00B9487E">
              <w:rPr>
                <w:rFonts w:ascii="Arial" w:hAnsi="Arial" w:cs="Arial"/>
                <w:sz w:val="18"/>
                <w:szCs w:val="18"/>
                <w:lang w:val="es-ES_tradnl"/>
              </w:rPr>
              <w:t xml:space="preserve"> </w:t>
            </w:r>
            <w:r w:rsidRPr="007E69D8">
              <w:rPr>
                <w:rFonts w:ascii="Arial" w:hAnsi="Arial" w:cs="Arial"/>
                <w:sz w:val="18"/>
                <w:szCs w:val="18"/>
                <w:lang w:val="es-ES_tradnl"/>
              </w:rPr>
              <w:t xml:space="preserve">y </w:t>
            </w:r>
            <w:r>
              <w:rPr>
                <w:rFonts w:ascii="Arial" w:hAnsi="Arial" w:cs="Arial"/>
                <w:sz w:val="18"/>
                <w:szCs w:val="18"/>
                <w:lang w:val="es-ES_tradnl"/>
              </w:rPr>
              <w:t xml:space="preserve">las </w:t>
            </w:r>
            <w:r w:rsidR="00B9487E">
              <w:rPr>
                <w:rFonts w:ascii="Arial" w:hAnsi="Arial" w:cs="Arial"/>
                <w:sz w:val="18"/>
                <w:szCs w:val="18"/>
                <w:lang w:val="es-ES_tradnl"/>
              </w:rPr>
              <w:t>empresas</w:t>
            </w:r>
            <w:r>
              <w:rPr>
                <w:rFonts w:ascii="Arial" w:hAnsi="Arial" w:cs="Arial"/>
                <w:sz w:val="18"/>
                <w:szCs w:val="18"/>
                <w:lang w:val="es-ES_tradnl"/>
              </w:rPr>
              <w:t xml:space="preserve"> promedio beneficiadas por el sistema bancario nacional</w:t>
            </w:r>
            <w:r w:rsidRPr="007E69D8">
              <w:rPr>
                <w:rFonts w:ascii="Arial" w:hAnsi="Arial" w:cs="Arial"/>
                <w:sz w:val="18"/>
                <w:szCs w:val="18"/>
                <w:lang w:val="es-ES_tradnl"/>
              </w:rPr>
              <w:t>, se espera que la ratio de 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No obstante, vale resaltar que un escenario optimista consistiría en una reducción de esta ratio a fines del programa.</w:t>
            </w:r>
          </w:p>
        </w:tc>
      </w:tr>
      <w:tr w:rsidR="00115D08" w:rsidRPr="002056DF" w14:paraId="666E00C1" w14:textId="77777777" w:rsidTr="007226F4">
        <w:trPr>
          <w:trHeight w:val="1123"/>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7FEC5B3A" w14:textId="4D708A6C" w:rsidR="00115D08" w:rsidRPr="007E69D8" w:rsidRDefault="00115D08" w:rsidP="00115D08">
            <w:pPr>
              <w:spacing w:after="0" w:line="240" w:lineRule="auto"/>
              <w:rPr>
                <w:rFonts w:ascii="Arial" w:eastAsia="Times New Roman" w:hAnsi="Arial" w:cs="Arial"/>
                <w:b/>
                <w:bCs/>
                <w:color w:val="000000"/>
                <w:sz w:val="18"/>
                <w:szCs w:val="18"/>
                <w:lang w:val="es-ES_tradnl" w:eastAsia="es-ES"/>
              </w:rPr>
            </w:pPr>
            <w:r w:rsidRPr="42CD9B99">
              <w:rPr>
                <w:rFonts w:ascii="Arial" w:hAnsi="Arial" w:cs="Arial"/>
                <w:b/>
                <w:bCs/>
                <w:sz w:val="18"/>
                <w:szCs w:val="18"/>
                <w:lang w:val="es-ES"/>
              </w:rPr>
              <w:lastRenderedPageBreak/>
              <w:t xml:space="preserve">Indicador </w:t>
            </w:r>
            <w:r>
              <w:rPr>
                <w:rFonts w:ascii="Arial" w:hAnsi="Arial" w:cs="Arial"/>
                <w:b/>
                <w:bCs/>
                <w:sz w:val="18"/>
                <w:szCs w:val="18"/>
                <w:lang w:val="es-ES"/>
              </w:rPr>
              <w:t>3</w:t>
            </w:r>
            <w:r w:rsidRPr="42CD9B99">
              <w:rPr>
                <w:rFonts w:ascii="Arial" w:hAnsi="Arial" w:cs="Arial"/>
                <w:b/>
                <w:bCs/>
                <w:sz w:val="18"/>
                <w:szCs w:val="18"/>
                <w:lang w:val="es-ES"/>
              </w:rPr>
              <w:t xml:space="preserve"> </w:t>
            </w:r>
            <w:r w:rsidRPr="005B6FA9">
              <w:rPr>
                <w:rFonts w:ascii="Arial" w:hAnsi="Arial" w:cs="Arial"/>
                <w:sz w:val="18"/>
                <w:szCs w:val="18"/>
                <w:lang w:val="es-ES"/>
              </w:rPr>
              <w:t>Tasa de mora relativa, a los 12</w:t>
            </w:r>
            <w:r w:rsidR="004A229B">
              <w:rPr>
                <w:rFonts w:ascii="Arial" w:hAnsi="Arial" w:cs="Arial"/>
                <w:sz w:val="18"/>
                <w:szCs w:val="18"/>
                <w:lang w:val="es-ES"/>
              </w:rPr>
              <w:t> </w:t>
            </w:r>
            <w:r w:rsidRPr="005B6FA9">
              <w:rPr>
                <w:rFonts w:ascii="Arial" w:hAnsi="Arial" w:cs="Arial"/>
                <w:sz w:val="18"/>
                <w:szCs w:val="18"/>
                <w:lang w:val="es-ES"/>
              </w:rPr>
              <w:t xml:space="preserve">meses de comenzar el programa, en la cartera relevante de financiamiento de capital de trabajo colocada través de IFI frente a la tasa de mora de créditos a </w:t>
            </w:r>
            <w:r>
              <w:rPr>
                <w:rFonts w:ascii="Arial" w:hAnsi="Arial" w:cs="Arial"/>
                <w:sz w:val="18"/>
                <w:szCs w:val="18"/>
                <w:lang w:val="es-ES"/>
              </w:rPr>
              <w:t>microempresas</w:t>
            </w:r>
            <w:r w:rsidRPr="005B6FA9">
              <w:rPr>
                <w:rFonts w:ascii="Arial" w:hAnsi="Arial" w:cs="Arial"/>
                <w:sz w:val="18"/>
                <w:szCs w:val="18"/>
                <w:lang w:val="es-ES"/>
              </w:rPr>
              <w:t xml:space="preserve"> del sistema bancario nacional.</w:t>
            </w:r>
          </w:p>
        </w:tc>
        <w:tc>
          <w:tcPr>
            <w:tcW w:w="1552" w:type="dxa"/>
            <w:tcBorders>
              <w:top w:val="single" w:sz="8" w:space="0" w:color="000000"/>
              <w:left w:val="nil"/>
              <w:bottom w:val="nil"/>
              <w:right w:val="single" w:sz="8" w:space="0" w:color="000000"/>
            </w:tcBorders>
            <w:shd w:val="clear" w:color="auto" w:fill="auto"/>
            <w:vAlign w:val="center"/>
          </w:tcPr>
          <w:p w14:paraId="2974B64F" w14:textId="77777777" w:rsidR="00115D08" w:rsidRPr="007E69D8" w:rsidRDefault="00115D08" w:rsidP="00115D08">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US$ millones</w:t>
            </w:r>
          </w:p>
        </w:tc>
        <w:tc>
          <w:tcPr>
            <w:tcW w:w="1542" w:type="dxa"/>
            <w:tcBorders>
              <w:top w:val="single" w:sz="8" w:space="0" w:color="000000"/>
              <w:left w:val="nil"/>
              <w:bottom w:val="nil"/>
              <w:right w:val="single" w:sz="8" w:space="0" w:color="000000"/>
            </w:tcBorders>
            <w:shd w:val="clear" w:color="auto" w:fill="auto"/>
            <w:vAlign w:val="center"/>
          </w:tcPr>
          <w:p w14:paraId="7D82C073" w14:textId="7CD35A9C" w:rsidR="00115D08" w:rsidRPr="007E69D8" w:rsidRDefault="00115D08" w:rsidP="00115D08">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Pr>
                <w:rFonts w:ascii="Arial" w:eastAsia="Times New Roman" w:hAnsi="Arial" w:cs="Arial"/>
                <w:color w:val="000000"/>
                <w:sz w:val="18"/>
                <w:szCs w:val="18"/>
                <w:lang w:val="es-ES_tradnl" w:eastAsia="es-ES"/>
              </w:rPr>
              <w:t>B</w:t>
            </w:r>
            <w:r w:rsidR="00840F7B">
              <w:rPr>
                <w:rFonts w:ascii="Arial" w:eastAsia="Times New Roman" w:hAnsi="Arial" w:cs="Arial"/>
                <w:color w:val="000000"/>
                <w:sz w:val="18"/>
                <w:szCs w:val="18"/>
                <w:lang w:val="es-ES_tradnl" w:eastAsia="es-ES"/>
              </w:rPr>
              <w:t>NP</w:t>
            </w:r>
            <w:r>
              <w:rPr>
                <w:rFonts w:ascii="Arial" w:eastAsia="Times New Roman" w:hAnsi="Arial" w:cs="Arial"/>
                <w:color w:val="000000"/>
                <w:sz w:val="18"/>
                <w:szCs w:val="18"/>
                <w:lang w:val="es-ES_tradnl" w:eastAsia="es-ES"/>
              </w:rPr>
              <w:t xml:space="preserve"> y reportes financieros de la Superintendencia de Bancos de Panamá.</w:t>
            </w:r>
          </w:p>
        </w:tc>
        <w:tc>
          <w:tcPr>
            <w:tcW w:w="3625" w:type="dxa"/>
            <w:tcBorders>
              <w:top w:val="single" w:sz="8" w:space="0" w:color="000000"/>
              <w:left w:val="nil"/>
              <w:bottom w:val="nil"/>
              <w:right w:val="single" w:sz="8" w:space="0" w:color="000000"/>
            </w:tcBorders>
            <w:shd w:val="clear" w:color="auto" w:fill="auto"/>
            <w:vAlign w:val="center"/>
          </w:tcPr>
          <w:p w14:paraId="2D52C87C" w14:textId="77777777" w:rsidR="00115D08" w:rsidRDefault="00115D08" w:rsidP="00115D08">
            <w:pPr>
              <w:spacing w:before="20" w:after="120" w:line="240" w:lineRule="auto"/>
              <w:jc w:val="both"/>
              <w:rPr>
                <w:rFonts w:ascii="Arial" w:hAnsi="Arial" w:cs="Arial"/>
                <w:sz w:val="18"/>
                <w:szCs w:val="18"/>
                <w:lang w:val="es-ES"/>
              </w:rPr>
            </w:pPr>
            <w:r w:rsidRPr="000A4898">
              <w:rPr>
                <w:rFonts w:ascii="Arial" w:hAnsi="Arial" w:cs="Arial"/>
                <w:sz w:val="18"/>
                <w:szCs w:val="18"/>
                <w:lang w:val="es-ES"/>
              </w:rPr>
              <w:t>La línea de base se calculó de la siguiente manera: El numerador corresponde a la tasa de cartera vencida de las microfinancieras pertenecientes a REDPAMIF</w:t>
            </w:r>
            <w:r>
              <w:rPr>
                <w:rFonts w:ascii="Arial" w:hAnsi="Arial" w:cs="Arial"/>
                <w:sz w:val="18"/>
                <w:szCs w:val="18"/>
                <w:lang w:val="es-ES"/>
              </w:rPr>
              <w:t xml:space="preserve"> a diciembre 2019</w:t>
            </w:r>
            <w:r w:rsidRPr="000A4898">
              <w:rPr>
                <w:rFonts w:ascii="Arial" w:hAnsi="Arial" w:cs="Arial"/>
                <w:sz w:val="18"/>
                <w:szCs w:val="18"/>
                <w:lang w:val="es-ES"/>
              </w:rPr>
              <w:t>. El denominador corresponde a la tasa promedio de cartera vencida de créditos a microempresas del sector bancario nacional</w:t>
            </w:r>
            <w:r>
              <w:rPr>
                <w:rFonts w:ascii="Arial" w:hAnsi="Arial" w:cs="Arial"/>
                <w:sz w:val="18"/>
                <w:szCs w:val="18"/>
                <w:lang w:val="es-ES"/>
              </w:rPr>
              <w:t xml:space="preserve"> a febrero 2020.</w:t>
            </w:r>
          </w:p>
          <w:p w14:paraId="5BE1FC36" w14:textId="77777777" w:rsidR="00115D08" w:rsidRPr="00BF735D" w:rsidRDefault="00115D08" w:rsidP="00115D08">
            <w:pPr>
              <w:spacing w:before="20" w:after="120" w:line="240" w:lineRule="auto"/>
              <w:rPr>
                <w:rFonts w:ascii="Arial" w:hAnsi="Arial" w:cs="Arial"/>
                <w:sz w:val="18"/>
                <w:szCs w:val="18"/>
                <w:lang w:val="es-ES_tradnl"/>
              </w:rPr>
            </w:pPr>
            <w:r w:rsidRPr="00BF735D">
              <w:rPr>
                <w:rFonts w:ascii="Arial" w:hAnsi="Arial" w:cs="Arial"/>
                <w:sz w:val="18"/>
                <w:szCs w:val="18"/>
                <w:lang w:val="es-ES_tradnl"/>
              </w:rPr>
              <w:t>La meta final se calculará promediando la tasa de mora de l</w:t>
            </w:r>
            <w:r>
              <w:rPr>
                <w:rFonts w:ascii="Arial" w:hAnsi="Arial" w:cs="Arial"/>
                <w:sz w:val="18"/>
                <w:szCs w:val="18"/>
                <w:lang w:val="es-ES_tradnl"/>
              </w:rPr>
              <w:t>os créditos del numerado y denominador</w:t>
            </w:r>
            <w:r w:rsidRPr="00BF735D">
              <w:rPr>
                <w:rFonts w:ascii="Arial" w:hAnsi="Arial" w:cs="Arial"/>
                <w:sz w:val="18"/>
                <w:szCs w:val="18"/>
                <w:lang w:val="es-ES_tradnl"/>
              </w:rPr>
              <w:t xml:space="preserve">, </w:t>
            </w:r>
            <w:r>
              <w:rPr>
                <w:rFonts w:ascii="Arial" w:hAnsi="Arial" w:cs="Arial"/>
                <w:sz w:val="18"/>
                <w:szCs w:val="18"/>
                <w:lang w:val="es-ES_tradnl"/>
              </w:rPr>
              <w:t>12</w:t>
            </w:r>
            <w:r w:rsidRPr="00BF735D">
              <w:rPr>
                <w:rFonts w:ascii="Arial" w:hAnsi="Arial" w:cs="Arial"/>
                <w:sz w:val="18"/>
                <w:szCs w:val="18"/>
                <w:lang w:val="es-ES_tradnl"/>
              </w:rPr>
              <w:t xml:space="preserve"> meses después de recibir fondos del programa.</w:t>
            </w:r>
          </w:p>
          <w:p w14:paraId="3DE71DC6" w14:textId="53481712" w:rsidR="00115D08" w:rsidRPr="007E69D8" w:rsidRDefault="00115D08" w:rsidP="00115D08">
            <w:pPr>
              <w:spacing w:line="240" w:lineRule="auto"/>
              <w:jc w:val="both"/>
              <w:rPr>
                <w:rFonts w:ascii="Arial" w:eastAsia="Times New Roman" w:hAnsi="Arial" w:cs="Arial"/>
                <w:color w:val="000000"/>
                <w:sz w:val="18"/>
                <w:szCs w:val="18"/>
                <w:lang w:val="es-ES_tradnl" w:eastAsia="es-ES"/>
              </w:rPr>
            </w:pPr>
            <w:r w:rsidRPr="007E69D8">
              <w:rPr>
                <w:rFonts w:ascii="Arial" w:hAnsi="Arial" w:cs="Arial"/>
                <w:sz w:val="18"/>
                <w:szCs w:val="18"/>
                <w:lang w:val="es-ES_tradnl"/>
              </w:rPr>
              <w:t xml:space="preserve">Proyecciones más recientes estiman que el PIB </w:t>
            </w:r>
            <w:r>
              <w:rPr>
                <w:rFonts w:ascii="Arial" w:hAnsi="Arial" w:cs="Arial"/>
                <w:sz w:val="18"/>
                <w:szCs w:val="18"/>
                <w:lang w:val="es-ES_tradnl"/>
              </w:rPr>
              <w:t>de Panamá</w:t>
            </w:r>
            <w:r w:rsidRPr="007E69D8">
              <w:rPr>
                <w:rFonts w:ascii="Arial" w:hAnsi="Arial" w:cs="Arial"/>
                <w:sz w:val="18"/>
                <w:szCs w:val="18"/>
                <w:lang w:val="es-ES_tradnl"/>
              </w:rPr>
              <w:t xml:space="preserve"> se contraerá entre </w:t>
            </w:r>
            <w:r>
              <w:rPr>
                <w:rFonts w:ascii="Arial" w:hAnsi="Arial" w:cs="Arial"/>
                <w:sz w:val="18"/>
                <w:szCs w:val="18"/>
                <w:lang w:val="es-ES_tradnl"/>
              </w:rPr>
              <w:t>1</w:t>
            </w:r>
            <w:r w:rsidRPr="007E69D8">
              <w:rPr>
                <w:rFonts w:ascii="Arial" w:hAnsi="Arial" w:cs="Arial"/>
                <w:sz w:val="18"/>
                <w:szCs w:val="18"/>
                <w:lang w:val="es-ES_tradnl"/>
              </w:rPr>
              <w:t>% en 2020</w:t>
            </w:r>
            <w:r w:rsidRPr="007E69D8">
              <w:rPr>
                <w:rStyle w:val="FootnoteReference"/>
                <w:rFonts w:ascii="Arial" w:hAnsi="Arial" w:cs="Arial"/>
                <w:sz w:val="18"/>
                <w:szCs w:val="18"/>
                <w:lang w:val="es-ES_tradnl"/>
              </w:rPr>
              <w:footnoteReference w:id="23"/>
            </w:r>
            <w:r w:rsidRPr="007E69D8">
              <w:rPr>
                <w:rFonts w:ascii="Arial" w:hAnsi="Arial" w:cs="Arial"/>
                <w:sz w:val="18"/>
                <w:szCs w:val="18"/>
                <w:lang w:val="es-ES_tradnl"/>
              </w:rPr>
              <w:t xml:space="preserve"> como conse</w:t>
            </w:r>
            <w:r w:rsidRPr="00D30C5B">
              <w:rPr>
                <w:rFonts w:ascii="Arial" w:hAnsi="Arial" w:cs="Arial"/>
                <w:sz w:val="18"/>
                <w:szCs w:val="18"/>
                <w:lang w:val="es-PE"/>
              </w:rPr>
              <w:t>cuencia de la crisis. Más aún, se estima que 64% de las microempresas solo cuenta con recursos para mantenerse solvente durante un mes o menos, y que las ventas de estas caerán, respecto al 2019, en 61%-80%.</w:t>
            </w:r>
            <w:r w:rsidRPr="00D30C5B">
              <w:rPr>
                <w:rFonts w:ascii="Arial" w:hAnsi="Arial" w:cs="Arial"/>
                <w:sz w:val="18"/>
                <w:szCs w:val="18"/>
                <w:vertAlign w:val="superscript"/>
                <w:lang w:val="es-PE"/>
              </w:rPr>
              <w:footnoteReference w:id="24"/>
            </w:r>
            <w:r w:rsidRPr="00D30C5B">
              <w:rPr>
                <w:rFonts w:ascii="Arial" w:hAnsi="Arial" w:cs="Arial"/>
                <w:sz w:val="18"/>
                <w:szCs w:val="18"/>
                <w:lang w:val="es-PE"/>
              </w:rPr>
              <w:t xml:space="preserve"> </w:t>
            </w:r>
            <w:r>
              <w:rPr>
                <w:rFonts w:ascii="Arial" w:hAnsi="Arial" w:cs="Arial"/>
                <w:sz w:val="18"/>
                <w:szCs w:val="18"/>
                <w:lang w:val="es-PE"/>
              </w:rPr>
              <w:t>En la misma línea, e</w:t>
            </w:r>
            <w:r w:rsidRPr="00D30C5B">
              <w:rPr>
                <w:rFonts w:ascii="Arial" w:hAnsi="Arial" w:cs="Arial"/>
                <w:sz w:val="18"/>
                <w:szCs w:val="18"/>
                <w:lang w:val="es-PE"/>
              </w:rPr>
              <w:t>n base a experiencias previas en países de Sudamérica de efectos</w:t>
            </w:r>
            <w:r w:rsidRPr="007E69D8">
              <w:rPr>
                <w:rFonts w:ascii="Arial" w:hAnsi="Arial" w:cs="Arial"/>
                <w:sz w:val="18"/>
                <w:szCs w:val="18"/>
                <w:lang w:val="es-ES_tradnl"/>
              </w:rPr>
              <w:t xml:space="preserve"> de crisis financieras y económicas en las cuales hubo un impacto negativo sobre la demanda interna y, por tanto, sobre los ingresos de los micro y pequeños empresarios</w:t>
            </w:r>
            <w:r w:rsidRPr="007E69D8">
              <w:rPr>
                <w:rStyle w:val="FootnoteReference"/>
                <w:rFonts w:ascii="Arial" w:hAnsi="Arial" w:cs="Arial"/>
                <w:sz w:val="18"/>
                <w:szCs w:val="18"/>
                <w:lang w:val="es-ES_tradnl"/>
              </w:rPr>
              <w:footnoteReference w:id="25"/>
            </w:r>
            <w:r w:rsidRPr="007E69D8">
              <w:rPr>
                <w:rFonts w:ascii="Arial" w:hAnsi="Arial" w:cs="Arial"/>
                <w:sz w:val="18"/>
                <w:szCs w:val="18"/>
                <w:lang w:val="es-ES_tradnl"/>
              </w:rPr>
              <w:t xml:space="preserve">. Es de esperar, por tanto, que la presente crisis del COVID-19 impacte negativamente la morosidad las </w:t>
            </w:r>
            <w:r>
              <w:rPr>
                <w:rFonts w:ascii="Arial" w:hAnsi="Arial" w:cs="Arial"/>
                <w:sz w:val="18"/>
                <w:szCs w:val="18"/>
                <w:lang w:val="es-ES_tradnl"/>
              </w:rPr>
              <w:t>firmas</w:t>
            </w:r>
            <w:r w:rsidRPr="007E69D8">
              <w:rPr>
                <w:rFonts w:ascii="Arial" w:hAnsi="Arial" w:cs="Arial"/>
                <w:sz w:val="18"/>
                <w:szCs w:val="18"/>
                <w:lang w:val="es-ES_tradnl"/>
              </w:rPr>
              <w:t xml:space="preserve">. Dado que no se espera distinciones particulares entre </w:t>
            </w:r>
            <w:r>
              <w:rPr>
                <w:rFonts w:ascii="Arial" w:hAnsi="Arial" w:cs="Arial"/>
                <w:sz w:val="18"/>
                <w:szCs w:val="18"/>
                <w:lang w:val="es-ES_tradnl"/>
              </w:rPr>
              <w:t>las microempresas</w:t>
            </w:r>
            <w:r w:rsidRPr="007E69D8">
              <w:rPr>
                <w:rFonts w:ascii="Arial" w:hAnsi="Arial" w:cs="Arial"/>
                <w:sz w:val="18"/>
                <w:szCs w:val="18"/>
                <w:lang w:val="es-ES_tradnl"/>
              </w:rPr>
              <w:t xml:space="preserve"> beneficiadas por </w:t>
            </w:r>
            <w:r>
              <w:rPr>
                <w:rFonts w:ascii="Arial" w:hAnsi="Arial" w:cs="Arial"/>
                <w:sz w:val="18"/>
                <w:szCs w:val="18"/>
                <w:lang w:val="es-ES_tradnl"/>
              </w:rPr>
              <w:t>las IFI</w:t>
            </w:r>
            <w:r w:rsidRPr="007E69D8">
              <w:rPr>
                <w:rFonts w:ascii="Arial" w:hAnsi="Arial" w:cs="Arial"/>
                <w:sz w:val="18"/>
                <w:szCs w:val="18"/>
                <w:lang w:val="es-ES_tradnl"/>
              </w:rPr>
              <w:t xml:space="preserve"> y </w:t>
            </w:r>
            <w:r>
              <w:rPr>
                <w:rFonts w:ascii="Arial" w:hAnsi="Arial" w:cs="Arial"/>
                <w:sz w:val="18"/>
                <w:szCs w:val="18"/>
                <w:lang w:val="es-ES_tradnl"/>
              </w:rPr>
              <w:t>las microempresas promedio beneficiadas por el sistema bancario nacional</w:t>
            </w:r>
            <w:r w:rsidRPr="007E69D8">
              <w:rPr>
                <w:rFonts w:ascii="Arial" w:hAnsi="Arial" w:cs="Arial"/>
                <w:sz w:val="18"/>
                <w:szCs w:val="18"/>
                <w:lang w:val="es-ES_tradnl"/>
              </w:rPr>
              <w:t>, se espera que la ratio de 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No obstante, vale resaltar que un escenario optimista consistiría en una reducción de esta ratio a fines del programa.</w:t>
            </w:r>
            <w:r w:rsidRPr="00BF735D">
              <w:rPr>
                <w:rFonts w:ascii="Arial" w:hAnsi="Arial" w:cs="Arial"/>
                <w:sz w:val="18"/>
                <w:szCs w:val="18"/>
                <w:lang w:val="es-ES_tradnl"/>
              </w:rPr>
              <w:t xml:space="preserve"> </w:t>
            </w:r>
          </w:p>
        </w:tc>
      </w:tr>
      <w:tr w:rsidR="00115D08" w:rsidRPr="002056DF" w14:paraId="304B6DE1" w14:textId="77777777" w:rsidTr="007226F4">
        <w:trPr>
          <w:trHeight w:val="763"/>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251FE56D" w14:textId="2DCC52DE" w:rsidR="00115D08" w:rsidRPr="007E69D8" w:rsidRDefault="00115D08" w:rsidP="00115D08">
            <w:pPr>
              <w:spacing w:after="0" w:line="240" w:lineRule="auto"/>
              <w:rPr>
                <w:rFonts w:ascii="Arial" w:hAnsi="Arial" w:cs="Arial"/>
                <w:b/>
                <w:bCs/>
                <w:sz w:val="18"/>
                <w:szCs w:val="18"/>
                <w:lang w:val="es-ES_tradnl"/>
              </w:rPr>
            </w:pPr>
            <w:r w:rsidRPr="000E6C53">
              <w:rPr>
                <w:rFonts w:ascii="Arial" w:hAnsi="Arial" w:cs="Arial"/>
                <w:b/>
                <w:bCs/>
                <w:sz w:val="18"/>
                <w:szCs w:val="18"/>
                <w:lang w:val="es-ES"/>
              </w:rPr>
              <w:t xml:space="preserve">Indicador </w:t>
            </w:r>
            <w:r>
              <w:rPr>
                <w:rFonts w:ascii="Arial" w:hAnsi="Arial" w:cs="Arial"/>
                <w:b/>
                <w:bCs/>
                <w:sz w:val="18"/>
                <w:szCs w:val="18"/>
                <w:lang w:val="es-ES"/>
              </w:rPr>
              <w:t xml:space="preserve">4 </w:t>
            </w:r>
            <w:r w:rsidRPr="000E6C53">
              <w:rPr>
                <w:rFonts w:ascii="Arial" w:hAnsi="Arial" w:cs="Arial"/>
                <w:sz w:val="18"/>
                <w:szCs w:val="18"/>
                <w:lang w:val="es-ES"/>
              </w:rPr>
              <w:t>Tasa de mora relativa, a los 12</w:t>
            </w:r>
            <w:r w:rsidR="004A229B">
              <w:rPr>
                <w:rFonts w:ascii="Arial" w:hAnsi="Arial" w:cs="Arial"/>
                <w:sz w:val="18"/>
                <w:szCs w:val="18"/>
                <w:lang w:val="es-ES"/>
              </w:rPr>
              <w:t> </w:t>
            </w:r>
            <w:r w:rsidRPr="000E6C53">
              <w:rPr>
                <w:rFonts w:ascii="Arial" w:hAnsi="Arial" w:cs="Arial"/>
                <w:sz w:val="18"/>
                <w:szCs w:val="18"/>
                <w:lang w:val="es-ES"/>
              </w:rPr>
              <w:t xml:space="preserve">meses de comenzar el programa, en la cartera relevante de financiamiento de capital de trabajo colocada través de Banco Nacional a la tasa de mora de créditos </w:t>
            </w:r>
            <w:r w:rsidR="004A229B" w:rsidRPr="000E6C53">
              <w:rPr>
                <w:rFonts w:ascii="Arial" w:hAnsi="Arial" w:cs="Arial"/>
                <w:sz w:val="18"/>
                <w:szCs w:val="18"/>
                <w:lang w:val="es-ES"/>
              </w:rPr>
              <w:t xml:space="preserve">a </w:t>
            </w:r>
            <w:r w:rsidR="004A229B">
              <w:rPr>
                <w:rFonts w:ascii="Arial" w:hAnsi="Arial" w:cs="Arial"/>
                <w:sz w:val="18"/>
                <w:szCs w:val="18"/>
                <w:lang w:val="es-ES"/>
              </w:rPr>
              <w:t>pequeñas</w:t>
            </w:r>
            <w:r>
              <w:rPr>
                <w:rFonts w:ascii="Arial" w:hAnsi="Arial" w:cs="Arial"/>
                <w:sz w:val="18"/>
                <w:szCs w:val="18"/>
                <w:lang w:val="es-ES"/>
              </w:rPr>
              <w:t xml:space="preserve"> </w:t>
            </w:r>
            <w:r>
              <w:rPr>
                <w:rFonts w:ascii="Arial" w:hAnsi="Arial" w:cs="Arial"/>
                <w:sz w:val="18"/>
                <w:szCs w:val="18"/>
                <w:lang w:val="es-ES"/>
              </w:rPr>
              <w:lastRenderedPageBreak/>
              <w:t xml:space="preserve">empresas </w:t>
            </w:r>
            <w:r w:rsidRPr="000E6C53">
              <w:rPr>
                <w:rFonts w:ascii="Arial" w:hAnsi="Arial" w:cs="Arial"/>
                <w:sz w:val="18"/>
                <w:szCs w:val="18"/>
                <w:lang w:val="es-ES"/>
              </w:rPr>
              <w:t>del sistema bancario nacional</w:t>
            </w:r>
            <w:r>
              <w:rPr>
                <w:rFonts w:ascii="Arial" w:hAnsi="Arial" w:cs="Arial"/>
                <w:sz w:val="18"/>
                <w:szCs w:val="18"/>
                <w:lang w:val="es-ES"/>
              </w:rPr>
              <w:t>.</w:t>
            </w:r>
          </w:p>
        </w:tc>
        <w:tc>
          <w:tcPr>
            <w:tcW w:w="1552" w:type="dxa"/>
            <w:tcBorders>
              <w:top w:val="single" w:sz="8" w:space="0" w:color="000000"/>
              <w:left w:val="nil"/>
              <w:bottom w:val="nil"/>
              <w:right w:val="single" w:sz="8" w:space="0" w:color="000000"/>
            </w:tcBorders>
            <w:shd w:val="clear" w:color="auto" w:fill="auto"/>
            <w:vAlign w:val="center"/>
          </w:tcPr>
          <w:p w14:paraId="53B13CFF" w14:textId="77777777" w:rsidR="00115D08" w:rsidRPr="007E69D8" w:rsidRDefault="00115D08" w:rsidP="00115D08">
            <w:pPr>
              <w:spacing w:after="0" w:line="240" w:lineRule="auto"/>
              <w:jc w:val="center"/>
              <w:rPr>
                <w:rFonts w:ascii="Arial" w:hAnsi="Arial" w:cs="Arial"/>
                <w:sz w:val="18"/>
                <w:szCs w:val="18"/>
                <w:lang w:val="es-ES_tradnl"/>
              </w:rPr>
            </w:pPr>
            <w:r w:rsidRPr="007E69D8">
              <w:rPr>
                <w:rFonts w:ascii="Arial" w:hAnsi="Arial" w:cs="Arial"/>
                <w:sz w:val="18"/>
                <w:szCs w:val="18"/>
                <w:lang w:val="es-ES_tradnl"/>
              </w:rPr>
              <w:lastRenderedPageBreak/>
              <w:t>%</w:t>
            </w:r>
          </w:p>
        </w:tc>
        <w:tc>
          <w:tcPr>
            <w:tcW w:w="1542" w:type="dxa"/>
            <w:tcBorders>
              <w:top w:val="single" w:sz="8" w:space="0" w:color="000000"/>
              <w:left w:val="nil"/>
              <w:bottom w:val="nil"/>
              <w:right w:val="single" w:sz="8" w:space="0" w:color="000000"/>
            </w:tcBorders>
            <w:shd w:val="clear" w:color="auto" w:fill="auto"/>
            <w:vAlign w:val="center"/>
          </w:tcPr>
          <w:p w14:paraId="517DD788" w14:textId="1AA58279" w:rsidR="00115D08" w:rsidRPr="007E69D8" w:rsidRDefault="00115D08" w:rsidP="00115D08">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Pr>
                <w:rFonts w:ascii="Arial" w:eastAsia="Times New Roman" w:hAnsi="Arial" w:cs="Arial"/>
                <w:color w:val="000000"/>
                <w:sz w:val="18"/>
                <w:szCs w:val="18"/>
                <w:lang w:val="es-ES_tradnl" w:eastAsia="es-ES"/>
              </w:rPr>
              <w:t>B</w:t>
            </w:r>
            <w:r w:rsidR="00661C8A">
              <w:rPr>
                <w:rFonts w:ascii="Arial" w:eastAsia="Times New Roman" w:hAnsi="Arial" w:cs="Arial"/>
                <w:color w:val="000000"/>
                <w:sz w:val="18"/>
                <w:szCs w:val="18"/>
                <w:lang w:val="es-ES_tradnl" w:eastAsia="es-ES"/>
              </w:rPr>
              <w:t>NP</w:t>
            </w:r>
            <w:r>
              <w:rPr>
                <w:rFonts w:ascii="Arial" w:eastAsia="Times New Roman" w:hAnsi="Arial" w:cs="Arial"/>
                <w:color w:val="000000"/>
                <w:sz w:val="18"/>
                <w:szCs w:val="18"/>
                <w:lang w:val="es-ES_tradnl" w:eastAsia="es-ES"/>
              </w:rPr>
              <w:t xml:space="preserve"> y reportes financieros de la Superintendencia de Bancos de Panamá.</w:t>
            </w:r>
          </w:p>
        </w:tc>
        <w:tc>
          <w:tcPr>
            <w:tcW w:w="3625" w:type="dxa"/>
            <w:tcBorders>
              <w:top w:val="single" w:sz="8" w:space="0" w:color="000000"/>
              <w:left w:val="nil"/>
              <w:bottom w:val="nil"/>
              <w:right w:val="single" w:sz="8" w:space="0" w:color="000000"/>
            </w:tcBorders>
            <w:shd w:val="clear" w:color="auto" w:fill="auto"/>
            <w:vAlign w:val="center"/>
          </w:tcPr>
          <w:p w14:paraId="798ECE76" w14:textId="48230041" w:rsidR="00115D08" w:rsidRDefault="00115D08" w:rsidP="00115D08">
            <w:pPr>
              <w:spacing w:before="20" w:after="120" w:line="240" w:lineRule="auto"/>
              <w:jc w:val="both"/>
              <w:rPr>
                <w:rFonts w:ascii="Arial" w:hAnsi="Arial" w:cs="Arial"/>
                <w:sz w:val="18"/>
                <w:szCs w:val="18"/>
                <w:lang w:val="es-ES"/>
              </w:rPr>
            </w:pPr>
            <w:r w:rsidRPr="000D6824">
              <w:rPr>
                <w:rFonts w:ascii="Arial" w:hAnsi="Arial" w:cs="Arial"/>
                <w:sz w:val="18"/>
                <w:szCs w:val="18"/>
                <w:lang w:val="es-ES"/>
              </w:rPr>
              <w:t>La línea de base se calculó de la siguiente manera: El numerador corresponde a la tasa de cartera vencida de créditos a pequeñas empresas de B</w:t>
            </w:r>
            <w:r w:rsidR="00840F7B">
              <w:rPr>
                <w:rFonts w:ascii="Arial" w:hAnsi="Arial" w:cs="Arial"/>
                <w:sz w:val="18"/>
                <w:szCs w:val="18"/>
                <w:lang w:val="es-ES"/>
              </w:rPr>
              <w:t>NP</w:t>
            </w:r>
            <w:r w:rsidRPr="000D6824">
              <w:rPr>
                <w:rFonts w:ascii="Arial" w:hAnsi="Arial" w:cs="Arial"/>
                <w:sz w:val="18"/>
                <w:szCs w:val="18"/>
                <w:lang w:val="es-ES"/>
              </w:rPr>
              <w:t>. El denominador corresponde a la tasa promedio de cartera vencida de créditos a pequeñas empresas del sector bancario nacional</w:t>
            </w:r>
            <w:r>
              <w:rPr>
                <w:rFonts w:ascii="Arial" w:hAnsi="Arial" w:cs="Arial"/>
                <w:sz w:val="18"/>
                <w:szCs w:val="18"/>
                <w:lang w:val="es-ES"/>
              </w:rPr>
              <w:t>. Ambas cifras son a febrero 2020.</w:t>
            </w:r>
          </w:p>
          <w:p w14:paraId="76937D93" w14:textId="77777777" w:rsidR="00115D08" w:rsidRPr="00BF735D" w:rsidRDefault="00115D08" w:rsidP="00115D08">
            <w:pPr>
              <w:spacing w:before="20" w:after="120" w:line="240" w:lineRule="auto"/>
              <w:rPr>
                <w:rFonts w:ascii="Arial" w:hAnsi="Arial" w:cs="Arial"/>
                <w:sz w:val="18"/>
                <w:szCs w:val="18"/>
                <w:lang w:val="es-ES_tradnl"/>
              </w:rPr>
            </w:pPr>
            <w:r w:rsidRPr="00BF735D">
              <w:rPr>
                <w:rFonts w:ascii="Arial" w:hAnsi="Arial" w:cs="Arial"/>
                <w:sz w:val="18"/>
                <w:szCs w:val="18"/>
                <w:lang w:val="es-ES_tradnl"/>
              </w:rPr>
              <w:t>La meta final se calculará promediando la tasa de mora de l</w:t>
            </w:r>
            <w:r>
              <w:rPr>
                <w:rFonts w:ascii="Arial" w:hAnsi="Arial" w:cs="Arial"/>
                <w:sz w:val="18"/>
                <w:szCs w:val="18"/>
                <w:lang w:val="es-ES_tradnl"/>
              </w:rPr>
              <w:t xml:space="preserve">os créditos del numerado </w:t>
            </w:r>
            <w:r>
              <w:rPr>
                <w:rFonts w:ascii="Arial" w:hAnsi="Arial" w:cs="Arial"/>
                <w:sz w:val="18"/>
                <w:szCs w:val="18"/>
                <w:lang w:val="es-ES_tradnl"/>
              </w:rPr>
              <w:lastRenderedPageBreak/>
              <w:t>y denominador</w:t>
            </w:r>
            <w:r w:rsidRPr="00BF735D">
              <w:rPr>
                <w:rFonts w:ascii="Arial" w:hAnsi="Arial" w:cs="Arial"/>
                <w:sz w:val="18"/>
                <w:szCs w:val="18"/>
                <w:lang w:val="es-ES_tradnl"/>
              </w:rPr>
              <w:t xml:space="preserve">, </w:t>
            </w:r>
            <w:r>
              <w:rPr>
                <w:rFonts w:ascii="Arial" w:hAnsi="Arial" w:cs="Arial"/>
                <w:sz w:val="18"/>
                <w:szCs w:val="18"/>
                <w:lang w:val="es-ES_tradnl"/>
              </w:rPr>
              <w:t>12</w:t>
            </w:r>
            <w:r w:rsidRPr="00BF735D">
              <w:rPr>
                <w:rFonts w:ascii="Arial" w:hAnsi="Arial" w:cs="Arial"/>
                <w:sz w:val="18"/>
                <w:szCs w:val="18"/>
                <w:lang w:val="es-ES_tradnl"/>
              </w:rPr>
              <w:t xml:space="preserve"> meses después de recibir fondos del programa.</w:t>
            </w:r>
          </w:p>
          <w:p w14:paraId="63C24E87" w14:textId="021DF3D6" w:rsidR="00115D08" w:rsidRPr="007E69D8" w:rsidRDefault="00AD3C98" w:rsidP="00115D08">
            <w:pPr>
              <w:spacing w:line="240" w:lineRule="auto"/>
              <w:jc w:val="both"/>
              <w:rPr>
                <w:rFonts w:ascii="Arial" w:hAnsi="Arial" w:cs="Arial"/>
                <w:sz w:val="18"/>
                <w:szCs w:val="18"/>
                <w:lang w:val="es-ES_tradnl" w:eastAsia="zh-CN"/>
              </w:rPr>
            </w:pPr>
            <w:r w:rsidRPr="007E69D8">
              <w:rPr>
                <w:rFonts w:ascii="Arial" w:hAnsi="Arial" w:cs="Arial"/>
                <w:sz w:val="18"/>
                <w:szCs w:val="18"/>
                <w:lang w:val="es-ES_tradnl"/>
              </w:rPr>
              <w:t xml:space="preserve">Proyecciones más recientes estiman que el PIB </w:t>
            </w:r>
            <w:r>
              <w:rPr>
                <w:rFonts w:ascii="Arial" w:hAnsi="Arial" w:cs="Arial"/>
                <w:sz w:val="18"/>
                <w:szCs w:val="18"/>
                <w:lang w:val="es-ES_tradnl"/>
              </w:rPr>
              <w:t>de Panamá</w:t>
            </w:r>
            <w:r w:rsidRPr="007E69D8">
              <w:rPr>
                <w:rFonts w:ascii="Arial" w:hAnsi="Arial" w:cs="Arial"/>
                <w:sz w:val="18"/>
                <w:szCs w:val="18"/>
                <w:lang w:val="es-ES_tradnl"/>
              </w:rPr>
              <w:t xml:space="preserve"> se contraerá entre </w:t>
            </w:r>
            <w:r>
              <w:rPr>
                <w:rFonts w:ascii="Arial" w:hAnsi="Arial" w:cs="Arial"/>
                <w:sz w:val="18"/>
                <w:szCs w:val="18"/>
                <w:lang w:val="es-ES_tradnl"/>
              </w:rPr>
              <w:t>1</w:t>
            </w:r>
            <w:r w:rsidRPr="007E69D8">
              <w:rPr>
                <w:rFonts w:ascii="Arial" w:hAnsi="Arial" w:cs="Arial"/>
                <w:sz w:val="18"/>
                <w:szCs w:val="18"/>
                <w:lang w:val="es-ES_tradnl"/>
              </w:rPr>
              <w:t>% en 2020</w:t>
            </w:r>
            <w:r w:rsidRPr="007E69D8">
              <w:rPr>
                <w:rStyle w:val="FootnoteReference"/>
                <w:rFonts w:ascii="Arial" w:hAnsi="Arial" w:cs="Arial"/>
                <w:sz w:val="18"/>
                <w:szCs w:val="18"/>
                <w:lang w:val="es-ES_tradnl"/>
              </w:rPr>
              <w:footnoteReference w:id="26"/>
            </w:r>
            <w:r w:rsidRPr="007E69D8">
              <w:rPr>
                <w:rFonts w:ascii="Arial" w:hAnsi="Arial" w:cs="Arial"/>
                <w:sz w:val="18"/>
                <w:szCs w:val="18"/>
                <w:lang w:val="es-ES_tradnl"/>
              </w:rPr>
              <w:t xml:space="preserve"> como conse</w:t>
            </w:r>
            <w:r w:rsidRPr="00D30C5B">
              <w:rPr>
                <w:rFonts w:ascii="Arial" w:hAnsi="Arial" w:cs="Arial"/>
                <w:sz w:val="18"/>
                <w:szCs w:val="18"/>
                <w:lang w:val="es-PE"/>
              </w:rPr>
              <w:t xml:space="preserve">cuencia de la crisis. Más aún, se estima que </w:t>
            </w:r>
            <w:r>
              <w:rPr>
                <w:rFonts w:ascii="Arial" w:hAnsi="Arial" w:cs="Arial"/>
                <w:sz w:val="18"/>
                <w:szCs w:val="18"/>
                <w:lang w:val="es-PE"/>
              </w:rPr>
              <w:t>47</w:t>
            </w:r>
            <w:r w:rsidRPr="00D30C5B">
              <w:rPr>
                <w:rFonts w:ascii="Arial" w:hAnsi="Arial" w:cs="Arial"/>
                <w:sz w:val="18"/>
                <w:szCs w:val="18"/>
                <w:lang w:val="es-PE"/>
              </w:rPr>
              <w:t xml:space="preserve">% de las </w:t>
            </w:r>
            <w:r>
              <w:rPr>
                <w:rFonts w:ascii="Arial" w:hAnsi="Arial" w:cs="Arial"/>
                <w:sz w:val="18"/>
                <w:szCs w:val="18"/>
                <w:lang w:val="es-PE"/>
              </w:rPr>
              <w:t>pequeñas empresas</w:t>
            </w:r>
            <w:r w:rsidRPr="00D30C5B">
              <w:rPr>
                <w:rFonts w:ascii="Arial" w:hAnsi="Arial" w:cs="Arial"/>
                <w:sz w:val="18"/>
                <w:szCs w:val="18"/>
                <w:lang w:val="es-PE"/>
              </w:rPr>
              <w:t xml:space="preserve"> solo cuenta con recursos para mantenerse solvente durante un mes o menos, y que las ventas de estas caerán, respecto al 2019, en </w:t>
            </w:r>
            <w:r>
              <w:rPr>
                <w:rFonts w:ascii="Arial" w:hAnsi="Arial" w:cs="Arial"/>
                <w:sz w:val="18"/>
                <w:szCs w:val="18"/>
                <w:lang w:val="es-PE"/>
              </w:rPr>
              <w:t>4</w:t>
            </w:r>
            <w:r w:rsidRPr="00D30C5B">
              <w:rPr>
                <w:rFonts w:ascii="Arial" w:hAnsi="Arial" w:cs="Arial"/>
                <w:sz w:val="18"/>
                <w:szCs w:val="18"/>
                <w:lang w:val="es-PE"/>
              </w:rPr>
              <w:t>1%-</w:t>
            </w:r>
            <w:r>
              <w:rPr>
                <w:rFonts w:ascii="Arial" w:hAnsi="Arial" w:cs="Arial"/>
                <w:sz w:val="18"/>
                <w:szCs w:val="18"/>
                <w:lang w:val="es-PE"/>
              </w:rPr>
              <w:t>6</w:t>
            </w:r>
            <w:r w:rsidRPr="00D30C5B">
              <w:rPr>
                <w:rFonts w:ascii="Arial" w:hAnsi="Arial" w:cs="Arial"/>
                <w:sz w:val="18"/>
                <w:szCs w:val="18"/>
                <w:lang w:val="es-PE"/>
              </w:rPr>
              <w:t>0%.</w:t>
            </w:r>
            <w:r w:rsidRPr="00D30C5B">
              <w:rPr>
                <w:rFonts w:ascii="Arial" w:hAnsi="Arial" w:cs="Arial"/>
                <w:sz w:val="18"/>
                <w:szCs w:val="18"/>
                <w:vertAlign w:val="superscript"/>
                <w:lang w:val="es-PE"/>
              </w:rPr>
              <w:footnoteReference w:id="27"/>
            </w:r>
            <w:r w:rsidRPr="00D30C5B">
              <w:rPr>
                <w:rFonts w:ascii="Arial" w:hAnsi="Arial" w:cs="Arial"/>
                <w:sz w:val="18"/>
                <w:szCs w:val="18"/>
                <w:lang w:val="es-PE"/>
              </w:rPr>
              <w:t xml:space="preserve"> </w:t>
            </w:r>
            <w:r>
              <w:rPr>
                <w:rFonts w:ascii="Arial" w:hAnsi="Arial" w:cs="Arial"/>
                <w:sz w:val="18"/>
                <w:szCs w:val="18"/>
                <w:lang w:val="es-PE"/>
              </w:rPr>
              <w:t>En la misma línea, e</w:t>
            </w:r>
            <w:r w:rsidRPr="00D30C5B">
              <w:rPr>
                <w:rFonts w:ascii="Arial" w:hAnsi="Arial" w:cs="Arial"/>
                <w:sz w:val="18"/>
                <w:szCs w:val="18"/>
                <w:lang w:val="es-PE"/>
              </w:rPr>
              <w:t>n base a experiencias previas en países de Sudamérica de efectos</w:t>
            </w:r>
            <w:r w:rsidRPr="007E69D8">
              <w:rPr>
                <w:rFonts w:ascii="Arial" w:hAnsi="Arial" w:cs="Arial"/>
                <w:sz w:val="18"/>
                <w:szCs w:val="18"/>
                <w:lang w:val="es-ES_tradnl"/>
              </w:rPr>
              <w:t xml:space="preserve"> de crisis financieras y económicas en las cuales hubo un impacto negativo sobre la demanda interna y, por tanto, sobre los ingresos de los micro y pequeños empresarios</w:t>
            </w:r>
            <w:r w:rsidRPr="007E69D8">
              <w:rPr>
                <w:rStyle w:val="FootnoteReference"/>
                <w:rFonts w:ascii="Arial" w:hAnsi="Arial" w:cs="Arial"/>
                <w:sz w:val="18"/>
                <w:szCs w:val="18"/>
                <w:lang w:val="es-ES_tradnl"/>
              </w:rPr>
              <w:footnoteReference w:id="28"/>
            </w:r>
            <w:r w:rsidRPr="007E69D8">
              <w:rPr>
                <w:rFonts w:ascii="Arial" w:hAnsi="Arial" w:cs="Arial"/>
                <w:sz w:val="18"/>
                <w:szCs w:val="18"/>
                <w:lang w:val="es-ES_tradnl"/>
              </w:rPr>
              <w:t xml:space="preserve">. Es de esperar, por tanto, que la presente crisis del COVID-19 impacte negativamente la morosidad las </w:t>
            </w:r>
            <w:r>
              <w:rPr>
                <w:rFonts w:ascii="Arial" w:hAnsi="Arial" w:cs="Arial"/>
                <w:sz w:val="18"/>
                <w:szCs w:val="18"/>
                <w:lang w:val="es-ES_tradnl"/>
              </w:rPr>
              <w:t>firmas</w:t>
            </w:r>
            <w:r w:rsidRPr="007E69D8">
              <w:rPr>
                <w:rFonts w:ascii="Arial" w:hAnsi="Arial" w:cs="Arial"/>
                <w:sz w:val="18"/>
                <w:szCs w:val="18"/>
                <w:lang w:val="es-ES_tradnl"/>
              </w:rPr>
              <w:t xml:space="preserve">. Dado que no se espera distinciones particulares entre </w:t>
            </w:r>
            <w:r>
              <w:rPr>
                <w:rFonts w:ascii="Arial" w:hAnsi="Arial" w:cs="Arial"/>
                <w:sz w:val="18"/>
                <w:szCs w:val="18"/>
                <w:lang w:val="es-ES_tradnl"/>
              </w:rPr>
              <w:t xml:space="preserve">las </w:t>
            </w:r>
            <w:r w:rsidR="005664AC">
              <w:rPr>
                <w:rFonts w:ascii="Arial" w:hAnsi="Arial" w:cs="Arial"/>
                <w:sz w:val="18"/>
                <w:szCs w:val="18"/>
                <w:lang w:val="es-ES_tradnl"/>
              </w:rPr>
              <w:t xml:space="preserve">pequeñas empresas </w:t>
            </w:r>
            <w:r w:rsidRPr="007E69D8">
              <w:rPr>
                <w:rFonts w:ascii="Arial" w:hAnsi="Arial" w:cs="Arial"/>
                <w:sz w:val="18"/>
                <w:szCs w:val="18"/>
                <w:lang w:val="es-ES_tradnl"/>
              </w:rPr>
              <w:t xml:space="preserve"> beneficiadas por </w:t>
            </w:r>
            <w:r w:rsidR="00B9487E">
              <w:rPr>
                <w:rFonts w:ascii="Arial" w:hAnsi="Arial" w:cs="Arial"/>
                <w:sz w:val="18"/>
                <w:szCs w:val="18"/>
                <w:lang w:val="es-ES_tradnl"/>
              </w:rPr>
              <w:t>B</w:t>
            </w:r>
            <w:r w:rsidR="00840F7B">
              <w:rPr>
                <w:rFonts w:ascii="Arial" w:hAnsi="Arial" w:cs="Arial"/>
                <w:sz w:val="18"/>
                <w:szCs w:val="18"/>
                <w:lang w:val="es-ES_tradnl"/>
              </w:rPr>
              <w:t>NP</w:t>
            </w:r>
            <w:r w:rsidRPr="007E69D8">
              <w:rPr>
                <w:rFonts w:ascii="Arial" w:hAnsi="Arial" w:cs="Arial"/>
                <w:sz w:val="18"/>
                <w:szCs w:val="18"/>
                <w:lang w:val="es-ES_tradnl"/>
              </w:rPr>
              <w:t xml:space="preserve"> y </w:t>
            </w:r>
            <w:r>
              <w:rPr>
                <w:rFonts w:ascii="Arial" w:hAnsi="Arial" w:cs="Arial"/>
                <w:sz w:val="18"/>
                <w:szCs w:val="18"/>
                <w:lang w:val="es-ES_tradnl"/>
              </w:rPr>
              <w:t xml:space="preserve">las </w:t>
            </w:r>
            <w:r w:rsidR="00B9487E">
              <w:rPr>
                <w:rFonts w:ascii="Arial" w:hAnsi="Arial" w:cs="Arial"/>
                <w:sz w:val="18"/>
                <w:szCs w:val="18"/>
                <w:lang w:val="es-ES_tradnl"/>
              </w:rPr>
              <w:t>empresas</w:t>
            </w:r>
            <w:r>
              <w:rPr>
                <w:rFonts w:ascii="Arial" w:hAnsi="Arial" w:cs="Arial"/>
                <w:sz w:val="18"/>
                <w:szCs w:val="18"/>
                <w:lang w:val="es-ES_tradnl"/>
              </w:rPr>
              <w:t xml:space="preserve"> promedio beneficiadas por el sistema bancario nacional</w:t>
            </w:r>
            <w:r w:rsidRPr="007E69D8">
              <w:rPr>
                <w:rFonts w:ascii="Arial" w:hAnsi="Arial" w:cs="Arial"/>
                <w:sz w:val="18"/>
                <w:szCs w:val="18"/>
                <w:lang w:val="es-ES_tradnl"/>
              </w:rPr>
              <w:t>, se espera que la ratio de 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No obstante, vale resaltar que un escenario optimista consistiría en una reducción de esta ratio a fines del programa.</w:t>
            </w:r>
          </w:p>
        </w:tc>
      </w:tr>
      <w:tr w:rsidR="0006222F" w:rsidRPr="002056DF" w14:paraId="3BEFAA81" w14:textId="77777777" w:rsidTr="007226F4">
        <w:trPr>
          <w:trHeight w:val="313"/>
          <w:jc w:val="right"/>
        </w:trPr>
        <w:tc>
          <w:tcPr>
            <w:tcW w:w="8813" w:type="dxa"/>
            <w:gridSpan w:val="4"/>
            <w:tcBorders>
              <w:top w:val="single" w:sz="8" w:space="0" w:color="000000"/>
              <w:left w:val="single" w:sz="8" w:space="0" w:color="000000"/>
              <w:bottom w:val="nil"/>
              <w:right w:val="single" w:sz="8" w:space="0" w:color="000000"/>
            </w:tcBorders>
            <w:shd w:val="clear" w:color="auto" w:fill="auto"/>
            <w:vAlign w:val="center"/>
          </w:tcPr>
          <w:p w14:paraId="765F2A88" w14:textId="4E1CA5DF" w:rsidR="0006222F" w:rsidRPr="000D6824" w:rsidRDefault="0006222F" w:rsidP="0006222F">
            <w:pPr>
              <w:spacing w:before="20" w:after="120" w:line="240" w:lineRule="auto"/>
              <w:jc w:val="both"/>
              <w:rPr>
                <w:rFonts w:ascii="Arial" w:hAnsi="Arial" w:cs="Arial"/>
                <w:sz w:val="18"/>
                <w:szCs w:val="18"/>
                <w:lang w:val="es-ES"/>
              </w:rPr>
            </w:pPr>
            <w:r>
              <w:rPr>
                <w:rFonts w:ascii="Arial" w:hAnsi="Arial" w:cs="Arial"/>
                <w:b/>
                <w:sz w:val="18"/>
                <w:szCs w:val="18"/>
                <w:u w:val="single"/>
                <w:lang w:val="es-ES" w:eastAsia="zh-CN"/>
              </w:rPr>
              <w:lastRenderedPageBreak/>
              <w:t>Objetivo específico</w:t>
            </w:r>
            <w:r w:rsidRPr="00865DAC">
              <w:rPr>
                <w:rFonts w:ascii="Arial" w:hAnsi="Arial" w:cs="Arial"/>
                <w:b/>
                <w:sz w:val="18"/>
                <w:szCs w:val="18"/>
                <w:u w:val="single"/>
                <w:lang w:val="es-ES" w:eastAsia="zh-CN"/>
              </w:rPr>
              <w:t xml:space="preserve"> 2: </w:t>
            </w:r>
            <w:r w:rsidRPr="00507413">
              <w:rPr>
                <w:rFonts w:ascii="Arial" w:hAnsi="Arial" w:cs="Arial"/>
                <w:b/>
                <w:sz w:val="18"/>
                <w:szCs w:val="18"/>
                <w:u w:val="single"/>
                <w:lang w:val="es-ES" w:eastAsia="zh-CN"/>
              </w:rPr>
              <w:t xml:space="preserve"> </w:t>
            </w:r>
            <w:r>
              <w:rPr>
                <w:rFonts w:ascii="Arial" w:hAnsi="Arial" w:cs="Arial"/>
                <w:b/>
                <w:sz w:val="18"/>
                <w:szCs w:val="18"/>
                <w:u w:val="single"/>
                <w:lang w:val="es-ES" w:eastAsia="zh-CN"/>
              </w:rPr>
              <w:t>P</w:t>
            </w:r>
            <w:r w:rsidRPr="00507413">
              <w:rPr>
                <w:rFonts w:ascii="Arial" w:hAnsi="Arial" w:cs="Arial"/>
                <w:b/>
                <w:sz w:val="18"/>
                <w:szCs w:val="18"/>
                <w:u w:val="single"/>
                <w:lang w:val="es-ES" w:eastAsia="zh-CN"/>
              </w:rPr>
              <w:t>romover la recuperación económica de las MIPYME a través del acceso al financiamiento productivo</w:t>
            </w:r>
          </w:p>
        </w:tc>
      </w:tr>
      <w:tr w:rsidR="00D33D3D" w:rsidRPr="002056DF" w14:paraId="1E19A8B8" w14:textId="77777777" w:rsidTr="007226F4">
        <w:trPr>
          <w:trHeight w:val="763"/>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0E52B2F9" w14:textId="4C1CE6E3" w:rsidR="00D33D3D" w:rsidRPr="000E6C53" w:rsidRDefault="00D33D3D" w:rsidP="00D33D3D">
            <w:pPr>
              <w:spacing w:after="0" w:line="240" w:lineRule="auto"/>
              <w:rPr>
                <w:rFonts w:ascii="Arial" w:hAnsi="Arial" w:cs="Arial"/>
                <w:b/>
                <w:bCs/>
                <w:sz w:val="18"/>
                <w:szCs w:val="18"/>
                <w:lang w:val="es-ES"/>
              </w:rPr>
            </w:pPr>
            <w:r w:rsidRPr="00865DAC">
              <w:rPr>
                <w:rFonts w:ascii="Arial" w:hAnsi="Arial" w:cs="Arial"/>
                <w:b/>
                <w:sz w:val="18"/>
                <w:szCs w:val="18"/>
                <w:lang w:val="es-ES"/>
              </w:rPr>
              <w:t xml:space="preserve">Indicador </w:t>
            </w:r>
            <w:r>
              <w:rPr>
                <w:rFonts w:ascii="Arial" w:hAnsi="Arial" w:cs="Arial"/>
                <w:b/>
                <w:sz w:val="18"/>
                <w:szCs w:val="18"/>
                <w:lang w:val="es-ES"/>
              </w:rPr>
              <w:t>1</w:t>
            </w:r>
            <w:r w:rsidRPr="00865DAC">
              <w:rPr>
                <w:rFonts w:ascii="Arial" w:hAnsi="Arial" w:cs="Arial"/>
                <w:b/>
                <w:sz w:val="18"/>
                <w:szCs w:val="18"/>
                <w:lang w:val="es-ES"/>
              </w:rPr>
              <w:t>:</w:t>
            </w:r>
            <w:r w:rsidRPr="00865DAC">
              <w:rPr>
                <w:rFonts w:ascii="Arial" w:hAnsi="Arial" w:cs="Arial"/>
                <w:sz w:val="18"/>
                <w:szCs w:val="18"/>
                <w:lang w:val="es-ES"/>
              </w:rPr>
              <w:t xml:space="preserve"> </w:t>
            </w:r>
            <w:r>
              <w:rPr>
                <w:rFonts w:ascii="Arial" w:hAnsi="Arial" w:cs="Arial"/>
                <w:sz w:val="18"/>
                <w:szCs w:val="18"/>
                <w:lang w:val="es-ES"/>
              </w:rPr>
              <w:t xml:space="preserve">Tasa de mora </w:t>
            </w:r>
            <w:r w:rsidRPr="3E63F590">
              <w:rPr>
                <w:rFonts w:ascii="Arial" w:hAnsi="Arial" w:cs="Arial"/>
                <w:sz w:val="18"/>
                <w:szCs w:val="18"/>
                <w:lang w:val="es-ES"/>
              </w:rPr>
              <w:t xml:space="preserve">relativa </w:t>
            </w:r>
            <w:r>
              <w:rPr>
                <w:rFonts w:ascii="Arial" w:hAnsi="Arial" w:cs="Arial"/>
                <w:sz w:val="18"/>
                <w:szCs w:val="18"/>
                <w:lang w:val="es-ES"/>
              </w:rPr>
              <w:t>de la cartera relevante apoyada con recursos del programa</w:t>
            </w:r>
            <w:r w:rsidRPr="3E63F590">
              <w:rPr>
                <w:rFonts w:ascii="Arial" w:hAnsi="Arial" w:cs="Arial"/>
                <w:sz w:val="18"/>
                <w:szCs w:val="18"/>
                <w:lang w:val="es-ES"/>
              </w:rPr>
              <w:t xml:space="preserve"> frente a la tasa de mora </w:t>
            </w:r>
            <w:r>
              <w:rPr>
                <w:rFonts w:ascii="Arial" w:hAnsi="Arial" w:cs="Arial"/>
                <w:sz w:val="18"/>
                <w:szCs w:val="18"/>
                <w:lang w:val="es-ES"/>
              </w:rPr>
              <w:t xml:space="preserve">de créditos a PYME </w:t>
            </w:r>
            <w:r w:rsidRPr="3E63F590">
              <w:rPr>
                <w:rFonts w:ascii="Arial" w:hAnsi="Arial" w:cs="Arial"/>
                <w:sz w:val="18"/>
                <w:szCs w:val="18"/>
                <w:lang w:val="es-ES"/>
              </w:rPr>
              <w:t>de</w:t>
            </w:r>
            <w:r>
              <w:rPr>
                <w:rFonts w:ascii="Arial" w:hAnsi="Arial" w:cs="Arial"/>
                <w:sz w:val="18"/>
                <w:szCs w:val="18"/>
                <w:lang w:val="es-ES"/>
              </w:rPr>
              <w:t>l sistema bancario nacional</w:t>
            </w:r>
            <w:r w:rsidRPr="3E63F590">
              <w:rPr>
                <w:rFonts w:ascii="Arial" w:hAnsi="Arial" w:cs="Arial"/>
                <w:sz w:val="18"/>
                <w:szCs w:val="18"/>
                <w:lang w:val="es-ES"/>
              </w:rPr>
              <w:t>.</w:t>
            </w:r>
          </w:p>
        </w:tc>
        <w:tc>
          <w:tcPr>
            <w:tcW w:w="1552" w:type="dxa"/>
            <w:tcBorders>
              <w:top w:val="single" w:sz="8" w:space="0" w:color="000000"/>
              <w:left w:val="nil"/>
              <w:bottom w:val="nil"/>
              <w:right w:val="single" w:sz="8" w:space="0" w:color="000000"/>
            </w:tcBorders>
            <w:shd w:val="clear" w:color="auto" w:fill="auto"/>
            <w:vAlign w:val="center"/>
          </w:tcPr>
          <w:p w14:paraId="15A8BF78" w14:textId="2A44633B" w:rsidR="00D33D3D" w:rsidRPr="007E69D8" w:rsidRDefault="00D33D3D" w:rsidP="00D33D3D">
            <w:pPr>
              <w:spacing w:after="0" w:line="240" w:lineRule="auto"/>
              <w:jc w:val="center"/>
              <w:rPr>
                <w:rFonts w:ascii="Arial" w:hAnsi="Arial" w:cs="Arial"/>
                <w:sz w:val="18"/>
                <w:szCs w:val="18"/>
                <w:lang w:val="es-ES_tradnl"/>
              </w:rPr>
            </w:pPr>
            <w:r w:rsidRPr="00865DAC">
              <w:rPr>
                <w:rFonts w:ascii="Arial" w:hAnsi="Arial" w:cs="Arial"/>
                <w:sz w:val="18"/>
                <w:szCs w:val="18"/>
                <w:lang w:val="es-ES"/>
              </w:rPr>
              <w:t>%</w:t>
            </w:r>
          </w:p>
        </w:tc>
        <w:tc>
          <w:tcPr>
            <w:tcW w:w="1542" w:type="dxa"/>
            <w:tcBorders>
              <w:top w:val="single" w:sz="8" w:space="0" w:color="000000"/>
              <w:left w:val="nil"/>
              <w:bottom w:val="nil"/>
              <w:right w:val="single" w:sz="8" w:space="0" w:color="000000"/>
            </w:tcBorders>
            <w:shd w:val="clear" w:color="auto" w:fill="auto"/>
            <w:vAlign w:val="center"/>
          </w:tcPr>
          <w:p w14:paraId="05C61D3D" w14:textId="26B84817" w:rsidR="00D33D3D" w:rsidRPr="001F731F" w:rsidRDefault="00D33D3D" w:rsidP="00D33D3D">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sidR="00661C8A">
              <w:rPr>
                <w:rFonts w:ascii="Arial" w:eastAsia="Times New Roman" w:hAnsi="Arial" w:cs="Arial"/>
                <w:color w:val="000000"/>
                <w:sz w:val="18"/>
                <w:szCs w:val="18"/>
                <w:lang w:val="es-ES_tradnl" w:eastAsia="es-ES"/>
              </w:rPr>
              <w:t>BNP</w:t>
            </w:r>
            <w:r>
              <w:rPr>
                <w:rFonts w:ascii="Arial" w:eastAsia="Times New Roman" w:hAnsi="Arial" w:cs="Arial"/>
                <w:color w:val="000000"/>
                <w:sz w:val="18"/>
                <w:szCs w:val="18"/>
                <w:lang w:val="es-ES_tradnl" w:eastAsia="es-ES"/>
              </w:rPr>
              <w:t xml:space="preserve"> y reportes financieros de la Superintendencia de Bancos de Panamá.</w:t>
            </w:r>
          </w:p>
        </w:tc>
        <w:tc>
          <w:tcPr>
            <w:tcW w:w="3625" w:type="dxa"/>
            <w:tcBorders>
              <w:top w:val="single" w:sz="8" w:space="0" w:color="000000"/>
              <w:left w:val="nil"/>
              <w:bottom w:val="nil"/>
              <w:right w:val="single" w:sz="8" w:space="0" w:color="000000"/>
            </w:tcBorders>
            <w:shd w:val="clear" w:color="auto" w:fill="auto"/>
            <w:vAlign w:val="center"/>
          </w:tcPr>
          <w:p w14:paraId="39195317" w14:textId="37689A73" w:rsidR="00D33D3D" w:rsidRDefault="00D33D3D" w:rsidP="00D33D3D">
            <w:pPr>
              <w:spacing w:line="240" w:lineRule="auto"/>
              <w:jc w:val="both"/>
              <w:rPr>
                <w:rFonts w:ascii="Arial" w:hAnsi="Arial" w:cs="Arial"/>
                <w:iCs/>
                <w:sz w:val="18"/>
                <w:szCs w:val="18"/>
                <w:lang w:val="es-ES"/>
              </w:rPr>
            </w:pPr>
            <w:r w:rsidRPr="001078B1">
              <w:rPr>
                <w:rFonts w:ascii="Arial" w:hAnsi="Arial" w:cs="Arial"/>
                <w:iCs/>
                <w:sz w:val="18"/>
                <w:szCs w:val="18"/>
                <w:lang w:val="es-ES"/>
              </w:rPr>
              <w:t>La línea de base se calculó de la siguiente manera: El numerador corresponde a la tasa de cartera vencida de l</w:t>
            </w:r>
            <w:r>
              <w:rPr>
                <w:rFonts w:ascii="Arial" w:hAnsi="Arial" w:cs="Arial"/>
                <w:iCs/>
                <w:sz w:val="18"/>
                <w:szCs w:val="18"/>
                <w:lang w:val="es-ES"/>
              </w:rPr>
              <w:t>o</w:t>
            </w:r>
            <w:r w:rsidRPr="001078B1">
              <w:rPr>
                <w:rFonts w:ascii="Arial" w:hAnsi="Arial" w:cs="Arial"/>
                <w:iCs/>
                <w:sz w:val="18"/>
                <w:szCs w:val="18"/>
                <w:lang w:val="es-ES"/>
              </w:rPr>
              <w:t>s créditos a PYME colocados en primer piso por B</w:t>
            </w:r>
            <w:r w:rsidR="00840F7B">
              <w:rPr>
                <w:rFonts w:ascii="Arial" w:hAnsi="Arial" w:cs="Arial"/>
                <w:iCs/>
                <w:sz w:val="18"/>
                <w:szCs w:val="18"/>
                <w:lang w:val="es-ES"/>
              </w:rPr>
              <w:t>NP</w:t>
            </w:r>
            <w:r w:rsidRPr="001078B1">
              <w:rPr>
                <w:rFonts w:ascii="Arial" w:hAnsi="Arial" w:cs="Arial"/>
                <w:iCs/>
                <w:sz w:val="18"/>
                <w:szCs w:val="18"/>
                <w:lang w:val="es-ES"/>
              </w:rPr>
              <w:t>. El denominador corresponde a la tasa promedio de cartera vencida de créditos a PYME del sector bancario nacional</w:t>
            </w:r>
            <w:r>
              <w:rPr>
                <w:rFonts w:ascii="Arial" w:hAnsi="Arial" w:cs="Arial"/>
                <w:iCs/>
                <w:sz w:val="18"/>
                <w:szCs w:val="18"/>
                <w:lang w:val="es-ES"/>
              </w:rPr>
              <w:t>. Las cifras se calcularon con datos a febrero 2020.</w:t>
            </w:r>
          </w:p>
          <w:p w14:paraId="1C5C5AF2" w14:textId="6DFCC60E" w:rsidR="00D33D3D" w:rsidRPr="000D6824" w:rsidRDefault="00D33D3D" w:rsidP="00D33D3D">
            <w:pPr>
              <w:spacing w:before="20" w:after="120" w:line="240" w:lineRule="auto"/>
              <w:jc w:val="both"/>
              <w:rPr>
                <w:rFonts w:ascii="Arial" w:hAnsi="Arial" w:cs="Arial"/>
                <w:sz w:val="18"/>
                <w:szCs w:val="18"/>
                <w:lang w:val="es-ES"/>
              </w:rPr>
            </w:pPr>
            <w:r w:rsidRPr="007E69D8">
              <w:rPr>
                <w:rFonts w:ascii="Arial" w:hAnsi="Arial" w:cs="Arial"/>
                <w:sz w:val="18"/>
                <w:szCs w:val="18"/>
                <w:lang w:val="es-ES_tradnl"/>
              </w:rPr>
              <w:t xml:space="preserve">Proyecciones más recientes estiman que el PIB </w:t>
            </w:r>
            <w:r>
              <w:rPr>
                <w:rFonts w:ascii="Arial" w:hAnsi="Arial" w:cs="Arial"/>
                <w:sz w:val="18"/>
                <w:szCs w:val="18"/>
                <w:lang w:val="es-ES_tradnl"/>
              </w:rPr>
              <w:t>de Panamá</w:t>
            </w:r>
            <w:r w:rsidRPr="007E69D8">
              <w:rPr>
                <w:rFonts w:ascii="Arial" w:hAnsi="Arial" w:cs="Arial"/>
                <w:sz w:val="18"/>
                <w:szCs w:val="18"/>
                <w:lang w:val="es-ES_tradnl"/>
              </w:rPr>
              <w:t xml:space="preserve"> se contraerá entre </w:t>
            </w:r>
            <w:r>
              <w:rPr>
                <w:rFonts w:ascii="Arial" w:hAnsi="Arial" w:cs="Arial"/>
                <w:sz w:val="18"/>
                <w:szCs w:val="18"/>
                <w:lang w:val="es-ES_tradnl"/>
              </w:rPr>
              <w:t>1</w:t>
            </w:r>
            <w:r w:rsidRPr="007E69D8">
              <w:rPr>
                <w:rFonts w:ascii="Arial" w:hAnsi="Arial" w:cs="Arial"/>
                <w:sz w:val="18"/>
                <w:szCs w:val="18"/>
                <w:lang w:val="es-ES_tradnl"/>
              </w:rPr>
              <w:t>% en 2020</w:t>
            </w:r>
            <w:r w:rsidRPr="007E69D8">
              <w:rPr>
                <w:rStyle w:val="FootnoteReference"/>
                <w:rFonts w:ascii="Arial" w:hAnsi="Arial" w:cs="Arial"/>
                <w:sz w:val="18"/>
                <w:szCs w:val="18"/>
                <w:lang w:val="es-ES_tradnl"/>
              </w:rPr>
              <w:footnoteReference w:id="29"/>
            </w:r>
            <w:r w:rsidRPr="007E69D8">
              <w:rPr>
                <w:rFonts w:ascii="Arial" w:hAnsi="Arial" w:cs="Arial"/>
                <w:sz w:val="18"/>
                <w:szCs w:val="18"/>
                <w:lang w:val="es-ES_tradnl"/>
              </w:rPr>
              <w:t xml:space="preserve"> como conse</w:t>
            </w:r>
            <w:r w:rsidRPr="00D30C5B">
              <w:rPr>
                <w:rFonts w:ascii="Arial" w:hAnsi="Arial" w:cs="Arial"/>
                <w:sz w:val="18"/>
                <w:szCs w:val="18"/>
                <w:lang w:val="es-PE"/>
              </w:rPr>
              <w:t xml:space="preserve">cuencia de la crisis. Más aún, se estima que </w:t>
            </w:r>
            <w:r>
              <w:rPr>
                <w:rFonts w:ascii="Arial" w:hAnsi="Arial" w:cs="Arial"/>
                <w:sz w:val="18"/>
                <w:szCs w:val="18"/>
                <w:lang w:val="es-PE"/>
              </w:rPr>
              <w:t>47</w:t>
            </w:r>
            <w:r w:rsidRPr="00D30C5B">
              <w:rPr>
                <w:rFonts w:ascii="Arial" w:hAnsi="Arial" w:cs="Arial"/>
                <w:sz w:val="18"/>
                <w:szCs w:val="18"/>
                <w:lang w:val="es-PE"/>
              </w:rPr>
              <w:t xml:space="preserve">% de las </w:t>
            </w:r>
            <w:r>
              <w:rPr>
                <w:rFonts w:ascii="Arial" w:hAnsi="Arial" w:cs="Arial"/>
                <w:sz w:val="18"/>
                <w:szCs w:val="18"/>
                <w:lang w:val="es-PE"/>
              </w:rPr>
              <w:t xml:space="preserve">pequeñas empresas y 30% de las medianas </w:t>
            </w:r>
            <w:r w:rsidRPr="00D30C5B">
              <w:rPr>
                <w:rFonts w:ascii="Arial" w:hAnsi="Arial" w:cs="Arial"/>
                <w:sz w:val="18"/>
                <w:szCs w:val="18"/>
                <w:lang w:val="es-PE"/>
              </w:rPr>
              <w:t xml:space="preserve">solo cuenta con recursos para mantenerse solvente durante un mes o menos, y que las ventas  de estas caerán, respecto al 2019, en </w:t>
            </w:r>
            <w:r>
              <w:rPr>
                <w:rFonts w:ascii="Arial" w:hAnsi="Arial" w:cs="Arial"/>
                <w:sz w:val="18"/>
                <w:szCs w:val="18"/>
                <w:lang w:val="es-PE"/>
              </w:rPr>
              <w:t>4</w:t>
            </w:r>
            <w:r w:rsidRPr="00D30C5B">
              <w:rPr>
                <w:rFonts w:ascii="Arial" w:hAnsi="Arial" w:cs="Arial"/>
                <w:sz w:val="18"/>
                <w:szCs w:val="18"/>
                <w:lang w:val="es-PE"/>
              </w:rPr>
              <w:t>1%-</w:t>
            </w:r>
            <w:r>
              <w:rPr>
                <w:rFonts w:ascii="Arial" w:hAnsi="Arial" w:cs="Arial"/>
                <w:sz w:val="18"/>
                <w:szCs w:val="18"/>
                <w:lang w:val="es-PE"/>
              </w:rPr>
              <w:t>6</w:t>
            </w:r>
            <w:r w:rsidRPr="00D30C5B">
              <w:rPr>
                <w:rFonts w:ascii="Arial" w:hAnsi="Arial" w:cs="Arial"/>
                <w:sz w:val="18"/>
                <w:szCs w:val="18"/>
                <w:lang w:val="es-PE"/>
              </w:rPr>
              <w:t>0%</w:t>
            </w:r>
            <w:r>
              <w:rPr>
                <w:rFonts w:ascii="Arial" w:hAnsi="Arial" w:cs="Arial"/>
                <w:sz w:val="18"/>
                <w:szCs w:val="18"/>
                <w:lang w:val="es-PE"/>
              </w:rPr>
              <w:t xml:space="preserve"> para las pequeñas empresas y 41%-60% para las medianas</w:t>
            </w:r>
            <w:r w:rsidRPr="00D30C5B">
              <w:rPr>
                <w:rFonts w:ascii="Arial" w:hAnsi="Arial" w:cs="Arial"/>
                <w:sz w:val="18"/>
                <w:szCs w:val="18"/>
                <w:vertAlign w:val="superscript"/>
                <w:lang w:val="es-PE"/>
              </w:rPr>
              <w:footnoteReference w:id="30"/>
            </w:r>
            <w:r w:rsidRPr="00D30C5B">
              <w:rPr>
                <w:rFonts w:ascii="Arial" w:hAnsi="Arial" w:cs="Arial"/>
                <w:sz w:val="18"/>
                <w:szCs w:val="18"/>
                <w:lang w:val="es-PE"/>
              </w:rPr>
              <w:t xml:space="preserve"> </w:t>
            </w:r>
            <w:r>
              <w:rPr>
                <w:rFonts w:ascii="Arial" w:hAnsi="Arial" w:cs="Arial"/>
                <w:sz w:val="18"/>
                <w:szCs w:val="18"/>
                <w:lang w:val="es-PE"/>
              </w:rPr>
              <w:t xml:space="preserve">En la </w:t>
            </w:r>
            <w:r>
              <w:rPr>
                <w:rFonts w:ascii="Arial" w:hAnsi="Arial" w:cs="Arial"/>
                <w:sz w:val="18"/>
                <w:szCs w:val="18"/>
                <w:lang w:val="es-PE"/>
              </w:rPr>
              <w:lastRenderedPageBreak/>
              <w:t>misma línea, e</w:t>
            </w:r>
            <w:r w:rsidRPr="00D30C5B">
              <w:rPr>
                <w:rFonts w:ascii="Arial" w:hAnsi="Arial" w:cs="Arial"/>
                <w:sz w:val="18"/>
                <w:szCs w:val="18"/>
                <w:lang w:val="es-PE"/>
              </w:rPr>
              <w:t>n base a experiencias previas en países de Sudamérica de efectos</w:t>
            </w:r>
            <w:r w:rsidRPr="007E69D8">
              <w:rPr>
                <w:rFonts w:ascii="Arial" w:hAnsi="Arial" w:cs="Arial"/>
                <w:sz w:val="18"/>
                <w:szCs w:val="18"/>
                <w:lang w:val="es-ES_tradnl"/>
              </w:rPr>
              <w:t xml:space="preserve"> de crisis financieras y económicas en las cuales hubo un impacto negativo sobre la demanda interna y, por tanto, sobre los ingresos de los pequeños empresarios</w:t>
            </w:r>
            <w:r w:rsidRPr="007E69D8">
              <w:rPr>
                <w:rStyle w:val="FootnoteReference"/>
                <w:rFonts w:ascii="Arial" w:hAnsi="Arial" w:cs="Arial"/>
                <w:sz w:val="18"/>
                <w:szCs w:val="18"/>
                <w:lang w:val="es-ES_tradnl"/>
              </w:rPr>
              <w:footnoteReference w:id="31"/>
            </w:r>
            <w:r w:rsidRPr="007E69D8">
              <w:rPr>
                <w:rFonts w:ascii="Arial" w:hAnsi="Arial" w:cs="Arial"/>
                <w:sz w:val="18"/>
                <w:szCs w:val="18"/>
                <w:lang w:val="es-ES_tradnl"/>
              </w:rPr>
              <w:t xml:space="preserve">. Es de esperar, por tanto, que la presente crisis del COVID-19 impacte negativamente la morosidad las </w:t>
            </w:r>
            <w:r>
              <w:rPr>
                <w:rFonts w:ascii="Arial" w:hAnsi="Arial" w:cs="Arial"/>
                <w:sz w:val="18"/>
                <w:szCs w:val="18"/>
                <w:lang w:val="es-ES_tradnl"/>
              </w:rPr>
              <w:t>firmas</w:t>
            </w:r>
            <w:r w:rsidRPr="007E69D8">
              <w:rPr>
                <w:rFonts w:ascii="Arial" w:hAnsi="Arial" w:cs="Arial"/>
                <w:sz w:val="18"/>
                <w:szCs w:val="18"/>
                <w:lang w:val="es-ES_tradnl"/>
              </w:rPr>
              <w:t xml:space="preserve">. Dado que no se espera distinciones particulares entre </w:t>
            </w:r>
            <w:r>
              <w:rPr>
                <w:rFonts w:ascii="Arial" w:hAnsi="Arial" w:cs="Arial"/>
                <w:sz w:val="18"/>
                <w:szCs w:val="18"/>
                <w:lang w:val="es-ES_tradnl"/>
              </w:rPr>
              <w:t>las PYME</w:t>
            </w:r>
            <w:r w:rsidRPr="007E69D8">
              <w:rPr>
                <w:rFonts w:ascii="Arial" w:hAnsi="Arial" w:cs="Arial"/>
                <w:sz w:val="18"/>
                <w:szCs w:val="18"/>
                <w:lang w:val="es-ES_tradnl"/>
              </w:rPr>
              <w:t xml:space="preserve"> beneficiadas po</w:t>
            </w:r>
            <w:r>
              <w:rPr>
                <w:rFonts w:ascii="Arial" w:hAnsi="Arial" w:cs="Arial"/>
                <w:sz w:val="18"/>
                <w:szCs w:val="18"/>
                <w:lang w:val="es-ES_tradnl"/>
              </w:rPr>
              <w:t>r B</w:t>
            </w:r>
            <w:r w:rsidR="00840F7B">
              <w:rPr>
                <w:rFonts w:ascii="Arial" w:hAnsi="Arial" w:cs="Arial"/>
                <w:sz w:val="18"/>
                <w:szCs w:val="18"/>
                <w:lang w:val="es-ES_tradnl"/>
              </w:rPr>
              <w:t>NP</w:t>
            </w:r>
            <w:r w:rsidRPr="007E69D8">
              <w:rPr>
                <w:rFonts w:ascii="Arial" w:hAnsi="Arial" w:cs="Arial"/>
                <w:sz w:val="18"/>
                <w:szCs w:val="18"/>
                <w:lang w:val="es-ES_tradnl"/>
              </w:rPr>
              <w:t xml:space="preserve"> y </w:t>
            </w:r>
            <w:r>
              <w:rPr>
                <w:rFonts w:ascii="Arial" w:hAnsi="Arial" w:cs="Arial"/>
                <w:sz w:val="18"/>
                <w:szCs w:val="18"/>
                <w:lang w:val="es-ES_tradnl"/>
              </w:rPr>
              <w:t>las empresas promedio beneficiadas por el sistema bancario nacional</w:t>
            </w:r>
            <w:r w:rsidRPr="007E69D8">
              <w:rPr>
                <w:rFonts w:ascii="Arial" w:hAnsi="Arial" w:cs="Arial"/>
                <w:sz w:val="18"/>
                <w:szCs w:val="18"/>
                <w:lang w:val="es-ES_tradnl"/>
              </w:rPr>
              <w:t>, se espera que la ratio de 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No obstante, vale resaltar que un escenario optimista consistiría en una reducción de esta ratio a fines del programa.</w:t>
            </w:r>
          </w:p>
        </w:tc>
      </w:tr>
      <w:tr w:rsidR="00726EC4" w:rsidRPr="002056DF" w14:paraId="0C624612" w14:textId="77777777" w:rsidTr="007226F4">
        <w:trPr>
          <w:trHeight w:val="583"/>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59B31A05" w14:textId="0BD28196" w:rsidR="00726EC4" w:rsidRPr="000E6C53" w:rsidRDefault="00726EC4" w:rsidP="00726EC4">
            <w:pPr>
              <w:spacing w:after="0" w:line="240" w:lineRule="auto"/>
              <w:rPr>
                <w:rFonts w:ascii="Arial" w:hAnsi="Arial" w:cs="Arial"/>
                <w:b/>
                <w:bCs/>
                <w:sz w:val="18"/>
                <w:szCs w:val="18"/>
                <w:lang w:val="es-ES"/>
              </w:rPr>
            </w:pPr>
            <w:r w:rsidRPr="1C7AA23B">
              <w:rPr>
                <w:rFonts w:ascii="Arial" w:hAnsi="Arial" w:cs="Arial"/>
                <w:b/>
                <w:bCs/>
                <w:sz w:val="18"/>
                <w:szCs w:val="18"/>
                <w:lang w:val="es-ES"/>
              </w:rPr>
              <w:lastRenderedPageBreak/>
              <w:t>Indicador 2:</w:t>
            </w:r>
            <w:r w:rsidRPr="1C7AA23B">
              <w:rPr>
                <w:rFonts w:ascii="Arial" w:hAnsi="Arial" w:cs="Arial"/>
                <w:sz w:val="18"/>
                <w:szCs w:val="18"/>
                <w:lang w:val="es-ES"/>
              </w:rPr>
              <w:t xml:space="preserve"> </w:t>
            </w:r>
            <w:r w:rsidRPr="1C7AA23B">
              <w:rPr>
                <w:lang w:val="es-ES"/>
              </w:rPr>
              <w:t xml:space="preserve"> </w:t>
            </w:r>
            <w:r w:rsidRPr="1C7AA23B">
              <w:rPr>
                <w:rFonts w:ascii="Arial" w:hAnsi="Arial" w:cs="Arial"/>
                <w:sz w:val="18"/>
                <w:szCs w:val="18"/>
                <w:lang w:val="es-ES"/>
              </w:rPr>
              <w:t xml:space="preserve">Proporción del crédito de mediano plazo (más de </w:t>
            </w:r>
            <w:r>
              <w:rPr>
                <w:rFonts w:ascii="Arial" w:hAnsi="Arial" w:cs="Arial"/>
                <w:sz w:val="18"/>
                <w:szCs w:val="18"/>
                <w:lang w:val="es-ES"/>
              </w:rPr>
              <w:t>18 meses</w:t>
            </w:r>
            <w:r w:rsidRPr="1C7AA23B">
              <w:rPr>
                <w:rFonts w:ascii="Arial" w:hAnsi="Arial" w:cs="Arial"/>
                <w:sz w:val="18"/>
                <w:szCs w:val="18"/>
                <w:lang w:val="es-ES"/>
              </w:rPr>
              <w:t>) en la cartera relevante.</w:t>
            </w:r>
          </w:p>
        </w:tc>
        <w:tc>
          <w:tcPr>
            <w:tcW w:w="1552" w:type="dxa"/>
            <w:tcBorders>
              <w:top w:val="single" w:sz="8" w:space="0" w:color="000000"/>
              <w:left w:val="nil"/>
              <w:bottom w:val="nil"/>
              <w:right w:val="single" w:sz="8" w:space="0" w:color="000000"/>
            </w:tcBorders>
            <w:shd w:val="clear" w:color="auto" w:fill="auto"/>
            <w:vAlign w:val="center"/>
          </w:tcPr>
          <w:p w14:paraId="46FA05D0" w14:textId="1C9F8F1A" w:rsidR="00726EC4" w:rsidRPr="007E69D8" w:rsidRDefault="00726EC4" w:rsidP="00726EC4">
            <w:pPr>
              <w:spacing w:after="0" w:line="240" w:lineRule="auto"/>
              <w:jc w:val="center"/>
              <w:rPr>
                <w:rFonts w:ascii="Arial" w:hAnsi="Arial" w:cs="Arial"/>
                <w:sz w:val="18"/>
                <w:szCs w:val="18"/>
                <w:lang w:val="es-ES_tradnl"/>
              </w:rPr>
            </w:pPr>
            <w:r w:rsidRPr="00865DAC">
              <w:rPr>
                <w:rFonts w:ascii="Arial" w:hAnsi="Arial" w:cs="Arial"/>
                <w:sz w:val="18"/>
                <w:szCs w:val="18"/>
                <w:lang w:val="es-ES"/>
              </w:rPr>
              <w:t>%</w:t>
            </w:r>
          </w:p>
        </w:tc>
        <w:tc>
          <w:tcPr>
            <w:tcW w:w="1542" w:type="dxa"/>
            <w:tcBorders>
              <w:top w:val="single" w:sz="8" w:space="0" w:color="000000"/>
              <w:left w:val="nil"/>
              <w:bottom w:val="nil"/>
              <w:right w:val="single" w:sz="8" w:space="0" w:color="000000"/>
            </w:tcBorders>
            <w:shd w:val="clear" w:color="auto" w:fill="auto"/>
            <w:vAlign w:val="center"/>
          </w:tcPr>
          <w:p w14:paraId="00BDC7CB" w14:textId="2F4024A7" w:rsidR="00726EC4" w:rsidRPr="001F731F" w:rsidRDefault="00726EC4" w:rsidP="00726EC4">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sidR="00840F7B">
              <w:rPr>
                <w:rFonts w:ascii="Arial" w:eastAsia="Times New Roman" w:hAnsi="Arial" w:cs="Arial"/>
                <w:color w:val="000000"/>
                <w:sz w:val="18"/>
                <w:szCs w:val="18"/>
                <w:lang w:val="es-ES_tradnl" w:eastAsia="es-ES"/>
              </w:rPr>
              <w:t>BNP</w:t>
            </w:r>
          </w:p>
        </w:tc>
        <w:tc>
          <w:tcPr>
            <w:tcW w:w="3625" w:type="dxa"/>
            <w:tcBorders>
              <w:top w:val="single" w:sz="8" w:space="0" w:color="000000"/>
              <w:left w:val="nil"/>
              <w:bottom w:val="nil"/>
              <w:right w:val="single" w:sz="8" w:space="0" w:color="000000"/>
            </w:tcBorders>
            <w:shd w:val="clear" w:color="auto" w:fill="auto"/>
            <w:vAlign w:val="center"/>
          </w:tcPr>
          <w:p w14:paraId="0BA67850" w14:textId="04BF2064" w:rsidR="00726EC4" w:rsidRPr="000D6824" w:rsidRDefault="00726EC4" w:rsidP="00726EC4">
            <w:pPr>
              <w:spacing w:before="20" w:after="120" w:line="240" w:lineRule="auto"/>
              <w:jc w:val="both"/>
              <w:rPr>
                <w:rFonts w:ascii="Arial" w:hAnsi="Arial" w:cs="Arial"/>
                <w:sz w:val="18"/>
                <w:szCs w:val="18"/>
                <w:lang w:val="es-ES"/>
              </w:rPr>
            </w:pPr>
            <w:r w:rsidRPr="00152455">
              <w:rPr>
                <w:rFonts w:ascii="Arial" w:hAnsi="Arial" w:cs="Arial"/>
                <w:iCs/>
                <w:sz w:val="18"/>
                <w:szCs w:val="18"/>
                <w:lang w:val="es-ES"/>
              </w:rPr>
              <w:t>Este indicador se calcula como la proporción de crédito de mediano plazo, definido como mayor a 18 meses y menor a 36, sobre la cartera total de créditos a PYME de B</w:t>
            </w:r>
            <w:r w:rsidR="00840F7B">
              <w:rPr>
                <w:rFonts w:ascii="Arial" w:hAnsi="Arial" w:cs="Arial"/>
                <w:iCs/>
                <w:sz w:val="18"/>
                <w:szCs w:val="18"/>
                <w:lang w:val="es-ES"/>
              </w:rPr>
              <w:t>NP</w:t>
            </w:r>
            <w:r w:rsidRPr="00152455">
              <w:rPr>
                <w:rFonts w:ascii="Arial" w:hAnsi="Arial" w:cs="Arial"/>
                <w:iCs/>
                <w:sz w:val="18"/>
                <w:szCs w:val="18"/>
                <w:lang w:val="es-ES"/>
              </w:rPr>
              <w:t>. Se espera que por lo menos esta proporción se mantenga en sus niveles iniciales antes de la crisis.</w:t>
            </w:r>
            <w:r>
              <w:rPr>
                <w:rFonts w:ascii="Arial" w:hAnsi="Arial" w:cs="Arial"/>
                <w:iCs/>
                <w:sz w:val="18"/>
                <w:szCs w:val="18"/>
                <w:lang w:val="es-ES"/>
              </w:rPr>
              <w:t xml:space="preserve">  Las cifras se calcularon con datos a febrero 2020</w:t>
            </w:r>
            <w:r w:rsidR="00D33D3D">
              <w:rPr>
                <w:rFonts w:ascii="Arial" w:hAnsi="Arial" w:cs="Arial"/>
                <w:iCs/>
                <w:sz w:val="18"/>
                <w:szCs w:val="18"/>
                <w:lang w:val="es-ES"/>
              </w:rPr>
              <w:t xml:space="preserve"> provistas por B</w:t>
            </w:r>
            <w:r w:rsidR="00840F7B">
              <w:rPr>
                <w:rFonts w:ascii="Arial" w:hAnsi="Arial" w:cs="Arial"/>
                <w:iCs/>
                <w:sz w:val="18"/>
                <w:szCs w:val="18"/>
                <w:lang w:val="es-ES"/>
              </w:rPr>
              <w:t>NP</w:t>
            </w:r>
            <w:r>
              <w:rPr>
                <w:rFonts w:ascii="Arial" w:hAnsi="Arial" w:cs="Arial"/>
                <w:iCs/>
                <w:sz w:val="18"/>
                <w:szCs w:val="18"/>
                <w:lang w:val="es-ES"/>
              </w:rPr>
              <w:t>.</w:t>
            </w:r>
          </w:p>
        </w:tc>
      </w:tr>
      <w:tr w:rsidR="00726EC4" w:rsidRPr="002056DF" w14:paraId="3EE963C7" w14:textId="77777777" w:rsidTr="007226F4">
        <w:trPr>
          <w:trHeight w:val="763"/>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035275FD" w14:textId="25C21948" w:rsidR="00726EC4" w:rsidRPr="000E6C53" w:rsidRDefault="00726EC4" w:rsidP="00726EC4">
            <w:pPr>
              <w:spacing w:after="0" w:line="240" w:lineRule="auto"/>
              <w:rPr>
                <w:rFonts w:ascii="Arial" w:hAnsi="Arial" w:cs="Arial"/>
                <w:b/>
                <w:bCs/>
                <w:sz w:val="18"/>
                <w:szCs w:val="18"/>
                <w:lang w:val="es-ES"/>
              </w:rPr>
            </w:pPr>
            <w:r w:rsidRPr="00865DAC">
              <w:rPr>
                <w:rFonts w:ascii="Arial" w:hAnsi="Arial" w:cs="Arial"/>
                <w:b/>
                <w:sz w:val="18"/>
                <w:szCs w:val="18"/>
                <w:lang w:val="es-ES"/>
              </w:rPr>
              <w:t xml:space="preserve">Indicador </w:t>
            </w:r>
            <w:r w:rsidRPr="1C7AA23B">
              <w:rPr>
                <w:rFonts w:ascii="Arial" w:hAnsi="Arial" w:cs="Arial"/>
                <w:b/>
                <w:bCs/>
                <w:sz w:val="18"/>
                <w:szCs w:val="18"/>
                <w:lang w:val="es-ES"/>
              </w:rPr>
              <w:t>3</w:t>
            </w:r>
            <w:r w:rsidRPr="00865DAC">
              <w:rPr>
                <w:rFonts w:ascii="Arial" w:hAnsi="Arial" w:cs="Arial"/>
                <w:b/>
                <w:sz w:val="18"/>
                <w:szCs w:val="18"/>
                <w:lang w:val="es-ES"/>
              </w:rPr>
              <w:t>:</w:t>
            </w:r>
            <w:r w:rsidRPr="00865DAC">
              <w:rPr>
                <w:rFonts w:ascii="Arial" w:hAnsi="Arial" w:cs="Arial"/>
                <w:sz w:val="18"/>
                <w:szCs w:val="18"/>
                <w:lang w:val="es-ES"/>
              </w:rPr>
              <w:t xml:space="preserve"> </w:t>
            </w:r>
            <w:r w:rsidRPr="00C163BD">
              <w:rPr>
                <w:lang w:val="es-ES"/>
              </w:rPr>
              <w:t xml:space="preserve"> </w:t>
            </w:r>
            <w:r>
              <w:rPr>
                <w:rFonts w:ascii="Arial" w:hAnsi="Arial" w:cs="Arial"/>
                <w:sz w:val="18"/>
                <w:szCs w:val="18"/>
                <w:lang w:val="es-ES"/>
              </w:rPr>
              <w:t>A</w:t>
            </w:r>
            <w:r w:rsidRPr="00C163BD">
              <w:rPr>
                <w:rFonts w:ascii="Arial" w:hAnsi="Arial" w:cs="Arial"/>
                <w:sz w:val="18"/>
                <w:szCs w:val="18"/>
                <w:lang w:val="es-ES"/>
              </w:rPr>
              <w:t>palancamiento total de recursos</w:t>
            </w:r>
            <w:r>
              <w:rPr>
                <w:rFonts w:ascii="Arial" w:hAnsi="Arial" w:cs="Arial"/>
                <w:sz w:val="18"/>
                <w:szCs w:val="18"/>
                <w:lang w:val="es-ES"/>
              </w:rPr>
              <w:t xml:space="preserve"> </w:t>
            </w:r>
            <w:r w:rsidRPr="1C7AA23B">
              <w:rPr>
                <w:rFonts w:ascii="Arial" w:hAnsi="Arial" w:cs="Arial"/>
                <w:sz w:val="18"/>
                <w:szCs w:val="18"/>
                <w:lang w:val="es-ES"/>
              </w:rPr>
              <w:t>de</w:t>
            </w:r>
            <w:r>
              <w:rPr>
                <w:rFonts w:ascii="Arial" w:hAnsi="Arial" w:cs="Arial"/>
                <w:sz w:val="18"/>
                <w:szCs w:val="18"/>
                <w:lang w:val="es-ES"/>
              </w:rPr>
              <w:t xml:space="preserve"> financiamiento </w:t>
            </w:r>
            <w:r w:rsidRPr="1C7AA23B">
              <w:rPr>
                <w:rFonts w:ascii="Arial" w:hAnsi="Arial" w:cs="Arial"/>
                <w:sz w:val="18"/>
                <w:szCs w:val="18"/>
                <w:lang w:val="es-ES"/>
              </w:rPr>
              <w:t>de mediano plazo</w:t>
            </w:r>
            <w:r w:rsidRPr="00C163BD">
              <w:rPr>
                <w:rFonts w:ascii="Arial" w:hAnsi="Arial" w:cs="Arial"/>
                <w:sz w:val="18"/>
                <w:szCs w:val="18"/>
                <w:lang w:val="es-ES"/>
              </w:rPr>
              <w:t xml:space="preserve"> alcanzado gracias al apoyo del programa</w:t>
            </w:r>
            <w:r w:rsidRPr="00865DAC">
              <w:rPr>
                <w:rFonts w:ascii="Arial" w:hAnsi="Arial" w:cs="Arial"/>
                <w:sz w:val="18"/>
                <w:szCs w:val="18"/>
                <w:lang w:val="es-ES"/>
              </w:rPr>
              <w:t>.</w:t>
            </w:r>
          </w:p>
        </w:tc>
        <w:tc>
          <w:tcPr>
            <w:tcW w:w="1552" w:type="dxa"/>
            <w:tcBorders>
              <w:top w:val="single" w:sz="8" w:space="0" w:color="000000"/>
              <w:left w:val="nil"/>
              <w:bottom w:val="nil"/>
              <w:right w:val="single" w:sz="8" w:space="0" w:color="000000"/>
            </w:tcBorders>
            <w:shd w:val="clear" w:color="auto" w:fill="auto"/>
            <w:vAlign w:val="center"/>
          </w:tcPr>
          <w:p w14:paraId="0D850CA2" w14:textId="30418E0F" w:rsidR="00726EC4" w:rsidRPr="007E69D8" w:rsidRDefault="00726EC4" w:rsidP="00726EC4">
            <w:pPr>
              <w:spacing w:after="0" w:line="240" w:lineRule="auto"/>
              <w:jc w:val="center"/>
              <w:rPr>
                <w:rFonts w:ascii="Arial" w:hAnsi="Arial" w:cs="Arial"/>
                <w:sz w:val="18"/>
                <w:szCs w:val="18"/>
                <w:lang w:val="es-ES_tradnl"/>
              </w:rPr>
            </w:pPr>
            <w:r w:rsidRPr="1E090056">
              <w:rPr>
                <w:rFonts w:ascii="Arial" w:hAnsi="Arial" w:cs="Arial"/>
                <w:sz w:val="18"/>
                <w:szCs w:val="18"/>
                <w:lang w:val="es-ES"/>
              </w:rPr>
              <w:t>US$</w:t>
            </w:r>
            <w:r>
              <w:rPr>
                <w:rFonts w:ascii="Arial" w:hAnsi="Arial" w:cs="Arial"/>
                <w:sz w:val="18"/>
                <w:szCs w:val="18"/>
                <w:lang w:val="es-ES"/>
              </w:rPr>
              <w:t xml:space="preserve"> millones</w:t>
            </w:r>
          </w:p>
        </w:tc>
        <w:tc>
          <w:tcPr>
            <w:tcW w:w="1542" w:type="dxa"/>
            <w:tcBorders>
              <w:top w:val="single" w:sz="8" w:space="0" w:color="000000"/>
              <w:left w:val="nil"/>
              <w:bottom w:val="nil"/>
              <w:right w:val="single" w:sz="8" w:space="0" w:color="000000"/>
            </w:tcBorders>
            <w:shd w:val="clear" w:color="auto" w:fill="auto"/>
            <w:vAlign w:val="center"/>
          </w:tcPr>
          <w:p w14:paraId="44424C4A" w14:textId="11D77ED2" w:rsidR="00726EC4" w:rsidRPr="001F731F" w:rsidRDefault="00726EC4" w:rsidP="00726EC4">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sidR="00840F7B">
              <w:rPr>
                <w:rFonts w:ascii="Arial" w:eastAsia="Times New Roman" w:hAnsi="Arial" w:cs="Arial"/>
                <w:color w:val="000000"/>
                <w:sz w:val="18"/>
                <w:szCs w:val="18"/>
                <w:lang w:val="es-ES_tradnl" w:eastAsia="es-ES"/>
              </w:rPr>
              <w:t>BNP</w:t>
            </w:r>
          </w:p>
        </w:tc>
        <w:tc>
          <w:tcPr>
            <w:tcW w:w="3625" w:type="dxa"/>
            <w:tcBorders>
              <w:top w:val="single" w:sz="8" w:space="0" w:color="000000"/>
              <w:left w:val="nil"/>
              <w:bottom w:val="nil"/>
              <w:right w:val="single" w:sz="8" w:space="0" w:color="000000"/>
            </w:tcBorders>
            <w:shd w:val="clear" w:color="auto" w:fill="auto"/>
            <w:vAlign w:val="center"/>
          </w:tcPr>
          <w:p w14:paraId="3E758E85" w14:textId="5C705020" w:rsidR="00726EC4" w:rsidRPr="000D6824" w:rsidRDefault="00726EC4" w:rsidP="00726EC4">
            <w:pPr>
              <w:spacing w:before="20" w:after="120" w:line="240" w:lineRule="auto"/>
              <w:jc w:val="both"/>
              <w:rPr>
                <w:rFonts w:ascii="Arial" w:hAnsi="Arial" w:cs="Arial"/>
                <w:sz w:val="18"/>
                <w:szCs w:val="18"/>
                <w:lang w:val="es-ES"/>
              </w:rPr>
            </w:pPr>
            <w:r w:rsidRPr="00066C4A">
              <w:rPr>
                <w:rFonts w:ascii="Arial" w:hAnsi="Arial" w:cs="Arial"/>
                <w:iCs/>
                <w:sz w:val="18"/>
                <w:szCs w:val="18"/>
                <w:lang w:val="es-ES"/>
              </w:rPr>
              <w:t>La meta se calcula en base al 20% de cofinanciamiento requerido por B</w:t>
            </w:r>
            <w:r w:rsidR="00840F7B">
              <w:rPr>
                <w:rFonts w:ascii="Arial" w:hAnsi="Arial" w:cs="Arial"/>
                <w:iCs/>
                <w:sz w:val="18"/>
                <w:szCs w:val="18"/>
                <w:lang w:val="es-ES"/>
              </w:rPr>
              <w:t>NP</w:t>
            </w:r>
            <w:r w:rsidRPr="00066C4A">
              <w:rPr>
                <w:rFonts w:ascii="Arial" w:hAnsi="Arial" w:cs="Arial"/>
                <w:iCs/>
                <w:sz w:val="18"/>
                <w:szCs w:val="18"/>
                <w:lang w:val="es-ES"/>
              </w:rPr>
              <w:t xml:space="preserve"> para este tipo de financiamiento.</w:t>
            </w:r>
            <w:r>
              <w:rPr>
                <w:rFonts w:ascii="Arial" w:hAnsi="Arial" w:cs="Arial"/>
                <w:iCs/>
                <w:sz w:val="18"/>
                <w:szCs w:val="18"/>
                <w:lang w:val="es-ES"/>
              </w:rPr>
              <w:t xml:space="preserve"> Se espera que este requerimiento se mantenga durante la vida del programa.</w:t>
            </w:r>
          </w:p>
        </w:tc>
      </w:tr>
      <w:tr w:rsidR="00726EC4" w:rsidRPr="00840F7B" w14:paraId="11CFDEFD" w14:textId="77777777" w:rsidTr="007226F4">
        <w:trPr>
          <w:trHeight w:val="763"/>
          <w:jc w:val="right"/>
        </w:trPr>
        <w:tc>
          <w:tcPr>
            <w:tcW w:w="2094" w:type="dxa"/>
            <w:tcBorders>
              <w:top w:val="single" w:sz="8" w:space="0" w:color="000000"/>
              <w:left w:val="single" w:sz="8" w:space="0" w:color="000000"/>
              <w:bottom w:val="nil"/>
              <w:right w:val="single" w:sz="8" w:space="0" w:color="000000"/>
            </w:tcBorders>
            <w:shd w:val="clear" w:color="auto" w:fill="auto"/>
            <w:vAlign w:val="center"/>
          </w:tcPr>
          <w:p w14:paraId="4B545B92" w14:textId="2250A511" w:rsidR="00726EC4" w:rsidRPr="000E6C53" w:rsidRDefault="00726EC4" w:rsidP="00726EC4">
            <w:pPr>
              <w:spacing w:after="0" w:line="240" w:lineRule="auto"/>
              <w:rPr>
                <w:rFonts w:ascii="Arial" w:hAnsi="Arial" w:cs="Arial"/>
                <w:b/>
                <w:bCs/>
                <w:sz w:val="18"/>
                <w:szCs w:val="18"/>
                <w:lang w:val="es-ES"/>
              </w:rPr>
            </w:pPr>
            <w:r w:rsidRPr="1C7AA23B">
              <w:rPr>
                <w:rFonts w:ascii="Arial" w:hAnsi="Arial" w:cs="Arial"/>
                <w:b/>
                <w:bCs/>
                <w:sz w:val="18"/>
                <w:szCs w:val="18"/>
                <w:lang w:val="es-ES"/>
              </w:rPr>
              <w:t>Indicador 4:</w:t>
            </w:r>
            <w:r w:rsidRPr="1C7AA23B">
              <w:rPr>
                <w:rFonts w:ascii="Arial" w:hAnsi="Arial" w:cs="Arial"/>
                <w:sz w:val="18"/>
                <w:szCs w:val="18"/>
                <w:lang w:val="es-ES"/>
              </w:rPr>
              <w:t xml:space="preserve"> </w:t>
            </w:r>
            <w:r w:rsidRPr="1C7AA23B">
              <w:rPr>
                <w:lang w:val="es-ES"/>
              </w:rPr>
              <w:t xml:space="preserve"> </w:t>
            </w:r>
            <w:r w:rsidRPr="1C7AA23B">
              <w:rPr>
                <w:rFonts w:ascii="Arial" w:hAnsi="Arial" w:cs="Arial"/>
                <w:sz w:val="18"/>
                <w:szCs w:val="18"/>
                <w:lang w:val="es-ES"/>
              </w:rPr>
              <w:t>Monto total de la cartera relevante para el financiamiento productivo alcanzado gracias al apoyo del programa.</w:t>
            </w:r>
          </w:p>
        </w:tc>
        <w:tc>
          <w:tcPr>
            <w:tcW w:w="1552" w:type="dxa"/>
            <w:tcBorders>
              <w:top w:val="single" w:sz="8" w:space="0" w:color="000000"/>
              <w:left w:val="nil"/>
              <w:bottom w:val="nil"/>
              <w:right w:val="single" w:sz="8" w:space="0" w:color="000000"/>
            </w:tcBorders>
            <w:shd w:val="clear" w:color="auto" w:fill="auto"/>
            <w:vAlign w:val="center"/>
          </w:tcPr>
          <w:p w14:paraId="7E49D976" w14:textId="5DF39AB8" w:rsidR="00726EC4" w:rsidRPr="007E69D8" w:rsidRDefault="00726EC4" w:rsidP="00726EC4">
            <w:pPr>
              <w:spacing w:after="0" w:line="240" w:lineRule="auto"/>
              <w:jc w:val="center"/>
              <w:rPr>
                <w:rFonts w:ascii="Arial" w:hAnsi="Arial" w:cs="Arial"/>
                <w:sz w:val="18"/>
                <w:szCs w:val="18"/>
                <w:lang w:val="es-ES_tradnl"/>
              </w:rPr>
            </w:pPr>
            <w:r w:rsidRPr="1C7AA23B">
              <w:rPr>
                <w:rFonts w:ascii="Arial" w:hAnsi="Arial" w:cs="Arial"/>
                <w:sz w:val="18"/>
                <w:szCs w:val="18"/>
                <w:lang w:val="es-ES"/>
              </w:rPr>
              <w:t>US$</w:t>
            </w:r>
            <w:r>
              <w:rPr>
                <w:rFonts w:ascii="Arial" w:hAnsi="Arial" w:cs="Arial"/>
                <w:sz w:val="18"/>
                <w:szCs w:val="18"/>
                <w:lang w:val="es-ES"/>
              </w:rPr>
              <w:t xml:space="preserve"> millones</w:t>
            </w:r>
          </w:p>
        </w:tc>
        <w:tc>
          <w:tcPr>
            <w:tcW w:w="1542" w:type="dxa"/>
            <w:tcBorders>
              <w:top w:val="single" w:sz="8" w:space="0" w:color="000000"/>
              <w:left w:val="nil"/>
              <w:bottom w:val="nil"/>
              <w:right w:val="single" w:sz="8" w:space="0" w:color="000000"/>
            </w:tcBorders>
            <w:shd w:val="clear" w:color="auto" w:fill="auto"/>
            <w:vAlign w:val="center"/>
          </w:tcPr>
          <w:p w14:paraId="72287382" w14:textId="49CD8855" w:rsidR="00726EC4" w:rsidRPr="001F731F" w:rsidRDefault="00726EC4" w:rsidP="00726EC4">
            <w:pPr>
              <w:spacing w:after="0" w:line="240" w:lineRule="auto"/>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sidR="00840F7B">
              <w:rPr>
                <w:rFonts w:ascii="Arial" w:eastAsia="Times New Roman" w:hAnsi="Arial" w:cs="Arial"/>
                <w:color w:val="000000"/>
                <w:sz w:val="18"/>
                <w:szCs w:val="18"/>
                <w:lang w:val="es-ES_tradnl" w:eastAsia="es-ES"/>
              </w:rPr>
              <w:t>BNP</w:t>
            </w:r>
          </w:p>
        </w:tc>
        <w:tc>
          <w:tcPr>
            <w:tcW w:w="3625" w:type="dxa"/>
            <w:tcBorders>
              <w:top w:val="single" w:sz="8" w:space="0" w:color="000000"/>
              <w:left w:val="nil"/>
              <w:bottom w:val="nil"/>
              <w:right w:val="single" w:sz="8" w:space="0" w:color="000000"/>
            </w:tcBorders>
            <w:shd w:val="clear" w:color="auto" w:fill="auto"/>
            <w:vAlign w:val="center"/>
          </w:tcPr>
          <w:p w14:paraId="3E0E187A" w14:textId="1817F3F7" w:rsidR="003E5907" w:rsidRDefault="00726EC4" w:rsidP="00840F7B">
            <w:pPr>
              <w:spacing w:after="0" w:line="240" w:lineRule="auto"/>
              <w:jc w:val="both"/>
              <w:rPr>
                <w:rFonts w:ascii="Arial" w:hAnsi="Arial" w:cs="Arial"/>
                <w:color w:val="000000"/>
                <w:sz w:val="18"/>
                <w:szCs w:val="18"/>
                <w:lang w:val="es-ES"/>
              </w:rPr>
            </w:pPr>
            <w:r>
              <w:rPr>
                <w:rFonts w:ascii="Arial" w:hAnsi="Arial" w:cs="Arial"/>
                <w:color w:val="000000"/>
                <w:sz w:val="18"/>
                <w:szCs w:val="18"/>
                <w:lang w:val="es-ES"/>
              </w:rPr>
              <w:t>Línea de base igual a monto de cartera PYME de B</w:t>
            </w:r>
            <w:r w:rsidR="00840F7B">
              <w:rPr>
                <w:rFonts w:ascii="Arial" w:hAnsi="Arial" w:cs="Arial"/>
                <w:color w:val="000000"/>
                <w:sz w:val="18"/>
                <w:szCs w:val="18"/>
                <w:lang w:val="es-ES"/>
              </w:rPr>
              <w:t>NP</w:t>
            </w:r>
            <w:r>
              <w:rPr>
                <w:rFonts w:ascii="Arial" w:hAnsi="Arial" w:cs="Arial"/>
                <w:color w:val="000000"/>
                <w:sz w:val="18"/>
                <w:szCs w:val="18"/>
                <w:lang w:val="es-ES"/>
              </w:rPr>
              <w:t>.</w:t>
            </w:r>
          </w:p>
          <w:p w14:paraId="7C6FCFA0" w14:textId="77777777" w:rsidR="00840F7B" w:rsidRPr="00840F7B" w:rsidRDefault="00840F7B" w:rsidP="00840F7B">
            <w:pPr>
              <w:spacing w:after="0" w:line="240" w:lineRule="auto"/>
              <w:jc w:val="both"/>
              <w:rPr>
                <w:rFonts w:ascii="Arial" w:hAnsi="Arial" w:cs="Arial"/>
                <w:color w:val="000000"/>
                <w:sz w:val="18"/>
                <w:szCs w:val="18"/>
                <w:lang w:val="pt-BR" w:eastAsia="es-ES_tradnl"/>
              </w:rPr>
            </w:pPr>
          </w:p>
          <w:p w14:paraId="4F87744A" w14:textId="3BB5EB44" w:rsidR="002643C4" w:rsidRDefault="003E5907" w:rsidP="00726EC4">
            <w:pPr>
              <w:spacing w:line="240" w:lineRule="auto"/>
              <w:jc w:val="both"/>
              <w:rPr>
                <w:rFonts w:ascii="Arial" w:hAnsi="Arial" w:cs="Arial"/>
                <w:sz w:val="18"/>
                <w:szCs w:val="18"/>
                <w:lang w:val="es-ES"/>
              </w:rPr>
            </w:pPr>
            <w:r>
              <w:rPr>
                <w:rFonts w:ascii="Arial" w:hAnsi="Arial" w:cs="Arial"/>
                <w:sz w:val="18"/>
                <w:szCs w:val="18"/>
                <w:lang w:val="es-ES"/>
              </w:rPr>
              <w:t>En una situació</w:t>
            </w:r>
            <w:r w:rsidR="00AE139D">
              <w:rPr>
                <w:rFonts w:ascii="Arial" w:hAnsi="Arial" w:cs="Arial"/>
                <w:sz w:val="18"/>
                <w:szCs w:val="18"/>
                <w:lang w:val="es-ES"/>
              </w:rPr>
              <w:t>n previa a la crisis B</w:t>
            </w:r>
            <w:r w:rsidR="00840F7B">
              <w:rPr>
                <w:rFonts w:ascii="Arial" w:hAnsi="Arial" w:cs="Arial"/>
                <w:sz w:val="18"/>
                <w:szCs w:val="18"/>
                <w:lang w:val="es-ES"/>
              </w:rPr>
              <w:t>NP</w:t>
            </w:r>
            <w:r w:rsidR="00AE139D">
              <w:rPr>
                <w:rFonts w:ascii="Arial" w:hAnsi="Arial" w:cs="Arial"/>
                <w:sz w:val="18"/>
                <w:szCs w:val="18"/>
                <w:lang w:val="es-ES"/>
              </w:rPr>
              <w:t xml:space="preserve"> proyectaba un crecimiento anual de la cartera de 5%</w:t>
            </w:r>
            <w:r w:rsidR="00DF2325">
              <w:rPr>
                <w:rFonts w:ascii="Arial" w:hAnsi="Arial" w:cs="Arial"/>
                <w:sz w:val="18"/>
                <w:szCs w:val="18"/>
                <w:lang w:val="es-ES"/>
              </w:rPr>
              <w:t xml:space="preserve">. </w:t>
            </w:r>
            <w:r w:rsidR="00D1153A">
              <w:rPr>
                <w:rFonts w:ascii="Arial" w:hAnsi="Arial" w:cs="Arial"/>
                <w:sz w:val="18"/>
                <w:szCs w:val="18"/>
                <w:lang w:val="es-ES"/>
              </w:rPr>
              <w:t>Sin embargo, dad</w:t>
            </w:r>
            <w:r w:rsidR="00167B88">
              <w:rPr>
                <w:rFonts w:ascii="Arial" w:hAnsi="Arial" w:cs="Arial"/>
                <w:sz w:val="18"/>
                <w:szCs w:val="18"/>
                <w:lang w:val="es-ES"/>
              </w:rPr>
              <w:t>0</w:t>
            </w:r>
            <w:r w:rsidR="00D1153A">
              <w:rPr>
                <w:rFonts w:ascii="Arial" w:hAnsi="Arial" w:cs="Arial"/>
                <w:sz w:val="18"/>
                <w:szCs w:val="18"/>
                <w:lang w:val="es-ES"/>
              </w:rPr>
              <w:t xml:space="preserve">s los impactos económicos </w:t>
            </w:r>
            <w:r w:rsidR="001A00C2">
              <w:rPr>
                <w:rFonts w:ascii="Arial" w:hAnsi="Arial" w:cs="Arial"/>
                <w:sz w:val="18"/>
                <w:szCs w:val="18"/>
                <w:lang w:val="es-ES"/>
              </w:rPr>
              <w:t>de la crisis y los efectos esperados sobre la supervivencia y ventas de las firmas en Panamá (como se detalló en la explicación de los indicadores de resultados anteriores)</w:t>
            </w:r>
            <w:r w:rsidR="005F5F34">
              <w:rPr>
                <w:rFonts w:ascii="Arial" w:hAnsi="Arial" w:cs="Arial"/>
                <w:sz w:val="18"/>
                <w:szCs w:val="18"/>
                <w:lang w:val="es-ES"/>
              </w:rPr>
              <w:t xml:space="preserve">, es de esperar que el incremento en el perfil de riesgo </w:t>
            </w:r>
            <w:r w:rsidR="009105B5">
              <w:rPr>
                <w:rFonts w:ascii="Arial" w:hAnsi="Arial" w:cs="Arial"/>
                <w:sz w:val="18"/>
                <w:szCs w:val="18"/>
                <w:lang w:val="es-ES"/>
              </w:rPr>
              <w:t xml:space="preserve">del cliente promedio tenga efectos ralentizadores sobre el crecimiento de </w:t>
            </w:r>
            <w:r w:rsidR="00236A1C">
              <w:rPr>
                <w:rFonts w:ascii="Arial" w:hAnsi="Arial" w:cs="Arial"/>
                <w:sz w:val="18"/>
                <w:szCs w:val="18"/>
                <w:lang w:val="es-ES"/>
              </w:rPr>
              <w:t>la cartera originalmente previsto. Dado esto, se asumirá un crecimiento a una ta</w:t>
            </w:r>
            <w:r w:rsidR="00D3641D">
              <w:rPr>
                <w:rFonts w:ascii="Arial" w:hAnsi="Arial" w:cs="Arial"/>
                <w:sz w:val="18"/>
                <w:szCs w:val="18"/>
                <w:lang w:val="es-ES"/>
              </w:rPr>
              <w:t xml:space="preserve">sa 50% menor de la original, es decir, 2.5% anual. Aplicando esto sobre la línea de base, se tiene que para 2023 el monto esperado de la cartera será de </w:t>
            </w:r>
            <w:r w:rsidR="002643C4">
              <w:rPr>
                <w:rFonts w:ascii="Arial" w:hAnsi="Arial" w:cs="Arial"/>
                <w:sz w:val="18"/>
                <w:szCs w:val="18"/>
                <w:lang w:val="es-ES"/>
              </w:rPr>
              <w:t>US$ 830 millones.</w:t>
            </w:r>
          </w:p>
          <w:p w14:paraId="14E434F2" w14:textId="4A961D2D" w:rsidR="00726EC4" w:rsidRPr="00661C8A" w:rsidRDefault="002643C4" w:rsidP="00661C8A">
            <w:pPr>
              <w:spacing w:line="240" w:lineRule="auto"/>
              <w:jc w:val="both"/>
              <w:rPr>
                <w:rFonts w:ascii="Arial" w:hAnsi="Arial" w:cs="Arial"/>
                <w:iCs/>
                <w:sz w:val="18"/>
                <w:szCs w:val="18"/>
                <w:lang w:val="es-ES"/>
              </w:rPr>
            </w:pPr>
            <w:r>
              <w:rPr>
                <w:rFonts w:ascii="Arial" w:hAnsi="Arial" w:cs="Arial"/>
                <w:sz w:val="18"/>
                <w:szCs w:val="18"/>
                <w:lang w:val="es-ES"/>
              </w:rPr>
              <w:lastRenderedPageBreak/>
              <w:t xml:space="preserve">Vale resaltar que la diferencia entre la meta y la línea de base es menor que el monto del programa. Esto se debe a que al estar midiendo </w:t>
            </w:r>
            <w:r>
              <w:rPr>
                <w:rFonts w:ascii="Arial" w:hAnsi="Arial" w:cs="Arial"/>
                <w:i/>
                <w:iCs/>
                <w:sz w:val="18"/>
                <w:szCs w:val="18"/>
                <w:lang w:val="es-ES"/>
              </w:rPr>
              <w:t>cartera</w:t>
            </w:r>
            <w:r>
              <w:rPr>
                <w:rFonts w:ascii="Arial" w:hAnsi="Arial" w:cs="Arial"/>
                <w:sz w:val="18"/>
                <w:szCs w:val="18"/>
                <w:lang w:val="es-ES"/>
              </w:rPr>
              <w:t xml:space="preserve"> y no colocaciones anuales, </w:t>
            </w:r>
            <w:r w:rsidR="00E476E6">
              <w:rPr>
                <w:rFonts w:ascii="Arial" w:hAnsi="Arial" w:cs="Arial"/>
                <w:sz w:val="18"/>
                <w:szCs w:val="18"/>
                <w:lang w:val="es-ES"/>
              </w:rPr>
              <w:t xml:space="preserve">hay que considerar no solo flujos de entrada (nuevas </w:t>
            </w:r>
            <w:r w:rsidR="00840F7B">
              <w:rPr>
                <w:rFonts w:ascii="Arial" w:hAnsi="Arial" w:cs="Arial"/>
                <w:sz w:val="18"/>
                <w:szCs w:val="18"/>
                <w:lang w:val="es-ES"/>
              </w:rPr>
              <w:t>colocaciones</w:t>
            </w:r>
            <w:r w:rsidR="00E476E6">
              <w:rPr>
                <w:rFonts w:ascii="Arial" w:hAnsi="Arial" w:cs="Arial"/>
                <w:sz w:val="18"/>
                <w:szCs w:val="18"/>
                <w:lang w:val="es-ES"/>
              </w:rPr>
              <w:t xml:space="preserve">), </w:t>
            </w:r>
            <w:r w:rsidR="00840F7B">
              <w:rPr>
                <w:rFonts w:ascii="Arial" w:hAnsi="Arial" w:cs="Arial"/>
                <w:sz w:val="18"/>
                <w:szCs w:val="18"/>
                <w:lang w:val="es-ES"/>
              </w:rPr>
              <w:t>sino</w:t>
            </w:r>
            <w:r w:rsidR="00E476E6">
              <w:rPr>
                <w:rFonts w:ascii="Arial" w:hAnsi="Arial" w:cs="Arial"/>
                <w:sz w:val="18"/>
                <w:szCs w:val="18"/>
                <w:lang w:val="es-ES"/>
              </w:rPr>
              <w:t xml:space="preserve"> también de salida de la cartera para el </w:t>
            </w:r>
            <w:r w:rsidR="00DE054F">
              <w:rPr>
                <w:rFonts w:ascii="Arial" w:hAnsi="Arial" w:cs="Arial"/>
                <w:sz w:val="18"/>
                <w:szCs w:val="18"/>
                <w:lang w:val="es-ES"/>
              </w:rPr>
              <w:t>cómputo</w:t>
            </w:r>
            <w:r w:rsidR="00E476E6">
              <w:rPr>
                <w:rFonts w:ascii="Arial" w:hAnsi="Arial" w:cs="Arial"/>
                <w:sz w:val="18"/>
                <w:szCs w:val="18"/>
                <w:lang w:val="es-ES"/>
              </w:rPr>
              <w:t xml:space="preserve"> final. Entre estos flujos de salida están los créditos previos que terminan de ser pagados y por tanto salen del portafolio de </w:t>
            </w:r>
            <w:r w:rsidR="00840F7B">
              <w:rPr>
                <w:rFonts w:ascii="Arial" w:hAnsi="Arial" w:cs="Arial"/>
                <w:sz w:val="18"/>
                <w:szCs w:val="18"/>
                <w:lang w:val="es-ES"/>
              </w:rPr>
              <w:t>BNP</w:t>
            </w:r>
            <w:r w:rsidR="00E476E6">
              <w:rPr>
                <w:rFonts w:ascii="Arial" w:hAnsi="Arial" w:cs="Arial"/>
                <w:sz w:val="18"/>
                <w:szCs w:val="18"/>
                <w:lang w:val="es-ES"/>
              </w:rPr>
              <w:t>; además de los créditos perdidos.</w:t>
            </w:r>
            <w:r w:rsidR="00726EC4">
              <w:rPr>
                <w:rFonts w:ascii="Arial" w:hAnsi="Arial" w:cs="Arial"/>
                <w:iCs/>
                <w:sz w:val="18"/>
                <w:szCs w:val="18"/>
                <w:lang w:val="es-ES"/>
              </w:rPr>
              <w:t xml:space="preserve"> Las cifras se calcularon con datos a marzo 2020.</w:t>
            </w:r>
          </w:p>
        </w:tc>
      </w:tr>
      <w:tr w:rsidR="009E2A4B" w:rsidRPr="007E69D8" w14:paraId="5292DDF2" w14:textId="77777777" w:rsidTr="007226F4">
        <w:trPr>
          <w:trHeight w:val="320"/>
          <w:jc w:val="right"/>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8C32C99" w14:textId="77777777" w:rsidR="009E2A4B" w:rsidRPr="007E69D8" w:rsidRDefault="009E2A4B" w:rsidP="009E2A4B">
            <w:pPr>
              <w:spacing w:after="0" w:line="240" w:lineRule="auto"/>
              <w:jc w:val="center"/>
              <w:rPr>
                <w:rFonts w:ascii="Arial" w:eastAsia="Times New Roman" w:hAnsi="Arial" w:cs="Arial"/>
                <w:b/>
                <w:bCs/>
                <w:color w:val="000000"/>
                <w:sz w:val="18"/>
                <w:szCs w:val="18"/>
                <w:lang w:val="es-ES_tradnl" w:eastAsia="es-ES"/>
              </w:rPr>
            </w:pPr>
            <w:r w:rsidRPr="007E69D8">
              <w:rPr>
                <w:rFonts w:ascii="Arial" w:eastAsia="Times New Roman" w:hAnsi="Arial" w:cs="Arial"/>
                <w:b/>
                <w:bCs/>
                <w:color w:val="000000"/>
                <w:sz w:val="18"/>
                <w:szCs w:val="18"/>
                <w:lang w:val="es-ES_tradnl" w:eastAsia="es-ES"/>
              </w:rPr>
              <w:lastRenderedPageBreak/>
              <w:t>Indicadores de Producto</w:t>
            </w:r>
          </w:p>
        </w:tc>
      </w:tr>
      <w:tr w:rsidR="00F953AB" w:rsidRPr="002056DF" w14:paraId="6C4925F7" w14:textId="77777777" w:rsidTr="007226F4">
        <w:trPr>
          <w:trHeight w:val="320"/>
          <w:jc w:val="right"/>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hideMark/>
          </w:tcPr>
          <w:p w14:paraId="67596A1F" w14:textId="5B38B055" w:rsidR="00F953AB" w:rsidRPr="007E69D8" w:rsidRDefault="00F953AB" w:rsidP="00F953AB">
            <w:pPr>
              <w:spacing w:after="0" w:line="240" w:lineRule="auto"/>
              <w:jc w:val="both"/>
              <w:rPr>
                <w:rFonts w:ascii="Arial" w:eastAsia="Times New Roman" w:hAnsi="Arial" w:cs="Arial"/>
                <w:b/>
                <w:bCs/>
                <w:color w:val="000000"/>
                <w:sz w:val="18"/>
                <w:szCs w:val="18"/>
                <w:u w:val="single"/>
                <w:lang w:val="es-ES_tradnl" w:eastAsia="es-ES"/>
              </w:rPr>
            </w:pPr>
            <w:r>
              <w:rPr>
                <w:rFonts w:ascii="Arial" w:hAnsi="Arial" w:cs="Arial"/>
                <w:b/>
                <w:sz w:val="18"/>
                <w:szCs w:val="18"/>
                <w:u w:val="single"/>
                <w:lang w:val="es-ES" w:eastAsia="zh-CN"/>
              </w:rPr>
              <w:t>Subc</w:t>
            </w:r>
            <w:r w:rsidRPr="00865DAC">
              <w:rPr>
                <w:rFonts w:ascii="Arial" w:hAnsi="Arial" w:cs="Arial"/>
                <w:b/>
                <w:sz w:val="18"/>
                <w:szCs w:val="18"/>
                <w:u w:val="single"/>
                <w:lang w:val="es-ES" w:eastAsia="zh-CN"/>
              </w:rPr>
              <w:t xml:space="preserve">omponente 1: </w:t>
            </w:r>
            <w:r w:rsidRPr="003A3078">
              <w:rPr>
                <w:rFonts w:ascii="Arial" w:hAnsi="Arial" w:cs="Arial"/>
                <w:b/>
                <w:sz w:val="18"/>
                <w:szCs w:val="18"/>
                <w:u w:val="single"/>
                <w:lang w:val="es-ES" w:eastAsia="zh-CN"/>
              </w:rPr>
              <w:t xml:space="preserve">Apoyo a la mejora de las capacidades financieras a corto plazo </w:t>
            </w:r>
            <w:r w:rsidRPr="00865DAC">
              <w:rPr>
                <w:rFonts w:ascii="Arial" w:hAnsi="Arial" w:cs="Arial"/>
                <w:b/>
                <w:smallCaps/>
                <w:sz w:val="18"/>
                <w:szCs w:val="18"/>
                <w:u w:val="single"/>
                <w:lang w:val="es-ES"/>
              </w:rPr>
              <w:t>(costo total=US$</w:t>
            </w:r>
            <w:r>
              <w:rPr>
                <w:rFonts w:ascii="Arial" w:hAnsi="Arial" w:cs="Arial"/>
                <w:b/>
                <w:smallCaps/>
                <w:sz w:val="18"/>
                <w:szCs w:val="18"/>
                <w:u w:val="single"/>
                <w:lang w:val="es-ES"/>
              </w:rPr>
              <w:t>90</w:t>
            </w:r>
            <w:r w:rsidRPr="00865DAC">
              <w:rPr>
                <w:rFonts w:ascii="Arial" w:hAnsi="Arial" w:cs="Arial"/>
                <w:b/>
                <w:smallCaps/>
                <w:sz w:val="18"/>
                <w:szCs w:val="18"/>
                <w:u w:val="single"/>
                <w:lang w:val="es-ES"/>
              </w:rPr>
              <w:t xml:space="preserve"> millones)</w:t>
            </w:r>
          </w:p>
        </w:tc>
      </w:tr>
      <w:tr w:rsidR="00940001" w:rsidRPr="002056DF" w14:paraId="3E8E4886" w14:textId="77777777" w:rsidTr="007226F4">
        <w:trPr>
          <w:trHeight w:val="2077"/>
          <w:jc w:val="right"/>
        </w:trPr>
        <w:tc>
          <w:tcPr>
            <w:tcW w:w="2094" w:type="dxa"/>
            <w:tcBorders>
              <w:top w:val="nil"/>
              <w:left w:val="single" w:sz="8" w:space="0" w:color="000000"/>
              <w:bottom w:val="single" w:sz="8" w:space="0" w:color="000000"/>
              <w:right w:val="single" w:sz="8" w:space="0" w:color="000000"/>
            </w:tcBorders>
            <w:shd w:val="clear" w:color="auto" w:fill="auto"/>
            <w:vAlign w:val="center"/>
            <w:hideMark/>
          </w:tcPr>
          <w:p w14:paraId="4D42547D" w14:textId="2F5216E6" w:rsidR="00940001" w:rsidRPr="007E69D8" w:rsidRDefault="00940001" w:rsidP="00940001">
            <w:pPr>
              <w:spacing w:after="0" w:line="240" w:lineRule="auto"/>
              <w:rPr>
                <w:rFonts w:ascii="Arial" w:eastAsia="Times New Roman" w:hAnsi="Arial" w:cs="Arial"/>
                <w:b/>
                <w:bCs/>
                <w:color w:val="000000"/>
                <w:sz w:val="18"/>
                <w:szCs w:val="18"/>
                <w:lang w:val="es-ES_tradnl" w:eastAsia="es-ES"/>
              </w:rPr>
            </w:pPr>
            <w:r w:rsidRPr="00865DAC">
              <w:rPr>
                <w:rFonts w:ascii="Arial" w:hAnsi="Arial" w:cs="Arial"/>
                <w:b/>
                <w:sz w:val="18"/>
                <w:szCs w:val="18"/>
                <w:lang w:val="es-ES"/>
              </w:rPr>
              <w:t>Producto 1:</w:t>
            </w:r>
            <w:r w:rsidRPr="00865DAC">
              <w:rPr>
                <w:rFonts w:ascii="Arial" w:hAnsi="Arial" w:cs="Arial"/>
                <w:sz w:val="18"/>
                <w:szCs w:val="18"/>
                <w:lang w:val="es-ES"/>
              </w:rPr>
              <w:t xml:space="preserve"> </w:t>
            </w:r>
            <w:r>
              <w:rPr>
                <w:rFonts w:ascii="Arial" w:hAnsi="Arial" w:cs="Arial"/>
                <w:sz w:val="18"/>
                <w:szCs w:val="18"/>
                <w:lang w:val="es-ES"/>
              </w:rPr>
              <w:t>Monto otorgado para el financiamiento de capital de trabajo para empresas MIPYME en sectores y cadenas identificados como vulnerables por el programa.</w:t>
            </w:r>
          </w:p>
        </w:tc>
        <w:tc>
          <w:tcPr>
            <w:tcW w:w="1552" w:type="dxa"/>
            <w:tcBorders>
              <w:top w:val="nil"/>
              <w:left w:val="nil"/>
              <w:bottom w:val="single" w:sz="8" w:space="0" w:color="000000"/>
              <w:right w:val="single" w:sz="8" w:space="0" w:color="000000"/>
            </w:tcBorders>
            <w:shd w:val="clear" w:color="auto" w:fill="auto"/>
            <w:vAlign w:val="center"/>
            <w:hideMark/>
          </w:tcPr>
          <w:p w14:paraId="04B01EA6" w14:textId="2A96CECD" w:rsidR="00940001" w:rsidRPr="007E69D8" w:rsidRDefault="00940001" w:rsidP="00940001">
            <w:pPr>
              <w:spacing w:after="0" w:line="240" w:lineRule="auto"/>
              <w:jc w:val="center"/>
              <w:rPr>
                <w:rFonts w:ascii="Arial" w:eastAsia="Times New Roman" w:hAnsi="Arial" w:cs="Arial"/>
                <w:color w:val="000000"/>
                <w:sz w:val="18"/>
                <w:szCs w:val="18"/>
                <w:lang w:val="es-ES_tradnl" w:eastAsia="es-ES"/>
              </w:rPr>
            </w:pPr>
            <w:r w:rsidRPr="1E090056">
              <w:rPr>
                <w:rFonts w:ascii="Arial" w:hAnsi="Arial" w:cs="Arial"/>
                <w:sz w:val="18"/>
                <w:szCs w:val="18"/>
                <w:lang w:val="es-ES"/>
              </w:rPr>
              <w:t>US$</w:t>
            </w:r>
            <w:r>
              <w:rPr>
                <w:rFonts w:ascii="Arial" w:hAnsi="Arial" w:cs="Arial"/>
                <w:sz w:val="18"/>
                <w:szCs w:val="18"/>
                <w:lang w:val="es-ES"/>
              </w:rPr>
              <w:t xml:space="preserve"> millones</w:t>
            </w:r>
          </w:p>
        </w:tc>
        <w:tc>
          <w:tcPr>
            <w:tcW w:w="1542" w:type="dxa"/>
            <w:tcBorders>
              <w:top w:val="nil"/>
              <w:left w:val="nil"/>
              <w:bottom w:val="single" w:sz="8" w:space="0" w:color="000000"/>
              <w:right w:val="single" w:sz="8" w:space="0" w:color="000000"/>
            </w:tcBorders>
            <w:shd w:val="clear" w:color="auto" w:fill="auto"/>
            <w:vAlign w:val="center"/>
          </w:tcPr>
          <w:p w14:paraId="7394749C" w14:textId="253EE57B" w:rsidR="00940001" w:rsidRPr="007E69D8" w:rsidRDefault="00940001" w:rsidP="00940001">
            <w:pPr>
              <w:spacing w:after="0" w:line="240" w:lineRule="auto"/>
              <w:rPr>
                <w:rFonts w:ascii="Arial" w:eastAsia="Times New Roman" w:hAnsi="Arial" w:cs="Arial"/>
                <w:color w:val="000000"/>
                <w:sz w:val="18"/>
                <w:szCs w:val="18"/>
                <w:lang w:val="es-ES_tradnl" w:eastAsia="es-ES"/>
              </w:rPr>
            </w:pPr>
            <w:r w:rsidRPr="001B6C9E">
              <w:rPr>
                <w:rFonts w:ascii="Arial" w:eastAsia="Times New Roman" w:hAnsi="Arial" w:cs="Arial"/>
                <w:color w:val="000000"/>
                <w:sz w:val="18"/>
                <w:szCs w:val="18"/>
                <w:lang w:val="es-ES_tradnl" w:eastAsia="es-ES"/>
              </w:rPr>
              <w:t xml:space="preserve">Información de seguimiento y monitoreo procesada por </w:t>
            </w:r>
            <w:r w:rsidR="00840F7B">
              <w:rPr>
                <w:rFonts w:ascii="Arial" w:eastAsia="Times New Roman" w:hAnsi="Arial" w:cs="Arial"/>
                <w:color w:val="000000"/>
                <w:sz w:val="18"/>
                <w:szCs w:val="18"/>
                <w:lang w:val="es-ES_tradnl" w:eastAsia="es-ES"/>
              </w:rPr>
              <w:t>BNP</w:t>
            </w:r>
            <w:r w:rsidRPr="001B6C9E">
              <w:rPr>
                <w:rFonts w:ascii="Arial" w:eastAsia="Times New Roman" w:hAnsi="Arial" w:cs="Arial"/>
                <w:color w:val="000000"/>
                <w:sz w:val="18"/>
                <w:szCs w:val="18"/>
                <w:lang w:val="es-ES_tradnl" w:eastAsia="es-ES"/>
              </w:rPr>
              <w:t>.</w:t>
            </w:r>
          </w:p>
        </w:tc>
        <w:tc>
          <w:tcPr>
            <w:tcW w:w="3625" w:type="dxa"/>
            <w:tcBorders>
              <w:top w:val="nil"/>
              <w:left w:val="nil"/>
              <w:bottom w:val="single" w:sz="8" w:space="0" w:color="000000"/>
              <w:right w:val="single" w:sz="8" w:space="0" w:color="000000"/>
            </w:tcBorders>
            <w:shd w:val="clear" w:color="auto" w:fill="auto"/>
            <w:vAlign w:val="center"/>
          </w:tcPr>
          <w:p w14:paraId="214A6841" w14:textId="391411A2" w:rsidR="00940001" w:rsidRPr="007E69D8" w:rsidRDefault="00940001" w:rsidP="00940001">
            <w:pPr>
              <w:spacing w:after="0" w:line="240" w:lineRule="auto"/>
              <w:rPr>
                <w:rFonts w:ascii="Arial" w:eastAsia="Times New Roman" w:hAnsi="Arial" w:cs="Arial"/>
                <w:color w:val="000000"/>
                <w:sz w:val="18"/>
                <w:szCs w:val="18"/>
                <w:lang w:val="es-ES_tradnl" w:eastAsia="es-ES"/>
              </w:rPr>
            </w:pPr>
            <w:r>
              <w:rPr>
                <w:rFonts w:ascii="Arial" w:hAnsi="Arial" w:cs="Arial"/>
                <w:sz w:val="18"/>
                <w:szCs w:val="18"/>
                <w:lang w:val="es-ES"/>
              </w:rPr>
              <w:t>El valor de la meta final corresponde al acumulado de todos los años de ejecución.</w:t>
            </w:r>
          </w:p>
        </w:tc>
      </w:tr>
      <w:tr w:rsidR="00D2330A" w:rsidRPr="002056DF" w14:paraId="42FF5C45" w14:textId="77777777" w:rsidTr="007226F4">
        <w:trPr>
          <w:trHeight w:val="736"/>
          <w:jc w:val="right"/>
        </w:trPr>
        <w:tc>
          <w:tcPr>
            <w:tcW w:w="8813" w:type="dxa"/>
            <w:gridSpan w:val="4"/>
            <w:tcBorders>
              <w:top w:val="nil"/>
              <w:left w:val="single" w:sz="8" w:space="0" w:color="000000"/>
              <w:bottom w:val="single" w:sz="8" w:space="0" w:color="000000"/>
              <w:right w:val="single" w:sz="8" w:space="0" w:color="000000"/>
            </w:tcBorders>
            <w:shd w:val="clear" w:color="auto" w:fill="auto"/>
            <w:vAlign w:val="center"/>
          </w:tcPr>
          <w:p w14:paraId="72E7D5BB" w14:textId="1AB31CBC" w:rsidR="00D2330A" w:rsidRPr="00F953AB" w:rsidRDefault="00D2330A" w:rsidP="00F953AB">
            <w:pPr>
              <w:spacing w:after="0" w:line="240" w:lineRule="auto"/>
              <w:jc w:val="both"/>
              <w:rPr>
                <w:rFonts w:ascii="Arial" w:hAnsi="Arial" w:cs="Arial"/>
                <w:b/>
                <w:sz w:val="18"/>
                <w:szCs w:val="18"/>
                <w:u w:val="single"/>
                <w:lang w:val="es-ES" w:eastAsia="zh-CN"/>
              </w:rPr>
            </w:pPr>
            <w:r>
              <w:rPr>
                <w:rFonts w:ascii="Arial" w:hAnsi="Arial" w:cs="Arial"/>
                <w:b/>
                <w:sz w:val="18"/>
                <w:szCs w:val="18"/>
                <w:u w:val="single"/>
                <w:lang w:val="es-ES" w:eastAsia="zh-CN"/>
              </w:rPr>
              <w:t>Subc</w:t>
            </w:r>
            <w:r w:rsidRPr="00865DAC">
              <w:rPr>
                <w:rFonts w:ascii="Arial" w:hAnsi="Arial" w:cs="Arial"/>
                <w:b/>
                <w:sz w:val="18"/>
                <w:szCs w:val="18"/>
                <w:u w:val="single"/>
                <w:lang w:val="es-ES" w:eastAsia="zh-CN"/>
              </w:rPr>
              <w:t>omponente 2:</w:t>
            </w:r>
            <w:r>
              <w:rPr>
                <w:rFonts w:ascii="Arial" w:hAnsi="Arial" w:cs="Arial"/>
                <w:b/>
                <w:sz w:val="18"/>
                <w:szCs w:val="18"/>
                <w:u w:val="single"/>
                <w:lang w:val="es-ES" w:eastAsia="zh-CN"/>
              </w:rPr>
              <w:t xml:space="preserve"> Apoyo al acceso al financiamiento productivo para la recuperación económica</w:t>
            </w:r>
            <w:r w:rsidRPr="00865DAC">
              <w:rPr>
                <w:rFonts w:ascii="Arial" w:hAnsi="Arial" w:cs="Arial"/>
                <w:b/>
                <w:sz w:val="18"/>
                <w:szCs w:val="18"/>
                <w:u w:val="single"/>
                <w:lang w:val="es-ES" w:eastAsia="zh-CN"/>
              </w:rPr>
              <w:t xml:space="preserve"> </w:t>
            </w:r>
            <w:r w:rsidRPr="00F953AB">
              <w:rPr>
                <w:rFonts w:ascii="Arial" w:hAnsi="Arial" w:cs="Arial"/>
                <w:b/>
                <w:sz w:val="18"/>
                <w:szCs w:val="18"/>
                <w:u w:val="single"/>
                <w:lang w:val="es-ES" w:eastAsia="zh-CN"/>
              </w:rPr>
              <w:t>(costo total=US$ 60 millones)</w:t>
            </w:r>
          </w:p>
        </w:tc>
      </w:tr>
      <w:tr w:rsidR="0053029F" w:rsidRPr="002056DF" w14:paraId="7BABEDB5" w14:textId="77777777" w:rsidTr="007226F4">
        <w:trPr>
          <w:trHeight w:val="2077"/>
          <w:jc w:val="right"/>
        </w:trPr>
        <w:tc>
          <w:tcPr>
            <w:tcW w:w="2094" w:type="dxa"/>
            <w:tcBorders>
              <w:top w:val="nil"/>
              <w:left w:val="single" w:sz="8" w:space="0" w:color="000000"/>
              <w:bottom w:val="single" w:sz="8" w:space="0" w:color="000000"/>
              <w:right w:val="single" w:sz="8" w:space="0" w:color="000000"/>
            </w:tcBorders>
            <w:shd w:val="clear" w:color="auto" w:fill="auto"/>
            <w:vAlign w:val="center"/>
          </w:tcPr>
          <w:p w14:paraId="5983AE4A" w14:textId="4A568112" w:rsidR="0053029F" w:rsidRPr="007E69D8" w:rsidRDefault="0053029F" w:rsidP="0053029F">
            <w:pPr>
              <w:spacing w:after="0" w:line="240" w:lineRule="auto"/>
              <w:ind w:left="193"/>
              <w:rPr>
                <w:rFonts w:ascii="Arial" w:eastAsia="Times New Roman" w:hAnsi="Arial" w:cs="Arial"/>
                <w:b/>
                <w:bCs/>
                <w:color w:val="000000"/>
                <w:sz w:val="18"/>
                <w:szCs w:val="18"/>
                <w:lang w:val="es-ES_tradnl" w:eastAsia="es-ES"/>
              </w:rPr>
            </w:pPr>
            <w:r w:rsidRPr="42CD9B99">
              <w:rPr>
                <w:rFonts w:ascii="Arial" w:hAnsi="Arial" w:cs="Arial"/>
                <w:b/>
                <w:bCs/>
                <w:sz w:val="18"/>
                <w:szCs w:val="18"/>
                <w:lang w:val="es-ES"/>
              </w:rPr>
              <w:t xml:space="preserve">Producto </w:t>
            </w:r>
            <w:r>
              <w:rPr>
                <w:rFonts w:ascii="Arial" w:hAnsi="Arial" w:cs="Arial"/>
                <w:b/>
                <w:bCs/>
                <w:sz w:val="18"/>
                <w:szCs w:val="18"/>
                <w:lang w:val="es-ES"/>
              </w:rPr>
              <w:t>2</w:t>
            </w:r>
            <w:r w:rsidRPr="42CD9B99">
              <w:rPr>
                <w:rFonts w:ascii="Arial" w:hAnsi="Arial" w:cs="Arial"/>
                <w:b/>
                <w:bCs/>
                <w:sz w:val="18"/>
                <w:szCs w:val="18"/>
                <w:lang w:val="es-ES"/>
              </w:rPr>
              <w:t>:</w:t>
            </w:r>
            <w:r w:rsidRPr="42CD9B99">
              <w:rPr>
                <w:rFonts w:ascii="Arial" w:hAnsi="Arial" w:cs="Arial"/>
                <w:sz w:val="18"/>
                <w:szCs w:val="18"/>
                <w:lang w:val="es-ES"/>
              </w:rPr>
              <w:t xml:space="preserve"> Monto otorgado </w:t>
            </w:r>
            <w:r>
              <w:rPr>
                <w:rFonts w:ascii="Arial" w:hAnsi="Arial" w:cs="Arial"/>
                <w:sz w:val="18"/>
                <w:szCs w:val="18"/>
                <w:lang w:val="es-ES"/>
              </w:rPr>
              <w:t xml:space="preserve">para el financiamiento </w:t>
            </w:r>
            <w:r w:rsidRPr="42CD9B99">
              <w:rPr>
                <w:rFonts w:ascii="Arial" w:hAnsi="Arial" w:cs="Arial"/>
                <w:sz w:val="18"/>
                <w:szCs w:val="18"/>
                <w:lang w:val="es-ES"/>
              </w:rPr>
              <w:t>productivo a empresas MIPYME en sectores identificados como vulnerables por el programa.</w:t>
            </w:r>
          </w:p>
        </w:tc>
        <w:tc>
          <w:tcPr>
            <w:tcW w:w="1552" w:type="dxa"/>
            <w:tcBorders>
              <w:top w:val="nil"/>
              <w:left w:val="nil"/>
              <w:bottom w:val="single" w:sz="8" w:space="0" w:color="000000"/>
              <w:right w:val="single" w:sz="8" w:space="0" w:color="000000"/>
            </w:tcBorders>
            <w:shd w:val="clear" w:color="auto" w:fill="auto"/>
            <w:vAlign w:val="center"/>
          </w:tcPr>
          <w:p w14:paraId="2BC223F3" w14:textId="38E53D95" w:rsidR="0053029F" w:rsidRPr="007E69D8" w:rsidRDefault="0053029F" w:rsidP="0053029F">
            <w:pPr>
              <w:spacing w:after="0" w:line="240" w:lineRule="auto"/>
              <w:jc w:val="center"/>
              <w:rPr>
                <w:rFonts w:ascii="Arial" w:eastAsia="Times New Roman" w:hAnsi="Arial" w:cs="Arial"/>
                <w:color w:val="000000"/>
                <w:sz w:val="18"/>
                <w:szCs w:val="18"/>
                <w:lang w:val="es-ES_tradnl" w:eastAsia="es-ES"/>
              </w:rPr>
            </w:pPr>
            <w:r w:rsidRPr="1E090056">
              <w:rPr>
                <w:rFonts w:ascii="Arial" w:hAnsi="Arial" w:cs="Arial"/>
                <w:sz w:val="18"/>
                <w:szCs w:val="18"/>
                <w:lang w:val="es-ES"/>
              </w:rPr>
              <w:t>US$</w:t>
            </w:r>
            <w:r>
              <w:rPr>
                <w:rFonts w:ascii="Arial" w:hAnsi="Arial" w:cs="Arial"/>
                <w:sz w:val="18"/>
                <w:szCs w:val="18"/>
                <w:lang w:val="es-ES"/>
              </w:rPr>
              <w:t xml:space="preserve"> millones</w:t>
            </w:r>
          </w:p>
        </w:tc>
        <w:tc>
          <w:tcPr>
            <w:tcW w:w="1542" w:type="dxa"/>
            <w:tcBorders>
              <w:top w:val="nil"/>
              <w:left w:val="nil"/>
              <w:bottom w:val="single" w:sz="8" w:space="0" w:color="000000"/>
              <w:right w:val="single" w:sz="8" w:space="0" w:color="000000"/>
            </w:tcBorders>
            <w:shd w:val="clear" w:color="auto" w:fill="auto"/>
            <w:vAlign w:val="center"/>
          </w:tcPr>
          <w:p w14:paraId="51E9FDAA" w14:textId="6B9FB732" w:rsidR="0053029F" w:rsidRPr="007E69D8" w:rsidRDefault="0053029F" w:rsidP="0053029F">
            <w:pPr>
              <w:spacing w:after="0" w:line="240" w:lineRule="auto"/>
              <w:rPr>
                <w:rFonts w:ascii="Arial" w:eastAsia="Times New Roman" w:hAnsi="Arial" w:cs="Arial"/>
                <w:color w:val="000000"/>
                <w:sz w:val="18"/>
                <w:szCs w:val="18"/>
                <w:lang w:val="es-ES_tradnl" w:eastAsia="es-ES"/>
              </w:rPr>
            </w:pPr>
            <w:r w:rsidRPr="001B6C9E">
              <w:rPr>
                <w:rFonts w:ascii="Arial" w:eastAsia="Times New Roman" w:hAnsi="Arial" w:cs="Arial"/>
                <w:color w:val="000000"/>
                <w:sz w:val="18"/>
                <w:szCs w:val="18"/>
                <w:lang w:val="es-ES_tradnl" w:eastAsia="es-ES"/>
              </w:rPr>
              <w:t xml:space="preserve">Información de seguimiento y monitoreo procesada por </w:t>
            </w:r>
            <w:r w:rsidR="00840F7B">
              <w:rPr>
                <w:rFonts w:ascii="Arial" w:eastAsia="Times New Roman" w:hAnsi="Arial" w:cs="Arial"/>
                <w:color w:val="000000"/>
                <w:sz w:val="18"/>
                <w:szCs w:val="18"/>
                <w:lang w:val="es-ES_tradnl" w:eastAsia="es-ES"/>
              </w:rPr>
              <w:t>BNP</w:t>
            </w:r>
            <w:r w:rsidRPr="001B6C9E">
              <w:rPr>
                <w:rFonts w:ascii="Arial" w:eastAsia="Times New Roman" w:hAnsi="Arial" w:cs="Arial"/>
                <w:color w:val="000000"/>
                <w:sz w:val="18"/>
                <w:szCs w:val="18"/>
                <w:lang w:val="es-ES_tradnl" w:eastAsia="es-ES"/>
              </w:rPr>
              <w:t>.</w:t>
            </w:r>
          </w:p>
        </w:tc>
        <w:tc>
          <w:tcPr>
            <w:tcW w:w="3625" w:type="dxa"/>
            <w:tcBorders>
              <w:top w:val="nil"/>
              <w:left w:val="nil"/>
              <w:bottom w:val="single" w:sz="8" w:space="0" w:color="000000"/>
              <w:right w:val="single" w:sz="8" w:space="0" w:color="000000"/>
            </w:tcBorders>
            <w:shd w:val="clear" w:color="auto" w:fill="auto"/>
            <w:vAlign w:val="center"/>
          </w:tcPr>
          <w:p w14:paraId="18B53B2D" w14:textId="49822C5A" w:rsidR="0053029F" w:rsidRPr="007E69D8" w:rsidRDefault="0053029F" w:rsidP="0053029F">
            <w:pPr>
              <w:spacing w:after="0" w:line="240" w:lineRule="auto"/>
              <w:rPr>
                <w:rFonts w:ascii="Arial" w:eastAsia="Times New Roman" w:hAnsi="Arial" w:cs="Arial"/>
                <w:color w:val="000000"/>
                <w:sz w:val="18"/>
                <w:szCs w:val="18"/>
                <w:lang w:val="es-ES_tradnl" w:eastAsia="es-ES"/>
              </w:rPr>
            </w:pPr>
            <w:r>
              <w:rPr>
                <w:rFonts w:ascii="Arial" w:hAnsi="Arial" w:cs="Arial"/>
                <w:sz w:val="18"/>
                <w:szCs w:val="18"/>
                <w:lang w:val="es-ES"/>
              </w:rPr>
              <w:t>El valor de la meta final corresponde al acumulado de todos los años de ejecución.</w:t>
            </w:r>
          </w:p>
        </w:tc>
      </w:tr>
    </w:tbl>
    <w:p w14:paraId="383E8915" w14:textId="0CA286EB" w:rsidR="004F54D6" w:rsidRDefault="004F54D6" w:rsidP="009D7D93">
      <w:pPr>
        <w:pStyle w:val="Default"/>
        <w:spacing w:before="120" w:after="120"/>
        <w:rPr>
          <w:rFonts w:ascii="Arial" w:hAnsi="Arial" w:cs="Arial"/>
          <w:b/>
          <w:color w:val="auto"/>
          <w:sz w:val="22"/>
          <w:szCs w:val="22"/>
          <w:highlight w:val="yellow"/>
          <w:lang w:val="es-ES_tradnl"/>
        </w:rPr>
        <w:sectPr w:rsidR="004F54D6" w:rsidSect="001539B3">
          <w:type w:val="continuous"/>
          <w:pgSz w:w="12240" w:h="15840"/>
          <w:pgMar w:top="1440" w:right="1440" w:bottom="1440" w:left="1440" w:header="720" w:footer="720" w:gutter="0"/>
          <w:cols w:space="720"/>
          <w:docGrid w:linePitch="360"/>
        </w:sectPr>
      </w:pPr>
    </w:p>
    <w:p w14:paraId="22EF9CE8" w14:textId="77777777" w:rsidR="007116B2" w:rsidRPr="00CA1991" w:rsidRDefault="007116B2" w:rsidP="00614B51">
      <w:pPr>
        <w:pStyle w:val="SecHeading"/>
        <w:tabs>
          <w:tab w:val="clear" w:pos="5400"/>
          <w:tab w:val="num" w:pos="1260"/>
        </w:tabs>
        <w:spacing w:before="240"/>
        <w:ind w:hanging="4680"/>
        <w:rPr>
          <w:rFonts w:ascii="Arial" w:hAnsi="Arial" w:cs="Arial"/>
          <w:color w:val="auto"/>
          <w:sz w:val="22"/>
          <w:szCs w:val="22"/>
        </w:rPr>
      </w:pPr>
      <w:bookmarkStart w:id="20" w:name="_Toc352756754"/>
      <w:bookmarkStart w:id="21" w:name="_Toc38625958"/>
      <w:bookmarkEnd w:id="17"/>
      <w:r w:rsidRPr="00CA1991">
        <w:rPr>
          <w:rFonts w:ascii="Arial" w:hAnsi="Arial" w:cs="Arial"/>
          <w:color w:val="auto"/>
          <w:sz w:val="22"/>
          <w:szCs w:val="22"/>
        </w:rPr>
        <w:t>Recolección de Información e Instrumentos</w:t>
      </w:r>
      <w:bookmarkEnd w:id="20"/>
      <w:bookmarkEnd w:id="21"/>
    </w:p>
    <w:p w14:paraId="5D63483F" w14:textId="2DC952CC" w:rsidR="007116B2" w:rsidRPr="00CA1991" w:rsidRDefault="006B6990" w:rsidP="007116B2">
      <w:pPr>
        <w:pStyle w:val="Paragraph"/>
        <w:numPr>
          <w:ilvl w:val="1"/>
          <w:numId w:val="5"/>
        </w:numPr>
        <w:ind w:left="630" w:hanging="630"/>
        <w:rPr>
          <w:rFonts w:ascii="Arial" w:hAnsi="Arial" w:cs="Arial"/>
          <w:sz w:val="22"/>
          <w:szCs w:val="22"/>
          <w:lang w:val="es-ES_tradnl"/>
        </w:rPr>
      </w:pPr>
      <w:r w:rsidRPr="00CA1991">
        <w:rPr>
          <w:rFonts w:ascii="Arial" w:hAnsi="Arial" w:cs="Arial"/>
          <w:sz w:val="22"/>
          <w:szCs w:val="22"/>
          <w:lang w:val="es-ES_tradnl"/>
        </w:rPr>
        <w:t xml:space="preserve">El OE y el Banco </w:t>
      </w:r>
      <w:r w:rsidR="007116B2" w:rsidRPr="00CA1991">
        <w:rPr>
          <w:rFonts w:ascii="Arial" w:hAnsi="Arial" w:cs="Arial"/>
          <w:sz w:val="22"/>
          <w:szCs w:val="22"/>
          <w:lang w:val="es-ES_tradnl"/>
        </w:rPr>
        <w:t xml:space="preserve">han acordado usar la Matriz de Resultados del programa recogida en este Plan de Monitoreo y Evaluación a los efectos de monitorear el progreso en su ejecución. Dicho monitoreo descansará en la información administrativa recolectada y mantenida durante la vida del </w:t>
      </w:r>
      <w:r w:rsidRPr="00CA1991">
        <w:rPr>
          <w:rFonts w:ascii="Arial" w:hAnsi="Arial" w:cs="Arial"/>
          <w:sz w:val="22"/>
          <w:szCs w:val="22"/>
          <w:lang w:val="es-ES_tradnl"/>
        </w:rPr>
        <w:t>programa</w:t>
      </w:r>
      <w:r w:rsidR="007116B2" w:rsidRPr="00CA1991">
        <w:rPr>
          <w:rFonts w:ascii="Arial" w:hAnsi="Arial" w:cs="Arial"/>
          <w:sz w:val="22"/>
          <w:szCs w:val="22"/>
          <w:lang w:val="es-ES_tradnl"/>
        </w:rPr>
        <w:t xml:space="preserve"> por el OE</w:t>
      </w:r>
      <w:r w:rsidRPr="00CA1991">
        <w:rPr>
          <w:rFonts w:ascii="Arial" w:hAnsi="Arial" w:cs="Arial"/>
          <w:sz w:val="22"/>
          <w:szCs w:val="22"/>
          <w:lang w:val="es-ES_tradnl"/>
        </w:rPr>
        <w:t>.</w:t>
      </w:r>
      <w:r w:rsidR="007116B2" w:rsidRPr="00CA1991">
        <w:rPr>
          <w:rFonts w:ascii="Arial" w:hAnsi="Arial" w:cs="Arial"/>
          <w:sz w:val="22"/>
          <w:szCs w:val="22"/>
          <w:lang w:val="es-ES_tradnl"/>
        </w:rPr>
        <w:t xml:space="preserve"> </w:t>
      </w:r>
      <w:r w:rsidRPr="00CA1991">
        <w:rPr>
          <w:rFonts w:ascii="Arial" w:hAnsi="Arial" w:cs="Arial"/>
          <w:sz w:val="22"/>
          <w:szCs w:val="22"/>
          <w:lang w:val="es-ES_tradnl"/>
        </w:rPr>
        <w:t>El OE m</w:t>
      </w:r>
      <w:r w:rsidR="007116B2" w:rsidRPr="00CA1991">
        <w:rPr>
          <w:rFonts w:ascii="Arial" w:hAnsi="Arial" w:cs="Arial"/>
          <w:sz w:val="22"/>
          <w:szCs w:val="22"/>
          <w:lang w:val="es-ES_tradnl"/>
        </w:rPr>
        <w:t xml:space="preserve">antendrá un sistema de registros que podrá incluir información sobre las características del </w:t>
      </w:r>
      <w:r w:rsidRPr="00CA1991">
        <w:rPr>
          <w:rFonts w:ascii="Arial" w:hAnsi="Arial" w:cs="Arial"/>
          <w:sz w:val="22"/>
          <w:szCs w:val="22"/>
          <w:lang w:val="es-ES_tradnl"/>
        </w:rPr>
        <w:t>financiamiento y/o garantía</w:t>
      </w:r>
      <w:r w:rsidR="007116B2" w:rsidRPr="00CA1991">
        <w:rPr>
          <w:rFonts w:ascii="Arial" w:hAnsi="Arial" w:cs="Arial"/>
          <w:sz w:val="22"/>
          <w:szCs w:val="22"/>
          <w:lang w:val="es-ES_tradnl"/>
        </w:rPr>
        <w:t xml:space="preserve"> otorgado a los prestatarios y/o destinatarios </w:t>
      </w:r>
      <w:r w:rsidRPr="00CA1991">
        <w:rPr>
          <w:rFonts w:ascii="Arial" w:hAnsi="Arial" w:cs="Arial"/>
          <w:sz w:val="22"/>
          <w:szCs w:val="22"/>
          <w:lang w:val="es-ES_tradnl"/>
        </w:rPr>
        <w:t>finales,</w:t>
      </w:r>
      <w:r w:rsidR="007116B2" w:rsidRPr="00CA1991">
        <w:rPr>
          <w:rFonts w:ascii="Arial" w:hAnsi="Arial" w:cs="Arial"/>
          <w:sz w:val="22"/>
          <w:szCs w:val="22"/>
          <w:lang w:val="es-ES_tradnl"/>
        </w:rPr>
        <w:t xml:space="preserve"> como monto, tasa de interés, sector de actividad, destino de la inversión, plazos y cartera vencida.</w:t>
      </w:r>
    </w:p>
    <w:p w14:paraId="741F1122" w14:textId="77777777" w:rsidR="007116B2" w:rsidRPr="006E7FB8" w:rsidRDefault="007116B2" w:rsidP="007116B2">
      <w:pPr>
        <w:pStyle w:val="Paragraph"/>
        <w:numPr>
          <w:ilvl w:val="1"/>
          <w:numId w:val="5"/>
        </w:numPr>
        <w:ind w:left="630" w:hanging="630"/>
        <w:rPr>
          <w:rFonts w:ascii="Arial" w:hAnsi="Arial" w:cs="Arial"/>
          <w:sz w:val="22"/>
          <w:szCs w:val="22"/>
          <w:lang w:val="es-ES_tradnl"/>
        </w:rPr>
      </w:pPr>
      <w:r w:rsidRPr="00CA1991">
        <w:rPr>
          <w:rFonts w:ascii="Arial" w:hAnsi="Arial" w:cs="Arial"/>
          <w:sz w:val="22"/>
          <w:szCs w:val="22"/>
          <w:lang w:val="es-ES_tradnl"/>
        </w:rPr>
        <w:t xml:space="preserve">Los usuarios de los informes semestrales de seguimiento serán el organismo financiador del Programa (BID), más concretamente la División de Conectividad, Mercados y Finanzas </w:t>
      </w:r>
      <w:r w:rsidRPr="00CA1991">
        <w:rPr>
          <w:rFonts w:ascii="Arial" w:hAnsi="Arial" w:cs="Arial"/>
          <w:sz w:val="22"/>
          <w:szCs w:val="22"/>
          <w:lang w:val="es-ES_tradnl"/>
        </w:rPr>
        <w:lastRenderedPageBreak/>
        <w:t>(IFD/CMF), las instituciones colaboradoras en cada proyecto, y las auditorías que trabajen en la supervisión d</w:t>
      </w:r>
      <w:r w:rsidRPr="006E7FB8">
        <w:rPr>
          <w:rFonts w:ascii="Arial" w:hAnsi="Arial" w:cs="Arial"/>
          <w:sz w:val="22"/>
          <w:szCs w:val="22"/>
          <w:lang w:val="es-ES_tradnl"/>
        </w:rPr>
        <w:t xml:space="preserve">el Programa. </w:t>
      </w:r>
    </w:p>
    <w:p w14:paraId="66E142C8" w14:textId="77777777" w:rsidR="007116B2" w:rsidRPr="006E7FB8" w:rsidRDefault="007116B2" w:rsidP="007116B2">
      <w:pPr>
        <w:pStyle w:val="SecHeading"/>
        <w:tabs>
          <w:tab w:val="clear" w:pos="5400"/>
          <w:tab w:val="num" w:pos="1260"/>
        </w:tabs>
        <w:ind w:left="5398" w:hanging="4678"/>
        <w:rPr>
          <w:rFonts w:ascii="Arial" w:hAnsi="Arial" w:cs="Arial"/>
          <w:color w:val="auto"/>
          <w:sz w:val="22"/>
          <w:szCs w:val="22"/>
        </w:rPr>
      </w:pPr>
      <w:bookmarkStart w:id="22" w:name="_Toc352756755"/>
      <w:bookmarkStart w:id="23" w:name="_Toc38625959"/>
      <w:r w:rsidRPr="006E7FB8">
        <w:rPr>
          <w:rFonts w:ascii="Arial" w:hAnsi="Arial" w:cs="Arial"/>
          <w:color w:val="auto"/>
          <w:sz w:val="22"/>
          <w:szCs w:val="22"/>
        </w:rPr>
        <w:t xml:space="preserve">Presentación de </w:t>
      </w:r>
      <w:bookmarkEnd w:id="22"/>
      <w:r w:rsidRPr="006E7FB8">
        <w:rPr>
          <w:rFonts w:ascii="Arial" w:hAnsi="Arial" w:cs="Arial"/>
          <w:color w:val="auto"/>
          <w:sz w:val="22"/>
          <w:szCs w:val="22"/>
        </w:rPr>
        <w:t>Informes</w:t>
      </w:r>
      <w:bookmarkEnd w:id="23"/>
      <w:r w:rsidRPr="006E7FB8">
        <w:rPr>
          <w:rFonts w:ascii="Arial" w:hAnsi="Arial" w:cs="Arial"/>
          <w:color w:val="auto"/>
          <w:sz w:val="22"/>
          <w:szCs w:val="22"/>
        </w:rPr>
        <w:t xml:space="preserve"> </w:t>
      </w:r>
    </w:p>
    <w:p w14:paraId="6ACBCF31" w14:textId="7C53A4AC" w:rsidR="007116B2" w:rsidRPr="006E7FB8" w:rsidRDefault="007116B2" w:rsidP="007116B2">
      <w:pPr>
        <w:pStyle w:val="Paragraph"/>
        <w:numPr>
          <w:ilvl w:val="1"/>
          <w:numId w:val="5"/>
        </w:numPr>
        <w:ind w:left="630" w:hanging="630"/>
        <w:rPr>
          <w:rFonts w:ascii="Arial" w:hAnsi="Arial" w:cs="Arial"/>
          <w:sz w:val="22"/>
          <w:szCs w:val="22"/>
          <w:lang w:val="es-ES_tradnl"/>
        </w:rPr>
      </w:pPr>
      <w:r w:rsidRPr="006E7FB8">
        <w:rPr>
          <w:rFonts w:ascii="Arial" w:hAnsi="Arial" w:cs="Arial"/>
          <w:sz w:val="22"/>
          <w:szCs w:val="22"/>
          <w:lang w:val="es-ES_tradnl"/>
        </w:rPr>
        <w:t xml:space="preserve">La ejecución del programa será monitoreada a través de los PMR. </w:t>
      </w:r>
      <w:r w:rsidR="006B6990" w:rsidRPr="006E7FB8">
        <w:rPr>
          <w:rFonts w:ascii="Arial" w:hAnsi="Arial" w:cs="Arial"/>
          <w:sz w:val="22"/>
          <w:szCs w:val="22"/>
          <w:lang w:val="es-ES_tradnl"/>
        </w:rPr>
        <w:t xml:space="preserve">El OE en coordinación con </w:t>
      </w:r>
      <w:r w:rsidR="004175DB" w:rsidRPr="006E7FB8">
        <w:rPr>
          <w:rFonts w:ascii="Arial" w:hAnsi="Arial" w:cs="Arial"/>
          <w:sz w:val="22"/>
          <w:szCs w:val="22"/>
          <w:lang w:val="es-ES_tradnl"/>
        </w:rPr>
        <w:t xml:space="preserve">el Banco </w:t>
      </w:r>
      <w:r w:rsidRPr="006E7FB8">
        <w:rPr>
          <w:rFonts w:ascii="Arial" w:hAnsi="Arial" w:cs="Arial"/>
          <w:sz w:val="22"/>
          <w:szCs w:val="22"/>
          <w:lang w:val="es-ES_tradnl"/>
        </w:rPr>
        <w:t>será responsable de entregar dichos informes al BID dentro de los plazos especificados en las condiciones contractuales (a más tardar 60 días después del fin de cada semestre). Estos informes incluyen: (i) Informes de Monitoreo semestrales; (ii) el Informe de Evaluación Final; (iii) Auditorías; y (iv) Evaluaciones de Cumplimiento ESG.</w:t>
      </w:r>
    </w:p>
    <w:p w14:paraId="27D87128" w14:textId="77777777" w:rsidR="007116B2" w:rsidRPr="006E7FB8" w:rsidRDefault="007116B2" w:rsidP="007116B2">
      <w:pPr>
        <w:pStyle w:val="Paragraph"/>
        <w:numPr>
          <w:ilvl w:val="1"/>
          <w:numId w:val="5"/>
        </w:numPr>
        <w:ind w:left="630" w:hanging="630"/>
        <w:rPr>
          <w:rFonts w:ascii="Arial" w:hAnsi="Arial" w:cs="Arial"/>
          <w:sz w:val="22"/>
          <w:szCs w:val="22"/>
          <w:lang w:val="es-ES_tradnl"/>
        </w:rPr>
      </w:pPr>
      <w:r w:rsidRPr="006E7FB8">
        <w:rPr>
          <w:rFonts w:ascii="Arial" w:hAnsi="Arial" w:cs="Arial"/>
          <w:sz w:val="22"/>
          <w:szCs w:val="22"/>
          <w:lang w:val="es-ES_tradnl"/>
        </w:rPr>
        <w:t xml:space="preserve">Los informes de monitoreo semestral deberán incluir (i) el estado de la ejecución de las actividades del programa, sus productos y efectos directos conforme se vayan realizando, los problemas de ejecución y/o riesgos identificados, y las acciones propuestas para mitigarlos; así como (ii) la consecución de los productos e hitos tal y como se establecen en la Matriz de Resultados. </w:t>
      </w:r>
    </w:p>
    <w:p w14:paraId="3579C3CE" w14:textId="77777777" w:rsidR="007116B2" w:rsidRPr="006E7FB8" w:rsidRDefault="007116B2" w:rsidP="007116B2">
      <w:pPr>
        <w:pStyle w:val="Paragraph"/>
        <w:numPr>
          <w:ilvl w:val="1"/>
          <w:numId w:val="5"/>
        </w:numPr>
        <w:ind w:left="630" w:hanging="630"/>
        <w:rPr>
          <w:rFonts w:ascii="Arial" w:hAnsi="Arial" w:cs="Arial"/>
          <w:sz w:val="22"/>
          <w:szCs w:val="22"/>
          <w:lang w:val="es-ES_tradnl"/>
        </w:rPr>
      </w:pPr>
      <w:r w:rsidRPr="006E7FB8">
        <w:rPr>
          <w:rFonts w:ascii="Arial" w:hAnsi="Arial" w:cs="Arial"/>
          <w:sz w:val="22"/>
          <w:szCs w:val="22"/>
          <w:lang w:val="es-ES_tradnl"/>
        </w:rPr>
        <w:t>Por su parte, el informe de evaluación final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p>
    <w:p w14:paraId="1B597920" w14:textId="77777777" w:rsidR="007116B2" w:rsidRPr="0023721C" w:rsidRDefault="007116B2" w:rsidP="007116B2">
      <w:pPr>
        <w:pStyle w:val="Paragraph"/>
        <w:numPr>
          <w:ilvl w:val="1"/>
          <w:numId w:val="5"/>
        </w:numPr>
        <w:ind w:left="630" w:hanging="630"/>
        <w:rPr>
          <w:rFonts w:ascii="Arial" w:hAnsi="Arial" w:cs="Arial"/>
          <w:sz w:val="22"/>
          <w:szCs w:val="22"/>
          <w:lang w:val="es-ES_tradnl"/>
        </w:rPr>
      </w:pPr>
      <w:r w:rsidRPr="0023721C">
        <w:rPr>
          <w:rFonts w:ascii="Arial" w:hAnsi="Arial" w:cs="Arial"/>
          <w:sz w:val="22"/>
          <w:szCs w:val="22"/>
          <w:lang w:val="es-ES_tradnl"/>
        </w:rPr>
        <w:t>Las auditorías deberán ser completadas por auditores independiente aceptables y seleccionados según los procedimientos del BID, tal y como establecen las directrices previstas para este fin. Los estados financieros anuales auditados del programa se presentarán dentro de los 120 días siguientes al cierre de cada ejercicio económico, comenzando con el ejercicio en que se inicia la ejecución del programa. Los mismos estados financieros, pero referentes al cierre del programa, serán presentados dentro de los 120 días posteriores al último desembolso.</w:t>
      </w:r>
    </w:p>
    <w:p w14:paraId="52887872" w14:textId="77777777" w:rsidR="007116B2" w:rsidRPr="00306F3E" w:rsidRDefault="007116B2" w:rsidP="007116B2">
      <w:pPr>
        <w:pStyle w:val="Paragraph"/>
        <w:numPr>
          <w:ilvl w:val="1"/>
          <w:numId w:val="5"/>
        </w:numPr>
        <w:ind w:left="630" w:hanging="630"/>
        <w:rPr>
          <w:rFonts w:ascii="Arial" w:hAnsi="Arial" w:cs="Arial"/>
          <w:sz w:val="22"/>
          <w:szCs w:val="22"/>
          <w:lang w:val="es-ES_tradnl"/>
        </w:rPr>
      </w:pPr>
      <w:r w:rsidRPr="0023721C">
        <w:rPr>
          <w:rFonts w:ascii="Arial" w:hAnsi="Arial" w:cs="Arial"/>
          <w:sz w:val="22"/>
          <w:szCs w:val="22"/>
          <w:lang w:val="es-ES_tradnl"/>
        </w:rPr>
        <w:t>Por último, los informes de evaluación de cumplimiento con las políticas de ESG del BID deberán reflejar el grado de cumplimiento de los requisitos sociales y medioambientales con el sustento necesario y suficien</w:t>
      </w:r>
      <w:r w:rsidRPr="00306F3E">
        <w:rPr>
          <w:rFonts w:ascii="Arial" w:hAnsi="Arial" w:cs="Arial"/>
          <w:sz w:val="22"/>
          <w:szCs w:val="22"/>
          <w:lang w:val="es-ES_tradnl"/>
        </w:rPr>
        <w:t xml:space="preserve">te para su comprobación.  </w:t>
      </w:r>
    </w:p>
    <w:p w14:paraId="5881939D" w14:textId="77777777" w:rsidR="007116B2" w:rsidRPr="00306F3E" w:rsidRDefault="007116B2" w:rsidP="007116B2">
      <w:pPr>
        <w:pStyle w:val="SecHeading"/>
        <w:tabs>
          <w:tab w:val="clear" w:pos="5400"/>
          <w:tab w:val="num" w:pos="1260"/>
        </w:tabs>
        <w:ind w:hanging="4680"/>
      </w:pPr>
      <w:bookmarkStart w:id="24" w:name="_Toc38625960"/>
      <w:r w:rsidRPr="00306F3E">
        <w:rPr>
          <w:rFonts w:ascii="Arial" w:hAnsi="Arial" w:cs="Arial"/>
          <w:sz w:val="22"/>
          <w:szCs w:val="22"/>
        </w:rPr>
        <w:t>Coordinación del Monitoreo, Plan de Trabajo y Presupuesto</w:t>
      </w:r>
      <w:bookmarkEnd w:id="24"/>
      <w:r w:rsidRPr="00306F3E">
        <w:rPr>
          <w:rFonts w:ascii="Arial" w:hAnsi="Arial" w:cs="Arial"/>
          <w:sz w:val="22"/>
          <w:szCs w:val="22"/>
        </w:rPr>
        <w:t xml:space="preserve"> </w:t>
      </w:r>
    </w:p>
    <w:p w14:paraId="3145826C" w14:textId="77777777" w:rsidR="00EF71CF" w:rsidRDefault="00EB70D1" w:rsidP="00EF71CF">
      <w:pPr>
        <w:pStyle w:val="Paragraph"/>
        <w:numPr>
          <w:ilvl w:val="1"/>
          <w:numId w:val="5"/>
        </w:numPr>
        <w:ind w:left="630" w:hanging="630"/>
        <w:rPr>
          <w:rFonts w:ascii="Arial" w:hAnsi="Arial" w:cs="Arial"/>
          <w:sz w:val="22"/>
          <w:szCs w:val="22"/>
          <w:lang w:val="es-ES_tradnl"/>
        </w:rPr>
      </w:pPr>
      <w:bookmarkStart w:id="25" w:name="_Toc352755939"/>
      <w:bookmarkStart w:id="26" w:name="_Toc387738398"/>
      <w:r w:rsidRPr="00306F3E">
        <w:rPr>
          <w:rFonts w:ascii="Arial" w:hAnsi="Arial" w:cs="Arial"/>
          <w:sz w:val="22"/>
          <w:szCs w:val="22"/>
          <w:lang w:val="es-ES_tradnl"/>
        </w:rPr>
        <w:t>El OE</w:t>
      </w:r>
      <w:r w:rsidR="007116B2" w:rsidRPr="00306F3E">
        <w:rPr>
          <w:rFonts w:ascii="Arial" w:hAnsi="Arial" w:cs="Arial"/>
          <w:sz w:val="22"/>
          <w:szCs w:val="22"/>
          <w:lang w:val="es-ES_tradnl"/>
        </w:rPr>
        <w:t xml:space="preserve"> será responsable de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y resultados; </w:t>
      </w:r>
      <w:r w:rsidR="007116B2" w:rsidRPr="00AC31E6">
        <w:rPr>
          <w:rFonts w:ascii="Arial" w:hAnsi="Arial" w:cs="Arial"/>
          <w:sz w:val="22"/>
          <w:szCs w:val="22"/>
          <w:lang w:val="es-ES_tradnl"/>
        </w:rPr>
        <w:t>y (vi) la generación de reportes periódicos sobre su desempeño.</w:t>
      </w:r>
      <w:bookmarkEnd w:id="25"/>
      <w:bookmarkEnd w:id="26"/>
    </w:p>
    <w:p w14:paraId="3643FBDF" w14:textId="12786EF6" w:rsidR="007116B2" w:rsidRPr="00EF71CF" w:rsidRDefault="007116B2" w:rsidP="00EF71CF">
      <w:pPr>
        <w:pStyle w:val="Paragraph"/>
        <w:numPr>
          <w:ilvl w:val="1"/>
          <w:numId w:val="5"/>
        </w:numPr>
        <w:ind w:left="630" w:hanging="630"/>
        <w:rPr>
          <w:rFonts w:ascii="Arial" w:hAnsi="Arial" w:cs="Arial"/>
          <w:sz w:val="22"/>
          <w:szCs w:val="22"/>
          <w:lang w:val="es-ES_tradnl"/>
        </w:rPr>
      </w:pPr>
      <w:r w:rsidRPr="00EF71CF">
        <w:rPr>
          <w:rFonts w:ascii="Arial" w:hAnsi="Arial" w:cs="Arial"/>
          <w:szCs w:val="18"/>
          <w:lang w:val="es-ES_tradnl"/>
        </w:rPr>
        <w:t xml:space="preserve">Los costos de Monitoreo serán cubiertos por </w:t>
      </w:r>
      <w:r w:rsidR="00EB70D1" w:rsidRPr="00EF71CF">
        <w:rPr>
          <w:rFonts w:ascii="Arial" w:hAnsi="Arial" w:cs="Arial"/>
          <w:szCs w:val="18"/>
          <w:lang w:val="es-ES_tradnl"/>
        </w:rPr>
        <w:t>el OE</w:t>
      </w:r>
      <w:r w:rsidR="00AC31E6" w:rsidRPr="00EF71CF">
        <w:rPr>
          <w:rFonts w:ascii="Arial" w:hAnsi="Arial" w:cs="Arial"/>
          <w:szCs w:val="18"/>
          <w:lang w:val="es-ES_tradnl"/>
        </w:rPr>
        <w:t>.</w:t>
      </w:r>
      <w:r w:rsidRPr="00EF71CF">
        <w:rPr>
          <w:rFonts w:ascii="Arial" w:hAnsi="Arial" w:cs="Arial"/>
          <w:szCs w:val="18"/>
          <w:lang w:val="es-ES_tradnl"/>
        </w:rPr>
        <w:t xml:space="preserve"> </w:t>
      </w:r>
    </w:p>
    <w:p w14:paraId="69225979" w14:textId="7CA65170" w:rsidR="007116B2" w:rsidRPr="00180D7E" w:rsidRDefault="00614B51" w:rsidP="007116B2">
      <w:pPr>
        <w:spacing w:before="120" w:after="120" w:line="240" w:lineRule="auto"/>
        <w:jc w:val="center"/>
        <w:rPr>
          <w:rFonts w:ascii="Arial" w:hAnsi="Arial" w:cs="Arial"/>
          <w:b/>
          <w:sz w:val="18"/>
          <w:szCs w:val="18"/>
          <w:lang w:val="es-ES_tradnl"/>
        </w:rPr>
      </w:pPr>
      <w:r w:rsidRPr="00180D7E">
        <w:rPr>
          <w:rFonts w:ascii="Arial" w:hAnsi="Arial" w:cs="Arial"/>
          <w:b/>
          <w:sz w:val="18"/>
          <w:szCs w:val="18"/>
          <w:lang w:val="es-ES_tradnl"/>
        </w:rPr>
        <w:t>Cuadro</w:t>
      </w:r>
      <w:r w:rsidR="007116B2" w:rsidRPr="00180D7E">
        <w:rPr>
          <w:rFonts w:ascii="Arial" w:hAnsi="Arial" w:cs="Arial"/>
          <w:b/>
          <w:sz w:val="18"/>
          <w:szCs w:val="18"/>
          <w:lang w:val="es-ES_tradnl"/>
        </w:rPr>
        <w:t xml:space="preserve"> 2.  Plan de Trabajo y Presupuesto de Monitoreo</w:t>
      </w:r>
    </w:p>
    <w:tbl>
      <w:tblPr>
        <w:tblW w:w="5000" w:type="pct"/>
        <w:jc w:val="center"/>
        <w:tblCellMar>
          <w:left w:w="70" w:type="dxa"/>
          <w:right w:w="70" w:type="dxa"/>
        </w:tblCellMar>
        <w:tblLook w:val="04A0" w:firstRow="1" w:lastRow="0" w:firstColumn="1" w:lastColumn="0" w:noHBand="0" w:noVBand="1"/>
      </w:tblPr>
      <w:tblGrid>
        <w:gridCol w:w="1421"/>
        <w:gridCol w:w="326"/>
        <w:gridCol w:w="330"/>
        <w:gridCol w:w="331"/>
        <w:gridCol w:w="331"/>
        <w:gridCol w:w="331"/>
        <w:gridCol w:w="331"/>
        <w:gridCol w:w="331"/>
        <w:gridCol w:w="398"/>
        <w:gridCol w:w="1980"/>
        <w:gridCol w:w="1530"/>
        <w:gridCol w:w="1700"/>
      </w:tblGrid>
      <w:tr w:rsidR="0044569E" w:rsidRPr="00165313" w14:paraId="30F89DFF" w14:textId="77777777" w:rsidTr="00165313">
        <w:trPr>
          <w:trHeight w:val="450"/>
          <w:jc w:val="center"/>
        </w:trPr>
        <w:tc>
          <w:tcPr>
            <w:tcW w:w="76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CF7163" w14:textId="5591A2B1" w:rsidR="0044569E" w:rsidRPr="00180D7E" w:rsidRDefault="0044569E" w:rsidP="00180D7E">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Actividades Claves de Monitoreo</w:t>
            </w:r>
          </w:p>
        </w:tc>
        <w:tc>
          <w:tcPr>
            <w:tcW w:w="351" w:type="pct"/>
            <w:gridSpan w:val="2"/>
            <w:tcBorders>
              <w:top w:val="single" w:sz="8" w:space="0" w:color="auto"/>
              <w:left w:val="nil"/>
              <w:bottom w:val="single" w:sz="8" w:space="0" w:color="auto"/>
              <w:right w:val="single" w:sz="8" w:space="0" w:color="000000"/>
            </w:tcBorders>
            <w:shd w:val="clear" w:color="auto" w:fill="auto"/>
            <w:vAlign w:val="center"/>
            <w:hideMark/>
          </w:tcPr>
          <w:p w14:paraId="623DDB86" w14:textId="77777777" w:rsidR="0044569E" w:rsidRPr="00180D7E" w:rsidRDefault="0044569E" w:rsidP="00454CB5">
            <w:pPr>
              <w:spacing w:after="0" w:line="240" w:lineRule="auto"/>
              <w:jc w:val="right"/>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2020</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7A1B877B" w14:textId="77777777" w:rsidR="0044569E" w:rsidRPr="00180D7E" w:rsidRDefault="0044569E" w:rsidP="00454CB5">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2021</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0D2977CB" w14:textId="77777777" w:rsidR="0044569E" w:rsidRPr="00180D7E" w:rsidRDefault="0044569E" w:rsidP="00454CB5">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2022</w:t>
            </w:r>
          </w:p>
        </w:tc>
        <w:tc>
          <w:tcPr>
            <w:tcW w:w="390" w:type="pct"/>
            <w:gridSpan w:val="2"/>
            <w:tcBorders>
              <w:top w:val="single" w:sz="8" w:space="0" w:color="auto"/>
              <w:left w:val="nil"/>
              <w:bottom w:val="single" w:sz="8" w:space="0" w:color="auto"/>
              <w:right w:val="single" w:sz="8" w:space="0" w:color="000000"/>
            </w:tcBorders>
            <w:shd w:val="clear" w:color="auto" w:fill="auto"/>
            <w:vAlign w:val="center"/>
            <w:hideMark/>
          </w:tcPr>
          <w:p w14:paraId="0AE54ED6" w14:textId="77777777" w:rsidR="0044569E" w:rsidRPr="00180D7E" w:rsidRDefault="0044569E" w:rsidP="00454CB5">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2023</w:t>
            </w:r>
          </w:p>
        </w:tc>
        <w:tc>
          <w:tcPr>
            <w:tcW w:w="1060"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3C9940" w14:textId="77777777" w:rsidR="0044569E" w:rsidRPr="00180D7E" w:rsidRDefault="0044569E" w:rsidP="00454CB5">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Costo</w:t>
            </w:r>
          </w:p>
        </w:tc>
        <w:tc>
          <w:tcPr>
            <w:tcW w:w="819"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CFE7E4" w14:textId="77777777" w:rsidR="0044569E" w:rsidRPr="00180D7E" w:rsidRDefault="0044569E" w:rsidP="00454CB5">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Responsable</w:t>
            </w:r>
          </w:p>
        </w:tc>
        <w:tc>
          <w:tcPr>
            <w:tcW w:w="910"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9000626" w14:textId="77777777" w:rsidR="0044569E" w:rsidRPr="00180D7E" w:rsidRDefault="0044569E" w:rsidP="00454CB5">
            <w:pPr>
              <w:spacing w:after="0" w:line="240" w:lineRule="auto"/>
              <w:jc w:val="center"/>
              <w:rPr>
                <w:rFonts w:ascii="Arial" w:eastAsia="Times New Roman" w:hAnsi="Arial" w:cs="Arial"/>
                <w:b/>
                <w:bCs/>
                <w:color w:val="000000"/>
                <w:sz w:val="18"/>
                <w:szCs w:val="18"/>
                <w:lang w:val="es-ES_tradnl" w:eastAsia="es-ES"/>
              </w:rPr>
            </w:pPr>
            <w:r w:rsidRPr="00180D7E">
              <w:rPr>
                <w:rFonts w:ascii="Arial" w:eastAsia="Times New Roman" w:hAnsi="Arial" w:cs="Arial"/>
                <w:b/>
                <w:bCs/>
                <w:color w:val="000000"/>
                <w:sz w:val="18"/>
                <w:szCs w:val="18"/>
                <w:lang w:val="es-ES_tradnl" w:eastAsia="es-ES"/>
              </w:rPr>
              <w:t>Fuente de fondeo</w:t>
            </w:r>
          </w:p>
        </w:tc>
      </w:tr>
      <w:tr w:rsidR="0044569E" w:rsidRPr="00165313" w14:paraId="2ABD9F65" w14:textId="77777777" w:rsidTr="00165313">
        <w:trPr>
          <w:trHeight w:val="315"/>
          <w:jc w:val="center"/>
        </w:trPr>
        <w:tc>
          <w:tcPr>
            <w:tcW w:w="76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CD21056" w14:textId="77777777" w:rsidR="0044569E" w:rsidRPr="00180D7E" w:rsidRDefault="0044569E" w:rsidP="00454CB5">
            <w:pPr>
              <w:spacing w:after="0" w:line="240" w:lineRule="auto"/>
              <w:rPr>
                <w:rFonts w:ascii="Arial" w:eastAsia="Times New Roman" w:hAnsi="Arial" w:cs="Arial"/>
                <w:b/>
                <w:bCs/>
                <w:color w:val="000000"/>
                <w:sz w:val="18"/>
                <w:szCs w:val="18"/>
                <w:lang w:val="es-ES_tradnl" w:eastAsia="es-ES"/>
              </w:rPr>
            </w:pPr>
          </w:p>
        </w:tc>
        <w:tc>
          <w:tcPr>
            <w:tcW w:w="175" w:type="pct"/>
            <w:tcBorders>
              <w:top w:val="nil"/>
              <w:left w:val="nil"/>
              <w:bottom w:val="single" w:sz="8" w:space="0" w:color="auto"/>
              <w:right w:val="single" w:sz="8" w:space="0" w:color="auto"/>
            </w:tcBorders>
            <w:shd w:val="clear" w:color="auto" w:fill="auto"/>
            <w:vAlign w:val="center"/>
            <w:hideMark/>
          </w:tcPr>
          <w:p w14:paraId="31C97EC5"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1A112901"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1F5ED23F"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13B48E49"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10C3405E"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2D891251"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7E9081CB"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1</w:t>
            </w:r>
          </w:p>
        </w:tc>
        <w:tc>
          <w:tcPr>
            <w:tcW w:w="213" w:type="pct"/>
            <w:tcBorders>
              <w:top w:val="nil"/>
              <w:left w:val="nil"/>
              <w:bottom w:val="single" w:sz="8" w:space="0" w:color="auto"/>
              <w:right w:val="single" w:sz="8" w:space="0" w:color="auto"/>
            </w:tcBorders>
            <w:shd w:val="clear" w:color="auto" w:fill="auto"/>
            <w:vAlign w:val="center"/>
            <w:hideMark/>
          </w:tcPr>
          <w:p w14:paraId="08D036D2" w14:textId="77777777" w:rsidR="0044569E" w:rsidRPr="00180D7E" w:rsidRDefault="0044569E" w:rsidP="00454CB5">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2</w:t>
            </w:r>
          </w:p>
        </w:tc>
        <w:tc>
          <w:tcPr>
            <w:tcW w:w="1060" w:type="pct"/>
            <w:vMerge/>
            <w:tcBorders>
              <w:top w:val="nil"/>
              <w:left w:val="nil"/>
              <w:bottom w:val="single" w:sz="8" w:space="0" w:color="auto"/>
              <w:right w:val="single" w:sz="8" w:space="0" w:color="auto"/>
            </w:tcBorders>
            <w:shd w:val="clear" w:color="auto" w:fill="auto"/>
            <w:vAlign w:val="center"/>
            <w:hideMark/>
          </w:tcPr>
          <w:p w14:paraId="0FA8192C" w14:textId="77777777" w:rsidR="0044569E" w:rsidRPr="00180D7E" w:rsidRDefault="0044569E" w:rsidP="00454CB5">
            <w:pPr>
              <w:spacing w:after="0" w:line="240" w:lineRule="auto"/>
              <w:rPr>
                <w:rFonts w:ascii="Arial" w:eastAsia="Times New Roman" w:hAnsi="Arial" w:cs="Arial"/>
                <w:b/>
                <w:bCs/>
                <w:color w:val="000000"/>
                <w:sz w:val="18"/>
                <w:szCs w:val="18"/>
                <w:lang w:val="es-ES_tradnl" w:eastAsia="es-ES"/>
              </w:rPr>
            </w:pPr>
          </w:p>
        </w:tc>
        <w:tc>
          <w:tcPr>
            <w:tcW w:w="819" w:type="pct"/>
            <w:vMerge/>
            <w:tcBorders>
              <w:top w:val="nil"/>
              <w:left w:val="nil"/>
              <w:bottom w:val="single" w:sz="8" w:space="0" w:color="auto"/>
              <w:right w:val="single" w:sz="8" w:space="0" w:color="auto"/>
            </w:tcBorders>
            <w:shd w:val="clear" w:color="auto" w:fill="auto"/>
            <w:vAlign w:val="center"/>
            <w:hideMark/>
          </w:tcPr>
          <w:p w14:paraId="3EDA5B11" w14:textId="77777777" w:rsidR="0044569E" w:rsidRPr="00180D7E" w:rsidRDefault="0044569E" w:rsidP="00454CB5">
            <w:pPr>
              <w:spacing w:after="0" w:line="240" w:lineRule="auto"/>
              <w:rPr>
                <w:rFonts w:ascii="Arial" w:eastAsia="Times New Roman" w:hAnsi="Arial" w:cs="Arial"/>
                <w:b/>
                <w:bCs/>
                <w:color w:val="000000"/>
                <w:sz w:val="18"/>
                <w:szCs w:val="18"/>
                <w:lang w:val="es-ES_tradnl" w:eastAsia="es-ES"/>
              </w:rPr>
            </w:pPr>
          </w:p>
        </w:tc>
        <w:tc>
          <w:tcPr>
            <w:tcW w:w="910" w:type="pct"/>
            <w:vMerge/>
            <w:tcBorders>
              <w:top w:val="nil"/>
              <w:left w:val="nil"/>
              <w:bottom w:val="single" w:sz="8" w:space="0" w:color="auto"/>
              <w:right w:val="single" w:sz="8" w:space="0" w:color="auto"/>
            </w:tcBorders>
            <w:shd w:val="clear" w:color="auto" w:fill="auto"/>
            <w:vAlign w:val="center"/>
            <w:hideMark/>
          </w:tcPr>
          <w:p w14:paraId="59E469D9" w14:textId="77777777" w:rsidR="0044569E" w:rsidRPr="00180D7E" w:rsidRDefault="0044569E" w:rsidP="00454CB5">
            <w:pPr>
              <w:spacing w:after="0" w:line="240" w:lineRule="auto"/>
              <w:rPr>
                <w:rFonts w:ascii="Arial" w:eastAsia="Times New Roman" w:hAnsi="Arial" w:cs="Arial"/>
                <w:b/>
                <w:bCs/>
                <w:color w:val="000000"/>
                <w:sz w:val="18"/>
                <w:szCs w:val="18"/>
                <w:lang w:val="es-ES_tradnl" w:eastAsia="es-ES"/>
              </w:rPr>
            </w:pPr>
          </w:p>
        </w:tc>
      </w:tr>
      <w:tr w:rsidR="00165313" w:rsidRPr="00165313" w14:paraId="18F0D3BA" w14:textId="77777777" w:rsidTr="00165313">
        <w:trPr>
          <w:trHeight w:hRule="exact" w:val="780"/>
          <w:jc w:val="center"/>
        </w:trPr>
        <w:tc>
          <w:tcPr>
            <w:tcW w:w="761" w:type="pct"/>
            <w:tcBorders>
              <w:top w:val="nil"/>
              <w:left w:val="single" w:sz="8" w:space="0" w:color="auto"/>
              <w:bottom w:val="single" w:sz="8" w:space="0" w:color="auto"/>
              <w:right w:val="single" w:sz="8" w:space="0" w:color="auto"/>
            </w:tcBorders>
            <w:shd w:val="clear" w:color="auto" w:fill="auto"/>
            <w:vAlign w:val="center"/>
            <w:hideMark/>
          </w:tcPr>
          <w:p w14:paraId="4798BF4E"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lastRenderedPageBreak/>
              <w:t>Reportes de Monitoreo Semestrales</w:t>
            </w:r>
          </w:p>
        </w:tc>
        <w:tc>
          <w:tcPr>
            <w:tcW w:w="175" w:type="pct"/>
            <w:tcBorders>
              <w:top w:val="nil"/>
              <w:left w:val="nil"/>
              <w:bottom w:val="single" w:sz="8" w:space="0" w:color="auto"/>
              <w:right w:val="single" w:sz="8" w:space="0" w:color="auto"/>
            </w:tcBorders>
            <w:shd w:val="clear" w:color="auto" w:fill="auto"/>
            <w:vAlign w:val="center"/>
            <w:hideMark/>
          </w:tcPr>
          <w:p w14:paraId="49EFF677"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15CF18FC"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44FE48A6"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6A35DE9F"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2FAA5D31"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35C5FC10"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0763D4CC"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213" w:type="pct"/>
            <w:tcBorders>
              <w:top w:val="nil"/>
              <w:left w:val="nil"/>
              <w:bottom w:val="single" w:sz="8" w:space="0" w:color="auto"/>
              <w:right w:val="single" w:sz="8" w:space="0" w:color="auto"/>
            </w:tcBorders>
            <w:shd w:val="clear" w:color="auto" w:fill="auto"/>
            <w:vAlign w:val="center"/>
            <w:hideMark/>
          </w:tcPr>
          <w:p w14:paraId="1BE74791"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060" w:type="pct"/>
            <w:tcBorders>
              <w:top w:val="single" w:sz="8" w:space="0" w:color="auto"/>
              <w:left w:val="nil"/>
              <w:bottom w:val="single" w:sz="8" w:space="0" w:color="auto"/>
              <w:right w:val="single" w:sz="8" w:space="0" w:color="000000"/>
            </w:tcBorders>
            <w:shd w:val="clear" w:color="auto" w:fill="auto"/>
            <w:vAlign w:val="center"/>
            <w:hideMark/>
          </w:tcPr>
          <w:p w14:paraId="68C4660E" w14:textId="16D1032B"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3.500</w:t>
            </w:r>
          </w:p>
        </w:tc>
        <w:tc>
          <w:tcPr>
            <w:tcW w:w="819" w:type="pct"/>
            <w:tcBorders>
              <w:top w:val="single" w:sz="8" w:space="0" w:color="auto"/>
              <w:left w:val="nil"/>
              <w:bottom w:val="single" w:sz="8" w:space="0" w:color="auto"/>
              <w:right w:val="single" w:sz="8" w:space="0" w:color="000000"/>
            </w:tcBorders>
            <w:shd w:val="clear" w:color="auto" w:fill="auto"/>
            <w:vAlign w:val="center"/>
            <w:hideMark/>
          </w:tcPr>
          <w:p w14:paraId="518C0532" w14:textId="118E8046"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c>
          <w:tcPr>
            <w:tcW w:w="910" w:type="pct"/>
            <w:tcBorders>
              <w:top w:val="single" w:sz="8" w:space="0" w:color="auto"/>
              <w:left w:val="nil"/>
              <w:bottom w:val="single" w:sz="8" w:space="0" w:color="auto"/>
              <w:right w:val="single" w:sz="8" w:space="0" w:color="000000"/>
            </w:tcBorders>
            <w:shd w:val="clear" w:color="auto" w:fill="auto"/>
            <w:vAlign w:val="center"/>
          </w:tcPr>
          <w:p w14:paraId="03B02E67" w14:textId="570B57DB"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r>
      <w:tr w:rsidR="00165313" w:rsidRPr="00165313" w14:paraId="059B3458" w14:textId="77777777" w:rsidTr="009D7D93">
        <w:trPr>
          <w:trHeight w:hRule="exact" w:val="659"/>
          <w:jc w:val="center"/>
        </w:trPr>
        <w:tc>
          <w:tcPr>
            <w:tcW w:w="761" w:type="pct"/>
            <w:tcBorders>
              <w:top w:val="nil"/>
              <w:left w:val="single" w:sz="8" w:space="0" w:color="auto"/>
              <w:bottom w:val="single" w:sz="8" w:space="0" w:color="auto"/>
              <w:right w:val="single" w:sz="8" w:space="0" w:color="auto"/>
            </w:tcBorders>
            <w:shd w:val="clear" w:color="auto" w:fill="auto"/>
            <w:vAlign w:val="center"/>
            <w:hideMark/>
          </w:tcPr>
          <w:p w14:paraId="69F743C9"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Reporte Final</w:t>
            </w:r>
          </w:p>
        </w:tc>
        <w:tc>
          <w:tcPr>
            <w:tcW w:w="175" w:type="pct"/>
            <w:tcBorders>
              <w:top w:val="nil"/>
              <w:left w:val="nil"/>
              <w:bottom w:val="single" w:sz="8" w:space="0" w:color="auto"/>
              <w:right w:val="single" w:sz="8" w:space="0" w:color="auto"/>
            </w:tcBorders>
            <w:shd w:val="clear" w:color="auto" w:fill="auto"/>
            <w:vAlign w:val="center"/>
            <w:hideMark/>
          </w:tcPr>
          <w:p w14:paraId="4DF05F38"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1981C216" w14:textId="76C35887"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hideMark/>
          </w:tcPr>
          <w:p w14:paraId="21FF7832" w14:textId="3F283199"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hideMark/>
          </w:tcPr>
          <w:p w14:paraId="60B2E476" w14:textId="04039806"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hideMark/>
          </w:tcPr>
          <w:p w14:paraId="49F37BF3" w14:textId="18EBBEB4"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hideMark/>
          </w:tcPr>
          <w:p w14:paraId="1CE70780" w14:textId="26FFAC6D"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hideMark/>
          </w:tcPr>
          <w:p w14:paraId="66177464" w14:textId="39868B71"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213" w:type="pct"/>
            <w:tcBorders>
              <w:top w:val="nil"/>
              <w:left w:val="nil"/>
              <w:bottom w:val="single" w:sz="8" w:space="0" w:color="auto"/>
              <w:right w:val="single" w:sz="8" w:space="0" w:color="auto"/>
            </w:tcBorders>
            <w:shd w:val="clear" w:color="auto" w:fill="auto"/>
            <w:vAlign w:val="center"/>
            <w:hideMark/>
          </w:tcPr>
          <w:p w14:paraId="2CD917B1" w14:textId="79A05094"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060" w:type="pct"/>
            <w:tcBorders>
              <w:top w:val="single" w:sz="8" w:space="0" w:color="auto"/>
              <w:left w:val="nil"/>
              <w:bottom w:val="single" w:sz="8" w:space="0" w:color="auto"/>
              <w:right w:val="single" w:sz="8" w:space="0" w:color="000000"/>
            </w:tcBorders>
            <w:shd w:val="clear" w:color="auto" w:fill="auto"/>
            <w:vAlign w:val="center"/>
            <w:hideMark/>
          </w:tcPr>
          <w:p w14:paraId="208B5057" w14:textId="044C1DF9"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3.000</w:t>
            </w:r>
          </w:p>
        </w:tc>
        <w:tc>
          <w:tcPr>
            <w:tcW w:w="819" w:type="pct"/>
            <w:tcBorders>
              <w:top w:val="single" w:sz="8" w:space="0" w:color="auto"/>
              <w:left w:val="nil"/>
              <w:bottom w:val="single" w:sz="8" w:space="0" w:color="auto"/>
              <w:right w:val="single" w:sz="8" w:space="0" w:color="000000"/>
            </w:tcBorders>
            <w:shd w:val="clear" w:color="auto" w:fill="auto"/>
            <w:vAlign w:val="center"/>
            <w:hideMark/>
          </w:tcPr>
          <w:p w14:paraId="1B95DBB2" w14:textId="6EF2A043"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c>
          <w:tcPr>
            <w:tcW w:w="910" w:type="pct"/>
            <w:tcBorders>
              <w:top w:val="single" w:sz="8" w:space="0" w:color="auto"/>
              <w:left w:val="nil"/>
              <w:bottom w:val="single" w:sz="8" w:space="0" w:color="auto"/>
              <w:right w:val="single" w:sz="8" w:space="0" w:color="000000"/>
            </w:tcBorders>
            <w:shd w:val="clear" w:color="auto" w:fill="auto"/>
            <w:vAlign w:val="center"/>
          </w:tcPr>
          <w:p w14:paraId="5F1A0E15" w14:textId="65F79D88"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r>
      <w:tr w:rsidR="00165313" w:rsidRPr="00165313" w14:paraId="664B37CF" w14:textId="77777777" w:rsidTr="00165313">
        <w:trPr>
          <w:trHeight w:hRule="exact" w:val="692"/>
          <w:jc w:val="center"/>
        </w:trPr>
        <w:tc>
          <w:tcPr>
            <w:tcW w:w="761" w:type="pct"/>
            <w:tcBorders>
              <w:top w:val="nil"/>
              <w:left w:val="single" w:sz="8" w:space="0" w:color="auto"/>
              <w:bottom w:val="single" w:sz="8" w:space="0" w:color="auto"/>
              <w:right w:val="single" w:sz="8" w:space="0" w:color="auto"/>
            </w:tcBorders>
            <w:shd w:val="clear" w:color="auto" w:fill="auto"/>
            <w:vAlign w:val="center"/>
          </w:tcPr>
          <w:p w14:paraId="2E33B8FC"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Informes de cumplimiento ESG</w:t>
            </w:r>
          </w:p>
        </w:tc>
        <w:tc>
          <w:tcPr>
            <w:tcW w:w="175" w:type="pct"/>
            <w:tcBorders>
              <w:top w:val="nil"/>
              <w:left w:val="nil"/>
              <w:bottom w:val="single" w:sz="8" w:space="0" w:color="auto"/>
              <w:right w:val="single" w:sz="8" w:space="0" w:color="auto"/>
            </w:tcBorders>
            <w:shd w:val="clear" w:color="auto" w:fill="auto"/>
            <w:vAlign w:val="center"/>
          </w:tcPr>
          <w:p w14:paraId="114C6B0D"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tcPr>
          <w:p w14:paraId="3BB37A7C"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p>
        </w:tc>
        <w:tc>
          <w:tcPr>
            <w:tcW w:w="177" w:type="pct"/>
            <w:tcBorders>
              <w:top w:val="nil"/>
              <w:left w:val="nil"/>
              <w:bottom w:val="single" w:sz="8" w:space="0" w:color="auto"/>
              <w:right w:val="single" w:sz="8" w:space="0" w:color="auto"/>
            </w:tcBorders>
            <w:shd w:val="clear" w:color="auto" w:fill="auto"/>
            <w:vAlign w:val="center"/>
          </w:tcPr>
          <w:p w14:paraId="6F6EB9B1" w14:textId="66AFDFA5"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05D6A28E" w14:textId="62788791"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1626E0C1" w14:textId="77777777"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6C89044F" w14:textId="44F5B339"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5F772D61" w14:textId="0423A4B9"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213" w:type="pct"/>
            <w:tcBorders>
              <w:top w:val="nil"/>
              <w:left w:val="nil"/>
              <w:bottom w:val="single" w:sz="8" w:space="0" w:color="auto"/>
              <w:right w:val="single" w:sz="8" w:space="0" w:color="auto"/>
            </w:tcBorders>
            <w:shd w:val="clear" w:color="auto" w:fill="auto"/>
            <w:vAlign w:val="center"/>
          </w:tcPr>
          <w:p w14:paraId="7A14C49E" w14:textId="20E95A9D" w:rsidR="00165313" w:rsidRPr="00180D7E" w:rsidRDefault="00165313" w:rsidP="009D7D9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060" w:type="pct"/>
            <w:tcBorders>
              <w:top w:val="single" w:sz="8" w:space="0" w:color="auto"/>
              <w:left w:val="nil"/>
              <w:bottom w:val="single" w:sz="8" w:space="0" w:color="auto"/>
              <w:right w:val="single" w:sz="8" w:space="0" w:color="000000"/>
            </w:tcBorders>
            <w:shd w:val="clear" w:color="auto" w:fill="auto"/>
            <w:vAlign w:val="center"/>
          </w:tcPr>
          <w:p w14:paraId="57FC3F1B" w14:textId="4F4052D3"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3.000</w:t>
            </w:r>
          </w:p>
        </w:tc>
        <w:tc>
          <w:tcPr>
            <w:tcW w:w="819" w:type="pct"/>
            <w:tcBorders>
              <w:top w:val="single" w:sz="8" w:space="0" w:color="auto"/>
              <w:left w:val="nil"/>
              <w:bottom w:val="single" w:sz="8" w:space="0" w:color="auto"/>
              <w:right w:val="single" w:sz="8" w:space="0" w:color="000000"/>
            </w:tcBorders>
            <w:shd w:val="clear" w:color="auto" w:fill="auto"/>
            <w:vAlign w:val="center"/>
          </w:tcPr>
          <w:p w14:paraId="030DCF18" w14:textId="1927D014"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c>
          <w:tcPr>
            <w:tcW w:w="910" w:type="pct"/>
            <w:tcBorders>
              <w:top w:val="single" w:sz="8" w:space="0" w:color="auto"/>
              <w:left w:val="nil"/>
              <w:bottom w:val="single" w:sz="8" w:space="0" w:color="auto"/>
              <w:right w:val="single" w:sz="8" w:space="0" w:color="000000"/>
            </w:tcBorders>
            <w:shd w:val="clear" w:color="auto" w:fill="auto"/>
            <w:vAlign w:val="center"/>
          </w:tcPr>
          <w:p w14:paraId="43CE8EDB" w14:textId="66DEEF50"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r>
      <w:tr w:rsidR="00165313" w:rsidRPr="00165313" w14:paraId="4F0738B7" w14:textId="77777777" w:rsidTr="009D7D93">
        <w:trPr>
          <w:trHeight w:val="799"/>
          <w:jc w:val="center"/>
        </w:trPr>
        <w:tc>
          <w:tcPr>
            <w:tcW w:w="761" w:type="pct"/>
            <w:tcBorders>
              <w:top w:val="nil"/>
              <w:left w:val="single" w:sz="8" w:space="0" w:color="auto"/>
              <w:bottom w:val="single" w:sz="8" w:space="0" w:color="000000"/>
              <w:right w:val="single" w:sz="8" w:space="0" w:color="auto"/>
            </w:tcBorders>
            <w:shd w:val="clear" w:color="auto" w:fill="auto"/>
            <w:vAlign w:val="center"/>
            <w:hideMark/>
          </w:tcPr>
          <w:p w14:paraId="6EA8DF48"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Auditorias</w:t>
            </w:r>
          </w:p>
        </w:tc>
        <w:tc>
          <w:tcPr>
            <w:tcW w:w="175" w:type="pct"/>
            <w:tcBorders>
              <w:top w:val="nil"/>
              <w:left w:val="single" w:sz="8" w:space="0" w:color="auto"/>
              <w:bottom w:val="single" w:sz="8" w:space="0" w:color="000000"/>
              <w:right w:val="single" w:sz="8" w:space="0" w:color="auto"/>
            </w:tcBorders>
            <w:shd w:val="clear" w:color="auto" w:fill="auto"/>
            <w:vAlign w:val="center"/>
            <w:hideMark/>
          </w:tcPr>
          <w:p w14:paraId="5F8ABA40"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68181512"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7EED3BFC" w14:textId="713252ED"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X</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6E233AB0"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588F73C9"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1259DDFC"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1CA5B89B" w14:textId="32A43FB1"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X </w:t>
            </w:r>
          </w:p>
        </w:tc>
        <w:tc>
          <w:tcPr>
            <w:tcW w:w="213" w:type="pct"/>
            <w:tcBorders>
              <w:top w:val="nil"/>
              <w:left w:val="single" w:sz="8" w:space="0" w:color="auto"/>
              <w:bottom w:val="single" w:sz="8" w:space="0" w:color="000000"/>
              <w:right w:val="single" w:sz="8" w:space="0" w:color="auto"/>
            </w:tcBorders>
            <w:shd w:val="clear" w:color="auto" w:fill="auto"/>
            <w:vAlign w:val="center"/>
            <w:hideMark/>
          </w:tcPr>
          <w:p w14:paraId="1CA7E4A8"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 </w:t>
            </w:r>
          </w:p>
        </w:tc>
        <w:tc>
          <w:tcPr>
            <w:tcW w:w="1060" w:type="pct"/>
            <w:tcBorders>
              <w:top w:val="single" w:sz="8" w:space="0" w:color="auto"/>
              <w:left w:val="nil"/>
              <w:right w:val="single" w:sz="8" w:space="0" w:color="000000"/>
            </w:tcBorders>
            <w:shd w:val="clear" w:color="auto" w:fill="auto"/>
            <w:vAlign w:val="center"/>
            <w:hideMark/>
          </w:tcPr>
          <w:p w14:paraId="37753424" w14:textId="48DC8196"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60.000</w:t>
            </w:r>
          </w:p>
        </w:tc>
        <w:tc>
          <w:tcPr>
            <w:tcW w:w="819"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265E22B2" w14:textId="72DEA060"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c>
          <w:tcPr>
            <w:tcW w:w="910" w:type="pct"/>
            <w:tcBorders>
              <w:top w:val="single" w:sz="8" w:space="0" w:color="auto"/>
              <w:left w:val="single" w:sz="8" w:space="0" w:color="auto"/>
              <w:bottom w:val="single" w:sz="8" w:space="0" w:color="000000"/>
              <w:right w:val="single" w:sz="8" w:space="0" w:color="000000"/>
            </w:tcBorders>
            <w:shd w:val="clear" w:color="auto" w:fill="auto"/>
            <w:vAlign w:val="center"/>
          </w:tcPr>
          <w:p w14:paraId="0465C36F" w14:textId="550D542F"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r>
      <w:tr w:rsidR="00165313" w:rsidRPr="00E13ADD" w14:paraId="01101D8C" w14:textId="77777777" w:rsidTr="00165313">
        <w:trPr>
          <w:trHeight w:val="469"/>
          <w:jc w:val="center"/>
        </w:trPr>
        <w:tc>
          <w:tcPr>
            <w:tcW w:w="2211" w:type="pct"/>
            <w:gridSpan w:val="9"/>
            <w:tcBorders>
              <w:top w:val="single" w:sz="8" w:space="0" w:color="auto"/>
              <w:left w:val="single" w:sz="8" w:space="0" w:color="auto"/>
              <w:bottom w:val="single" w:sz="8" w:space="0" w:color="000000"/>
              <w:right w:val="single" w:sz="8" w:space="0" w:color="000000"/>
            </w:tcBorders>
            <w:shd w:val="clear" w:color="auto" w:fill="auto"/>
            <w:vAlign w:val="center"/>
            <w:hideMark/>
          </w:tcPr>
          <w:p w14:paraId="4783B9FB" w14:textId="77777777" w:rsidR="00165313" w:rsidRPr="00180D7E" w:rsidRDefault="00165313" w:rsidP="00165313">
            <w:pPr>
              <w:spacing w:after="0" w:line="240" w:lineRule="auto"/>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Costo Total</w:t>
            </w:r>
          </w:p>
        </w:tc>
        <w:tc>
          <w:tcPr>
            <w:tcW w:w="1060"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23829C71" w14:textId="4A6DD730"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69.500</w:t>
            </w:r>
          </w:p>
        </w:tc>
        <w:tc>
          <w:tcPr>
            <w:tcW w:w="819"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64B84EC0" w14:textId="2637C617"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c>
          <w:tcPr>
            <w:tcW w:w="910" w:type="pct"/>
            <w:tcBorders>
              <w:top w:val="single" w:sz="8" w:space="0" w:color="auto"/>
              <w:left w:val="single" w:sz="8" w:space="0" w:color="auto"/>
              <w:bottom w:val="single" w:sz="8" w:space="0" w:color="000000"/>
              <w:right w:val="single" w:sz="8" w:space="0" w:color="000000"/>
            </w:tcBorders>
            <w:shd w:val="clear" w:color="auto" w:fill="auto"/>
            <w:vAlign w:val="center"/>
          </w:tcPr>
          <w:p w14:paraId="0DB20255" w14:textId="7F753831" w:rsidR="00165313" w:rsidRPr="00180D7E" w:rsidRDefault="00165313" w:rsidP="00165313">
            <w:pPr>
              <w:spacing w:after="0" w:line="240" w:lineRule="auto"/>
              <w:jc w:val="center"/>
              <w:rPr>
                <w:rFonts w:ascii="Arial" w:eastAsia="Times New Roman" w:hAnsi="Arial" w:cs="Arial"/>
                <w:color w:val="000000"/>
                <w:sz w:val="18"/>
                <w:szCs w:val="18"/>
                <w:lang w:val="es-ES_tradnl" w:eastAsia="es-ES"/>
              </w:rPr>
            </w:pPr>
            <w:r w:rsidRPr="00180D7E">
              <w:rPr>
                <w:rFonts w:ascii="Arial" w:eastAsia="Times New Roman" w:hAnsi="Arial" w:cs="Arial"/>
                <w:color w:val="000000"/>
                <w:sz w:val="18"/>
                <w:szCs w:val="18"/>
                <w:lang w:val="es-ES_tradnl" w:eastAsia="es-ES"/>
              </w:rPr>
              <w:t>OE</w:t>
            </w:r>
          </w:p>
        </w:tc>
      </w:tr>
    </w:tbl>
    <w:p w14:paraId="7DF1FD1C" w14:textId="77777777" w:rsidR="007116B2" w:rsidRPr="008E389B" w:rsidRDefault="007116B2" w:rsidP="007116B2">
      <w:pPr>
        <w:pStyle w:val="Chapter"/>
        <w:ind w:firstLine="289"/>
        <w:rPr>
          <w:rFonts w:ascii="Arial" w:hAnsi="Arial" w:cs="Arial"/>
          <w:szCs w:val="24"/>
          <w:lang w:val="es-ES_tradnl"/>
        </w:rPr>
      </w:pPr>
      <w:bookmarkStart w:id="27" w:name="_Toc346643520"/>
      <w:bookmarkStart w:id="28" w:name="_Toc352755941"/>
      <w:bookmarkStart w:id="29" w:name="_Toc352756757"/>
      <w:bookmarkStart w:id="30" w:name="_Toc38625961"/>
      <w:r w:rsidRPr="008E389B">
        <w:rPr>
          <w:rFonts w:ascii="Arial" w:hAnsi="Arial" w:cs="Arial"/>
          <w:szCs w:val="24"/>
          <w:lang w:val="es-ES_tradnl"/>
        </w:rPr>
        <w:t>Evaluación</w:t>
      </w:r>
      <w:bookmarkEnd w:id="27"/>
      <w:bookmarkEnd w:id="28"/>
      <w:bookmarkEnd w:id="29"/>
      <w:bookmarkEnd w:id="30"/>
    </w:p>
    <w:p w14:paraId="7751F253" w14:textId="6E3CBB1E" w:rsidR="00501E93" w:rsidRPr="00B23216" w:rsidRDefault="007116B2" w:rsidP="009A5E71">
      <w:pPr>
        <w:pStyle w:val="Paragraph"/>
        <w:numPr>
          <w:ilvl w:val="1"/>
          <w:numId w:val="6"/>
        </w:numPr>
        <w:ind w:hanging="540"/>
        <w:rPr>
          <w:rFonts w:ascii="Arial" w:hAnsi="Arial" w:cs="Arial"/>
          <w:b/>
          <w:bCs/>
          <w:sz w:val="22"/>
          <w:szCs w:val="22"/>
          <w:lang w:val="es-ES_tradnl"/>
        </w:rPr>
      </w:pPr>
      <w:r w:rsidRPr="00B23216">
        <w:rPr>
          <w:rFonts w:ascii="Arial" w:hAnsi="Arial" w:cs="Arial"/>
          <w:b/>
          <w:bCs/>
          <w:sz w:val="22"/>
          <w:szCs w:val="22"/>
          <w:lang w:val="es-ES_tradnl"/>
        </w:rPr>
        <w:t>Justificación de la metodología</w:t>
      </w:r>
      <w:r w:rsidR="00501E93" w:rsidRPr="00B23216">
        <w:rPr>
          <w:rFonts w:ascii="Arial" w:hAnsi="Arial" w:cs="Arial"/>
          <w:b/>
          <w:bCs/>
          <w:sz w:val="22"/>
          <w:szCs w:val="22"/>
          <w:lang w:val="es-ES_tradnl"/>
        </w:rPr>
        <w:t>.</w:t>
      </w:r>
      <w:r w:rsidR="00326A19" w:rsidRPr="00B23216">
        <w:rPr>
          <w:rFonts w:ascii="Arial" w:hAnsi="Arial" w:cs="Arial"/>
          <w:sz w:val="22"/>
          <w:szCs w:val="22"/>
          <w:lang w:val="es-ES_tradnl"/>
        </w:rPr>
        <w:t xml:space="preserve"> La estrategia de evaluación de los resultados del programa se basará en la realización de una evaluación reflexiva, antes y después del programa, que muestre el alcance de los resultados e impactos.</w:t>
      </w:r>
    </w:p>
    <w:p w14:paraId="434FE5E2" w14:textId="5FC387F0" w:rsidR="00C64C11" w:rsidRPr="00B23216" w:rsidRDefault="00C64C11" w:rsidP="007116B2">
      <w:pPr>
        <w:pStyle w:val="Paragraph"/>
        <w:numPr>
          <w:ilvl w:val="1"/>
          <w:numId w:val="6"/>
        </w:numPr>
        <w:ind w:hanging="540"/>
        <w:rPr>
          <w:rFonts w:ascii="Arial" w:hAnsi="Arial" w:cs="Arial"/>
          <w:b/>
          <w:bCs/>
          <w:sz w:val="22"/>
          <w:szCs w:val="22"/>
          <w:lang w:val="es-ES_tradnl"/>
        </w:rPr>
      </w:pPr>
      <w:r w:rsidRPr="00B23216">
        <w:rPr>
          <w:rFonts w:ascii="Arial" w:hAnsi="Arial" w:cs="Arial"/>
          <w:sz w:val="22"/>
          <w:szCs w:val="22"/>
          <w:lang w:val="es-ES_tradnl"/>
        </w:rPr>
        <w:t>Además, para la realización del Informe de Terminación de Proyecto (PCR, por sus siglas en inglés), se llevará a cabo un análisis cualitativo de los principales retos de ejecución y las soluciones planteadas, incluyendo lecciones aprendidas y propuestas innovadoras para el diseño de futuras intervenciones.</w:t>
      </w:r>
    </w:p>
    <w:p w14:paraId="541B0B4E" w14:textId="4F83561C" w:rsidR="00BB6D32" w:rsidRPr="00BB6D32" w:rsidRDefault="006158AA" w:rsidP="00BB6D32">
      <w:pPr>
        <w:pStyle w:val="Paragraph"/>
        <w:numPr>
          <w:ilvl w:val="1"/>
          <w:numId w:val="6"/>
        </w:numPr>
        <w:ind w:hanging="540"/>
        <w:rPr>
          <w:rFonts w:ascii="Arial" w:hAnsi="Arial" w:cs="Arial"/>
          <w:b/>
          <w:bCs/>
          <w:sz w:val="22"/>
          <w:szCs w:val="22"/>
          <w:lang w:val="es-PE"/>
        </w:rPr>
      </w:pPr>
      <w:r w:rsidRPr="00DA3282">
        <w:rPr>
          <w:rFonts w:ascii="Arial" w:hAnsi="Arial" w:cs="Arial"/>
          <w:b/>
          <w:bCs/>
          <w:sz w:val="22"/>
          <w:szCs w:val="22"/>
          <w:lang w:val="es-ES_tradnl"/>
        </w:rPr>
        <w:t>Conocimiento previo</w:t>
      </w:r>
      <w:r w:rsidRPr="00DA3282">
        <w:rPr>
          <w:rFonts w:ascii="Arial" w:hAnsi="Arial" w:cs="Arial"/>
          <w:sz w:val="22"/>
          <w:szCs w:val="22"/>
          <w:lang w:val="es-ES_tradnl"/>
        </w:rPr>
        <w:t xml:space="preserve">. </w:t>
      </w:r>
      <w:r w:rsidR="000E4BA5" w:rsidRPr="00DA3282">
        <w:rPr>
          <w:rFonts w:ascii="Arial" w:eastAsia="Arial" w:hAnsi="Arial" w:cs="Arial"/>
          <w:sz w:val="22"/>
          <w:szCs w:val="22"/>
          <w:lang w:val="es-ES"/>
        </w:rPr>
        <w:t>El Banco cuenta con amplia experiencia en diseño de programas de préstamo con garantía soberana dirigidos a mejorar el acceso a financiamiento de las MIPYME a través de intermediarios financieros. Estos programas se han implementado tanto en ciclos económicos expansivos, donde el apoyo se centra en el acceso a financiamiento de largo plazo para inversiones productivas, como en ciclos económicos recesivos, donde el apoyo se focaliza en que las MIPYME no pierdan acceso a liquidez para continuar con su actividad económica. En la última crisis financiera que afrontó la región en 2007, el Banco jugó un rol contra cíclico aumentando el monto y los mecanismos para atender la falta de acceso a crédito que sufrían las MIPYME de la región. Por ejemplo, en 2008 y 2009 se aprobaron programas de liquidez para la sostenibilidad del crecimiento económico con el fin de restablecer el acceso de sectores productivos a financiamiento de capital trabajo y comercio exterior, permitiendo compensar parcial y temporalmente las insuficiencias en los flujos de financiamiento a las MIPYME que trajo consigo la crisis financiera internacional.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MIPYME</w:t>
      </w:r>
      <w:r w:rsidR="008D577A" w:rsidRPr="00DA3282">
        <w:rPr>
          <w:rFonts w:ascii="Arial" w:eastAsia="Arial" w:hAnsi="Arial" w:cs="Arial"/>
          <w:sz w:val="22"/>
          <w:szCs w:val="22"/>
          <w:lang w:val="es-ES"/>
        </w:rPr>
        <w:t>. Como ejemplo</w:t>
      </w:r>
      <w:r w:rsidR="006C0781" w:rsidRPr="00DA3282">
        <w:rPr>
          <w:rFonts w:ascii="Arial" w:eastAsia="Arial" w:hAnsi="Arial" w:cs="Arial"/>
          <w:sz w:val="22"/>
          <w:szCs w:val="22"/>
          <w:lang w:val="es-ES"/>
        </w:rPr>
        <w:t xml:space="preserve"> de los resultados obtenidos por esos programas</w:t>
      </w:r>
      <w:r w:rsidR="008D577A" w:rsidRPr="00DA3282">
        <w:rPr>
          <w:rFonts w:ascii="Arial" w:eastAsia="Arial" w:hAnsi="Arial" w:cs="Arial"/>
          <w:sz w:val="22"/>
          <w:szCs w:val="22"/>
          <w:lang w:val="es-ES"/>
        </w:rPr>
        <w:t>, un estudio del Banco en Colombia sobre un programa de financiamiento a la PYME estructurado a través de Bancóldex</w:t>
      </w:r>
      <w:r w:rsidR="00BB5302" w:rsidRPr="00DA3282">
        <w:rPr>
          <w:rFonts w:ascii="Arial" w:eastAsia="Arial" w:hAnsi="Arial" w:cs="Arial"/>
          <w:sz w:val="22"/>
          <w:szCs w:val="22"/>
          <w:lang w:val="es-ES"/>
        </w:rPr>
        <w:t xml:space="preserve"> (</w:t>
      </w:r>
      <w:r w:rsidR="008D577A" w:rsidRPr="00DA3282">
        <w:rPr>
          <w:rFonts w:ascii="Arial" w:eastAsia="Arial" w:hAnsi="Arial" w:cs="Arial"/>
          <w:sz w:val="22"/>
          <w:szCs w:val="22"/>
          <w:lang w:val="es-ES"/>
        </w:rPr>
        <w:t>Banco público de segundo piso</w:t>
      </w:r>
      <w:r w:rsidR="00BB5302" w:rsidRPr="00DA3282">
        <w:rPr>
          <w:rFonts w:ascii="Arial" w:eastAsia="Arial" w:hAnsi="Arial" w:cs="Arial"/>
          <w:sz w:val="22"/>
          <w:szCs w:val="22"/>
          <w:lang w:val="es-ES"/>
        </w:rPr>
        <w:t>)</w:t>
      </w:r>
      <w:r w:rsidR="008D577A" w:rsidRPr="00DA3282">
        <w:rPr>
          <w:rFonts w:ascii="Arial" w:eastAsia="Arial" w:hAnsi="Arial" w:cs="Arial"/>
          <w:sz w:val="22"/>
          <w:szCs w:val="22"/>
          <w:lang w:val="es-ES"/>
        </w:rPr>
        <w:t>, encontró efectos positivos significativos del crédito en incrementos de producción (24%), empleo (11%) e inversiones (70%) durante los cuatro años al primer préstamo del BID</w:t>
      </w:r>
      <w:r w:rsidR="000E4BA5" w:rsidRPr="00DA3282">
        <w:rPr>
          <w:rStyle w:val="FootnoteReference"/>
          <w:rFonts w:ascii="Arial" w:eastAsia="Arial" w:hAnsi="Arial" w:cs="Arial"/>
          <w:sz w:val="22"/>
          <w:szCs w:val="22"/>
        </w:rPr>
        <w:footnoteReference w:id="32"/>
      </w:r>
      <w:r w:rsidR="005B49F7" w:rsidRPr="00DA3282">
        <w:rPr>
          <w:rFonts w:ascii="Arial" w:hAnsi="Arial" w:cs="Arial"/>
          <w:sz w:val="22"/>
          <w:szCs w:val="22"/>
          <w:lang w:val="es-ES_tradnl"/>
        </w:rPr>
        <w:t>.</w:t>
      </w:r>
      <w:r w:rsidR="00A11FC0" w:rsidRPr="00DA3282">
        <w:rPr>
          <w:rFonts w:ascii="Arial" w:hAnsi="Arial" w:cs="Arial"/>
          <w:sz w:val="22"/>
          <w:szCs w:val="22"/>
          <w:lang w:val="es-ES_tradnl"/>
        </w:rPr>
        <w:t xml:space="preserve"> </w:t>
      </w:r>
      <w:r w:rsidR="00532BD9" w:rsidRPr="00DA3282">
        <w:rPr>
          <w:rFonts w:ascii="Arial" w:hAnsi="Arial" w:cs="Arial"/>
          <w:sz w:val="22"/>
          <w:szCs w:val="22"/>
          <w:lang w:val="es-ES_tradnl"/>
        </w:rPr>
        <w:t>Además, e</w:t>
      </w:r>
      <w:r w:rsidR="00A11FC0" w:rsidRPr="00DA3282">
        <w:rPr>
          <w:rFonts w:ascii="Arial" w:eastAsia="Arial" w:hAnsi="Arial" w:cs="Arial"/>
          <w:sz w:val="22"/>
          <w:szCs w:val="22"/>
          <w:lang w:val="es-ES"/>
        </w:rPr>
        <w:t xml:space="preserve">l Banco cuenta con una extensa experiencia en diseño e implementación de políticas de </w:t>
      </w:r>
      <w:r w:rsidR="00A11FC0" w:rsidRPr="00DA3282">
        <w:rPr>
          <w:rFonts w:ascii="Arial" w:eastAsia="Arial" w:hAnsi="Arial" w:cs="Arial"/>
          <w:sz w:val="22"/>
          <w:szCs w:val="22"/>
          <w:lang w:val="es-ES"/>
        </w:rPr>
        <w:lastRenderedPageBreak/>
        <w:t>financiamiento a la MIPYME con un enfoq</w:t>
      </w:r>
      <w:r w:rsidR="00A11FC0" w:rsidRPr="00CE3EA2">
        <w:rPr>
          <w:rFonts w:ascii="Arial" w:eastAsia="Arial" w:hAnsi="Arial" w:cs="Arial"/>
          <w:sz w:val="22"/>
          <w:szCs w:val="22"/>
          <w:lang w:val="es-PE"/>
        </w:rPr>
        <w:t>ue especial en determinados sectores o cadenas de valor</w:t>
      </w:r>
      <w:r w:rsidR="001A37FB" w:rsidRPr="00CE3EA2">
        <w:rPr>
          <w:rFonts w:ascii="Arial" w:eastAsia="Arial" w:hAnsi="Arial" w:cs="Arial"/>
          <w:sz w:val="22"/>
          <w:szCs w:val="22"/>
          <w:lang w:val="es-PE"/>
        </w:rPr>
        <w:t xml:space="preserve">, </w:t>
      </w:r>
      <w:r w:rsidR="00C20FF1" w:rsidRPr="00CE3EA2">
        <w:rPr>
          <w:rFonts w:ascii="Arial" w:eastAsia="Arial" w:hAnsi="Arial" w:cs="Arial"/>
          <w:sz w:val="22"/>
          <w:szCs w:val="22"/>
          <w:lang w:val="es-PE"/>
        </w:rPr>
        <w:t xml:space="preserve">generando </w:t>
      </w:r>
      <w:r w:rsidR="000A2A3F" w:rsidRPr="00CE3EA2">
        <w:rPr>
          <w:rFonts w:ascii="Arial" w:eastAsia="Arial" w:hAnsi="Arial" w:cs="Arial"/>
          <w:sz w:val="22"/>
          <w:szCs w:val="22"/>
          <w:lang w:val="es-PE"/>
        </w:rPr>
        <w:t xml:space="preserve">una </w:t>
      </w:r>
      <w:r w:rsidR="00DE4CFC" w:rsidRPr="00CE3EA2">
        <w:rPr>
          <w:rFonts w:ascii="Arial" w:eastAsia="Arial" w:hAnsi="Arial" w:cs="Arial"/>
          <w:sz w:val="22"/>
          <w:szCs w:val="22"/>
          <w:lang w:val="es-PE"/>
        </w:rPr>
        <w:t xml:space="preserve">gran </w:t>
      </w:r>
      <w:r w:rsidR="000A2A3F" w:rsidRPr="00CE3EA2">
        <w:rPr>
          <w:rFonts w:ascii="Arial" w:eastAsia="Arial" w:hAnsi="Arial" w:cs="Arial"/>
          <w:sz w:val="22"/>
          <w:szCs w:val="22"/>
          <w:lang w:val="es-PE"/>
        </w:rPr>
        <w:t xml:space="preserve">diversidad </w:t>
      </w:r>
      <w:r w:rsidR="00DE4CFC" w:rsidRPr="00CE3EA2">
        <w:rPr>
          <w:rFonts w:ascii="Arial" w:eastAsia="Arial" w:hAnsi="Arial" w:cs="Arial"/>
          <w:sz w:val="22"/>
          <w:szCs w:val="22"/>
          <w:lang w:val="es-PE"/>
        </w:rPr>
        <w:t>d</w:t>
      </w:r>
      <w:r w:rsidR="000A2A3F" w:rsidRPr="00CE3EA2">
        <w:rPr>
          <w:rFonts w:ascii="Arial" w:eastAsia="Arial" w:hAnsi="Arial" w:cs="Arial"/>
          <w:sz w:val="22"/>
          <w:szCs w:val="22"/>
          <w:lang w:val="es-PE"/>
        </w:rPr>
        <w:t>e productos de conocimiento</w:t>
      </w:r>
      <w:r w:rsidR="00A11FC0" w:rsidRPr="00CE3EA2">
        <w:rPr>
          <w:rStyle w:val="FootnoteReference"/>
          <w:rFonts w:ascii="Arial" w:eastAsia="Arial" w:hAnsi="Arial" w:cs="Arial"/>
          <w:sz w:val="22"/>
          <w:szCs w:val="22"/>
          <w:lang w:val="es-PE"/>
        </w:rPr>
        <w:footnoteReference w:id="33"/>
      </w:r>
      <w:r w:rsidR="00BB6D32">
        <w:rPr>
          <w:rFonts w:ascii="Arial" w:eastAsia="Arial" w:hAnsi="Arial" w:cs="Arial"/>
          <w:sz w:val="22"/>
          <w:szCs w:val="22"/>
          <w:lang w:val="es-PE"/>
        </w:rPr>
        <w:t>.</w:t>
      </w:r>
    </w:p>
    <w:p w14:paraId="1DFF682E" w14:textId="77777777" w:rsidR="00A77BC9" w:rsidRDefault="00180D7E" w:rsidP="00A77BC9">
      <w:pPr>
        <w:pStyle w:val="Paragraph"/>
        <w:numPr>
          <w:ilvl w:val="1"/>
          <w:numId w:val="6"/>
        </w:numPr>
        <w:ind w:hanging="540"/>
        <w:rPr>
          <w:rFonts w:ascii="Arial" w:hAnsi="Arial" w:cs="Arial"/>
          <w:b/>
          <w:bCs/>
          <w:sz w:val="22"/>
          <w:szCs w:val="22"/>
          <w:lang w:val="es-PE"/>
        </w:rPr>
      </w:pPr>
      <w:r w:rsidRPr="00BB6D32">
        <w:rPr>
          <w:rFonts w:ascii="Arial" w:eastAsia="Arial" w:hAnsi="Arial" w:cs="Arial"/>
          <w:lang w:val="pt-BR"/>
        </w:rPr>
        <w:t>En particular, en Panamá el Banco ha apoyado intervenciones orientadas a promover el acceso a financiamiento del sector productivo recientemente con el “Programa de Inclusión Financiera y Empresariado Indígena (</w:t>
      </w:r>
      <w:hyperlink r:id="rId16" w:history="1">
        <w:r w:rsidRPr="00BB6D32">
          <w:rPr>
            <w:rStyle w:val="Hyperlink"/>
            <w:rFonts w:ascii="Arial" w:eastAsia="Arial" w:hAnsi="Arial" w:cs="Arial"/>
            <w:sz w:val="22"/>
            <w:szCs w:val="22"/>
            <w:lang w:val="pt-BR"/>
          </w:rPr>
          <w:t>4785/OC-PN</w:t>
        </w:r>
      </w:hyperlink>
      <w:r w:rsidRPr="00BB6D32">
        <w:rPr>
          <w:rFonts w:ascii="Arial" w:eastAsia="Arial" w:hAnsi="Arial" w:cs="Arial"/>
          <w:lang w:val="pt-BR"/>
        </w:rPr>
        <w:t xml:space="preserve">)” que tiene como objetivo contribuir al incremento de ingresos de los empresarios indígenas, mediante el acceso a financiamiento, la provisión de infraestructura productiva y asistencia técnica continúa para negocios y cadenas de valor indígenas. </w:t>
      </w:r>
      <w:r w:rsidRPr="00E92AB5">
        <w:rPr>
          <w:rFonts w:ascii="Arial" w:eastAsia="Arial" w:hAnsi="Arial" w:cs="Arial"/>
          <w:lang w:val="pt-BR"/>
        </w:rPr>
        <w:t>De igual forma, la Cooperación Técnica (CT) “Fortalecimiento de las Instituciones e Infraestructura Financiera de Panamá (</w:t>
      </w:r>
      <w:hyperlink r:id="rId17" w:history="1">
        <w:r w:rsidRPr="00E92AB5">
          <w:rPr>
            <w:rStyle w:val="Hyperlink"/>
            <w:rFonts w:ascii="Arial" w:eastAsia="Arial" w:hAnsi="Arial" w:cs="Arial"/>
            <w:sz w:val="22"/>
            <w:szCs w:val="22"/>
            <w:lang w:val="pt-BR"/>
          </w:rPr>
          <w:t>ATN/OC</w:t>
        </w:r>
        <w:r w:rsidRPr="00E92AB5">
          <w:rPr>
            <w:rStyle w:val="Hyperlink"/>
            <w:rFonts w:ascii="Arial" w:eastAsia="Arial" w:hAnsi="Arial" w:cs="Arial"/>
            <w:sz w:val="22"/>
            <w:szCs w:val="22"/>
            <w:lang w:val="pt-BR"/>
          </w:rPr>
          <w:noBreakHyphen/>
          <w:t>16709-PN</w:t>
        </w:r>
      </w:hyperlink>
      <w:r w:rsidRPr="00E92AB5">
        <w:rPr>
          <w:rFonts w:ascii="Arial" w:eastAsia="Arial" w:hAnsi="Arial" w:cs="Arial"/>
          <w:lang w:val="pt-BR"/>
        </w:rPr>
        <w:t>)” tiene entre sus principales objetivos la creación de un sistema de pagos que permitirá una mayor transaccionalidad financiera facilitando la inyección de flujos a sectores poco atendidos por el sistema financiero. Por su parte, BID Invest ha tenido un enfoque en el sector PYME en operaciones centradas en proveer fondeo al sector financiero buscando acortar la brecha de acceso a financiamiento mediante las siguientes operaciones: (i) un bono de género emitido por Banistmo Panamá para financiar proyectos con un alto impacto social positivo en el país con enfoque en PYME lideradas por mujeres (</w:t>
      </w:r>
      <w:hyperlink r:id="rId18" w:history="1">
        <w:r w:rsidRPr="00E92AB5">
          <w:rPr>
            <w:rStyle w:val="Hyperlink"/>
            <w:rFonts w:ascii="Arial" w:eastAsia="Arial" w:hAnsi="Arial" w:cs="Arial"/>
            <w:sz w:val="22"/>
            <w:szCs w:val="22"/>
            <w:lang w:val="pt-BR"/>
          </w:rPr>
          <w:t>12174-02</w:t>
        </w:r>
      </w:hyperlink>
      <w:r w:rsidRPr="00E92AB5">
        <w:rPr>
          <w:rFonts w:ascii="Arial" w:eastAsia="Arial" w:hAnsi="Arial" w:cs="Arial"/>
          <w:lang w:val="pt-BR"/>
        </w:rPr>
        <w:t>); (ii) préstamo senior a Global Bank con enfoque en PYME (</w:t>
      </w:r>
      <w:hyperlink r:id="rId19" w:history="1">
        <w:r w:rsidRPr="00E92AB5">
          <w:rPr>
            <w:rStyle w:val="Hyperlink"/>
            <w:rFonts w:ascii="Arial" w:eastAsia="Arial" w:hAnsi="Arial" w:cs="Arial"/>
            <w:sz w:val="22"/>
            <w:szCs w:val="22"/>
            <w:lang w:val="pt-BR"/>
          </w:rPr>
          <w:t>11881-02</w:t>
        </w:r>
      </w:hyperlink>
      <w:r w:rsidRPr="00E92AB5">
        <w:rPr>
          <w:rFonts w:ascii="Arial" w:eastAsia="Arial" w:hAnsi="Arial" w:cs="Arial"/>
          <w:lang w:val="pt-BR"/>
        </w:rPr>
        <w:t>); (iii) préstamo senior a</w:t>
      </w:r>
      <w:r w:rsidRPr="00E92AB5">
        <w:rPr>
          <w:rFonts w:ascii="Arial" w:eastAsia="Arial" w:hAnsi="Arial" w:cs="Arial"/>
          <w:i/>
          <w:iCs/>
          <w:lang w:val="pt-BR"/>
        </w:rPr>
        <w:t xml:space="preserve"> BAC International Bank Inc.</w:t>
      </w:r>
      <w:r w:rsidRPr="00E92AB5">
        <w:rPr>
          <w:rFonts w:ascii="Arial" w:eastAsia="Arial" w:hAnsi="Arial" w:cs="Arial"/>
          <w:lang w:val="pt-BR"/>
        </w:rPr>
        <w:t xml:space="preserve"> con enfoque en la internacionalización de las PYME (</w:t>
      </w:r>
      <w:hyperlink r:id="rId20" w:history="1">
        <w:r w:rsidRPr="00E92AB5">
          <w:rPr>
            <w:rStyle w:val="Hyperlink"/>
            <w:rFonts w:ascii="Arial" w:eastAsia="Arial" w:hAnsi="Arial" w:cs="Arial"/>
            <w:sz w:val="22"/>
            <w:szCs w:val="22"/>
            <w:lang w:val="pt-BR"/>
          </w:rPr>
          <w:t>3098A/OC-PN</w:t>
        </w:r>
      </w:hyperlink>
      <w:r w:rsidRPr="00E92AB5">
        <w:rPr>
          <w:rFonts w:ascii="Arial" w:eastAsia="Arial" w:hAnsi="Arial" w:cs="Arial"/>
          <w:lang w:val="pt-BR"/>
        </w:rPr>
        <w:t>); y (iv) línea de crédito revolvente a Multibank Panamá con enfoque en PYME (</w:t>
      </w:r>
      <w:hyperlink r:id="rId21" w:history="1">
        <w:r w:rsidRPr="00E92AB5">
          <w:rPr>
            <w:rStyle w:val="Hyperlink"/>
            <w:rFonts w:ascii="Arial" w:eastAsia="Arial" w:hAnsi="Arial" w:cs="Arial"/>
            <w:sz w:val="22"/>
            <w:szCs w:val="22"/>
            <w:lang w:val="pt-BR"/>
          </w:rPr>
          <w:t>PN-3757A-02</w:t>
        </w:r>
      </w:hyperlink>
      <w:r w:rsidRPr="00E92AB5">
        <w:rPr>
          <w:rFonts w:ascii="Arial" w:eastAsia="Arial" w:hAnsi="Arial" w:cs="Arial"/>
          <w:lang w:val="pt-BR"/>
        </w:rPr>
        <w:t xml:space="preserve">), entre otras.   </w:t>
      </w:r>
    </w:p>
    <w:p w14:paraId="6944DD09" w14:textId="33DF0998" w:rsidR="002C4C15" w:rsidRPr="00140F01" w:rsidRDefault="00BB48CD" w:rsidP="00140F01">
      <w:pPr>
        <w:pStyle w:val="SecHeading"/>
        <w:tabs>
          <w:tab w:val="clear" w:pos="5400"/>
          <w:tab w:val="num" w:pos="1260"/>
        </w:tabs>
        <w:ind w:hanging="4680"/>
        <w:rPr>
          <w:rFonts w:ascii="Arial" w:hAnsi="Arial" w:cs="Arial"/>
          <w:sz w:val="22"/>
          <w:szCs w:val="22"/>
          <w:lang w:val="es-PE"/>
        </w:rPr>
      </w:pPr>
      <w:r w:rsidRPr="00140F01">
        <w:rPr>
          <w:rFonts w:ascii="Arial" w:hAnsi="Arial" w:cs="Arial"/>
          <w:sz w:val="22"/>
          <w:szCs w:val="22"/>
        </w:rPr>
        <w:t>Evaluación reflexiva</w:t>
      </w:r>
    </w:p>
    <w:p w14:paraId="20EA89E4" w14:textId="17EFE146" w:rsidR="001F6C37" w:rsidRPr="000A1287" w:rsidRDefault="00007B89" w:rsidP="00E33F78">
      <w:pPr>
        <w:pStyle w:val="Paragraph"/>
        <w:numPr>
          <w:ilvl w:val="1"/>
          <w:numId w:val="6"/>
        </w:numPr>
        <w:ind w:hanging="540"/>
        <w:rPr>
          <w:rFonts w:ascii="Arial" w:hAnsi="Arial" w:cs="Arial"/>
          <w:sz w:val="22"/>
          <w:szCs w:val="22"/>
          <w:lang w:val="es-ES_tradnl"/>
        </w:rPr>
      </w:pPr>
      <w:r w:rsidRPr="004F420D">
        <w:rPr>
          <w:rFonts w:ascii="Arial" w:hAnsi="Arial" w:cs="Arial"/>
          <w:b/>
          <w:sz w:val="22"/>
          <w:szCs w:val="22"/>
          <w:lang w:val="es-ES_tradnl"/>
        </w:rPr>
        <w:t xml:space="preserve">Justificación de la metodología. </w:t>
      </w:r>
      <w:r w:rsidR="009D3FA6" w:rsidRPr="004F420D">
        <w:rPr>
          <w:rFonts w:ascii="Arial" w:hAnsi="Arial" w:cs="Arial"/>
          <w:bCs/>
          <w:sz w:val="22"/>
          <w:szCs w:val="22"/>
          <w:lang w:val="es-ES_tradnl"/>
        </w:rPr>
        <w:t xml:space="preserve">Le metodología reflexiva busca </w:t>
      </w:r>
      <w:r w:rsidR="00DB4C9B" w:rsidRPr="004F420D">
        <w:rPr>
          <w:rFonts w:ascii="Arial" w:hAnsi="Arial" w:cs="Arial"/>
          <w:bCs/>
          <w:sz w:val="22"/>
          <w:szCs w:val="22"/>
          <w:lang w:val="es-ES_tradnl"/>
        </w:rPr>
        <w:t xml:space="preserve">conocer los efectos de una intervención </w:t>
      </w:r>
      <w:r w:rsidR="009D2631" w:rsidRPr="004F420D">
        <w:rPr>
          <w:rFonts w:ascii="Arial" w:hAnsi="Arial" w:cs="Arial"/>
          <w:bCs/>
          <w:sz w:val="22"/>
          <w:szCs w:val="22"/>
          <w:lang w:val="es-ES_tradnl"/>
        </w:rPr>
        <w:t xml:space="preserve">sobre </w:t>
      </w:r>
      <w:r w:rsidR="00642378" w:rsidRPr="004F420D">
        <w:rPr>
          <w:rFonts w:ascii="Arial" w:hAnsi="Arial" w:cs="Arial"/>
          <w:bCs/>
          <w:sz w:val="22"/>
          <w:szCs w:val="22"/>
          <w:lang w:val="es-ES_tradnl"/>
        </w:rPr>
        <w:t xml:space="preserve">variables </w:t>
      </w:r>
      <w:r w:rsidR="00890A5A" w:rsidRPr="004F420D">
        <w:rPr>
          <w:rFonts w:ascii="Arial" w:hAnsi="Arial" w:cs="Arial"/>
          <w:bCs/>
          <w:sz w:val="22"/>
          <w:szCs w:val="22"/>
          <w:lang w:val="es-ES_tradnl"/>
        </w:rPr>
        <w:t>determinad</w:t>
      </w:r>
      <w:r w:rsidR="00642378" w:rsidRPr="004F420D">
        <w:rPr>
          <w:rFonts w:ascii="Arial" w:hAnsi="Arial" w:cs="Arial"/>
          <w:bCs/>
          <w:sz w:val="22"/>
          <w:szCs w:val="22"/>
          <w:lang w:val="es-ES_tradnl"/>
        </w:rPr>
        <w:t>a</w:t>
      </w:r>
      <w:r w:rsidR="00890A5A" w:rsidRPr="004F420D">
        <w:rPr>
          <w:rFonts w:ascii="Arial" w:hAnsi="Arial" w:cs="Arial"/>
          <w:bCs/>
          <w:sz w:val="22"/>
          <w:szCs w:val="22"/>
          <w:lang w:val="es-ES_tradnl"/>
        </w:rPr>
        <w:t>s de interés</w:t>
      </w:r>
      <w:r w:rsidR="00D221D6" w:rsidRPr="004F420D">
        <w:rPr>
          <w:rFonts w:ascii="Arial" w:hAnsi="Arial" w:cs="Arial"/>
          <w:bCs/>
          <w:sz w:val="22"/>
          <w:szCs w:val="22"/>
          <w:lang w:val="es-ES_tradnl"/>
        </w:rPr>
        <w:t xml:space="preserve">. En el caso que nos ocupa, se trataría de medir </w:t>
      </w:r>
      <w:r w:rsidR="000E56F7" w:rsidRPr="004F420D">
        <w:rPr>
          <w:rFonts w:ascii="Arial" w:hAnsi="Arial" w:cs="Arial"/>
          <w:bCs/>
          <w:sz w:val="22"/>
          <w:szCs w:val="22"/>
          <w:lang w:val="es-ES_tradnl"/>
        </w:rPr>
        <w:t>los ingresos por ventas y el empleo en las</w:t>
      </w:r>
      <w:r w:rsidR="00BD37F6" w:rsidRPr="004F420D">
        <w:rPr>
          <w:rFonts w:ascii="Arial" w:hAnsi="Arial" w:cs="Arial"/>
          <w:bCs/>
          <w:sz w:val="22"/>
          <w:szCs w:val="22"/>
          <w:lang w:val="es-ES_tradnl"/>
        </w:rPr>
        <w:t xml:space="preserve"> MIPYME beneficiarias del programa</w:t>
      </w:r>
      <w:r w:rsidR="009A1E7A" w:rsidRPr="004F420D">
        <w:rPr>
          <w:rFonts w:ascii="Arial" w:hAnsi="Arial" w:cs="Arial"/>
          <w:bCs/>
          <w:sz w:val="22"/>
          <w:szCs w:val="22"/>
          <w:lang w:val="es-ES_tradnl"/>
        </w:rPr>
        <w:t xml:space="preserve"> antes y </w:t>
      </w:r>
      <w:r w:rsidR="00B6701C" w:rsidRPr="004F420D">
        <w:rPr>
          <w:rFonts w:ascii="Arial" w:hAnsi="Arial" w:cs="Arial"/>
          <w:bCs/>
          <w:sz w:val="22"/>
          <w:szCs w:val="22"/>
          <w:lang w:val="es-ES_tradnl"/>
        </w:rPr>
        <w:t xml:space="preserve">después </w:t>
      </w:r>
      <w:r w:rsidR="00EC36C4" w:rsidRPr="004F420D">
        <w:rPr>
          <w:rFonts w:ascii="Arial" w:hAnsi="Arial" w:cs="Arial"/>
          <w:bCs/>
          <w:sz w:val="22"/>
          <w:szCs w:val="22"/>
          <w:lang w:val="es-ES_tradnl"/>
        </w:rPr>
        <w:t>de</w:t>
      </w:r>
      <w:r w:rsidR="009B0AD4" w:rsidRPr="004F420D">
        <w:rPr>
          <w:rFonts w:ascii="Arial" w:hAnsi="Arial" w:cs="Arial"/>
          <w:bCs/>
          <w:sz w:val="22"/>
          <w:szCs w:val="22"/>
          <w:lang w:val="es-ES_tradnl"/>
        </w:rPr>
        <w:t>l programa</w:t>
      </w:r>
      <w:r w:rsidR="00AC1B8D" w:rsidRPr="004F420D">
        <w:rPr>
          <w:rFonts w:ascii="Arial" w:hAnsi="Arial" w:cs="Arial"/>
          <w:bCs/>
          <w:sz w:val="22"/>
          <w:szCs w:val="22"/>
          <w:lang w:val="es-ES_tradnl"/>
        </w:rPr>
        <w:t xml:space="preserve">, </w:t>
      </w:r>
      <w:r w:rsidR="00AE260A" w:rsidRPr="004F420D">
        <w:rPr>
          <w:rFonts w:ascii="Arial" w:hAnsi="Arial" w:cs="Arial"/>
          <w:bCs/>
          <w:sz w:val="22"/>
          <w:szCs w:val="22"/>
          <w:lang w:val="es-ES_tradnl"/>
        </w:rPr>
        <w:t xml:space="preserve">adjudicando las variaciones observadas </w:t>
      </w:r>
      <w:r w:rsidR="00694253" w:rsidRPr="004F420D">
        <w:rPr>
          <w:rFonts w:ascii="Arial" w:hAnsi="Arial" w:cs="Arial"/>
          <w:bCs/>
          <w:sz w:val="22"/>
          <w:szCs w:val="22"/>
          <w:lang w:val="es-ES_tradnl"/>
        </w:rPr>
        <w:t xml:space="preserve">a dicha intervención. </w:t>
      </w:r>
      <w:r w:rsidR="00243684" w:rsidRPr="004F420D">
        <w:rPr>
          <w:rFonts w:ascii="Arial" w:hAnsi="Arial" w:cs="Arial"/>
          <w:bCs/>
          <w:sz w:val="22"/>
          <w:szCs w:val="22"/>
          <w:lang w:val="es-ES_tradnl"/>
        </w:rPr>
        <w:t>Est</w:t>
      </w:r>
      <w:r w:rsidR="00121A96" w:rsidRPr="004F420D">
        <w:rPr>
          <w:rFonts w:ascii="Arial" w:hAnsi="Arial" w:cs="Arial"/>
          <w:bCs/>
          <w:sz w:val="22"/>
          <w:szCs w:val="22"/>
          <w:lang w:val="es-ES_tradnl"/>
        </w:rPr>
        <w:t xml:space="preserve">a metodología, sin embargo, no </w:t>
      </w:r>
      <w:r w:rsidR="007131C5" w:rsidRPr="004F420D">
        <w:rPr>
          <w:rFonts w:ascii="Arial" w:hAnsi="Arial" w:cs="Arial"/>
          <w:bCs/>
          <w:sz w:val="22"/>
          <w:szCs w:val="22"/>
          <w:lang w:val="es-ES_tradnl"/>
        </w:rPr>
        <w:t xml:space="preserve">puede aislar </w:t>
      </w:r>
      <w:r w:rsidR="00061426" w:rsidRPr="004F420D">
        <w:rPr>
          <w:rFonts w:ascii="Arial" w:hAnsi="Arial" w:cs="Arial"/>
          <w:bCs/>
          <w:sz w:val="22"/>
          <w:szCs w:val="22"/>
          <w:lang w:val="es-ES_tradnl"/>
        </w:rPr>
        <w:t xml:space="preserve">completamente </w:t>
      </w:r>
      <w:r w:rsidR="007131C5" w:rsidRPr="004F420D">
        <w:rPr>
          <w:rFonts w:ascii="Arial" w:hAnsi="Arial" w:cs="Arial"/>
          <w:bCs/>
          <w:sz w:val="22"/>
          <w:szCs w:val="22"/>
          <w:lang w:val="es-ES_tradnl"/>
        </w:rPr>
        <w:t xml:space="preserve">efectos </w:t>
      </w:r>
      <w:r w:rsidR="00E13D0B" w:rsidRPr="004F420D">
        <w:rPr>
          <w:rFonts w:ascii="Arial" w:hAnsi="Arial" w:cs="Arial"/>
          <w:bCs/>
          <w:sz w:val="22"/>
          <w:szCs w:val="22"/>
          <w:lang w:val="es-ES_tradnl"/>
        </w:rPr>
        <w:t>externos a la intervención</w:t>
      </w:r>
      <w:r w:rsidR="0098747B" w:rsidRPr="004F420D">
        <w:rPr>
          <w:rFonts w:ascii="Arial" w:hAnsi="Arial" w:cs="Arial"/>
          <w:bCs/>
          <w:sz w:val="22"/>
          <w:szCs w:val="22"/>
          <w:lang w:val="es-ES_tradnl"/>
        </w:rPr>
        <w:t xml:space="preserve"> que</w:t>
      </w:r>
      <w:r w:rsidR="00CB4E5B" w:rsidRPr="004F420D">
        <w:rPr>
          <w:rFonts w:ascii="Arial" w:hAnsi="Arial" w:cs="Arial"/>
          <w:bCs/>
          <w:sz w:val="22"/>
          <w:szCs w:val="22"/>
          <w:lang w:val="es-ES_tradnl"/>
        </w:rPr>
        <w:t xml:space="preserve"> pueden influir</w:t>
      </w:r>
      <w:r w:rsidR="0098747B" w:rsidRPr="004F420D">
        <w:rPr>
          <w:rFonts w:ascii="Arial" w:hAnsi="Arial" w:cs="Arial"/>
          <w:bCs/>
          <w:sz w:val="22"/>
          <w:szCs w:val="22"/>
          <w:lang w:val="es-ES_tradnl"/>
        </w:rPr>
        <w:t xml:space="preserve"> sobre </w:t>
      </w:r>
      <w:r w:rsidR="00061426" w:rsidRPr="004F420D">
        <w:rPr>
          <w:rFonts w:ascii="Arial" w:hAnsi="Arial" w:cs="Arial"/>
          <w:bCs/>
          <w:sz w:val="22"/>
          <w:szCs w:val="22"/>
          <w:lang w:val="es-ES_tradnl"/>
        </w:rPr>
        <w:t>las variables de interés</w:t>
      </w:r>
      <w:r w:rsidR="00FE0AC2" w:rsidRPr="004F420D">
        <w:rPr>
          <w:rFonts w:ascii="Arial" w:hAnsi="Arial" w:cs="Arial"/>
          <w:bCs/>
          <w:sz w:val="22"/>
          <w:szCs w:val="22"/>
          <w:lang w:val="es-ES_tradnl"/>
        </w:rPr>
        <w:t>, dificultando la atribución de l</w:t>
      </w:r>
      <w:r w:rsidR="00513C4B" w:rsidRPr="004F420D">
        <w:rPr>
          <w:rFonts w:ascii="Arial" w:hAnsi="Arial" w:cs="Arial"/>
          <w:bCs/>
          <w:sz w:val="22"/>
          <w:szCs w:val="22"/>
          <w:lang w:val="es-ES_tradnl"/>
        </w:rPr>
        <w:t>os cambios observados</w:t>
      </w:r>
      <w:r w:rsidR="004E025C" w:rsidRPr="004F420D">
        <w:rPr>
          <w:rFonts w:ascii="Arial" w:hAnsi="Arial" w:cs="Arial"/>
          <w:bCs/>
          <w:sz w:val="22"/>
          <w:szCs w:val="22"/>
          <w:lang w:val="es-ES_tradnl"/>
        </w:rPr>
        <w:t xml:space="preserve"> a int</w:t>
      </w:r>
      <w:r w:rsidR="004E025C" w:rsidRPr="000A1287">
        <w:rPr>
          <w:rFonts w:ascii="Arial" w:hAnsi="Arial" w:cs="Arial"/>
          <w:bCs/>
          <w:sz w:val="22"/>
          <w:szCs w:val="22"/>
          <w:lang w:val="es-ES_tradnl"/>
        </w:rPr>
        <w:t>ervención concreta.</w:t>
      </w:r>
      <w:r w:rsidR="00513C4B" w:rsidRPr="000A1287">
        <w:rPr>
          <w:rFonts w:ascii="Arial" w:hAnsi="Arial" w:cs="Arial"/>
          <w:bCs/>
          <w:sz w:val="22"/>
          <w:szCs w:val="22"/>
          <w:lang w:val="es-ES_tradnl"/>
        </w:rPr>
        <w:t xml:space="preserve"> </w:t>
      </w:r>
    </w:p>
    <w:p w14:paraId="58DB2046" w14:textId="79447CC3" w:rsidR="00787EA9" w:rsidRPr="000A1287" w:rsidRDefault="00E33F78" w:rsidP="00E33F78">
      <w:pPr>
        <w:pStyle w:val="Paragraph"/>
        <w:numPr>
          <w:ilvl w:val="1"/>
          <w:numId w:val="6"/>
        </w:numPr>
        <w:ind w:hanging="540"/>
        <w:rPr>
          <w:rFonts w:ascii="Arial" w:hAnsi="Arial" w:cs="Arial"/>
          <w:bCs/>
          <w:sz w:val="22"/>
          <w:szCs w:val="22"/>
          <w:lang w:val="es-ES_tradnl"/>
        </w:rPr>
      </w:pPr>
      <w:r w:rsidRPr="000A1287">
        <w:rPr>
          <w:rFonts w:ascii="Arial" w:hAnsi="Arial" w:cs="Arial"/>
          <w:b/>
          <w:bCs/>
          <w:sz w:val="22"/>
          <w:szCs w:val="22"/>
          <w:lang w:val="es-ES_tradnl"/>
        </w:rPr>
        <w:t>Interpretación de los resultados</w:t>
      </w:r>
      <w:r w:rsidRPr="000A1287">
        <w:rPr>
          <w:rFonts w:ascii="Arial" w:hAnsi="Arial" w:cs="Arial"/>
          <w:bCs/>
          <w:sz w:val="22"/>
          <w:szCs w:val="22"/>
          <w:lang w:val="es-ES_tradnl"/>
        </w:rPr>
        <w:t xml:space="preserve">. </w:t>
      </w:r>
      <w:r w:rsidR="004E1459" w:rsidRPr="000A1287">
        <w:rPr>
          <w:rFonts w:ascii="Arial" w:hAnsi="Arial" w:cs="Arial"/>
          <w:bCs/>
          <w:sz w:val="22"/>
          <w:szCs w:val="22"/>
          <w:lang w:val="es-ES_tradnl"/>
        </w:rPr>
        <w:t>La evalu</w:t>
      </w:r>
      <w:r w:rsidR="006B12AE" w:rsidRPr="000A1287">
        <w:rPr>
          <w:rFonts w:ascii="Arial" w:hAnsi="Arial" w:cs="Arial"/>
          <w:bCs/>
          <w:sz w:val="22"/>
          <w:szCs w:val="22"/>
          <w:lang w:val="es-ES_tradnl"/>
        </w:rPr>
        <w:t>a</w:t>
      </w:r>
      <w:r w:rsidR="004E1459" w:rsidRPr="000A1287">
        <w:rPr>
          <w:rFonts w:ascii="Arial" w:hAnsi="Arial" w:cs="Arial"/>
          <w:bCs/>
          <w:sz w:val="22"/>
          <w:szCs w:val="22"/>
          <w:lang w:val="es-ES_tradnl"/>
        </w:rPr>
        <w:t xml:space="preserve">ción propuesta </w:t>
      </w:r>
      <w:r w:rsidR="001000B7" w:rsidRPr="000A1287">
        <w:rPr>
          <w:rFonts w:ascii="Arial" w:hAnsi="Arial" w:cs="Arial"/>
          <w:bCs/>
          <w:sz w:val="22"/>
          <w:szCs w:val="22"/>
          <w:lang w:val="es-ES_tradnl"/>
        </w:rPr>
        <w:t>busca mostrar el alcance de los resultados e impactos</w:t>
      </w:r>
      <w:r w:rsidR="00887589" w:rsidRPr="000A1287">
        <w:rPr>
          <w:rFonts w:ascii="Arial" w:hAnsi="Arial" w:cs="Arial"/>
          <w:bCs/>
          <w:sz w:val="22"/>
          <w:szCs w:val="22"/>
          <w:lang w:val="es-ES_tradnl"/>
        </w:rPr>
        <w:t xml:space="preserve"> del </w:t>
      </w:r>
      <w:r w:rsidR="00EA7F81" w:rsidRPr="000A1287">
        <w:rPr>
          <w:rFonts w:ascii="Arial" w:hAnsi="Arial" w:cs="Arial"/>
          <w:bCs/>
          <w:sz w:val="22"/>
          <w:szCs w:val="22"/>
          <w:lang w:val="es-ES_tradnl"/>
        </w:rPr>
        <w:t xml:space="preserve">programa. </w:t>
      </w:r>
      <w:r w:rsidR="00824587" w:rsidRPr="000A1287">
        <w:rPr>
          <w:rFonts w:ascii="Arial" w:hAnsi="Arial" w:cs="Arial"/>
          <w:bCs/>
          <w:sz w:val="22"/>
          <w:szCs w:val="22"/>
          <w:lang w:val="es-ES_tradnl"/>
        </w:rPr>
        <w:t xml:space="preserve">Las preguntas de </w:t>
      </w:r>
      <w:r w:rsidR="005A567D" w:rsidRPr="000A1287">
        <w:rPr>
          <w:rFonts w:ascii="Arial" w:hAnsi="Arial" w:cs="Arial"/>
          <w:bCs/>
          <w:sz w:val="22"/>
          <w:szCs w:val="22"/>
          <w:lang w:val="es-ES_tradnl"/>
        </w:rPr>
        <w:t xml:space="preserve">evaluación son por tanto las siguientes (i) cuál ha sido el impacto de la intervención </w:t>
      </w:r>
      <w:r w:rsidR="00AD54DD" w:rsidRPr="000A1287">
        <w:rPr>
          <w:rFonts w:ascii="Arial" w:hAnsi="Arial" w:cs="Arial"/>
          <w:bCs/>
          <w:sz w:val="22"/>
          <w:szCs w:val="22"/>
          <w:lang w:val="es-ES_tradnl"/>
        </w:rPr>
        <w:t xml:space="preserve">sobre los ingresos por ventas de las </w:t>
      </w:r>
      <w:r w:rsidR="000A1287" w:rsidRPr="000A1287">
        <w:rPr>
          <w:rFonts w:ascii="Arial" w:hAnsi="Arial" w:cs="Arial"/>
          <w:bCs/>
          <w:sz w:val="22"/>
          <w:szCs w:val="22"/>
          <w:lang w:val="es-ES_tradnl"/>
        </w:rPr>
        <w:t>MIPYME en</w:t>
      </w:r>
      <w:r w:rsidR="006807F1" w:rsidRPr="000A1287">
        <w:rPr>
          <w:rFonts w:ascii="Arial" w:hAnsi="Arial" w:cs="Arial"/>
          <w:bCs/>
          <w:sz w:val="22"/>
          <w:szCs w:val="22"/>
          <w:lang w:val="es-ES_tradnl"/>
        </w:rPr>
        <w:t xml:space="preserve"> los sectores apoyados por el programa; y (ii) cuál ha sido el impacto del programa sobre </w:t>
      </w:r>
      <w:r w:rsidR="00FF1F5A" w:rsidRPr="000A1287">
        <w:rPr>
          <w:rFonts w:ascii="Arial" w:hAnsi="Arial" w:cs="Arial"/>
          <w:bCs/>
          <w:sz w:val="22"/>
          <w:szCs w:val="22"/>
          <w:lang w:val="es-ES_tradnl"/>
        </w:rPr>
        <w:t>el</w:t>
      </w:r>
      <w:r w:rsidR="00787EA9" w:rsidRPr="000A1287">
        <w:rPr>
          <w:rFonts w:ascii="Arial" w:hAnsi="Arial" w:cs="Arial"/>
          <w:bCs/>
          <w:sz w:val="22"/>
          <w:szCs w:val="22"/>
          <w:lang w:val="es-ES_tradnl"/>
        </w:rPr>
        <w:t xml:space="preserve"> porcentaje de</w:t>
      </w:r>
      <w:r w:rsidR="00FF1F5A" w:rsidRPr="000A1287">
        <w:rPr>
          <w:rFonts w:ascii="Arial" w:hAnsi="Arial" w:cs="Arial"/>
          <w:bCs/>
          <w:sz w:val="22"/>
          <w:szCs w:val="22"/>
          <w:lang w:val="es-ES_tradnl"/>
        </w:rPr>
        <w:t xml:space="preserve"> empleo</w:t>
      </w:r>
      <w:r w:rsidR="00787EA9" w:rsidRPr="000A1287">
        <w:rPr>
          <w:lang w:val="es-ES"/>
        </w:rPr>
        <w:t xml:space="preserve"> </w:t>
      </w:r>
      <w:r w:rsidR="00787EA9" w:rsidRPr="000A1287">
        <w:rPr>
          <w:rFonts w:ascii="Arial" w:hAnsi="Arial" w:cs="Arial"/>
          <w:bCs/>
          <w:sz w:val="22"/>
          <w:szCs w:val="22"/>
          <w:lang w:val="es-ES_tradnl"/>
        </w:rPr>
        <w:t xml:space="preserve">en los sectores apoyados por el programa </w:t>
      </w:r>
      <w:r w:rsidR="001250A3" w:rsidRPr="000A1287">
        <w:rPr>
          <w:rFonts w:ascii="Arial" w:hAnsi="Arial" w:cs="Arial"/>
          <w:bCs/>
          <w:sz w:val="22"/>
          <w:szCs w:val="22"/>
          <w:lang w:val="es-ES_tradnl"/>
        </w:rPr>
        <w:t>frente</w:t>
      </w:r>
      <w:r w:rsidR="00787EA9" w:rsidRPr="000A1287">
        <w:rPr>
          <w:rFonts w:ascii="Arial" w:hAnsi="Arial" w:cs="Arial"/>
          <w:bCs/>
          <w:sz w:val="22"/>
          <w:szCs w:val="22"/>
          <w:lang w:val="es-ES_tradnl"/>
        </w:rPr>
        <w:t xml:space="preserve"> el empleo total de MIPYME en el país</w:t>
      </w:r>
      <w:r w:rsidR="00284698" w:rsidRPr="000A1287">
        <w:rPr>
          <w:rFonts w:ascii="Arial" w:hAnsi="Arial" w:cs="Arial"/>
          <w:bCs/>
          <w:sz w:val="22"/>
          <w:szCs w:val="22"/>
          <w:lang w:val="es-ES_tradnl"/>
        </w:rPr>
        <w:t>.</w:t>
      </w:r>
      <w:r w:rsidR="00787EA9" w:rsidRPr="000A1287">
        <w:rPr>
          <w:rFonts w:ascii="Arial" w:hAnsi="Arial" w:cs="Arial"/>
          <w:bCs/>
          <w:sz w:val="22"/>
          <w:szCs w:val="22"/>
          <w:lang w:val="es-ES_tradnl"/>
        </w:rPr>
        <w:t xml:space="preserve"> </w:t>
      </w:r>
    </w:p>
    <w:p w14:paraId="2DFB9087" w14:textId="0B0D609E" w:rsidR="00BB48CD" w:rsidRPr="00DF7FE5" w:rsidRDefault="00E33F78" w:rsidP="0054717B">
      <w:pPr>
        <w:pStyle w:val="Paragraph"/>
        <w:numPr>
          <w:ilvl w:val="1"/>
          <w:numId w:val="6"/>
        </w:numPr>
        <w:ind w:hanging="540"/>
        <w:rPr>
          <w:rFonts w:ascii="Arial" w:hAnsi="Arial" w:cs="Arial"/>
          <w:sz w:val="22"/>
          <w:szCs w:val="22"/>
          <w:lang w:val="es-ES_tradnl"/>
        </w:rPr>
      </w:pPr>
      <w:r w:rsidRPr="00DF7FE5">
        <w:rPr>
          <w:rFonts w:ascii="Arial" w:hAnsi="Arial" w:cs="Arial"/>
          <w:b/>
          <w:bCs/>
          <w:sz w:val="22"/>
          <w:szCs w:val="22"/>
          <w:lang w:val="es-ES_tradnl"/>
        </w:rPr>
        <w:t>Fuentes de datos.</w:t>
      </w:r>
      <w:r w:rsidRPr="00DF7FE5">
        <w:rPr>
          <w:rFonts w:ascii="Arial" w:hAnsi="Arial" w:cs="Arial"/>
          <w:sz w:val="22"/>
          <w:szCs w:val="22"/>
          <w:lang w:val="es-ES_tradnl"/>
        </w:rPr>
        <w:t xml:space="preserve"> </w:t>
      </w:r>
      <w:r w:rsidR="005707CE" w:rsidRPr="00DF7FE5">
        <w:rPr>
          <w:rFonts w:ascii="Arial" w:hAnsi="Arial" w:cs="Arial"/>
          <w:sz w:val="22"/>
          <w:szCs w:val="22"/>
          <w:lang w:val="es-ES_tradnl"/>
        </w:rPr>
        <w:t xml:space="preserve">Para la realización del ejercicio propuesto son </w:t>
      </w:r>
      <w:r w:rsidR="002F508D" w:rsidRPr="00DF7FE5">
        <w:rPr>
          <w:rFonts w:ascii="Arial" w:hAnsi="Arial" w:cs="Arial"/>
          <w:sz w:val="22"/>
          <w:szCs w:val="22"/>
          <w:lang w:val="es-ES_tradnl"/>
        </w:rPr>
        <w:t>centrales los</w:t>
      </w:r>
      <w:r w:rsidR="00905D85" w:rsidRPr="00DF7FE5">
        <w:rPr>
          <w:rFonts w:ascii="Arial" w:hAnsi="Arial" w:cs="Arial"/>
          <w:sz w:val="22"/>
          <w:szCs w:val="22"/>
          <w:lang w:val="es-ES_tradnl"/>
        </w:rPr>
        <w:t xml:space="preserve"> </w:t>
      </w:r>
      <w:r w:rsidR="002F508D" w:rsidRPr="00DF7FE5">
        <w:rPr>
          <w:rFonts w:ascii="Arial" w:hAnsi="Arial" w:cs="Arial"/>
          <w:sz w:val="22"/>
          <w:szCs w:val="22"/>
          <w:lang w:val="es-ES_tradnl"/>
        </w:rPr>
        <w:t xml:space="preserve">indicadores de </w:t>
      </w:r>
      <w:r w:rsidR="00905D85" w:rsidRPr="00DF7FE5">
        <w:rPr>
          <w:rFonts w:ascii="Arial" w:hAnsi="Arial" w:cs="Arial"/>
          <w:sz w:val="22"/>
          <w:szCs w:val="22"/>
          <w:lang w:val="es-ES_tradnl"/>
        </w:rPr>
        <w:t>impacto del programa, recogidos en el Cuadro 1 de este documento</w:t>
      </w:r>
      <w:r w:rsidR="00E1696D" w:rsidRPr="00DF7FE5">
        <w:rPr>
          <w:rFonts w:ascii="Arial" w:hAnsi="Arial" w:cs="Arial"/>
          <w:sz w:val="22"/>
          <w:szCs w:val="22"/>
          <w:lang w:val="es-ES_tradnl"/>
        </w:rPr>
        <w:t xml:space="preserve">, y que serán objeto del monitoreo </w:t>
      </w:r>
      <w:r w:rsidR="009B54A4" w:rsidRPr="00DF7FE5">
        <w:rPr>
          <w:rFonts w:ascii="Arial" w:hAnsi="Arial" w:cs="Arial"/>
          <w:sz w:val="22"/>
          <w:szCs w:val="22"/>
          <w:lang w:val="es-ES_tradnl"/>
        </w:rPr>
        <w:t>propio del programa.</w:t>
      </w:r>
      <w:r w:rsidRPr="00DF7FE5">
        <w:rPr>
          <w:rFonts w:ascii="Arial" w:hAnsi="Arial" w:cs="Arial"/>
          <w:sz w:val="22"/>
          <w:szCs w:val="22"/>
          <w:lang w:val="es-ES_tradnl"/>
        </w:rPr>
        <w:t xml:space="preserve"> Además, se buscará complementar la información </w:t>
      </w:r>
      <w:r w:rsidRPr="00DF7FE5">
        <w:rPr>
          <w:rFonts w:ascii="Arial" w:hAnsi="Arial" w:cs="Arial"/>
          <w:sz w:val="22"/>
          <w:szCs w:val="22"/>
          <w:lang w:val="es-ES_tradnl"/>
        </w:rPr>
        <w:lastRenderedPageBreak/>
        <w:t xml:space="preserve">anterior con </w:t>
      </w:r>
      <w:r w:rsidR="00675A3D" w:rsidRPr="00DF7FE5">
        <w:rPr>
          <w:rFonts w:ascii="Arial" w:hAnsi="Arial" w:cs="Arial"/>
          <w:sz w:val="22"/>
          <w:szCs w:val="22"/>
          <w:lang w:val="es-ES_tradnl"/>
        </w:rPr>
        <w:t xml:space="preserve">series de </w:t>
      </w:r>
      <w:r w:rsidRPr="00DF7FE5">
        <w:rPr>
          <w:rFonts w:ascii="Arial" w:hAnsi="Arial" w:cs="Arial"/>
          <w:sz w:val="22"/>
          <w:szCs w:val="22"/>
          <w:lang w:val="es-ES_tradnl"/>
        </w:rPr>
        <w:t xml:space="preserve">datos de fuentes secundarias, tales como </w:t>
      </w:r>
      <w:r w:rsidR="00787810" w:rsidRPr="00DF7FE5">
        <w:rPr>
          <w:rFonts w:ascii="Arial" w:hAnsi="Arial" w:cs="Arial"/>
          <w:sz w:val="22"/>
          <w:szCs w:val="22"/>
          <w:lang w:val="es-ES_tradnl"/>
        </w:rPr>
        <w:t xml:space="preserve">el Instituto Nacional de Estadística y Censo (INEC), el Directorio de </w:t>
      </w:r>
      <w:r w:rsidR="004412EE" w:rsidRPr="00DF7FE5">
        <w:rPr>
          <w:rFonts w:ascii="Arial" w:hAnsi="Arial" w:cs="Arial"/>
          <w:sz w:val="22"/>
          <w:szCs w:val="22"/>
          <w:lang w:val="es-ES_tradnl"/>
        </w:rPr>
        <w:t>Estadístico de Empresas y Locales</w:t>
      </w:r>
      <w:r w:rsidR="007A3E04" w:rsidRPr="00DF7FE5">
        <w:rPr>
          <w:rFonts w:ascii="Arial" w:hAnsi="Arial" w:cs="Arial"/>
          <w:sz w:val="22"/>
          <w:szCs w:val="22"/>
          <w:lang w:val="es-ES_tradnl"/>
        </w:rPr>
        <w:t>,</w:t>
      </w:r>
      <w:r w:rsidR="00DF7FE5">
        <w:rPr>
          <w:rFonts w:ascii="Arial" w:hAnsi="Arial" w:cs="Arial"/>
          <w:sz w:val="22"/>
          <w:szCs w:val="22"/>
          <w:lang w:val="es-ES_tradnl"/>
        </w:rPr>
        <w:t xml:space="preserve"> y</w:t>
      </w:r>
      <w:r w:rsidR="007A3E04" w:rsidRPr="00DF7FE5">
        <w:rPr>
          <w:rFonts w:ascii="Arial" w:hAnsi="Arial" w:cs="Arial"/>
          <w:sz w:val="22"/>
          <w:szCs w:val="22"/>
          <w:lang w:val="es-ES_tradnl"/>
        </w:rPr>
        <w:t xml:space="preserve"> la</w:t>
      </w:r>
      <w:r w:rsidR="004412EE" w:rsidRPr="00DF7FE5">
        <w:rPr>
          <w:rFonts w:ascii="Arial" w:hAnsi="Arial" w:cs="Arial"/>
          <w:sz w:val="22"/>
          <w:szCs w:val="22"/>
          <w:lang w:val="es-ES_tradnl"/>
        </w:rPr>
        <w:t xml:space="preserve"> </w:t>
      </w:r>
      <w:r w:rsidR="007A3E04" w:rsidRPr="00DF7FE5">
        <w:rPr>
          <w:rFonts w:ascii="Arial" w:hAnsi="Arial" w:cs="Arial"/>
          <w:sz w:val="22"/>
          <w:szCs w:val="22"/>
          <w:lang w:val="es-ES_tradnl"/>
        </w:rPr>
        <w:t>Encuesta Económica Trimestral</w:t>
      </w:r>
      <w:r w:rsidR="00DC4A8F" w:rsidRPr="00DF7FE5">
        <w:rPr>
          <w:rFonts w:ascii="Arial" w:hAnsi="Arial" w:cs="Arial"/>
          <w:sz w:val="22"/>
          <w:szCs w:val="22"/>
          <w:lang w:val="es-ES_tradnl"/>
        </w:rPr>
        <w:t>.</w:t>
      </w:r>
    </w:p>
    <w:p w14:paraId="0CA8D098" w14:textId="7567E4AB" w:rsidR="007116B2" w:rsidRPr="000E5072" w:rsidRDefault="007116B2" w:rsidP="007116B2">
      <w:pPr>
        <w:pStyle w:val="Paragraph"/>
        <w:numPr>
          <w:ilvl w:val="1"/>
          <w:numId w:val="6"/>
        </w:numPr>
        <w:ind w:hanging="540"/>
        <w:rPr>
          <w:rFonts w:ascii="Arial" w:hAnsi="Arial" w:cs="Arial"/>
          <w:bCs/>
          <w:sz w:val="22"/>
          <w:szCs w:val="22"/>
          <w:lang w:val="es-ES_tradnl"/>
        </w:rPr>
      </w:pPr>
      <w:r w:rsidRPr="005E5626">
        <w:rPr>
          <w:rFonts w:ascii="Arial" w:hAnsi="Arial" w:cs="Arial"/>
          <w:b/>
          <w:bCs/>
          <w:sz w:val="22"/>
          <w:szCs w:val="22"/>
          <w:lang w:val="es-ES_tradnl"/>
        </w:rPr>
        <w:t xml:space="preserve">Plazo. </w:t>
      </w:r>
      <w:r w:rsidR="004054F9" w:rsidRPr="005E5626">
        <w:rPr>
          <w:rFonts w:ascii="Arial" w:hAnsi="Arial" w:cs="Arial"/>
          <w:sz w:val="22"/>
          <w:szCs w:val="22"/>
          <w:lang w:val="es-ES_tradnl"/>
        </w:rPr>
        <w:t>El OE</w:t>
      </w:r>
      <w:r w:rsidRPr="005E5626">
        <w:rPr>
          <w:rFonts w:ascii="Arial" w:hAnsi="Arial" w:cs="Arial"/>
          <w:bCs/>
          <w:sz w:val="22"/>
          <w:szCs w:val="22"/>
          <w:lang w:val="es-ES_tradnl"/>
        </w:rPr>
        <w:t xml:space="preserve"> proveerá al </w:t>
      </w:r>
      <w:r w:rsidR="004054F9" w:rsidRPr="005E5626">
        <w:rPr>
          <w:rFonts w:ascii="Arial" w:hAnsi="Arial" w:cs="Arial"/>
          <w:bCs/>
          <w:sz w:val="22"/>
          <w:szCs w:val="22"/>
          <w:lang w:val="es-ES_tradnl"/>
        </w:rPr>
        <w:t>Banco</w:t>
      </w:r>
      <w:r w:rsidRPr="005E5626">
        <w:rPr>
          <w:rFonts w:ascii="Arial" w:hAnsi="Arial" w:cs="Arial"/>
          <w:bCs/>
          <w:sz w:val="22"/>
          <w:szCs w:val="22"/>
          <w:lang w:val="es-ES_tradnl"/>
        </w:rPr>
        <w:t xml:space="preserve"> la información necesaria para realizar </w:t>
      </w:r>
      <w:r w:rsidR="00C64C11" w:rsidRPr="005E5626">
        <w:rPr>
          <w:rFonts w:ascii="Arial" w:hAnsi="Arial" w:cs="Arial"/>
          <w:bCs/>
          <w:sz w:val="22"/>
          <w:szCs w:val="22"/>
          <w:lang w:val="es-ES_tradnl"/>
        </w:rPr>
        <w:t>el PCR</w:t>
      </w:r>
      <w:r w:rsidRPr="005E5626">
        <w:rPr>
          <w:rFonts w:ascii="Arial" w:hAnsi="Arial" w:cs="Arial"/>
          <w:bCs/>
          <w:sz w:val="22"/>
          <w:szCs w:val="22"/>
          <w:lang w:val="es-ES_tradnl"/>
        </w:rPr>
        <w:t xml:space="preserve">), a ser completado en un plazo no mayor a 6 meses luego de alcanzar 100% o más de los desembolsos totales. Se organizarán también reuniones </w:t>
      </w:r>
      <w:r w:rsidR="00B26E7E" w:rsidRPr="005E5626">
        <w:rPr>
          <w:rFonts w:ascii="Arial" w:hAnsi="Arial" w:cs="Arial"/>
          <w:bCs/>
          <w:sz w:val="22"/>
          <w:szCs w:val="22"/>
          <w:lang w:val="es-ES_tradnl"/>
        </w:rPr>
        <w:t>semestrales</w:t>
      </w:r>
      <w:r w:rsidRPr="005E5626">
        <w:rPr>
          <w:rFonts w:ascii="Arial" w:hAnsi="Arial" w:cs="Arial"/>
          <w:bCs/>
          <w:sz w:val="22"/>
          <w:szCs w:val="22"/>
          <w:lang w:val="es-ES_tradnl"/>
        </w:rPr>
        <w:t xml:space="preserve"> de seguimiento en las que podrá presentarse y discutirse la evolución de esta información. El PCR contendrá la información necesaria pa</w:t>
      </w:r>
      <w:r w:rsidRPr="000E5072">
        <w:rPr>
          <w:rFonts w:ascii="Arial" w:hAnsi="Arial" w:cs="Arial"/>
          <w:bCs/>
          <w:sz w:val="22"/>
          <w:szCs w:val="22"/>
          <w:lang w:val="es-ES_tradnl"/>
        </w:rPr>
        <w:t xml:space="preserve">ra realizar el ejercicio ex-post descrito.  </w:t>
      </w:r>
    </w:p>
    <w:p w14:paraId="7D114288" w14:textId="68D47FB7" w:rsidR="007116B2" w:rsidRPr="000E5072" w:rsidRDefault="007116B2" w:rsidP="007116B2">
      <w:pPr>
        <w:pStyle w:val="Paragraph"/>
        <w:numPr>
          <w:ilvl w:val="1"/>
          <w:numId w:val="6"/>
        </w:numPr>
        <w:ind w:hanging="540"/>
        <w:rPr>
          <w:rFonts w:ascii="Arial" w:hAnsi="Arial" w:cs="Arial"/>
          <w:sz w:val="22"/>
          <w:szCs w:val="22"/>
          <w:lang w:val="es-ES_tradnl"/>
        </w:rPr>
      </w:pPr>
      <w:r w:rsidRPr="000E5072">
        <w:rPr>
          <w:rFonts w:ascii="Arial" w:hAnsi="Arial" w:cs="Arial"/>
          <w:sz w:val="22"/>
          <w:szCs w:val="22"/>
          <w:lang w:val="es-ES_tradnl"/>
        </w:rPr>
        <w:t xml:space="preserve">Tras la elaboración del informe final, </w:t>
      </w:r>
      <w:r w:rsidR="00F13E9C" w:rsidRPr="000E5072">
        <w:rPr>
          <w:rFonts w:ascii="Arial" w:hAnsi="Arial" w:cs="Arial"/>
          <w:sz w:val="22"/>
          <w:szCs w:val="22"/>
          <w:lang w:val="es-ES_tradnl"/>
        </w:rPr>
        <w:t>el OE y el Banco</w:t>
      </w:r>
      <w:r w:rsidRPr="000E5072">
        <w:rPr>
          <w:rFonts w:ascii="Arial" w:hAnsi="Arial" w:cs="Arial"/>
          <w:sz w:val="22"/>
          <w:szCs w:val="22"/>
          <w:lang w:val="es-ES_tradnl"/>
        </w:rPr>
        <w:t xml:space="preserve"> coordinarán la realización del ejercicio ex-post en su versión final dentro del plazo de los 6 meses siguientes luego de alcanzar el 100% de los desembolsos.</w:t>
      </w:r>
    </w:p>
    <w:p w14:paraId="1A32547E" w14:textId="558B2E69" w:rsidR="007116B2" w:rsidRPr="00DF2A3B" w:rsidRDefault="00703DA5" w:rsidP="002142CB">
      <w:pPr>
        <w:pStyle w:val="Paragraph"/>
        <w:numPr>
          <w:ilvl w:val="1"/>
          <w:numId w:val="6"/>
        </w:numPr>
        <w:ind w:hanging="540"/>
        <w:rPr>
          <w:rFonts w:ascii="Arial" w:hAnsi="Arial" w:cs="Arial"/>
          <w:sz w:val="22"/>
          <w:szCs w:val="22"/>
          <w:lang w:val="es-ES_tradnl"/>
        </w:rPr>
      </w:pPr>
      <w:r w:rsidRPr="00DF2A3B">
        <w:rPr>
          <w:rFonts w:ascii="Arial" w:hAnsi="Arial" w:cs="Arial"/>
          <w:sz w:val="22"/>
          <w:szCs w:val="22"/>
          <w:lang w:val="es-ES_tradnl"/>
        </w:rPr>
        <w:t xml:space="preserve">Los costos de las actividades de evaluación definidas para este programa se dividen entre fondos destinados para la recopilación de información y los aportes de personal del BID y el OE. Dadas las características de la evaluación propuesta, que se basa en información a recopilar durante la ejecución normal de este programa, se hace notar que para la realización del ejercicio de análisis reflexivo único recurso relevante a considerar para la realización de estos informes será el de un consultor dedicado al análisis y procesamiento de la información y la elaboración de los reportes. Entrarían pues estas responsabilidades dentro de lo previsto en el seguimiento técnico del programa y cumplimiento de los principales hitos, así como la existencia de eventuales desvíos entre las actividades programadas y ejecutadas. Se ha estimado un coste de US13.000 imputable a la evaluación del programa. </w:t>
      </w:r>
      <w:r w:rsidR="007116B2" w:rsidRPr="00DF2A3B">
        <w:rPr>
          <w:rFonts w:ascii="Arial" w:hAnsi="Arial" w:cs="Arial"/>
          <w:sz w:val="22"/>
          <w:szCs w:val="22"/>
          <w:lang w:val="es-ES_tradnl"/>
        </w:rPr>
        <w:t xml:space="preserve"> </w:t>
      </w:r>
    </w:p>
    <w:p w14:paraId="56F5625A" w14:textId="0BB26B79" w:rsidR="003A2B25" w:rsidRDefault="008F1DD8" w:rsidP="00140F01">
      <w:pPr>
        <w:pStyle w:val="Paragraph"/>
        <w:numPr>
          <w:ilvl w:val="1"/>
          <w:numId w:val="6"/>
        </w:numPr>
        <w:ind w:hanging="540"/>
        <w:rPr>
          <w:rFonts w:ascii="Arial" w:hAnsi="Arial" w:cs="Arial"/>
          <w:sz w:val="22"/>
          <w:szCs w:val="22"/>
          <w:lang w:val="es-ES_tradnl"/>
        </w:rPr>
      </w:pPr>
      <w:r w:rsidRPr="007E69D8">
        <w:rPr>
          <w:rFonts w:ascii="Arial" w:hAnsi="Arial" w:cs="Arial"/>
          <w:sz w:val="22"/>
          <w:szCs w:val="22"/>
          <w:lang w:val="es-ES_tradnl"/>
        </w:rPr>
        <w:t xml:space="preserve">Los costos del personal del Banco y del OE involucrados en el equipo de trabajo serán cubiertos por ambas instituciones. Estos no requerirán un presupuesto adicional para este fin. </w:t>
      </w:r>
      <w:r w:rsidR="00BD4BCD">
        <w:rPr>
          <w:rFonts w:ascii="Arial" w:hAnsi="Arial" w:cs="Arial"/>
          <w:sz w:val="22"/>
          <w:szCs w:val="22"/>
          <w:lang w:val="es-ES_tradnl"/>
        </w:rPr>
        <w:t>El BNP</w:t>
      </w:r>
      <w:r w:rsidRPr="007E69D8">
        <w:rPr>
          <w:rFonts w:ascii="Arial" w:hAnsi="Arial" w:cs="Arial"/>
          <w:sz w:val="22"/>
          <w:szCs w:val="22"/>
          <w:lang w:val="es-ES_tradnl"/>
        </w:rPr>
        <w:t xml:space="preserve"> es una institución bien establecida y con capacidad técnica y finan</w:t>
      </w:r>
      <w:r w:rsidRPr="00703622">
        <w:rPr>
          <w:rFonts w:ascii="Arial" w:hAnsi="Arial" w:cs="Arial"/>
          <w:sz w:val="22"/>
          <w:szCs w:val="22"/>
          <w:lang w:val="es-ES_tradnl"/>
        </w:rPr>
        <w:t>ciera para llevar a cabo los compromisos que faciliten la realización de la evaluación.</w:t>
      </w:r>
    </w:p>
    <w:p w14:paraId="56D1BF85" w14:textId="77777777" w:rsidR="00140F01" w:rsidRPr="00140F01" w:rsidRDefault="00140F01" w:rsidP="00140F01">
      <w:pPr>
        <w:pStyle w:val="Paragraph"/>
        <w:numPr>
          <w:ilvl w:val="0"/>
          <w:numId w:val="0"/>
        </w:numPr>
        <w:ind w:left="547"/>
        <w:outlineLvl w:val="9"/>
        <w:rPr>
          <w:rFonts w:ascii="Arial" w:hAnsi="Arial" w:cs="Arial"/>
          <w:sz w:val="22"/>
          <w:szCs w:val="22"/>
          <w:lang w:val="es-ES_tradnl"/>
        </w:rPr>
      </w:pPr>
    </w:p>
    <w:p w14:paraId="7B40ACA5" w14:textId="66318A53" w:rsidR="003E3F92" w:rsidRPr="00140F01" w:rsidRDefault="003E3F92" w:rsidP="00140F01">
      <w:pPr>
        <w:pStyle w:val="SecHeading"/>
        <w:tabs>
          <w:tab w:val="clear" w:pos="5400"/>
          <w:tab w:val="num" w:pos="1260"/>
        </w:tabs>
        <w:ind w:hanging="4680"/>
        <w:rPr>
          <w:rFonts w:ascii="Arial" w:hAnsi="Arial" w:cs="Arial"/>
          <w:b w:val="0"/>
          <w:bCs w:val="0"/>
          <w:sz w:val="22"/>
          <w:szCs w:val="22"/>
        </w:rPr>
      </w:pPr>
      <w:r w:rsidRPr="00140F01">
        <w:rPr>
          <w:rFonts w:ascii="Arial" w:hAnsi="Arial" w:cs="Arial"/>
          <w:sz w:val="22"/>
          <w:szCs w:val="22"/>
        </w:rPr>
        <w:t xml:space="preserve">Análisis </w:t>
      </w:r>
      <w:r w:rsidR="004972BB" w:rsidRPr="00140F01">
        <w:rPr>
          <w:rFonts w:ascii="Arial" w:hAnsi="Arial" w:cs="Arial"/>
          <w:sz w:val="22"/>
          <w:szCs w:val="22"/>
        </w:rPr>
        <w:t>cualitativo</w:t>
      </w:r>
    </w:p>
    <w:p w14:paraId="264D821D" w14:textId="4073D8D1" w:rsidR="002C7253" w:rsidRPr="00703622" w:rsidRDefault="004F20DE" w:rsidP="00B214D8">
      <w:pPr>
        <w:pStyle w:val="Paragraph"/>
        <w:numPr>
          <w:ilvl w:val="1"/>
          <w:numId w:val="6"/>
        </w:numPr>
        <w:ind w:hanging="540"/>
        <w:rPr>
          <w:rFonts w:ascii="Arial" w:hAnsi="Arial" w:cs="Arial"/>
          <w:sz w:val="22"/>
          <w:szCs w:val="22"/>
          <w:lang w:val="es-ES_tradnl"/>
        </w:rPr>
      </w:pPr>
      <w:r w:rsidRPr="00703622">
        <w:rPr>
          <w:rFonts w:ascii="Arial" w:hAnsi="Arial" w:cs="Arial"/>
          <w:sz w:val="22"/>
          <w:szCs w:val="22"/>
          <w:lang w:val="es-ES_tradnl"/>
        </w:rPr>
        <w:t>Dentro de la propuesta de análisis cualitativo que se incluirá en el PCR, se busca contestar a las siguientes preguntas: (i) cuáles fueron las principales debilidades y los retos encontrados para la ejecución del proyecto; (ii) cuáles fueron las medidas implementadas para subsanar las debilidades y retos de ejecución; (iii) cuán adecuado fue el diseño de la operación para atender las particularidades de la emergencia causada por el COVID-19; y (iv) qué lecciones aprendidas y propuestas se generaron de la ejecución del proyecto.</w:t>
      </w:r>
    </w:p>
    <w:p w14:paraId="3092B736" w14:textId="621F09DD" w:rsidR="00B93FB1" w:rsidRPr="00140F01" w:rsidRDefault="00B93FB1" w:rsidP="004E271A">
      <w:pPr>
        <w:pStyle w:val="ListParagraph"/>
        <w:spacing w:before="240" w:after="120"/>
        <w:ind w:left="360"/>
        <w:jc w:val="center"/>
        <w:rPr>
          <w:rFonts w:ascii="Arial" w:hAnsi="Arial" w:cs="Arial"/>
          <w:b/>
          <w:sz w:val="18"/>
          <w:szCs w:val="18"/>
        </w:rPr>
      </w:pPr>
      <w:r w:rsidRPr="00140F01">
        <w:rPr>
          <w:rFonts w:ascii="Arial" w:hAnsi="Arial" w:cs="Arial"/>
          <w:b/>
          <w:sz w:val="18"/>
          <w:szCs w:val="18"/>
        </w:rPr>
        <w:t xml:space="preserve">Cuadro </w:t>
      </w:r>
      <w:r w:rsidR="00C4738C" w:rsidRPr="00140F01">
        <w:rPr>
          <w:rFonts w:ascii="Arial" w:hAnsi="Arial" w:cs="Arial"/>
          <w:b/>
          <w:sz w:val="18"/>
          <w:szCs w:val="18"/>
        </w:rPr>
        <w:t>3</w:t>
      </w:r>
      <w:r w:rsidRPr="00140F01">
        <w:rPr>
          <w:rFonts w:ascii="Arial" w:hAnsi="Arial" w:cs="Arial"/>
          <w:b/>
          <w:sz w:val="18"/>
          <w:szCs w:val="18"/>
        </w:rPr>
        <w:t>. Plan de trabajo para las actividades de evaluación</w:t>
      </w:r>
    </w:p>
    <w:tbl>
      <w:tblPr>
        <w:tblW w:w="8640" w:type="dxa"/>
        <w:jc w:val="center"/>
        <w:tblLayout w:type="fixed"/>
        <w:tblLook w:val="04A0" w:firstRow="1" w:lastRow="0" w:firstColumn="1" w:lastColumn="0" w:noHBand="0" w:noVBand="1"/>
      </w:tblPr>
      <w:tblGrid>
        <w:gridCol w:w="2870"/>
        <w:gridCol w:w="640"/>
        <w:gridCol w:w="620"/>
        <w:gridCol w:w="630"/>
        <w:gridCol w:w="1360"/>
        <w:gridCol w:w="900"/>
        <w:gridCol w:w="1620"/>
      </w:tblGrid>
      <w:tr w:rsidR="00B822DC" w:rsidRPr="004C0382" w14:paraId="2F024B0F" w14:textId="77777777" w:rsidTr="0033149E">
        <w:trPr>
          <w:trHeight w:hRule="exact" w:val="576"/>
          <w:tblHeader/>
          <w:jc w:val="center"/>
        </w:trPr>
        <w:tc>
          <w:tcPr>
            <w:tcW w:w="287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5C2FCA8" w14:textId="77777777" w:rsidR="00B822DC" w:rsidRPr="00140F01" w:rsidRDefault="00B822DC" w:rsidP="0033149E">
            <w:pPr>
              <w:tabs>
                <w:tab w:val="left" w:pos="720"/>
              </w:tabs>
              <w:spacing w:after="0" w:line="240" w:lineRule="auto"/>
              <w:jc w:val="center"/>
              <w:rPr>
                <w:rFonts w:ascii="Arial" w:hAnsi="Arial" w:cs="Arial"/>
                <w:b/>
                <w:bCs/>
                <w:color w:val="FFFFFF" w:themeColor="background1"/>
                <w:sz w:val="18"/>
                <w:szCs w:val="18"/>
                <w:lang w:val="en-US"/>
              </w:rPr>
            </w:pPr>
            <w:r w:rsidRPr="00140F01">
              <w:rPr>
                <w:rFonts w:ascii="Arial" w:hAnsi="Arial" w:cs="Arial"/>
                <w:b/>
                <w:bCs/>
                <w:color w:val="FFFFFF" w:themeColor="background1"/>
                <w:sz w:val="18"/>
                <w:szCs w:val="18"/>
                <w:lang w:val="es-ES"/>
              </w:rPr>
              <w:t>Actividades y Productos</w:t>
            </w:r>
          </w:p>
        </w:tc>
        <w:tc>
          <w:tcPr>
            <w:tcW w:w="6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64639B2F" w14:textId="77777777" w:rsidR="00B822DC" w:rsidRPr="0033149E" w:rsidRDefault="00B822DC" w:rsidP="0033149E">
            <w:pPr>
              <w:tabs>
                <w:tab w:val="left" w:pos="720"/>
              </w:tabs>
              <w:spacing w:after="0" w:line="240" w:lineRule="auto"/>
              <w:jc w:val="center"/>
              <w:rPr>
                <w:rFonts w:ascii="Arial" w:hAnsi="Arial" w:cs="Arial"/>
                <w:b/>
                <w:color w:val="FFFFFF" w:themeColor="background1"/>
                <w:sz w:val="18"/>
                <w:szCs w:val="18"/>
                <w:lang w:val="es-ES"/>
              </w:rPr>
            </w:pPr>
            <w:r w:rsidRPr="0033149E">
              <w:rPr>
                <w:rFonts w:ascii="Arial" w:eastAsia="Times New Roman" w:hAnsi="Arial" w:cs="Arial"/>
                <w:b/>
                <w:color w:val="FFFFFF" w:themeColor="background1"/>
                <w:sz w:val="18"/>
                <w:szCs w:val="18"/>
                <w:lang w:val="es-ES" w:eastAsia="en-US"/>
              </w:rPr>
              <w:t>Año 1</w:t>
            </w:r>
          </w:p>
        </w:tc>
        <w:tc>
          <w:tcPr>
            <w:tcW w:w="62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C455854" w14:textId="1F586167" w:rsidR="00B822DC" w:rsidRPr="00140F01" w:rsidRDefault="00B822DC" w:rsidP="0033149E">
            <w:pPr>
              <w:tabs>
                <w:tab w:val="left" w:pos="720"/>
              </w:tabs>
              <w:spacing w:after="0" w:line="240" w:lineRule="auto"/>
              <w:jc w:val="center"/>
              <w:rPr>
                <w:rFonts w:ascii="Arial" w:hAnsi="Arial" w:cs="Arial"/>
                <w:b/>
                <w:bCs/>
                <w:color w:val="FFFFFF" w:themeColor="background1"/>
                <w:sz w:val="18"/>
                <w:szCs w:val="18"/>
                <w:lang w:val="es-ES"/>
              </w:rPr>
            </w:pPr>
            <w:r w:rsidRPr="00140F01">
              <w:rPr>
                <w:rFonts w:ascii="Arial" w:hAnsi="Arial" w:cs="Arial"/>
                <w:b/>
                <w:bCs/>
                <w:color w:val="FFFFFF" w:themeColor="background1"/>
                <w:sz w:val="18"/>
                <w:szCs w:val="18"/>
                <w:lang w:val="es-ES"/>
              </w:rPr>
              <w:t>Año 2</w:t>
            </w:r>
          </w:p>
        </w:tc>
        <w:tc>
          <w:tcPr>
            <w:tcW w:w="63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CB2AA9C" w14:textId="36156BA5" w:rsidR="00B822DC" w:rsidRPr="00140F01" w:rsidRDefault="00B822DC" w:rsidP="0033149E">
            <w:pPr>
              <w:tabs>
                <w:tab w:val="left" w:pos="720"/>
              </w:tabs>
              <w:spacing w:after="0" w:line="240" w:lineRule="auto"/>
              <w:jc w:val="center"/>
              <w:rPr>
                <w:rFonts w:ascii="Arial" w:hAnsi="Arial" w:cs="Arial"/>
                <w:b/>
                <w:bCs/>
                <w:color w:val="FFFFFF" w:themeColor="background1"/>
                <w:sz w:val="18"/>
                <w:szCs w:val="18"/>
                <w:lang w:val="es-ES"/>
              </w:rPr>
            </w:pPr>
            <w:r w:rsidRPr="00140F01">
              <w:rPr>
                <w:rFonts w:ascii="Arial" w:hAnsi="Arial" w:cs="Arial"/>
                <w:b/>
                <w:bCs/>
                <w:color w:val="FFFFFF" w:themeColor="background1"/>
                <w:sz w:val="18"/>
                <w:szCs w:val="18"/>
                <w:lang w:val="es-ES"/>
              </w:rPr>
              <w:t>Año 3</w:t>
            </w:r>
          </w:p>
        </w:tc>
        <w:tc>
          <w:tcPr>
            <w:tcW w:w="136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6B5A6AD3" w14:textId="4EB5BE31" w:rsidR="00B822DC" w:rsidRPr="00140F01" w:rsidRDefault="00B822DC" w:rsidP="0033149E">
            <w:pPr>
              <w:tabs>
                <w:tab w:val="left" w:pos="720"/>
              </w:tabs>
              <w:spacing w:after="0" w:line="240" w:lineRule="auto"/>
              <w:jc w:val="center"/>
              <w:rPr>
                <w:rFonts w:ascii="Arial" w:hAnsi="Arial" w:cs="Arial"/>
                <w:b/>
                <w:bCs/>
                <w:color w:val="FFFFFF" w:themeColor="background1"/>
                <w:sz w:val="18"/>
                <w:szCs w:val="18"/>
                <w:lang w:val="en-US"/>
              </w:rPr>
            </w:pPr>
            <w:r w:rsidRPr="00140F01">
              <w:rPr>
                <w:rFonts w:ascii="Arial" w:hAnsi="Arial" w:cs="Arial"/>
                <w:b/>
                <w:bCs/>
                <w:color w:val="FFFFFF" w:themeColor="background1"/>
                <w:sz w:val="18"/>
                <w:szCs w:val="18"/>
                <w:lang w:val="es-ES"/>
              </w:rPr>
              <w:t>Responsable</w:t>
            </w:r>
          </w:p>
        </w:tc>
        <w:tc>
          <w:tcPr>
            <w:tcW w:w="900" w:type="dxa"/>
            <w:tcBorders>
              <w:top w:val="single" w:sz="8" w:space="0" w:color="000000"/>
              <w:left w:val="nil"/>
              <w:bottom w:val="single" w:sz="8" w:space="0" w:color="000000"/>
              <w:right w:val="single" w:sz="8" w:space="0" w:color="000000"/>
            </w:tcBorders>
            <w:shd w:val="clear" w:color="auto" w:fill="AEAAAA" w:themeFill="background2" w:themeFillShade="BF"/>
            <w:vAlign w:val="center"/>
            <w:hideMark/>
          </w:tcPr>
          <w:p w14:paraId="38D451CA" w14:textId="7197946C" w:rsidR="00B822DC" w:rsidRPr="00140F01" w:rsidRDefault="00B822DC" w:rsidP="0033149E">
            <w:pPr>
              <w:tabs>
                <w:tab w:val="left" w:pos="720"/>
              </w:tabs>
              <w:spacing w:after="0" w:line="240" w:lineRule="auto"/>
              <w:jc w:val="center"/>
              <w:rPr>
                <w:rFonts w:ascii="Arial" w:hAnsi="Arial" w:cs="Arial"/>
                <w:b/>
                <w:bCs/>
                <w:color w:val="FFFFFF" w:themeColor="background1"/>
                <w:sz w:val="18"/>
                <w:szCs w:val="18"/>
                <w:lang w:val="en-US"/>
              </w:rPr>
            </w:pPr>
            <w:r w:rsidRPr="00140F01">
              <w:rPr>
                <w:rFonts w:ascii="Arial" w:hAnsi="Arial" w:cs="Arial"/>
                <w:b/>
                <w:bCs/>
                <w:color w:val="FFFFFF" w:themeColor="background1"/>
                <w:sz w:val="18"/>
                <w:szCs w:val="18"/>
                <w:lang w:val="es-ES"/>
              </w:rPr>
              <w:t>Costo</w:t>
            </w:r>
            <w:r w:rsidRPr="00140F01">
              <w:rPr>
                <w:rFonts w:ascii="Arial" w:hAnsi="Arial" w:cs="Arial"/>
                <w:b/>
                <w:bCs/>
                <w:color w:val="FFFFFF" w:themeColor="background1"/>
                <w:sz w:val="18"/>
                <w:szCs w:val="18"/>
                <w:lang w:val="en-US"/>
              </w:rPr>
              <w:t xml:space="preserve"> US$</w:t>
            </w:r>
          </w:p>
        </w:tc>
        <w:tc>
          <w:tcPr>
            <w:tcW w:w="162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45293F1" w14:textId="77777777" w:rsidR="00B822DC" w:rsidRPr="00140F01" w:rsidRDefault="00B822DC" w:rsidP="0033149E">
            <w:pPr>
              <w:tabs>
                <w:tab w:val="left" w:pos="720"/>
              </w:tabs>
              <w:spacing w:after="0" w:line="240" w:lineRule="auto"/>
              <w:jc w:val="center"/>
              <w:rPr>
                <w:rFonts w:ascii="Arial" w:hAnsi="Arial" w:cs="Arial"/>
                <w:b/>
                <w:bCs/>
                <w:color w:val="FFFFFF" w:themeColor="background1"/>
                <w:sz w:val="18"/>
                <w:szCs w:val="18"/>
                <w:lang w:val="en-US"/>
              </w:rPr>
            </w:pPr>
            <w:r w:rsidRPr="00140F01">
              <w:rPr>
                <w:rFonts w:ascii="Arial" w:hAnsi="Arial" w:cs="Arial"/>
                <w:b/>
                <w:bCs/>
                <w:color w:val="FFFFFF" w:themeColor="background1"/>
                <w:sz w:val="18"/>
                <w:szCs w:val="18"/>
                <w:lang w:val="es-ES"/>
              </w:rPr>
              <w:t>Financiamiento</w:t>
            </w:r>
          </w:p>
        </w:tc>
      </w:tr>
      <w:tr w:rsidR="00FC4554" w:rsidRPr="004C0382" w14:paraId="00768174" w14:textId="77777777" w:rsidTr="0033149E">
        <w:trPr>
          <w:trHeight w:hRule="exact" w:val="288"/>
          <w:jc w:val="center"/>
        </w:trPr>
        <w:tc>
          <w:tcPr>
            <w:tcW w:w="287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06555F" w14:textId="0AD339DA" w:rsidR="00FC4554" w:rsidRPr="004C0382" w:rsidRDefault="00FC4554" w:rsidP="00FC4554">
            <w:pPr>
              <w:rPr>
                <w:rFonts w:ascii="Arial" w:hAnsi="Arial" w:cs="Arial"/>
                <w:color w:val="000000"/>
                <w:sz w:val="20"/>
                <w:lang w:val="es-ES"/>
              </w:rPr>
            </w:pPr>
            <w:r w:rsidRPr="004C0382">
              <w:rPr>
                <w:rFonts w:ascii="Arial" w:hAnsi="Arial" w:cs="Arial"/>
                <w:color w:val="000000"/>
                <w:sz w:val="20"/>
                <w:lang w:val="es-ES"/>
              </w:rPr>
              <w:t>Evaluación reflexiva</w:t>
            </w:r>
          </w:p>
        </w:tc>
        <w:tc>
          <w:tcPr>
            <w:tcW w:w="640" w:type="dxa"/>
            <w:tcBorders>
              <w:top w:val="single" w:sz="8" w:space="0" w:color="000000"/>
              <w:left w:val="single" w:sz="8" w:space="0" w:color="000000"/>
              <w:bottom w:val="single" w:sz="8" w:space="0" w:color="000000"/>
              <w:right w:val="single" w:sz="8" w:space="0" w:color="000000"/>
            </w:tcBorders>
            <w:vAlign w:val="center"/>
          </w:tcPr>
          <w:p w14:paraId="3C05C599" w14:textId="77777777" w:rsidR="00FC4554" w:rsidRPr="004C0382" w:rsidRDefault="00FC4554" w:rsidP="00FC4554">
            <w:pPr>
              <w:rPr>
                <w:rFonts w:ascii="Arial" w:hAnsi="Arial" w:cs="Arial"/>
                <w:color w:val="000000"/>
                <w:sz w:val="20"/>
                <w:lang w:val="es-ES"/>
              </w:rPr>
            </w:pPr>
          </w:p>
        </w:tc>
        <w:tc>
          <w:tcPr>
            <w:tcW w:w="620" w:type="dxa"/>
            <w:tcBorders>
              <w:top w:val="single" w:sz="8" w:space="0" w:color="000000"/>
              <w:left w:val="single" w:sz="8" w:space="0" w:color="000000"/>
              <w:bottom w:val="single" w:sz="8" w:space="0" w:color="000000"/>
              <w:right w:val="single" w:sz="8" w:space="0" w:color="000000"/>
            </w:tcBorders>
            <w:vAlign w:val="center"/>
          </w:tcPr>
          <w:p w14:paraId="447A5F3D" w14:textId="77777777" w:rsidR="00FC4554" w:rsidRPr="004C0382" w:rsidRDefault="00FC4554" w:rsidP="0033149E">
            <w:pPr>
              <w:ind w:left="-648" w:right="256"/>
              <w:jc w:val="center"/>
              <w:rPr>
                <w:rFonts w:ascii="Arial" w:hAnsi="Arial" w:cs="Arial"/>
                <w:color w:val="000000"/>
                <w:sz w:val="20"/>
                <w:lang w:val="es-ES"/>
              </w:rPr>
            </w:pPr>
            <w:r w:rsidRPr="004C0382">
              <w:rPr>
                <w:rFonts w:ascii="Arial" w:hAnsi="Arial" w:cs="Arial"/>
                <w:color w:val="000000"/>
                <w:sz w:val="20"/>
                <w:lang w:val="es-ES"/>
              </w:rPr>
              <w:t>X</w:t>
            </w:r>
          </w:p>
        </w:tc>
        <w:tc>
          <w:tcPr>
            <w:tcW w:w="630" w:type="dxa"/>
            <w:tcBorders>
              <w:top w:val="single" w:sz="8" w:space="0" w:color="000000"/>
              <w:left w:val="single" w:sz="8" w:space="0" w:color="000000"/>
              <w:bottom w:val="single" w:sz="8" w:space="0" w:color="000000"/>
              <w:right w:val="single" w:sz="8" w:space="0" w:color="000000"/>
            </w:tcBorders>
          </w:tcPr>
          <w:p w14:paraId="5DA09FE8" w14:textId="392EC0C0" w:rsidR="00FC4554" w:rsidRPr="004C0382" w:rsidRDefault="00FC4554" w:rsidP="0033149E">
            <w:pPr>
              <w:jc w:val="center"/>
              <w:rPr>
                <w:rFonts w:ascii="Arial" w:hAnsi="Arial" w:cs="Arial"/>
                <w:color w:val="000000"/>
                <w:sz w:val="20"/>
                <w:lang w:val="es-ES"/>
              </w:rPr>
            </w:pPr>
            <w:r>
              <w:rPr>
                <w:rFonts w:ascii="Arial" w:hAnsi="Arial" w:cs="Arial"/>
                <w:color w:val="000000"/>
                <w:sz w:val="20"/>
                <w:lang w:val="es-ES"/>
              </w:rPr>
              <w:t>X</w:t>
            </w:r>
          </w:p>
        </w:tc>
        <w:tc>
          <w:tcPr>
            <w:tcW w:w="13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5A48D24" w14:textId="2B0D1385" w:rsidR="00FC4554" w:rsidRPr="004C0382" w:rsidRDefault="00FC4554" w:rsidP="0033149E">
            <w:pPr>
              <w:jc w:val="center"/>
              <w:rPr>
                <w:rFonts w:ascii="Arial" w:hAnsi="Arial" w:cs="Arial"/>
                <w:color w:val="000000"/>
                <w:sz w:val="20"/>
                <w:lang w:val="en-US"/>
              </w:rPr>
            </w:pPr>
            <w:r w:rsidRPr="004C0382">
              <w:rPr>
                <w:rFonts w:ascii="Arial" w:hAnsi="Arial" w:cs="Arial"/>
                <w:color w:val="000000"/>
                <w:sz w:val="20"/>
                <w:lang w:val="es-ES"/>
              </w:rPr>
              <w:t>BID/OE</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34C759B9" w14:textId="3971754A" w:rsidR="00FC4554" w:rsidRPr="004C0382" w:rsidRDefault="00FC4554" w:rsidP="0033149E">
            <w:pPr>
              <w:ind w:left="-17"/>
              <w:jc w:val="center"/>
              <w:rPr>
                <w:rFonts w:ascii="Arial" w:hAnsi="Arial" w:cs="Arial"/>
                <w:color w:val="000000"/>
                <w:sz w:val="20"/>
                <w:lang w:val="en-US"/>
              </w:rPr>
            </w:pPr>
            <w:r w:rsidRPr="004C0382">
              <w:rPr>
                <w:rFonts w:ascii="Arial" w:hAnsi="Arial" w:cs="Arial"/>
                <w:color w:val="000000"/>
                <w:sz w:val="20"/>
                <w:lang w:val="es-BO"/>
              </w:rPr>
              <w:t>8.000</w:t>
            </w:r>
          </w:p>
        </w:tc>
        <w:tc>
          <w:tcPr>
            <w:tcW w:w="1620" w:type="dxa"/>
            <w:tcBorders>
              <w:top w:val="single" w:sz="8" w:space="0" w:color="000000"/>
              <w:left w:val="nil"/>
              <w:bottom w:val="single" w:sz="8" w:space="0" w:color="000000"/>
              <w:right w:val="single" w:sz="8" w:space="0" w:color="000000"/>
            </w:tcBorders>
            <w:shd w:val="clear" w:color="auto" w:fill="auto"/>
            <w:vAlign w:val="center"/>
            <w:hideMark/>
          </w:tcPr>
          <w:p w14:paraId="5EC9D829" w14:textId="6669D8DF" w:rsidR="00FC4554" w:rsidRPr="004C0382" w:rsidRDefault="00FC4554" w:rsidP="0033149E">
            <w:pPr>
              <w:jc w:val="center"/>
              <w:rPr>
                <w:rFonts w:ascii="Arial" w:hAnsi="Arial" w:cs="Arial"/>
                <w:color w:val="000000"/>
                <w:sz w:val="20"/>
                <w:lang w:val="en-US"/>
              </w:rPr>
            </w:pPr>
            <w:r w:rsidRPr="007E69D8">
              <w:rPr>
                <w:rFonts w:ascii="Arial" w:hAnsi="Arial" w:cs="Arial"/>
                <w:color w:val="000000"/>
                <w:sz w:val="20"/>
                <w:lang w:val="es-ES_tradnl"/>
              </w:rPr>
              <w:t>BID/OE</w:t>
            </w:r>
          </w:p>
        </w:tc>
      </w:tr>
      <w:tr w:rsidR="00FC4554" w:rsidRPr="004C0382" w14:paraId="407ED6FB" w14:textId="77777777" w:rsidTr="0033149E">
        <w:trPr>
          <w:trHeight w:hRule="exact" w:val="288"/>
          <w:jc w:val="center"/>
        </w:trPr>
        <w:tc>
          <w:tcPr>
            <w:tcW w:w="28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186A70" w14:textId="4974220E" w:rsidR="00FC4554" w:rsidRPr="004C0382" w:rsidRDefault="00FC4554" w:rsidP="00FC4554">
            <w:pPr>
              <w:rPr>
                <w:rFonts w:ascii="Arial" w:hAnsi="Arial" w:cs="Arial"/>
                <w:color w:val="000000"/>
                <w:sz w:val="20"/>
                <w:lang w:val="es-ES"/>
              </w:rPr>
            </w:pPr>
            <w:r w:rsidRPr="004C0382">
              <w:rPr>
                <w:rFonts w:ascii="Arial" w:hAnsi="Arial" w:cs="Arial"/>
                <w:color w:val="000000"/>
                <w:sz w:val="20"/>
                <w:lang w:val="es-ES"/>
              </w:rPr>
              <w:t>Análisis cualitativo</w:t>
            </w:r>
          </w:p>
        </w:tc>
        <w:tc>
          <w:tcPr>
            <w:tcW w:w="640" w:type="dxa"/>
            <w:tcBorders>
              <w:top w:val="single" w:sz="8" w:space="0" w:color="000000"/>
              <w:left w:val="single" w:sz="8" w:space="0" w:color="000000"/>
              <w:bottom w:val="single" w:sz="8" w:space="0" w:color="000000"/>
              <w:right w:val="single" w:sz="8" w:space="0" w:color="000000"/>
            </w:tcBorders>
            <w:vAlign w:val="center"/>
          </w:tcPr>
          <w:p w14:paraId="58B7FE16" w14:textId="77777777" w:rsidR="00FC4554" w:rsidRPr="004C0382" w:rsidRDefault="00FC4554" w:rsidP="00FC4554">
            <w:pPr>
              <w:rPr>
                <w:rFonts w:ascii="Arial" w:hAnsi="Arial" w:cs="Arial"/>
                <w:color w:val="000000"/>
                <w:sz w:val="20"/>
                <w:lang w:val="es-ES"/>
              </w:rPr>
            </w:pPr>
          </w:p>
        </w:tc>
        <w:tc>
          <w:tcPr>
            <w:tcW w:w="620" w:type="dxa"/>
            <w:tcBorders>
              <w:top w:val="single" w:sz="8" w:space="0" w:color="000000"/>
              <w:left w:val="single" w:sz="8" w:space="0" w:color="000000"/>
              <w:bottom w:val="single" w:sz="8" w:space="0" w:color="000000"/>
              <w:right w:val="single" w:sz="8" w:space="0" w:color="000000"/>
            </w:tcBorders>
            <w:vAlign w:val="center"/>
          </w:tcPr>
          <w:p w14:paraId="259B8310" w14:textId="77777777" w:rsidR="00FC4554" w:rsidRPr="004C0382" w:rsidRDefault="00FC4554" w:rsidP="0033149E">
            <w:pPr>
              <w:ind w:left="-648" w:right="256"/>
              <w:jc w:val="center"/>
              <w:rPr>
                <w:rFonts w:ascii="Arial" w:hAnsi="Arial" w:cs="Arial"/>
                <w:color w:val="000000"/>
                <w:sz w:val="20"/>
                <w:lang w:val="es-ES"/>
              </w:rPr>
            </w:pPr>
            <w:r w:rsidRPr="004C0382">
              <w:rPr>
                <w:rFonts w:ascii="Arial" w:hAnsi="Arial" w:cs="Arial"/>
                <w:color w:val="000000"/>
                <w:sz w:val="20"/>
                <w:lang w:val="es-ES"/>
              </w:rPr>
              <w:t>X</w:t>
            </w:r>
          </w:p>
        </w:tc>
        <w:tc>
          <w:tcPr>
            <w:tcW w:w="630" w:type="dxa"/>
            <w:tcBorders>
              <w:top w:val="single" w:sz="8" w:space="0" w:color="000000"/>
              <w:left w:val="single" w:sz="8" w:space="0" w:color="000000"/>
              <w:bottom w:val="single" w:sz="8" w:space="0" w:color="000000"/>
              <w:right w:val="single" w:sz="8" w:space="0" w:color="000000"/>
            </w:tcBorders>
          </w:tcPr>
          <w:p w14:paraId="407E7F9F" w14:textId="51A56B34" w:rsidR="00FC4554" w:rsidRPr="004C0382" w:rsidRDefault="00FC4554" w:rsidP="0033149E">
            <w:pPr>
              <w:jc w:val="center"/>
              <w:rPr>
                <w:rFonts w:ascii="Arial" w:hAnsi="Arial" w:cs="Arial"/>
                <w:color w:val="000000"/>
                <w:sz w:val="20"/>
                <w:lang w:val="es-ES"/>
              </w:rPr>
            </w:pPr>
            <w:r>
              <w:rPr>
                <w:rFonts w:ascii="Arial" w:hAnsi="Arial" w:cs="Arial"/>
                <w:color w:val="000000"/>
                <w:sz w:val="20"/>
                <w:lang w:val="es-ES"/>
              </w:rPr>
              <w:t>X</w:t>
            </w:r>
          </w:p>
        </w:tc>
        <w:tc>
          <w:tcPr>
            <w:tcW w:w="13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FFB3F5" w14:textId="1194F6ED" w:rsidR="00FC4554" w:rsidRPr="004C0382" w:rsidRDefault="00FC4554" w:rsidP="0033149E">
            <w:pPr>
              <w:jc w:val="center"/>
              <w:rPr>
                <w:rFonts w:ascii="Arial" w:hAnsi="Arial" w:cs="Arial"/>
                <w:color w:val="000000"/>
                <w:sz w:val="20"/>
                <w:lang w:val="es-ES"/>
              </w:rPr>
            </w:pPr>
            <w:r w:rsidRPr="004C0382">
              <w:rPr>
                <w:rFonts w:ascii="Arial" w:hAnsi="Arial" w:cs="Arial"/>
                <w:color w:val="000000"/>
                <w:sz w:val="20"/>
                <w:lang w:val="es-ES"/>
              </w:rPr>
              <w:t>BID/OE</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41A7B238" w14:textId="77777777" w:rsidR="00FC4554" w:rsidRPr="004C0382" w:rsidRDefault="00FC4554" w:rsidP="0033149E">
            <w:pPr>
              <w:ind w:left="-17"/>
              <w:jc w:val="center"/>
              <w:rPr>
                <w:rFonts w:ascii="Arial" w:hAnsi="Arial" w:cs="Arial"/>
                <w:color w:val="000000"/>
                <w:sz w:val="20"/>
                <w:lang w:val="es-BO"/>
              </w:rPr>
            </w:pPr>
            <w:r w:rsidRPr="004C0382">
              <w:rPr>
                <w:rFonts w:ascii="Arial" w:hAnsi="Arial" w:cs="Arial"/>
                <w:color w:val="000000"/>
                <w:sz w:val="20"/>
                <w:lang w:val="es-BO"/>
              </w:rPr>
              <w:t>5.000</w:t>
            </w:r>
          </w:p>
        </w:tc>
        <w:tc>
          <w:tcPr>
            <w:tcW w:w="1620" w:type="dxa"/>
            <w:tcBorders>
              <w:top w:val="single" w:sz="8" w:space="0" w:color="000000"/>
              <w:left w:val="nil"/>
              <w:bottom w:val="single" w:sz="8" w:space="0" w:color="000000"/>
              <w:right w:val="single" w:sz="8" w:space="0" w:color="000000"/>
            </w:tcBorders>
            <w:shd w:val="clear" w:color="auto" w:fill="auto"/>
            <w:vAlign w:val="center"/>
          </w:tcPr>
          <w:p w14:paraId="596CDD9E" w14:textId="142D093E" w:rsidR="00FC4554" w:rsidRPr="004C0382" w:rsidRDefault="00FC4554" w:rsidP="0033149E">
            <w:pPr>
              <w:jc w:val="center"/>
              <w:rPr>
                <w:rFonts w:ascii="Arial" w:hAnsi="Arial" w:cs="Arial"/>
                <w:color w:val="000000"/>
                <w:sz w:val="20"/>
                <w:lang w:val="es-BO"/>
              </w:rPr>
            </w:pPr>
            <w:r w:rsidRPr="007E69D8">
              <w:rPr>
                <w:rFonts w:ascii="Arial" w:hAnsi="Arial" w:cs="Arial"/>
                <w:color w:val="000000"/>
                <w:sz w:val="20"/>
                <w:lang w:val="es-ES_tradnl"/>
              </w:rPr>
              <w:t>BID/OE</w:t>
            </w:r>
          </w:p>
        </w:tc>
      </w:tr>
      <w:tr w:rsidR="00FC4554" w14:paraId="4484EDE1" w14:textId="77777777" w:rsidTr="0033149E">
        <w:trPr>
          <w:trHeight w:hRule="exact" w:val="288"/>
          <w:jc w:val="center"/>
        </w:trPr>
        <w:tc>
          <w:tcPr>
            <w:tcW w:w="28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C6927F" w14:textId="77777777" w:rsidR="00FC4554" w:rsidRPr="004C0382" w:rsidRDefault="00FC4554" w:rsidP="00FC4554">
            <w:pPr>
              <w:rPr>
                <w:rFonts w:ascii="Arial" w:hAnsi="Arial" w:cs="Arial"/>
                <w:b/>
                <w:color w:val="000000"/>
                <w:sz w:val="20"/>
                <w:lang w:val="es-ES"/>
              </w:rPr>
            </w:pPr>
            <w:r w:rsidRPr="004C0382">
              <w:rPr>
                <w:rFonts w:ascii="Arial" w:hAnsi="Arial" w:cs="Arial"/>
                <w:b/>
                <w:color w:val="000000"/>
                <w:sz w:val="20"/>
                <w:lang w:val="es-ES"/>
              </w:rPr>
              <w:t>Total</w:t>
            </w:r>
          </w:p>
        </w:tc>
        <w:tc>
          <w:tcPr>
            <w:tcW w:w="640" w:type="dxa"/>
            <w:tcBorders>
              <w:top w:val="single" w:sz="8" w:space="0" w:color="000000"/>
              <w:left w:val="single" w:sz="8" w:space="0" w:color="000000"/>
              <w:bottom w:val="single" w:sz="8" w:space="0" w:color="000000"/>
              <w:right w:val="single" w:sz="8" w:space="0" w:color="000000"/>
            </w:tcBorders>
            <w:vAlign w:val="center"/>
          </w:tcPr>
          <w:p w14:paraId="0DEF0E12" w14:textId="77777777" w:rsidR="00FC4554" w:rsidRPr="004C0382" w:rsidRDefault="00FC4554" w:rsidP="00FC4554">
            <w:pPr>
              <w:rPr>
                <w:rFonts w:ascii="Arial" w:hAnsi="Arial" w:cs="Arial"/>
                <w:b/>
                <w:color w:val="000000"/>
                <w:sz w:val="20"/>
                <w:lang w:val="es-ES"/>
              </w:rPr>
            </w:pPr>
          </w:p>
        </w:tc>
        <w:tc>
          <w:tcPr>
            <w:tcW w:w="620" w:type="dxa"/>
            <w:tcBorders>
              <w:top w:val="single" w:sz="8" w:space="0" w:color="000000"/>
              <w:left w:val="single" w:sz="8" w:space="0" w:color="000000"/>
              <w:bottom w:val="single" w:sz="8" w:space="0" w:color="000000"/>
              <w:right w:val="single" w:sz="8" w:space="0" w:color="000000"/>
            </w:tcBorders>
            <w:vAlign w:val="center"/>
          </w:tcPr>
          <w:p w14:paraId="26FB8CA7" w14:textId="77777777" w:rsidR="00FC4554" w:rsidRPr="004C0382" w:rsidRDefault="00FC4554" w:rsidP="0033149E">
            <w:pPr>
              <w:jc w:val="center"/>
              <w:rPr>
                <w:rFonts w:ascii="Arial" w:hAnsi="Arial" w:cs="Arial"/>
                <w:b/>
                <w:color w:val="000000"/>
                <w:sz w:val="20"/>
                <w:lang w:val="es-ES"/>
              </w:rPr>
            </w:pPr>
          </w:p>
        </w:tc>
        <w:tc>
          <w:tcPr>
            <w:tcW w:w="630" w:type="dxa"/>
            <w:tcBorders>
              <w:top w:val="single" w:sz="8" w:space="0" w:color="000000"/>
              <w:left w:val="single" w:sz="8" w:space="0" w:color="000000"/>
              <w:bottom w:val="single" w:sz="8" w:space="0" w:color="000000"/>
              <w:right w:val="single" w:sz="8" w:space="0" w:color="000000"/>
            </w:tcBorders>
          </w:tcPr>
          <w:p w14:paraId="42AF715D" w14:textId="77777777" w:rsidR="00FC4554" w:rsidRPr="004C0382" w:rsidRDefault="00FC4554" w:rsidP="0033149E">
            <w:pPr>
              <w:jc w:val="center"/>
              <w:rPr>
                <w:rFonts w:ascii="Arial" w:hAnsi="Arial" w:cs="Arial"/>
                <w:b/>
                <w:color w:val="000000"/>
                <w:sz w:val="20"/>
                <w:lang w:val="es-ES"/>
              </w:rPr>
            </w:pPr>
          </w:p>
        </w:tc>
        <w:tc>
          <w:tcPr>
            <w:tcW w:w="13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4F9A6B" w14:textId="67AE95F5" w:rsidR="00FC4554" w:rsidRPr="004C0382" w:rsidRDefault="00FC4554" w:rsidP="0033149E">
            <w:pPr>
              <w:jc w:val="center"/>
              <w:rPr>
                <w:rFonts w:ascii="Arial" w:hAnsi="Arial" w:cs="Arial"/>
                <w:b/>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3B3BE" w14:textId="4B66C251" w:rsidR="00FC4554" w:rsidRPr="004C0382" w:rsidRDefault="00FC4554" w:rsidP="0033149E">
            <w:pPr>
              <w:ind w:left="-17"/>
              <w:jc w:val="center"/>
              <w:rPr>
                <w:rFonts w:ascii="Arial" w:hAnsi="Arial" w:cs="Arial"/>
                <w:b/>
                <w:color w:val="000000"/>
                <w:sz w:val="20"/>
                <w:lang w:val="en-US"/>
              </w:rPr>
            </w:pPr>
            <w:r>
              <w:rPr>
                <w:rFonts w:ascii="Arial" w:hAnsi="Arial" w:cs="Arial"/>
                <w:b/>
                <w:color w:val="000000"/>
                <w:sz w:val="20"/>
                <w:lang w:val="en-US"/>
              </w:rPr>
              <w:t>13</w:t>
            </w:r>
            <w:r w:rsidRPr="004C0382">
              <w:rPr>
                <w:rFonts w:ascii="Arial" w:hAnsi="Arial" w:cs="Arial"/>
                <w:b/>
                <w:color w:val="000000"/>
                <w:sz w:val="20"/>
                <w:lang w:val="en-US"/>
              </w:rPr>
              <w:t>.000</w:t>
            </w:r>
          </w:p>
        </w:tc>
        <w:tc>
          <w:tcPr>
            <w:tcW w:w="16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7354B1" w14:textId="04885F9F" w:rsidR="00FC4554" w:rsidRPr="001A53E3" w:rsidRDefault="00FC4554" w:rsidP="0033149E">
            <w:pPr>
              <w:jc w:val="center"/>
              <w:rPr>
                <w:rFonts w:ascii="Arial" w:hAnsi="Arial" w:cs="Arial"/>
                <w:color w:val="000000"/>
                <w:sz w:val="20"/>
                <w:lang w:val="en-US"/>
              </w:rPr>
            </w:pPr>
            <w:r w:rsidRPr="007E69D8">
              <w:rPr>
                <w:rFonts w:ascii="Arial" w:hAnsi="Arial" w:cs="Arial"/>
                <w:color w:val="000000"/>
                <w:sz w:val="20"/>
                <w:lang w:val="es-ES_tradnl"/>
              </w:rPr>
              <w:t>BID/OE</w:t>
            </w:r>
          </w:p>
        </w:tc>
      </w:tr>
    </w:tbl>
    <w:p w14:paraId="718F4856" w14:textId="20657335" w:rsidR="00454CB5" w:rsidRPr="007116B2" w:rsidRDefault="00454CB5" w:rsidP="00EF71CF">
      <w:pPr>
        <w:rPr>
          <w:lang w:val="es-ES"/>
        </w:rPr>
      </w:pPr>
    </w:p>
    <w:sectPr w:rsidR="00454CB5" w:rsidRPr="007116B2" w:rsidSect="001539B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EBDAF" w14:textId="77777777" w:rsidR="005A4E6F" w:rsidRDefault="005A4E6F" w:rsidP="007116B2">
      <w:pPr>
        <w:spacing w:after="0" w:line="240" w:lineRule="auto"/>
      </w:pPr>
      <w:r>
        <w:separator/>
      </w:r>
    </w:p>
  </w:endnote>
  <w:endnote w:type="continuationSeparator" w:id="0">
    <w:p w14:paraId="2D8C0A95" w14:textId="77777777" w:rsidR="005A4E6F" w:rsidRDefault="005A4E6F" w:rsidP="007116B2">
      <w:pPr>
        <w:spacing w:after="0" w:line="240" w:lineRule="auto"/>
      </w:pPr>
      <w:r>
        <w:continuationSeparator/>
      </w:r>
    </w:p>
  </w:endnote>
  <w:endnote w:type="continuationNotice" w:id="1">
    <w:p w14:paraId="4C450B88" w14:textId="77777777" w:rsidR="005A4E6F" w:rsidRDefault="005A4E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17C4BABE" w14:textId="77777777" w:rsidR="005822E1" w:rsidRPr="00352714" w:rsidRDefault="005822E1">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713CCEAE" w14:textId="77777777" w:rsidR="005822E1" w:rsidRDefault="00582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82A21" w14:textId="11BC7D9C" w:rsidR="004271BF" w:rsidRDefault="004271BF">
    <w:pPr>
      <w:pStyle w:val="Footer"/>
      <w:jc w:val="center"/>
    </w:pPr>
    <w:r>
      <w:t>-</w:t>
    </w:r>
    <w:sdt>
      <w:sdtPr>
        <w:id w:val="47496287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w:t>
        </w:r>
      </w:sdtContent>
    </w:sdt>
  </w:p>
  <w:p w14:paraId="4D1A5FA3" w14:textId="77777777" w:rsidR="005822E1" w:rsidRDefault="00582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CB716" w14:textId="77777777" w:rsidR="005A4E6F" w:rsidRDefault="005A4E6F" w:rsidP="007116B2">
      <w:pPr>
        <w:spacing w:after="0" w:line="240" w:lineRule="auto"/>
      </w:pPr>
      <w:r>
        <w:separator/>
      </w:r>
    </w:p>
  </w:footnote>
  <w:footnote w:type="continuationSeparator" w:id="0">
    <w:p w14:paraId="0587004A" w14:textId="77777777" w:rsidR="005A4E6F" w:rsidRDefault="005A4E6F" w:rsidP="007116B2">
      <w:pPr>
        <w:spacing w:after="0" w:line="240" w:lineRule="auto"/>
      </w:pPr>
      <w:r>
        <w:continuationSeparator/>
      </w:r>
    </w:p>
  </w:footnote>
  <w:footnote w:type="continuationNotice" w:id="1">
    <w:p w14:paraId="7AD9F2B0" w14:textId="77777777" w:rsidR="005A4E6F" w:rsidRDefault="005A4E6F">
      <w:pPr>
        <w:spacing w:after="0" w:line="240" w:lineRule="auto"/>
      </w:pPr>
    </w:p>
  </w:footnote>
  <w:footnote w:id="2">
    <w:p w14:paraId="55624376" w14:textId="77777777" w:rsidR="00A25987" w:rsidRPr="00301832" w:rsidRDefault="00A25987" w:rsidP="00A25987">
      <w:pPr>
        <w:pStyle w:val="FootnoteText"/>
        <w:spacing w:after="40"/>
        <w:rPr>
          <w:rFonts w:ascii="Arial" w:hAnsi="Arial" w:cs="Arial"/>
          <w:sz w:val="18"/>
          <w:szCs w:val="18"/>
        </w:rPr>
      </w:pPr>
      <w:r w:rsidRPr="00301832">
        <w:rPr>
          <w:rStyle w:val="FootnoteReference"/>
          <w:rFonts w:ascii="Arial" w:hAnsi="Arial" w:cs="Arial"/>
          <w:sz w:val="18"/>
          <w:szCs w:val="18"/>
          <w:lang w:val="es-ES"/>
        </w:rPr>
        <w:footnoteRef/>
      </w:r>
      <w:r w:rsidRPr="00301832">
        <w:rPr>
          <w:rFonts w:ascii="Arial" w:hAnsi="Arial" w:cs="Arial"/>
          <w:sz w:val="18"/>
          <w:szCs w:val="18"/>
        </w:rPr>
        <w:t xml:space="preserve"> </w:t>
      </w:r>
      <w:r w:rsidRPr="00301832">
        <w:rPr>
          <w:rFonts w:ascii="Arial" w:hAnsi="Arial" w:cs="Arial"/>
          <w:sz w:val="18"/>
          <w:szCs w:val="18"/>
        </w:rPr>
        <w:tab/>
        <w:t xml:space="preserve">Ver </w:t>
      </w:r>
      <w:r w:rsidRPr="00301832">
        <w:rPr>
          <w:rFonts w:ascii="Arial" w:hAnsi="Arial" w:cs="Arial"/>
          <w:i/>
          <w:iCs/>
          <w:sz w:val="18"/>
          <w:szCs w:val="18"/>
        </w:rPr>
        <w:t xml:space="preserve">WHO COVID-19 Situation Dashboard en </w:t>
      </w:r>
      <w:hyperlink r:id="rId1" w:history="1">
        <w:r w:rsidRPr="00301832">
          <w:rPr>
            <w:rStyle w:val="Hyperlink"/>
            <w:rFonts w:ascii="Arial" w:hAnsi="Arial" w:cs="Arial"/>
            <w:i/>
            <w:iCs/>
            <w:sz w:val="18"/>
            <w:szCs w:val="18"/>
          </w:rPr>
          <w:t>Covid19.who.int</w:t>
        </w:r>
      </w:hyperlink>
      <w:r w:rsidRPr="00301832">
        <w:rPr>
          <w:rFonts w:ascii="Arial" w:hAnsi="Arial" w:cs="Arial"/>
          <w:sz w:val="18"/>
          <w:szCs w:val="18"/>
        </w:rPr>
        <w:t xml:space="preserve"> (28 de abril de 2020).</w:t>
      </w:r>
    </w:p>
  </w:footnote>
  <w:footnote w:id="3">
    <w:p w14:paraId="35C2F164" w14:textId="77777777" w:rsidR="00A25987" w:rsidRPr="00301832" w:rsidRDefault="00A25987" w:rsidP="00A25987">
      <w:pPr>
        <w:pStyle w:val="FootnoteText"/>
        <w:spacing w:after="0"/>
        <w:rPr>
          <w:rFonts w:ascii="Arial" w:hAnsi="Arial" w:cs="Arial"/>
          <w:sz w:val="18"/>
          <w:szCs w:val="18"/>
        </w:rPr>
      </w:pPr>
      <w:r w:rsidRPr="00301832">
        <w:rPr>
          <w:rStyle w:val="FootnoteReference"/>
          <w:rFonts w:ascii="Arial" w:hAnsi="Arial" w:cs="Arial"/>
          <w:sz w:val="18"/>
          <w:szCs w:val="18"/>
        </w:rPr>
        <w:footnoteRef/>
      </w:r>
      <w:r w:rsidRPr="00301832">
        <w:rPr>
          <w:rFonts w:ascii="Arial" w:hAnsi="Arial" w:cs="Arial"/>
          <w:sz w:val="18"/>
          <w:szCs w:val="18"/>
        </w:rPr>
        <w:t xml:space="preserve"> </w:t>
      </w:r>
      <w:r w:rsidRPr="00301832">
        <w:rPr>
          <w:rFonts w:ascii="Arial" w:hAnsi="Arial" w:cs="Arial"/>
          <w:sz w:val="18"/>
          <w:szCs w:val="18"/>
        </w:rPr>
        <w:tab/>
        <w:t xml:space="preserve">Ver: </w:t>
      </w:r>
      <w:hyperlink r:id="rId2" w:history="1">
        <w:r w:rsidRPr="00301832">
          <w:rPr>
            <w:rStyle w:val="Hyperlink"/>
            <w:rFonts w:ascii="Arial" w:hAnsi="Arial" w:cs="Arial"/>
            <w:i/>
            <w:iCs/>
            <w:sz w:val="18"/>
            <w:szCs w:val="18"/>
          </w:rPr>
          <w:t>WHO COVID-19 Country Preparedness and Response Status for COVID-19</w:t>
        </w:r>
      </w:hyperlink>
      <w:r w:rsidRPr="00301832">
        <w:rPr>
          <w:rFonts w:ascii="Arial" w:hAnsi="Arial" w:cs="Arial"/>
          <w:sz w:val="18"/>
          <w:szCs w:val="18"/>
        </w:rPr>
        <w:t xml:space="preserve"> (28 de abril de 2020).</w:t>
      </w:r>
    </w:p>
  </w:footnote>
  <w:footnote w:id="4">
    <w:p w14:paraId="0E307615" w14:textId="10F073E2" w:rsidR="000E68BC" w:rsidRPr="00B831BC" w:rsidRDefault="000E68BC" w:rsidP="000E68BC">
      <w:pPr>
        <w:pStyle w:val="FootnoteText"/>
        <w:spacing w:after="0"/>
        <w:rPr>
          <w:rFonts w:ascii="Arial" w:hAnsi="Arial" w:cs="Arial"/>
          <w:sz w:val="18"/>
          <w:szCs w:val="18"/>
          <w:lang w:val="es-ES"/>
        </w:rPr>
      </w:pPr>
      <w:r w:rsidRPr="00B831BC">
        <w:rPr>
          <w:rStyle w:val="FootnoteReference"/>
          <w:rFonts w:ascii="Arial" w:hAnsi="Arial" w:cs="Arial"/>
          <w:sz w:val="18"/>
          <w:szCs w:val="18"/>
        </w:rPr>
        <w:footnoteRef/>
      </w:r>
      <w:r w:rsidRPr="00E4494F">
        <w:rPr>
          <w:rFonts w:ascii="Arial" w:hAnsi="Arial" w:cs="Arial"/>
          <w:sz w:val="18"/>
          <w:szCs w:val="18"/>
          <w:lang w:val="es-ES_tradnl"/>
        </w:rPr>
        <w:t xml:space="preserve"> </w:t>
      </w:r>
      <w:r w:rsidRPr="00E4494F">
        <w:rPr>
          <w:rFonts w:ascii="Arial" w:hAnsi="Arial" w:cs="Arial"/>
          <w:sz w:val="18"/>
          <w:szCs w:val="18"/>
          <w:lang w:val="es-ES_tradnl"/>
        </w:rPr>
        <w:tab/>
        <w:t>Ver Referencias Bibliográficas [</w:t>
      </w:r>
      <w:hyperlink r:id="rId3" w:history="1">
        <w:r w:rsidRPr="002E0ACF">
          <w:rPr>
            <w:rStyle w:val="Hyperlink"/>
            <w:rFonts w:ascii="Arial" w:hAnsi="Arial" w:cs="Arial"/>
            <w:sz w:val="18"/>
            <w:szCs w:val="18"/>
            <w:lang w:val="es-ES_tradnl"/>
          </w:rPr>
          <w:t>EEO#3</w:t>
        </w:r>
      </w:hyperlink>
      <w:r w:rsidRPr="00E4494F">
        <w:rPr>
          <w:rFonts w:ascii="Arial" w:hAnsi="Arial" w:cs="Arial"/>
          <w:sz w:val="18"/>
          <w:szCs w:val="18"/>
          <w:lang w:val="es-ES_tradnl"/>
        </w:rPr>
        <w:t xml:space="preserve">]. </w:t>
      </w:r>
    </w:p>
  </w:footnote>
  <w:footnote w:id="5">
    <w:p w14:paraId="742EC3FD" w14:textId="77777777" w:rsidR="000E68BC" w:rsidRPr="00E4494F" w:rsidRDefault="000E68BC" w:rsidP="000E68BC">
      <w:pPr>
        <w:pStyle w:val="FootnoteText"/>
        <w:spacing w:after="0"/>
        <w:rPr>
          <w:rFonts w:ascii="Arial" w:hAnsi="Arial" w:cs="Arial"/>
          <w:sz w:val="18"/>
          <w:szCs w:val="18"/>
          <w:lang w:val="es-ES_tradnl"/>
        </w:rPr>
      </w:pPr>
      <w:r w:rsidRPr="00823722">
        <w:rPr>
          <w:rStyle w:val="FootnoteReference"/>
          <w:rFonts w:ascii="Arial" w:hAnsi="Arial" w:cs="Arial"/>
          <w:sz w:val="18"/>
          <w:szCs w:val="18"/>
        </w:rPr>
        <w:footnoteRef/>
      </w:r>
      <w:r w:rsidRPr="00E4494F">
        <w:rPr>
          <w:rFonts w:ascii="Arial" w:hAnsi="Arial" w:cs="Arial"/>
          <w:sz w:val="18"/>
          <w:szCs w:val="18"/>
          <w:lang w:val="es-ES_tradnl"/>
        </w:rPr>
        <w:t xml:space="preserve"> </w:t>
      </w:r>
      <w:r w:rsidRPr="00E4494F">
        <w:rPr>
          <w:rFonts w:ascii="Arial" w:hAnsi="Arial" w:cs="Arial"/>
          <w:sz w:val="18"/>
          <w:szCs w:val="18"/>
          <w:lang w:val="es-ES_tradnl"/>
        </w:rPr>
        <w:tab/>
      </w:r>
      <w:bookmarkStart w:id="5" w:name="OLE_LINK3"/>
      <w:r w:rsidRPr="00E4494F">
        <w:rPr>
          <w:rFonts w:ascii="Arial" w:hAnsi="Arial" w:cs="Arial"/>
          <w:sz w:val="18"/>
          <w:szCs w:val="18"/>
          <w:lang w:val="es-ES_tradnl"/>
        </w:rPr>
        <w:t>De acuerdo con la Ley 8 que crea la Autoridad de la Micro, Pequeña y Mediana Empresa (AMPYME) en 2000, se define las MiPyME como una unidad económica que genera ingresos brutos o facturación anual hasta US$2,5 millones (microempresas hasta US$150 mil, pequeñas empresas entre US$150 mil y hasta US$1 millón, y medianas empresas entre US$1 millón y US$2,5 millones).</w:t>
      </w:r>
      <w:bookmarkEnd w:id="5"/>
    </w:p>
  </w:footnote>
  <w:footnote w:id="6">
    <w:p w14:paraId="4121C23D" w14:textId="77777777" w:rsidR="000E68BC" w:rsidRPr="00E4494F" w:rsidRDefault="000E68BC" w:rsidP="000E68BC">
      <w:pPr>
        <w:pStyle w:val="FootnoteText"/>
        <w:spacing w:after="0"/>
        <w:rPr>
          <w:rFonts w:ascii="Arial" w:hAnsi="Arial" w:cs="Arial"/>
          <w:sz w:val="18"/>
          <w:szCs w:val="18"/>
          <w:lang w:val="es-ES_tradnl"/>
        </w:rPr>
      </w:pPr>
      <w:r w:rsidRPr="00302B8B">
        <w:rPr>
          <w:rStyle w:val="FootnoteReference"/>
          <w:rFonts w:ascii="Arial" w:hAnsi="Arial" w:cs="Arial"/>
          <w:sz w:val="18"/>
          <w:szCs w:val="18"/>
        </w:rPr>
        <w:footnoteRef/>
      </w:r>
      <w:r w:rsidRPr="00E4494F">
        <w:rPr>
          <w:rFonts w:ascii="Arial" w:hAnsi="Arial" w:cs="Arial"/>
          <w:sz w:val="18"/>
          <w:szCs w:val="18"/>
          <w:lang w:val="es-ES_tradnl"/>
        </w:rPr>
        <w:t xml:space="preserve"> </w:t>
      </w:r>
      <w:r w:rsidRPr="00E4494F">
        <w:rPr>
          <w:rFonts w:ascii="Arial" w:hAnsi="Arial" w:cs="Arial"/>
          <w:sz w:val="18"/>
          <w:szCs w:val="18"/>
          <w:lang w:val="es-ES_tradnl"/>
        </w:rPr>
        <w:tab/>
        <w:t>Datos del Instituto Nacional de Encuestas y Censos (INEC) a 2016.</w:t>
      </w:r>
    </w:p>
  </w:footnote>
  <w:footnote w:id="7">
    <w:p w14:paraId="4725656B" w14:textId="77777777" w:rsidR="000E68BC" w:rsidRPr="00E4494F" w:rsidRDefault="000E68BC" w:rsidP="000E68BC">
      <w:pPr>
        <w:pStyle w:val="FootnoteText"/>
        <w:spacing w:after="0"/>
        <w:rPr>
          <w:rFonts w:ascii="Arial" w:hAnsi="Arial" w:cs="Arial"/>
          <w:sz w:val="18"/>
          <w:szCs w:val="18"/>
          <w:lang w:val="es-ES_tradnl"/>
        </w:rPr>
      </w:pPr>
      <w:r w:rsidRPr="00483FC5">
        <w:rPr>
          <w:rStyle w:val="FootnoteReference"/>
          <w:rFonts w:ascii="Arial" w:hAnsi="Arial" w:cs="Arial"/>
          <w:sz w:val="18"/>
          <w:szCs w:val="18"/>
        </w:rPr>
        <w:footnoteRef/>
      </w:r>
      <w:r w:rsidRPr="00E4494F">
        <w:rPr>
          <w:rFonts w:ascii="Arial" w:hAnsi="Arial" w:cs="Arial"/>
          <w:sz w:val="18"/>
          <w:szCs w:val="18"/>
          <w:lang w:val="es-ES_tradnl"/>
        </w:rPr>
        <w:t xml:space="preserve"> </w:t>
      </w:r>
      <w:r w:rsidRPr="00E4494F">
        <w:rPr>
          <w:rFonts w:ascii="Arial" w:hAnsi="Arial" w:cs="Arial"/>
          <w:sz w:val="18"/>
          <w:szCs w:val="18"/>
          <w:lang w:val="es-ES_tradnl"/>
        </w:rPr>
        <w:tab/>
        <w:t>El mercado financiero está regulado y supervisado por la Superintendencia de Bancos de Panamá (SBP).</w:t>
      </w:r>
    </w:p>
  </w:footnote>
  <w:footnote w:id="8">
    <w:p w14:paraId="00B089C0" w14:textId="77777777" w:rsidR="000E68BC" w:rsidRPr="00E4494F" w:rsidRDefault="000E68BC" w:rsidP="000E68BC">
      <w:pPr>
        <w:pStyle w:val="FootnoteText"/>
        <w:spacing w:after="0"/>
        <w:jc w:val="left"/>
        <w:rPr>
          <w:rFonts w:ascii="Arial" w:hAnsi="Arial" w:cs="Arial"/>
          <w:sz w:val="18"/>
          <w:szCs w:val="18"/>
          <w:lang w:val="es-ES_tradnl"/>
        </w:rPr>
      </w:pPr>
      <w:r w:rsidRPr="00302B8B">
        <w:rPr>
          <w:rStyle w:val="FootnoteReference"/>
          <w:rFonts w:ascii="Arial" w:hAnsi="Arial" w:cs="Arial"/>
          <w:sz w:val="18"/>
          <w:szCs w:val="18"/>
        </w:rPr>
        <w:footnoteRef/>
      </w:r>
      <w:r w:rsidRPr="00E4494F">
        <w:rPr>
          <w:rFonts w:ascii="Arial" w:hAnsi="Arial" w:cs="Arial"/>
          <w:sz w:val="18"/>
          <w:szCs w:val="18"/>
          <w:lang w:val="es-ES_tradnl"/>
        </w:rPr>
        <w:t xml:space="preserve"> </w:t>
      </w:r>
      <w:r w:rsidRPr="00E4494F">
        <w:rPr>
          <w:rFonts w:ascii="Arial" w:hAnsi="Arial" w:cs="Arial"/>
          <w:sz w:val="18"/>
          <w:szCs w:val="18"/>
          <w:lang w:val="es-ES_tradnl"/>
        </w:rPr>
        <w:tab/>
        <w:t xml:space="preserve">MSME Finance Gap. </w:t>
      </w:r>
      <w:hyperlink r:id="rId4" w:history="1">
        <w:r w:rsidRPr="00E4494F">
          <w:rPr>
            <w:rStyle w:val="Hyperlink"/>
            <w:rFonts w:ascii="Arial" w:hAnsi="Arial" w:cs="Arial"/>
            <w:sz w:val="18"/>
            <w:szCs w:val="18"/>
            <w:lang w:val="es-ES_tradnl"/>
          </w:rPr>
          <w:t>IFC</w:t>
        </w:r>
      </w:hyperlink>
      <w:r w:rsidRPr="00E4494F">
        <w:rPr>
          <w:rFonts w:ascii="Arial" w:hAnsi="Arial" w:cs="Arial"/>
          <w:sz w:val="18"/>
          <w:szCs w:val="18"/>
          <w:lang w:val="es-ES_tradnl"/>
        </w:rPr>
        <w:t xml:space="preserve">. </w:t>
      </w:r>
    </w:p>
  </w:footnote>
  <w:footnote w:id="9">
    <w:p w14:paraId="738997B3" w14:textId="7DAE1DA4" w:rsidR="00EC5B37" w:rsidRPr="00EC5B37" w:rsidRDefault="00EC5B37" w:rsidP="00EA2773">
      <w:pPr>
        <w:pStyle w:val="FootnoteText"/>
        <w:spacing w:after="40"/>
        <w:rPr>
          <w:rFonts w:ascii="Arial" w:hAnsi="Arial" w:cs="Arial"/>
          <w:sz w:val="18"/>
          <w:szCs w:val="18"/>
          <w:lang w:val="pt-BR"/>
        </w:rPr>
      </w:pPr>
      <w:r w:rsidRPr="00885EA4">
        <w:rPr>
          <w:rStyle w:val="FootnoteReference"/>
          <w:rFonts w:ascii="Arial" w:hAnsi="Arial" w:cs="Arial"/>
          <w:sz w:val="18"/>
          <w:szCs w:val="18"/>
        </w:rPr>
        <w:footnoteRef/>
      </w:r>
      <w:r w:rsidRPr="00EC5B37">
        <w:rPr>
          <w:rFonts w:ascii="Arial" w:hAnsi="Arial" w:cs="Arial"/>
          <w:sz w:val="18"/>
          <w:szCs w:val="18"/>
          <w:lang w:val="pt-BR"/>
        </w:rPr>
        <w:t xml:space="preserve"> </w:t>
      </w:r>
      <w:r w:rsidRPr="00885EA4">
        <w:rPr>
          <w:rFonts w:ascii="Arial" w:hAnsi="Arial" w:cs="Arial"/>
          <w:sz w:val="18"/>
          <w:szCs w:val="18"/>
          <w:lang w:val="es-ES_tradnl"/>
        </w:rPr>
        <w:tab/>
        <w:t xml:space="preserve">Documento de Marco Sectorial de Respaldo para PYME y Acceso y </w:t>
      </w:r>
      <w:r w:rsidRPr="00EC5B37">
        <w:rPr>
          <w:rFonts w:ascii="Arial" w:hAnsi="Arial" w:cs="Arial"/>
          <w:sz w:val="18"/>
          <w:szCs w:val="18"/>
          <w:lang w:val="pt-BR"/>
        </w:rPr>
        <w:t>Supervisión Financieros</w:t>
      </w:r>
      <w:r w:rsidR="00BA5E9D">
        <w:rPr>
          <w:rFonts w:ascii="Arial" w:hAnsi="Arial" w:cs="Arial"/>
          <w:sz w:val="18"/>
          <w:szCs w:val="18"/>
          <w:lang w:val="pt-BR"/>
        </w:rPr>
        <w:t xml:space="preserve"> </w:t>
      </w:r>
      <w:r w:rsidR="00BA5E9D" w:rsidRPr="00BA5E9D">
        <w:rPr>
          <w:rFonts w:ascii="Arial" w:hAnsi="Arial" w:cs="Arial"/>
          <w:sz w:val="18"/>
          <w:szCs w:val="18"/>
          <w:lang w:val="pt-BR"/>
        </w:rPr>
        <w:t>(GN-2768-7)</w:t>
      </w:r>
      <w:r w:rsidRPr="00EC5B37">
        <w:rPr>
          <w:rFonts w:ascii="Arial" w:hAnsi="Arial" w:cs="Arial"/>
          <w:sz w:val="18"/>
          <w:szCs w:val="18"/>
          <w:lang w:val="pt-BR"/>
        </w:rPr>
        <w:t>. BID, julio 2017.</w:t>
      </w:r>
    </w:p>
  </w:footnote>
  <w:footnote w:id="10">
    <w:p w14:paraId="0FA12FFE" w14:textId="0197539D" w:rsidR="000E68BC" w:rsidRPr="00E4494F" w:rsidRDefault="000E68BC" w:rsidP="00EA2773">
      <w:pPr>
        <w:pStyle w:val="FootnoteText"/>
        <w:spacing w:after="40"/>
        <w:rPr>
          <w:rFonts w:ascii="Arial" w:hAnsi="Arial" w:cs="Arial"/>
          <w:sz w:val="18"/>
          <w:szCs w:val="18"/>
          <w:lang w:val="es-ES_tradnl"/>
        </w:rPr>
      </w:pPr>
      <w:r w:rsidRPr="00302B8B">
        <w:rPr>
          <w:rStyle w:val="FootnoteReference"/>
          <w:rFonts w:ascii="Arial" w:hAnsi="Arial" w:cs="Arial"/>
          <w:sz w:val="18"/>
          <w:szCs w:val="18"/>
        </w:rPr>
        <w:footnoteRef/>
      </w:r>
      <w:r w:rsidRPr="00E4494F">
        <w:rPr>
          <w:rFonts w:ascii="Arial" w:hAnsi="Arial" w:cs="Arial"/>
          <w:sz w:val="18"/>
          <w:szCs w:val="18"/>
          <w:lang w:val="es-ES_tradnl"/>
        </w:rPr>
        <w:t xml:space="preserve"> </w:t>
      </w:r>
      <w:r w:rsidR="000607C8">
        <w:rPr>
          <w:rFonts w:ascii="Arial" w:hAnsi="Arial" w:cs="Arial"/>
          <w:sz w:val="18"/>
          <w:szCs w:val="18"/>
          <w:lang w:val="es-ES_tradnl"/>
        </w:rPr>
        <w:t xml:space="preserve">   </w:t>
      </w:r>
      <w:r w:rsidR="004F3453">
        <w:rPr>
          <w:rFonts w:ascii="Arial" w:hAnsi="Arial" w:cs="Arial"/>
          <w:sz w:val="18"/>
          <w:szCs w:val="18"/>
          <w:lang w:val="es-ES_tradnl"/>
        </w:rPr>
        <w:t xml:space="preserve"> </w:t>
      </w:r>
      <w:r w:rsidRPr="00E4494F">
        <w:rPr>
          <w:rFonts w:ascii="Arial" w:hAnsi="Arial" w:cs="Arial"/>
          <w:sz w:val="18"/>
          <w:szCs w:val="18"/>
          <w:lang w:val="es-ES_tradnl"/>
        </w:rPr>
        <w:t>Documento de Solicitud de Instrumento de Rápido Financiamiento. Fondo Monetario Internacional, abril 2020.</w:t>
      </w:r>
    </w:p>
  </w:footnote>
  <w:footnote w:id="11">
    <w:p w14:paraId="3528547E" w14:textId="35667089" w:rsidR="00E92AB5" w:rsidRPr="00301832" w:rsidRDefault="00E92AB5" w:rsidP="00EA2773">
      <w:pPr>
        <w:pStyle w:val="FootnoteText"/>
        <w:spacing w:after="40"/>
        <w:rPr>
          <w:rFonts w:ascii="Arial" w:hAnsi="Arial" w:cs="Arial"/>
          <w:sz w:val="18"/>
          <w:szCs w:val="18"/>
          <w:lang w:val="es-ES"/>
        </w:rPr>
      </w:pPr>
      <w:r w:rsidRPr="00301832">
        <w:rPr>
          <w:rStyle w:val="FootnoteReference"/>
          <w:rFonts w:ascii="Arial" w:hAnsi="Arial" w:cs="Arial"/>
          <w:sz w:val="18"/>
          <w:szCs w:val="18"/>
        </w:rPr>
        <w:footnoteRef/>
      </w:r>
      <w:r w:rsidRPr="00301832">
        <w:rPr>
          <w:rFonts w:ascii="Arial" w:hAnsi="Arial" w:cs="Arial"/>
          <w:sz w:val="18"/>
          <w:szCs w:val="18"/>
          <w:lang w:val="es-ES"/>
        </w:rPr>
        <w:t xml:space="preserve">  </w:t>
      </w:r>
      <w:r>
        <w:rPr>
          <w:rFonts w:ascii="Arial" w:hAnsi="Arial" w:cs="Arial"/>
          <w:sz w:val="18"/>
          <w:szCs w:val="18"/>
          <w:lang w:val="es-ES"/>
        </w:rPr>
        <w:tab/>
      </w:r>
      <w:hyperlink r:id="rId5" w:history="1">
        <w:r w:rsidRPr="00A065E3">
          <w:rPr>
            <w:rStyle w:val="Hyperlink"/>
            <w:rFonts w:ascii="Arial" w:hAnsi="Arial" w:cs="Arial"/>
            <w:sz w:val="18"/>
            <w:szCs w:val="18"/>
            <w:lang w:val="es-ES"/>
          </w:rPr>
          <w:t xml:space="preserve">Resultados – II </w:t>
        </w:r>
        <w:r w:rsidR="009E351A">
          <w:rPr>
            <w:rStyle w:val="Hyperlink"/>
            <w:rFonts w:ascii="Arial" w:hAnsi="Arial" w:cs="Arial"/>
            <w:sz w:val="18"/>
            <w:szCs w:val="18"/>
            <w:lang w:val="es-ES"/>
          </w:rPr>
          <w:t>E</w:t>
        </w:r>
        <w:r w:rsidRPr="00A065E3">
          <w:rPr>
            <w:rStyle w:val="Hyperlink"/>
            <w:rFonts w:ascii="Arial" w:hAnsi="Arial" w:cs="Arial"/>
            <w:sz w:val="18"/>
            <w:szCs w:val="18"/>
            <w:lang w:val="es-ES"/>
          </w:rPr>
          <w:t>ncuesta Impacto del Coronavirus en Panamá</w:t>
        </w:r>
      </w:hyperlink>
      <w:r w:rsidRPr="00301832">
        <w:rPr>
          <w:rFonts w:ascii="Arial" w:hAnsi="Arial" w:cs="Arial"/>
          <w:sz w:val="18"/>
          <w:szCs w:val="18"/>
          <w:lang w:val="es-ES"/>
        </w:rPr>
        <w:t xml:space="preserve">. </w:t>
      </w:r>
      <w:r>
        <w:rPr>
          <w:rFonts w:ascii="Arial" w:hAnsi="Arial" w:cs="Arial"/>
          <w:sz w:val="18"/>
          <w:szCs w:val="18"/>
          <w:lang w:val="es-ES"/>
        </w:rPr>
        <w:t>Centro de Estudios Económicos de la Cámara de Comercio, Industrias y Agricultura de Panamá (</w:t>
      </w:r>
      <w:r w:rsidRPr="00301832">
        <w:rPr>
          <w:rFonts w:ascii="Arial" w:hAnsi="Arial" w:cs="Arial"/>
          <w:sz w:val="18"/>
          <w:szCs w:val="18"/>
          <w:lang w:val="es-ES"/>
        </w:rPr>
        <w:t>CEECAM</w:t>
      </w:r>
      <w:r>
        <w:rPr>
          <w:rFonts w:ascii="Arial" w:hAnsi="Arial" w:cs="Arial"/>
          <w:sz w:val="18"/>
          <w:szCs w:val="18"/>
          <w:lang w:val="es-ES"/>
        </w:rPr>
        <w:t>)</w:t>
      </w:r>
      <w:r w:rsidRPr="00301832">
        <w:rPr>
          <w:rFonts w:ascii="Arial" w:hAnsi="Arial" w:cs="Arial"/>
          <w:sz w:val="18"/>
          <w:szCs w:val="18"/>
          <w:lang w:val="es-ES"/>
        </w:rPr>
        <w:t>. Abril de 2020.</w:t>
      </w:r>
    </w:p>
  </w:footnote>
  <w:footnote w:id="12">
    <w:p w14:paraId="673E4228" w14:textId="77777777" w:rsidR="00E92AB5" w:rsidRPr="00301832" w:rsidRDefault="00E92AB5" w:rsidP="00EA2773">
      <w:pPr>
        <w:pStyle w:val="FootnoteText"/>
        <w:spacing w:after="40"/>
        <w:rPr>
          <w:rFonts w:ascii="Arial" w:hAnsi="Arial" w:cs="Arial"/>
          <w:sz w:val="18"/>
          <w:szCs w:val="18"/>
          <w:lang w:val="es-ES"/>
        </w:rPr>
      </w:pPr>
      <w:r w:rsidRPr="00301832">
        <w:rPr>
          <w:rStyle w:val="FootnoteReference"/>
          <w:rFonts w:ascii="Arial" w:hAnsi="Arial" w:cs="Arial"/>
          <w:sz w:val="18"/>
          <w:szCs w:val="18"/>
        </w:rPr>
        <w:footnoteRef/>
      </w:r>
      <w:r w:rsidRPr="00301832">
        <w:rPr>
          <w:rFonts w:ascii="Arial" w:hAnsi="Arial" w:cs="Arial"/>
          <w:sz w:val="18"/>
          <w:szCs w:val="18"/>
          <w:lang w:val="es-ES"/>
        </w:rPr>
        <w:t xml:space="preserve"> </w:t>
      </w:r>
      <w:r>
        <w:rPr>
          <w:rFonts w:ascii="Arial" w:hAnsi="Arial" w:cs="Arial"/>
          <w:sz w:val="18"/>
          <w:szCs w:val="18"/>
          <w:lang w:val="es-ES"/>
        </w:rPr>
        <w:tab/>
      </w:r>
      <w:hyperlink r:id="rId6" w:history="1">
        <w:r w:rsidRPr="00A065E3">
          <w:rPr>
            <w:rStyle w:val="Hyperlink"/>
            <w:rFonts w:ascii="Arial" w:hAnsi="Arial" w:cs="Arial"/>
            <w:sz w:val="18"/>
            <w:szCs w:val="18"/>
            <w:lang w:val="es-ES"/>
          </w:rPr>
          <w:t>Resultados Finales – Encuesta Impacto del Coronavirus en Panamá</w:t>
        </w:r>
      </w:hyperlink>
      <w:r w:rsidRPr="00301832">
        <w:rPr>
          <w:rFonts w:ascii="Arial" w:hAnsi="Arial" w:cs="Arial"/>
          <w:sz w:val="18"/>
          <w:szCs w:val="18"/>
          <w:lang w:val="es-ES"/>
        </w:rPr>
        <w:t>. CEECAM. Marzo de 2020.</w:t>
      </w:r>
    </w:p>
  </w:footnote>
  <w:footnote w:id="13">
    <w:p w14:paraId="3C83CA6D" w14:textId="56AF5852" w:rsidR="009E351A" w:rsidRPr="009E351A" w:rsidRDefault="009E351A" w:rsidP="00EA2773">
      <w:pPr>
        <w:pStyle w:val="FootnoteText"/>
        <w:spacing w:after="40"/>
        <w:rPr>
          <w:rFonts w:ascii="Arial" w:hAnsi="Arial" w:cs="Arial"/>
          <w:sz w:val="18"/>
          <w:szCs w:val="18"/>
          <w:lang w:val="pt-BR"/>
        </w:rPr>
      </w:pPr>
      <w:r w:rsidRPr="00AB26D6">
        <w:rPr>
          <w:rStyle w:val="FootnoteReference"/>
          <w:rFonts w:ascii="Arial" w:hAnsi="Arial" w:cs="Arial"/>
          <w:sz w:val="18"/>
          <w:szCs w:val="18"/>
        </w:rPr>
        <w:footnoteRef/>
      </w:r>
      <w:r w:rsidRPr="009E351A">
        <w:rPr>
          <w:rFonts w:ascii="Arial" w:hAnsi="Arial" w:cs="Arial"/>
          <w:sz w:val="18"/>
          <w:szCs w:val="18"/>
          <w:lang w:val="pt-BR"/>
        </w:rPr>
        <w:t xml:space="preserve"> </w:t>
      </w:r>
      <w:r w:rsidR="00EA2773">
        <w:rPr>
          <w:rFonts w:ascii="Arial" w:hAnsi="Arial" w:cs="Arial"/>
          <w:sz w:val="18"/>
          <w:szCs w:val="18"/>
          <w:lang w:val="pt-BR"/>
        </w:rPr>
        <w:t xml:space="preserve">  </w:t>
      </w:r>
      <w:r w:rsidRPr="009E351A">
        <w:rPr>
          <w:rFonts w:ascii="Arial" w:hAnsi="Arial" w:cs="Arial"/>
          <w:sz w:val="18"/>
          <w:szCs w:val="18"/>
          <w:lang w:val="pt-BR"/>
        </w:rPr>
        <w:t>BNP utiliza intermediarios financieros, microfinancieras y cooperativas para atender las necesidades de financiamiento de las microempresas aprovechando la capilaridad y presencia de estas entidades en los sectores de menor tamaño de todo el país.</w:t>
      </w:r>
    </w:p>
  </w:footnote>
  <w:footnote w:id="14">
    <w:p w14:paraId="60856BCE" w14:textId="789807C5" w:rsidR="005822E1" w:rsidRPr="00AF2969" w:rsidRDefault="005822E1" w:rsidP="007116B2">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r w:rsidR="006257EA">
        <w:rPr>
          <w:rFonts w:ascii="Arial" w:hAnsi="Arial" w:cs="Arial"/>
          <w:sz w:val="18"/>
          <w:szCs w:val="18"/>
          <w:lang w:val="es-ES"/>
        </w:rPr>
        <w:tab/>
      </w:r>
      <w:r w:rsidRPr="00AF2969">
        <w:rPr>
          <w:rFonts w:ascii="Arial" w:hAnsi="Arial" w:cs="Arial"/>
          <w:sz w:val="18"/>
          <w:szCs w:val="18"/>
          <w:lang w:val="es-ES"/>
        </w:rPr>
        <w:t>Program Monitoring Report por sus siglas en inglés.</w:t>
      </w:r>
    </w:p>
  </w:footnote>
  <w:footnote w:id="15">
    <w:p w14:paraId="7985A981" w14:textId="24DD6D0A" w:rsidR="005822E1" w:rsidRPr="00911ED9" w:rsidRDefault="005822E1" w:rsidP="007116B2">
      <w:pPr>
        <w:pStyle w:val="FootnoteText"/>
        <w:spacing w:after="0"/>
        <w:rPr>
          <w:rFonts w:ascii="Arial" w:hAnsi="Arial" w:cs="Arial"/>
          <w:sz w:val="18"/>
          <w:szCs w:val="18"/>
          <w:lang w:val="pt-BR"/>
        </w:rPr>
      </w:pPr>
      <w:r w:rsidRPr="00AF2969">
        <w:rPr>
          <w:rFonts w:ascii="Arial" w:hAnsi="Arial" w:cs="Arial"/>
          <w:sz w:val="18"/>
          <w:szCs w:val="18"/>
          <w:vertAlign w:val="superscript"/>
          <w:lang w:val="pt-BR"/>
        </w:rPr>
        <w:footnoteRef/>
      </w:r>
      <w:r w:rsidRPr="00911ED9">
        <w:rPr>
          <w:rFonts w:ascii="Arial" w:hAnsi="Arial" w:cs="Arial"/>
          <w:sz w:val="18"/>
          <w:szCs w:val="18"/>
          <w:lang w:val="pt-BR"/>
        </w:rPr>
        <w:t xml:space="preserve"> </w:t>
      </w:r>
      <w:r w:rsidR="00825ABE">
        <w:rPr>
          <w:rFonts w:ascii="Arial" w:hAnsi="Arial" w:cs="Arial"/>
          <w:sz w:val="18"/>
          <w:szCs w:val="18"/>
          <w:lang w:val="pt-BR"/>
        </w:rPr>
        <w:t xml:space="preserve">  </w:t>
      </w:r>
      <w:r w:rsidRPr="00825ABE">
        <w:rPr>
          <w:rFonts w:ascii="Arial" w:hAnsi="Arial" w:cs="Arial"/>
          <w:sz w:val="18"/>
          <w:szCs w:val="18"/>
          <w:lang w:val="es-ES"/>
        </w:rPr>
        <w:t>Ver</w:t>
      </w:r>
      <w:r w:rsidRPr="00911ED9">
        <w:rPr>
          <w:rFonts w:ascii="Arial" w:hAnsi="Arial" w:cs="Arial"/>
          <w:sz w:val="18"/>
          <w:szCs w:val="18"/>
          <w:lang w:val="pt-BR"/>
        </w:rPr>
        <w:t xml:space="preserve"> Matriz de Resultados. Anexo II POD.</w:t>
      </w:r>
    </w:p>
  </w:footnote>
  <w:footnote w:id="16">
    <w:p w14:paraId="737265D6" w14:textId="4A21D434" w:rsidR="004F6B77" w:rsidRPr="008E389B" w:rsidRDefault="004F6B77" w:rsidP="00825ABE">
      <w:pPr>
        <w:pStyle w:val="FootnoteText"/>
        <w:spacing w:after="0"/>
        <w:ind w:left="360" w:hanging="360"/>
        <w:rPr>
          <w:rFonts w:ascii="Arial" w:hAnsi="Arial" w:cs="Arial"/>
          <w:sz w:val="18"/>
          <w:szCs w:val="18"/>
          <w:lang w:val="pt-BR"/>
        </w:rPr>
      </w:pPr>
      <w:r w:rsidRPr="008E389B">
        <w:rPr>
          <w:rStyle w:val="FootnoteReference"/>
          <w:rFonts w:ascii="Arial" w:hAnsi="Arial" w:cs="Arial"/>
          <w:sz w:val="18"/>
          <w:szCs w:val="18"/>
        </w:rPr>
        <w:footnoteRef/>
      </w:r>
      <w:r w:rsidRPr="008E389B">
        <w:rPr>
          <w:rFonts w:ascii="Arial" w:hAnsi="Arial" w:cs="Arial"/>
          <w:sz w:val="18"/>
          <w:szCs w:val="18"/>
          <w:lang w:val="pt-BR"/>
        </w:rPr>
        <w:t xml:space="preserve"> </w:t>
      </w:r>
      <w:r w:rsidR="002E0ACF">
        <w:rPr>
          <w:rFonts w:ascii="Arial" w:hAnsi="Arial" w:cs="Arial"/>
          <w:sz w:val="18"/>
          <w:szCs w:val="18"/>
          <w:lang w:val="pt-BR"/>
        </w:rPr>
        <w:t xml:space="preserve">  </w:t>
      </w:r>
      <w:r w:rsidR="00825ABE">
        <w:rPr>
          <w:rFonts w:ascii="Arial" w:hAnsi="Arial" w:cs="Arial"/>
          <w:sz w:val="18"/>
          <w:szCs w:val="18"/>
          <w:lang w:val="pt-BR"/>
        </w:rPr>
        <w:t xml:space="preserve">  </w:t>
      </w:r>
      <w:r w:rsidR="00825ABE" w:rsidRPr="00825ABE">
        <w:rPr>
          <w:rFonts w:ascii="Arial" w:hAnsi="Arial" w:cs="Arial"/>
          <w:sz w:val="18"/>
          <w:szCs w:val="18"/>
          <w:lang w:val="pt-BR"/>
        </w:rPr>
        <w:t>Para todos los indicadores de resultado que requieran información proveniente de las IFI participantes en el programa, BNP será el encargado de gestionar el recojo de información de la cartera relevante de estas y reportarlo al BID para fines de monitoreo y evaluación. Esta información incluirá datos de mora, cartera y colocaciones aplicables a la cartera relevante.</w:t>
      </w:r>
    </w:p>
  </w:footnote>
  <w:footnote w:id="17">
    <w:p w14:paraId="11B0224A" w14:textId="0ED6B505" w:rsidR="00D1017D" w:rsidRPr="008E389B" w:rsidRDefault="00D1017D" w:rsidP="00825ABE">
      <w:pPr>
        <w:pStyle w:val="FootnoteText"/>
        <w:spacing w:after="0"/>
        <w:rPr>
          <w:rFonts w:ascii="Arial" w:hAnsi="Arial" w:cs="Arial"/>
          <w:sz w:val="18"/>
          <w:szCs w:val="18"/>
          <w:lang w:val="pt-BR"/>
        </w:rPr>
      </w:pPr>
      <w:r w:rsidRPr="008E389B">
        <w:rPr>
          <w:rStyle w:val="FootnoteReference"/>
          <w:rFonts w:ascii="Arial" w:hAnsi="Arial" w:cs="Arial"/>
          <w:sz w:val="18"/>
          <w:szCs w:val="18"/>
        </w:rPr>
        <w:footnoteRef/>
      </w:r>
      <w:r w:rsidRPr="008E389B">
        <w:rPr>
          <w:rFonts w:ascii="Arial" w:hAnsi="Arial" w:cs="Arial"/>
          <w:sz w:val="18"/>
          <w:szCs w:val="18"/>
        </w:rPr>
        <w:t xml:space="preserve"> </w:t>
      </w:r>
      <w:r w:rsidRPr="008E389B">
        <w:rPr>
          <w:rFonts w:ascii="Arial" w:hAnsi="Arial" w:cs="Arial"/>
          <w:sz w:val="18"/>
          <w:szCs w:val="18"/>
        </w:rPr>
        <w:tab/>
      </w:r>
      <w:r w:rsidR="00825ABE">
        <w:rPr>
          <w:rFonts w:ascii="Arial" w:hAnsi="Arial" w:cs="Arial"/>
          <w:sz w:val="18"/>
          <w:szCs w:val="18"/>
        </w:rPr>
        <w:t xml:space="preserve"> </w:t>
      </w:r>
      <w:r w:rsidRPr="008E389B">
        <w:rPr>
          <w:rFonts w:ascii="Arial" w:hAnsi="Arial" w:cs="Arial"/>
          <w:sz w:val="18"/>
          <w:szCs w:val="18"/>
        </w:rPr>
        <w:t xml:space="preserve">Economist Intelligence Unit (2020). </w:t>
      </w:r>
      <w:r w:rsidRPr="008E389B">
        <w:rPr>
          <w:rFonts w:ascii="Arial" w:hAnsi="Arial" w:cs="Arial"/>
          <w:i/>
          <w:iCs/>
          <w:sz w:val="18"/>
          <w:szCs w:val="18"/>
        </w:rPr>
        <w:t>Panama: Country Report.</w:t>
      </w:r>
      <w:r w:rsidRPr="008E389B">
        <w:rPr>
          <w:rFonts w:ascii="Arial" w:hAnsi="Arial" w:cs="Arial"/>
          <w:sz w:val="18"/>
          <w:szCs w:val="18"/>
        </w:rPr>
        <w:t xml:space="preserve"> </w:t>
      </w:r>
      <w:r w:rsidRPr="008E389B">
        <w:rPr>
          <w:rFonts w:ascii="Arial" w:hAnsi="Arial" w:cs="Arial"/>
          <w:sz w:val="18"/>
          <w:szCs w:val="18"/>
          <w:lang w:val="pt-BR"/>
        </w:rPr>
        <w:t xml:space="preserve">April 24. </w:t>
      </w:r>
    </w:p>
  </w:footnote>
  <w:footnote w:id="18">
    <w:p w14:paraId="23573DFA" w14:textId="5DEB4A65" w:rsidR="00DA6758" w:rsidRPr="008E389B" w:rsidRDefault="00DA6758" w:rsidP="00825ABE">
      <w:pPr>
        <w:pStyle w:val="FootnoteText"/>
        <w:spacing w:after="0"/>
        <w:rPr>
          <w:rFonts w:ascii="Arial" w:hAnsi="Arial" w:cs="Arial"/>
          <w:sz w:val="18"/>
          <w:szCs w:val="18"/>
          <w:lang w:val="es-ES"/>
        </w:rPr>
      </w:pPr>
      <w:r w:rsidRPr="008E389B">
        <w:rPr>
          <w:rStyle w:val="FootnoteReference"/>
          <w:rFonts w:ascii="Arial" w:hAnsi="Arial" w:cs="Arial"/>
          <w:sz w:val="18"/>
          <w:szCs w:val="18"/>
        </w:rPr>
        <w:footnoteRef/>
      </w:r>
      <w:r w:rsidRPr="008E389B">
        <w:rPr>
          <w:rFonts w:ascii="Arial" w:hAnsi="Arial" w:cs="Arial"/>
          <w:sz w:val="18"/>
          <w:szCs w:val="18"/>
          <w:lang w:val="pt-BR"/>
        </w:rPr>
        <w:t xml:space="preserve"> </w:t>
      </w:r>
      <w:r w:rsidRPr="008E389B">
        <w:rPr>
          <w:rFonts w:ascii="Arial" w:hAnsi="Arial" w:cs="Arial"/>
          <w:sz w:val="18"/>
          <w:szCs w:val="18"/>
          <w:lang w:val="pt-BR"/>
        </w:rPr>
        <w:tab/>
      </w:r>
      <w:r w:rsidR="00825ABE">
        <w:rPr>
          <w:rFonts w:ascii="Arial" w:hAnsi="Arial" w:cs="Arial"/>
          <w:sz w:val="18"/>
          <w:szCs w:val="18"/>
          <w:lang w:val="pt-BR"/>
        </w:rPr>
        <w:t xml:space="preserve"> </w:t>
      </w:r>
      <w:r w:rsidR="00DD5E19" w:rsidRPr="008E389B">
        <w:rPr>
          <w:rFonts w:ascii="Arial" w:hAnsi="Arial" w:cs="Arial"/>
          <w:sz w:val="18"/>
          <w:szCs w:val="18"/>
          <w:lang w:val="es-PE"/>
        </w:rPr>
        <w:t xml:space="preserve">Centro Nacional de Competitividad (CNC) (2020). </w:t>
      </w:r>
      <w:r w:rsidR="00DD5E19" w:rsidRPr="008E389B">
        <w:rPr>
          <w:rFonts w:ascii="Arial" w:hAnsi="Arial" w:cs="Arial"/>
          <w:i/>
          <w:iCs/>
          <w:sz w:val="18"/>
          <w:szCs w:val="18"/>
          <w:lang w:val="es-PE"/>
        </w:rPr>
        <w:t>Las Empresas Panameñas en tiempos de COVID-19.</w:t>
      </w:r>
      <w:r w:rsidR="00DD5E19" w:rsidRPr="008E389B">
        <w:rPr>
          <w:rFonts w:ascii="Arial" w:hAnsi="Arial" w:cs="Arial"/>
          <w:sz w:val="18"/>
          <w:szCs w:val="18"/>
          <w:lang w:val="es-PE"/>
        </w:rPr>
        <w:t xml:space="preserve">Abril. </w:t>
      </w:r>
      <w:hyperlink r:id="rId7" w:history="1">
        <w:r w:rsidR="00DD5E19" w:rsidRPr="008E389B">
          <w:rPr>
            <w:rStyle w:val="Hyperlink"/>
            <w:rFonts w:ascii="Arial" w:hAnsi="Arial" w:cs="Arial"/>
            <w:sz w:val="18"/>
            <w:szCs w:val="18"/>
            <w:lang w:val="es-PE"/>
          </w:rPr>
          <w:t>Enlace</w:t>
        </w:r>
      </w:hyperlink>
      <w:r w:rsidR="00DD5E19" w:rsidRPr="008E389B">
        <w:rPr>
          <w:rFonts w:ascii="Arial" w:hAnsi="Arial" w:cs="Arial"/>
          <w:sz w:val="18"/>
          <w:szCs w:val="18"/>
          <w:lang w:val="es-PE"/>
        </w:rPr>
        <w:t>.</w:t>
      </w:r>
      <w:r w:rsidRPr="008E389B">
        <w:rPr>
          <w:rFonts w:ascii="Arial" w:hAnsi="Arial" w:cs="Arial"/>
          <w:sz w:val="18"/>
          <w:szCs w:val="18"/>
          <w:lang w:val="es-ES"/>
        </w:rPr>
        <w:t xml:space="preserve">   </w:t>
      </w:r>
    </w:p>
  </w:footnote>
  <w:footnote w:id="19">
    <w:p w14:paraId="2D202928" w14:textId="17FFF923" w:rsidR="00D1017D" w:rsidRPr="008C74EA" w:rsidRDefault="00D1017D" w:rsidP="00825ABE">
      <w:pPr>
        <w:pStyle w:val="FootnoteText"/>
        <w:spacing w:after="0"/>
      </w:pPr>
      <w:r w:rsidRPr="008E389B">
        <w:rPr>
          <w:rStyle w:val="FootnoteReference"/>
          <w:rFonts w:ascii="Arial" w:hAnsi="Arial" w:cs="Arial"/>
          <w:sz w:val="18"/>
          <w:szCs w:val="18"/>
        </w:rPr>
        <w:footnoteRef/>
      </w:r>
      <w:r w:rsidRPr="008E389B">
        <w:rPr>
          <w:rFonts w:ascii="Arial" w:hAnsi="Arial" w:cs="Arial"/>
          <w:sz w:val="18"/>
          <w:szCs w:val="18"/>
        </w:rPr>
        <w:t xml:space="preserve"> </w:t>
      </w:r>
      <w:r w:rsidR="002E0ACF">
        <w:rPr>
          <w:rFonts w:ascii="Arial" w:hAnsi="Arial" w:cs="Arial"/>
          <w:sz w:val="18"/>
          <w:szCs w:val="18"/>
        </w:rPr>
        <w:t xml:space="preserve"> </w:t>
      </w:r>
      <w:r w:rsidRPr="008E389B">
        <w:rPr>
          <w:rFonts w:ascii="Arial" w:hAnsi="Arial" w:cs="Arial"/>
          <w:sz w:val="18"/>
          <w:szCs w:val="18"/>
        </w:rPr>
        <w:t xml:space="preserve">Constantinou, et al. (2010). </w:t>
      </w:r>
      <w:r w:rsidRPr="008E389B">
        <w:rPr>
          <w:rFonts w:ascii="Arial" w:hAnsi="Arial" w:cs="Arial"/>
          <w:i/>
          <w:iCs/>
          <w:sz w:val="18"/>
          <w:szCs w:val="18"/>
        </w:rPr>
        <w:t>Comment la microfinance surmonte-t-elle les crises financières et économiques?  Techniques Financières et Développement</w:t>
      </w:r>
      <w:r w:rsidRPr="008E389B">
        <w:rPr>
          <w:rFonts w:ascii="Arial" w:hAnsi="Arial" w:cs="Arial"/>
          <w:sz w:val="18"/>
          <w:szCs w:val="18"/>
        </w:rPr>
        <w:t>, N° 99, pp 31-44</w:t>
      </w:r>
      <w:r w:rsidRPr="008E389B">
        <w:rPr>
          <w:rFonts w:ascii="Arial" w:hAnsi="Arial" w:cs="Arial"/>
          <w:i/>
          <w:iCs/>
          <w:sz w:val="18"/>
          <w:szCs w:val="18"/>
        </w:rPr>
        <w:t xml:space="preserve">. </w:t>
      </w:r>
      <w:r w:rsidRPr="008E389B">
        <w:rPr>
          <w:rFonts w:ascii="Arial" w:hAnsi="Arial" w:cs="Arial"/>
          <w:sz w:val="18"/>
          <w:szCs w:val="18"/>
        </w:rPr>
        <w:t>Versión en inglés. (</w:t>
      </w:r>
      <w:hyperlink r:id="rId8" w:history="1">
        <w:r w:rsidRPr="008E389B">
          <w:rPr>
            <w:rStyle w:val="Hyperlink"/>
            <w:rFonts w:ascii="Arial" w:hAnsi="Arial" w:cs="Arial"/>
            <w:sz w:val="18"/>
            <w:szCs w:val="18"/>
          </w:rPr>
          <w:t>Enlace</w:t>
        </w:r>
      </w:hyperlink>
      <w:r w:rsidRPr="008E389B">
        <w:rPr>
          <w:rFonts w:ascii="Arial" w:hAnsi="Arial" w:cs="Arial"/>
          <w:sz w:val="18"/>
          <w:szCs w:val="18"/>
        </w:rPr>
        <w:t>).</w:t>
      </w:r>
    </w:p>
  </w:footnote>
  <w:footnote w:id="20">
    <w:p w14:paraId="382B3E34" w14:textId="3931186B" w:rsidR="008B5A3C" w:rsidRPr="000B094C" w:rsidRDefault="008B5A3C" w:rsidP="000A3318">
      <w:pPr>
        <w:pStyle w:val="FootnoteText"/>
        <w:spacing w:after="0"/>
        <w:rPr>
          <w:rFonts w:ascii="Arial" w:hAnsi="Arial" w:cs="Arial"/>
          <w:sz w:val="18"/>
          <w:szCs w:val="18"/>
        </w:rPr>
      </w:pPr>
      <w:r w:rsidRPr="000B094C">
        <w:rPr>
          <w:rStyle w:val="FootnoteReference"/>
          <w:rFonts w:ascii="Arial" w:hAnsi="Arial" w:cs="Arial"/>
          <w:sz w:val="18"/>
          <w:szCs w:val="18"/>
        </w:rPr>
        <w:footnoteRef/>
      </w:r>
      <w:r w:rsidRPr="000B094C">
        <w:rPr>
          <w:rFonts w:ascii="Arial" w:hAnsi="Arial" w:cs="Arial"/>
          <w:sz w:val="18"/>
          <w:szCs w:val="18"/>
        </w:rPr>
        <w:t xml:space="preserve"> </w:t>
      </w:r>
      <w:r>
        <w:rPr>
          <w:rFonts w:ascii="Arial" w:hAnsi="Arial" w:cs="Arial"/>
          <w:sz w:val="18"/>
          <w:szCs w:val="18"/>
        </w:rPr>
        <w:tab/>
      </w:r>
      <w:r w:rsidRPr="000B094C">
        <w:rPr>
          <w:rFonts w:ascii="Arial" w:hAnsi="Arial" w:cs="Arial"/>
          <w:sz w:val="18"/>
          <w:szCs w:val="18"/>
        </w:rPr>
        <w:t>Economist Intelligence Unit</w:t>
      </w:r>
      <w:r>
        <w:rPr>
          <w:rFonts w:ascii="Arial" w:hAnsi="Arial" w:cs="Arial"/>
          <w:sz w:val="18"/>
          <w:szCs w:val="18"/>
        </w:rPr>
        <w:t xml:space="preserve"> </w:t>
      </w:r>
      <w:r w:rsidRPr="000B094C">
        <w:rPr>
          <w:rFonts w:ascii="Arial" w:hAnsi="Arial" w:cs="Arial"/>
          <w:sz w:val="18"/>
          <w:szCs w:val="18"/>
        </w:rPr>
        <w:t xml:space="preserve">(2020). </w:t>
      </w:r>
      <w:r>
        <w:rPr>
          <w:rFonts w:ascii="Arial" w:hAnsi="Arial" w:cs="Arial"/>
          <w:i/>
          <w:iCs/>
          <w:sz w:val="18"/>
          <w:szCs w:val="18"/>
        </w:rPr>
        <w:t>Op</w:t>
      </w:r>
      <w:r w:rsidRPr="000B094C">
        <w:rPr>
          <w:rFonts w:ascii="Arial" w:hAnsi="Arial" w:cs="Arial"/>
          <w:sz w:val="18"/>
          <w:szCs w:val="18"/>
        </w:rPr>
        <w:t>.</w:t>
      </w:r>
      <w:r>
        <w:rPr>
          <w:rFonts w:ascii="Arial" w:hAnsi="Arial" w:cs="Arial"/>
          <w:sz w:val="18"/>
          <w:szCs w:val="18"/>
        </w:rPr>
        <w:t xml:space="preserve"> Cit</w:t>
      </w:r>
      <w:r w:rsidRPr="000B094C">
        <w:rPr>
          <w:rFonts w:ascii="Arial" w:hAnsi="Arial" w:cs="Arial"/>
          <w:sz w:val="18"/>
          <w:szCs w:val="18"/>
        </w:rPr>
        <w:t xml:space="preserve"> </w:t>
      </w:r>
    </w:p>
  </w:footnote>
  <w:footnote w:id="21">
    <w:p w14:paraId="6DFE3511" w14:textId="17A92A86" w:rsidR="008B5A3C" w:rsidRPr="005108CC" w:rsidRDefault="008B5A3C" w:rsidP="000A3318">
      <w:pPr>
        <w:pStyle w:val="FootnoteText"/>
        <w:spacing w:after="0"/>
        <w:rPr>
          <w:rFonts w:ascii="Arial" w:hAnsi="Arial" w:cs="Arial"/>
          <w:lang w:val="es-ES"/>
        </w:rPr>
      </w:pPr>
      <w:r w:rsidRPr="008A1D65">
        <w:rPr>
          <w:rStyle w:val="FootnoteReference"/>
          <w:rFonts w:ascii="Arial" w:hAnsi="Arial" w:cs="Arial"/>
          <w:sz w:val="18"/>
          <w:szCs w:val="18"/>
        </w:rPr>
        <w:footnoteRef/>
      </w:r>
      <w:r w:rsidRPr="008A1D65">
        <w:rPr>
          <w:rFonts w:ascii="Arial" w:hAnsi="Arial" w:cs="Arial"/>
          <w:sz w:val="18"/>
          <w:szCs w:val="18"/>
        </w:rPr>
        <w:t xml:space="preserve"> </w:t>
      </w:r>
      <w:r>
        <w:rPr>
          <w:rFonts w:ascii="Arial" w:hAnsi="Arial" w:cs="Arial"/>
          <w:sz w:val="18"/>
          <w:szCs w:val="18"/>
        </w:rPr>
        <w:tab/>
      </w:r>
      <w:r w:rsidRPr="00B170E8">
        <w:rPr>
          <w:rFonts w:ascii="Arial" w:hAnsi="Arial" w:cs="Arial"/>
          <w:sz w:val="18"/>
          <w:szCs w:val="18"/>
          <w:lang w:val="es-PE"/>
        </w:rPr>
        <w:t xml:space="preserve">CNC (2020). </w:t>
      </w:r>
      <w:r>
        <w:rPr>
          <w:rFonts w:ascii="Arial" w:hAnsi="Arial" w:cs="Arial"/>
          <w:sz w:val="18"/>
          <w:szCs w:val="18"/>
          <w:lang w:val="es-PE"/>
        </w:rPr>
        <w:t>Op.Cit</w:t>
      </w:r>
      <w:r w:rsidRPr="008A1D65">
        <w:rPr>
          <w:rFonts w:ascii="Arial" w:hAnsi="Arial" w:cs="Arial"/>
          <w:sz w:val="18"/>
          <w:szCs w:val="18"/>
          <w:lang w:val="es-ES"/>
        </w:rPr>
        <w:t xml:space="preserve">   </w:t>
      </w:r>
    </w:p>
  </w:footnote>
  <w:footnote w:id="22">
    <w:p w14:paraId="4C46C7C2" w14:textId="30826B09" w:rsidR="008B5A3C" w:rsidRPr="008C74EA" w:rsidRDefault="008B5A3C" w:rsidP="000A3318">
      <w:pPr>
        <w:pStyle w:val="FootnoteText"/>
        <w:spacing w:after="0"/>
      </w:pPr>
      <w:r w:rsidRPr="000B094C">
        <w:rPr>
          <w:rStyle w:val="FootnoteReference"/>
          <w:rFonts w:ascii="Arial" w:hAnsi="Arial" w:cs="Arial"/>
          <w:sz w:val="18"/>
          <w:szCs w:val="18"/>
        </w:rPr>
        <w:footnoteRef/>
      </w:r>
      <w:r w:rsidRPr="000B094C">
        <w:rPr>
          <w:rFonts w:ascii="Arial" w:hAnsi="Arial" w:cs="Arial"/>
          <w:sz w:val="18"/>
          <w:szCs w:val="18"/>
        </w:rPr>
        <w:t xml:space="preserve">  </w:t>
      </w:r>
      <w:r w:rsidR="008E2708">
        <w:rPr>
          <w:rFonts w:ascii="Arial" w:hAnsi="Arial" w:cs="Arial"/>
          <w:sz w:val="18"/>
          <w:szCs w:val="18"/>
        </w:rPr>
        <w:tab/>
      </w:r>
      <w:r w:rsidRPr="000B094C">
        <w:rPr>
          <w:rFonts w:ascii="Arial" w:hAnsi="Arial" w:cs="Arial"/>
          <w:sz w:val="18"/>
          <w:szCs w:val="18"/>
        </w:rPr>
        <w:t xml:space="preserve">Constantinou, et al. (2010). </w:t>
      </w:r>
      <w:r>
        <w:rPr>
          <w:rFonts w:ascii="Arial" w:hAnsi="Arial" w:cs="Arial"/>
          <w:i/>
          <w:iCs/>
          <w:sz w:val="18"/>
          <w:szCs w:val="18"/>
        </w:rPr>
        <w:t>Op. Cit.</w:t>
      </w:r>
    </w:p>
  </w:footnote>
  <w:footnote w:id="23">
    <w:p w14:paraId="30752316" w14:textId="66291594" w:rsidR="00115D08" w:rsidRPr="000B094C" w:rsidRDefault="00115D08" w:rsidP="00115D08">
      <w:pPr>
        <w:pStyle w:val="FootnoteText"/>
        <w:spacing w:after="0"/>
        <w:rPr>
          <w:rFonts w:ascii="Arial" w:hAnsi="Arial" w:cs="Arial"/>
          <w:sz w:val="18"/>
          <w:szCs w:val="18"/>
        </w:rPr>
      </w:pPr>
      <w:r w:rsidRPr="000B094C">
        <w:rPr>
          <w:rStyle w:val="FootnoteReference"/>
          <w:rFonts w:ascii="Arial" w:hAnsi="Arial" w:cs="Arial"/>
          <w:sz w:val="18"/>
          <w:szCs w:val="18"/>
        </w:rPr>
        <w:footnoteRef/>
      </w:r>
      <w:r w:rsidRPr="000B094C">
        <w:rPr>
          <w:rFonts w:ascii="Arial" w:hAnsi="Arial" w:cs="Arial"/>
          <w:sz w:val="18"/>
          <w:szCs w:val="18"/>
        </w:rPr>
        <w:t xml:space="preserve"> </w:t>
      </w:r>
      <w:r>
        <w:rPr>
          <w:rFonts w:ascii="Arial" w:hAnsi="Arial" w:cs="Arial"/>
          <w:sz w:val="18"/>
          <w:szCs w:val="18"/>
        </w:rPr>
        <w:tab/>
      </w:r>
      <w:r w:rsidRPr="000B094C">
        <w:rPr>
          <w:rFonts w:ascii="Arial" w:hAnsi="Arial" w:cs="Arial"/>
          <w:sz w:val="18"/>
          <w:szCs w:val="18"/>
        </w:rPr>
        <w:t>Economist Intelligence Unit</w:t>
      </w:r>
      <w:r>
        <w:rPr>
          <w:rFonts w:ascii="Arial" w:hAnsi="Arial" w:cs="Arial"/>
          <w:sz w:val="18"/>
          <w:szCs w:val="18"/>
        </w:rPr>
        <w:t xml:space="preserve"> </w:t>
      </w:r>
      <w:r w:rsidRPr="000B094C">
        <w:rPr>
          <w:rFonts w:ascii="Arial" w:hAnsi="Arial" w:cs="Arial"/>
          <w:sz w:val="18"/>
          <w:szCs w:val="18"/>
        </w:rPr>
        <w:t xml:space="preserve">(2020). </w:t>
      </w:r>
      <w:r w:rsidR="008E2708">
        <w:rPr>
          <w:rFonts w:ascii="Arial" w:hAnsi="Arial" w:cs="Arial"/>
          <w:i/>
          <w:iCs/>
          <w:sz w:val="18"/>
          <w:szCs w:val="18"/>
        </w:rPr>
        <w:t>Op</w:t>
      </w:r>
      <w:r w:rsidRPr="000B094C">
        <w:rPr>
          <w:rFonts w:ascii="Arial" w:hAnsi="Arial" w:cs="Arial"/>
          <w:sz w:val="18"/>
          <w:szCs w:val="18"/>
        </w:rPr>
        <w:t>.</w:t>
      </w:r>
      <w:r w:rsidR="008E2708">
        <w:rPr>
          <w:rFonts w:ascii="Arial" w:hAnsi="Arial" w:cs="Arial"/>
          <w:sz w:val="18"/>
          <w:szCs w:val="18"/>
        </w:rPr>
        <w:t>Cit.</w:t>
      </w:r>
      <w:r w:rsidRPr="000B094C">
        <w:rPr>
          <w:rFonts w:ascii="Arial" w:hAnsi="Arial" w:cs="Arial"/>
          <w:sz w:val="18"/>
          <w:szCs w:val="18"/>
        </w:rPr>
        <w:t xml:space="preserve"> </w:t>
      </w:r>
    </w:p>
  </w:footnote>
  <w:footnote w:id="24">
    <w:p w14:paraId="18CFDA96" w14:textId="2EEDBB12" w:rsidR="00115D08" w:rsidRPr="005108CC" w:rsidRDefault="00115D08" w:rsidP="00115D08">
      <w:pPr>
        <w:pStyle w:val="FootnoteText"/>
        <w:spacing w:after="0"/>
        <w:rPr>
          <w:rFonts w:ascii="Arial" w:hAnsi="Arial" w:cs="Arial"/>
          <w:lang w:val="es-ES"/>
        </w:rPr>
      </w:pPr>
      <w:r w:rsidRPr="008A1D65">
        <w:rPr>
          <w:rStyle w:val="FootnoteReference"/>
          <w:rFonts w:ascii="Arial" w:hAnsi="Arial" w:cs="Arial"/>
          <w:sz w:val="18"/>
          <w:szCs w:val="18"/>
        </w:rPr>
        <w:footnoteRef/>
      </w:r>
      <w:r w:rsidRPr="008A1D65">
        <w:rPr>
          <w:rFonts w:ascii="Arial" w:hAnsi="Arial" w:cs="Arial"/>
          <w:sz w:val="18"/>
          <w:szCs w:val="18"/>
        </w:rPr>
        <w:t xml:space="preserve"> </w:t>
      </w:r>
      <w:r>
        <w:rPr>
          <w:rFonts w:ascii="Arial" w:hAnsi="Arial" w:cs="Arial"/>
          <w:sz w:val="18"/>
          <w:szCs w:val="18"/>
        </w:rPr>
        <w:tab/>
      </w:r>
      <w:r w:rsidR="008E2708" w:rsidRPr="00B170E8">
        <w:rPr>
          <w:rFonts w:ascii="Arial" w:hAnsi="Arial" w:cs="Arial"/>
          <w:sz w:val="18"/>
          <w:szCs w:val="18"/>
          <w:lang w:val="es-PE"/>
        </w:rPr>
        <w:t xml:space="preserve">CNC (2020). </w:t>
      </w:r>
      <w:r w:rsidR="008E2708">
        <w:rPr>
          <w:rFonts w:ascii="Arial" w:hAnsi="Arial" w:cs="Arial"/>
          <w:sz w:val="18"/>
          <w:szCs w:val="18"/>
          <w:lang w:val="es-PE"/>
        </w:rPr>
        <w:t>Op.Cit</w:t>
      </w:r>
      <w:r w:rsidRPr="00B170E8">
        <w:rPr>
          <w:lang w:val="es-PE"/>
        </w:rPr>
        <w:t>.</w:t>
      </w:r>
      <w:r w:rsidRPr="008A1D65">
        <w:rPr>
          <w:rFonts w:ascii="Arial" w:hAnsi="Arial" w:cs="Arial"/>
          <w:sz w:val="18"/>
          <w:szCs w:val="18"/>
          <w:lang w:val="es-ES"/>
        </w:rPr>
        <w:t xml:space="preserve">   </w:t>
      </w:r>
    </w:p>
  </w:footnote>
  <w:footnote w:id="25">
    <w:p w14:paraId="79016CED" w14:textId="52057DBE" w:rsidR="00115D08" w:rsidRPr="008C74EA" w:rsidRDefault="00115D08" w:rsidP="00115D08">
      <w:pPr>
        <w:pStyle w:val="FootnoteText"/>
        <w:spacing w:after="0"/>
      </w:pPr>
      <w:r w:rsidRPr="000B094C">
        <w:rPr>
          <w:rStyle w:val="FootnoteReference"/>
          <w:rFonts w:ascii="Arial" w:hAnsi="Arial" w:cs="Arial"/>
          <w:sz w:val="18"/>
          <w:szCs w:val="18"/>
        </w:rPr>
        <w:footnoteRef/>
      </w:r>
      <w:r w:rsidRPr="000B094C">
        <w:rPr>
          <w:rFonts w:ascii="Arial" w:hAnsi="Arial" w:cs="Arial"/>
          <w:sz w:val="18"/>
          <w:szCs w:val="18"/>
        </w:rPr>
        <w:t xml:space="preserve">  </w:t>
      </w:r>
      <w:r w:rsidR="002E0ACF">
        <w:rPr>
          <w:rFonts w:ascii="Arial" w:hAnsi="Arial" w:cs="Arial"/>
          <w:sz w:val="18"/>
          <w:szCs w:val="18"/>
        </w:rPr>
        <w:t xml:space="preserve"> </w:t>
      </w:r>
      <w:r w:rsidR="008E2708" w:rsidRPr="000B094C">
        <w:rPr>
          <w:rFonts w:ascii="Arial" w:hAnsi="Arial" w:cs="Arial"/>
          <w:sz w:val="18"/>
          <w:szCs w:val="18"/>
        </w:rPr>
        <w:t xml:space="preserve">Constantinou, et al. (2010). </w:t>
      </w:r>
      <w:r w:rsidR="008E2708">
        <w:rPr>
          <w:rFonts w:ascii="Arial" w:hAnsi="Arial" w:cs="Arial"/>
          <w:i/>
          <w:iCs/>
          <w:sz w:val="18"/>
          <w:szCs w:val="18"/>
        </w:rPr>
        <w:t>Op. Cit.</w:t>
      </w:r>
    </w:p>
  </w:footnote>
  <w:footnote w:id="26">
    <w:p w14:paraId="76698EBF" w14:textId="77777777" w:rsidR="00AD3C98" w:rsidRPr="000B094C" w:rsidRDefault="00AD3C98" w:rsidP="00AD3C98">
      <w:pPr>
        <w:pStyle w:val="FootnoteText"/>
        <w:spacing w:after="0"/>
        <w:rPr>
          <w:rFonts w:ascii="Arial" w:hAnsi="Arial" w:cs="Arial"/>
          <w:sz w:val="18"/>
          <w:szCs w:val="18"/>
        </w:rPr>
      </w:pPr>
      <w:r w:rsidRPr="000B094C">
        <w:rPr>
          <w:rStyle w:val="FootnoteReference"/>
          <w:rFonts w:ascii="Arial" w:hAnsi="Arial" w:cs="Arial"/>
          <w:sz w:val="18"/>
          <w:szCs w:val="18"/>
        </w:rPr>
        <w:footnoteRef/>
      </w:r>
      <w:r w:rsidRPr="000B094C">
        <w:rPr>
          <w:rFonts w:ascii="Arial" w:hAnsi="Arial" w:cs="Arial"/>
          <w:sz w:val="18"/>
          <w:szCs w:val="18"/>
        </w:rPr>
        <w:t xml:space="preserve"> </w:t>
      </w:r>
      <w:r>
        <w:rPr>
          <w:rFonts w:ascii="Arial" w:hAnsi="Arial" w:cs="Arial"/>
          <w:sz w:val="18"/>
          <w:szCs w:val="18"/>
        </w:rPr>
        <w:tab/>
      </w:r>
      <w:r w:rsidRPr="000B094C">
        <w:rPr>
          <w:rFonts w:ascii="Arial" w:hAnsi="Arial" w:cs="Arial"/>
          <w:sz w:val="18"/>
          <w:szCs w:val="18"/>
        </w:rPr>
        <w:t>Economist Intelligence Unit</w:t>
      </w:r>
      <w:r>
        <w:rPr>
          <w:rFonts w:ascii="Arial" w:hAnsi="Arial" w:cs="Arial"/>
          <w:sz w:val="18"/>
          <w:szCs w:val="18"/>
        </w:rPr>
        <w:t xml:space="preserve"> </w:t>
      </w:r>
      <w:r w:rsidRPr="000B094C">
        <w:rPr>
          <w:rFonts w:ascii="Arial" w:hAnsi="Arial" w:cs="Arial"/>
          <w:sz w:val="18"/>
          <w:szCs w:val="18"/>
        </w:rPr>
        <w:t xml:space="preserve">(2020). </w:t>
      </w:r>
      <w:r>
        <w:rPr>
          <w:rFonts w:ascii="Arial" w:hAnsi="Arial" w:cs="Arial"/>
          <w:i/>
          <w:iCs/>
          <w:sz w:val="18"/>
          <w:szCs w:val="18"/>
        </w:rPr>
        <w:t>Op</w:t>
      </w:r>
      <w:r w:rsidRPr="000B094C">
        <w:rPr>
          <w:rFonts w:ascii="Arial" w:hAnsi="Arial" w:cs="Arial"/>
          <w:sz w:val="18"/>
          <w:szCs w:val="18"/>
        </w:rPr>
        <w:t>.</w:t>
      </w:r>
      <w:r>
        <w:rPr>
          <w:rFonts w:ascii="Arial" w:hAnsi="Arial" w:cs="Arial"/>
          <w:sz w:val="18"/>
          <w:szCs w:val="18"/>
        </w:rPr>
        <w:t xml:space="preserve"> Cit</w:t>
      </w:r>
      <w:r w:rsidRPr="000B094C">
        <w:rPr>
          <w:rFonts w:ascii="Arial" w:hAnsi="Arial" w:cs="Arial"/>
          <w:sz w:val="18"/>
          <w:szCs w:val="18"/>
        </w:rPr>
        <w:t xml:space="preserve"> </w:t>
      </w:r>
    </w:p>
  </w:footnote>
  <w:footnote w:id="27">
    <w:p w14:paraId="4A963045" w14:textId="77777777" w:rsidR="00AD3C98" w:rsidRPr="005108CC" w:rsidRDefault="00AD3C98" w:rsidP="00AD3C98">
      <w:pPr>
        <w:pStyle w:val="FootnoteText"/>
        <w:spacing w:after="0"/>
        <w:rPr>
          <w:rFonts w:ascii="Arial" w:hAnsi="Arial" w:cs="Arial"/>
          <w:lang w:val="es-ES"/>
        </w:rPr>
      </w:pPr>
      <w:r w:rsidRPr="008A1D65">
        <w:rPr>
          <w:rStyle w:val="FootnoteReference"/>
          <w:rFonts w:ascii="Arial" w:hAnsi="Arial" w:cs="Arial"/>
          <w:sz w:val="18"/>
          <w:szCs w:val="18"/>
        </w:rPr>
        <w:footnoteRef/>
      </w:r>
      <w:r w:rsidRPr="008A1D65">
        <w:rPr>
          <w:rFonts w:ascii="Arial" w:hAnsi="Arial" w:cs="Arial"/>
          <w:sz w:val="18"/>
          <w:szCs w:val="18"/>
        </w:rPr>
        <w:t xml:space="preserve"> </w:t>
      </w:r>
      <w:r>
        <w:rPr>
          <w:rFonts w:ascii="Arial" w:hAnsi="Arial" w:cs="Arial"/>
          <w:sz w:val="18"/>
          <w:szCs w:val="18"/>
        </w:rPr>
        <w:tab/>
      </w:r>
      <w:r w:rsidRPr="00B170E8">
        <w:rPr>
          <w:rFonts w:ascii="Arial" w:hAnsi="Arial" w:cs="Arial"/>
          <w:sz w:val="18"/>
          <w:szCs w:val="18"/>
          <w:lang w:val="es-PE"/>
        </w:rPr>
        <w:t xml:space="preserve">CNC (2020). </w:t>
      </w:r>
      <w:r>
        <w:rPr>
          <w:rFonts w:ascii="Arial" w:hAnsi="Arial" w:cs="Arial"/>
          <w:sz w:val="18"/>
          <w:szCs w:val="18"/>
          <w:lang w:val="es-PE"/>
        </w:rPr>
        <w:t>Op.Cit</w:t>
      </w:r>
      <w:r w:rsidRPr="008A1D65">
        <w:rPr>
          <w:rFonts w:ascii="Arial" w:hAnsi="Arial" w:cs="Arial"/>
          <w:sz w:val="18"/>
          <w:szCs w:val="18"/>
          <w:lang w:val="es-ES"/>
        </w:rPr>
        <w:t xml:space="preserve">   </w:t>
      </w:r>
    </w:p>
  </w:footnote>
  <w:footnote w:id="28">
    <w:p w14:paraId="7EC69CB5" w14:textId="77777777" w:rsidR="00AD3C98" w:rsidRPr="008C74EA" w:rsidRDefault="00AD3C98" w:rsidP="00AD3C98">
      <w:pPr>
        <w:pStyle w:val="FootnoteText"/>
        <w:spacing w:after="0"/>
      </w:pPr>
      <w:r w:rsidRPr="000B094C">
        <w:rPr>
          <w:rStyle w:val="FootnoteReference"/>
          <w:rFonts w:ascii="Arial" w:hAnsi="Arial" w:cs="Arial"/>
          <w:sz w:val="18"/>
          <w:szCs w:val="18"/>
        </w:rPr>
        <w:footnoteRef/>
      </w:r>
      <w:r w:rsidRPr="000B094C">
        <w:rPr>
          <w:rFonts w:ascii="Arial" w:hAnsi="Arial" w:cs="Arial"/>
          <w:sz w:val="18"/>
          <w:szCs w:val="18"/>
        </w:rPr>
        <w:t xml:space="preserve">  </w:t>
      </w:r>
      <w:r>
        <w:rPr>
          <w:rFonts w:ascii="Arial" w:hAnsi="Arial" w:cs="Arial"/>
          <w:sz w:val="18"/>
          <w:szCs w:val="18"/>
        </w:rPr>
        <w:tab/>
      </w:r>
      <w:r w:rsidRPr="000B094C">
        <w:rPr>
          <w:rFonts w:ascii="Arial" w:hAnsi="Arial" w:cs="Arial"/>
          <w:sz w:val="18"/>
          <w:szCs w:val="18"/>
        </w:rPr>
        <w:t xml:space="preserve">Constantinou, et al. (2010). </w:t>
      </w:r>
      <w:r>
        <w:rPr>
          <w:rFonts w:ascii="Arial" w:hAnsi="Arial" w:cs="Arial"/>
          <w:i/>
          <w:iCs/>
          <w:sz w:val="18"/>
          <w:szCs w:val="18"/>
        </w:rPr>
        <w:t>Op. Cit.</w:t>
      </w:r>
    </w:p>
  </w:footnote>
  <w:footnote w:id="29">
    <w:p w14:paraId="752A81D9" w14:textId="77777777" w:rsidR="00D33D3D" w:rsidRPr="000B094C" w:rsidRDefault="00D33D3D" w:rsidP="007D1C49">
      <w:pPr>
        <w:pStyle w:val="FootnoteText"/>
        <w:spacing w:after="0"/>
        <w:rPr>
          <w:rFonts w:ascii="Arial" w:hAnsi="Arial" w:cs="Arial"/>
          <w:sz w:val="18"/>
          <w:szCs w:val="18"/>
        </w:rPr>
      </w:pPr>
      <w:r w:rsidRPr="000B094C">
        <w:rPr>
          <w:rStyle w:val="FootnoteReference"/>
          <w:rFonts w:ascii="Arial" w:hAnsi="Arial" w:cs="Arial"/>
          <w:sz w:val="18"/>
          <w:szCs w:val="18"/>
        </w:rPr>
        <w:footnoteRef/>
      </w:r>
      <w:r w:rsidRPr="000B094C">
        <w:rPr>
          <w:rFonts w:ascii="Arial" w:hAnsi="Arial" w:cs="Arial"/>
          <w:sz w:val="18"/>
          <w:szCs w:val="18"/>
        </w:rPr>
        <w:t xml:space="preserve"> </w:t>
      </w:r>
      <w:r>
        <w:rPr>
          <w:rFonts w:ascii="Arial" w:hAnsi="Arial" w:cs="Arial"/>
          <w:sz w:val="18"/>
          <w:szCs w:val="18"/>
        </w:rPr>
        <w:tab/>
      </w:r>
      <w:r w:rsidRPr="000B094C">
        <w:rPr>
          <w:rFonts w:ascii="Arial" w:hAnsi="Arial" w:cs="Arial"/>
          <w:sz w:val="18"/>
          <w:szCs w:val="18"/>
        </w:rPr>
        <w:t>Economist Intelligence Unit</w:t>
      </w:r>
      <w:r>
        <w:rPr>
          <w:rFonts w:ascii="Arial" w:hAnsi="Arial" w:cs="Arial"/>
          <w:sz w:val="18"/>
          <w:szCs w:val="18"/>
        </w:rPr>
        <w:t xml:space="preserve"> </w:t>
      </w:r>
      <w:r w:rsidRPr="000B094C">
        <w:rPr>
          <w:rFonts w:ascii="Arial" w:hAnsi="Arial" w:cs="Arial"/>
          <w:sz w:val="18"/>
          <w:szCs w:val="18"/>
        </w:rPr>
        <w:t xml:space="preserve">(2020). </w:t>
      </w:r>
      <w:r>
        <w:rPr>
          <w:rFonts w:ascii="Arial" w:hAnsi="Arial" w:cs="Arial"/>
          <w:i/>
          <w:iCs/>
          <w:sz w:val="18"/>
          <w:szCs w:val="18"/>
        </w:rPr>
        <w:t>Op</w:t>
      </w:r>
      <w:r w:rsidRPr="000B094C">
        <w:rPr>
          <w:rFonts w:ascii="Arial" w:hAnsi="Arial" w:cs="Arial"/>
          <w:sz w:val="18"/>
          <w:szCs w:val="18"/>
        </w:rPr>
        <w:t>.</w:t>
      </w:r>
      <w:r>
        <w:rPr>
          <w:rFonts w:ascii="Arial" w:hAnsi="Arial" w:cs="Arial"/>
          <w:sz w:val="18"/>
          <w:szCs w:val="18"/>
        </w:rPr>
        <w:t xml:space="preserve"> Cit</w:t>
      </w:r>
      <w:r w:rsidRPr="000B094C">
        <w:rPr>
          <w:rFonts w:ascii="Arial" w:hAnsi="Arial" w:cs="Arial"/>
          <w:sz w:val="18"/>
          <w:szCs w:val="18"/>
        </w:rPr>
        <w:t xml:space="preserve"> </w:t>
      </w:r>
    </w:p>
  </w:footnote>
  <w:footnote w:id="30">
    <w:p w14:paraId="7AC4616F" w14:textId="77777777" w:rsidR="00D33D3D" w:rsidRPr="005108CC" w:rsidRDefault="00D33D3D" w:rsidP="007D1C49">
      <w:pPr>
        <w:pStyle w:val="FootnoteText"/>
        <w:spacing w:after="0"/>
        <w:rPr>
          <w:rFonts w:ascii="Arial" w:hAnsi="Arial" w:cs="Arial"/>
          <w:lang w:val="es-ES"/>
        </w:rPr>
      </w:pPr>
      <w:r w:rsidRPr="008A1D65">
        <w:rPr>
          <w:rStyle w:val="FootnoteReference"/>
          <w:rFonts w:ascii="Arial" w:hAnsi="Arial" w:cs="Arial"/>
          <w:sz w:val="18"/>
          <w:szCs w:val="18"/>
        </w:rPr>
        <w:footnoteRef/>
      </w:r>
      <w:r w:rsidRPr="008A1D65">
        <w:rPr>
          <w:rFonts w:ascii="Arial" w:hAnsi="Arial" w:cs="Arial"/>
          <w:sz w:val="18"/>
          <w:szCs w:val="18"/>
        </w:rPr>
        <w:t xml:space="preserve"> </w:t>
      </w:r>
      <w:r>
        <w:rPr>
          <w:rFonts w:ascii="Arial" w:hAnsi="Arial" w:cs="Arial"/>
          <w:sz w:val="18"/>
          <w:szCs w:val="18"/>
        </w:rPr>
        <w:tab/>
      </w:r>
      <w:r w:rsidRPr="00B170E8">
        <w:rPr>
          <w:rFonts w:ascii="Arial" w:hAnsi="Arial" w:cs="Arial"/>
          <w:sz w:val="18"/>
          <w:szCs w:val="18"/>
          <w:lang w:val="es-PE"/>
        </w:rPr>
        <w:t xml:space="preserve">CNC (2020). </w:t>
      </w:r>
      <w:r>
        <w:rPr>
          <w:rFonts w:ascii="Arial" w:hAnsi="Arial" w:cs="Arial"/>
          <w:sz w:val="18"/>
          <w:szCs w:val="18"/>
          <w:lang w:val="es-PE"/>
        </w:rPr>
        <w:t>Op.Cit</w:t>
      </w:r>
      <w:r w:rsidRPr="008A1D65">
        <w:rPr>
          <w:rFonts w:ascii="Arial" w:hAnsi="Arial" w:cs="Arial"/>
          <w:sz w:val="18"/>
          <w:szCs w:val="18"/>
          <w:lang w:val="es-ES"/>
        </w:rPr>
        <w:t xml:space="preserve">   </w:t>
      </w:r>
    </w:p>
  </w:footnote>
  <w:footnote w:id="31">
    <w:p w14:paraId="5ADAC60D" w14:textId="77777777" w:rsidR="00D33D3D" w:rsidRPr="008C74EA" w:rsidRDefault="00D33D3D" w:rsidP="007D1C49">
      <w:pPr>
        <w:pStyle w:val="FootnoteText"/>
        <w:spacing w:after="0"/>
      </w:pPr>
      <w:r w:rsidRPr="000B094C">
        <w:rPr>
          <w:rStyle w:val="FootnoteReference"/>
          <w:rFonts w:ascii="Arial" w:hAnsi="Arial" w:cs="Arial"/>
          <w:sz w:val="18"/>
          <w:szCs w:val="18"/>
        </w:rPr>
        <w:footnoteRef/>
      </w:r>
      <w:r w:rsidRPr="000B094C">
        <w:rPr>
          <w:rFonts w:ascii="Arial" w:hAnsi="Arial" w:cs="Arial"/>
          <w:sz w:val="18"/>
          <w:szCs w:val="18"/>
        </w:rPr>
        <w:t xml:space="preserve">  </w:t>
      </w:r>
      <w:r>
        <w:rPr>
          <w:rFonts w:ascii="Arial" w:hAnsi="Arial" w:cs="Arial"/>
          <w:sz w:val="18"/>
          <w:szCs w:val="18"/>
        </w:rPr>
        <w:tab/>
      </w:r>
      <w:r w:rsidRPr="000B094C">
        <w:rPr>
          <w:rFonts w:ascii="Arial" w:hAnsi="Arial" w:cs="Arial"/>
          <w:sz w:val="18"/>
          <w:szCs w:val="18"/>
        </w:rPr>
        <w:t xml:space="preserve">Constantinou, et al. (2010). </w:t>
      </w:r>
      <w:r>
        <w:rPr>
          <w:rFonts w:ascii="Arial" w:hAnsi="Arial" w:cs="Arial"/>
          <w:i/>
          <w:iCs/>
          <w:sz w:val="18"/>
          <w:szCs w:val="18"/>
        </w:rPr>
        <w:t>Op. Cit.</w:t>
      </w:r>
    </w:p>
  </w:footnote>
  <w:footnote w:id="32">
    <w:p w14:paraId="42B46647" w14:textId="5DBC66EB" w:rsidR="005822E1" w:rsidRPr="003D1AD6" w:rsidRDefault="005822E1" w:rsidP="000E4BA5">
      <w:pPr>
        <w:pStyle w:val="FootnoteText"/>
        <w:spacing w:after="60"/>
        <w:rPr>
          <w:rFonts w:ascii="Arial" w:hAnsi="Arial" w:cs="Arial"/>
          <w:sz w:val="18"/>
          <w:szCs w:val="18"/>
          <w:lang w:val="es-ES"/>
        </w:rPr>
      </w:pPr>
      <w:r w:rsidRPr="00674258">
        <w:rPr>
          <w:rStyle w:val="FootnoteReference"/>
          <w:rFonts w:ascii="Arial" w:hAnsi="Arial" w:cs="Arial"/>
          <w:sz w:val="18"/>
          <w:szCs w:val="18"/>
        </w:rPr>
        <w:footnoteRef/>
      </w:r>
      <w:r w:rsidRPr="00911ED9">
        <w:rPr>
          <w:rStyle w:val="FootnoteReference"/>
          <w:rFonts w:ascii="Arial" w:hAnsi="Arial" w:cs="Arial"/>
          <w:sz w:val="18"/>
          <w:szCs w:val="18"/>
        </w:rPr>
        <w:t xml:space="preserve"> </w:t>
      </w:r>
      <w:r w:rsidRPr="00911ED9">
        <w:rPr>
          <w:rFonts w:ascii="Arial" w:hAnsi="Arial" w:cs="Arial"/>
          <w:sz w:val="18"/>
          <w:szCs w:val="18"/>
        </w:rPr>
        <w:tab/>
        <w:t>Ver “</w:t>
      </w:r>
      <w:r w:rsidRPr="00911ED9">
        <w:rPr>
          <w:rFonts w:ascii="Arial" w:hAnsi="Arial" w:cs="Arial"/>
          <w:i/>
          <w:iCs/>
          <w:sz w:val="18"/>
          <w:szCs w:val="18"/>
        </w:rPr>
        <w:t>Second - tier Government Banks and Firm Performance</w:t>
      </w:r>
      <w:r w:rsidRPr="00911ED9">
        <w:rPr>
          <w:rFonts w:ascii="Arial" w:hAnsi="Arial" w:cs="Arial"/>
          <w:sz w:val="18"/>
          <w:szCs w:val="18"/>
        </w:rPr>
        <w:t xml:space="preserve">.” </w:t>
      </w:r>
      <w:r w:rsidRPr="003D1AD6">
        <w:rPr>
          <w:rFonts w:ascii="Arial" w:hAnsi="Arial" w:cs="Arial"/>
          <w:sz w:val="18"/>
          <w:szCs w:val="18"/>
        </w:rPr>
        <w:t xml:space="preserve">IDB Working Paper Series No. </w:t>
      </w:r>
      <w:r w:rsidRPr="00447395">
        <w:rPr>
          <w:rFonts w:ascii="Arial" w:hAnsi="Arial" w:cs="Arial"/>
          <w:sz w:val="18"/>
          <w:szCs w:val="18"/>
          <w:lang w:val="es-ES"/>
        </w:rPr>
        <w:t>IDB - WP - 294.</w:t>
      </w:r>
    </w:p>
  </w:footnote>
  <w:footnote w:id="33">
    <w:p w14:paraId="4619116F" w14:textId="77777777" w:rsidR="005822E1" w:rsidRPr="003D1AD6" w:rsidRDefault="005822E1" w:rsidP="00A11FC0">
      <w:pPr>
        <w:pStyle w:val="FootnoteText"/>
        <w:rPr>
          <w:rFonts w:ascii="Arial" w:hAnsi="Arial" w:cs="Arial"/>
          <w:sz w:val="18"/>
          <w:szCs w:val="18"/>
          <w:lang w:val="es-ES"/>
        </w:rPr>
      </w:pPr>
      <w:r w:rsidRPr="00D14E04">
        <w:rPr>
          <w:rStyle w:val="FootnoteReference"/>
          <w:rFonts w:ascii="Arial" w:hAnsi="Arial" w:cs="Arial"/>
          <w:sz w:val="18"/>
          <w:szCs w:val="18"/>
        </w:rPr>
        <w:footnoteRef/>
      </w:r>
      <w:r w:rsidRPr="00A11FC0">
        <w:rPr>
          <w:rFonts w:ascii="Arial" w:hAnsi="Arial" w:cs="Arial"/>
          <w:sz w:val="18"/>
          <w:szCs w:val="18"/>
          <w:lang w:val="es-ES"/>
        </w:rPr>
        <w:t xml:space="preserve"> </w:t>
      </w:r>
      <w:r w:rsidRPr="00A11FC0">
        <w:rPr>
          <w:rFonts w:ascii="Arial" w:hAnsi="Arial" w:cs="Arial"/>
          <w:sz w:val="18"/>
          <w:szCs w:val="18"/>
          <w:lang w:val="es-ES"/>
        </w:rPr>
        <w:tab/>
        <w:t xml:space="preserve">El Banco también ha generado conocimiento en el tema. Entre las publicaciones más relevantes, cabe mencionar: Desencadenar el Crédito (BID, 2005); La era de la productividad (BID, 2010) y Políticas e Instituciones para el Desarrollo Productivo (BID, 2014a) de la serie Desarrollo en las Américas; Bancos Públicos de Desarrollo: ¿hacia un nuevo paradigma? </w:t>
      </w:r>
      <w:r w:rsidRPr="00532BD9">
        <w:rPr>
          <w:rFonts w:ascii="Arial" w:hAnsi="Arial" w:cs="Arial"/>
          <w:sz w:val="18"/>
          <w:szCs w:val="18"/>
          <w:lang w:val="es-ES"/>
        </w:rPr>
        <w:t>(BID-CMF, 2013); El rol de los Bancos Nacionales de Desarrollo en catalizar el financiamiento climático internacional (Smallridge y otros, 2013); Gestión Integral de Riesgos para Cadenas de Valor (Calatayud y Ketterer, 2016); y evaluaciones de impacto de programas del Sector en Argentina (Bueso-Merriam y otros, 2016), Chile (Bonilla y Cancino, 2001), Colombia (Eslava y otros, 2012), Costa Rica (Torres y otros, 2003) y México (Calderón y otros,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96C6B8F8"/>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4"/>
  </w:num>
  <w:num w:numId="4">
    <w:abstractNumId w:val="1"/>
  </w:num>
  <w:num w:numId="5">
    <w:abstractNumId w:val="2"/>
  </w:num>
  <w:num w:numId="6">
    <w:abstractNumId w:val="8"/>
  </w:num>
  <w:num w:numId="7">
    <w:abstractNumId w:val="9"/>
  </w:num>
  <w:num w:numId="8">
    <w:abstractNumId w:val="10"/>
  </w:num>
  <w:num w:numId="9">
    <w:abstractNumId w:val="5"/>
  </w:num>
  <w:num w:numId="10">
    <w:abstractNumId w:val="5"/>
  </w:num>
  <w:num w:numId="11">
    <w:abstractNumId w:val="5"/>
  </w:num>
  <w:num w:numId="12">
    <w:abstractNumId w:val="5"/>
  </w:num>
  <w:num w:numId="13">
    <w:abstractNumId w:val="3"/>
  </w:num>
  <w:num w:numId="14">
    <w:abstractNumId w:val="5"/>
  </w:num>
  <w:num w:numId="15">
    <w:abstractNumId w:val="7"/>
  </w:num>
  <w:num w:numId="16">
    <w:abstractNumId w:val="5"/>
  </w:num>
  <w:num w:numId="17">
    <w:abstractNumId w:val="5"/>
  </w:num>
  <w:num w:numId="18">
    <w:abstractNumId w:val="5"/>
  </w:num>
  <w:num w:numId="19">
    <w:abstractNumId w:val="5"/>
  </w:num>
  <w:num w:numId="20">
    <w:abstractNumId w:val="5"/>
  </w:num>
  <w:num w:numId="21">
    <w:abstractNumId w:val="6"/>
  </w:num>
  <w:num w:numId="22">
    <w:abstractNumId w:val="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6B2"/>
    <w:rsid w:val="00005A2D"/>
    <w:rsid w:val="00007B89"/>
    <w:rsid w:val="00010169"/>
    <w:rsid w:val="00011621"/>
    <w:rsid w:val="00015591"/>
    <w:rsid w:val="00016A0A"/>
    <w:rsid w:val="0002158D"/>
    <w:rsid w:val="00025C17"/>
    <w:rsid w:val="00035D27"/>
    <w:rsid w:val="000370DE"/>
    <w:rsid w:val="00037243"/>
    <w:rsid w:val="0004197F"/>
    <w:rsid w:val="00042D8C"/>
    <w:rsid w:val="00043C4A"/>
    <w:rsid w:val="00043C7F"/>
    <w:rsid w:val="00044485"/>
    <w:rsid w:val="00052E69"/>
    <w:rsid w:val="00057A91"/>
    <w:rsid w:val="000607C8"/>
    <w:rsid w:val="00061426"/>
    <w:rsid w:val="0006222F"/>
    <w:rsid w:val="00062A35"/>
    <w:rsid w:val="00083CA8"/>
    <w:rsid w:val="00090ADE"/>
    <w:rsid w:val="000919F7"/>
    <w:rsid w:val="000977A9"/>
    <w:rsid w:val="000A1287"/>
    <w:rsid w:val="000A2A3F"/>
    <w:rsid w:val="000A3318"/>
    <w:rsid w:val="000B06BB"/>
    <w:rsid w:val="000B47F6"/>
    <w:rsid w:val="000C1063"/>
    <w:rsid w:val="000D314D"/>
    <w:rsid w:val="000D38ED"/>
    <w:rsid w:val="000D5E58"/>
    <w:rsid w:val="000E4BA5"/>
    <w:rsid w:val="000E5072"/>
    <w:rsid w:val="000E56F7"/>
    <w:rsid w:val="000E68BC"/>
    <w:rsid w:val="001000B7"/>
    <w:rsid w:val="00115D08"/>
    <w:rsid w:val="00121A96"/>
    <w:rsid w:val="001250A3"/>
    <w:rsid w:val="00132793"/>
    <w:rsid w:val="00136736"/>
    <w:rsid w:val="00136EBC"/>
    <w:rsid w:val="00137822"/>
    <w:rsid w:val="00140F01"/>
    <w:rsid w:val="00143185"/>
    <w:rsid w:val="00144626"/>
    <w:rsid w:val="001539B3"/>
    <w:rsid w:val="0016237B"/>
    <w:rsid w:val="00165313"/>
    <w:rsid w:val="00166D23"/>
    <w:rsid w:val="00167B88"/>
    <w:rsid w:val="0017098D"/>
    <w:rsid w:val="00171A86"/>
    <w:rsid w:val="0017667C"/>
    <w:rsid w:val="00180D7E"/>
    <w:rsid w:val="0018105C"/>
    <w:rsid w:val="001813DF"/>
    <w:rsid w:val="00183BDB"/>
    <w:rsid w:val="001841DC"/>
    <w:rsid w:val="001874EA"/>
    <w:rsid w:val="00190E2F"/>
    <w:rsid w:val="00194738"/>
    <w:rsid w:val="001A00C2"/>
    <w:rsid w:val="001A073D"/>
    <w:rsid w:val="001A37FB"/>
    <w:rsid w:val="001A6CFC"/>
    <w:rsid w:val="001A7A89"/>
    <w:rsid w:val="001B4D72"/>
    <w:rsid w:val="001B6C9E"/>
    <w:rsid w:val="001D3935"/>
    <w:rsid w:val="001D3F9A"/>
    <w:rsid w:val="001D639A"/>
    <w:rsid w:val="001D6E94"/>
    <w:rsid w:val="001E797B"/>
    <w:rsid w:val="001F2C44"/>
    <w:rsid w:val="001F6027"/>
    <w:rsid w:val="001F6C37"/>
    <w:rsid w:val="002056DF"/>
    <w:rsid w:val="00217327"/>
    <w:rsid w:val="00226BF9"/>
    <w:rsid w:val="00236031"/>
    <w:rsid w:val="00236A1C"/>
    <w:rsid w:val="0023721C"/>
    <w:rsid w:val="00243684"/>
    <w:rsid w:val="00252E49"/>
    <w:rsid w:val="00257340"/>
    <w:rsid w:val="002643C4"/>
    <w:rsid w:val="002644F4"/>
    <w:rsid w:val="0028019E"/>
    <w:rsid w:val="00284698"/>
    <w:rsid w:val="00284F70"/>
    <w:rsid w:val="00291B2F"/>
    <w:rsid w:val="0029641A"/>
    <w:rsid w:val="0029790C"/>
    <w:rsid w:val="002A286A"/>
    <w:rsid w:val="002B4E9B"/>
    <w:rsid w:val="002C24EF"/>
    <w:rsid w:val="002C3CA6"/>
    <w:rsid w:val="002C4C15"/>
    <w:rsid w:val="002C7253"/>
    <w:rsid w:val="002D31D6"/>
    <w:rsid w:val="002E0ACF"/>
    <w:rsid w:val="002E70F6"/>
    <w:rsid w:val="002F1DD4"/>
    <w:rsid w:val="002F2857"/>
    <w:rsid w:val="002F508D"/>
    <w:rsid w:val="002F69D8"/>
    <w:rsid w:val="002F732E"/>
    <w:rsid w:val="00306F3E"/>
    <w:rsid w:val="00311BDB"/>
    <w:rsid w:val="00317B05"/>
    <w:rsid w:val="00317EF3"/>
    <w:rsid w:val="00325521"/>
    <w:rsid w:val="00326A19"/>
    <w:rsid w:val="00326F48"/>
    <w:rsid w:val="00330ADD"/>
    <w:rsid w:val="00330CF8"/>
    <w:rsid w:val="0033149E"/>
    <w:rsid w:val="003337A2"/>
    <w:rsid w:val="00333C0D"/>
    <w:rsid w:val="0034570F"/>
    <w:rsid w:val="00346380"/>
    <w:rsid w:val="00360AC8"/>
    <w:rsid w:val="00364365"/>
    <w:rsid w:val="0038187C"/>
    <w:rsid w:val="003873F8"/>
    <w:rsid w:val="0039488A"/>
    <w:rsid w:val="00395385"/>
    <w:rsid w:val="00396A49"/>
    <w:rsid w:val="003A2B25"/>
    <w:rsid w:val="003B1A9A"/>
    <w:rsid w:val="003C292A"/>
    <w:rsid w:val="003D1223"/>
    <w:rsid w:val="003D1377"/>
    <w:rsid w:val="003D15B0"/>
    <w:rsid w:val="003D7399"/>
    <w:rsid w:val="003E02FD"/>
    <w:rsid w:val="003E3F92"/>
    <w:rsid w:val="003E5907"/>
    <w:rsid w:val="003E5CBA"/>
    <w:rsid w:val="003F1317"/>
    <w:rsid w:val="004054F9"/>
    <w:rsid w:val="00405672"/>
    <w:rsid w:val="00406DE0"/>
    <w:rsid w:val="004175DB"/>
    <w:rsid w:val="00417DCC"/>
    <w:rsid w:val="0042067C"/>
    <w:rsid w:val="00423434"/>
    <w:rsid w:val="004271BF"/>
    <w:rsid w:val="00433F74"/>
    <w:rsid w:val="004412EE"/>
    <w:rsid w:val="00442085"/>
    <w:rsid w:val="0044569E"/>
    <w:rsid w:val="00447395"/>
    <w:rsid w:val="00454CB5"/>
    <w:rsid w:val="0045670D"/>
    <w:rsid w:val="00457833"/>
    <w:rsid w:val="00470015"/>
    <w:rsid w:val="004714E0"/>
    <w:rsid w:val="00473867"/>
    <w:rsid w:val="00483456"/>
    <w:rsid w:val="00491302"/>
    <w:rsid w:val="00494070"/>
    <w:rsid w:val="004972BB"/>
    <w:rsid w:val="004A229B"/>
    <w:rsid w:val="004A5622"/>
    <w:rsid w:val="004A70B5"/>
    <w:rsid w:val="004B2FDE"/>
    <w:rsid w:val="004B71EF"/>
    <w:rsid w:val="004C0382"/>
    <w:rsid w:val="004C2C96"/>
    <w:rsid w:val="004E025C"/>
    <w:rsid w:val="004E1459"/>
    <w:rsid w:val="004E271A"/>
    <w:rsid w:val="004F03EC"/>
    <w:rsid w:val="004F0F82"/>
    <w:rsid w:val="004F20DE"/>
    <w:rsid w:val="004F3453"/>
    <w:rsid w:val="004F420D"/>
    <w:rsid w:val="004F54D6"/>
    <w:rsid w:val="004F6B77"/>
    <w:rsid w:val="00501E93"/>
    <w:rsid w:val="00513C4B"/>
    <w:rsid w:val="00514234"/>
    <w:rsid w:val="005149EA"/>
    <w:rsid w:val="00522B95"/>
    <w:rsid w:val="00527ED1"/>
    <w:rsid w:val="0053029F"/>
    <w:rsid w:val="00530363"/>
    <w:rsid w:val="00531EC0"/>
    <w:rsid w:val="00532BD9"/>
    <w:rsid w:val="005438A5"/>
    <w:rsid w:val="0054717B"/>
    <w:rsid w:val="005664AC"/>
    <w:rsid w:val="00566B9E"/>
    <w:rsid w:val="005707CE"/>
    <w:rsid w:val="0057281F"/>
    <w:rsid w:val="00580D4F"/>
    <w:rsid w:val="00581780"/>
    <w:rsid w:val="005822E1"/>
    <w:rsid w:val="00583FF5"/>
    <w:rsid w:val="005923F4"/>
    <w:rsid w:val="0059374D"/>
    <w:rsid w:val="00593965"/>
    <w:rsid w:val="005A4E6F"/>
    <w:rsid w:val="005A567D"/>
    <w:rsid w:val="005A77C9"/>
    <w:rsid w:val="005B06A8"/>
    <w:rsid w:val="005B49F7"/>
    <w:rsid w:val="005C1699"/>
    <w:rsid w:val="005D5475"/>
    <w:rsid w:val="005D789D"/>
    <w:rsid w:val="005E2807"/>
    <w:rsid w:val="005E4B35"/>
    <w:rsid w:val="005E5626"/>
    <w:rsid w:val="005E7AF2"/>
    <w:rsid w:val="005F1584"/>
    <w:rsid w:val="005F5767"/>
    <w:rsid w:val="005F5F34"/>
    <w:rsid w:val="005F5F44"/>
    <w:rsid w:val="00612438"/>
    <w:rsid w:val="00614B51"/>
    <w:rsid w:val="006158AA"/>
    <w:rsid w:val="00622E8F"/>
    <w:rsid w:val="006257EA"/>
    <w:rsid w:val="00630100"/>
    <w:rsid w:val="00630F64"/>
    <w:rsid w:val="006317D3"/>
    <w:rsid w:val="006327F0"/>
    <w:rsid w:val="00637E0F"/>
    <w:rsid w:val="0064005C"/>
    <w:rsid w:val="00642378"/>
    <w:rsid w:val="006443B2"/>
    <w:rsid w:val="00646501"/>
    <w:rsid w:val="00656AEE"/>
    <w:rsid w:val="00661C8A"/>
    <w:rsid w:val="006713A0"/>
    <w:rsid w:val="00675A3D"/>
    <w:rsid w:val="00677A4B"/>
    <w:rsid w:val="006807F1"/>
    <w:rsid w:val="00691A1D"/>
    <w:rsid w:val="00694253"/>
    <w:rsid w:val="006A7BBE"/>
    <w:rsid w:val="006B12AE"/>
    <w:rsid w:val="006B6990"/>
    <w:rsid w:val="006C0781"/>
    <w:rsid w:val="006C1C52"/>
    <w:rsid w:val="006C7192"/>
    <w:rsid w:val="006D0441"/>
    <w:rsid w:val="006D24DE"/>
    <w:rsid w:val="006E7FB8"/>
    <w:rsid w:val="006F722D"/>
    <w:rsid w:val="00700B63"/>
    <w:rsid w:val="00702363"/>
    <w:rsid w:val="00703622"/>
    <w:rsid w:val="00703DA5"/>
    <w:rsid w:val="007116B2"/>
    <w:rsid w:val="007131C5"/>
    <w:rsid w:val="007226F4"/>
    <w:rsid w:val="00722740"/>
    <w:rsid w:val="00724428"/>
    <w:rsid w:val="0072599C"/>
    <w:rsid w:val="00726EC4"/>
    <w:rsid w:val="00733904"/>
    <w:rsid w:val="0074691A"/>
    <w:rsid w:val="00747F12"/>
    <w:rsid w:val="00754C80"/>
    <w:rsid w:val="00774774"/>
    <w:rsid w:val="007864E4"/>
    <w:rsid w:val="00787810"/>
    <w:rsid w:val="00787EA9"/>
    <w:rsid w:val="00793720"/>
    <w:rsid w:val="007961B5"/>
    <w:rsid w:val="00796236"/>
    <w:rsid w:val="00797F80"/>
    <w:rsid w:val="007A3E04"/>
    <w:rsid w:val="007A56FF"/>
    <w:rsid w:val="007B0890"/>
    <w:rsid w:val="007B107A"/>
    <w:rsid w:val="007B11EB"/>
    <w:rsid w:val="007B66D8"/>
    <w:rsid w:val="007B698C"/>
    <w:rsid w:val="007D0A81"/>
    <w:rsid w:val="007D1C49"/>
    <w:rsid w:val="007D6406"/>
    <w:rsid w:val="007D7778"/>
    <w:rsid w:val="007E75D5"/>
    <w:rsid w:val="007F05D7"/>
    <w:rsid w:val="007F067A"/>
    <w:rsid w:val="008006D9"/>
    <w:rsid w:val="00824587"/>
    <w:rsid w:val="00825ABE"/>
    <w:rsid w:val="00840F7B"/>
    <w:rsid w:val="008428AE"/>
    <w:rsid w:val="008513B4"/>
    <w:rsid w:val="00851E71"/>
    <w:rsid w:val="008521B3"/>
    <w:rsid w:val="00856CAF"/>
    <w:rsid w:val="00860E21"/>
    <w:rsid w:val="008624F5"/>
    <w:rsid w:val="00866739"/>
    <w:rsid w:val="008702D3"/>
    <w:rsid w:val="00873605"/>
    <w:rsid w:val="00883C85"/>
    <w:rsid w:val="00887589"/>
    <w:rsid w:val="00887C19"/>
    <w:rsid w:val="00890012"/>
    <w:rsid w:val="00890A5A"/>
    <w:rsid w:val="008960B4"/>
    <w:rsid w:val="00896A9D"/>
    <w:rsid w:val="008B1CA2"/>
    <w:rsid w:val="008B3B6C"/>
    <w:rsid w:val="008B3EE1"/>
    <w:rsid w:val="008B5A3C"/>
    <w:rsid w:val="008B75D8"/>
    <w:rsid w:val="008B76DE"/>
    <w:rsid w:val="008C18DB"/>
    <w:rsid w:val="008D577A"/>
    <w:rsid w:val="008D7088"/>
    <w:rsid w:val="008E2708"/>
    <w:rsid w:val="008E36C9"/>
    <w:rsid w:val="008E389B"/>
    <w:rsid w:val="008E46B2"/>
    <w:rsid w:val="008E6D9F"/>
    <w:rsid w:val="008F1DD8"/>
    <w:rsid w:val="009033EA"/>
    <w:rsid w:val="00905D85"/>
    <w:rsid w:val="009105B5"/>
    <w:rsid w:val="00911ED9"/>
    <w:rsid w:val="009237C8"/>
    <w:rsid w:val="00923AF4"/>
    <w:rsid w:val="00925402"/>
    <w:rsid w:val="0093212E"/>
    <w:rsid w:val="009336E6"/>
    <w:rsid w:val="009347F1"/>
    <w:rsid w:val="00934952"/>
    <w:rsid w:val="00935843"/>
    <w:rsid w:val="00940001"/>
    <w:rsid w:val="00942D91"/>
    <w:rsid w:val="009448B7"/>
    <w:rsid w:val="00951F31"/>
    <w:rsid w:val="009534A7"/>
    <w:rsid w:val="00954913"/>
    <w:rsid w:val="009708BF"/>
    <w:rsid w:val="009747BC"/>
    <w:rsid w:val="0098747B"/>
    <w:rsid w:val="00992034"/>
    <w:rsid w:val="00997021"/>
    <w:rsid w:val="009A138A"/>
    <w:rsid w:val="009A1E7A"/>
    <w:rsid w:val="009A5E71"/>
    <w:rsid w:val="009A7209"/>
    <w:rsid w:val="009B0AD4"/>
    <w:rsid w:val="009B35C8"/>
    <w:rsid w:val="009B5253"/>
    <w:rsid w:val="009B54A4"/>
    <w:rsid w:val="009B7F9B"/>
    <w:rsid w:val="009D2631"/>
    <w:rsid w:val="009D3FA6"/>
    <w:rsid w:val="009D4D33"/>
    <w:rsid w:val="009D7D93"/>
    <w:rsid w:val="009E2A4B"/>
    <w:rsid w:val="009E351A"/>
    <w:rsid w:val="009E6B59"/>
    <w:rsid w:val="009F6E4F"/>
    <w:rsid w:val="00A00CF2"/>
    <w:rsid w:val="00A04B10"/>
    <w:rsid w:val="00A103E1"/>
    <w:rsid w:val="00A11FC0"/>
    <w:rsid w:val="00A16D8F"/>
    <w:rsid w:val="00A22DF1"/>
    <w:rsid w:val="00A25987"/>
    <w:rsid w:val="00A37D60"/>
    <w:rsid w:val="00A44F2D"/>
    <w:rsid w:val="00A46DF2"/>
    <w:rsid w:val="00A505BA"/>
    <w:rsid w:val="00A531F9"/>
    <w:rsid w:val="00A571F9"/>
    <w:rsid w:val="00A60930"/>
    <w:rsid w:val="00A62B41"/>
    <w:rsid w:val="00A66C41"/>
    <w:rsid w:val="00A66CA4"/>
    <w:rsid w:val="00A71A34"/>
    <w:rsid w:val="00A71DD0"/>
    <w:rsid w:val="00A73884"/>
    <w:rsid w:val="00A77BC9"/>
    <w:rsid w:val="00A80495"/>
    <w:rsid w:val="00A85BFD"/>
    <w:rsid w:val="00A8655B"/>
    <w:rsid w:val="00A91446"/>
    <w:rsid w:val="00AA1EF2"/>
    <w:rsid w:val="00AB1B5A"/>
    <w:rsid w:val="00AB7EF7"/>
    <w:rsid w:val="00AC1B8D"/>
    <w:rsid w:val="00AC31E6"/>
    <w:rsid w:val="00AC4A06"/>
    <w:rsid w:val="00AC7E74"/>
    <w:rsid w:val="00AD3003"/>
    <w:rsid w:val="00AD36A6"/>
    <w:rsid w:val="00AD3C98"/>
    <w:rsid w:val="00AD54DD"/>
    <w:rsid w:val="00AE139D"/>
    <w:rsid w:val="00AE260A"/>
    <w:rsid w:val="00AE571C"/>
    <w:rsid w:val="00B030D4"/>
    <w:rsid w:val="00B103DB"/>
    <w:rsid w:val="00B2245B"/>
    <w:rsid w:val="00B23216"/>
    <w:rsid w:val="00B24A49"/>
    <w:rsid w:val="00B263FC"/>
    <w:rsid w:val="00B26E7E"/>
    <w:rsid w:val="00B331A0"/>
    <w:rsid w:val="00B35881"/>
    <w:rsid w:val="00B362B5"/>
    <w:rsid w:val="00B437B3"/>
    <w:rsid w:val="00B453CA"/>
    <w:rsid w:val="00B6112D"/>
    <w:rsid w:val="00B6701C"/>
    <w:rsid w:val="00B67583"/>
    <w:rsid w:val="00B675BB"/>
    <w:rsid w:val="00B708E6"/>
    <w:rsid w:val="00B822DC"/>
    <w:rsid w:val="00B92927"/>
    <w:rsid w:val="00B93FB1"/>
    <w:rsid w:val="00B9487E"/>
    <w:rsid w:val="00B9528D"/>
    <w:rsid w:val="00BA27BD"/>
    <w:rsid w:val="00BA582C"/>
    <w:rsid w:val="00BA5E9D"/>
    <w:rsid w:val="00BB1DD0"/>
    <w:rsid w:val="00BB48CD"/>
    <w:rsid w:val="00BB5302"/>
    <w:rsid w:val="00BB651D"/>
    <w:rsid w:val="00BB6D32"/>
    <w:rsid w:val="00BD3298"/>
    <w:rsid w:val="00BD33DA"/>
    <w:rsid w:val="00BD37F6"/>
    <w:rsid w:val="00BD4BCD"/>
    <w:rsid w:val="00BD7609"/>
    <w:rsid w:val="00BE6BA7"/>
    <w:rsid w:val="00BF264C"/>
    <w:rsid w:val="00C00EC9"/>
    <w:rsid w:val="00C01758"/>
    <w:rsid w:val="00C03616"/>
    <w:rsid w:val="00C14483"/>
    <w:rsid w:val="00C157D7"/>
    <w:rsid w:val="00C20FF1"/>
    <w:rsid w:val="00C31F68"/>
    <w:rsid w:val="00C37682"/>
    <w:rsid w:val="00C4738C"/>
    <w:rsid w:val="00C47A71"/>
    <w:rsid w:val="00C52729"/>
    <w:rsid w:val="00C64C11"/>
    <w:rsid w:val="00C70561"/>
    <w:rsid w:val="00C711F4"/>
    <w:rsid w:val="00C737B7"/>
    <w:rsid w:val="00C75C7B"/>
    <w:rsid w:val="00C76DFE"/>
    <w:rsid w:val="00C90C5C"/>
    <w:rsid w:val="00C91F5C"/>
    <w:rsid w:val="00C9369C"/>
    <w:rsid w:val="00CA1991"/>
    <w:rsid w:val="00CA4B96"/>
    <w:rsid w:val="00CA57D4"/>
    <w:rsid w:val="00CB2B72"/>
    <w:rsid w:val="00CB4E5B"/>
    <w:rsid w:val="00CC7D65"/>
    <w:rsid w:val="00CD47D4"/>
    <w:rsid w:val="00CD77C0"/>
    <w:rsid w:val="00CE3EA2"/>
    <w:rsid w:val="00CE79FE"/>
    <w:rsid w:val="00CF590F"/>
    <w:rsid w:val="00D02477"/>
    <w:rsid w:val="00D02961"/>
    <w:rsid w:val="00D02CBF"/>
    <w:rsid w:val="00D07B74"/>
    <w:rsid w:val="00D1017D"/>
    <w:rsid w:val="00D1153A"/>
    <w:rsid w:val="00D221D6"/>
    <w:rsid w:val="00D2330A"/>
    <w:rsid w:val="00D23559"/>
    <w:rsid w:val="00D30C5B"/>
    <w:rsid w:val="00D31FFA"/>
    <w:rsid w:val="00D32B9E"/>
    <w:rsid w:val="00D33D3D"/>
    <w:rsid w:val="00D3462F"/>
    <w:rsid w:val="00D3641D"/>
    <w:rsid w:val="00D375CB"/>
    <w:rsid w:val="00D4349B"/>
    <w:rsid w:val="00D50319"/>
    <w:rsid w:val="00D5350C"/>
    <w:rsid w:val="00D54F9E"/>
    <w:rsid w:val="00D56123"/>
    <w:rsid w:val="00D61A32"/>
    <w:rsid w:val="00D67C27"/>
    <w:rsid w:val="00D72BD5"/>
    <w:rsid w:val="00D74DCD"/>
    <w:rsid w:val="00D80E1D"/>
    <w:rsid w:val="00D82C1F"/>
    <w:rsid w:val="00D871E1"/>
    <w:rsid w:val="00DA19F9"/>
    <w:rsid w:val="00DA3282"/>
    <w:rsid w:val="00DA5B61"/>
    <w:rsid w:val="00DA6758"/>
    <w:rsid w:val="00DB32A4"/>
    <w:rsid w:val="00DB4C9B"/>
    <w:rsid w:val="00DC060C"/>
    <w:rsid w:val="00DC10B9"/>
    <w:rsid w:val="00DC37D8"/>
    <w:rsid w:val="00DC4A8F"/>
    <w:rsid w:val="00DD5E19"/>
    <w:rsid w:val="00DD7048"/>
    <w:rsid w:val="00DE054F"/>
    <w:rsid w:val="00DE4CFC"/>
    <w:rsid w:val="00DF2325"/>
    <w:rsid w:val="00DF2A3B"/>
    <w:rsid w:val="00DF49D6"/>
    <w:rsid w:val="00DF50CD"/>
    <w:rsid w:val="00DF7FE5"/>
    <w:rsid w:val="00E04A40"/>
    <w:rsid w:val="00E04FF5"/>
    <w:rsid w:val="00E13ADD"/>
    <w:rsid w:val="00E13D0B"/>
    <w:rsid w:val="00E1696D"/>
    <w:rsid w:val="00E24D9A"/>
    <w:rsid w:val="00E30716"/>
    <w:rsid w:val="00E32571"/>
    <w:rsid w:val="00E33F78"/>
    <w:rsid w:val="00E403CD"/>
    <w:rsid w:val="00E4494F"/>
    <w:rsid w:val="00E45C65"/>
    <w:rsid w:val="00E476E6"/>
    <w:rsid w:val="00E47743"/>
    <w:rsid w:val="00E51908"/>
    <w:rsid w:val="00E57344"/>
    <w:rsid w:val="00E61E38"/>
    <w:rsid w:val="00E62D04"/>
    <w:rsid w:val="00E74C64"/>
    <w:rsid w:val="00E75415"/>
    <w:rsid w:val="00E7748C"/>
    <w:rsid w:val="00E92AB5"/>
    <w:rsid w:val="00E940C6"/>
    <w:rsid w:val="00E96D8F"/>
    <w:rsid w:val="00EA06F5"/>
    <w:rsid w:val="00EA2773"/>
    <w:rsid w:val="00EA3A4B"/>
    <w:rsid w:val="00EA7F81"/>
    <w:rsid w:val="00EB35A6"/>
    <w:rsid w:val="00EB55C5"/>
    <w:rsid w:val="00EB70D1"/>
    <w:rsid w:val="00EC36C4"/>
    <w:rsid w:val="00EC5B37"/>
    <w:rsid w:val="00EC5FE4"/>
    <w:rsid w:val="00EE2EDF"/>
    <w:rsid w:val="00EE58E1"/>
    <w:rsid w:val="00EE7CB5"/>
    <w:rsid w:val="00EF1598"/>
    <w:rsid w:val="00EF71CF"/>
    <w:rsid w:val="00F07999"/>
    <w:rsid w:val="00F13E9C"/>
    <w:rsid w:val="00F13FF5"/>
    <w:rsid w:val="00F145EC"/>
    <w:rsid w:val="00F148B4"/>
    <w:rsid w:val="00F27BCF"/>
    <w:rsid w:val="00F27FB9"/>
    <w:rsid w:val="00F333D5"/>
    <w:rsid w:val="00F40584"/>
    <w:rsid w:val="00F51DBF"/>
    <w:rsid w:val="00F54B8E"/>
    <w:rsid w:val="00F56C15"/>
    <w:rsid w:val="00F57549"/>
    <w:rsid w:val="00F73054"/>
    <w:rsid w:val="00F74586"/>
    <w:rsid w:val="00F77580"/>
    <w:rsid w:val="00F77699"/>
    <w:rsid w:val="00F80A52"/>
    <w:rsid w:val="00F844CB"/>
    <w:rsid w:val="00F84895"/>
    <w:rsid w:val="00F8529B"/>
    <w:rsid w:val="00F8669B"/>
    <w:rsid w:val="00F910CB"/>
    <w:rsid w:val="00F9493D"/>
    <w:rsid w:val="00F953AB"/>
    <w:rsid w:val="00F962EF"/>
    <w:rsid w:val="00FA40A6"/>
    <w:rsid w:val="00FA63F2"/>
    <w:rsid w:val="00FB20C1"/>
    <w:rsid w:val="00FC19D3"/>
    <w:rsid w:val="00FC1E40"/>
    <w:rsid w:val="00FC2A7D"/>
    <w:rsid w:val="00FC4554"/>
    <w:rsid w:val="00FD1276"/>
    <w:rsid w:val="00FD5096"/>
    <w:rsid w:val="00FD6D39"/>
    <w:rsid w:val="00FE0AC2"/>
    <w:rsid w:val="00FE12D4"/>
    <w:rsid w:val="00FE2518"/>
    <w:rsid w:val="00FF1F5A"/>
    <w:rsid w:val="00FF6511"/>
    <w:rsid w:val="00FF77BB"/>
    <w:rsid w:val="016271B3"/>
    <w:rsid w:val="17EC526E"/>
    <w:rsid w:val="19CA5E52"/>
    <w:rsid w:val="4AA17A14"/>
    <w:rsid w:val="6373D895"/>
    <w:rsid w:val="7C27B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C995F"/>
  <w15:chartTrackingRefBased/>
  <w15:docId w15:val="{607D7CB3-10F7-4953-85A7-2B7DC717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6B2"/>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7116B2"/>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7116B2"/>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7116B2"/>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7116B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7116B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6B2"/>
    <w:rPr>
      <w:rFonts w:ascii="Segoe UI" w:hAnsi="Segoe UI" w:cs="Segoe UI"/>
      <w:sz w:val="18"/>
      <w:szCs w:val="18"/>
    </w:rPr>
  </w:style>
  <w:style w:type="character" w:customStyle="1" w:styleId="Heading5Char">
    <w:name w:val="Heading 5 Char"/>
    <w:basedOn w:val="DefaultParagraphFont"/>
    <w:link w:val="Heading5"/>
    <w:uiPriority w:val="9"/>
    <w:rsid w:val="007116B2"/>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semiHidden/>
    <w:rsid w:val="007116B2"/>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7116B2"/>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7116B2"/>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7116B2"/>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7116B2"/>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7116B2"/>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7116B2"/>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7116B2"/>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7116B2"/>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7116B2"/>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7116B2"/>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7116B2"/>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7116B2"/>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7116B2"/>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116B2"/>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7116B2"/>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7116B2"/>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7116B2"/>
    <w:pPr>
      <w:numPr>
        <w:ilvl w:val="2"/>
      </w:numPr>
    </w:pPr>
    <w:rPr>
      <w:bCs w:val="0"/>
      <w:color w:val="auto"/>
    </w:rPr>
  </w:style>
  <w:style w:type="paragraph" w:customStyle="1" w:styleId="Subheading2">
    <w:name w:val="Subheading2"/>
    <w:basedOn w:val="SecHeading"/>
    <w:rsid w:val="007116B2"/>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7116B2"/>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uiPriority w:val="99"/>
    <w:rsid w:val="007116B2"/>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7116B2"/>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7116B2"/>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7116B2"/>
    <w:rPr>
      <w:b/>
      <w:bCs/>
      <w:smallCaps/>
      <w:spacing w:val="5"/>
    </w:rPr>
  </w:style>
  <w:style w:type="paragraph" w:styleId="Footer">
    <w:name w:val="footer"/>
    <w:basedOn w:val="Normal"/>
    <w:link w:val="FooterChar"/>
    <w:uiPriority w:val="99"/>
    <w:unhideWhenUsed/>
    <w:rsid w:val="00711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B2"/>
    <w:rPr>
      <w:rFonts w:eastAsiaTheme="minorEastAsia"/>
      <w:lang w:val="en-GB" w:eastAsia="en-GB"/>
    </w:rPr>
  </w:style>
  <w:style w:type="paragraph" w:customStyle="1" w:styleId="Newpage">
    <w:name w:val="Newpage"/>
    <w:basedOn w:val="Chapter"/>
    <w:rsid w:val="007116B2"/>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7116B2"/>
    <w:pPr>
      <w:spacing w:after="120"/>
      <w:ind w:left="360"/>
    </w:pPr>
  </w:style>
  <w:style w:type="character" w:customStyle="1" w:styleId="BodyTextIndentChar">
    <w:name w:val="Body Text Indent Char"/>
    <w:basedOn w:val="DefaultParagraphFont"/>
    <w:link w:val="BodyTextIndent"/>
    <w:uiPriority w:val="99"/>
    <w:semiHidden/>
    <w:rsid w:val="007116B2"/>
    <w:rPr>
      <w:rFonts w:eastAsiaTheme="minorEastAsia"/>
      <w:lang w:val="en-GB" w:eastAsia="en-GB"/>
    </w:rPr>
  </w:style>
  <w:style w:type="paragraph" w:styleId="BodyTextIndent3">
    <w:name w:val="Body Text Indent 3"/>
    <w:basedOn w:val="Normal"/>
    <w:link w:val="BodyTextIndent3Char"/>
    <w:uiPriority w:val="99"/>
    <w:semiHidden/>
    <w:unhideWhenUsed/>
    <w:rsid w:val="007116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116B2"/>
    <w:rPr>
      <w:rFonts w:eastAsiaTheme="minorEastAsia"/>
      <w:sz w:val="16"/>
      <w:szCs w:val="16"/>
      <w:lang w:val="en-GB" w:eastAsia="en-GB"/>
    </w:rPr>
  </w:style>
  <w:style w:type="paragraph" w:styleId="ListParagraph">
    <w:name w:val="List Paragraph"/>
    <w:basedOn w:val="Normal"/>
    <w:link w:val="ListParagraphChar"/>
    <w:uiPriority w:val="34"/>
    <w:qFormat/>
    <w:rsid w:val="00FD6D39"/>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454CB5"/>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54CB5"/>
    <w:rPr>
      <w:vertAlign w:val="superscript"/>
    </w:rPr>
  </w:style>
  <w:style w:type="paragraph" w:customStyle="1" w:styleId="Char2">
    <w:name w:val="Char2"/>
    <w:basedOn w:val="Normal"/>
    <w:link w:val="FootnoteReference"/>
    <w:uiPriority w:val="99"/>
    <w:rsid w:val="00454CB5"/>
    <w:pPr>
      <w:spacing w:after="160" w:line="240" w:lineRule="exact"/>
    </w:pPr>
    <w:rPr>
      <w:rFonts w:eastAsiaTheme="minorHAnsi"/>
      <w:vertAlign w:val="superscript"/>
      <w:lang w:val="en-US" w:eastAsia="en-US"/>
    </w:rPr>
  </w:style>
  <w:style w:type="character" w:customStyle="1" w:styleId="ListParagraphChar">
    <w:name w:val="List Paragraph Char"/>
    <w:link w:val="ListParagraph"/>
    <w:uiPriority w:val="34"/>
    <w:locked/>
    <w:rsid w:val="00F27BCF"/>
    <w:rPr>
      <w:rFonts w:ascii="Times New Roman" w:eastAsia="Times New Roman" w:hAnsi="Times New Roman" w:cs="Times New Roman"/>
      <w:sz w:val="24"/>
      <w:szCs w:val="20"/>
      <w:lang w:val="es-ES_tradnl"/>
    </w:rPr>
  </w:style>
  <w:style w:type="character" w:styleId="EndnoteReference">
    <w:name w:val="endnote reference"/>
    <w:basedOn w:val="DefaultParagraphFont"/>
    <w:uiPriority w:val="99"/>
    <w:semiHidden/>
    <w:unhideWhenUsed/>
    <w:rsid w:val="0072599C"/>
    <w:rPr>
      <w:vertAlign w:val="superscript"/>
    </w:rPr>
  </w:style>
  <w:style w:type="character" w:styleId="CommentReference">
    <w:name w:val="annotation reference"/>
    <w:basedOn w:val="DefaultParagraphFont"/>
    <w:uiPriority w:val="99"/>
    <w:unhideWhenUsed/>
    <w:rsid w:val="00D80E1D"/>
    <w:rPr>
      <w:sz w:val="16"/>
      <w:szCs w:val="16"/>
    </w:rPr>
  </w:style>
  <w:style w:type="paragraph" w:styleId="CommentText">
    <w:name w:val="annotation text"/>
    <w:basedOn w:val="Normal"/>
    <w:link w:val="CommentTextChar"/>
    <w:unhideWhenUsed/>
    <w:rsid w:val="00D80E1D"/>
    <w:pPr>
      <w:spacing w:line="240" w:lineRule="auto"/>
    </w:pPr>
    <w:rPr>
      <w:sz w:val="20"/>
      <w:szCs w:val="20"/>
    </w:rPr>
  </w:style>
  <w:style w:type="character" w:customStyle="1" w:styleId="CommentTextChar">
    <w:name w:val="Comment Text Char"/>
    <w:basedOn w:val="DefaultParagraphFont"/>
    <w:link w:val="CommentText"/>
    <w:rsid w:val="00D80E1D"/>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D80E1D"/>
    <w:rPr>
      <w:b/>
      <w:bCs/>
    </w:rPr>
  </w:style>
  <w:style w:type="character" w:customStyle="1" w:styleId="CommentSubjectChar">
    <w:name w:val="Comment Subject Char"/>
    <w:basedOn w:val="CommentTextChar"/>
    <w:link w:val="CommentSubject"/>
    <w:uiPriority w:val="99"/>
    <w:semiHidden/>
    <w:rsid w:val="00D80E1D"/>
    <w:rPr>
      <w:rFonts w:eastAsiaTheme="minorEastAsia"/>
      <w:b/>
      <w:bCs/>
      <w:sz w:val="20"/>
      <w:szCs w:val="20"/>
      <w:lang w:val="en-GB" w:eastAsia="en-GB"/>
    </w:rPr>
  </w:style>
  <w:style w:type="character" w:styleId="UnresolvedMention">
    <w:name w:val="Unresolved Mention"/>
    <w:basedOn w:val="DefaultParagraphFont"/>
    <w:uiPriority w:val="99"/>
    <w:unhideWhenUsed/>
    <w:rsid w:val="00D80E1D"/>
    <w:rPr>
      <w:color w:val="605E5C"/>
      <w:shd w:val="clear" w:color="auto" w:fill="E1DFDD"/>
    </w:rPr>
  </w:style>
  <w:style w:type="character" w:styleId="Mention">
    <w:name w:val="Mention"/>
    <w:basedOn w:val="DefaultParagraphFont"/>
    <w:uiPriority w:val="99"/>
    <w:unhideWhenUsed/>
    <w:rsid w:val="00D80E1D"/>
    <w:rPr>
      <w:color w:val="2B579A"/>
      <w:shd w:val="clear" w:color="auto" w:fill="E1DFDD"/>
    </w:rPr>
  </w:style>
  <w:style w:type="paragraph" w:styleId="Header">
    <w:name w:val="header"/>
    <w:basedOn w:val="Normal"/>
    <w:link w:val="HeaderChar"/>
    <w:uiPriority w:val="99"/>
    <w:unhideWhenUsed/>
    <w:rsid w:val="00E57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344"/>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330267">
      <w:bodyDiv w:val="1"/>
      <w:marLeft w:val="0"/>
      <w:marRight w:val="0"/>
      <w:marTop w:val="0"/>
      <w:marBottom w:val="0"/>
      <w:divBdr>
        <w:top w:val="none" w:sz="0" w:space="0" w:color="auto"/>
        <w:left w:val="none" w:sz="0" w:space="0" w:color="auto"/>
        <w:bottom w:val="none" w:sz="0" w:space="0" w:color="auto"/>
        <w:right w:val="none" w:sz="0" w:space="0" w:color="auto"/>
      </w:divBdr>
    </w:div>
    <w:div w:id="929313085">
      <w:bodyDiv w:val="1"/>
      <w:marLeft w:val="0"/>
      <w:marRight w:val="0"/>
      <w:marTop w:val="0"/>
      <w:marBottom w:val="0"/>
      <w:divBdr>
        <w:top w:val="none" w:sz="0" w:space="0" w:color="auto"/>
        <w:left w:val="none" w:sz="0" w:space="0" w:color="auto"/>
        <w:bottom w:val="none" w:sz="0" w:space="0" w:color="auto"/>
        <w:right w:val="none" w:sz="0" w:space="0" w:color="auto"/>
      </w:divBdr>
      <w:divsChild>
        <w:div w:id="1098256937">
          <w:marLeft w:val="0"/>
          <w:marRight w:val="0"/>
          <w:marTop w:val="0"/>
          <w:marBottom w:val="0"/>
          <w:divBdr>
            <w:top w:val="none" w:sz="0" w:space="0" w:color="auto"/>
            <w:left w:val="none" w:sz="0" w:space="0" w:color="auto"/>
            <w:bottom w:val="none" w:sz="0" w:space="0" w:color="auto"/>
            <w:right w:val="none" w:sz="0" w:space="0" w:color="auto"/>
          </w:divBdr>
          <w:divsChild>
            <w:div w:id="1882668698">
              <w:marLeft w:val="0"/>
              <w:marRight w:val="0"/>
              <w:marTop w:val="0"/>
              <w:marBottom w:val="0"/>
              <w:divBdr>
                <w:top w:val="none" w:sz="0" w:space="0" w:color="auto"/>
                <w:left w:val="none" w:sz="0" w:space="0" w:color="auto"/>
                <w:bottom w:val="none" w:sz="0" w:space="0" w:color="auto"/>
                <w:right w:val="none" w:sz="0" w:space="0" w:color="auto"/>
              </w:divBdr>
              <w:divsChild>
                <w:div w:id="1331717460">
                  <w:marLeft w:val="0"/>
                  <w:marRight w:val="0"/>
                  <w:marTop w:val="0"/>
                  <w:marBottom w:val="0"/>
                  <w:divBdr>
                    <w:top w:val="none" w:sz="0" w:space="0" w:color="auto"/>
                    <w:left w:val="none" w:sz="0" w:space="0" w:color="auto"/>
                    <w:bottom w:val="none" w:sz="0" w:space="0" w:color="auto"/>
                    <w:right w:val="none" w:sz="0" w:space="0" w:color="auto"/>
                  </w:divBdr>
                  <w:divsChild>
                    <w:div w:id="2040279666">
                      <w:marLeft w:val="0"/>
                      <w:marRight w:val="0"/>
                      <w:marTop w:val="0"/>
                      <w:marBottom w:val="0"/>
                      <w:divBdr>
                        <w:top w:val="none" w:sz="0" w:space="0" w:color="auto"/>
                        <w:left w:val="none" w:sz="0" w:space="0" w:color="auto"/>
                        <w:bottom w:val="none" w:sz="0" w:space="0" w:color="auto"/>
                        <w:right w:val="none" w:sz="0" w:space="0" w:color="auto"/>
                      </w:divBdr>
                      <w:divsChild>
                        <w:div w:id="1846168121">
                          <w:marLeft w:val="0"/>
                          <w:marRight w:val="0"/>
                          <w:marTop w:val="0"/>
                          <w:marBottom w:val="0"/>
                          <w:divBdr>
                            <w:top w:val="none" w:sz="0" w:space="0" w:color="auto"/>
                            <w:left w:val="none" w:sz="0" w:space="0" w:color="auto"/>
                            <w:bottom w:val="none" w:sz="0" w:space="0" w:color="auto"/>
                            <w:right w:val="none" w:sz="0" w:space="0" w:color="auto"/>
                          </w:divBdr>
                          <w:divsChild>
                            <w:div w:id="989402503">
                              <w:marLeft w:val="0"/>
                              <w:marRight w:val="0"/>
                              <w:marTop w:val="0"/>
                              <w:marBottom w:val="0"/>
                              <w:divBdr>
                                <w:top w:val="none" w:sz="0" w:space="0" w:color="auto"/>
                                <w:left w:val="none" w:sz="0" w:space="0" w:color="auto"/>
                                <w:bottom w:val="none" w:sz="0" w:space="0" w:color="auto"/>
                                <w:right w:val="none" w:sz="0" w:space="0" w:color="auto"/>
                              </w:divBdr>
                              <w:divsChild>
                                <w:div w:id="3910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EZSHARE-112611452-8" TargetMode="External"/><Relationship Id="rId18" Type="http://schemas.openxmlformats.org/officeDocument/2006/relationships/hyperlink" Target="https://www.idbinvest.org/es/projects/bono-social-con-enfoque-de-genero-con-banistmo" TargetMode="External"/><Relationship Id="rId26" Type="http://schemas.openxmlformats.org/officeDocument/2006/relationships/customXml" Target="../customXml/item3.xml"/><Relationship Id="rId21" Type="http://schemas.openxmlformats.org/officeDocument/2006/relationships/hyperlink" Target="https://www.idbinvest.org/es/projects/multibank-inc"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iadb.org/es/project/PN-T1198" TargetMode="External"/><Relationship Id="rId25" Type="http://schemas.openxmlformats.org/officeDocument/2006/relationships/customXml" Target="../customXml/item2.xml"/><Relationship Id="rId16" Type="http://schemas.openxmlformats.org/officeDocument/2006/relationships/hyperlink" Target="https://www.iadb.org/es/project/PN-L1157" TargetMode="External"/><Relationship Id="rId20" Type="http://schemas.openxmlformats.org/officeDocument/2006/relationships/hyperlink" Target="https://www.iadb.org/es/project/PN-L1099" TargetMode="External"/><Relationship Id="rId29" Type="http://schemas.openxmlformats.org/officeDocument/2006/relationships/customXml" Target="../customXml/item6.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customXml" Target="../customXml/item1.xml"/><Relationship Id="rId5" Type="http://schemas.openxmlformats.org/officeDocument/2006/relationships/numbering" Target="numbering.xml"/><Relationship Id="rId15" Type="http://schemas.openxmlformats.org/officeDocument/2006/relationships/hyperlink" Target="http://idbdocs.iadb.org/wsdocs/getDocument.aspx?DOCNUM=EZSHARE-112611452-1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dbinvest.org/es/projects/financiamiento-de-pymes-y-genero-con-global-bank" TargetMode="External"/><Relationship Id="rId9" Type="http://schemas.openxmlformats.org/officeDocument/2006/relationships/footnotes" Target="footnotes.xml"/><Relationship Id="rId14" Type="http://schemas.openxmlformats.org/officeDocument/2006/relationships/hyperlink" Target="http://idbdocs.iadb.org/wsdocs/getDocument.aspx?DOCNUM=EZSHARE-112611452-8" TargetMode="External"/><Relationship Id="rId22" Type="http://schemas.openxmlformats.org/officeDocument/2006/relationships/fontTable" Target="fontTable.xml"/><Relationship Id="rId27" Type="http://schemas.openxmlformats.org/officeDocument/2006/relationships/customXml" Target="../customXml/item4.xml"/><Relationship Id="rId30"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8" Type="http://schemas.openxmlformats.org/officeDocument/2006/relationships/hyperlink" Target="https://www.findevgateway.org/sites/default/files/publications/files/mfg-en-paper-financial-crisis-lessons-from-microfinance-aug-2010.pdf" TargetMode="External"/><Relationship Id="rId3" Type="http://schemas.openxmlformats.org/officeDocument/2006/relationships/hyperlink" Target="http://idbdocs.iadb.org/wsdocs/getDocument.aspx?DOCNUM=EZSHARE-112611452-8" TargetMode="External"/><Relationship Id="rId7" Type="http://schemas.openxmlformats.org/officeDocument/2006/relationships/hyperlink" Target="https://cncpanama.org/cnc/index.php/infografias/category/163-informes-especiales?download=2434:las-empresas-panamenas-en-tiempo-de-covid-19" TargetMode="External"/><Relationship Id="rId2" Type="http://schemas.openxmlformats.org/officeDocument/2006/relationships/hyperlink" Target="https://www.who.int/docs/default-source/coronaviruse/covid-19-sprp-country-status-7april2020.pdf?" TargetMode="External"/><Relationship Id="rId1" Type="http://schemas.openxmlformats.org/officeDocument/2006/relationships/hyperlink" Target="https://covid19.who.int/explorer" TargetMode="External"/><Relationship Id="rId6" Type="http://schemas.openxmlformats.org/officeDocument/2006/relationships/hyperlink" Target="https://www.panacamara.com/resultados-finales-encuesta-empresarial-impacto-del-coronavirus-en-panama/" TargetMode="External"/><Relationship Id="rId5" Type="http://schemas.openxmlformats.org/officeDocument/2006/relationships/hyperlink" Target="https://www.panacamara.com/resultados-finales-de-ii-encuesta-empresarial-impacto-del-coronavirus-en-panama/" TargetMode="External"/><Relationship Id="rId4" Type="http://schemas.openxmlformats.org/officeDocument/2006/relationships/hyperlink" Target="https://www.ifc.org/wps/wcm/connect/03522e90-a13d-4a02-87cd-9ee9a297b311/121264-WP-PUBLIC-MSMEReportFINAL.pdf?MOD=AJPERES&amp;CVID=m5SwAQ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BD48748C0F72444BA9F241E97600331" ma:contentTypeVersion="0" ma:contentTypeDescription="A content type to manage public (operations) IDB documents" ma:contentTypeScope="" ma:versionID="ff646ff990f28b2aeb2ac075cc63a0aa">
  <xsd:schema xmlns:xsd="http://www.w3.org/2001/XMLSchema" xmlns:xs="http://www.w3.org/2001/XMLSchema" xmlns:p="http://schemas.microsoft.com/office/2006/metadata/properties" xmlns:ns2="cdc7663a-08f0-4737-9e8c-148ce897a09c" targetNamespace="http://schemas.microsoft.com/office/2006/metadata/properties" ma:root="true" ma:fieldsID="70fc6fec6584c25279b09b8025008b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EZSHARE-112611452-4</_dlc_DocId>
    <Document_x0020_Author xmlns="cdc7663a-08f0-4737-9e8c-148ce897a09c">CYNTHIAMAR</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PN-L1164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5040/OC-PN;</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https://idbg.sharepoint.com/teams/EZ-PN-LON/PN-L1164/_layouts/15/DocIdRedir.aspx?ID=EZSHARE-112611452-4</Url>
      <Description>EZSHARE-112611452-4</Description>
    </_dlc_DocIdUrl>
    <Phase xmlns="cdc7663a-08f0-4737-9e8c-148ce897a09c">ACTIVE</Phase>
    <Other_x0020_Author xmlns="cdc7663a-08f0-4737-9e8c-148ce897a09c">Christian Schneider</Other_x0020_Author>
    <IDBDocs_x0020_Number xmlns="cdc7663a-08f0-4737-9e8c-148ce897a09c" xsi:nil="true"/>
    <TaxCatchAll xmlns="cdc7663a-08f0-4737-9e8c-148ce897a09c">
      <Value>216</Value>
      <Value>25</Value>
      <Value>254</Value>
      <Value>1</Value>
      <Value>22</Value>
    </TaxCatchAll>
    <Fiscal_x0020_Year_x0020_IDB xmlns="cdc7663a-08f0-4737-9e8c-148ce897a09c">2020</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B526603-F3F6-490A-A6AF-7E360F3EDC13}"/>
</file>

<file path=customXml/itemProps2.xml><?xml version="1.0" encoding="utf-8"?>
<ds:datastoreItem xmlns:ds="http://schemas.openxmlformats.org/officeDocument/2006/customXml" ds:itemID="{AF6F33D5-FEF6-4102-B954-585E0134319C}"/>
</file>

<file path=customXml/itemProps3.xml><?xml version="1.0" encoding="utf-8"?>
<ds:datastoreItem xmlns:ds="http://schemas.openxmlformats.org/officeDocument/2006/customXml" ds:itemID="{B664E59D-C87A-4E41-B950-71CC1627811F}"/>
</file>

<file path=customXml/itemProps4.xml><?xml version="1.0" encoding="utf-8"?>
<ds:datastoreItem xmlns:ds="http://schemas.openxmlformats.org/officeDocument/2006/customXml" ds:itemID="{F2AAD3C8-ADE7-405C-96B2-139920315DFA}"/>
</file>

<file path=customXml/itemProps5.xml><?xml version="1.0" encoding="utf-8"?>
<ds:datastoreItem xmlns:ds="http://schemas.openxmlformats.org/officeDocument/2006/customXml" ds:itemID="{C5625140-4C54-4ACD-809D-3BA64CBAB5C9}"/>
</file>

<file path=customXml/itemProps6.xml><?xml version="1.0" encoding="utf-8"?>
<ds:datastoreItem xmlns:ds="http://schemas.openxmlformats.org/officeDocument/2006/customXml" ds:itemID="{47E52E99-3AED-4FC4-8A2A-F6618520D3B0}"/>
</file>

<file path=customXml/itemProps7.xml><?xml version="1.0" encoding="utf-8"?>
<ds:datastoreItem xmlns:ds="http://schemas.openxmlformats.org/officeDocument/2006/customXml" ds:itemID="{DF77863C-0163-4830-82B5-93CDCAD84229}"/>
</file>

<file path=docProps/app.xml><?xml version="1.0" encoding="utf-8"?>
<Properties xmlns="http://schemas.openxmlformats.org/officeDocument/2006/extended-properties" xmlns:vt="http://schemas.openxmlformats.org/officeDocument/2006/docPropsVTypes">
  <Template>Normal</Template>
  <TotalTime>350</TotalTime>
  <Pages>16</Pages>
  <Words>5939</Words>
  <Characters>33856</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
  <dc:description/>
  <cp:lastModifiedBy>Martinez Lopez, Cynthia Guadalupe</cp:lastModifiedBy>
  <cp:revision>229</cp:revision>
  <cp:lastPrinted>2020-04-28T20:34:00Z</cp:lastPrinted>
  <dcterms:created xsi:type="dcterms:W3CDTF">2020-04-23T21:29:00Z</dcterms:created>
  <dcterms:modified xsi:type="dcterms:W3CDTF">2020-05-20T14:59:00Z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254;#BANKING MARKET DEVELOPMENT|5f08329b-f2bb-4342-ba75-eb4216b403d4</vt:lpwstr>
  </property>
  <property fmtid="{D5CDD505-2E9C-101B-9397-08002B2CF9AE}" pid="7" name="Country">
    <vt:lpwstr>22;#Panama|7af43a84-776d-43d1-b0f2-8a1f2a8ffc7b</vt:lpwstr>
  </property>
  <property fmtid="{D5CDD505-2E9C-101B-9397-08002B2CF9AE}" pid="8" name="_dlc_DocIdItemGuid">
    <vt:lpwstr>5f3da274-7c0e-42d6-a96f-026d97fca54a</vt:lpwstr>
  </property>
  <property fmtid="{D5CDD505-2E9C-101B-9397-08002B2CF9AE}" pid="9" name="Fund IDB">
    <vt:lpwstr>25;#ORC|c028a4b2-ad8b-4cf4-9cac-a2ae6a778e23</vt:lpwstr>
  </property>
  <property fmtid="{D5CDD505-2E9C-101B-9397-08002B2CF9AE}" pid="10" name="Sector IDB">
    <vt:lpwstr>216;#FINANCIAL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0x0101001A458A224826124E8B45B1D613300CFC001BD48748C0F72444BA9F241E97600331</vt:lpwstr>
  </property>
</Properties>
</file>