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75D54" w14:textId="377CB719" w:rsidR="00066CD6" w:rsidRDefault="000A76C4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</w:t>
      </w:r>
      <w:r w:rsidR="000F6B86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anamá</w:t>
      </w:r>
    </w:p>
    <w:p w14:paraId="7739F0C0" w14:textId="77777777" w:rsidR="00F92D82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</w:p>
    <w:p w14:paraId="0B7C338E" w14:textId="12153281" w:rsidR="00FA065A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Programa Global de Crédito para la Defensa del Tejido Productivo y el Empleo</w:t>
      </w:r>
      <w:r>
        <w:rPr>
          <w:rStyle w:val="eop"/>
          <w:rFonts w:ascii="Arial" w:hAnsi="Arial" w:cs="Arial"/>
          <w:sz w:val="28"/>
          <w:szCs w:val="28"/>
        </w:rPr>
        <w:t> </w:t>
      </w:r>
    </w:p>
    <w:p w14:paraId="42A6CA93" w14:textId="77777777" w:rsidR="00571D52" w:rsidRPr="00FA065A" w:rsidRDefault="00571D52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51417E93" w14:textId="67CAB06B" w:rsidR="0062403A" w:rsidRDefault="000A76C4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PN-L1164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38873F71" w:rsidR="00FA065A" w:rsidRPr="00B346E9" w:rsidRDefault="00B346E9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</w:pPr>
      <w:r w:rsidRPr="00B346E9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Diagnóstico de la problemática de las Micros, Pequeñas y Medianas Empresas</w:t>
      </w:r>
    </w:p>
    <w:p w14:paraId="2E3DA990" w14:textId="075CE86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6F5A465F" w14:textId="77777777" w:rsidR="00E40A65" w:rsidRPr="00A3512E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</w:rPr>
      </w:pPr>
      <w:r w:rsidRPr="2EB4F83A">
        <w:rPr>
          <w:rFonts w:ascii="Arial" w:hAnsi="Arial" w:cs="Arial"/>
          <w:b/>
          <w:bCs/>
        </w:rPr>
        <w:t>Problemática</w:t>
      </w:r>
      <w:r>
        <w:rPr>
          <w:rFonts w:ascii="Arial" w:hAnsi="Arial" w:cs="Arial"/>
          <w:b/>
          <w:bCs/>
        </w:rPr>
        <w:t xml:space="preserve"> de la MIPYME</w:t>
      </w:r>
      <w:r>
        <w:rPr>
          <w:rStyle w:val="FootnoteReference"/>
          <w:rFonts w:ascii="Arial" w:hAnsi="Arial" w:cs="Arial"/>
          <w:b/>
          <w:bCs/>
        </w:rPr>
        <w:footnoteReference w:id="1"/>
      </w:r>
      <w:r w:rsidRPr="2EB4F83A">
        <w:rPr>
          <w:rFonts w:ascii="Arial" w:hAnsi="Arial" w:cs="Arial"/>
          <w:b/>
          <w:bCs/>
        </w:rPr>
        <w:t>.</w:t>
      </w:r>
      <w:r w:rsidRPr="2EB4F83A">
        <w:rPr>
          <w:rFonts w:ascii="Arial" w:hAnsi="Arial" w:cs="Arial"/>
        </w:rPr>
        <w:t xml:space="preserve"> </w:t>
      </w:r>
      <w:r w:rsidRPr="00F413A0">
        <w:rPr>
          <w:rFonts w:ascii="Arial" w:hAnsi="Arial" w:cs="Arial"/>
        </w:rPr>
        <w:t>L</w:t>
      </w:r>
      <w:r w:rsidRPr="00B40281">
        <w:rPr>
          <w:rFonts w:ascii="Arial" w:hAnsi="Arial" w:cs="Arial"/>
        </w:rPr>
        <w:t>a</w:t>
      </w:r>
      <w:r w:rsidRPr="006249D6">
        <w:rPr>
          <w:rFonts w:ascii="Arial" w:hAnsi="Arial" w:cs="Arial"/>
        </w:rPr>
        <w:t xml:space="preserve"> M</w:t>
      </w:r>
      <w:r w:rsidRPr="00502314">
        <w:rPr>
          <w:rFonts w:ascii="Arial" w:hAnsi="Arial" w:cs="Arial"/>
        </w:rPr>
        <w:t>icro, Pequeña</w:t>
      </w:r>
      <w:r w:rsidRPr="00B2623E">
        <w:rPr>
          <w:rFonts w:ascii="Arial" w:hAnsi="Arial" w:cs="Arial"/>
        </w:rPr>
        <w:t xml:space="preserve"> y Mediana Empresa (MIPYME)</w:t>
      </w:r>
      <w:r w:rsidRPr="009B7B46">
        <w:rPr>
          <w:rFonts w:ascii="Arial" w:hAnsi="Arial" w:cs="Arial"/>
        </w:rPr>
        <w:t xml:space="preserve"> </w:t>
      </w:r>
      <w:r w:rsidRPr="00F622F4">
        <w:rPr>
          <w:rFonts w:ascii="Arial" w:hAnsi="Arial" w:cs="Arial"/>
        </w:rPr>
        <w:t xml:space="preserve">se encuentra en el centro del impacto de la contracción económica ya que en la región </w:t>
      </w:r>
      <w:r>
        <w:rPr>
          <w:rFonts w:ascii="Arial" w:hAnsi="Arial" w:cs="Arial"/>
        </w:rPr>
        <w:t xml:space="preserve">representan </w:t>
      </w:r>
      <w:r w:rsidRPr="00F622F4">
        <w:rPr>
          <w:rFonts w:ascii="Arial" w:hAnsi="Arial" w:cs="Arial"/>
        </w:rPr>
        <w:t xml:space="preserve">el 99% de las empresas, generan un 25% del PIB, </w:t>
      </w:r>
      <w:r>
        <w:rPr>
          <w:rFonts w:ascii="Arial" w:hAnsi="Arial" w:cs="Arial"/>
        </w:rPr>
        <w:t xml:space="preserve">y </w:t>
      </w:r>
      <w:r w:rsidRPr="00F622F4">
        <w:rPr>
          <w:rFonts w:ascii="Arial" w:hAnsi="Arial" w:cs="Arial"/>
        </w:rPr>
        <w:t xml:space="preserve">emplean al </w:t>
      </w:r>
      <w:r>
        <w:rPr>
          <w:rFonts w:ascii="Arial" w:hAnsi="Arial" w:cs="Arial"/>
        </w:rPr>
        <w:t>61</w:t>
      </w:r>
      <w:r w:rsidRPr="00F622F4">
        <w:rPr>
          <w:rFonts w:ascii="Arial" w:hAnsi="Arial" w:cs="Arial"/>
        </w:rPr>
        <w:t>% de la población activa</w:t>
      </w:r>
      <w:r>
        <w:rPr>
          <w:rFonts w:ascii="Arial" w:hAnsi="Arial" w:cs="Arial"/>
        </w:rPr>
        <w:t xml:space="preserve"> [1]. </w:t>
      </w:r>
      <w:r w:rsidRPr="008F4D57">
        <w:rPr>
          <w:rFonts w:ascii="Arial" w:hAnsi="Arial" w:cs="Arial"/>
        </w:rPr>
        <w:t>La ve</w:t>
      </w:r>
      <w:r w:rsidRPr="00D64708">
        <w:rPr>
          <w:rFonts w:ascii="Arial" w:hAnsi="Arial" w:cs="Arial"/>
        </w:rPr>
        <w:t>l</w:t>
      </w:r>
      <w:r w:rsidRPr="006F3785">
        <w:rPr>
          <w:rFonts w:ascii="Arial" w:hAnsi="Arial" w:cs="Arial"/>
        </w:rPr>
        <w:t>ocidad esperada de propagación</w:t>
      </w:r>
      <w:r w:rsidRPr="00F413A0">
        <w:rPr>
          <w:rFonts w:ascii="Arial" w:hAnsi="Arial" w:cs="Arial"/>
        </w:rPr>
        <w:t xml:space="preserve"> </w:t>
      </w:r>
      <w:r w:rsidRPr="00B40281">
        <w:rPr>
          <w:rFonts w:ascii="Arial" w:hAnsi="Arial" w:cs="Arial"/>
        </w:rPr>
        <w:t>de la recesión</w:t>
      </w:r>
      <w:r w:rsidRPr="006249D6">
        <w:rPr>
          <w:rFonts w:ascii="Arial" w:hAnsi="Arial" w:cs="Arial"/>
        </w:rPr>
        <w:t xml:space="preserve"> económica</w:t>
      </w:r>
      <w:r w:rsidRPr="00502314">
        <w:rPr>
          <w:rFonts w:ascii="Arial" w:hAnsi="Arial" w:cs="Arial"/>
        </w:rPr>
        <w:t xml:space="preserve"> a </w:t>
      </w:r>
      <w:r w:rsidRPr="00B2623E">
        <w:rPr>
          <w:rFonts w:ascii="Arial" w:hAnsi="Arial" w:cs="Arial"/>
        </w:rPr>
        <w:t xml:space="preserve">la </w:t>
      </w:r>
      <w:r w:rsidRPr="009B7B46">
        <w:rPr>
          <w:rFonts w:ascii="Arial" w:hAnsi="Arial" w:cs="Arial"/>
        </w:rPr>
        <w:t xml:space="preserve">MIPYME </w:t>
      </w:r>
      <w:r w:rsidRPr="00AA1D42">
        <w:rPr>
          <w:rFonts w:ascii="Arial" w:hAnsi="Arial" w:cs="Arial"/>
        </w:rPr>
        <w:t xml:space="preserve">es alta </w:t>
      </w:r>
      <w:r w:rsidRPr="00787236">
        <w:rPr>
          <w:rFonts w:ascii="Arial" w:hAnsi="Arial" w:cs="Arial"/>
        </w:rPr>
        <w:t>debido a que</w:t>
      </w:r>
      <w:r>
        <w:rPr>
          <w:rFonts w:ascii="Arial" w:hAnsi="Arial" w:cs="Arial"/>
        </w:rPr>
        <w:t xml:space="preserve">: (i) </w:t>
      </w:r>
      <w:r w:rsidRPr="2EB4F83A">
        <w:rPr>
          <w:rFonts w:ascii="Arial" w:hAnsi="Arial" w:cs="Arial"/>
        </w:rPr>
        <w:t>se encuentran integradas en muchas cadenas de valor que son fundamentales para la producción de bienes y servicios de primera necesidad para las economías y los ciudadanos de la región</w:t>
      </w:r>
      <w:r>
        <w:rPr>
          <w:rFonts w:ascii="Arial" w:hAnsi="Arial" w:cs="Arial"/>
        </w:rPr>
        <w:t xml:space="preserve"> [2];</w:t>
      </w:r>
      <w:r w:rsidRPr="2EB4F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 (ii) se</w:t>
      </w:r>
      <w:r w:rsidRPr="00787236">
        <w:rPr>
          <w:rFonts w:ascii="Arial" w:hAnsi="Arial" w:cs="Arial"/>
        </w:rPr>
        <w:t xml:space="preserve"> ven a</w:t>
      </w:r>
      <w:r w:rsidRPr="00F622F4">
        <w:rPr>
          <w:rFonts w:ascii="Arial" w:hAnsi="Arial" w:cs="Arial"/>
        </w:rPr>
        <w:t>fectadas por los cinco canales de transmisión de impactos</w:t>
      </w:r>
      <w:r>
        <w:rPr>
          <w:rFonts w:ascii="Arial" w:hAnsi="Arial" w:cs="Arial"/>
        </w:rPr>
        <w:t>,</w:t>
      </w:r>
      <w:r w:rsidRPr="00F622F4">
        <w:rPr>
          <w:rFonts w:ascii="Arial" w:hAnsi="Arial" w:cs="Arial"/>
        </w:rPr>
        <w:t xml:space="preserve"> mencionados anteriormente </w:t>
      </w:r>
      <w:r>
        <w:rPr>
          <w:rFonts w:ascii="Arial" w:hAnsi="Arial" w:cs="Arial"/>
        </w:rPr>
        <w:t>(¶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REF _Ref36309684 \r \h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1.3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)</w:t>
      </w:r>
      <w:r w:rsidRPr="00A3512E">
        <w:rPr>
          <w:rFonts w:ascii="Arial" w:hAnsi="Arial" w:cs="Arial"/>
        </w:rPr>
        <w:t>, siendo los más críticos para ellas el descenso de la actividad económica y el empeoramiento de las condiciones financieras.</w:t>
      </w:r>
    </w:p>
    <w:p w14:paraId="754A956E" w14:textId="77777777" w:rsidR="00E40A65" w:rsidRPr="00316758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</w:rPr>
      </w:pPr>
      <w:r w:rsidRPr="00E15EA1">
        <w:rPr>
          <w:rFonts w:ascii="Arial" w:hAnsi="Arial" w:cs="Arial"/>
        </w:rPr>
        <w:t>En pr</w:t>
      </w:r>
      <w:r w:rsidRPr="00B40281">
        <w:rPr>
          <w:rFonts w:ascii="Arial" w:hAnsi="Arial" w:cs="Arial"/>
        </w:rPr>
        <w:t xml:space="preserve">imer lugar, la </w:t>
      </w:r>
      <w:r w:rsidRPr="006249D6">
        <w:rPr>
          <w:rFonts w:ascii="Arial" w:hAnsi="Arial" w:cs="Arial"/>
        </w:rPr>
        <w:t xml:space="preserve">caída </w:t>
      </w:r>
      <w:r w:rsidRPr="00502314">
        <w:rPr>
          <w:rFonts w:ascii="Arial" w:hAnsi="Arial" w:cs="Arial"/>
        </w:rPr>
        <w:t>de la actividad económica</w:t>
      </w:r>
      <w:r w:rsidRPr="00B2623E">
        <w:rPr>
          <w:rFonts w:ascii="Arial" w:hAnsi="Arial" w:cs="Arial"/>
        </w:rPr>
        <w:t xml:space="preserve"> supone dos factores de </w:t>
      </w:r>
      <w:r w:rsidRPr="009B7B46">
        <w:rPr>
          <w:rFonts w:ascii="Arial" w:hAnsi="Arial" w:cs="Arial"/>
        </w:rPr>
        <w:t>estrés</w:t>
      </w:r>
      <w:r w:rsidRPr="00031233">
        <w:rPr>
          <w:rFonts w:ascii="Arial" w:hAnsi="Arial" w:cs="Arial"/>
        </w:rPr>
        <w:t xml:space="preserve"> para la MIPYME</w:t>
      </w:r>
      <w:r w:rsidRPr="00F622F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</w:t>
      </w:r>
      <w:r w:rsidRPr="00F622F4">
        <w:rPr>
          <w:rFonts w:ascii="Arial" w:hAnsi="Arial" w:cs="Arial"/>
        </w:rPr>
        <w:t>i) descenso de los ingresos operativos</w:t>
      </w:r>
      <w:r>
        <w:rPr>
          <w:rFonts w:ascii="Arial" w:hAnsi="Arial" w:cs="Arial"/>
        </w:rPr>
        <w:t>;</w:t>
      </w:r>
      <w:r w:rsidRPr="00F622F4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(</w:t>
      </w:r>
      <w:r w:rsidRPr="00F622F4">
        <w:rPr>
          <w:rFonts w:ascii="Arial" w:hAnsi="Arial" w:cs="Arial"/>
        </w:rPr>
        <w:t>ii) aumento de retrasos en pagos por bienes y servicios prestados</w:t>
      </w:r>
      <w:r>
        <w:rPr>
          <w:rFonts w:ascii="Arial" w:hAnsi="Arial" w:cs="Arial"/>
        </w:rPr>
        <w:t>.</w:t>
      </w:r>
      <w:r w:rsidRPr="00E15EA1">
        <w:rPr>
          <w:rFonts w:ascii="Arial" w:hAnsi="Arial" w:cs="Arial"/>
        </w:rPr>
        <w:t xml:space="preserve"> Estos factores </w:t>
      </w:r>
      <w:r w:rsidRPr="00B40281">
        <w:rPr>
          <w:rFonts w:ascii="Arial" w:hAnsi="Arial" w:cs="Arial"/>
        </w:rPr>
        <w:t>de</w:t>
      </w:r>
      <w:r w:rsidRPr="006249D6">
        <w:rPr>
          <w:rFonts w:ascii="Arial" w:hAnsi="Arial" w:cs="Arial"/>
        </w:rPr>
        <w:t xml:space="preserve"> estrés</w:t>
      </w:r>
      <w:r w:rsidRPr="00502314">
        <w:rPr>
          <w:rFonts w:ascii="Arial" w:hAnsi="Arial" w:cs="Arial"/>
        </w:rPr>
        <w:t xml:space="preserve"> crean </w:t>
      </w:r>
      <w:r w:rsidRPr="00031233">
        <w:rPr>
          <w:rFonts w:ascii="Arial" w:hAnsi="Arial" w:cs="Arial"/>
        </w:rPr>
        <w:t>de</w:t>
      </w:r>
      <w:r w:rsidRPr="00AA1D42">
        <w:rPr>
          <w:rFonts w:ascii="Arial" w:hAnsi="Arial" w:cs="Arial"/>
        </w:rPr>
        <w:t>sbalances re</w:t>
      </w:r>
      <w:r w:rsidRPr="00787236">
        <w:rPr>
          <w:rFonts w:ascii="Arial" w:hAnsi="Arial" w:cs="Arial"/>
        </w:rPr>
        <w:t>pentinos</w:t>
      </w:r>
      <w:r w:rsidRPr="00C47A07">
        <w:rPr>
          <w:rFonts w:ascii="Arial" w:hAnsi="Arial" w:cs="Arial"/>
        </w:rPr>
        <w:t xml:space="preserve"> y abruptos en</w:t>
      </w:r>
      <w:r w:rsidRPr="001970CE">
        <w:rPr>
          <w:rFonts w:ascii="Arial" w:hAnsi="Arial" w:cs="Arial"/>
        </w:rPr>
        <w:t xml:space="preserve"> sus </w:t>
      </w:r>
      <w:r w:rsidRPr="00AB5519">
        <w:rPr>
          <w:rFonts w:ascii="Arial" w:hAnsi="Arial" w:cs="Arial"/>
        </w:rPr>
        <w:t>f</w:t>
      </w:r>
      <w:r w:rsidRPr="00F622F4">
        <w:rPr>
          <w:rFonts w:ascii="Arial" w:hAnsi="Arial" w:cs="Arial"/>
        </w:rPr>
        <w:t xml:space="preserve">lujos de caja, generando necesidades de liquidez de corto plazo para poder cubrir costos operativos fijos y mantener niveles de empleo durante periodos de menor actividad económica, como el que actualmente que se enfrenta para combatir el COVID-19. En segundo lugar, el empeoramiento de las condiciones financieras restringe la capacidad de las MIPYME de acceder a financiamiento para </w:t>
      </w:r>
      <w:r>
        <w:rPr>
          <w:rFonts w:ascii="Arial" w:hAnsi="Arial" w:cs="Arial"/>
        </w:rPr>
        <w:t xml:space="preserve">cubrir estas </w:t>
      </w:r>
      <w:r w:rsidRPr="00F622F4">
        <w:rPr>
          <w:rFonts w:ascii="Arial" w:hAnsi="Arial" w:cs="Arial"/>
        </w:rPr>
        <w:t>necesidades de liquidez derivadas de la caída de la actividad económica</w:t>
      </w:r>
      <w:r>
        <w:rPr>
          <w:rFonts w:ascii="Arial" w:hAnsi="Arial" w:cs="Arial"/>
        </w:rPr>
        <w:t xml:space="preserve"> [3].</w:t>
      </w:r>
    </w:p>
    <w:p w14:paraId="4953A4F5" w14:textId="77777777" w:rsidR="00E40A65" w:rsidRPr="0019417A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eastAsia="Arial" w:hAnsi="Arial" w:cs="Arial"/>
          <w:lang w:val="es"/>
        </w:rPr>
      </w:pPr>
      <w:r w:rsidRPr="00972563">
        <w:rPr>
          <w:rFonts w:ascii="Arial" w:hAnsi="Arial" w:cs="Arial"/>
        </w:rPr>
        <w:t>Este empeoramiento de las condiciones financieras para las MIPYME se debe princip</w:t>
      </w:r>
      <w:r w:rsidRPr="00316758">
        <w:rPr>
          <w:rFonts w:ascii="Arial" w:hAnsi="Arial" w:cs="Arial"/>
        </w:rPr>
        <w:t>almente a que en contextos de contracción macroeconómica el sector financiero</w:t>
      </w:r>
      <w:r>
        <w:rPr>
          <w:rStyle w:val="FootnoteReference"/>
          <w:rFonts w:ascii="Arial" w:hAnsi="Arial" w:cs="Arial"/>
        </w:rPr>
        <w:footnoteReference w:id="2"/>
      </w:r>
      <w:r w:rsidRPr="00316758">
        <w:rPr>
          <w:rFonts w:ascii="Arial" w:hAnsi="Arial" w:cs="Arial"/>
        </w:rPr>
        <w:t>: (i) reduce su oferta de crédito</w:t>
      </w:r>
      <w:r>
        <w:rPr>
          <w:rFonts w:ascii="Arial" w:hAnsi="Arial" w:cs="Arial"/>
        </w:rPr>
        <w:t xml:space="preserve"> [4]</w:t>
      </w:r>
      <w:r w:rsidRPr="00972563">
        <w:rPr>
          <w:rFonts w:ascii="Arial" w:hAnsi="Arial" w:cs="Arial"/>
        </w:rPr>
        <w:t xml:space="preserve">; (ii) lo hace en una mayor </w:t>
      </w:r>
      <w:r w:rsidRPr="00316758">
        <w:rPr>
          <w:rFonts w:ascii="Arial" w:hAnsi="Arial" w:cs="Arial"/>
        </w:rPr>
        <w:t>proporción en el segmento de la MIPYME en comparación con empresas de mayor tamaño</w:t>
      </w:r>
      <w:r>
        <w:rPr>
          <w:rFonts w:ascii="Arial" w:hAnsi="Arial" w:cs="Arial"/>
        </w:rPr>
        <w:t xml:space="preserve"> [5]</w:t>
      </w:r>
      <w:r w:rsidRPr="00972563">
        <w:rPr>
          <w:rFonts w:ascii="Arial" w:hAnsi="Arial" w:cs="Arial"/>
        </w:rPr>
        <w:t xml:space="preserve">; y (iii) </w:t>
      </w:r>
      <w:r w:rsidRPr="00316758">
        <w:rPr>
          <w:rFonts w:ascii="Arial" w:hAnsi="Arial" w:cs="Arial"/>
        </w:rPr>
        <w:t>se demora un tiempo en recuperar el nivel previo a la crisis</w:t>
      </w:r>
      <w:r>
        <w:rPr>
          <w:rFonts w:ascii="Arial" w:hAnsi="Arial" w:cs="Arial"/>
        </w:rPr>
        <w:t xml:space="preserve"> [6]</w:t>
      </w:r>
      <w:r w:rsidRPr="00316758">
        <w:rPr>
          <w:rFonts w:ascii="Arial" w:hAnsi="Arial" w:cs="Arial"/>
        </w:rPr>
        <w:t>.</w:t>
      </w:r>
      <w:r w:rsidRPr="00972563">
        <w:rPr>
          <w:rFonts w:ascii="Arial" w:hAnsi="Arial" w:cs="Arial"/>
        </w:rPr>
        <w:t xml:space="preserve"> Este emp</w:t>
      </w:r>
      <w:r w:rsidRPr="00316758">
        <w:rPr>
          <w:rFonts w:ascii="Arial" w:hAnsi="Arial" w:cs="Arial"/>
        </w:rPr>
        <w:t xml:space="preserve">eoramiento de las condiciones de acceso a financiamiento en contexto de contracción económica se unen a los obstáculos de </w:t>
      </w:r>
      <w:r w:rsidRPr="00316758">
        <w:rPr>
          <w:rFonts w:ascii="Arial" w:eastAsia="Arial" w:hAnsi="Arial" w:cs="Arial"/>
        </w:rPr>
        <w:t>acceso al financiamiento</w:t>
      </w:r>
      <w:r>
        <w:rPr>
          <w:rFonts w:ascii="Arial" w:eastAsia="Arial" w:hAnsi="Arial" w:cs="Arial"/>
        </w:rPr>
        <w:t xml:space="preserve"> </w:t>
      </w:r>
      <w:r w:rsidRPr="00D62BD9">
        <w:rPr>
          <w:rFonts w:ascii="Arial" w:eastAsia="Arial" w:hAnsi="Arial" w:cs="Arial"/>
        </w:rPr>
        <w:t xml:space="preserve">que </w:t>
      </w:r>
      <w:r w:rsidRPr="00415AA4">
        <w:rPr>
          <w:rFonts w:ascii="Arial" w:eastAsia="Arial" w:hAnsi="Arial" w:cs="Arial"/>
        </w:rPr>
        <w:t>ya de por si</w:t>
      </w:r>
      <w:r w:rsidRPr="00BA4070">
        <w:rPr>
          <w:rFonts w:ascii="Arial" w:eastAsia="Arial" w:hAnsi="Arial" w:cs="Arial"/>
        </w:rPr>
        <w:t xml:space="preserve"> acumulan</w:t>
      </w:r>
      <w:r w:rsidRPr="00F4339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las MIPYME </w:t>
      </w:r>
      <w:r w:rsidRPr="00D14E04">
        <w:rPr>
          <w:rFonts w:ascii="Arial" w:eastAsia="Arial" w:hAnsi="Arial" w:cs="Arial"/>
        </w:rPr>
        <w:t>respecto a empresas de mayor tamaño</w:t>
      </w:r>
      <w:r>
        <w:rPr>
          <w:rFonts w:ascii="Arial" w:eastAsia="Arial" w:hAnsi="Arial" w:cs="Arial"/>
        </w:rPr>
        <w:t xml:space="preserve"> como</w:t>
      </w:r>
      <w:r w:rsidRPr="00F42FD5">
        <w:rPr>
          <w:rFonts w:ascii="Arial" w:eastAsia="Arial" w:hAnsi="Arial" w:cs="Arial"/>
        </w:rPr>
        <w:t xml:space="preserve">: </w:t>
      </w:r>
      <w:r w:rsidRPr="00D14E04">
        <w:rPr>
          <w:rFonts w:ascii="Arial" w:eastAsia="Arial" w:hAnsi="Arial" w:cs="Arial"/>
          <w:lang w:val="es"/>
        </w:rPr>
        <w:t>(i) ciclos comerciales más cortos con mayores necesidades de liquidez a corto plazo; (ii) carencia de instrumentos para la gestión del riesgo asociado a su ciclo de proyecto</w:t>
      </w:r>
      <w:r w:rsidRPr="00D62BD9">
        <w:rPr>
          <w:rFonts w:ascii="Arial" w:eastAsia="Arial" w:hAnsi="Arial" w:cs="Arial"/>
          <w:lang w:val="es"/>
        </w:rPr>
        <w:t>s; (iii) mayores limitaciones de colateral disponible y su ejecución, debido a la falta de capital existente; (iv) altos costos de operación para prestar a e</w:t>
      </w:r>
      <w:r w:rsidRPr="00BA4070">
        <w:rPr>
          <w:rFonts w:ascii="Arial" w:eastAsia="Arial" w:hAnsi="Arial" w:cs="Arial"/>
          <w:lang w:val="es"/>
        </w:rPr>
        <w:t xml:space="preserve">scalas pequeñas; y (v) </w:t>
      </w:r>
      <w:r w:rsidRPr="00F4339B">
        <w:rPr>
          <w:rFonts w:ascii="Arial" w:eastAsia="Arial" w:hAnsi="Arial" w:cs="Arial"/>
          <w:lang w:val="es"/>
        </w:rPr>
        <w:t>me</w:t>
      </w:r>
      <w:r w:rsidRPr="004942A0">
        <w:rPr>
          <w:rFonts w:ascii="Arial" w:eastAsia="Arial" w:hAnsi="Arial" w:cs="Arial"/>
          <w:lang w:val="es"/>
        </w:rPr>
        <w:t>n</w:t>
      </w:r>
      <w:r w:rsidRPr="00130218">
        <w:rPr>
          <w:rFonts w:ascii="Arial" w:eastAsia="Arial" w:hAnsi="Arial" w:cs="Arial"/>
          <w:lang w:val="es"/>
        </w:rPr>
        <w:t xml:space="preserve">or </w:t>
      </w:r>
      <w:r w:rsidRPr="00000951">
        <w:rPr>
          <w:rFonts w:ascii="Arial" w:eastAsia="Arial" w:hAnsi="Arial" w:cs="Arial"/>
          <w:lang w:val="es"/>
        </w:rPr>
        <w:t>rentabilidad que otros segmentos empresariales</w:t>
      </w:r>
      <w:r>
        <w:rPr>
          <w:rFonts w:ascii="Arial" w:eastAsia="Arial" w:hAnsi="Arial" w:cs="Arial"/>
          <w:lang w:val="es"/>
        </w:rPr>
        <w:t xml:space="preserve"> [7].</w:t>
      </w:r>
    </w:p>
    <w:p w14:paraId="28EC188E" w14:textId="77777777" w:rsidR="00E40A65" w:rsidRPr="00F42FD5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"/>
        </w:rPr>
      </w:pPr>
      <w:r>
        <w:rPr>
          <w:rFonts w:ascii="Arial" w:eastAsia="Arial" w:hAnsi="Arial" w:cs="Arial"/>
        </w:rPr>
        <w:t xml:space="preserve">El efecto dual de reducción de actividad económica y acceso a </w:t>
      </w:r>
      <w:r w:rsidRPr="00F42FD5">
        <w:rPr>
          <w:rFonts w:ascii="Arial" w:eastAsia="Arial" w:hAnsi="Arial" w:cs="Arial"/>
        </w:rPr>
        <w:t xml:space="preserve">crédito </w:t>
      </w:r>
      <w:r>
        <w:rPr>
          <w:rFonts w:ascii="Arial" w:eastAsia="Arial" w:hAnsi="Arial" w:cs="Arial"/>
        </w:rPr>
        <w:t xml:space="preserve">del sector productivo puede </w:t>
      </w:r>
      <w:r w:rsidRPr="00F42FD5"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</w:rPr>
        <w:t>r</w:t>
      </w:r>
      <w:r w:rsidRPr="00F42FD5">
        <w:rPr>
          <w:rFonts w:ascii="Arial" w:eastAsia="Arial" w:hAnsi="Arial" w:cs="Arial"/>
        </w:rPr>
        <w:t xml:space="preserve"> en riesgo </w:t>
      </w:r>
      <w:r>
        <w:rPr>
          <w:rFonts w:ascii="Arial" w:eastAsia="Arial" w:hAnsi="Arial" w:cs="Arial"/>
        </w:rPr>
        <w:t xml:space="preserve">de </w:t>
      </w:r>
      <w:r w:rsidRPr="00F42FD5">
        <w:rPr>
          <w:rFonts w:ascii="Arial" w:eastAsia="Arial" w:hAnsi="Arial" w:cs="Arial"/>
        </w:rPr>
        <w:t xml:space="preserve">supervivencia </w:t>
      </w:r>
      <w:r>
        <w:rPr>
          <w:rFonts w:ascii="Arial" w:eastAsia="Arial" w:hAnsi="Arial" w:cs="Arial"/>
        </w:rPr>
        <w:t xml:space="preserve">a </w:t>
      </w:r>
      <w:r w:rsidRPr="00F42FD5">
        <w:rPr>
          <w:rFonts w:ascii="Arial" w:eastAsia="Arial" w:hAnsi="Arial" w:cs="Arial"/>
        </w:rPr>
        <w:t>muchas MIPYME</w:t>
      </w:r>
      <w:r>
        <w:rPr>
          <w:rFonts w:ascii="Arial" w:eastAsia="Arial" w:hAnsi="Arial" w:cs="Arial"/>
        </w:rPr>
        <w:t xml:space="preserve"> de la región afectadas por la crisis del COVID-19</w:t>
      </w:r>
      <w:r w:rsidRPr="00F42FD5">
        <w:rPr>
          <w:rFonts w:ascii="Arial" w:eastAsia="Arial" w:hAnsi="Arial" w:cs="Arial"/>
        </w:rPr>
        <w:t xml:space="preserve">. </w:t>
      </w:r>
      <w:r w:rsidRPr="00F42FD5">
        <w:rPr>
          <w:rFonts w:ascii="Arial" w:hAnsi="Arial" w:cs="Arial"/>
        </w:rPr>
        <w:t>E</w:t>
      </w:r>
      <w:r w:rsidRPr="00D14E04">
        <w:rPr>
          <w:rFonts w:ascii="Arial" w:hAnsi="Arial" w:cs="Arial"/>
        </w:rPr>
        <w:t>n la actualidad</w:t>
      </w:r>
      <w:r w:rsidRPr="00D62BD9">
        <w:rPr>
          <w:rFonts w:ascii="Arial" w:hAnsi="Arial" w:cs="Arial"/>
        </w:rPr>
        <w:t xml:space="preserve"> existe un riesgo sustancial de </w:t>
      </w:r>
      <w:r w:rsidRPr="00D62BD9">
        <w:rPr>
          <w:rFonts w:ascii="Arial" w:hAnsi="Arial" w:cs="Arial"/>
        </w:rPr>
        <w:lastRenderedPageBreak/>
        <w:t>que muchas MIPYME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que eran </w:t>
      </w:r>
      <w:r>
        <w:rPr>
          <w:rFonts w:ascii="Arial" w:hAnsi="Arial" w:cs="Arial"/>
        </w:rPr>
        <w:t xml:space="preserve">comercialmente </w:t>
      </w:r>
      <w:r w:rsidRPr="00F42FD5">
        <w:rPr>
          <w:rFonts w:ascii="Arial" w:hAnsi="Arial" w:cs="Arial"/>
        </w:rPr>
        <w:t>viables antes de la crisis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se encuentren con </w:t>
      </w:r>
      <w:r w:rsidRPr="00D14E04">
        <w:rPr>
          <w:rFonts w:ascii="Arial" w:hAnsi="Arial" w:cs="Arial"/>
        </w:rPr>
        <w:t>situacio</w:t>
      </w:r>
      <w:r w:rsidRPr="00D62BD9">
        <w:rPr>
          <w:rFonts w:ascii="Arial" w:hAnsi="Arial" w:cs="Arial"/>
        </w:rPr>
        <w:t>nes de falta de l</w:t>
      </w:r>
      <w:r w:rsidRPr="00BA4070">
        <w:rPr>
          <w:rFonts w:ascii="Arial" w:hAnsi="Arial" w:cs="Arial"/>
        </w:rPr>
        <w:t xml:space="preserve">iquidez temporal </w:t>
      </w:r>
      <w:r w:rsidRPr="00F4339B">
        <w:rPr>
          <w:rFonts w:ascii="Arial" w:hAnsi="Arial" w:cs="Arial"/>
        </w:rPr>
        <w:t xml:space="preserve">que </w:t>
      </w:r>
      <w:r w:rsidRPr="004942A0">
        <w:rPr>
          <w:rFonts w:ascii="Arial" w:hAnsi="Arial" w:cs="Arial"/>
        </w:rPr>
        <w:t xml:space="preserve">derive en una situación de insolvencia </w:t>
      </w:r>
      <w:r w:rsidRPr="00130218">
        <w:rPr>
          <w:rFonts w:ascii="Arial" w:hAnsi="Arial" w:cs="Arial"/>
        </w:rPr>
        <w:t>permanente, imposibilitando atender sus pagos a proveedores, gobiernos y/o trabajadores, o hacer frente a los compromisos financieros.</w:t>
      </w:r>
      <w:r w:rsidRPr="00000951">
        <w:rPr>
          <w:rFonts w:ascii="Arial" w:hAnsi="Arial" w:cs="Arial"/>
        </w:rPr>
        <w:t xml:space="preserve"> Es importante destacar</w:t>
      </w:r>
      <w:r w:rsidRPr="00AF2E22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</w:t>
      </w:r>
      <w:r w:rsidRPr="00D14E04">
        <w:rPr>
          <w:rFonts w:ascii="Arial" w:hAnsi="Arial" w:cs="Arial"/>
        </w:rPr>
        <w:t>si las MIPYME cuentan con el acceso a</w:t>
      </w:r>
      <w:r>
        <w:rPr>
          <w:rFonts w:ascii="Arial" w:hAnsi="Arial" w:cs="Arial"/>
        </w:rPr>
        <w:t xml:space="preserve"> financiamiento para atender sus necesidades de </w:t>
      </w:r>
      <w:r w:rsidRPr="00F42FD5">
        <w:rPr>
          <w:rFonts w:ascii="Arial" w:hAnsi="Arial" w:cs="Arial"/>
        </w:rPr>
        <w:t>liquidez</w:t>
      </w:r>
      <w:r w:rsidRPr="00D14E04">
        <w:rPr>
          <w:rFonts w:ascii="Arial" w:hAnsi="Arial" w:cs="Arial"/>
        </w:rPr>
        <w:t>,</w:t>
      </w:r>
      <w:r w:rsidRPr="00D62BD9">
        <w:rPr>
          <w:rFonts w:ascii="Arial" w:hAnsi="Arial" w:cs="Arial"/>
        </w:rPr>
        <w:t xml:space="preserve"> pueden ser altamente flexibles para adaptarse a una recesión</w:t>
      </w:r>
      <w:r w:rsidRPr="00BA4070">
        <w:rPr>
          <w:rFonts w:ascii="Arial" w:hAnsi="Arial" w:cs="Arial"/>
        </w:rPr>
        <w:t xml:space="preserve"> económica porque son menos resistentes a la inercia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la rigidez y los costos hundidos, más capaces de explotar nichos de mercado</w:t>
      </w:r>
      <w:r>
        <w:rPr>
          <w:rFonts w:ascii="Arial" w:hAnsi="Arial" w:cs="Arial"/>
        </w:rPr>
        <w:t xml:space="preserve"> [8].</w:t>
      </w:r>
    </w:p>
    <w:p w14:paraId="0476D95B" w14:textId="77777777" w:rsidR="00E40A65" w:rsidRPr="00000951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 w:rsidRPr="2EB4F83A">
        <w:rPr>
          <w:rFonts w:ascii="Arial" w:hAnsi="Arial" w:cs="Arial"/>
          <w:b/>
          <w:bCs/>
        </w:rPr>
        <w:t>Justificación</w:t>
      </w:r>
      <w:r w:rsidRPr="2EB4F83A">
        <w:rPr>
          <w:rFonts w:ascii="Arial" w:hAnsi="Arial" w:cs="Arial"/>
        </w:rPr>
        <w:t xml:space="preserve">. </w:t>
      </w:r>
      <w:r w:rsidRPr="00316758">
        <w:rPr>
          <w:rFonts w:ascii="Arial" w:eastAsia="Arial" w:hAnsi="Arial" w:cs="Arial"/>
        </w:rPr>
        <w:t>La importancia de la MIPYME para la economía mundial aunado a su fragilidad financiera para enfrentar crisis económicas como la actual</w:t>
      </w:r>
      <w:r>
        <w:rPr>
          <w:rFonts w:ascii="Arial" w:eastAsia="Arial" w:hAnsi="Arial" w:cs="Arial"/>
        </w:rPr>
        <w:t xml:space="preserve"> [9]</w:t>
      </w:r>
      <w:r w:rsidRPr="00316758">
        <w:rPr>
          <w:rFonts w:ascii="Arial" w:eastAsia="Arial" w:hAnsi="Arial" w:cs="Arial"/>
        </w:rPr>
        <w:t>, ha hecho que una parte sustancial de la agenda de política pública para atender la crisis del COVID-19 se centre en apoyar la sostenibilidad financiera de MIPYME en el corto y medio plazo. La mayoría de los países afectados más pronta y severamente por el COVID-19 ha implementado intervenciones para dar apoyo a las MIPYMES con el objetivo final de (i) sostener la producción interna; (ii) proteger los niveles de empleo; y (iii) preservar la estabilidad macroeconómica. Las medidas adoptadas por los países respondes principalmente a intervenciones tradicionales de apoyo a la MIPYME en contexto de recesión económica</w:t>
      </w:r>
      <w:r>
        <w:rPr>
          <w:rFonts w:ascii="Arial" w:eastAsia="Arial" w:hAnsi="Arial" w:cs="Arial"/>
        </w:rPr>
        <w:t xml:space="preserve"> [10].</w:t>
      </w:r>
      <w:r w:rsidRPr="00316758">
        <w:rPr>
          <w:rFonts w:ascii="Arial" w:eastAsia="Arial" w:hAnsi="Arial" w:cs="Arial"/>
        </w:rPr>
        <w:t xml:space="preserve"> Estas medidas buscan mejorar la sostenibilidad financiera de corto y medio plazo de las MIPYME, y se pueden clasificar en tres grandes grupos: (i) medidas de prevención de agotamiento del capital de trabajo como facilitación de acceso a créditos y seguros para la exportación, o factoraje de cobros a vista; (ii) medidas de mejora de acceso al crédito para aumentar la liquidez, principalmente mediante la expansión de líneas de crédito y de esquemas de garantías; y (iii) medidas de mantenimiento de los niveles de inversión, y más genéricamente de la capacidad de respuesta en el futuro cercano a un posible repunte en la demanda, mediante programas de crédito productivo</w:t>
      </w:r>
      <w:r>
        <w:rPr>
          <w:rFonts w:ascii="Arial" w:eastAsia="Arial" w:hAnsi="Arial" w:cs="Arial"/>
        </w:rPr>
        <w:t xml:space="preserve"> [11]</w:t>
      </w:r>
      <w:r w:rsidRPr="00316758">
        <w:rPr>
          <w:rFonts w:ascii="Arial" w:eastAsia="Arial" w:hAnsi="Arial" w:cs="Arial"/>
        </w:rPr>
        <w:t>.</w:t>
      </w:r>
    </w:p>
    <w:p w14:paraId="5E7D1C66" w14:textId="77777777" w:rsidR="00E40A65" w:rsidRPr="005C2E6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>
        <w:rPr>
          <w:rFonts w:ascii="Arial" w:eastAsia="Arial" w:hAnsi="Arial" w:cs="Arial"/>
        </w:rPr>
        <w:t>En este sentido, l</w:t>
      </w:r>
      <w:r w:rsidRPr="00A811EE">
        <w:rPr>
          <w:rFonts w:ascii="Arial" w:eastAsia="Arial" w:hAnsi="Arial" w:cs="Arial"/>
        </w:rPr>
        <w:t>os gobiernos disponen de un conjunto de políticas públicas que procuran a</w:t>
      </w:r>
      <w:r>
        <w:rPr>
          <w:rFonts w:ascii="Arial" w:eastAsia="Arial" w:hAnsi="Arial" w:cs="Arial"/>
        </w:rPr>
        <w:t xml:space="preserve">liviar </w:t>
      </w:r>
      <w:r w:rsidRPr="00A811EE">
        <w:rPr>
          <w:rFonts w:ascii="Arial" w:eastAsia="Arial" w:hAnsi="Arial" w:cs="Arial"/>
        </w:rPr>
        <w:t xml:space="preserve">las dificultades enfrentadas en el financiamiento </w:t>
      </w:r>
      <w:r>
        <w:rPr>
          <w:rFonts w:ascii="Arial" w:eastAsia="Arial" w:hAnsi="Arial" w:cs="Arial"/>
        </w:rPr>
        <w:t xml:space="preserve">de </w:t>
      </w:r>
      <w:r w:rsidRPr="00A811EE">
        <w:rPr>
          <w:rFonts w:ascii="Arial" w:eastAsia="Arial" w:hAnsi="Arial" w:cs="Arial"/>
        </w:rPr>
        <w:t>las MIPYME</w:t>
      </w:r>
      <w:r>
        <w:rPr>
          <w:rFonts w:ascii="Arial" w:eastAsia="Arial" w:hAnsi="Arial" w:cs="Arial"/>
        </w:rPr>
        <w:t>, y específicamente están</w:t>
      </w:r>
      <w:r w:rsidRPr="00000951">
        <w:rPr>
          <w:rFonts w:ascii="Arial" w:eastAsia="Arial" w:hAnsi="Arial" w:cs="Arial"/>
        </w:rPr>
        <w:t xml:space="preserve"> orientadas a acelerar, facilitar y renovar el acceso a crédito de las MIPYMES</w:t>
      </w:r>
      <w:r w:rsidRPr="00A811EE">
        <w:rPr>
          <w:rFonts w:ascii="Arial" w:eastAsia="Arial" w:hAnsi="Arial" w:cs="Arial"/>
        </w:rPr>
        <w:t>, entre otras: (i) programas de liquidez de corto plazo para apoyar las necesidades de capital de trabajo</w:t>
      </w:r>
      <w:r>
        <w:rPr>
          <w:rFonts w:ascii="Arial" w:eastAsia="Arial" w:hAnsi="Arial" w:cs="Arial"/>
        </w:rPr>
        <w:t xml:space="preserve"> [12]</w:t>
      </w:r>
      <w:r w:rsidRPr="00A811EE">
        <w:rPr>
          <w:rFonts w:ascii="Arial" w:eastAsia="Arial" w:hAnsi="Arial" w:cs="Arial"/>
        </w:rPr>
        <w:t xml:space="preserve">; (ii) programas de comercio exterior para completar faltantes de crédito en operaciones de exportación e importación; (iii) 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pandemia; (iv) programas para cadenas de valor </w:t>
      </w:r>
      <w:r>
        <w:rPr>
          <w:rFonts w:ascii="Arial" w:eastAsia="Arial" w:hAnsi="Arial" w:cs="Arial"/>
        </w:rPr>
        <w:t xml:space="preserve">en las que </w:t>
      </w:r>
      <w:r w:rsidRPr="00A811EE">
        <w:rPr>
          <w:rFonts w:ascii="Arial" w:eastAsia="Arial" w:hAnsi="Arial" w:cs="Arial"/>
        </w:rPr>
        <w:t>empresa</w:t>
      </w:r>
      <w:r>
        <w:rPr>
          <w:rFonts w:ascii="Arial" w:eastAsia="Arial" w:hAnsi="Arial" w:cs="Arial"/>
        </w:rPr>
        <w:t>s</w:t>
      </w:r>
      <w:r w:rsidRPr="00A811EE">
        <w:rPr>
          <w:rFonts w:ascii="Arial" w:eastAsia="Arial" w:hAnsi="Arial" w:cs="Arial"/>
        </w:rPr>
        <w:t xml:space="preserve"> ancla puedan contribuir a la recuperación de sus proveedores ante la interrupción en la cadena productiva en sectores estratégicos para el país; y (v) programas de desarrollo productivo para la recuperación económica mediante un financiamiento de mediano y largo plazo para apoyar inversiones productivas que busque recuperar capacidad productiva perdida o </w:t>
      </w:r>
      <w:r>
        <w:rPr>
          <w:rFonts w:ascii="Arial" w:eastAsia="Arial" w:hAnsi="Arial" w:cs="Arial"/>
        </w:rPr>
        <w:t xml:space="preserve">para </w:t>
      </w:r>
      <w:r w:rsidRPr="00A811EE">
        <w:rPr>
          <w:rFonts w:ascii="Arial" w:eastAsia="Arial" w:hAnsi="Arial" w:cs="Arial"/>
        </w:rPr>
        <w:t>atender un surgimiento repentino en la demanda como consecuencia de la pandemia o sus efectos posteriores</w:t>
      </w:r>
      <w:r>
        <w:rPr>
          <w:rFonts w:ascii="Arial" w:eastAsia="Arial" w:hAnsi="Arial" w:cs="Arial"/>
        </w:rPr>
        <w:t>.</w:t>
      </w:r>
      <w:r>
        <w:rPr>
          <w:rStyle w:val="FootnoteReference"/>
          <w:rFonts w:ascii="Arial" w:eastAsia="Arial" w:hAnsi="Arial" w:cs="Arial"/>
        </w:rPr>
        <w:footnoteReference w:id="3"/>
      </w:r>
    </w:p>
    <w:p w14:paraId="00B75292" w14:textId="50009609" w:rsidR="00E40A65" w:rsidRPr="00516F23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 w:rsidRPr="00316758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n el contexto actual, </w:t>
      </w:r>
      <w:r w:rsidRPr="003167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las </w:t>
      </w:r>
      <w:r w:rsidRPr="00316758">
        <w:rPr>
          <w:rFonts w:ascii="Arial" w:eastAsia="Arial" w:hAnsi="Arial" w:cs="Arial"/>
        </w:rPr>
        <w:t xml:space="preserve">medidas descritas anteriormente se han empleado tanto en países emergentes como desarrollados </w:t>
      </w:r>
      <w:r>
        <w:rPr>
          <w:rStyle w:val="FootnoteReference"/>
          <w:rFonts w:ascii="Arial" w:eastAsia="Arial" w:hAnsi="Arial" w:cs="Arial"/>
        </w:rPr>
        <w:footnoteReference w:id="4"/>
      </w:r>
      <w:r w:rsidRPr="00316758">
        <w:rPr>
          <w:rFonts w:ascii="Arial" w:eastAsia="Arial" w:hAnsi="Arial" w:cs="Arial"/>
        </w:rPr>
        <w:t xml:space="preserve">, canalizándolas principalmente mediante Bancos Públicos de Desarrollo (BPD), directa o indirectamente a través de instituciones financieras intermediarias (IFI), y vehículos dedicados de financiamiento – por ejemplo, fideicomisos – constituidos por un ministerio o un banco central para </w:t>
      </w:r>
      <w:r w:rsidRPr="00316758">
        <w:rPr>
          <w:rFonts w:ascii="Arial" w:eastAsia="Arial" w:hAnsi="Arial" w:cs="Arial"/>
        </w:rPr>
        <w:lastRenderedPageBreak/>
        <w:t xml:space="preserve">darle un tratamiento segregado a operaciones que tienen un perfil de riesgo más elevado </w:t>
      </w:r>
      <w:r>
        <w:rPr>
          <w:rFonts w:ascii="Arial" w:eastAsia="Arial" w:hAnsi="Arial" w:cs="Arial"/>
        </w:rPr>
        <w:t>d</w:t>
      </w:r>
      <w:r w:rsidRPr="00316758">
        <w:rPr>
          <w:rFonts w:ascii="Arial" w:eastAsia="Arial" w:hAnsi="Arial" w:cs="Arial"/>
        </w:rPr>
        <w:t xml:space="preserve">e lo habitual. Sobre esta premisa, el Banco pretende apoyar </w:t>
      </w:r>
      <w:r w:rsidR="000A76C4">
        <w:rPr>
          <w:rFonts w:ascii="Arial" w:eastAsia="Arial" w:hAnsi="Arial" w:cs="Arial"/>
        </w:rPr>
        <w:t>a Panamá</w:t>
      </w:r>
      <w:r w:rsidRPr="00316758">
        <w:rPr>
          <w:rFonts w:ascii="Arial" w:eastAsia="Arial" w:hAnsi="Arial" w:cs="Arial"/>
        </w:rPr>
        <w:t xml:space="preserve">, mediante la intervención aquí planteada, en el diseño, implementación y financiamiento de </w:t>
      </w:r>
      <w:r w:rsidR="000A76C4">
        <w:rPr>
          <w:rFonts w:ascii="Arial" w:eastAsia="Arial" w:hAnsi="Arial" w:cs="Arial"/>
        </w:rPr>
        <w:t>MIPYME</w:t>
      </w:r>
      <w:r w:rsidR="005A352A">
        <w:rPr>
          <w:rFonts w:ascii="Arial" w:eastAsia="Arial" w:hAnsi="Arial" w:cs="Arial"/>
        </w:rPr>
        <w:t>. C</w:t>
      </w:r>
      <w:bookmarkStart w:id="0" w:name="_GoBack"/>
      <w:bookmarkEnd w:id="0"/>
      <w:r w:rsidR="005A352A" w:rsidRPr="005A352A">
        <w:rPr>
          <w:rFonts w:ascii="Arial" w:eastAsia="Arial" w:hAnsi="Arial" w:cs="Arial"/>
        </w:rPr>
        <w:t>onsiderando la gran relevancia y vulnerabilidad del sector agropecuario, así como la gran experiencia del Organismo Ejecutor (Banco Nacional de Panamá) en este y otros segmentos, la intervención tendrá un enfoque agropecuario, así como en los sectores de comercio y servicios. De esta manera se espera que la ejecución de los recursos se adapte a la demanda y a la evolución en cuanto a la afectación de la crisis actual. De igual forma para garantizar una correcta y eficiente atención al sector de la MIPYME, se ha establecido que las microempresas recibirán los recursos mediante las intermediarias financieras elegibles y las pequeñas y medianas empresas de manera directa mediante el OE.</w:t>
      </w:r>
    </w:p>
    <w:p w14:paraId="124C5B76" w14:textId="77777777" w:rsidR="00B346E9" w:rsidRDefault="00B346E9" w:rsidP="00B346E9">
      <w:pPr>
        <w:jc w:val="both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sectPr w:rsidR="00B346E9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2BDB5" w14:textId="77777777" w:rsidR="000B09E1" w:rsidRDefault="000B09E1" w:rsidP="00E40A65">
      <w:pPr>
        <w:spacing w:after="0" w:line="240" w:lineRule="auto"/>
      </w:pPr>
      <w:r>
        <w:separator/>
      </w:r>
    </w:p>
  </w:endnote>
  <w:endnote w:type="continuationSeparator" w:id="0">
    <w:p w14:paraId="3B1A7B0E" w14:textId="77777777" w:rsidR="000B09E1" w:rsidRDefault="000B09E1" w:rsidP="00E4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BF6BC" w14:textId="77777777" w:rsidR="000B09E1" w:rsidRDefault="000B09E1" w:rsidP="00E40A65">
      <w:pPr>
        <w:spacing w:after="0" w:line="240" w:lineRule="auto"/>
      </w:pPr>
      <w:r>
        <w:separator/>
      </w:r>
    </w:p>
  </w:footnote>
  <w:footnote w:type="continuationSeparator" w:id="0">
    <w:p w14:paraId="5AD3BF8B" w14:textId="77777777" w:rsidR="000B09E1" w:rsidRDefault="000B09E1" w:rsidP="00E40A65">
      <w:pPr>
        <w:spacing w:after="0" w:line="240" w:lineRule="auto"/>
      </w:pPr>
      <w:r>
        <w:continuationSeparator/>
      </w:r>
    </w:p>
  </w:footnote>
  <w:footnote w:id="1">
    <w:p w14:paraId="13E75287" w14:textId="48E2048A" w:rsidR="00E40A65" w:rsidRPr="00584650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  <w:lang w:val="es-ES"/>
        </w:rPr>
      </w:pPr>
      <w:r w:rsidRPr="003D48BC">
        <w:rPr>
          <w:rStyle w:val="FootnoteReference"/>
          <w:rFonts w:ascii="Arial" w:hAnsi="Arial" w:cs="Arial"/>
          <w:sz w:val="18"/>
          <w:szCs w:val="18"/>
        </w:rPr>
        <w:footnoteRef/>
      </w:r>
      <w:r w:rsidRPr="003D48BC">
        <w:rPr>
          <w:rFonts w:ascii="Arial" w:hAnsi="Arial" w:cs="Arial"/>
          <w:sz w:val="18"/>
          <w:szCs w:val="18"/>
        </w:rPr>
        <w:t xml:space="preserve"> </w:t>
      </w:r>
      <w:r w:rsidRPr="003D48BC">
        <w:rPr>
          <w:rFonts w:ascii="Arial" w:hAnsi="Arial" w:cs="Arial"/>
          <w:sz w:val="18"/>
          <w:szCs w:val="18"/>
        </w:rPr>
        <w:tab/>
      </w:r>
      <w:r w:rsidRPr="003D48BC">
        <w:rPr>
          <w:rFonts w:ascii="Arial" w:hAnsi="Arial" w:cs="Arial"/>
          <w:sz w:val="18"/>
          <w:szCs w:val="18"/>
          <w:lang w:val="es-PA"/>
        </w:rPr>
        <w:t xml:space="preserve">Consultar </w:t>
      </w:r>
      <w:hyperlink r:id="rId1" w:history="1">
        <w:r w:rsidRPr="0060580D">
          <w:rPr>
            <w:rStyle w:val="Hyperlink"/>
            <w:rFonts w:ascii="Arial" w:hAnsi="Arial" w:cs="Arial"/>
            <w:sz w:val="18"/>
            <w:szCs w:val="18"/>
            <w:lang w:val="es-PA"/>
          </w:rPr>
          <w:t>Enlace Electrónico Opcional de referencias bibliográficas</w:t>
        </w:r>
      </w:hyperlink>
      <w:r>
        <w:rPr>
          <w:rFonts w:ascii="Arial" w:hAnsi="Arial" w:cs="Arial"/>
          <w:sz w:val="18"/>
          <w:szCs w:val="18"/>
          <w:lang w:val="es-PA"/>
        </w:rPr>
        <w:t>.</w:t>
      </w:r>
    </w:p>
  </w:footnote>
  <w:footnote w:id="2">
    <w:p w14:paraId="2C55D452" w14:textId="77777777" w:rsidR="00E40A65" w:rsidRPr="005637EF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</w:rPr>
      </w:pPr>
      <w:r w:rsidRPr="00AF2E22">
        <w:rPr>
          <w:rStyle w:val="FootnoteReference"/>
          <w:rFonts w:ascii="Arial" w:hAnsi="Arial" w:cs="Arial"/>
          <w:sz w:val="18"/>
          <w:szCs w:val="18"/>
        </w:rPr>
        <w:footnoteRef/>
      </w:r>
      <w:r w:rsidRPr="00AF2E22">
        <w:rPr>
          <w:rFonts w:ascii="Arial" w:hAnsi="Arial" w:cs="Arial"/>
          <w:sz w:val="18"/>
          <w:szCs w:val="18"/>
        </w:rPr>
        <w:t xml:space="preserve"> </w:t>
      </w:r>
      <w:r w:rsidRPr="00AF2E22">
        <w:rPr>
          <w:rFonts w:ascii="Arial" w:hAnsi="Arial" w:cs="Arial"/>
          <w:sz w:val="18"/>
          <w:szCs w:val="18"/>
        </w:rPr>
        <w:tab/>
        <w:t xml:space="preserve">El principal factor de la reducción de la oferta </w:t>
      </w:r>
      <w:r>
        <w:rPr>
          <w:rFonts w:ascii="Arial" w:hAnsi="Arial" w:cs="Arial"/>
          <w:sz w:val="18"/>
          <w:szCs w:val="18"/>
        </w:rPr>
        <w:t xml:space="preserve">del sector financiero a la MIPYME </w:t>
      </w:r>
      <w:r w:rsidRPr="00C40BD4">
        <w:rPr>
          <w:rFonts w:ascii="Arial" w:hAnsi="Arial" w:cs="Arial"/>
          <w:sz w:val="18"/>
          <w:szCs w:val="18"/>
        </w:rPr>
        <w:t>es el aumento de la percepción de riesgo de crédito</w:t>
      </w:r>
      <w:r>
        <w:rPr>
          <w:rFonts w:ascii="Arial" w:hAnsi="Arial" w:cs="Arial"/>
          <w:sz w:val="18"/>
          <w:szCs w:val="18"/>
        </w:rPr>
        <w:t xml:space="preserve"> aunado a la expectativa de deterioró de cartera crediticia en el segmento</w:t>
      </w:r>
      <w:r w:rsidRPr="00C40BD4">
        <w:rPr>
          <w:rFonts w:ascii="Arial" w:hAnsi="Arial" w:cs="Arial"/>
          <w:sz w:val="18"/>
          <w:szCs w:val="18"/>
        </w:rPr>
        <w:t>.</w:t>
      </w:r>
    </w:p>
  </w:footnote>
  <w:footnote w:id="3">
    <w:p w14:paraId="73BF1382" w14:textId="77777777" w:rsidR="00E40A65" w:rsidRPr="00AF2E22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  <w:lang w:val="es-ES"/>
        </w:rPr>
      </w:pPr>
      <w:r w:rsidRPr="00AF2E22">
        <w:rPr>
          <w:rStyle w:val="FootnoteReference"/>
        </w:rPr>
        <w:footnoteRef/>
      </w:r>
      <w:r w:rsidRPr="00AF2E22">
        <w:rPr>
          <w:rFonts w:ascii="Arial" w:hAnsi="Arial" w:cs="Arial"/>
          <w:sz w:val="18"/>
          <w:szCs w:val="18"/>
          <w:lang w:val="es-ES"/>
        </w:rPr>
        <w:t xml:space="preserve"> </w:t>
      </w:r>
      <w:r w:rsidRPr="00AF2E22">
        <w:rPr>
          <w:rFonts w:ascii="Arial" w:hAnsi="Arial" w:cs="Arial"/>
          <w:sz w:val="18"/>
          <w:szCs w:val="18"/>
          <w:lang w:val="es-ES"/>
        </w:rPr>
        <w:tab/>
        <w:t>Las MIPYME de la región son un grupo de empresas heterogéneas y por tanto pueden necesitar diferentes productos para fortalecer su sostenibilidad financiera, dependiendo de su contexto y el del sistema financiero del país en el que basan su actividad.</w:t>
      </w:r>
    </w:p>
  </w:footnote>
  <w:footnote w:id="4">
    <w:p w14:paraId="045C4FE3" w14:textId="77777777" w:rsidR="00E40A65" w:rsidRPr="00117866" w:rsidRDefault="00E40A65" w:rsidP="00E40A65">
      <w:pPr>
        <w:pStyle w:val="FootnoteText"/>
        <w:tabs>
          <w:tab w:val="left" w:pos="270"/>
        </w:tabs>
        <w:spacing w:after="40"/>
        <w:ind w:left="270" w:hanging="270"/>
        <w:rPr>
          <w:rFonts w:ascii="Arial" w:hAnsi="Arial" w:cs="Arial"/>
        </w:rPr>
      </w:pPr>
      <w:r w:rsidRPr="00AF2E22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>
        <w:rPr>
          <w:rFonts w:ascii="Arial" w:hAnsi="Arial" w:cs="Arial"/>
          <w:sz w:val="18"/>
          <w:szCs w:val="18"/>
          <w:lang w:val="es-ES"/>
        </w:rPr>
        <w:t xml:space="preserve">   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Un compendio de las políticas públicas en la región y fuera de ella </w:t>
      </w:r>
      <w:r>
        <w:rPr>
          <w:rFonts w:ascii="Arial" w:hAnsi="Arial" w:cs="Arial"/>
          <w:sz w:val="18"/>
          <w:szCs w:val="18"/>
          <w:lang w:val="es-ES"/>
        </w:rPr>
        <w:t>en respuesta a la crisis del COVID-19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se incorpora en el [EEO#</w:t>
      </w:r>
      <w:r>
        <w:rPr>
          <w:rFonts w:ascii="Arial" w:hAnsi="Arial" w:cs="Arial"/>
          <w:sz w:val="18"/>
          <w:szCs w:val="18"/>
          <w:lang w:val="es-ES"/>
        </w:rPr>
        <w:t>3</w:t>
      </w:r>
      <w:r w:rsidRPr="00AF2E22">
        <w:rPr>
          <w:rFonts w:ascii="Arial" w:hAnsi="Arial" w:cs="Arial"/>
          <w:sz w:val="18"/>
          <w:szCs w:val="18"/>
          <w:lang w:val="es-ES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94911"/>
    <w:multiLevelType w:val="multilevel"/>
    <w:tmpl w:val="44189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6475"/>
    <w:rsid w:val="00046C78"/>
    <w:rsid w:val="00060FBF"/>
    <w:rsid w:val="00066CD6"/>
    <w:rsid w:val="000717D0"/>
    <w:rsid w:val="000730C1"/>
    <w:rsid w:val="000809D3"/>
    <w:rsid w:val="00095598"/>
    <w:rsid w:val="000A76C4"/>
    <w:rsid w:val="000B021B"/>
    <w:rsid w:val="000B09E1"/>
    <w:rsid w:val="000C72DA"/>
    <w:rsid w:val="000F6B86"/>
    <w:rsid w:val="00122C6A"/>
    <w:rsid w:val="00136715"/>
    <w:rsid w:val="00152162"/>
    <w:rsid w:val="00154F26"/>
    <w:rsid w:val="00155D7A"/>
    <w:rsid w:val="00170258"/>
    <w:rsid w:val="001752EE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B105C"/>
    <w:rsid w:val="003C34BC"/>
    <w:rsid w:val="003C7C86"/>
    <w:rsid w:val="003D0495"/>
    <w:rsid w:val="00410395"/>
    <w:rsid w:val="004363F9"/>
    <w:rsid w:val="004458FE"/>
    <w:rsid w:val="00467C24"/>
    <w:rsid w:val="004A4A6C"/>
    <w:rsid w:val="004D1485"/>
    <w:rsid w:val="004E2256"/>
    <w:rsid w:val="004F2C7D"/>
    <w:rsid w:val="00530BF9"/>
    <w:rsid w:val="00554183"/>
    <w:rsid w:val="0056641E"/>
    <w:rsid w:val="00571D52"/>
    <w:rsid w:val="0058199E"/>
    <w:rsid w:val="00585B3C"/>
    <w:rsid w:val="005A352A"/>
    <w:rsid w:val="005A7D6C"/>
    <w:rsid w:val="005C4B18"/>
    <w:rsid w:val="005D1A5E"/>
    <w:rsid w:val="0060580D"/>
    <w:rsid w:val="0062403A"/>
    <w:rsid w:val="00632C35"/>
    <w:rsid w:val="0066045E"/>
    <w:rsid w:val="00661320"/>
    <w:rsid w:val="00754D9D"/>
    <w:rsid w:val="00762195"/>
    <w:rsid w:val="0078215A"/>
    <w:rsid w:val="007D29B4"/>
    <w:rsid w:val="007E5CCE"/>
    <w:rsid w:val="008049ED"/>
    <w:rsid w:val="00833499"/>
    <w:rsid w:val="00836B00"/>
    <w:rsid w:val="0084269D"/>
    <w:rsid w:val="00842AEB"/>
    <w:rsid w:val="00853231"/>
    <w:rsid w:val="008750D3"/>
    <w:rsid w:val="00876077"/>
    <w:rsid w:val="008A1471"/>
    <w:rsid w:val="008C0004"/>
    <w:rsid w:val="008C1998"/>
    <w:rsid w:val="00900237"/>
    <w:rsid w:val="00914E91"/>
    <w:rsid w:val="00940866"/>
    <w:rsid w:val="00943C78"/>
    <w:rsid w:val="0094767C"/>
    <w:rsid w:val="00981217"/>
    <w:rsid w:val="009A43B3"/>
    <w:rsid w:val="009C233D"/>
    <w:rsid w:val="009F66E0"/>
    <w:rsid w:val="00A32A0B"/>
    <w:rsid w:val="00A63C89"/>
    <w:rsid w:val="00A770AB"/>
    <w:rsid w:val="00A829D6"/>
    <w:rsid w:val="00A9550E"/>
    <w:rsid w:val="00AF5C1D"/>
    <w:rsid w:val="00B24715"/>
    <w:rsid w:val="00B346E9"/>
    <w:rsid w:val="00B661A7"/>
    <w:rsid w:val="00BB69F0"/>
    <w:rsid w:val="00BC3329"/>
    <w:rsid w:val="00BE274D"/>
    <w:rsid w:val="00BF765F"/>
    <w:rsid w:val="00C00593"/>
    <w:rsid w:val="00C06D22"/>
    <w:rsid w:val="00C16EB1"/>
    <w:rsid w:val="00C202F6"/>
    <w:rsid w:val="00C32579"/>
    <w:rsid w:val="00C64C88"/>
    <w:rsid w:val="00C82FF4"/>
    <w:rsid w:val="00C8469F"/>
    <w:rsid w:val="00C90F2B"/>
    <w:rsid w:val="00C97DC1"/>
    <w:rsid w:val="00CB0154"/>
    <w:rsid w:val="00CE0EC9"/>
    <w:rsid w:val="00CE2655"/>
    <w:rsid w:val="00D066F7"/>
    <w:rsid w:val="00D3138E"/>
    <w:rsid w:val="00D32110"/>
    <w:rsid w:val="00D4409E"/>
    <w:rsid w:val="00D96916"/>
    <w:rsid w:val="00D973C6"/>
    <w:rsid w:val="00DC2816"/>
    <w:rsid w:val="00DD60A4"/>
    <w:rsid w:val="00DE0E45"/>
    <w:rsid w:val="00E0656D"/>
    <w:rsid w:val="00E13CC7"/>
    <w:rsid w:val="00E230D7"/>
    <w:rsid w:val="00E37CA6"/>
    <w:rsid w:val="00E4013F"/>
    <w:rsid w:val="00E40A65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2173"/>
    <w:rsid w:val="00ED70BF"/>
    <w:rsid w:val="00EF0E31"/>
    <w:rsid w:val="00EF552F"/>
    <w:rsid w:val="00F17D4E"/>
    <w:rsid w:val="00F31C2E"/>
    <w:rsid w:val="00F33E0D"/>
    <w:rsid w:val="00F36EB2"/>
    <w:rsid w:val="00F7736C"/>
    <w:rsid w:val="00F8085A"/>
    <w:rsid w:val="00F90DE0"/>
    <w:rsid w:val="00F92D82"/>
    <w:rsid w:val="00FA065A"/>
    <w:rsid w:val="00FA1E73"/>
    <w:rsid w:val="00FA1E7F"/>
    <w:rsid w:val="00F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,fn Car,ADB,ft,Char"/>
    <w:basedOn w:val="Normal"/>
    <w:link w:val="FootnoteTextChar"/>
    <w:uiPriority w:val="99"/>
    <w:qFormat/>
    <w:rsid w:val="00E40A65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E40A65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basedOn w:val="DefaultParagraphFont"/>
    <w:link w:val="Char2"/>
    <w:uiPriority w:val="99"/>
    <w:qFormat/>
    <w:rsid w:val="00E40A65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E40A65"/>
    <w:pPr>
      <w:spacing w:line="240" w:lineRule="exact"/>
    </w:pPr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058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8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580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7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6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6" Type="http://schemas.openxmlformats.org/officeDocument/2006/relationships/customXml" Target="../customXml/item4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ustomXml" Target="../customXml/item3.xml"/><Relationship Id="rId10" Type="http://schemas.openxmlformats.org/officeDocument/2006/relationships/endnotes" Target="endnotes.xml"/><Relationship Id="rId19" Type="http://schemas.openxmlformats.org/officeDocument/2006/relationships/customXml" Target="../customXml/item7.xml"/><Relationship Id="rId9" Type="http://schemas.openxmlformats.org/officeDocument/2006/relationships/footnotes" Target="footnotes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dbg-my.sharepoint.com/:w:/r/personal/alozanom_iadb_org/Documents/Documentos%20DLP%20est%C3%A1ndar%20CMF/POD%20-%20COVID%20Template%20EEO%203%20%20Referencias%20Bibliogr%C3%A1ficas.docx?d=wf13a9d42f710429387c7d97107ffdac0&amp;csf=1&amp;e=mPMQ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BD48748C0F72444BA9F241E97600331" ma:contentTypeVersion="0" ma:contentTypeDescription="A content type to manage public (operations) IDB documents" ma:contentTypeScope="" ma:versionID="ff646ff990f28b2aeb2ac075cc63a0a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0fc6fec6584c25279b09b8025008b8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IFD/CMF</Division_x0020_or_x0020_Unit>
    <_dlc_DocId xmlns="cdc7663a-08f0-4737-9e8c-148ce897a09c">EZSHARE-112611452-7</_dlc_DocId>
    <Document_x0020_Author xmlns="cdc7663a-08f0-4737-9e8c-148ce897a09c">CYNTHIAMAR</Document_x0020_Author>
    <TaxCatchAll xmlns="cdc7663a-08f0-4737-9e8c-148ce897a09c">
      <Value>216</Value>
      <Value>25</Value>
      <Value>254</Value>
      <Value>1</Value>
      <Value>22</Value>
    </TaxCatchAll>
    <Fiscal_x0020_Year_x0020_IDB xmlns="cdc7663a-08f0-4737-9e8c-148ce897a09c">2020</Fiscal_x0020_Year_x0020_IDB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Operation_x0020_Type xmlns="cdc7663a-08f0-4737-9e8c-148ce897a09c">LON</Operation_x0020_Type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PN-L1164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>5040/OC-PN;</Approval_x0020_Number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 - Simultaneous Disclosure</Access_x0020_to_x0020_Information_x00a0_Policy>
    <Identifier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Document_x0020_Language_x0020_IDB xmlns="cdc7663a-08f0-4737-9e8c-148ce897a09c">Spanish</Document_x0020_Language_x0020_IDB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_dlc_DocIdUrl xmlns="cdc7663a-08f0-4737-9e8c-148ce897a09c">
      <Url>https://idbg.sharepoint.com/teams/EZ-PN-LON/PN-L1164/_layouts/15/DocIdRedir.aspx?ID=EZSHARE-112611452-7</Url>
      <Description>EZSHARE-112611452-7</Description>
    </_dlc_DocIdUrl>
    <Phase xmlns="cdc7663a-08f0-4737-9e8c-148ce897a09c">ACTIVE</Phase>
    <Other_x0020_Author xmlns="cdc7663a-08f0-4737-9e8c-148ce897a09c" xsi:nil="true"/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3C743F23-CBBC-41D8-AE88-2AC9312023D4}"/>
</file>

<file path=customXml/itemProps2.xml><?xml version="1.0" encoding="utf-8"?>
<ds:datastoreItem xmlns:ds="http://schemas.openxmlformats.org/officeDocument/2006/customXml" ds:itemID="{2F74D4B9-7F02-4D11-AFAB-830FF7B2D472}"/>
</file>

<file path=customXml/itemProps3.xml><?xml version="1.0" encoding="utf-8"?>
<ds:datastoreItem xmlns:ds="http://schemas.openxmlformats.org/officeDocument/2006/customXml" ds:itemID="{C3FB5BCB-59C1-43C9-A2DC-9B0AF15195AA}"/>
</file>

<file path=customXml/itemProps4.xml><?xml version="1.0" encoding="utf-8"?>
<ds:datastoreItem xmlns:ds="http://schemas.openxmlformats.org/officeDocument/2006/customXml" ds:itemID="{0061B948-3AC7-4935-9831-8BE6B7CADE7F}"/>
</file>

<file path=customXml/itemProps5.xml><?xml version="1.0" encoding="utf-8"?>
<ds:datastoreItem xmlns:ds="http://schemas.openxmlformats.org/officeDocument/2006/customXml" ds:itemID="{2A324110-11E7-4781-A42E-0A287F459658}"/>
</file>

<file path=customXml/itemProps6.xml><?xml version="1.0" encoding="utf-8"?>
<ds:datastoreItem xmlns:ds="http://schemas.openxmlformats.org/officeDocument/2006/customXml" ds:itemID="{BA668437-45DD-4197-B5E6-8E041DC08B7E}"/>
</file>

<file path=customXml/itemProps7.xml><?xml version="1.0" encoding="utf-8"?>
<ds:datastoreItem xmlns:ds="http://schemas.openxmlformats.org/officeDocument/2006/customXml" ds:itemID="{6404757E-4A91-491F-87B2-45DF3BB258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Martinez Lopez, Cynthia Guadalupe</cp:lastModifiedBy>
  <cp:revision>4</cp:revision>
  <dcterms:created xsi:type="dcterms:W3CDTF">2020-04-28T13:11:00Z</dcterms:created>
  <dcterms:modified xsi:type="dcterms:W3CDTF">2020-04-28T15:52:00Z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254;#BANKING MARKET DEVELOPMENT|5f08329b-f2bb-4342-ba75-eb4216b403d4</vt:lpwstr>
  </property>
  <property fmtid="{D5CDD505-2E9C-101B-9397-08002B2CF9AE}" pid="7" name="Country">
    <vt:lpwstr>22;#Panama|7af43a84-776d-43d1-b0f2-8a1f2a8ffc7b</vt:lpwstr>
  </property>
  <property fmtid="{D5CDD505-2E9C-101B-9397-08002B2CF9AE}" pid="8" name="_dlc_DocIdItemGuid">
    <vt:lpwstr>702c5db3-4e51-473a-b4e8-04869bf21b4b</vt:lpwstr>
  </property>
  <property fmtid="{D5CDD505-2E9C-101B-9397-08002B2CF9AE}" pid="9" name="Fund IDB">
    <vt:lpwstr>25;#ORC|c028a4b2-ad8b-4cf4-9cac-a2ae6a778e23</vt:lpwstr>
  </property>
  <property fmtid="{D5CDD505-2E9C-101B-9397-08002B2CF9AE}" pid="10" name="Sector IDB">
    <vt:lpwstr>216;#FINANCIAL MARKETS|75500f29-2419-473a-bcd8-84901ddc2aa7</vt:lpwstr>
  </property>
  <property fmtid="{D5CDD505-2E9C-101B-9397-08002B2CF9AE}" pid="11" name="Function Operations IDB">
    <vt:lpwstr>1;#Project Preparation Planning and Design|29ca0c72-1fc4-435f-a09c-28585cb5eac9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0x0101001A458A224826124E8B45B1D613300CFC001BD48748C0F72444BA9F241E97600331</vt:lpwstr>
  </property>
</Properties>
</file>