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36DF6" w14:textId="77777777" w:rsidR="007A1DE1" w:rsidRDefault="00CD4E7E" w:rsidP="007A1DE1">
      <w:pPr>
        <w:pStyle w:val="Paragraph"/>
        <w:numPr>
          <w:ilvl w:val="0"/>
          <w:numId w:val="0"/>
        </w:numPr>
        <w:ind w:left="720"/>
        <w:jc w:val="center"/>
        <w:rPr>
          <w:b/>
        </w:rPr>
      </w:pPr>
      <w:r w:rsidRPr="003050D4">
        <w:rPr>
          <w:b/>
        </w:rPr>
        <w:t>Evidencia internacional</w:t>
      </w:r>
      <w:r w:rsidR="007A1DE1">
        <w:rPr>
          <w:b/>
        </w:rPr>
        <w:t>. Caso de Colombia, Perú y Paraguay</w:t>
      </w:r>
    </w:p>
    <w:p w14:paraId="51171EE2" w14:textId="77777777" w:rsidR="007A1DE1" w:rsidRDefault="007A1DE1" w:rsidP="00CD4E7E">
      <w:pPr>
        <w:pStyle w:val="Paragraph"/>
        <w:numPr>
          <w:ilvl w:val="0"/>
          <w:numId w:val="0"/>
        </w:numPr>
        <w:ind w:left="720"/>
      </w:pPr>
    </w:p>
    <w:p w14:paraId="14A7E8AE" w14:textId="562E80FC" w:rsidR="00CD4E7E" w:rsidRPr="002914D1" w:rsidRDefault="00CD4E7E" w:rsidP="00CD4E7E">
      <w:pPr>
        <w:pStyle w:val="Paragraph"/>
        <w:numPr>
          <w:ilvl w:val="0"/>
          <w:numId w:val="0"/>
        </w:numPr>
        <w:ind w:left="720"/>
      </w:pPr>
      <w:r w:rsidRPr="002914D1">
        <w:t>La experiencia internacional muestra que la participación privada en el financiamiento y gestión de infraestructura puede ofrecer ventajas considerables, tales como</w:t>
      </w:r>
      <w:r>
        <w:rPr>
          <w:rStyle w:val="FootnoteReference"/>
        </w:rPr>
        <w:footnoteReference w:id="1"/>
      </w:r>
      <w:r w:rsidRPr="00435E65">
        <w:rPr>
          <w:vertAlign w:val="superscript"/>
        </w:rPr>
        <w:t>,</w:t>
      </w:r>
      <w:r>
        <w:rPr>
          <w:rStyle w:val="FootnoteReference"/>
        </w:rPr>
        <w:footnoteReference w:id="2"/>
      </w:r>
      <w:r w:rsidRPr="002914D1">
        <w:t>: (i) mayor eficiencia en la provisión y gestión de los servicios de infraestructura, al incorporar tecnología privada</w:t>
      </w:r>
      <w:r w:rsidR="00F6697F">
        <w:rPr>
          <w:rStyle w:val="FootnoteReference"/>
        </w:rPr>
        <w:footnoteReference w:id="3"/>
      </w:r>
      <w:r w:rsidRPr="002914D1">
        <w:t>; (</w:t>
      </w:r>
      <w:proofErr w:type="spellStart"/>
      <w:r w:rsidRPr="002914D1">
        <w:t>ii</w:t>
      </w:r>
      <w:proofErr w:type="spellEnd"/>
      <w:r w:rsidRPr="002914D1">
        <w:t>) innovación a través de la competencia en los procesos de licitación; (</w:t>
      </w:r>
      <w:proofErr w:type="spellStart"/>
      <w:r w:rsidRPr="002914D1">
        <w:t>iii</w:t>
      </w:r>
      <w:proofErr w:type="spellEnd"/>
      <w:r w:rsidRPr="002914D1">
        <w:t>) recursos para el mantenimiento de la infraestructura; (</w:t>
      </w:r>
      <w:proofErr w:type="spellStart"/>
      <w:r w:rsidRPr="002914D1">
        <w:t>iv</w:t>
      </w:r>
      <w:proofErr w:type="spellEnd"/>
      <w:r w:rsidRPr="002914D1">
        <w:t>) sostenibilidad financiera, mediante el apalancamiento de recursos financieros del privado; (v)</w:t>
      </w:r>
      <w:r>
        <w:t> </w:t>
      </w:r>
      <w:r w:rsidRPr="002914D1">
        <w:t>atracción de inversionistas de largo plazo</w:t>
      </w:r>
      <w:r>
        <w:rPr>
          <w:rStyle w:val="FootnoteReference"/>
        </w:rPr>
        <w:footnoteReference w:id="4"/>
      </w:r>
      <w:r w:rsidRPr="002914D1">
        <w:t xml:space="preserve">; </w:t>
      </w:r>
      <w:r>
        <w:t xml:space="preserve">(vi) la construcción dentro del presupuesto y tiempo de ejecución previsto, </w:t>
      </w:r>
      <w:r w:rsidRPr="002914D1">
        <w:t>y (</w:t>
      </w:r>
      <w:proofErr w:type="spellStart"/>
      <w:r w:rsidRPr="002914D1">
        <w:t>vi</w:t>
      </w:r>
      <w:r>
        <w:t>i</w:t>
      </w:r>
      <w:proofErr w:type="spellEnd"/>
      <w:r w:rsidRPr="002914D1">
        <w:t>) eficiente transferencia de riesgos de ejecución del proyecto al sector privado, con lo que puede obtenerse valor por dinero en la ejecución de la obra y la gestión del activo</w:t>
      </w:r>
      <w:r>
        <w:rPr>
          <w:rStyle w:val="FootnoteReference"/>
        </w:rPr>
        <w:footnoteReference w:id="5"/>
      </w:r>
      <w:r w:rsidRPr="002914D1">
        <w:t>.</w:t>
      </w:r>
    </w:p>
    <w:p w14:paraId="3B2CED5D" w14:textId="77777777" w:rsidR="004C3C71" w:rsidRPr="002914D1" w:rsidRDefault="004C3C71" w:rsidP="004C3C71">
      <w:pPr>
        <w:pStyle w:val="Paragraph"/>
        <w:numPr>
          <w:ilvl w:val="0"/>
          <w:numId w:val="4"/>
        </w:numPr>
        <w:spacing w:before="60" w:after="60"/>
      </w:pPr>
      <w:r w:rsidRPr="002914D1">
        <w:t>Colombia: En sus cuatro generaciones de concesiones viales, los proyectos APP han transitado de un esquema de asignación del riesgo mayoritariamente pública y discrecional, a un sistema de asignación del riesgo mayoritariamente privada y estándar</w:t>
      </w:r>
      <w:r>
        <w:t>.</w:t>
      </w:r>
      <w:r w:rsidRPr="002914D1">
        <w:t xml:space="preserve"> </w:t>
      </w:r>
      <w:r>
        <w:t>E</w:t>
      </w:r>
      <w:r w:rsidRPr="002914D1">
        <w:t xml:space="preserve">sto ha venido acompañado de una Unidad Especializada dentro del Departamento Nacional de Planeación (DNP), encargada de definir los lineamientos para la evaluación del riesgo y pasivos contingentes, con la finalidad de darle sostenibilidad al programa de APP. </w:t>
      </w:r>
    </w:p>
    <w:p w14:paraId="092FF9B0" w14:textId="4C768631" w:rsidR="004C3C71" w:rsidRDefault="004C3C71" w:rsidP="004C3C71">
      <w:pPr>
        <w:pStyle w:val="Paragraph"/>
        <w:numPr>
          <w:ilvl w:val="0"/>
          <w:numId w:val="4"/>
        </w:numPr>
        <w:tabs>
          <w:tab w:val="num" w:pos="6066"/>
        </w:tabs>
        <w:spacing w:before="60" w:after="60"/>
      </w:pPr>
      <w:r w:rsidRPr="002914D1">
        <w:t>Perú:  cuenta con una Unidad Especializada para la estructuración de proyectos de APP (Pro</w:t>
      </w:r>
      <w:r>
        <w:t>I</w:t>
      </w:r>
      <w:r w:rsidRPr="002914D1">
        <w:t>nversión)</w:t>
      </w:r>
      <w:r>
        <w:t>. L</w:t>
      </w:r>
      <w:r w:rsidRPr="002914D1">
        <w:t>a capacidad institucional del MEF es vital en la aprobación de proyectos</w:t>
      </w:r>
      <w:r>
        <w:t xml:space="preserve">; </w:t>
      </w:r>
      <w:r w:rsidRPr="002914D1">
        <w:t xml:space="preserve">desde su etapa inicial, debe cerciorarse que los compromisos, firmes y contingentes, </w:t>
      </w:r>
      <w:r>
        <w:t>a</w:t>
      </w:r>
      <w:r w:rsidRPr="002914D1">
        <w:t xml:space="preserve"> adquirirse por las </w:t>
      </w:r>
      <w:r>
        <w:t>e</w:t>
      </w:r>
      <w:r w:rsidRPr="002914D1">
        <w:t xml:space="preserve">ntidades </w:t>
      </w:r>
      <w:r>
        <w:t>p</w:t>
      </w:r>
      <w:r w:rsidRPr="002914D1">
        <w:t xml:space="preserve">úblicas </w:t>
      </w:r>
      <w:r>
        <w:t>c</w:t>
      </w:r>
      <w:r w:rsidRPr="002914D1">
        <w:t>oncedentes en los próximos 3 años mediante esquemas APP, tengan la capacidad presupuestal para hacerlo (a</w:t>
      </w:r>
      <w:r>
        <w:t> </w:t>
      </w:r>
      <w:r w:rsidRPr="002914D1">
        <w:t xml:space="preserve">través de los </w:t>
      </w:r>
      <w:r>
        <w:t>i</w:t>
      </w:r>
      <w:r w:rsidRPr="002914D1">
        <w:t xml:space="preserve">nformes </w:t>
      </w:r>
      <w:r>
        <w:t>m</w:t>
      </w:r>
      <w:r w:rsidRPr="002914D1">
        <w:t xml:space="preserve">ultianuales de </w:t>
      </w:r>
      <w:r>
        <w:t>i</w:t>
      </w:r>
      <w:r w:rsidRPr="002914D1">
        <w:t xml:space="preserve">nversiones). </w:t>
      </w:r>
      <w:r>
        <w:t>E</w:t>
      </w:r>
      <w:r w:rsidRPr="002914D1">
        <w:t>l MEF ha genera</w:t>
      </w:r>
      <w:r>
        <w:t>do</w:t>
      </w:r>
      <w:r w:rsidRPr="002914D1">
        <w:t xml:space="preserve"> una cartera de infraestructura a través de un esquema de planeación de la inversión (típicamente mediante iniciativa pública), guardando los límites</w:t>
      </w:r>
      <w:r>
        <w:t xml:space="preserve"> de</w:t>
      </w:r>
      <w:r w:rsidRPr="002914D1">
        <w:t xml:space="preserve"> su programa Macro-Fiscal de mediano plazo y su ley de APP.</w:t>
      </w:r>
    </w:p>
    <w:p w14:paraId="355F9068" w14:textId="2FD0AE77" w:rsidR="002C4F9A" w:rsidRPr="004C3C71" w:rsidRDefault="004C3C71" w:rsidP="004C3C71">
      <w:pPr>
        <w:pStyle w:val="Paragraph"/>
        <w:numPr>
          <w:ilvl w:val="0"/>
          <w:numId w:val="4"/>
        </w:numPr>
        <w:tabs>
          <w:tab w:val="num" w:pos="6066"/>
        </w:tabs>
        <w:spacing w:before="60" w:after="60"/>
      </w:pPr>
      <w:r w:rsidRPr="002914D1">
        <w:t>Paraguay: Aunque el programa de APP en el país es reciente, con solo un proyecto adjudicado</w:t>
      </w:r>
      <w:r w:rsidRPr="006039DF">
        <w:t xml:space="preserve">, la </w:t>
      </w:r>
      <w:r w:rsidRPr="00700DC1">
        <w:t>Secretaría Técnica de Plan</w:t>
      </w:r>
      <w:r>
        <w:t>ificación del Desarrollo Económico y Social (STP)</w:t>
      </w:r>
      <w:r w:rsidRPr="00700DC1">
        <w:t xml:space="preserve"> ha</w:t>
      </w:r>
      <w:r w:rsidRPr="002914D1">
        <w:t xml:space="preserve"> llevado un programa intensivo de capacitación y fortalecimiento en la evaluación de los proyectos APP. </w:t>
      </w:r>
      <w:r>
        <w:t xml:space="preserve">Se elaboraron </w:t>
      </w:r>
      <w:r w:rsidRPr="002914D1">
        <w:t xml:space="preserve">las </w:t>
      </w:r>
      <w:r>
        <w:t>g</w:t>
      </w:r>
      <w:r w:rsidRPr="002914D1">
        <w:t xml:space="preserve">uías </w:t>
      </w:r>
      <w:r>
        <w:t>p</w:t>
      </w:r>
      <w:r w:rsidRPr="002914D1">
        <w:t xml:space="preserve">rácticas para la </w:t>
      </w:r>
      <w:r>
        <w:t>f</w:t>
      </w:r>
      <w:r w:rsidRPr="002914D1">
        <w:t xml:space="preserve">ormulación y </w:t>
      </w:r>
      <w:r>
        <w:t>e</w:t>
      </w:r>
      <w:r w:rsidRPr="002914D1">
        <w:t xml:space="preserve">valuación de </w:t>
      </w:r>
      <w:r>
        <w:t>p</w:t>
      </w:r>
      <w:r w:rsidRPr="002914D1">
        <w:t xml:space="preserve">royectos de </w:t>
      </w:r>
      <w:r>
        <w:t>p</w:t>
      </w:r>
      <w:r w:rsidRPr="002914D1">
        <w:t xml:space="preserve">articipación Público-Privada en los siguientes sectores: </w:t>
      </w:r>
      <w:r>
        <w:t>o</w:t>
      </w:r>
      <w:r w:rsidRPr="002914D1">
        <w:t xml:space="preserve">bras </w:t>
      </w:r>
      <w:r>
        <w:t>v</w:t>
      </w:r>
      <w:r w:rsidRPr="002914D1">
        <w:t xml:space="preserve">iales, </w:t>
      </w:r>
      <w:r>
        <w:t>h</w:t>
      </w:r>
      <w:r w:rsidRPr="002914D1">
        <w:t xml:space="preserve">ospitales, </w:t>
      </w:r>
      <w:r>
        <w:t>d</w:t>
      </w:r>
      <w:r w:rsidRPr="002914D1">
        <w:t xml:space="preserve">ragados e </w:t>
      </w:r>
      <w:r>
        <w:t>h</w:t>
      </w:r>
      <w:r w:rsidRPr="002914D1">
        <w:t xml:space="preserve">idrovías, </w:t>
      </w:r>
      <w:r>
        <w:lastRenderedPageBreak/>
        <w:t>d</w:t>
      </w:r>
      <w:r w:rsidRPr="002914D1">
        <w:t xml:space="preserve">esarrollo </w:t>
      </w:r>
      <w:r>
        <w:t>u</w:t>
      </w:r>
      <w:r w:rsidRPr="002914D1">
        <w:t xml:space="preserve">rbano, </w:t>
      </w:r>
      <w:r>
        <w:t>a</w:t>
      </w:r>
      <w:r w:rsidRPr="002914D1">
        <w:t xml:space="preserve">eropuertos; </w:t>
      </w:r>
      <w:r>
        <w:t>l</w:t>
      </w:r>
      <w:r w:rsidRPr="002914D1">
        <w:t xml:space="preserve">a </w:t>
      </w:r>
      <w:r>
        <w:t>g</w:t>
      </w:r>
      <w:r w:rsidRPr="002914D1">
        <w:t xml:space="preserve">uía para la </w:t>
      </w:r>
      <w:r>
        <w:t>e</w:t>
      </w:r>
      <w:r w:rsidRPr="002914D1">
        <w:t xml:space="preserve">laboración del </w:t>
      </w:r>
      <w:r>
        <w:t>c</w:t>
      </w:r>
      <w:r w:rsidRPr="002914D1">
        <w:t>omparador Público</w:t>
      </w:r>
      <w:r>
        <w:t>-</w:t>
      </w:r>
      <w:r w:rsidRPr="002914D1">
        <w:t xml:space="preserve">Privado, dos manuales de tratamiento de las </w:t>
      </w:r>
      <w:r>
        <w:t>i</w:t>
      </w:r>
      <w:r w:rsidRPr="002914D1">
        <w:t xml:space="preserve">niciativas </w:t>
      </w:r>
      <w:r>
        <w:t>p</w:t>
      </w:r>
      <w:r w:rsidRPr="002914D1">
        <w:t xml:space="preserve">úblicas y </w:t>
      </w:r>
      <w:r>
        <w:t>p</w:t>
      </w:r>
      <w:r w:rsidRPr="002914D1">
        <w:t>rivadas, así como de la evaluación de proyectos APP en etapas tempranas. Esto da certidumbre al sector público y privado acerca de los criterios de evaluación</w:t>
      </w:r>
      <w:r>
        <w:t xml:space="preserve">, </w:t>
      </w:r>
      <w:r w:rsidRPr="002914D1">
        <w:t>fortalec</w:t>
      </w:r>
      <w:r>
        <w:t>iendo</w:t>
      </w:r>
      <w:r w:rsidRPr="002914D1">
        <w:t xml:space="preserve"> la estructuración de proyectos.</w:t>
      </w:r>
      <w:r w:rsidR="002C4F9A" w:rsidRPr="004C3C71">
        <w:rPr>
          <w:rFonts w:eastAsia="Arial"/>
          <w:lang w:val="es-ES_tradnl"/>
        </w:rPr>
        <w:t xml:space="preserve">    </w:t>
      </w:r>
    </w:p>
    <w:p w14:paraId="3C618DA9" w14:textId="0D7F4953" w:rsidR="00F6391D" w:rsidRDefault="00F6391D" w:rsidP="002C4F9A">
      <w:pPr>
        <w:pStyle w:val="Paragraph"/>
        <w:numPr>
          <w:ilvl w:val="0"/>
          <w:numId w:val="0"/>
        </w:numPr>
        <w:tabs>
          <w:tab w:val="left" w:pos="720"/>
          <w:tab w:val="num" w:pos="6066"/>
        </w:tabs>
        <w:suppressAutoHyphens/>
        <w:ind w:left="720"/>
        <w:rPr>
          <w:b/>
          <w:lang w:val="es-ES_tradnl"/>
        </w:rPr>
      </w:pPr>
    </w:p>
    <w:sectPr w:rsidR="00F6391D">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8B519" w14:textId="77777777" w:rsidR="00A02379" w:rsidRDefault="00A02379">
      <w:pPr>
        <w:spacing w:after="0" w:line="240" w:lineRule="auto"/>
      </w:pPr>
      <w:r>
        <w:separator/>
      </w:r>
    </w:p>
  </w:endnote>
  <w:endnote w:type="continuationSeparator" w:id="0">
    <w:p w14:paraId="5708B870" w14:textId="77777777" w:rsidR="00A02379" w:rsidRDefault="00A02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65E4A" w14:textId="77777777" w:rsidR="00A02379" w:rsidRDefault="00A02379">
      <w:pPr>
        <w:spacing w:after="0" w:line="240" w:lineRule="auto"/>
      </w:pPr>
      <w:r>
        <w:separator/>
      </w:r>
    </w:p>
  </w:footnote>
  <w:footnote w:type="continuationSeparator" w:id="0">
    <w:p w14:paraId="07DE062F" w14:textId="77777777" w:rsidR="00A02379" w:rsidRDefault="00A02379">
      <w:pPr>
        <w:spacing w:after="0" w:line="240" w:lineRule="auto"/>
      </w:pPr>
      <w:r>
        <w:continuationSeparator/>
      </w:r>
    </w:p>
  </w:footnote>
  <w:footnote w:id="1">
    <w:p w14:paraId="28115F6C" w14:textId="77777777" w:rsidR="00CD4E7E" w:rsidRPr="00CD4E7E" w:rsidRDefault="00CD4E7E" w:rsidP="00B14567">
      <w:pPr>
        <w:pStyle w:val="FootnoteText"/>
        <w:spacing w:after="0"/>
        <w:contextualSpacing/>
        <w:rPr>
          <w:sz w:val="18"/>
          <w:szCs w:val="18"/>
          <w:lang w:val="es-ES"/>
        </w:rPr>
      </w:pPr>
      <w:r w:rsidRPr="00AB6955">
        <w:rPr>
          <w:rStyle w:val="FootnoteReference"/>
          <w:sz w:val="18"/>
          <w:szCs w:val="18"/>
        </w:rPr>
        <w:footnoteRef/>
      </w:r>
      <w:r w:rsidRPr="00CD4E7E">
        <w:rPr>
          <w:sz w:val="18"/>
          <w:szCs w:val="18"/>
          <w:lang w:val="es-ES"/>
        </w:rPr>
        <w:t xml:space="preserve"> </w:t>
      </w:r>
      <w:r w:rsidRPr="00CD4E7E">
        <w:rPr>
          <w:sz w:val="18"/>
          <w:szCs w:val="18"/>
          <w:lang w:val="es-ES"/>
        </w:rPr>
        <w:tab/>
        <w:t xml:space="preserve">FOMIN (2015); BID (2015a); Exposición de Motivos de la Ley 1508 de 2012; y </w:t>
      </w:r>
      <w:hyperlink r:id="rId1" w:history="1">
        <w:r w:rsidRPr="00CD4E7E">
          <w:rPr>
            <w:rStyle w:val="Hyperlink"/>
            <w:sz w:val="18"/>
            <w:szCs w:val="18"/>
            <w:lang w:val="es-ES"/>
          </w:rPr>
          <w:t>EEO3</w:t>
        </w:r>
      </w:hyperlink>
      <w:r w:rsidRPr="00CD4E7E">
        <w:rPr>
          <w:sz w:val="18"/>
          <w:szCs w:val="18"/>
          <w:lang w:val="es-ES"/>
        </w:rPr>
        <w:t>. Canadá (</w:t>
      </w:r>
      <w:r w:rsidRPr="00CD4E7E">
        <w:rPr>
          <w:i/>
          <w:sz w:val="18"/>
          <w:szCs w:val="18"/>
          <w:lang w:val="es-ES"/>
        </w:rPr>
        <w:t>Canadian Council for PPP</w:t>
      </w:r>
      <w:r w:rsidRPr="00CD4E7E">
        <w:rPr>
          <w:sz w:val="18"/>
          <w:szCs w:val="18"/>
          <w:lang w:val="es-ES"/>
        </w:rPr>
        <w:t>, 2015) y Reino Unido (Banco Mundial, Banco Asiático de Desarrollo y BID, 2014c) destacan en el desarrollo de marco normativo, institucional e implementación de proyectos APP en sectores de infraestructura productiva y social.</w:t>
      </w:r>
    </w:p>
  </w:footnote>
  <w:footnote w:id="2">
    <w:p w14:paraId="3D866F3A" w14:textId="77777777" w:rsidR="00CD4E7E" w:rsidRPr="00CD4E7E" w:rsidRDefault="00CD4E7E" w:rsidP="00B14567">
      <w:pPr>
        <w:pStyle w:val="FootnoteText"/>
        <w:spacing w:after="0"/>
        <w:contextualSpacing/>
        <w:rPr>
          <w:lang w:val="es-ES"/>
        </w:rPr>
      </w:pPr>
      <w:r w:rsidRPr="00AB6955">
        <w:rPr>
          <w:rStyle w:val="FootnoteReference"/>
          <w:sz w:val="18"/>
          <w:szCs w:val="18"/>
        </w:rPr>
        <w:footnoteRef/>
      </w:r>
      <w:r w:rsidRPr="00CD4E7E">
        <w:rPr>
          <w:sz w:val="18"/>
          <w:szCs w:val="18"/>
          <w:lang w:val="es-ES"/>
        </w:rPr>
        <w:t xml:space="preserve"> </w:t>
      </w:r>
      <w:r w:rsidRPr="00CD4E7E">
        <w:rPr>
          <w:sz w:val="18"/>
          <w:szCs w:val="18"/>
          <w:lang w:val="es-ES"/>
        </w:rPr>
        <w:tab/>
        <w:t>3697/OC-CO, Apoyo al Programa de APP de Colombia.</w:t>
      </w:r>
    </w:p>
  </w:footnote>
  <w:footnote w:id="3">
    <w:p w14:paraId="34DC6001" w14:textId="70005A6C" w:rsidR="00F6697F" w:rsidRPr="0055295A" w:rsidRDefault="00F6697F" w:rsidP="00B14567">
      <w:pPr>
        <w:pStyle w:val="FootnoteText"/>
        <w:spacing w:after="0"/>
        <w:contextualSpacing/>
      </w:pPr>
      <w:r>
        <w:rPr>
          <w:rStyle w:val="FootnoteReference"/>
        </w:rPr>
        <w:footnoteRef/>
      </w:r>
      <w:r w:rsidRPr="0055295A">
        <w:t xml:space="preserve"> </w:t>
      </w:r>
      <w:r w:rsidR="00922A10">
        <w:t xml:space="preserve"> </w:t>
      </w:r>
      <w:r w:rsidR="0055295A" w:rsidRPr="0055295A">
        <w:t>Impact Evaluation Study on P</w:t>
      </w:r>
      <w:r w:rsidR="0055295A">
        <w:t>PP</w:t>
      </w:r>
      <w:r w:rsidR="0055295A" w:rsidRPr="0055295A">
        <w:t xml:space="preserve">: The Case of the </w:t>
      </w:r>
      <w:proofErr w:type="spellStart"/>
      <w:r w:rsidR="0055295A" w:rsidRPr="0055295A">
        <w:t>Angat</w:t>
      </w:r>
      <w:proofErr w:type="spellEnd"/>
      <w:r w:rsidR="0055295A" w:rsidRPr="0055295A">
        <w:t xml:space="preserve"> Water Supply Optimization Project and the Metropolitan Waterworks and Sewerage System</w:t>
      </w:r>
      <w:r w:rsidR="0055295A">
        <w:t xml:space="preserve">. </w:t>
      </w:r>
    </w:p>
  </w:footnote>
  <w:footnote w:id="4">
    <w:p w14:paraId="6965D85D" w14:textId="77777777" w:rsidR="00CD4E7E" w:rsidRPr="00CD4E7E" w:rsidRDefault="00CD4E7E" w:rsidP="00B14567">
      <w:pPr>
        <w:pStyle w:val="FootnoteText"/>
        <w:spacing w:after="0"/>
        <w:contextualSpacing/>
        <w:rPr>
          <w:sz w:val="18"/>
          <w:szCs w:val="18"/>
          <w:lang w:val="es-ES"/>
        </w:rPr>
      </w:pPr>
      <w:r w:rsidRPr="00F003DB">
        <w:rPr>
          <w:rStyle w:val="FootnoteReference"/>
          <w:sz w:val="18"/>
          <w:szCs w:val="18"/>
        </w:rPr>
        <w:footnoteRef/>
      </w:r>
      <w:r w:rsidRPr="00CD4E7E">
        <w:rPr>
          <w:sz w:val="18"/>
          <w:szCs w:val="18"/>
          <w:lang w:val="es-ES"/>
        </w:rPr>
        <w:t xml:space="preserve"> </w:t>
      </w:r>
      <w:r w:rsidRPr="00CD4E7E">
        <w:rPr>
          <w:sz w:val="18"/>
          <w:szCs w:val="18"/>
          <w:lang w:val="es-ES"/>
        </w:rPr>
        <w:tab/>
        <w:t>Existen iniciativas para incluir el financiamiento local para proyectos de infraestructura. En Uruguay, fondos de seguro social locales (Administradoras de Fondos de Ahorro Previsional, o AFAP) financiaron el primer proyecto bajo la ley de APP (una cárcel), asumiendo parte del riesgo de construcción. Además, se está constituyendo un fondo con participación de la CAF y capital de AFAP. En Colombia, la CAF creó un fondo de deuda en moneda local y participó con Corporación Financiera Internacional (CFI) en la Financiera de D</w:t>
      </w:r>
      <w:bookmarkStart w:id="0" w:name="_GoBack"/>
      <w:bookmarkEnd w:id="0"/>
      <w:r w:rsidRPr="00CD4E7E">
        <w:rPr>
          <w:sz w:val="18"/>
          <w:szCs w:val="18"/>
          <w:lang w:val="es-ES"/>
        </w:rPr>
        <w:t>esarrollo Nacional (FDN), que proporciona garantías para los proyectos de infraestructura, OVE BID (2017).</w:t>
      </w:r>
    </w:p>
  </w:footnote>
  <w:footnote w:id="5">
    <w:p w14:paraId="032A4EE4" w14:textId="77777777" w:rsidR="00CD4E7E" w:rsidRPr="00CD4E7E" w:rsidRDefault="00CD4E7E" w:rsidP="00B14567">
      <w:pPr>
        <w:pStyle w:val="FootnoteText"/>
        <w:spacing w:after="0"/>
        <w:contextualSpacing/>
        <w:rPr>
          <w:sz w:val="18"/>
          <w:szCs w:val="18"/>
          <w:lang w:val="es-ES"/>
        </w:rPr>
      </w:pPr>
      <w:r w:rsidRPr="00AB6955">
        <w:rPr>
          <w:rStyle w:val="FootnoteReference"/>
          <w:sz w:val="18"/>
          <w:szCs w:val="18"/>
        </w:rPr>
        <w:footnoteRef/>
      </w:r>
      <w:r w:rsidRPr="00CD4E7E">
        <w:rPr>
          <w:sz w:val="18"/>
          <w:szCs w:val="18"/>
          <w:lang w:val="es-ES"/>
        </w:rPr>
        <w:t xml:space="preserve"> </w:t>
      </w:r>
      <w:r w:rsidRPr="00CD4E7E">
        <w:rPr>
          <w:sz w:val="18"/>
          <w:szCs w:val="18"/>
          <w:lang w:val="es-ES"/>
        </w:rPr>
        <w:tab/>
        <w:t>Caso de cárceles en Chile (Libertad y Desarrollo, 2012): se evalúan los costos asociados a la disponibilidad de la infraestructura carcelaria y se concluye acerca de la pertinencia de inclusión de programas específicos de rehabilitación y reinserción del privado de libertad.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B0A5D" w14:textId="4ABCAFD8" w:rsidR="00F6391D" w:rsidRDefault="003C0C23">
    <w:pPr>
      <w:pStyle w:val="Header"/>
      <w:jc w:val="right"/>
      <w:rPr>
        <w:rFonts w:ascii="Arial" w:hAnsi="Arial" w:cs="Arial"/>
        <w:sz w:val="20"/>
      </w:rPr>
    </w:pPr>
    <w:r>
      <w:rPr>
        <w:rFonts w:ascii="Arial" w:hAnsi="Arial" w:cs="Arial"/>
        <w:sz w:val="20"/>
      </w:rPr>
      <w:t>EC</w:t>
    </w:r>
    <w:r w:rsidR="00621F74">
      <w:rPr>
        <w:rFonts w:ascii="Arial" w:hAnsi="Arial" w:cs="Arial"/>
        <w:sz w:val="20"/>
      </w:rPr>
      <w:t>-L1</w:t>
    </w:r>
    <w:r w:rsidR="004C3C71">
      <w:rPr>
        <w:rFonts w:ascii="Arial" w:hAnsi="Arial" w:cs="Arial"/>
        <w:sz w:val="20"/>
      </w:rPr>
      <w:t>230</w:t>
    </w:r>
  </w:p>
  <w:p w14:paraId="35994C4E" w14:textId="77777777" w:rsidR="00F6391D" w:rsidRDefault="00F6391D">
    <w:pPr>
      <w:pStyle w:val="Header"/>
    </w:pPr>
  </w:p>
  <w:p w14:paraId="551120DB" w14:textId="77777777" w:rsidR="00F6391D" w:rsidRDefault="00F6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15:restartNumberingAfterBreak="0">
    <w:nsid w:val="1BE848A4"/>
    <w:multiLevelType w:val="hybridMultilevel"/>
    <w:tmpl w:val="DC80DE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59B4991"/>
    <w:multiLevelType w:val="multilevel"/>
    <w:tmpl w:val="3300036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rPr>
        <w:rFonts w:ascii="Arial" w:hAnsi="Arial" w:cs="Arial" w:hint="default"/>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569905A8"/>
    <w:multiLevelType w:val="multilevel"/>
    <w:tmpl w:val="9A46025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6066"/>
        </w:tabs>
        <w:ind w:left="6066" w:hanging="1296"/>
      </w:pPr>
      <w:rPr>
        <w:b w:val="0"/>
        <w:i w:val="0"/>
      </w:rPr>
    </w:lvl>
    <w:lvl w:ilvl="2">
      <w:start w:val="1"/>
      <w:numFmt w:val="lowerLetter"/>
      <w:lvlText w:val="%3."/>
      <w:lvlJc w:val="left"/>
      <w:pPr>
        <w:tabs>
          <w:tab w:val="num" w:pos="2304"/>
        </w:tabs>
        <w:ind w:left="2304" w:hanging="432"/>
      </w:pPr>
      <w:rPr>
        <w:b w:val="0"/>
      </w:r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91D"/>
    <w:rsid w:val="00254B79"/>
    <w:rsid w:val="002C4F9A"/>
    <w:rsid w:val="003A0115"/>
    <w:rsid w:val="003C0C23"/>
    <w:rsid w:val="004C3C71"/>
    <w:rsid w:val="0055295A"/>
    <w:rsid w:val="00621F74"/>
    <w:rsid w:val="007A1DE1"/>
    <w:rsid w:val="00922A10"/>
    <w:rsid w:val="009C7FAB"/>
    <w:rsid w:val="00A02379"/>
    <w:rsid w:val="00A71E20"/>
    <w:rsid w:val="00B14567"/>
    <w:rsid w:val="00B5004E"/>
    <w:rsid w:val="00CD4E7E"/>
    <w:rsid w:val="00D60823"/>
    <w:rsid w:val="00F6391D"/>
    <w:rsid w:val="00F6697F"/>
    <w:rsid w:val="00FB4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C8786"/>
  <w15:chartTrackingRefBased/>
  <w15:docId w15:val="{53A539B5-41B8-47FB-A28E-5282D5D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pPr>
      <w:keepNext/>
      <w:numPr>
        <w:numId w:val="2"/>
      </w:numPr>
      <w:tabs>
        <w:tab w:val="clear" w:pos="1800"/>
        <w:tab w:val="num" w:pos="648"/>
        <w:tab w:val="left" w:pos="1440"/>
      </w:tabs>
      <w:spacing w:before="240" w:after="240" w:line="240" w:lineRule="auto"/>
      <w:ind w:left="0"/>
      <w:jc w:val="center"/>
    </w:pPr>
    <w:rPr>
      <w:rFonts w:ascii="Arial" w:hAnsi="Arial" w:cs="Arial"/>
      <w:b/>
      <w:smallCaps/>
      <w:sz w:val="24"/>
      <w:lang w:val="es-E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pPr>
      <w:keepNext/>
      <w:keepLines/>
      <w:spacing w:after="120" w:line="240" w:lineRule="auto"/>
      <w:ind w:left="288" w:hanging="288"/>
      <w:jc w:val="both"/>
    </w:pPr>
    <w:rPr>
      <w:rFonts w:ascii="Arial" w:hAnsi="Arial" w:cs="Arial"/>
      <w:spacing w:val="-3"/>
      <w:sz w:val="20"/>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Pr>
      <w:rFonts w:ascii="Arial" w:hAnsi="Arial" w:cs="Arial"/>
      <w:spacing w:val="-3"/>
      <w:sz w:val="20"/>
    </w:rPr>
  </w:style>
  <w:style w:type="paragraph" w:customStyle="1" w:styleId="Paragraph">
    <w:name w:val="Paragraph"/>
    <w:aliases w:val="paragraph,p,PARAGRAPH,PG,pa,at"/>
    <w:basedOn w:val="BodyTextIndent"/>
    <w:link w:val="ParagraphChar"/>
    <w:qFormat/>
    <w:pPr>
      <w:numPr>
        <w:ilvl w:val="1"/>
        <w:numId w:val="2"/>
      </w:numPr>
      <w:tabs>
        <w:tab w:val="clear" w:pos="2448"/>
        <w:tab w:val="num" w:pos="720"/>
      </w:tabs>
      <w:spacing w:before="120" w:line="240" w:lineRule="auto"/>
      <w:ind w:left="720" w:hanging="720"/>
      <w:jc w:val="both"/>
      <w:outlineLvl w:val="1"/>
    </w:pPr>
    <w:rPr>
      <w:rFonts w:ascii="Arial" w:hAnsi="Arial" w:cs="Arial"/>
      <w:lang w:val="es-ES"/>
    </w:rPr>
  </w:style>
  <w:style w:type="paragraph" w:customStyle="1" w:styleId="subpar">
    <w:name w:val="subpar"/>
    <w:basedOn w:val="BodyTextIndent3"/>
    <w:pPr>
      <w:numPr>
        <w:ilvl w:val="2"/>
        <w:numId w:val="2"/>
      </w:numPr>
      <w:tabs>
        <w:tab w:val="clear" w:pos="2304"/>
        <w:tab w:val="num" w:pos="360"/>
        <w:tab w:val="num" w:pos="1152"/>
      </w:tabs>
      <w:spacing w:before="120" w:line="240" w:lineRule="auto"/>
      <w:ind w:left="1152" w:firstLine="0"/>
      <w:jc w:val="both"/>
      <w:outlineLvl w:val="2"/>
    </w:pPr>
    <w:rPr>
      <w:rFonts w:ascii="Arial" w:hAnsi="Arial" w:cs="Arial"/>
      <w:sz w:val="22"/>
      <w:szCs w:val="20"/>
    </w:rPr>
  </w:style>
  <w:style w:type="character" w:styleId="Hyperlink">
    <w:name w:val="Hyperlink"/>
    <w:basedOn w:val="DefaultParagraphFont"/>
    <w:rPr>
      <w:color w:val="0000FF"/>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qFormat/>
    <w:rPr>
      <w:vertAlign w:val="superscript"/>
    </w:rPr>
  </w:style>
  <w:style w:type="character" w:customStyle="1" w:styleId="ParagraphChar">
    <w:name w:val="Paragraph Char"/>
    <w:aliases w:val="p Char,PARAGRAPH Char,PG Char,pa Char,at Char,paragraph Char"/>
    <w:basedOn w:val="DefaultParagraphFont"/>
    <w:link w:val="Paragraph"/>
    <w:rPr>
      <w:rFonts w:ascii="Arial" w:hAnsi="Arial" w:cs="Arial"/>
      <w:lang w:val="es-E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CommentReference">
    <w:name w:val="annotation reference"/>
    <w:uiPriority w:val="99"/>
    <w:rsid w:val="002C4F9A"/>
    <w:rPr>
      <w:sz w:val="16"/>
      <w:szCs w:val="16"/>
    </w:rPr>
  </w:style>
  <w:style w:type="paragraph" w:styleId="CommentText">
    <w:name w:val="annotation text"/>
    <w:basedOn w:val="Normal"/>
    <w:link w:val="CommentTextChar"/>
    <w:uiPriority w:val="99"/>
    <w:rsid w:val="002C4F9A"/>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rsid w:val="002C4F9A"/>
    <w:rPr>
      <w:rFonts w:ascii="Times New Roman" w:eastAsia="Times New Roman" w:hAnsi="Times New Roman" w:cs="Times New Roman"/>
      <w:sz w:val="20"/>
      <w:szCs w:val="20"/>
      <w:lang w:val="es-ES_tradnl"/>
    </w:rPr>
  </w:style>
  <w:style w:type="paragraph" w:styleId="BalloonText">
    <w:name w:val="Balloon Text"/>
    <w:basedOn w:val="Normal"/>
    <w:link w:val="BalloonTextChar"/>
    <w:uiPriority w:val="99"/>
    <w:semiHidden/>
    <w:unhideWhenUsed/>
    <w:rsid w:val="002C4F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F9A"/>
    <w:rPr>
      <w:rFonts w:ascii="Segoe UI" w:hAnsi="Segoe UI" w:cs="Segoe UI"/>
      <w:sz w:val="18"/>
      <w:szCs w:val="18"/>
    </w:rPr>
  </w:style>
  <w:style w:type="paragraph" w:styleId="BodyText">
    <w:name w:val="Body Text"/>
    <w:basedOn w:val="Normal"/>
    <w:link w:val="BodyTextChar"/>
    <w:uiPriority w:val="99"/>
    <w:semiHidden/>
    <w:unhideWhenUsed/>
    <w:rsid w:val="004C3C71"/>
    <w:pPr>
      <w:spacing w:after="120"/>
    </w:pPr>
  </w:style>
  <w:style w:type="character" w:customStyle="1" w:styleId="BodyTextChar">
    <w:name w:val="Body Text Char"/>
    <w:basedOn w:val="DefaultParagraphFont"/>
    <w:link w:val="BodyText"/>
    <w:uiPriority w:val="99"/>
    <w:semiHidden/>
    <w:rsid w:val="004C3C71"/>
  </w:style>
  <w:style w:type="paragraph" w:customStyle="1" w:styleId="SubSubPar">
    <w:name w:val="SubSubPar"/>
    <w:basedOn w:val="subpar"/>
    <w:uiPriority w:val="99"/>
    <w:rsid w:val="004C3C71"/>
    <w:pPr>
      <w:numPr>
        <w:ilvl w:val="0"/>
        <w:numId w:val="0"/>
      </w:numPr>
      <w:tabs>
        <w:tab w:val="clear" w:pos="1800"/>
        <w:tab w:val="left" w:pos="0"/>
        <w:tab w:val="num" w:pos="1296"/>
      </w:tabs>
      <w:ind w:left="1296" w:hanging="288"/>
    </w:pPr>
    <w:rPr>
      <w:rFonts w:ascii="Times New Roman" w:eastAsia="Times New Roman" w:hAnsi="Times New Roman" w:cs="Times New Roman"/>
      <w:sz w:val="24"/>
      <w:lang w:val="es-ES_tradnl"/>
    </w:rPr>
  </w:style>
  <w:style w:type="character" w:styleId="FollowedHyperlink">
    <w:name w:val="FollowedHyperlink"/>
    <w:basedOn w:val="DefaultParagraphFont"/>
    <w:uiPriority w:val="99"/>
    <w:semiHidden/>
    <w:unhideWhenUsed/>
    <w:rsid w:val="00FB4D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EZSHARE-112695830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Diana Champi</Other_x0020_Author>
    <Migration_x0020_Info xmlns="cdc7663a-08f0-4737-9e8c-148ce897a09c" xsi:nil="true"/>
    <Approval_x0020_Number xmlns="cdc7663a-08f0-4737-9e8c-148ce897a09c" xsi:nil="true"/>
    <Phase xmlns="cdc7663a-08f0-4737-9e8c-148ce897a09c">ACTIVE</Phas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136</Value>
      <Value>32</Value>
      <Value>3</Value>
      <Value>30</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R0001327193</Record_x0020_Number>
    <_dlc_DocId xmlns="cdc7663a-08f0-4737-9e8c-148ce897a09c">EZSHARE-1126958300-22</_dlc_DocId>
    <_dlc_DocIdUrl xmlns="cdc7663a-08f0-4737-9e8c-148ce897a09c">
      <Url>https://idbg.sharepoint.com/teams/EZ-EC-LON/EC-L1230/_layouts/15/DocIdRedir.aspx?ID=EZSHARE-1126958300-22</Url>
      <Description>EZSHARE-1126958300-22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65" ma:contentTypeDescription="A content type to manage public (operations) IDB documents" ma:contentTypeScope="" ma:versionID="e77be766b1384cfa15c38d4495930d45">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FD73-425F-426E-904A-E1A86FD08B4A}">
  <ds:schemaRefs>
    <ds:schemaRef ds:uri="http://schemas.microsoft.com/sharepoint/events"/>
  </ds:schemaRefs>
</ds:datastoreItem>
</file>

<file path=customXml/itemProps2.xml><?xml version="1.0" encoding="utf-8"?>
<ds:datastoreItem xmlns:ds="http://schemas.openxmlformats.org/officeDocument/2006/customXml" ds:itemID="{C6FF1C0E-2027-4A89-8D24-F3D77570FE1B}">
  <ds:schemaRefs>
    <ds:schemaRef ds:uri="http://schemas.microsoft.com/sharepoint/v3/contenttype/forms"/>
  </ds:schemaRefs>
</ds:datastoreItem>
</file>

<file path=customXml/itemProps3.xml><?xml version="1.0" encoding="utf-8"?>
<ds:datastoreItem xmlns:ds="http://schemas.openxmlformats.org/officeDocument/2006/customXml" ds:itemID="{409BB536-A45C-4C80-B9AD-F2E67D6DA9FC}"/>
</file>

<file path=customXml/itemProps4.xml><?xml version="1.0" encoding="utf-8"?>
<ds:datastoreItem xmlns:ds="http://schemas.openxmlformats.org/officeDocument/2006/customXml" ds:itemID="{AD33918D-E63F-4ECC-B8BA-81697F6D3533}">
  <ds:schemaRefs>
    <ds:schemaRef ds:uri="Microsoft.SharePoint.Taxonomy.ContentTypeSync"/>
  </ds:schemaRefs>
</ds:datastoreItem>
</file>

<file path=customXml/itemProps5.xml><?xml version="1.0" encoding="utf-8"?>
<ds:datastoreItem xmlns:ds="http://schemas.openxmlformats.org/officeDocument/2006/customXml" ds:itemID="{B88AAA4F-572F-4A49-8FED-0B649B0FDDA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EB986403-F70C-43DB-B399-D74C35017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481701B-D055-477B-A26D-544B965C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 Agnes</dc:creator>
  <cp:keywords/>
  <dc:description/>
  <cp:lastModifiedBy>Champi Ticona, Diana Carla</cp:lastModifiedBy>
  <cp:revision>13</cp:revision>
  <dcterms:created xsi:type="dcterms:W3CDTF">2018-09-06T17:08:00Z</dcterms:created>
  <dcterms:modified xsi:type="dcterms:W3CDTF">2018-11-07T16:40:00Z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3;#Monitoring and Reporting|df3c2aa1-d63e-41aa-b1f5-bb15dee691ca</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_dlc_DocIdItemGuid">
    <vt:lpwstr>8dfd51ea-b8bd-4871-8615-48991f78c1e1</vt:lpwstr>
  </property>
  <property fmtid="{D5CDD505-2E9C-101B-9397-08002B2CF9AE}" pid="11" name="Disclosure Activity">
    <vt:lpwstr>Loan Proposal</vt:lpwstr>
  </property>
  <property fmtid="{D5CDD505-2E9C-101B-9397-08002B2CF9AE}" pid="12" name="ContentTypeId">
    <vt:lpwstr>0x0101001A458A224826124E8B45B1D613300CFC0064E1B040FA6DED46ACE700D8704CBA63</vt:lpwstr>
  </property>
</Properties>
</file>