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349D3" w14:textId="0C699EB2" w:rsidR="009B4D7A" w:rsidRDefault="009B4D7A" w:rsidP="009B4D7A">
      <w:pPr>
        <w:jc w:val="both"/>
        <w:rPr>
          <w:b/>
          <w:smallCaps/>
          <w:sz w:val="28"/>
          <w:szCs w:val="28"/>
        </w:rPr>
      </w:pPr>
      <w:bookmarkStart w:id="0" w:name="_GoBack"/>
      <w:bookmarkEnd w:id="0"/>
      <w:r>
        <w:rPr>
          <w:noProof/>
        </w:rPr>
        <w:drawing>
          <wp:anchor distT="0" distB="0" distL="114300" distR="114300" simplePos="0" relativeHeight="251649024" behindDoc="1" locked="0" layoutInCell="1" allowOverlap="1" wp14:anchorId="38C7B8C4" wp14:editId="78AEBBE2">
            <wp:simplePos x="0" y="0"/>
            <wp:positionH relativeFrom="column">
              <wp:posOffset>-123825</wp:posOffset>
            </wp:positionH>
            <wp:positionV relativeFrom="paragraph">
              <wp:posOffset>-86360</wp:posOffset>
            </wp:positionV>
            <wp:extent cx="6233160" cy="8582025"/>
            <wp:effectExtent l="0" t="0" r="0" b="9525"/>
            <wp:wrapNone/>
            <wp:docPr id="8" name="Picture 8" descr="fondo_vertical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ndo_vertical5-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33160" cy="85820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0048" behindDoc="0" locked="1" layoutInCell="1" allowOverlap="1" wp14:anchorId="0AB6E4E0" wp14:editId="25770EBD">
                <wp:simplePos x="0" y="0"/>
                <wp:positionH relativeFrom="column">
                  <wp:posOffset>3235960</wp:posOffset>
                </wp:positionH>
                <wp:positionV relativeFrom="paragraph">
                  <wp:posOffset>8716010</wp:posOffset>
                </wp:positionV>
                <wp:extent cx="3526790" cy="32385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323850"/>
                        </a:xfrm>
                        <a:prstGeom prst="rect">
                          <a:avLst/>
                        </a:prstGeom>
                        <a:noFill/>
                        <a:ln w="9525">
                          <a:noFill/>
                          <a:miter lim="800000"/>
                          <a:headEnd/>
                          <a:tailEnd/>
                        </a:ln>
                      </wps:spPr>
                      <wps:txbx>
                        <w:txbxContent>
                          <w:p w14:paraId="4164A084" w14:textId="77777777" w:rsidR="007057EA" w:rsidRDefault="007057EA" w:rsidP="009B4D7A">
                            <w:pPr>
                              <w:jc w:val="center"/>
                              <w:rPr>
                                <w:i/>
                                <w:color w:val="FFFFFF" w:themeColor="background1"/>
                                <w:sz w:val="28"/>
                                <w:szCs w:val="28"/>
                              </w:rPr>
                            </w:pPr>
                            <w:r>
                              <w:rPr>
                                <w:i/>
                                <w:color w:val="FFFFFF" w:themeColor="background1"/>
                                <w:sz w:val="28"/>
                                <w:szCs w:val="28"/>
                              </w:rPr>
                              <w:t>For internal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B6E4E0" id="_x0000_t202" coordsize="21600,21600" o:spt="202" path="m,l,21600r21600,l21600,xe">
                <v:stroke joinstyle="miter"/>
                <v:path gradientshapeok="t" o:connecttype="rect"/>
              </v:shapetype>
              <v:shape id="Text Box 23" o:spid="_x0000_s1026" type="#_x0000_t202" style="position:absolute;left:0;text-align:left;margin-left:254.8pt;margin-top:686.3pt;width:277.7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" filled="f" stroked="f">
                <v:textbox>
                  <w:txbxContent>
                    <w:p w14:paraId="4164A084" w14:textId="77777777" w:rsidR="007057EA" w:rsidRDefault="007057EA" w:rsidP="009B4D7A">
                      <w:pPr>
                        <w:jc w:val="center"/>
                        <w:rPr>
                          <w:i/>
                          <w:color w:val="FFFFFF" w:themeColor="background1"/>
                          <w:sz w:val="28"/>
                          <w:szCs w:val="28"/>
                        </w:rPr>
                      </w:pPr>
                      <w:r>
                        <w:rPr>
                          <w:i/>
                          <w:color w:val="FFFFFF" w:themeColor="background1"/>
                          <w:sz w:val="28"/>
                          <w:szCs w:val="28"/>
                        </w:rPr>
                        <w:t>For internal use only</w:t>
                      </w:r>
                    </w:p>
                  </w:txbxContent>
                </v:textbox>
                <w10:anchorlock/>
              </v:shape>
            </w:pict>
          </mc:Fallback>
        </mc:AlternateContent>
      </w:r>
      <w:r>
        <w:rPr>
          <w:noProof/>
        </w:rPr>
        <mc:AlternateContent>
          <mc:Choice Requires="wps">
            <w:drawing>
              <wp:anchor distT="0" distB="0" distL="114300" distR="114300" simplePos="0" relativeHeight="251652096" behindDoc="0" locked="0" layoutInCell="1" allowOverlap="1" wp14:anchorId="135ABC7D" wp14:editId="50212699">
                <wp:simplePos x="0" y="0"/>
                <wp:positionH relativeFrom="column">
                  <wp:posOffset>-123825</wp:posOffset>
                </wp:positionH>
                <wp:positionV relativeFrom="paragraph">
                  <wp:posOffset>5568950</wp:posOffset>
                </wp:positionV>
                <wp:extent cx="6096000" cy="20859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085975"/>
                        </a:xfrm>
                        <a:prstGeom prst="rect">
                          <a:avLst/>
                        </a:prstGeom>
                        <a:noFill/>
                        <a:ln w="9525">
                          <a:noFill/>
                          <a:miter lim="800000"/>
                          <a:headEnd/>
                          <a:tailEnd/>
                        </a:ln>
                      </wps:spPr>
                      <wps:txbx>
                        <w:txbxContent>
                          <w:p w14:paraId="3894554C" w14:textId="77777777" w:rsidR="007057EA" w:rsidRPr="00A8148E" w:rsidRDefault="007057EA" w:rsidP="00AF0581">
                            <w:pPr>
                              <w:jc w:val="both"/>
                              <w:rPr>
                                <w:rFonts w:cs="Arial"/>
                                <w:color w:val="FFFFFF" w:themeColor="background1"/>
                              </w:rPr>
                            </w:pPr>
                            <w:r w:rsidRPr="00047040">
                              <w:rPr>
                                <w:rFonts w:cs="Arial"/>
                                <w:b/>
                                <w:bCs/>
                                <w:i/>
                                <w:iCs/>
                                <w:color w:val="FFFFFF" w:themeColor="background1"/>
                              </w:rPr>
                              <w:t xml:space="preserve">Original Project Team: </w:t>
                            </w:r>
                            <w:r w:rsidRPr="00A8148E">
                              <w:rPr>
                                <w:rFonts w:cs="Arial"/>
                                <w:bCs/>
                                <w:iCs/>
                                <w:color w:val="FFFFFF" w:themeColor="background1"/>
                              </w:rPr>
                              <w:t xml:space="preserve">Jose Jorge Saavedra (CMF/CBA), Team Leader; Maria Carina Ugarte (ICF/CMF); Gabriel </w:t>
                            </w:r>
                            <w:r>
                              <w:rPr>
                                <w:rFonts w:cs="Arial"/>
                                <w:bCs/>
                                <w:iCs/>
                                <w:color w:val="FFFFFF" w:themeColor="background1"/>
                              </w:rPr>
                              <w:t>Casaburi (CMF/CAR); Claudia Ste</w:t>
                            </w:r>
                            <w:r w:rsidRPr="00A8148E">
                              <w:rPr>
                                <w:rFonts w:cs="Arial"/>
                                <w:bCs/>
                                <w:iCs/>
                                <w:color w:val="FFFFFF" w:themeColor="background1"/>
                              </w:rPr>
                              <w:t>venson (ICF/CMF); Mario Umaña (INT/INT); Alejandro Taddia (INE/TSP), Astrid Wynter (ICS/CBA), Hunt Howell and Salvador Duart (Consultants), Magda Theodate (VPC/PDP); Hyun Jung Lee (LEG/SGO); Janette Archer-Headley (CCB/CBA), and Annabella Gaggero (ICF/CMF).</w:t>
                            </w:r>
                          </w:p>
                          <w:p w14:paraId="39812982" w14:textId="77777777" w:rsidR="007057EA" w:rsidRDefault="007057EA" w:rsidP="00AF0581">
                            <w:pPr>
                              <w:rPr>
                                <w:rFonts w:cs="Arial"/>
                                <w:b/>
                                <w:bCs/>
                                <w:i/>
                                <w:iCs/>
                                <w:color w:val="FFFFFF" w:themeColor="background1"/>
                              </w:rPr>
                            </w:pPr>
                          </w:p>
                          <w:p w14:paraId="2D990C04" w14:textId="527B0FC3" w:rsidR="007057EA" w:rsidRPr="00B0115F" w:rsidRDefault="007057EA" w:rsidP="00AF0581">
                            <w:pPr>
                              <w:rPr>
                                <w:rFonts w:cs="Arial"/>
                                <w:bCs/>
                                <w:iCs/>
                                <w:color w:val="FFFFFF" w:themeColor="background1"/>
                              </w:rPr>
                            </w:pPr>
                            <w:r w:rsidRPr="00047040">
                              <w:rPr>
                                <w:rFonts w:cs="Arial"/>
                                <w:b/>
                                <w:bCs/>
                                <w:i/>
                                <w:iCs/>
                                <w:color w:val="FFFFFF" w:themeColor="background1"/>
                              </w:rPr>
                              <w:t xml:space="preserve">PCR Team: </w:t>
                            </w:r>
                            <w:r>
                              <w:rPr>
                                <w:rFonts w:cs="Arial"/>
                                <w:bCs/>
                                <w:iCs/>
                                <w:color w:val="FFFFFF" w:themeColor="background1"/>
                              </w:rPr>
                              <w:t xml:space="preserve">Carlos Guaipatín (IFD/CTI), </w:t>
                            </w:r>
                            <w:r w:rsidRPr="00A8148E">
                              <w:rPr>
                                <w:rFonts w:cs="Arial"/>
                                <w:bCs/>
                                <w:iCs/>
                                <w:color w:val="FFFFFF" w:themeColor="background1"/>
                              </w:rPr>
                              <w:t>Team Leader;</w:t>
                            </w:r>
                            <w:r>
                              <w:rPr>
                                <w:rFonts w:cs="Arial"/>
                                <w:bCs/>
                                <w:iCs/>
                                <w:color w:val="FFFFFF" w:themeColor="background1"/>
                              </w:rPr>
                              <w:t xml:space="preserve"> </w:t>
                            </w:r>
                            <w:r w:rsidRPr="00A8148E">
                              <w:rPr>
                                <w:rFonts w:cs="Arial"/>
                                <w:bCs/>
                                <w:iCs/>
                                <w:color w:val="FFFFFF" w:themeColor="background1"/>
                              </w:rPr>
                              <w:t>Mario Umaña (INT/INT);</w:t>
                            </w:r>
                            <w:r>
                              <w:rPr>
                                <w:rFonts w:cs="Arial"/>
                                <w:bCs/>
                                <w:iCs/>
                                <w:color w:val="FFFFFF" w:themeColor="background1"/>
                              </w:rPr>
                              <w:t xml:space="preserve"> Marieke Goettsch (IFD/CTI); Natasha Boyce (CCB/CBA); Vinicio Rodríguez Piñeda (</w:t>
                            </w:r>
                            <w:r w:rsidRPr="00C50E05">
                              <w:rPr>
                                <w:rFonts w:cs="Arial"/>
                                <w:bCs/>
                                <w:iCs/>
                                <w:color w:val="FFFFFF" w:themeColor="background1"/>
                              </w:rPr>
                              <w:t>VPC/FMP</w:t>
                            </w:r>
                            <w:r>
                              <w:rPr>
                                <w:rFonts w:cs="Arial"/>
                                <w:bCs/>
                                <w:iCs/>
                                <w:color w:val="FFFFFF" w:themeColor="background1"/>
                              </w:rPr>
                              <w:t>); Corey Carter (CCB/CBA); Yohana Gonzalez Alzualde (IFD/CTI); Blanca Torrico (IFD/CTI).</w:t>
                            </w:r>
                          </w:p>
                          <w:p w14:paraId="0D906D7A" w14:textId="77777777" w:rsidR="007057EA" w:rsidRDefault="007057EA" w:rsidP="009B4D7A">
                            <w:pPr>
                              <w:rPr>
                                <w:rFonts w:ascii="Times New Roman" w:hAnsi="Times New Roman"/>
                                <w:b/>
                                <w:bCs/>
                                <w:i/>
                                <w:iCs/>
                                <w:color w:val="FFFFFF" w:themeColor="background1"/>
                              </w:rPr>
                            </w:pPr>
                          </w:p>
                          <w:p w14:paraId="78C48F06" w14:textId="77777777" w:rsidR="007057EA" w:rsidRDefault="007057EA" w:rsidP="009B4D7A">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5ABC7D" id="Text Box 12" o:spid="_x0000_s1027" type="#_x0000_t202" style="position:absolute;left:0;text-align:left;margin-left:-9.75pt;margin-top:438.5pt;width:480pt;height:16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" filled="f" stroked="f">
                <v:textbox>
                  <w:txbxContent>
                    <w:p w14:paraId="3894554C" w14:textId="77777777" w:rsidR="007057EA" w:rsidRPr="00A8148E" w:rsidRDefault="007057EA" w:rsidP="00AF0581">
                      <w:pPr>
                        <w:jc w:val="both"/>
                        <w:rPr>
                          <w:rFonts w:cs="Arial"/>
                          <w:color w:val="FFFFFF" w:themeColor="background1"/>
                        </w:rPr>
                      </w:pPr>
                      <w:r w:rsidRPr="00047040">
                        <w:rPr>
                          <w:rFonts w:cs="Arial"/>
                          <w:b/>
                          <w:bCs/>
                          <w:i/>
                          <w:iCs/>
                          <w:color w:val="FFFFFF" w:themeColor="background1"/>
                        </w:rPr>
                        <w:t xml:space="preserve">Original Project Team: </w:t>
                      </w:r>
                      <w:r w:rsidRPr="00A8148E">
                        <w:rPr>
                          <w:rFonts w:cs="Arial"/>
                          <w:bCs/>
                          <w:iCs/>
                          <w:color w:val="FFFFFF" w:themeColor="background1"/>
                        </w:rPr>
                        <w:t xml:space="preserve">Jose Jorge Saavedra (CMF/CBA), Team Leader; Maria Carina Ugarte (ICF/CMF); Gabriel </w:t>
                      </w:r>
                      <w:r>
                        <w:rPr>
                          <w:rFonts w:cs="Arial"/>
                          <w:bCs/>
                          <w:iCs/>
                          <w:color w:val="FFFFFF" w:themeColor="background1"/>
                        </w:rPr>
                        <w:t>Casaburi (CMF/CAR); Claudia Ste</w:t>
                      </w:r>
                      <w:r w:rsidRPr="00A8148E">
                        <w:rPr>
                          <w:rFonts w:cs="Arial"/>
                          <w:bCs/>
                          <w:iCs/>
                          <w:color w:val="FFFFFF" w:themeColor="background1"/>
                        </w:rPr>
                        <w:t>venson (ICF/CMF); Mario Umaña (INT/INT); Alejandro Taddia (INE/TSP), Astrid Wynter (ICS/CBA), Hunt Howell and Salvador Duart (Consultants), Magda Theodate (VPC/PDP); Hyun Jung Lee (LEG/SGO); Janette Archer-Headley (CCB/CBA), and Annabella Gaggero (ICF/CMF).</w:t>
                      </w:r>
                    </w:p>
                    <w:p w14:paraId="39812982" w14:textId="77777777" w:rsidR="007057EA" w:rsidRDefault="007057EA" w:rsidP="00AF0581">
                      <w:pPr>
                        <w:rPr>
                          <w:rFonts w:cs="Arial"/>
                          <w:b/>
                          <w:bCs/>
                          <w:i/>
                          <w:iCs/>
                          <w:color w:val="FFFFFF" w:themeColor="background1"/>
                        </w:rPr>
                      </w:pPr>
                    </w:p>
                    <w:p w14:paraId="2D990C04" w14:textId="527B0FC3" w:rsidR="007057EA" w:rsidRPr="00B0115F" w:rsidRDefault="007057EA" w:rsidP="00AF0581">
                      <w:pPr>
                        <w:rPr>
                          <w:rFonts w:cs="Arial"/>
                          <w:bCs/>
                          <w:iCs/>
                          <w:color w:val="FFFFFF" w:themeColor="background1"/>
                        </w:rPr>
                      </w:pPr>
                      <w:r w:rsidRPr="00047040">
                        <w:rPr>
                          <w:rFonts w:cs="Arial"/>
                          <w:b/>
                          <w:bCs/>
                          <w:i/>
                          <w:iCs/>
                          <w:color w:val="FFFFFF" w:themeColor="background1"/>
                        </w:rPr>
                        <w:t xml:space="preserve">PCR Team: </w:t>
                      </w:r>
                      <w:r>
                        <w:rPr>
                          <w:rFonts w:cs="Arial"/>
                          <w:bCs/>
                          <w:iCs/>
                          <w:color w:val="FFFFFF" w:themeColor="background1"/>
                        </w:rPr>
                        <w:t xml:space="preserve">Carlos Guaipatín (IFD/CTI), </w:t>
                      </w:r>
                      <w:r w:rsidRPr="00A8148E">
                        <w:rPr>
                          <w:rFonts w:cs="Arial"/>
                          <w:bCs/>
                          <w:iCs/>
                          <w:color w:val="FFFFFF" w:themeColor="background1"/>
                        </w:rPr>
                        <w:t>Team Leader;</w:t>
                      </w:r>
                      <w:r>
                        <w:rPr>
                          <w:rFonts w:cs="Arial"/>
                          <w:bCs/>
                          <w:iCs/>
                          <w:color w:val="FFFFFF" w:themeColor="background1"/>
                        </w:rPr>
                        <w:t xml:space="preserve"> </w:t>
                      </w:r>
                      <w:r w:rsidRPr="00A8148E">
                        <w:rPr>
                          <w:rFonts w:cs="Arial"/>
                          <w:bCs/>
                          <w:iCs/>
                          <w:color w:val="FFFFFF" w:themeColor="background1"/>
                        </w:rPr>
                        <w:t>Mario Umaña (INT/INT);</w:t>
                      </w:r>
                      <w:r>
                        <w:rPr>
                          <w:rFonts w:cs="Arial"/>
                          <w:bCs/>
                          <w:iCs/>
                          <w:color w:val="FFFFFF" w:themeColor="background1"/>
                        </w:rPr>
                        <w:t xml:space="preserve"> Marieke Goettsch (IFD/CTI); Natasha Boyce (CCB/CBA); Vinicio Rodríguez Piñeda (</w:t>
                      </w:r>
                      <w:r w:rsidRPr="00C50E05">
                        <w:rPr>
                          <w:rFonts w:cs="Arial"/>
                          <w:bCs/>
                          <w:iCs/>
                          <w:color w:val="FFFFFF" w:themeColor="background1"/>
                        </w:rPr>
                        <w:t>VPC/FMP</w:t>
                      </w:r>
                      <w:r>
                        <w:rPr>
                          <w:rFonts w:cs="Arial"/>
                          <w:bCs/>
                          <w:iCs/>
                          <w:color w:val="FFFFFF" w:themeColor="background1"/>
                        </w:rPr>
                        <w:t>); Corey Carter (CCB/CBA); Yohana Gonzalez Alzualde (IFD/CTI); Blanca Torrico (IFD/CTI).</w:t>
                      </w:r>
                    </w:p>
                    <w:p w14:paraId="0D906D7A" w14:textId="77777777" w:rsidR="007057EA" w:rsidRDefault="007057EA" w:rsidP="009B4D7A">
                      <w:pPr>
                        <w:rPr>
                          <w:rFonts w:ascii="Times New Roman" w:hAnsi="Times New Roman"/>
                          <w:b/>
                          <w:bCs/>
                          <w:i/>
                          <w:iCs/>
                          <w:color w:val="FFFFFF" w:themeColor="background1"/>
                        </w:rPr>
                      </w:pPr>
                    </w:p>
                    <w:p w14:paraId="78C48F06" w14:textId="77777777" w:rsidR="007057EA" w:rsidRDefault="007057EA" w:rsidP="009B4D7A">
                      <w:pPr>
                        <w:rPr>
                          <w:color w:val="FFFFFF" w:themeColor="background1"/>
                        </w:rPr>
                      </w:pPr>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131CC675" wp14:editId="51F640AF">
                <wp:simplePos x="0" y="0"/>
                <wp:positionH relativeFrom="column">
                  <wp:posOffset>215900</wp:posOffset>
                </wp:positionH>
                <wp:positionV relativeFrom="paragraph">
                  <wp:posOffset>4366895</wp:posOffset>
                </wp:positionV>
                <wp:extent cx="2988310" cy="379095"/>
                <wp:effectExtent l="0" t="0" r="0" b="190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379095"/>
                        </a:xfrm>
                        <a:prstGeom prst="rect">
                          <a:avLst/>
                        </a:prstGeom>
                        <a:noFill/>
                        <a:ln w="9525">
                          <a:noFill/>
                          <a:miter lim="800000"/>
                          <a:headEnd/>
                          <a:tailEnd/>
                        </a:ln>
                      </wps:spPr>
                      <wps:txbx>
                        <w:txbxContent>
                          <w:p w14:paraId="1F0E238B" w14:textId="77777777" w:rsidR="007057EA" w:rsidRDefault="007057EA" w:rsidP="009B4D7A">
                            <w:pPr>
                              <w:autoSpaceDE w:val="0"/>
                              <w:autoSpaceDN w:val="0"/>
                              <w:adjustRightInd w:val="0"/>
                              <w:jc w:val="center"/>
                              <w:rPr>
                                <w:rFonts w:ascii="Arial Black" w:hAnsi="Arial Black"/>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1CC675" id="Text Box 26" o:spid="_x0000_s1028" type="#_x0000_t202" style="position:absolute;left:0;text-align:left;margin-left:17pt;margin-top:343.85pt;width:235.3pt;height:2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" filled="f" stroked="f">
                <v:textbox>
                  <w:txbxContent>
                    <w:p w14:paraId="1F0E238B" w14:textId="77777777" w:rsidR="007057EA" w:rsidRDefault="007057EA" w:rsidP="009B4D7A">
                      <w:pPr>
                        <w:autoSpaceDE w:val="0"/>
                        <w:autoSpaceDN w:val="0"/>
                        <w:adjustRightInd w:val="0"/>
                        <w:jc w:val="center"/>
                        <w:rPr>
                          <w:rFonts w:ascii="Arial Black" w:hAnsi="Arial Black"/>
                          <w:color w:val="FFFFFF" w:themeColor="background1"/>
                        </w:rPr>
                      </w:pPr>
                    </w:p>
                  </w:txbxContent>
                </v:textbox>
              </v:shape>
            </w:pict>
          </mc:Fallback>
        </mc:AlternateContent>
      </w:r>
      <w:r>
        <w:rPr>
          <w:noProof/>
        </w:rPr>
        <w:drawing>
          <wp:anchor distT="0" distB="0" distL="114300" distR="114300" simplePos="0" relativeHeight="251654144" behindDoc="1" locked="0" layoutInCell="1" allowOverlap="1" wp14:anchorId="6F1C4CAB" wp14:editId="2BB626D2">
            <wp:simplePos x="0" y="0"/>
            <wp:positionH relativeFrom="column">
              <wp:posOffset>-122555</wp:posOffset>
            </wp:positionH>
            <wp:positionV relativeFrom="paragraph">
              <wp:posOffset>-84455</wp:posOffset>
            </wp:positionV>
            <wp:extent cx="2171700" cy="1534795"/>
            <wp:effectExtent l="0" t="0" r="0" b="0"/>
            <wp:wrapNone/>
            <wp:docPr id="4" name="Picture 4" descr="bid_english-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d_english-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1" locked="0" layoutInCell="1" allowOverlap="1" wp14:anchorId="05FC12F2" wp14:editId="326F7A6C">
            <wp:simplePos x="0" y="0"/>
            <wp:positionH relativeFrom="column">
              <wp:posOffset>-122555</wp:posOffset>
            </wp:positionH>
            <wp:positionV relativeFrom="paragraph">
              <wp:posOffset>-84455</wp:posOffset>
            </wp:positionV>
            <wp:extent cx="2171700" cy="1534795"/>
            <wp:effectExtent l="0" t="0" r="0" b="0"/>
            <wp:wrapNone/>
            <wp:docPr id="1" name="Picture 1" descr="bid_english-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d_english-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pic:spPr>
                </pic:pic>
              </a:graphicData>
            </a:graphic>
            <wp14:sizeRelH relativeFrom="page">
              <wp14:pctWidth>0</wp14:pctWidth>
            </wp14:sizeRelH>
            <wp14:sizeRelV relativeFrom="page">
              <wp14:pctHeight>0</wp14:pctHeight>
            </wp14:sizeRelV>
          </wp:anchor>
        </w:drawing>
      </w:r>
    </w:p>
    <w:p w14:paraId="0AF3E1B2" w14:textId="77777777" w:rsidR="009B4D7A" w:rsidRDefault="009B4D7A" w:rsidP="009B4D7A">
      <w:pPr>
        <w:rPr>
          <w:b/>
          <w:smallCaps/>
          <w:sz w:val="28"/>
          <w:szCs w:val="28"/>
        </w:rPr>
      </w:pPr>
    </w:p>
    <w:p w14:paraId="49262C6D" w14:textId="77777777" w:rsidR="009B4D7A" w:rsidRDefault="009B4D7A" w:rsidP="009B4D7A">
      <w:pPr>
        <w:rPr>
          <w:b/>
          <w:smallCaps/>
          <w:sz w:val="28"/>
          <w:szCs w:val="28"/>
        </w:rPr>
      </w:pPr>
    </w:p>
    <w:p w14:paraId="5883255E" w14:textId="77777777" w:rsidR="009B4D7A" w:rsidRDefault="009B4D7A" w:rsidP="009B4D7A">
      <w:pPr>
        <w:rPr>
          <w:sz w:val="40"/>
        </w:rPr>
      </w:pPr>
    </w:p>
    <w:p w14:paraId="3A3D63D6" w14:textId="77777777" w:rsidR="009B4D7A" w:rsidRDefault="009B4D7A" w:rsidP="009B4D7A"/>
    <w:p w14:paraId="602BD6AA" w14:textId="4AF9C205" w:rsidR="009B4D7A" w:rsidRDefault="00AF0581" w:rsidP="009B4D7A">
      <w:r w:rsidRPr="00CB1D5B">
        <w:rPr>
          <w:b/>
          <w:smallCaps/>
          <w:noProof/>
          <w:sz w:val="28"/>
          <w:szCs w:val="28"/>
        </w:rPr>
        <mc:AlternateContent>
          <mc:Choice Requires="wps">
            <w:drawing>
              <wp:anchor distT="0" distB="0" distL="114300" distR="114300" simplePos="0" relativeHeight="251659264" behindDoc="0" locked="0" layoutInCell="1" allowOverlap="1" wp14:anchorId="4286C0BE" wp14:editId="5FB8E929">
                <wp:simplePos x="0" y="0"/>
                <wp:positionH relativeFrom="column">
                  <wp:posOffset>238125</wp:posOffset>
                </wp:positionH>
                <wp:positionV relativeFrom="paragraph">
                  <wp:posOffset>248285</wp:posOffset>
                </wp:positionV>
                <wp:extent cx="4152900" cy="2934586"/>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934586"/>
                        </a:xfrm>
                        <a:prstGeom prst="rect">
                          <a:avLst/>
                        </a:prstGeom>
                        <a:noFill/>
                        <a:ln w="9525">
                          <a:noFill/>
                          <a:miter lim="800000"/>
                          <a:headEnd/>
                          <a:tailEnd/>
                        </a:ln>
                      </wps:spPr>
                      <wps:txbx>
                        <w:txbxContent>
                          <w:p w14:paraId="3C5F695E" w14:textId="77777777" w:rsidR="007057EA" w:rsidRDefault="007057EA" w:rsidP="00AF0581">
                            <w:pPr>
                              <w:rPr>
                                <w:rFonts w:ascii="Arial Black" w:hAnsi="Arial Black"/>
                                <w:color w:val="FFFFFF" w:themeColor="background1"/>
                                <w:sz w:val="36"/>
                              </w:rPr>
                            </w:pPr>
                            <w:r>
                              <w:rPr>
                                <w:rFonts w:ascii="Arial Black" w:hAnsi="Arial Black"/>
                                <w:color w:val="FFFFFF" w:themeColor="background1"/>
                                <w:sz w:val="36"/>
                              </w:rPr>
                              <w:t>Barbados Competitiveness Programme</w:t>
                            </w:r>
                          </w:p>
                          <w:p w14:paraId="335A1570" w14:textId="77777777" w:rsidR="007057EA" w:rsidRDefault="007057EA" w:rsidP="00AF0581">
                            <w:pPr>
                              <w:rPr>
                                <w:rFonts w:ascii="Arial Black" w:hAnsi="Arial Black"/>
                                <w:color w:val="FFFFFF" w:themeColor="background1"/>
                                <w:sz w:val="36"/>
                              </w:rPr>
                            </w:pPr>
                            <w:r>
                              <w:rPr>
                                <w:rFonts w:ascii="Arial Black" w:hAnsi="Arial Black"/>
                                <w:color w:val="FFFFFF" w:themeColor="background1"/>
                                <w:sz w:val="36"/>
                              </w:rPr>
                              <w:t xml:space="preserve">(BA-L1007 / </w:t>
                            </w:r>
                            <w:r w:rsidRPr="00B6181D">
                              <w:rPr>
                                <w:rFonts w:ascii="Arial Black" w:hAnsi="Arial Black"/>
                                <w:color w:val="FFFFFF" w:themeColor="background1"/>
                                <w:sz w:val="36"/>
                              </w:rPr>
                              <w:t>2278/OC-BA</w:t>
                            </w:r>
                            <w:r>
                              <w:rPr>
                                <w:rFonts w:ascii="Arial Black" w:hAnsi="Arial Black"/>
                                <w:color w:val="FFFFFF" w:themeColor="background1"/>
                                <w:sz w:val="36"/>
                              </w:rPr>
                              <w:t>)</w:t>
                            </w:r>
                          </w:p>
                          <w:p w14:paraId="21F53ECF" w14:textId="77777777" w:rsidR="007057EA" w:rsidRDefault="007057EA" w:rsidP="00AF0581">
                            <w:pPr>
                              <w:rPr>
                                <w:rFonts w:ascii="Arial Black" w:hAnsi="Arial Black"/>
                                <w:color w:val="FFFFFF" w:themeColor="background1"/>
                                <w:sz w:val="36"/>
                              </w:rPr>
                            </w:pPr>
                          </w:p>
                          <w:p w14:paraId="58774BDC" w14:textId="77777777" w:rsidR="007057EA" w:rsidRDefault="007057EA" w:rsidP="00AF0581">
                            <w:pPr>
                              <w:rPr>
                                <w:rFonts w:ascii="Arial Black" w:hAnsi="Arial Black"/>
                                <w:color w:val="FFFFFF" w:themeColor="background1"/>
                                <w:sz w:val="36"/>
                              </w:rPr>
                            </w:pPr>
                            <w:r>
                              <w:rPr>
                                <w:rFonts w:ascii="Arial Black" w:hAnsi="Arial Black"/>
                                <w:color w:val="FFFFFF" w:themeColor="background1"/>
                                <w:sz w:val="36"/>
                              </w:rPr>
                              <w:t>Project Completion Report</w:t>
                            </w:r>
                          </w:p>
                          <w:p w14:paraId="73A62DC1" w14:textId="77777777" w:rsidR="007057EA" w:rsidRDefault="007057EA" w:rsidP="00AF0581">
                            <w:pPr>
                              <w:rPr>
                                <w:rFonts w:ascii="Arial Black" w:hAnsi="Arial Black"/>
                                <w:color w:val="FFFFFF" w:themeColor="background1"/>
                                <w:sz w:val="36"/>
                              </w:rPr>
                            </w:pPr>
                            <w:r>
                              <w:rPr>
                                <w:rFonts w:ascii="Arial Black" w:hAnsi="Arial Black"/>
                                <w:color w:val="FFFFFF" w:themeColor="background1"/>
                                <w:sz w:val="36"/>
                              </w:rPr>
                              <w:t>(PCR)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86C0BE" id="Text Box 2" o:spid="_x0000_s1029" type="#_x0000_t202" style="position:absolute;margin-left:18.75pt;margin-top:19.55pt;width:327pt;height:23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" filled="f" stroked="f">
                <v:textbox>
                  <w:txbxContent>
                    <w:p w14:paraId="3C5F695E" w14:textId="77777777" w:rsidR="007057EA" w:rsidRDefault="007057EA" w:rsidP="00AF0581">
                      <w:pPr>
                        <w:rPr>
                          <w:rFonts w:ascii="Arial Black" w:hAnsi="Arial Black"/>
                          <w:color w:val="FFFFFF" w:themeColor="background1"/>
                          <w:sz w:val="36"/>
                        </w:rPr>
                      </w:pPr>
                      <w:r>
                        <w:rPr>
                          <w:rFonts w:ascii="Arial Black" w:hAnsi="Arial Black"/>
                          <w:color w:val="FFFFFF" w:themeColor="background1"/>
                          <w:sz w:val="36"/>
                        </w:rPr>
                        <w:t>Barbados Competitiveness Programme</w:t>
                      </w:r>
                    </w:p>
                    <w:p w14:paraId="335A1570" w14:textId="77777777" w:rsidR="007057EA" w:rsidRDefault="007057EA" w:rsidP="00AF0581">
                      <w:pPr>
                        <w:rPr>
                          <w:rFonts w:ascii="Arial Black" w:hAnsi="Arial Black"/>
                          <w:color w:val="FFFFFF" w:themeColor="background1"/>
                          <w:sz w:val="36"/>
                        </w:rPr>
                      </w:pPr>
                      <w:r>
                        <w:rPr>
                          <w:rFonts w:ascii="Arial Black" w:hAnsi="Arial Black"/>
                          <w:color w:val="FFFFFF" w:themeColor="background1"/>
                          <w:sz w:val="36"/>
                        </w:rPr>
                        <w:t xml:space="preserve">(BA-L1007 / </w:t>
                      </w:r>
                      <w:r w:rsidRPr="00B6181D">
                        <w:rPr>
                          <w:rFonts w:ascii="Arial Black" w:hAnsi="Arial Black"/>
                          <w:color w:val="FFFFFF" w:themeColor="background1"/>
                          <w:sz w:val="36"/>
                        </w:rPr>
                        <w:t>2278/OC-BA</w:t>
                      </w:r>
                      <w:r>
                        <w:rPr>
                          <w:rFonts w:ascii="Arial Black" w:hAnsi="Arial Black"/>
                          <w:color w:val="FFFFFF" w:themeColor="background1"/>
                          <w:sz w:val="36"/>
                        </w:rPr>
                        <w:t>)</w:t>
                      </w:r>
                    </w:p>
                    <w:p w14:paraId="21F53ECF" w14:textId="77777777" w:rsidR="007057EA" w:rsidRDefault="007057EA" w:rsidP="00AF0581">
                      <w:pPr>
                        <w:rPr>
                          <w:rFonts w:ascii="Arial Black" w:hAnsi="Arial Black"/>
                          <w:color w:val="FFFFFF" w:themeColor="background1"/>
                          <w:sz w:val="36"/>
                        </w:rPr>
                      </w:pPr>
                    </w:p>
                    <w:p w14:paraId="58774BDC" w14:textId="77777777" w:rsidR="007057EA" w:rsidRDefault="007057EA" w:rsidP="00AF0581">
                      <w:pPr>
                        <w:rPr>
                          <w:rFonts w:ascii="Arial Black" w:hAnsi="Arial Black"/>
                          <w:color w:val="FFFFFF" w:themeColor="background1"/>
                          <w:sz w:val="36"/>
                        </w:rPr>
                      </w:pPr>
                      <w:r>
                        <w:rPr>
                          <w:rFonts w:ascii="Arial Black" w:hAnsi="Arial Black"/>
                          <w:color w:val="FFFFFF" w:themeColor="background1"/>
                          <w:sz w:val="36"/>
                        </w:rPr>
                        <w:t>Project Completion Report</w:t>
                      </w:r>
                    </w:p>
                    <w:p w14:paraId="73A62DC1" w14:textId="77777777" w:rsidR="007057EA" w:rsidRDefault="007057EA" w:rsidP="00AF0581">
                      <w:pPr>
                        <w:rPr>
                          <w:rFonts w:ascii="Arial Black" w:hAnsi="Arial Black"/>
                          <w:color w:val="FFFFFF" w:themeColor="background1"/>
                          <w:sz w:val="36"/>
                        </w:rPr>
                      </w:pPr>
                      <w:r>
                        <w:rPr>
                          <w:rFonts w:ascii="Arial Black" w:hAnsi="Arial Black"/>
                          <w:color w:val="FFFFFF" w:themeColor="background1"/>
                          <w:sz w:val="36"/>
                        </w:rPr>
                        <w:t>(PCR)</w:t>
                      </w:r>
                    </w:p>
                  </w:txbxContent>
                </v:textbox>
              </v:shape>
            </w:pict>
          </mc:Fallback>
        </mc:AlternateContent>
      </w:r>
      <w:r w:rsidR="009B4D7A">
        <w:br w:type="page"/>
      </w:r>
    </w:p>
    <w:p w14:paraId="0CD7345E" w14:textId="77777777" w:rsidR="009B4D7A" w:rsidRDefault="009B4D7A" w:rsidP="009B4D7A">
      <w:pPr>
        <w:rPr>
          <w:color w:val="7F7F7F" w:themeColor="text1" w:themeTint="80"/>
          <w:sz w:val="28"/>
          <w:szCs w:val="28"/>
        </w:rPr>
        <w:sectPr w:rsidR="009B4D7A">
          <w:footerReference w:type="default" r:id="rId16"/>
          <w:footerReference w:type="first" r:id="rId17"/>
          <w:pgSz w:w="12240" w:h="15840"/>
          <w:pgMar w:top="1440" w:right="1440" w:bottom="1440" w:left="1440" w:header="720" w:footer="720" w:gutter="0"/>
          <w:pgNumType w:start="0"/>
          <w:cols w:space="720"/>
        </w:sectPr>
      </w:pPr>
    </w:p>
    <w:sdt>
      <w:sdtPr>
        <w:rPr>
          <w:rFonts w:eastAsiaTheme="minorHAnsi" w:cs="Arial"/>
          <w:b w:val="0"/>
          <w:bCs w:val="0"/>
          <w:szCs w:val="22"/>
          <w:lang w:eastAsia="en-US"/>
        </w:rPr>
        <w:id w:val="-1150281611"/>
        <w:docPartObj>
          <w:docPartGallery w:val="Table of Contents"/>
          <w:docPartUnique/>
        </w:docPartObj>
      </w:sdtPr>
      <w:sdtEndPr/>
      <w:sdtContent>
        <w:p w14:paraId="3700B03F" w14:textId="77777777" w:rsidR="009B4D7A" w:rsidRPr="004743DB" w:rsidRDefault="009B4D7A" w:rsidP="009B4D7A">
          <w:pPr>
            <w:pStyle w:val="TOCHeading"/>
            <w:rPr>
              <w:rFonts w:cs="Arial"/>
              <w:smallCaps/>
              <w:szCs w:val="22"/>
            </w:rPr>
          </w:pPr>
          <w:r w:rsidRPr="004743DB">
            <w:rPr>
              <w:rFonts w:cs="Arial"/>
              <w:smallCaps/>
              <w:szCs w:val="22"/>
            </w:rPr>
            <w:t>Index</w:t>
          </w:r>
        </w:p>
        <w:p w14:paraId="4B8998BB" w14:textId="71807FBD" w:rsidR="00735DE3" w:rsidRDefault="009B4D7A">
          <w:pPr>
            <w:pStyle w:val="TOC1"/>
            <w:tabs>
              <w:tab w:val="right" w:leader="dot" w:pos="9350"/>
            </w:tabs>
            <w:rPr>
              <w:rFonts w:asciiTheme="minorHAnsi" w:eastAsiaTheme="minorEastAsia" w:hAnsiTheme="minorHAnsi"/>
              <w:noProof/>
            </w:rPr>
          </w:pPr>
          <w:r>
            <w:rPr>
              <w:rFonts w:cs="Arial"/>
            </w:rPr>
            <w:fldChar w:fldCharType="begin"/>
          </w:r>
          <w:r>
            <w:rPr>
              <w:rFonts w:cs="Arial"/>
            </w:rPr>
            <w:instrText xml:space="preserve"> TOC \o "1-3" \h \z \u </w:instrText>
          </w:r>
          <w:r>
            <w:rPr>
              <w:rFonts w:cs="Arial"/>
            </w:rPr>
            <w:fldChar w:fldCharType="separate"/>
          </w:r>
          <w:hyperlink w:anchor="_Toc500317956" w:history="1">
            <w:r w:rsidR="00735DE3" w:rsidRPr="00806C49">
              <w:rPr>
                <w:rStyle w:val="Hyperlink"/>
                <w:rFonts w:ascii="Arial Black" w:hAnsi="Arial Black" w:cs="Arial"/>
                <w:noProof/>
              </w:rPr>
              <w:t>Electronic Links</w:t>
            </w:r>
            <w:r w:rsidR="00735DE3">
              <w:rPr>
                <w:noProof/>
                <w:webHidden/>
              </w:rPr>
              <w:tab/>
            </w:r>
            <w:r w:rsidR="00735DE3">
              <w:rPr>
                <w:noProof/>
                <w:webHidden/>
              </w:rPr>
              <w:fldChar w:fldCharType="begin"/>
            </w:r>
            <w:r w:rsidR="00735DE3">
              <w:rPr>
                <w:noProof/>
                <w:webHidden/>
              </w:rPr>
              <w:instrText xml:space="preserve"> PAGEREF _Toc500317956 \h </w:instrText>
            </w:r>
            <w:r w:rsidR="00735DE3">
              <w:rPr>
                <w:noProof/>
                <w:webHidden/>
              </w:rPr>
            </w:r>
            <w:r w:rsidR="00735DE3">
              <w:rPr>
                <w:noProof/>
                <w:webHidden/>
              </w:rPr>
              <w:fldChar w:fldCharType="separate"/>
            </w:r>
            <w:r w:rsidR="00BE2CE8">
              <w:rPr>
                <w:noProof/>
                <w:webHidden/>
              </w:rPr>
              <w:t>ii</w:t>
            </w:r>
            <w:r w:rsidR="00735DE3">
              <w:rPr>
                <w:noProof/>
                <w:webHidden/>
              </w:rPr>
              <w:fldChar w:fldCharType="end"/>
            </w:r>
          </w:hyperlink>
        </w:p>
        <w:p w14:paraId="78B517FF" w14:textId="56DE3E39" w:rsidR="00735DE3" w:rsidRDefault="00AC26BF">
          <w:pPr>
            <w:pStyle w:val="TOC1"/>
            <w:tabs>
              <w:tab w:val="right" w:leader="dot" w:pos="9350"/>
            </w:tabs>
            <w:rPr>
              <w:rFonts w:asciiTheme="minorHAnsi" w:eastAsiaTheme="minorEastAsia" w:hAnsiTheme="minorHAnsi"/>
              <w:noProof/>
            </w:rPr>
          </w:pPr>
          <w:hyperlink w:anchor="_Toc500317957" w:history="1">
            <w:r w:rsidR="00735DE3" w:rsidRPr="00806C49">
              <w:rPr>
                <w:rStyle w:val="Hyperlink"/>
                <w:rFonts w:ascii="Arial Black" w:hAnsi="Arial Black" w:cs="Arial"/>
                <w:noProof/>
              </w:rPr>
              <w:t>Optional Electronic Links</w:t>
            </w:r>
            <w:r w:rsidR="00735DE3">
              <w:rPr>
                <w:noProof/>
                <w:webHidden/>
              </w:rPr>
              <w:tab/>
            </w:r>
            <w:r w:rsidR="00735DE3">
              <w:rPr>
                <w:noProof/>
                <w:webHidden/>
              </w:rPr>
              <w:fldChar w:fldCharType="begin"/>
            </w:r>
            <w:r w:rsidR="00735DE3">
              <w:rPr>
                <w:noProof/>
                <w:webHidden/>
              </w:rPr>
              <w:instrText xml:space="preserve"> PAGEREF _Toc500317957 \h </w:instrText>
            </w:r>
            <w:r w:rsidR="00735DE3">
              <w:rPr>
                <w:noProof/>
                <w:webHidden/>
              </w:rPr>
            </w:r>
            <w:r w:rsidR="00735DE3">
              <w:rPr>
                <w:noProof/>
                <w:webHidden/>
              </w:rPr>
              <w:fldChar w:fldCharType="separate"/>
            </w:r>
            <w:r w:rsidR="00BE2CE8">
              <w:rPr>
                <w:noProof/>
                <w:webHidden/>
              </w:rPr>
              <w:t>ii</w:t>
            </w:r>
            <w:r w:rsidR="00735DE3">
              <w:rPr>
                <w:noProof/>
                <w:webHidden/>
              </w:rPr>
              <w:fldChar w:fldCharType="end"/>
            </w:r>
          </w:hyperlink>
        </w:p>
        <w:p w14:paraId="56667836" w14:textId="29BEA620" w:rsidR="00735DE3" w:rsidRDefault="00AC26BF">
          <w:pPr>
            <w:pStyle w:val="TOC1"/>
            <w:tabs>
              <w:tab w:val="right" w:leader="dot" w:pos="9350"/>
            </w:tabs>
            <w:rPr>
              <w:rFonts w:asciiTheme="minorHAnsi" w:eastAsiaTheme="minorEastAsia" w:hAnsiTheme="minorHAnsi"/>
              <w:noProof/>
            </w:rPr>
          </w:pPr>
          <w:hyperlink w:anchor="_Toc500317958" w:history="1">
            <w:r w:rsidR="00735DE3" w:rsidRPr="00806C49">
              <w:rPr>
                <w:rStyle w:val="Hyperlink"/>
                <w:rFonts w:ascii="Arial Black" w:hAnsi="Arial Black" w:cs="Arial"/>
                <w:noProof/>
              </w:rPr>
              <w:t>Acronyms and Abbreviations</w:t>
            </w:r>
            <w:r w:rsidR="00735DE3">
              <w:rPr>
                <w:noProof/>
                <w:webHidden/>
              </w:rPr>
              <w:tab/>
            </w:r>
            <w:r w:rsidR="00735DE3">
              <w:rPr>
                <w:noProof/>
                <w:webHidden/>
              </w:rPr>
              <w:fldChar w:fldCharType="begin"/>
            </w:r>
            <w:r w:rsidR="00735DE3">
              <w:rPr>
                <w:noProof/>
                <w:webHidden/>
              </w:rPr>
              <w:instrText xml:space="preserve"> PAGEREF _Toc500317958 \h </w:instrText>
            </w:r>
            <w:r w:rsidR="00735DE3">
              <w:rPr>
                <w:noProof/>
                <w:webHidden/>
              </w:rPr>
            </w:r>
            <w:r w:rsidR="00735DE3">
              <w:rPr>
                <w:noProof/>
                <w:webHidden/>
              </w:rPr>
              <w:fldChar w:fldCharType="separate"/>
            </w:r>
            <w:r w:rsidR="00BE2CE8">
              <w:rPr>
                <w:noProof/>
                <w:webHidden/>
              </w:rPr>
              <w:t>iii</w:t>
            </w:r>
            <w:r w:rsidR="00735DE3">
              <w:rPr>
                <w:noProof/>
                <w:webHidden/>
              </w:rPr>
              <w:fldChar w:fldCharType="end"/>
            </w:r>
          </w:hyperlink>
        </w:p>
        <w:p w14:paraId="341EA315" w14:textId="704C8D83" w:rsidR="00735DE3" w:rsidRDefault="00AC26BF">
          <w:pPr>
            <w:pStyle w:val="TOC1"/>
            <w:tabs>
              <w:tab w:val="right" w:leader="dot" w:pos="9350"/>
            </w:tabs>
            <w:rPr>
              <w:rFonts w:asciiTheme="minorHAnsi" w:eastAsiaTheme="minorEastAsia" w:hAnsiTheme="minorHAnsi"/>
              <w:noProof/>
            </w:rPr>
          </w:pPr>
          <w:hyperlink w:anchor="_Toc500317959" w:history="1">
            <w:r w:rsidR="00735DE3" w:rsidRPr="00806C49">
              <w:rPr>
                <w:rStyle w:val="Hyperlink"/>
                <w:rFonts w:ascii="Arial Black" w:hAnsi="Arial Black" w:cs="Arial"/>
                <w:noProof/>
              </w:rPr>
              <w:t>Basic Information (US$ Amount)</w:t>
            </w:r>
            <w:r w:rsidR="00735DE3">
              <w:rPr>
                <w:noProof/>
                <w:webHidden/>
              </w:rPr>
              <w:tab/>
            </w:r>
            <w:r w:rsidR="00735DE3">
              <w:rPr>
                <w:noProof/>
                <w:webHidden/>
              </w:rPr>
              <w:fldChar w:fldCharType="begin"/>
            </w:r>
            <w:r w:rsidR="00735DE3">
              <w:rPr>
                <w:noProof/>
                <w:webHidden/>
              </w:rPr>
              <w:instrText xml:space="preserve"> PAGEREF _Toc500317959 \h </w:instrText>
            </w:r>
            <w:r w:rsidR="00735DE3">
              <w:rPr>
                <w:noProof/>
                <w:webHidden/>
              </w:rPr>
            </w:r>
            <w:r w:rsidR="00735DE3">
              <w:rPr>
                <w:noProof/>
                <w:webHidden/>
              </w:rPr>
              <w:fldChar w:fldCharType="separate"/>
            </w:r>
            <w:r w:rsidR="00BE2CE8">
              <w:rPr>
                <w:noProof/>
                <w:webHidden/>
              </w:rPr>
              <w:t>v</w:t>
            </w:r>
            <w:r w:rsidR="00735DE3">
              <w:rPr>
                <w:noProof/>
                <w:webHidden/>
              </w:rPr>
              <w:fldChar w:fldCharType="end"/>
            </w:r>
          </w:hyperlink>
        </w:p>
        <w:p w14:paraId="166332F3" w14:textId="2F33E589" w:rsidR="00735DE3" w:rsidRDefault="00AC26BF">
          <w:pPr>
            <w:pStyle w:val="TOC1"/>
            <w:tabs>
              <w:tab w:val="left" w:pos="440"/>
              <w:tab w:val="right" w:leader="dot" w:pos="9350"/>
            </w:tabs>
            <w:rPr>
              <w:rFonts w:asciiTheme="minorHAnsi" w:eastAsiaTheme="minorEastAsia" w:hAnsiTheme="minorHAnsi"/>
              <w:noProof/>
            </w:rPr>
          </w:pPr>
          <w:hyperlink w:anchor="_Toc500317960" w:history="1">
            <w:r w:rsidR="00735DE3" w:rsidRPr="00806C49">
              <w:rPr>
                <w:rStyle w:val="Hyperlink"/>
                <w:noProof/>
                <w:lang w:val="es-MX"/>
              </w:rPr>
              <w:t>I.</w:t>
            </w:r>
            <w:r w:rsidR="00735DE3">
              <w:rPr>
                <w:rFonts w:asciiTheme="minorHAnsi" w:eastAsiaTheme="minorEastAsia" w:hAnsiTheme="minorHAnsi"/>
                <w:noProof/>
              </w:rPr>
              <w:tab/>
            </w:r>
            <w:r w:rsidR="00735DE3" w:rsidRPr="00806C49">
              <w:rPr>
                <w:rStyle w:val="Hyperlink"/>
                <w:noProof/>
              </w:rPr>
              <w:t>Executive Summary</w:t>
            </w:r>
            <w:r w:rsidR="00735DE3">
              <w:rPr>
                <w:noProof/>
                <w:webHidden/>
              </w:rPr>
              <w:tab/>
            </w:r>
            <w:r w:rsidR="00735DE3">
              <w:rPr>
                <w:noProof/>
                <w:webHidden/>
              </w:rPr>
              <w:fldChar w:fldCharType="begin"/>
            </w:r>
            <w:r w:rsidR="00735DE3">
              <w:rPr>
                <w:noProof/>
                <w:webHidden/>
              </w:rPr>
              <w:instrText xml:space="preserve"> PAGEREF _Toc500317960 \h </w:instrText>
            </w:r>
            <w:r w:rsidR="00735DE3">
              <w:rPr>
                <w:noProof/>
                <w:webHidden/>
              </w:rPr>
            </w:r>
            <w:r w:rsidR="00735DE3">
              <w:rPr>
                <w:noProof/>
                <w:webHidden/>
              </w:rPr>
              <w:fldChar w:fldCharType="separate"/>
            </w:r>
            <w:r w:rsidR="00BE2CE8">
              <w:rPr>
                <w:noProof/>
                <w:webHidden/>
              </w:rPr>
              <w:t>1</w:t>
            </w:r>
            <w:r w:rsidR="00735DE3">
              <w:rPr>
                <w:noProof/>
                <w:webHidden/>
              </w:rPr>
              <w:fldChar w:fldCharType="end"/>
            </w:r>
          </w:hyperlink>
        </w:p>
        <w:p w14:paraId="76A65157" w14:textId="21C886E5" w:rsidR="00735DE3" w:rsidRDefault="00AC26BF">
          <w:pPr>
            <w:pStyle w:val="TOC1"/>
            <w:tabs>
              <w:tab w:val="left" w:pos="440"/>
              <w:tab w:val="right" w:leader="dot" w:pos="9350"/>
            </w:tabs>
            <w:rPr>
              <w:rFonts w:asciiTheme="minorHAnsi" w:eastAsiaTheme="minorEastAsia" w:hAnsiTheme="minorHAnsi"/>
              <w:noProof/>
            </w:rPr>
          </w:pPr>
          <w:hyperlink w:anchor="_Toc500317961" w:history="1">
            <w:r w:rsidR="00735DE3" w:rsidRPr="00806C49">
              <w:rPr>
                <w:rStyle w:val="Hyperlink"/>
                <w:noProof/>
                <w:lang w:val="es-MX"/>
              </w:rPr>
              <w:t>II.</w:t>
            </w:r>
            <w:r w:rsidR="00735DE3">
              <w:rPr>
                <w:rFonts w:asciiTheme="minorHAnsi" w:eastAsiaTheme="minorEastAsia" w:hAnsiTheme="minorHAnsi"/>
                <w:noProof/>
              </w:rPr>
              <w:tab/>
            </w:r>
            <w:r w:rsidR="00735DE3" w:rsidRPr="00806C49">
              <w:rPr>
                <w:rStyle w:val="Hyperlink"/>
                <w:noProof/>
              </w:rPr>
              <w:t>Introduction</w:t>
            </w:r>
            <w:r w:rsidR="00735DE3">
              <w:rPr>
                <w:noProof/>
                <w:webHidden/>
              </w:rPr>
              <w:tab/>
            </w:r>
            <w:r w:rsidR="00735DE3">
              <w:rPr>
                <w:noProof/>
                <w:webHidden/>
              </w:rPr>
              <w:fldChar w:fldCharType="begin"/>
            </w:r>
            <w:r w:rsidR="00735DE3">
              <w:rPr>
                <w:noProof/>
                <w:webHidden/>
              </w:rPr>
              <w:instrText xml:space="preserve"> PAGEREF _Toc500317961 \h </w:instrText>
            </w:r>
            <w:r w:rsidR="00735DE3">
              <w:rPr>
                <w:noProof/>
                <w:webHidden/>
              </w:rPr>
            </w:r>
            <w:r w:rsidR="00735DE3">
              <w:rPr>
                <w:noProof/>
                <w:webHidden/>
              </w:rPr>
              <w:fldChar w:fldCharType="separate"/>
            </w:r>
            <w:r w:rsidR="00BE2CE8">
              <w:rPr>
                <w:noProof/>
                <w:webHidden/>
              </w:rPr>
              <w:t>2</w:t>
            </w:r>
            <w:r w:rsidR="00735DE3">
              <w:rPr>
                <w:noProof/>
                <w:webHidden/>
              </w:rPr>
              <w:fldChar w:fldCharType="end"/>
            </w:r>
          </w:hyperlink>
        </w:p>
        <w:p w14:paraId="658B783B" w14:textId="031AC5D0" w:rsidR="00735DE3" w:rsidRDefault="00AC26BF">
          <w:pPr>
            <w:pStyle w:val="TOC3"/>
            <w:tabs>
              <w:tab w:val="left" w:pos="1100"/>
              <w:tab w:val="right" w:leader="dot" w:pos="9350"/>
            </w:tabs>
            <w:rPr>
              <w:rFonts w:asciiTheme="minorHAnsi" w:eastAsiaTheme="minorEastAsia" w:hAnsiTheme="minorHAnsi"/>
              <w:noProof/>
            </w:rPr>
          </w:pPr>
          <w:hyperlink w:anchor="_Toc500317962" w:history="1">
            <w:r w:rsidR="00735DE3" w:rsidRPr="00806C49">
              <w:rPr>
                <w:rStyle w:val="Hyperlink"/>
                <w:noProof/>
              </w:rPr>
              <w:t>2.1</w:t>
            </w:r>
            <w:r w:rsidR="00735DE3">
              <w:rPr>
                <w:rFonts w:asciiTheme="minorHAnsi" w:eastAsiaTheme="minorEastAsia" w:hAnsiTheme="minorHAnsi"/>
                <w:noProof/>
              </w:rPr>
              <w:tab/>
            </w:r>
            <w:r w:rsidR="00735DE3" w:rsidRPr="00806C49">
              <w:rPr>
                <w:rStyle w:val="Hyperlink"/>
                <w:noProof/>
              </w:rPr>
              <w:t>Project summary</w:t>
            </w:r>
            <w:r w:rsidR="00735DE3">
              <w:rPr>
                <w:noProof/>
                <w:webHidden/>
              </w:rPr>
              <w:tab/>
            </w:r>
            <w:r w:rsidR="00735DE3">
              <w:rPr>
                <w:noProof/>
                <w:webHidden/>
              </w:rPr>
              <w:fldChar w:fldCharType="begin"/>
            </w:r>
            <w:r w:rsidR="00735DE3">
              <w:rPr>
                <w:noProof/>
                <w:webHidden/>
              </w:rPr>
              <w:instrText xml:space="preserve"> PAGEREF _Toc500317962 \h </w:instrText>
            </w:r>
            <w:r w:rsidR="00735DE3">
              <w:rPr>
                <w:noProof/>
                <w:webHidden/>
              </w:rPr>
            </w:r>
            <w:r w:rsidR="00735DE3">
              <w:rPr>
                <w:noProof/>
                <w:webHidden/>
              </w:rPr>
              <w:fldChar w:fldCharType="separate"/>
            </w:r>
            <w:r w:rsidR="00BE2CE8">
              <w:rPr>
                <w:noProof/>
                <w:webHidden/>
              </w:rPr>
              <w:t>2</w:t>
            </w:r>
            <w:r w:rsidR="00735DE3">
              <w:rPr>
                <w:noProof/>
                <w:webHidden/>
              </w:rPr>
              <w:fldChar w:fldCharType="end"/>
            </w:r>
          </w:hyperlink>
        </w:p>
        <w:p w14:paraId="32905291" w14:textId="29FB936A" w:rsidR="00735DE3" w:rsidRDefault="00AC26BF">
          <w:pPr>
            <w:pStyle w:val="TOC3"/>
            <w:tabs>
              <w:tab w:val="left" w:pos="1100"/>
              <w:tab w:val="right" w:leader="dot" w:pos="9350"/>
            </w:tabs>
            <w:rPr>
              <w:rFonts w:asciiTheme="minorHAnsi" w:eastAsiaTheme="minorEastAsia" w:hAnsiTheme="minorHAnsi"/>
              <w:noProof/>
            </w:rPr>
          </w:pPr>
          <w:hyperlink w:anchor="_Toc500317963" w:history="1">
            <w:r w:rsidR="00735DE3" w:rsidRPr="00806C49">
              <w:rPr>
                <w:rStyle w:val="Hyperlink"/>
                <w:noProof/>
              </w:rPr>
              <w:t>2.2</w:t>
            </w:r>
            <w:r w:rsidR="00735DE3">
              <w:rPr>
                <w:rFonts w:asciiTheme="minorHAnsi" w:eastAsiaTheme="minorEastAsia" w:hAnsiTheme="minorHAnsi"/>
                <w:noProof/>
              </w:rPr>
              <w:tab/>
            </w:r>
            <w:r w:rsidR="00735DE3" w:rsidRPr="00806C49">
              <w:rPr>
                <w:rStyle w:val="Hyperlink"/>
                <w:noProof/>
              </w:rPr>
              <w:t>Background</w:t>
            </w:r>
            <w:r w:rsidR="00735DE3">
              <w:rPr>
                <w:noProof/>
                <w:webHidden/>
              </w:rPr>
              <w:tab/>
            </w:r>
            <w:r w:rsidR="00735DE3">
              <w:rPr>
                <w:noProof/>
                <w:webHidden/>
              </w:rPr>
              <w:fldChar w:fldCharType="begin"/>
            </w:r>
            <w:r w:rsidR="00735DE3">
              <w:rPr>
                <w:noProof/>
                <w:webHidden/>
              </w:rPr>
              <w:instrText xml:space="preserve"> PAGEREF _Toc500317963 \h </w:instrText>
            </w:r>
            <w:r w:rsidR="00735DE3">
              <w:rPr>
                <w:noProof/>
                <w:webHidden/>
              </w:rPr>
            </w:r>
            <w:r w:rsidR="00735DE3">
              <w:rPr>
                <w:noProof/>
                <w:webHidden/>
              </w:rPr>
              <w:fldChar w:fldCharType="separate"/>
            </w:r>
            <w:r w:rsidR="00BE2CE8">
              <w:rPr>
                <w:noProof/>
                <w:webHidden/>
              </w:rPr>
              <w:t>2</w:t>
            </w:r>
            <w:r w:rsidR="00735DE3">
              <w:rPr>
                <w:noProof/>
                <w:webHidden/>
              </w:rPr>
              <w:fldChar w:fldCharType="end"/>
            </w:r>
          </w:hyperlink>
        </w:p>
        <w:p w14:paraId="65BC4410" w14:textId="155AD7B5" w:rsidR="00735DE3" w:rsidRDefault="00AC26BF">
          <w:pPr>
            <w:pStyle w:val="TOC1"/>
            <w:tabs>
              <w:tab w:val="left" w:pos="660"/>
              <w:tab w:val="right" w:leader="dot" w:pos="9350"/>
            </w:tabs>
            <w:rPr>
              <w:rFonts w:asciiTheme="minorHAnsi" w:eastAsiaTheme="minorEastAsia" w:hAnsiTheme="minorHAnsi"/>
              <w:noProof/>
            </w:rPr>
          </w:pPr>
          <w:hyperlink w:anchor="_Toc500317964" w:history="1">
            <w:r w:rsidR="00735DE3" w:rsidRPr="00806C49">
              <w:rPr>
                <w:rStyle w:val="Hyperlink"/>
                <w:noProof/>
                <w:lang w:val="es-MX"/>
              </w:rPr>
              <w:t>III.</w:t>
            </w:r>
            <w:r w:rsidR="00735DE3">
              <w:rPr>
                <w:rFonts w:asciiTheme="minorHAnsi" w:eastAsiaTheme="minorEastAsia" w:hAnsiTheme="minorHAnsi"/>
                <w:noProof/>
              </w:rPr>
              <w:tab/>
            </w:r>
            <w:r w:rsidR="00735DE3" w:rsidRPr="00806C49">
              <w:rPr>
                <w:rStyle w:val="Hyperlink"/>
                <w:noProof/>
              </w:rPr>
              <w:t>Core criteria. Project performance</w:t>
            </w:r>
            <w:r w:rsidR="00735DE3">
              <w:rPr>
                <w:noProof/>
                <w:webHidden/>
              </w:rPr>
              <w:tab/>
            </w:r>
            <w:r w:rsidR="00735DE3">
              <w:rPr>
                <w:noProof/>
                <w:webHidden/>
              </w:rPr>
              <w:fldChar w:fldCharType="begin"/>
            </w:r>
            <w:r w:rsidR="00735DE3">
              <w:rPr>
                <w:noProof/>
                <w:webHidden/>
              </w:rPr>
              <w:instrText xml:space="preserve"> PAGEREF _Toc500317964 \h </w:instrText>
            </w:r>
            <w:r w:rsidR="00735DE3">
              <w:rPr>
                <w:noProof/>
                <w:webHidden/>
              </w:rPr>
            </w:r>
            <w:r w:rsidR="00735DE3">
              <w:rPr>
                <w:noProof/>
                <w:webHidden/>
              </w:rPr>
              <w:fldChar w:fldCharType="separate"/>
            </w:r>
            <w:r w:rsidR="00BE2CE8">
              <w:rPr>
                <w:noProof/>
                <w:webHidden/>
              </w:rPr>
              <w:t>4</w:t>
            </w:r>
            <w:r w:rsidR="00735DE3">
              <w:rPr>
                <w:noProof/>
                <w:webHidden/>
              </w:rPr>
              <w:fldChar w:fldCharType="end"/>
            </w:r>
          </w:hyperlink>
        </w:p>
        <w:p w14:paraId="028C0D48" w14:textId="22D59D9D" w:rsidR="00735DE3" w:rsidRDefault="00AC26BF">
          <w:pPr>
            <w:pStyle w:val="TOC3"/>
            <w:tabs>
              <w:tab w:val="left" w:pos="1100"/>
              <w:tab w:val="right" w:leader="dot" w:pos="9350"/>
            </w:tabs>
            <w:rPr>
              <w:rFonts w:asciiTheme="minorHAnsi" w:eastAsiaTheme="minorEastAsia" w:hAnsiTheme="minorHAnsi"/>
              <w:noProof/>
            </w:rPr>
          </w:pPr>
          <w:hyperlink w:anchor="_Toc500317965" w:history="1">
            <w:r w:rsidR="00735DE3" w:rsidRPr="00806C49">
              <w:rPr>
                <w:rStyle w:val="Hyperlink"/>
                <w:noProof/>
              </w:rPr>
              <w:t>3.1</w:t>
            </w:r>
            <w:r w:rsidR="00735DE3">
              <w:rPr>
                <w:rFonts w:asciiTheme="minorHAnsi" w:eastAsiaTheme="minorEastAsia" w:hAnsiTheme="minorHAnsi"/>
                <w:noProof/>
              </w:rPr>
              <w:tab/>
            </w:r>
            <w:r w:rsidR="00735DE3" w:rsidRPr="00806C49">
              <w:rPr>
                <w:rStyle w:val="Hyperlink"/>
                <w:noProof/>
              </w:rPr>
              <w:t>Relevance</w:t>
            </w:r>
            <w:r w:rsidR="00735DE3">
              <w:rPr>
                <w:noProof/>
                <w:webHidden/>
              </w:rPr>
              <w:tab/>
            </w:r>
            <w:r w:rsidR="00735DE3">
              <w:rPr>
                <w:noProof/>
                <w:webHidden/>
              </w:rPr>
              <w:fldChar w:fldCharType="begin"/>
            </w:r>
            <w:r w:rsidR="00735DE3">
              <w:rPr>
                <w:noProof/>
                <w:webHidden/>
              </w:rPr>
              <w:instrText xml:space="preserve"> PAGEREF _Toc500317965 \h </w:instrText>
            </w:r>
            <w:r w:rsidR="00735DE3">
              <w:rPr>
                <w:noProof/>
                <w:webHidden/>
              </w:rPr>
            </w:r>
            <w:r w:rsidR="00735DE3">
              <w:rPr>
                <w:noProof/>
                <w:webHidden/>
              </w:rPr>
              <w:fldChar w:fldCharType="separate"/>
            </w:r>
            <w:r w:rsidR="00BE2CE8">
              <w:rPr>
                <w:noProof/>
                <w:webHidden/>
              </w:rPr>
              <w:t>4</w:t>
            </w:r>
            <w:r w:rsidR="00735DE3">
              <w:rPr>
                <w:noProof/>
                <w:webHidden/>
              </w:rPr>
              <w:fldChar w:fldCharType="end"/>
            </w:r>
          </w:hyperlink>
        </w:p>
        <w:p w14:paraId="51E6331C" w14:textId="0A7B1F46" w:rsidR="00735DE3" w:rsidRDefault="00AC26BF">
          <w:pPr>
            <w:pStyle w:val="TOC3"/>
            <w:tabs>
              <w:tab w:val="left" w:pos="880"/>
              <w:tab w:val="right" w:leader="dot" w:pos="9350"/>
            </w:tabs>
            <w:rPr>
              <w:rFonts w:asciiTheme="minorHAnsi" w:eastAsiaTheme="minorEastAsia" w:hAnsiTheme="minorHAnsi"/>
              <w:noProof/>
            </w:rPr>
          </w:pPr>
          <w:hyperlink w:anchor="_Toc500317966" w:history="1">
            <w:r w:rsidR="00735DE3" w:rsidRPr="00806C49">
              <w:rPr>
                <w:rStyle w:val="Hyperlink"/>
                <w:noProof/>
              </w:rPr>
              <w:t>a.</w:t>
            </w:r>
            <w:r w:rsidR="00735DE3">
              <w:rPr>
                <w:rFonts w:asciiTheme="minorHAnsi" w:eastAsiaTheme="minorEastAsia" w:hAnsiTheme="minorHAnsi"/>
                <w:noProof/>
              </w:rPr>
              <w:tab/>
            </w:r>
            <w:r w:rsidR="00735DE3" w:rsidRPr="00806C49">
              <w:rPr>
                <w:rStyle w:val="Hyperlink"/>
                <w:noProof/>
              </w:rPr>
              <w:t>Alignment with country development needs</w:t>
            </w:r>
            <w:r w:rsidR="00735DE3">
              <w:rPr>
                <w:noProof/>
                <w:webHidden/>
              </w:rPr>
              <w:tab/>
            </w:r>
            <w:r w:rsidR="00735DE3">
              <w:rPr>
                <w:noProof/>
                <w:webHidden/>
              </w:rPr>
              <w:fldChar w:fldCharType="begin"/>
            </w:r>
            <w:r w:rsidR="00735DE3">
              <w:rPr>
                <w:noProof/>
                <w:webHidden/>
              </w:rPr>
              <w:instrText xml:space="preserve"> PAGEREF _Toc500317966 \h </w:instrText>
            </w:r>
            <w:r w:rsidR="00735DE3">
              <w:rPr>
                <w:noProof/>
                <w:webHidden/>
              </w:rPr>
            </w:r>
            <w:r w:rsidR="00735DE3">
              <w:rPr>
                <w:noProof/>
                <w:webHidden/>
              </w:rPr>
              <w:fldChar w:fldCharType="separate"/>
            </w:r>
            <w:r w:rsidR="00BE2CE8">
              <w:rPr>
                <w:noProof/>
                <w:webHidden/>
              </w:rPr>
              <w:t>4</w:t>
            </w:r>
            <w:r w:rsidR="00735DE3">
              <w:rPr>
                <w:noProof/>
                <w:webHidden/>
              </w:rPr>
              <w:fldChar w:fldCharType="end"/>
            </w:r>
          </w:hyperlink>
        </w:p>
        <w:p w14:paraId="07439C9C" w14:textId="247B6644" w:rsidR="00735DE3" w:rsidRDefault="00AC26BF">
          <w:pPr>
            <w:pStyle w:val="TOC3"/>
            <w:tabs>
              <w:tab w:val="left" w:pos="880"/>
              <w:tab w:val="right" w:leader="dot" w:pos="9350"/>
            </w:tabs>
            <w:rPr>
              <w:rFonts w:asciiTheme="minorHAnsi" w:eastAsiaTheme="minorEastAsia" w:hAnsiTheme="minorHAnsi"/>
              <w:noProof/>
            </w:rPr>
          </w:pPr>
          <w:hyperlink w:anchor="_Toc500317967" w:history="1">
            <w:r w:rsidR="00735DE3" w:rsidRPr="00806C49">
              <w:rPr>
                <w:rStyle w:val="Hyperlink"/>
                <w:noProof/>
              </w:rPr>
              <w:t>b.</w:t>
            </w:r>
            <w:r w:rsidR="00735DE3">
              <w:rPr>
                <w:rFonts w:asciiTheme="minorHAnsi" w:eastAsiaTheme="minorEastAsia" w:hAnsiTheme="minorHAnsi"/>
                <w:noProof/>
              </w:rPr>
              <w:tab/>
            </w:r>
            <w:r w:rsidR="00735DE3" w:rsidRPr="00806C49">
              <w:rPr>
                <w:rStyle w:val="Hyperlink"/>
                <w:noProof/>
              </w:rPr>
              <w:t>Vertical logic</w:t>
            </w:r>
            <w:r w:rsidR="00735DE3">
              <w:rPr>
                <w:noProof/>
                <w:webHidden/>
              </w:rPr>
              <w:tab/>
            </w:r>
            <w:r w:rsidR="00735DE3">
              <w:rPr>
                <w:noProof/>
                <w:webHidden/>
              </w:rPr>
              <w:fldChar w:fldCharType="begin"/>
            </w:r>
            <w:r w:rsidR="00735DE3">
              <w:rPr>
                <w:noProof/>
                <w:webHidden/>
              </w:rPr>
              <w:instrText xml:space="preserve"> PAGEREF _Toc500317967 \h </w:instrText>
            </w:r>
            <w:r w:rsidR="00735DE3">
              <w:rPr>
                <w:noProof/>
                <w:webHidden/>
              </w:rPr>
            </w:r>
            <w:r w:rsidR="00735DE3">
              <w:rPr>
                <w:noProof/>
                <w:webHidden/>
              </w:rPr>
              <w:fldChar w:fldCharType="separate"/>
            </w:r>
            <w:r w:rsidR="00BE2CE8">
              <w:rPr>
                <w:noProof/>
                <w:webHidden/>
              </w:rPr>
              <w:t>5</w:t>
            </w:r>
            <w:r w:rsidR="00735DE3">
              <w:rPr>
                <w:noProof/>
                <w:webHidden/>
              </w:rPr>
              <w:fldChar w:fldCharType="end"/>
            </w:r>
          </w:hyperlink>
        </w:p>
        <w:p w14:paraId="47DBB236" w14:textId="35953088" w:rsidR="00735DE3" w:rsidRDefault="00AC26BF">
          <w:pPr>
            <w:pStyle w:val="TOC3"/>
            <w:tabs>
              <w:tab w:val="left" w:pos="1100"/>
              <w:tab w:val="right" w:leader="dot" w:pos="9350"/>
            </w:tabs>
            <w:rPr>
              <w:rFonts w:asciiTheme="minorHAnsi" w:eastAsiaTheme="minorEastAsia" w:hAnsiTheme="minorHAnsi"/>
              <w:noProof/>
            </w:rPr>
          </w:pPr>
          <w:hyperlink w:anchor="_Toc500317968" w:history="1">
            <w:r w:rsidR="00735DE3" w:rsidRPr="00806C49">
              <w:rPr>
                <w:rStyle w:val="Hyperlink"/>
                <w:noProof/>
              </w:rPr>
              <w:t>3.2</w:t>
            </w:r>
            <w:r w:rsidR="00735DE3">
              <w:rPr>
                <w:rFonts w:asciiTheme="minorHAnsi" w:eastAsiaTheme="minorEastAsia" w:hAnsiTheme="minorHAnsi"/>
                <w:noProof/>
              </w:rPr>
              <w:tab/>
            </w:r>
            <w:r w:rsidR="00735DE3" w:rsidRPr="00806C49">
              <w:rPr>
                <w:rStyle w:val="Hyperlink"/>
                <w:noProof/>
              </w:rPr>
              <w:t>Effectiveness</w:t>
            </w:r>
            <w:r w:rsidR="00735DE3">
              <w:rPr>
                <w:noProof/>
                <w:webHidden/>
              </w:rPr>
              <w:tab/>
            </w:r>
            <w:r w:rsidR="00735DE3">
              <w:rPr>
                <w:noProof/>
                <w:webHidden/>
              </w:rPr>
              <w:fldChar w:fldCharType="begin"/>
            </w:r>
            <w:r w:rsidR="00735DE3">
              <w:rPr>
                <w:noProof/>
                <w:webHidden/>
              </w:rPr>
              <w:instrText xml:space="preserve"> PAGEREF _Toc500317968 \h </w:instrText>
            </w:r>
            <w:r w:rsidR="00735DE3">
              <w:rPr>
                <w:noProof/>
                <w:webHidden/>
              </w:rPr>
            </w:r>
            <w:r w:rsidR="00735DE3">
              <w:rPr>
                <w:noProof/>
                <w:webHidden/>
              </w:rPr>
              <w:fldChar w:fldCharType="separate"/>
            </w:r>
            <w:r w:rsidR="00BE2CE8">
              <w:rPr>
                <w:noProof/>
                <w:webHidden/>
              </w:rPr>
              <w:t>7</w:t>
            </w:r>
            <w:r w:rsidR="00735DE3">
              <w:rPr>
                <w:noProof/>
                <w:webHidden/>
              </w:rPr>
              <w:fldChar w:fldCharType="end"/>
            </w:r>
          </w:hyperlink>
        </w:p>
        <w:p w14:paraId="52509B88" w14:textId="6CE1D185" w:rsidR="00735DE3" w:rsidRDefault="00AC26BF">
          <w:pPr>
            <w:pStyle w:val="TOC3"/>
            <w:tabs>
              <w:tab w:val="left" w:pos="880"/>
              <w:tab w:val="right" w:leader="dot" w:pos="9350"/>
            </w:tabs>
            <w:rPr>
              <w:rFonts w:asciiTheme="minorHAnsi" w:eastAsiaTheme="minorEastAsia" w:hAnsiTheme="minorHAnsi"/>
              <w:noProof/>
            </w:rPr>
          </w:pPr>
          <w:hyperlink w:anchor="_Toc500317969" w:history="1">
            <w:r w:rsidR="00735DE3" w:rsidRPr="00806C49">
              <w:rPr>
                <w:rStyle w:val="Hyperlink"/>
                <w:noProof/>
              </w:rPr>
              <w:t>a.</w:t>
            </w:r>
            <w:r w:rsidR="00735DE3">
              <w:rPr>
                <w:rFonts w:asciiTheme="minorHAnsi" w:eastAsiaTheme="minorEastAsia" w:hAnsiTheme="minorHAnsi"/>
                <w:noProof/>
              </w:rPr>
              <w:tab/>
            </w:r>
            <w:r w:rsidR="00735DE3" w:rsidRPr="00806C49">
              <w:rPr>
                <w:rStyle w:val="Hyperlink"/>
                <w:noProof/>
              </w:rPr>
              <w:t>Statement of project development objectives.</w:t>
            </w:r>
            <w:r w:rsidR="00735DE3">
              <w:rPr>
                <w:noProof/>
                <w:webHidden/>
              </w:rPr>
              <w:tab/>
            </w:r>
            <w:r w:rsidR="00735DE3">
              <w:rPr>
                <w:noProof/>
                <w:webHidden/>
              </w:rPr>
              <w:fldChar w:fldCharType="begin"/>
            </w:r>
            <w:r w:rsidR="00735DE3">
              <w:rPr>
                <w:noProof/>
                <w:webHidden/>
              </w:rPr>
              <w:instrText xml:space="preserve"> PAGEREF _Toc500317969 \h </w:instrText>
            </w:r>
            <w:r w:rsidR="00735DE3">
              <w:rPr>
                <w:noProof/>
                <w:webHidden/>
              </w:rPr>
            </w:r>
            <w:r w:rsidR="00735DE3">
              <w:rPr>
                <w:noProof/>
                <w:webHidden/>
              </w:rPr>
              <w:fldChar w:fldCharType="separate"/>
            </w:r>
            <w:r w:rsidR="00BE2CE8">
              <w:rPr>
                <w:noProof/>
                <w:webHidden/>
              </w:rPr>
              <w:t>7</w:t>
            </w:r>
            <w:r w:rsidR="00735DE3">
              <w:rPr>
                <w:noProof/>
                <w:webHidden/>
              </w:rPr>
              <w:fldChar w:fldCharType="end"/>
            </w:r>
          </w:hyperlink>
        </w:p>
        <w:p w14:paraId="796B890B" w14:textId="7B1CA50C" w:rsidR="00735DE3" w:rsidRDefault="00AC26BF">
          <w:pPr>
            <w:pStyle w:val="TOC3"/>
            <w:tabs>
              <w:tab w:val="left" w:pos="880"/>
              <w:tab w:val="right" w:leader="dot" w:pos="9350"/>
            </w:tabs>
            <w:rPr>
              <w:rFonts w:asciiTheme="minorHAnsi" w:eastAsiaTheme="minorEastAsia" w:hAnsiTheme="minorHAnsi"/>
              <w:noProof/>
            </w:rPr>
          </w:pPr>
          <w:hyperlink w:anchor="_Toc500317970" w:history="1">
            <w:r w:rsidR="00735DE3" w:rsidRPr="00806C49">
              <w:rPr>
                <w:rStyle w:val="Hyperlink"/>
                <w:noProof/>
              </w:rPr>
              <w:t>b.</w:t>
            </w:r>
            <w:r w:rsidR="00735DE3">
              <w:rPr>
                <w:rFonts w:asciiTheme="minorHAnsi" w:eastAsiaTheme="minorEastAsia" w:hAnsiTheme="minorHAnsi"/>
                <w:noProof/>
              </w:rPr>
              <w:tab/>
            </w:r>
            <w:r w:rsidR="00735DE3" w:rsidRPr="00806C49">
              <w:rPr>
                <w:rStyle w:val="Hyperlink"/>
                <w:noProof/>
              </w:rPr>
              <w:t>Results Achieved</w:t>
            </w:r>
            <w:r w:rsidR="00735DE3">
              <w:rPr>
                <w:noProof/>
                <w:webHidden/>
              </w:rPr>
              <w:tab/>
            </w:r>
            <w:r w:rsidR="00735DE3">
              <w:rPr>
                <w:noProof/>
                <w:webHidden/>
              </w:rPr>
              <w:fldChar w:fldCharType="begin"/>
            </w:r>
            <w:r w:rsidR="00735DE3">
              <w:rPr>
                <w:noProof/>
                <w:webHidden/>
              </w:rPr>
              <w:instrText xml:space="preserve"> PAGEREF _Toc500317970 \h </w:instrText>
            </w:r>
            <w:r w:rsidR="00735DE3">
              <w:rPr>
                <w:noProof/>
                <w:webHidden/>
              </w:rPr>
            </w:r>
            <w:r w:rsidR="00735DE3">
              <w:rPr>
                <w:noProof/>
                <w:webHidden/>
              </w:rPr>
              <w:fldChar w:fldCharType="separate"/>
            </w:r>
            <w:r w:rsidR="00BE2CE8">
              <w:rPr>
                <w:noProof/>
                <w:webHidden/>
              </w:rPr>
              <w:t>7</w:t>
            </w:r>
            <w:r w:rsidR="00735DE3">
              <w:rPr>
                <w:noProof/>
                <w:webHidden/>
              </w:rPr>
              <w:fldChar w:fldCharType="end"/>
            </w:r>
          </w:hyperlink>
        </w:p>
        <w:p w14:paraId="2D7566A1" w14:textId="08D4949F" w:rsidR="00735DE3" w:rsidRDefault="00AC26BF">
          <w:pPr>
            <w:pStyle w:val="TOC3"/>
            <w:tabs>
              <w:tab w:val="left" w:pos="880"/>
              <w:tab w:val="right" w:leader="dot" w:pos="9350"/>
            </w:tabs>
            <w:rPr>
              <w:rFonts w:asciiTheme="minorHAnsi" w:eastAsiaTheme="minorEastAsia" w:hAnsiTheme="minorHAnsi"/>
              <w:noProof/>
            </w:rPr>
          </w:pPr>
          <w:hyperlink w:anchor="_Toc500317971" w:history="1">
            <w:r w:rsidR="00735DE3" w:rsidRPr="00806C49">
              <w:rPr>
                <w:rStyle w:val="Hyperlink"/>
                <w:noProof/>
              </w:rPr>
              <w:t>c.</w:t>
            </w:r>
            <w:r w:rsidR="00735DE3">
              <w:rPr>
                <w:rFonts w:asciiTheme="minorHAnsi" w:eastAsiaTheme="minorEastAsia" w:hAnsiTheme="minorHAnsi"/>
                <w:noProof/>
              </w:rPr>
              <w:tab/>
            </w:r>
            <w:r w:rsidR="00735DE3" w:rsidRPr="00806C49">
              <w:rPr>
                <w:rStyle w:val="Hyperlink"/>
                <w:noProof/>
              </w:rPr>
              <w:t>Analysis of the Results Attribution</w:t>
            </w:r>
            <w:r w:rsidR="00735DE3">
              <w:rPr>
                <w:noProof/>
                <w:webHidden/>
              </w:rPr>
              <w:tab/>
            </w:r>
            <w:r w:rsidR="00735DE3">
              <w:rPr>
                <w:noProof/>
                <w:webHidden/>
              </w:rPr>
              <w:fldChar w:fldCharType="begin"/>
            </w:r>
            <w:r w:rsidR="00735DE3">
              <w:rPr>
                <w:noProof/>
                <w:webHidden/>
              </w:rPr>
              <w:instrText xml:space="preserve"> PAGEREF _Toc500317971 \h </w:instrText>
            </w:r>
            <w:r w:rsidR="00735DE3">
              <w:rPr>
                <w:noProof/>
                <w:webHidden/>
              </w:rPr>
            </w:r>
            <w:r w:rsidR="00735DE3">
              <w:rPr>
                <w:noProof/>
                <w:webHidden/>
              </w:rPr>
              <w:fldChar w:fldCharType="separate"/>
            </w:r>
            <w:r w:rsidR="00BE2CE8">
              <w:rPr>
                <w:noProof/>
                <w:webHidden/>
              </w:rPr>
              <w:t>24</w:t>
            </w:r>
            <w:r w:rsidR="00735DE3">
              <w:rPr>
                <w:noProof/>
                <w:webHidden/>
              </w:rPr>
              <w:fldChar w:fldCharType="end"/>
            </w:r>
          </w:hyperlink>
        </w:p>
        <w:p w14:paraId="0BEEFD3E" w14:textId="30FE4469" w:rsidR="00735DE3" w:rsidRDefault="00AC26BF">
          <w:pPr>
            <w:pStyle w:val="TOC2"/>
            <w:rPr>
              <w:rFonts w:asciiTheme="minorHAnsi" w:eastAsiaTheme="minorEastAsia" w:hAnsiTheme="minorHAnsi" w:cstheme="minorBidi"/>
            </w:rPr>
          </w:pPr>
          <w:hyperlink w:anchor="_Toc500317972" w:history="1">
            <w:r w:rsidR="00735DE3" w:rsidRPr="00806C49">
              <w:rPr>
                <w:rStyle w:val="Hyperlink"/>
              </w:rPr>
              <w:t>3.3</w:t>
            </w:r>
            <w:r w:rsidR="00735DE3">
              <w:rPr>
                <w:rFonts w:asciiTheme="minorHAnsi" w:eastAsiaTheme="minorEastAsia" w:hAnsiTheme="minorHAnsi" w:cstheme="minorBidi"/>
              </w:rPr>
              <w:tab/>
            </w:r>
            <w:r w:rsidR="00735DE3" w:rsidRPr="00806C49">
              <w:rPr>
                <w:rStyle w:val="Hyperlink"/>
              </w:rPr>
              <w:t>Efficiency</w:t>
            </w:r>
            <w:r w:rsidR="00735DE3">
              <w:rPr>
                <w:webHidden/>
              </w:rPr>
              <w:tab/>
            </w:r>
            <w:r w:rsidR="00735DE3">
              <w:rPr>
                <w:webHidden/>
              </w:rPr>
              <w:fldChar w:fldCharType="begin"/>
            </w:r>
            <w:r w:rsidR="00735DE3">
              <w:rPr>
                <w:webHidden/>
              </w:rPr>
              <w:instrText xml:space="preserve"> PAGEREF _Toc500317972 \h </w:instrText>
            </w:r>
            <w:r w:rsidR="00735DE3">
              <w:rPr>
                <w:webHidden/>
              </w:rPr>
            </w:r>
            <w:r w:rsidR="00735DE3">
              <w:rPr>
                <w:webHidden/>
              </w:rPr>
              <w:fldChar w:fldCharType="separate"/>
            </w:r>
            <w:r w:rsidR="00BE2CE8">
              <w:rPr>
                <w:webHidden/>
              </w:rPr>
              <w:t>28</w:t>
            </w:r>
            <w:r w:rsidR="00735DE3">
              <w:rPr>
                <w:webHidden/>
              </w:rPr>
              <w:fldChar w:fldCharType="end"/>
            </w:r>
          </w:hyperlink>
        </w:p>
        <w:p w14:paraId="6A75E353" w14:textId="1AC7258C" w:rsidR="00735DE3" w:rsidRDefault="00AC26BF">
          <w:pPr>
            <w:pStyle w:val="TOC2"/>
            <w:rPr>
              <w:rFonts w:asciiTheme="minorHAnsi" w:eastAsiaTheme="minorEastAsia" w:hAnsiTheme="minorHAnsi" w:cstheme="minorBidi"/>
            </w:rPr>
          </w:pPr>
          <w:hyperlink w:anchor="_Toc500317973" w:history="1">
            <w:r w:rsidR="00735DE3" w:rsidRPr="00806C49">
              <w:rPr>
                <w:rStyle w:val="Hyperlink"/>
              </w:rPr>
              <w:t>3.4</w:t>
            </w:r>
            <w:r w:rsidR="00735DE3">
              <w:rPr>
                <w:rFonts w:asciiTheme="minorHAnsi" w:eastAsiaTheme="minorEastAsia" w:hAnsiTheme="minorHAnsi" w:cstheme="minorBidi"/>
              </w:rPr>
              <w:tab/>
            </w:r>
            <w:r w:rsidR="00735DE3" w:rsidRPr="00806C49">
              <w:rPr>
                <w:rStyle w:val="Hyperlink"/>
              </w:rPr>
              <w:t>Sustainability</w:t>
            </w:r>
            <w:r w:rsidR="00735DE3">
              <w:rPr>
                <w:webHidden/>
              </w:rPr>
              <w:tab/>
            </w:r>
            <w:r w:rsidR="00735DE3">
              <w:rPr>
                <w:webHidden/>
              </w:rPr>
              <w:fldChar w:fldCharType="begin"/>
            </w:r>
            <w:r w:rsidR="00735DE3">
              <w:rPr>
                <w:webHidden/>
              </w:rPr>
              <w:instrText xml:space="preserve"> PAGEREF _Toc500317973 \h </w:instrText>
            </w:r>
            <w:r w:rsidR="00735DE3">
              <w:rPr>
                <w:webHidden/>
              </w:rPr>
            </w:r>
            <w:r w:rsidR="00735DE3">
              <w:rPr>
                <w:webHidden/>
              </w:rPr>
              <w:fldChar w:fldCharType="separate"/>
            </w:r>
            <w:r w:rsidR="00BE2CE8">
              <w:rPr>
                <w:webHidden/>
              </w:rPr>
              <w:t>30</w:t>
            </w:r>
            <w:r w:rsidR="00735DE3">
              <w:rPr>
                <w:webHidden/>
              </w:rPr>
              <w:fldChar w:fldCharType="end"/>
            </w:r>
          </w:hyperlink>
        </w:p>
        <w:p w14:paraId="479EE302" w14:textId="1DB19999" w:rsidR="00735DE3" w:rsidRDefault="00AC26BF">
          <w:pPr>
            <w:pStyle w:val="TOC1"/>
            <w:tabs>
              <w:tab w:val="left" w:pos="660"/>
              <w:tab w:val="right" w:leader="dot" w:pos="9350"/>
            </w:tabs>
            <w:rPr>
              <w:rFonts w:asciiTheme="minorHAnsi" w:eastAsiaTheme="minorEastAsia" w:hAnsiTheme="minorHAnsi"/>
              <w:noProof/>
            </w:rPr>
          </w:pPr>
          <w:hyperlink w:anchor="_Toc500317974" w:history="1">
            <w:r w:rsidR="00735DE3" w:rsidRPr="00806C49">
              <w:rPr>
                <w:rStyle w:val="Hyperlink"/>
                <w:noProof/>
                <w:lang w:val="es-MX"/>
              </w:rPr>
              <w:t>IV.</w:t>
            </w:r>
            <w:r w:rsidR="00735DE3">
              <w:rPr>
                <w:rFonts w:asciiTheme="minorHAnsi" w:eastAsiaTheme="minorEastAsia" w:hAnsiTheme="minorHAnsi"/>
                <w:noProof/>
              </w:rPr>
              <w:tab/>
            </w:r>
            <w:r w:rsidR="00735DE3" w:rsidRPr="00806C49">
              <w:rPr>
                <w:rStyle w:val="Hyperlink"/>
                <w:noProof/>
              </w:rPr>
              <w:t>Non-Core Criteria</w:t>
            </w:r>
            <w:r w:rsidR="00735DE3">
              <w:rPr>
                <w:noProof/>
                <w:webHidden/>
              </w:rPr>
              <w:tab/>
            </w:r>
            <w:r w:rsidR="00735DE3">
              <w:rPr>
                <w:noProof/>
                <w:webHidden/>
              </w:rPr>
              <w:fldChar w:fldCharType="begin"/>
            </w:r>
            <w:r w:rsidR="00735DE3">
              <w:rPr>
                <w:noProof/>
                <w:webHidden/>
              </w:rPr>
              <w:instrText xml:space="preserve"> PAGEREF _Toc500317974 \h </w:instrText>
            </w:r>
            <w:r w:rsidR="00735DE3">
              <w:rPr>
                <w:noProof/>
                <w:webHidden/>
              </w:rPr>
            </w:r>
            <w:r w:rsidR="00735DE3">
              <w:rPr>
                <w:noProof/>
                <w:webHidden/>
              </w:rPr>
              <w:fldChar w:fldCharType="separate"/>
            </w:r>
            <w:r w:rsidR="00BE2CE8">
              <w:rPr>
                <w:noProof/>
                <w:webHidden/>
              </w:rPr>
              <w:t>31</w:t>
            </w:r>
            <w:r w:rsidR="00735DE3">
              <w:rPr>
                <w:noProof/>
                <w:webHidden/>
              </w:rPr>
              <w:fldChar w:fldCharType="end"/>
            </w:r>
          </w:hyperlink>
        </w:p>
        <w:p w14:paraId="3577A73B" w14:textId="5882F5A5" w:rsidR="00735DE3" w:rsidRDefault="00AC26BF">
          <w:pPr>
            <w:pStyle w:val="TOC2"/>
            <w:rPr>
              <w:rFonts w:asciiTheme="minorHAnsi" w:eastAsiaTheme="minorEastAsia" w:hAnsiTheme="minorHAnsi" w:cstheme="minorBidi"/>
            </w:rPr>
          </w:pPr>
          <w:hyperlink w:anchor="_Toc500317975" w:history="1">
            <w:r w:rsidR="00735DE3" w:rsidRPr="00806C49">
              <w:rPr>
                <w:rStyle w:val="Hyperlink"/>
              </w:rPr>
              <w:t>4.1</w:t>
            </w:r>
            <w:r w:rsidR="00735DE3">
              <w:rPr>
                <w:rFonts w:asciiTheme="minorHAnsi" w:eastAsiaTheme="minorEastAsia" w:hAnsiTheme="minorHAnsi" w:cstheme="minorBidi"/>
              </w:rPr>
              <w:tab/>
            </w:r>
            <w:r w:rsidR="00735DE3" w:rsidRPr="00806C49">
              <w:rPr>
                <w:rStyle w:val="Hyperlink"/>
              </w:rPr>
              <w:t>Strategic Alignment</w:t>
            </w:r>
            <w:r w:rsidR="00735DE3">
              <w:rPr>
                <w:webHidden/>
              </w:rPr>
              <w:tab/>
            </w:r>
            <w:r w:rsidR="00735DE3">
              <w:rPr>
                <w:webHidden/>
              </w:rPr>
              <w:fldChar w:fldCharType="begin"/>
            </w:r>
            <w:r w:rsidR="00735DE3">
              <w:rPr>
                <w:webHidden/>
              </w:rPr>
              <w:instrText xml:space="preserve"> PAGEREF _Toc500317975 \h </w:instrText>
            </w:r>
            <w:r w:rsidR="00735DE3">
              <w:rPr>
                <w:webHidden/>
              </w:rPr>
            </w:r>
            <w:r w:rsidR="00735DE3">
              <w:rPr>
                <w:webHidden/>
              </w:rPr>
              <w:fldChar w:fldCharType="separate"/>
            </w:r>
            <w:r w:rsidR="00BE2CE8">
              <w:rPr>
                <w:webHidden/>
              </w:rPr>
              <w:t>31</w:t>
            </w:r>
            <w:r w:rsidR="00735DE3">
              <w:rPr>
                <w:webHidden/>
              </w:rPr>
              <w:fldChar w:fldCharType="end"/>
            </w:r>
          </w:hyperlink>
        </w:p>
        <w:p w14:paraId="4A5764AA" w14:textId="0356B9D8" w:rsidR="00735DE3" w:rsidRDefault="00AC26BF">
          <w:pPr>
            <w:pStyle w:val="TOC2"/>
            <w:rPr>
              <w:rFonts w:asciiTheme="minorHAnsi" w:eastAsiaTheme="minorEastAsia" w:hAnsiTheme="minorHAnsi" w:cstheme="minorBidi"/>
            </w:rPr>
          </w:pPr>
          <w:hyperlink w:anchor="_Toc500317976" w:history="1">
            <w:r w:rsidR="00735DE3" w:rsidRPr="00806C49">
              <w:rPr>
                <w:rStyle w:val="Hyperlink"/>
              </w:rPr>
              <w:t>4.2</w:t>
            </w:r>
            <w:r w:rsidR="00735DE3">
              <w:rPr>
                <w:rFonts w:asciiTheme="minorHAnsi" w:eastAsiaTheme="minorEastAsia" w:hAnsiTheme="minorHAnsi" w:cstheme="minorBidi"/>
              </w:rPr>
              <w:tab/>
            </w:r>
            <w:r w:rsidR="00735DE3" w:rsidRPr="00806C49">
              <w:rPr>
                <w:rStyle w:val="Hyperlink"/>
              </w:rPr>
              <w:t>Monitoring and Evaluation</w:t>
            </w:r>
            <w:r w:rsidR="00735DE3">
              <w:rPr>
                <w:webHidden/>
              </w:rPr>
              <w:tab/>
            </w:r>
            <w:r w:rsidR="00735DE3">
              <w:rPr>
                <w:webHidden/>
              </w:rPr>
              <w:fldChar w:fldCharType="begin"/>
            </w:r>
            <w:r w:rsidR="00735DE3">
              <w:rPr>
                <w:webHidden/>
              </w:rPr>
              <w:instrText xml:space="preserve"> PAGEREF _Toc500317976 \h </w:instrText>
            </w:r>
            <w:r w:rsidR="00735DE3">
              <w:rPr>
                <w:webHidden/>
              </w:rPr>
            </w:r>
            <w:r w:rsidR="00735DE3">
              <w:rPr>
                <w:webHidden/>
              </w:rPr>
              <w:fldChar w:fldCharType="separate"/>
            </w:r>
            <w:r w:rsidR="00BE2CE8">
              <w:rPr>
                <w:webHidden/>
              </w:rPr>
              <w:t>33</w:t>
            </w:r>
            <w:r w:rsidR="00735DE3">
              <w:rPr>
                <w:webHidden/>
              </w:rPr>
              <w:fldChar w:fldCharType="end"/>
            </w:r>
          </w:hyperlink>
        </w:p>
        <w:p w14:paraId="15BDAC9F" w14:textId="552A8176" w:rsidR="00735DE3" w:rsidRDefault="00AC26BF">
          <w:pPr>
            <w:pStyle w:val="TOC3"/>
            <w:tabs>
              <w:tab w:val="left" w:pos="880"/>
              <w:tab w:val="right" w:leader="dot" w:pos="9350"/>
            </w:tabs>
            <w:rPr>
              <w:rFonts w:asciiTheme="minorHAnsi" w:eastAsiaTheme="minorEastAsia" w:hAnsiTheme="minorHAnsi"/>
              <w:noProof/>
            </w:rPr>
          </w:pPr>
          <w:hyperlink w:anchor="_Toc500317977" w:history="1">
            <w:r w:rsidR="00735DE3" w:rsidRPr="00806C49">
              <w:rPr>
                <w:rStyle w:val="Hyperlink"/>
                <w:noProof/>
              </w:rPr>
              <w:t>a.</w:t>
            </w:r>
            <w:r w:rsidR="00735DE3">
              <w:rPr>
                <w:rFonts w:asciiTheme="minorHAnsi" w:eastAsiaTheme="minorEastAsia" w:hAnsiTheme="minorHAnsi"/>
                <w:noProof/>
              </w:rPr>
              <w:tab/>
            </w:r>
            <w:r w:rsidR="00735DE3" w:rsidRPr="00806C49">
              <w:rPr>
                <w:rStyle w:val="Hyperlink"/>
                <w:noProof/>
              </w:rPr>
              <w:t>M&amp;E Design</w:t>
            </w:r>
            <w:r w:rsidR="00735DE3">
              <w:rPr>
                <w:noProof/>
                <w:webHidden/>
              </w:rPr>
              <w:tab/>
            </w:r>
            <w:r w:rsidR="00735DE3">
              <w:rPr>
                <w:noProof/>
                <w:webHidden/>
              </w:rPr>
              <w:fldChar w:fldCharType="begin"/>
            </w:r>
            <w:r w:rsidR="00735DE3">
              <w:rPr>
                <w:noProof/>
                <w:webHidden/>
              </w:rPr>
              <w:instrText xml:space="preserve"> PAGEREF _Toc500317977 \h </w:instrText>
            </w:r>
            <w:r w:rsidR="00735DE3">
              <w:rPr>
                <w:noProof/>
                <w:webHidden/>
              </w:rPr>
            </w:r>
            <w:r w:rsidR="00735DE3">
              <w:rPr>
                <w:noProof/>
                <w:webHidden/>
              </w:rPr>
              <w:fldChar w:fldCharType="separate"/>
            </w:r>
            <w:r w:rsidR="00BE2CE8">
              <w:rPr>
                <w:noProof/>
                <w:webHidden/>
              </w:rPr>
              <w:t>33</w:t>
            </w:r>
            <w:r w:rsidR="00735DE3">
              <w:rPr>
                <w:noProof/>
                <w:webHidden/>
              </w:rPr>
              <w:fldChar w:fldCharType="end"/>
            </w:r>
          </w:hyperlink>
        </w:p>
        <w:p w14:paraId="28940197" w14:textId="7AE94F7C" w:rsidR="00735DE3" w:rsidRDefault="00AC26BF">
          <w:pPr>
            <w:pStyle w:val="TOC3"/>
            <w:tabs>
              <w:tab w:val="left" w:pos="880"/>
              <w:tab w:val="right" w:leader="dot" w:pos="9350"/>
            </w:tabs>
            <w:rPr>
              <w:rFonts w:asciiTheme="minorHAnsi" w:eastAsiaTheme="minorEastAsia" w:hAnsiTheme="minorHAnsi"/>
              <w:noProof/>
            </w:rPr>
          </w:pPr>
          <w:hyperlink w:anchor="_Toc500317978" w:history="1">
            <w:r w:rsidR="00735DE3" w:rsidRPr="00806C49">
              <w:rPr>
                <w:rStyle w:val="Hyperlink"/>
                <w:noProof/>
              </w:rPr>
              <w:t>b.</w:t>
            </w:r>
            <w:r w:rsidR="00735DE3">
              <w:rPr>
                <w:rFonts w:asciiTheme="minorHAnsi" w:eastAsiaTheme="minorEastAsia" w:hAnsiTheme="minorHAnsi"/>
                <w:noProof/>
              </w:rPr>
              <w:tab/>
            </w:r>
            <w:r w:rsidR="00735DE3" w:rsidRPr="00806C49">
              <w:rPr>
                <w:rStyle w:val="Hyperlink"/>
                <w:noProof/>
              </w:rPr>
              <w:t>M&amp;E Implementation</w:t>
            </w:r>
            <w:r w:rsidR="00735DE3">
              <w:rPr>
                <w:noProof/>
                <w:webHidden/>
              </w:rPr>
              <w:tab/>
            </w:r>
            <w:r w:rsidR="00735DE3">
              <w:rPr>
                <w:noProof/>
                <w:webHidden/>
              </w:rPr>
              <w:fldChar w:fldCharType="begin"/>
            </w:r>
            <w:r w:rsidR="00735DE3">
              <w:rPr>
                <w:noProof/>
                <w:webHidden/>
              </w:rPr>
              <w:instrText xml:space="preserve"> PAGEREF _Toc500317978 \h </w:instrText>
            </w:r>
            <w:r w:rsidR="00735DE3">
              <w:rPr>
                <w:noProof/>
                <w:webHidden/>
              </w:rPr>
            </w:r>
            <w:r w:rsidR="00735DE3">
              <w:rPr>
                <w:noProof/>
                <w:webHidden/>
              </w:rPr>
              <w:fldChar w:fldCharType="separate"/>
            </w:r>
            <w:r w:rsidR="00BE2CE8">
              <w:rPr>
                <w:noProof/>
                <w:webHidden/>
              </w:rPr>
              <w:t>33</w:t>
            </w:r>
            <w:r w:rsidR="00735DE3">
              <w:rPr>
                <w:noProof/>
                <w:webHidden/>
              </w:rPr>
              <w:fldChar w:fldCharType="end"/>
            </w:r>
          </w:hyperlink>
        </w:p>
        <w:p w14:paraId="510DCFAD" w14:textId="5640FBA8" w:rsidR="00735DE3" w:rsidRDefault="00AC26BF">
          <w:pPr>
            <w:pStyle w:val="TOC3"/>
            <w:tabs>
              <w:tab w:val="left" w:pos="880"/>
              <w:tab w:val="right" w:leader="dot" w:pos="9350"/>
            </w:tabs>
            <w:rPr>
              <w:rFonts w:asciiTheme="minorHAnsi" w:eastAsiaTheme="minorEastAsia" w:hAnsiTheme="minorHAnsi"/>
              <w:noProof/>
            </w:rPr>
          </w:pPr>
          <w:hyperlink w:anchor="_Toc500317979" w:history="1">
            <w:r w:rsidR="00735DE3" w:rsidRPr="00806C49">
              <w:rPr>
                <w:rStyle w:val="Hyperlink"/>
                <w:noProof/>
              </w:rPr>
              <w:t>c.</w:t>
            </w:r>
            <w:r w:rsidR="00735DE3">
              <w:rPr>
                <w:rFonts w:asciiTheme="minorHAnsi" w:eastAsiaTheme="minorEastAsia" w:hAnsiTheme="minorHAnsi"/>
                <w:noProof/>
              </w:rPr>
              <w:tab/>
            </w:r>
            <w:r w:rsidR="00735DE3" w:rsidRPr="00806C49">
              <w:rPr>
                <w:rStyle w:val="Hyperlink"/>
                <w:noProof/>
              </w:rPr>
              <w:t>M&amp;E Utilization</w:t>
            </w:r>
            <w:r w:rsidR="00735DE3">
              <w:rPr>
                <w:noProof/>
                <w:webHidden/>
              </w:rPr>
              <w:tab/>
            </w:r>
            <w:r w:rsidR="00735DE3">
              <w:rPr>
                <w:noProof/>
                <w:webHidden/>
              </w:rPr>
              <w:fldChar w:fldCharType="begin"/>
            </w:r>
            <w:r w:rsidR="00735DE3">
              <w:rPr>
                <w:noProof/>
                <w:webHidden/>
              </w:rPr>
              <w:instrText xml:space="preserve"> PAGEREF _Toc500317979 \h </w:instrText>
            </w:r>
            <w:r w:rsidR="00735DE3">
              <w:rPr>
                <w:noProof/>
                <w:webHidden/>
              </w:rPr>
            </w:r>
            <w:r w:rsidR="00735DE3">
              <w:rPr>
                <w:noProof/>
                <w:webHidden/>
              </w:rPr>
              <w:fldChar w:fldCharType="separate"/>
            </w:r>
            <w:r w:rsidR="00BE2CE8">
              <w:rPr>
                <w:noProof/>
                <w:webHidden/>
              </w:rPr>
              <w:t>34</w:t>
            </w:r>
            <w:r w:rsidR="00735DE3">
              <w:rPr>
                <w:noProof/>
                <w:webHidden/>
              </w:rPr>
              <w:fldChar w:fldCharType="end"/>
            </w:r>
          </w:hyperlink>
        </w:p>
        <w:p w14:paraId="19E5072D" w14:textId="13A9A406" w:rsidR="00735DE3" w:rsidRDefault="00AC26BF">
          <w:pPr>
            <w:pStyle w:val="TOC2"/>
            <w:rPr>
              <w:rFonts w:asciiTheme="minorHAnsi" w:eastAsiaTheme="minorEastAsia" w:hAnsiTheme="minorHAnsi" w:cstheme="minorBidi"/>
            </w:rPr>
          </w:pPr>
          <w:hyperlink w:anchor="_Toc500317980" w:history="1">
            <w:r w:rsidR="00735DE3" w:rsidRPr="00806C49">
              <w:rPr>
                <w:rStyle w:val="Hyperlink"/>
              </w:rPr>
              <w:t>4.3</w:t>
            </w:r>
            <w:r w:rsidR="00735DE3">
              <w:rPr>
                <w:rFonts w:asciiTheme="minorHAnsi" w:eastAsiaTheme="minorEastAsia" w:hAnsiTheme="minorHAnsi" w:cstheme="minorBidi"/>
              </w:rPr>
              <w:tab/>
            </w:r>
            <w:r w:rsidR="00735DE3" w:rsidRPr="00806C49">
              <w:rPr>
                <w:rStyle w:val="Hyperlink"/>
              </w:rPr>
              <w:t>Use of Country Systems</w:t>
            </w:r>
            <w:r w:rsidR="00735DE3">
              <w:rPr>
                <w:webHidden/>
              </w:rPr>
              <w:tab/>
            </w:r>
            <w:r w:rsidR="00735DE3">
              <w:rPr>
                <w:webHidden/>
              </w:rPr>
              <w:fldChar w:fldCharType="begin"/>
            </w:r>
            <w:r w:rsidR="00735DE3">
              <w:rPr>
                <w:webHidden/>
              </w:rPr>
              <w:instrText xml:space="preserve"> PAGEREF _Toc500317980 \h </w:instrText>
            </w:r>
            <w:r w:rsidR="00735DE3">
              <w:rPr>
                <w:webHidden/>
              </w:rPr>
            </w:r>
            <w:r w:rsidR="00735DE3">
              <w:rPr>
                <w:webHidden/>
              </w:rPr>
              <w:fldChar w:fldCharType="separate"/>
            </w:r>
            <w:r w:rsidR="00BE2CE8">
              <w:rPr>
                <w:webHidden/>
              </w:rPr>
              <w:t>34</w:t>
            </w:r>
            <w:r w:rsidR="00735DE3">
              <w:rPr>
                <w:webHidden/>
              </w:rPr>
              <w:fldChar w:fldCharType="end"/>
            </w:r>
          </w:hyperlink>
        </w:p>
        <w:p w14:paraId="02510F56" w14:textId="7F852704" w:rsidR="00735DE3" w:rsidRDefault="00AC26BF">
          <w:pPr>
            <w:pStyle w:val="TOC2"/>
            <w:rPr>
              <w:rFonts w:asciiTheme="minorHAnsi" w:eastAsiaTheme="minorEastAsia" w:hAnsiTheme="minorHAnsi" w:cstheme="minorBidi"/>
            </w:rPr>
          </w:pPr>
          <w:hyperlink w:anchor="_Toc500317981" w:history="1">
            <w:r w:rsidR="00735DE3" w:rsidRPr="00806C49">
              <w:rPr>
                <w:rStyle w:val="Hyperlink"/>
              </w:rPr>
              <w:t>4.4</w:t>
            </w:r>
            <w:r w:rsidR="00735DE3">
              <w:rPr>
                <w:rFonts w:asciiTheme="minorHAnsi" w:eastAsiaTheme="minorEastAsia" w:hAnsiTheme="minorHAnsi" w:cstheme="minorBidi"/>
              </w:rPr>
              <w:tab/>
            </w:r>
            <w:r w:rsidR="00735DE3" w:rsidRPr="00806C49">
              <w:rPr>
                <w:rStyle w:val="Hyperlink"/>
              </w:rPr>
              <w:t>Environmental and Social Safeguards</w:t>
            </w:r>
            <w:r w:rsidR="00735DE3">
              <w:rPr>
                <w:webHidden/>
              </w:rPr>
              <w:tab/>
            </w:r>
            <w:r w:rsidR="00735DE3">
              <w:rPr>
                <w:webHidden/>
              </w:rPr>
              <w:fldChar w:fldCharType="begin"/>
            </w:r>
            <w:r w:rsidR="00735DE3">
              <w:rPr>
                <w:webHidden/>
              </w:rPr>
              <w:instrText xml:space="preserve"> PAGEREF _Toc500317981 \h </w:instrText>
            </w:r>
            <w:r w:rsidR="00735DE3">
              <w:rPr>
                <w:webHidden/>
              </w:rPr>
            </w:r>
            <w:r w:rsidR="00735DE3">
              <w:rPr>
                <w:webHidden/>
              </w:rPr>
              <w:fldChar w:fldCharType="separate"/>
            </w:r>
            <w:r w:rsidR="00BE2CE8">
              <w:rPr>
                <w:webHidden/>
              </w:rPr>
              <w:t>34</w:t>
            </w:r>
            <w:r w:rsidR="00735DE3">
              <w:rPr>
                <w:webHidden/>
              </w:rPr>
              <w:fldChar w:fldCharType="end"/>
            </w:r>
          </w:hyperlink>
        </w:p>
        <w:p w14:paraId="7AC5FC61" w14:textId="7AE6A9FB" w:rsidR="00735DE3" w:rsidRDefault="00AC26BF">
          <w:pPr>
            <w:pStyle w:val="TOC1"/>
            <w:tabs>
              <w:tab w:val="left" w:pos="440"/>
              <w:tab w:val="right" w:leader="dot" w:pos="9350"/>
            </w:tabs>
            <w:rPr>
              <w:rFonts w:asciiTheme="minorHAnsi" w:eastAsiaTheme="minorEastAsia" w:hAnsiTheme="minorHAnsi"/>
              <w:noProof/>
            </w:rPr>
          </w:pPr>
          <w:hyperlink w:anchor="_Toc500317982" w:history="1">
            <w:r w:rsidR="00735DE3" w:rsidRPr="00806C49">
              <w:rPr>
                <w:rStyle w:val="Hyperlink"/>
                <w:noProof/>
                <w:lang w:val="es-MX"/>
              </w:rPr>
              <w:t>V.</w:t>
            </w:r>
            <w:r w:rsidR="00735DE3">
              <w:rPr>
                <w:rFonts w:asciiTheme="minorHAnsi" w:eastAsiaTheme="minorEastAsia" w:hAnsiTheme="minorHAnsi"/>
                <w:noProof/>
              </w:rPr>
              <w:tab/>
            </w:r>
            <w:r w:rsidR="00735DE3" w:rsidRPr="00806C49">
              <w:rPr>
                <w:rStyle w:val="Hyperlink"/>
                <w:noProof/>
              </w:rPr>
              <w:t>Findings and Recommendations</w:t>
            </w:r>
            <w:r w:rsidR="00735DE3">
              <w:rPr>
                <w:noProof/>
                <w:webHidden/>
              </w:rPr>
              <w:tab/>
            </w:r>
            <w:r w:rsidR="00735DE3">
              <w:rPr>
                <w:noProof/>
                <w:webHidden/>
              </w:rPr>
              <w:fldChar w:fldCharType="begin"/>
            </w:r>
            <w:r w:rsidR="00735DE3">
              <w:rPr>
                <w:noProof/>
                <w:webHidden/>
              </w:rPr>
              <w:instrText xml:space="preserve"> PAGEREF _Toc500317982 \h </w:instrText>
            </w:r>
            <w:r w:rsidR="00735DE3">
              <w:rPr>
                <w:noProof/>
                <w:webHidden/>
              </w:rPr>
            </w:r>
            <w:r w:rsidR="00735DE3">
              <w:rPr>
                <w:noProof/>
                <w:webHidden/>
              </w:rPr>
              <w:fldChar w:fldCharType="separate"/>
            </w:r>
            <w:r w:rsidR="00BE2CE8">
              <w:rPr>
                <w:noProof/>
                <w:webHidden/>
              </w:rPr>
              <w:t>34</w:t>
            </w:r>
            <w:r w:rsidR="00735DE3">
              <w:rPr>
                <w:noProof/>
                <w:webHidden/>
              </w:rPr>
              <w:fldChar w:fldCharType="end"/>
            </w:r>
          </w:hyperlink>
        </w:p>
        <w:p w14:paraId="1870008A" w14:textId="5FE60AB5" w:rsidR="00735DE3" w:rsidRDefault="00AC26BF">
          <w:pPr>
            <w:pStyle w:val="TOC2"/>
            <w:rPr>
              <w:rFonts w:asciiTheme="minorHAnsi" w:eastAsiaTheme="minorEastAsia" w:hAnsiTheme="minorHAnsi" w:cstheme="minorBidi"/>
            </w:rPr>
          </w:pPr>
          <w:hyperlink w:anchor="_Toc500317983" w:history="1">
            <w:r w:rsidR="00735DE3" w:rsidRPr="00806C49">
              <w:rPr>
                <w:rStyle w:val="Hyperlink"/>
              </w:rPr>
              <w:t>5.1</w:t>
            </w:r>
            <w:r w:rsidR="00735DE3">
              <w:rPr>
                <w:rFonts w:asciiTheme="minorHAnsi" w:eastAsiaTheme="minorEastAsia" w:hAnsiTheme="minorHAnsi" w:cstheme="minorBidi"/>
              </w:rPr>
              <w:tab/>
            </w:r>
            <w:r w:rsidR="00735DE3" w:rsidRPr="00806C49">
              <w:rPr>
                <w:rStyle w:val="Hyperlink"/>
              </w:rPr>
              <w:t>Technical-sectorial dimensions</w:t>
            </w:r>
            <w:r w:rsidR="00735DE3">
              <w:rPr>
                <w:webHidden/>
              </w:rPr>
              <w:tab/>
            </w:r>
            <w:r w:rsidR="00735DE3">
              <w:rPr>
                <w:webHidden/>
              </w:rPr>
              <w:fldChar w:fldCharType="begin"/>
            </w:r>
            <w:r w:rsidR="00735DE3">
              <w:rPr>
                <w:webHidden/>
              </w:rPr>
              <w:instrText xml:space="preserve"> PAGEREF _Toc500317983 \h </w:instrText>
            </w:r>
            <w:r w:rsidR="00735DE3">
              <w:rPr>
                <w:webHidden/>
              </w:rPr>
            </w:r>
            <w:r w:rsidR="00735DE3">
              <w:rPr>
                <w:webHidden/>
              </w:rPr>
              <w:fldChar w:fldCharType="separate"/>
            </w:r>
            <w:r w:rsidR="00BE2CE8">
              <w:rPr>
                <w:webHidden/>
              </w:rPr>
              <w:t>34</w:t>
            </w:r>
            <w:r w:rsidR="00735DE3">
              <w:rPr>
                <w:webHidden/>
              </w:rPr>
              <w:fldChar w:fldCharType="end"/>
            </w:r>
          </w:hyperlink>
        </w:p>
        <w:p w14:paraId="1BD17CE3" w14:textId="0305B533" w:rsidR="00735DE3" w:rsidRDefault="00AC26BF">
          <w:pPr>
            <w:pStyle w:val="TOC2"/>
            <w:rPr>
              <w:rFonts w:asciiTheme="minorHAnsi" w:eastAsiaTheme="minorEastAsia" w:hAnsiTheme="minorHAnsi" w:cstheme="minorBidi"/>
            </w:rPr>
          </w:pPr>
          <w:hyperlink w:anchor="_Toc500317984" w:history="1">
            <w:r w:rsidR="00735DE3" w:rsidRPr="00806C49">
              <w:rPr>
                <w:rStyle w:val="Hyperlink"/>
              </w:rPr>
              <w:t>5.2</w:t>
            </w:r>
            <w:r w:rsidR="00735DE3">
              <w:rPr>
                <w:rFonts w:asciiTheme="minorHAnsi" w:eastAsiaTheme="minorEastAsia" w:hAnsiTheme="minorHAnsi" w:cstheme="minorBidi"/>
              </w:rPr>
              <w:tab/>
            </w:r>
            <w:r w:rsidR="00735DE3" w:rsidRPr="00806C49">
              <w:rPr>
                <w:rStyle w:val="Hyperlink"/>
              </w:rPr>
              <w:t>Organizational and Managerial dimensions</w:t>
            </w:r>
            <w:r w:rsidR="00735DE3">
              <w:rPr>
                <w:webHidden/>
              </w:rPr>
              <w:tab/>
            </w:r>
            <w:r w:rsidR="00735DE3">
              <w:rPr>
                <w:webHidden/>
              </w:rPr>
              <w:fldChar w:fldCharType="begin"/>
            </w:r>
            <w:r w:rsidR="00735DE3">
              <w:rPr>
                <w:webHidden/>
              </w:rPr>
              <w:instrText xml:space="preserve"> PAGEREF _Toc500317984 \h </w:instrText>
            </w:r>
            <w:r w:rsidR="00735DE3">
              <w:rPr>
                <w:webHidden/>
              </w:rPr>
            </w:r>
            <w:r w:rsidR="00735DE3">
              <w:rPr>
                <w:webHidden/>
              </w:rPr>
              <w:fldChar w:fldCharType="separate"/>
            </w:r>
            <w:r w:rsidR="00BE2CE8">
              <w:rPr>
                <w:webHidden/>
              </w:rPr>
              <w:t>35</w:t>
            </w:r>
            <w:r w:rsidR="00735DE3">
              <w:rPr>
                <w:webHidden/>
              </w:rPr>
              <w:fldChar w:fldCharType="end"/>
            </w:r>
          </w:hyperlink>
        </w:p>
        <w:p w14:paraId="4EB0C045" w14:textId="16EAD50F" w:rsidR="00735DE3" w:rsidRDefault="00AC26BF">
          <w:pPr>
            <w:pStyle w:val="TOC2"/>
            <w:rPr>
              <w:rFonts w:asciiTheme="minorHAnsi" w:eastAsiaTheme="minorEastAsia" w:hAnsiTheme="minorHAnsi" w:cstheme="minorBidi"/>
            </w:rPr>
          </w:pPr>
          <w:hyperlink w:anchor="_Toc500317985" w:history="1">
            <w:r w:rsidR="00735DE3" w:rsidRPr="00806C49">
              <w:rPr>
                <w:rStyle w:val="Hyperlink"/>
              </w:rPr>
              <w:t>5.3</w:t>
            </w:r>
            <w:r w:rsidR="00735DE3">
              <w:rPr>
                <w:rFonts w:asciiTheme="minorHAnsi" w:eastAsiaTheme="minorEastAsia" w:hAnsiTheme="minorHAnsi" w:cstheme="minorBidi"/>
              </w:rPr>
              <w:tab/>
            </w:r>
            <w:r w:rsidR="00735DE3" w:rsidRPr="00806C49">
              <w:rPr>
                <w:rStyle w:val="Hyperlink"/>
              </w:rPr>
              <w:t>Dimensions related to Public Processes/Actors</w:t>
            </w:r>
            <w:r w:rsidR="00735DE3">
              <w:rPr>
                <w:webHidden/>
              </w:rPr>
              <w:tab/>
            </w:r>
            <w:r w:rsidR="00735DE3">
              <w:rPr>
                <w:webHidden/>
              </w:rPr>
              <w:fldChar w:fldCharType="begin"/>
            </w:r>
            <w:r w:rsidR="00735DE3">
              <w:rPr>
                <w:webHidden/>
              </w:rPr>
              <w:instrText xml:space="preserve"> PAGEREF _Toc500317985 \h </w:instrText>
            </w:r>
            <w:r w:rsidR="00735DE3">
              <w:rPr>
                <w:webHidden/>
              </w:rPr>
            </w:r>
            <w:r w:rsidR="00735DE3">
              <w:rPr>
                <w:webHidden/>
              </w:rPr>
              <w:fldChar w:fldCharType="separate"/>
            </w:r>
            <w:r w:rsidR="00BE2CE8">
              <w:rPr>
                <w:webHidden/>
              </w:rPr>
              <w:t>36</w:t>
            </w:r>
            <w:r w:rsidR="00735DE3">
              <w:rPr>
                <w:webHidden/>
              </w:rPr>
              <w:fldChar w:fldCharType="end"/>
            </w:r>
          </w:hyperlink>
        </w:p>
        <w:p w14:paraId="6DCCEC8F" w14:textId="7199305E" w:rsidR="00735DE3" w:rsidRDefault="00AC26BF">
          <w:pPr>
            <w:pStyle w:val="TOC2"/>
            <w:rPr>
              <w:rFonts w:asciiTheme="minorHAnsi" w:eastAsiaTheme="minorEastAsia" w:hAnsiTheme="minorHAnsi" w:cstheme="minorBidi"/>
            </w:rPr>
          </w:pPr>
          <w:hyperlink w:anchor="_Toc500317986" w:history="1">
            <w:r w:rsidR="00735DE3" w:rsidRPr="00806C49">
              <w:rPr>
                <w:rStyle w:val="Hyperlink"/>
              </w:rPr>
              <w:t>5.4</w:t>
            </w:r>
            <w:r w:rsidR="00735DE3">
              <w:rPr>
                <w:rFonts w:asciiTheme="minorHAnsi" w:eastAsiaTheme="minorEastAsia" w:hAnsiTheme="minorHAnsi" w:cstheme="minorBidi"/>
              </w:rPr>
              <w:tab/>
            </w:r>
            <w:r w:rsidR="00735DE3" w:rsidRPr="00806C49">
              <w:rPr>
                <w:rStyle w:val="Hyperlink"/>
              </w:rPr>
              <w:t>Fiduciary dimensions</w:t>
            </w:r>
            <w:r w:rsidR="00735DE3">
              <w:rPr>
                <w:webHidden/>
              </w:rPr>
              <w:tab/>
            </w:r>
            <w:r w:rsidR="00735DE3">
              <w:rPr>
                <w:webHidden/>
              </w:rPr>
              <w:fldChar w:fldCharType="begin"/>
            </w:r>
            <w:r w:rsidR="00735DE3">
              <w:rPr>
                <w:webHidden/>
              </w:rPr>
              <w:instrText xml:space="preserve"> PAGEREF _Toc500317986 \h </w:instrText>
            </w:r>
            <w:r w:rsidR="00735DE3">
              <w:rPr>
                <w:webHidden/>
              </w:rPr>
            </w:r>
            <w:r w:rsidR="00735DE3">
              <w:rPr>
                <w:webHidden/>
              </w:rPr>
              <w:fldChar w:fldCharType="separate"/>
            </w:r>
            <w:r w:rsidR="00BE2CE8">
              <w:rPr>
                <w:webHidden/>
              </w:rPr>
              <w:t>36</w:t>
            </w:r>
            <w:r w:rsidR="00735DE3">
              <w:rPr>
                <w:webHidden/>
              </w:rPr>
              <w:fldChar w:fldCharType="end"/>
            </w:r>
          </w:hyperlink>
        </w:p>
        <w:p w14:paraId="1D73A5E6" w14:textId="2CEAECC2" w:rsidR="009B4D7A" w:rsidRDefault="009B4D7A" w:rsidP="009B4D7A">
          <w:pPr>
            <w:rPr>
              <w:rFonts w:cs="Arial"/>
              <w:b/>
              <w:bCs/>
              <w:noProof/>
            </w:rPr>
          </w:pPr>
          <w:r>
            <w:rPr>
              <w:rFonts w:cs="Arial"/>
              <w:b/>
              <w:bCs/>
              <w:noProof/>
            </w:rPr>
            <w:fldChar w:fldCharType="end"/>
          </w:r>
        </w:p>
      </w:sdtContent>
    </w:sdt>
    <w:p w14:paraId="78B01C67" w14:textId="77777777" w:rsidR="00C12A9E" w:rsidRDefault="00C12A9E" w:rsidP="009B4D7A">
      <w:pPr>
        <w:rPr>
          <w:rFonts w:eastAsiaTheme="majorEastAsia" w:cs="Arial"/>
          <w:spacing w:val="5"/>
          <w:kern w:val="28"/>
        </w:rPr>
        <w:sectPr w:rsidR="00C12A9E" w:rsidSect="00C12A9E">
          <w:pgSz w:w="12240" w:h="15840"/>
          <w:pgMar w:top="1440" w:right="1440" w:bottom="1440" w:left="1440" w:header="720" w:footer="720" w:gutter="0"/>
          <w:pgNumType w:fmt="lowerRoman"/>
          <w:cols w:space="720"/>
        </w:sectPr>
      </w:pPr>
    </w:p>
    <w:p w14:paraId="173E8FEF" w14:textId="77777777" w:rsidR="009B4D7A" w:rsidRDefault="009B4D7A" w:rsidP="009B4D7A">
      <w:pPr>
        <w:pStyle w:val="Heading1"/>
        <w:numPr>
          <w:ilvl w:val="0"/>
          <w:numId w:val="0"/>
        </w:numPr>
        <w:ind w:left="720" w:hanging="360"/>
        <w:jc w:val="center"/>
        <w:rPr>
          <w:rFonts w:ascii="Arial Black" w:hAnsi="Arial Black" w:cs="Arial"/>
          <w:noProof/>
          <w:color w:val="5F7D96"/>
        </w:rPr>
      </w:pPr>
      <w:bookmarkStart w:id="1" w:name="_Toc500317956"/>
      <w:r>
        <w:rPr>
          <w:rFonts w:ascii="Arial Black" w:hAnsi="Arial Black" w:cs="Arial"/>
          <w:noProof/>
          <w:color w:val="5F7D96"/>
        </w:rPr>
        <w:lastRenderedPageBreak/>
        <w:t>Electronic Links</w:t>
      </w:r>
      <w:bookmarkEnd w:id="1"/>
    </w:p>
    <w:p w14:paraId="562488AF" w14:textId="49B28013" w:rsidR="009B4D7A" w:rsidRPr="00227DFF" w:rsidRDefault="00227DFF" w:rsidP="009B4D7A">
      <w:pPr>
        <w:jc w:val="center"/>
        <w:rPr>
          <w:rStyle w:val="Hyperlink"/>
          <w:rFonts w:eastAsia="Times New Roman" w:cs="Arial"/>
        </w:rPr>
      </w:pPr>
      <w:r>
        <w:rPr>
          <w:rFonts w:eastAsia="Times New Roman" w:cs="Arial"/>
          <w:b/>
          <w:bCs/>
        </w:rPr>
        <w:fldChar w:fldCharType="begin"/>
      </w:r>
      <w:r>
        <w:rPr>
          <w:rFonts w:eastAsia="Times New Roman" w:cs="Arial"/>
          <w:b/>
          <w:bCs/>
        </w:rPr>
        <w:instrText xml:space="preserve"> HYPERLINK "https://idbg.sharepoint.com/teams/EZ-BA-LON/BA-L1007/_layouts/15/DocIdRedir.aspx?ID=EZSHARE-1133377859-3" </w:instrText>
      </w:r>
      <w:r>
        <w:rPr>
          <w:rFonts w:eastAsia="Times New Roman" w:cs="Arial"/>
          <w:b/>
          <w:bCs/>
        </w:rPr>
        <w:fldChar w:fldCharType="separate"/>
      </w:r>
      <w:r w:rsidR="009B4D7A" w:rsidRPr="00227DFF">
        <w:rPr>
          <w:rStyle w:val="Hyperlink"/>
          <w:rFonts w:eastAsia="Times New Roman" w:cs="Arial"/>
        </w:rPr>
        <w:t xml:space="preserve"> </w:t>
      </w:r>
    </w:p>
    <w:p w14:paraId="529C78A4" w14:textId="5A7BF968" w:rsidR="009B4D7A" w:rsidRPr="009B4D7A" w:rsidRDefault="009B4D7A" w:rsidP="005064AD">
      <w:pPr>
        <w:pStyle w:val="ListParagraph"/>
        <w:numPr>
          <w:ilvl w:val="0"/>
          <w:numId w:val="2"/>
        </w:numPr>
        <w:jc w:val="both"/>
        <w:rPr>
          <w:rFonts w:eastAsia="Times New Roman" w:cs="Arial"/>
          <w:bCs/>
        </w:rPr>
      </w:pPr>
      <w:r w:rsidRPr="00227DFF">
        <w:rPr>
          <w:rStyle w:val="Hyperlink"/>
          <w:rFonts w:eastAsia="Times New Roman" w:cs="Arial"/>
        </w:rPr>
        <w:t>Development Effectiveness Matrix (DEM)</w:t>
      </w:r>
      <w:r w:rsidR="00227DFF">
        <w:rPr>
          <w:rFonts w:eastAsia="Times New Roman" w:cs="Arial"/>
          <w:b/>
          <w:bCs/>
        </w:rPr>
        <w:fldChar w:fldCharType="end"/>
      </w:r>
    </w:p>
    <w:p w14:paraId="57CD07F7" w14:textId="5598CD91" w:rsidR="009B4D7A" w:rsidRDefault="00AC26BF" w:rsidP="005064AD">
      <w:pPr>
        <w:pStyle w:val="ListParagraph"/>
        <w:numPr>
          <w:ilvl w:val="0"/>
          <w:numId w:val="2"/>
        </w:numPr>
        <w:jc w:val="both"/>
        <w:rPr>
          <w:rFonts w:eastAsia="Times New Roman" w:cs="Arial"/>
          <w:bCs/>
        </w:rPr>
      </w:pPr>
      <w:hyperlink r:id="rId18" w:history="1">
        <w:r w:rsidR="009B4D7A" w:rsidRPr="00735DE3">
          <w:rPr>
            <w:rStyle w:val="Hyperlink"/>
            <w:rFonts w:eastAsia="Times New Roman" w:cs="Arial"/>
          </w:rPr>
          <w:t>Final version of the Progress Monitoring Report (PMR)</w:t>
        </w:r>
      </w:hyperlink>
    </w:p>
    <w:p w14:paraId="6FB76725" w14:textId="0D61078B" w:rsidR="009B4D7A" w:rsidRDefault="00AC26BF" w:rsidP="005064AD">
      <w:pPr>
        <w:pStyle w:val="ListParagraph"/>
        <w:numPr>
          <w:ilvl w:val="0"/>
          <w:numId w:val="2"/>
        </w:numPr>
        <w:jc w:val="both"/>
        <w:rPr>
          <w:rFonts w:eastAsia="Times New Roman" w:cs="Arial"/>
          <w:bCs/>
        </w:rPr>
      </w:pPr>
      <w:hyperlink r:id="rId19" w:history="1">
        <w:r w:rsidR="009B4D7A" w:rsidRPr="00735DE3">
          <w:rPr>
            <w:rStyle w:val="Hyperlink"/>
            <w:rFonts w:eastAsia="Times New Roman" w:cs="Arial"/>
          </w:rPr>
          <w:t>PCR Checklist</w:t>
        </w:r>
      </w:hyperlink>
    </w:p>
    <w:p w14:paraId="69FCDD2A" w14:textId="77777777" w:rsidR="0038106F" w:rsidRDefault="0038106F" w:rsidP="0038106F">
      <w:pPr>
        <w:jc w:val="both"/>
        <w:rPr>
          <w:rFonts w:eastAsia="Times New Roman" w:cs="Arial"/>
          <w:bCs/>
        </w:rPr>
      </w:pPr>
    </w:p>
    <w:p w14:paraId="24BD95A9" w14:textId="77777777" w:rsidR="0038106F" w:rsidRDefault="0038106F" w:rsidP="0038106F">
      <w:pPr>
        <w:pStyle w:val="Heading1"/>
        <w:numPr>
          <w:ilvl w:val="0"/>
          <w:numId w:val="0"/>
        </w:numPr>
        <w:ind w:left="720" w:hanging="360"/>
        <w:jc w:val="center"/>
        <w:rPr>
          <w:rFonts w:ascii="Arial Black" w:hAnsi="Arial Black" w:cs="Arial"/>
          <w:noProof/>
          <w:color w:val="5F7D96"/>
        </w:rPr>
      </w:pPr>
      <w:bookmarkStart w:id="2" w:name="_Toc500317957"/>
      <w:r>
        <w:rPr>
          <w:rFonts w:ascii="Arial Black" w:hAnsi="Arial Black" w:cs="Arial"/>
          <w:noProof/>
          <w:color w:val="5F7D96"/>
        </w:rPr>
        <w:t>Optional Electronic Links</w:t>
      </w:r>
      <w:bookmarkEnd w:id="2"/>
    </w:p>
    <w:p w14:paraId="18234279" w14:textId="77777777" w:rsidR="0038106F" w:rsidRPr="0038106F" w:rsidRDefault="0038106F" w:rsidP="0038106F">
      <w:pPr>
        <w:jc w:val="both"/>
        <w:rPr>
          <w:rFonts w:eastAsia="Times New Roman" w:cs="Arial"/>
          <w:bCs/>
        </w:rPr>
      </w:pPr>
    </w:p>
    <w:p w14:paraId="29A372F0" w14:textId="59A698F6" w:rsidR="009B4D7A" w:rsidRDefault="00AC26BF" w:rsidP="005064AD">
      <w:pPr>
        <w:pStyle w:val="ListParagraph"/>
        <w:numPr>
          <w:ilvl w:val="0"/>
          <w:numId w:val="5"/>
        </w:numPr>
        <w:jc w:val="both"/>
        <w:rPr>
          <w:rFonts w:eastAsia="Times New Roman" w:cs="Arial"/>
          <w:bCs/>
        </w:rPr>
      </w:pPr>
      <w:hyperlink r:id="rId20" w:history="1">
        <w:r w:rsidR="009B4D7A" w:rsidRPr="000F0057">
          <w:rPr>
            <w:rStyle w:val="Hyperlink"/>
            <w:rFonts w:eastAsia="Times New Roman" w:cs="Arial"/>
          </w:rPr>
          <w:t>QRR Results and Procedures Report</w:t>
        </w:r>
      </w:hyperlink>
    </w:p>
    <w:p w14:paraId="304893EE" w14:textId="77777777" w:rsidR="007B1A36" w:rsidRDefault="007B1A36">
      <w:pPr>
        <w:spacing w:after="200" w:line="276" w:lineRule="auto"/>
        <w:rPr>
          <w:rFonts w:eastAsia="Times New Roman" w:cs="Arial"/>
          <w:b/>
          <w:bCs/>
          <w:sz w:val="24"/>
          <w:szCs w:val="24"/>
        </w:rPr>
      </w:pPr>
      <w:r>
        <w:rPr>
          <w:rFonts w:eastAsia="Times New Roman" w:cs="Arial"/>
          <w:b/>
          <w:bCs/>
          <w:sz w:val="24"/>
          <w:szCs w:val="24"/>
        </w:rPr>
        <w:br w:type="page"/>
      </w:r>
    </w:p>
    <w:p w14:paraId="6B5FEF45" w14:textId="77777777" w:rsidR="009B4D7A" w:rsidRDefault="009B4D7A" w:rsidP="009B4D7A">
      <w:pPr>
        <w:pStyle w:val="Heading1"/>
        <w:numPr>
          <w:ilvl w:val="0"/>
          <w:numId w:val="0"/>
        </w:numPr>
        <w:ind w:left="720" w:hanging="360"/>
        <w:jc w:val="center"/>
        <w:rPr>
          <w:rFonts w:ascii="Arial Black" w:hAnsi="Arial Black" w:cs="Arial"/>
          <w:color w:val="5F7D96"/>
          <w:sz w:val="28"/>
        </w:rPr>
      </w:pPr>
      <w:bookmarkStart w:id="3" w:name="_Toc500317958"/>
      <w:r>
        <w:rPr>
          <w:rFonts w:ascii="Arial Black" w:hAnsi="Arial Black" w:cs="Arial"/>
          <w:color w:val="5F7D96"/>
        </w:rPr>
        <w:lastRenderedPageBreak/>
        <w:t>Acronyms and Abbreviations</w:t>
      </w:r>
      <w:bookmarkEnd w:id="3"/>
    </w:p>
    <w:p w14:paraId="5A6B13CA" w14:textId="77777777" w:rsidR="009B4D7A" w:rsidRDefault="009B4D7A" w:rsidP="009B4D7A">
      <w:pPr>
        <w:rPr>
          <w:rFonts w:eastAsia="Times New Roman" w:cs="Arial"/>
          <w:b/>
          <w:bCs/>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7730"/>
      </w:tblGrid>
      <w:tr w:rsidR="00D87F3C" w14:paraId="1C7FCFA1" w14:textId="77777777" w:rsidTr="00613DB9">
        <w:tc>
          <w:tcPr>
            <w:tcW w:w="1620" w:type="dxa"/>
          </w:tcPr>
          <w:p w14:paraId="50D0923E" w14:textId="77777777" w:rsidR="00D87F3C" w:rsidRDefault="00D87F3C" w:rsidP="00613DB9">
            <w:pPr>
              <w:rPr>
                <w:rFonts w:cs="Arial"/>
              </w:rPr>
            </w:pPr>
            <w:r>
              <w:rPr>
                <w:rFonts w:cs="Arial"/>
              </w:rPr>
              <w:t>AOP</w:t>
            </w:r>
          </w:p>
        </w:tc>
        <w:tc>
          <w:tcPr>
            <w:tcW w:w="7730" w:type="dxa"/>
          </w:tcPr>
          <w:p w14:paraId="6C874570" w14:textId="77777777" w:rsidR="00D87F3C" w:rsidRPr="00AB1AB5" w:rsidRDefault="00D87F3C" w:rsidP="00613DB9">
            <w:pPr>
              <w:rPr>
                <w:rFonts w:cs="Arial"/>
                <w:lang w:val="en-029"/>
              </w:rPr>
            </w:pPr>
            <w:r w:rsidRPr="00A756BC">
              <w:rPr>
                <w:rFonts w:cs="Arial"/>
              </w:rPr>
              <w:t>A</w:t>
            </w:r>
            <w:r>
              <w:rPr>
                <w:rFonts w:cs="Arial"/>
              </w:rPr>
              <w:t xml:space="preserve">nnual </w:t>
            </w:r>
            <w:r w:rsidRPr="00A756BC">
              <w:rPr>
                <w:rFonts w:cs="Arial"/>
              </w:rPr>
              <w:t>O</w:t>
            </w:r>
            <w:r>
              <w:rPr>
                <w:rFonts w:cs="Arial"/>
              </w:rPr>
              <w:t xml:space="preserve">perating </w:t>
            </w:r>
            <w:r w:rsidRPr="00A756BC">
              <w:rPr>
                <w:rFonts w:cs="Arial"/>
              </w:rPr>
              <w:t>P</w:t>
            </w:r>
            <w:r>
              <w:rPr>
                <w:rFonts w:cs="Arial"/>
              </w:rPr>
              <w:t>lan</w:t>
            </w:r>
          </w:p>
        </w:tc>
      </w:tr>
      <w:tr w:rsidR="00D87F3C" w14:paraId="26888535" w14:textId="77777777" w:rsidTr="00613DB9">
        <w:tc>
          <w:tcPr>
            <w:tcW w:w="1620" w:type="dxa"/>
          </w:tcPr>
          <w:p w14:paraId="6E4D035D" w14:textId="77777777" w:rsidR="00D87F3C" w:rsidRDefault="00D87F3C" w:rsidP="00613DB9">
            <w:pPr>
              <w:rPr>
                <w:rFonts w:cs="Arial"/>
              </w:rPr>
            </w:pPr>
            <w:r>
              <w:rPr>
                <w:rFonts w:cs="Arial"/>
              </w:rPr>
              <w:t>ASYCUDA</w:t>
            </w:r>
          </w:p>
        </w:tc>
        <w:tc>
          <w:tcPr>
            <w:tcW w:w="7730" w:type="dxa"/>
          </w:tcPr>
          <w:p w14:paraId="1B87099D" w14:textId="77777777" w:rsidR="00D87F3C" w:rsidRDefault="00D87F3C" w:rsidP="00613DB9">
            <w:pPr>
              <w:rPr>
                <w:rFonts w:cs="Arial"/>
              </w:rPr>
            </w:pPr>
            <w:r w:rsidRPr="00AB1AB5">
              <w:rPr>
                <w:rFonts w:cs="Arial"/>
                <w:lang w:val="en-029"/>
              </w:rPr>
              <w:t>Automated SYstem for CUstoms DAta</w:t>
            </w:r>
          </w:p>
        </w:tc>
      </w:tr>
      <w:tr w:rsidR="00D87F3C" w14:paraId="7216E091" w14:textId="77777777" w:rsidTr="00613DB9">
        <w:tc>
          <w:tcPr>
            <w:tcW w:w="1620" w:type="dxa"/>
          </w:tcPr>
          <w:p w14:paraId="5E6B0C6E" w14:textId="77777777" w:rsidR="00D87F3C" w:rsidRDefault="00D87F3C" w:rsidP="00613DB9">
            <w:pPr>
              <w:rPr>
                <w:rFonts w:cs="Arial"/>
              </w:rPr>
            </w:pPr>
            <w:r>
              <w:rPr>
                <w:rFonts w:cs="Arial"/>
              </w:rPr>
              <w:t>BAT</w:t>
            </w:r>
          </w:p>
        </w:tc>
        <w:tc>
          <w:tcPr>
            <w:tcW w:w="7730" w:type="dxa"/>
          </w:tcPr>
          <w:p w14:paraId="4BC8D16B" w14:textId="77777777" w:rsidR="00D87F3C" w:rsidRDefault="00D87F3C" w:rsidP="00613DB9">
            <w:pPr>
              <w:rPr>
                <w:rFonts w:cs="Arial"/>
              </w:rPr>
            </w:pPr>
            <w:r w:rsidRPr="00AC10D5">
              <w:rPr>
                <w:rFonts w:cs="Arial"/>
                <w:lang w:val="en-029"/>
              </w:rPr>
              <w:t>Barbados Action Team</w:t>
            </w:r>
          </w:p>
        </w:tc>
      </w:tr>
      <w:tr w:rsidR="00D87F3C" w14:paraId="03FCD7BA" w14:textId="77777777" w:rsidTr="00613DB9">
        <w:tc>
          <w:tcPr>
            <w:tcW w:w="1620" w:type="dxa"/>
          </w:tcPr>
          <w:p w14:paraId="72B20DB0" w14:textId="77777777" w:rsidR="00D87F3C" w:rsidRDefault="00D87F3C" w:rsidP="00613DB9">
            <w:pPr>
              <w:rPr>
                <w:rFonts w:cs="Arial"/>
              </w:rPr>
            </w:pPr>
            <w:r>
              <w:rPr>
                <w:rFonts w:cs="Arial"/>
              </w:rPr>
              <w:t>BCP</w:t>
            </w:r>
          </w:p>
        </w:tc>
        <w:tc>
          <w:tcPr>
            <w:tcW w:w="7730" w:type="dxa"/>
          </w:tcPr>
          <w:p w14:paraId="33C4123F" w14:textId="77777777" w:rsidR="00D87F3C" w:rsidRDefault="00D87F3C" w:rsidP="00613DB9">
            <w:pPr>
              <w:rPr>
                <w:rFonts w:cs="Arial"/>
              </w:rPr>
            </w:pPr>
            <w:r>
              <w:rPr>
                <w:rFonts w:cs="Arial"/>
              </w:rPr>
              <w:t>Barbados Competitiveness Programme</w:t>
            </w:r>
          </w:p>
        </w:tc>
      </w:tr>
      <w:tr w:rsidR="00D87F3C" w14:paraId="01893B59" w14:textId="77777777" w:rsidTr="00613DB9">
        <w:tc>
          <w:tcPr>
            <w:tcW w:w="1620" w:type="dxa"/>
          </w:tcPr>
          <w:p w14:paraId="15ECB012" w14:textId="77777777" w:rsidR="00D87F3C" w:rsidRDefault="00D87F3C" w:rsidP="00613DB9">
            <w:pPr>
              <w:rPr>
                <w:rFonts w:cs="Arial"/>
              </w:rPr>
            </w:pPr>
            <w:r>
              <w:rPr>
                <w:rFonts w:cs="Arial"/>
              </w:rPr>
              <w:t>BCS</w:t>
            </w:r>
          </w:p>
        </w:tc>
        <w:tc>
          <w:tcPr>
            <w:tcW w:w="7730" w:type="dxa"/>
          </w:tcPr>
          <w:p w14:paraId="342B708A" w14:textId="77777777" w:rsidR="00D87F3C" w:rsidRPr="0068203D" w:rsidRDefault="00D87F3C" w:rsidP="00613DB9">
            <w:pPr>
              <w:rPr>
                <w:rFonts w:cs="Arial"/>
              </w:rPr>
            </w:pPr>
            <w:r>
              <w:rPr>
                <w:rFonts w:cs="Arial"/>
              </w:rPr>
              <w:t>Barbados Country Strategy</w:t>
            </w:r>
          </w:p>
        </w:tc>
      </w:tr>
      <w:tr w:rsidR="00D87F3C" w14:paraId="743B0016" w14:textId="77777777" w:rsidTr="00613DB9">
        <w:tc>
          <w:tcPr>
            <w:tcW w:w="1620" w:type="dxa"/>
          </w:tcPr>
          <w:p w14:paraId="08B67750" w14:textId="77777777" w:rsidR="00D87F3C" w:rsidRDefault="00D87F3C" w:rsidP="00613DB9">
            <w:pPr>
              <w:rPr>
                <w:rFonts w:cs="Arial"/>
              </w:rPr>
            </w:pPr>
            <w:r>
              <w:rPr>
                <w:rFonts w:cs="Arial"/>
              </w:rPr>
              <w:t>BDS</w:t>
            </w:r>
          </w:p>
        </w:tc>
        <w:tc>
          <w:tcPr>
            <w:tcW w:w="7730" w:type="dxa"/>
          </w:tcPr>
          <w:p w14:paraId="5B0BF175" w14:textId="77777777" w:rsidR="00D87F3C" w:rsidRDefault="00D87F3C" w:rsidP="00613DB9">
            <w:pPr>
              <w:rPr>
                <w:rFonts w:cs="Arial"/>
              </w:rPr>
            </w:pPr>
            <w:r w:rsidRPr="0068203D">
              <w:rPr>
                <w:rFonts w:cs="Arial"/>
              </w:rPr>
              <w:t>Business Development Services</w:t>
            </w:r>
          </w:p>
        </w:tc>
      </w:tr>
      <w:tr w:rsidR="00D87F3C" w14:paraId="641BE295" w14:textId="77777777" w:rsidTr="00613DB9">
        <w:tc>
          <w:tcPr>
            <w:tcW w:w="1620" w:type="dxa"/>
          </w:tcPr>
          <w:p w14:paraId="167F47C7" w14:textId="77777777" w:rsidR="00D87F3C" w:rsidRDefault="00D87F3C" w:rsidP="00613DB9">
            <w:pPr>
              <w:rPr>
                <w:rFonts w:cs="Arial"/>
              </w:rPr>
            </w:pPr>
            <w:r>
              <w:rPr>
                <w:rFonts w:cs="Arial"/>
              </w:rPr>
              <w:t>BPI</w:t>
            </w:r>
          </w:p>
        </w:tc>
        <w:tc>
          <w:tcPr>
            <w:tcW w:w="7730" w:type="dxa"/>
          </w:tcPr>
          <w:p w14:paraId="2BF15378" w14:textId="77777777" w:rsidR="00D87F3C" w:rsidRDefault="00D87F3C" w:rsidP="00613DB9">
            <w:pPr>
              <w:rPr>
                <w:rFonts w:cs="Arial"/>
              </w:rPr>
            </w:pPr>
            <w:r w:rsidRPr="00C36E44">
              <w:rPr>
                <w:rFonts w:cs="Arial"/>
                <w:lang w:val="en-029"/>
              </w:rPr>
              <w:t>Barbados Port Inc.</w:t>
            </w:r>
          </w:p>
        </w:tc>
      </w:tr>
      <w:tr w:rsidR="00D87F3C" w14:paraId="7994CBCF" w14:textId="77777777" w:rsidTr="00613DB9">
        <w:tc>
          <w:tcPr>
            <w:tcW w:w="1620" w:type="dxa"/>
          </w:tcPr>
          <w:p w14:paraId="1CD04C9E" w14:textId="77777777" w:rsidR="00D87F3C" w:rsidRDefault="00D87F3C" w:rsidP="00613DB9">
            <w:pPr>
              <w:rPr>
                <w:rFonts w:cs="Arial"/>
              </w:rPr>
            </w:pPr>
            <w:r>
              <w:rPr>
                <w:rFonts w:cs="Arial"/>
              </w:rPr>
              <w:t>BRA</w:t>
            </w:r>
          </w:p>
        </w:tc>
        <w:tc>
          <w:tcPr>
            <w:tcW w:w="7730" w:type="dxa"/>
          </w:tcPr>
          <w:p w14:paraId="7E17FEBE" w14:textId="77777777" w:rsidR="00D87F3C" w:rsidRDefault="00D87F3C" w:rsidP="00613DB9">
            <w:pPr>
              <w:rPr>
                <w:rFonts w:cs="Arial"/>
              </w:rPr>
            </w:pPr>
            <w:r w:rsidRPr="00905EBD">
              <w:rPr>
                <w:rFonts w:cs="Arial"/>
                <w:lang w:val="en-029"/>
              </w:rPr>
              <w:t>Barbados Revenue Authority</w:t>
            </w:r>
          </w:p>
        </w:tc>
      </w:tr>
      <w:tr w:rsidR="00D87F3C" w14:paraId="58A6338F" w14:textId="77777777" w:rsidTr="00613DB9">
        <w:tc>
          <w:tcPr>
            <w:tcW w:w="1620" w:type="dxa"/>
          </w:tcPr>
          <w:p w14:paraId="5C5BD017" w14:textId="77777777" w:rsidR="00D87F3C" w:rsidRDefault="00D87F3C" w:rsidP="00613DB9">
            <w:pPr>
              <w:rPr>
                <w:rFonts w:cs="Arial"/>
              </w:rPr>
            </w:pPr>
            <w:r>
              <w:rPr>
                <w:rFonts w:cs="Arial"/>
              </w:rPr>
              <w:t>BSP</w:t>
            </w:r>
          </w:p>
        </w:tc>
        <w:tc>
          <w:tcPr>
            <w:tcW w:w="7730" w:type="dxa"/>
          </w:tcPr>
          <w:p w14:paraId="494AE0FD" w14:textId="77777777" w:rsidR="00D87F3C" w:rsidRDefault="00D87F3C" w:rsidP="00613DB9">
            <w:pPr>
              <w:rPr>
                <w:rFonts w:cs="Arial"/>
              </w:rPr>
            </w:pPr>
            <w:r>
              <w:rPr>
                <w:rFonts w:cs="Arial"/>
              </w:rPr>
              <w:t>Barbados Social Partnership</w:t>
            </w:r>
          </w:p>
        </w:tc>
      </w:tr>
      <w:tr w:rsidR="00D87F3C" w14:paraId="0C800923" w14:textId="77777777" w:rsidTr="00613DB9">
        <w:tc>
          <w:tcPr>
            <w:tcW w:w="1620" w:type="dxa"/>
          </w:tcPr>
          <w:p w14:paraId="7B14D321" w14:textId="77777777" w:rsidR="00D87F3C" w:rsidRDefault="00D87F3C" w:rsidP="00613DB9">
            <w:pPr>
              <w:rPr>
                <w:rFonts w:cs="Arial"/>
              </w:rPr>
            </w:pPr>
            <w:r>
              <w:rPr>
                <w:rFonts w:cs="Arial"/>
              </w:rPr>
              <w:t>CARICOM</w:t>
            </w:r>
          </w:p>
        </w:tc>
        <w:tc>
          <w:tcPr>
            <w:tcW w:w="7730" w:type="dxa"/>
          </w:tcPr>
          <w:p w14:paraId="68F4A58D" w14:textId="77777777" w:rsidR="00D87F3C" w:rsidRPr="007266C8" w:rsidRDefault="00D87F3C" w:rsidP="00613DB9">
            <w:pPr>
              <w:rPr>
                <w:rFonts w:cs="Arial"/>
              </w:rPr>
            </w:pPr>
            <w:r w:rsidRPr="0007440A">
              <w:rPr>
                <w:rFonts w:cs="Arial"/>
              </w:rPr>
              <w:t>Caribbean Community and Common Market</w:t>
            </w:r>
          </w:p>
        </w:tc>
      </w:tr>
      <w:tr w:rsidR="00D87F3C" w14:paraId="55F2E696" w14:textId="77777777" w:rsidTr="00613DB9">
        <w:tc>
          <w:tcPr>
            <w:tcW w:w="1620" w:type="dxa"/>
          </w:tcPr>
          <w:p w14:paraId="26EB414F" w14:textId="77777777" w:rsidR="00D87F3C" w:rsidRDefault="00D87F3C" w:rsidP="00613DB9">
            <w:pPr>
              <w:rPr>
                <w:rFonts w:cs="Arial"/>
              </w:rPr>
            </w:pPr>
            <w:r>
              <w:rPr>
                <w:rFonts w:cs="Arial"/>
              </w:rPr>
              <w:t>CDB</w:t>
            </w:r>
          </w:p>
        </w:tc>
        <w:tc>
          <w:tcPr>
            <w:tcW w:w="7730" w:type="dxa"/>
          </w:tcPr>
          <w:p w14:paraId="2A353304" w14:textId="77777777" w:rsidR="00D87F3C" w:rsidRPr="007266C8" w:rsidRDefault="00D87F3C" w:rsidP="00613DB9">
            <w:pPr>
              <w:rPr>
                <w:rFonts w:cs="Arial"/>
              </w:rPr>
            </w:pPr>
            <w:r w:rsidRPr="00CF3E06">
              <w:rPr>
                <w:rFonts w:cs="Arial"/>
              </w:rPr>
              <w:t>Caribbean Development Bank</w:t>
            </w:r>
          </w:p>
        </w:tc>
      </w:tr>
      <w:tr w:rsidR="00D87F3C" w14:paraId="43E151BD" w14:textId="77777777" w:rsidTr="00613DB9">
        <w:tc>
          <w:tcPr>
            <w:tcW w:w="1620" w:type="dxa"/>
          </w:tcPr>
          <w:p w14:paraId="6284E2EE" w14:textId="77777777" w:rsidR="00D87F3C" w:rsidRDefault="00D87F3C" w:rsidP="00613DB9">
            <w:pPr>
              <w:rPr>
                <w:rFonts w:cs="Arial"/>
              </w:rPr>
            </w:pPr>
            <w:r>
              <w:rPr>
                <w:rFonts w:cs="Arial"/>
              </w:rPr>
              <w:t>CED</w:t>
            </w:r>
          </w:p>
        </w:tc>
        <w:tc>
          <w:tcPr>
            <w:tcW w:w="7730" w:type="dxa"/>
          </w:tcPr>
          <w:p w14:paraId="1F02A785" w14:textId="77777777" w:rsidR="00D87F3C" w:rsidRDefault="00D87F3C" w:rsidP="00613DB9">
            <w:pPr>
              <w:rPr>
                <w:rFonts w:cs="Arial"/>
              </w:rPr>
            </w:pPr>
            <w:r w:rsidRPr="007266C8">
              <w:rPr>
                <w:rFonts w:cs="Arial"/>
              </w:rPr>
              <w:t>Customs and Excise Department</w:t>
            </w:r>
          </w:p>
        </w:tc>
      </w:tr>
      <w:tr w:rsidR="00D87F3C" w14:paraId="569000F2" w14:textId="77777777" w:rsidTr="00613DB9">
        <w:tc>
          <w:tcPr>
            <w:tcW w:w="1620" w:type="dxa"/>
          </w:tcPr>
          <w:p w14:paraId="360990E2" w14:textId="77777777" w:rsidR="00D87F3C" w:rsidRDefault="00D87F3C" w:rsidP="00613DB9">
            <w:pPr>
              <w:rPr>
                <w:rFonts w:cs="Arial"/>
              </w:rPr>
            </w:pPr>
            <w:r w:rsidRPr="003A7EB3">
              <w:rPr>
                <w:rFonts w:cs="Arial"/>
              </w:rPr>
              <w:t>CEF</w:t>
            </w:r>
          </w:p>
        </w:tc>
        <w:tc>
          <w:tcPr>
            <w:tcW w:w="7730" w:type="dxa"/>
          </w:tcPr>
          <w:p w14:paraId="2808040C" w14:textId="77777777" w:rsidR="00D87F3C" w:rsidRDefault="00D87F3C" w:rsidP="00613DB9">
            <w:pPr>
              <w:rPr>
                <w:rFonts w:cs="Arial"/>
              </w:rPr>
            </w:pPr>
            <w:r>
              <w:rPr>
                <w:rFonts w:cs="Arial"/>
              </w:rPr>
              <w:t>Cargo Examination Facility</w:t>
            </w:r>
          </w:p>
        </w:tc>
      </w:tr>
      <w:tr w:rsidR="00D87F3C" w14:paraId="40090244" w14:textId="77777777" w:rsidTr="00613DB9">
        <w:tc>
          <w:tcPr>
            <w:tcW w:w="1620" w:type="dxa"/>
          </w:tcPr>
          <w:p w14:paraId="6D8133C8" w14:textId="77777777" w:rsidR="00D87F3C" w:rsidRDefault="00D87F3C" w:rsidP="00613DB9">
            <w:pPr>
              <w:rPr>
                <w:rFonts w:cs="Arial"/>
              </w:rPr>
            </w:pPr>
            <w:r>
              <w:rPr>
                <w:rFonts w:cs="Arial"/>
              </w:rPr>
              <w:t>CoC</w:t>
            </w:r>
          </w:p>
        </w:tc>
        <w:tc>
          <w:tcPr>
            <w:tcW w:w="7730" w:type="dxa"/>
          </w:tcPr>
          <w:p w14:paraId="10AC60C4" w14:textId="77777777" w:rsidR="00D87F3C" w:rsidRDefault="00D87F3C" w:rsidP="00613DB9">
            <w:pPr>
              <w:rPr>
                <w:rFonts w:cs="Arial"/>
              </w:rPr>
            </w:pPr>
            <w:r w:rsidRPr="009F4A71">
              <w:rPr>
                <w:rFonts w:cs="Arial"/>
              </w:rPr>
              <w:t>Commission on Competitiveness</w:t>
            </w:r>
          </w:p>
        </w:tc>
      </w:tr>
      <w:tr w:rsidR="00D87F3C" w14:paraId="6F5D132C" w14:textId="77777777" w:rsidTr="00613DB9">
        <w:tc>
          <w:tcPr>
            <w:tcW w:w="1620" w:type="dxa"/>
          </w:tcPr>
          <w:p w14:paraId="34A8B3FC" w14:textId="77777777" w:rsidR="00D87F3C" w:rsidRDefault="00D87F3C" w:rsidP="00613DB9">
            <w:pPr>
              <w:rPr>
                <w:rFonts w:cs="Arial"/>
              </w:rPr>
            </w:pPr>
            <w:r>
              <w:rPr>
                <w:rFonts w:cs="Arial"/>
              </w:rPr>
              <w:t>CTUSAB</w:t>
            </w:r>
          </w:p>
        </w:tc>
        <w:tc>
          <w:tcPr>
            <w:tcW w:w="7730" w:type="dxa"/>
          </w:tcPr>
          <w:p w14:paraId="470D96C0" w14:textId="77777777" w:rsidR="00D87F3C" w:rsidRDefault="00D87F3C" w:rsidP="00613DB9">
            <w:pPr>
              <w:rPr>
                <w:rFonts w:cs="Arial"/>
              </w:rPr>
            </w:pPr>
            <w:r w:rsidRPr="00AC10D5">
              <w:rPr>
                <w:rFonts w:cs="Arial"/>
                <w:lang w:val="en-029"/>
              </w:rPr>
              <w:t>Congress of Trade Unions and Staff Associations of Barbados</w:t>
            </w:r>
          </w:p>
        </w:tc>
      </w:tr>
      <w:tr w:rsidR="00D87F3C" w14:paraId="6F251B3C" w14:textId="77777777" w:rsidTr="00613DB9">
        <w:tc>
          <w:tcPr>
            <w:tcW w:w="1620" w:type="dxa"/>
          </w:tcPr>
          <w:p w14:paraId="60B56D80" w14:textId="77777777" w:rsidR="00D87F3C" w:rsidRDefault="00D87F3C" w:rsidP="00613DB9">
            <w:pPr>
              <w:rPr>
                <w:rFonts w:cs="Arial"/>
              </w:rPr>
            </w:pPr>
            <w:r>
              <w:rPr>
                <w:rFonts w:cs="Arial"/>
              </w:rPr>
              <w:t>EA</w:t>
            </w:r>
          </w:p>
        </w:tc>
        <w:tc>
          <w:tcPr>
            <w:tcW w:w="7730" w:type="dxa"/>
          </w:tcPr>
          <w:p w14:paraId="2B36C4B5" w14:textId="77777777" w:rsidR="00D87F3C" w:rsidRPr="000B4A3E" w:rsidRDefault="00D87F3C" w:rsidP="00613DB9">
            <w:pPr>
              <w:rPr>
                <w:rFonts w:cs="Arial"/>
                <w:lang w:val="en-029"/>
              </w:rPr>
            </w:pPr>
            <w:r w:rsidRPr="006D21CA">
              <w:rPr>
                <w:rFonts w:cs="Arial"/>
              </w:rPr>
              <w:t>Executing Agency</w:t>
            </w:r>
          </w:p>
        </w:tc>
      </w:tr>
      <w:tr w:rsidR="00D87F3C" w14:paraId="19C7FDD7" w14:textId="77777777" w:rsidTr="00613DB9">
        <w:tc>
          <w:tcPr>
            <w:tcW w:w="1620" w:type="dxa"/>
          </w:tcPr>
          <w:p w14:paraId="7D92B192" w14:textId="77777777" w:rsidR="00D87F3C" w:rsidRDefault="00D87F3C" w:rsidP="00613DB9">
            <w:pPr>
              <w:rPr>
                <w:rFonts w:cs="Arial"/>
              </w:rPr>
            </w:pPr>
            <w:r>
              <w:rPr>
                <w:rFonts w:cs="Arial"/>
              </w:rPr>
              <w:t>EAD</w:t>
            </w:r>
          </w:p>
        </w:tc>
        <w:tc>
          <w:tcPr>
            <w:tcW w:w="7730" w:type="dxa"/>
          </w:tcPr>
          <w:p w14:paraId="7FB33A14" w14:textId="77777777" w:rsidR="00D87F3C" w:rsidRDefault="00D87F3C" w:rsidP="00613DB9">
            <w:pPr>
              <w:rPr>
                <w:rFonts w:cs="Arial"/>
              </w:rPr>
            </w:pPr>
            <w:r w:rsidRPr="000B4A3E">
              <w:rPr>
                <w:rFonts w:cs="Arial"/>
                <w:lang w:val="en-029"/>
              </w:rPr>
              <w:t>Economic Affairs Division</w:t>
            </w:r>
          </w:p>
        </w:tc>
      </w:tr>
      <w:tr w:rsidR="00D87F3C" w14:paraId="38CFA7B6" w14:textId="77777777" w:rsidTr="00613DB9">
        <w:tc>
          <w:tcPr>
            <w:tcW w:w="1620" w:type="dxa"/>
          </w:tcPr>
          <w:p w14:paraId="2861DC3A" w14:textId="77777777" w:rsidR="00D87F3C" w:rsidRDefault="00D87F3C" w:rsidP="00613DB9">
            <w:pPr>
              <w:rPr>
                <w:rFonts w:cs="Arial"/>
              </w:rPr>
            </w:pPr>
            <w:r>
              <w:rPr>
                <w:rFonts w:cs="Arial"/>
              </w:rPr>
              <w:t>ECLAC</w:t>
            </w:r>
          </w:p>
        </w:tc>
        <w:tc>
          <w:tcPr>
            <w:tcW w:w="7730" w:type="dxa"/>
          </w:tcPr>
          <w:p w14:paraId="4D4A5C9C" w14:textId="77777777" w:rsidR="00D87F3C" w:rsidRDefault="00D87F3C" w:rsidP="00613DB9">
            <w:pPr>
              <w:rPr>
                <w:rFonts w:cs="Arial"/>
              </w:rPr>
            </w:pPr>
            <w:r w:rsidRPr="00870E45">
              <w:rPr>
                <w:rFonts w:cs="Arial"/>
              </w:rPr>
              <w:t>Economic Commission for Latin America</w:t>
            </w:r>
          </w:p>
        </w:tc>
      </w:tr>
      <w:tr w:rsidR="00D87F3C" w14:paraId="430FD767" w14:textId="77777777" w:rsidTr="00613DB9">
        <w:tc>
          <w:tcPr>
            <w:tcW w:w="1620" w:type="dxa"/>
          </w:tcPr>
          <w:p w14:paraId="1161BF32" w14:textId="77777777" w:rsidR="00D87F3C" w:rsidRDefault="00D87F3C" w:rsidP="00613DB9">
            <w:pPr>
              <w:rPr>
                <w:rFonts w:cs="Arial"/>
              </w:rPr>
            </w:pPr>
            <w:r>
              <w:rPr>
                <w:rFonts w:cs="Arial"/>
              </w:rPr>
              <w:t>ESW</w:t>
            </w:r>
          </w:p>
        </w:tc>
        <w:tc>
          <w:tcPr>
            <w:tcW w:w="7730" w:type="dxa"/>
          </w:tcPr>
          <w:p w14:paraId="6DF09EFA" w14:textId="77777777" w:rsidR="00D87F3C" w:rsidRDefault="00D87F3C" w:rsidP="00613DB9">
            <w:pPr>
              <w:rPr>
                <w:rFonts w:cs="Arial"/>
              </w:rPr>
            </w:pPr>
            <w:r w:rsidRPr="0068203D">
              <w:rPr>
                <w:rFonts w:cs="Arial"/>
              </w:rPr>
              <w:t>Electronic Single Window</w:t>
            </w:r>
          </w:p>
        </w:tc>
      </w:tr>
      <w:tr w:rsidR="00D87F3C" w14:paraId="06BFBD83" w14:textId="77777777" w:rsidTr="00613DB9">
        <w:tc>
          <w:tcPr>
            <w:tcW w:w="1620" w:type="dxa"/>
          </w:tcPr>
          <w:p w14:paraId="51C76A8D" w14:textId="77777777" w:rsidR="00D87F3C" w:rsidRDefault="00D87F3C" w:rsidP="00613DB9">
            <w:pPr>
              <w:rPr>
                <w:rFonts w:cs="Arial"/>
              </w:rPr>
            </w:pPr>
            <w:r>
              <w:rPr>
                <w:rFonts w:cs="Arial"/>
              </w:rPr>
              <w:t>GCE</w:t>
            </w:r>
          </w:p>
        </w:tc>
        <w:tc>
          <w:tcPr>
            <w:tcW w:w="7730" w:type="dxa"/>
          </w:tcPr>
          <w:p w14:paraId="6A4F7EC8" w14:textId="77777777" w:rsidR="00D87F3C" w:rsidRDefault="00D87F3C" w:rsidP="00613DB9">
            <w:pPr>
              <w:rPr>
                <w:rFonts w:cs="Arial"/>
              </w:rPr>
            </w:pPr>
            <w:r w:rsidRPr="009F4A71">
              <w:rPr>
                <w:rFonts w:cs="Arial"/>
              </w:rPr>
              <w:t>Computable General Equilibrium</w:t>
            </w:r>
          </w:p>
        </w:tc>
      </w:tr>
      <w:tr w:rsidR="00D87F3C" w14:paraId="28FE3240" w14:textId="77777777" w:rsidTr="00613DB9">
        <w:tc>
          <w:tcPr>
            <w:tcW w:w="1620" w:type="dxa"/>
          </w:tcPr>
          <w:p w14:paraId="04D611ED" w14:textId="77777777" w:rsidR="00D87F3C" w:rsidRDefault="00D87F3C" w:rsidP="00613DB9">
            <w:pPr>
              <w:rPr>
                <w:rFonts w:cs="Arial"/>
              </w:rPr>
            </w:pPr>
            <w:r>
              <w:rPr>
                <w:rFonts w:cs="Arial"/>
              </w:rPr>
              <w:t>GCI</w:t>
            </w:r>
          </w:p>
        </w:tc>
        <w:tc>
          <w:tcPr>
            <w:tcW w:w="7730" w:type="dxa"/>
          </w:tcPr>
          <w:p w14:paraId="237A6194" w14:textId="77777777" w:rsidR="00D87F3C" w:rsidRDefault="00D87F3C" w:rsidP="00613DB9">
            <w:pPr>
              <w:rPr>
                <w:rFonts w:cs="Arial"/>
              </w:rPr>
            </w:pPr>
            <w:r>
              <w:rPr>
                <w:rFonts w:cs="Arial"/>
              </w:rPr>
              <w:t>Global Competitive Index</w:t>
            </w:r>
          </w:p>
        </w:tc>
      </w:tr>
      <w:tr w:rsidR="00D87F3C" w14:paraId="7075E8F2" w14:textId="77777777" w:rsidTr="00613DB9">
        <w:tc>
          <w:tcPr>
            <w:tcW w:w="1620" w:type="dxa"/>
          </w:tcPr>
          <w:p w14:paraId="3ADA7FAA" w14:textId="77777777" w:rsidR="00D87F3C" w:rsidRDefault="00D87F3C" w:rsidP="00613DB9">
            <w:pPr>
              <w:rPr>
                <w:rFonts w:cs="Arial"/>
              </w:rPr>
            </w:pPr>
            <w:r>
              <w:rPr>
                <w:rFonts w:cs="Arial"/>
              </w:rPr>
              <w:t>GCR</w:t>
            </w:r>
          </w:p>
        </w:tc>
        <w:tc>
          <w:tcPr>
            <w:tcW w:w="7730" w:type="dxa"/>
          </w:tcPr>
          <w:p w14:paraId="6B60825C" w14:textId="77777777" w:rsidR="00D87F3C" w:rsidRDefault="00D87F3C" w:rsidP="00613DB9">
            <w:pPr>
              <w:rPr>
                <w:rFonts w:cs="Arial"/>
              </w:rPr>
            </w:pPr>
            <w:r w:rsidRPr="009F4A71">
              <w:rPr>
                <w:rFonts w:cs="Arial"/>
              </w:rPr>
              <w:t>Global Competitiveness Report</w:t>
            </w:r>
          </w:p>
        </w:tc>
      </w:tr>
      <w:tr w:rsidR="00D87F3C" w14:paraId="105A0F61" w14:textId="77777777" w:rsidTr="00613DB9">
        <w:tc>
          <w:tcPr>
            <w:tcW w:w="1620" w:type="dxa"/>
          </w:tcPr>
          <w:p w14:paraId="767690E9" w14:textId="77777777" w:rsidR="00D87F3C" w:rsidRDefault="00D87F3C" w:rsidP="00613DB9">
            <w:pPr>
              <w:rPr>
                <w:rFonts w:cs="Arial"/>
              </w:rPr>
            </w:pPr>
            <w:r>
              <w:rPr>
                <w:rFonts w:cs="Arial"/>
              </w:rPr>
              <w:t>GDP</w:t>
            </w:r>
          </w:p>
        </w:tc>
        <w:tc>
          <w:tcPr>
            <w:tcW w:w="7730" w:type="dxa"/>
          </w:tcPr>
          <w:p w14:paraId="3DA2245E" w14:textId="77777777" w:rsidR="00D87F3C" w:rsidRDefault="00D87F3C" w:rsidP="00613DB9">
            <w:pPr>
              <w:rPr>
                <w:rFonts w:cs="Arial"/>
              </w:rPr>
            </w:pPr>
            <w:r>
              <w:rPr>
                <w:rFonts w:cs="Arial"/>
              </w:rPr>
              <w:t>Gross Domestic Product</w:t>
            </w:r>
          </w:p>
        </w:tc>
      </w:tr>
      <w:tr w:rsidR="00D87F3C" w14:paraId="15E3965D" w14:textId="77777777" w:rsidTr="00613DB9">
        <w:tc>
          <w:tcPr>
            <w:tcW w:w="1620" w:type="dxa"/>
          </w:tcPr>
          <w:p w14:paraId="6A0CBEEC" w14:textId="77777777" w:rsidR="00D87F3C" w:rsidRDefault="00D87F3C" w:rsidP="00613DB9">
            <w:pPr>
              <w:rPr>
                <w:rFonts w:cs="Arial"/>
              </w:rPr>
            </w:pPr>
            <w:r>
              <w:rPr>
                <w:rFonts w:cs="Arial"/>
              </w:rPr>
              <w:t>GMEI</w:t>
            </w:r>
          </w:p>
        </w:tc>
        <w:tc>
          <w:tcPr>
            <w:tcW w:w="7730" w:type="dxa"/>
          </w:tcPr>
          <w:p w14:paraId="060556E7" w14:textId="77777777" w:rsidR="00D87F3C" w:rsidRPr="00D72B55" w:rsidRDefault="00D87F3C" w:rsidP="00613DB9">
            <w:pPr>
              <w:rPr>
                <w:rFonts w:cs="Arial"/>
                <w:lang w:val="en-029"/>
              </w:rPr>
            </w:pPr>
            <w:r w:rsidRPr="00FD1760">
              <w:rPr>
                <w:rFonts w:cs="Arial"/>
              </w:rPr>
              <w:t>Goods Market Efficiency Index</w:t>
            </w:r>
          </w:p>
        </w:tc>
      </w:tr>
      <w:tr w:rsidR="00D87F3C" w14:paraId="2A9E136F" w14:textId="77777777" w:rsidTr="00613DB9">
        <w:tc>
          <w:tcPr>
            <w:tcW w:w="1620" w:type="dxa"/>
          </w:tcPr>
          <w:p w14:paraId="570C3B56" w14:textId="77777777" w:rsidR="00D87F3C" w:rsidRDefault="00D87F3C" w:rsidP="00613DB9">
            <w:pPr>
              <w:rPr>
                <w:rFonts w:cs="Arial"/>
              </w:rPr>
            </w:pPr>
            <w:r>
              <w:rPr>
                <w:rFonts w:cs="Arial"/>
              </w:rPr>
              <w:t>GoB</w:t>
            </w:r>
          </w:p>
        </w:tc>
        <w:tc>
          <w:tcPr>
            <w:tcW w:w="7730" w:type="dxa"/>
          </w:tcPr>
          <w:p w14:paraId="0B4D2C03" w14:textId="77777777" w:rsidR="00D87F3C" w:rsidRDefault="00D87F3C" w:rsidP="00613DB9">
            <w:pPr>
              <w:rPr>
                <w:rFonts w:cs="Arial"/>
              </w:rPr>
            </w:pPr>
            <w:r w:rsidRPr="00D72B55">
              <w:rPr>
                <w:rFonts w:cs="Arial"/>
                <w:lang w:val="en-029"/>
              </w:rPr>
              <w:t>Government of Barbados</w:t>
            </w:r>
          </w:p>
        </w:tc>
      </w:tr>
      <w:tr w:rsidR="00D87F3C" w14:paraId="6590E779" w14:textId="77777777" w:rsidTr="00613DB9">
        <w:tc>
          <w:tcPr>
            <w:tcW w:w="1620" w:type="dxa"/>
          </w:tcPr>
          <w:p w14:paraId="0D5C407A" w14:textId="77777777" w:rsidR="00D87F3C" w:rsidRPr="006E6903" w:rsidRDefault="00D87F3C" w:rsidP="00613DB9">
            <w:pPr>
              <w:rPr>
                <w:rFonts w:cs="Arial"/>
              </w:rPr>
            </w:pPr>
            <w:r>
              <w:rPr>
                <w:rFonts w:cs="Arial"/>
              </w:rPr>
              <w:t>HS</w:t>
            </w:r>
          </w:p>
        </w:tc>
        <w:tc>
          <w:tcPr>
            <w:tcW w:w="7730" w:type="dxa"/>
          </w:tcPr>
          <w:p w14:paraId="27222FCF" w14:textId="77777777" w:rsidR="00D87F3C" w:rsidRPr="006E6903" w:rsidRDefault="00D87F3C" w:rsidP="00613DB9">
            <w:pPr>
              <w:rPr>
                <w:rFonts w:cs="Arial"/>
              </w:rPr>
            </w:pPr>
            <w:r>
              <w:rPr>
                <w:rFonts w:cs="Arial"/>
                <w:lang w:val="en-029"/>
              </w:rPr>
              <w:t>Harmonized System</w:t>
            </w:r>
          </w:p>
        </w:tc>
      </w:tr>
      <w:tr w:rsidR="00D87F3C" w14:paraId="344F9935" w14:textId="77777777" w:rsidTr="00613DB9">
        <w:tc>
          <w:tcPr>
            <w:tcW w:w="1620" w:type="dxa"/>
          </w:tcPr>
          <w:p w14:paraId="030CED8B" w14:textId="77777777" w:rsidR="00D87F3C" w:rsidRDefault="00D87F3C" w:rsidP="00613DB9">
            <w:pPr>
              <w:rPr>
                <w:rFonts w:cs="Arial"/>
              </w:rPr>
            </w:pPr>
            <w:r w:rsidRPr="006E6903">
              <w:rPr>
                <w:rFonts w:cs="Arial"/>
              </w:rPr>
              <w:t>IDB</w:t>
            </w:r>
          </w:p>
        </w:tc>
        <w:tc>
          <w:tcPr>
            <w:tcW w:w="7730" w:type="dxa"/>
          </w:tcPr>
          <w:p w14:paraId="2201A625" w14:textId="77777777" w:rsidR="00D87F3C" w:rsidRDefault="00D87F3C" w:rsidP="00613DB9">
            <w:pPr>
              <w:rPr>
                <w:rFonts w:cs="Arial"/>
              </w:rPr>
            </w:pPr>
            <w:r w:rsidRPr="006E6903">
              <w:rPr>
                <w:rFonts w:cs="Arial"/>
              </w:rPr>
              <w:t>Inter-American Development Bank</w:t>
            </w:r>
          </w:p>
        </w:tc>
      </w:tr>
      <w:tr w:rsidR="00D87F3C" w14:paraId="06D7F1E2" w14:textId="77777777" w:rsidTr="00613DB9">
        <w:tc>
          <w:tcPr>
            <w:tcW w:w="1620" w:type="dxa"/>
          </w:tcPr>
          <w:p w14:paraId="6CB566D6" w14:textId="77777777" w:rsidR="00D87F3C" w:rsidRDefault="00D87F3C" w:rsidP="00613DB9">
            <w:pPr>
              <w:rPr>
                <w:rFonts w:cs="Arial"/>
                <w:lang w:val="en-029"/>
              </w:rPr>
            </w:pPr>
            <w:r>
              <w:rPr>
                <w:rFonts w:cs="Arial"/>
                <w:lang w:val="en-029"/>
              </w:rPr>
              <w:t>IMF</w:t>
            </w:r>
          </w:p>
        </w:tc>
        <w:tc>
          <w:tcPr>
            <w:tcW w:w="7730" w:type="dxa"/>
          </w:tcPr>
          <w:p w14:paraId="0636FEC1" w14:textId="77777777" w:rsidR="00D87F3C" w:rsidRDefault="00D87F3C" w:rsidP="00613DB9">
            <w:pPr>
              <w:rPr>
                <w:rFonts w:cs="Arial"/>
                <w:lang w:val="en-029"/>
              </w:rPr>
            </w:pPr>
            <w:r>
              <w:rPr>
                <w:rFonts w:cs="Arial"/>
                <w:lang w:val="en-029"/>
              </w:rPr>
              <w:t>International Monetary Fund</w:t>
            </w:r>
          </w:p>
        </w:tc>
      </w:tr>
      <w:tr w:rsidR="00D87F3C" w14:paraId="101B10CE" w14:textId="77777777" w:rsidTr="00613DB9">
        <w:tc>
          <w:tcPr>
            <w:tcW w:w="1620" w:type="dxa"/>
          </w:tcPr>
          <w:p w14:paraId="25670E52" w14:textId="77777777" w:rsidR="00D87F3C" w:rsidRDefault="00D87F3C" w:rsidP="00613DB9">
            <w:pPr>
              <w:rPr>
                <w:rFonts w:cs="Arial"/>
              </w:rPr>
            </w:pPr>
            <w:r>
              <w:rPr>
                <w:rFonts w:cs="Arial"/>
                <w:lang w:val="en-029"/>
              </w:rPr>
              <w:t>I-O matrix</w:t>
            </w:r>
          </w:p>
        </w:tc>
        <w:tc>
          <w:tcPr>
            <w:tcW w:w="7730" w:type="dxa"/>
          </w:tcPr>
          <w:p w14:paraId="7D9D217F" w14:textId="77777777" w:rsidR="00D87F3C" w:rsidRDefault="00D87F3C" w:rsidP="00613DB9">
            <w:pPr>
              <w:rPr>
                <w:rFonts w:cs="Arial"/>
              </w:rPr>
            </w:pPr>
            <w:r>
              <w:rPr>
                <w:rFonts w:cs="Arial"/>
                <w:lang w:val="en-029"/>
              </w:rPr>
              <w:t>Input-Output (I-O) matrix</w:t>
            </w:r>
          </w:p>
        </w:tc>
      </w:tr>
      <w:tr w:rsidR="00D87F3C" w14:paraId="36313D79" w14:textId="77777777" w:rsidTr="00613DB9">
        <w:tc>
          <w:tcPr>
            <w:tcW w:w="1620" w:type="dxa"/>
          </w:tcPr>
          <w:p w14:paraId="7960787D" w14:textId="77777777" w:rsidR="00D87F3C" w:rsidRDefault="00D87F3C" w:rsidP="00613DB9">
            <w:pPr>
              <w:rPr>
                <w:rFonts w:cs="Arial"/>
              </w:rPr>
            </w:pPr>
            <w:r>
              <w:rPr>
                <w:rFonts w:cs="Arial"/>
              </w:rPr>
              <w:t>LPCOs</w:t>
            </w:r>
          </w:p>
        </w:tc>
        <w:tc>
          <w:tcPr>
            <w:tcW w:w="7730" w:type="dxa"/>
          </w:tcPr>
          <w:p w14:paraId="04FB4275" w14:textId="77777777" w:rsidR="00D87F3C" w:rsidRDefault="00D87F3C" w:rsidP="00613DB9">
            <w:pPr>
              <w:rPr>
                <w:rFonts w:cs="Arial"/>
                <w:lang w:val="en-029"/>
              </w:rPr>
            </w:pPr>
            <w:r>
              <w:rPr>
                <w:rFonts w:cs="Arial"/>
                <w:lang w:val="en-029"/>
              </w:rPr>
              <w:t>Licenses, Permits, Certificates and other Documents</w:t>
            </w:r>
          </w:p>
        </w:tc>
      </w:tr>
      <w:tr w:rsidR="00D87F3C" w14:paraId="62FFB5C7" w14:textId="77777777" w:rsidTr="00613DB9">
        <w:tc>
          <w:tcPr>
            <w:tcW w:w="1620" w:type="dxa"/>
          </w:tcPr>
          <w:p w14:paraId="1A1022ED" w14:textId="77777777" w:rsidR="00D87F3C" w:rsidRDefault="00D87F3C" w:rsidP="00613DB9">
            <w:pPr>
              <w:rPr>
                <w:rFonts w:cs="Arial"/>
              </w:rPr>
            </w:pPr>
            <w:r>
              <w:rPr>
                <w:rFonts w:cs="Arial"/>
              </w:rPr>
              <w:t>METIC</w:t>
            </w:r>
          </w:p>
        </w:tc>
        <w:tc>
          <w:tcPr>
            <w:tcW w:w="7730" w:type="dxa"/>
          </w:tcPr>
          <w:p w14:paraId="78189B03" w14:textId="77777777" w:rsidR="00D87F3C" w:rsidRDefault="00D87F3C" w:rsidP="00613DB9">
            <w:pPr>
              <w:rPr>
                <w:rFonts w:cs="Arial"/>
                <w:lang w:val="en-029"/>
              </w:rPr>
            </w:pPr>
            <w:r w:rsidRPr="009744FD">
              <w:rPr>
                <w:rFonts w:cs="Arial"/>
                <w:lang w:val="en-029"/>
              </w:rPr>
              <w:t>Ministry of Economic Affairs, Empowerment, Innovation, Trade, Industry and Commerce</w:t>
            </w:r>
          </w:p>
        </w:tc>
      </w:tr>
      <w:tr w:rsidR="00D87F3C" w14:paraId="15FF4D35" w14:textId="77777777" w:rsidTr="00613DB9">
        <w:tc>
          <w:tcPr>
            <w:tcW w:w="1620" w:type="dxa"/>
          </w:tcPr>
          <w:p w14:paraId="06ED7E85" w14:textId="77777777" w:rsidR="00D87F3C" w:rsidRDefault="00D87F3C" w:rsidP="00613DB9">
            <w:pPr>
              <w:rPr>
                <w:rFonts w:cs="Arial"/>
              </w:rPr>
            </w:pPr>
            <w:r>
              <w:rPr>
                <w:rFonts w:cs="Arial"/>
              </w:rPr>
              <w:t>MFEA</w:t>
            </w:r>
          </w:p>
        </w:tc>
        <w:tc>
          <w:tcPr>
            <w:tcW w:w="7730" w:type="dxa"/>
          </w:tcPr>
          <w:p w14:paraId="601B6505" w14:textId="77777777" w:rsidR="00D87F3C" w:rsidRDefault="00D87F3C" w:rsidP="00613DB9">
            <w:pPr>
              <w:rPr>
                <w:rFonts w:cs="Arial"/>
              </w:rPr>
            </w:pPr>
            <w:r>
              <w:rPr>
                <w:rFonts w:cs="Arial"/>
                <w:lang w:val="en-029"/>
              </w:rPr>
              <w:t>Ministry of Finance and Economic Affairs</w:t>
            </w:r>
          </w:p>
        </w:tc>
      </w:tr>
      <w:tr w:rsidR="00D87F3C" w14:paraId="0F1797DB" w14:textId="77777777" w:rsidTr="00613DB9">
        <w:tc>
          <w:tcPr>
            <w:tcW w:w="1620" w:type="dxa"/>
          </w:tcPr>
          <w:p w14:paraId="7E419C4D" w14:textId="77777777" w:rsidR="00D87F3C" w:rsidRDefault="00D87F3C" w:rsidP="00613DB9">
            <w:pPr>
              <w:rPr>
                <w:rFonts w:cs="Arial"/>
              </w:rPr>
            </w:pPr>
            <w:r>
              <w:rPr>
                <w:rFonts w:cs="Arial"/>
              </w:rPr>
              <w:t>M&amp;E</w:t>
            </w:r>
          </w:p>
        </w:tc>
        <w:tc>
          <w:tcPr>
            <w:tcW w:w="7730" w:type="dxa"/>
          </w:tcPr>
          <w:p w14:paraId="36164310" w14:textId="77777777" w:rsidR="00D87F3C" w:rsidRDefault="00D87F3C" w:rsidP="00613DB9">
            <w:pPr>
              <w:rPr>
                <w:rFonts w:cs="Arial"/>
              </w:rPr>
            </w:pPr>
            <w:r>
              <w:rPr>
                <w:rFonts w:cs="Arial"/>
              </w:rPr>
              <w:t>Monitoring and Evaluation</w:t>
            </w:r>
          </w:p>
        </w:tc>
      </w:tr>
      <w:tr w:rsidR="00D87F3C" w14:paraId="43BFA81B" w14:textId="77777777" w:rsidTr="00613DB9">
        <w:tc>
          <w:tcPr>
            <w:tcW w:w="1620" w:type="dxa"/>
          </w:tcPr>
          <w:p w14:paraId="17295446" w14:textId="77777777" w:rsidR="00D87F3C" w:rsidRDefault="00D87F3C" w:rsidP="00613DB9">
            <w:pPr>
              <w:rPr>
                <w:rFonts w:cs="Arial"/>
              </w:rPr>
            </w:pPr>
            <w:r>
              <w:rPr>
                <w:rFonts w:cs="Arial"/>
              </w:rPr>
              <w:t>NCS</w:t>
            </w:r>
          </w:p>
        </w:tc>
        <w:tc>
          <w:tcPr>
            <w:tcW w:w="7730" w:type="dxa"/>
          </w:tcPr>
          <w:p w14:paraId="2792BF3F" w14:textId="77777777" w:rsidR="00D87F3C" w:rsidRDefault="00D87F3C" w:rsidP="00613DB9">
            <w:pPr>
              <w:rPr>
                <w:rFonts w:cs="Arial"/>
              </w:rPr>
            </w:pPr>
            <w:r w:rsidRPr="0068203D">
              <w:rPr>
                <w:rFonts w:cs="Arial"/>
              </w:rPr>
              <w:t>National Competitiveness Strategy</w:t>
            </w:r>
          </w:p>
        </w:tc>
      </w:tr>
      <w:tr w:rsidR="00D87F3C" w14:paraId="59977106" w14:textId="77777777" w:rsidTr="00613DB9">
        <w:tc>
          <w:tcPr>
            <w:tcW w:w="1620" w:type="dxa"/>
          </w:tcPr>
          <w:p w14:paraId="2AA0F3F1" w14:textId="77777777" w:rsidR="00D87F3C" w:rsidRDefault="00D87F3C" w:rsidP="00613DB9">
            <w:pPr>
              <w:rPr>
                <w:rFonts w:cs="Arial"/>
              </w:rPr>
            </w:pPr>
            <w:r w:rsidRPr="009F4A71">
              <w:rPr>
                <w:rFonts w:cs="Arial"/>
              </w:rPr>
              <w:t>NCS</w:t>
            </w:r>
            <w:r>
              <w:rPr>
                <w:rFonts w:cs="Arial"/>
              </w:rPr>
              <w:t>&amp;AP</w:t>
            </w:r>
          </w:p>
        </w:tc>
        <w:tc>
          <w:tcPr>
            <w:tcW w:w="7730" w:type="dxa"/>
          </w:tcPr>
          <w:p w14:paraId="7BBB401C" w14:textId="77777777" w:rsidR="00D87F3C" w:rsidRDefault="00D87F3C" w:rsidP="00613DB9">
            <w:pPr>
              <w:rPr>
                <w:rFonts w:cs="Arial"/>
              </w:rPr>
            </w:pPr>
            <w:r>
              <w:rPr>
                <w:rFonts w:cs="Arial"/>
              </w:rPr>
              <w:t xml:space="preserve">National Competitiveness Strategy and </w:t>
            </w:r>
            <w:r w:rsidRPr="009F4A71">
              <w:rPr>
                <w:rFonts w:cs="Arial"/>
              </w:rPr>
              <w:t>Action Plan</w:t>
            </w:r>
          </w:p>
        </w:tc>
      </w:tr>
      <w:tr w:rsidR="00D87F3C" w14:paraId="5F863DB7" w14:textId="77777777" w:rsidTr="00613DB9">
        <w:tc>
          <w:tcPr>
            <w:tcW w:w="1620" w:type="dxa"/>
          </w:tcPr>
          <w:p w14:paraId="21D7E0F4" w14:textId="77777777" w:rsidR="00D87F3C" w:rsidRDefault="00D87F3C" w:rsidP="00613DB9">
            <w:pPr>
              <w:rPr>
                <w:rFonts w:cs="Arial"/>
              </w:rPr>
            </w:pPr>
            <w:r>
              <w:rPr>
                <w:rFonts w:cs="Arial"/>
              </w:rPr>
              <w:t>OVE</w:t>
            </w:r>
          </w:p>
        </w:tc>
        <w:tc>
          <w:tcPr>
            <w:tcW w:w="7730" w:type="dxa"/>
          </w:tcPr>
          <w:p w14:paraId="71DDA816" w14:textId="77777777" w:rsidR="00D87F3C" w:rsidRDefault="00D87F3C" w:rsidP="00613DB9">
            <w:pPr>
              <w:rPr>
                <w:rFonts w:cs="Arial"/>
              </w:rPr>
            </w:pPr>
            <w:r>
              <w:rPr>
                <w:rFonts w:cs="Arial"/>
                <w:lang w:val="en-029"/>
              </w:rPr>
              <w:t>Office of Evaluation and Oversight</w:t>
            </w:r>
          </w:p>
        </w:tc>
      </w:tr>
      <w:tr w:rsidR="00D87F3C" w14:paraId="73A25DA2" w14:textId="77777777" w:rsidTr="00613DB9">
        <w:tc>
          <w:tcPr>
            <w:tcW w:w="1620" w:type="dxa"/>
          </w:tcPr>
          <w:p w14:paraId="3BFA7AB6" w14:textId="77777777" w:rsidR="00D87F3C" w:rsidRDefault="00D87F3C" w:rsidP="00613DB9">
            <w:pPr>
              <w:rPr>
                <w:rFonts w:cs="Arial"/>
              </w:rPr>
            </w:pPr>
            <w:r>
              <w:rPr>
                <w:rFonts w:cs="Arial"/>
              </w:rPr>
              <w:t>PCR</w:t>
            </w:r>
          </w:p>
        </w:tc>
        <w:tc>
          <w:tcPr>
            <w:tcW w:w="7730" w:type="dxa"/>
          </w:tcPr>
          <w:p w14:paraId="13425ACE" w14:textId="77777777" w:rsidR="00D87F3C" w:rsidRDefault="00D87F3C" w:rsidP="00613DB9">
            <w:pPr>
              <w:rPr>
                <w:rFonts w:cs="Arial"/>
              </w:rPr>
            </w:pPr>
            <w:r>
              <w:rPr>
                <w:rFonts w:cs="Arial"/>
              </w:rPr>
              <w:t>Project Completion</w:t>
            </w:r>
          </w:p>
        </w:tc>
      </w:tr>
      <w:tr w:rsidR="00D87F3C" w14:paraId="4668F5B3" w14:textId="77777777" w:rsidTr="00613DB9">
        <w:tc>
          <w:tcPr>
            <w:tcW w:w="1620" w:type="dxa"/>
          </w:tcPr>
          <w:p w14:paraId="36EF1706" w14:textId="77777777" w:rsidR="00D87F3C" w:rsidRDefault="00D87F3C" w:rsidP="00613DB9">
            <w:pPr>
              <w:rPr>
                <w:rFonts w:cs="Arial"/>
              </w:rPr>
            </w:pPr>
            <w:r>
              <w:rPr>
                <w:rFonts w:cs="Arial"/>
              </w:rPr>
              <w:t>PEU</w:t>
            </w:r>
          </w:p>
        </w:tc>
        <w:tc>
          <w:tcPr>
            <w:tcW w:w="7730" w:type="dxa"/>
          </w:tcPr>
          <w:p w14:paraId="0D530EBC" w14:textId="77777777" w:rsidR="00D87F3C" w:rsidRDefault="00D87F3C" w:rsidP="00613DB9">
            <w:pPr>
              <w:rPr>
                <w:rFonts w:cs="Arial"/>
              </w:rPr>
            </w:pPr>
            <w:r>
              <w:rPr>
                <w:rFonts w:cs="Arial"/>
              </w:rPr>
              <w:t>Project Executing Unit</w:t>
            </w:r>
          </w:p>
        </w:tc>
      </w:tr>
      <w:tr w:rsidR="00D87F3C" w14:paraId="0D226845" w14:textId="77777777" w:rsidTr="00613DB9">
        <w:tc>
          <w:tcPr>
            <w:tcW w:w="1620" w:type="dxa"/>
          </w:tcPr>
          <w:p w14:paraId="43A69EBB" w14:textId="77777777" w:rsidR="00D87F3C" w:rsidRDefault="00D87F3C" w:rsidP="00613DB9">
            <w:pPr>
              <w:rPr>
                <w:rFonts w:cs="Arial"/>
              </w:rPr>
            </w:pPr>
            <w:r w:rsidRPr="009F4A71">
              <w:rPr>
                <w:rFonts w:cs="Arial"/>
              </w:rPr>
              <w:t>PMR</w:t>
            </w:r>
          </w:p>
        </w:tc>
        <w:tc>
          <w:tcPr>
            <w:tcW w:w="7730" w:type="dxa"/>
          </w:tcPr>
          <w:p w14:paraId="6A244971" w14:textId="77777777" w:rsidR="00D87F3C" w:rsidRDefault="00D87F3C" w:rsidP="00613DB9">
            <w:pPr>
              <w:rPr>
                <w:rFonts w:cs="Arial"/>
              </w:rPr>
            </w:pPr>
            <w:r>
              <w:rPr>
                <w:rFonts w:cs="Arial"/>
              </w:rPr>
              <w:t>Project Monitoring Report</w:t>
            </w:r>
          </w:p>
        </w:tc>
      </w:tr>
      <w:tr w:rsidR="00D87F3C" w14:paraId="508D2880" w14:textId="77777777" w:rsidTr="00613DB9">
        <w:tc>
          <w:tcPr>
            <w:tcW w:w="1620" w:type="dxa"/>
          </w:tcPr>
          <w:p w14:paraId="7C06C7F9" w14:textId="77777777" w:rsidR="00D87F3C" w:rsidRDefault="00D87F3C" w:rsidP="00613DB9">
            <w:pPr>
              <w:rPr>
                <w:rFonts w:cs="Arial"/>
              </w:rPr>
            </w:pPr>
            <w:r>
              <w:rPr>
                <w:rFonts w:cs="Arial"/>
              </w:rPr>
              <w:t>PPP</w:t>
            </w:r>
          </w:p>
        </w:tc>
        <w:tc>
          <w:tcPr>
            <w:tcW w:w="7730" w:type="dxa"/>
          </w:tcPr>
          <w:p w14:paraId="2B32A268" w14:textId="77777777" w:rsidR="00D87F3C" w:rsidRDefault="00D87F3C" w:rsidP="00613DB9">
            <w:pPr>
              <w:rPr>
                <w:rFonts w:cs="Arial"/>
              </w:rPr>
            </w:pPr>
            <w:r>
              <w:rPr>
                <w:rFonts w:cs="Arial"/>
              </w:rPr>
              <w:t>Public-Private Partnership</w:t>
            </w:r>
          </w:p>
        </w:tc>
      </w:tr>
      <w:tr w:rsidR="00D87F3C" w14:paraId="3ABE6A15" w14:textId="77777777" w:rsidTr="00613DB9">
        <w:tc>
          <w:tcPr>
            <w:tcW w:w="1620" w:type="dxa"/>
          </w:tcPr>
          <w:p w14:paraId="5257A398" w14:textId="77777777" w:rsidR="00D87F3C" w:rsidRDefault="00D87F3C" w:rsidP="00613DB9">
            <w:pPr>
              <w:rPr>
                <w:rFonts w:cs="Arial"/>
              </w:rPr>
            </w:pPr>
            <w:r>
              <w:rPr>
                <w:rFonts w:cs="Arial"/>
              </w:rPr>
              <w:t>PS</w:t>
            </w:r>
          </w:p>
        </w:tc>
        <w:tc>
          <w:tcPr>
            <w:tcW w:w="7730" w:type="dxa"/>
          </w:tcPr>
          <w:p w14:paraId="072BEA0B" w14:textId="77777777" w:rsidR="00D87F3C" w:rsidRDefault="00D87F3C" w:rsidP="00613DB9">
            <w:pPr>
              <w:rPr>
                <w:rFonts w:cs="Arial"/>
              </w:rPr>
            </w:pPr>
            <w:r w:rsidRPr="00A756BC">
              <w:rPr>
                <w:rFonts w:cs="Arial"/>
              </w:rPr>
              <w:t>Permanent Secretary</w:t>
            </w:r>
          </w:p>
        </w:tc>
      </w:tr>
      <w:tr w:rsidR="00D87F3C" w14:paraId="4737A481" w14:textId="77777777" w:rsidTr="00613DB9">
        <w:tc>
          <w:tcPr>
            <w:tcW w:w="1620" w:type="dxa"/>
          </w:tcPr>
          <w:p w14:paraId="35F88969" w14:textId="77777777" w:rsidR="00D87F3C" w:rsidRDefault="00D87F3C" w:rsidP="00613DB9">
            <w:pPr>
              <w:rPr>
                <w:rFonts w:cs="Arial"/>
              </w:rPr>
            </w:pPr>
            <w:r>
              <w:rPr>
                <w:rFonts w:cs="Arial"/>
              </w:rPr>
              <w:t>PSC</w:t>
            </w:r>
          </w:p>
        </w:tc>
        <w:tc>
          <w:tcPr>
            <w:tcW w:w="7730" w:type="dxa"/>
          </w:tcPr>
          <w:p w14:paraId="1ABC5C8F" w14:textId="77777777" w:rsidR="00D87F3C" w:rsidRDefault="00D87F3C" w:rsidP="00613DB9">
            <w:pPr>
              <w:rPr>
                <w:rFonts w:cs="Arial"/>
              </w:rPr>
            </w:pPr>
            <w:r>
              <w:rPr>
                <w:rFonts w:cs="Arial"/>
              </w:rPr>
              <w:t>Program</w:t>
            </w:r>
            <w:r w:rsidRPr="00A756BC">
              <w:rPr>
                <w:rFonts w:cs="Arial"/>
              </w:rPr>
              <w:t xml:space="preserve"> Steering Committee</w:t>
            </w:r>
          </w:p>
        </w:tc>
      </w:tr>
      <w:tr w:rsidR="00D87F3C" w14:paraId="4567A52E" w14:textId="77777777" w:rsidTr="00613DB9">
        <w:tc>
          <w:tcPr>
            <w:tcW w:w="1620" w:type="dxa"/>
          </w:tcPr>
          <w:p w14:paraId="3CAEB870" w14:textId="77777777" w:rsidR="00D87F3C" w:rsidRDefault="00D87F3C" w:rsidP="00613DB9">
            <w:pPr>
              <w:rPr>
                <w:rFonts w:cs="Arial"/>
              </w:rPr>
            </w:pPr>
            <w:r>
              <w:rPr>
                <w:rFonts w:cs="Arial"/>
              </w:rPr>
              <w:t>PTC</w:t>
            </w:r>
          </w:p>
        </w:tc>
        <w:tc>
          <w:tcPr>
            <w:tcW w:w="7730" w:type="dxa"/>
          </w:tcPr>
          <w:p w14:paraId="15E676C8" w14:textId="77777777" w:rsidR="00D87F3C" w:rsidRDefault="00D87F3C" w:rsidP="00613DB9">
            <w:pPr>
              <w:rPr>
                <w:rFonts w:cs="Arial"/>
              </w:rPr>
            </w:pPr>
            <w:r>
              <w:rPr>
                <w:rFonts w:cs="Arial"/>
              </w:rPr>
              <w:t>Program</w:t>
            </w:r>
            <w:r w:rsidRPr="00A756BC">
              <w:rPr>
                <w:rFonts w:cs="Arial"/>
              </w:rPr>
              <w:t xml:space="preserve"> Technical Committee</w:t>
            </w:r>
          </w:p>
        </w:tc>
      </w:tr>
      <w:tr w:rsidR="00D87F3C" w14:paraId="2DC09777" w14:textId="77777777" w:rsidTr="00613DB9">
        <w:tc>
          <w:tcPr>
            <w:tcW w:w="1620" w:type="dxa"/>
          </w:tcPr>
          <w:p w14:paraId="3438BD56" w14:textId="77777777" w:rsidR="00D87F3C" w:rsidRDefault="00D87F3C" w:rsidP="00613DB9">
            <w:pPr>
              <w:rPr>
                <w:rFonts w:cs="Arial"/>
              </w:rPr>
            </w:pPr>
            <w:r>
              <w:rPr>
                <w:rFonts w:cs="Arial"/>
              </w:rPr>
              <w:lastRenderedPageBreak/>
              <w:t>R&amp;D</w:t>
            </w:r>
          </w:p>
        </w:tc>
        <w:tc>
          <w:tcPr>
            <w:tcW w:w="7730" w:type="dxa"/>
          </w:tcPr>
          <w:p w14:paraId="7FC46E18" w14:textId="77777777" w:rsidR="00D87F3C" w:rsidRDefault="00D87F3C" w:rsidP="00613DB9">
            <w:pPr>
              <w:rPr>
                <w:rFonts w:cs="Arial"/>
              </w:rPr>
            </w:pPr>
            <w:r>
              <w:rPr>
                <w:rFonts w:cs="Arial"/>
              </w:rPr>
              <w:t>Research and Development</w:t>
            </w:r>
          </w:p>
        </w:tc>
      </w:tr>
      <w:tr w:rsidR="00D87F3C" w14:paraId="6D5E8737" w14:textId="77777777" w:rsidTr="00613DB9">
        <w:tc>
          <w:tcPr>
            <w:tcW w:w="1620" w:type="dxa"/>
          </w:tcPr>
          <w:p w14:paraId="507F76BD" w14:textId="77777777" w:rsidR="00D87F3C" w:rsidRDefault="00D87F3C" w:rsidP="00613DB9">
            <w:pPr>
              <w:rPr>
                <w:rFonts w:cs="Arial"/>
              </w:rPr>
            </w:pPr>
            <w:r>
              <w:rPr>
                <w:rFonts w:cs="Arial"/>
              </w:rPr>
              <w:t>SUT</w:t>
            </w:r>
          </w:p>
        </w:tc>
        <w:tc>
          <w:tcPr>
            <w:tcW w:w="7730" w:type="dxa"/>
          </w:tcPr>
          <w:p w14:paraId="44FB0794" w14:textId="77777777" w:rsidR="00D87F3C" w:rsidRDefault="00D87F3C" w:rsidP="00613DB9">
            <w:pPr>
              <w:rPr>
                <w:rFonts w:cs="Arial"/>
              </w:rPr>
            </w:pPr>
            <w:r w:rsidRPr="008D3917">
              <w:rPr>
                <w:rFonts w:cs="Arial"/>
                <w:lang w:val="en-029"/>
              </w:rPr>
              <w:t>Supply and Use Table</w:t>
            </w:r>
          </w:p>
        </w:tc>
      </w:tr>
      <w:tr w:rsidR="00D87F3C" w14:paraId="0006518D" w14:textId="77777777" w:rsidTr="00613DB9">
        <w:tc>
          <w:tcPr>
            <w:tcW w:w="1620" w:type="dxa"/>
          </w:tcPr>
          <w:p w14:paraId="5E7629A3" w14:textId="77777777" w:rsidR="00D87F3C" w:rsidRDefault="00D87F3C" w:rsidP="00613DB9">
            <w:pPr>
              <w:rPr>
                <w:rFonts w:cs="Arial"/>
              </w:rPr>
            </w:pPr>
            <w:r>
              <w:rPr>
                <w:rFonts w:cs="Arial"/>
              </w:rPr>
              <w:t>TC</w:t>
            </w:r>
          </w:p>
        </w:tc>
        <w:tc>
          <w:tcPr>
            <w:tcW w:w="7730" w:type="dxa"/>
          </w:tcPr>
          <w:p w14:paraId="76283857" w14:textId="77777777" w:rsidR="00D87F3C" w:rsidRDefault="00D87F3C" w:rsidP="00613DB9">
            <w:pPr>
              <w:rPr>
                <w:rFonts w:cs="Arial"/>
              </w:rPr>
            </w:pPr>
            <w:r>
              <w:rPr>
                <w:rFonts w:cs="Arial"/>
              </w:rPr>
              <w:t>Technical Cooperation</w:t>
            </w:r>
          </w:p>
        </w:tc>
      </w:tr>
      <w:tr w:rsidR="00D87F3C" w14:paraId="3530C215" w14:textId="77777777" w:rsidTr="00613DB9">
        <w:tc>
          <w:tcPr>
            <w:tcW w:w="1620" w:type="dxa"/>
          </w:tcPr>
          <w:p w14:paraId="0D735017" w14:textId="77777777" w:rsidR="00D87F3C" w:rsidRDefault="00D87F3C" w:rsidP="00613DB9">
            <w:pPr>
              <w:rPr>
                <w:rFonts w:cs="Arial"/>
              </w:rPr>
            </w:pPr>
            <w:r>
              <w:rPr>
                <w:rFonts w:cs="Arial"/>
              </w:rPr>
              <w:t>TCDPO</w:t>
            </w:r>
          </w:p>
        </w:tc>
        <w:tc>
          <w:tcPr>
            <w:tcW w:w="7730" w:type="dxa"/>
          </w:tcPr>
          <w:p w14:paraId="1BD428DF" w14:textId="77777777" w:rsidR="00D87F3C" w:rsidRDefault="00D87F3C" w:rsidP="00613DB9">
            <w:pPr>
              <w:rPr>
                <w:rFonts w:cs="Arial"/>
              </w:rPr>
            </w:pPr>
            <w:r w:rsidRPr="009F4A71">
              <w:rPr>
                <w:rFonts w:cs="Arial"/>
              </w:rPr>
              <w:t>Town and Country Planning Development Office</w:t>
            </w:r>
          </w:p>
        </w:tc>
      </w:tr>
      <w:tr w:rsidR="00D87F3C" w14:paraId="3A2DE83D" w14:textId="77777777" w:rsidTr="00613DB9">
        <w:tc>
          <w:tcPr>
            <w:tcW w:w="1620" w:type="dxa"/>
          </w:tcPr>
          <w:p w14:paraId="2A926371" w14:textId="77777777" w:rsidR="00D87F3C" w:rsidRDefault="00D87F3C" w:rsidP="00613DB9">
            <w:pPr>
              <w:rPr>
                <w:rFonts w:cs="Arial"/>
              </w:rPr>
            </w:pPr>
            <w:r>
              <w:rPr>
                <w:rFonts w:cs="Arial"/>
              </w:rPr>
              <w:t>TFA</w:t>
            </w:r>
          </w:p>
        </w:tc>
        <w:tc>
          <w:tcPr>
            <w:tcW w:w="7730" w:type="dxa"/>
          </w:tcPr>
          <w:p w14:paraId="4CFDA849" w14:textId="77777777" w:rsidR="00D87F3C" w:rsidRDefault="00D87F3C" w:rsidP="00613DB9">
            <w:pPr>
              <w:rPr>
                <w:rFonts w:cs="Arial"/>
              </w:rPr>
            </w:pPr>
            <w:r w:rsidRPr="00933CCC">
              <w:rPr>
                <w:rFonts w:cs="Arial"/>
              </w:rPr>
              <w:t>Trade Facilitation</w:t>
            </w:r>
            <w:r>
              <w:rPr>
                <w:rFonts w:cs="Arial"/>
              </w:rPr>
              <w:t xml:space="preserve"> </w:t>
            </w:r>
            <w:r w:rsidRPr="00933CCC">
              <w:rPr>
                <w:rFonts w:cs="Arial"/>
              </w:rPr>
              <w:t>Agreement</w:t>
            </w:r>
          </w:p>
        </w:tc>
      </w:tr>
      <w:tr w:rsidR="00D87F3C" w14:paraId="3A49B29B" w14:textId="77777777" w:rsidTr="00613DB9">
        <w:tc>
          <w:tcPr>
            <w:tcW w:w="1620" w:type="dxa"/>
          </w:tcPr>
          <w:p w14:paraId="0E333F55" w14:textId="77777777" w:rsidR="00D87F3C" w:rsidRDefault="00D87F3C" w:rsidP="00613DB9">
            <w:pPr>
              <w:rPr>
                <w:rFonts w:cs="Arial"/>
              </w:rPr>
            </w:pPr>
            <w:r>
              <w:rPr>
                <w:rFonts w:cs="Arial"/>
              </w:rPr>
              <w:t>TOR</w:t>
            </w:r>
          </w:p>
        </w:tc>
        <w:tc>
          <w:tcPr>
            <w:tcW w:w="7730" w:type="dxa"/>
          </w:tcPr>
          <w:p w14:paraId="5F116B2E" w14:textId="77777777" w:rsidR="00D87F3C" w:rsidRPr="009F4A71" w:rsidRDefault="00D87F3C" w:rsidP="00613DB9">
            <w:pPr>
              <w:rPr>
                <w:rFonts w:cs="Arial"/>
              </w:rPr>
            </w:pPr>
            <w:r>
              <w:rPr>
                <w:rFonts w:cs="Arial"/>
              </w:rPr>
              <w:t>Terms of Reference</w:t>
            </w:r>
          </w:p>
        </w:tc>
      </w:tr>
      <w:tr w:rsidR="00D87F3C" w14:paraId="12AE8056" w14:textId="77777777" w:rsidTr="00613DB9">
        <w:tc>
          <w:tcPr>
            <w:tcW w:w="1620" w:type="dxa"/>
          </w:tcPr>
          <w:p w14:paraId="3855B78E" w14:textId="77777777" w:rsidR="00D87F3C" w:rsidRDefault="00D87F3C" w:rsidP="00613DB9">
            <w:pPr>
              <w:rPr>
                <w:rFonts w:cs="Arial"/>
              </w:rPr>
            </w:pPr>
            <w:r>
              <w:rPr>
                <w:rFonts w:cs="Arial"/>
              </w:rPr>
              <w:t>TU</w:t>
            </w:r>
          </w:p>
        </w:tc>
        <w:tc>
          <w:tcPr>
            <w:tcW w:w="7730" w:type="dxa"/>
          </w:tcPr>
          <w:p w14:paraId="4B6F94DB" w14:textId="77777777" w:rsidR="00D87F3C" w:rsidRDefault="00D87F3C" w:rsidP="00613DB9">
            <w:pPr>
              <w:rPr>
                <w:rFonts w:cs="Arial"/>
              </w:rPr>
            </w:pPr>
            <w:r w:rsidRPr="009F4A71">
              <w:rPr>
                <w:rFonts w:cs="Arial"/>
              </w:rPr>
              <w:t>Technical Unit</w:t>
            </w:r>
          </w:p>
        </w:tc>
      </w:tr>
      <w:tr w:rsidR="00D87F3C" w14:paraId="7D0DE66A" w14:textId="77777777" w:rsidTr="00613DB9">
        <w:tc>
          <w:tcPr>
            <w:tcW w:w="1620" w:type="dxa"/>
          </w:tcPr>
          <w:p w14:paraId="4B7E1080" w14:textId="77777777" w:rsidR="00D87F3C" w:rsidRDefault="00D87F3C" w:rsidP="00613DB9">
            <w:pPr>
              <w:rPr>
                <w:rFonts w:cs="Arial"/>
              </w:rPr>
            </w:pPr>
            <w:r w:rsidRPr="00E37903">
              <w:rPr>
                <w:rFonts w:cs="Arial"/>
              </w:rPr>
              <w:t>US$</w:t>
            </w:r>
          </w:p>
        </w:tc>
        <w:tc>
          <w:tcPr>
            <w:tcW w:w="7730" w:type="dxa"/>
          </w:tcPr>
          <w:p w14:paraId="3E4BCD40" w14:textId="77777777" w:rsidR="00D87F3C" w:rsidRDefault="00D87F3C" w:rsidP="00613DB9">
            <w:pPr>
              <w:rPr>
                <w:rFonts w:cs="Arial"/>
              </w:rPr>
            </w:pPr>
            <w:r>
              <w:rPr>
                <w:rFonts w:cs="Arial"/>
              </w:rPr>
              <w:t>United States Dollar</w:t>
            </w:r>
          </w:p>
        </w:tc>
      </w:tr>
      <w:tr w:rsidR="00D87F3C" w14:paraId="09B14BFD" w14:textId="77777777" w:rsidTr="00613DB9">
        <w:tc>
          <w:tcPr>
            <w:tcW w:w="1620" w:type="dxa"/>
          </w:tcPr>
          <w:p w14:paraId="194D6C5E" w14:textId="77777777" w:rsidR="00D87F3C" w:rsidRDefault="00D87F3C" w:rsidP="00613DB9">
            <w:pPr>
              <w:rPr>
                <w:rFonts w:cs="Arial"/>
              </w:rPr>
            </w:pPr>
            <w:r>
              <w:rPr>
                <w:rFonts w:cs="Arial"/>
              </w:rPr>
              <w:t>VAT</w:t>
            </w:r>
          </w:p>
        </w:tc>
        <w:tc>
          <w:tcPr>
            <w:tcW w:w="7730" w:type="dxa"/>
          </w:tcPr>
          <w:p w14:paraId="4A430F5D" w14:textId="77777777" w:rsidR="00D87F3C" w:rsidRDefault="00D87F3C" w:rsidP="00613DB9">
            <w:pPr>
              <w:rPr>
                <w:rFonts w:cs="Arial"/>
              </w:rPr>
            </w:pPr>
            <w:r>
              <w:rPr>
                <w:rFonts w:cs="Arial"/>
              </w:rPr>
              <w:t>Value Added Tax</w:t>
            </w:r>
          </w:p>
        </w:tc>
      </w:tr>
      <w:tr w:rsidR="00D87F3C" w14:paraId="19FCA472" w14:textId="77777777" w:rsidTr="00613DB9">
        <w:tc>
          <w:tcPr>
            <w:tcW w:w="1620" w:type="dxa"/>
          </w:tcPr>
          <w:p w14:paraId="71BCDD48" w14:textId="77777777" w:rsidR="00D87F3C" w:rsidRDefault="00D87F3C" w:rsidP="00613DB9">
            <w:pPr>
              <w:rPr>
                <w:rFonts w:cs="Arial"/>
              </w:rPr>
            </w:pPr>
            <w:r>
              <w:rPr>
                <w:rFonts w:cs="Arial"/>
              </w:rPr>
              <w:t>WEF</w:t>
            </w:r>
          </w:p>
        </w:tc>
        <w:tc>
          <w:tcPr>
            <w:tcW w:w="7730" w:type="dxa"/>
          </w:tcPr>
          <w:p w14:paraId="75821215" w14:textId="77777777" w:rsidR="00D87F3C" w:rsidRDefault="00D87F3C" w:rsidP="00613DB9">
            <w:pPr>
              <w:rPr>
                <w:rFonts w:cs="Arial"/>
              </w:rPr>
            </w:pPr>
            <w:r>
              <w:rPr>
                <w:rFonts w:cs="Arial"/>
              </w:rPr>
              <w:t>World Economic Forum</w:t>
            </w:r>
          </w:p>
        </w:tc>
      </w:tr>
      <w:tr w:rsidR="00D87F3C" w14:paraId="2300DDD5" w14:textId="77777777" w:rsidTr="00613DB9">
        <w:tc>
          <w:tcPr>
            <w:tcW w:w="1620" w:type="dxa"/>
          </w:tcPr>
          <w:p w14:paraId="0C3D63C9" w14:textId="77777777" w:rsidR="00D87F3C" w:rsidRDefault="00D87F3C" w:rsidP="00613DB9">
            <w:pPr>
              <w:rPr>
                <w:rFonts w:cs="Arial"/>
              </w:rPr>
            </w:pPr>
            <w:r>
              <w:rPr>
                <w:rFonts w:cs="Arial"/>
              </w:rPr>
              <w:t>WTO</w:t>
            </w:r>
          </w:p>
        </w:tc>
        <w:tc>
          <w:tcPr>
            <w:tcW w:w="7730" w:type="dxa"/>
          </w:tcPr>
          <w:p w14:paraId="2A29DC9B" w14:textId="77777777" w:rsidR="00D87F3C" w:rsidRDefault="00D87F3C" w:rsidP="00613DB9">
            <w:pPr>
              <w:rPr>
                <w:rFonts w:cs="Arial"/>
              </w:rPr>
            </w:pPr>
            <w:r>
              <w:rPr>
                <w:rFonts w:cs="Arial"/>
              </w:rPr>
              <w:t>World Trade Organization</w:t>
            </w:r>
          </w:p>
        </w:tc>
      </w:tr>
    </w:tbl>
    <w:p w14:paraId="77026401" w14:textId="637286E5" w:rsidR="009B4D7A" w:rsidRDefault="009B4D7A" w:rsidP="009B4D7A">
      <w:pPr>
        <w:rPr>
          <w:rFonts w:cs="Arial"/>
        </w:rPr>
      </w:pPr>
    </w:p>
    <w:p w14:paraId="31C38189" w14:textId="77777777" w:rsidR="007B1A36" w:rsidRDefault="007B1A36">
      <w:pPr>
        <w:spacing w:after="200" w:line="276" w:lineRule="auto"/>
        <w:rPr>
          <w:rFonts w:eastAsia="Times New Roman" w:cs="Arial"/>
          <w:b/>
          <w:bCs/>
        </w:rPr>
      </w:pPr>
      <w:r>
        <w:rPr>
          <w:rFonts w:eastAsia="Times New Roman" w:cs="Arial"/>
          <w:b/>
          <w:bCs/>
        </w:rPr>
        <w:br w:type="page"/>
      </w:r>
    </w:p>
    <w:p w14:paraId="344D3252" w14:textId="77777777" w:rsidR="009B4D7A" w:rsidRDefault="009B4D7A" w:rsidP="009B4D7A">
      <w:pPr>
        <w:pStyle w:val="Heading1"/>
        <w:numPr>
          <w:ilvl w:val="0"/>
          <w:numId w:val="0"/>
        </w:numPr>
        <w:jc w:val="center"/>
        <w:rPr>
          <w:rFonts w:ascii="Arial Black" w:hAnsi="Arial Black" w:cs="Arial"/>
          <w:smallCaps/>
          <w:color w:val="5F7D96"/>
          <w:sz w:val="26"/>
          <w:szCs w:val="26"/>
        </w:rPr>
      </w:pPr>
      <w:bookmarkStart w:id="4" w:name="_Toc500317959"/>
      <w:r>
        <w:rPr>
          <w:rFonts w:ascii="Arial Black" w:hAnsi="Arial Black" w:cs="Arial"/>
          <w:smallCaps/>
          <w:color w:val="5F7D96"/>
          <w:sz w:val="26"/>
          <w:szCs w:val="26"/>
        </w:rPr>
        <w:lastRenderedPageBreak/>
        <w:t>Basic Information (US$ Amount)</w:t>
      </w:r>
      <w:bookmarkEnd w:id="4"/>
    </w:p>
    <w:tbl>
      <w:tblPr>
        <w:tblStyle w:val="TableGrid"/>
        <w:tblW w:w="0" w:type="auto"/>
        <w:tblInd w:w="0" w:type="dxa"/>
        <w:tblBorders>
          <w:insideH w:val="none" w:sz="0" w:space="0" w:color="auto"/>
          <w:insideV w:val="none" w:sz="0" w:space="0" w:color="auto"/>
        </w:tblBorders>
        <w:tblLook w:val="04A0" w:firstRow="1" w:lastRow="0" w:firstColumn="1" w:lastColumn="0" w:noHBand="0" w:noVBand="1"/>
      </w:tblPr>
      <w:tblGrid>
        <w:gridCol w:w="9350"/>
      </w:tblGrid>
      <w:tr w:rsidR="00D87F3C" w14:paraId="0AFC0B4B" w14:textId="77777777" w:rsidTr="00D87F3C">
        <w:tc>
          <w:tcPr>
            <w:tcW w:w="9350" w:type="dxa"/>
            <w:tcBorders>
              <w:top w:val="single" w:sz="4" w:space="0" w:color="auto"/>
              <w:left w:val="single" w:sz="4" w:space="0" w:color="auto"/>
              <w:bottom w:val="nil"/>
              <w:right w:val="single" w:sz="4" w:space="0" w:color="auto"/>
            </w:tcBorders>
            <w:shd w:val="clear" w:color="auto" w:fill="DBE5F1" w:themeFill="accent1" w:themeFillTint="33"/>
            <w:hideMark/>
          </w:tcPr>
          <w:p w14:paraId="10904D8E" w14:textId="4B72FE30" w:rsidR="00D87F3C" w:rsidRDefault="00D87F3C" w:rsidP="00D87F3C">
            <w:pPr>
              <w:rPr>
                <w:rFonts w:cs="Arial"/>
                <w:bCs/>
                <w:smallCaps/>
                <w:sz w:val="20"/>
                <w:szCs w:val="20"/>
              </w:rPr>
            </w:pPr>
            <w:r w:rsidRPr="00C06B07">
              <w:rPr>
                <w:rFonts w:cs="Arial"/>
                <w:bCs/>
                <w:smallCaps/>
                <w:sz w:val="20"/>
                <w:szCs w:val="20"/>
              </w:rPr>
              <w:t>Project number (s):</w:t>
            </w:r>
            <w:r>
              <w:rPr>
                <w:rFonts w:cs="Arial"/>
                <w:bCs/>
                <w:smallCaps/>
                <w:sz w:val="20"/>
                <w:szCs w:val="20"/>
              </w:rPr>
              <w:t xml:space="preserve"> BA-L1007</w:t>
            </w:r>
          </w:p>
        </w:tc>
      </w:tr>
      <w:tr w:rsidR="00D87F3C" w14:paraId="6A0B378A"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0249F366" w14:textId="1140D1EA" w:rsidR="00D87F3C" w:rsidRDefault="00D87F3C" w:rsidP="00D87F3C">
            <w:pPr>
              <w:rPr>
                <w:rFonts w:cs="Arial"/>
                <w:smallCaps/>
                <w:sz w:val="20"/>
                <w:szCs w:val="20"/>
              </w:rPr>
            </w:pPr>
            <w:r w:rsidRPr="00C06B07">
              <w:rPr>
                <w:rFonts w:cs="Arial"/>
                <w:smallCaps/>
                <w:sz w:val="20"/>
                <w:szCs w:val="20"/>
              </w:rPr>
              <w:t>Title:</w:t>
            </w:r>
            <w:r>
              <w:rPr>
                <w:rFonts w:cs="Arial"/>
                <w:smallCaps/>
                <w:sz w:val="20"/>
                <w:szCs w:val="20"/>
              </w:rPr>
              <w:t xml:space="preserve"> Barbados Competitiveness Programme</w:t>
            </w:r>
          </w:p>
        </w:tc>
      </w:tr>
      <w:tr w:rsidR="00D87F3C" w14:paraId="07FDE328"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4B5E9EC6" w14:textId="692163F0" w:rsidR="00D87F3C" w:rsidRDefault="00D87F3C" w:rsidP="00D87F3C">
            <w:pPr>
              <w:rPr>
                <w:rFonts w:cs="Arial"/>
                <w:smallCaps/>
                <w:sz w:val="20"/>
                <w:szCs w:val="20"/>
              </w:rPr>
            </w:pPr>
            <w:r w:rsidRPr="00C06B07">
              <w:rPr>
                <w:rFonts w:cs="Arial"/>
                <w:smallCaps/>
                <w:sz w:val="20"/>
                <w:szCs w:val="20"/>
              </w:rPr>
              <w:t>Lending Instrument:</w:t>
            </w:r>
            <w:r>
              <w:rPr>
                <w:rFonts w:cs="Arial"/>
                <w:smallCaps/>
                <w:sz w:val="20"/>
                <w:szCs w:val="20"/>
              </w:rPr>
              <w:t xml:space="preserve"> Investment Loan</w:t>
            </w:r>
          </w:p>
        </w:tc>
      </w:tr>
      <w:tr w:rsidR="00D87F3C" w14:paraId="4A9C8A1F"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3200251D" w14:textId="4E30CBC2" w:rsidR="00D87F3C" w:rsidRDefault="00D87F3C" w:rsidP="00D87F3C">
            <w:pPr>
              <w:rPr>
                <w:rFonts w:cs="Arial"/>
                <w:smallCaps/>
                <w:sz w:val="20"/>
                <w:szCs w:val="20"/>
              </w:rPr>
            </w:pPr>
            <w:r w:rsidRPr="00C06B07">
              <w:rPr>
                <w:rFonts w:cs="Arial"/>
                <w:smallCaps/>
                <w:sz w:val="20"/>
                <w:szCs w:val="20"/>
              </w:rPr>
              <w:t>Country:</w:t>
            </w:r>
            <w:r>
              <w:rPr>
                <w:rFonts w:cs="Arial"/>
                <w:smallCaps/>
                <w:sz w:val="20"/>
                <w:szCs w:val="20"/>
              </w:rPr>
              <w:t xml:space="preserve"> Barbados</w:t>
            </w:r>
          </w:p>
        </w:tc>
      </w:tr>
      <w:tr w:rsidR="00D87F3C" w14:paraId="295D4E19"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726BB720" w14:textId="14083764" w:rsidR="00D87F3C" w:rsidRDefault="00D87F3C" w:rsidP="00D87F3C">
            <w:pPr>
              <w:rPr>
                <w:rFonts w:cs="Arial"/>
                <w:smallCaps/>
                <w:sz w:val="20"/>
                <w:szCs w:val="20"/>
              </w:rPr>
            </w:pPr>
            <w:r w:rsidRPr="00C06B07">
              <w:rPr>
                <w:rFonts w:cs="Arial"/>
                <w:smallCaps/>
                <w:sz w:val="20"/>
                <w:szCs w:val="20"/>
              </w:rPr>
              <w:t>Borrower:</w:t>
            </w:r>
            <w:r>
              <w:rPr>
                <w:rFonts w:cs="Arial"/>
                <w:smallCaps/>
                <w:sz w:val="20"/>
                <w:szCs w:val="20"/>
              </w:rPr>
              <w:t xml:space="preserve"> Ministry of Finance and Economic Affairs</w:t>
            </w:r>
          </w:p>
        </w:tc>
      </w:tr>
      <w:tr w:rsidR="00D87F3C" w14:paraId="7235CCB8"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7B89D824" w14:textId="65116932" w:rsidR="00D87F3C" w:rsidRDefault="00D87F3C" w:rsidP="00D87F3C">
            <w:pPr>
              <w:rPr>
                <w:rFonts w:cs="Arial"/>
                <w:smallCaps/>
                <w:sz w:val="20"/>
                <w:szCs w:val="20"/>
              </w:rPr>
            </w:pPr>
            <w:r w:rsidRPr="00C06B07">
              <w:rPr>
                <w:rFonts w:cs="Arial"/>
                <w:smallCaps/>
                <w:sz w:val="20"/>
                <w:szCs w:val="20"/>
              </w:rPr>
              <w:t>Loan (s):</w:t>
            </w:r>
            <w:r>
              <w:rPr>
                <w:rFonts w:cs="Arial"/>
                <w:smallCaps/>
                <w:sz w:val="20"/>
                <w:szCs w:val="20"/>
              </w:rPr>
              <w:t xml:space="preserve"> </w:t>
            </w:r>
            <w:r w:rsidRPr="00332949">
              <w:rPr>
                <w:rFonts w:cs="Arial"/>
                <w:smallCaps/>
                <w:sz w:val="20"/>
                <w:szCs w:val="20"/>
              </w:rPr>
              <w:t>2278/OC-BA</w:t>
            </w:r>
          </w:p>
        </w:tc>
      </w:tr>
      <w:tr w:rsidR="00D87F3C" w14:paraId="1471C863"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14FBA190" w14:textId="0427103A" w:rsidR="00D87F3C" w:rsidRDefault="00D87F3C" w:rsidP="00D87F3C">
            <w:pPr>
              <w:rPr>
                <w:rFonts w:cs="Arial"/>
                <w:smallCaps/>
                <w:sz w:val="20"/>
                <w:szCs w:val="20"/>
              </w:rPr>
            </w:pPr>
            <w:r w:rsidRPr="00C06B07">
              <w:rPr>
                <w:rFonts w:cs="Arial"/>
                <w:smallCaps/>
                <w:sz w:val="20"/>
                <w:szCs w:val="20"/>
              </w:rPr>
              <w:t>Sector/Subsector:</w:t>
            </w:r>
            <w:r>
              <w:rPr>
                <w:rFonts w:cs="Arial"/>
                <w:smallCaps/>
                <w:sz w:val="20"/>
                <w:szCs w:val="20"/>
              </w:rPr>
              <w:t xml:space="preserve"> </w:t>
            </w:r>
            <w:r w:rsidRPr="00332949">
              <w:rPr>
                <w:rFonts w:cs="Arial"/>
                <w:smallCaps/>
                <w:sz w:val="20"/>
                <w:szCs w:val="20"/>
              </w:rPr>
              <w:t>P</w:t>
            </w:r>
            <w:r>
              <w:rPr>
                <w:rFonts w:cs="Arial"/>
                <w:smallCaps/>
                <w:sz w:val="20"/>
                <w:szCs w:val="20"/>
              </w:rPr>
              <w:t>rivate Firms and SME Development/Business Climate and Competitiveness</w:t>
            </w:r>
          </w:p>
        </w:tc>
      </w:tr>
      <w:tr w:rsidR="00D87F3C" w14:paraId="535B0C3A" w14:textId="77777777" w:rsidTr="00D87F3C">
        <w:tc>
          <w:tcPr>
            <w:tcW w:w="9350" w:type="dxa"/>
            <w:tcBorders>
              <w:top w:val="nil"/>
              <w:left w:val="single" w:sz="4" w:space="0" w:color="auto"/>
              <w:bottom w:val="nil"/>
              <w:right w:val="single" w:sz="4" w:space="0" w:color="auto"/>
            </w:tcBorders>
          </w:tcPr>
          <w:p w14:paraId="6C2144D8" w14:textId="77777777" w:rsidR="00D87F3C" w:rsidRDefault="00D87F3C" w:rsidP="00D87F3C">
            <w:pPr>
              <w:rPr>
                <w:rFonts w:cs="Arial"/>
                <w:sz w:val="20"/>
                <w:szCs w:val="20"/>
              </w:rPr>
            </w:pPr>
          </w:p>
        </w:tc>
      </w:tr>
      <w:tr w:rsidR="00D87F3C" w14:paraId="43CE7F32" w14:textId="77777777" w:rsidTr="00D87F3C">
        <w:tc>
          <w:tcPr>
            <w:tcW w:w="9350" w:type="dxa"/>
            <w:tcBorders>
              <w:top w:val="nil"/>
              <w:left w:val="single" w:sz="4" w:space="0" w:color="auto"/>
              <w:bottom w:val="nil"/>
              <w:right w:val="single" w:sz="4" w:space="0" w:color="auto"/>
            </w:tcBorders>
            <w:shd w:val="clear" w:color="auto" w:fill="F2F2F2" w:themeFill="background1" w:themeFillShade="F2"/>
            <w:hideMark/>
          </w:tcPr>
          <w:p w14:paraId="66F0ED5A" w14:textId="285D2EFB" w:rsidR="00D87F3C" w:rsidRDefault="00D87F3C" w:rsidP="00D87F3C">
            <w:pPr>
              <w:rPr>
                <w:rFonts w:cs="Arial"/>
                <w:smallCaps/>
                <w:sz w:val="20"/>
                <w:szCs w:val="20"/>
              </w:rPr>
            </w:pPr>
            <w:r w:rsidRPr="00C06B07">
              <w:rPr>
                <w:rFonts w:cs="Arial"/>
                <w:smallCaps/>
                <w:sz w:val="20"/>
                <w:szCs w:val="20"/>
              </w:rPr>
              <w:t>Date of Board Approval:</w:t>
            </w:r>
            <w:r>
              <w:rPr>
                <w:rFonts w:cs="Arial"/>
                <w:smallCaps/>
                <w:sz w:val="20"/>
                <w:szCs w:val="20"/>
              </w:rPr>
              <w:t xml:space="preserve"> December 15, 2009</w:t>
            </w:r>
          </w:p>
        </w:tc>
      </w:tr>
      <w:tr w:rsidR="00D87F3C" w14:paraId="66F5B796" w14:textId="77777777" w:rsidTr="00D87F3C">
        <w:tc>
          <w:tcPr>
            <w:tcW w:w="9350" w:type="dxa"/>
            <w:tcBorders>
              <w:top w:val="nil"/>
              <w:left w:val="single" w:sz="4" w:space="0" w:color="auto"/>
              <w:bottom w:val="nil"/>
              <w:right w:val="single" w:sz="4" w:space="0" w:color="auto"/>
            </w:tcBorders>
            <w:shd w:val="clear" w:color="auto" w:fill="F2F2F2" w:themeFill="background1" w:themeFillShade="F2"/>
            <w:hideMark/>
          </w:tcPr>
          <w:p w14:paraId="63F27169" w14:textId="467164C5" w:rsidR="00D87F3C" w:rsidRDefault="00D87F3C" w:rsidP="00D87F3C">
            <w:pPr>
              <w:rPr>
                <w:rFonts w:cs="Arial"/>
                <w:smallCaps/>
                <w:sz w:val="20"/>
                <w:szCs w:val="20"/>
              </w:rPr>
            </w:pPr>
            <w:r w:rsidRPr="00C06B07">
              <w:rPr>
                <w:rFonts w:cs="Arial"/>
                <w:smallCaps/>
                <w:sz w:val="20"/>
                <w:szCs w:val="20"/>
              </w:rPr>
              <w:t xml:space="preserve">Date of Loan Contract Effectiveness: </w:t>
            </w:r>
            <w:r>
              <w:rPr>
                <w:rFonts w:cs="Arial"/>
                <w:smallCaps/>
                <w:sz w:val="20"/>
                <w:szCs w:val="20"/>
              </w:rPr>
              <w:t>March 21, 2010</w:t>
            </w:r>
          </w:p>
        </w:tc>
      </w:tr>
      <w:tr w:rsidR="00D87F3C" w14:paraId="01AD50AB" w14:textId="77777777" w:rsidTr="00D87F3C">
        <w:tc>
          <w:tcPr>
            <w:tcW w:w="9350" w:type="dxa"/>
            <w:tcBorders>
              <w:top w:val="nil"/>
              <w:left w:val="single" w:sz="4" w:space="0" w:color="auto"/>
              <w:bottom w:val="nil"/>
              <w:right w:val="single" w:sz="4" w:space="0" w:color="auto"/>
            </w:tcBorders>
            <w:shd w:val="clear" w:color="auto" w:fill="F2F2F2" w:themeFill="background1" w:themeFillShade="F2"/>
            <w:hideMark/>
          </w:tcPr>
          <w:p w14:paraId="7B90EBA7" w14:textId="62C48D7D" w:rsidR="00D87F3C" w:rsidRDefault="00D87F3C" w:rsidP="00D87F3C">
            <w:pPr>
              <w:rPr>
                <w:rFonts w:cs="Arial"/>
                <w:smallCaps/>
                <w:sz w:val="20"/>
                <w:szCs w:val="20"/>
              </w:rPr>
            </w:pPr>
            <w:r w:rsidRPr="00C06B07">
              <w:rPr>
                <w:rFonts w:cs="Arial"/>
                <w:smallCaps/>
                <w:sz w:val="20"/>
                <w:szCs w:val="20"/>
              </w:rPr>
              <w:t>Date of Eligibility for First Disbursement:</w:t>
            </w:r>
            <w:r>
              <w:rPr>
                <w:rFonts w:cs="Arial"/>
                <w:smallCaps/>
                <w:sz w:val="20"/>
                <w:szCs w:val="20"/>
              </w:rPr>
              <w:t xml:space="preserve"> September 27, 2010</w:t>
            </w:r>
          </w:p>
        </w:tc>
      </w:tr>
      <w:tr w:rsidR="00D87F3C" w14:paraId="1FB91CE9" w14:textId="77777777" w:rsidTr="00D87F3C">
        <w:tc>
          <w:tcPr>
            <w:tcW w:w="9350" w:type="dxa"/>
            <w:tcBorders>
              <w:top w:val="nil"/>
              <w:left w:val="single" w:sz="4" w:space="0" w:color="auto"/>
              <w:bottom w:val="nil"/>
              <w:right w:val="single" w:sz="4" w:space="0" w:color="auto"/>
            </w:tcBorders>
          </w:tcPr>
          <w:p w14:paraId="70FC7248" w14:textId="77777777" w:rsidR="00D87F3C" w:rsidRDefault="00D87F3C" w:rsidP="00D87F3C">
            <w:pPr>
              <w:rPr>
                <w:rFonts w:cs="Arial"/>
                <w:sz w:val="20"/>
                <w:szCs w:val="20"/>
                <w:u w:val="single"/>
              </w:rPr>
            </w:pPr>
          </w:p>
        </w:tc>
      </w:tr>
      <w:tr w:rsidR="00D87F3C" w14:paraId="05E87581"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1B96DEA7" w14:textId="0585CBF9" w:rsidR="00D87F3C" w:rsidRDefault="00D87F3C" w:rsidP="00D87F3C">
            <w:pPr>
              <w:rPr>
                <w:rFonts w:cs="Arial"/>
                <w:smallCaps/>
                <w:sz w:val="20"/>
                <w:szCs w:val="20"/>
                <w:u w:val="single"/>
              </w:rPr>
            </w:pPr>
            <w:r w:rsidRPr="00C06B07">
              <w:rPr>
                <w:rFonts w:cs="Arial"/>
                <w:smallCaps/>
                <w:sz w:val="20"/>
                <w:szCs w:val="20"/>
                <w:u w:val="single"/>
              </w:rPr>
              <w:t>Loan Amount (s)</w:t>
            </w:r>
          </w:p>
        </w:tc>
      </w:tr>
      <w:tr w:rsidR="00D87F3C" w14:paraId="41423DC4"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41F07841" w14:textId="78CAB2BD" w:rsidR="00D87F3C" w:rsidRDefault="00D87F3C" w:rsidP="00D87F3C">
            <w:pPr>
              <w:rPr>
                <w:rFonts w:cs="Arial"/>
                <w:smallCaps/>
                <w:sz w:val="20"/>
                <w:szCs w:val="20"/>
              </w:rPr>
            </w:pPr>
            <w:r w:rsidRPr="00C06B07">
              <w:rPr>
                <w:rFonts w:cs="Arial"/>
                <w:smallCaps/>
                <w:sz w:val="20"/>
                <w:szCs w:val="20"/>
              </w:rPr>
              <w:t>Original Amount:</w:t>
            </w:r>
            <w:r>
              <w:rPr>
                <w:rFonts w:cs="Arial"/>
                <w:smallCaps/>
                <w:sz w:val="20"/>
                <w:szCs w:val="20"/>
              </w:rPr>
              <w:t xml:space="preserve"> US$10,000,000</w:t>
            </w:r>
          </w:p>
        </w:tc>
      </w:tr>
      <w:tr w:rsidR="00D87F3C" w14:paraId="61E97411"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25484E1D" w14:textId="62DE9F35" w:rsidR="00D87F3C" w:rsidRDefault="00D87F3C" w:rsidP="00D87F3C">
            <w:pPr>
              <w:rPr>
                <w:rFonts w:cs="Arial"/>
                <w:smallCaps/>
                <w:sz w:val="20"/>
                <w:szCs w:val="20"/>
              </w:rPr>
            </w:pPr>
            <w:r w:rsidRPr="00C06B07">
              <w:rPr>
                <w:rFonts w:cs="Arial"/>
                <w:smallCaps/>
                <w:sz w:val="20"/>
                <w:szCs w:val="20"/>
              </w:rPr>
              <w:t>Current Amount:</w:t>
            </w:r>
            <w:r>
              <w:rPr>
                <w:rFonts w:cs="Arial"/>
                <w:smallCaps/>
                <w:sz w:val="20"/>
                <w:szCs w:val="20"/>
              </w:rPr>
              <w:t xml:space="preserve"> US$</w:t>
            </w:r>
            <w:r w:rsidRPr="00332949">
              <w:rPr>
                <w:rFonts w:cs="Arial"/>
                <w:smallCaps/>
                <w:sz w:val="20"/>
                <w:szCs w:val="20"/>
              </w:rPr>
              <w:t>8,561,707</w:t>
            </w:r>
          </w:p>
        </w:tc>
      </w:tr>
      <w:tr w:rsidR="00D87F3C" w14:paraId="02F567E2"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54169F98" w14:textId="272A06A8" w:rsidR="00D87F3C" w:rsidRDefault="00D87F3C" w:rsidP="00D87F3C">
            <w:pPr>
              <w:rPr>
                <w:rFonts w:cs="Arial"/>
                <w:smallCaps/>
                <w:sz w:val="20"/>
                <w:szCs w:val="20"/>
              </w:rPr>
            </w:pPr>
            <w:r w:rsidRPr="00C06B07">
              <w:rPr>
                <w:rFonts w:cs="Arial"/>
                <w:smallCaps/>
                <w:sz w:val="20"/>
                <w:szCs w:val="20"/>
              </w:rPr>
              <w:t>Pari Passu:</w:t>
            </w:r>
            <w:r>
              <w:rPr>
                <w:rFonts w:cs="Arial"/>
                <w:smallCaps/>
                <w:sz w:val="20"/>
                <w:szCs w:val="20"/>
              </w:rPr>
              <w:t xml:space="preserve"> US$</w:t>
            </w:r>
            <w:r w:rsidRPr="00332949">
              <w:rPr>
                <w:rFonts w:cs="Arial"/>
                <w:smallCaps/>
                <w:sz w:val="20"/>
                <w:szCs w:val="20"/>
              </w:rPr>
              <w:t>1,800,000</w:t>
            </w:r>
          </w:p>
        </w:tc>
      </w:tr>
      <w:tr w:rsidR="00D87F3C" w14:paraId="3D974814"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1B9EFE87" w14:textId="5B131A6B" w:rsidR="00D87F3C" w:rsidRDefault="00D87F3C" w:rsidP="00D87F3C">
            <w:pPr>
              <w:rPr>
                <w:rFonts w:cs="Arial"/>
                <w:smallCaps/>
                <w:sz w:val="20"/>
                <w:szCs w:val="20"/>
              </w:rPr>
            </w:pPr>
            <w:r w:rsidRPr="00C06B07">
              <w:rPr>
                <w:rFonts w:cs="Arial"/>
                <w:smallCaps/>
                <w:sz w:val="20"/>
                <w:szCs w:val="20"/>
              </w:rPr>
              <w:t>Total Project Cost:</w:t>
            </w:r>
            <w:r>
              <w:rPr>
                <w:rFonts w:cs="Arial"/>
                <w:smallCaps/>
                <w:sz w:val="20"/>
                <w:szCs w:val="20"/>
              </w:rPr>
              <w:t xml:space="preserve"> US$</w:t>
            </w:r>
            <w:r w:rsidRPr="00332949">
              <w:rPr>
                <w:rFonts w:cs="Arial"/>
                <w:smallCaps/>
                <w:sz w:val="20"/>
                <w:szCs w:val="20"/>
              </w:rPr>
              <w:t>10,361,707</w:t>
            </w:r>
          </w:p>
        </w:tc>
      </w:tr>
      <w:tr w:rsidR="00D87F3C" w14:paraId="0CCA6810" w14:textId="77777777" w:rsidTr="00D87F3C">
        <w:tc>
          <w:tcPr>
            <w:tcW w:w="9350" w:type="dxa"/>
            <w:tcBorders>
              <w:top w:val="nil"/>
              <w:left w:val="single" w:sz="4" w:space="0" w:color="auto"/>
              <w:bottom w:val="nil"/>
              <w:right w:val="single" w:sz="4" w:space="0" w:color="auto"/>
            </w:tcBorders>
          </w:tcPr>
          <w:p w14:paraId="6FB4F93C" w14:textId="77777777" w:rsidR="00D87F3C" w:rsidRDefault="00D87F3C" w:rsidP="00D87F3C">
            <w:pPr>
              <w:rPr>
                <w:rFonts w:cs="Arial"/>
                <w:sz w:val="20"/>
                <w:szCs w:val="20"/>
              </w:rPr>
            </w:pPr>
          </w:p>
        </w:tc>
      </w:tr>
      <w:tr w:rsidR="00D87F3C" w14:paraId="408A53B5" w14:textId="77777777" w:rsidTr="00D87F3C">
        <w:tc>
          <w:tcPr>
            <w:tcW w:w="9350" w:type="dxa"/>
            <w:tcBorders>
              <w:top w:val="nil"/>
              <w:left w:val="single" w:sz="4" w:space="0" w:color="auto"/>
              <w:bottom w:val="nil"/>
              <w:right w:val="single" w:sz="4" w:space="0" w:color="auto"/>
            </w:tcBorders>
            <w:shd w:val="clear" w:color="auto" w:fill="F2F2F2" w:themeFill="background1" w:themeFillShade="F2"/>
            <w:hideMark/>
          </w:tcPr>
          <w:p w14:paraId="4C06EBA1" w14:textId="427D239B" w:rsidR="00D87F3C" w:rsidRDefault="00D87F3C" w:rsidP="00D87F3C">
            <w:pPr>
              <w:rPr>
                <w:rFonts w:cs="Arial"/>
                <w:smallCaps/>
                <w:sz w:val="20"/>
                <w:szCs w:val="20"/>
                <w:u w:val="single"/>
              </w:rPr>
            </w:pPr>
            <w:r w:rsidRPr="00C06B07">
              <w:rPr>
                <w:rFonts w:cs="Arial"/>
                <w:smallCaps/>
                <w:sz w:val="20"/>
                <w:szCs w:val="20"/>
                <w:u w:val="single"/>
              </w:rPr>
              <w:t>Months in execution</w:t>
            </w:r>
          </w:p>
        </w:tc>
      </w:tr>
      <w:tr w:rsidR="00D87F3C" w14:paraId="2172AE08" w14:textId="77777777" w:rsidTr="00D87F3C">
        <w:tc>
          <w:tcPr>
            <w:tcW w:w="9350" w:type="dxa"/>
            <w:tcBorders>
              <w:top w:val="nil"/>
              <w:left w:val="single" w:sz="4" w:space="0" w:color="auto"/>
              <w:bottom w:val="nil"/>
              <w:right w:val="single" w:sz="4" w:space="0" w:color="auto"/>
            </w:tcBorders>
            <w:shd w:val="clear" w:color="auto" w:fill="F2F2F2" w:themeFill="background1" w:themeFillShade="F2"/>
            <w:hideMark/>
          </w:tcPr>
          <w:p w14:paraId="15BA26E4" w14:textId="05AAA913" w:rsidR="00D87F3C" w:rsidRDefault="00D87F3C" w:rsidP="00D87F3C">
            <w:pPr>
              <w:rPr>
                <w:rFonts w:cs="Arial"/>
                <w:smallCaps/>
                <w:sz w:val="20"/>
                <w:szCs w:val="20"/>
              </w:rPr>
            </w:pPr>
            <w:r w:rsidRPr="00C06B07">
              <w:rPr>
                <w:rFonts w:cs="Arial"/>
                <w:smallCaps/>
                <w:sz w:val="20"/>
                <w:szCs w:val="20"/>
              </w:rPr>
              <w:t>From Approval:</w:t>
            </w:r>
            <w:r>
              <w:rPr>
                <w:rFonts w:cs="Arial"/>
                <w:smallCaps/>
                <w:sz w:val="20"/>
                <w:szCs w:val="20"/>
              </w:rPr>
              <w:t xml:space="preserve"> 84</w:t>
            </w:r>
          </w:p>
        </w:tc>
      </w:tr>
      <w:tr w:rsidR="00D87F3C" w14:paraId="3E98EF9A" w14:textId="77777777" w:rsidTr="00D87F3C">
        <w:tc>
          <w:tcPr>
            <w:tcW w:w="9350" w:type="dxa"/>
            <w:tcBorders>
              <w:top w:val="nil"/>
              <w:left w:val="single" w:sz="4" w:space="0" w:color="auto"/>
              <w:bottom w:val="nil"/>
              <w:right w:val="single" w:sz="4" w:space="0" w:color="auto"/>
            </w:tcBorders>
            <w:shd w:val="clear" w:color="auto" w:fill="F2F2F2" w:themeFill="background1" w:themeFillShade="F2"/>
            <w:hideMark/>
          </w:tcPr>
          <w:p w14:paraId="478B1B08" w14:textId="49FBE900" w:rsidR="00D87F3C" w:rsidRDefault="00D87F3C" w:rsidP="00D87F3C">
            <w:pPr>
              <w:rPr>
                <w:rFonts w:cs="Arial"/>
                <w:smallCaps/>
                <w:sz w:val="20"/>
                <w:szCs w:val="20"/>
              </w:rPr>
            </w:pPr>
            <w:r w:rsidRPr="00C06B07">
              <w:rPr>
                <w:rFonts w:cs="Arial"/>
                <w:smallCaps/>
                <w:sz w:val="20"/>
                <w:szCs w:val="20"/>
              </w:rPr>
              <w:t>From Contract Effectiveness:</w:t>
            </w:r>
            <w:r>
              <w:rPr>
                <w:rFonts w:cs="Arial"/>
                <w:smallCaps/>
                <w:sz w:val="20"/>
                <w:szCs w:val="20"/>
              </w:rPr>
              <w:t xml:space="preserve"> 81</w:t>
            </w:r>
          </w:p>
        </w:tc>
      </w:tr>
      <w:tr w:rsidR="00D87F3C" w14:paraId="2B79B5DE" w14:textId="77777777" w:rsidTr="00D87F3C">
        <w:tc>
          <w:tcPr>
            <w:tcW w:w="9350" w:type="dxa"/>
            <w:tcBorders>
              <w:top w:val="nil"/>
              <w:left w:val="single" w:sz="4" w:space="0" w:color="auto"/>
              <w:bottom w:val="nil"/>
              <w:right w:val="single" w:sz="4" w:space="0" w:color="auto"/>
            </w:tcBorders>
          </w:tcPr>
          <w:p w14:paraId="0C2CBDCA" w14:textId="77777777" w:rsidR="00D87F3C" w:rsidRDefault="00D87F3C" w:rsidP="00D87F3C">
            <w:pPr>
              <w:rPr>
                <w:rFonts w:cs="Arial"/>
                <w:sz w:val="20"/>
                <w:szCs w:val="20"/>
              </w:rPr>
            </w:pPr>
          </w:p>
        </w:tc>
      </w:tr>
      <w:tr w:rsidR="00D87F3C" w14:paraId="57687F6A"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7742C410" w14:textId="41AE7AD4" w:rsidR="00D87F3C" w:rsidRDefault="00D87F3C" w:rsidP="00D87F3C">
            <w:pPr>
              <w:rPr>
                <w:rFonts w:cs="Arial"/>
                <w:smallCaps/>
                <w:sz w:val="20"/>
                <w:szCs w:val="20"/>
                <w:u w:val="single"/>
              </w:rPr>
            </w:pPr>
            <w:r w:rsidRPr="00C06B07">
              <w:rPr>
                <w:rFonts w:cs="Arial"/>
                <w:smallCaps/>
                <w:sz w:val="20"/>
                <w:szCs w:val="20"/>
                <w:u w:val="single"/>
              </w:rPr>
              <w:t xml:space="preserve">Disbursements Periods </w:t>
            </w:r>
          </w:p>
        </w:tc>
      </w:tr>
      <w:tr w:rsidR="00D87F3C" w14:paraId="420196D4"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5EECEB09" w14:textId="7F856EA5" w:rsidR="00D87F3C" w:rsidRDefault="00D87F3C" w:rsidP="00D87F3C">
            <w:pPr>
              <w:rPr>
                <w:rFonts w:cs="Arial"/>
                <w:smallCaps/>
                <w:sz w:val="20"/>
                <w:szCs w:val="20"/>
              </w:rPr>
            </w:pPr>
            <w:r w:rsidRPr="00C06B07">
              <w:rPr>
                <w:rFonts w:cs="Arial"/>
                <w:smallCaps/>
                <w:sz w:val="20"/>
                <w:szCs w:val="20"/>
              </w:rPr>
              <w:t>Original Date of Final Disbursement:</w:t>
            </w:r>
            <w:r>
              <w:rPr>
                <w:rFonts w:cs="Arial"/>
                <w:smallCaps/>
                <w:sz w:val="20"/>
                <w:szCs w:val="20"/>
              </w:rPr>
              <w:t xml:space="preserve"> March 21, 2014</w:t>
            </w:r>
          </w:p>
        </w:tc>
      </w:tr>
      <w:tr w:rsidR="00D87F3C" w14:paraId="0426FFF9"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520425B2" w14:textId="43FD9CF7" w:rsidR="00D87F3C" w:rsidRDefault="00D87F3C" w:rsidP="00D87F3C">
            <w:pPr>
              <w:rPr>
                <w:rFonts w:cs="Arial"/>
                <w:smallCaps/>
                <w:sz w:val="20"/>
                <w:szCs w:val="20"/>
              </w:rPr>
            </w:pPr>
            <w:r w:rsidRPr="00C06B07">
              <w:rPr>
                <w:rFonts w:cs="Arial"/>
                <w:smallCaps/>
                <w:sz w:val="20"/>
                <w:szCs w:val="20"/>
              </w:rPr>
              <w:t>Current Date of Final Disbursement:</w:t>
            </w:r>
            <w:r>
              <w:rPr>
                <w:rFonts w:cs="Arial"/>
                <w:smallCaps/>
                <w:sz w:val="20"/>
                <w:szCs w:val="20"/>
              </w:rPr>
              <w:t xml:space="preserve"> December 21, 2016</w:t>
            </w:r>
          </w:p>
        </w:tc>
      </w:tr>
      <w:tr w:rsidR="00D87F3C" w14:paraId="387ADBCE"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6736B2EB" w14:textId="66EEC579" w:rsidR="00D87F3C" w:rsidRDefault="00D87F3C" w:rsidP="00D87F3C">
            <w:pPr>
              <w:rPr>
                <w:rFonts w:cs="Arial"/>
                <w:smallCaps/>
                <w:sz w:val="20"/>
                <w:szCs w:val="20"/>
              </w:rPr>
            </w:pPr>
            <w:r w:rsidRPr="00C06B07">
              <w:rPr>
                <w:rFonts w:cs="Arial"/>
                <w:smallCaps/>
                <w:sz w:val="20"/>
                <w:szCs w:val="20"/>
              </w:rPr>
              <w:t>Cumulative Extension (Months):</w:t>
            </w:r>
            <w:r>
              <w:rPr>
                <w:rFonts w:cs="Arial"/>
                <w:smallCaps/>
                <w:sz w:val="20"/>
                <w:szCs w:val="20"/>
              </w:rPr>
              <w:t xml:space="preserve"> 33</w:t>
            </w:r>
          </w:p>
        </w:tc>
      </w:tr>
      <w:tr w:rsidR="00D87F3C" w14:paraId="675856B5"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5C4F4008" w14:textId="277207EA" w:rsidR="00D87F3C" w:rsidRDefault="00D87F3C" w:rsidP="00D87F3C">
            <w:pPr>
              <w:rPr>
                <w:rFonts w:cs="Arial"/>
                <w:smallCaps/>
                <w:sz w:val="20"/>
                <w:szCs w:val="20"/>
              </w:rPr>
            </w:pPr>
            <w:r w:rsidRPr="00C06B07">
              <w:rPr>
                <w:rFonts w:cs="Arial"/>
                <w:smallCaps/>
                <w:sz w:val="20"/>
                <w:szCs w:val="20"/>
              </w:rPr>
              <w:t>Special Extensions (Months):</w:t>
            </w:r>
            <w:r>
              <w:rPr>
                <w:rFonts w:cs="Arial"/>
                <w:smallCaps/>
                <w:sz w:val="20"/>
                <w:szCs w:val="20"/>
              </w:rPr>
              <w:t xml:space="preserve"> 18</w:t>
            </w:r>
          </w:p>
        </w:tc>
      </w:tr>
      <w:tr w:rsidR="00D87F3C" w14:paraId="72E7D54B"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43035BDC" w14:textId="76A272EB" w:rsidR="00D87F3C" w:rsidRDefault="00D87F3C" w:rsidP="00D87F3C">
            <w:pPr>
              <w:rPr>
                <w:rFonts w:cs="Arial"/>
                <w:smallCaps/>
                <w:sz w:val="20"/>
                <w:szCs w:val="20"/>
                <w:u w:val="single"/>
              </w:rPr>
            </w:pPr>
            <w:r w:rsidRPr="00C06B07">
              <w:rPr>
                <w:rFonts w:cs="Arial"/>
                <w:smallCaps/>
                <w:sz w:val="20"/>
                <w:szCs w:val="20"/>
                <w:u w:val="single"/>
              </w:rPr>
              <w:t>Disbursements</w:t>
            </w:r>
          </w:p>
        </w:tc>
      </w:tr>
      <w:tr w:rsidR="00D87F3C" w14:paraId="573BB3C8"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42EE9E4C" w14:textId="4427A5ED" w:rsidR="00D87F3C" w:rsidRDefault="00D87F3C" w:rsidP="00D87F3C">
            <w:pPr>
              <w:rPr>
                <w:rFonts w:cs="Arial"/>
                <w:smallCaps/>
                <w:sz w:val="20"/>
                <w:szCs w:val="20"/>
              </w:rPr>
            </w:pPr>
            <w:r w:rsidRPr="00C06B07">
              <w:rPr>
                <w:rFonts w:cs="Arial"/>
                <w:smallCaps/>
                <w:sz w:val="20"/>
                <w:szCs w:val="20"/>
              </w:rPr>
              <w:t>Total Amount of Disbursements to Date:</w:t>
            </w:r>
            <w:r>
              <w:rPr>
                <w:rFonts w:cs="Arial"/>
                <w:smallCaps/>
                <w:sz w:val="20"/>
                <w:szCs w:val="20"/>
              </w:rPr>
              <w:t xml:space="preserve"> US$</w:t>
            </w:r>
            <w:r w:rsidRPr="00BC06EF">
              <w:rPr>
                <w:rFonts w:cs="Arial"/>
                <w:smallCaps/>
                <w:sz w:val="20"/>
                <w:szCs w:val="20"/>
              </w:rPr>
              <w:t>8,561,707</w:t>
            </w:r>
          </w:p>
        </w:tc>
      </w:tr>
      <w:tr w:rsidR="00D87F3C" w14:paraId="7516F554" w14:textId="77777777" w:rsidTr="00D87F3C">
        <w:tc>
          <w:tcPr>
            <w:tcW w:w="9350" w:type="dxa"/>
            <w:tcBorders>
              <w:top w:val="nil"/>
              <w:left w:val="single" w:sz="4" w:space="0" w:color="auto"/>
              <w:bottom w:val="nil"/>
              <w:right w:val="single" w:sz="4" w:space="0" w:color="auto"/>
            </w:tcBorders>
          </w:tcPr>
          <w:p w14:paraId="286CE842" w14:textId="77777777" w:rsidR="00D87F3C" w:rsidRDefault="00D87F3C" w:rsidP="00D87F3C">
            <w:pPr>
              <w:rPr>
                <w:rFonts w:cs="Arial"/>
                <w:sz w:val="20"/>
                <w:szCs w:val="20"/>
              </w:rPr>
            </w:pPr>
          </w:p>
        </w:tc>
      </w:tr>
      <w:tr w:rsidR="00D87F3C" w14:paraId="6B9F6B2C" w14:textId="77777777" w:rsidTr="00D87F3C">
        <w:tc>
          <w:tcPr>
            <w:tcW w:w="9350" w:type="dxa"/>
            <w:tcBorders>
              <w:top w:val="nil"/>
              <w:left w:val="single" w:sz="4" w:space="0" w:color="auto"/>
              <w:bottom w:val="nil"/>
              <w:right w:val="single" w:sz="4" w:space="0" w:color="auto"/>
            </w:tcBorders>
            <w:shd w:val="clear" w:color="auto" w:fill="F2F2F2" w:themeFill="background1" w:themeFillShade="F2"/>
            <w:hideMark/>
          </w:tcPr>
          <w:p w14:paraId="0CCE910E" w14:textId="0E176CA1" w:rsidR="00D87F3C" w:rsidRDefault="00D87F3C" w:rsidP="00D87F3C">
            <w:pPr>
              <w:rPr>
                <w:rFonts w:cs="Arial"/>
                <w:smallCaps/>
                <w:sz w:val="20"/>
                <w:szCs w:val="20"/>
              </w:rPr>
            </w:pPr>
            <w:r w:rsidRPr="00C06B07">
              <w:rPr>
                <w:rFonts w:cs="Arial"/>
                <w:smallCaps/>
                <w:sz w:val="20"/>
                <w:szCs w:val="20"/>
                <w:u w:val="single"/>
              </w:rPr>
              <w:t>Redirectioning.</w:t>
            </w:r>
            <w:r w:rsidRPr="00C06B07">
              <w:rPr>
                <w:rFonts w:cs="Arial"/>
                <w:smallCaps/>
                <w:sz w:val="20"/>
                <w:szCs w:val="20"/>
              </w:rPr>
              <w:t xml:space="preserve"> Has this Project?:</w:t>
            </w:r>
          </w:p>
        </w:tc>
      </w:tr>
      <w:tr w:rsidR="00D87F3C" w14:paraId="606AE414" w14:textId="77777777" w:rsidTr="00D87F3C">
        <w:tc>
          <w:tcPr>
            <w:tcW w:w="9350" w:type="dxa"/>
            <w:tcBorders>
              <w:top w:val="nil"/>
              <w:left w:val="single" w:sz="4" w:space="0" w:color="auto"/>
              <w:bottom w:val="nil"/>
              <w:right w:val="single" w:sz="4" w:space="0" w:color="auto"/>
            </w:tcBorders>
            <w:shd w:val="clear" w:color="auto" w:fill="F2F2F2" w:themeFill="background1" w:themeFillShade="F2"/>
            <w:hideMark/>
          </w:tcPr>
          <w:p w14:paraId="5DDF73D0" w14:textId="5D1B72E0" w:rsidR="00D87F3C" w:rsidRDefault="00D87F3C" w:rsidP="00D87F3C">
            <w:pPr>
              <w:rPr>
                <w:rFonts w:cs="Arial"/>
                <w:smallCaps/>
                <w:sz w:val="20"/>
                <w:szCs w:val="20"/>
              </w:rPr>
            </w:pPr>
            <w:r w:rsidRPr="00C06B07">
              <w:rPr>
                <w:rFonts w:cs="Arial"/>
                <w:smallCaps/>
                <w:sz w:val="20"/>
                <w:szCs w:val="20"/>
              </w:rPr>
              <w:t xml:space="preserve">Received funds from another Project  </w:t>
            </w:r>
            <w:r>
              <w:rPr>
                <w:rFonts w:cs="Arial"/>
                <w:smallCaps/>
                <w:sz w:val="20"/>
                <w:szCs w:val="20"/>
              </w:rPr>
              <w:t xml:space="preserve"> </w:t>
            </w:r>
            <w:r w:rsidRPr="00C06B07">
              <w:rPr>
                <w:rFonts w:cs="Arial"/>
                <w:smallCaps/>
                <w:sz w:val="20"/>
                <w:szCs w:val="20"/>
              </w:rPr>
              <w:t xml:space="preserve">[No]          </w:t>
            </w:r>
          </w:p>
        </w:tc>
      </w:tr>
      <w:tr w:rsidR="00D87F3C" w14:paraId="055ACA33" w14:textId="77777777" w:rsidTr="00D87F3C">
        <w:tc>
          <w:tcPr>
            <w:tcW w:w="9350" w:type="dxa"/>
            <w:tcBorders>
              <w:top w:val="nil"/>
              <w:left w:val="single" w:sz="4" w:space="0" w:color="auto"/>
              <w:bottom w:val="nil"/>
              <w:right w:val="single" w:sz="4" w:space="0" w:color="auto"/>
            </w:tcBorders>
            <w:shd w:val="clear" w:color="auto" w:fill="F2F2F2" w:themeFill="background1" w:themeFillShade="F2"/>
            <w:hideMark/>
          </w:tcPr>
          <w:p w14:paraId="7FBCB438" w14:textId="4E812300" w:rsidR="00D87F3C" w:rsidRDefault="00D87F3C" w:rsidP="00D87F3C">
            <w:pPr>
              <w:rPr>
                <w:rFonts w:cs="Arial"/>
                <w:smallCaps/>
                <w:sz w:val="20"/>
                <w:szCs w:val="20"/>
              </w:rPr>
            </w:pPr>
            <w:r w:rsidRPr="00C06B07">
              <w:rPr>
                <w:rFonts w:cs="Arial"/>
                <w:smallCaps/>
                <w:sz w:val="20"/>
                <w:szCs w:val="20"/>
              </w:rPr>
              <w:t xml:space="preserve">Sent funds to another Project                 [No]         </w:t>
            </w:r>
          </w:p>
        </w:tc>
      </w:tr>
      <w:tr w:rsidR="00D87F3C" w14:paraId="66AF5842" w14:textId="77777777" w:rsidTr="00D87F3C">
        <w:tc>
          <w:tcPr>
            <w:tcW w:w="9350" w:type="dxa"/>
            <w:tcBorders>
              <w:top w:val="nil"/>
              <w:left w:val="single" w:sz="4" w:space="0" w:color="auto"/>
              <w:bottom w:val="nil"/>
              <w:right w:val="single" w:sz="4" w:space="0" w:color="auto"/>
            </w:tcBorders>
          </w:tcPr>
          <w:p w14:paraId="070BB1C4" w14:textId="77777777" w:rsidR="00D87F3C" w:rsidRDefault="00D87F3C" w:rsidP="00D87F3C">
            <w:pPr>
              <w:rPr>
                <w:rFonts w:cs="Arial"/>
                <w:sz w:val="20"/>
                <w:szCs w:val="20"/>
              </w:rPr>
            </w:pPr>
          </w:p>
        </w:tc>
      </w:tr>
      <w:tr w:rsidR="00D87F3C" w14:paraId="12C12F52"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6FD9D4AF" w14:textId="6EAE00B6" w:rsidR="00D87F3C" w:rsidRDefault="00D87F3C" w:rsidP="00D87F3C">
            <w:pPr>
              <w:rPr>
                <w:rFonts w:cs="Arial"/>
                <w:smallCaps/>
                <w:sz w:val="20"/>
                <w:szCs w:val="20"/>
              </w:rPr>
            </w:pPr>
            <w:r w:rsidRPr="00C06B07">
              <w:rPr>
                <w:rFonts w:cs="Arial"/>
                <w:smallCaps/>
                <w:sz w:val="20"/>
                <w:szCs w:val="20"/>
              </w:rPr>
              <w:t xml:space="preserve">Ex Post Economic Analysis Methodology: </w:t>
            </w:r>
            <w:r>
              <w:rPr>
                <w:rFonts w:cs="Arial"/>
                <w:smallCaps/>
                <w:sz w:val="20"/>
                <w:szCs w:val="20"/>
              </w:rPr>
              <w:t>N/A</w:t>
            </w:r>
          </w:p>
        </w:tc>
      </w:tr>
      <w:tr w:rsidR="00D87F3C" w14:paraId="1192E3F7"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18410614" w14:textId="4FD9483E" w:rsidR="00D87F3C" w:rsidRDefault="00D87F3C" w:rsidP="00D87F3C">
            <w:pPr>
              <w:rPr>
                <w:rFonts w:cs="Arial"/>
                <w:smallCaps/>
                <w:sz w:val="20"/>
                <w:szCs w:val="20"/>
              </w:rPr>
            </w:pPr>
            <w:r w:rsidRPr="00C06B07">
              <w:rPr>
                <w:rFonts w:cs="Arial"/>
                <w:smallCaps/>
                <w:sz w:val="20"/>
                <w:szCs w:val="20"/>
              </w:rPr>
              <w:t>Ex Post Evaluation Methodology:</w:t>
            </w:r>
            <w:r>
              <w:rPr>
                <w:rFonts w:cs="Arial"/>
                <w:smallCaps/>
                <w:sz w:val="20"/>
                <w:szCs w:val="20"/>
              </w:rPr>
              <w:t xml:space="preserve"> Independent External Evaluation</w:t>
            </w:r>
          </w:p>
        </w:tc>
      </w:tr>
      <w:tr w:rsidR="009B4D7A" w14:paraId="7BA91159" w14:textId="77777777" w:rsidTr="00687ECB">
        <w:trPr>
          <w:trHeight w:val="135"/>
        </w:trPr>
        <w:tc>
          <w:tcPr>
            <w:tcW w:w="9350" w:type="dxa"/>
            <w:tcBorders>
              <w:top w:val="nil"/>
              <w:left w:val="single" w:sz="4" w:space="0" w:color="auto"/>
              <w:bottom w:val="nil"/>
              <w:right w:val="single" w:sz="4" w:space="0" w:color="auto"/>
            </w:tcBorders>
            <w:shd w:val="clear" w:color="auto" w:fill="DBE5F1" w:themeFill="accent1" w:themeFillTint="33"/>
          </w:tcPr>
          <w:p w14:paraId="4B404522" w14:textId="77777777" w:rsidR="009B4D7A" w:rsidRDefault="009B4D7A">
            <w:pPr>
              <w:rPr>
                <w:rFonts w:cs="Arial"/>
                <w:sz w:val="20"/>
                <w:szCs w:val="20"/>
              </w:rPr>
            </w:pPr>
          </w:p>
        </w:tc>
      </w:tr>
      <w:tr w:rsidR="009B4D7A" w14:paraId="756E68C1" w14:textId="77777777" w:rsidTr="00D87F3C">
        <w:tc>
          <w:tcPr>
            <w:tcW w:w="9350" w:type="dxa"/>
            <w:tcBorders>
              <w:top w:val="nil"/>
              <w:left w:val="single" w:sz="4" w:space="0" w:color="auto"/>
              <w:bottom w:val="nil"/>
              <w:right w:val="single" w:sz="4" w:space="0" w:color="auto"/>
            </w:tcBorders>
            <w:shd w:val="clear" w:color="auto" w:fill="DBE5F1" w:themeFill="accent1" w:themeFillTint="33"/>
            <w:hideMark/>
          </w:tcPr>
          <w:p w14:paraId="200B8808" w14:textId="02D9205D" w:rsidR="009B4D7A" w:rsidRDefault="009B4D7A">
            <w:pPr>
              <w:ind w:left="4140" w:hanging="4140"/>
              <w:rPr>
                <w:rFonts w:cs="Arial"/>
                <w:smallCaps/>
                <w:sz w:val="20"/>
                <w:szCs w:val="20"/>
              </w:rPr>
            </w:pPr>
            <w:r>
              <w:rPr>
                <w:rFonts w:cs="Arial"/>
                <w:smallCaps/>
                <w:sz w:val="20"/>
                <w:szCs w:val="20"/>
              </w:rPr>
              <w:t xml:space="preserve">Development Effectiveness Classification: </w:t>
            </w:r>
            <w:r w:rsidRPr="00687ECB">
              <w:rPr>
                <w:rFonts w:cs="Arial"/>
                <w:smallCaps/>
                <w:sz w:val="20"/>
                <w:szCs w:val="20"/>
              </w:rPr>
              <w:t>[</w:t>
            </w:r>
            <w:r w:rsidR="00687ECB" w:rsidRPr="00687ECB">
              <w:rPr>
                <w:rFonts w:cs="Arial"/>
                <w:smallCaps/>
                <w:sz w:val="20"/>
                <w:szCs w:val="20"/>
              </w:rPr>
              <w:t>Partly Unsuccessful</w:t>
            </w:r>
            <w:r w:rsidRPr="00687ECB">
              <w:rPr>
                <w:rFonts w:cs="Arial"/>
                <w:smallCaps/>
                <w:sz w:val="20"/>
                <w:szCs w:val="20"/>
              </w:rPr>
              <w:t>]</w:t>
            </w:r>
          </w:p>
        </w:tc>
      </w:tr>
      <w:tr w:rsidR="009B4D7A" w14:paraId="7F3E0B7B" w14:textId="77777777" w:rsidTr="00D87F3C">
        <w:tc>
          <w:tcPr>
            <w:tcW w:w="9350" w:type="dxa"/>
            <w:tcBorders>
              <w:top w:val="nil"/>
              <w:left w:val="single" w:sz="4" w:space="0" w:color="auto"/>
              <w:bottom w:val="nil"/>
              <w:right w:val="single" w:sz="4" w:space="0" w:color="auto"/>
            </w:tcBorders>
          </w:tcPr>
          <w:p w14:paraId="27B5A9C1" w14:textId="77777777" w:rsidR="009B4D7A" w:rsidRDefault="009B4D7A">
            <w:pPr>
              <w:rPr>
                <w:rFonts w:cs="Arial"/>
                <w:sz w:val="20"/>
                <w:szCs w:val="20"/>
              </w:rPr>
            </w:pPr>
          </w:p>
        </w:tc>
      </w:tr>
      <w:tr w:rsidR="009B4D7A" w14:paraId="07E0B087" w14:textId="77777777" w:rsidTr="00D87F3C">
        <w:tc>
          <w:tcPr>
            <w:tcW w:w="9350" w:type="dxa"/>
            <w:tcBorders>
              <w:top w:val="nil"/>
              <w:left w:val="single" w:sz="4" w:space="0" w:color="auto"/>
              <w:bottom w:val="nil"/>
              <w:right w:val="single" w:sz="4" w:space="0" w:color="auto"/>
            </w:tcBorders>
          </w:tcPr>
          <w:p w14:paraId="0A4B5AA2" w14:textId="77777777" w:rsidR="009B4D7A" w:rsidRDefault="009B4D7A">
            <w:pPr>
              <w:rPr>
                <w:rFonts w:cs="Arial"/>
                <w:sz w:val="20"/>
                <w:szCs w:val="20"/>
              </w:rPr>
            </w:pPr>
          </w:p>
        </w:tc>
      </w:tr>
      <w:tr w:rsidR="009B4D7A" w14:paraId="3A8908B4" w14:textId="77777777" w:rsidTr="00D87F3C">
        <w:tc>
          <w:tcPr>
            <w:tcW w:w="9350" w:type="dxa"/>
            <w:tcBorders>
              <w:top w:val="nil"/>
              <w:left w:val="single" w:sz="4" w:space="0" w:color="auto"/>
              <w:bottom w:val="nil"/>
              <w:right w:val="single" w:sz="4" w:space="0" w:color="auto"/>
            </w:tcBorders>
            <w:hideMark/>
          </w:tcPr>
          <w:p w14:paraId="51E0DCF2" w14:textId="77777777" w:rsidR="009B4D7A" w:rsidRDefault="009B4D7A">
            <w:pPr>
              <w:rPr>
                <w:rFonts w:cs="Arial"/>
                <w:sz w:val="20"/>
                <w:szCs w:val="20"/>
              </w:rPr>
            </w:pPr>
            <w:r>
              <w:rPr>
                <w:rFonts w:cs="Arial"/>
                <w:smallCaps/>
                <w:sz w:val="20"/>
                <w:szCs w:val="20"/>
              </w:rPr>
              <w:t xml:space="preserve">Statement of the Development Objectives of the Project/Program:      </w:t>
            </w:r>
          </w:p>
        </w:tc>
      </w:tr>
      <w:tr w:rsidR="009B4D7A" w14:paraId="7BC5E7F0" w14:textId="77777777" w:rsidTr="00D87F3C">
        <w:tc>
          <w:tcPr>
            <w:tcW w:w="9350" w:type="dxa"/>
            <w:tcBorders>
              <w:top w:val="nil"/>
              <w:left w:val="single" w:sz="4" w:space="0" w:color="auto"/>
              <w:bottom w:val="nil"/>
              <w:right w:val="single" w:sz="4" w:space="0" w:color="auto"/>
            </w:tcBorders>
          </w:tcPr>
          <w:p w14:paraId="361FC499" w14:textId="77777777" w:rsidR="009B4D7A" w:rsidRDefault="009B4D7A">
            <w:pPr>
              <w:rPr>
                <w:rFonts w:cs="Arial"/>
                <w:sz w:val="20"/>
                <w:szCs w:val="20"/>
              </w:rPr>
            </w:pPr>
          </w:p>
        </w:tc>
      </w:tr>
      <w:tr w:rsidR="009B4D7A" w14:paraId="60F6253F" w14:textId="77777777" w:rsidTr="00D87F3C">
        <w:tc>
          <w:tcPr>
            <w:tcW w:w="9350" w:type="dxa"/>
            <w:tcBorders>
              <w:top w:val="nil"/>
              <w:left w:val="single" w:sz="4" w:space="0" w:color="auto"/>
              <w:bottom w:val="nil"/>
              <w:right w:val="single" w:sz="4" w:space="0" w:color="auto"/>
            </w:tcBorders>
          </w:tcPr>
          <w:p w14:paraId="5CFA39ED" w14:textId="3E78E546" w:rsidR="00687ECB" w:rsidRDefault="00687ECB" w:rsidP="00730C6A">
            <w:pPr>
              <w:jc w:val="both"/>
              <w:rPr>
                <w:rFonts w:cs="Arial"/>
                <w:sz w:val="20"/>
                <w:szCs w:val="20"/>
              </w:rPr>
            </w:pPr>
            <w:r>
              <w:rPr>
                <w:rFonts w:cs="Arial"/>
                <w:sz w:val="20"/>
                <w:szCs w:val="20"/>
              </w:rPr>
              <w:t>T</w:t>
            </w:r>
            <w:r w:rsidRPr="00687ECB">
              <w:rPr>
                <w:rFonts w:cs="Arial"/>
                <w:sz w:val="20"/>
                <w:szCs w:val="20"/>
              </w:rPr>
              <w:t xml:space="preserve">he overall program’s objective was to improve Barbados’ competitiveness by addressing the key bottlenecks that affect the efficiency of merchandise movement; support other trade-related activities to promote export development; and promote private investment. </w:t>
            </w:r>
          </w:p>
          <w:p w14:paraId="3F007EC1" w14:textId="77777777" w:rsidR="008C1B78" w:rsidRDefault="008C1B78" w:rsidP="00730C6A">
            <w:pPr>
              <w:jc w:val="both"/>
              <w:rPr>
                <w:rFonts w:cs="Arial"/>
                <w:sz w:val="20"/>
                <w:szCs w:val="20"/>
              </w:rPr>
            </w:pPr>
          </w:p>
          <w:p w14:paraId="725FD187" w14:textId="4777E0DC" w:rsidR="009B4D7A" w:rsidRDefault="00687ECB" w:rsidP="00730C6A">
            <w:pPr>
              <w:jc w:val="both"/>
              <w:rPr>
                <w:rFonts w:cs="Arial"/>
                <w:sz w:val="20"/>
                <w:szCs w:val="20"/>
              </w:rPr>
            </w:pPr>
            <w:r w:rsidRPr="00687ECB">
              <w:rPr>
                <w:rFonts w:cs="Arial"/>
                <w:sz w:val="20"/>
                <w:szCs w:val="20"/>
              </w:rPr>
              <w:t>The specific objectives of the BCP were to (i) rationalize the incentive system and regulations to ensure a coherent framework to support business development; (ii) rationalize the institutional architecture of Business Development Services and introduce a framework for clustering initiatives; (iii) improve logistics and trade facilitation, lowering the cost of the movement of goods and people; (iv) enhance access to infrastructure through Public Private Partnerships, among other modalities; and (v) strengthen public-private dialogue to develop and implement a competitiveness strategy.</w:t>
            </w:r>
          </w:p>
        </w:tc>
      </w:tr>
      <w:tr w:rsidR="009B4D7A" w14:paraId="39D3FD95" w14:textId="77777777" w:rsidTr="00D87F3C">
        <w:tc>
          <w:tcPr>
            <w:tcW w:w="9350" w:type="dxa"/>
            <w:tcBorders>
              <w:top w:val="nil"/>
              <w:left w:val="single" w:sz="4" w:space="0" w:color="auto"/>
              <w:bottom w:val="nil"/>
              <w:right w:val="single" w:sz="4" w:space="0" w:color="auto"/>
            </w:tcBorders>
          </w:tcPr>
          <w:p w14:paraId="5DFFCFCE" w14:textId="77777777" w:rsidR="009B4D7A" w:rsidRDefault="009B4D7A">
            <w:pPr>
              <w:rPr>
                <w:rFonts w:cs="Arial"/>
                <w:sz w:val="20"/>
                <w:szCs w:val="20"/>
              </w:rPr>
            </w:pPr>
          </w:p>
        </w:tc>
      </w:tr>
      <w:tr w:rsidR="009B4D7A" w14:paraId="5D072C93" w14:textId="77777777" w:rsidTr="00D87F3C">
        <w:tc>
          <w:tcPr>
            <w:tcW w:w="9350" w:type="dxa"/>
            <w:tcBorders>
              <w:top w:val="nil"/>
              <w:left w:val="single" w:sz="4" w:space="0" w:color="auto"/>
              <w:bottom w:val="nil"/>
              <w:right w:val="single" w:sz="4" w:space="0" w:color="auto"/>
            </w:tcBorders>
          </w:tcPr>
          <w:p w14:paraId="14B41E9D" w14:textId="77777777" w:rsidR="009B4D7A" w:rsidRDefault="009B4D7A">
            <w:pPr>
              <w:rPr>
                <w:rFonts w:cs="Arial"/>
                <w:sz w:val="20"/>
                <w:szCs w:val="20"/>
              </w:rPr>
            </w:pPr>
          </w:p>
        </w:tc>
      </w:tr>
    </w:tbl>
    <w:p w14:paraId="6C0C4A6C" w14:textId="77777777" w:rsidR="000D057C" w:rsidRDefault="000D057C" w:rsidP="009B4D7A">
      <w:pPr>
        <w:sectPr w:rsidR="000D057C" w:rsidSect="00C12A9E">
          <w:footerReference w:type="default" r:id="rId21"/>
          <w:pgSz w:w="12240" w:h="15840"/>
          <w:pgMar w:top="1440" w:right="1440" w:bottom="1440" w:left="1440" w:header="720" w:footer="720" w:gutter="0"/>
          <w:pgNumType w:fmt="lowerRoman"/>
          <w:cols w:space="720"/>
        </w:sectPr>
      </w:pPr>
    </w:p>
    <w:p w14:paraId="7193D69D" w14:textId="4D4FF756" w:rsidR="00923ED1" w:rsidRPr="00135036" w:rsidRDefault="009B4D7A" w:rsidP="00A66C7C">
      <w:pPr>
        <w:pStyle w:val="Heading1"/>
        <w:spacing w:before="240" w:after="240"/>
        <w:ind w:left="360"/>
        <w:jc w:val="both"/>
      </w:pPr>
      <w:bookmarkStart w:id="5" w:name="_Toc500317960"/>
      <w:r w:rsidRPr="004743DB">
        <w:rPr>
          <w:smallCaps/>
        </w:rPr>
        <w:lastRenderedPageBreak/>
        <w:t>Executive Summary</w:t>
      </w:r>
      <w:bookmarkEnd w:id="5"/>
    </w:p>
    <w:p w14:paraId="26EA84D8" w14:textId="1621955F" w:rsidR="003A0120" w:rsidRDefault="003A0120" w:rsidP="00135036">
      <w:pPr>
        <w:spacing w:before="120" w:after="120"/>
        <w:jc w:val="both"/>
        <w:rPr>
          <w:rFonts w:cs="Arial"/>
          <w:lang w:val="en-029"/>
        </w:rPr>
      </w:pPr>
      <w:r w:rsidRPr="00D72B55">
        <w:rPr>
          <w:rFonts w:cs="Arial"/>
        </w:rPr>
        <w:t>This document presents</w:t>
      </w:r>
      <w:r>
        <w:rPr>
          <w:rFonts w:cs="Arial"/>
        </w:rPr>
        <w:t xml:space="preserve"> the project completion report of the “Barbados Competitiveness Programme” (BCP) that closed in December 2016. The project dates back to the year 2008, when the Inter-American Development Bank (IDB) and</w:t>
      </w:r>
      <w:r w:rsidRPr="00D72B55">
        <w:rPr>
          <w:rFonts w:cs="Arial"/>
          <w:lang w:val="en-029"/>
        </w:rPr>
        <w:t xml:space="preserve"> the Government of Barbados (GoB) </w:t>
      </w:r>
      <w:r>
        <w:rPr>
          <w:rFonts w:cs="Arial"/>
          <w:lang w:val="en-029"/>
        </w:rPr>
        <w:t xml:space="preserve">started discussions around designing a project that would contribute to increasing </w:t>
      </w:r>
      <w:r w:rsidRPr="00D72B55">
        <w:rPr>
          <w:rFonts w:cs="Arial"/>
          <w:lang w:val="en-029"/>
        </w:rPr>
        <w:t>the competitiveness of Barbados.</w:t>
      </w:r>
    </w:p>
    <w:p w14:paraId="5E1B27FE" w14:textId="14E7B354" w:rsidR="003A0120" w:rsidRPr="00FF454A" w:rsidRDefault="003A0120" w:rsidP="00135036">
      <w:pPr>
        <w:spacing w:before="120" w:after="120"/>
        <w:jc w:val="both"/>
        <w:rPr>
          <w:rFonts w:cs="Arial"/>
        </w:rPr>
      </w:pPr>
      <w:r w:rsidRPr="009378E5">
        <w:rPr>
          <w:rFonts w:cs="Arial"/>
          <w:lang w:val="en-029"/>
        </w:rPr>
        <w:t xml:space="preserve">Private sector development in Barbados </w:t>
      </w:r>
      <w:r>
        <w:rPr>
          <w:rFonts w:cs="Arial"/>
          <w:lang w:val="en-029"/>
        </w:rPr>
        <w:t>is conditioned by the country’s</w:t>
      </w:r>
      <w:r w:rsidRPr="009378E5">
        <w:rPr>
          <w:rFonts w:cs="Arial"/>
          <w:lang w:val="en-029"/>
        </w:rPr>
        <w:t xml:space="preserve"> special circumstances of being a small, open island e</w:t>
      </w:r>
      <w:r>
        <w:rPr>
          <w:rFonts w:cs="Arial"/>
          <w:lang w:val="en-029"/>
        </w:rPr>
        <w:t>conomy facing new challenges de</w:t>
      </w:r>
      <w:r w:rsidRPr="009378E5">
        <w:rPr>
          <w:rFonts w:cs="Arial"/>
          <w:lang w:val="en-029"/>
        </w:rPr>
        <w:t xml:space="preserve">rived from the regional integration process, eroding trade preferences, increasing global trade liberalization, and a </w:t>
      </w:r>
      <w:r>
        <w:rPr>
          <w:rFonts w:cs="Arial"/>
          <w:lang w:val="en-029"/>
        </w:rPr>
        <w:t>fragile macroeconomic stability.</w:t>
      </w:r>
      <w:r w:rsidRPr="009378E5">
        <w:rPr>
          <w:rFonts w:cs="Arial"/>
          <w:lang w:val="en-029"/>
        </w:rPr>
        <w:t xml:space="preserve"> </w:t>
      </w:r>
      <w:r>
        <w:rPr>
          <w:rFonts w:cs="Arial"/>
          <w:lang w:val="en-029"/>
        </w:rPr>
        <w:t>After decades of considerable</w:t>
      </w:r>
      <w:r w:rsidRPr="0007440A">
        <w:rPr>
          <w:rFonts w:cs="Arial"/>
        </w:rPr>
        <w:t xml:space="preserve"> economic and social progress</w:t>
      </w:r>
      <w:r>
        <w:rPr>
          <w:rFonts w:cs="Arial"/>
        </w:rPr>
        <w:t>, at the time of project preparation Barbados was suffering the effects of the 2008 global financial crisis, mostly due to a sharp decline in international tourism,</w:t>
      </w:r>
      <w:r w:rsidRPr="009378E5">
        <w:rPr>
          <w:rFonts w:cs="Arial"/>
          <w:lang w:val="en-029"/>
        </w:rPr>
        <w:t xml:space="preserve"> pressuring the country </w:t>
      </w:r>
      <w:r>
        <w:rPr>
          <w:rFonts w:cs="Arial"/>
          <w:lang w:val="en-029"/>
        </w:rPr>
        <w:t xml:space="preserve">to </w:t>
      </w:r>
      <w:r w:rsidRPr="009378E5">
        <w:rPr>
          <w:rFonts w:cs="Arial"/>
          <w:lang w:val="en-029"/>
        </w:rPr>
        <w:t xml:space="preserve">build </w:t>
      </w:r>
      <w:r>
        <w:rPr>
          <w:rFonts w:cs="Arial"/>
          <w:lang w:val="en-029"/>
        </w:rPr>
        <w:t xml:space="preserve">and strengthen </w:t>
      </w:r>
      <w:r w:rsidRPr="009378E5">
        <w:rPr>
          <w:rFonts w:cs="Arial"/>
          <w:lang w:val="en-029"/>
        </w:rPr>
        <w:t>the necessary structures to achieve sustained economic growth.</w:t>
      </w:r>
      <w:r>
        <w:rPr>
          <w:rFonts w:cs="Arial"/>
          <w:lang w:val="en-029"/>
        </w:rPr>
        <w:t xml:space="preserve"> </w:t>
      </w:r>
      <w:r w:rsidRPr="002D27AF">
        <w:t xml:space="preserve">The overall objective </w:t>
      </w:r>
      <w:r>
        <w:t xml:space="preserve">of the BCP </w:t>
      </w:r>
      <w:r w:rsidRPr="002D27AF">
        <w:t xml:space="preserve">was to </w:t>
      </w:r>
      <w:r>
        <w:t xml:space="preserve">support the country in this quest and </w:t>
      </w:r>
      <w:r w:rsidRPr="002D27AF">
        <w:t>improve Barbados’ competitiveness by addressing the key bottlenecks that affect the efficiency of merchandise movement; support other trade-related activities to promote export development; and promote private investment.</w:t>
      </w:r>
    </w:p>
    <w:p w14:paraId="13630B78" w14:textId="437DA65A" w:rsidR="003A0120" w:rsidRDefault="003A0120" w:rsidP="00135036">
      <w:pPr>
        <w:spacing w:before="120" w:after="120"/>
        <w:jc w:val="both"/>
        <w:rPr>
          <w:rFonts w:cs="Arial"/>
        </w:rPr>
      </w:pPr>
      <w:r w:rsidRPr="00D72B55">
        <w:rPr>
          <w:rFonts w:cs="Arial"/>
          <w:lang w:val="en-029"/>
        </w:rPr>
        <w:t xml:space="preserve">The </w:t>
      </w:r>
      <w:r>
        <w:rPr>
          <w:rFonts w:cs="Arial"/>
          <w:lang w:val="en-029"/>
        </w:rPr>
        <w:t xml:space="preserve">project was to be executed over 4 years at a cost of US$11.8 million, of which US$10 million were to be covered by the Bank and US$1.8 million by counterpart funds. It was approved in December 2009, reached effectiveness in March 2010 and, accordingly, its original disbursement expiration date was March 21, 2014. </w:t>
      </w:r>
      <w:r>
        <w:rPr>
          <w:rFonts w:cs="Arial"/>
        </w:rPr>
        <w:t>Due to several delays in execution</w:t>
      </w:r>
      <w:r w:rsidRPr="00ED564A">
        <w:rPr>
          <w:rFonts w:cs="Arial"/>
        </w:rPr>
        <w:t xml:space="preserve">, the country requested </w:t>
      </w:r>
      <w:r>
        <w:rPr>
          <w:rFonts w:cs="Arial"/>
        </w:rPr>
        <w:t>three</w:t>
      </w:r>
      <w:r w:rsidRPr="00ED564A">
        <w:rPr>
          <w:rFonts w:cs="Arial"/>
        </w:rPr>
        <w:t xml:space="preserve"> extensions</w:t>
      </w:r>
      <w:r>
        <w:rPr>
          <w:rFonts w:cs="Arial"/>
        </w:rPr>
        <w:t xml:space="preserve"> resulting in a total of 33 additional months of project implementation, ultimately moving the final</w:t>
      </w:r>
      <w:r w:rsidRPr="00ED564A">
        <w:rPr>
          <w:rFonts w:cs="Arial"/>
        </w:rPr>
        <w:t xml:space="preserve"> </w:t>
      </w:r>
      <w:r>
        <w:rPr>
          <w:rFonts w:cs="Arial"/>
        </w:rPr>
        <w:t xml:space="preserve">disbursement </w:t>
      </w:r>
      <w:r w:rsidRPr="00ED564A">
        <w:rPr>
          <w:rFonts w:cs="Arial"/>
        </w:rPr>
        <w:t xml:space="preserve">date to </w:t>
      </w:r>
      <w:r>
        <w:rPr>
          <w:rFonts w:cs="Arial"/>
        </w:rPr>
        <w:t>December 21, 2016. The delays lead to p</w:t>
      </w:r>
      <w:r w:rsidRPr="00806628">
        <w:rPr>
          <w:rFonts w:cs="Arial"/>
        </w:rPr>
        <w:t xml:space="preserve">roject modifications </w:t>
      </w:r>
      <w:r>
        <w:rPr>
          <w:rFonts w:cs="Arial"/>
        </w:rPr>
        <w:t>as well as</w:t>
      </w:r>
      <w:r w:rsidRPr="00806628">
        <w:rPr>
          <w:rFonts w:cs="Arial"/>
        </w:rPr>
        <w:t xml:space="preserve"> the re</w:t>
      </w:r>
      <w:r>
        <w:rPr>
          <w:rFonts w:cs="Arial"/>
        </w:rPr>
        <w:t>al</w:t>
      </w:r>
      <w:r w:rsidRPr="00806628">
        <w:rPr>
          <w:rFonts w:cs="Arial"/>
        </w:rPr>
        <w:t xml:space="preserve">location </w:t>
      </w:r>
      <w:r>
        <w:rPr>
          <w:rFonts w:cs="Arial"/>
        </w:rPr>
        <w:t xml:space="preserve">and cancellation </w:t>
      </w:r>
      <w:r w:rsidRPr="00806628">
        <w:rPr>
          <w:rFonts w:cs="Arial"/>
        </w:rPr>
        <w:t>of funds</w:t>
      </w:r>
      <w:r>
        <w:rPr>
          <w:rFonts w:cs="Arial"/>
        </w:rPr>
        <w:t xml:space="preserve"> and although the p</w:t>
      </w:r>
      <w:r w:rsidRPr="00ED564A">
        <w:rPr>
          <w:rFonts w:cs="Arial"/>
        </w:rPr>
        <w:t xml:space="preserve">roject delivered </w:t>
      </w:r>
      <w:r>
        <w:rPr>
          <w:rFonts w:cs="Arial"/>
        </w:rPr>
        <w:t>a considerable number</w:t>
      </w:r>
      <w:r w:rsidRPr="00ED564A">
        <w:rPr>
          <w:rFonts w:cs="Arial"/>
        </w:rPr>
        <w:t xml:space="preserve"> of </w:t>
      </w:r>
      <w:r>
        <w:rPr>
          <w:rFonts w:cs="Arial"/>
        </w:rPr>
        <w:t xml:space="preserve">the </w:t>
      </w:r>
      <w:r w:rsidRPr="00ED564A">
        <w:rPr>
          <w:rFonts w:cs="Arial"/>
        </w:rPr>
        <w:t>expected products, it did so in a much more extended period of time than originally planned</w:t>
      </w:r>
      <w:r>
        <w:rPr>
          <w:rFonts w:cs="Arial"/>
        </w:rPr>
        <w:t xml:space="preserve"> and fell short of achieving most of the envisioned and overly optimistic outcomes</w:t>
      </w:r>
      <w:r w:rsidRPr="00ED564A">
        <w:rPr>
          <w:rFonts w:cs="Arial"/>
        </w:rPr>
        <w:t>.</w:t>
      </w:r>
      <w:r w:rsidR="00FF454A">
        <w:rPr>
          <w:rFonts w:cs="Arial"/>
        </w:rPr>
        <w:t xml:space="preserve"> </w:t>
      </w:r>
    </w:p>
    <w:p w14:paraId="113CACC4" w14:textId="521974DA" w:rsidR="003A0120" w:rsidRPr="00FF454A" w:rsidRDefault="003A0120" w:rsidP="00135036">
      <w:pPr>
        <w:spacing w:before="120" w:after="120"/>
        <w:jc w:val="both"/>
        <w:rPr>
          <w:rFonts w:cs="Arial"/>
        </w:rPr>
      </w:pPr>
      <w:r>
        <w:rPr>
          <w:rFonts w:cs="Arial"/>
        </w:rPr>
        <w:t xml:space="preserve">The reasons for the challenges encountered during project execution are multifaceted and will be discussed in detail in this report. A very complex and ambitious project design that required strong collaboration among too many agencies, paired with limited empowerment of a project execution unit that had very little previous project management experience are two of the main factors that can be directly attributed to the project. In addition, the BCP also suffered from </w:t>
      </w:r>
      <w:r w:rsidRPr="00B424E4">
        <w:rPr>
          <w:rFonts w:cs="Arial"/>
        </w:rPr>
        <w:t xml:space="preserve">lengthy </w:t>
      </w:r>
      <w:r>
        <w:rPr>
          <w:rFonts w:cs="Arial"/>
        </w:rPr>
        <w:t xml:space="preserve">in-country </w:t>
      </w:r>
      <w:r w:rsidRPr="00B424E4">
        <w:rPr>
          <w:rFonts w:cs="Arial"/>
        </w:rPr>
        <w:t xml:space="preserve">processes </w:t>
      </w:r>
      <w:r>
        <w:rPr>
          <w:rFonts w:cs="Arial"/>
        </w:rPr>
        <w:t>for the procurement of services and government approval of the project’s studies and their recommendations. C</w:t>
      </w:r>
      <w:r w:rsidRPr="00B424E4">
        <w:rPr>
          <w:rFonts w:cs="Arial"/>
        </w:rPr>
        <w:t xml:space="preserve">hanges in political leadership </w:t>
      </w:r>
      <w:r>
        <w:rPr>
          <w:rFonts w:cs="Arial"/>
        </w:rPr>
        <w:t>and government institutional structures further negatively impacted the timely implementation of activities and translation of the generated knowledge and actio</w:t>
      </w:r>
      <w:r w:rsidR="00FF454A">
        <w:rPr>
          <w:rFonts w:cs="Arial"/>
        </w:rPr>
        <w:t xml:space="preserve">n plans into concrete actions. </w:t>
      </w:r>
    </w:p>
    <w:p w14:paraId="5FBC87A2" w14:textId="77777777" w:rsidR="003A0120" w:rsidRPr="00923ED1" w:rsidRDefault="003A0120" w:rsidP="00135036">
      <w:pPr>
        <w:spacing w:before="120" w:after="120"/>
        <w:jc w:val="both"/>
        <w:rPr>
          <w:rFonts w:cs="Arial"/>
          <w:lang w:val="en-029"/>
        </w:rPr>
      </w:pPr>
      <w:r>
        <w:rPr>
          <w:rFonts w:cs="Arial"/>
          <w:lang w:val="en-029"/>
        </w:rPr>
        <w:t xml:space="preserve">Despite this somewhat challenging context, the project did achieve a great number of results that have been repeatedly celebrated by stakeholders across the private and the public sector as important milestones in improving Barbados’ competitiveness. </w:t>
      </w:r>
      <w:r>
        <w:t>These are, among others, the conceptual design for a Cargo Examination Facility (CEF), the development of a Computable General Equilibrium (CGE) model, and the development of a National Competitiveness Strategy (NCS) and Action Plan.</w:t>
      </w:r>
      <w:r>
        <w:rPr>
          <w:rFonts w:asciiTheme="minorHAnsi" w:hAnsiTheme="minorHAnsi"/>
        </w:rPr>
        <w:t xml:space="preserve"> </w:t>
      </w:r>
      <w:r>
        <w:t>In addition, the project has developed a new institutional framework that is contributing to create a consensus among the private and the public sectors around major reforms and policy actions. And one of the biggest achievements of the project is, without doubt, the launch of the Electronic Single Window making Barbados only the second country in the English-speaking Caribbean to have an operational Single Window for international trade.</w:t>
      </w:r>
    </w:p>
    <w:p w14:paraId="0A8A2BF7" w14:textId="1DCFB88A" w:rsidR="00A22D3A" w:rsidRPr="009622C3" w:rsidRDefault="00E845E5" w:rsidP="00CD6996">
      <w:pPr>
        <w:pStyle w:val="Heading1"/>
        <w:spacing w:before="240" w:after="240"/>
        <w:ind w:left="547"/>
        <w:jc w:val="both"/>
        <w:rPr>
          <w:smallCaps/>
        </w:rPr>
      </w:pPr>
      <w:bookmarkStart w:id="6" w:name="_Toc500317961"/>
      <w:r w:rsidRPr="00613DB9">
        <w:rPr>
          <w:smallCaps/>
        </w:rPr>
        <w:lastRenderedPageBreak/>
        <w:t>Introduction</w:t>
      </w:r>
      <w:bookmarkEnd w:id="6"/>
      <w:r w:rsidRPr="009622C3">
        <w:rPr>
          <w:smallCaps/>
        </w:rPr>
        <w:t xml:space="preserve"> </w:t>
      </w:r>
    </w:p>
    <w:p w14:paraId="4DDD3596" w14:textId="166527BE" w:rsidR="00613DB9" w:rsidRDefault="00613DB9" w:rsidP="00A66C7C">
      <w:pPr>
        <w:pStyle w:val="Heading3"/>
        <w:numPr>
          <w:ilvl w:val="1"/>
          <w:numId w:val="1"/>
        </w:numPr>
        <w:jc w:val="both"/>
      </w:pPr>
      <w:bookmarkStart w:id="7" w:name="_Toc496096593"/>
      <w:bookmarkStart w:id="8" w:name="_Toc500317962"/>
      <w:r>
        <w:t>Project summary</w:t>
      </w:r>
      <w:bookmarkEnd w:id="7"/>
      <w:bookmarkEnd w:id="8"/>
    </w:p>
    <w:p w14:paraId="40F4D071" w14:textId="7268CD21" w:rsidR="00613DB9" w:rsidRDefault="00613DB9" w:rsidP="00135036">
      <w:pPr>
        <w:spacing w:before="120" w:after="120"/>
        <w:jc w:val="both"/>
        <w:rPr>
          <w:rFonts w:cs="Arial"/>
          <w:lang w:val="en-029"/>
        </w:rPr>
      </w:pPr>
      <w:r w:rsidRPr="00D72B55">
        <w:rPr>
          <w:rFonts w:cs="Arial"/>
        </w:rPr>
        <w:t>This document presents</w:t>
      </w:r>
      <w:r>
        <w:rPr>
          <w:rFonts w:cs="Arial"/>
        </w:rPr>
        <w:t xml:space="preserve"> the project completion report of the “Barbados Competitiveness Programme” (BCP). </w:t>
      </w:r>
      <w:r w:rsidR="00040C7A">
        <w:rPr>
          <w:rFonts w:cs="Arial"/>
        </w:rPr>
        <w:t>The project was first discussed between the Inter-American Development Bank (IDB) and</w:t>
      </w:r>
      <w:r w:rsidR="00040C7A" w:rsidRPr="00D72B55">
        <w:rPr>
          <w:rFonts w:cs="Arial"/>
          <w:lang w:val="en-029"/>
        </w:rPr>
        <w:t xml:space="preserve"> the Government of Barbados (GoB) </w:t>
      </w:r>
      <w:r w:rsidR="00040C7A">
        <w:rPr>
          <w:rFonts w:cs="Arial"/>
          <w:lang w:val="en-029"/>
        </w:rPr>
        <w:t xml:space="preserve">in the year 2008 </w:t>
      </w:r>
      <w:r w:rsidR="00040C7A" w:rsidRPr="00D72B55">
        <w:rPr>
          <w:rFonts w:cs="Arial"/>
          <w:lang w:val="en-029"/>
        </w:rPr>
        <w:t xml:space="preserve">with the objective </w:t>
      </w:r>
      <w:r w:rsidR="00040C7A">
        <w:rPr>
          <w:rFonts w:cs="Arial"/>
          <w:lang w:val="en-029"/>
        </w:rPr>
        <w:t>of identifying relevant interventions to increase</w:t>
      </w:r>
      <w:r w:rsidR="00040C7A" w:rsidRPr="00D72B55">
        <w:rPr>
          <w:rFonts w:cs="Arial"/>
          <w:lang w:val="en-029"/>
        </w:rPr>
        <w:t xml:space="preserve"> the </w:t>
      </w:r>
      <w:r w:rsidR="00040C7A">
        <w:rPr>
          <w:rFonts w:cs="Arial"/>
          <w:lang w:val="en-029"/>
        </w:rPr>
        <w:t>country’s competitiveness</w:t>
      </w:r>
      <w:r w:rsidR="00040C7A" w:rsidRPr="00D72B55">
        <w:rPr>
          <w:rFonts w:cs="Arial"/>
          <w:lang w:val="en-029"/>
        </w:rPr>
        <w:t>.</w:t>
      </w:r>
      <w:r w:rsidR="00040C7A">
        <w:rPr>
          <w:rFonts w:cs="Arial"/>
          <w:lang w:val="en-029"/>
        </w:rPr>
        <w:t xml:space="preserve"> </w:t>
      </w:r>
      <w:r>
        <w:rPr>
          <w:rFonts w:cs="Arial"/>
        </w:rPr>
        <w:t>O</w:t>
      </w:r>
      <w:r w:rsidRPr="00D72B55">
        <w:rPr>
          <w:rFonts w:cs="Arial"/>
          <w:lang w:val="en-029"/>
        </w:rPr>
        <w:t>n March 21, 2010, both parties entered int</w:t>
      </w:r>
      <w:r>
        <w:rPr>
          <w:rFonts w:cs="Arial"/>
          <w:lang w:val="en-029"/>
        </w:rPr>
        <w:t xml:space="preserve">o loan contract No. 2278/OC-BA, and after some initial discussions it was agreed that the project would be coordinated by what was then denominated the </w:t>
      </w:r>
      <w:r w:rsidRPr="009744FD">
        <w:rPr>
          <w:rFonts w:cs="Arial"/>
          <w:lang w:val="en-029"/>
        </w:rPr>
        <w:t>Ministry of Economic Affairs, Empowerment, Innovation, Trade, Industry and Commerce (METIC)</w:t>
      </w:r>
      <w:r>
        <w:rPr>
          <w:rFonts w:cs="Arial"/>
          <w:lang w:val="en-029"/>
        </w:rPr>
        <w:t xml:space="preserve"> and later the Ministry of Finance and Economic Affairs (MFEA).</w:t>
      </w:r>
      <w:r w:rsidRPr="009744FD">
        <w:rPr>
          <w:rFonts w:cs="Arial"/>
          <w:lang w:val="en-029"/>
        </w:rPr>
        <w:t xml:space="preserve"> </w:t>
      </w:r>
      <w:r w:rsidRPr="00D72B55">
        <w:rPr>
          <w:rFonts w:cs="Arial"/>
          <w:lang w:val="en-029"/>
        </w:rPr>
        <w:t>The instrument used was an investment loan consisting mainly of t</w:t>
      </w:r>
      <w:r>
        <w:rPr>
          <w:rFonts w:cs="Arial"/>
          <w:lang w:val="en-029"/>
        </w:rPr>
        <w:t xml:space="preserve">echnical assistance activities and </w:t>
      </w:r>
      <w:r w:rsidRPr="00D72B55">
        <w:rPr>
          <w:rFonts w:cs="Arial"/>
          <w:lang w:val="en-029"/>
        </w:rPr>
        <w:t>an investment sub-component in the trade logistics area.</w:t>
      </w:r>
      <w:r>
        <w:rPr>
          <w:rFonts w:cs="Arial"/>
          <w:lang w:val="en-029"/>
        </w:rPr>
        <w:t xml:space="preserve"> In terms of IDB institutional arrangements, the team leader of this operation was based in the Competitiveness, Technology and Innovation Department (CTI) and the alternate team leader in the</w:t>
      </w:r>
      <w:r w:rsidRPr="00234355">
        <w:rPr>
          <w:rFonts w:cs="Arial"/>
          <w:lang w:val="en-029"/>
        </w:rPr>
        <w:t xml:space="preserve"> Integration and Trade Sector (INT)</w:t>
      </w:r>
      <w:r w:rsidR="00FF454A">
        <w:rPr>
          <w:rFonts w:cs="Arial"/>
          <w:lang w:val="en-029"/>
        </w:rPr>
        <w:t>.</w:t>
      </w:r>
    </w:p>
    <w:p w14:paraId="7C69DB1F" w14:textId="47B748E9" w:rsidR="00613DB9" w:rsidRPr="00FF454A" w:rsidRDefault="00613DB9" w:rsidP="00135036">
      <w:pPr>
        <w:spacing w:before="120" w:after="120"/>
        <w:jc w:val="both"/>
        <w:rPr>
          <w:rFonts w:cs="Arial"/>
        </w:rPr>
      </w:pPr>
      <w:r w:rsidRPr="00D72B55">
        <w:rPr>
          <w:rFonts w:cs="Arial"/>
          <w:lang w:val="en-029"/>
        </w:rPr>
        <w:t xml:space="preserve">The </w:t>
      </w:r>
      <w:r>
        <w:rPr>
          <w:rFonts w:cs="Arial"/>
          <w:lang w:val="en-029"/>
        </w:rPr>
        <w:t xml:space="preserve">project was to be executed over 4 years at a cost of US$11.8 million, of which US$10 million were to be covered by the Bank and US$1.8 million by counterpart funds. It was approved in December 2009, reached effectiveness in March 2010 and, accordingly, its original disbursement expiration date was March 21, 2014. </w:t>
      </w:r>
      <w:r>
        <w:rPr>
          <w:rFonts w:cs="Arial"/>
        </w:rPr>
        <w:t>Due to several delays in execution</w:t>
      </w:r>
      <w:r w:rsidRPr="00ED564A">
        <w:rPr>
          <w:rFonts w:cs="Arial"/>
        </w:rPr>
        <w:t xml:space="preserve">, the country requested </w:t>
      </w:r>
      <w:r>
        <w:rPr>
          <w:rFonts w:cs="Arial"/>
        </w:rPr>
        <w:t>three</w:t>
      </w:r>
      <w:r w:rsidRPr="00ED564A">
        <w:rPr>
          <w:rFonts w:cs="Arial"/>
        </w:rPr>
        <w:t xml:space="preserve"> extensions</w:t>
      </w:r>
      <w:r>
        <w:rPr>
          <w:rFonts w:cs="Arial"/>
        </w:rPr>
        <w:t xml:space="preserve"> resulting in a total of 33 additional months of project implementation. The general extension of 15 month and the special extension of 18 months</w:t>
      </w:r>
      <w:r w:rsidRPr="00ED564A">
        <w:rPr>
          <w:rFonts w:cs="Arial"/>
        </w:rPr>
        <w:t xml:space="preserve"> were granted by the Inter-American Development Bank (IDB) </w:t>
      </w:r>
      <w:r>
        <w:rPr>
          <w:rFonts w:cs="Arial"/>
        </w:rPr>
        <w:t>in the years 2014 and 2015, ultimately moving the final</w:t>
      </w:r>
      <w:r w:rsidRPr="00ED564A">
        <w:rPr>
          <w:rFonts w:cs="Arial"/>
        </w:rPr>
        <w:t xml:space="preserve"> </w:t>
      </w:r>
      <w:r>
        <w:rPr>
          <w:rFonts w:cs="Arial"/>
        </w:rPr>
        <w:t xml:space="preserve">disbursement </w:t>
      </w:r>
      <w:r w:rsidRPr="00ED564A">
        <w:rPr>
          <w:rFonts w:cs="Arial"/>
        </w:rPr>
        <w:t xml:space="preserve">date to </w:t>
      </w:r>
      <w:r>
        <w:rPr>
          <w:rFonts w:cs="Arial"/>
        </w:rPr>
        <w:t>December 21, 2016. Although the p</w:t>
      </w:r>
      <w:r w:rsidRPr="00ED564A">
        <w:rPr>
          <w:rFonts w:cs="Arial"/>
        </w:rPr>
        <w:t xml:space="preserve">roject delivered </w:t>
      </w:r>
      <w:r>
        <w:rPr>
          <w:rFonts w:cs="Arial"/>
        </w:rPr>
        <w:t>a considerable number</w:t>
      </w:r>
      <w:r w:rsidRPr="00ED564A">
        <w:rPr>
          <w:rFonts w:cs="Arial"/>
        </w:rPr>
        <w:t xml:space="preserve"> of expected products, it did so in a much more extended period of time than originally planned. This report contains a discussion of </w:t>
      </w:r>
      <w:r>
        <w:rPr>
          <w:rFonts w:cs="Arial"/>
        </w:rPr>
        <w:t xml:space="preserve">the achievements and </w:t>
      </w:r>
      <w:r w:rsidRPr="00ED564A">
        <w:rPr>
          <w:rFonts w:cs="Arial"/>
        </w:rPr>
        <w:t xml:space="preserve">the factors explaining </w:t>
      </w:r>
      <w:r>
        <w:rPr>
          <w:rFonts w:cs="Arial"/>
        </w:rPr>
        <w:t>the</w:t>
      </w:r>
      <w:r w:rsidRPr="00ED564A">
        <w:rPr>
          <w:rFonts w:cs="Arial"/>
        </w:rPr>
        <w:t xml:space="preserve"> delay.</w:t>
      </w:r>
    </w:p>
    <w:p w14:paraId="28EAD124" w14:textId="5AF8232A" w:rsidR="00613DB9" w:rsidRDefault="00613DB9" w:rsidP="00135036">
      <w:pPr>
        <w:spacing w:before="120" w:after="120"/>
        <w:jc w:val="both"/>
        <w:rPr>
          <w:rFonts w:cs="Arial"/>
        </w:rPr>
      </w:pPr>
      <w:r>
        <w:rPr>
          <w:rFonts w:cs="Arial"/>
        </w:rPr>
        <w:t xml:space="preserve">It can, however, already be stated upfront that the delays in implementation were not due to a disconnect between the project design and the broad strategic vision promoted by the GoB. The national development plan, prepared only a few years before the project launch, was the </w:t>
      </w:r>
      <w:r w:rsidRPr="00B2291E">
        <w:rPr>
          <w:rFonts w:cs="Arial"/>
          <w:i/>
        </w:rPr>
        <w:t>Barbados National Strategic Plan 2006-2025</w:t>
      </w:r>
      <w:r>
        <w:rPr>
          <w:rFonts w:cs="Arial"/>
        </w:rPr>
        <w:t>, to be discussed in further detail in section III. The latter outlined six broad strategic goals out of which one is “</w:t>
      </w:r>
      <w:r w:rsidRPr="00812E82">
        <w:rPr>
          <w:rFonts w:cs="Arial"/>
        </w:rPr>
        <w:t>Enh</w:t>
      </w:r>
      <w:r>
        <w:rPr>
          <w:rFonts w:cs="Arial"/>
        </w:rPr>
        <w:t xml:space="preserve">ancing Barbados’ Prosperity and </w:t>
      </w:r>
      <w:r w:rsidRPr="00812E82">
        <w:rPr>
          <w:rFonts w:cs="Arial"/>
        </w:rPr>
        <w:t>Competitiveness</w:t>
      </w:r>
      <w:r>
        <w:rPr>
          <w:rFonts w:cs="Arial"/>
        </w:rPr>
        <w:t>” which explicitly “</w:t>
      </w:r>
      <w:r w:rsidRPr="00812E82">
        <w:rPr>
          <w:rFonts w:cs="Arial"/>
        </w:rPr>
        <w:t>seeks to enhance Barbados’ prosperity and competitiveness</w:t>
      </w:r>
      <w:r>
        <w:rPr>
          <w:rFonts w:cs="Arial"/>
        </w:rPr>
        <w:t xml:space="preserve"> </w:t>
      </w:r>
      <w:r w:rsidRPr="00812E82">
        <w:rPr>
          <w:rFonts w:cs="Arial"/>
        </w:rPr>
        <w:t>in the world economy.</w:t>
      </w:r>
      <w:r>
        <w:rPr>
          <w:rFonts w:cs="Arial"/>
        </w:rPr>
        <w:t>” (p.2). The overall objective of the BCP was therefore fully aligned with this strategic vision.</w:t>
      </w:r>
    </w:p>
    <w:p w14:paraId="53661177" w14:textId="77777777" w:rsidR="00613DB9" w:rsidRPr="00FF454A" w:rsidRDefault="00613DB9" w:rsidP="00DF703E">
      <w:pPr>
        <w:pStyle w:val="Heading3"/>
        <w:numPr>
          <w:ilvl w:val="1"/>
          <w:numId w:val="1"/>
        </w:numPr>
        <w:jc w:val="both"/>
      </w:pPr>
      <w:bookmarkStart w:id="9" w:name="_Toc496096594"/>
      <w:bookmarkStart w:id="10" w:name="_Toc500317963"/>
      <w:r w:rsidRPr="0007440A">
        <w:t>Background</w:t>
      </w:r>
      <w:bookmarkEnd w:id="9"/>
      <w:bookmarkEnd w:id="10"/>
    </w:p>
    <w:p w14:paraId="579C7470" w14:textId="49A6499C" w:rsidR="00613DB9" w:rsidRDefault="00613DB9" w:rsidP="00135036">
      <w:pPr>
        <w:spacing w:before="120" w:after="120"/>
        <w:jc w:val="both"/>
        <w:rPr>
          <w:rFonts w:cs="Arial"/>
        </w:rPr>
      </w:pPr>
      <w:r w:rsidRPr="0007440A">
        <w:rPr>
          <w:rFonts w:cs="Arial"/>
        </w:rPr>
        <w:t xml:space="preserve">Barbados is a small state in the Caribbean </w:t>
      </w:r>
      <w:r>
        <w:rPr>
          <w:rFonts w:cs="Arial"/>
        </w:rPr>
        <w:t>that, at the time of the project approval in 2009, had</w:t>
      </w:r>
      <w:r w:rsidRPr="0007440A">
        <w:rPr>
          <w:rFonts w:cs="Arial"/>
        </w:rPr>
        <w:t xml:space="preserve"> a</w:t>
      </w:r>
      <w:r>
        <w:rPr>
          <w:rFonts w:cs="Arial"/>
        </w:rPr>
        <w:t xml:space="preserve"> population of approximately 274,47</w:t>
      </w:r>
      <w:r w:rsidRPr="0007440A">
        <w:rPr>
          <w:rFonts w:cs="Arial"/>
        </w:rPr>
        <w:t xml:space="preserve">0 and </w:t>
      </w:r>
      <w:r>
        <w:rPr>
          <w:rFonts w:cs="Arial"/>
        </w:rPr>
        <w:t>a GNI per capita of</w:t>
      </w:r>
      <w:r w:rsidRPr="0007440A">
        <w:rPr>
          <w:rFonts w:cs="Arial"/>
        </w:rPr>
        <w:t xml:space="preserve"> US$</w:t>
      </w:r>
      <w:r>
        <w:rPr>
          <w:rFonts w:cs="Arial"/>
        </w:rPr>
        <w:t>15,810</w:t>
      </w:r>
      <w:r w:rsidRPr="00E12EA0">
        <w:rPr>
          <w:rFonts w:cs="Arial"/>
        </w:rPr>
        <w:t xml:space="preserve"> </w:t>
      </w:r>
      <w:r>
        <w:rPr>
          <w:rFonts w:cs="Arial"/>
        </w:rPr>
        <w:t>according to World Bank data</w:t>
      </w:r>
      <w:r>
        <w:rPr>
          <w:rStyle w:val="FootnoteReference"/>
          <w:rFonts w:cs="Arial"/>
        </w:rPr>
        <w:footnoteReference w:id="1"/>
      </w:r>
      <w:r w:rsidRPr="0007440A">
        <w:rPr>
          <w:rFonts w:cs="Arial"/>
        </w:rPr>
        <w:t>.</w:t>
      </w:r>
      <w:r>
        <w:rPr>
          <w:rFonts w:cs="Arial"/>
        </w:rPr>
        <w:t xml:space="preserve"> </w:t>
      </w:r>
      <w:r w:rsidRPr="0007440A">
        <w:rPr>
          <w:rFonts w:cs="Arial"/>
        </w:rPr>
        <w:t xml:space="preserve">The country is a founding member of the Caribbean Community and Common Market (CARICOM), and participates in the CARICOM Single Market and Economy. Through CARICOM, Barbados has </w:t>
      </w:r>
      <w:r>
        <w:rPr>
          <w:rFonts w:cs="Arial"/>
        </w:rPr>
        <w:t xml:space="preserve">non-reciprocal </w:t>
      </w:r>
      <w:r w:rsidRPr="0007440A">
        <w:rPr>
          <w:rFonts w:cs="Arial"/>
        </w:rPr>
        <w:t>bilateral trade agreements with Colombia, Cuba, Costa Rica, the Dominican Republic</w:t>
      </w:r>
      <w:r>
        <w:rPr>
          <w:rFonts w:cs="Arial"/>
        </w:rPr>
        <w:t>,</w:t>
      </w:r>
      <w:r w:rsidRPr="0007440A">
        <w:rPr>
          <w:rFonts w:cs="Arial"/>
        </w:rPr>
        <w:t xml:space="preserve"> and Venezuela.</w:t>
      </w:r>
    </w:p>
    <w:p w14:paraId="5BAEEB28" w14:textId="6D185543" w:rsidR="00613DB9" w:rsidRDefault="00613DB9" w:rsidP="00135036">
      <w:pPr>
        <w:spacing w:before="120" w:after="120"/>
        <w:jc w:val="both"/>
        <w:rPr>
          <w:rFonts w:cs="Arial"/>
        </w:rPr>
      </w:pPr>
      <w:r w:rsidRPr="0007440A">
        <w:rPr>
          <w:rFonts w:cs="Arial"/>
        </w:rPr>
        <w:t>A</w:t>
      </w:r>
      <w:r>
        <w:rPr>
          <w:rFonts w:cs="Arial"/>
        </w:rPr>
        <w:t>s other small states, Barbados’</w:t>
      </w:r>
      <w:r w:rsidRPr="0007440A">
        <w:rPr>
          <w:rFonts w:cs="Arial"/>
        </w:rPr>
        <w:t xml:space="preserve"> economy is determined by its size and location. </w:t>
      </w:r>
      <w:r w:rsidRPr="00ED39F1">
        <w:rPr>
          <w:rFonts w:cs="Arial"/>
        </w:rPr>
        <w:t>Barbados has a relatively undiversif</w:t>
      </w:r>
      <w:r>
        <w:rPr>
          <w:rFonts w:cs="Arial"/>
        </w:rPr>
        <w:t xml:space="preserve">ied production and export base and </w:t>
      </w:r>
      <w:r w:rsidRPr="00ED39F1">
        <w:rPr>
          <w:rFonts w:cs="Arial"/>
        </w:rPr>
        <w:t>depends on imports to supply most of the goods and</w:t>
      </w:r>
      <w:r>
        <w:rPr>
          <w:rFonts w:cs="Arial"/>
        </w:rPr>
        <w:t xml:space="preserve"> </w:t>
      </w:r>
      <w:r w:rsidRPr="00ED39F1">
        <w:rPr>
          <w:rFonts w:cs="Arial"/>
        </w:rPr>
        <w:t xml:space="preserve">services that are required for production. </w:t>
      </w:r>
      <w:r w:rsidRPr="0007440A">
        <w:rPr>
          <w:rFonts w:cs="Arial"/>
        </w:rPr>
        <w:t xml:space="preserve">A combination of a narrow economic base </w:t>
      </w:r>
      <w:r>
        <w:rPr>
          <w:rFonts w:cs="Arial"/>
        </w:rPr>
        <w:t>mostly</w:t>
      </w:r>
      <w:r w:rsidRPr="0007440A">
        <w:rPr>
          <w:rFonts w:cs="Arial"/>
        </w:rPr>
        <w:t xml:space="preserve"> concentrated on tourism and related services, an open economy with chronic trade imbalance, a persi</w:t>
      </w:r>
      <w:r>
        <w:rPr>
          <w:rFonts w:cs="Arial"/>
        </w:rPr>
        <w:t>stent negative fiscal position</w:t>
      </w:r>
      <w:r w:rsidRPr="0007440A">
        <w:rPr>
          <w:rFonts w:cs="Arial"/>
        </w:rPr>
        <w:t xml:space="preserve">, high fixed costs for government provision of services, and an open financial sector, leave the country </w:t>
      </w:r>
      <w:r>
        <w:rPr>
          <w:rFonts w:cs="Arial"/>
        </w:rPr>
        <w:t xml:space="preserve">vulnerable to external shocks. In </w:t>
      </w:r>
      <w:r>
        <w:rPr>
          <w:rFonts w:cs="Arial"/>
        </w:rPr>
        <w:lastRenderedPageBreak/>
        <w:t>addition, with the Barbados D</w:t>
      </w:r>
      <w:r w:rsidRPr="0007440A">
        <w:rPr>
          <w:rFonts w:cs="Arial"/>
        </w:rPr>
        <w:t xml:space="preserve">ollar pegged to the </w:t>
      </w:r>
      <w:r>
        <w:rPr>
          <w:rFonts w:cs="Arial"/>
        </w:rPr>
        <w:t>United States D</w:t>
      </w:r>
      <w:r w:rsidRPr="0007440A">
        <w:rPr>
          <w:rFonts w:cs="Arial"/>
        </w:rPr>
        <w:t>ollar</w:t>
      </w:r>
      <w:r>
        <w:rPr>
          <w:rFonts w:cs="Arial"/>
        </w:rPr>
        <w:t xml:space="preserve"> (US$)</w:t>
      </w:r>
      <w:r w:rsidRPr="0007440A">
        <w:rPr>
          <w:rFonts w:cs="Arial"/>
        </w:rPr>
        <w:t>, no automatic stabilizer allows for macroeconomic adjustment.</w:t>
      </w:r>
    </w:p>
    <w:p w14:paraId="352CF47D" w14:textId="352EB0B6" w:rsidR="00FC7CC1" w:rsidRDefault="007603A0" w:rsidP="00135036">
      <w:pPr>
        <w:spacing w:before="120" w:after="120"/>
        <w:jc w:val="both"/>
        <w:rPr>
          <w:rFonts w:cs="Arial"/>
        </w:rPr>
      </w:pPr>
      <w:r>
        <w:rPr>
          <w:rFonts w:cs="Arial"/>
        </w:rPr>
        <w:t>T</w:t>
      </w:r>
      <w:r w:rsidR="00613DB9" w:rsidRPr="0007440A">
        <w:rPr>
          <w:rFonts w:cs="Arial"/>
        </w:rPr>
        <w:t xml:space="preserve">he 2008 international downturn </w:t>
      </w:r>
      <w:r w:rsidR="00613DB9">
        <w:rPr>
          <w:rFonts w:cs="Arial"/>
        </w:rPr>
        <w:t xml:space="preserve">dramatically </w:t>
      </w:r>
      <w:r w:rsidR="00613DB9" w:rsidRPr="0007440A">
        <w:rPr>
          <w:rFonts w:cs="Arial"/>
        </w:rPr>
        <w:t xml:space="preserve">exposed </w:t>
      </w:r>
      <w:r w:rsidR="00613DB9">
        <w:rPr>
          <w:rFonts w:cs="Arial"/>
        </w:rPr>
        <w:t xml:space="preserve">these </w:t>
      </w:r>
      <w:r w:rsidR="00613DB9" w:rsidRPr="0007440A">
        <w:rPr>
          <w:rFonts w:cs="Arial"/>
        </w:rPr>
        <w:t>structural weaknesses that suppressed growth, challenged macroeconomic stability</w:t>
      </w:r>
      <w:r w:rsidR="00613DB9">
        <w:rPr>
          <w:rFonts w:cs="Arial"/>
        </w:rPr>
        <w:t>,</w:t>
      </w:r>
      <w:r w:rsidR="00613DB9" w:rsidRPr="0007440A">
        <w:rPr>
          <w:rFonts w:cs="Arial"/>
        </w:rPr>
        <w:t xml:space="preserve"> and confirmed the need to enhance competitiveness and create a more resilient environment to </w:t>
      </w:r>
      <w:r w:rsidR="00613DB9">
        <w:rPr>
          <w:rFonts w:cs="Arial"/>
        </w:rPr>
        <w:t>negative exogenous factors</w:t>
      </w:r>
      <w:r w:rsidR="00613DB9" w:rsidRPr="0007440A">
        <w:rPr>
          <w:rFonts w:cs="Arial"/>
        </w:rPr>
        <w:t>.</w:t>
      </w:r>
      <w:r w:rsidR="00613DB9">
        <w:rPr>
          <w:rFonts w:cs="Arial"/>
        </w:rPr>
        <w:t xml:space="preserve"> The country went through a sharp contraction of</w:t>
      </w:r>
      <w:r w:rsidR="00613DB9" w:rsidRPr="00E12EA0">
        <w:rPr>
          <w:rFonts w:cs="Arial"/>
        </w:rPr>
        <w:t xml:space="preserve"> </w:t>
      </w:r>
      <w:r w:rsidR="00613DB9">
        <w:rPr>
          <w:rFonts w:cs="Arial"/>
        </w:rPr>
        <w:t>gross domestic product (</w:t>
      </w:r>
      <w:r w:rsidR="00613DB9" w:rsidRPr="00E12EA0">
        <w:rPr>
          <w:rFonts w:cs="Arial"/>
        </w:rPr>
        <w:t>GDP</w:t>
      </w:r>
      <w:r w:rsidR="00613DB9">
        <w:rPr>
          <w:rFonts w:cs="Arial"/>
        </w:rPr>
        <w:t>)</w:t>
      </w:r>
      <w:r w:rsidR="00613DB9" w:rsidRPr="00E12EA0">
        <w:rPr>
          <w:rFonts w:cs="Arial"/>
        </w:rPr>
        <w:t xml:space="preserve"> (-5.5</w:t>
      </w:r>
      <w:r w:rsidR="00613DB9">
        <w:rPr>
          <w:rFonts w:cs="Arial"/>
        </w:rPr>
        <w:t xml:space="preserve"> percent</w:t>
      </w:r>
      <w:r w:rsidR="00613DB9" w:rsidRPr="00E12EA0">
        <w:rPr>
          <w:rFonts w:cs="Arial"/>
        </w:rPr>
        <w:t xml:space="preserve">) in 2009, mainly </w:t>
      </w:r>
      <w:r w:rsidR="00613DB9">
        <w:rPr>
          <w:rFonts w:cs="Arial"/>
        </w:rPr>
        <w:t>due to the</w:t>
      </w:r>
      <w:r w:rsidR="00613DB9" w:rsidRPr="00E12EA0">
        <w:rPr>
          <w:rFonts w:cs="Arial"/>
        </w:rPr>
        <w:t xml:space="preserve"> decline in touri</w:t>
      </w:r>
      <w:r w:rsidR="00613DB9">
        <w:rPr>
          <w:rFonts w:cs="Arial"/>
        </w:rPr>
        <w:t>sm and the fact that v</w:t>
      </w:r>
      <w:r w:rsidR="00613DB9" w:rsidRPr="00E12EA0">
        <w:rPr>
          <w:rFonts w:cs="Arial"/>
        </w:rPr>
        <w:t xml:space="preserve">ery few of </w:t>
      </w:r>
      <w:r w:rsidR="00613DB9">
        <w:rPr>
          <w:rFonts w:cs="Arial"/>
        </w:rPr>
        <w:t xml:space="preserve">the </w:t>
      </w:r>
      <w:r w:rsidR="00613DB9" w:rsidRPr="00E12EA0">
        <w:rPr>
          <w:rFonts w:cs="Arial"/>
        </w:rPr>
        <w:t>traditi</w:t>
      </w:r>
      <w:r w:rsidR="00613DB9">
        <w:rPr>
          <w:rFonts w:cs="Arial"/>
        </w:rPr>
        <w:t>onal merchandise exports remain</w:t>
      </w:r>
      <w:r w:rsidR="00613DB9" w:rsidRPr="00E12EA0">
        <w:rPr>
          <w:rFonts w:cs="Arial"/>
        </w:rPr>
        <w:t xml:space="preserve">, with sugar harvest </w:t>
      </w:r>
      <w:r w:rsidR="00613DB9">
        <w:rPr>
          <w:rFonts w:cs="Arial"/>
        </w:rPr>
        <w:t xml:space="preserve">suffering a striking </w:t>
      </w:r>
      <w:r w:rsidR="00613DB9" w:rsidRPr="00E12EA0">
        <w:rPr>
          <w:rFonts w:cs="Arial"/>
        </w:rPr>
        <w:t>reduction to the lowest levels in history.</w:t>
      </w:r>
    </w:p>
    <w:p w14:paraId="6CE9B64E" w14:textId="49753CC6" w:rsidR="00613DB9" w:rsidRDefault="00613DB9" w:rsidP="00135036">
      <w:pPr>
        <w:spacing w:before="120" w:after="120"/>
        <w:jc w:val="both"/>
        <w:rPr>
          <w:rFonts w:cs="Arial"/>
        </w:rPr>
      </w:pPr>
      <w:r>
        <w:rPr>
          <w:rFonts w:cs="Arial"/>
        </w:rPr>
        <w:t>Therefore, although in 2009 Barbados ranked 47</w:t>
      </w:r>
      <w:r w:rsidRPr="008300B2">
        <w:rPr>
          <w:rFonts w:cs="Arial"/>
          <w:vertAlign w:val="superscript"/>
        </w:rPr>
        <w:t>th</w:t>
      </w:r>
      <w:r>
        <w:rPr>
          <w:rFonts w:cs="Arial"/>
        </w:rPr>
        <w:t xml:space="preserve"> in the World Economic Forum’s (WEF) latest Global Competitive Index (GCI)</w:t>
      </w:r>
      <w:r>
        <w:rPr>
          <w:rStyle w:val="FootnoteReference"/>
          <w:rFonts w:cs="Arial"/>
        </w:rPr>
        <w:footnoteReference w:id="2"/>
      </w:r>
      <w:r>
        <w:rPr>
          <w:rFonts w:cs="Arial"/>
        </w:rPr>
        <w:t xml:space="preserve"> and several development indicators highlight the country’s progressiveness relative to other Caribbean countries, it was obvious that the country still faced many competitive challenges. </w:t>
      </w:r>
      <w:r w:rsidR="00D557FA">
        <w:rPr>
          <w:rFonts w:cs="Arial"/>
        </w:rPr>
        <w:t xml:space="preserve">The WEF </w:t>
      </w:r>
      <w:r w:rsidR="00D557FA" w:rsidRPr="002E78A7">
        <w:rPr>
          <w:rFonts w:cs="Arial"/>
        </w:rPr>
        <w:t xml:space="preserve">defines competitiveness as “the set of institutions, policies, and factors that determine the level of productivity of a country”. </w:t>
      </w:r>
      <w:r w:rsidR="00D557FA" w:rsidRPr="00E15600">
        <w:rPr>
          <w:rFonts w:cs="Arial"/>
        </w:rPr>
        <w:t>The level of productivity, in turn, sets the level of prosperity that can be reached by an econ</w:t>
      </w:r>
      <w:r w:rsidR="00D557FA">
        <w:rPr>
          <w:rFonts w:cs="Arial"/>
        </w:rPr>
        <w:t>omy and</w:t>
      </w:r>
      <w:r w:rsidR="00D557FA" w:rsidRPr="00E15600">
        <w:rPr>
          <w:rFonts w:cs="Arial"/>
        </w:rPr>
        <w:t xml:space="preserve"> determines the rates of return obtained by investments in an economy, which are the fundamental drivers of its growth rates.</w:t>
      </w:r>
      <w:r w:rsidR="00D557FA" w:rsidRPr="002E78A7">
        <w:rPr>
          <w:rFonts w:cs="Arial"/>
        </w:rPr>
        <w:t xml:space="preserve"> </w:t>
      </w:r>
      <w:r w:rsidR="00D557FA" w:rsidRPr="00E15600">
        <w:rPr>
          <w:rFonts w:cs="Arial"/>
        </w:rPr>
        <w:t>As Noble laureat</w:t>
      </w:r>
      <w:r w:rsidR="00D557FA">
        <w:rPr>
          <w:rFonts w:cs="Arial"/>
        </w:rPr>
        <w:t>e in economics Paul Krugman put</w:t>
      </w:r>
      <w:r w:rsidR="00D557FA" w:rsidRPr="00E15600">
        <w:rPr>
          <w:rFonts w:cs="Arial"/>
        </w:rPr>
        <w:t xml:space="preserve"> it: “Product</w:t>
      </w:r>
      <w:r w:rsidR="00D557FA">
        <w:rPr>
          <w:rFonts w:cs="Arial"/>
        </w:rPr>
        <w:t>ivity isn’</w:t>
      </w:r>
      <w:r w:rsidR="00D557FA" w:rsidRPr="00E15600">
        <w:rPr>
          <w:rFonts w:cs="Arial"/>
        </w:rPr>
        <w:t>t everything, but in the long run</w:t>
      </w:r>
      <w:r w:rsidR="00D557FA">
        <w:rPr>
          <w:rFonts w:cs="Arial"/>
        </w:rPr>
        <w:t>,</w:t>
      </w:r>
      <w:r w:rsidR="00D557FA" w:rsidRPr="00E15600">
        <w:rPr>
          <w:rFonts w:cs="Arial"/>
        </w:rPr>
        <w:t xml:space="preserve"> it is almost </w:t>
      </w:r>
      <w:r w:rsidR="00D557FA">
        <w:rPr>
          <w:rFonts w:cs="Arial"/>
        </w:rPr>
        <w:t>e</w:t>
      </w:r>
      <w:r w:rsidR="00D557FA" w:rsidRPr="002E78A7">
        <w:rPr>
          <w:rFonts w:cs="Arial"/>
        </w:rPr>
        <w:t>verything. A country´s ability to improve its standard of living over time depends almost entirely on its ability to</w:t>
      </w:r>
      <w:r w:rsidR="00D557FA">
        <w:rPr>
          <w:rFonts w:cs="Arial"/>
        </w:rPr>
        <w:t xml:space="preserve"> raise its output per worker.” (Krugman, 1991)</w:t>
      </w:r>
    </w:p>
    <w:p w14:paraId="194B1F10" w14:textId="68C648D7" w:rsidR="00B659FB" w:rsidRDefault="00613DB9" w:rsidP="00135036">
      <w:pPr>
        <w:spacing w:before="120" w:after="120"/>
        <w:jc w:val="both"/>
        <w:rPr>
          <w:rFonts w:cs="Arial"/>
        </w:rPr>
      </w:pPr>
      <w:r>
        <w:rPr>
          <w:rFonts w:cs="Arial"/>
        </w:rPr>
        <w:t>It was against this background that, during one of the first orientation missions in 2008, the IDB project team confirmed with members of the Barbados Social Partnership (BSP), consisting of government, the private sector, and labor unions, that implementing reforms to enhance the country’s competitiveness and productivity was a priority for all.</w:t>
      </w:r>
      <w:r>
        <w:rPr>
          <w:rStyle w:val="FootnoteReference"/>
          <w:rFonts w:cs="Arial"/>
        </w:rPr>
        <w:footnoteReference w:id="3"/>
      </w:r>
      <w:r>
        <w:rPr>
          <w:rFonts w:cs="Arial"/>
        </w:rPr>
        <w:t xml:space="preserve"> To move this agenda further, it was agreed to design a project that would cover the three main pillars for microeconomic competitiveness of the new GCI framework: (i) quality of the microeconomic business climate, (ii)</w:t>
      </w:r>
      <w:r w:rsidRPr="004D5261">
        <w:rPr>
          <w:rFonts w:cs="Arial"/>
        </w:rPr>
        <w:t xml:space="preserve"> </w:t>
      </w:r>
      <w:r>
        <w:rPr>
          <w:rFonts w:cs="Arial"/>
        </w:rPr>
        <w:t>degree of cluster development, and (iii) the sophistication of company operations and strategy. Building on prior sector analysis</w:t>
      </w:r>
      <w:r>
        <w:rPr>
          <w:rStyle w:val="FootnoteReference"/>
          <w:rFonts w:cs="Arial"/>
        </w:rPr>
        <w:footnoteReference w:id="4"/>
      </w:r>
      <w:r>
        <w:rPr>
          <w:rFonts w:cs="Arial"/>
        </w:rPr>
        <w:t xml:space="preserve">, the project team undertook additional diagnostic work and identified several impediments to competitiveness in the country that built the basis for the </w:t>
      </w:r>
      <w:r w:rsidR="00FF454A">
        <w:rPr>
          <w:rFonts w:cs="Arial"/>
        </w:rPr>
        <w:t xml:space="preserve">details of the project design. </w:t>
      </w:r>
    </w:p>
    <w:p w14:paraId="263472E6" w14:textId="57A55D04" w:rsidR="00B659FB" w:rsidRDefault="00B659FB" w:rsidP="00135036">
      <w:pPr>
        <w:spacing w:before="120" w:after="120"/>
        <w:jc w:val="both"/>
        <w:rPr>
          <w:rFonts w:cs="Arial"/>
          <w:lang w:val="en-029"/>
        </w:rPr>
      </w:pPr>
      <w:r>
        <w:rPr>
          <w:rFonts w:cs="Arial"/>
        </w:rPr>
        <w:t xml:space="preserve">In the end, the project counted on the </w:t>
      </w:r>
      <w:r w:rsidRPr="00D72B55">
        <w:rPr>
          <w:rFonts w:cs="Arial"/>
          <w:lang w:val="en-029"/>
        </w:rPr>
        <w:t xml:space="preserve">following four </w:t>
      </w:r>
      <w:r w:rsidRPr="00D244E2">
        <w:rPr>
          <w:rFonts w:cs="Arial"/>
          <w:lang w:val="en-029"/>
        </w:rPr>
        <w:t xml:space="preserve">components and sub-components to be discussed in more detail in the discussion of achieved results (pp. </w:t>
      </w:r>
      <w:r w:rsidR="00D244E2" w:rsidRPr="00D244E2">
        <w:rPr>
          <w:rFonts w:cs="Arial"/>
          <w:lang w:val="en-029"/>
        </w:rPr>
        <w:t>12</w:t>
      </w:r>
      <w:r w:rsidRPr="00D244E2">
        <w:rPr>
          <w:rFonts w:cs="Arial"/>
          <w:lang w:val="en-029"/>
        </w:rPr>
        <w:t>ff.)</w:t>
      </w:r>
    </w:p>
    <w:p w14:paraId="7DEE4B20" w14:textId="77777777" w:rsidR="00DF703E" w:rsidRDefault="00DF703E" w:rsidP="00135036">
      <w:pPr>
        <w:spacing w:before="120" w:after="120"/>
        <w:jc w:val="both"/>
        <w:rPr>
          <w:rFonts w:cs="Arial"/>
          <w:lang w:val="en-029"/>
        </w:rPr>
      </w:pPr>
    </w:p>
    <w:p w14:paraId="45289DA6" w14:textId="77777777" w:rsidR="00B659FB" w:rsidRPr="00135036" w:rsidRDefault="00B659FB" w:rsidP="00135036">
      <w:pPr>
        <w:jc w:val="center"/>
        <w:rPr>
          <w:rFonts w:cs="Arial"/>
          <w:b/>
          <w:sz w:val="18"/>
          <w:szCs w:val="18"/>
          <w:lang w:val="en-029"/>
        </w:rPr>
      </w:pPr>
      <w:r w:rsidRPr="00135036">
        <w:rPr>
          <w:rFonts w:cs="Arial"/>
          <w:b/>
          <w:sz w:val="18"/>
          <w:szCs w:val="18"/>
          <w:lang w:val="en-029"/>
        </w:rPr>
        <w:t>Table 1: Components and Sub-Components of the BCP</w:t>
      </w:r>
    </w:p>
    <w:tbl>
      <w:tblPr>
        <w:tblStyle w:val="TableGrid"/>
        <w:tblW w:w="9498" w:type="dxa"/>
        <w:jc w:val="center"/>
        <w:tblInd w:w="0" w:type="dxa"/>
        <w:tblLook w:val="04A0" w:firstRow="1" w:lastRow="0" w:firstColumn="1" w:lastColumn="0" w:noHBand="0" w:noVBand="1"/>
      </w:tblPr>
      <w:tblGrid>
        <w:gridCol w:w="4410"/>
        <w:gridCol w:w="5088"/>
      </w:tblGrid>
      <w:tr w:rsidR="00B659FB" w:rsidRPr="00382840" w14:paraId="15466C14" w14:textId="77777777" w:rsidTr="00DF703E">
        <w:trPr>
          <w:tblHeader/>
          <w:jc w:val="center"/>
        </w:trPr>
        <w:tc>
          <w:tcPr>
            <w:tcW w:w="4410" w:type="dxa"/>
            <w:shd w:val="clear" w:color="auto" w:fill="DAEEF3" w:themeFill="accent5" w:themeFillTint="33"/>
          </w:tcPr>
          <w:p w14:paraId="4234B6B5" w14:textId="77777777" w:rsidR="00B659FB" w:rsidRPr="00A0641E" w:rsidRDefault="00B659FB" w:rsidP="00C77273">
            <w:pPr>
              <w:pStyle w:val="BodyTextIndent"/>
              <w:tabs>
                <w:tab w:val="left" w:pos="720"/>
              </w:tabs>
              <w:ind w:left="0" w:firstLine="0"/>
              <w:jc w:val="center"/>
              <w:rPr>
                <w:rFonts w:ascii="Arial" w:hAnsi="Arial" w:cs="Arial"/>
                <w:b/>
                <w:i w:val="0"/>
                <w:noProof/>
                <w:sz w:val="18"/>
                <w:szCs w:val="18"/>
              </w:rPr>
            </w:pPr>
            <w:bookmarkStart w:id="11" w:name="_Hlk496167222"/>
            <w:r w:rsidRPr="00A0641E">
              <w:rPr>
                <w:rFonts w:ascii="Arial" w:hAnsi="Arial" w:cs="Arial"/>
                <w:b/>
                <w:i w:val="0"/>
                <w:noProof/>
                <w:sz w:val="18"/>
                <w:szCs w:val="18"/>
              </w:rPr>
              <w:t>Component</w:t>
            </w:r>
          </w:p>
        </w:tc>
        <w:tc>
          <w:tcPr>
            <w:tcW w:w="5088" w:type="dxa"/>
            <w:shd w:val="clear" w:color="auto" w:fill="DAEEF3" w:themeFill="accent5" w:themeFillTint="33"/>
          </w:tcPr>
          <w:p w14:paraId="7B520994" w14:textId="77777777" w:rsidR="00B659FB" w:rsidRPr="00A0641E" w:rsidRDefault="00B659FB" w:rsidP="00C77273">
            <w:pPr>
              <w:pStyle w:val="BodyTextIndent"/>
              <w:tabs>
                <w:tab w:val="left" w:pos="720"/>
              </w:tabs>
              <w:ind w:left="0" w:firstLine="0"/>
              <w:jc w:val="center"/>
              <w:rPr>
                <w:rFonts w:ascii="Arial" w:hAnsi="Arial" w:cs="Arial"/>
                <w:b/>
                <w:i w:val="0"/>
                <w:noProof/>
                <w:sz w:val="18"/>
                <w:szCs w:val="18"/>
              </w:rPr>
            </w:pPr>
            <w:r w:rsidRPr="00A0641E">
              <w:rPr>
                <w:rFonts w:ascii="Arial" w:hAnsi="Arial" w:cs="Arial"/>
                <w:b/>
                <w:i w:val="0"/>
                <w:noProof/>
                <w:sz w:val="18"/>
                <w:szCs w:val="18"/>
              </w:rPr>
              <w:t>Sub-Components</w:t>
            </w:r>
          </w:p>
        </w:tc>
      </w:tr>
      <w:tr w:rsidR="00B659FB" w:rsidRPr="00382840" w14:paraId="1398DD6D" w14:textId="77777777" w:rsidTr="00DF703E">
        <w:trPr>
          <w:jc w:val="center"/>
        </w:trPr>
        <w:tc>
          <w:tcPr>
            <w:tcW w:w="4410" w:type="dxa"/>
          </w:tcPr>
          <w:p w14:paraId="49ACF1BD" w14:textId="77777777" w:rsidR="00B659FB" w:rsidRPr="00135036" w:rsidRDefault="00B659FB" w:rsidP="00C77273">
            <w:pPr>
              <w:spacing w:before="120"/>
              <w:rPr>
                <w:rFonts w:cs="Arial"/>
                <w:noProof/>
                <w:sz w:val="18"/>
                <w:szCs w:val="18"/>
              </w:rPr>
            </w:pPr>
            <w:r w:rsidRPr="00135036">
              <w:rPr>
                <w:rFonts w:cs="Arial"/>
                <w:noProof/>
                <w:sz w:val="18"/>
                <w:szCs w:val="18"/>
              </w:rPr>
              <w:t>Component 1: Ensuring a coherent framework for business development: incentives and regulations</w:t>
            </w:r>
          </w:p>
        </w:tc>
        <w:tc>
          <w:tcPr>
            <w:tcW w:w="5088" w:type="dxa"/>
          </w:tcPr>
          <w:p w14:paraId="0AC2BB87" w14:textId="77777777" w:rsidR="00B659FB" w:rsidRPr="00135036" w:rsidRDefault="00B659FB" w:rsidP="00C77273">
            <w:pPr>
              <w:spacing w:before="120"/>
              <w:rPr>
                <w:rFonts w:cs="Arial"/>
                <w:noProof/>
                <w:sz w:val="18"/>
                <w:szCs w:val="18"/>
              </w:rPr>
            </w:pPr>
            <w:r w:rsidRPr="00135036">
              <w:rPr>
                <w:rFonts w:cs="Arial"/>
                <w:noProof/>
                <w:sz w:val="18"/>
                <w:szCs w:val="18"/>
              </w:rPr>
              <w:t>1.1 Taxes and incentives</w:t>
            </w:r>
          </w:p>
          <w:p w14:paraId="6BA0D1AD" w14:textId="77777777" w:rsidR="00B659FB" w:rsidRPr="00135036" w:rsidRDefault="00B659FB" w:rsidP="00C77273">
            <w:pPr>
              <w:spacing w:before="120"/>
              <w:rPr>
                <w:rFonts w:cs="Arial"/>
                <w:noProof/>
                <w:sz w:val="18"/>
                <w:szCs w:val="18"/>
              </w:rPr>
            </w:pPr>
            <w:r w:rsidRPr="00135036">
              <w:rPr>
                <w:rFonts w:cs="Arial"/>
                <w:noProof/>
                <w:sz w:val="18"/>
                <w:szCs w:val="18"/>
              </w:rPr>
              <w:t>1.2 Business Climate Reform</w:t>
            </w:r>
          </w:p>
        </w:tc>
      </w:tr>
      <w:tr w:rsidR="00B659FB" w:rsidRPr="00382840" w14:paraId="7DCF21D4" w14:textId="77777777" w:rsidTr="00DF703E">
        <w:trPr>
          <w:jc w:val="center"/>
        </w:trPr>
        <w:tc>
          <w:tcPr>
            <w:tcW w:w="4410" w:type="dxa"/>
          </w:tcPr>
          <w:p w14:paraId="6A735093" w14:textId="77777777" w:rsidR="00B659FB" w:rsidRPr="00135036" w:rsidRDefault="00B659FB" w:rsidP="00C77273">
            <w:pPr>
              <w:spacing w:before="120"/>
              <w:rPr>
                <w:rFonts w:cs="Arial"/>
                <w:noProof/>
                <w:sz w:val="18"/>
                <w:szCs w:val="18"/>
              </w:rPr>
            </w:pPr>
            <w:r w:rsidRPr="00135036">
              <w:rPr>
                <w:rFonts w:cs="Arial"/>
                <w:noProof/>
                <w:sz w:val="18"/>
                <w:szCs w:val="18"/>
              </w:rPr>
              <w:t>Component 2: Strengthening productive sectors through firm-level intervention</w:t>
            </w:r>
          </w:p>
        </w:tc>
        <w:tc>
          <w:tcPr>
            <w:tcW w:w="5088" w:type="dxa"/>
          </w:tcPr>
          <w:p w14:paraId="64E6F729" w14:textId="77777777" w:rsidR="00B659FB" w:rsidRPr="00135036" w:rsidRDefault="00B659FB" w:rsidP="00C77273">
            <w:pPr>
              <w:spacing w:before="120"/>
              <w:rPr>
                <w:rFonts w:cs="Arial"/>
                <w:noProof/>
                <w:sz w:val="18"/>
                <w:szCs w:val="18"/>
              </w:rPr>
            </w:pPr>
            <w:r w:rsidRPr="00135036">
              <w:rPr>
                <w:rFonts w:cs="Arial"/>
                <w:noProof/>
                <w:sz w:val="18"/>
                <w:szCs w:val="18"/>
              </w:rPr>
              <w:t>2.1 Cluster promotion</w:t>
            </w:r>
          </w:p>
          <w:p w14:paraId="0BA4BEFB" w14:textId="77777777" w:rsidR="00B659FB" w:rsidRPr="00135036" w:rsidRDefault="00B659FB" w:rsidP="00C77273">
            <w:pPr>
              <w:spacing w:before="120"/>
              <w:rPr>
                <w:rFonts w:cs="Arial"/>
                <w:noProof/>
                <w:sz w:val="18"/>
                <w:szCs w:val="18"/>
              </w:rPr>
            </w:pPr>
            <w:r w:rsidRPr="00135036">
              <w:rPr>
                <w:rFonts w:cs="Arial"/>
                <w:noProof/>
                <w:sz w:val="18"/>
                <w:szCs w:val="18"/>
              </w:rPr>
              <w:t>2.2 Business Development Services</w:t>
            </w:r>
          </w:p>
          <w:p w14:paraId="4A3F69EA" w14:textId="77777777" w:rsidR="00B659FB" w:rsidRPr="00135036" w:rsidRDefault="00B659FB" w:rsidP="00C77273">
            <w:pPr>
              <w:pStyle w:val="ListParagraph"/>
              <w:spacing w:before="120"/>
              <w:ind w:left="0"/>
              <w:rPr>
                <w:rFonts w:cs="Arial"/>
                <w:noProof/>
                <w:sz w:val="18"/>
                <w:szCs w:val="18"/>
              </w:rPr>
            </w:pPr>
          </w:p>
        </w:tc>
      </w:tr>
      <w:tr w:rsidR="00B659FB" w:rsidRPr="00382840" w14:paraId="356D74B6" w14:textId="77777777" w:rsidTr="00DF703E">
        <w:trPr>
          <w:jc w:val="center"/>
        </w:trPr>
        <w:tc>
          <w:tcPr>
            <w:tcW w:w="4410" w:type="dxa"/>
          </w:tcPr>
          <w:p w14:paraId="0E51AA78" w14:textId="77777777" w:rsidR="00B659FB" w:rsidRPr="00135036" w:rsidRDefault="00B659FB" w:rsidP="00C77273">
            <w:pPr>
              <w:spacing w:before="120"/>
              <w:rPr>
                <w:rFonts w:cs="Arial"/>
                <w:noProof/>
                <w:sz w:val="18"/>
                <w:szCs w:val="18"/>
              </w:rPr>
            </w:pPr>
            <w:r w:rsidRPr="00135036">
              <w:rPr>
                <w:rFonts w:cs="Arial"/>
                <w:noProof/>
                <w:sz w:val="18"/>
                <w:szCs w:val="18"/>
              </w:rPr>
              <w:t>Component 3: Improving trade logistics and trade facilitation and enhancing access to infrastructure</w:t>
            </w:r>
          </w:p>
          <w:p w14:paraId="6E057929" w14:textId="77777777" w:rsidR="00B659FB" w:rsidRPr="00135036" w:rsidRDefault="00B659FB" w:rsidP="00C77273">
            <w:pPr>
              <w:pStyle w:val="ListParagraph"/>
              <w:spacing w:before="120"/>
              <w:ind w:left="0"/>
              <w:rPr>
                <w:rFonts w:cs="Arial"/>
                <w:noProof/>
                <w:sz w:val="18"/>
                <w:szCs w:val="18"/>
              </w:rPr>
            </w:pPr>
          </w:p>
        </w:tc>
        <w:tc>
          <w:tcPr>
            <w:tcW w:w="5088" w:type="dxa"/>
          </w:tcPr>
          <w:p w14:paraId="6306033E" w14:textId="77777777" w:rsidR="00B659FB" w:rsidRPr="00135036" w:rsidRDefault="00B659FB" w:rsidP="00C77273">
            <w:pPr>
              <w:spacing w:before="120"/>
              <w:rPr>
                <w:rFonts w:cs="Arial"/>
                <w:noProof/>
                <w:sz w:val="18"/>
                <w:szCs w:val="18"/>
              </w:rPr>
            </w:pPr>
            <w:r w:rsidRPr="00135036">
              <w:rPr>
                <w:rFonts w:cs="Arial"/>
                <w:noProof/>
                <w:sz w:val="18"/>
                <w:szCs w:val="18"/>
              </w:rPr>
              <w:t>3.1 Trade agreement implementation</w:t>
            </w:r>
          </w:p>
          <w:p w14:paraId="78B74A58" w14:textId="77777777" w:rsidR="00B659FB" w:rsidRPr="00135036" w:rsidRDefault="00B659FB" w:rsidP="00C77273">
            <w:pPr>
              <w:spacing w:before="120"/>
              <w:rPr>
                <w:rFonts w:cs="Arial"/>
                <w:noProof/>
                <w:sz w:val="18"/>
                <w:szCs w:val="18"/>
              </w:rPr>
            </w:pPr>
            <w:r w:rsidRPr="00135036">
              <w:rPr>
                <w:rFonts w:cs="Arial"/>
                <w:noProof/>
                <w:sz w:val="18"/>
                <w:szCs w:val="18"/>
              </w:rPr>
              <w:t>3.2 Trade logistics and trade facilitation</w:t>
            </w:r>
          </w:p>
          <w:p w14:paraId="2AAC1698" w14:textId="77777777" w:rsidR="00B659FB" w:rsidRPr="00135036" w:rsidRDefault="00B659FB" w:rsidP="00C77273">
            <w:pPr>
              <w:spacing w:before="120"/>
              <w:rPr>
                <w:rFonts w:cs="Arial"/>
                <w:noProof/>
                <w:sz w:val="18"/>
                <w:szCs w:val="18"/>
              </w:rPr>
            </w:pPr>
            <w:r w:rsidRPr="00135036">
              <w:rPr>
                <w:rFonts w:cs="Arial"/>
                <w:noProof/>
                <w:sz w:val="18"/>
                <w:szCs w:val="18"/>
              </w:rPr>
              <w:t>3.3 Transportation Policy and Master Plan</w:t>
            </w:r>
          </w:p>
          <w:p w14:paraId="26EB8C2D" w14:textId="77777777" w:rsidR="00B659FB" w:rsidRPr="00135036" w:rsidRDefault="00B659FB" w:rsidP="00C77273">
            <w:pPr>
              <w:spacing w:before="120"/>
              <w:rPr>
                <w:rFonts w:cs="Arial"/>
                <w:noProof/>
                <w:sz w:val="18"/>
                <w:szCs w:val="18"/>
              </w:rPr>
            </w:pPr>
            <w:r w:rsidRPr="00135036">
              <w:rPr>
                <w:rFonts w:cs="Arial"/>
                <w:noProof/>
                <w:sz w:val="18"/>
                <w:szCs w:val="18"/>
              </w:rPr>
              <w:lastRenderedPageBreak/>
              <w:t>3.4 Enhanced access to infrastruccte through Public Private Partnerships (PPP)</w:t>
            </w:r>
          </w:p>
        </w:tc>
      </w:tr>
      <w:tr w:rsidR="00B659FB" w:rsidRPr="00382840" w14:paraId="14D55D79" w14:textId="77777777" w:rsidTr="00DF703E">
        <w:trPr>
          <w:jc w:val="center"/>
        </w:trPr>
        <w:tc>
          <w:tcPr>
            <w:tcW w:w="4410" w:type="dxa"/>
          </w:tcPr>
          <w:p w14:paraId="43234634" w14:textId="77777777" w:rsidR="00B659FB" w:rsidRPr="00135036" w:rsidRDefault="00B659FB" w:rsidP="00C77273">
            <w:pPr>
              <w:spacing w:before="120"/>
              <w:rPr>
                <w:rFonts w:cs="Arial"/>
                <w:noProof/>
                <w:sz w:val="18"/>
                <w:szCs w:val="18"/>
              </w:rPr>
            </w:pPr>
            <w:r w:rsidRPr="00135036">
              <w:rPr>
                <w:rFonts w:cs="Arial"/>
                <w:noProof/>
                <w:sz w:val="18"/>
                <w:szCs w:val="18"/>
              </w:rPr>
              <w:lastRenderedPageBreak/>
              <w:t>Component 4: Strengthening Public-Private Dialogue on Competitiveness</w:t>
            </w:r>
          </w:p>
        </w:tc>
        <w:tc>
          <w:tcPr>
            <w:tcW w:w="5088" w:type="dxa"/>
          </w:tcPr>
          <w:p w14:paraId="3B491BCC" w14:textId="77777777" w:rsidR="00B659FB" w:rsidRPr="00135036" w:rsidRDefault="00B659FB" w:rsidP="00C77273">
            <w:pPr>
              <w:spacing w:before="120"/>
              <w:rPr>
                <w:rFonts w:cs="Arial"/>
                <w:noProof/>
                <w:sz w:val="18"/>
                <w:szCs w:val="18"/>
              </w:rPr>
            </w:pPr>
            <w:r w:rsidRPr="00135036">
              <w:rPr>
                <w:rFonts w:cs="Arial"/>
                <w:noProof/>
                <w:sz w:val="18"/>
                <w:szCs w:val="18"/>
              </w:rPr>
              <w:t>4.1 Design and Strengthening of the Commission on Competitiveness and Establishment of its Technical  Unit</w:t>
            </w:r>
          </w:p>
          <w:p w14:paraId="7EBC31F4" w14:textId="77777777" w:rsidR="00B659FB" w:rsidRPr="00135036" w:rsidRDefault="00B659FB" w:rsidP="00C77273">
            <w:pPr>
              <w:spacing w:before="120"/>
              <w:rPr>
                <w:rFonts w:cs="Arial"/>
                <w:noProof/>
                <w:sz w:val="18"/>
                <w:szCs w:val="18"/>
              </w:rPr>
            </w:pPr>
            <w:r w:rsidRPr="00135036">
              <w:rPr>
                <w:rFonts w:cs="Arial"/>
                <w:noProof/>
                <w:sz w:val="18"/>
                <w:szCs w:val="18"/>
              </w:rPr>
              <w:t>4.2 National Competitiveness Strategy &amp; Action Plan</w:t>
            </w:r>
          </w:p>
        </w:tc>
      </w:tr>
      <w:bookmarkEnd w:id="11"/>
    </w:tbl>
    <w:p w14:paraId="42A7E91E" w14:textId="68C18444" w:rsidR="00613DB9" w:rsidRDefault="00613DB9" w:rsidP="00613DB9">
      <w:pPr>
        <w:jc w:val="both"/>
        <w:rPr>
          <w:rFonts w:cs="Arial"/>
        </w:rPr>
      </w:pPr>
    </w:p>
    <w:p w14:paraId="219BC8E6" w14:textId="37DC7722" w:rsidR="00E845E5" w:rsidRPr="00135036" w:rsidRDefault="00613DB9" w:rsidP="00135036">
      <w:pPr>
        <w:spacing w:before="120" w:after="120"/>
        <w:jc w:val="both"/>
        <w:rPr>
          <w:rFonts w:cs="Arial"/>
        </w:rPr>
      </w:pPr>
      <w:r>
        <w:rPr>
          <w:rFonts w:cs="Arial"/>
        </w:rPr>
        <w:t xml:space="preserve">The involvement of the Bank in these types of interventions had a long track record, both at the regional level and the Barbados country-level. Previous country-specific projects and technical assistance, and knowledge work included, among others: (i) </w:t>
      </w:r>
      <w:r w:rsidRPr="002A7E0D">
        <w:rPr>
          <w:rFonts w:cs="Arial"/>
          <w:i/>
        </w:rPr>
        <w:t xml:space="preserve">Strategy to Strengthen Trade Logistics and Trade Facilitation </w:t>
      </w:r>
      <w:r>
        <w:rPr>
          <w:rFonts w:cs="Arial"/>
        </w:rPr>
        <w:t>(</w:t>
      </w:r>
      <w:hyperlink r:id="rId22" w:history="1">
        <w:r w:rsidRPr="002A7E0D">
          <w:rPr>
            <w:rStyle w:val="Hyperlink"/>
            <w:rFonts w:cs="Arial"/>
          </w:rPr>
          <w:t>BA-T1004</w:t>
        </w:r>
      </w:hyperlink>
      <w:r w:rsidRPr="00181865">
        <w:rPr>
          <w:rFonts w:cs="Arial"/>
        </w:rPr>
        <w:t>)</w:t>
      </w:r>
      <w:r>
        <w:rPr>
          <w:rFonts w:cs="Arial"/>
        </w:rPr>
        <w:t xml:space="preserve"> approved in 2007 and which delivered report on the</w:t>
      </w:r>
      <w:r w:rsidRPr="005B4501">
        <w:rPr>
          <w:rFonts w:cs="Arial"/>
        </w:rPr>
        <w:t xml:space="preserve"> efficiency and effectiveness of trade logistics and trade facilitation practices</w:t>
      </w:r>
      <w:r>
        <w:rPr>
          <w:rFonts w:cs="Arial"/>
        </w:rPr>
        <w:t xml:space="preserve">, (ii) </w:t>
      </w:r>
      <w:r w:rsidRPr="005B4501">
        <w:rPr>
          <w:rFonts w:cs="Arial"/>
          <w:i/>
        </w:rPr>
        <w:t>Strengthening of Business Facilitation Services</w:t>
      </w:r>
      <w:r>
        <w:rPr>
          <w:rFonts w:cs="Arial"/>
        </w:rPr>
        <w:t xml:space="preserve"> (</w:t>
      </w:r>
      <w:hyperlink r:id="rId23" w:history="1">
        <w:r w:rsidRPr="005B4501">
          <w:rPr>
            <w:rStyle w:val="Hyperlink"/>
            <w:rFonts w:cs="Arial"/>
          </w:rPr>
          <w:t>BA-T1002</w:t>
        </w:r>
      </w:hyperlink>
      <w:r>
        <w:rPr>
          <w:rFonts w:cs="Arial"/>
        </w:rPr>
        <w:t xml:space="preserve">) approved in 2005 focused on the businesses processes in companies and the services at their disposal, (iii) </w:t>
      </w:r>
      <w:r w:rsidRPr="008447D1">
        <w:rPr>
          <w:rFonts w:cs="Arial"/>
          <w:i/>
        </w:rPr>
        <w:t>Modernization of the Barbados National Standards System</w:t>
      </w:r>
      <w:r>
        <w:rPr>
          <w:rFonts w:cs="Arial"/>
        </w:rPr>
        <w:t xml:space="preserve"> (</w:t>
      </w:r>
      <w:hyperlink r:id="rId24" w:history="1">
        <w:r w:rsidRPr="008447D1">
          <w:rPr>
            <w:rStyle w:val="Hyperlink"/>
            <w:rFonts w:cs="Arial"/>
          </w:rPr>
          <w:t>BA-L1006</w:t>
        </w:r>
      </w:hyperlink>
      <w:r>
        <w:rPr>
          <w:rFonts w:cs="Arial"/>
        </w:rPr>
        <w:t xml:space="preserve">) aimed at improving the </w:t>
      </w:r>
      <w:r w:rsidRPr="008447D1">
        <w:rPr>
          <w:rFonts w:cs="Arial"/>
        </w:rPr>
        <w:t>country's capacity in the application and administration of national standards to better meet the challenges posed by the sub-regional integration and the increasing challenges from globalization</w:t>
      </w:r>
      <w:r>
        <w:rPr>
          <w:rFonts w:cs="Arial"/>
        </w:rPr>
        <w:t xml:space="preserve">; and (iii) </w:t>
      </w:r>
      <w:r w:rsidRPr="00767363">
        <w:rPr>
          <w:rFonts w:cs="Arial"/>
          <w:i/>
        </w:rPr>
        <w:t>Supporting the private sector take advantage of regional and global integration</w:t>
      </w:r>
      <w:r>
        <w:rPr>
          <w:rFonts w:cs="Arial"/>
        </w:rPr>
        <w:t xml:space="preserve"> (</w:t>
      </w:r>
      <w:hyperlink r:id="rId25" w:history="1">
        <w:r w:rsidRPr="003A2BBC">
          <w:rPr>
            <w:rStyle w:val="Hyperlink"/>
            <w:rFonts w:cs="Arial"/>
          </w:rPr>
          <w:t>BA-M1007</w:t>
        </w:r>
      </w:hyperlink>
      <w:r>
        <w:rPr>
          <w:rFonts w:cs="Arial"/>
        </w:rPr>
        <w:t>) approved in 2009 focused on strengthening capacities and knowledge around the strategic positioning in a context of regional integration and free trade agreements.</w:t>
      </w:r>
    </w:p>
    <w:p w14:paraId="1B3CB80D" w14:textId="01E47729" w:rsidR="00EC0C7B" w:rsidRPr="00FF454A" w:rsidRDefault="006F6C48" w:rsidP="00DF703E">
      <w:pPr>
        <w:pStyle w:val="Heading1"/>
        <w:spacing w:before="240" w:after="240"/>
        <w:ind w:left="360"/>
        <w:jc w:val="both"/>
        <w:rPr>
          <w:smallCaps/>
        </w:rPr>
      </w:pPr>
      <w:bookmarkStart w:id="12" w:name="_Toc500317964"/>
      <w:r w:rsidRPr="004743DB">
        <w:rPr>
          <w:smallCaps/>
        </w:rPr>
        <w:t xml:space="preserve">Core criteria. </w:t>
      </w:r>
      <w:r w:rsidR="009B4D7A" w:rsidRPr="004743DB">
        <w:rPr>
          <w:smallCaps/>
        </w:rPr>
        <w:t>Project performance</w:t>
      </w:r>
      <w:bookmarkEnd w:id="12"/>
    </w:p>
    <w:p w14:paraId="1EFBC93F" w14:textId="6701D6F5" w:rsidR="00EC0C7B" w:rsidRPr="00B659FB" w:rsidRDefault="009B4D7A" w:rsidP="00DF703E">
      <w:pPr>
        <w:pStyle w:val="Heading3"/>
        <w:numPr>
          <w:ilvl w:val="1"/>
          <w:numId w:val="1"/>
        </w:numPr>
        <w:jc w:val="both"/>
      </w:pPr>
      <w:bookmarkStart w:id="13" w:name="_Toc500317965"/>
      <w:r w:rsidRPr="00176A44">
        <w:t>Relevance</w:t>
      </w:r>
      <w:bookmarkEnd w:id="13"/>
    </w:p>
    <w:p w14:paraId="6D64FA7C" w14:textId="28EDFEC2" w:rsidR="00E52E4C" w:rsidRPr="00176A44" w:rsidRDefault="00E52E4C" w:rsidP="00E52E4C">
      <w:pPr>
        <w:pStyle w:val="Heading3"/>
        <w:jc w:val="both"/>
      </w:pPr>
      <w:bookmarkStart w:id="14" w:name="_Toc500317966"/>
      <w:r w:rsidRPr="00176A44">
        <w:t>Alignment with country development needs</w:t>
      </w:r>
      <w:bookmarkEnd w:id="14"/>
    </w:p>
    <w:p w14:paraId="6515E4A3" w14:textId="2CF6F695" w:rsidR="000B3F32" w:rsidRDefault="000B3F32" w:rsidP="00135036">
      <w:pPr>
        <w:spacing w:before="120" w:after="120"/>
        <w:jc w:val="both"/>
        <w:rPr>
          <w:rFonts w:cs="Arial"/>
        </w:rPr>
      </w:pPr>
      <w:r w:rsidRPr="00462C3D">
        <w:rPr>
          <w:rFonts w:cs="Arial"/>
        </w:rPr>
        <w:t>The long-term development policy framework for Barbados has historically</w:t>
      </w:r>
      <w:r>
        <w:rPr>
          <w:rFonts w:cs="Arial"/>
        </w:rPr>
        <w:t xml:space="preserve"> </w:t>
      </w:r>
      <w:r w:rsidRPr="00462C3D">
        <w:rPr>
          <w:rFonts w:cs="Arial"/>
        </w:rPr>
        <w:t>been underpinned by policy documents known as development plans. These</w:t>
      </w:r>
      <w:r>
        <w:rPr>
          <w:rFonts w:cs="Arial"/>
        </w:rPr>
        <w:t xml:space="preserve"> </w:t>
      </w:r>
      <w:r w:rsidRPr="00462C3D">
        <w:rPr>
          <w:rFonts w:cs="Arial"/>
        </w:rPr>
        <w:t xml:space="preserve">plans outline the long-term vision for the </w:t>
      </w:r>
      <w:r>
        <w:rPr>
          <w:rFonts w:cs="Arial"/>
        </w:rPr>
        <w:t>country</w:t>
      </w:r>
      <w:r w:rsidRPr="00462C3D">
        <w:rPr>
          <w:rFonts w:cs="Arial"/>
        </w:rPr>
        <w:t xml:space="preserve"> and the policy framework to</w:t>
      </w:r>
      <w:r>
        <w:rPr>
          <w:rFonts w:cs="Arial"/>
        </w:rPr>
        <w:t xml:space="preserve"> </w:t>
      </w:r>
      <w:r w:rsidRPr="00462C3D">
        <w:rPr>
          <w:rFonts w:cs="Arial"/>
        </w:rPr>
        <w:t xml:space="preserve">achieve these objectives. The most recent, the </w:t>
      </w:r>
      <w:r w:rsidRPr="002C3241">
        <w:rPr>
          <w:rFonts w:cs="Arial"/>
          <w:i/>
        </w:rPr>
        <w:t>Barbados Growth and Development Strategy 2013-2020</w:t>
      </w:r>
      <w:r>
        <w:rPr>
          <w:rStyle w:val="FootnoteReference"/>
          <w:rFonts w:cs="Arial"/>
        </w:rPr>
        <w:footnoteReference w:id="5"/>
      </w:r>
      <w:r>
        <w:rPr>
          <w:rFonts w:cs="Arial"/>
        </w:rPr>
        <w:t>, builds on</w:t>
      </w:r>
      <w:r w:rsidRPr="00462C3D">
        <w:rPr>
          <w:rFonts w:cs="Arial"/>
        </w:rPr>
        <w:t xml:space="preserve"> the country’s long-term goal which is to become “A Fully Developed and People-Centred Society, through New Development Pathways”.</w:t>
      </w:r>
      <w:r>
        <w:rPr>
          <w:rFonts w:cs="Arial"/>
        </w:rPr>
        <w:t xml:space="preserve"> Productivity, efficiency, and competitiveness are repeatedly mentioned throughout the whole document as key drivers for the country’s e</w:t>
      </w:r>
      <w:r w:rsidR="00FF454A">
        <w:rPr>
          <w:rFonts w:cs="Arial"/>
        </w:rPr>
        <w:t>conomic growth and development.</w:t>
      </w:r>
    </w:p>
    <w:p w14:paraId="2695F801" w14:textId="246E453C" w:rsidR="000B3F32" w:rsidRPr="00FF454A" w:rsidRDefault="000B3F32" w:rsidP="00135036">
      <w:pPr>
        <w:spacing w:before="120" w:after="120"/>
        <w:jc w:val="both"/>
        <w:rPr>
          <w:rFonts w:cs="Arial"/>
        </w:rPr>
      </w:pPr>
      <w:r w:rsidRPr="00891A53">
        <w:rPr>
          <w:rFonts w:cs="Arial"/>
        </w:rPr>
        <w:t xml:space="preserve">However, an </w:t>
      </w:r>
      <w:r>
        <w:rPr>
          <w:rFonts w:cs="Arial"/>
        </w:rPr>
        <w:t>evaluation</w:t>
      </w:r>
      <w:r w:rsidRPr="00891A53">
        <w:rPr>
          <w:rFonts w:cs="Arial"/>
        </w:rPr>
        <w:t xml:space="preserve"> of the consistency of the objectives of the loan with the beneficiaries' needs</w:t>
      </w:r>
      <w:r>
        <w:rPr>
          <w:rFonts w:cs="Arial"/>
        </w:rPr>
        <w:t xml:space="preserve"> and</w:t>
      </w:r>
      <w:r w:rsidRPr="00444DCF">
        <w:rPr>
          <w:rFonts w:cs="Arial"/>
        </w:rPr>
        <w:t xml:space="preserve"> the country's development priorities </w:t>
      </w:r>
      <w:r>
        <w:rPr>
          <w:rFonts w:cs="Arial"/>
        </w:rPr>
        <w:t>needs to start with an assessment of its relevance</w:t>
      </w:r>
      <w:r w:rsidRPr="00444DCF">
        <w:rPr>
          <w:rFonts w:cs="Arial"/>
        </w:rPr>
        <w:t xml:space="preserve"> </w:t>
      </w:r>
      <w:r>
        <w:rPr>
          <w:rFonts w:cs="Arial"/>
        </w:rPr>
        <w:t>in light of</w:t>
      </w:r>
      <w:r w:rsidRPr="00444DCF">
        <w:rPr>
          <w:rFonts w:cs="Arial"/>
        </w:rPr>
        <w:t xml:space="preserve"> the context </w:t>
      </w:r>
      <w:r>
        <w:rPr>
          <w:rFonts w:cs="Arial"/>
        </w:rPr>
        <w:t>during</w:t>
      </w:r>
      <w:r w:rsidRPr="00444DCF">
        <w:rPr>
          <w:rFonts w:cs="Arial"/>
        </w:rPr>
        <w:t xml:space="preserve"> which the operation was designed. </w:t>
      </w:r>
      <w:r>
        <w:rPr>
          <w:rFonts w:cs="Arial"/>
        </w:rPr>
        <w:t xml:space="preserve">As discussed in some of the prior sections, this loan was prepared in the midst of the </w:t>
      </w:r>
      <w:r w:rsidRPr="007949FE">
        <w:rPr>
          <w:rFonts w:cs="Arial"/>
        </w:rPr>
        <w:t>international financ</w:t>
      </w:r>
      <w:r>
        <w:rPr>
          <w:rFonts w:cs="Arial"/>
        </w:rPr>
        <w:t xml:space="preserve">ial crisis that erupted in 2008. Being a country highly dependent on tourism, the crisis </w:t>
      </w:r>
      <w:r w:rsidRPr="007949FE">
        <w:rPr>
          <w:rFonts w:cs="Arial"/>
        </w:rPr>
        <w:t xml:space="preserve">adversely affected the Barbados economy in 2009, </w:t>
      </w:r>
      <w:r>
        <w:rPr>
          <w:rFonts w:cs="Arial"/>
        </w:rPr>
        <w:t>with real GDP contracting</w:t>
      </w:r>
      <w:r w:rsidRPr="007949FE">
        <w:rPr>
          <w:rFonts w:cs="Arial"/>
        </w:rPr>
        <w:t xml:space="preserve"> by 4.1</w:t>
      </w:r>
      <w:r>
        <w:rPr>
          <w:rFonts w:cs="Arial"/>
        </w:rPr>
        <w:t xml:space="preserve"> percent.</w:t>
      </w:r>
      <w:r w:rsidRPr="007949FE">
        <w:rPr>
          <w:rFonts w:cs="Arial"/>
        </w:rPr>
        <w:t xml:space="preserve"> </w:t>
      </w:r>
      <w:r>
        <w:rPr>
          <w:rFonts w:cs="Arial"/>
        </w:rPr>
        <w:t>Overall, it had an</w:t>
      </w:r>
      <w:r w:rsidRPr="007949FE">
        <w:rPr>
          <w:rFonts w:cs="Arial"/>
        </w:rPr>
        <w:t xml:space="preserve"> impact on </w:t>
      </w:r>
      <w:r>
        <w:rPr>
          <w:rFonts w:cs="Arial"/>
        </w:rPr>
        <w:t xml:space="preserve">all </w:t>
      </w:r>
      <w:r w:rsidRPr="007949FE">
        <w:rPr>
          <w:rFonts w:cs="Arial"/>
        </w:rPr>
        <w:t>the country’s main economic activities</w:t>
      </w:r>
      <w:r>
        <w:rPr>
          <w:rFonts w:cs="Arial"/>
        </w:rPr>
        <w:t xml:space="preserve"> that</w:t>
      </w:r>
      <w:r w:rsidRPr="007949FE">
        <w:rPr>
          <w:rFonts w:cs="Arial"/>
        </w:rPr>
        <w:t xml:space="preserve">, </w:t>
      </w:r>
      <w:r>
        <w:rPr>
          <w:rFonts w:cs="Arial"/>
        </w:rPr>
        <w:t>besides</w:t>
      </w:r>
      <w:r w:rsidRPr="007949FE">
        <w:rPr>
          <w:rFonts w:cs="Arial"/>
        </w:rPr>
        <w:t xml:space="preserve"> tourism,</w:t>
      </w:r>
      <w:r>
        <w:rPr>
          <w:rFonts w:cs="Arial"/>
        </w:rPr>
        <w:t xml:space="preserve"> are mostly</w:t>
      </w:r>
      <w:r w:rsidRPr="007949FE">
        <w:rPr>
          <w:rFonts w:cs="Arial"/>
        </w:rPr>
        <w:t xml:space="preserve"> financial services, </w:t>
      </w:r>
      <w:r>
        <w:rPr>
          <w:rFonts w:cs="Arial"/>
        </w:rPr>
        <w:t xml:space="preserve">real estate, and construction. Therefore, designing a loan that was aimed at increasing the competitiveness of business in the country and looking at issues such as tax reform, investment in economic infrastructure and trade facilitation was </w:t>
      </w:r>
      <w:r w:rsidR="00FF454A">
        <w:rPr>
          <w:rFonts w:cs="Arial"/>
        </w:rPr>
        <w:t xml:space="preserve">extremely timely and relevant. </w:t>
      </w:r>
    </w:p>
    <w:p w14:paraId="685D77CB" w14:textId="44DFDE77" w:rsidR="000B3F32" w:rsidRDefault="000B3F32" w:rsidP="00135036">
      <w:pPr>
        <w:autoSpaceDE w:val="0"/>
        <w:autoSpaceDN w:val="0"/>
        <w:adjustRightInd w:val="0"/>
        <w:spacing w:before="120" w:after="120"/>
        <w:jc w:val="both"/>
        <w:rPr>
          <w:rFonts w:cs="Arial"/>
        </w:rPr>
      </w:pPr>
      <w:r>
        <w:rPr>
          <w:rFonts w:cs="Arial"/>
          <w:lang w:val="en-029"/>
        </w:rPr>
        <w:t xml:space="preserve">It was also fully aligned with the </w:t>
      </w:r>
      <w:r w:rsidRPr="003D39EA">
        <w:rPr>
          <w:rFonts w:cs="Arial"/>
          <w:i/>
        </w:rPr>
        <w:t>Barbados National Strategic Plan 2006-2025</w:t>
      </w:r>
      <w:r>
        <w:rPr>
          <w:rStyle w:val="FootnoteReference"/>
          <w:rFonts w:cs="Arial"/>
          <w:i/>
        </w:rPr>
        <w:footnoteReference w:id="6"/>
      </w:r>
      <w:r>
        <w:rPr>
          <w:rFonts w:cs="Arial"/>
          <w:i/>
        </w:rPr>
        <w:t>,</w:t>
      </w:r>
      <w:r>
        <w:rPr>
          <w:rFonts w:cs="Arial"/>
        </w:rPr>
        <w:t xml:space="preserve"> which lists as one of its six broad strategic goals “</w:t>
      </w:r>
      <w:r w:rsidRPr="00812E82">
        <w:rPr>
          <w:rFonts w:cs="Arial"/>
        </w:rPr>
        <w:t>Enh</w:t>
      </w:r>
      <w:r>
        <w:rPr>
          <w:rFonts w:cs="Arial"/>
        </w:rPr>
        <w:t xml:space="preserve">ancing Barbados’ Prosperity and </w:t>
      </w:r>
      <w:r w:rsidRPr="00812E82">
        <w:rPr>
          <w:rFonts w:cs="Arial"/>
        </w:rPr>
        <w:t>Competitiveness</w:t>
      </w:r>
      <w:r>
        <w:rPr>
          <w:rFonts w:cs="Arial"/>
        </w:rPr>
        <w:t>” and explicitly “</w:t>
      </w:r>
      <w:r w:rsidRPr="00812E82">
        <w:rPr>
          <w:rFonts w:cs="Arial"/>
        </w:rPr>
        <w:t>seeks to enhance Barbados’ prosperity and competitiveness</w:t>
      </w:r>
      <w:r>
        <w:rPr>
          <w:rFonts w:cs="Arial"/>
        </w:rPr>
        <w:t xml:space="preserve"> </w:t>
      </w:r>
      <w:r w:rsidRPr="00812E82">
        <w:rPr>
          <w:rFonts w:cs="Arial"/>
        </w:rPr>
        <w:t>in the world economy</w:t>
      </w:r>
      <w:r>
        <w:rPr>
          <w:rFonts w:cs="Arial"/>
        </w:rPr>
        <w:t xml:space="preserve">” </w:t>
      </w:r>
      <w:r>
        <w:rPr>
          <w:rFonts w:cs="Arial"/>
        </w:rPr>
        <w:lastRenderedPageBreak/>
        <w:t xml:space="preserve">(p.2). Three of the objectives presented as part of this goal particularly show how relevant the overall BCP design was for the country. These are to (i) </w:t>
      </w:r>
      <w:r w:rsidRPr="00812E82">
        <w:rPr>
          <w:rFonts w:cs="Arial"/>
        </w:rPr>
        <w:t>Boost P</w:t>
      </w:r>
      <w:r>
        <w:rPr>
          <w:rFonts w:cs="Arial"/>
        </w:rPr>
        <w:t xml:space="preserve">roductivity and Competitiveness, (ii) </w:t>
      </w:r>
      <w:r w:rsidRPr="00812E82">
        <w:rPr>
          <w:rFonts w:cs="Arial"/>
        </w:rPr>
        <w:t>Increase the Export of Services and Products</w:t>
      </w:r>
      <w:r>
        <w:rPr>
          <w:rFonts w:cs="Arial"/>
        </w:rPr>
        <w:t>, and (iii)</w:t>
      </w:r>
      <w:r w:rsidRPr="00812E82">
        <w:rPr>
          <w:rFonts w:cs="Arial"/>
        </w:rPr>
        <w:t xml:space="preserve"> Integrate Barbados into </w:t>
      </w:r>
      <w:r>
        <w:rPr>
          <w:rFonts w:cs="Arial"/>
        </w:rPr>
        <w:t>the Global Economy (p. 86). In the section on industrial relations, the document also highlights the priority to “</w:t>
      </w:r>
      <w:r w:rsidRPr="00812E82">
        <w:rPr>
          <w:rFonts w:cs="Arial"/>
        </w:rPr>
        <w:t>Strengthen and enhance the Social Partnership as an instrument</w:t>
      </w:r>
      <w:r>
        <w:rPr>
          <w:rFonts w:cs="Arial"/>
        </w:rPr>
        <w:t xml:space="preserve"> </w:t>
      </w:r>
      <w:r w:rsidRPr="00812E82">
        <w:rPr>
          <w:rFonts w:cs="Arial"/>
        </w:rPr>
        <w:t>for civic engagement, productivity</w:t>
      </w:r>
      <w:r>
        <w:rPr>
          <w:rFonts w:cs="Arial"/>
        </w:rPr>
        <w:t xml:space="preserve"> i</w:t>
      </w:r>
      <w:r w:rsidRPr="00812E82">
        <w:rPr>
          <w:rFonts w:cs="Arial"/>
        </w:rPr>
        <w:t>mprovements and for</w:t>
      </w:r>
      <w:r>
        <w:rPr>
          <w:rFonts w:cs="Arial"/>
        </w:rPr>
        <w:t xml:space="preserve"> </w:t>
      </w:r>
      <w:r w:rsidRPr="00812E82">
        <w:rPr>
          <w:rFonts w:cs="Arial"/>
        </w:rPr>
        <w:t>building social cohesion.</w:t>
      </w:r>
      <w:r>
        <w:rPr>
          <w:rFonts w:cs="Arial"/>
        </w:rPr>
        <w:t xml:space="preserve">” (p. 56). As discussed in the section on effectiveness, component 4.1 was specifically designed to strengthen this consultative body by designing and implementing its own Commission on Competitiveness and the TU which would provide institutional support out of the </w:t>
      </w:r>
      <w:r>
        <w:rPr>
          <w:rFonts w:cs="Arial"/>
          <w:lang w:val="en-029"/>
        </w:rPr>
        <w:t>MFEA.</w:t>
      </w:r>
      <w:r w:rsidR="00FF454A">
        <w:rPr>
          <w:rFonts w:cs="Arial"/>
        </w:rPr>
        <w:t xml:space="preserve"> </w:t>
      </w:r>
    </w:p>
    <w:p w14:paraId="25367F8C" w14:textId="3AE1B1AF" w:rsidR="000B3F32" w:rsidRDefault="000B3F32" w:rsidP="00135036">
      <w:pPr>
        <w:autoSpaceDE w:val="0"/>
        <w:autoSpaceDN w:val="0"/>
        <w:adjustRightInd w:val="0"/>
        <w:spacing w:before="120" w:after="120"/>
        <w:jc w:val="both"/>
        <w:rPr>
          <w:rFonts w:cs="Arial"/>
        </w:rPr>
      </w:pPr>
      <w:r>
        <w:rPr>
          <w:rFonts w:cs="Arial"/>
        </w:rPr>
        <w:t xml:space="preserve">The project was also aligned with the main objectives highlighted in the </w:t>
      </w:r>
      <w:r w:rsidRPr="00CF32C5">
        <w:rPr>
          <w:rFonts w:cs="Arial"/>
          <w:i/>
        </w:rPr>
        <w:t>Barbados Strategic Plan for the International Business Sector (2007-2012)</w:t>
      </w:r>
      <w:r>
        <w:rPr>
          <w:rStyle w:val="FootnoteReference"/>
          <w:rFonts w:cs="Arial"/>
          <w:i/>
        </w:rPr>
        <w:footnoteReference w:id="7"/>
      </w:r>
      <w:r>
        <w:rPr>
          <w:rFonts w:cs="Arial"/>
        </w:rPr>
        <w:t xml:space="preserve">. This document, prepared by the Joint Policy Working Group in collaboration with the International Business Unit and the Development Division of the Ministry of Economic Affairs and Development, </w:t>
      </w:r>
      <w:r w:rsidRPr="00CF32C5">
        <w:rPr>
          <w:rFonts w:cs="Arial"/>
        </w:rPr>
        <w:t>highlighted as its first goal the need to “</w:t>
      </w:r>
      <w:r w:rsidRPr="00CF32C5">
        <w:rPr>
          <w:rFonts w:cs="Arial"/>
          <w:i/>
        </w:rPr>
        <w:t>address the main economic factors that are necessary to make the international business sector the key driver of sustainable economic growth and development in Barbados</w:t>
      </w:r>
      <w:r w:rsidR="00FF454A">
        <w:rPr>
          <w:rFonts w:cs="Arial"/>
        </w:rPr>
        <w:t>.”</w:t>
      </w:r>
    </w:p>
    <w:p w14:paraId="300C047C" w14:textId="58B09DE0" w:rsidR="000B3F32" w:rsidRDefault="000B3F32" w:rsidP="00135036">
      <w:pPr>
        <w:autoSpaceDE w:val="0"/>
        <w:autoSpaceDN w:val="0"/>
        <w:adjustRightInd w:val="0"/>
        <w:spacing w:before="120" w:after="120"/>
        <w:jc w:val="both"/>
        <w:rPr>
          <w:rFonts w:cs="Arial"/>
        </w:rPr>
      </w:pPr>
      <w:r>
        <w:rPr>
          <w:rFonts w:cs="Arial"/>
        </w:rPr>
        <w:t xml:space="preserve">While these were all major priorities at the time of project preparation in 2009, the same areas are still fully in line with the country’s priorities of today, as can be confirmed, among others, in the </w:t>
      </w:r>
      <w:r w:rsidRPr="00D12CC0">
        <w:rPr>
          <w:rFonts w:cs="Arial"/>
          <w:i/>
        </w:rPr>
        <w:t>Barbados Medium-Term Growth and Development Strategy 2013-2020</w:t>
      </w:r>
      <w:r>
        <w:rPr>
          <w:rStyle w:val="FootnoteReference"/>
          <w:rFonts w:cs="Arial"/>
          <w:i/>
        </w:rPr>
        <w:footnoteReference w:id="8"/>
      </w:r>
      <w:r w:rsidRPr="00CF32C5">
        <w:rPr>
          <w:rFonts w:cs="Arial"/>
        </w:rPr>
        <w:t xml:space="preserve">. </w:t>
      </w:r>
      <w:r>
        <w:rPr>
          <w:rFonts w:cs="Arial"/>
        </w:rPr>
        <w:t>As per its own preamble, t</w:t>
      </w:r>
      <w:r w:rsidRPr="00CF32C5">
        <w:rPr>
          <w:rFonts w:cs="Arial"/>
        </w:rPr>
        <w:t xml:space="preserve">his strategic document was a joint effort between all major stakeholders in the country. Having been prepared by the </w:t>
      </w:r>
      <w:r>
        <w:rPr>
          <w:rFonts w:cs="Arial"/>
        </w:rPr>
        <w:t>EAD of the MFEA, it also counted on the collaboration from its own Finance Division and the Central Bank of Barbados, and was built on consultations with the Private Sector Associations and labor representatives.</w:t>
      </w:r>
    </w:p>
    <w:p w14:paraId="55EA52B8" w14:textId="66AD7B45" w:rsidR="00E52E4C" w:rsidRPr="00176A44" w:rsidRDefault="000B3F32" w:rsidP="00135036">
      <w:pPr>
        <w:spacing w:before="120" w:after="120"/>
        <w:jc w:val="both"/>
        <w:rPr>
          <w:rFonts w:cs="Arial"/>
        </w:rPr>
      </w:pPr>
      <w:r>
        <w:rPr>
          <w:rFonts w:cs="Arial"/>
        </w:rPr>
        <w:t>Alluding to the importance of continued reform, recovery, and s</w:t>
      </w:r>
      <w:r w:rsidRPr="00CF32C5">
        <w:rPr>
          <w:rFonts w:cs="Arial"/>
        </w:rPr>
        <w:t>ustainability</w:t>
      </w:r>
      <w:r>
        <w:rPr>
          <w:rFonts w:cs="Arial"/>
        </w:rPr>
        <w:t>, s</w:t>
      </w:r>
      <w:r w:rsidRPr="00CF32C5">
        <w:rPr>
          <w:rFonts w:cs="Arial"/>
        </w:rPr>
        <w:t xml:space="preserve">ome of the objectives </w:t>
      </w:r>
      <w:r>
        <w:rPr>
          <w:rFonts w:cs="Arial"/>
        </w:rPr>
        <w:t xml:space="preserve">that confirm the relevance of the BCP are the following: (i) </w:t>
      </w:r>
      <w:r w:rsidRPr="0082474E">
        <w:rPr>
          <w:rFonts w:cs="Arial"/>
        </w:rPr>
        <w:t xml:space="preserve">Reduce the cost of doing </w:t>
      </w:r>
      <w:r>
        <w:rPr>
          <w:rFonts w:cs="Arial"/>
        </w:rPr>
        <w:t xml:space="preserve">business and the cost of living; (ii) </w:t>
      </w:r>
      <w:r w:rsidRPr="0082474E">
        <w:rPr>
          <w:rFonts w:cs="Arial"/>
        </w:rPr>
        <w:t>Increase th</w:t>
      </w:r>
      <w:r>
        <w:rPr>
          <w:rFonts w:cs="Arial"/>
        </w:rPr>
        <w:t xml:space="preserve">e exports of services and goods; (iii) </w:t>
      </w:r>
      <w:r w:rsidRPr="0082474E">
        <w:rPr>
          <w:rFonts w:cs="Arial"/>
        </w:rPr>
        <w:t>Enhance international competitiveness, national productivity, efficiency</w:t>
      </w:r>
      <w:r>
        <w:rPr>
          <w:rFonts w:cs="Arial"/>
        </w:rPr>
        <w:t xml:space="preserve">, </w:t>
      </w:r>
      <w:r w:rsidRPr="0082474E">
        <w:rPr>
          <w:rFonts w:cs="Arial"/>
        </w:rPr>
        <w:t xml:space="preserve">and </w:t>
      </w:r>
      <w:r>
        <w:rPr>
          <w:rFonts w:cs="Arial"/>
        </w:rPr>
        <w:t xml:space="preserve">service excellence; (iv) Enhance business facilitation; (v) </w:t>
      </w:r>
      <w:r w:rsidRPr="0082474E">
        <w:rPr>
          <w:rFonts w:cs="Arial"/>
        </w:rPr>
        <w:t>Expand and accelerate</w:t>
      </w:r>
      <w:r>
        <w:rPr>
          <w:rFonts w:cs="Arial"/>
        </w:rPr>
        <w:t xml:space="preserve"> public and private investments; (vi) </w:t>
      </w:r>
      <w:r w:rsidRPr="0082474E">
        <w:rPr>
          <w:rFonts w:cs="Arial"/>
        </w:rPr>
        <w:t>Reform the productive secto</w:t>
      </w:r>
      <w:r>
        <w:rPr>
          <w:rFonts w:cs="Arial"/>
        </w:rPr>
        <w:t xml:space="preserve">rs and increase supply capacity; (vii) </w:t>
      </w:r>
      <w:r w:rsidRPr="0082474E">
        <w:rPr>
          <w:rFonts w:cs="Arial"/>
        </w:rPr>
        <w:t>Ensure more modern and efficient public a</w:t>
      </w:r>
      <w:r>
        <w:rPr>
          <w:rFonts w:cs="Arial"/>
        </w:rPr>
        <w:t xml:space="preserve">nd private sector institutions. </w:t>
      </w:r>
    </w:p>
    <w:p w14:paraId="1A7F67F5" w14:textId="43E1DB86" w:rsidR="00E52E4C" w:rsidRPr="00176A44" w:rsidRDefault="00E52E4C" w:rsidP="00E52E4C">
      <w:pPr>
        <w:pStyle w:val="Heading3"/>
      </w:pPr>
      <w:bookmarkStart w:id="15" w:name="_Toc500317967"/>
      <w:r w:rsidRPr="00176A44">
        <w:t>Vertical logic</w:t>
      </w:r>
      <w:bookmarkEnd w:id="15"/>
    </w:p>
    <w:p w14:paraId="73A7A71C" w14:textId="77777777" w:rsidR="00FF454A" w:rsidRDefault="000B3F32" w:rsidP="00135036">
      <w:pPr>
        <w:spacing w:before="120" w:after="120"/>
        <w:jc w:val="both"/>
        <w:rPr>
          <w:rFonts w:cs="Arial"/>
          <w:lang w:val="en-029"/>
        </w:rPr>
      </w:pPr>
      <w:r w:rsidRPr="00D72B55">
        <w:rPr>
          <w:rFonts w:cs="Arial"/>
          <w:lang w:val="en-029"/>
        </w:rPr>
        <w:t>Together, the components aimed at promoting the setting up of an institutional framework conducive to implement a long-term competitiveness strategy, based on public-private dialogue (component 4), enhancing private sector investment (components 1 and 2), and improving trade competitiveness (component 3). T</w:t>
      </w:r>
      <w:r>
        <w:rPr>
          <w:rFonts w:cs="Arial"/>
          <w:lang w:val="en-029"/>
        </w:rPr>
        <w:t>he rationale was that, t</w:t>
      </w:r>
      <w:r w:rsidRPr="00D72B55">
        <w:rPr>
          <w:rFonts w:cs="Arial"/>
          <w:lang w:val="en-029"/>
        </w:rPr>
        <w:t>o support the stronger private sector capacity, a strengthen</w:t>
      </w:r>
      <w:r>
        <w:rPr>
          <w:rFonts w:cs="Arial"/>
          <w:lang w:val="en-029"/>
        </w:rPr>
        <w:t>ed</w:t>
      </w:r>
      <w:r w:rsidRPr="00D72B55">
        <w:rPr>
          <w:rFonts w:cs="Arial"/>
          <w:lang w:val="en-029"/>
        </w:rPr>
        <w:t xml:space="preserve"> public sector </w:t>
      </w:r>
      <w:r>
        <w:rPr>
          <w:rFonts w:cs="Arial"/>
          <w:lang w:val="en-029"/>
        </w:rPr>
        <w:t>would</w:t>
      </w:r>
      <w:r w:rsidRPr="00D72B55">
        <w:rPr>
          <w:rFonts w:cs="Arial"/>
          <w:lang w:val="en-029"/>
        </w:rPr>
        <w:t xml:space="preserve"> contribute to the long-term strategy by reducing transaction costs, and sharpening its interventions and the public policy design.</w:t>
      </w:r>
    </w:p>
    <w:p w14:paraId="13724736" w14:textId="5C563E7A" w:rsidR="000B3F32" w:rsidRDefault="000B3F32" w:rsidP="00135036">
      <w:pPr>
        <w:spacing w:before="120" w:after="120"/>
        <w:jc w:val="both"/>
        <w:rPr>
          <w:rFonts w:cs="Arial"/>
          <w:lang w:val="en-029"/>
        </w:rPr>
      </w:pPr>
      <w:r>
        <w:rPr>
          <w:rFonts w:cs="Arial"/>
          <w:lang w:val="en-029"/>
        </w:rPr>
        <w:t>In line with the definition of the WEF mentioned above, t</w:t>
      </w:r>
      <w:r w:rsidRPr="00AB3B3B">
        <w:rPr>
          <w:rFonts w:cs="Arial"/>
          <w:lang w:val="en-029"/>
        </w:rPr>
        <w:t xml:space="preserve">he vertical logic of the project is shown in the </w:t>
      </w:r>
      <w:r w:rsidRPr="002A7E0D">
        <w:rPr>
          <w:rFonts w:cs="Arial"/>
          <w:lang w:val="en-029"/>
        </w:rPr>
        <w:t xml:space="preserve">following </w:t>
      </w:r>
      <w:r w:rsidRPr="00D24CD1">
        <w:rPr>
          <w:rFonts w:cs="Arial"/>
          <w:i/>
          <w:lang w:val="en-029"/>
        </w:rPr>
        <w:t>Graphic 1</w:t>
      </w:r>
      <w:r w:rsidRPr="00AB3B3B">
        <w:rPr>
          <w:rFonts w:cs="Arial"/>
          <w:lang w:val="en-029"/>
        </w:rPr>
        <w:t xml:space="preserve">, which describes the low competitiveness of </w:t>
      </w:r>
      <w:r>
        <w:rPr>
          <w:rFonts w:cs="Arial"/>
          <w:lang w:val="en-029"/>
        </w:rPr>
        <w:t>Barbados</w:t>
      </w:r>
      <w:r w:rsidRPr="00AB3B3B">
        <w:rPr>
          <w:rFonts w:cs="Arial"/>
          <w:lang w:val="en-029"/>
        </w:rPr>
        <w:t xml:space="preserve"> as well as</w:t>
      </w:r>
      <w:r>
        <w:rPr>
          <w:rFonts w:cs="Arial"/>
          <w:lang w:val="en-029"/>
        </w:rPr>
        <w:t xml:space="preserve"> the resulting</w:t>
      </w:r>
      <w:r w:rsidRPr="00AB3B3B">
        <w:rPr>
          <w:rFonts w:cs="Arial"/>
          <w:lang w:val="en-029"/>
        </w:rPr>
        <w:t xml:space="preserve"> deficits in </w:t>
      </w:r>
      <w:r>
        <w:rPr>
          <w:rFonts w:cs="Arial"/>
          <w:lang w:val="en-029"/>
        </w:rPr>
        <w:t>productivity</w:t>
      </w:r>
      <w:r w:rsidRPr="00AB3B3B">
        <w:rPr>
          <w:rFonts w:cs="Arial"/>
          <w:lang w:val="en-029"/>
        </w:rPr>
        <w:t xml:space="preserve"> as a consequence of</w:t>
      </w:r>
      <w:r>
        <w:rPr>
          <w:rFonts w:cs="Arial"/>
          <w:lang w:val="en-029"/>
        </w:rPr>
        <w:t xml:space="preserve"> three factors: policies, institutions, and other factors.</w:t>
      </w:r>
    </w:p>
    <w:p w14:paraId="22228FBA" w14:textId="77777777" w:rsidR="000B3F32" w:rsidRDefault="000B3F32" w:rsidP="000B3F32">
      <w:pPr>
        <w:jc w:val="center"/>
        <w:rPr>
          <w:rFonts w:cs="Arial"/>
          <w:b/>
          <w:lang w:val="en-029"/>
        </w:rPr>
      </w:pPr>
      <w:r w:rsidRPr="00135036">
        <w:rPr>
          <w:rFonts w:cs="Arial"/>
          <w:b/>
          <w:sz w:val="18"/>
          <w:szCs w:val="18"/>
          <w:lang w:val="en-029"/>
        </w:rPr>
        <w:lastRenderedPageBreak/>
        <w:t>Graphic 1: Three factors that impact a country’s competitiveness according to the WEF</w:t>
      </w:r>
      <w:r w:rsidRPr="00115607">
        <w:rPr>
          <w:noProof/>
          <w:sz w:val="24"/>
        </w:rPr>
        <w:t xml:space="preserve"> </w:t>
      </w:r>
      <w:r>
        <w:rPr>
          <w:noProof/>
        </w:rPr>
        <w:drawing>
          <wp:inline distT="0" distB="0" distL="0" distR="0" wp14:anchorId="5B2DDBC2" wp14:editId="0954776C">
            <wp:extent cx="4187800" cy="2748915"/>
            <wp:effectExtent l="19050" t="19050" r="22860" b="133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199326" cy="2756481"/>
                    </a:xfrm>
                    <a:prstGeom prst="rect">
                      <a:avLst/>
                    </a:prstGeom>
                    <a:ln>
                      <a:solidFill>
                        <a:schemeClr val="tx1"/>
                      </a:solidFill>
                    </a:ln>
                  </pic:spPr>
                </pic:pic>
              </a:graphicData>
            </a:graphic>
          </wp:inline>
        </w:drawing>
      </w:r>
    </w:p>
    <w:p w14:paraId="22F09363" w14:textId="77777777" w:rsidR="000B3F32" w:rsidRPr="00115607" w:rsidRDefault="000B3F32" w:rsidP="000B3F32">
      <w:pPr>
        <w:spacing w:afterLines="160" w:after="384"/>
        <w:jc w:val="center"/>
        <w:rPr>
          <w:rFonts w:cs="Arial"/>
          <w:sz w:val="18"/>
          <w:lang w:val="en-029"/>
        </w:rPr>
      </w:pPr>
      <w:r w:rsidRPr="00115607">
        <w:rPr>
          <w:rFonts w:cs="Arial"/>
          <w:sz w:val="18"/>
          <w:lang w:val="en-029"/>
        </w:rPr>
        <w:t>Source: Own elaboration based on WEF definition.</w:t>
      </w:r>
    </w:p>
    <w:p w14:paraId="0252F504" w14:textId="77777777" w:rsidR="000B3F32" w:rsidRDefault="000B3F32" w:rsidP="00135036">
      <w:pPr>
        <w:spacing w:before="120" w:after="120"/>
        <w:jc w:val="both"/>
        <w:rPr>
          <w:rFonts w:cs="Arial"/>
          <w:b/>
          <w:sz w:val="20"/>
          <w:lang w:val="en-029"/>
        </w:rPr>
      </w:pPr>
      <w:r>
        <w:rPr>
          <w:rFonts w:cs="Arial"/>
          <w:lang w:val="en-029"/>
        </w:rPr>
        <w:t xml:space="preserve">In the following </w:t>
      </w:r>
      <w:r w:rsidRPr="00D24CD1">
        <w:rPr>
          <w:rFonts w:cs="Arial"/>
          <w:i/>
          <w:lang w:val="en-029"/>
        </w:rPr>
        <w:t>Graphic 2</w:t>
      </w:r>
      <w:r>
        <w:rPr>
          <w:rFonts w:cs="Arial"/>
          <w:lang w:val="en-029"/>
        </w:rPr>
        <w:t>, each of the components is given the label of one or more factors. Delineation is not always clear-cut, since the components included a mix of activities for greater impact, and is therefore determined based on its predominant focus. The figure shows that each of the three factors described in the definition of</w:t>
      </w:r>
      <w:r w:rsidRPr="00AB3B3B">
        <w:rPr>
          <w:rFonts w:cs="Arial"/>
          <w:lang w:val="en-029"/>
        </w:rPr>
        <w:t xml:space="preserve"> </w:t>
      </w:r>
      <w:r>
        <w:rPr>
          <w:rFonts w:cs="Arial"/>
          <w:lang w:val="en-029"/>
        </w:rPr>
        <w:t xml:space="preserve">competitiveness used in this report are an </w:t>
      </w:r>
      <w:r w:rsidRPr="00AB3B3B">
        <w:rPr>
          <w:rFonts w:cs="Arial"/>
          <w:lang w:val="en-029"/>
        </w:rPr>
        <w:t xml:space="preserve">integral part of the </w:t>
      </w:r>
      <w:r>
        <w:rPr>
          <w:rFonts w:cs="Arial"/>
          <w:lang w:val="en-029"/>
        </w:rPr>
        <w:t>BCP’s vertical logic.</w:t>
      </w:r>
    </w:p>
    <w:p w14:paraId="438E48D5" w14:textId="77777777" w:rsidR="000B3F32" w:rsidRPr="00135036" w:rsidRDefault="000B3F32" w:rsidP="00135036">
      <w:pPr>
        <w:jc w:val="center"/>
        <w:rPr>
          <w:rFonts w:cs="Arial"/>
          <w:b/>
          <w:sz w:val="18"/>
          <w:szCs w:val="18"/>
          <w:lang w:val="en-029"/>
        </w:rPr>
      </w:pPr>
      <w:r w:rsidRPr="00135036">
        <w:rPr>
          <w:rFonts w:cs="Arial"/>
          <w:b/>
          <w:sz w:val="18"/>
          <w:szCs w:val="18"/>
          <w:lang w:val="en-029"/>
        </w:rPr>
        <w:t>Graphic 2: BCP design reflecting the WEF framework</w:t>
      </w:r>
    </w:p>
    <w:p w14:paraId="448CFDEE" w14:textId="77777777" w:rsidR="000B3F32" w:rsidRPr="00AB3B3B" w:rsidRDefault="000B3F32" w:rsidP="000B3F32">
      <w:pPr>
        <w:jc w:val="center"/>
        <w:rPr>
          <w:rFonts w:cs="Arial"/>
          <w:lang w:val="en-029"/>
        </w:rPr>
      </w:pPr>
      <w:r>
        <w:rPr>
          <w:noProof/>
        </w:rPr>
        <w:drawing>
          <wp:inline distT="0" distB="0" distL="0" distR="0" wp14:anchorId="08762AD4" wp14:editId="3855AA28">
            <wp:extent cx="5038725" cy="2989321"/>
            <wp:effectExtent l="19050" t="19050" r="9525" b="209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052208" cy="2997320"/>
                    </a:xfrm>
                    <a:prstGeom prst="rect">
                      <a:avLst/>
                    </a:prstGeom>
                    <a:ln>
                      <a:solidFill>
                        <a:schemeClr val="tx1"/>
                      </a:solidFill>
                    </a:ln>
                  </pic:spPr>
                </pic:pic>
              </a:graphicData>
            </a:graphic>
          </wp:inline>
        </w:drawing>
      </w:r>
    </w:p>
    <w:p w14:paraId="24C3D22F" w14:textId="6FF6692D" w:rsidR="00E52E4C" w:rsidRDefault="000B3F32" w:rsidP="00A66C7C">
      <w:pPr>
        <w:ind w:left="720"/>
        <w:jc w:val="center"/>
        <w:rPr>
          <w:rFonts w:cs="Arial"/>
        </w:rPr>
      </w:pPr>
      <w:r w:rsidRPr="00115607">
        <w:rPr>
          <w:rFonts w:cs="Arial"/>
          <w:sz w:val="18"/>
          <w:lang w:val="en-029"/>
        </w:rPr>
        <w:t>Source: Own elaboration based on WEF definition.</w:t>
      </w:r>
    </w:p>
    <w:p w14:paraId="0763270D" w14:textId="77777777" w:rsidR="00E52E4C" w:rsidRPr="006E6903" w:rsidRDefault="00E52E4C" w:rsidP="00E52E4C">
      <w:pPr>
        <w:rPr>
          <w:rFonts w:cs="Arial"/>
        </w:rPr>
      </w:pPr>
    </w:p>
    <w:p w14:paraId="01DDC643" w14:textId="77777777" w:rsidR="009B4D7A" w:rsidRDefault="009B4D7A" w:rsidP="00DF703E">
      <w:pPr>
        <w:pStyle w:val="Heading3"/>
        <w:numPr>
          <w:ilvl w:val="1"/>
          <w:numId w:val="1"/>
        </w:numPr>
        <w:jc w:val="both"/>
      </w:pPr>
      <w:bookmarkStart w:id="16" w:name="_Toc500317968"/>
      <w:r>
        <w:lastRenderedPageBreak/>
        <w:t>Effectiveness</w:t>
      </w:r>
      <w:bookmarkEnd w:id="16"/>
    </w:p>
    <w:p w14:paraId="1A7582FF" w14:textId="1298A714" w:rsidR="003853DD" w:rsidRPr="003853DD" w:rsidRDefault="009B4D7A" w:rsidP="005064AD">
      <w:pPr>
        <w:pStyle w:val="Heading3"/>
        <w:numPr>
          <w:ilvl w:val="0"/>
          <w:numId w:val="6"/>
        </w:numPr>
      </w:pPr>
      <w:bookmarkStart w:id="17" w:name="_Toc500317969"/>
      <w:r>
        <w:t>Statement of project development objectives.</w:t>
      </w:r>
      <w:bookmarkEnd w:id="17"/>
    </w:p>
    <w:p w14:paraId="292F42C3" w14:textId="4971EDFE" w:rsidR="00EC0C7B" w:rsidRPr="006E6903" w:rsidRDefault="00A22D3A" w:rsidP="00135036">
      <w:pPr>
        <w:spacing w:before="120" w:after="120"/>
        <w:jc w:val="both"/>
        <w:rPr>
          <w:rFonts w:cs="Arial"/>
        </w:rPr>
      </w:pPr>
      <w:r w:rsidRPr="002E78A7">
        <w:rPr>
          <w:rFonts w:cs="Arial"/>
        </w:rPr>
        <w:t>The specific</w:t>
      </w:r>
      <w:r>
        <w:rPr>
          <w:rFonts w:cs="Arial"/>
        </w:rPr>
        <w:t xml:space="preserve"> objectives of the BCP were to (i) </w:t>
      </w:r>
      <w:r w:rsidRPr="002E78A7">
        <w:rPr>
          <w:rFonts w:cs="Arial"/>
        </w:rPr>
        <w:t>rationalize the incentive system and regulations to ensure a coherent framework to su</w:t>
      </w:r>
      <w:r>
        <w:rPr>
          <w:rFonts w:cs="Arial"/>
        </w:rPr>
        <w:t xml:space="preserve">pport business development; (ii) </w:t>
      </w:r>
      <w:r w:rsidRPr="002E78A7">
        <w:rPr>
          <w:rFonts w:cs="Arial"/>
        </w:rPr>
        <w:t>rationalize the institutional architecture of Business Development Services and introduce a framework f</w:t>
      </w:r>
      <w:r>
        <w:rPr>
          <w:rFonts w:cs="Arial"/>
        </w:rPr>
        <w:t xml:space="preserve">or clustering initiatives; (iii) </w:t>
      </w:r>
      <w:r w:rsidRPr="002E78A7">
        <w:rPr>
          <w:rFonts w:cs="Arial"/>
        </w:rPr>
        <w:t>improve logistics and trade facilitation, lowering the cost of the mo</w:t>
      </w:r>
      <w:r>
        <w:rPr>
          <w:rFonts w:cs="Arial"/>
        </w:rPr>
        <w:t xml:space="preserve">vement of goods and people; (iv) </w:t>
      </w:r>
      <w:r w:rsidRPr="002E78A7">
        <w:rPr>
          <w:rFonts w:cs="Arial"/>
        </w:rPr>
        <w:t>enhance access to infrastructure through Public Private Partnerships,</w:t>
      </w:r>
      <w:r>
        <w:rPr>
          <w:rFonts w:cs="Arial"/>
        </w:rPr>
        <w:t xml:space="preserve"> among other modalities; and (v) </w:t>
      </w:r>
      <w:r w:rsidRPr="002E78A7">
        <w:rPr>
          <w:rFonts w:cs="Arial"/>
        </w:rPr>
        <w:t>strengthen public-private dialogue to develop and implement a competitiveness strategy</w:t>
      </w:r>
      <w:r w:rsidR="00FF454A">
        <w:rPr>
          <w:rFonts w:cs="Arial"/>
        </w:rPr>
        <w:t>.</w:t>
      </w:r>
    </w:p>
    <w:p w14:paraId="1520E951" w14:textId="77777777" w:rsidR="009B4D7A" w:rsidRDefault="009B4D7A" w:rsidP="005064AD">
      <w:pPr>
        <w:pStyle w:val="Heading3"/>
        <w:numPr>
          <w:ilvl w:val="0"/>
          <w:numId w:val="6"/>
        </w:numPr>
      </w:pPr>
      <w:bookmarkStart w:id="18" w:name="_Toc500317970"/>
      <w:r>
        <w:t>Results Achieved</w:t>
      </w:r>
      <w:bookmarkEnd w:id="18"/>
    </w:p>
    <w:p w14:paraId="08718AB0" w14:textId="3B8C3E39" w:rsidR="00A22D3A" w:rsidRDefault="00B659FB" w:rsidP="00FA30C8">
      <w:pPr>
        <w:spacing w:before="120" w:after="120"/>
        <w:jc w:val="both"/>
        <w:rPr>
          <w:rFonts w:cs="Arial"/>
        </w:rPr>
      </w:pPr>
      <w:r>
        <w:rPr>
          <w:rFonts w:cs="Arial"/>
        </w:rPr>
        <w:t>As mentioned above, d</w:t>
      </w:r>
      <w:r w:rsidR="00A22D3A" w:rsidRPr="00806628">
        <w:rPr>
          <w:rFonts w:cs="Arial"/>
        </w:rPr>
        <w:t xml:space="preserve">uring execution, the BCP faced a number of challenges which led to delays in the implementation of activities and forced project modifications </w:t>
      </w:r>
      <w:r w:rsidR="00A22D3A">
        <w:rPr>
          <w:rFonts w:cs="Arial"/>
        </w:rPr>
        <w:t>as well as</w:t>
      </w:r>
      <w:r w:rsidR="00A22D3A" w:rsidRPr="00806628">
        <w:rPr>
          <w:rFonts w:cs="Arial"/>
        </w:rPr>
        <w:t xml:space="preserve"> the re</w:t>
      </w:r>
      <w:r w:rsidR="00A22D3A">
        <w:rPr>
          <w:rFonts w:cs="Arial"/>
        </w:rPr>
        <w:t>al</w:t>
      </w:r>
      <w:r w:rsidR="00A22D3A" w:rsidRPr="00806628">
        <w:rPr>
          <w:rFonts w:cs="Arial"/>
        </w:rPr>
        <w:t xml:space="preserve">location </w:t>
      </w:r>
      <w:r w:rsidR="00A22D3A">
        <w:rPr>
          <w:rFonts w:cs="Arial"/>
        </w:rPr>
        <w:t xml:space="preserve">and cancellation </w:t>
      </w:r>
      <w:r w:rsidR="00A22D3A" w:rsidRPr="00806628">
        <w:rPr>
          <w:rFonts w:cs="Arial"/>
        </w:rPr>
        <w:t xml:space="preserve">of funds. </w:t>
      </w:r>
      <w:r w:rsidR="00A22D3A">
        <w:rPr>
          <w:rFonts w:cs="Arial"/>
        </w:rPr>
        <w:t xml:space="preserve">The reasons for the delays will be discussed in detail for each of the components. </w:t>
      </w:r>
    </w:p>
    <w:p w14:paraId="06E2471A" w14:textId="77777777" w:rsidR="00A22D3A" w:rsidRPr="006E6903" w:rsidRDefault="00A22D3A" w:rsidP="00FA30C8">
      <w:pPr>
        <w:spacing w:before="120" w:after="120"/>
        <w:jc w:val="both"/>
        <w:rPr>
          <w:rFonts w:cs="Arial"/>
        </w:rPr>
      </w:pPr>
      <w:r w:rsidRPr="00115607">
        <w:rPr>
          <w:rFonts w:cs="Arial"/>
          <w:i/>
        </w:rPr>
        <w:t xml:space="preserve">Table 2 </w:t>
      </w:r>
      <w:r>
        <w:rPr>
          <w:rFonts w:cs="Arial"/>
        </w:rPr>
        <w:t>starts with an overview of</w:t>
      </w:r>
      <w:r w:rsidRPr="00424D8E">
        <w:rPr>
          <w:rFonts w:cs="Arial"/>
        </w:rPr>
        <w:t xml:space="preserve"> the changes introduced during </w:t>
      </w:r>
      <w:r>
        <w:rPr>
          <w:rFonts w:cs="Arial"/>
        </w:rPr>
        <w:t>project execution and the respective impact on</w:t>
      </w:r>
      <w:r w:rsidRPr="00424D8E">
        <w:rPr>
          <w:rFonts w:cs="Arial"/>
        </w:rPr>
        <w:t xml:space="preserve"> the original results matrix.</w:t>
      </w:r>
      <w:r>
        <w:rPr>
          <w:rFonts w:cs="Arial"/>
        </w:rPr>
        <w:t xml:space="preserve"> The following </w:t>
      </w:r>
      <w:r w:rsidRPr="00115607">
        <w:rPr>
          <w:rFonts w:cs="Arial"/>
          <w:i/>
        </w:rPr>
        <w:t>Table 3</w:t>
      </w:r>
      <w:r w:rsidRPr="00424D8E">
        <w:rPr>
          <w:rFonts w:cs="Arial"/>
        </w:rPr>
        <w:t xml:space="preserve"> </w:t>
      </w:r>
      <w:r>
        <w:rPr>
          <w:rFonts w:cs="Arial"/>
        </w:rPr>
        <w:t>summarizes the progress of</w:t>
      </w:r>
      <w:r w:rsidRPr="00424D8E">
        <w:rPr>
          <w:rFonts w:cs="Arial"/>
        </w:rPr>
        <w:t xml:space="preserve"> the</w:t>
      </w:r>
      <w:r>
        <w:rPr>
          <w:rFonts w:cs="Arial"/>
        </w:rPr>
        <w:t xml:space="preserve"> various impact, outcome, and output indicators in line with the final results matrix and the sections closes with an assessment of BCP results.</w:t>
      </w:r>
    </w:p>
    <w:p w14:paraId="31CE56A9" w14:textId="7DA597E6" w:rsidR="00A22D3A" w:rsidRPr="00C06B07" w:rsidRDefault="00A22D3A" w:rsidP="00A22D3A">
      <w:pPr>
        <w:jc w:val="center"/>
        <w:rPr>
          <w:rFonts w:cs="Arial"/>
          <w:b/>
          <w:color w:val="000000"/>
        </w:rPr>
        <w:sectPr w:rsidR="00A22D3A" w:rsidRPr="00C06B07" w:rsidSect="00B95D11">
          <w:pgSz w:w="12240" w:h="15840"/>
          <w:pgMar w:top="1440" w:right="1440" w:bottom="1440" w:left="1440" w:header="720" w:footer="720" w:gutter="0"/>
          <w:pgNumType w:start="1"/>
          <w:cols w:space="720"/>
          <w:titlePg/>
          <w:docGrid w:linePitch="360"/>
        </w:sectPr>
      </w:pPr>
    </w:p>
    <w:p w14:paraId="53DF5D4C" w14:textId="77777777" w:rsidR="00A22D3A" w:rsidRPr="00A0641E" w:rsidRDefault="00A22D3A" w:rsidP="00A22D3A">
      <w:pPr>
        <w:jc w:val="center"/>
        <w:rPr>
          <w:rFonts w:cs="Arial"/>
          <w:b/>
          <w:color w:val="000000"/>
          <w:sz w:val="18"/>
          <w:szCs w:val="18"/>
        </w:rPr>
      </w:pPr>
      <w:r w:rsidRPr="00A0641E">
        <w:rPr>
          <w:rFonts w:cs="Arial"/>
          <w:b/>
          <w:color w:val="000000"/>
          <w:sz w:val="18"/>
          <w:szCs w:val="18"/>
        </w:rPr>
        <w:lastRenderedPageBreak/>
        <w:t>Table 2</w:t>
      </w:r>
    </w:p>
    <w:p w14:paraId="3B0B0686" w14:textId="77777777" w:rsidR="00A22D3A" w:rsidRPr="00A0641E" w:rsidRDefault="00A22D3A" w:rsidP="00A22D3A">
      <w:pPr>
        <w:jc w:val="center"/>
        <w:rPr>
          <w:rFonts w:cs="Arial"/>
          <w:b/>
          <w:color w:val="000000"/>
          <w:sz w:val="18"/>
          <w:szCs w:val="18"/>
        </w:rPr>
      </w:pPr>
      <w:r w:rsidRPr="00A0641E">
        <w:rPr>
          <w:rFonts w:cs="Arial"/>
          <w:b/>
          <w:color w:val="000000"/>
          <w:sz w:val="18"/>
          <w:szCs w:val="18"/>
        </w:rPr>
        <w:t>Changes to the Results’ Matrix</w:t>
      </w:r>
    </w:p>
    <w:tbl>
      <w:tblPr>
        <w:tblStyle w:val="TableGrid"/>
        <w:tblW w:w="12950" w:type="dxa"/>
        <w:jc w:val="center"/>
        <w:tblInd w:w="0" w:type="dxa"/>
        <w:tblLook w:val="04A0" w:firstRow="1" w:lastRow="0" w:firstColumn="1" w:lastColumn="0" w:noHBand="0" w:noVBand="1"/>
      </w:tblPr>
      <w:tblGrid>
        <w:gridCol w:w="1305"/>
        <w:gridCol w:w="2267"/>
        <w:gridCol w:w="1042"/>
        <w:gridCol w:w="1231"/>
        <w:gridCol w:w="1260"/>
        <w:gridCol w:w="2847"/>
        <w:gridCol w:w="1191"/>
        <w:gridCol w:w="1807"/>
      </w:tblGrid>
      <w:tr w:rsidR="00A22D3A" w:rsidRPr="00A0641E" w14:paraId="46EE6316" w14:textId="77777777" w:rsidTr="00A22D3A">
        <w:trPr>
          <w:trHeight w:val="899"/>
          <w:tblHeader/>
          <w:jc w:val="center"/>
        </w:trPr>
        <w:tc>
          <w:tcPr>
            <w:tcW w:w="1305" w:type="dxa"/>
            <w:shd w:val="clear" w:color="auto" w:fill="C6D9F1" w:themeFill="text2" w:themeFillTint="33"/>
            <w:vAlign w:val="center"/>
          </w:tcPr>
          <w:p w14:paraId="31061B52" w14:textId="77777777" w:rsidR="00A22D3A" w:rsidRPr="00A0641E" w:rsidRDefault="00A22D3A" w:rsidP="00A22D3A">
            <w:pPr>
              <w:jc w:val="center"/>
              <w:rPr>
                <w:rFonts w:cs="Arial"/>
                <w:sz w:val="18"/>
                <w:szCs w:val="18"/>
              </w:rPr>
            </w:pPr>
            <w:r w:rsidRPr="00A0641E">
              <w:rPr>
                <w:rFonts w:cs="Arial"/>
                <w:b/>
                <w:sz w:val="18"/>
                <w:szCs w:val="18"/>
              </w:rPr>
              <w:t>Section of the Results Matrix where change took place</w:t>
            </w:r>
          </w:p>
        </w:tc>
        <w:tc>
          <w:tcPr>
            <w:tcW w:w="2267" w:type="dxa"/>
            <w:shd w:val="clear" w:color="auto" w:fill="C6D9F1" w:themeFill="text2" w:themeFillTint="33"/>
            <w:vAlign w:val="center"/>
          </w:tcPr>
          <w:p w14:paraId="5252EE0F" w14:textId="77777777" w:rsidR="00A22D3A" w:rsidRPr="00A0641E" w:rsidRDefault="00A22D3A" w:rsidP="00A22D3A">
            <w:pPr>
              <w:jc w:val="center"/>
              <w:rPr>
                <w:rFonts w:cs="Arial"/>
                <w:sz w:val="18"/>
                <w:szCs w:val="18"/>
              </w:rPr>
            </w:pPr>
            <w:r w:rsidRPr="00A0641E">
              <w:rPr>
                <w:rFonts w:cs="Arial"/>
                <w:b/>
                <w:sz w:val="18"/>
                <w:szCs w:val="18"/>
              </w:rPr>
              <w:t>Name of the change</w:t>
            </w:r>
          </w:p>
        </w:tc>
        <w:tc>
          <w:tcPr>
            <w:tcW w:w="1042" w:type="dxa"/>
            <w:shd w:val="clear" w:color="auto" w:fill="C6D9F1" w:themeFill="text2" w:themeFillTint="33"/>
            <w:vAlign w:val="center"/>
          </w:tcPr>
          <w:p w14:paraId="5283840C" w14:textId="77777777" w:rsidR="00A22D3A" w:rsidRPr="00A0641E" w:rsidRDefault="00A22D3A" w:rsidP="00A22D3A">
            <w:pPr>
              <w:jc w:val="center"/>
              <w:rPr>
                <w:rFonts w:cs="Arial"/>
                <w:sz w:val="18"/>
                <w:szCs w:val="18"/>
              </w:rPr>
            </w:pPr>
            <w:r w:rsidRPr="00A0641E">
              <w:rPr>
                <w:rFonts w:cs="Arial"/>
                <w:b/>
                <w:sz w:val="18"/>
                <w:szCs w:val="18"/>
              </w:rPr>
              <w:t>Type of change</w:t>
            </w:r>
          </w:p>
        </w:tc>
        <w:tc>
          <w:tcPr>
            <w:tcW w:w="1231" w:type="dxa"/>
            <w:shd w:val="clear" w:color="auto" w:fill="C6D9F1" w:themeFill="text2" w:themeFillTint="33"/>
            <w:vAlign w:val="center"/>
          </w:tcPr>
          <w:p w14:paraId="1A6DAEF5" w14:textId="77777777" w:rsidR="00A22D3A" w:rsidRPr="00A0641E" w:rsidRDefault="00A22D3A" w:rsidP="00A22D3A">
            <w:pPr>
              <w:jc w:val="center"/>
              <w:rPr>
                <w:rFonts w:cs="Arial"/>
                <w:b/>
                <w:sz w:val="18"/>
                <w:szCs w:val="18"/>
              </w:rPr>
            </w:pPr>
            <w:r w:rsidRPr="00A0641E">
              <w:rPr>
                <w:rFonts w:cs="Arial"/>
                <w:b/>
                <w:sz w:val="18"/>
                <w:szCs w:val="18"/>
              </w:rPr>
              <w:t>Baseline Target</w:t>
            </w:r>
          </w:p>
        </w:tc>
        <w:tc>
          <w:tcPr>
            <w:tcW w:w="1260" w:type="dxa"/>
            <w:shd w:val="clear" w:color="auto" w:fill="C6D9F1" w:themeFill="text2" w:themeFillTint="33"/>
            <w:vAlign w:val="center"/>
          </w:tcPr>
          <w:p w14:paraId="7CDDA45F" w14:textId="77777777" w:rsidR="00A22D3A" w:rsidRPr="00A0641E" w:rsidRDefault="00A22D3A" w:rsidP="00A22D3A">
            <w:pPr>
              <w:jc w:val="center"/>
              <w:rPr>
                <w:rFonts w:cs="Arial"/>
                <w:b/>
                <w:sz w:val="18"/>
                <w:szCs w:val="18"/>
              </w:rPr>
            </w:pPr>
            <w:r w:rsidRPr="00A0641E">
              <w:rPr>
                <w:rFonts w:cs="Arial"/>
                <w:b/>
                <w:sz w:val="18"/>
                <w:szCs w:val="18"/>
              </w:rPr>
              <w:t>Original Target</w:t>
            </w:r>
          </w:p>
        </w:tc>
        <w:tc>
          <w:tcPr>
            <w:tcW w:w="2847" w:type="dxa"/>
            <w:shd w:val="clear" w:color="auto" w:fill="C6D9F1" w:themeFill="text2" w:themeFillTint="33"/>
            <w:vAlign w:val="center"/>
          </w:tcPr>
          <w:p w14:paraId="5DF7D9A1" w14:textId="77777777" w:rsidR="00A22D3A" w:rsidRPr="00A0641E" w:rsidRDefault="00A22D3A" w:rsidP="00A22D3A">
            <w:pPr>
              <w:jc w:val="center"/>
              <w:rPr>
                <w:rFonts w:cs="Arial"/>
                <w:b/>
                <w:sz w:val="18"/>
                <w:szCs w:val="18"/>
              </w:rPr>
            </w:pPr>
            <w:r w:rsidRPr="00A0641E">
              <w:rPr>
                <w:rFonts w:cs="Arial"/>
                <w:b/>
                <w:sz w:val="18"/>
                <w:szCs w:val="18"/>
              </w:rPr>
              <w:t>Reasons for change</w:t>
            </w:r>
          </w:p>
        </w:tc>
        <w:tc>
          <w:tcPr>
            <w:tcW w:w="1191" w:type="dxa"/>
            <w:shd w:val="clear" w:color="auto" w:fill="C6D9F1" w:themeFill="text2" w:themeFillTint="33"/>
            <w:vAlign w:val="center"/>
          </w:tcPr>
          <w:p w14:paraId="0864DEEB" w14:textId="77777777" w:rsidR="00A22D3A" w:rsidRPr="00A0641E" w:rsidRDefault="00A22D3A" w:rsidP="00A22D3A">
            <w:pPr>
              <w:jc w:val="center"/>
              <w:rPr>
                <w:rFonts w:cs="Arial"/>
                <w:b/>
                <w:sz w:val="18"/>
                <w:szCs w:val="18"/>
              </w:rPr>
            </w:pPr>
            <w:r w:rsidRPr="00A0641E">
              <w:rPr>
                <w:rFonts w:cs="Arial"/>
                <w:b/>
                <w:sz w:val="18"/>
                <w:szCs w:val="18"/>
              </w:rPr>
              <w:t>Date of change</w:t>
            </w:r>
          </w:p>
        </w:tc>
        <w:tc>
          <w:tcPr>
            <w:tcW w:w="1807" w:type="dxa"/>
            <w:shd w:val="clear" w:color="auto" w:fill="C6D9F1" w:themeFill="text2" w:themeFillTint="33"/>
            <w:vAlign w:val="center"/>
          </w:tcPr>
          <w:p w14:paraId="20C8804A" w14:textId="77777777" w:rsidR="00A22D3A" w:rsidRPr="00A0641E" w:rsidRDefault="00A22D3A" w:rsidP="00A22D3A">
            <w:pPr>
              <w:jc w:val="center"/>
              <w:rPr>
                <w:rFonts w:cs="Arial"/>
                <w:b/>
                <w:sz w:val="18"/>
                <w:szCs w:val="18"/>
              </w:rPr>
            </w:pPr>
            <w:r w:rsidRPr="00A0641E">
              <w:rPr>
                <w:rFonts w:cs="Arial"/>
                <w:b/>
                <w:sz w:val="18"/>
                <w:szCs w:val="18"/>
              </w:rPr>
              <w:t>Date of change agreed with Executing Agency</w:t>
            </w:r>
          </w:p>
        </w:tc>
      </w:tr>
      <w:tr w:rsidR="00A22D3A" w:rsidRPr="00A0641E" w14:paraId="78E8D87B" w14:textId="77777777" w:rsidTr="00A22D3A">
        <w:trPr>
          <w:jc w:val="center"/>
        </w:trPr>
        <w:tc>
          <w:tcPr>
            <w:tcW w:w="1305" w:type="dxa"/>
          </w:tcPr>
          <w:p w14:paraId="425C126B" w14:textId="77777777" w:rsidR="00A22D3A" w:rsidRPr="00A0641E" w:rsidRDefault="00A22D3A" w:rsidP="00A22D3A">
            <w:pPr>
              <w:jc w:val="both"/>
              <w:rPr>
                <w:rFonts w:cs="Arial"/>
                <w:b/>
                <w:sz w:val="18"/>
                <w:szCs w:val="18"/>
              </w:rPr>
            </w:pPr>
            <w:r w:rsidRPr="00A0641E">
              <w:rPr>
                <w:rFonts w:cs="Arial"/>
                <w:b/>
                <w:sz w:val="18"/>
                <w:szCs w:val="18"/>
              </w:rPr>
              <w:t>Output</w:t>
            </w:r>
          </w:p>
        </w:tc>
        <w:tc>
          <w:tcPr>
            <w:tcW w:w="2267" w:type="dxa"/>
          </w:tcPr>
          <w:p w14:paraId="613B5B06" w14:textId="77777777" w:rsidR="00A22D3A" w:rsidRPr="00A0641E" w:rsidRDefault="00A22D3A" w:rsidP="00A22D3A">
            <w:pPr>
              <w:jc w:val="both"/>
              <w:rPr>
                <w:rFonts w:cs="Arial"/>
                <w:sz w:val="18"/>
                <w:szCs w:val="18"/>
              </w:rPr>
            </w:pPr>
            <w:r w:rsidRPr="00A0641E">
              <w:rPr>
                <w:rFonts w:cs="Arial"/>
                <w:sz w:val="18"/>
                <w:szCs w:val="18"/>
              </w:rPr>
              <w:t>Tax expenditure report approved</w:t>
            </w:r>
          </w:p>
        </w:tc>
        <w:tc>
          <w:tcPr>
            <w:tcW w:w="1042" w:type="dxa"/>
          </w:tcPr>
          <w:p w14:paraId="3D1FF24F" w14:textId="77777777" w:rsidR="00A22D3A" w:rsidRPr="00A0641E" w:rsidRDefault="00A22D3A" w:rsidP="00A22D3A">
            <w:pPr>
              <w:jc w:val="both"/>
              <w:rPr>
                <w:rFonts w:cs="Arial"/>
                <w:sz w:val="18"/>
                <w:szCs w:val="18"/>
              </w:rPr>
            </w:pPr>
            <w:r w:rsidRPr="00A0641E">
              <w:rPr>
                <w:rFonts w:cs="Arial"/>
                <w:sz w:val="18"/>
                <w:szCs w:val="18"/>
              </w:rPr>
              <w:t>Output deleted</w:t>
            </w:r>
          </w:p>
        </w:tc>
        <w:tc>
          <w:tcPr>
            <w:tcW w:w="1231" w:type="dxa"/>
          </w:tcPr>
          <w:p w14:paraId="0D9FA794"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0</w:t>
            </w:r>
          </w:p>
        </w:tc>
        <w:tc>
          <w:tcPr>
            <w:tcW w:w="1260" w:type="dxa"/>
          </w:tcPr>
          <w:p w14:paraId="40EC9B4D"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1</w:t>
            </w:r>
          </w:p>
        </w:tc>
        <w:tc>
          <w:tcPr>
            <w:tcW w:w="2847" w:type="dxa"/>
          </w:tcPr>
          <w:p w14:paraId="500EBE33" w14:textId="77777777" w:rsidR="00A22D3A" w:rsidRPr="00A0641E" w:rsidRDefault="00A22D3A" w:rsidP="00A22D3A">
            <w:pPr>
              <w:pStyle w:val="Default"/>
              <w:jc w:val="both"/>
              <w:rPr>
                <w:rFonts w:ascii="Arial" w:hAnsi="Arial" w:cs="Arial"/>
                <w:color w:val="auto"/>
                <w:sz w:val="18"/>
                <w:szCs w:val="18"/>
              </w:rPr>
            </w:pPr>
            <w:r w:rsidRPr="00A0641E">
              <w:rPr>
                <w:rFonts w:ascii="Arial" w:hAnsi="Arial" w:cs="Arial"/>
                <w:color w:val="auto"/>
                <w:sz w:val="18"/>
                <w:szCs w:val="18"/>
              </w:rPr>
              <w:t xml:space="preserve">As per a request from GoB in November 2012, the Tax Expenditure Study was to be financed under BA-T1021 </w:t>
            </w:r>
          </w:p>
        </w:tc>
        <w:tc>
          <w:tcPr>
            <w:tcW w:w="1191" w:type="dxa"/>
          </w:tcPr>
          <w:p w14:paraId="60A39393"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PMR Jan - June 2013, 2014</w:t>
            </w:r>
          </w:p>
        </w:tc>
        <w:tc>
          <w:tcPr>
            <w:tcW w:w="1807" w:type="dxa"/>
          </w:tcPr>
          <w:p w14:paraId="7E616190"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November 23, 2012</w:t>
            </w:r>
          </w:p>
        </w:tc>
      </w:tr>
      <w:tr w:rsidR="003660F4" w:rsidRPr="00A0641E" w14:paraId="0F993133" w14:textId="77777777" w:rsidTr="00A22D3A">
        <w:trPr>
          <w:jc w:val="center"/>
        </w:trPr>
        <w:tc>
          <w:tcPr>
            <w:tcW w:w="1305" w:type="dxa"/>
          </w:tcPr>
          <w:p w14:paraId="432E2DB4" w14:textId="77777777" w:rsidR="003660F4" w:rsidRPr="00A0641E" w:rsidRDefault="003660F4" w:rsidP="00A22D3A">
            <w:pPr>
              <w:jc w:val="both"/>
              <w:rPr>
                <w:rFonts w:cs="Arial"/>
                <w:sz w:val="18"/>
                <w:szCs w:val="18"/>
              </w:rPr>
            </w:pPr>
          </w:p>
        </w:tc>
        <w:tc>
          <w:tcPr>
            <w:tcW w:w="2267" w:type="dxa"/>
          </w:tcPr>
          <w:p w14:paraId="5D9C3C43" w14:textId="731E64E0" w:rsidR="003660F4" w:rsidRPr="00A0641E" w:rsidRDefault="003660F4" w:rsidP="00A22D3A">
            <w:pPr>
              <w:jc w:val="both"/>
              <w:rPr>
                <w:rFonts w:cs="Arial"/>
                <w:sz w:val="18"/>
                <w:szCs w:val="18"/>
              </w:rPr>
            </w:pPr>
            <w:r w:rsidRPr="00A0641E">
              <w:rPr>
                <w:rFonts w:cs="Arial"/>
                <w:sz w:val="18"/>
                <w:szCs w:val="18"/>
              </w:rPr>
              <w:t>Action plan for rationalization of Development Funds agreed and initially implemented</w:t>
            </w:r>
          </w:p>
        </w:tc>
        <w:tc>
          <w:tcPr>
            <w:tcW w:w="1042" w:type="dxa"/>
          </w:tcPr>
          <w:p w14:paraId="4DC0C96E" w14:textId="6A36F3B0" w:rsidR="003660F4" w:rsidRPr="00A0641E" w:rsidRDefault="003660F4" w:rsidP="00A22D3A">
            <w:pPr>
              <w:jc w:val="both"/>
              <w:rPr>
                <w:rFonts w:cs="Arial"/>
                <w:sz w:val="18"/>
                <w:szCs w:val="18"/>
              </w:rPr>
            </w:pPr>
            <w:r w:rsidRPr="00A0641E">
              <w:rPr>
                <w:rFonts w:cs="Arial"/>
                <w:sz w:val="18"/>
                <w:szCs w:val="18"/>
              </w:rPr>
              <w:t>Output deleted</w:t>
            </w:r>
          </w:p>
        </w:tc>
        <w:tc>
          <w:tcPr>
            <w:tcW w:w="1231" w:type="dxa"/>
          </w:tcPr>
          <w:p w14:paraId="77FC5ACC" w14:textId="77777777" w:rsidR="003660F4" w:rsidRPr="00A0641E" w:rsidRDefault="003660F4" w:rsidP="00A22D3A">
            <w:pPr>
              <w:pStyle w:val="Default"/>
              <w:jc w:val="center"/>
              <w:rPr>
                <w:rFonts w:ascii="Arial" w:hAnsi="Arial" w:cs="Arial"/>
                <w:color w:val="auto"/>
                <w:sz w:val="18"/>
                <w:szCs w:val="18"/>
              </w:rPr>
            </w:pPr>
          </w:p>
        </w:tc>
        <w:tc>
          <w:tcPr>
            <w:tcW w:w="1260" w:type="dxa"/>
          </w:tcPr>
          <w:p w14:paraId="27343C25" w14:textId="77777777" w:rsidR="003660F4" w:rsidRPr="00A0641E" w:rsidRDefault="003660F4" w:rsidP="00A22D3A">
            <w:pPr>
              <w:pStyle w:val="Default"/>
              <w:jc w:val="center"/>
              <w:rPr>
                <w:rFonts w:ascii="Arial" w:hAnsi="Arial" w:cs="Arial"/>
                <w:color w:val="auto"/>
                <w:sz w:val="18"/>
                <w:szCs w:val="18"/>
              </w:rPr>
            </w:pPr>
          </w:p>
        </w:tc>
        <w:tc>
          <w:tcPr>
            <w:tcW w:w="2847" w:type="dxa"/>
          </w:tcPr>
          <w:p w14:paraId="19F430FC" w14:textId="3025F0F8" w:rsidR="003660F4" w:rsidRPr="00A0641E" w:rsidRDefault="003660F4" w:rsidP="00A22D3A">
            <w:pPr>
              <w:pStyle w:val="Default"/>
              <w:jc w:val="both"/>
              <w:rPr>
                <w:rFonts w:ascii="Arial" w:hAnsi="Arial" w:cs="Arial"/>
                <w:color w:val="auto"/>
                <w:sz w:val="18"/>
                <w:szCs w:val="18"/>
              </w:rPr>
            </w:pPr>
            <w:r w:rsidRPr="00A0641E">
              <w:rPr>
                <w:rFonts w:ascii="Arial" w:hAnsi="Arial" w:cs="Arial"/>
                <w:color w:val="auto"/>
                <w:sz w:val="18"/>
                <w:szCs w:val="18"/>
              </w:rPr>
              <w:t>Related activities deleted due to limited progress and to make for a simplification of the project design and reallocation of funds to component 3. This measure aimed at ensuring a less complex implementation process moving forward and a successful completion of activities related to the ESW</w:t>
            </w:r>
          </w:p>
        </w:tc>
        <w:tc>
          <w:tcPr>
            <w:tcW w:w="1191" w:type="dxa"/>
          </w:tcPr>
          <w:p w14:paraId="4807E958" w14:textId="47F2A71D" w:rsidR="003660F4" w:rsidRPr="00A0641E" w:rsidRDefault="003660F4" w:rsidP="00A22D3A">
            <w:pPr>
              <w:pStyle w:val="Default"/>
              <w:jc w:val="both"/>
              <w:rPr>
                <w:rFonts w:ascii="Arial" w:hAnsi="Arial" w:cs="Arial"/>
                <w:sz w:val="18"/>
                <w:szCs w:val="18"/>
              </w:rPr>
            </w:pPr>
            <w:r w:rsidRPr="00A0641E">
              <w:rPr>
                <w:rFonts w:ascii="Arial" w:hAnsi="Arial" w:cs="Arial"/>
                <w:sz w:val="18"/>
                <w:szCs w:val="18"/>
              </w:rPr>
              <w:t>PMR July – Dec, 2014</w:t>
            </w:r>
          </w:p>
        </w:tc>
        <w:tc>
          <w:tcPr>
            <w:tcW w:w="1807" w:type="dxa"/>
          </w:tcPr>
          <w:p w14:paraId="728FBED7" w14:textId="182E790F" w:rsidR="003660F4" w:rsidRPr="00A0641E" w:rsidRDefault="003660F4" w:rsidP="00A22D3A">
            <w:pPr>
              <w:pStyle w:val="Default"/>
              <w:jc w:val="both"/>
              <w:rPr>
                <w:rFonts w:ascii="Arial" w:hAnsi="Arial" w:cs="Arial"/>
                <w:sz w:val="18"/>
                <w:szCs w:val="18"/>
              </w:rPr>
            </w:pPr>
            <w:r w:rsidRPr="00A0641E">
              <w:rPr>
                <w:rFonts w:ascii="Arial" w:hAnsi="Arial" w:cs="Arial"/>
                <w:sz w:val="18"/>
                <w:szCs w:val="18"/>
              </w:rPr>
              <w:t>July 23, 2014</w:t>
            </w:r>
          </w:p>
        </w:tc>
      </w:tr>
      <w:tr w:rsidR="00A22D3A" w:rsidRPr="00A0641E" w14:paraId="513D4F6F" w14:textId="77777777" w:rsidTr="00A22D3A">
        <w:trPr>
          <w:jc w:val="center"/>
        </w:trPr>
        <w:tc>
          <w:tcPr>
            <w:tcW w:w="1305" w:type="dxa"/>
          </w:tcPr>
          <w:p w14:paraId="17C5DA9A" w14:textId="77777777" w:rsidR="00A22D3A" w:rsidRPr="00A0641E" w:rsidRDefault="00A22D3A" w:rsidP="00A22D3A">
            <w:pPr>
              <w:jc w:val="both"/>
              <w:rPr>
                <w:rFonts w:cs="Arial"/>
                <w:sz w:val="18"/>
                <w:szCs w:val="18"/>
              </w:rPr>
            </w:pPr>
          </w:p>
        </w:tc>
        <w:tc>
          <w:tcPr>
            <w:tcW w:w="2267" w:type="dxa"/>
          </w:tcPr>
          <w:p w14:paraId="1C5FF96C" w14:textId="77777777" w:rsidR="00A22D3A" w:rsidRPr="00A0641E" w:rsidRDefault="00A22D3A" w:rsidP="00A22D3A">
            <w:pPr>
              <w:jc w:val="both"/>
              <w:rPr>
                <w:rFonts w:cs="Arial"/>
                <w:sz w:val="18"/>
                <w:szCs w:val="18"/>
              </w:rPr>
            </w:pPr>
            <w:r w:rsidRPr="00A0641E">
              <w:rPr>
                <w:rFonts w:cs="Arial"/>
                <w:sz w:val="18"/>
                <w:szCs w:val="18"/>
              </w:rPr>
              <w:t>Lead agency responsible for Business Development Services (BDS) certified as fully functional in new role</w:t>
            </w:r>
          </w:p>
        </w:tc>
        <w:tc>
          <w:tcPr>
            <w:tcW w:w="1042" w:type="dxa"/>
          </w:tcPr>
          <w:p w14:paraId="28F075E8" w14:textId="77777777" w:rsidR="00A22D3A" w:rsidRPr="00A0641E" w:rsidRDefault="00A22D3A" w:rsidP="00A22D3A">
            <w:pPr>
              <w:jc w:val="both"/>
              <w:rPr>
                <w:rFonts w:cs="Arial"/>
                <w:sz w:val="18"/>
                <w:szCs w:val="18"/>
              </w:rPr>
            </w:pPr>
            <w:r w:rsidRPr="00A0641E">
              <w:rPr>
                <w:rFonts w:cs="Arial"/>
                <w:sz w:val="18"/>
                <w:szCs w:val="18"/>
              </w:rPr>
              <w:t>Output deleted</w:t>
            </w:r>
          </w:p>
        </w:tc>
        <w:tc>
          <w:tcPr>
            <w:tcW w:w="1231" w:type="dxa"/>
          </w:tcPr>
          <w:p w14:paraId="2BE81EAC"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0</w:t>
            </w:r>
          </w:p>
        </w:tc>
        <w:tc>
          <w:tcPr>
            <w:tcW w:w="1260" w:type="dxa"/>
          </w:tcPr>
          <w:p w14:paraId="02ED7AB7"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1</w:t>
            </w:r>
          </w:p>
        </w:tc>
        <w:tc>
          <w:tcPr>
            <w:tcW w:w="2847" w:type="dxa"/>
          </w:tcPr>
          <w:p w14:paraId="6B8963DE" w14:textId="12E9680E" w:rsidR="00A22D3A" w:rsidRPr="00A0641E" w:rsidRDefault="003660F4" w:rsidP="00A22D3A">
            <w:pPr>
              <w:pStyle w:val="Default"/>
              <w:jc w:val="both"/>
              <w:rPr>
                <w:rFonts w:ascii="Arial" w:hAnsi="Arial" w:cs="Arial"/>
                <w:color w:val="auto"/>
                <w:sz w:val="18"/>
                <w:szCs w:val="18"/>
              </w:rPr>
            </w:pPr>
            <w:r w:rsidRPr="00A0641E">
              <w:rPr>
                <w:rFonts w:ascii="Arial" w:hAnsi="Arial" w:cs="Arial"/>
                <w:color w:val="auto"/>
                <w:sz w:val="18"/>
                <w:szCs w:val="18"/>
              </w:rPr>
              <w:t>Idem</w:t>
            </w:r>
          </w:p>
        </w:tc>
        <w:tc>
          <w:tcPr>
            <w:tcW w:w="1191" w:type="dxa"/>
          </w:tcPr>
          <w:p w14:paraId="10C92DFF"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PMR July – Dec, 2014</w:t>
            </w:r>
          </w:p>
        </w:tc>
        <w:tc>
          <w:tcPr>
            <w:tcW w:w="1807" w:type="dxa"/>
          </w:tcPr>
          <w:p w14:paraId="10F63AE0"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July 23, 2014</w:t>
            </w:r>
          </w:p>
        </w:tc>
      </w:tr>
      <w:tr w:rsidR="00A22D3A" w:rsidRPr="00A0641E" w14:paraId="513A562A" w14:textId="77777777" w:rsidTr="00A22D3A">
        <w:trPr>
          <w:jc w:val="center"/>
        </w:trPr>
        <w:tc>
          <w:tcPr>
            <w:tcW w:w="1305" w:type="dxa"/>
          </w:tcPr>
          <w:p w14:paraId="381D27AC" w14:textId="77777777" w:rsidR="00A22D3A" w:rsidRPr="00A0641E" w:rsidRDefault="00A22D3A" w:rsidP="00A22D3A">
            <w:pPr>
              <w:jc w:val="both"/>
              <w:rPr>
                <w:rFonts w:cs="Arial"/>
                <w:sz w:val="18"/>
                <w:szCs w:val="18"/>
              </w:rPr>
            </w:pPr>
          </w:p>
        </w:tc>
        <w:tc>
          <w:tcPr>
            <w:tcW w:w="2267" w:type="dxa"/>
          </w:tcPr>
          <w:p w14:paraId="5187BCDD" w14:textId="77777777" w:rsidR="00A22D3A" w:rsidRPr="00A0641E" w:rsidRDefault="00A22D3A" w:rsidP="00A22D3A">
            <w:pPr>
              <w:jc w:val="both"/>
              <w:rPr>
                <w:rFonts w:cs="Arial"/>
                <w:sz w:val="18"/>
                <w:szCs w:val="18"/>
              </w:rPr>
            </w:pPr>
            <w:r w:rsidRPr="00A0641E">
              <w:rPr>
                <w:rFonts w:cs="Arial"/>
                <w:sz w:val="18"/>
                <w:szCs w:val="18"/>
              </w:rPr>
              <w:t>Cluster Competitiveness Improvement Plan agreed</w:t>
            </w:r>
          </w:p>
        </w:tc>
        <w:tc>
          <w:tcPr>
            <w:tcW w:w="1042" w:type="dxa"/>
          </w:tcPr>
          <w:p w14:paraId="5F6539C8" w14:textId="77777777" w:rsidR="00A22D3A" w:rsidRPr="00A0641E" w:rsidRDefault="00A22D3A" w:rsidP="00A22D3A">
            <w:pPr>
              <w:jc w:val="both"/>
              <w:rPr>
                <w:rFonts w:cs="Arial"/>
                <w:sz w:val="18"/>
                <w:szCs w:val="18"/>
              </w:rPr>
            </w:pPr>
            <w:r w:rsidRPr="00A0641E">
              <w:rPr>
                <w:rFonts w:cs="Arial"/>
                <w:sz w:val="18"/>
                <w:szCs w:val="18"/>
              </w:rPr>
              <w:t>Output deleted</w:t>
            </w:r>
          </w:p>
        </w:tc>
        <w:tc>
          <w:tcPr>
            <w:tcW w:w="1231" w:type="dxa"/>
          </w:tcPr>
          <w:p w14:paraId="4966A325"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0</w:t>
            </w:r>
          </w:p>
        </w:tc>
        <w:tc>
          <w:tcPr>
            <w:tcW w:w="1260" w:type="dxa"/>
          </w:tcPr>
          <w:p w14:paraId="018D9517"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1</w:t>
            </w:r>
          </w:p>
        </w:tc>
        <w:tc>
          <w:tcPr>
            <w:tcW w:w="2847" w:type="dxa"/>
          </w:tcPr>
          <w:p w14:paraId="2F9D543F" w14:textId="77777777" w:rsidR="00A22D3A" w:rsidRPr="00A0641E" w:rsidRDefault="00A22D3A" w:rsidP="00A22D3A">
            <w:pPr>
              <w:pStyle w:val="Default"/>
              <w:jc w:val="both"/>
              <w:rPr>
                <w:rFonts w:ascii="Arial" w:hAnsi="Arial" w:cs="Arial"/>
                <w:color w:val="auto"/>
                <w:sz w:val="18"/>
                <w:szCs w:val="18"/>
              </w:rPr>
            </w:pPr>
            <w:r w:rsidRPr="00A0641E">
              <w:rPr>
                <w:rFonts w:ascii="Arial" w:hAnsi="Arial" w:cs="Arial"/>
                <w:color w:val="auto"/>
                <w:sz w:val="18"/>
                <w:szCs w:val="18"/>
              </w:rPr>
              <w:t>Idem</w:t>
            </w:r>
          </w:p>
        </w:tc>
        <w:tc>
          <w:tcPr>
            <w:tcW w:w="1191" w:type="dxa"/>
          </w:tcPr>
          <w:p w14:paraId="41B5B3E7"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PMR July – Dec, 2014</w:t>
            </w:r>
          </w:p>
        </w:tc>
        <w:tc>
          <w:tcPr>
            <w:tcW w:w="1807" w:type="dxa"/>
          </w:tcPr>
          <w:p w14:paraId="72C3810A"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July 23, 2014</w:t>
            </w:r>
          </w:p>
        </w:tc>
      </w:tr>
      <w:tr w:rsidR="00A22D3A" w:rsidRPr="00A0641E" w14:paraId="7BBE6E73" w14:textId="77777777" w:rsidTr="00A22D3A">
        <w:trPr>
          <w:jc w:val="center"/>
        </w:trPr>
        <w:tc>
          <w:tcPr>
            <w:tcW w:w="1305" w:type="dxa"/>
          </w:tcPr>
          <w:p w14:paraId="46087B13" w14:textId="77777777" w:rsidR="00A22D3A" w:rsidRPr="00A0641E" w:rsidRDefault="00A22D3A" w:rsidP="00A22D3A">
            <w:pPr>
              <w:jc w:val="both"/>
              <w:rPr>
                <w:rFonts w:cs="Arial"/>
                <w:sz w:val="18"/>
                <w:szCs w:val="18"/>
              </w:rPr>
            </w:pPr>
          </w:p>
        </w:tc>
        <w:tc>
          <w:tcPr>
            <w:tcW w:w="2267" w:type="dxa"/>
          </w:tcPr>
          <w:p w14:paraId="4E665E5E" w14:textId="77777777" w:rsidR="00A22D3A" w:rsidRPr="00A0641E" w:rsidRDefault="00A22D3A" w:rsidP="00A22D3A">
            <w:pPr>
              <w:jc w:val="both"/>
              <w:rPr>
                <w:rFonts w:cs="Arial"/>
                <w:sz w:val="18"/>
                <w:szCs w:val="18"/>
              </w:rPr>
            </w:pPr>
            <w:r w:rsidRPr="00A0641E">
              <w:rPr>
                <w:rFonts w:cs="Arial"/>
                <w:sz w:val="18"/>
                <w:szCs w:val="18"/>
              </w:rPr>
              <w:t>Cluster Competitiveness Improvement Plan implemented according to agreed schedule</w:t>
            </w:r>
          </w:p>
        </w:tc>
        <w:tc>
          <w:tcPr>
            <w:tcW w:w="1042" w:type="dxa"/>
          </w:tcPr>
          <w:p w14:paraId="483F2D84" w14:textId="77777777" w:rsidR="00A22D3A" w:rsidRPr="00A0641E" w:rsidRDefault="00A22D3A" w:rsidP="00A22D3A">
            <w:pPr>
              <w:jc w:val="both"/>
              <w:rPr>
                <w:rFonts w:cs="Arial"/>
                <w:sz w:val="18"/>
                <w:szCs w:val="18"/>
              </w:rPr>
            </w:pPr>
            <w:r w:rsidRPr="00A0641E">
              <w:rPr>
                <w:rFonts w:cs="Arial"/>
                <w:sz w:val="18"/>
                <w:szCs w:val="18"/>
              </w:rPr>
              <w:t>Output deleted</w:t>
            </w:r>
          </w:p>
        </w:tc>
        <w:tc>
          <w:tcPr>
            <w:tcW w:w="1231" w:type="dxa"/>
          </w:tcPr>
          <w:p w14:paraId="3AC1F3F9"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0</w:t>
            </w:r>
          </w:p>
        </w:tc>
        <w:tc>
          <w:tcPr>
            <w:tcW w:w="1260" w:type="dxa"/>
          </w:tcPr>
          <w:p w14:paraId="3DB97B30"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1</w:t>
            </w:r>
          </w:p>
        </w:tc>
        <w:tc>
          <w:tcPr>
            <w:tcW w:w="2847" w:type="dxa"/>
          </w:tcPr>
          <w:p w14:paraId="0FB7B137" w14:textId="77777777" w:rsidR="00A22D3A" w:rsidRPr="00A0641E" w:rsidRDefault="00A22D3A" w:rsidP="00A22D3A">
            <w:pPr>
              <w:pStyle w:val="Default"/>
              <w:jc w:val="both"/>
              <w:rPr>
                <w:rFonts w:ascii="Arial" w:hAnsi="Arial" w:cs="Arial"/>
                <w:color w:val="auto"/>
                <w:sz w:val="18"/>
                <w:szCs w:val="18"/>
              </w:rPr>
            </w:pPr>
            <w:r w:rsidRPr="00A0641E">
              <w:rPr>
                <w:rFonts w:ascii="Arial" w:hAnsi="Arial" w:cs="Arial"/>
                <w:color w:val="auto"/>
                <w:sz w:val="18"/>
                <w:szCs w:val="18"/>
              </w:rPr>
              <w:t>Idem</w:t>
            </w:r>
          </w:p>
        </w:tc>
        <w:tc>
          <w:tcPr>
            <w:tcW w:w="1191" w:type="dxa"/>
          </w:tcPr>
          <w:p w14:paraId="1516371E"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PMR July – Dec, 2014</w:t>
            </w:r>
          </w:p>
        </w:tc>
        <w:tc>
          <w:tcPr>
            <w:tcW w:w="1807" w:type="dxa"/>
          </w:tcPr>
          <w:p w14:paraId="104D2CDA"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July 23, 2014</w:t>
            </w:r>
          </w:p>
        </w:tc>
      </w:tr>
      <w:tr w:rsidR="00A22D3A" w:rsidRPr="00A0641E" w14:paraId="6314F203" w14:textId="77777777" w:rsidTr="00A22D3A">
        <w:trPr>
          <w:jc w:val="center"/>
        </w:trPr>
        <w:tc>
          <w:tcPr>
            <w:tcW w:w="1305" w:type="dxa"/>
          </w:tcPr>
          <w:p w14:paraId="53A02803" w14:textId="77777777" w:rsidR="00A22D3A" w:rsidRPr="00A0641E" w:rsidRDefault="00A22D3A" w:rsidP="00A22D3A">
            <w:pPr>
              <w:jc w:val="both"/>
              <w:rPr>
                <w:rFonts w:cs="Arial"/>
                <w:sz w:val="18"/>
                <w:szCs w:val="18"/>
              </w:rPr>
            </w:pPr>
          </w:p>
        </w:tc>
        <w:tc>
          <w:tcPr>
            <w:tcW w:w="2267" w:type="dxa"/>
          </w:tcPr>
          <w:p w14:paraId="422BED35" w14:textId="77777777" w:rsidR="00A22D3A" w:rsidRPr="00A0641E" w:rsidRDefault="00A22D3A" w:rsidP="00A22D3A">
            <w:pPr>
              <w:jc w:val="both"/>
              <w:rPr>
                <w:rFonts w:cs="Arial"/>
                <w:sz w:val="18"/>
                <w:szCs w:val="18"/>
              </w:rPr>
            </w:pPr>
            <w:r w:rsidRPr="00A0641E">
              <w:rPr>
                <w:rFonts w:cs="Arial"/>
                <w:sz w:val="18"/>
                <w:szCs w:val="18"/>
              </w:rPr>
              <w:t>Firms supported by cluster program</w:t>
            </w:r>
          </w:p>
        </w:tc>
        <w:tc>
          <w:tcPr>
            <w:tcW w:w="1042" w:type="dxa"/>
          </w:tcPr>
          <w:p w14:paraId="2A37D63C" w14:textId="77777777" w:rsidR="00A22D3A" w:rsidRPr="00A0641E" w:rsidRDefault="00A22D3A" w:rsidP="00A22D3A">
            <w:pPr>
              <w:jc w:val="both"/>
              <w:rPr>
                <w:rFonts w:cs="Arial"/>
                <w:sz w:val="18"/>
                <w:szCs w:val="18"/>
              </w:rPr>
            </w:pPr>
            <w:r w:rsidRPr="00A0641E">
              <w:rPr>
                <w:rFonts w:cs="Arial"/>
                <w:sz w:val="18"/>
                <w:szCs w:val="18"/>
              </w:rPr>
              <w:t>Output deleted</w:t>
            </w:r>
          </w:p>
        </w:tc>
        <w:tc>
          <w:tcPr>
            <w:tcW w:w="1231" w:type="dxa"/>
          </w:tcPr>
          <w:p w14:paraId="3B227651"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0</w:t>
            </w:r>
          </w:p>
        </w:tc>
        <w:tc>
          <w:tcPr>
            <w:tcW w:w="1260" w:type="dxa"/>
          </w:tcPr>
          <w:p w14:paraId="3421D5F2"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30</w:t>
            </w:r>
          </w:p>
        </w:tc>
        <w:tc>
          <w:tcPr>
            <w:tcW w:w="2847" w:type="dxa"/>
          </w:tcPr>
          <w:p w14:paraId="11197A8F" w14:textId="77777777" w:rsidR="00A22D3A" w:rsidRPr="00A0641E" w:rsidRDefault="00A22D3A" w:rsidP="00A22D3A">
            <w:pPr>
              <w:pStyle w:val="Default"/>
              <w:jc w:val="both"/>
              <w:rPr>
                <w:rFonts w:ascii="Arial" w:hAnsi="Arial" w:cs="Arial"/>
                <w:color w:val="auto"/>
                <w:sz w:val="18"/>
                <w:szCs w:val="18"/>
              </w:rPr>
            </w:pPr>
            <w:r w:rsidRPr="00A0641E">
              <w:rPr>
                <w:rFonts w:ascii="Arial" w:hAnsi="Arial" w:cs="Arial"/>
                <w:color w:val="auto"/>
                <w:sz w:val="18"/>
                <w:szCs w:val="18"/>
              </w:rPr>
              <w:t>Idem</w:t>
            </w:r>
          </w:p>
        </w:tc>
        <w:tc>
          <w:tcPr>
            <w:tcW w:w="1191" w:type="dxa"/>
          </w:tcPr>
          <w:p w14:paraId="197F8B08"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PMR July – Dec, 2014</w:t>
            </w:r>
          </w:p>
        </w:tc>
        <w:tc>
          <w:tcPr>
            <w:tcW w:w="1807" w:type="dxa"/>
          </w:tcPr>
          <w:p w14:paraId="4D056588"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July 23, 2014</w:t>
            </w:r>
          </w:p>
        </w:tc>
      </w:tr>
      <w:tr w:rsidR="00A22D3A" w:rsidRPr="00A0641E" w14:paraId="7BF29A84" w14:textId="77777777" w:rsidTr="00A22D3A">
        <w:trPr>
          <w:jc w:val="center"/>
        </w:trPr>
        <w:tc>
          <w:tcPr>
            <w:tcW w:w="1305" w:type="dxa"/>
          </w:tcPr>
          <w:p w14:paraId="3595549A" w14:textId="77777777" w:rsidR="00A22D3A" w:rsidRPr="00A0641E" w:rsidRDefault="00A22D3A" w:rsidP="00A22D3A">
            <w:pPr>
              <w:jc w:val="both"/>
              <w:rPr>
                <w:rFonts w:cs="Arial"/>
                <w:sz w:val="18"/>
                <w:szCs w:val="18"/>
              </w:rPr>
            </w:pPr>
          </w:p>
        </w:tc>
        <w:tc>
          <w:tcPr>
            <w:tcW w:w="2267" w:type="dxa"/>
          </w:tcPr>
          <w:p w14:paraId="3CDB66EC" w14:textId="77777777" w:rsidR="00A22D3A" w:rsidRPr="00A0641E" w:rsidRDefault="00A22D3A" w:rsidP="00A22D3A">
            <w:pPr>
              <w:jc w:val="both"/>
              <w:rPr>
                <w:rFonts w:cs="Arial"/>
                <w:sz w:val="18"/>
                <w:szCs w:val="18"/>
              </w:rPr>
            </w:pPr>
            <w:r w:rsidRPr="00A0641E">
              <w:rPr>
                <w:rFonts w:cs="Arial"/>
                <w:sz w:val="18"/>
                <w:szCs w:val="18"/>
              </w:rPr>
              <w:t>Updated transport sector strategy developed</w:t>
            </w:r>
          </w:p>
        </w:tc>
        <w:tc>
          <w:tcPr>
            <w:tcW w:w="1042" w:type="dxa"/>
          </w:tcPr>
          <w:p w14:paraId="48083072" w14:textId="77777777" w:rsidR="00A22D3A" w:rsidRPr="00A0641E" w:rsidRDefault="00A22D3A" w:rsidP="00A22D3A">
            <w:pPr>
              <w:jc w:val="both"/>
              <w:rPr>
                <w:rFonts w:cs="Arial"/>
                <w:sz w:val="18"/>
                <w:szCs w:val="18"/>
              </w:rPr>
            </w:pPr>
            <w:r w:rsidRPr="00A0641E">
              <w:rPr>
                <w:rFonts w:cs="Arial"/>
                <w:sz w:val="18"/>
                <w:szCs w:val="18"/>
              </w:rPr>
              <w:t>Output deleted</w:t>
            </w:r>
          </w:p>
        </w:tc>
        <w:tc>
          <w:tcPr>
            <w:tcW w:w="1231" w:type="dxa"/>
          </w:tcPr>
          <w:p w14:paraId="7D374E8A"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0</w:t>
            </w:r>
          </w:p>
        </w:tc>
        <w:tc>
          <w:tcPr>
            <w:tcW w:w="1260" w:type="dxa"/>
          </w:tcPr>
          <w:p w14:paraId="4DCD0F20" w14:textId="77777777" w:rsidR="00A22D3A" w:rsidRPr="00A0641E" w:rsidRDefault="00A22D3A" w:rsidP="00A22D3A">
            <w:pPr>
              <w:pStyle w:val="Default"/>
              <w:jc w:val="center"/>
              <w:rPr>
                <w:rFonts w:ascii="Arial" w:hAnsi="Arial" w:cs="Arial"/>
                <w:color w:val="auto"/>
                <w:sz w:val="18"/>
                <w:szCs w:val="18"/>
              </w:rPr>
            </w:pPr>
            <w:r w:rsidRPr="00A0641E">
              <w:rPr>
                <w:rFonts w:ascii="Arial" w:hAnsi="Arial" w:cs="Arial"/>
                <w:color w:val="auto"/>
                <w:sz w:val="18"/>
                <w:szCs w:val="18"/>
              </w:rPr>
              <w:t>1</w:t>
            </w:r>
          </w:p>
        </w:tc>
        <w:tc>
          <w:tcPr>
            <w:tcW w:w="2847" w:type="dxa"/>
          </w:tcPr>
          <w:p w14:paraId="4ECA165E" w14:textId="77777777" w:rsidR="00A22D3A" w:rsidRPr="00A0641E" w:rsidRDefault="00A22D3A" w:rsidP="00A22D3A">
            <w:pPr>
              <w:pStyle w:val="Default"/>
              <w:jc w:val="both"/>
              <w:rPr>
                <w:rFonts w:ascii="Arial" w:hAnsi="Arial" w:cs="Arial"/>
                <w:color w:val="auto"/>
                <w:sz w:val="18"/>
                <w:szCs w:val="18"/>
              </w:rPr>
            </w:pPr>
            <w:r w:rsidRPr="00A0641E">
              <w:rPr>
                <w:rFonts w:ascii="Arial" w:hAnsi="Arial" w:cs="Arial"/>
                <w:color w:val="auto"/>
                <w:sz w:val="18"/>
                <w:szCs w:val="18"/>
              </w:rPr>
              <w:t>Idem</w:t>
            </w:r>
          </w:p>
          <w:p w14:paraId="39C8E286" w14:textId="77777777" w:rsidR="00A22D3A" w:rsidRPr="00A0641E" w:rsidRDefault="00A22D3A" w:rsidP="00A22D3A">
            <w:pPr>
              <w:pStyle w:val="Default"/>
              <w:jc w:val="both"/>
              <w:rPr>
                <w:rFonts w:ascii="Arial" w:hAnsi="Arial" w:cs="Arial"/>
                <w:color w:val="auto"/>
                <w:sz w:val="18"/>
                <w:szCs w:val="18"/>
              </w:rPr>
            </w:pPr>
            <w:r w:rsidRPr="00A0641E">
              <w:rPr>
                <w:rFonts w:ascii="Arial" w:hAnsi="Arial" w:cs="Arial"/>
                <w:color w:val="auto"/>
                <w:sz w:val="18"/>
                <w:szCs w:val="18"/>
              </w:rPr>
              <w:t xml:space="preserve">In addition, GoB had secured a US$2.42 million loan from the Caribbean Development Bank (CDB) to improve Barbados’ road and bridge infrastructure and to finance technical studies in these two areas. While still a priority, this activity seemed to be </w:t>
            </w:r>
            <w:r w:rsidRPr="00A0641E">
              <w:rPr>
                <w:rFonts w:ascii="Arial" w:hAnsi="Arial" w:cs="Arial"/>
                <w:color w:val="auto"/>
                <w:sz w:val="18"/>
                <w:szCs w:val="18"/>
              </w:rPr>
              <w:lastRenderedPageBreak/>
              <w:t>sufficiently covered by those funds.</w:t>
            </w:r>
          </w:p>
        </w:tc>
        <w:tc>
          <w:tcPr>
            <w:tcW w:w="1191" w:type="dxa"/>
          </w:tcPr>
          <w:p w14:paraId="6AA7085E"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lastRenderedPageBreak/>
              <w:t>PMR July – Dec, 2014</w:t>
            </w:r>
          </w:p>
        </w:tc>
        <w:tc>
          <w:tcPr>
            <w:tcW w:w="1807" w:type="dxa"/>
          </w:tcPr>
          <w:p w14:paraId="24F8E840" w14:textId="77777777" w:rsidR="00A22D3A" w:rsidRPr="00A0641E" w:rsidRDefault="00A22D3A" w:rsidP="00A22D3A">
            <w:pPr>
              <w:pStyle w:val="Default"/>
              <w:jc w:val="both"/>
              <w:rPr>
                <w:rFonts w:ascii="Arial" w:hAnsi="Arial" w:cs="Arial"/>
                <w:sz w:val="18"/>
                <w:szCs w:val="18"/>
              </w:rPr>
            </w:pPr>
            <w:r w:rsidRPr="00A0641E">
              <w:rPr>
                <w:rFonts w:ascii="Arial" w:hAnsi="Arial" w:cs="Arial"/>
                <w:sz w:val="18"/>
                <w:szCs w:val="18"/>
              </w:rPr>
              <w:t>July 23, 2014</w:t>
            </w:r>
          </w:p>
        </w:tc>
      </w:tr>
    </w:tbl>
    <w:p w14:paraId="251EADCB" w14:textId="77777777" w:rsidR="00A22D3A" w:rsidRPr="00FA30C8" w:rsidRDefault="00A22D3A" w:rsidP="00A22D3A">
      <w:pPr>
        <w:jc w:val="center"/>
        <w:rPr>
          <w:rFonts w:cs="Arial"/>
          <w:b/>
          <w:color w:val="000000"/>
          <w:sz w:val="18"/>
          <w:szCs w:val="18"/>
        </w:rPr>
      </w:pPr>
      <w:r w:rsidRPr="00A0641E">
        <w:rPr>
          <w:rFonts w:cs="Arial"/>
          <w:b/>
          <w:color w:val="000000"/>
          <w:sz w:val="18"/>
          <w:szCs w:val="18"/>
        </w:rPr>
        <w:br w:type="page"/>
      </w:r>
      <w:r w:rsidRPr="00FA30C8">
        <w:rPr>
          <w:rFonts w:cs="Arial"/>
          <w:b/>
          <w:color w:val="000000"/>
          <w:sz w:val="18"/>
          <w:szCs w:val="18"/>
        </w:rPr>
        <w:lastRenderedPageBreak/>
        <w:t>Table 3</w:t>
      </w:r>
    </w:p>
    <w:p w14:paraId="332A9D77" w14:textId="6A56F2A9" w:rsidR="00A22D3A" w:rsidRPr="00FA30C8" w:rsidRDefault="00A22D3A" w:rsidP="00FA30C8">
      <w:pPr>
        <w:jc w:val="center"/>
        <w:rPr>
          <w:rFonts w:cs="Arial"/>
          <w:b/>
          <w:color w:val="000000"/>
          <w:sz w:val="18"/>
          <w:szCs w:val="18"/>
        </w:rPr>
      </w:pPr>
      <w:r w:rsidRPr="00FA30C8">
        <w:rPr>
          <w:rFonts w:cs="Arial"/>
          <w:b/>
          <w:color w:val="000000"/>
          <w:sz w:val="18"/>
          <w:szCs w:val="18"/>
        </w:rPr>
        <w:t>Results Achieved Matrix</w:t>
      </w:r>
    </w:p>
    <w:tbl>
      <w:tblPr>
        <w:tblStyle w:val="TableGrid"/>
        <w:tblW w:w="0" w:type="auto"/>
        <w:jc w:val="center"/>
        <w:tblInd w:w="0" w:type="dxa"/>
        <w:tblLook w:val="04A0" w:firstRow="1" w:lastRow="0" w:firstColumn="1" w:lastColumn="0" w:noHBand="0" w:noVBand="1"/>
      </w:tblPr>
      <w:tblGrid>
        <w:gridCol w:w="3533"/>
        <w:gridCol w:w="1142"/>
        <w:gridCol w:w="1170"/>
        <w:gridCol w:w="1080"/>
        <w:gridCol w:w="2340"/>
        <w:gridCol w:w="1530"/>
        <w:gridCol w:w="630"/>
        <w:gridCol w:w="1487"/>
      </w:tblGrid>
      <w:tr w:rsidR="00A22D3A" w:rsidRPr="00FA30C8" w14:paraId="27B151AC" w14:textId="77777777" w:rsidTr="00A22D3A">
        <w:trPr>
          <w:jc w:val="center"/>
        </w:trPr>
        <w:tc>
          <w:tcPr>
            <w:tcW w:w="3533" w:type="dxa"/>
            <w:tcBorders>
              <w:left w:val="single" w:sz="4" w:space="0" w:color="auto"/>
            </w:tcBorders>
            <w:shd w:val="clear" w:color="auto" w:fill="B8CCE4" w:themeFill="accent1" w:themeFillTint="66"/>
            <w:vAlign w:val="center"/>
          </w:tcPr>
          <w:p w14:paraId="04E7B9B9" w14:textId="77777777" w:rsidR="00A22D3A" w:rsidRPr="00FA30C8" w:rsidRDefault="00A22D3A" w:rsidP="00A22D3A">
            <w:pPr>
              <w:jc w:val="center"/>
              <w:rPr>
                <w:rFonts w:cs="Arial"/>
                <w:b/>
                <w:sz w:val="18"/>
                <w:szCs w:val="18"/>
              </w:rPr>
            </w:pPr>
            <w:r w:rsidRPr="00FA30C8">
              <w:rPr>
                <w:rFonts w:cs="Arial"/>
                <w:b/>
                <w:sz w:val="18"/>
                <w:szCs w:val="18"/>
              </w:rPr>
              <w:t>Impact/Indicator</w:t>
            </w:r>
          </w:p>
        </w:tc>
        <w:tc>
          <w:tcPr>
            <w:tcW w:w="1142" w:type="dxa"/>
            <w:shd w:val="clear" w:color="auto" w:fill="B8CCE4" w:themeFill="accent1" w:themeFillTint="66"/>
            <w:vAlign w:val="center"/>
          </w:tcPr>
          <w:p w14:paraId="48CC995E" w14:textId="77777777" w:rsidR="00A22D3A" w:rsidRPr="00FA30C8" w:rsidRDefault="00A22D3A" w:rsidP="00A22D3A">
            <w:pPr>
              <w:jc w:val="center"/>
              <w:rPr>
                <w:rFonts w:cs="Arial"/>
                <w:b/>
                <w:sz w:val="18"/>
                <w:szCs w:val="18"/>
              </w:rPr>
            </w:pPr>
            <w:r w:rsidRPr="00FA30C8">
              <w:rPr>
                <w:rFonts w:cs="Arial"/>
                <w:b/>
                <w:sz w:val="18"/>
                <w:szCs w:val="18"/>
              </w:rPr>
              <w:t>Unit of Measure</w:t>
            </w:r>
          </w:p>
        </w:tc>
        <w:tc>
          <w:tcPr>
            <w:tcW w:w="1170" w:type="dxa"/>
            <w:shd w:val="clear" w:color="auto" w:fill="B8CCE4" w:themeFill="accent1" w:themeFillTint="66"/>
            <w:vAlign w:val="center"/>
          </w:tcPr>
          <w:p w14:paraId="6C247699" w14:textId="77777777" w:rsidR="00A22D3A" w:rsidRPr="00FA30C8" w:rsidRDefault="00A22D3A" w:rsidP="00A22D3A">
            <w:pPr>
              <w:jc w:val="center"/>
              <w:rPr>
                <w:rFonts w:cs="Arial"/>
                <w:b/>
                <w:sz w:val="18"/>
                <w:szCs w:val="18"/>
              </w:rPr>
            </w:pPr>
            <w:r w:rsidRPr="00FA30C8">
              <w:rPr>
                <w:rFonts w:cs="Arial"/>
                <w:b/>
                <w:sz w:val="18"/>
                <w:szCs w:val="18"/>
              </w:rPr>
              <w:t>Baseline value</w:t>
            </w:r>
          </w:p>
        </w:tc>
        <w:tc>
          <w:tcPr>
            <w:tcW w:w="1080" w:type="dxa"/>
            <w:shd w:val="clear" w:color="auto" w:fill="B8CCE4" w:themeFill="accent1" w:themeFillTint="66"/>
            <w:vAlign w:val="center"/>
          </w:tcPr>
          <w:p w14:paraId="4DE6C869" w14:textId="77777777" w:rsidR="00A22D3A" w:rsidRPr="00FA30C8" w:rsidRDefault="00A22D3A" w:rsidP="00A22D3A">
            <w:pPr>
              <w:jc w:val="center"/>
              <w:rPr>
                <w:rFonts w:cs="Arial"/>
                <w:b/>
                <w:sz w:val="18"/>
                <w:szCs w:val="18"/>
              </w:rPr>
            </w:pPr>
            <w:r w:rsidRPr="00FA30C8">
              <w:rPr>
                <w:rFonts w:cs="Arial"/>
                <w:b/>
                <w:sz w:val="18"/>
                <w:szCs w:val="18"/>
              </w:rPr>
              <w:t>Baseline year</w:t>
            </w:r>
          </w:p>
        </w:tc>
        <w:tc>
          <w:tcPr>
            <w:tcW w:w="2340" w:type="dxa"/>
            <w:shd w:val="clear" w:color="auto" w:fill="B8CCE4" w:themeFill="accent1" w:themeFillTint="66"/>
            <w:vAlign w:val="center"/>
          </w:tcPr>
          <w:p w14:paraId="29A355AA" w14:textId="77777777" w:rsidR="00A22D3A" w:rsidRPr="00FA30C8" w:rsidRDefault="00A22D3A" w:rsidP="00A22D3A">
            <w:pPr>
              <w:jc w:val="center"/>
              <w:rPr>
                <w:rFonts w:cs="Arial"/>
                <w:b/>
                <w:sz w:val="18"/>
                <w:szCs w:val="18"/>
              </w:rPr>
            </w:pPr>
            <w:r w:rsidRPr="00FA30C8">
              <w:rPr>
                <w:rFonts w:cs="Arial"/>
                <w:b/>
                <w:sz w:val="18"/>
                <w:szCs w:val="18"/>
              </w:rPr>
              <w:t>Means of verification</w:t>
            </w:r>
          </w:p>
        </w:tc>
        <w:tc>
          <w:tcPr>
            <w:tcW w:w="2160" w:type="dxa"/>
            <w:gridSpan w:val="2"/>
            <w:shd w:val="clear" w:color="auto" w:fill="B8CCE4" w:themeFill="accent1" w:themeFillTint="66"/>
            <w:vAlign w:val="center"/>
          </w:tcPr>
          <w:p w14:paraId="7A1A1559" w14:textId="77777777" w:rsidR="00A22D3A" w:rsidRPr="00FA30C8" w:rsidRDefault="00A22D3A" w:rsidP="00A22D3A">
            <w:pPr>
              <w:jc w:val="center"/>
              <w:rPr>
                <w:rFonts w:cs="Arial"/>
                <w:b/>
                <w:sz w:val="18"/>
                <w:szCs w:val="18"/>
              </w:rPr>
            </w:pPr>
            <w:r w:rsidRPr="00FA30C8">
              <w:rPr>
                <w:rFonts w:cs="Arial"/>
                <w:b/>
                <w:sz w:val="18"/>
                <w:szCs w:val="18"/>
              </w:rPr>
              <w:t>Targets and Actual Achievement</w:t>
            </w:r>
          </w:p>
        </w:tc>
        <w:tc>
          <w:tcPr>
            <w:tcW w:w="1487" w:type="dxa"/>
            <w:tcBorders>
              <w:right w:val="single" w:sz="4" w:space="0" w:color="auto"/>
            </w:tcBorders>
            <w:shd w:val="clear" w:color="auto" w:fill="B8CCE4" w:themeFill="accent1" w:themeFillTint="66"/>
            <w:vAlign w:val="center"/>
          </w:tcPr>
          <w:p w14:paraId="55B1F92F" w14:textId="77777777" w:rsidR="00A22D3A" w:rsidRPr="00FA30C8" w:rsidRDefault="00A22D3A" w:rsidP="00A22D3A">
            <w:pPr>
              <w:jc w:val="center"/>
              <w:rPr>
                <w:rFonts w:cs="Arial"/>
                <w:b/>
                <w:sz w:val="18"/>
                <w:szCs w:val="18"/>
              </w:rPr>
            </w:pPr>
            <w:r w:rsidRPr="00FA30C8">
              <w:rPr>
                <w:rFonts w:cs="Arial"/>
                <w:b/>
                <w:sz w:val="18"/>
                <w:szCs w:val="18"/>
              </w:rPr>
              <w:t>% achieved</w:t>
            </w:r>
          </w:p>
        </w:tc>
      </w:tr>
      <w:tr w:rsidR="00A22D3A" w:rsidRPr="00FA30C8" w14:paraId="34CA67A1" w14:textId="77777777" w:rsidTr="00A22D3A">
        <w:trPr>
          <w:jc w:val="center"/>
        </w:trPr>
        <w:tc>
          <w:tcPr>
            <w:tcW w:w="12912" w:type="dxa"/>
            <w:gridSpan w:val="8"/>
            <w:tcBorders>
              <w:left w:val="single" w:sz="4" w:space="0" w:color="auto"/>
              <w:right w:val="single" w:sz="4" w:space="0" w:color="auto"/>
            </w:tcBorders>
            <w:shd w:val="clear" w:color="auto" w:fill="DBE5F1" w:themeFill="accent1" w:themeFillTint="33"/>
            <w:vAlign w:val="center"/>
          </w:tcPr>
          <w:p w14:paraId="589705E8" w14:textId="77777777" w:rsidR="00A22D3A" w:rsidRPr="00FA30C8" w:rsidRDefault="00A22D3A" w:rsidP="00A22D3A">
            <w:pPr>
              <w:rPr>
                <w:rFonts w:cs="Arial"/>
                <w:b/>
                <w:sz w:val="18"/>
                <w:szCs w:val="18"/>
              </w:rPr>
            </w:pPr>
            <w:r w:rsidRPr="00FA30C8">
              <w:rPr>
                <w:rFonts w:cs="Arial"/>
                <w:b/>
                <w:sz w:val="18"/>
                <w:szCs w:val="18"/>
              </w:rPr>
              <w:t>Impact #1: Contribute to increasing the competitiveness of businesses in Barbados</w:t>
            </w:r>
          </w:p>
        </w:tc>
      </w:tr>
      <w:tr w:rsidR="00A22D3A" w:rsidRPr="00FA30C8" w14:paraId="3042BFAE" w14:textId="77777777" w:rsidTr="00A22D3A">
        <w:trPr>
          <w:jc w:val="center"/>
        </w:trPr>
        <w:tc>
          <w:tcPr>
            <w:tcW w:w="3533" w:type="dxa"/>
            <w:vMerge w:val="restart"/>
            <w:tcBorders>
              <w:left w:val="single" w:sz="4" w:space="0" w:color="auto"/>
            </w:tcBorders>
            <w:vAlign w:val="center"/>
          </w:tcPr>
          <w:p w14:paraId="53F656DE" w14:textId="77777777" w:rsidR="00A22D3A" w:rsidRPr="00FA30C8" w:rsidRDefault="00A22D3A" w:rsidP="00A22D3A">
            <w:pPr>
              <w:rPr>
                <w:rFonts w:cs="Arial"/>
                <w:sz w:val="18"/>
                <w:szCs w:val="18"/>
              </w:rPr>
            </w:pPr>
            <w:r w:rsidRPr="00FA30C8">
              <w:rPr>
                <w:rFonts w:cs="Arial"/>
                <w:sz w:val="18"/>
                <w:szCs w:val="18"/>
              </w:rPr>
              <w:t>Indicator #1: Goods Market Efficiency Index (Global Competitiveness Report)</w:t>
            </w:r>
          </w:p>
        </w:tc>
        <w:tc>
          <w:tcPr>
            <w:tcW w:w="1142" w:type="dxa"/>
            <w:vMerge w:val="restart"/>
            <w:vAlign w:val="center"/>
          </w:tcPr>
          <w:p w14:paraId="2C6F5226" w14:textId="77777777" w:rsidR="00A22D3A" w:rsidRPr="00FA30C8" w:rsidRDefault="00A22D3A" w:rsidP="00A22D3A">
            <w:pPr>
              <w:jc w:val="center"/>
              <w:rPr>
                <w:rFonts w:cs="Arial"/>
                <w:sz w:val="18"/>
                <w:szCs w:val="18"/>
              </w:rPr>
            </w:pPr>
            <w:r w:rsidRPr="00FA30C8">
              <w:rPr>
                <w:rFonts w:cs="Arial"/>
                <w:sz w:val="18"/>
                <w:szCs w:val="18"/>
              </w:rPr>
              <w:t>Percentile</w:t>
            </w:r>
          </w:p>
        </w:tc>
        <w:tc>
          <w:tcPr>
            <w:tcW w:w="1170" w:type="dxa"/>
            <w:vMerge w:val="restart"/>
            <w:vAlign w:val="center"/>
          </w:tcPr>
          <w:p w14:paraId="45AF4AEE" w14:textId="77777777" w:rsidR="00A22D3A" w:rsidRPr="00FA30C8" w:rsidRDefault="00A22D3A" w:rsidP="00A22D3A">
            <w:pPr>
              <w:jc w:val="center"/>
              <w:rPr>
                <w:rFonts w:cs="Arial"/>
                <w:sz w:val="18"/>
                <w:szCs w:val="18"/>
              </w:rPr>
            </w:pPr>
            <w:r w:rsidRPr="00FA30C8">
              <w:rPr>
                <w:rFonts w:cs="Arial"/>
                <w:sz w:val="18"/>
                <w:szCs w:val="18"/>
              </w:rPr>
              <w:t>54</w:t>
            </w:r>
          </w:p>
        </w:tc>
        <w:tc>
          <w:tcPr>
            <w:tcW w:w="1080" w:type="dxa"/>
            <w:vMerge w:val="restart"/>
            <w:vAlign w:val="center"/>
          </w:tcPr>
          <w:p w14:paraId="70DA5F1B" w14:textId="77777777" w:rsidR="00A22D3A" w:rsidRPr="00FA30C8" w:rsidRDefault="00A22D3A" w:rsidP="00A22D3A">
            <w:pPr>
              <w:jc w:val="center"/>
              <w:rPr>
                <w:rFonts w:cs="Arial"/>
                <w:sz w:val="18"/>
                <w:szCs w:val="18"/>
              </w:rPr>
            </w:pPr>
            <w:r w:rsidRPr="00FA30C8">
              <w:rPr>
                <w:rFonts w:cs="Arial"/>
                <w:sz w:val="18"/>
                <w:szCs w:val="18"/>
              </w:rPr>
              <w:t>2010</w:t>
            </w:r>
          </w:p>
        </w:tc>
        <w:tc>
          <w:tcPr>
            <w:tcW w:w="2340" w:type="dxa"/>
            <w:vMerge w:val="restart"/>
            <w:vAlign w:val="center"/>
          </w:tcPr>
          <w:p w14:paraId="047F7610" w14:textId="77777777" w:rsidR="00A22D3A" w:rsidRPr="00FA30C8" w:rsidRDefault="00A22D3A" w:rsidP="00A22D3A">
            <w:pPr>
              <w:rPr>
                <w:rFonts w:cs="Arial"/>
                <w:sz w:val="18"/>
                <w:szCs w:val="18"/>
              </w:rPr>
            </w:pPr>
            <w:r w:rsidRPr="00FA30C8">
              <w:rPr>
                <w:rFonts w:cs="Arial"/>
                <w:sz w:val="18"/>
                <w:szCs w:val="18"/>
              </w:rPr>
              <w:t>Rank of Barbados as compared to all countries evaluated in the WEF/GCR as of the program end year</w:t>
            </w:r>
          </w:p>
        </w:tc>
        <w:tc>
          <w:tcPr>
            <w:tcW w:w="1530" w:type="dxa"/>
            <w:vAlign w:val="center"/>
          </w:tcPr>
          <w:p w14:paraId="28E102FB" w14:textId="77777777" w:rsidR="00A22D3A" w:rsidRPr="00FA30C8" w:rsidRDefault="00A22D3A" w:rsidP="00A22D3A">
            <w:pPr>
              <w:rPr>
                <w:rFonts w:cs="Arial"/>
                <w:sz w:val="18"/>
                <w:szCs w:val="18"/>
              </w:rPr>
            </w:pPr>
            <w:r w:rsidRPr="00FA30C8">
              <w:rPr>
                <w:rFonts w:cs="Arial"/>
                <w:sz w:val="18"/>
                <w:szCs w:val="18"/>
              </w:rPr>
              <w:t>Original Target value</w:t>
            </w:r>
          </w:p>
        </w:tc>
        <w:tc>
          <w:tcPr>
            <w:tcW w:w="630" w:type="dxa"/>
            <w:vAlign w:val="center"/>
          </w:tcPr>
          <w:p w14:paraId="5B3C0F61" w14:textId="77777777" w:rsidR="00A22D3A" w:rsidRPr="00FA30C8" w:rsidRDefault="00A22D3A" w:rsidP="00A22D3A">
            <w:pPr>
              <w:jc w:val="center"/>
              <w:rPr>
                <w:rFonts w:cs="Arial"/>
                <w:sz w:val="18"/>
                <w:szCs w:val="18"/>
              </w:rPr>
            </w:pPr>
            <w:r w:rsidRPr="00FA30C8">
              <w:rPr>
                <w:rFonts w:cs="Arial"/>
                <w:sz w:val="18"/>
                <w:szCs w:val="18"/>
              </w:rPr>
              <w:t>45</w:t>
            </w:r>
          </w:p>
        </w:tc>
        <w:tc>
          <w:tcPr>
            <w:tcW w:w="1487" w:type="dxa"/>
            <w:vMerge w:val="restart"/>
            <w:tcBorders>
              <w:right w:val="single" w:sz="4" w:space="0" w:color="auto"/>
            </w:tcBorders>
            <w:vAlign w:val="center"/>
          </w:tcPr>
          <w:p w14:paraId="2A26DEEC" w14:textId="77777777" w:rsidR="00A22D3A" w:rsidRPr="00FA30C8" w:rsidRDefault="00A22D3A" w:rsidP="00A22D3A">
            <w:pPr>
              <w:rPr>
                <w:rFonts w:cs="Arial"/>
                <w:sz w:val="18"/>
                <w:szCs w:val="18"/>
              </w:rPr>
            </w:pPr>
          </w:p>
        </w:tc>
      </w:tr>
      <w:tr w:rsidR="00A22D3A" w:rsidRPr="00FA30C8" w14:paraId="7D511BC3" w14:textId="77777777" w:rsidTr="00A22D3A">
        <w:trPr>
          <w:jc w:val="center"/>
        </w:trPr>
        <w:tc>
          <w:tcPr>
            <w:tcW w:w="3533" w:type="dxa"/>
            <w:vMerge/>
            <w:tcBorders>
              <w:left w:val="single" w:sz="4" w:space="0" w:color="auto"/>
            </w:tcBorders>
            <w:vAlign w:val="center"/>
          </w:tcPr>
          <w:p w14:paraId="0BC035AE" w14:textId="77777777" w:rsidR="00A22D3A" w:rsidRPr="00FA30C8" w:rsidRDefault="00A22D3A" w:rsidP="00A22D3A">
            <w:pPr>
              <w:rPr>
                <w:rFonts w:cs="Arial"/>
                <w:sz w:val="18"/>
                <w:szCs w:val="18"/>
              </w:rPr>
            </w:pPr>
          </w:p>
        </w:tc>
        <w:tc>
          <w:tcPr>
            <w:tcW w:w="1142" w:type="dxa"/>
            <w:vMerge/>
            <w:vAlign w:val="center"/>
          </w:tcPr>
          <w:p w14:paraId="67D801EA" w14:textId="77777777" w:rsidR="00A22D3A" w:rsidRPr="00FA30C8" w:rsidRDefault="00A22D3A" w:rsidP="00A22D3A">
            <w:pPr>
              <w:rPr>
                <w:rFonts w:cs="Arial"/>
                <w:sz w:val="18"/>
                <w:szCs w:val="18"/>
              </w:rPr>
            </w:pPr>
          </w:p>
        </w:tc>
        <w:tc>
          <w:tcPr>
            <w:tcW w:w="1170" w:type="dxa"/>
            <w:vMerge/>
            <w:vAlign w:val="center"/>
          </w:tcPr>
          <w:p w14:paraId="64CE6691" w14:textId="77777777" w:rsidR="00A22D3A" w:rsidRPr="00FA30C8" w:rsidRDefault="00A22D3A" w:rsidP="00A22D3A">
            <w:pPr>
              <w:rPr>
                <w:rFonts w:cs="Arial"/>
                <w:sz w:val="18"/>
                <w:szCs w:val="18"/>
              </w:rPr>
            </w:pPr>
          </w:p>
        </w:tc>
        <w:tc>
          <w:tcPr>
            <w:tcW w:w="1080" w:type="dxa"/>
            <w:vMerge/>
            <w:vAlign w:val="center"/>
          </w:tcPr>
          <w:p w14:paraId="5D41AC7B" w14:textId="77777777" w:rsidR="00A22D3A" w:rsidRPr="00FA30C8" w:rsidRDefault="00A22D3A" w:rsidP="00A22D3A">
            <w:pPr>
              <w:rPr>
                <w:rFonts w:cs="Arial"/>
                <w:sz w:val="18"/>
                <w:szCs w:val="18"/>
              </w:rPr>
            </w:pPr>
          </w:p>
        </w:tc>
        <w:tc>
          <w:tcPr>
            <w:tcW w:w="2340" w:type="dxa"/>
            <w:vMerge/>
            <w:vAlign w:val="center"/>
          </w:tcPr>
          <w:p w14:paraId="3B82C26D" w14:textId="77777777" w:rsidR="00A22D3A" w:rsidRPr="00FA30C8" w:rsidRDefault="00A22D3A" w:rsidP="00A22D3A">
            <w:pPr>
              <w:rPr>
                <w:rFonts w:cs="Arial"/>
                <w:sz w:val="18"/>
                <w:szCs w:val="18"/>
              </w:rPr>
            </w:pPr>
          </w:p>
        </w:tc>
        <w:tc>
          <w:tcPr>
            <w:tcW w:w="1530" w:type="dxa"/>
            <w:vAlign w:val="center"/>
          </w:tcPr>
          <w:p w14:paraId="22699DFA" w14:textId="77777777" w:rsidR="00A22D3A" w:rsidRPr="00FA30C8" w:rsidRDefault="00A22D3A" w:rsidP="00A22D3A">
            <w:pPr>
              <w:rPr>
                <w:rFonts w:cs="Arial"/>
                <w:sz w:val="18"/>
                <w:szCs w:val="18"/>
              </w:rPr>
            </w:pPr>
            <w:r w:rsidRPr="00FA30C8">
              <w:rPr>
                <w:rFonts w:cs="Arial"/>
                <w:sz w:val="18"/>
                <w:szCs w:val="18"/>
              </w:rPr>
              <w:t xml:space="preserve">Revised target value </w:t>
            </w:r>
          </w:p>
        </w:tc>
        <w:tc>
          <w:tcPr>
            <w:tcW w:w="630" w:type="dxa"/>
            <w:vAlign w:val="center"/>
          </w:tcPr>
          <w:p w14:paraId="48DE3325" w14:textId="77777777" w:rsidR="00A22D3A" w:rsidRPr="00FA30C8" w:rsidRDefault="00A22D3A" w:rsidP="00A22D3A">
            <w:pPr>
              <w:jc w:val="center"/>
              <w:rPr>
                <w:rFonts w:cs="Arial"/>
                <w:sz w:val="18"/>
                <w:szCs w:val="18"/>
              </w:rPr>
            </w:pPr>
            <w:r w:rsidRPr="00FA30C8">
              <w:rPr>
                <w:rFonts w:cs="Arial"/>
                <w:sz w:val="18"/>
                <w:szCs w:val="18"/>
              </w:rPr>
              <w:t>-</w:t>
            </w:r>
          </w:p>
        </w:tc>
        <w:tc>
          <w:tcPr>
            <w:tcW w:w="1487" w:type="dxa"/>
            <w:vMerge/>
            <w:tcBorders>
              <w:right w:val="single" w:sz="4" w:space="0" w:color="auto"/>
            </w:tcBorders>
            <w:vAlign w:val="center"/>
          </w:tcPr>
          <w:p w14:paraId="0F5CFC8B" w14:textId="77777777" w:rsidR="00A22D3A" w:rsidRPr="00FA30C8" w:rsidRDefault="00A22D3A" w:rsidP="00A22D3A">
            <w:pPr>
              <w:rPr>
                <w:rFonts w:cs="Arial"/>
                <w:sz w:val="18"/>
                <w:szCs w:val="18"/>
              </w:rPr>
            </w:pPr>
          </w:p>
        </w:tc>
      </w:tr>
      <w:tr w:rsidR="00A22D3A" w:rsidRPr="00FA30C8" w14:paraId="716E588B" w14:textId="77777777" w:rsidTr="00A22D3A">
        <w:trPr>
          <w:jc w:val="center"/>
        </w:trPr>
        <w:tc>
          <w:tcPr>
            <w:tcW w:w="3533" w:type="dxa"/>
            <w:vMerge/>
            <w:tcBorders>
              <w:left w:val="single" w:sz="4" w:space="0" w:color="auto"/>
              <w:bottom w:val="single" w:sz="4" w:space="0" w:color="auto"/>
            </w:tcBorders>
            <w:vAlign w:val="center"/>
          </w:tcPr>
          <w:p w14:paraId="2BA2FBAE" w14:textId="77777777" w:rsidR="00A22D3A" w:rsidRPr="00FA30C8" w:rsidRDefault="00A22D3A" w:rsidP="00A22D3A">
            <w:pPr>
              <w:rPr>
                <w:rFonts w:cs="Arial"/>
                <w:sz w:val="18"/>
                <w:szCs w:val="18"/>
              </w:rPr>
            </w:pPr>
          </w:p>
        </w:tc>
        <w:tc>
          <w:tcPr>
            <w:tcW w:w="1142" w:type="dxa"/>
            <w:vMerge/>
            <w:tcBorders>
              <w:bottom w:val="single" w:sz="4" w:space="0" w:color="auto"/>
            </w:tcBorders>
            <w:vAlign w:val="center"/>
          </w:tcPr>
          <w:p w14:paraId="269E1529" w14:textId="77777777" w:rsidR="00A22D3A" w:rsidRPr="00FA30C8" w:rsidRDefault="00A22D3A" w:rsidP="00A22D3A">
            <w:pPr>
              <w:rPr>
                <w:rFonts w:cs="Arial"/>
                <w:sz w:val="18"/>
                <w:szCs w:val="18"/>
              </w:rPr>
            </w:pPr>
          </w:p>
        </w:tc>
        <w:tc>
          <w:tcPr>
            <w:tcW w:w="1170" w:type="dxa"/>
            <w:vMerge/>
            <w:tcBorders>
              <w:bottom w:val="single" w:sz="4" w:space="0" w:color="auto"/>
            </w:tcBorders>
            <w:vAlign w:val="center"/>
          </w:tcPr>
          <w:p w14:paraId="199E7C4C" w14:textId="77777777" w:rsidR="00A22D3A" w:rsidRPr="00FA30C8" w:rsidRDefault="00A22D3A" w:rsidP="00A22D3A">
            <w:pPr>
              <w:rPr>
                <w:rFonts w:cs="Arial"/>
                <w:sz w:val="18"/>
                <w:szCs w:val="18"/>
              </w:rPr>
            </w:pPr>
          </w:p>
        </w:tc>
        <w:tc>
          <w:tcPr>
            <w:tcW w:w="1080" w:type="dxa"/>
            <w:vMerge/>
            <w:tcBorders>
              <w:bottom w:val="single" w:sz="4" w:space="0" w:color="auto"/>
            </w:tcBorders>
            <w:vAlign w:val="center"/>
          </w:tcPr>
          <w:p w14:paraId="70131E23" w14:textId="77777777" w:rsidR="00A22D3A" w:rsidRPr="00FA30C8" w:rsidRDefault="00A22D3A" w:rsidP="00A22D3A">
            <w:pPr>
              <w:rPr>
                <w:rFonts w:cs="Arial"/>
                <w:sz w:val="18"/>
                <w:szCs w:val="18"/>
              </w:rPr>
            </w:pPr>
          </w:p>
        </w:tc>
        <w:tc>
          <w:tcPr>
            <w:tcW w:w="2340" w:type="dxa"/>
            <w:vMerge/>
            <w:tcBorders>
              <w:bottom w:val="single" w:sz="4" w:space="0" w:color="auto"/>
            </w:tcBorders>
            <w:vAlign w:val="center"/>
          </w:tcPr>
          <w:p w14:paraId="28781D34" w14:textId="77777777" w:rsidR="00A22D3A" w:rsidRPr="00FA30C8" w:rsidRDefault="00A22D3A" w:rsidP="00A22D3A">
            <w:pPr>
              <w:rPr>
                <w:rFonts w:cs="Arial"/>
                <w:sz w:val="18"/>
                <w:szCs w:val="18"/>
              </w:rPr>
            </w:pPr>
          </w:p>
        </w:tc>
        <w:tc>
          <w:tcPr>
            <w:tcW w:w="1530" w:type="dxa"/>
            <w:tcBorders>
              <w:bottom w:val="single" w:sz="4" w:space="0" w:color="auto"/>
            </w:tcBorders>
            <w:vAlign w:val="center"/>
          </w:tcPr>
          <w:p w14:paraId="23050A5E" w14:textId="77777777" w:rsidR="00A22D3A" w:rsidRPr="00FA30C8" w:rsidRDefault="00A22D3A" w:rsidP="00A22D3A">
            <w:pPr>
              <w:rPr>
                <w:rFonts w:cs="Arial"/>
                <w:sz w:val="18"/>
                <w:szCs w:val="18"/>
              </w:rPr>
            </w:pPr>
            <w:r w:rsidRPr="00FA30C8">
              <w:rPr>
                <w:rFonts w:cs="Arial"/>
                <w:sz w:val="18"/>
                <w:szCs w:val="18"/>
              </w:rPr>
              <w:t>Actual amount achieved</w:t>
            </w:r>
          </w:p>
        </w:tc>
        <w:tc>
          <w:tcPr>
            <w:tcW w:w="630" w:type="dxa"/>
            <w:tcBorders>
              <w:bottom w:val="single" w:sz="4" w:space="0" w:color="auto"/>
            </w:tcBorders>
            <w:vAlign w:val="center"/>
          </w:tcPr>
          <w:p w14:paraId="136B6DA6" w14:textId="77777777" w:rsidR="00A22D3A" w:rsidRPr="00FA30C8" w:rsidRDefault="00A22D3A" w:rsidP="00A22D3A">
            <w:pPr>
              <w:jc w:val="center"/>
              <w:rPr>
                <w:rFonts w:cs="Arial"/>
                <w:sz w:val="18"/>
                <w:szCs w:val="18"/>
              </w:rPr>
            </w:pPr>
            <w:r w:rsidRPr="00FA30C8">
              <w:rPr>
                <w:rFonts w:cs="Arial"/>
                <w:sz w:val="18"/>
                <w:szCs w:val="18"/>
              </w:rPr>
              <w:t>74</w:t>
            </w:r>
          </w:p>
        </w:tc>
        <w:tc>
          <w:tcPr>
            <w:tcW w:w="1487" w:type="dxa"/>
            <w:vMerge/>
            <w:tcBorders>
              <w:bottom w:val="single" w:sz="4" w:space="0" w:color="auto"/>
              <w:right w:val="single" w:sz="4" w:space="0" w:color="auto"/>
            </w:tcBorders>
            <w:vAlign w:val="center"/>
          </w:tcPr>
          <w:p w14:paraId="1B5A474F" w14:textId="77777777" w:rsidR="00A22D3A" w:rsidRPr="00FA30C8" w:rsidRDefault="00A22D3A" w:rsidP="00A22D3A">
            <w:pPr>
              <w:rPr>
                <w:rFonts w:cs="Arial"/>
                <w:sz w:val="18"/>
                <w:szCs w:val="18"/>
              </w:rPr>
            </w:pPr>
          </w:p>
        </w:tc>
      </w:tr>
    </w:tbl>
    <w:p w14:paraId="3147CB33" w14:textId="77777777" w:rsidR="00A22D3A" w:rsidRPr="00FA30C8" w:rsidRDefault="00A22D3A" w:rsidP="00A22D3A">
      <w:pPr>
        <w:jc w:val="both"/>
        <w:rPr>
          <w:rFonts w:cs="Arial"/>
          <w:sz w:val="18"/>
          <w:szCs w:val="18"/>
        </w:rPr>
      </w:pPr>
    </w:p>
    <w:tbl>
      <w:tblPr>
        <w:tblStyle w:val="TableGrid"/>
        <w:tblW w:w="12956" w:type="dxa"/>
        <w:jc w:val="center"/>
        <w:tblInd w:w="0" w:type="dxa"/>
        <w:tblLook w:val="04A0" w:firstRow="1" w:lastRow="0" w:firstColumn="1" w:lastColumn="0" w:noHBand="0" w:noVBand="1"/>
      </w:tblPr>
      <w:tblGrid>
        <w:gridCol w:w="3497"/>
        <w:gridCol w:w="135"/>
        <w:gridCol w:w="1032"/>
        <w:gridCol w:w="85"/>
        <w:gridCol w:w="1077"/>
        <w:gridCol w:w="77"/>
        <w:gridCol w:w="962"/>
        <w:gridCol w:w="77"/>
        <w:gridCol w:w="2304"/>
        <w:gridCol w:w="17"/>
        <w:gridCol w:w="1337"/>
        <w:gridCol w:w="143"/>
        <w:gridCol w:w="740"/>
        <w:gridCol w:w="53"/>
        <w:gridCol w:w="1414"/>
        <w:gridCol w:w="6"/>
      </w:tblGrid>
      <w:tr w:rsidR="00A22D3A" w:rsidRPr="00FA30C8" w14:paraId="2A38AC02" w14:textId="77777777" w:rsidTr="00F830D1">
        <w:trPr>
          <w:tblHeader/>
          <w:jc w:val="center"/>
        </w:trPr>
        <w:tc>
          <w:tcPr>
            <w:tcW w:w="3632" w:type="dxa"/>
            <w:gridSpan w:val="2"/>
            <w:tcBorders>
              <w:left w:val="single" w:sz="4" w:space="0" w:color="auto"/>
            </w:tcBorders>
            <w:shd w:val="clear" w:color="auto" w:fill="B8CCE4" w:themeFill="accent1" w:themeFillTint="66"/>
            <w:vAlign w:val="center"/>
          </w:tcPr>
          <w:p w14:paraId="2A4B435D" w14:textId="77777777" w:rsidR="00A22D3A" w:rsidRPr="00FA30C8" w:rsidRDefault="00A22D3A" w:rsidP="00A22D3A">
            <w:pPr>
              <w:jc w:val="center"/>
              <w:rPr>
                <w:rFonts w:cs="Arial"/>
                <w:b/>
                <w:sz w:val="18"/>
                <w:szCs w:val="18"/>
              </w:rPr>
            </w:pPr>
            <w:r w:rsidRPr="00FA30C8">
              <w:rPr>
                <w:rFonts w:cs="Arial"/>
                <w:b/>
                <w:sz w:val="18"/>
                <w:szCs w:val="18"/>
              </w:rPr>
              <w:t>Outcome/Indicator</w:t>
            </w:r>
          </w:p>
        </w:tc>
        <w:tc>
          <w:tcPr>
            <w:tcW w:w="1117" w:type="dxa"/>
            <w:gridSpan w:val="2"/>
            <w:shd w:val="clear" w:color="auto" w:fill="B8CCE4" w:themeFill="accent1" w:themeFillTint="66"/>
            <w:vAlign w:val="center"/>
          </w:tcPr>
          <w:p w14:paraId="2464067A" w14:textId="77777777" w:rsidR="00A22D3A" w:rsidRPr="00FA30C8" w:rsidRDefault="00A22D3A" w:rsidP="00A22D3A">
            <w:pPr>
              <w:jc w:val="center"/>
              <w:rPr>
                <w:rFonts w:cs="Arial"/>
                <w:b/>
                <w:sz w:val="18"/>
                <w:szCs w:val="18"/>
              </w:rPr>
            </w:pPr>
            <w:r w:rsidRPr="00FA30C8">
              <w:rPr>
                <w:rFonts w:cs="Arial"/>
                <w:b/>
                <w:sz w:val="18"/>
                <w:szCs w:val="18"/>
              </w:rPr>
              <w:t>Unit of Measure</w:t>
            </w:r>
          </w:p>
        </w:tc>
        <w:tc>
          <w:tcPr>
            <w:tcW w:w="1154" w:type="dxa"/>
            <w:gridSpan w:val="2"/>
            <w:shd w:val="clear" w:color="auto" w:fill="B8CCE4" w:themeFill="accent1" w:themeFillTint="66"/>
            <w:vAlign w:val="center"/>
          </w:tcPr>
          <w:p w14:paraId="2C5938EF" w14:textId="77777777" w:rsidR="00A22D3A" w:rsidRPr="00FA30C8" w:rsidRDefault="00A22D3A" w:rsidP="00A22D3A">
            <w:pPr>
              <w:jc w:val="center"/>
              <w:rPr>
                <w:rFonts w:cs="Arial"/>
                <w:b/>
                <w:sz w:val="18"/>
                <w:szCs w:val="18"/>
              </w:rPr>
            </w:pPr>
            <w:r w:rsidRPr="00FA30C8">
              <w:rPr>
                <w:rFonts w:cs="Arial"/>
                <w:b/>
                <w:sz w:val="18"/>
                <w:szCs w:val="18"/>
              </w:rPr>
              <w:t>Baseline value</w:t>
            </w:r>
          </w:p>
        </w:tc>
        <w:tc>
          <w:tcPr>
            <w:tcW w:w="1039" w:type="dxa"/>
            <w:gridSpan w:val="2"/>
            <w:shd w:val="clear" w:color="auto" w:fill="B8CCE4" w:themeFill="accent1" w:themeFillTint="66"/>
            <w:vAlign w:val="center"/>
          </w:tcPr>
          <w:p w14:paraId="75E9EEA8" w14:textId="77777777" w:rsidR="00A22D3A" w:rsidRPr="00FA30C8" w:rsidRDefault="00A22D3A" w:rsidP="00A22D3A">
            <w:pPr>
              <w:jc w:val="center"/>
              <w:rPr>
                <w:rFonts w:cs="Arial"/>
                <w:b/>
                <w:sz w:val="18"/>
                <w:szCs w:val="18"/>
              </w:rPr>
            </w:pPr>
            <w:r w:rsidRPr="00FA30C8">
              <w:rPr>
                <w:rFonts w:cs="Arial"/>
                <w:b/>
                <w:sz w:val="18"/>
                <w:szCs w:val="18"/>
              </w:rPr>
              <w:t>Baseline year</w:t>
            </w:r>
          </w:p>
        </w:tc>
        <w:tc>
          <w:tcPr>
            <w:tcW w:w="2304" w:type="dxa"/>
            <w:shd w:val="clear" w:color="auto" w:fill="B8CCE4" w:themeFill="accent1" w:themeFillTint="66"/>
            <w:vAlign w:val="center"/>
          </w:tcPr>
          <w:p w14:paraId="2A7587F6" w14:textId="77777777" w:rsidR="00A22D3A" w:rsidRPr="00FA30C8" w:rsidRDefault="00A22D3A" w:rsidP="00A22D3A">
            <w:pPr>
              <w:jc w:val="center"/>
              <w:rPr>
                <w:rFonts w:cs="Arial"/>
                <w:b/>
                <w:sz w:val="18"/>
                <w:szCs w:val="18"/>
              </w:rPr>
            </w:pPr>
            <w:r w:rsidRPr="00FA30C8">
              <w:rPr>
                <w:rFonts w:cs="Arial"/>
                <w:b/>
                <w:sz w:val="18"/>
                <w:szCs w:val="18"/>
              </w:rPr>
              <w:t>Means of verification</w:t>
            </w:r>
          </w:p>
        </w:tc>
        <w:tc>
          <w:tcPr>
            <w:tcW w:w="2237" w:type="dxa"/>
            <w:gridSpan w:val="4"/>
            <w:shd w:val="clear" w:color="auto" w:fill="B8CCE4" w:themeFill="accent1" w:themeFillTint="66"/>
            <w:vAlign w:val="center"/>
          </w:tcPr>
          <w:p w14:paraId="79EDB59D" w14:textId="77777777" w:rsidR="00A22D3A" w:rsidRPr="00FA30C8" w:rsidRDefault="00A22D3A" w:rsidP="00A22D3A">
            <w:pPr>
              <w:jc w:val="center"/>
              <w:rPr>
                <w:rFonts w:cs="Arial"/>
                <w:b/>
                <w:sz w:val="18"/>
                <w:szCs w:val="18"/>
              </w:rPr>
            </w:pPr>
            <w:r w:rsidRPr="00FA30C8">
              <w:rPr>
                <w:rFonts w:cs="Arial"/>
                <w:b/>
                <w:sz w:val="18"/>
                <w:szCs w:val="18"/>
              </w:rPr>
              <w:t>Targets and Actual Achievement</w:t>
            </w:r>
          </w:p>
        </w:tc>
        <w:tc>
          <w:tcPr>
            <w:tcW w:w="1473" w:type="dxa"/>
            <w:gridSpan w:val="3"/>
            <w:tcBorders>
              <w:right w:val="single" w:sz="4" w:space="0" w:color="auto"/>
            </w:tcBorders>
            <w:shd w:val="clear" w:color="auto" w:fill="B8CCE4" w:themeFill="accent1" w:themeFillTint="66"/>
            <w:vAlign w:val="center"/>
          </w:tcPr>
          <w:p w14:paraId="2F5D52A7" w14:textId="77777777" w:rsidR="00A22D3A" w:rsidRPr="00FA30C8" w:rsidRDefault="00A22D3A" w:rsidP="00A22D3A">
            <w:pPr>
              <w:jc w:val="center"/>
              <w:rPr>
                <w:rFonts w:cs="Arial"/>
                <w:b/>
                <w:sz w:val="18"/>
                <w:szCs w:val="18"/>
              </w:rPr>
            </w:pPr>
            <w:r w:rsidRPr="00FA30C8">
              <w:rPr>
                <w:rFonts w:cs="Arial"/>
                <w:b/>
                <w:sz w:val="18"/>
                <w:szCs w:val="18"/>
              </w:rPr>
              <w:t>% achieved</w:t>
            </w:r>
          </w:p>
        </w:tc>
      </w:tr>
      <w:tr w:rsidR="00A22D3A" w:rsidRPr="00FA30C8" w14:paraId="30B2ACC2" w14:textId="77777777" w:rsidTr="00F830D1">
        <w:trPr>
          <w:jc w:val="center"/>
        </w:trPr>
        <w:tc>
          <w:tcPr>
            <w:tcW w:w="12956" w:type="dxa"/>
            <w:gridSpan w:val="16"/>
            <w:tcBorders>
              <w:left w:val="single" w:sz="4" w:space="0" w:color="auto"/>
              <w:right w:val="single" w:sz="4" w:space="0" w:color="auto"/>
            </w:tcBorders>
            <w:shd w:val="clear" w:color="auto" w:fill="DBE5F1" w:themeFill="accent1" w:themeFillTint="33"/>
            <w:vAlign w:val="center"/>
          </w:tcPr>
          <w:p w14:paraId="5B2B8C50" w14:textId="77777777" w:rsidR="00A22D3A" w:rsidRPr="00FA30C8" w:rsidRDefault="00A22D3A" w:rsidP="00A22D3A">
            <w:pPr>
              <w:rPr>
                <w:rFonts w:cs="Arial"/>
                <w:b/>
                <w:sz w:val="18"/>
                <w:szCs w:val="18"/>
              </w:rPr>
            </w:pPr>
            <w:r w:rsidRPr="00FA30C8">
              <w:rPr>
                <w:rFonts w:cs="Arial"/>
                <w:b/>
                <w:sz w:val="18"/>
                <w:szCs w:val="18"/>
              </w:rPr>
              <w:t>Outcome #1: Tax reform proposals based on tax policy analytical models prepared</w:t>
            </w:r>
          </w:p>
        </w:tc>
      </w:tr>
      <w:tr w:rsidR="00A22D3A" w:rsidRPr="00FA30C8" w14:paraId="5F5E587C" w14:textId="77777777" w:rsidTr="00F830D1">
        <w:trPr>
          <w:jc w:val="center"/>
        </w:trPr>
        <w:tc>
          <w:tcPr>
            <w:tcW w:w="3632" w:type="dxa"/>
            <w:gridSpan w:val="2"/>
            <w:vMerge w:val="restart"/>
            <w:tcBorders>
              <w:left w:val="single" w:sz="4" w:space="0" w:color="auto"/>
            </w:tcBorders>
            <w:vAlign w:val="center"/>
          </w:tcPr>
          <w:p w14:paraId="519A6432" w14:textId="77777777" w:rsidR="00A22D3A" w:rsidRPr="00FA30C8" w:rsidRDefault="00A22D3A" w:rsidP="00A22D3A">
            <w:pPr>
              <w:rPr>
                <w:rFonts w:cs="Arial"/>
                <w:sz w:val="18"/>
                <w:szCs w:val="18"/>
              </w:rPr>
            </w:pPr>
            <w:r w:rsidRPr="00FA30C8">
              <w:rPr>
                <w:rFonts w:cs="Arial"/>
                <w:sz w:val="18"/>
                <w:szCs w:val="18"/>
              </w:rPr>
              <w:t>Indicator #1: Number of tax proposals (draft bills and or regulations) that incorporate analysis derived from the tax policy tools (Computable General Equilibrium (CGE) Model and/or Tax Expenditure Report) developed by the program</w:t>
            </w:r>
          </w:p>
        </w:tc>
        <w:tc>
          <w:tcPr>
            <w:tcW w:w="1117" w:type="dxa"/>
            <w:gridSpan w:val="2"/>
            <w:vMerge w:val="restart"/>
            <w:vAlign w:val="center"/>
          </w:tcPr>
          <w:p w14:paraId="2B02A436" w14:textId="77777777" w:rsidR="00A22D3A" w:rsidRPr="00FA30C8" w:rsidRDefault="00A22D3A" w:rsidP="00A22D3A">
            <w:pPr>
              <w:jc w:val="center"/>
              <w:rPr>
                <w:rFonts w:cs="Arial"/>
                <w:sz w:val="18"/>
                <w:szCs w:val="18"/>
              </w:rPr>
            </w:pPr>
            <w:r w:rsidRPr="00FA30C8">
              <w:rPr>
                <w:rFonts w:cs="Arial"/>
                <w:sz w:val="18"/>
                <w:szCs w:val="18"/>
              </w:rPr>
              <w:t>Number</w:t>
            </w:r>
          </w:p>
        </w:tc>
        <w:tc>
          <w:tcPr>
            <w:tcW w:w="1154" w:type="dxa"/>
            <w:gridSpan w:val="2"/>
            <w:vMerge w:val="restart"/>
            <w:vAlign w:val="center"/>
          </w:tcPr>
          <w:p w14:paraId="1F62817D" w14:textId="77777777" w:rsidR="00A22D3A" w:rsidRPr="00FA30C8" w:rsidRDefault="00A22D3A" w:rsidP="00A22D3A">
            <w:pPr>
              <w:jc w:val="center"/>
              <w:rPr>
                <w:rFonts w:cs="Arial"/>
                <w:sz w:val="18"/>
                <w:szCs w:val="18"/>
              </w:rPr>
            </w:pPr>
            <w:r w:rsidRPr="00FA30C8">
              <w:rPr>
                <w:rFonts w:cs="Arial"/>
                <w:sz w:val="18"/>
                <w:szCs w:val="18"/>
              </w:rPr>
              <w:t>0</w:t>
            </w:r>
          </w:p>
        </w:tc>
        <w:tc>
          <w:tcPr>
            <w:tcW w:w="1039" w:type="dxa"/>
            <w:gridSpan w:val="2"/>
            <w:vMerge w:val="restart"/>
            <w:vAlign w:val="center"/>
          </w:tcPr>
          <w:p w14:paraId="210E5208" w14:textId="77777777" w:rsidR="00A22D3A" w:rsidRPr="00FA30C8" w:rsidRDefault="00A22D3A" w:rsidP="00A22D3A">
            <w:pPr>
              <w:jc w:val="center"/>
              <w:rPr>
                <w:rFonts w:cs="Arial"/>
                <w:sz w:val="18"/>
                <w:szCs w:val="18"/>
              </w:rPr>
            </w:pPr>
            <w:r w:rsidRPr="00FA30C8">
              <w:rPr>
                <w:rFonts w:cs="Arial"/>
                <w:sz w:val="18"/>
                <w:szCs w:val="18"/>
              </w:rPr>
              <w:t>1995</w:t>
            </w:r>
          </w:p>
        </w:tc>
        <w:tc>
          <w:tcPr>
            <w:tcW w:w="2304" w:type="dxa"/>
            <w:vMerge w:val="restart"/>
            <w:vAlign w:val="center"/>
          </w:tcPr>
          <w:p w14:paraId="3D6DCA88" w14:textId="77777777" w:rsidR="00A22D3A" w:rsidRPr="00FA30C8" w:rsidRDefault="00A22D3A" w:rsidP="00A22D3A">
            <w:pPr>
              <w:rPr>
                <w:rFonts w:cs="Arial"/>
                <w:sz w:val="18"/>
                <w:szCs w:val="18"/>
              </w:rPr>
            </w:pPr>
            <w:r w:rsidRPr="00FA30C8">
              <w:rPr>
                <w:rFonts w:cs="Arial"/>
                <w:sz w:val="18"/>
                <w:szCs w:val="18"/>
              </w:rPr>
              <w:t>Certification by consultants responsible for CGE and tax expenditure report models that tax reform proposals have incorporated analysis based on these models</w:t>
            </w:r>
          </w:p>
        </w:tc>
        <w:tc>
          <w:tcPr>
            <w:tcW w:w="1497" w:type="dxa"/>
            <w:gridSpan w:val="3"/>
            <w:vAlign w:val="center"/>
          </w:tcPr>
          <w:p w14:paraId="37FFA424" w14:textId="77777777" w:rsidR="00A22D3A" w:rsidRPr="00FA30C8" w:rsidRDefault="00A22D3A" w:rsidP="00A22D3A">
            <w:pPr>
              <w:rPr>
                <w:rFonts w:cs="Arial"/>
                <w:sz w:val="18"/>
                <w:szCs w:val="18"/>
              </w:rPr>
            </w:pPr>
            <w:r w:rsidRPr="00FA30C8">
              <w:rPr>
                <w:rFonts w:cs="Arial"/>
                <w:sz w:val="18"/>
                <w:szCs w:val="18"/>
              </w:rPr>
              <w:t>Original Target value</w:t>
            </w:r>
          </w:p>
        </w:tc>
        <w:tc>
          <w:tcPr>
            <w:tcW w:w="740" w:type="dxa"/>
            <w:vAlign w:val="center"/>
          </w:tcPr>
          <w:p w14:paraId="6548BFA9" w14:textId="77777777" w:rsidR="00A22D3A" w:rsidRPr="00FA30C8" w:rsidRDefault="00A22D3A" w:rsidP="00A22D3A">
            <w:pPr>
              <w:jc w:val="center"/>
              <w:rPr>
                <w:rFonts w:cs="Arial"/>
                <w:sz w:val="18"/>
                <w:szCs w:val="18"/>
              </w:rPr>
            </w:pPr>
            <w:r w:rsidRPr="00FA30C8">
              <w:rPr>
                <w:rFonts w:cs="Arial"/>
                <w:sz w:val="18"/>
                <w:szCs w:val="18"/>
              </w:rPr>
              <w:t>2</w:t>
            </w:r>
          </w:p>
        </w:tc>
        <w:tc>
          <w:tcPr>
            <w:tcW w:w="1473" w:type="dxa"/>
            <w:gridSpan w:val="3"/>
            <w:vMerge w:val="restart"/>
            <w:tcBorders>
              <w:right w:val="single" w:sz="4" w:space="0" w:color="auto"/>
            </w:tcBorders>
            <w:vAlign w:val="center"/>
          </w:tcPr>
          <w:p w14:paraId="32ED9448" w14:textId="77777777" w:rsidR="00A22D3A" w:rsidRPr="00FA30C8" w:rsidRDefault="00A22D3A" w:rsidP="00A22D3A">
            <w:pPr>
              <w:rPr>
                <w:rFonts w:cs="Arial"/>
                <w:sz w:val="18"/>
                <w:szCs w:val="18"/>
              </w:rPr>
            </w:pPr>
          </w:p>
        </w:tc>
      </w:tr>
      <w:tr w:rsidR="00A22D3A" w:rsidRPr="00FA30C8" w14:paraId="0C712DC8" w14:textId="77777777" w:rsidTr="00F830D1">
        <w:trPr>
          <w:jc w:val="center"/>
        </w:trPr>
        <w:tc>
          <w:tcPr>
            <w:tcW w:w="3632" w:type="dxa"/>
            <w:gridSpan w:val="2"/>
            <w:vMerge/>
            <w:tcBorders>
              <w:left w:val="single" w:sz="4" w:space="0" w:color="auto"/>
            </w:tcBorders>
            <w:vAlign w:val="center"/>
          </w:tcPr>
          <w:p w14:paraId="41756E14" w14:textId="77777777" w:rsidR="00A22D3A" w:rsidRPr="00FA30C8" w:rsidRDefault="00A22D3A" w:rsidP="00A22D3A">
            <w:pPr>
              <w:rPr>
                <w:rFonts w:cs="Arial"/>
                <w:sz w:val="18"/>
                <w:szCs w:val="18"/>
              </w:rPr>
            </w:pPr>
          </w:p>
        </w:tc>
        <w:tc>
          <w:tcPr>
            <w:tcW w:w="1117" w:type="dxa"/>
            <w:gridSpan w:val="2"/>
            <w:vMerge/>
            <w:vAlign w:val="center"/>
          </w:tcPr>
          <w:p w14:paraId="510CD7B8" w14:textId="77777777" w:rsidR="00A22D3A" w:rsidRPr="00FA30C8" w:rsidRDefault="00A22D3A" w:rsidP="00A22D3A">
            <w:pPr>
              <w:jc w:val="center"/>
              <w:rPr>
                <w:rFonts w:cs="Arial"/>
                <w:sz w:val="18"/>
                <w:szCs w:val="18"/>
              </w:rPr>
            </w:pPr>
          </w:p>
        </w:tc>
        <w:tc>
          <w:tcPr>
            <w:tcW w:w="1154" w:type="dxa"/>
            <w:gridSpan w:val="2"/>
            <w:vMerge/>
            <w:vAlign w:val="center"/>
          </w:tcPr>
          <w:p w14:paraId="74BCA19B" w14:textId="77777777" w:rsidR="00A22D3A" w:rsidRPr="00FA30C8" w:rsidRDefault="00A22D3A" w:rsidP="00A22D3A">
            <w:pPr>
              <w:jc w:val="center"/>
              <w:rPr>
                <w:rFonts w:cs="Arial"/>
                <w:sz w:val="18"/>
                <w:szCs w:val="18"/>
              </w:rPr>
            </w:pPr>
          </w:p>
        </w:tc>
        <w:tc>
          <w:tcPr>
            <w:tcW w:w="1039" w:type="dxa"/>
            <w:gridSpan w:val="2"/>
            <w:vMerge/>
            <w:vAlign w:val="center"/>
          </w:tcPr>
          <w:p w14:paraId="0390A981" w14:textId="77777777" w:rsidR="00A22D3A" w:rsidRPr="00FA30C8" w:rsidRDefault="00A22D3A" w:rsidP="00A22D3A">
            <w:pPr>
              <w:jc w:val="center"/>
              <w:rPr>
                <w:rFonts w:cs="Arial"/>
                <w:sz w:val="18"/>
                <w:szCs w:val="18"/>
              </w:rPr>
            </w:pPr>
          </w:p>
        </w:tc>
        <w:tc>
          <w:tcPr>
            <w:tcW w:w="2304" w:type="dxa"/>
            <w:vMerge/>
            <w:vAlign w:val="center"/>
          </w:tcPr>
          <w:p w14:paraId="5FC36672" w14:textId="77777777" w:rsidR="00A22D3A" w:rsidRPr="00FA30C8" w:rsidRDefault="00A22D3A" w:rsidP="00A22D3A">
            <w:pPr>
              <w:rPr>
                <w:rFonts w:cs="Arial"/>
                <w:sz w:val="18"/>
                <w:szCs w:val="18"/>
              </w:rPr>
            </w:pPr>
          </w:p>
        </w:tc>
        <w:tc>
          <w:tcPr>
            <w:tcW w:w="1497" w:type="dxa"/>
            <w:gridSpan w:val="3"/>
            <w:vAlign w:val="center"/>
          </w:tcPr>
          <w:p w14:paraId="663E002C" w14:textId="77777777" w:rsidR="00A22D3A" w:rsidRPr="00FA30C8" w:rsidRDefault="00A22D3A" w:rsidP="00A22D3A">
            <w:pPr>
              <w:rPr>
                <w:rFonts w:cs="Arial"/>
                <w:sz w:val="18"/>
                <w:szCs w:val="18"/>
              </w:rPr>
            </w:pPr>
            <w:r w:rsidRPr="00FA30C8">
              <w:rPr>
                <w:rFonts w:cs="Arial"/>
                <w:sz w:val="18"/>
                <w:szCs w:val="18"/>
              </w:rPr>
              <w:t>Revised target value</w:t>
            </w:r>
          </w:p>
        </w:tc>
        <w:tc>
          <w:tcPr>
            <w:tcW w:w="740" w:type="dxa"/>
            <w:vAlign w:val="center"/>
          </w:tcPr>
          <w:p w14:paraId="7399933D" w14:textId="77777777" w:rsidR="00A22D3A" w:rsidRPr="00FA30C8" w:rsidRDefault="00A22D3A" w:rsidP="00A22D3A">
            <w:pPr>
              <w:jc w:val="center"/>
              <w:rPr>
                <w:rFonts w:cs="Arial"/>
                <w:sz w:val="18"/>
                <w:szCs w:val="18"/>
              </w:rPr>
            </w:pPr>
            <w:r w:rsidRPr="00FA30C8">
              <w:rPr>
                <w:rFonts w:cs="Arial"/>
                <w:sz w:val="18"/>
                <w:szCs w:val="18"/>
              </w:rPr>
              <w:t>-</w:t>
            </w:r>
          </w:p>
        </w:tc>
        <w:tc>
          <w:tcPr>
            <w:tcW w:w="1473" w:type="dxa"/>
            <w:gridSpan w:val="3"/>
            <w:vMerge/>
            <w:tcBorders>
              <w:right w:val="single" w:sz="4" w:space="0" w:color="auto"/>
            </w:tcBorders>
            <w:vAlign w:val="center"/>
          </w:tcPr>
          <w:p w14:paraId="65B283A5" w14:textId="77777777" w:rsidR="00A22D3A" w:rsidRPr="00FA30C8" w:rsidRDefault="00A22D3A" w:rsidP="00A22D3A">
            <w:pPr>
              <w:rPr>
                <w:rFonts w:cs="Arial"/>
                <w:sz w:val="18"/>
                <w:szCs w:val="18"/>
              </w:rPr>
            </w:pPr>
          </w:p>
        </w:tc>
      </w:tr>
      <w:tr w:rsidR="00A22D3A" w:rsidRPr="00FA30C8" w14:paraId="7CCBAB80" w14:textId="77777777" w:rsidTr="00F830D1">
        <w:trPr>
          <w:jc w:val="center"/>
        </w:trPr>
        <w:tc>
          <w:tcPr>
            <w:tcW w:w="3632" w:type="dxa"/>
            <w:gridSpan w:val="2"/>
            <w:vMerge/>
            <w:tcBorders>
              <w:left w:val="single" w:sz="4" w:space="0" w:color="auto"/>
              <w:bottom w:val="single" w:sz="4" w:space="0" w:color="auto"/>
            </w:tcBorders>
            <w:vAlign w:val="center"/>
          </w:tcPr>
          <w:p w14:paraId="6CF60727" w14:textId="77777777" w:rsidR="00A22D3A" w:rsidRPr="00FA30C8" w:rsidRDefault="00A22D3A" w:rsidP="00A22D3A">
            <w:pPr>
              <w:rPr>
                <w:rFonts w:cs="Arial"/>
                <w:sz w:val="18"/>
                <w:szCs w:val="18"/>
              </w:rPr>
            </w:pPr>
          </w:p>
        </w:tc>
        <w:tc>
          <w:tcPr>
            <w:tcW w:w="1117" w:type="dxa"/>
            <w:gridSpan w:val="2"/>
            <w:vMerge/>
            <w:tcBorders>
              <w:bottom w:val="single" w:sz="4" w:space="0" w:color="auto"/>
            </w:tcBorders>
            <w:vAlign w:val="center"/>
          </w:tcPr>
          <w:p w14:paraId="357D5788" w14:textId="77777777" w:rsidR="00A22D3A" w:rsidRPr="00FA30C8" w:rsidRDefault="00A22D3A" w:rsidP="00A22D3A">
            <w:pPr>
              <w:jc w:val="center"/>
              <w:rPr>
                <w:rFonts w:cs="Arial"/>
                <w:sz w:val="18"/>
                <w:szCs w:val="18"/>
              </w:rPr>
            </w:pPr>
          </w:p>
        </w:tc>
        <w:tc>
          <w:tcPr>
            <w:tcW w:w="1154" w:type="dxa"/>
            <w:gridSpan w:val="2"/>
            <w:vMerge/>
            <w:tcBorders>
              <w:bottom w:val="single" w:sz="4" w:space="0" w:color="auto"/>
            </w:tcBorders>
            <w:vAlign w:val="center"/>
          </w:tcPr>
          <w:p w14:paraId="2493D9B2" w14:textId="77777777" w:rsidR="00A22D3A" w:rsidRPr="00FA30C8" w:rsidRDefault="00A22D3A" w:rsidP="00A22D3A">
            <w:pPr>
              <w:jc w:val="center"/>
              <w:rPr>
                <w:rFonts w:cs="Arial"/>
                <w:sz w:val="18"/>
                <w:szCs w:val="18"/>
              </w:rPr>
            </w:pPr>
          </w:p>
        </w:tc>
        <w:tc>
          <w:tcPr>
            <w:tcW w:w="1039" w:type="dxa"/>
            <w:gridSpan w:val="2"/>
            <w:vMerge/>
            <w:tcBorders>
              <w:bottom w:val="single" w:sz="4" w:space="0" w:color="auto"/>
            </w:tcBorders>
            <w:vAlign w:val="center"/>
          </w:tcPr>
          <w:p w14:paraId="57133A9C" w14:textId="77777777" w:rsidR="00A22D3A" w:rsidRPr="00FA30C8" w:rsidRDefault="00A22D3A" w:rsidP="00A22D3A">
            <w:pPr>
              <w:jc w:val="center"/>
              <w:rPr>
                <w:rFonts w:cs="Arial"/>
                <w:sz w:val="18"/>
                <w:szCs w:val="18"/>
              </w:rPr>
            </w:pPr>
          </w:p>
        </w:tc>
        <w:tc>
          <w:tcPr>
            <w:tcW w:w="2304" w:type="dxa"/>
            <w:vMerge/>
            <w:tcBorders>
              <w:bottom w:val="single" w:sz="4" w:space="0" w:color="auto"/>
            </w:tcBorders>
            <w:vAlign w:val="center"/>
          </w:tcPr>
          <w:p w14:paraId="17BC4E50" w14:textId="77777777" w:rsidR="00A22D3A" w:rsidRPr="00FA30C8" w:rsidRDefault="00A22D3A" w:rsidP="00A22D3A">
            <w:pPr>
              <w:rPr>
                <w:rFonts w:cs="Arial"/>
                <w:sz w:val="18"/>
                <w:szCs w:val="18"/>
              </w:rPr>
            </w:pPr>
          </w:p>
        </w:tc>
        <w:tc>
          <w:tcPr>
            <w:tcW w:w="1497" w:type="dxa"/>
            <w:gridSpan w:val="3"/>
            <w:tcBorders>
              <w:bottom w:val="single" w:sz="4" w:space="0" w:color="auto"/>
            </w:tcBorders>
            <w:vAlign w:val="center"/>
          </w:tcPr>
          <w:p w14:paraId="2E150C29" w14:textId="77777777" w:rsidR="00A22D3A" w:rsidRPr="00FA30C8" w:rsidRDefault="00A22D3A" w:rsidP="00A22D3A">
            <w:pPr>
              <w:rPr>
                <w:rFonts w:cs="Arial"/>
                <w:sz w:val="18"/>
                <w:szCs w:val="18"/>
              </w:rPr>
            </w:pPr>
            <w:r w:rsidRPr="00FA30C8">
              <w:rPr>
                <w:rFonts w:cs="Arial"/>
                <w:sz w:val="18"/>
                <w:szCs w:val="18"/>
              </w:rPr>
              <w:t>Actual amount achieved</w:t>
            </w:r>
          </w:p>
        </w:tc>
        <w:tc>
          <w:tcPr>
            <w:tcW w:w="740" w:type="dxa"/>
            <w:tcBorders>
              <w:bottom w:val="single" w:sz="4" w:space="0" w:color="auto"/>
            </w:tcBorders>
            <w:vAlign w:val="center"/>
          </w:tcPr>
          <w:p w14:paraId="7880441A" w14:textId="77777777" w:rsidR="00A22D3A" w:rsidRPr="00FA30C8" w:rsidRDefault="00A22D3A" w:rsidP="00A22D3A">
            <w:pPr>
              <w:jc w:val="center"/>
              <w:rPr>
                <w:rFonts w:cs="Arial"/>
                <w:sz w:val="18"/>
                <w:szCs w:val="18"/>
              </w:rPr>
            </w:pPr>
            <w:r w:rsidRPr="00FA30C8">
              <w:rPr>
                <w:rFonts w:cs="Arial"/>
                <w:sz w:val="18"/>
                <w:szCs w:val="18"/>
              </w:rPr>
              <w:t>0</w:t>
            </w:r>
          </w:p>
        </w:tc>
        <w:tc>
          <w:tcPr>
            <w:tcW w:w="1473" w:type="dxa"/>
            <w:gridSpan w:val="3"/>
            <w:vMerge/>
            <w:tcBorders>
              <w:bottom w:val="single" w:sz="4" w:space="0" w:color="auto"/>
              <w:right w:val="single" w:sz="4" w:space="0" w:color="auto"/>
            </w:tcBorders>
            <w:vAlign w:val="center"/>
          </w:tcPr>
          <w:p w14:paraId="6BC19706" w14:textId="77777777" w:rsidR="00A22D3A" w:rsidRPr="00FA30C8" w:rsidRDefault="00A22D3A" w:rsidP="00A22D3A">
            <w:pPr>
              <w:rPr>
                <w:rFonts w:cs="Arial"/>
                <w:sz w:val="18"/>
                <w:szCs w:val="18"/>
              </w:rPr>
            </w:pPr>
          </w:p>
        </w:tc>
      </w:tr>
      <w:tr w:rsidR="00A22D3A" w:rsidRPr="00FA30C8" w14:paraId="2964D4B1" w14:textId="77777777" w:rsidTr="00F830D1">
        <w:trPr>
          <w:jc w:val="center"/>
        </w:trPr>
        <w:tc>
          <w:tcPr>
            <w:tcW w:w="12956" w:type="dxa"/>
            <w:gridSpan w:val="16"/>
            <w:tcBorders>
              <w:left w:val="single" w:sz="4" w:space="0" w:color="auto"/>
              <w:right w:val="single" w:sz="4" w:space="0" w:color="auto"/>
            </w:tcBorders>
            <w:shd w:val="clear" w:color="auto" w:fill="B8CCE4" w:themeFill="accent1" w:themeFillTint="66"/>
            <w:vAlign w:val="center"/>
          </w:tcPr>
          <w:p w14:paraId="2C7F441D" w14:textId="77777777" w:rsidR="00A22D3A" w:rsidRPr="00FA30C8" w:rsidRDefault="00A22D3A" w:rsidP="00A22D3A">
            <w:pPr>
              <w:rPr>
                <w:rFonts w:cs="Arial"/>
                <w:b/>
                <w:sz w:val="18"/>
                <w:szCs w:val="18"/>
                <w:highlight w:val="yellow"/>
              </w:rPr>
            </w:pPr>
            <w:r w:rsidRPr="00FA30C8">
              <w:rPr>
                <w:rFonts w:cs="Arial"/>
                <w:b/>
                <w:sz w:val="18"/>
                <w:szCs w:val="18"/>
              </w:rPr>
              <w:t xml:space="preserve">Outcome #2: Business decision making with respect to the key considerations of land use planning and development banking services facilitated </w:t>
            </w:r>
          </w:p>
        </w:tc>
      </w:tr>
      <w:tr w:rsidR="00A22D3A" w:rsidRPr="00FA30C8" w14:paraId="3AF1BB3F" w14:textId="77777777" w:rsidTr="00F830D1">
        <w:trPr>
          <w:jc w:val="center"/>
        </w:trPr>
        <w:tc>
          <w:tcPr>
            <w:tcW w:w="3632" w:type="dxa"/>
            <w:gridSpan w:val="2"/>
            <w:vMerge w:val="restart"/>
            <w:tcBorders>
              <w:left w:val="single" w:sz="4" w:space="0" w:color="auto"/>
            </w:tcBorders>
            <w:shd w:val="clear" w:color="auto" w:fill="auto"/>
            <w:vAlign w:val="center"/>
          </w:tcPr>
          <w:p w14:paraId="1C406112" w14:textId="77777777" w:rsidR="00A22D3A" w:rsidRPr="00FA30C8" w:rsidRDefault="00A22D3A" w:rsidP="00A22D3A">
            <w:pPr>
              <w:rPr>
                <w:rFonts w:cs="Arial"/>
                <w:sz w:val="18"/>
                <w:szCs w:val="18"/>
              </w:rPr>
            </w:pPr>
            <w:r w:rsidRPr="00FA30C8">
              <w:rPr>
                <w:rFonts w:cs="Arial"/>
                <w:sz w:val="18"/>
                <w:szCs w:val="18"/>
              </w:rPr>
              <w:t>Indicator #1: Time required for processing complex applications at Town and Country Planning Development Office (TCPDO)</w:t>
            </w:r>
          </w:p>
        </w:tc>
        <w:tc>
          <w:tcPr>
            <w:tcW w:w="1117" w:type="dxa"/>
            <w:gridSpan w:val="2"/>
            <w:vMerge w:val="restart"/>
            <w:shd w:val="clear" w:color="auto" w:fill="auto"/>
            <w:vAlign w:val="center"/>
          </w:tcPr>
          <w:p w14:paraId="6CD8B00D" w14:textId="77777777" w:rsidR="00A22D3A" w:rsidRPr="00FA30C8" w:rsidRDefault="00A22D3A" w:rsidP="00A22D3A">
            <w:pPr>
              <w:jc w:val="center"/>
              <w:rPr>
                <w:rFonts w:cs="Arial"/>
                <w:sz w:val="18"/>
                <w:szCs w:val="18"/>
              </w:rPr>
            </w:pPr>
            <w:r w:rsidRPr="00FA30C8">
              <w:rPr>
                <w:rFonts w:cs="Arial"/>
                <w:sz w:val="18"/>
                <w:szCs w:val="18"/>
              </w:rPr>
              <w:t>Months</w:t>
            </w:r>
          </w:p>
        </w:tc>
        <w:tc>
          <w:tcPr>
            <w:tcW w:w="1154" w:type="dxa"/>
            <w:gridSpan w:val="2"/>
            <w:vMerge w:val="restart"/>
            <w:shd w:val="clear" w:color="auto" w:fill="auto"/>
            <w:vAlign w:val="center"/>
          </w:tcPr>
          <w:p w14:paraId="4FE6CB9F" w14:textId="77777777" w:rsidR="00A22D3A" w:rsidRPr="00FA30C8" w:rsidRDefault="00A22D3A" w:rsidP="00A22D3A">
            <w:pPr>
              <w:jc w:val="center"/>
              <w:rPr>
                <w:rFonts w:cs="Arial"/>
                <w:sz w:val="18"/>
                <w:szCs w:val="18"/>
              </w:rPr>
            </w:pPr>
            <w:r w:rsidRPr="00FA30C8">
              <w:rPr>
                <w:rFonts w:cs="Arial"/>
                <w:sz w:val="18"/>
                <w:szCs w:val="18"/>
              </w:rPr>
              <w:t>36</w:t>
            </w:r>
          </w:p>
        </w:tc>
        <w:tc>
          <w:tcPr>
            <w:tcW w:w="1039" w:type="dxa"/>
            <w:gridSpan w:val="2"/>
            <w:vMerge w:val="restart"/>
            <w:shd w:val="clear" w:color="auto" w:fill="auto"/>
            <w:vAlign w:val="center"/>
          </w:tcPr>
          <w:p w14:paraId="641E77FD" w14:textId="77777777" w:rsidR="00A22D3A" w:rsidRPr="00FA30C8" w:rsidRDefault="00A22D3A" w:rsidP="00A22D3A">
            <w:pPr>
              <w:jc w:val="center"/>
              <w:rPr>
                <w:rFonts w:cs="Arial"/>
                <w:sz w:val="18"/>
                <w:szCs w:val="18"/>
              </w:rPr>
            </w:pPr>
            <w:r w:rsidRPr="00FA30C8">
              <w:rPr>
                <w:rFonts w:cs="Arial"/>
                <w:sz w:val="18"/>
                <w:szCs w:val="18"/>
              </w:rPr>
              <w:t>2010</w:t>
            </w:r>
          </w:p>
        </w:tc>
        <w:tc>
          <w:tcPr>
            <w:tcW w:w="2304" w:type="dxa"/>
            <w:vMerge w:val="restart"/>
            <w:shd w:val="clear" w:color="auto" w:fill="auto"/>
            <w:vAlign w:val="center"/>
          </w:tcPr>
          <w:p w14:paraId="7FEE0DF5" w14:textId="77777777" w:rsidR="00A22D3A" w:rsidRPr="00FA30C8" w:rsidRDefault="00A22D3A" w:rsidP="00A22D3A">
            <w:pPr>
              <w:rPr>
                <w:rFonts w:cs="Arial"/>
                <w:sz w:val="18"/>
                <w:szCs w:val="18"/>
              </w:rPr>
            </w:pPr>
            <w:r w:rsidRPr="00FA30C8">
              <w:rPr>
                <w:rFonts w:cs="Arial"/>
                <w:sz w:val="18"/>
                <w:szCs w:val="18"/>
              </w:rPr>
              <w:t>TCDPO records</w:t>
            </w:r>
          </w:p>
        </w:tc>
        <w:tc>
          <w:tcPr>
            <w:tcW w:w="1497" w:type="dxa"/>
            <w:gridSpan w:val="3"/>
            <w:shd w:val="clear" w:color="auto" w:fill="auto"/>
            <w:vAlign w:val="center"/>
          </w:tcPr>
          <w:p w14:paraId="6A9A632B" w14:textId="77777777" w:rsidR="00A22D3A" w:rsidRPr="00FA30C8" w:rsidRDefault="00A22D3A" w:rsidP="00A22D3A">
            <w:pPr>
              <w:rPr>
                <w:rFonts w:cs="Arial"/>
                <w:sz w:val="18"/>
                <w:szCs w:val="18"/>
              </w:rPr>
            </w:pPr>
            <w:r w:rsidRPr="00FA30C8">
              <w:rPr>
                <w:rFonts w:cs="Arial"/>
                <w:sz w:val="18"/>
                <w:szCs w:val="18"/>
              </w:rPr>
              <w:t>Original Target value</w:t>
            </w:r>
          </w:p>
        </w:tc>
        <w:tc>
          <w:tcPr>
            <w:tcW w:w="740" w:type="dxa"/>
            <w:shd w:val="clear" w:color="auto" w:fill="auto"/>
            <w:vAlign w:val="center"/>
          </w:tcPr>
          <w:p w14:paraId="3FDB4981" w14:textId="77777777" w:rsidR="00A22D3A" w:rsidRPr="00FA30C8" w:rsidRDefault="00A22D3A" w:rsidP="00A22D3A">
            <w:pPr>
              <w:jc w:val="center"/>
              <w:rPr>
                <w:rFonts w:cs="Arial"/>
                <w:sz w:val="18"/>
                <w:szCs w:val="18"/>
              </w:rPr>
            </w:pPr>
            <w:r w:rsidRPr="00FA30C8">
              <w:rPr>
                <w:rFonts w:cs="Arial"/>
                <w:sz w:val="18"/>
                <w:szCs w:val="18"/>
              </w:rPr>
              <w:t>32</w:t>
            </w:r>
          </w:p>
        </w:tc>
        <w:tc>
          <w:tcPr>
            <w:tcW w:w="1473" w:type="dxa"/>
            <w:gridSpan w:val="3"/>
            <w:vMerge w:val="restart"/>
            <w:tcBorders>
              <w:right w:val="single" w:sz="4" w:space="0" w:color="auto"/>
            </w:tcBorders>
            <w:shd w:val="clear" w:color="auto" w:fill="auto"/>
            <w:vAlign w:val="center"/>
          </w:tcPr>
          <w:p w14:paraId="5A9FAE62" w14:textId="77777777" w:rsidR="00A22D3A" w:rsidRPr="00FA30C8" w:rsidRDefault="00A22D3A" w:rsidP="00A22D3A">
            <w:pPr>
              <w:rPr>
                <w:rFonts w:cs="Arial"/>
                <w:sz w:val="18"/>
                <w:szCs w:val="18"/>
              </w:rPr>
            </w:pPr>
          </w:p>
        </w:tc>
      </w:tr>
      <w:tr w:rsidR="00A22D3A" w:rsidRPr="00FA30C8" w14:paraId="123F5276" w14:textId="77777777" w:rsidTr="00F830D1">
        <w:trPr>
          <w:jc w:val="center"/>
        </w:trPr>
        <w:tc>
          <w:tcPr>
            <w:tcW w:w="3632" w:type="dxa"/>
            <w:gridSpan w:val="2"/>
            <w:vMerge/>
            <w:tcBorders>
              <w:left w:val="single" w:sz="4" w:space="0" w:color="auto"/>
            </w:tcBorders>
            <w:shd w:val="clear" w:color="auto" w:fill="D9D9D9" w:themeFill="background1" w:themeFillShade="D9"/>
            <w:vAlign w:val="center"/>
          </w:tcPr>
          <w:p w14:paraId="66A92AF6" w14:textId="77777777" w:rsidR="00A22D3A" w:rsidRPr="00FA30C8" w:rsidRDefault="00A22D3A" w:rsidP="00A22D3A">
            <w:pPr>
              <w:rPr>
                <w:rFonts w:cs="Arial"/>
                <w:sz w:val="18"/>
                <w:szCs w:val="18"/>
              </w:rPr>
            </w:pPr>
          </w:p>
        </w:tc>
        <w:tc>
          <w:tcPr>
            <w:tcW w:w="1117" w:type="dxa"/>
            <w:gridSpan w:val="2"/>
            <w:vMerge/>
            <w:shd w:val="clear" w:color="auto" w:fill="D9D9D9" w:themeFill="background1" w:themeFillShade="D9"/>
            <w:vAlign w:val="center"/>
          </w:tcPr>
          <w:p w14:paraId="02E21FB9" w14:textId="77777777" w:rsidR="00A22D3A" w:rsidRPr="00FA30C8" w:rsidRDefault="00A22D3A" w:rsidP="00A22D3A">
            <w:pPr>
              <w:rPr>
                <w:rFonts w:cs="Arial"/>
                <w:sz w:val="18"/>
                <w:szCs w:val="18"/>
              </w:rPr>
            </w:pPr>
          </w:p>
        </w:tc>
        <w:tc>
          <w:tcPr>
            <w:tcW w:w="1154" w:type="dxa"/>
            <w:gridSpan w:val="2"/>
            <w:vMerge/>
            <w:shd w:val="clear" w:color="auto" w:fill="D9D9D9" w:themeFill="background1" w:themeFillShade="D9"/>
            <w:vAlign w:val="center"/>
          </w:tcPr>
          <w:p w14:paraId="37E7B574" w14:textId="77777777" w:rsidR="00A22D3A" w:rsidRPr="00FA30C8" w:rsidRDefault="00A22D3A" w:rsidP="00A22D3A">
            <w:pPr>
              <w:rPr>
                <w:rFonts w:cs="Arial"/>
                <w:sz w:val="18"/>
                <w:szCs w:val="18"/>
              </w:rPr>
            </w:pPr>
          </w:p>
        </w:tc>
        <w:tc>
          <w:tcPr>
            <w:tcW w:w="1039" w:type="dxa"/>
            <w:gridSpan w:val="2"/>
            <w:vMerge/>
            <w:shd w:val="clear" w:color="auto" w:fill="D9D9D9" w:themeFill="background1" w:themeFillShade="D9"/>
            <w:vAlign w:val="center"/>
          </w:tcPr>
          <w:p w14:paraId="4F28F44A" w14:textId="77777777" w:rsidR="00A22D3A" w:rsidRPr="00FA30C8" w:rsidRDefault="00A22D3A" w:rsidP="00A22D3A">
            <w:pPr>
              <w:rPr>
                <w:rFonts w:cs="Arial"/>
                <w:sz w:val="18"/>
                <w:szCs w:val="18"/>
              </w:rPr>
            </w:pPr>
          </w:p>
        </w:tc>
        <w:tc>
          <w:tcPr>
            <w:tcW w:w="2304" w:type="dxa"/>
            <w:vMerge/>
            <w:shd w:val="clear" w:color="auto" w:fill="D9D9D9" w:themeFill="background1" w:themeFillShade="D9"/>
            <w:vAlign w:val="center"/>
          </w:tcPr>
          <w:p w14:paraId="7130A0DC" w14:textId="77777777" w:rsidR="00A22D3A" w:rsidRPr="00FA30C8" w:rsidRDefault="00A22D3A" w:rsidP="00A22D3A">
            <w:pPr>
              <w:rPr>
                <w:rFonts w:cs="Arial"/>
                <w:sz w:val="18"/>
                <w:szCs w:val="18"/>
              </w:rPr>
            </w:pPr>
          </w:p>
        </w:tc>
        <w:tc>
          <w:tcPr>
            <w:tcW w:w="1497" w:type="dxa"/>
            <w:gridSpan w:val="3"/>
            <w:shd w:val="clear" w:color="auto" w:fill="auto"/>
            <w:vAlign w:val="center"/>
          </w:tcPr>
          <w:p w14:paraId="7197F9ED" w14:textId="77777777" w:rsidR="00A22D3A" w:rsidRPr="00FA30C8" w:rsidRDefault="00A22D3A" w:rsidP="00A22D3A">
            <w:pPr>
              <w:rPr>
                <w:rFonts w:cs="Arial"/>
                <w:sz w:val="18"/>
                <w:szCs w:val="18"/>
              </w:rPr>
            </w:pPr>
            <w:r w:rsidRPr="00FA30C8">
              <w:rPr>
                <w:rFonts w:cs="Arial"/>
                <w:sz w:val="18"/>
                <w:szCs w:val="18"/>
              </w:rPr>
              <w:t>Revised target value</w:t>
            </w:r>
          </w:p>
        </w:tc>
        <w:tc>
          <w:tcPr>
            <w:tcW w:w="740" w:type="dxa"/>
            <w:shd w:val="clear" w:color="auto" w:fill="auto"/>
            <w:vAlign w:val="center"/>
          </w:tcPr>
          <w:p w14:paraId="6E5BE96A" w14:textId="77777777" w:rsidR="00A22D3A" w:rsidRPr="00FA30C8" w:rsidRDefault="00A22D3A" w:rsidP="00A22D3A">
            <w:pPr>
              <w:jc w:val="center"/>
              <w:rPr>
                <w:rFonts w:cs="Arial"/>
                <w:sz w:val="18"/>
                <w:szCs w:val="18"/>
              </w:rPr>
            </w:pPr>
            <w:r w:rsidRPr="00FA30C8">
              <w:rPr>
                <w:rFonts w:cs="Arial"/>
                <w:sz w:val="18"/>
                <w:szCs w:val="18"/>
              </w:rPr>
              <w:t>-</w:t>
            </w:r>
          </w:p>
        </w:tc>
        <w:tc>
          <w:tcPr>
            <w:tcW w:w="1473" w:type="dxa"/>
            <w:gridSpan w:val="3"/>
            <w:vMerge/>
            <w:tcBorders>
              <w:right w:val="single" w:sz="4" w:space="0" w:color="auto"/>
            </w:tcBorders>
            <w:vAlign w:val="center"/>
          </w:tcPr>
          <w:p w14:paraId="57166C23" w14:textId="77777777" w:rsidR="00A22D3A" w:rsidRPr="00FA30C8" w:rsidRDefault="00A22D3A" w:rsidP="00A22D3A">
            <w:pPr>
              <w:rPr>
                <w:rFonts w:cs="Arial"/>
                <w:sz w:val="18"/>
                <w:szCs w:val="18"/>
              </w:rPr>
            </w:pPr>
          </w:p>
        </w:tc>
      </w:tr>
      <w:tr w:rsidR="00A22D3A" w:rsidRPr="00FA30C8" w14:paraId="7667311A" w14:textId="77777777" w:rsidTr="00F830D1">
        <w:trPr>
          <w:jc w:val="center"/>
        </w:trPr>
        <w:tc>
          <w:tcPr>
            <w:tcW w:w="3632" w:type="dxa"/>
            <w:gridSpan w:val="2"/>
            <w:vMerge/>
            <w:tcBorders>
              <w:left w:val="single" w:sz="4" w:space="0" w:color="auto"/>
              <w:bottom w:val="single" w:sz="4" w:space="0" w:color="auto"/>
            </w:tcBorders>
            <w:vAlign w:val="center"/>
          </w:tcPr>
          <w:p w14:paraId="224B20E2" w14:textId="77777777" w:rsidR="00A22D3A" w:rsidRPr="00FA30C8" w:rsidRDefault="00A22D3A" w:rsidP="00A22D3A">
            <w:pPr>
              <w:rPr>
                <w:rFonts w:cs="Arial"/>
                <w:sz w:val="18"/>
                <w:szCs w:val="18"/>
              </w:rPr>
            </w:pPr>
          </w:p>
        </w:tc>
        <w:tc>
          <w:tcPr>
            <w:tcW w:w="1117" w:type="dxa"/>
            <w:gridSpan w:val="2"/>
            <w:vMerge/>
            <w:tcBorders>
              <w:bottom w:val="single" w:sz="4" w:space="0" w:color="auto"/>
            </w:tcBorders>
            <w:vAlign w:val="center"/>
          </w:tcPr>
          <w:p w14:paraId="3739316E" w14:textId="77777777" w:rsidR="00A22D3A" w:rsidRPr="00FA30C8" w:rsidRDefault="00A22D3A" w:rsidP="00A22D3A">
            <w:pPr>
              <w:rPr>
                <w:rFonts w:cs="Arial"/>
                <w:sz w:val="18"/>
                <w:szCs w:val="18"/>
              </w:rPr>
            </w:pPr>
          </w:p>
        </w:tc>
        <w:tc>
          <w:tcPr>
            <w:tcW w:w="1154" w:type="dxa"/>
            <w:gridSpan w:val="2"/>
            <w:vMerge/>
            <w:tcBorders>
              <w:bottom w:val="single" w:sz="4" w:space="0" w:color="auto"/>
            </w:tcBorders>
            <w:vAlign w:val="center"/>
          </w:tcPr>
          <w:p w14:paraId="282A0CB3" w14:textId="77777777" w:rsidR="00A22D3A" w:rsidRPr="00FA30C8" w:rsidRDefault="00A22D3A" w:rsidP="00A22D3A">
            <w:pPr>
              <w:rPr>
                <w:rFonts w:cs="Arial"/>
                <w:sz w:val="18"/>
                <w:szCs w:val="18"/>
              </w:rPr>
            </w:pPr>
          </w:p>
        </w:tc>
        <w:tc>
          <w:tcPr>
            <w:tcW w:w="1039" w:type="dxa"/>
            <w:gridSpan w:val="2"/>
            <w:vMerge/>
            <w:tcBorders>
              <w:bottom w:val="single" w:sz="4" w:space="0" w:color="auto"/>
            </w:tcBorders>
            <w:vAlign w:val="center"/>
          </w:tcPr>
          <w:p w14:paraId="7035EA4B" w14:textId="77777777" w:rsidR="00A22D3A" w:rsidRPr="00FA30C8" w:rsidRDefault="00A22D3A" w:rsidP="00A22D3A">
            <w:pPr>
              <w:rPr>
                <w:rFonts w:cs="Arial"/>
                <w:sz w:val="18"/>
                <w:szCs w:val="18"/>
              </w:rPr>
            </w:pPr>
          </w:p>
        </w:tc>
        <w:tc>
          <w:tcPr>
            <w:tcW w:w="2304" w:type="dxa"/>
            <w:vMerge/>
            <w:tcBorders>
              <w:bottom w:val="single" w:sz="4" w:space="0" w:color="auto"/>
            </w:tcBorders>
            <w:vAlign w:val="center"/>
          </w:tcPr>
          <w:p w14:paraId="5F6A3315" w14:textId="77777777" w:rsidR="00A22D3A" w:rsidRPr="00FA30C8" w:rsidRDefault="00A22D3A" w:rsidP="00A22D3A">
            <w:pPr>
              <w:rPr>
                <w:rFonts w:cs="Arial"/>
                <w:sz w:val="18"/>
                <w:szCs w:val="18"/>
              </w:rPr>
            </w:pPr>
          </w:p>
        </w:tc>
        <w:tc>
          <w:tcPr>
            <w:tcW w:w="1497" w:type="dxa"/>
            <w:gridSpan w:val="3"/>
            <w:tcBorders>
              <w:bottom w:val="single" w:sz="4" w:space="0" w:color="auto"/>
            </w:tcBorders>
            <w:shd w:val="clear" w:color="auto" w:fill="auto"/>
            <w:vAlign w:val="center"/>
          </w:tcPr>
          <w:p w14:paraId="0836A5F1" w14:textId="77777777" w:rsidR="00A22D3A" w:rsidRPr="00FA30C8" w:rsidRDefault="00A22D3A" w:rsidP="00A22D3A">
            <w:pPr>
              <w:rPr>
                <w:rFonts w:cs="Arial"/>
                <w:sz w:val="18"/>
                <w:szCs w:val="18"/>
              </w:rPr>
            </w:pPr>
            <w:r w:rsidRPr="00FA30C8">
              <w:rPr>
                <w:rFonts w:cs="Arial"/>
                <w:sz w:val="18"/>
                <w:szCs w:val="18"/>
              </w:rPr>
              <w:t>Actual amount achieved</w:t>
            </w:r>
          </w:p>
        </w:tc>
        <w:tc>
          <w:tcPr>
            <w:tcW w:w="740" w:type="dxa"/>
            <w:tcBorders>
              <w:bottom w:val="single" w:sz="4" w:space="0" w:color="auto"/>
            </w:tcBorders>
            <w:shd w:val="clear" w:color="auto" w:fill="auto"/>
            <w:vAlign w:val="center"/>
          </w:tcPr>
          <w:p w14:paraId="3388C4F3" w14:textId="77777777" w:rsidR="00A22D3A" w:rsidRPr="00FA30C8" w:rsidRDefault="00A22D3A" w:rsidP="00A22D3A">
            <w:pPr>
              <w:jc w:val="center"/>
              <w:rPr>
                <w:rFonts w:cs="Arial"/>
                <w:sz w:val="18"/>
                <w:szCs w:val="18"/>
              </w:rPr>
            </w:pPr>
            <w:r w:rsidRPr="00FA30C8">
              <w:rPr>
                <w:rFonts w:cs="Arial"/>
                <w:sz w:val="18"/>
                <w:szCs w:val="18"/>
              </w:rPr>
              <w:t>0</w:t>
            </w:r>
          </w:p>
        </w:tc>
        <w:tc>
          <w:tcPr>
            <w:tcW w:w="1473" w:type="dxa"/>
            <w:gridSpan w:val="3"/>
            <w:vMerge/>
            <w:tcBorders>
              <w:bottom w:val="single" w:sz="4" w:space="0" w:color="auto"/>
              <w:right w:val="single" w:sz="4" w:space="0" w:color="auto"/>
            </w:tcBorders>
            <w:vAlign w:val="center"/>
          </w:tcPr>
          <w:p w14:paraId="20F8732C" w14:textId="77777777" w:rsidR="00A22D3A" w:rsidRPr="00FA30C8" w:rsidRDefault="00A22D3A" w:rsidP="00A22D3A">
            <w:pPr>
              <w:rPr>
                <w:rFonts w:cs="Arial"/>
                <w:sz w:val="18"/>
                <w:szCs w:val="18"/>
              </w:rPr>
            </w:pPr>
          </w:p>
        </w:tc>
      </w:tr>
      <w:tr w:rsidR="00A22D3A" w:rsidRPr="00FA30C8" w14:paraId="27EC56E1" w14:textId="77777777" w:rsidTr="00F830D1">
        <w:trPr>
          <w:jc w:val="center"/>
        </w:trPr>
        <w:tc>
          <w:tcPr>
            <w:tcW w:w="12956" w:type="dxa"/>
            <w:gridSpan w:val="16"/>
            <w:tcBorders>
              <w:left w:val="single" w:sz="4" w:space="0" w:color="auto"/>
              <w:right w:val="single" w:sz="4" w:space="0" w:color="auto"/>
            </w:tcBorders>
            <w:shd w:val="clear" w:color="auto" w:fill="DBE5F1" w:themeFill="accent1" w:themeFillTint="33"/>
            <w:vAlign w:val="center"/>
          </w:tcPr>
          <w:p w14:paraId="6FD3B5A4" w14:textId="77777777" w:rsidR="00A22D3A" w:rsidRPr="00FA30C8" w:rsidRDefault="00A22D3A" w:rsidP="00A22D3A">
            <w:pPr>
              <w:rPr>
                <w:rFonts w:cs="Arial"/>
                <w:b/>
                <w:sz w:val="18"/>
                <w:szCs w:val="18"/>
              </w:rPr>
            </w:pPr>
            <w:r w:rsidRPr="00FA30C8">
              <w:rPr>
                <w:rFonts w:cs="Arial"/>
                <w:b/>
                <w:sz w:val="18"/>
                <w:szCs w:val="18"/>
              </w:rPr>
              <w:t>Outcome #3: Time required by private sector to comply with trade data requirements reduced; volume of total customs declarations increased</w:t>
            </w:r>
          </w:p>
        </w:tc>
      </w:tr>
      <w:tr w:rsidR="00A22D3A" w:rsidRPr="00FA30C8" w14:paraId="45D9BD71" w14:textId="77777777" w:rsidTr="00F830D1">
        <w:trPr>
          <w:jc w:val="center"/>
        </w:trPr>
        <w:tc>
          <w:tcPr>
            <w:tcW w:w="3632" w:type="dxa"/>
            <w:gridSpan w:val="2"/>
            <w:vMerge w:val="restart"/>
            <w:tcBorders>
              <w:left w:val="single" w:sz="4" w:space="0" w:color="auto"/>
            </w:tcBorders>
            <w:vAlign w:val="center"/>
          </w:tcPr>
          <w:p w14:paraId="30CDCAC8" w14:textId="77777777" w:rsidR="00A22D3A" w:rsidRPr="00FA30C8" w:rsidRDefault="00A22D3A" w:rsidP="00A22D3A">
            <w:pPr>
              <w:rPr>
                <w:rFonts w:cs="Arial"/>
                <w:sz w:val="18"/>
                <w:szCs w:val="18"/>
              </w:rPr>
            </w:pPr>
            <w:r w:rsidRPr="00FA30C8">
              <w:rPr>
                <w:rFonts w:cs="Arial"/>
                <w:sz w:val="18"/>
                <w:szCs w:val="18"/>
              </w:rPr>
              <w:t>Indicator #1: Service Based Plan for the CEF</w:t>
            </w:r>
          </w:p>
        </w:tc>
        <w:tc>
          <w:tcPr>
            <w:tcW w:w="1117" w:type="dxa"/>
            <w:gridSpan w:val="2"/>
            <w:vMerge w:val="restart"/>
            <w:vAlign w:val="center"/>
          </w:tcPr>
          <w:p w14:paraId="61E93AB6" w14:textId="77777777" w:rsidR="00A22D3A" w:rsidRPr="00FA30C8" w:rsidRDefault="00A22D3A" w:rsidP="00A22D3A">
            <w:pPr>
              <w:jc w:val="center"/>
              <w:rPr>
                <w:rFonts w:cs="Arial"/>
                <w:sz w:val="18"/>
                <w:szCs w:val="18"/>
              </w:rPr>
            </w:pPr>
            <w:r w:rsidRPr="00FA30C8">
              <w:rPr>
                <w:rFonts w:cs="Arial"/>
                <w:sz w:val="18"/>
                <w:szCs w:val="18"/>
              </w:rPr>
              <w:t>Certificate</w:t>
            </w:r>
          </w:p>
        </w:tc>
        <w:tc>
          <w:tcPr>
            <w:tcW w:w="1154" w:type="dxa"/>
            <w:gridSpan w:val="2"/>
            <w:vMerge w:val="restart"/>
            <w:vAlign w:val="center"/>
          </w:tcPr>
          <w:p w14:paraId="4B7E5313" w14:textId="77777777" w:rsidR="00A22D3A" w:rsidRPr="00FA30C8" w:rsidRDefault="00A22D3A" w:rsidP="00A22D3A">
            <w:pPr>
              <w:jc w:val="center"/>
              <w:rPr>
                <w:rFonts w:cs="Arial"/>
                <w:sz w:val="18"/>
                <w:szCs w:val="18"/>
              </w:rPr>
            </w:pPr>
            <w:r w:rsidRPr="00FA30C8">
              <w:rPr>
                <w:rFonts w:cs="Arial"/>
                <w:sz w:val="18"/>
                <w:szCs w:val="18"/>
              </w:rPr>
              <w:t>0</w:t>
            </w:r>
          </w:p>
        </w:tc>
        <w:tc>
          <w:tcPr>
            <w:tcW w:w="1039" w:type="dxa"/>
            <w:gridSpan w:val="2"/>
            <w:vMerge w:val="restart"/>
            <w:vAlign w:val="center"/>
          </w:tcPr>
          <w:p w14:paraId="4845DC83" w14:textId="77777777" w:rsidR="00A22D3A" w:rsidRPr="00FA30C8" w:rsidRDefault="00A22D3A" w:rsidP="00A22D3A">
            <w:pPr>
              <w:jc w:val="center"/>
              <w:rPr>
                <w:rFonts w:cs="Arial"/>
                <w:sz w:val="18"/>
                <w:szCs w:val="18"/>
              </w:rPr>
            </w:pPr>
            <w:r w:rsidRPr="00FA30C8">
              <w:rPr>
                <w:rFonts w:cs="Arial"/>
                <w:sz w:val="18"/>
                <w:szCs w:val="18"/>
              </w:rPr>
              <w:t>2010</w:t>
            </w:r>
          </w:p>
        </w:tc>
        <w:tc>
          <w:tcPr>
            <w:tcW w:w="2304" w:type="dxa"/>
            <w:vMerge w:val="restart"/>
            <w:vAlign w:val="center"/>
          </w:tcPr>
          <w:p w14:paraId="3B297AE9" w14:textId="77777777" w:rsidR="00A22D3A" w:rsidRPr="00FA30C8" w:rsidRDefault="00A22D3A" w:rsidP="00A22D3A">
            <w:pPr>
              <w:rPr>
                <w:rFonts w:cs="Arial"/>
                <w:sz w:val="18"/>
                <w:szCs w:val="18"/>
              </w:rPr>
            </w:pPr>
            <w:r w:rsidRPr="00FA30C8">
              <w:rPr>
                <w:rFonts w:cs="Arial"/>
                <w:sz w:val="18"/>
                <w:szCs w:val="18"/>
              </w:rPr>
              <w:t>Certification of implementation of the Service Based Plan based on audit of agencies participating in the CEF verifying compliance with provisions of Service Based Plan</w:t>
            </w:r>
          </w:p>
        </w:tc>
        <w:tc>
          <w:tcPr>
            <w:tcW w:w="1497" w:type="dxa"/>
            <w:gridSpan w:val="3"/>
            <w:vAlign w:val="center"/>
          </w:tcPr>
          <w:p w14:paraId="415D1702" w14:textId="77777777" w:rsidR="00A22D3A" w:rsidRPr="00FA30C8" w:rsidRDefault="00A22D3A" w:rsidP="00A22D3A">
            <w:pPr>
              <w:rPr>
                <w:rFonts w:cs="Arial"/>
                <w:sz w:val="18"/>
                <w:szCs w:val="18"/>
              </w:rPr>
            </w:pPr>
            <w:r w:rsidRPr="00FA30C8">
              <w:rPr>
                <w:rFonts w:cs="Arial"/>
                <w:sz w:val="18"/>
                <w:szCs w:val="18"/>
              </w:rPr>
              <w:t>Original Target value</w:t>
            </w:r>
          </w:p>
        </w:tc>
        <w:tc>
          <w:tcPr>
            <w:tcW w:w="740" w:type="dxa"/>
            <w:vAlign w:val="center"/>
          </w:tcPr>
          <w:p w14:paraId="2B4883D1" w14:textId="77777777" w:rsidR="00A22D3A" w:rsidRPr="00FA30C8" w:rsidRDefault="00A22D3A" w:rsidP="00A22D3A">
            <w:pPr>
              <w:jc w:val="center"/>
              <w:rPr>
                <w:rFonts w:cs="Arial"/>
                <w:sz w:val="18"/>
                <w:szCs w:val="18"/>
              </w:rPr>
            </w:pPr>
            <w:r w:rsidRPr="00FA30C8">
              <w:rPr>
                <w:rFonts w:cs="Arial"/>
                <w:sz w:val="18"/>
                <w:szCs w:val="18"/>
              </w:rPr>
              <w:t>1</w:t>
            </w:r>
          </w:p>
        </w:tc>
        <w:tc>
          <w:tcPr>
            <w:tcW w:w="1473" w:type="dxa"/>
            <w:gridSpan w:val="3"/>
            <w:vMerge w:val="restart"/>
            <w:tcBorders>
              <w:right w:val="single" w:sz="4" w:space="0" w:color="auto"/>
            </w:tcBorders>
            <w:vAlign w:val="center"/>
          </w:tcPr>
          <w:p w14:paraId="17F5A578" w14:textId="0A7596D9" w:rsidR="00A22D3A" w:rsidRPr="00FA30C8" w:rsidRDefault="00A22D3A" w:rsidP="00262E06">
            <w:pPr>
              <w:jc w:val="center"/>
              <w:rPr>
                <w:rFonts w:cs="Arial"/>
                <w:sz w:val="18"/>
                <w:szCs w:val="18"/>
              </w:rPr>
            </w:pPr>
          </w:p>
        </w:tc>
      </w:tr>
      <w:tr w:rsidR="00A22D3A" w:rsidRPr="00FA30C8" w14:paraId="594347D3" w14:textId="77777777" w:rsidTr="00F830D1">
        <w:trPr>
          <w:jc w:val="center"/>
        </w:trPr>
        <w:tc>
          <w:tcPr>
            <w:tcW w:w="3632" w:type="dxa"/>
            <w:gridSpan w:val="2"/>
            <w:vMerge/>
            <w:tcBorders>
              <w:left w:val="single" w:sz="4" w:space="0" w:color="auto"/>
            </w:tcBorders>
            <w:vAlign w:val="center"/>
          </w:tcPr>
          <w:p w14:paraId="4D457184" w14:textId="77777777" w:rsidR="00A22D3A" w:rsidRPr="00FA30C8" w:rsidRDefault="00A22D3A" w:rsidP="00A22D3A">
            <w:pPr>
              <w:rPr>
                <w:rFonts w:cs="Arial"/>
                <w:sz w:val="18"/>
                <w:szCs w:val="18"/>
              </w:rPr>
            </w:pPr>
          </w:p>
        </w:tc>
        <w:tc>
          <w:tcPr>
            <w:tcW w:w="1117" w:type="dxa"/>
            <w:gridSpan w:val="2"/>
            <w:vMerge/>
            <w:vAlign w:val="center"/>
          </w:tcPr>
          <w:p w14:paraId="7C20AA25" w14:textId="77777777" w:rsidR="00A22D3A" w:rsidRPr="00FA30C8" w:rsidRDefault="00A22D3A" w:rsidP="00A22D3A">
            <w:pPr>
              <w:jc w:val="center"/>
              <w:rPr>
                <w:rFonts w:cs="Arial"/>
                <w:sz w:val="18"/>
                <w:szCs w:val="18"/>
              </w:rPr>
            </w:pPr>
          </w:p>
        </w:tc>
        <w:tc>
          <w:tcPr>
            <w:tcW w:w="1154" w:type="dxa"/>
            <w:gridSpan w:val="2"/>
            <w:vMerge/>
            <w:vAlign w:val="center"/>
          </w:tcPr>
          <w:p w14:paraId="0C2C3B71" w14:textId="77777777" w:rsidR="00A22D3A" w:rsidRPr="00FA30C8" w:rsidRDefault="00A22D3A" w:rsidP="00A22D3A">
            <w:pPr>
              <w:jc w:val="center"/>
              <w:rPr>
                <w:rFonts w:cs="Arial"/>
                <w:sz w:val="18"/>
                <w:szCs w:val="18"/>
              </w:rPr>
            </w:pPr>
          </w:p>
        </w:tc>
        <w:tc>
          <w:tcPr>
            <w:tcW w:w="1039" w:type="dxa"/>
            <w:gridSpan w:val="2"/>
            <w:vMerge/>
            <w:vAlign w:val="center"/>
          </w:tcPr>
          <w:p w14:paraId="17F1040B" w14:textId="77777777" w:rsidR="00A22D3A" w:rsidRPr="00FA30C8" w:rsidRDefault="00A22D3A" w:rsidP="00A22D3A">
            <w:pPr>
              <w:jc w:val="center"/>
              <w:rPr>
                <w:rFonts w:cs="Arial"/>
                <w:sz w:val="18"/>
                <w:szCs w:val="18"/>
              </w:rPr>
            </w:pPr>
          </w:p>
        </w:tc>
        <w:tc>
          <w:tcPr>
            <w:tcW w:w="2304" w:type="dxa"/>
            <w:vMerge/>
            <w:vAlign w:val="center"/>
          </w:tcPr>
          <w:p w14:paraId="1434D0FF" w14:textId="77777777" w:rsidR="00A22D3A" w:rsidRPr="00FA30C8" w:rsidRDefault="00A22D3A" w:rsidP="00A22D3A">
            <w:pPr>
              <w:rPr>
                <w:rFonts w:cs="Arial"/>
                <w:sz w:val="18"/>
                <w:szCs w:val="18"/>
              </w:rPr>
            </w:pPr>
          </w:p>
        </w:tc>
        <w:tc>
          <w:tcPr>
            <w:tcW w:w="1497" w:type="dxa"/>
            <w:gridSpan w:val="3"/>
            <w:vAlign w:val="center"/>
          </w:tcPr>
          <w:p w14:paraId="4942868D" w14:textId="77777777" w:rsidR="00A22D3A" w:rsidRPr="00FA30C8" w:rsidRDefault="00A22D3A" w:rsidP="00A22D3A">
            <w:pPr>
              <w:rPr>
                <w:rFonts w:cs="Arial"/>
                <w:sz w:val="18"/>
                <w:szCs w:val="18"/>
              </w:rPr>
            </w:pPr>
            <w:r w:rsidRPr="00FA30C8">
              <w:rPr>
                <w:rFonts w:cs="Arial"/>
                <w:sz w:val="18"/>
                <w:szCs w:val="18"/>
              </w:rPr>
              <w:t>Revised target value</w:t>
            </w:r>
          </w:p>
        </w:tc>
        <w:tc>
          <w:tcPr>
            <w:tcW w:w="740" w:type="dxa"/>
            <w:vAlign w:val="center"/>
          </w:tcPr>
          <w:p w14:paraId="1830A6BE" w14:textId="77777777" w:rsidR="00A22D3A" w:rsidRPr="00FA30C8" w:rsidRDefault="00A22D3A" w:rsidP="00A22D3A">
            <w:pPr>
              <w:jc w:val="center"/>
              <w:rPr>
                <w:rFonts w:cs="Arial"/>
                <w:sz w:val="18"/>
                <w:szCs w:val="18"/>
              </w:rPr>
            </w:pPr>
            <w:r w:rsidRPr="00FA30C8">
              <w:rPr>
                <w:rFonts w:cs="Arial"/>
                <w:sz w:val="18"/>
                <w:szCs w:val="18"/>
              </w:rPr>
              <w:t>-</w:t>
            </w:r>
          </w:p>
        </w:tc>
        <w:tc>
          <w:tcPr>
            <w:tcW w:w="1473" w:type="dxa"/>
            <w:gridSpan w:val="3"/>
            <w:vMerge/>
            <w:tcBorders>
              <w:right w:val="single" w:sz="4" w:space="0" w:color="auto"/>
            </w:tcBorders>
            <w:vAlign w:val="center"/>
          </w:tcPr>
          <w:p w14:paraId="1D79807F" w14:textId="77777777" w:rsidR="00A22D3A" w:rsidRPr="00FA30C8" w:rsidRDefault="00A22D3A" w:rsidP="00A22D3A">
            <w:pPr>
              <w:rPr>
                <w:rFonts w:cs="Arial"/>
                <w:sz w:val="18"/>
                <w:szCs w:val="18"/>
              </w:rPr>
            </w:pPr>
          </w:p>
        </w:tc>
      </w:tr>
      <w:tr w:rsidR="00A22D3A" w:rsidRPr="00FA30C8" w14:paraId="3ECCB9B3" w14:textId="77777777" w:rsidTr="00F830D1">
        <w:trPr>
          <w:jc w:val="center"/>
        </w:trPr>
        <w:tc>
          <w:tcPr>
            <w:tcW w:w="3632" w:type="dxa"/>
            <w:gridSpan w:val="2"/>
            <w:vMerge/>
            <w:tcBorders>
              <w:left w:val="single" w:sz="4" w:space="0" w:color="auto"/>
              <w:bottom w:val="single" w:sz="4" w:space="0" w:color="auto"/>
            </w:tcBorders>
            <w:vAlign w:val="center"/>
          </w:tcPr>
          <w:p w14:paraId="052752A1" w14:textId="77777777" w:rsidR="00A22D3A" w:rsidRPr="00FA30C8" w:rsidRDefault="00A22D3A" w:rsidP="00A22D3A">
            <w:pPr>
              <w:rPr>
                <w:rFonts w:cs="Arial"/>
                <w:sz w:val="18"/>
                <w:szCs w:val="18"/>
              </w:rPr>
            </w:pPr>
          </w:p>
        </w:tc>
        <w:tc>
          <w:tcPr>
            <w:tcW w:w="1117" w:type="dxa"/>
            <w:gridSpan w:val="2"/>
            <w:vMerge/>
            <w:tcBorders>
              <w:bottom w:val="single" w:sz="4" w:space="0" w:color="auto"/>
            </w:tcBorders>
            <w:vAlign w:val="center"/>
          </w:tcPr>
          <w:p w14:paraId="5099B052" w14:textId="77777777" w:rsidR="00A22D3A" w:rsidRPr="00FA30C8" w:rsidRDefault="00A22D3A" w:rsidP="00A22D3A">
            <w:pPr>
              <w:jc w:val="center"/>
              <w:rPr>
                <w:rFonts w:cs="Arial"/>
                <w:sz w:val="18"/>
                <w:szCs w:val="18"/>
              </w:rPr>
            </w:pPr>
          </w:p>
        </w:tc>
        <w:tc>
          <w:tcPr>
            <w:tcW w:w="1154" w:type="dxa"/>
            <w:gridSpan w:val="2"/>
            <w:vMerge/>
            <w:tcBorders>
              <w:bottom w:val="single" w:sz="4" w:space="0" w:color="auto"/>
            </w:tcBorders>
            <w:vAlign w:val="center"/>
          </w:tcPr>
          <w:p w14:paraId="330E1EB8" w14:textId="77777777" w:rsidR="00A22D3A" w:rsidRPr="00FA30C8" w:rsidRDefault="00A22D3A" w:rsidP="00A22D3A">
            <w:pPr>
              <w:jc w:val="center"/>
              <w:rPr>
                <w:rFonts w:cs="Arial"/>
                <w:sz w:val="18"/>
                <w:szCs w:val="18"/>
              </w:rPr>
            </w:pPr>
          </w:p>
        </w:tc>
        <w:tc>
          <w:tcPr>
            <w:tcW w:w="1039" w:type="dxa"/>
            <w:gridSpan w:val="2"/>
            <w:vMerge/>
            <w:tcBorders>
              <w:bottom w:val="single" w:sz="4" w:space="0" w:color="auto"/>
            </w:tcBorders>
            <w:vAlign w:val="center"/>
          </w:tcPr>
          <w:p w14:paraId="3FBD4605" w14:textId="77777777" w:rsidR="00A22D3A" w:rsidRPr="00FA30C8" w:rsidRDefault="00A22D3A" w:rsidP="00A22D3A">
            <w:pPr>
              <w:jc w:val="center"/>
              <w:rPr>
                <w:rFonts w:cs="Arial"/>
                <w:sz w:val="18"/>
                <w:szCs w:val="18"/>
              </w:rPr>
            </w:pPr>
          </w:p>
        </w:tc>
        <w:tc>
          <w:tcPr>
            <w:tcW w:w="2304" w:type="dxa"/>
            <w:vMerge/>
            <w:tcBorders>
              <w:bottom w:val="single" w:sz="4" w:space="0" w:color="auto"/>
            </w:tcBorders>
            <w:vAlign w:val="center"/>
          </w:tcPr>
          <w:p w14:paraId="5B340B1A" w14:textId="77777777" w:rsidR="00A22D3A" w:rsidRPr="00FA30C8" w:rsidRDefault="00A22D3A" w:rsidP="00A22D3A">
            <w:pPr>
              <w:rPr>
                <w:rFonts w:cs="Arial"/>
                <w:sz w:val="18"/>
                <w:szCs w:val="18"/>
              </w:rPr>
            </w:pPr>
          </w:p>
        </w:tc>
        <w:tc>
          <w:tcPr>
            <w:tcW w:w="1497" w:type="dxa"/>
            <w:gridSpan w:val="3"/>
            <w:tcBorders>
              <w:bottom w:val="single" w:sz="4" w:space="0" w:color="auto"/>
            </w:tcBorders>
            <w:vAlign w:val="center"/>
          </w:tcPr>
          <w:p w14:paraId="769AC3C0" w14:textId="77777777" w:rsidR="00A22D3A" w:rsidRPr="00FA30C8" w:rsidRDefault="00A22D3A" w:rsidP="00A22D3A">
            <w:pPr>
              <w:rPr>
                <w:rFonts w:cs="Arial"/>
                <w:sz w:val="18"/>
                <w:szCs w:val="18"/>
              </w:rPr>
            </w:pPr>
            <w:r w:rsidRPr="00FA30C8">
              <w:rPr>
                <w:rFonts w:cs="Arial"/>
                <w:sz w:val="18"/>
                <w:szCs w:val="18"/>
              </w:rPr>
              <w:t>Actual amount achieved</w:t>
            </w:r>
          </w:p>
        </w:tc>
        <w:tc>
          <w:tcPr>
            <w:tcW w:w="740" w:type="dxa"/>
            <w:tcBorders>
              <w:bottom w:val="single" w:sz="4" w:space="0" w:color="auto"/>
            </w:tcBorders>
            <w:vAlign w:val="center"/>
          </w:tcPr>
          <w:p w14:paraId="2A549EC1" w14:textId="1B83BB76" w:rsidR="00A22D3A" w:rsidRPr="00FA30C8" w:rsidRDefault="00730C6A" w:rsidP="00A22D3A">
            <w:pPr>
              <w:jc w:val="center"/>
              <w:rPr>
                <w:rFonts w:cs="Arial"/>
                <w:sz w:val="18"/>
                <w:szCs w:val="18"/>
              </w:rPr>
            </w:pPr>
            <w:r w:rsidRPr="00FA30C8">
              <w:rPr>
                <w:rFonts w:cs="Arial"/>
                <w:sz w:val="18"/>
                <w:szCs w:val="18"/>
              </w:rPr>
              <w:t>0</w:t>
            </w:r>
          </w:p>
        </w:tc>
        <w:tc>
          <w:tcPr>
            <w:tcW w:w="1473" w:type="dxa"/>
            <w:gridSpan w:val="3"/>
            <w:vMerge/>
            <w:tcBorders>
              <w:bottom w:val="single" w:sz="4" w:space="0" w:color="auto"/>
              <w:right w:val="single" w:sz="4" w:space="0" w:color="auto"/>
            </w:tcBorders>
            <w:vAlign w:val="center"/>
          </w:tcPr>
          <w:p w14:paraId="0B5B0B4A" w14:textId="77777777" w:rsidR="00A22D3A" w:rsidRPr="00FA30C8" w:rsidRDefault="00A22D3A" w:rsidP="00A22D3A">
            <w:pPr>
              <w:rPr>
                <w:rFonts w:cs="Arial"/>
                <w:sz w:val="18"/>
                <w:szCs w:val="18"/>
              </w:rPr>
            </w:pPr>
          </w:p>
        </w:tc>
      </w:tr>
      <w:tr w:rsidR="00A22D3A" w:rsidRPr="00FA30C8" w14:paraId="549FCF88" w14:textId="77777777" w:rsidTr="00F830D1">
        <w:trPr>
          <w:jc w:val="center"/>
        </w:trPr>
        <w:tc>
          <w:tcPr>
            <w:tcW w:w="3632" w:type="dxa"/>
            <w:gridSpan w:val="2"/>
            <w:vMerge w:val="restart"/>
            <w:tcBorders>
              <w:top w:val="single" w:sz="4" w:space="0" w:color="auto"/>
              <w:left w:val="single" w:sz="4" w:space="0" w:color="auto"/>
              <w:bottom w:val="single" w:sz="12" w:space="0" w:color="auto"/>
            </w:tcBorders>
            <w:vAlign w:val="center"/>
          </w:tcPr>
          <w:p w14:paraId="4EFCDB1F" w14:textId="77777777" w:rsidR="00A22D3A" w:rsidRPr="00FA30C8" w:rsidRDefault="00A22D3A" w:rsidP="00A22D3A">
            <w:pPr>
              <w:rPr>
                <w:rFonts w:cs="Arial"/>
                <w:sz w:val="18"/>
                <w:szCs w:val="18"/>
              </w:rPr>
            </w:pPr>
            <w:r w:rsidRPr="00FA30C8">
              <w:rPr>
                <w:rFonts w:cs="Arial"/>
                <w:sz w:val="18"/>
                <w:szCs w:val="18"/>
              </w:rPr>
              <w:t>Indicator #2: Dwell time (time required for goods to clear Customs)</w:t>
            </w:r>
          </w:p>
        </w:tc>
        <w:tc>
          <w:tcPr>
            <w:tcW w:w="1117" w:type="dxa"/>
            <w:gridSpan w:val="2"/>
            <w:vMerge w:val="restart"/>
            <w:tcBorders>
              <w:top w:val="single" w:sz="4" w:space="0" w:color="auto"/>
              <w:bottom w:val="single" w:sz="12" w:space="0" w:color="auto"/>
            </w:tcBorders>
            <w:vAlign w:val="center"/>
          </w:tcPr>
          <w:p w14:paraId="556F1EF5" w14:textId="77777777" w:rsidR="00A22D3A" w:rsidRPr="00FA30C8" w:rsidRDefault="00A22D3A" w:rsidP="00A22D3A">
            <w:pPr>
              <w:jc w:val="center"/>
              <w:rPr>
                <w:rFonts w:cs="Arial"/>
                <w:sz w:val="18"/>
                <w:szCs w:val="18"/>
              </w:rPr>
            </w:pPr>
            <w:r w:rsidRPr="00FA30C8">
              <w:rPr>
                <w:rFonts w:cs="Arial"/>
                <w:sz w:val="18"/>
                <w:szCs w:val="18"/>
              </w:rPr>
              <w:t>Days</w:t>
            </w:r>
          </w:p>
        </w:tc>
        <w:tc>
          <w:tcPr>
            <w:tcW w:w="1154" w:type="dxa"/>
            <w:gridSpan w:val="2"/>
            <w:vMerge w:val="restart"/>
            <w:tcBorders>
              <w:top w:val="single" w:sz="4" w:space="0" w:color="auto"/>
              <w:bottom w:val="single" w:sz="12" w:space="0" w:color="auto"/>
            </w:tcBorders>
            <w:vAlign w:val="center"/>
          </w:tcPr>
          <w:p w14:paraId="23039005" w14:textId="77777777" w:rsidR="00A22D3A" w:rsidRPr="00FA30C8" w:rsidRDefault="00A22D3A" w:rsidP="00A22D3A">
            <w:pPr>
              <w:jc w:val="center"/>
              <w:rPr>
                <w:rFonts w:cs="Arial"/>
                <w:sz w:val="18"/>
                <w:szCs w:val="18"/>
              </w:rPr>
            </w:pPr>
            <w:r w:rsidRPr="00FA30C8">
              <w:rPr>
                <w:rFonts w:cs="Arial"/>
                <w:sz w:val="18"/>
                <w:szCs w:val="18"/>
              </w:rPr>
              <w:t>15</w:t>
            </w:r>
          </w:p>
        </w:tc>
        <w:tc>
          <w:tcPr>
            <w:tcW w:w="1039" w:type="dxa"/>
            <w:gridSpan w:val="2"/>
            <w:vMerge w:val="restart"/>
            <w:tcBorders>
              <w:top w:val="single" w:sz="4" w:space="0" w:color="auto"/>
              <w:bottom w:val="single" w:sz="12" w:space="0" w:color="auto"/>
            </w:tcBorders>
            <w:vAlign w:val="center"/>
          </w:tcPr>
          <w:p w14:paraId="5AB8E2B0" w14:textId="77777777" w:rsidR="00A22D3A" w:rsidRPr="00FA30C8" w:rsidRDefault="00A22D3A" w:rsidP="00A22D3A">
            <w:pPr>
              <w:jc w:val="center"/>
              <w:rPr>
                <w:rFonts w:cs="Arial"/>
                <w:sz w:val="18"/>
                <w:szCs w:val="18"/>
              </w:rPr>
            </w:pPr>
            <w:r w:rsidRPr="00FA30C8">
              <w:rPr>
                <w:rFonts w:cs="Arial"/>
                <w:sz w:val="18"/>
                <w:szCs w:val="18"/>
              </w:rPr>
              <w:t>2010</w:t>
            </w:r>
          </w:p>
        </w:tc>
        <w:tc>
          <w:tcPr>
            <w:tcW w:w="2304" w:type="dxa"/>
            <w:vMerge w:val="restart"/>
            <w:tcBorders>
              <w:top w:val="single" w:sz="4" w:space="0" w:color="auto"/>
              <w:bottom w:val="single" w:sz="12" w:space="0" w:color="auto"/>
            </w:tcBorders>
            <w:vAlign w:val="center"/>
          </w:tcPr>
          <w:p w14:paraId="01DD4FBC" w14:textId="77777777" w:rsidR="00A22D3A" w:rsidRPr="00FA30C8" w:rsidRDefault="00A22D3A" w:rsidP="00A22D3A">
            <w:pPr>
              <w:rPr>
                <w:rFonts w:cs="Arial"/>
                <w:sz w:val="18"/>
                <w:szCs w:val="18"/>
              </w:rPr>
            </w:pPr>
            <w:r w:rsidRPr="00FA30C8">
              <w:rPr>
                <w:rFonts w:cs="Arial"/>
                <w:sz w:val="18"/>
                <w:szCs w:val="18"/>
              </w:rPr>
              <w:t>Records of the Customs Office and participating agencies</w:t>
            </w:r>
          </w:p>
        </w:tc>
        <w:tc>
          <w:tcPr>
            <w:tcW w:w="1497" w:type="dxa"/>
            <w:gridSpan w:val="3"/>
            <w:tcBorders>
              <w:top w:val="single" w:sz="4" w:space="0" w:color="auto"/>
              <w:bottom w:val="single" w:sz="4" w:space="0" w:color="auto"/>
            </w:tcBorders>
            <w:vAlign w:val="center"/>
          </w:tcPr>
          <w:p w14:paraId="224891F3" w14:textId="77777777" w:rsidR="00A22D3A" w:rsidRPr="00FA30C8" w:rsidRDefault="00A22D3A" w:rsidP="00A22D3A">
            <w:pPr>
              <w:rPr>
                <w:rFonts w:cs="Arial"/>
                <w:sz w:val="18"/>
                <w:szCs w:val="18"/>
              </w:rPr>
            </w:pPr>
            <w:r w:rsidRPr="00FA30C8">
              <w:rPr>
                <w:rFonts w:cs="Arial"/>
                <w:sz w:val="18"/>
                <w:szCs w:val="18"/>
              </w:rPr>
              <w:t>Original Target value</w:t>
            </w:r>
          </w:p>
        </w:tc>
        <w:tc>
          <w:tcPr>
            <w:tcW w:w="740" w:type="dxa"/>
            <w:tcBorders>
              <w:top w:val="single" w:sz="4" w:space="0" w:color="auto"/>
              <w:bottom w:val="single" w:sz="4" w:space="0" w:color="auto"/>
            </w:tcBorders>
            <w:vAlign w:val="center"/>
          </w:tcPr>
          <w:p w14:paraId="5513E907" w14:textId="77777777" w:rsidR="00A22D3A" w:rsidRPr="00FA30C8" w:rsidRDefault="00A22D3A" w:rsidP="00A22D3A">
            <w:pPr>
              <w:jc w:val="center"/>
              <w:rPr>
                <w:rFonts w:cs="Arial"/>
                <w:sz w:val="18"/>
                <w:szCs w:val="18"/>
              </w:rPr>
            </w:pPr>
            <w:r w:rsidRPr="00FA30C8">
              <w:rPr>
                <w:rFonts w:cs="Arial"/>
                <w:sz w:val="18"/>
                <w:szCs w:val="18"/>
              </w:rPr>
              <w:t>5</w:t>
            </w:r>
          </w:p>
        </w:tc>
        <w:tc>
          <w:tcPr>
            <w:tcW w:w="1473" w:type="dxa"/>
            <w:gridSpan w:val="3"/>
            <w:vMerge w:val="restart"/>
            <w:tcBorders>
              <w:top w:val="single" w:sz="4" w:space="0" w:color="auto"/>
              <w:right w:val="single" w:sz="4" w:space="0" w:color="auto"/>
            </w:tcBorders>
            <w:vAlign w:val="center"/>
          </w:tcPr>
          <w:p w14:paraId="77DF828A" w14:textId="77777777" w:rsidR="00A22D3A" w:rsidRPr="00FA30C8" w:rsidRDefault="00A22D3A" w:rsidP="00A22D3A">
            <w:pPr>
              <w:rPr>
                <w:rFonts w:cs="Arial"/>
                <w:sz w:val="18"/>
                <w:szCs w:val="18"/>
              </w:rPr>
            </w:pPr>
          </w:p>
        </w:tc>
      </w:tr>
      <w:tr w:rsidR="00A22D3A" w:rsidRPr="00FA30C8" w14:paraId="7729552D" w14:textId="77777777" w:rsidTr="00F830D1">
        <w:trPr>
          <w:jc w:val="center"/>
        </w:trPr>
        <w:tc>
          <w:tcPr>
            <w:tcW w:w="3632" w:type="dxa"/>
            <w:gridSpan w:val="2"/>
            <w:vMerge/>
            <w:tcBorders>
              <w:top w:val="single" w:sz="12" w:space="0" w:color="auto"/>
              <w:left w:val="single" w:sz="4" w:space="0" w:color="auto"/>
            </w:tcBorders>
            <w:vAlign w:val="center"/>
          </w:tcPr>
          <w:p w14:paraId="11E987B9" w14:textId="77777777" w:rsidR="00A22D3A" w:rsidRPr="00FA30C8" w:rsidRDefault="00A22D3A" w:rsidP="00A22D3A">
            <w:pPr>
              <w:rPr>
                <w:rFonts w:cs="Arial"/>
                <w:sz w:val="18"/>
                <w:szCs w:val="18"/>
              </w:rPr>
            </w:pPr>
          </w:p>
        </w:tc>
        <w:tc>
          <w:tcPr>
            <w:tcW w:w="1117" w:type="dxa"/>
            <w:gridSpan w:val="2"/>
            <w:vMerge/>
            <w:tcBorders>
              <w:top w:val="single" w:sz="12" w:space="0" w:color="auto"/>
            </w:tcBorders>
            <w:vAlign w:val="center"/>
          </w:tcPr>
          <w:p w14:paraId="47088C96" w14:textId="77777777" w:rsidR="00A22D3A" w:rsidRPr="00FA30C8" w:rsidRDefault="00A22D3A" w:rsidP="00A22D3A">
            <w:pPr>
              <w:jc w:val="center"/>
              <w:rPr>
                <w:rFonts w:cs="Arial"/>
                <w:sz w:val="18"/>
                <w:szCs w:val="18"/>
              </w:rPr>
            </w:pPr>
          </w:p>
        </w:tc>
        <w:tc>
          <w:tcPr>
            <w:tcW w:w="1154" w:type="dxa"/>
            <w:gridSpan w:val="2"/>
            <w:vMerge/>
            <w:tcBorders>
              <w:top w:val="single" w:sz="12" w:space="0" w:color="auto"/>
            </w:tcBorders>
            <w:vAlign w:val="center"/>
          </w:tcPr>
          <w:p w14:paraId="2E06422A" w14:textId="77777777" w:rsidR="00A22D3A" w:rsidRPr="00FA30C8" w:rsidRDefault="00A22D3A" w:rsidP="00A22D3A">
            <w:pPr>
              <w:jc w:val="center"/>
              <w:rPr>
                <w:rFonts w:cs="Arial"/>
                <w:sz w:val="18"/>
                <w:szCs w:val="18"/>
              </w:rPr>
            </w:pPr>
          </w:p>
        </w:tc>
        <w:tc>
          <w:tcPr>
            <w:tcW w:w="1039" w:type="dxa"/>
            <w:gridSpan w:val="2"/>
            <w:vMerge/>
            <w:tcBorders>
              <w:top w:val="single" w:sz="12" w:space="0" w:color="auto"/>
            </w:tcBorders>
            <w:vAlign w:val="center"/>
          </w:tcPr>
          <w:p w14:paraId="41251FC5" w14:textId="77777777" w:rsidR="00A22D3A" w:rsidRPr="00FA30C8" w:rsidRDefault="00A22D3A" w:rsidP="00A22D3A">
            <w:pPr>
              <w:jc w:val="center"/>
              <w:rPr>
                <w:rFonts w:cs="Arial"/>
                <w:sz w:val="18"/>
                <w:szCs w:val="18"/>
              </w:rPr>
            </w:pPr>
          </w:p>
        </w:tc>
        <w:tc>
          <w:tcPr>
            <w:tcW w:w="2304" w:type="dxa"/>
            <w:vMerge/>
            <w:tcBorders>
              <w:top w:val="single" w:sz="12" w:space="0" w:color="auto"/>
            </w:tcBorders>
            <w:vAlign w:val="center"/>
          </w:tcPr>
          <w:p w14:paraId="4840B297" w14:textId="77777777" w:rsidR="00A22D3A" w:rsidRPr="00FA30C8" w:rsidRDefault="00A22D3A" w:rsidP="00A22D3A">
            <w:pPr>
              <w:rPr>
                <w:rFonts w:cs="Arial"/>
                <w:sz w:val="18"/>
                <w:szCs w:val="18"/>
              </w:rPr>
            </w:pPr>
          </w:p>
        </w:tc>
        <w:tc>
          <w:tcPr>
            <w:tcW w:w="1497" w:type="dxa"/>
            <w:gridSpan w:val="3"/>
            <w:tcBorders>
              <w:top w:val="single" w:sz="4" w:space="0" w:color="auto"/>
            </w:tcBorders>
            <w:vAlign w:val="center"/>
          </w:tcPr>
          <w:p w14:paraId="75102584" w14:textId="77777777" w:rsidR="00A22D3A" w:rsidRPr="00FA30C8" w:rsidRDefault="00A22D3A" w:rsidP="00A22D3A">
            <w:pPr>
              <w:rPr>
                <w:rFonts w:cs="Arial"/>
                <w:sz w:val="18"/>
                <w:szCs w:val="18"/>
              </w:rPr>
            </w:pPr>
            <w:r w:rsidRPr="00FA30C8">
              <w:rPr>
                <w:rFonts w:cs="Arial"/>
                <w:sz w:val="18"/>
                <w:szCs w:val="18"/>
              </w:rPr>
              <w:t>Revised target value</w:t>
            </w:r>
          </w:p>
        </w:tc>
        <w:tc>
          <w:tcPr>
            <w:tcW w:w="740" w:type="dxa"/>
            <w:tcBorders>
              <w:top w:val="single" w:sz="4" w:space="0" w:color="auto"/>
            </w:tcBorders>
            <w:vAlign w:val="center"/>
          </w:tcPr>
          <w:p w14:paraId="077C30EB" w14:textId="77777777" w:rsidR="00A22D3A" w:rsidRPr="00FA30C8" w:rsidRDefault="00A22D3A" w:rsidP="00A22D3A">
            <w:pPr>
              <w:jc w:val="center"/>
              <w:rPr>
                <w:rFonts w:cs="Arial"/>
                <w:sz w:val="18"/>
                <w:szCs w:val="18"/>
              </w:rPr>
            </w:pPr>
            <w:r w:rsidRPr="00FA30C8">
              <w:rPr>
                <w:rFonts w:cs="Arial"/>
                <w:sz w:val="18"/>
                <w:szCs w:val="18"/>
              </w:rPr>
              <w:t>-</w:t>
            </w:r>
          </w:p>
        </w:tc>
        <w:tc>
          <w:tcPr>
            <w:tcW w:w="1473" w:type="dxa"/>
            <w:gridSpan w:val="3"/>
            <w:vMerge/>
            <w:tcBorders>
              <w:right w:val="single" w:sz="4" w:space="0" w:color="auto"/>
            </w:tcBorders>
            <w:vAlign w:val="center"/>
          </w:tcPr>
          <w:p w14:paraId="426D5381" w14:textId="77777777" w:rsidR="00A22D3A" w:rsidRPr="00FA30C8" w:rsidRDefault="00A22D3A" w:rsidP="00A22D3A">
            <w:pPr>
              <w:rPr>
                <w:rFonts w:cs="Arial"/>
                <w:sz w:val="18"/>
                <w:szCs w:val="18"/>
              </w:rPr>
            </w:pPr>
          </w:p>
        </w:tc>
      </w:tr>
      <w:tr w:rsidR="00A22D3A" w:rsidRPr="00FA30C8" w14:paraId="4899FA88" w14:textId="77777777" w:rsidTr="00F830D1">
        <w:trPr>
          <w:jc w:val="center"/>
        </w:trPr>
        <w:tc>
          <w:tcPr>
            <w:tcW w:w="3632" w:type="dxa"/>
            <w:gridSpan w:val="2"/>
            <w:vMerge/>
            <w:tcBorders>
              <w:left w:val="single" w:sz="4" w:space="0" w:color="auto"/>
            </w:tcBorders>
            <w:vAlign w:val="center"/>
          </w:tcPr>
          <w:p w14:paraId="07B58CF9" w14:textId="77777777" w:rsidR="00A22D3A" w:rsidRPr="00FA30C8" w:rsidRDefault="00A22D3A" w:rsidP="00A22D3A">
            <w:pPr>
              <w:rPr>
                <w:rFonts w:cs="Arial"/>
                <w:sz w:val="18"/>
                <w:szCs w:val="18"/>
              </w:rPr>
            </w:pPr>
          </w:p>
        </w:tc>
        <w:tc>
          <w:tcPr>
            <w:tcW w:w="1117" w:type="dxa"/>
            <w:gridSpan w:val="2"/>
            <w:vMerge/>
            <w:vAlign w:val="center"/>
          </w:tcPr>
          <w:p w14:paraId="5AEDD60A" w14:textId="77777777" w:rsidR="00A22D3A" w:rsidRPr="00FA30C8" w:rsidRDefault="00A22D3A" w:rsidP="00A22D3A">
            <w:pPr>
              <w:jc w:val="center"/>
              <w:rPr>
                <w:rFonts w:cs="Arial"/>
                <w:sz w:val="18"/>
                <w:szCs w:val="18"/>
              </w:rPr>
            </w:pPr>
          </w:p>
        </w:tc>
        <w:tc>
          <w:tcPr>
            <w:tcW w:w="1154" w:type="dxa"/>
            <w:gridSpan w:val="2"/>
            <w:vMerge/>
            <w:vAlign w:val="center"/>
          </w:tcPr>
          <w:p w14:paraId="71393690" w14:textId="77777777" w:rsidR="00A22D3A" w:rsidRPr="00FA30C8" w:rsidRDefault="00A22D3A" w:rsidP="00A22D3A">
            <w:pPr>
              <w:jc w:val="center"/>
              <w:rPr>
                <w:rFonts w:cs="Arial"/>
                <w:sz w:val="18"/>
                <w:szCs w:val="18"/>
              </w:rPr>
            </w:pPr>
          </w:p>
        </w:tc>
        <w:tc>
          <w:tcPr>
            <w:tcW w:w="1039" w:type="dxa"/>
            <w:gridSpan w:val="2"/>
            <w:vMerge/>
            <w:vAlign w:val="center"/>
          </w:tcPr>
          <w:p w14:paraId="3AEF38F6" w14:textId="77777777" w:rsidR="00A22D3A" w:rsidRPr="00FA30C8" w:rsidRDefault="00A22D3A" w:rsidP="00A22D3A">
            <w:pPr>
              <w:jc w:val="center"/>
              <w:rPr>
                <w:rFonts w:cs="Arial"/>
                <w:sz w:val="18"/>
                <w:szCs w:val="18"/>
              </w:rPr>
            </w:pPr>
          </w:p>
        </w:tc>
        <w:tc>
          <w:tcPr>
            <w:tcW w:w="2304" w:type="dxa"/>
            <w:vMerge/>
            <w:vAlign w:val="center"/>
          </w:tcPr>
          <w:p w14:paraId="0668F895" w14:textId="77777777" w:rsidR="00A22D3A" w:rsidRPr="00FA30C8" w:rsidRDefault="00A22D3A" w:rsidP="00A22D3A">
            <w:pPr>
              <w:rPr>
                <w:rFonts w:cs="Arial"/>
                <w:sz w:val="18"/>
                <w:szCs w:val="18"/>
              </w:rPr>
            </w:pPr>
          </w:p>
        </w:tc>
        <w:tc>
          <w:tcPr>
            <w:tcW w:w="1497" w:type="dxa"/>
            <w:gridSpan w:val="3"/>
            <w:vAlign w:val="center"/>
          </w:tcPr>
          <w:p w14:paraId="04151CFC" w14:textId="77777777" w:rsidR="00A22D3A" w:rsidRPr="00FA30C8" w:rsidRDefault="00A22D3A" w:rsidP="00A22D3A">
            <w:pPr>
              <w:rPr>
                <w:rFonts w:cs="Arial"/>
                <w:sz w:val="18"/>
                <w:szCs w:val="18"/>
              </w:rPr>
            </w:pPr>
            <w:r w:rsidRPr="00FA30C8">
              <w:rPr>
                <w:rFonts w:cs="Arial"/>
                <w:sz w:val="18"/>
                <w:szCs w:val="18"/>
              </w:rPr>
              <w:t>Actual amount achieved</w:t>
            </w:r>
          </w:p>
        </w:tc>
        <w:tc>
          <w:tcPr>
            <w:tcW w:w="740" w:type="dxa"/>
            <w:vAlign w:val="center"/>
          </w:tcPr>
          <w:p w14:paraId="3905B382" w14:textId="77777777" w:rsidR="00A22D3A" w:rsidRPr="00FA30C8" w:rsidRDefault="00A22D3A" w:rsidP="00A22D3A">
            <w:pPr>
              <w:jc w:val="center"/>
              <w:rPr>
                <w:rFonts w:cs="Arial"/>
                <w:sz w:val="18"/>
                <w:szCs w:val="18"/>
              </w:rPr>
            </w:pPr>
            <w:r w:rsidRPr="00FA30C8">
              <w:rPr>
                <w:rFonts w:cs="Arial"/>
                <w:sz w:val="18"/>
                <w:szCs w:val="18"/>
              </w:rPr>
              <w:t>0</w:t>
            </w:r>
          </w:p>
        </w:tc>
        <w:tc>
          <w:tcPr>
            <w:tcW w:w="1473" w:type="dxa"/>
            <w:gridSpan w:val="3"/>
            <w:vMerge/>
            <w:tcBorders>
              <w:right w:val="single" w:sz="4" w:space="0" w:color="auto"/>
            </w:tcBorders>
            <w:vAlign w:val="center"/>
          </w:tcPr>
          <w:p w14:paraId="2AC45267" w14:textId="77777777" w:rsidR="00A22D3A" w:rsidRPr="00FA30C8" w:rsidRDefault="00A22D3A" w:rsidP="00A22D3A">
            <w:pPr>
              <w:rPr>
                <w:rFonts w:cs="Arial"/>
                <w:sz w:val="18"/>
                <w:szCs w:val="18"/>
              </w:rPr>
            </w:pPr>
          </w:p>
        </w:tc>
      </w:tr>
      <w:tr w:rsidR="00A22D3A" w:rsidRPr="00FA30C8" w14:paraId="14CF7CE0" w14:textId="77777777" w:rsidTr="00F830D1">
        <w:trPr>
          <w:jc w:val="center"/>
        </w:trPr>
        <w:tc>
          <w:tcPr>
            <w:tcW w:w="3632" w:type="dxa"/>
            <w:gridSpan w:val="2"/>
            <w:vMerge w:val="restart"/>
            <w:tcBorders>
              <w:left w:val="single" w:sz="4" w:space="0" w:color="auto"/>
            </w:tcBorders>
            <w:vAlign w:val="center"/>
          </w:tcPr>
          <w:p w14:paraId="562D0753" w14:textId="77777777" w:rsidR="00A22D3A" w:rsidRPr="00FA30C8" w:rsidRDefault="00A22D3A" w:rsidP="00A22D3A">
            <w:pPr>
              <w:rPr>
                <w:rFonts w:cs="Arial"/>
                <w:sz w:val="18"/>
                <w:szCs w:val="18"/>
              </w:rPr>
            </w:pPr>
            <w:r w:rsidRPr="00FA30C8">
              <w:rPr>
                <w:rFonts w:cs="Arial"/>
                <w:sz w:val="18"/>
                <w:szCs w:val="18"/>
              </w:rPr>
              <w:t>Indicator #3: Total volume of customs declarations processed per year</w:t>
            </w:r>
          </w:p>
        </w:tc>
        <w:tc>
          <w:tcPr>
            <w:tcW w:w="1117" w:type="dxa"/>
            <w:gridSpan w:val="2"/>
            <w:vMerge w:val="restart"/>
            <w:vAlign w:val="center"/>
          </w:tcPr>
          <w:p w14:paraId="187EE5C7" w14:textId="77777777" w:rsidR="00A22D3A" w:rsidRPr="00FA30C8" w:rsidRDefault="00A22D3A" w:rsidP="00A22D3A">
            <w:pPr>
              <w:jc w:val="center"/>
              <w:rPr>
                <w:rFonts w:cs="Arial"/>
                <w:sz w:val="18"/>
                <w:szCs w:val="18"/>
              </w:rPr>
            </w:pPr>
            <w:r w:rsidRPr="00FA30C8">
              <w:rPr>
                <w:rFonts w:cs="Arial"/>
                <w:sz w:val="18"/>
                <w:szCs w:val="18"/>
              </w:rPr>
              <w:t>Index</w:t>
            </w:r>
          </w:p>
        </w:tc>
        <w:tc>
          <w:tcPr>
            <w:tcW w:w="1154" w:type="dxa"/>
            <w:gridSpan w:val="2"/>
            <w:vMerge w:val="restart"/>
            <w:vAlign w:val="center"/>
          </w:tcPr>
          <w:p w14:paraId="5741C8FA" w14:textId="77777777" w:rsidR="00A22D3A" w:rsidRPr="00FA30C8" w:rsidRDefault="00A22D3A" w:rsidP="00A22D3A">
            <w:pPr>
              <w:jc w:val="center"/>
              <w:rPr>
                <w:rFonts w:cs="Arial"/>
                <w:sz w:val="18"/>
                <w:szCs w:val="18"/>
              </w:rPr>
            </w:pPr>
            <w:r w:rsidRPr="00FA30C8">
              <w:rPr>
                <w:rFonts w:cs="Arial"/>
                <w:sz w:val="18"/>
                <w:szCs w:val="18"/>
              </w:rPr>
              <w:t>100</w:t>
            </w:r>
          </w:p>
        </w:tc>
        <w:tc>
          <w:tcPr>
            <w:tcW w:w="1039" w:type="dxa"/>
            <w:gridSpan w:val="2"/>
            <w:vMerge w:val="restart"/>
            <w:vAlign w:val="center"/>
          </w:tcPr>
          <w:p w14:paraId="11C7F5D1" w14:textId="77777777" w:rsidR="00A22D3A" w:rsidRPr="00FA30C8" w:rsidRDefault="00A22D3A" w:rsidP="00A22D3A">
            <w:pPr>
              <w:jc w:val="center"/>
              <w:rPr>
                <w:rFonts w:cs="Arial"/>
                <w:sz w:val="18"/>
                <w:szCs w:val="18"/>
              </w:rPr>
            </w:pPr>
            <w:r w:rsidRPr="00FA30C8">
              <w:rPr>
                <w:rFonts w:cs="Arial"/>
                <w:sz w:val="18"/>
                <w:szCs w:val="18"/>
              </w:rPr>
              <w:t>2010</w:t>
            </w:r>
          </w:p>
        </w:tc>
        <w:tc>
          <w:tcPr>
            <w:tcW w:w="2304" w:type="dxa"/>
            <w:vMerge w:val="restart"/>
            <w:vAlign w:val="center"/>
          </w:tcPr>
          <w:p w14:paraId="3F2E01FB" w14:textId="77777777" w:rsidR="00A22D3A" w:rsidRPr="00FA30C8" w:rsidRDefault="00A22D3A" w:rsidP="00A22D3A">
            <w:pPr>
              <w:rPr>
                <w:rFonts w:cs="Arial"/>
                <w:sz w:val="18"/>
                <w:szCs w:val="18"/>
              </w:rPr>
            </w:pPr>
            <w:r w:rsidRPr="00FA30C8">
              <w:rPr>
                <w:rFonts w:cs="Arial"/>
                <w:sz w:val="18"/>
                <w:szCs w:val="18"/>
              </w:rPr>
              <w:t>Records of the Customs Office and participating agencies</w:t>
            </w:r>
          </w:p>
          <w:p w14:paraId="630ED6B8" w14:textId="77777777" w:rsidR="00A22D3A" w:rsidRPr="00FA30C8" w:rsidRDefault="00A22D3A" w:rsidP="00A22D3A">
            <w:pPr>
              <w:rPr>
                <w:rFonts w:cs="Arial"/>
                <w:sz w:val="18"/>
                <w:szCs w:val="18"/>
              </w:rPr>
            </w:pPr>
          </w:p>
          <w:p w14:paraId="4B503732" w14:textId="77777777" w:rsidR="00A22D3A" w:rsidRPr="00FA30C8" w:rsidRDefault="00A22D3A" w:rsidP="00A22D3A">
            <w:pPr>
              <w:rPr>
                <w:rFonts w:cs="Arial"/>
                <w:sz w:val="18"/>
                <w:szCs w:val="18"/>
              </w:rPr>
            </w:pPr>
          </w:p>
        </w:tc>
        <w:tc>
          <w:tcPr>
            <w:tcW w:w="1497" w:type="dxa"/>
            <w:gridSpan w:val="3"/>
            <w:vAlign w:val="center"/>
          </w:tcPr>
          <w:p w14:paraId="5F6257A6" w14:textId="77777777" w:rsidR="00A22D3A" w:rsidRPr="00FA30C8" w:rsidRDefault="00A22D3A" w:rsidP="00A22D3A">
            <w:pPr>
              <w:rPr>
                <w:rFonts w:cs="Arial"/>
                <w:sz w:val="18"/>
                <w:szCs w:val="18"/>
              </w:rPr>
            </w:pPr>
            <w:r w:rsidRPr="00FA30C8">
              <w:rPr>
                <w:rFonts w:cs="Arial"/>
                <w:sz w:val="18"/>
                <w:szCs w:val="18"/>
              </w:rPr>
              <w:t>Original Target value</w:t>
            </w:r>
          </w:p>
        </w:tc>
        <w:tc>
          <w:tcPr>
            <w:tcW w:w="740" w:type="dxa"/>
            <w:vAlign w:val="center"/>
          </w:tcPr>
          <w:p w14:paraId="5AC95704" w14:textId="77777777" w:rsidR="00A22D3A" w:rsidRPr="00FA30C8" w:rsidRDefault="00A22D3A" w:rsidP="00A22D3A">
            <w:pPr>
              <w:jc w:val="center"/>
              <w:rPr>
                <w:rFonts w:cs="Arial"/>
                <w:sz w:val="18"/>
                <w:szCs w:val="18"/>
              </w:rPr>
            </w:pPr>
            <w:r w:rsidRPr="00FA30C8">
              <w:rPr>
                <w:rFonts w:cs="Arial"/>
                <w:sz w:val="18"/>
                <w:szCs w:val="18"/>
              </w:rPr>
              <w:t>115</w:t>
            </w:r>
          </w:p>
        </w:tc>
        <w:tc>
          <w:tcPr>
            <w:tcW w:w="1473" w:type="dxa"/>
            <w:gridSpan w:val="3"/>
            <w:vMerge w:val="restart"/>
            <w:tcBorders>
              <w:right w:val="single" w:sz="4" w:space="0" w:color="auto"/>
            </w:tcBorders>
            <w:vAlign w:val="center"/>
          </w:tcPr>
          <w:p w14:paraId="791C1AE0" w14:textId="77777777" w:rsidR="00A22D3A" w:rsidRPr="00FA30C8" w:rsidRDefault="00A22D3A" w:rsidP="00A22D3A">
            <w:pPr>
              <w:rPr>
                <w:rFonts w:cs="Arial"/>
                <w:sz w:val="18"/>
                <w:szCs w:val="18"/>
              </w:rPr>
            </w:pPr>
          </w:p>
          <w:p w14:paraId="46400F31" w14:textId="77777777" w:rsidR="00A22D3A" w:rsidRPr="00FA30C8" w:rsidRDefault="00A22D3A" w:rsidP="00A22D3A">
            <w:pPr>
              <w:rPr>
                <w:rFonts w:cs="Arial"/>
                <w:sz w:val="18"/>
                <w:szCs w:val="18"/>
              </w:rPr>
            </w:pPr>
          </w:p>
          <w:p w14:paraId="2293A28B" w14:textId="77777777" w:rsidR="00A22D3A" w:rsidRPr="00FA30C8" w:rsidRDefault="00A22D3A" w:rsidP="00A22D3A">
            <w:pPr>
              <w:rPr>
                <w:rFonts w:cs="Arial"/>
                <w:sz w:val="18"/>
                <w:szCs w:val="18"/>
              </w:rPr>
            </w:pPr>
          </w:p>
        </w:tc>
      </w:tr>
      <w:tr w:rsidR="00A22D3A" w:rsidRPr="00FA30C8" w14:paraId="67881222" w14:textId="77777777" w:rsidTr="00F830D1">
        <w:trPr>
          <w:jc w:val="center"/>
        </w:trPr>
        <w:tc>
          <w:tcPr>
            <w:tcW w:w="3632" w:type="dxa"/>
            <w:gridSpan w:val="2"/>
            <w:vMerge/>
            <w:tcBorders>
              <w:left w:val="single" w:sz="4" w:space="0" w:color="auto"/>
            </w:tcBorders>
            <w:vAlign w:val="center"/>
          </w:tcPr>
          <w:p w14:paraId="76F650B3" w14:textId="77777777" w:rsidR="00A22D3A" w:rsidRPr="00FA30C8" w:rsidRDefault="00A22D3A" w:rsidP="00A22D3A">
            <w:pPr>
              <w:rPr>
                <w:rFonts w:cs="Arial"/>
                <w:sz w:val="18"/>
                <w:szCs w:val="18"/>
              </w:rPr>
            </w:pPr>
          </w:p>
        </w:tc>
        <w:tc>
          <w:tcPr>
            <w:tcW w:w="1117" w:type="dxa"/>
            <w:gridSpan w:val="2"/>
            <w:vMerge/>
            <w:vAlign w:val="center"/>
          </w:tcPr>
          <w:p w14:paraId="6282CD20" w14:textId="77777777" w:rsidR="00A22D3A" w:rsidRPr="00FA30C8" w:rsidRDefault="00A22D3A" w:rsidP="00A22D3A">
            <w:pPr>
              <w:rPr>
                <w:rFonts w:cs="Arial"/>
                <w:sz w:val="18"/>
                <w:szCs w:val="18"/>
              </w:rPr>
            </w:pPr>
          </w:p>
        </w:tc>
        <w:tc>
          <w:tcPr>
            <w:tcW w:w="1154" w:type="dxa"/>
            <w:gridSpan w:val="2"/>
            <w:vMerge/>
            <w:vAlign w:val="center"/>
          </w:tcPr>
          <w:p w14:paraId="4F042642" w14:textId="77777777" w:rsidR="00A22D3A" w:rsidRPr="00FA30C8" w:rsidRDefault="00A22D3A" w:rsidP="00A22D3A">
            <w:pPr>
              <w:rPr>
                <w:rFonts w:cs="Arial"/>
                <w:sz w:val="18"/>
                <w:szCs w:val="18"/>
              </w:rPr>
            </w:pPr>
          </w:p>
        </w:tc>
        <w:tc>
          <w:tcPr>
            <w:tcW w:w="1039" w:type="dxa"/>
            <w:gridSpan w:val="2"/>
            <w:vMerge/>
            <w:vAlign w:val="center"/>
          </w:tcPr>
          <w:p w14:paraId="6D3C7F73" w14:textId="77777777" w:rsidR="00A22D3A" w:rsidRPr="00FA30C8" w:rsidRDefault="00A22D3A" w:rsidP="00A22D3A">
            <w:pPr>
              <w:rPr>
                <w:rFonts w:cs="Arial"/>
                <w:sz w:val="18"/>
                <w:szCs w:val="18"/>
              </w:rPr>
            </w:pPr>
          </w:p>
        </w:tc>
        <w:tc>
          <w:tcPr>
            <w:tcW w:w="2304" w:type="dxa"/>
            <w:vMerge/>
            <w:vAlign w:val="center"/>
          </w:tcPr>
          <w:p w14:paraId="44F257F0" w14:textId="77777777" w:rsidR="00A22D3A" w:rsidRPr="00FA30C8" w:rsidRDefault="00A22D3A" w:rsidP="00A22D3A">
            <w:pPr>
              <w:rPr>
                <w:rFonts w:cs="Arial"/>
                <w:sz w:val="18"/>
                <w:szCs w:val="18"/>
              </w:rPr>
            </w:pPr>
          </w:p>
        </w:tc>
        <w:tc>
          <w:tcPr>
            <w:tcW w:w="1497" w:type="dxa"/>
            <w:gridSpan w:val="3"/>
            <w:vAlign w:val="center"/>
          </w:tcPr>
          <w:p w14:paraId="20246117" w14:textId="77777777" w:rsidR="00A22D3A" w:rsidRPr="00FA30C8" w:rsidRDefault="00A22D3A" w:rsidP="00A22D3A">
            <w:pPr>
              <w:rPr>
                <w:rFonts w:cs="Arial"/>
                <w:sz w:val="18"/>
                <w:szCs w:val="18"/>
              </w:rPr>
            </w:pPr>
            <w:r w:rsidRPr="00FA30C8">
              <w:rPr>
                <w:rFonts w:cs="Arial"/>
                <w:sz w:val="18"/>
                <w:szCs w:val="18"/>
              </w:rPr>
              <w:t>Revised target value</w:t>
            </w:r>
          </w:p>
        </w:tc>
        <w:tc>
          <w:tcPr>
            <w:tcW w:w="740" w:type="dxa"/>
            <w:vAlign w:val="center"/>
          </w:tcPr>
          <w:p w14:paraId="2EAD6D19" w14:textId="77777777" w:rsidR="00A22D3A" w:rsidRPr="00FA30C8" w:rsidRDefault="00A22D3A" w:rsidP="00A22D3A">
            <w:pPr>
              <w:jc w:val="center"/>
              <w:rPr>
                <w:rFonts w:cs="Arial"/>
                <w:sz w:val="18"/>
                <w:szCs w:val="18"/>
              </w:rPr>
            </w:pPr>
            <w:r w:rsidRPr="00FA30C8">
              <w:rPr>
                <w:rFonts w:cs="Arial"/>
                <w:sz w:val="18"/>
                <w:szCs w:val="18"/>
              </w:rPr>
              <w:t>-</w:t>
            </w:r>
          </w:p>
        </w:tc>
        <w:tc>
          <w:tcPr>
            <w:tcW w:w="1473" w:type="dxa"/>
            <w:gridSpan w:val="3"/>
            <w:vMerge/>
            <w:tcBorders>
              <w:right w:val="single" w:sz="4" w:space="0" w:color="auto"/>
            </w:tcBorders>
            <w:vAlign w:val="center"/>
          </w:tcPr>
          <w:p w14:paraId="4E3F2555" w14:textId="77777777" w:rsidR="00A22D3A" w:rsidRPr="00FA30C8" w:rsidRDefault="00A22D3A" w:rsidP="00A22D3A">
            <w:pPr>
              <w:rPr>
                <w:rFonts w:cs="Arial"/>
                <w:sz w:val="18"/>
                <w:szCs w:val="18"/>
              </w:rPr>
            </w:pPr>
          </w:p>
        </w:tc>
      </w:tr>
      <w:tr w:rsidR="00A22D3A" w:rsidRPr="00FA30C8" w14:paraId="0F5F5F9B" w14:textId="77777777" w:rsidTr="00F830D1">
        <w:trPr>
          <w:jc w:val="center"/>
        </w:trPr>
        <w:tc>
          <w:tcPr>
            <w:tcW w:w="3632" w:type="dxa"/>
            <w:gridSpan w:val="2"/>
            <w:vMerge/>
            <w:tcBorders>
              <w:left w:val="single" w:sz="4" w:space="0" w:color="auto"/>
            </w:tcBorders>
            <w:vAlign w:val="center"/>
          </w:tcPr>
          <w:p w14:paraId="6A2C7D89" w14:textId="77777777" w:rsidR="00A22D3A" w:rsidRPr="00FA30C8" w:rsidRDefault="00A22D3A" w:rsidP="00A22D3A">
            <w:pPr>
              <w:rPr>
                <w:rFonts w:cs="Arial"/>
                <w:sz w:val="18"/>
                <w:szCs w:val="18"/>
              </w:rPr>
            </w:pPr>
          </w:p>
        </w:tc>
        <w:tc>
          <w:tcPr>
            <w:tcW w:w="1117" w:type="dxa"/>
            <w:gridSpan w:val="2"/>
            <w:vMerge/>
            <w:vAlign w:val="center"/>
          </w:tcPr>
          <w:p w14:paraId="47D8F325" w14:textId="77777777" w:rsidR="00A22D3A" w:rsidRPr="00FA30C8" w:rsidRDefault="00A22D3A" w:rsidP="00A22D3A">
            <w:pPr>
              <w:rPr>
                <w:rFonts w:cs="Arial"/>
                <w:sz w:val="18"/>
                <w:szCs w:val="18"/>
              </w:rPr>
            </w:pPr>
          </w:p>
        </w:tc>
        <w:tc>
          <w:tcPr>
            <w:tcW w:w="1154" w:type="dxa"/>
            <w:gridSpan w:val="2"/>
            <w:vMerge/>
            <w:vAlign w:val="center"/>
          </w:tcPr>
          <w:p w14:paraId="68F4AE60" w14:textId="77777777" w:rsidR="00A22D3A" w:rsidRPr="00FA30C8" w:rsidRDefault="00A22D3A" w:rsidP="00A22D3A">
            <w:pPr>
              <w:rPr>
                <w:rFonts w:cs="Arial"/>
                <w:sz w:val="18"/>
                <w:szCs w:val="18"/>
              </w:rPr>
            </w:pPr>
          </w:p>
        </w:tc>
        <w:tc>
          <w:tcPr>
            <w:tcW w:w="1039" w:type="dxa"/>
            <w:gridSpan w:val="2"/>
            <w:vMerge/>
            <w:vAlign w:val="center"/>
          </w:tcPr>
          <w:p w14:paraId="0DD29436" w14:textId="77777777" w:rsidR="00A22D3A" w:rsidRPr="00FA30C8" w:rsidRDefault="00A22D3A" w:rsidP="00A22D3A">
            <w:pPr>
              <w:rPr>
                <w:rFonts w:cs="Arial"/>
                <w:sz w:val="18"/>
                <w:szCs w:val="18"/>
              </w:rPr>
            </w:pPr>
          </w:p>
        </w:tc>
        <w:tc>
          <w:tcPr>
            <w:tcW w:w="2304" w:type="dxa"/>
            <w:vMerge/>
            <w:vAlign w:val="center"/>
          </w:tcPr>
          <w:p w14:paraId="628C8E58" w14:textId="77777777" w:rsidR="00A22D3A" w:rsidRPr="00FA30C8" w:rsidRDefault="00A22D3A" w:rsidP="00A22D3A">
            <w:pPr>
              <w:rPr>
                <w:rFonts w:cs="Arial"/>
                <w:sz w:val="18"/>
                <w:szCs w:val="18"/>
              </w:rPr>
            </w:pPr>
          </w:p>
        </w:tc>
        <w:tc>
          <w:tcPr>
            <w:tcW w:w="1497" w:type="dxa"/>
            <w:gridSpan w:val="3"/>
            <w:vAlign w:val="center"/>
          </w:tcPr>
          <w:p w14:paraId="453D9EAF" w14:textId="77777777" w:rsidR="00A22D3A" w:rsidRPr="00FA30C8" w:rsidRDefault="00A22D3A" w:rsidP="00A22D3A">
            <w:pPr>
              <w:rPr>
                <w:rFonts w:cs="Arial"/>
                <w:sz w:val="18"/>
                <w:szCs w:val="18"/>
              </w:rPr>
            </w:pPr>
            <w:r w:rsidRPr="00FA30C8">
              <w:rPr>
                <w:rFonts w:cs="Arial"/>
                <w:sz w:val="18"/>
                <w:szCs w:val="18"/>
              </w:rPr>
              <w:t>Actual amount achieved</w:t>
            </w:r>
          </w:p>
        </w:tc>
        <w:tc>
          <w:tcPr>
            <w:tcW w:w="740" w:type="dxa"/>
            <w:vAlign w:val="center"/>
          </w:tcPr>
          <w:p w14:paraId="67FD7BCF" w14:textId="77777777" w:rsidR="00A22D3A" w:rsidRPr="00FA30C8" w:rsidRDefault="00A22D3A" w:rsidP="00A22D3A">
            <w:pPr>
              <w:jc w:val="center"/>
              <w:rPr>
                <w:rFonts w:cs="Arial"/>
                <w:sz w:val="18"/>
                <w:szCs w:val="18"/>
              </w:rPr>
            </w:pPr>
            <w:r w:rsidRPr="00FA30C8">
              <w:rPr>
                <w:rFonts w:cs="Arial"/>
                <w:sz w:val="18"/>
                <w:szCs w:val="18"/>
              </w:rPr>
              <w:t>0</w:t>
            </w:r>
          </w:p>
        </w:tc>
        <w:tc>
          <w:tcPr>
            <w:tcW w:w="1473" w:type="dxa"/>
            <w:gridSpan w:val="3"/>
            <w:vMerge/>
            <w:tcBorders>
              <w:right w:val="single" w:sz="4" w:space="0" w:color="auto"/>
            </w:tcBorders>
            <w:vAlign w:val="center"/>
          </w:tcPr>
          <w:p w14:paraId="0283A50C" w14:textId="77777777" w:rsidR="00A22D3A" w:rsidRPr="00FA30C8" w:rsidRDefault="00A22D3A" w:rsidP="00A22D3A">
            <w:pPr>
              <w:rPr>
                <w:rFonts w:cs="Arial"/>
                <w:sz w:val="18"/>
                <w:szCs w:val="18"/>
              </w:rPr>
            </w:pPr>
          </w:p>
        </w:tc>
      </w:tr>
      <w:tr w:rsidR="00A22D3A" w:rsidRPr="00FA30C8" w14:paraId="2879170D" w14:textId="77777777" w:rsidTr="00F830D1">
        <w:trPr>
          <w:jc w:val="center"/>
        </w:trPr>
        <w:tc>
          <w:tcPr>
            <w:tcW w:w="12956" w:type="dxa"/>
            <w:gridSpan w:val="16"/>
            <w:tcBorders>
              <w:left w:val="single" w:sz="4" w:space="0" w:color="auto"/>
              <w:right w:val="single" w:sz="4" w:space="0" w:color="auto"/>
            </w:tcBorders>
            <w:shd w:val="clear" w:color="auto" w:fill="DBE5F1" w:themeFill="accent1" w:themeFillTint="33"/>
            <w:vAlign w:val="center"/>
          </w:tcPr>
          <w:p w14:paraId="58E37129" w14:textId="77777777" w:rsidR="00A22D3A" w:rsidRPr="00FA30C8" w:rsidRDefault="00A22D3A" w:rsidP="00A22D3A">
            <w:pPr>
              <w:rPr>
                <w:rFonts w:cs="Arial"/>
                <w:b/>
                <w:sz w:val="18"/>
                <w:szCs w:val="18"/>
              </w:rPr>
            </w:pPr>
            <w:r w:rsidRPr="00FA30C8">
              <w:rPr>
                <w:rFonts w:cs="Arial"/>
                <w:b/>
                <w:sz w:val="18"/>
                <w:szCs w:val="18"/>
              </w:rPr>
              <w:t>Outcome #4: Investment in economic infrastructure through a selected Public Private Partnership (PPP) project increased</w:t>
            </w:r>
          </w:p>
        </w:tc>
      </w:tr>
      <w:tr w:rsidR="00A22D3A" w:rsidRPr="00FA30C8" w14:paraId="69508E2A" w14:textId="77777777" w:rsidTr="00F830D1">
        <w:trPr>
          <w:jc w:val="center"/>
        </w:trPr>
        <w:tc>
          <w:tcPr>
            <w:tcW w:w="3632" w:type="dxa"/>
            <w:gridSpan w:val="2"/>
            <w:vMerge w:val="restart"/>
            <w:tcBorders>
              <w:left w:val="single" w:sz="4" w:space="0" w:color="auto"/>
            </w:tcBorders>
            <w:vAlign w:val="center"/>
          </w:tcPr>
          <w:p w14:paraId="48760971" w14:textId="3F79C7DD" w:rsidR="00A22D3A" w:rsidRPr="00FA30C8" w:rsidRDefault="00A22D3A" w:rsidP="00A22D3A">
            <w:pPr>
              <w:rPr>
                <w:rFonts w:cs="Arial"/>
                <w:sz w:val="18"/>
                <w:szCs w:val="18"/>
                <w:highlight w:val="yellow"/>
              </w:rPr>
            </w:pPr>
            <w:r w:rsidRPr="00FA30C8">
              <w:rPr>
                <w:rFonts w:cs="Arial"/>
                <w:sz w:val="18"/>
                <w:szCs w:val="18"/>
              </w:rPr>
              <w:t>Indicator #1: PPP methodology developed</w:t>
            </w:r>
          </w:p>
        </w:tc>
        <w:tc>
          <w:tcPr>
            <w:tcW w:w="1117" w:type="dxa"/>
            <w:gridSpan w:val="2"/>
            <w:vMerge w:val="restart"/>
            <w:vAlign w:val="center"/>
          </w:tcPr>
          <w:p w14:paraId="735504F8" w14:textId="77777777" w:rsidR="00A22D3A" w:rsidRPr="00FA30C8" w:rsidRDefault="00A22D3A" w:rsidP="00A22D3A">
            <w:pPr>
              <w:jc w:val="center"/>
              <w:rPr>
                <w:rFonts w:cs="Arial"/>
                <w:sz w:val="18"/>
                <w:szCs w:val="18"/>
              </w:rPr>
            </w:pPr>
            <w:r w:rsidRPr="00FA30C8">
              <w:rPr>
                <w:rFonts w:cs="Arial"/>
                <w:sz w:val="18"/>
                <w:szCs w:val="18"/>
              </w:rPr>
              <w:t>Project</w:t>
            </w:r>
          </w:p>
        </w:tc>
        <w:tc>
          <w:tcPr>
            <w:tcW w:w="1154" w:type="dxa"/>
            <w:gridSpan w:val="2"/>
            <w:vMerge w:val="restart"/>
            <w:vAlign w:val="center"/>
          </w:tcPr>
          <w:p w14:paraId="1FACA4E4" w14:textId="77777777" w:rsidR="00A22D3A" w:rsidRPr="00FA30C8" w:rsidRDefault="00A22D3A" w:rsidP="00A22D3A">
            <w:pPr>
              <w:jc w:val="center"/>
              <w:rPr>
                <w:rFonts w:cs="Arial"/>
                <w:sz w:val="18"/>
                <w:szCs w:val="18"/>
              </w:rPr>
            </w:pPr>
            <w:r w:rsidRPr="00FA30C8">
              <w:rPr>
                <w:rFonts w:cs="Arial"/>
                <w:sz w:val="18"/>
                <w:szCs w:val="18"/>
              </w:rPr>
              <w:t>0</w:t>
            </w:r>
          </w:p>
        </w:tc>
        <w:tc>
          <w:tcPr>
            <w:tcW w:w="1039" w:type="dxa"/>
            <w:gridSpan w:val="2"/>
            <w:vMerge w:val="restart"/>
            <w:vAlign w:val="center"/>
          </w:tcPr>
          <w:p w14:paraId="3D3E8FFA" w14:textId="77777777" w:rsidR="00A22D3A" w:rsidRPr="00FA30C8" w:rsidRDefault="00A22D3A" w:rsidP="00A22D3A">
            <w:pPr>
              <w:jc w:val="center"/>
              <w:rPr>
                <w:rFonts w:cs="Arial"/>
                <w:sz w:val="18"/>
                <w:szCs w:val="18"/>
              </w:rPr>
            </w:pPr>
            <w:r w:rsidRPr="00FA30C8">
              <w:rPr>
                <w:rFonts w:cs="Arial"/>
                <w:sz w:val="18"/>
                <w:szCs w:val="18"/>
              </w:rPr>
              <w:t>2010</w:t>
            </w:r>
          </w:p>
        </w:tc>
        <w:tc>
          <w:tcPr>
            <w:tcW w:w="2304" w:type="dxa"/>
            <w:vMerge w:val="restart"/>
            <w:vAlign w:val="center"/>
          </w:tcPr>
          <w:p w14:paraId="242638CC" w14:textId="77777777" w:rsidR="00A22D3A" w:rsidRPr="00FA30C8" w:rsidRDefault="00A22D3A" w:rsidP="00A22D3A">
            <w:pPr>
              <w:rPr>
                <w:rFonts w:cs="Arial"/>
                <w:sz w:val="18"/>
                <w:szCs w:val="18"/>
              </w:rPr>
            </w:pPr>
            <w:r w:rsidRPr="00FA30C8">
              <w:rPr>
                <w:rFonts w:cs="Arial"/>
                <w:sz w:val="18"/>
                <w:szCs w:val="18"/>
              </w:rPr>
              <w:t>Review of bidding documents assuring that the selected project complies with PPP procurement methodology best practice standards</w:t>
            </w:r>
          </w:p>
        </w:tc>
        <w:tc>
          <w:tcPr>
            <w:tcW w:w="1497" w:type="dxa"/>
            <w:gridSpan w:val="3"/>
            <w:vAlign w:val="center"/>
          </w:tcPr>
          <w:p w14:paraId="695DAED1" w14:textId="77777777" w:rsidR="00A22D3A" w:rsidRPr="00FA30C8" w:rsidRDefault="00A22D3A" w:rsidP="00A22D3A">
            <w:pPr>
              <w:rPr>
                <w:rFonts w:cs="Arial"/>
                <w:sz w:val="18"/>
                <w:szCs w:val="18"/>
              </w:rPr>
            </w:pPr>
            <w:r w:rsidRPr="00FA30C8">
              <w:rPr>
                <w:rFonts w:cs="Arial"/>
                <w:sz w:val="18"/>
                <w:szCs w:val="18"/>
              </w:rPr>
              <w:t>Original Target value</w:t>
            </w:r>
          </w:p>
        </w:tc>
        <w:tc>
          <w:tcPr>
            <w:tcW w:w="740" w:type="dxa"/>
            <w:vAlign w:val="center"/>
          </w:tcPr>
          <w:p w14:paraId="4A08776B" w14:textId="77777777" w:rsidR="00A22D3A" w:rsidRPr="00FA30C8" w:rsidRDefault="00A22D3A" w:rsidP="00A22D3A">
            <w:pPr>
              <w:jc w:val="center"/>
              <w:rPr>
                <w:rFonts w:cs="Arial"/>
                <w:sz w:val="18"/>
                <w:szCs w:val="18"/>
              </w:rPr>
            </w:pPr>
            <w:r w:rsidRPr="00FA30C8">
              <w:rPr>
                <w:rFonts w:cs="Arial"/>
                <w:sz w:val="18"/>
                <w:szCs w:val="18"/>
              </w:rPr>
              <w:t>1</w:t>
            </w:r>
          </w:p>
        </w:tc>
        <w:tc>
          <w:tcPr>
            <w:tcW w:w="1473" w:type="dxa"/>
            <w:gridSpan w:val="3"/>
            <w:vMerge w:val="restart"/>
            <w:tcBorders>
              <w:right w:val="single" w:sz="4" w:space="0" w:color="auto"/>
            </w:tcBorders>
            <w:vAlign w:val="center"/>
          </w:tcPr>
          <w:p w14:paraId="41DA2880" w14:textId="52EAB846" w:rsidR="00A22D3A" w:rsidRPr="00FA30C8" w:rsidRDefault="00A22D3A" w:rsidP="00A22D3A">
            <w:pPr>
              <w:jc w:val="center"/>
              <w:rPr>
                <w:rFonts w:cs="Arial"/>
                <w:sz w:val="18"/>
                <w:szCs w:val="18"/>
              </w:rPr>
            </w:pPr>
          </w:p>
        </w:tc>
      </w:tr>
      <w:tr w:rsidR="00A22D3A" w:rsidRPr="00FA30C8" w14:paraId="6E82D46D" w14:textId="77777777" w:rsidTr="00F830D1">
        <w:trPr>
          <w:jc w:val="center"/>
        </w:trPr>
        <w:tc>
          <w:tcPr>
            <w:tcW w:w="3632" w:type="dxa"/>
            <w:gridSpan w:val="2"/>
            <w:vMerge/>
            <w:tcBorders>
              <w:left w:val="single" w:sz="4" w:space="0" w:color="auto"/>
            </w:tcBorders>
            <w:vAlign w:val="center"/>
          </w:tcPr>
          <w:p w14:paraId="526ACF07" w14:textId="77777777" w:rsidR="00A22D3A" w:rsidRPr="00FA30C8" w:rsidRDefault="00A22D3A" w:rsidP="00A22D3A">
            <w:pPr>
              <w:rPr>
                <w:rFonts w:cs="Arial"/>
                <w:sz w:val="18"/>
                <w:szCs w:val="18"/>
                <w:highlight w:val="yellow"/>
              </w:rPr>
            </w:pPr>
          </w:p>
        </w:tc>
        <w:tc>
          <w:tcPr>
            <w:tcW w:w="1117" w:type="dxa"/>
            <w:gridSpan w:val="2"/>
            <w:vMerge/>
            <w:vAlign w:val="center"/>
          </w:tcPr>
          <w:p w14:paraId="66951D5A" w14:textId="77777777" w:rsidR="00A22D3A" w:rsidRPr="00FA30C8" w:rsidRDefault="00A22D3A" w:rsidP="00A22D3A">
            <w:pPr>
              <w:rPr>
                <w:rFonts w:cs="Arial"/>
                <w:sz w:val="18"/>
                <w:szCs w:val="18"/>
                <w:highlight w:val="yellow"/>
              </w:rPr>
            </w:pPr>
          </w:p>
        </w:tc>
        <w:tc>
          <w:tcPr>
            <w:tcW w:w="1154" w:type="dxa"/>
            <w:gridSpan w:val="2"/>
            <w:vMerge/>
            <w:vAlign w:val="center"/>
          </w:tcPr>
          <w:p w14:paraId="0193EF6C" w14:textId="77777777" w:rsidR="00A22D3A" w:rsidRPr="00FA30C8" w:rsidRDefault="00A22D3A" w:rsidP="00A22D3A">
            <w:pPr>
              <w:rPr>
                <w:rFonts w:cs="Arial"/>
                <w:sz w:val="18"/>
                <w:szCs w:val="18"/>
                <w:highlight w:val="yellow"/>
              </w:rPr>
            </w:pPr>
          </w:p>
        </w:tc>
        <w:tc>
          <w:tcPr>
            <w:tcW w:w="1039" w:type="dxa"/>
            <w:gridSpan w:val="2"/>
            <w:vMerge/>
            <w:vAlign w:val="center"/>
          </w:tcPr>
          <w:p w14:paraId="2354C107" w14:textId="77777777" w:rsidR="00A22D3A" w:rsidRPr="00FA30C8" w:rsidRDefault="00A22D3A" w:rsidP="00A22D3A">
            <w:pPr>
              <w:rPr>
                <w:rFonts w:cs="Arial"/>
                <w:sz w:val="18"/>
                <w:szCs w:val="18"/>
                <w:highlight w:val="yellow"/>
              </w:rPr>
            </w:pPr>
          </w:p>
        </w:tc>
        <w:tc>
          <w:tcPr>
            <w:tcW w:w="2304" w:type="dxa"/>
            <w:vMerge/>
            <w:vAlign w:val="center"/>
          </w:tcPr>
          <w:p w14:paraId="057DE544" w14:textId="77777777" w:rsidR="00A22D3A" w:rsidRPr="00FA30C8" w:rsidRDefault="00A22D3A" w:rsidP="00A22D3A">
            <w:pPr>
              <w:rPr>
                <w:rFonts w:cs="Arial"/>
                <w:sz w:val="18"/>
                <w:szCs w:val="18"/>
                <w:highlight w:val="yellow"/>
              </w:rPr>
            </w:pPr>
          </w:p>
        </w:tc>
        <w:tc>
          <w:tcPr>
            <w:tcW w:w="1497" w:type="dxa"/>
            <w:gridSpan w:val="3"/>
            <w:vAlign w:val="center"/>
          </w:tcPr>
          <w:p w14:paraId="49D117C3" w14:textId="77777777" w:rsidR="00A22D3A" w:rsidRPr="00FA30C8" w:rsidRDefault="00A22D3A" w:rsidP="00A22D3A">
            <w:pPr>
              <w:rPr>
                <w:rFonts w:cs="Arial"/>
                <w:sz w:val="18"/>
                <w:szCs w:val="18"/>
              </w:rPr>
            </w:pPr>
            <w:r w:rsidRPr="00FA30C8">
              <w:rPr>
                <w:rFonts w:cs="Arial"/>
                <w:sz w:val="18"/>
                <w:szCs w:val="18"/>
              </w:rPr>
              <w:t>Revised target value</w:t>
            </w:r>
          </w:p>
        </w:tc>
        <w:tc>
          <w:tcPr>
            <w:tcW w:w="740" w:type="dxa"/>
            <w:shd w:val="clear" w:color="auto" w:fill="auto"/>
            <w:vAlign w:val="center"/>
          </w:tcPr>
          <w:p w14:paraId="758982EB" w14:textId="77777777" w:rsidR="00A22D3A" w:rsidRPr="00FA30C8" w:rsidRDefault="00A22D3A" w:rsidP="00A22D3A">
            <w:pPr>
              <w:jc w:val="center"/>
              <w:rPr>
                <w:rFonts w:cs="Arial"/>
                <w:sz w:val="18"/>
                <w:szCs w:val="18"/>
                <w:highlight w:val="yellow"/>
              </w:rPr>
            </w:pPr>
            <w:r w:rsidRPr="00FA30C8">
              <w:rPr>
                <w:rFonts w:cs="Arial"/>
                <w:sz w:val="18"/>
                <w:szCs w:val="18"/>
              </w:rPr>
              <w:t>-</w:t>
            </w:r>
          </w:p>
        </w:tc>
        <w:tc>
          <w:tcPr>
            <w:tcW w:w="1473" w:type="dxa"/>
            <w:gridSpan w:val="3"/>
            <w:vMerge/>
            <w:tcBorders>
              <w:right w:val="single" w:sz="4" w:space="0" w:color="auto"/>
            </w:tcBorders>
            <w:vAlign w:val="center"/>
          </w:tcPr>
          <w:p w14:paraId="37706942" w14:textId="77777777" w:rsidR="00A22D3A" w:rsidRPr="00FA30C8" w:rsidRDefault="00A22D3A" w:rsidP="00A22D3A">
            <w:pPr>
              <w:rPr>
                <w:rFonts w:cs="Arial"/>
                <w:sz w:val="18"/>
                <w:szCs w:val="18"/>
              </w:rPr>
            </w:pPr>
          </w:p>
        </w:tc>
      </w:tr>
      <w:tr w:rsidR="00A22D3A" w:rsidRPr="00FA30C8" w14:paraId="70B9EB1C" w14:textId="77777777" w:rsidTr="00F830D1">
        <w:trPr>
          <w:jc w:val="center"/>
        </w:trPr>
        <w:tc>
          <w:tcPr>
            <w:tcW w:w="3632" w:type="dxa"/>
            <w:gridSpan w:val="2"/>
            <w:vMerge/>
            <w:tcBorders>
              <w:left w:val="single" w:sz="4" w:space="0" w:color="auto"/>
              <w:bottom w:val="single" w:sz="4" w:space="0" w:color="auto"/>
            </w:tcBorders>
            <w:vAlign w:val="center"/>
          </w:tcPr>
          <w:p w14:paraId="2C1C566E" w14:textId="77777777" w:rsidR="00A22D3A" w:rsidRPr="00FA30C8" w:rsidRDefault="00A22D3A" w:rsidP="00A22D3A">
            <w:pPr>
              <w:rPr>
                <w:rFonts w:cs="Arial"/>
                <w:sz w:val="18"/>
                <w:szCs w:val="18"/>
                <w:highlight w:val="yellow"/>
              </w:rPr>
            </w:pPr>
          </w:p>
        </w:tc>
        <w:tc>
          <w:tcPr>
            <w:tcW w:w="1117" w:type="dxa"/>
            <w:gridSpan w:val="2"/>
            <w:vMerge/>
            <w:tcBorders>
              <w:bottom w:val="single" w:sz="4" w:space="0" w:color="auto"/>
            </w:tcBorders>
            <w:vAlign w:val="center"/>
          </w:tcPr>
          <w:p w14:paraId="562C851D" w14:textId="77777777" w:rsidR="00A22D3A" w:rsidRPr="00FA30C8" w:rsidRDefault="00A22D3A" w:rsidP="00A22D3A">
            <w:pPr>
              <w:rPr>
                <w:rFonts w:cs="Arial"/>
                <w:sz w:val="18"/>
                <w:szCs w:val="18"/>
                <w:highlight w:val="yellow"/>
              </w:rPr>
            </w:pPr>
          </w:p>
        </w:tc>
        <w:tc>
          <w:tcPr>
            <w:tcW w:w="1154" w:type="dxa"/>
            <w:gridSpan w:val="2"/>
            <w:vMerge/>
            <w:tcBorders>
              <w:bottom w:val="single" w:sz="4" w:space="0" w:color="auto"/>
            </w:tcBorders>
            <w:vAlign w:val="center"/>
          </w:tcPr>
          <w:p w14:paraId="04FB8A7F" w14:textId="77777777" w:rsidR="00A22D3A" w:rsidRPr="00FA30C8" w:rsidRDefault="00A22D3A" w:rsidP="00A22D3A">
            <w:pPr>
              <w:rPr>
                <w:rFonts w:cs="Arial"/>
                <w:sz w:val="18"/>
                <w:szCs w:val="18"/>
                <w:highlight w:val="yellow"/>
              </w:rPr>
            </w:pPr>
          </w:p>
        </w:tc>
        <w:tc>
          <w:tcPr>
            <w:tcW w:w="1039" w:type="dxa"/>
            <w:gridSpan w:val="2"/>
            <w:vMerge/>
            <w:tcBorders>
              <w:bottom w:val="single" w:sz="4" w:space="0" w:color="auto"/>
            </w:tcBorders>
            <w:vAlign w:val="center"/>
          </w:tcPr>
          <w:p w14:paraId="40FCDF43" w14:textId="77777777" w:rsidR="00A22D3A" w:rsidRPr="00FA30C8" w:rsidRDefault="00A22D3A" w:rsidP="00A22D3A">
            <w:pPr>
              <w:rPr>
                <w:rFonts w:cs="Arial"/>
                <w:sz w:val="18"/>
                <w:szCs w:val="18"/>
                <w:highlight w:val="yellow"/>
              </w:rPr>
            </w:pPr>
          </w:p>
        </w:tc>
        <w:tc>
          <w:tcPr>
            <w:tcW w:w="2304" w:type="dxa"/>
            <w:vMerge/>
            <w:tcBorders>
              <w:bottom w:val="single" w:sz="4" w:space="0" w:color="auto"/>
            </w:tcBorders>
            <w:vAlign w:val="center"/>
          </w:tcPr>
          <w:p w14:paraId="400DDEDD" w14:textId="77777777" w:rsidR="00A22D3A" w:rsidRPr="00FA30C8" w:rsidRDefault="00A22D3A" w:rsidP="00A22D3A">
            <w:pPr>
              <w:rPr>
                <w:rFonts w:cs="Arial"/>
                <w:sz w:val="18"/>
                <w:szCs w:val="18"/>
                <w:highlight w:val="yellow"/>
              </w:rPr>
            </w:pPr>
          </w:p>
        </w:tc>
        <w:tc>
          <w:tcPr>
            <w:tcW w:w="1497" w:type="dxa"/>
            <w:gridSpan w:val="3"/>
            <w:tcBorders>
              <w:bottom w:val="single" w:sz="4" w:space="0" w:color="auto"/>
            </w:tcBorders>
            <w:vAlign w:val="center"/>
          </w:tcPr>
          <w:p w14:paraId="6F2B8FBC" w14:textId="77777777" w:rsidR="00A22D3A" w:rsidRPr="00FA30C8" w:rsidRDefault="00A22D3A" w:rsidP="00A22D3A">
            <w:pPr>
              <w:rPr>
                <w:rFonts w:cs="Arial"/>
                <w:sz w:val="18"/>
                <w:szCs w:val="18"/>
              </w:rPr>
            </w:pPr>
            <w:r w:rsidRPr="00FA30C8">
              <w:rPr>
                <w:rFonts w:cs="Arial"/>
                <w:sz w:val="18"/>
                <w:szCs w:val="18"/>
              </w:rPr>
              <w:t>Actual amount achieved</w:t>
            </w:r>
          </w:p>
        </w:tc>
        <w:tc>
          <w:tcPr>
            <w:tcW w:w="740" w:type="dxa"/>
            <w:tcBorders>
              <w:bottom w:val="single" w:sz="4" w:space="0" w:color="auto"/>
            </w:tcBorders>
            <w:shd w:val="clear" w:color="auto" w:fill="auto"/>
            <w:vAlign w:val="center"/>
          </w:tcPr>
          <w:p w14:paraId="75361C20" w14:textId="31DE3A03" w:rsidR="00A22D3A" w:rsidRPr="00FA30C8" w:rsidRDefault="00ED6889" w:rsidP="00A22D3A">
            <w:pPr>
              <w:jc w:val="center"/>
              <w:rPr>
                <w:rFonts w:cs="Arial"/>
                <w:sz w:val="18"/>
                <w:szCs w:val="18"/>
                <w:highlight w:val="yellow"/>
              </w:rPr>
            </w:pPr>
            <w:r w:rsidRPr="00FA30C8">
              <w:rPr>
                <w:rFonts w:cs="Arial"/>
                <w:sz w:val="18"/>
                <w:szCs w:val="18"/>
              </w:rPr>
              <w:t>0</w:t>
            </w:r>
          </w:p>
        </w:tc>
        <w:tc>
          <w:tcPr>
            <w:tcW w:w="1473" w:type="dxa"/>
            <w:gridSpan w:val="3"/>
            <w:vMerge/>
            <w:tcBorders>
              <w:bottom w:val="single" w:sz="4" w:space="0" w:color="auto"/>
              <w:right w:val="single" w:sz="4" w:space="0" w:color="auto"/>
            </w:tcBorders>
            <w:vAlign w:val="center"/>
          </w:tcPr>
          <w:p w14:paraId="37E1E924" w14:textId="77777777" w:rsidR="00A22D3A" w:rsidRPr="00FA30C8" w:rsidRDefault="00A22D3A" w:rsidP="00A22D3A">
            <w:pPr>
              <w:rPr>
                <w:rFonts w:cs="Arial"/>
                <w:sz w:val="18"/>
                <w:szCs w:val="18"/>
              </w:rPr>
            </w:pPr>
          </w:p>
        </w:tc>
      </w:tr>
      <w:tr w:rsidR="00A22D3A" w:rsidRPr="00FA30C8" w14:paraId="12C9B50B" w14:textId="77777777" w:rsidTr="00F830D1">
        <w:trPr>
          <w:jc w:val="center"/>
        </w:trPr>
        <w:tc>
          <w:tcPr>
            <w:tcW w:w="12956" w:type="dxa"/>
            <w:gridSpan w:val="16"/>
            <w:tcBorders>
              <w:left w:val="single" w:sz="4" w:space="0" w:color="auto"/>
              <w:right w:val="single" w:sz="4" w:space="0" w:color="auto"/>
            </w:tcBorders>
            <w:shd w:val="clear" w:color="auto" w:fill="DBE5F1" w:themeFill="accent1" w:themeFillTint="33"/>
            <w:vAlign w:val="center"/>
          </w:tcPr>
          <w:p w14:paraId="277D73A1" w14:textId="77777777" w:rsidR="00A22D3A" w:rsidRPr="00FA30C8" w:rsidRDefault="00A22D3A" w:rsidP="00A22D3A">
            <w:pPr>
              <w:rPr>
                <w:rFonts w:cs="Arial"/>
                <w:b/>
                <w:sz w:val="18"/>
                <w:szCs w:val="18"/>
              </w:rPr>
            </w:pPr>
            <w:r w:rsidRPr="00FA30C8">
              <w:rPr>
                <w:rFonts w:cs="Arial"/>
                <w:b/>
                <w:sz w:val="18"/>
                <w:szCs w:val="18"/>
              </w:rPr>
              <w:t>Outcome #5: Effective Public - Private Dialogue (PPD) on competitiveness issues carried out</w:t>
            </w:r>
          </w:p>
        </w:tc>
      </w:tr>
      <w:tr w:rsidR="00A22D3A" w:rsidRPr="00FA30C8" w14:paraId="34DC53F7" w14:textId="77777777" w:rsidTr="00F830D1">
        <w:trPr>
          <w:jc w:val="center"/>
        </w:trPr>
        <w:tc>
          <w:tcPr>
            <w:tcW w:w="3632" w:type="dxa"/>
            <w:gridSpan w:val="2"/>
            <w:vMerge w:val="restart"/>
            <w:tcBorders>
              <w:left w:val="single" w:sz="4" w:space="0" w:color="auto"/>
            </w:tcBorders>
            <w:vAlign w:val="center"/>
          </w:tcPr>
          <w:p w14:paraId="5F331A65" w14:textId="77777777" w:rsidR="00A22D3A" w:rsidRPr="00FA30C8" w:rsidRDefault="00A22D3A" w:rsidP="00A22D3A">
            <w:pPr>
              <w:rPr>
                <w:rFonts w:cs="Arial"/>
                <w:sz w:val="18"/>
                <w:szCs w:val="18"/>
              </w:rPr>
            </w:pPr>
            <w:r w:rsidRPr="00FA30C8">
              <w:rPr>
                <w:rFonts w:cs="Arial"/>
                <w:sz w:val="18"/>
                <w:szCs w:val="18"/>
              </w:rPr>
              <w:t>Indicator #1: Substantive meetings of Commission on Competitiveness held at which important policy issues are discussed and resolved</w:t>
            </w:r>
          </w:p>
        </w:tc>
        <w:tc>
          <w:tcPr>
            <w:tcW w:w="1117" w:type="dxa"/>
            <w:gridSpan w:val="2"/>
            <w:vMerge w:val="restart"/>
            <w:vAlign w:val="center"/>
          </w:tcPr>
          <w:p w14:paraId="468885C2" w14:textId="77777777" w:rsidR="00A22D3A" w:rsidRPr="00FA30C8" w:rsidRDefault="00A22D3A" w:rsidP="00A22D3A">
            <w:pPr>
              <w:jc w:val="center"/>
              <w:rPr>
                <w:rFonts w:cs="Arial"/>
                <w:sz w:val="18"/>
                <w:szCs w:val="18"/>
              </w:rPr>
            </w:pPr>
            <w:r w:rsidRPr="00FA30C8">
              <w:rPr>
                <w:rFonts w:cs="Arial"/>
                <w:sz w:val="18"/>
                <w:szCs w:val="18"/>
              </w:rPr>
              <w:t>Meetings</w:t>
            </w:r>
          </w:p>
        </w:tc>
        <w:tc>
          <w:tcPr>
            <w:tcW w:w="1154" w:type="dxa"/>
            <w:gridSpan w:val="2"/>
            <w:vMerge w:val="restart"/>
            <w:vAlign w:val="center"/>
          </w:tcPr>
          <w:p w14:paraId="7E8040FC" w14:textId="77777777" w:rsidR="00A22D3A" w:rsidRPr="00FA30C8" w:rsidRDefault="00A22D3A" w:rsidP="00A22D3A">
            <w:pPr>
              <w:jc w:val="center"/>
              <w:rPr>
                <w:rFonts w:cs="Arial"/>
                <w:sz w:val="18"/>
                <w:szCs w:val="18"/>
              </w:rPr>
            </w:pPr>
            <w:r w:rsidRPr="00FA30C8">
              <w:rPr>
                <w:rFonts w:cs="Arial"/>
                <w:sz w:val="18"/>
                <w:szCs w:val="18"/>
              </w:rPr>
              <w:t>0</w:t>
            </w:r>
          </w:p>
        </w:tc>
        <w:tc>
          <w:tcPr>
            <w:tcW w:w="1039" w:type="dxa"/>
            <w:gridSpan w:val="2"/>
            <w:vMerge w:val="restart"/>
            <w:vAlign w:val="center"/>
          </w:tcPr>
          <w:p w14:paraId="1949F7C3" w14:textId="77777777" w:rsidR="00A22D3A" w:rsidRPr="00FA30C8" w:rsidRDefault="00A22D3A" w:rsidP="00A22D3A">
            <w:pPr>
              <w:jc w:val="center"/>
              <w:rPr>
                <w:rFonts w:cs="Arial"/>
                <w:sz w:val="18"/>
                <w:szCs w:val="18"/>
              </w:rPr>
            </w:pPr>
            <w:r w:rsidRPr="00FA30C8">
              <w:rPr>
                <w:rFonts w:cs="Arial"/>
                <w:sz w:val="18"/>
                <w:szCs w:val="18"/>
              </w:rPr>
              <w:t>2010</w:t>
            </w:r>
          </w:p>
        </w:tc>
        <w:tc>
          <w:tcPr>
            <w:tcW w:w="2304" w:type="dxa"/>
            <w:vMerge w:val="restart"/>
            <w:vAlign w:val="center"/>
          </w:tcPr>
          <w:p w14:paraId="45B2C330" w14:textId="77777777" w:rsidR="00A22D3A" w:rsidRPr="00FA30C8" w:rsidRDefault="00A22D3A" w:rsidP="00A22D3A">
            <w:pPr>
              <w:rPr>
                <w:rFonts w:cs="Arial"/>
                <w:sz w:val="18"/>
                <w:szCs w:val="18"/>
              </w:rPr>
            </w:pPr>
            <w:r w:rsidRPr="00FA30C8">
              <w:rPr>
                <w:rFonts w:cs="Arial"/>
                <w:sz w:val="18"/>
                <w:szCs w:val="18"/>
              </w:rPr>
              <w:t>Evaluation of CC minutes of meetings to verify substance of discussions and consensus on conclusions reached at meetings</w:t>
            </w:r>
          </w:p>
        </w:tc>
        <w:tc>
          <w:tcPr>
            <w:tcW w:w="1497" w:type="dxa"/>
            <w:gridSpan w:val="3"/>
            <w:vAlign w:val="center"/>
          </w:tcPr>
          <w:p w14:paraId="75F6EFFC" w14:textId="77777777" w:rsidR="00A22D3A" w:rsidRPr="00FA30C8" w:rsidRDefault="00A22D3A" w:rsidP="00A22D3A">
            <w:pPr>
              <w:rPr>
                <w:rFonts w:cs="Arial"/>
                <w:sz w:val="18"/>
                <w:szCs w:val="18"/>
              </w:rPr>
            </w:pPr>
            <w:r w:rsidRPr="00FA30C8">
              <w:rPr>
                <w:rFonts w:cs="Arial"/>
                <w:sz w:val="18"/>
                <w:szCs w:val="18"/>
              </w:rPr>
              <w:t>Original Target value</w:t>
            </w:r>
          </w:p>
        </w:tc>
        <w:tc>
          <w:tcPr>
            <w:tcW w:w="740" w:type="dxa"/>
            <w:vAlign w:val="center"/>
          </w:tcPr>
          <w:p w14:paraId="1D6197CD" w14:textId="77777777" w:rsidR="00A22D3A" w:rsidRPr="00FA30C8" w:rsidRDefault="00A22D3A" w:rsidP="00A22D3A">
            <w:pPr>
              <w:jc w:val="center"/>
              <w:rPr>
                <w:rFonts w:cs="Arial"/>
                <w:sz w:val="18"/>
                <w:szCs w:val="18"/>
              </w:rPr>
            </w:pPr>
            <w:r w:rsidRPr="00FA30C8">
              <w:rPr>
                <w:rFonts w:cs="Arial"/>
                <w:sz w:val="18"/>
                <w:szCs w:val="18"/>
              </w:rPr>
              <w:t>4</w:t>
            </w:r>
          </w:p>
        </w:tc>
        <w:tc>
          <w:tcPr>
            <w:tcW w:w="1473" w:type="dxa"/>
            <w:gridSpan w:val="3"/>
            <w:vMerge w:val="restart"/>
            <w:tcBorders>
              <w:right w:val="single" w:sz="4" w:space="0" w:color="auto"/>
            </w:tcBorders>
            <w:vAlign w:val="center"/>
          </w:tcPr>
          <w:p w14:paraId="440953B0" w14:textId="77777777" w:rsidR="00A22D3A" w:rsidRPr="00FA30C8" w:rsidRDefault="00A22D3A" w:rsidP="00A22D3A">
            <w:pPr>
              <w:rPr>
                <w:rFonts w:cs="Arial"/>
                <w:sz w:val="18"/>
                <w:szCs w:val="18"/>
              </w:rPr>
            </w:pPr>
          </w:p>
        </w:tc>
      </w:tr>
      <w:tr w:rsidR="00A22D3A" w:rsidRPr="00FA30C8" w14:paraId="3F3522B2" w14:textId="77777777" w:rsidTr="00F830D1">
        <w:trPr>
          <w:jc w:val="center"/>
        </w:trPr>
        <w:tc>
          <w:tcPr>
            <w:tcW w:w="3632" w:type="dxa"/>
            <w:gridSpan w:val="2"/>
            <w:vMerge/>
            <w:tcBorders>
              <w:left w:val="single" w:sz="4" w:space="0" w:color="auto"/>
            </w:tcBorders>
            <w:vAlign w:val="center"/>
          </w:tcPr>
          <w:p w14:paraId="038DFA15" w14:textId="77777777" w:rsidR="00A22D3A" w:rsidRPr="00FA30C8" w:rsidRDefault="00A22D3A" w:rsidP="00A22D3A">
            <w:pPr>
              <w:rPr>
                <w:rFonts w:cs="Arial"/>
                <w:sz w:val="18"/>
                <w:szCs w:val="18"/>
              </w:rPr>
            </w:pPr>
          </w:p>
        </w:tc>
        <w:tc>
          <w:tcPr>
            <w:tcW w:w="1117" w:type="dxa"/>
            <w:gridSpan w:val="2"/>
            <w:vMerge/>
            <w:vAlign w:val="center"/>
          </w:tcPr>
          <w:p w14:paraId="78BFB8D0" w14:textId="77777777" w:rsidR="00A22D3A" w:rsidRPr="00FA30C8" w:rsidRDefault="00A22D3A" w:rsidP="00A22D3A">
            <w:pPr>
              <w:rPr>
                <w:rFonts w:cs="Arial"/>
                <w:sz w:val="18"/>
                <w:szCs w:val="18"/>
              </w:rPr>
            </w:pPr>
          </w:p>
        </w:tc>
        <w:tc>
          <w:tcPr>
            <w:tcW w:w="1154" w:type="dxa"/>
            <w:gridSpan w:val="2"/>
            <w:vMerge/>
            <w:vAlign w:val="center"/>
          </w:tcPr>
          <w:p w14:paraId="6E2204D0" w14:textId="77777777" w:rsidR="00A22D3A" w:rsidRPr="00FA30C8" w:rsidRDefault="00A22D3A" w:rsidP="00A22D3A">
            <w:pPr>
              <w:rPr>
                <w:rFonts w:cs="Arial"/>
                <w:sz w:val="18"/>
                <w:szCs w:val="18"/>
              </w:rPr>
            </w:pPr>
          </w:p>
        </w:tc>
        <w:tc>
          <w:tcPr>
            <w:tcW w:w="1039" w:type="dxa"/>
            <w:gridSpan w:val="2"/>
            <w:vMerge/>
            <w:vAlign w:val="center"/>
          </w:tcPr>
          <w:p w14:paraId="2A1F8624" w14:textId="77777777" w:rsidR="00A22D3A" w:rsidRPr="00FA30C8" w:rsidRDefault="00A22D3A" w:rsidP="00A22D3A">
            <w:pPr>
              <w:rPr>
                <w:rFonts w:cs="Arial"/>
                <w:sz w:val="18"/>
                <w:szCs w:val="18"/>
              </w:rPr>
            </w:pPr>
          </w:p>
        </w:tc>
        <w:tc>
          <w:tcPr>
            <w:tcW w:w="2304" w:type="dxa"/>
            <w:vMerge/>
            <w:vAlign w:val="center"/>
          </w:tcPr>
          <w:p w14:paraId="1669E02F" w14:textId="77777777" w:rsidR="00A22D3A" w:rsidRPr="00FA30C8" w:rsidRDefault="00A22D3A" w:rsidP="00A22D3A">
            <w:pPr>
              <w:rPr>
                <w:rFonts w:cs="Arial"/>
                <w:sz w:val="18"/>
                <w:szCs w:val="18"/>
              </w:rPr>
            </w:pPr>
          </w:p>
        </w:tc>
        <w:tc>
          <w:tcPr>
            <w:tcW w:w="1497" w:type="dxa"/>
            <w:gridSpan w:val="3"/>
            <w:vAlign w:val="center"/>
          </w:tcPr>
          <w:p w14:paraId="76CA1B06" w14:textId="77777777" w:rsidR="00A22D3A" w:rsidRPr="00FA30C8" w:rsidRDefault="00A22D3A" w:rsidP="00A22D3A">
            <w:pPr>
              <w:rPr>
                <w:rFonts w:cs="Arial"/>
                <w:sz w:val="18"/>
                <w:szCs w:val="18"/>
              </w:rPr>
            </w:pPr>
            <w:r w:rsidRPr="00FA30C8">
              <w:rPr>
                <w:rFonts w:cs="Arial"/>
                <w:sz w:val="18"/>
                <w:szCs w:val="18"/>
              </w:rPr>
              <w:t>Revised target value</w:t>
            </w:r>
          </w:p>
        </w:tc>
        <w:tc>
          <w:tcPr>
            <w:tcW w:w="740" w:type="dxa"/>
            <w:vAlign w:val="center"/>
          </w:tcPr>
          <w:p w14:paraId="427BBEF9" w14:textId="77777777" w:rsidR="00A22D3A" w:rsidRPr="00FA30C8" w:rsidRDefault="00A22D3A" w:rsidP="00A22D3A">
            <w:pPr>
              <w:jc w:val="center"/>
              <w:rPr>
                <w:rFonts w:cs="Arial"/>
                <w:sz w:val="18"/>
                <w:szCs w:val="18"/>
              </w:rPr>
            </w:pPr>
            <w:r w:rsidRPr="00FA30C8">
              <w:rPr>
                <w:rFonts w:cs="Arial"/>
                <w:sz w:val="18"/>
                <w:szCs w:val="18"/>
              </w:rPr>
              <w:t>-</w:t>
            </w:r>
          </w:p>
        </w:tc>
        <w:tc>
          <w:tcPr>
            <w:tcW w:w="1473" w:type="dxa"/>
            <w:gridSpan w:val="3"/>
            <w:vMerge/>
            <w:tcBorders>
              <w:right w:val="single" w:sz="4" w:space="0" w:color="auto"/>
            </w:tcBorders>
            <w:vAlign w:val="center"/>
          </w:tcPr>
          <w:p w14:paraId="205A31CC" w14:textId="77777777" w:rsidR="00A22D3A" w:rsidRPr="00FA30C8" w:rsidRDefault="00A22D3A" w:rsidP="00A22D3A">
            <w:pPr>
              <w:rPr>
                <w:rFonts w:cs="Arial"/>
                <w:sz w:val="18"/>
                <w:szCs w:val="18"/>
              </w:rPr>
            </w:pPr>
          </w:p>
        </w:tc>
      </w:tr>
      <w:tr w:rsidR="00A22D3A" w:rsidRPr="00FA30C8" w14:paraId="4E9C3221" w14:textId="77777777" w:rsidTr="00F830D1">
        <w:trPr>
          <w:jc w:val="center"/>
        </w:trPr>
        <w:tc>
          <w:tcPr>
            <w:tcW w:w="3632" w:type="dxa"/>
            <w:gridSpan w:val="2"/>
            <w:vMerge/>
            <w:tcBorders>
              <w:left w:val="single" w:sz="4" w:space="0" w:color="auto"/>
              <w:bottom w:val="single" w:sz="4" w:space="0" w:color="auto"/>
            </w:tcBorders>
            <w:vAlign w:val="center"/>
          </w:tcPr>
          <w:p w14:paraId="7480DA5B" w14:textId="77777777" w:rsidR="00A22D3A" w:rsidRPr="00FA30C8" w:rsidRDefault="00A22D3A" w:rsidP="00A22D3A">
            <w:pPr>
              <w:rPr>
                <w:rFonts w:cs="Arial"/>
                <w:sz w:val="18"/>
                <w:szCs w:val="18"/>
              </w:rPr>
            </w:pPr>
          </w:p>
        </w:tc>
        <w:tc>
          <w:tcPr>
            <w:tcW w:w="1117" w:type="dxa"/>
            <w:gridSpan w:val="2"/>
            <w:vMerge/>
            <w:tcBorders>
              <w:bottom w:val="single" w:sz="4" w:space="0" w:color="auto"/>
            </w:tcBorders>
            <w:vAlign w:val="center"/>
          </w:tcPr>
          <w:p w14:paraId="0E45D125" w14:textId="77777777" w:rsidR="00A22D3A" w:rsidRPr="00FA30C8" w:rsidRDefault="00A22D3A" w:rsidP="00A22D3A">
            <w:pPr>
              <w:rPr>
                <w:rFonts w:cs="Arial"/>
                <w:sz w:val="18"/>
                <w:szCs w:val="18"/>
              </w:rPr>
            </w:pPr>
          </w:p>
        </w:tc>
        <w:tc>
          <w:tcPr>
            <w:tcW w:w="1154" w:type="dxa"/>
            <w:gridSpan w:val="2"/>
            <w:vMerge/>
            <w:tcBorders>
              <w:bottom w:val="single" w:sz="4" w:space="0" w:color="auto"/>
            </w:tcBorders>
            <w:vAlign w:val="center"/>
          </w:tcPr>
          <w:p w14:paraId="27752420" w14:textId="77777777" w:rsidR="00A22D3A" w:rsidRPr="00FA30C8" w:rsidRDefault="00A22D3A" w:rsidP="00A22D3A">
            <w:pPr>
              <w:rPr>
                <w:rFonts w:cs="Arial"/>
                <w:sz w:val="18"/>
                <w:szCs w:val="18"/>
              </w:rPr>
            </w:pPr>
          </w:p>
        </w:tc>
        <w:tc>
          <w:tcPr>
            <w:tcW w:w="1039" w:type="dxa"/>
            <w:gridSpan w:val="2"/>
            <w:vMerge/>
            <w:tcBorders>
              <w:bottom w:val="single" w:sz="4" w:space="0" w:color="auto"/>
            </w:tcBorders>
            <w:vAlign w:val="center"/>
          </w:tcPr>
          <w:p w14:paraId="53F7B57E" w14:textId="77777777" w:rsidR="00A22D3A" w:rsidRPr="00FA30C8" w:rsidRDefault="00A22D3A" w:rsidP="00A22D3A">
            <w:pPr>
              <w:rPr>
                <w:rFonts w:cs="Arial"/>
                <w:sz w:val="18"/>
                <w:szCs w:val="18"/>
              </w:rPr>
            </w:pPr>
          </w:p>
        </w:tc>
        <w:tc>
          <w:tcPr>
            <w:tcW w:w="2304" w:type="dxa"/>
            <w:vMerge/>
            <w:tcBorders>
              <w:bottom w:val="single" w:sz="4" w:space="0" w:color="auto"/>
            </w:tcBorders>
            <w:vAlign w:val="center"/>
          </w:tcPr>
          <w:p w14:paraId="60FA82C1" w14:textId="77777777" w:rsidR="00A22D3A" w:rsidRPr="00FA30C8" w:rsidRDefault="00A22D3A" w:rsidP="00A22D3A">
            <w:pPr>
              <w:rPr>
                <w:rFonts w:cs="Arial"/>
                <w:sz w:val="18"/>
                <w:szCs w:val="18"/>
              </w:rPr>
            </w:pPr>
          </w:p>
        </w:tc>
        <w:tc>
          <w:tcPr>
            <w:tcW w:w="1497" w:type="dxa"/>
            <w:gridSpan w:val="3"/>
            <w:tcBorders>
              <w:bottom w:val="single" w:sz="4" w:space="0" w:color="auto"/>
            </w:tcBorders>
            <w:vAlign w:val="center"/>
          </w:tcPr>
          <w:p w14:paraId="05771A1B" w14:textId="77777777" w:rsidR="00A22D3A" w:rsidRPr="00FA30C8" w:rsidRDefault="00A22D3A" w:rsidP="00A22D3A">
            <w:pPr>
              <w:rPr>
                <w:rFonts w:cs="Arial"/>
                <w:sz w:val="18"/>
                <w:szCs w:val="18"/>
              </w:rPr>
            </w:pPr>
            <w:r w:rsidRPr="00FA30C8">
              <w:rPr>
                <w:rFonts w:cs="Arial"/>
                <w:sz w:val="18"/>
                <w:szCs w:val="18"/>
              </w:rPr>
              <w:t>Actual amount achieved</w:t>
            </w:r>
          </w:p>
        </w:tc>
        <w:tc>
          <w:tcPr>
            <w:tcW w:w="740" w:type="dxa"/>
            <w:tcBorders>
              <w:bottom w:val="single" w:sz="4" w:space="0" w:color="auto"/>
            </w:tcBorders>
            <w:vAlign w:val="center"/>
          </w:tcPr>
          <w:p w14:paraId="4531382E" w14:textId="77777777" w:rsidR="00A22D3A" w:rsidRPr="00FA30C8" w:rsidRDefault="00A22D3A" w:rsidP="00A22D3A">
            <w:pPr>
              <w:jc w:val="center"/>
              <w:rPr>
                <w:rFonts w:cs="Arial"/>
                <w:sz w:val="18"/>
                <w:szCs w:val="18"/>
              </w:rPr>
            </w:pPr>
            <w:r w:rsidRPr="00FA30C8">
              <w:rPr>
                <w:rFonts w:cs="Arial"/>
                <w:sz w:val="18"/>
                <w:szCs w:val="18"/>
              </w:rPr>
              <w:t>0</w:t>
            </w:r>
          </w:p>
        </w:tc>
        <w:tc>
          <w:tcPr>
            <w:tcW w:w="1473" w:type="dxa"/>
            <w:gridSpan w:val="3"/>
            <w:vMerge/>
            <w:tcBorders>
              <w:bottom w:val="single" w:sz="4" w:space="0" w:color="auto"/>
              <w:right w:val="single" w:sz="4" w:space="0" w:color="auto"/>
            </w:tcBorders>
            <w:vAlign w:val="center"/>
          </w:tcPr>
          <w:p w14:paraId="0C45034C" w14:textId="77777777" w:rsidR="00A22D3A" w:rsidRPr="00FA30C8" w:rsidRDefault="00A22D3A" w:rsidP="00A22D3A">
            <w:pPr>
              <w:rPr>
                <w:rFonts w:cs="Arial"/>
                <w:sz w:val="18"/>
                <w:szCs w:val="18"/>
              </w:rPr>
            </w:pPr>
          </w:p>
        </w:tc>
      </w:tr>
      <w:tr w:rsidR="00A22D3A" w:rsidRPr="00FA30C8" w14:paraId="5E598CFA" w14:textId="77777777" w:rsidTr="00F830D1">
        <w:trPr>
          <w:jc w:val="center"/>
        </w:trPr>
        <w:tc>
          <w:tcPr>
            <w:tcW w:w="3632" w:type="dxa"/>
            <w:gridSpan w:val="2"/>
            <w:vMerge w:val="restart"/>
            <w:tcBorders>
              <w:top w:val="single" w:sz="4" w:space="0" w:color="auto"/>
              <w:left w:val="single" w:sz="4" w:space="0" w:color="auto"/>
              <w:bottom w:val="single" w:sz="12" w:space="0" w:color="auto"/>
            </w:tcBorders>
            <w:vAlign w:val="center"/>
          </w:tcPr>
          <w:p w14:paraId="593C0CAE" w14:textId="77777777" w:rsidR="00A22D3A" w:rsidRPr="00FA30C8" w:rsidRDefault="00A22D3A" w:rsidP="00A22D3A">
            <w:pPr>
              <w:rPr>
                <w:rFonts w:cs="Arial"/>
                <w:sz w:val="18"/>
                <w:szCs w:val="18"/>
              </w:rPr>
            </w:pPr>
            <w:r w:rsidRPr="00FA30C8">
              <w:rPr>
                <w:rFonts w:cs="Arial"/>
                <w:sz w:val="18"/>
                <w:szCs w:val="18"/>
              </w:rPr>
              <w:t>Indicator #2: Technical Unit (TU) established and producing reports used in Commission on Competitiveness deliberations</w:t>
            </w:r>
          </w:p>
        </w:tc>
        <w:tc>
          <w:tcPr>
            <w:tcW w:w="1117" w:type="dxa"/>
            <w:gridSpan w:val="2"/>
            <w:vMerge w:val="restart"/>
            <w:tcBorders>
              <w:top w:val="single" w:sz="4" w:space="0" w:color="auto"/>
              <w:bottom w:val="single" w:sz="12" w:space="0" w:color="auto"/>
            </w:tcBorders>
            <w:vAlign w:val="center"/>
          </w:tcPr>
          <w:p w14:paraId="6FBF503E" w14:textId="77777777" w:rsidR="00A22D3A" w:rsidRPr="00FA30C8" w:rsidRDefault="00A22D3A" w:rsidP="00A22D3A">
            <w:pPr>
              <w:jc w:val="center"/>
              <w:rPr>
                <w:rFonts w:cs="Arial"/>
                <w:sz w:val="18"/>
                <w:szCs w:val="18"/>
              </w:rPr>
            </w:pPr>
            <w:r w:rsidRPr="00FA30C8">
              <w:rPr>
                <w:rFonts w:cs="Arial"/>
                <w:sz w:val="18"/>
                <w:szCs w:val="18"/>
              </w:rPr>
              <w:t>Reports</w:t>
            </w:r>
          </w:p>
        </w:tc>
        <w:tc>
          <w:tcPr>
            <w:tcW w:w="1154" w:type="dxa"/>
            <w:gridSpan w:val="2"/>
            <w:vMerge w:val="restart"/>
            <w:tcBorders>
              <w:top w:val="single" w:sz="4" w:space="0" w:color="auto"/>
              <w:bottom w:val="single" w:sz="12" w:space="0" w:color="auto"/>
            </w:tcBorders>
            <w:vAlign w:val="center"/>
          </w:tcPr>
          <w:p w14:paraId="19763CFB" w14:textId="77777777" w:rsidR="00A22D3A" w:rsidRPr="00FA30C8" w:rsidRDefault="00A22D3A" w:rsidP="00A22D3A">
            <w:pPr>
              <w:jc w:val="center"/>
              <w:rPr>
                <w:rFonts w:cs="Arial"/>
                <w:sz w:val="18"/>
                <w:szCs w:val="18"/>
              </w:rPr>
            </w:pPr>
            <w:r w:rsidRPr="00FA30C8">
              <w:rPr>
                <w:rFonts w:cs="Arial"/>
                <w:sz w:val="18"/>
                <w:szCs w:val="18"/>
              </w:rPr>
              <w:t>0</w:t>
            </w:r>
          </w:p>
        </w:tc>
        <w:tc>
          <w:tcPr>
            <w:tcW w:w="1039" w:type="dxa"/>
            <w:gridSpan w:val="2"/>
            <w:vMerge w:val="restart"/>
            <w:tcBorders>
              <w:top w:val="single" w:sz="4" w:space="0" w:color="auto"/>
              <w:bottom w:val="single" w:sz="12" w:space="0" w:color="auto"/>
            </w:tcBorders>
            <w:vAlign w:val="center"/>
          </w:tcPr>
          <w:p w14:paraId="680E36BB" w14:textId="77777777" w:rsidR="00A22D3A" w:rsidRPr="00FA30C8" w:rsidRDefault="00A22D3A" w:rsidP="00A22D3A">
            <w:pPr>
              <w:jc w:val="center"/>
              <w:rPr>
                <w:rFonts w:cs="Arial"/>
                <w:sz w:val="18"/>
                <w:szCs w:val="18"/>
              </w:rPr>
            </w:pPr>
            <w:r w:rsidRPr="00FA30C8">
              <w:rPr>
                <w:rFonts w:cs="Arial"/>
                <w:sz w:val="18"/>
                <w:szCs w:val="18"/>
              </w:rPr>
              <w:t>2010</w:t>
            </w:r>
          </w:p>
        </w:tc>
        <w:tc>
          <w:tcPr>
            <w:tcW w:w="2304" w:type="dxa"/>
            <w:vMerge w:val="restart"/>
            <w:tcBorders>
              <w:top w:val="single" w:sz="4" w:space="0" w:color="auto"/>
              <w:bottom w:val="single" w:sz="12" w:space="0" w:color="auto"/>
            </w:tcBorders>
            <w:vAlign w:val="center"/>
          </w:tcPr>
          <w:p w14:paraId="0456A411" w14:textId="77777777" w:rsidR="00A22D3A" w:rsidRPr="00FA30C8" w:rsidRDefault="00A22D3A" w:rsidP="00A22D3A">
            <w:pPr>
              <w:rPr>
                <w:rFonts w:cs="Arial"/>
                <w:sz w:val="18"/>
                <w:szCs w:val="18"/>
              </w:rPr>
            </w:pPr>
            <w:r w:rsidRPr="00FA30C8">
              <w:rPr>
                <w:rFonts w:cs="Arial"/>
                <w:sz w:val="18"/>
                <w:szCs w:val="18"/>
              </w:rPr>
              <w:t>Evaluation of CC minutes to determine extent to which TU reports were influential in decisions reached by the Commission</w:t>
            </w:r>
          </w:p>
        </w:tc>
        <w:tc>
          <w:tcPr>
            <w:tcW w:w="1497" w:type="dxa"/>
            <w:gridSpan w:val="3"/>
            <w:tcBorders>
              <w:top w:val="single" w:sz="4" w:space="0" w:color="auto"/>
              <w:bottom w:val="single" w:sz="4" w:space="0" w:color="auto"/>
            </w:tcBorders>
            <w:vAlign w:val="center"/>
          </w:tcPr>
          <w:p w14:paraId="0AE0C485" w14:textId="77777777" w:rsidR="00A22D3A" w:rsidRPr="00FA30C8" w:rsidRDefault="00A22D3A" w:rsidP="00A22D3A">
            <w:pPr>
              <w:rPr>
                <w:rFonts w:cs="Arial"/>
                <w:sz w:val="18"/>
                <w:szCs w:val="18"/>
              </w:rPr>
            </w:pPr>
            <w:r w:rsidRPr="00FA30C8">
              <w:rPr>
                <w:rFonts w:cs="Arial"/>
                <w:sz w:val="18"/>
                <w:szCs w:val="18"/>
              </w:rPr>
              <w:t>Original Target value</w:t>
            </w:r>
          </w:p>
        </w:tc>
        <w:tc>
          <w:tcPr>
            <w:tcW w:w="740" w:type="dxa"/>
            <w:tcBorders>
              <w:top w:val="single" w:sz="4" w:space="0" w:color="auto"/>
              <w:bottom w:val="single" w:sz="4" w:space="0" w:color="auto"/>
            </w:tcBorders>
            <w:vAlign w:val="center"/>
          </w:tcPr>
          <w:p w14:paraId="6BDFD976" w14:textId="77777777" w:rsidR="00A22D3A" w:rsidRPr="00FA30C8" w:rsidRDefault="00A22D3A" w:rsidP="00A22D3A">
            <w:pPr>
              <w:jc w:val="center"/>
              <w:rPr>
                <w:rFonts w:cs="Arial"/>
                <w:sz w:val="18"/>
                <w:szCs w:val="18"/>
              </w:rPr>
            </w:pPr>
            <w:r w:rsidRPr="00FA30C8">
              <w:rPr>
                <w:rFonts w:cs="Arial"/>
                <w:sz w:val="18"/>
                <w:szCs w:val="18"/>
              </w:rPr>
              <w:t>5</w:t>
            </w:r>
          </w:p>
        </w:tc>
        <w:tc>
          <w:tcPr>
            <w:tcW w:w="1473" w:type="dxa"/>
            <w:gridSpan w:val="3"/>
            <w:vMerge w:val="restart"/>
            <w:tcBorders>
              <w:top w:val="single" w:sz="4" w:space="0" w:color="auto"/>
              <w:right w:val="single" w:sz="4" w:space="0" w:color="auto"/>
            </w:tcBorders>
            <w:vAlign w:val="center"/>
          </w:tcPr>
          <w:p w14:paraId="05A67816" w14:textId="77777777" w:rsidR="00A22D3A" w:rsidRPr="00FA30C8" w:rsidRDefault="00A22D3A" w:rsidP="00A22D3A">
            <w:pPr>
              <w:rPr>
                <w:rFonts w:cs="Arial"/>
                <w:sz w:val="18"/>
                <w:szCs w:val="18"/>
              </w:rPr>
            </w:pPr>
          </w:p>
        </w:tc>
      </w:tr>
      <w:tr w:rsidR="00A22D3A" w:rsidRPr="00FA30C8" w14:paraId="3059581E" w14:textId="77777777" w:rsidTr="00F830D1">
        <w:trPr>
          <w:jc w:val="center"/>
        </w:trPr>
        <w:tc>
          <w:tcPr>
            <w:tcW w:w="3632" w:type="dxa"/>
            <w:gridSpan w:val="2"/>
            <w:vMerge/>
            <w:tcBorders>
              <w:top w:val="single" w:sz="12" w:space="0" w:color="auto"/>
              <w:left w:val="single" w:sz="4" w:space="0" w:color="auto"/>
            </w:tcBorders>
            <w:vAlign w:val="center"/>
          </w:tcPr>
          <w:p w14:paraId="2C823A5F" w14:textId="77777777" w:rsidR="00A22D3A" w:rsidRPr="00FA30C8" w:rsidRDefault="00A22D3A" w:rsidP="00A22D3A">
            <w:pPr>
              <w:rPr>
                <w:rFonts w:cs="Arial"/>
                <w:sz w:val="18"/>
                <w:szCs w:val="18"/>
              </w:rPr>
            </w:pPr>
          </w:p>
        </w:tc>
        <w:tc>
          <w:tcPr>
            <w:tcW w:w="1117" w:type="dxa"/>
            <w:gridSpan w:val="2"/>
            <w:vMerge/>
            <w:tcBorders>
              <w:top w:val="single" w:sz="12" w:space="0" w:color="auto"/>
            </w:tcBorders>
            <w:vAlign w:val="center"/>
          </w:tcPr>
          <w:p w14:paraId="1B062967" w14:textId="77777777" w:rsidR="00A22D3A" w:rsidRPr="00FA30C8" w:rsidRDefault="00A22D3A" w:rsidP="00A22D3A">
            <w:pPr>
              <w:rPr>
                <w:rFonts w:cs="Arial"/>
                <w:sz w:val="18"/>
                <w:szCs w:val="18"/>
              </w:rPr>
            </w:pPr>
          </w:p>
        </w:tc>
        <w:tc>
          <w:tcPr>
            <w:tcW w:w="1154" w:type="dxa"/>
            <w:gridSpan w:val="2"/>
            <w:vMerge/>
            <w:tcBorders>
              <w:top w:val="single" w:sz="12" w:space="0" w:color="auto"/>
            </w:tcBorders>
            <w:vAlign w:val="center"/>
          </w:tcPr>
          <w:p w14:paraId="566F148E" w14:textId="77777777" w:rsidR="00A22D3A" w:rsidRPr="00FA30C8" w:rsidRDefault="00A22D3A" w:rsidP="00A22D3A">
            <w:pPr>
              <w:rPr>
                <w:rFonts w:cs="Arial"/>
                <w:sz w:val="18"/>
                <w:szCs w:val="18"/>
              </w:rPr>
            </w:pPr>
          </w:p>
        </w:tc>
        <w:tc>
          <w:tcPr>
            <w:tcW w:w="1039" w:type="dxa"/>
            <w:gridSpan w:val="2"/>
            <w:vMerge/>
            <w:tcBorders>
              <w:top w:val="single" w:sz="12" w:space="0" w:color="auto"/>
            </w:tcBorders>
            <w:vAlign w:val="center"/>
          </w:tcPr>
          <w:p w14:paraId="7E747801" w14:textId="77777777" w:rsidR="00A22D3A" w:rsidRPr="00FA30C8" w:rsidRDefault="00A22D3A" w:rsidP="00A22D3A">
            <w:pPr>
              <w:rPr>
                <w:rFonts w:cs="Arial"/>
                <w:sz w:val="18"/>
                <w:szCs w:val="18"/>
              </w:rPr>
            </w:pPr>
          </w:p>
        </w:tc>
        <w:tc>
          <w:tcPr>
            <w:tcW w:w="2304" w:type="dxa"/>
            <w:vMerge/>
            <w:tcBorders>
              <w:top w:val="single" w:sz="12" w:space="0" w:color="auto"/>
            </w:tcBorders>
            <w:vAlign w:val="center"/>
          </w:tcPr>
          <w:p w14:paraId="552CB832" w14:textId="77777777" w:rsidR="00A22D3A" w:rsidRPr="00FA30C8" w:rsidRDefault="00A22D3A" w:rsidP="00A22D3A">
            <w:pPr>
              <w:rPr>
                <w:rFonts w:cs="Arial"/>
                <w:sz w:val="18"/>
                <w:szCs w:val="18"/>
              </w:rPr>
            </w:pPr>
          </w:p>
        </w:tc>
        <w:tc>
          <w:tcPr>
            <w:tcW w:w="1497" w:type="dxa"/>
            <w:gridSpan w:val="3"/>
            <w:tcBorders>
              <w:top w:val="single" w:sz="4" w:space="0" w:color="auto"/>
            </w:tcBorders>
            <w:vAlign w:val="center"/>
          </w:tcPr>
          <w:p w14:paraId="2FA33D7E" w14:textId="77777777" w:rsidR="00A22D3A" w:rsidRPr="00FA30C8" w:rsidRDefault="00A22D3A" w:rsidP="00A22D3A">
            <w:pPr>
              <w:rPr>
                <w:rFonts w:cs="Arial"/>
                <w:sz w:val="18"/>
                <w:szCs w:val="18"/>
              </w:rPr>
            </w:pPr>
            <w:r w:rsidRPr="00FA30C8">
              <w:rPr>
                <w:rFonts w:cs="Arial"/>
                <w:sz w:val="18"/>
                <w:szCs w:val="18"/>
              </w:rPr>
              <w:t>Revised target value</w:t>
            </w:r>
          </w:p>
        </w:tc>
        <w:tc>
          <w:tcPr>
            <w:tcW w:w="740" w:type="dxa"/>
            <w:tcBorders>
              <w:top w:val="single" w:sz="4" w:space="0" w:color="auto"/>
            </w:tcBorders>
            <w:vAlign w:val="center"/>
          </w:tcPr>
          <w:p w14:paraId="247AD0C2" w14:textId="77777777" w:rsidR="00A22D3A" w:rsidRPr="00FA30C8" w:rsidRDefault="00A22D3A" w:rsidP="00A22D3A">
            <w:pPr>
              <w:jc w:val="center"/>
              <w:rPr>
                <w:rFonts w:cs="Arial"/>
                <w:sz w:val="18"/>
                <w:szCs w:val="18"/>
              </w:rPr>
            </w:pPr>
            <w:r w:rsidRPr="00FA30C8">
              <w:rPr>
                <w:rFonts w:cs="Arial"/>
                <w:sz w:val="18"/>
                <w:szCs w:val="18"/>
              </w:rPr>
              <w:t>-</w:t>
            </w:r>
          </w:p>
        </w:tc>
        <w:tc>
          <w:tcPr>
            <w:tcW w:w="1473" w:type="dxa"/>
            <w:gridSpan w:val="3"/>
            <w:vMerge/>
            <w:tcBorders>
              <w:right w:val="single" w:sz="4" w:space="0" w:color="auto"/>
            </w:tcBorders>
            <w:vAlign w:val="center"/>
          </w:tcPr>
          <w:p w14:paraId="16A76EFB" w14:textId="77777777" w:rsidR="00A22D3A" w:rsidRPr="00FA30C8" w:rsidRDefault="00A22D3A" w:rsidP="00A22D3A">
            <w:pPr>
              <w:rPr>
                <w:rFonts w:cs="Arial"/>
                <w:sz w:val="18"/>
                <w:szCs w:val="18"/>
              </w:rPr>
            </w:pPr>
          </w:p>
        </w:tc>
      </w:tr>
      <w:tr w:rsidR="00A22D3A" w:rsidRPr="00FA30C8" w14:paraId="0DE3C847" w14:textId="77777777" w:rsidTr="00F830D1">
        <w:trPr>
          <w:jc w:val="center"/>
        </w:trPr>
        <w:tc>
          <w:tcPr>
            <w:tcW w:w="3632" w:type="dxa"/>
            <w:gridSpan w:val="2"/>
            <w:vMerge/>
            <w:tcBorders>
              <w:left w:val="single" w:sz="4" w:space="0" w:color="auto"/>
            </w:tcBorders>
            <w:vAlign w:val="center"/>
          </w:tcPr>
          <w:p w14:paraId="6E9654EE" w14:textId="77777777" w:rsidR="00A22D3A" w:rsidRPr="00FA30C8" w:rsidRDefault="00A22D3A" w:rsidP="00A22D3A">
            <w:pPr>
              <w:rPr>
                <w:rFonts w:cs="Arial"/>
                <w:sz w:val="18"/>
                <w:szCs w:val="18"/>
              </w:rPr>
            </w:pPr>
          </w:p>
        </w:tc>
        <w:tc>
          <w:tcPr>
            <w:tcW w:w="1117" w:type="dxa"/>
            <w:gridSpan w:val="2"/>
            <w:vMerge/>
            <w:vAlign w:val="center"/>
          </w:tcPr>
          <w:p w14:paraId="18452D18" w14:textId="77777777" w:rsidR="00A22D3A" w:rsidRPr="00FA30C8" w:rsidRDefault="00A22D3A" w:rsidP="00A22D3A">
            <w:pPr>
              <w:rPr>
                <w:rFonts w:cs="Arial"/>
                <w:sz w:val="18"/>
                <w:szCs w:val="18"/>
              </w:rPr>
            </w:pPr>
          </w:p>
        </w:tc>
        <w:tc>
          <w:tcPr>
            <w:tcW w:w="1154" w:type="dxa"/>
            <w:gridSpan w:val="2"/>
            <w:vMerge/>
            <w:vAlign w:val="center"/>
          </w:tcPr>
          <w:p w14:paraId="30DFA44C" w14:textId="77777777" w:rsidR="00A22D3A" w:rsidRPr="00FA30C8" w:rsidRDefault="00A22D3A" w:rsidP="00A22D3A">
            <w:pPr>
              <w:rPr>
                <w:rFonts w:cs="Arial"/>
                <w:sz w:val="18"/>
                <w:szCs w:val="18"/>
              </w:rPr>
            </w:pPr>
          </w:p>
        </w:tc>
        <w:tc>
          <w:tcPr>
            <w:tcW w:w="1039" w:type="dxa"/>
            <w:gridSpan w:val="2"/>
            <w:vMerge/>
            <w:vAlign w:val="center"/>
          </w:tcPr>
          <w:p w14:paraId="0EAEC264" w14:textId="77777777" w:rsidR="00A22D3A" w:rsidRPr="00FA30C8" w:rsidRDefault="00A22D3A" w:rsidP="00A22D3A">
            <w:pPr>
              <w:rPr>
                <w:rFonts w:cs="Arial"/>
                <w:sz w:val="18"/>
                <w:szCs w:val="18"/>
              </w:rPr>
            </w:pPr>
          </w:p>
        </w:tc>
        <w:tc>
          <w:tcPr>
            <w:tcW w:w="2304" w:type="dxa"/>
            <w:vMerge/>
            <w:vAlign w:val="center"/>
          </w:tcPr>
          <w:p w14:paraId="61643471" w14:textId="77777777" w:rsidR="00A22D3A" w:rsidRPr="00FA30C8" w:rsidRDefault="00A22D3A" w:rsidP="00A22D3A">
            <w:pPr>
              <w:rPr>
                <w:rFonts w:cs="Arial"/>
                <w:sz w:val="18"/>
                <w:szCs w:val="18"/>
              </w:rPr>
            </w:pPr>
          </w:p>
        </w:tc>
        <w:tc>
          <w:tcPr>
            <w:tcW w:w="1497" w:type="dxa"/>
            <w:gridSpan w:val="3"/>
            <w:vAlign w:val="center"/>
          </w:tcPr>
          <w:p w14:paraId="5C3CC324" w14:textId="77777777" w:rsidR="00A22D3A" w:rsidRPr="00FA30C8" w:rsidRDefault="00A22D3A" w:rsidP="00A22D3A">
            <w:pPr>
              <w:rPr>
                <w:rFonts w:cs="Arial"/>
                <w:sz w:val="18"/>
                <w:szCs w:val="18"/>
              </w:rPr>
            </w:pPr>
            <w:r w:rsidRPr="00FA30C8">
              <w:rPr>
                <w:rFonts w:cs="Arial"/>
                <w:sz w:val="18"/>
                <w:szCs w:val="18"/>
              </w:rPr>
              <w:t>Actual amount achieved</w:t>
            </w:r>
          </w:p>
        </w:tc>
        <w:tc>
          <w:tcPr>
            <w:tcW w:w="740" w:type="dxa"/>
            <w:vAlign w:val="center"/>
          </w:tcPr>
          <w:p w14:paraId="22173218" w14:textId="77777777" w:rsidR="00A22D3A" w:rsidRPr="00FA30C8" w:rsidRDefault="00A22D3A" w:rsidP="00A22D3A">
            <w:pPr>
              <w:jc w:val="center"/>
              <w:rPr>
                <w:rFonts w:cs="Arial"/>
                <w:sz w:val="18"/>
                <w:szCs w:val="18"/>
              </w:rPr>
            </w:pPr>
            <w:r w:rsidRPr="00FA30C8">
              <w:rPr>
                <w:rFonts w:cs="Arial"/>
                <w:sz w:val="18"/>
                <w:szCs w:val="18"/>
              </w:rPr>
              <w:t>0</w:t>
            </w:r>
          </w:p>
        </w:tc>
        <w:tc>
          <w:tcPr>
            <w:tcW w:w="1473" w:type="dxa"/>
            <w:gridSpan w:val="3"/>
            <w:vMerge/>
            <w:tcBorders>
              <w:right w:val="single" w:sz="4" w:space="0" w:color="auto"/>
            </w:tcBorders>
            <w:vAlign w:val="center"/>
          </w:tcPr>
          <w:p w14:paraId="6EE9796A" w14:textId="77777777" w:rsidR="00A22D3A" w:rsidRPr="00FA30C8" w:rsidRDefault="00A22D3A" w:rsidP="00A22D3A">
            <w:pPr>
              <w:rPr>
                <w:rFonts w:cs="Arial"/>
                <w:sz w:val="18"/>
                <w:szCs w:val="18"/>
              </w:rPr>
            </w:pPr>
          </w:p>
        </w:tc>
      </w:tr>
      <w:tr w:rsidR="00A22D3A" w:rsidRPr="00FA30C8" w14:paraId="361DF32B" w14:textId="77777777" w:rsidTr="00F830D1">
        <w:trPr>
          <w:jc w:val="center"/>
        </w:trPr>
        <w:tc>
          <w:tcPr>
            <w:tcW w:w="12956" w:type="dxa"/>
            <w:gridSpan w:val="16"/>
            <w:tcBorders>
              <w:left w:val="single" w:sz="4" w:space="0" w:color="auto"/>
              <w:right w:val="single" w:sz="4" w:space="0" w:color="auto"/>
            </w:tcBorders>
            <w:shd w:val="clear" w:color="auto" w:fill="DBE5F1" w:themeFill="accent1" w:themeFillTint="33"/>
            <w:vAlign w:val="center"/>
          </w:tcPr>
          <w:p w14:paraId="76870D81" w14:textId="77777777" w:rsidR="00A22D3A" w:rsidRPr="00FA30C8" w:rsidRDefault="00A22D3A" w:rsidP="00A22D3A">
            <w:pPr>
              <w:rPr>
                <w:rFonts w:cs="Arial"/>
                <w:b/>
                <w:sz w:val="18"/>
                <w:szCs w:val="18"/>
              </w:rPr>
            </w:pPr>
            <w:r w:rsidRPr="00FA30C8">
              <w:rPr>
                <w:rFonts w:cs="Arial"/>
                <w:b/>
                <w:sz w:val="18"/>
                <w:szCs w:val="18"/>
              </w:rPr>
              <w:t>Outcome #6: Action Plan of National Competitiveness Strategy (NCS) partially implemented</w:t>
            </w:r>
          </w:p>
        </w:tc>
      </w:tr>
      <w:tr w:rsidR="00A22D3A" w:rsidRPr="00FA30C8" w14:paraId="1DB0DC82" w14:textId="77777777" w:rsidTr="00F830D1">
        <w:trPr>
          <w:jc w:val="center"/>
        </w:trPr>
        <w:tc>
          <w:tcPr>
            <w:tcW w:w="3632" w:type="dxa"/>
            <w:gridSpan w:val="2"/>
            <w:vMerge w:val="restart"/>
            <w:tcBorders>
              <w:left w:val="single" w:sz="4" w:space="0" w:color="auto"/>
            </w:tcBorders>
            <w:vAlign w:val="center"/>
          </w:tcPr>
          <w:p w14:paraId="36068247" w14:textId="77777777" w:rsidR="00A22D3A" w:rsidRPr="00FA30C8" w:rsidRDefault="00A22D3A" w:rsidP="00A22D3A">
            <w:pPr>
              <w:rPr>
                <w:rFonts w:cs="Arial"/>
                <w:sz w:val="18"/>
                <w:szCs w:val="18"/>
                <w:highlight w:val="yellow"/>
              </w:rPr>
            </w:pPr>
            <w:r w:rsidRPr="00FA30C8">
              <w:rPr>
                <w:rFonts w:cs="Arial"/>
                <w:sz w:val="18"/>
                <w:szCs w:val="18"/>
              </w:rPr>
              <w:t>Indicator #1: Implementation of discrete components of NCS Action Plan</w:t>
            </w:r>
          </w:p>
        </w:tc>
        <w:tc>
          <w:tcPr>
            <w:tcW w:w="1117" w:type="dxa"/>
            <w:gridSpan w:val="2"/>
            <w:vMerge w:val="restart"/>
            <w:shd w:val="clear" w:color="auto" w:fill="FFFFFF" w:themeFill="background1"/>
            <w:vAlign w:val="center"/>
          </w:tcPr>
          <w:p w14:paraId="32C0A679" w14:textId="77777777" w:rsidR="00A22D3A" w:rsidRPr="00FA30C8" w:rsidRDefault="00A22D3A" w:rsidP="00A22D3A">
            <w:pPr>
              <w:jc w:val="center"/>
              <w:rPr>
                <w:rFonts w:cs="Arial"/>
                <w:sz w:val="18"/>
                <w:szCs w:val="18"/>
                <w:highlight w:val="yellow"/>
              </w:rPr>
            </w:pPr>
            <w:r w:rsidRPr="00FA30C8">
              <w:rPr>
                <w:rFonts w:cs="Arial"/>
                <w:sz w:val="18"/>
                <w:szCs w:val="18"/>
              </w:rPr>
              <w:t>Certificate</w:t>
            </w:r>
          </w:p>
        </w:tc>
        <w:tc>
          <w:tcPr>
            <w:tcW w:w="1154" w:type="dxa"/>
            <w:gridSpan w:val="2"/>
            <w:vMerge w:val="restart"/>
            <w:shd w:val="clear" w:color="auto" w:fill="FFFFFF" w:themeFill="background1"/>
            <w:vAlign w:val="center"/>
          </w:tcPr>
          <w:p w14:paraId="23BF5124" w14:textId="77777777" w:rsidR="00A22D3A" w:rsidRPr="00FA30C8" w:rsidRDefault="00A22D3A" w:rsidP="00A22D3A">
            <w:pPr>
              <w:jc w:val="center"/>
              <w:rPr>
                <w:rFonts w:cs="Arial"/>
                <w:sz w:val="18"/>
                <w:szCs w:val="18"/>
                <w:highlight w:val="yellow"/>
              </w:rPr>
            </w:pPr>
            <w:r w:rsidRPr="00FA30C8">
              <w:rPr>
                <w:rFonts w:cs="Arial"/>
                <w:sz w:val="18"/>
                <w:szCs w:val="18"/>
              </w:rPr>
              <w:t>0</w:t>
            </w:r>
          </w:p>
        </w:tc>
        <w:tc>
          <w:tcPr>
            <w:tcW w:w="1039" w:type="dxa"/>
            <w:gridSpan w:val="2"/>
            <w:vMerge w:val="restart"/>
            <w:shd w:val="clear" w:color="auto" w:fill="FFFFFF" w:themeFill="background1"/>
            <w:vAlign w:val="center"/>
          </w:tcPr>
          <w:p w14:paraId="7D989C1B" w14:textId="77777777" w:rsidR="00A22D3A" w:rsidRPr="00FA30C8" w:rsidRDefault="00A22D3A" w:rsidP="00A22D3A">
            <w:pPr>
              <w:jc w:val="center"/>
              <w:rPr>
                <w:rFonts w:cs="Arial"/>
                <w:sz w:val="18"/>
                <w:szCs w:val="18"/>
                <w:highlight w:val="yellow"/>
              </w:rPr>
            </w:pPr>
            <w:r w:rsidRPr="00FA30C8">
              <w:rPr>
                <w:rFonts w:cs="Arial"/>
                <w:sz w:val="18"/>
                <w:szCs w:val="18"/>
              </w:rPr>
              <w:t>2010</w:t>
            </w:r>
          </w:p>
        </w:tc>
        <w:tc>
          <w:tcPr>
            <w:tcW w:w="2304" w:type="dxa"/>
            <w:vMerge w:val="restart"/>
            <w:shd w:val="clear" w:color="auto" w:fill="FFFFFF" w:themeFill="background1"/>
            <w:vAlign w:val="center"/>
          </w:tcPr>
          <w:p w14:paraId="62A9A354" w14:textId="77777777" w:rsidR="00A22D3A" w:rsidRPr="00FA30C8" w:rsidRDefault="00A22D3A" w:rsidP="00A22D3A">
            <w:pPr>
              <w:rPr>
                <w:rFonts w:cs="Arial"/>
                <w:sz w:val="18"/>
                <w:szCs w:val="18"/>
                <w:highlight w:val="yellow"/>
              </w:rPr>
            </w:pPr>
            <w:r w:rsidRPr="00FA30C8">
              <w:rPr>
                <w:rFonts w:cs="Arial"/>
                <w:sz w:val="18"/>
                <w:szCs w:val="18"/>
              </w:rPr>
              <w:t>Evaluation of CC minutes of meetings to verify substance of discussions and consensus on conclusions reached at meetings</w:t>
            </w:r>
          </w:p>
        </w:tc>
        <w:tc>
          <w:tcPr>
            <w:tcW w:w="1497" w:type="dxa"/>
            <w:gridSpan w:val="3"/>
            <w:shd w:val="clear" w:color="auto" w:fill="FFFFFF" w:themeFill="background1"/>
            <w:vAlign w:val="center"/>
          </w:tcPr>
          <w:p w14:paraId="20EBC088" w14:textId="77777777" w:rsidR="00A22D3A" w:rsidRPr="00FA30C8" w:rsidRDefault="00A22D3A" w:rsidP="00A22D3A">
            <w:pPr>
              <w:rPr>
                <w:rFonts w:cs="Arial"/>
                <w:sz w:val="18"/>
                <w:szCs w:val="18"/>
              </w:rPr>
            </w:pPr>
            <w:r w:rsidRPr="00FA30C8">
              <w:rPr>
                <w:rFonts w:cs="Arial"/>
                <w:sz w:val="18"/>
                <w:szCs w:val="18"/>
              </w:rPr>
              <w:t>Original Target value</w:t>
            </w:r>
          </w:p>
        </w:tc>
        <w:tc>
          <w:tcPr>
            <w:tcW w:w="740" w:type="dxa"/>
            <w:shd w:val="clear" w:color="auto" w:fill="FFFFFF" w:themeFill="background1"/>
            <w:vAlign w:val="center"/>
          </w:tcPr>
          <w:p w14:paraId="0F45F448" w14:textId="77777777" w:rsidR="00A22D3A" w:rsidRPr="00FA30C8" w:rsidRDefault="00A22D3A" w:rsidP="00A22D3A">
            <w:pPr>
              <w:jc w:val="center"/>
              <w:rPr>
                <w:rFonts w:cs="Arial"/>
                <w:sz w:val="18"/>
                <w:szCs w:val="18"/>
                <w:highlight w:val="yellow"/>
              </w:rPr>
            </w:pPr>
            <w:r w:rsidRPr="00FA30C8">
              <w:rPr>
                <w:rFonts w:cs="Arial"/>
                <w:sz w:val="18"/>
                <w:szCs w:val="18"/>
              </w:rPr>
              <w:t>1</w:t>
            </w:r>
          </w:p>
        </w:tc>
        <w:tc>
          <w:tcPr>
            <w:tcW w:w="1473" w:type="dxa"/>
            <w:gridSpan w:val="3"/>
            <w:vMerge w:val="restart"/>
            <w:tcBorders>
              <w:right w:val="single" w:sz="4" w:space="0" w:color="auto"/>
            </w:tcBorders>
            <w:shd w:val="clear" w:color="auto" w:fill="FFFFFF" w:themeFill="background1"/>
            <w:vAlign w:val="center"/>
          </w:tcPr>
          <w:p w14:paraId="09B91D97" w14:textId="77777777" w:rsidR="00A22D3A" w:rsidRPr="00FA30C8" w:rsidRDefault="00A22D3A" w:rsidP="00A22D3A">
            <w:pPr>
              <w:rPr>
                <w:rFonts w:cs="Arial"/>
                <w:sz w:val="18"/>
                <w:szCs w:val="18"/>
              </w:rPr>
            </w:pPr>
          </w:p>
        </w:tc>
      </w:tr>
      <w:tr w:rsidR="00A22D3A" w:rsidRPr="00FA30C8" w14:paraId="15DA15F4" w14:textId="77777777" w:rsidTr="00F830D1">
        <w:trPr>
          <w:jc w:val="center"/>
        </w:trPr>
        <w:tc>
          <w:tcPr>
            <w:tcW w:w="3632" w:type="dxa"/>
            <w:gridSpan w:val="2"/>
            <w:vMerge/>
            <w:tcBorders>
              <w:left w:val="single" w:sz="4" w:space="0" w:color="auto"/>
            </w:tcBorders>
            <w:vAlign w:val="center"/>
          </w:tcPr>
          <w:p w14:paraId="250838FA" w14:textId="77777777" w:rsidR="00A22D3A" w:rsidRPr="00FA30C8" w:rsidRDefault="00A22D3A" w:rsidP="00A22D3A">
            <w:pPr>
              <w:rPr>
                <w:rFonts w:cs="Arial"/>
                <w:sz w:val="18"/>
                <w:szCs w:val="18"/>
                <w:highlight w:val="yellow"/>
              </w:rPr>
            </w:pPr>
          </w:p>
        </w:tc>
        <w:tc>
          <w:tcPr>
            <w:tcW w:w="1117" w:type="dxa"/>
            <w:gridSpan w:val="2"/>
            <w:vMerge/>
            <w:shd w:val="clear" w:color="auto" w:fill="FFFFFF" w:themeFill="background1"/>
            <w:vAlign w:val="center"/>
          </w:tcPr>
          <w:p w14:paraId="477E88D1" w14:textId="77777777" w:rsidR="00A22D3A" w:rsidRPr="00FA30C8" w:rsidRDefault="00A22D3A" w:rsidP="00A22D3A">
            <w:pPr>
              <w:rPr>
                <w:rFonts w:cs="Arial"/>
                <w:sz w:val="18"/>
                <w:szCs w:val="18"/>
                <w:highlight w:val="yellow"/>
              </w:rPr>
            </w:pPr>
          </w:p>
        </w:tc>
        <w:tc>
          <w:tcPr>
            <w:tcW w:w="1154" w:type="dxa"/>
            <w:gridSpan w:val="2"/>
            <w:vMerge/>
            <w:shd w:val="clear" w:color="auto" w:fill="FFFFFF" w:themeFill="background1"/>
            <w:vAlign w:val="center"/>
          </w:tcPr>
          <w:p w14:paraId="5C538407" w14:textId="77777777" w:rsidR="00A22D3A" w:rsidRPr="00FA30C8" w:rsidRDefault="00A22D3A" w:rsidP="00A22D3A">
            <w:pPr>
              <w:rPr>
                <w:rFonts w:cs="Arial"/>
                <w:sz w:val="18"/>
                <w:szCs w:val="18"/>
                <w:highlight w:val="yellow"/>
              </w:rPr>
            </w:pPr>
          </w:p>
        </w:tc>
        <w:tc>
          <w:tcPr>
            <w:tcW w:w="1039" w:type="dxa"/>
            <w:gridSpan w:val="2"/>
            <w:vMerge/>
            <w:shd w:val="clear" w:color="auto" w:fill="FFFFFF" w:themeFill="background1"/>
            <w:vAlign w:val="center"/>
          </w:tcPr>
          <w:p w14:paraId="0AFCF309" w14:textId="77777777" w:rsidR="00A22D3A" w:rsidRPr="00FA30C8" w:rsidRDefault="00A22D3A" w:rsidP="00A22D3A">
            <w:pPr>
              <w:rPr>
                <w:rFonts w:cs="Arial"/>
                <w:sz w:val="18"/>
                <w:szCs w:val="18"/>
                <w:highlight w:val="yellow"/>
              </w:rPr>
            </w:pPr>
          </w:p>
        </w:tc>
        <w:tc>
          <w:tcPr>
            <w:tcW w:w="2304" w:type="dxa"/>
            <w:vMerge/>
            <w:shd w:val="clear" w:color="auto" w:fill="FFFFFF" w:themeFill="background1"/>
            <w:vAlign w:val="center"/>
          </w:tcPr>
          <w:p w14:paraId="250468BA" w14:textId="77777777" w:rsidR="00A22D3A" w:rsidRPr="00FA30C8" w:rsidRDefault="00A22D3A" w:rsidP="00A22D3A">
            <w:pPr>
              <w:rPr>
                <w:rFonts w:cs="Arial"/>
                <w:sz w:val="18"/>
                <w:szCs w:val="18"/>
                <w:highlight w:val="yellow"/>
              </w:rPr>
            </w:pPr>
          </w:p>
        </w:tc>
        <w:tc>
          <w:tcPr>
            <w:tcW w:w="1497" w:type="dxa"/>
            <w:gridSpan w:val="3"/>
            <w:shd w:val="clear" w:color="auto" w:fill="FFFFFF" w:themeFill="background1"/>
            <w:vAlign w:val="center"/>
          </w:tcPr>
          <w:p w14:paraId="353273D9" w14:textId="77777777" w:rsidR="00A22D3A" w:rsidRPr="00FA30C8" w:rsidRDefault="00A22D3A" w:rsidP="00A22D3A">
            <w:pPr>
              <w:rPr>
                <w:rFonts w:cs="Arial"/>
                <w:sz w:val="18"/>
                <w:szCs w:val="18"/>
              </w:rPr>
            </w:pPr>
            <w:r w:rsidRPr="00FA30C8">
              <w:rPr>
                <w:rFonts w:cs="Arial"/>
                <w:sz w:val="18"/>
                <w:szCs w:val="18"/>
              </w:rPr>
              <w:t>Revised target value</w:t>
            </w:r>
          </w:p>
        </w:tc>
        <w:tc>
          <w:tcPr>
            <w:tcW w:w="740" w:type="dxa"/>
            <w:shd w:val="clear" w:color="auto" w:fill="FFFFFF" w:themeFill="background1"/>
            <w:vAlign w:val="center"/>
          </w:tcPr>
          <w:p w14:paraId="6B932239" w14:textId="77777777" w:rsidR="00A22D3A" w:rsidRPr="00FA30C8" w:rsidRDefault="00A22D3A" w:rsidP="00A22D3A">
            <w:pPr>
              <w:jc w:val="center"/>
              <w:rPr>
                <w:rFonts w:cs="Arial"/>
                <w:sz w:val="18"/>
                <w:szCs w:val="18"/>
                <w:highlight w:val="yellow"/>
              </w:rPr>
            </w:pPr>
            <w:r w:rsidRPr="00FA30C8">
              <w:rPr>
                <w:rFonts w:cs="Arial"/>
                <w:sz w:val="18"/>
                <w:szCs w:val="18"/>
              </w:rPr>
              <w:t>-</w:t>
            </w:r>
          </w:p>
        </w:tc>
        <w:tc>
          <w:tcPr>
            <w:tcW w:w="1473" w:type="dxa"/>
            <w:gridSpan w:val="3"/>
            <w:vMerge/>
            <w:tcBorders>
              <w:right w:val="single" w:sz="4" w:space="0" w:color="auto"/>
            </w:tcBorders>
            <w:shd w:val="clear" w:color="auto" w:fill="FFFFFF" w:themeFill="background1"/>
            <w:vAlign w:val="center"/>
          </w:tcPr>
          <w:p w14:paraId="0694CF1C" w14:textId="77777777" w:rsidR="00A22D3A" w:rsidRPr="00FA30C8" w:rsidRDefault="00A22D3A" w:rsidP="00A22D3A">
            <w:pPr>
              <w:rPr>
                <w:rFonts w:cs="Arial"/>
                <w:sz w:val="18"/>
                <w:szCs w:val="18"/>
              </w:rPr>
            </w:pPr>
          </w:p>
        </w:tc>
      </w:tr>
      <w:tr w:rsidR="00A22D3A" w:rsidRPr="00FA30C8" w14:paraId="3D3E9682" w14:textId="77777777" w:rsidTr="00F830D1">
        <w:trPr>
          <w:jc w:val="center"/>
        </w:trPr>
        <w:tc>
          <w:tcPr>
            <w:tcW w:w="3632" w:type="dxa"/>
            <w:gridSpan w:val="2"/>
            <w:vMerge/>
            <w:tcBorders>
              <w:left w:val="single" w:sz="4" w:space="0" w:color="auto"/>
              <w:bottom w:val="single" w:sz="4" w:space="0" w:color="auto"/>
            </w:tcBorders>
            <w:vAlign w:val="center"/>
          </w:tcPr>
          <w:p w14:paraId="6A88EEA1" w14:textId="77777777" w:rsidR="00A22D3A" w:rsidRPr="00FA30C8" w:rsidRDefault="00A22D3A" w:rsidP="00A22D3A">
            <w:pPr>
              <w:rPr>
                <w:rFonts w:cs="Arial"/>
                <w:sz w:val="18"/>
                <w:szCs w:val="18"/>
                <w:highlight w:val="yellow"/>
              </w:rPr>
            </w:pPr>
          </w:p>
        </w:tc>
        <w:tc>
          <w:tcPr>
            <w:tcW w:w="1117" w:type="dxa"/>
            <w:gridSpan w:val="2"/>
            <w:vMerge/>
            <w:tcBorders>
              <w:bottom w:val="single" w:sz="4" w:space="0" w:color="auto"/>
            </w:tcBorders>
            <w:shd w:val="clear" w:color="auto" w:fill="auto"/>
            <w:vAlign w:val="center"/>
          </w:tcPr>
          <w:p w14:paraId="22379126" w14:textId="77777777" w:rsidR="00A22D3A" w:rsidRPr="00FA30C8" w:rsidRDefault="00A22D3A" w:rsidP="00A22D3A">
            <w:pPr>
              <w:rPr>
                <w:rFonts w:cs="Arial"/>
                <w:sz w:val="18"/>
                <w:szCs w:val="18"/>
                <w:highlight w:val="yellow"/>
              </w:rPr>
            </w:pPr>
          </w:p>
        </w:tc>
        <w:tc>
          <w:tcPr>
            <w:tcW w:w="1154" w:type="dxa"/>
            <w:gridSpan w:val="2"/>
            <w:vMerge/>
            <w:tcBorders>
              <w:bottom w:val="single" w:sz="4" w:space="0" w:color="auto"/>
            </w:tcBorders>
            <w:vAlign w:val="center"/>
          </w:tcPr>
          <w:p w14:paraId="48C81F8B" w14:textId="77777777" w:rsidR="00A22D3A" w:rsidRPr="00FA30C8" w:rsidRDefault="00A22D3A" w:rsidP="00A22D3A">
            <w:pPr>
              <w:rPr>
                <w:rFonts w:cs="Arial"/>
                <w:sz w:val="18"/>
                <w:szCs w:val="18"/>
                <w:highlight w:val="yellow"/>
              </w:rPr>
            </w:pPr>
          </w:p>
        </w:tc>
        <w:tc>
          <w:tcPr>
            <w:tcW w:w="1039" w:type="dxa"/>
            <w:gridSpan w:val="2"/>
            <w:vMerge/>
            <w:tcBorders>
              <w:bottom w:val="single" w:sz="4" w:space="0" w:color="auto"/>
            </w:tcBorders>
            <w:vAlign w:val="center"/>
          </w:tcPr>
          <w:p w14:paraId="406EEEF0" w14:textId="77777777" w:rsidR="00A22D3A" w:rsidRPr="00FA30C8" w:rsidRDefault="00A22D3A" w:rsidP="00A22D3A">
            <w:pPr>
              <w:rPr>
                <w:rFonts w:cs="Arial"/>
                <w:sz w:val="18"/>
                <w:szCs w:val="18"/>
                <w:highlight w:val="yellow"/>
              </w:rPr>
            </w:pPr>
          </w:p>
        </w:tc>
        <w:tc>
          <w:tcPr>
            <w:tcW w:w="2304" w:type="dxa"/>
            <w:vMerge/>
            <w:tcBorders>
              <w:bottom w:val="single" w:sz="4" w:space="0" w:color="auto"/>
            </w:tcBorders>
            <w:vAlign w:val="center"/>
          </w:tcPr>
          <w:p w14:paraId="7AD1460D" w14:textId="77777777" w:rsidR="00A22D3A" w:rsidRPr="00FA30C8" w:rsidRDefault="00A22D3A" w:rsidP="00A22D3A">
            <w:pPr>
              <w:rPr>
                <w:rFonts w:cs="Arial"/>
                <w:sz w:val="18"/>
                <w:szCs w:val="18"/>
                <w:highlight w:val="yellow"/>
              </w:rPr>
            </w:pPr>
          </w:p>
        </w:tc>
        <w:tc>
          <w:tcPr>
            <w:tcW w:w="1497" w:type="dxa"/>
            <w:gridSpan w:val="3"/>
            <w:tcBorders>
              <w:bottom w:val="single" w:sz="4" w:space="0" w:color="auto"/>
            </w:tcBorders>
            <w:vAlign w:val="center"/>
          </w:tcPr>
          <w:p w14:paraId="49794AE5" w14:textId="77777777" w:rsidR="00A22D3A" w:rsidRPr="00FA30C8" w:rsidRDefault="00A22D3A" w:rsidP="00A22D3A">
            <w:pPr>
              <w:rPr>
                <w:rFonts w:cs="Arial"/>
                <w:sz w:val="18"/>
                <w:szCs w:val="18"/>
              </w:rPr>
            </w:pPr>
            <w:r w:rsidRPr="00FA30C8">
              <w:rPr>
                <w:rFonts w:cs="Arial"/>
                <w:sz w:val="18"/>
                <w:szCs w:val="18"/>
              </w:rPr>
              <w:t>Actual amount achieved</w:t>
            </w:r>
          </w:p>
        </w:tc>
        <w:tc>
          <w:tcPr>
            <w:tcW w:w="740" w:type="dxa"/>
            <w:tcBorders>
              <w:bottom w:val="single" w:sz="4" w:space="0" w:color="auto"/>
            </w:tcBorders>
            <w:vAlign w:val="center"/>
          </w:tcPr>
          <w:p w14:paraId="4D3B1BDE" w14:textId="77777777" w:rsidR="00A22D3A" w:rsidRPr="00FA30C8" w:rsidRDefault="00A22D3A" w:rsidP="00A22D3A">
            <w:pPr>
              <w:jc w:val="center"/>
              <w:rPr>
                <w:rFonts w:cs="Arial"/>
                <w:sz w:val="18"/>
                <w:szCs w:val="18"/>
                <w:highlight w:val="yellow"/>
              </w:rPr>
            </w:pPr>
            <w:r w:rsidRPr="00FA30C8">
              <w:rPr>
                <w:rFonts w:cs="Arial"/>
                <w:sz w:val="18"/>
                <w:szCs w:val="18"/>
              </w:rPr>
              <w:t>0</w:t>
            </w:r>
          </w:p>
        </w:tc>
        <w:tc>
          <w:tcPr>
            <w:tcW w:w="1473" w:type="dxa"/>
            <w:gridSpan w:val="3"/>
            <w:vMerge/>
            <w:tcBorders>
              <w:bottom w:val="single" w:sz="4" w:space="0" w:color="auto"/>
              <w:right w:val="single" w:sz="4" w:space="0" w:color="auto"/>
            </w:tcBorders>
            <w:vAlign w:val="center"/>
          </w:tcPr>
          <w:p w14:paraId="6FA8E3F8" w14:textId="77777777" w:rsidR="00A22D3A" w:rsidRPr="00FA30C8" w:rsidRDefault="00A22D3A" w:rsidP="00A22D3A">
            <w:pPr>
              <w:rPr>
                <w:rFonts w:cs="Arial"/>
                <w:sz w:val="18"/>
                <w:szCs w:val="18"/>
              </w:rPr>
            </w:pPr>
          </w:p>
        </w:tc>
      </w:tr>
      <w:tr w:rsidR="00A22D3A" w:rsidRPr="00FA30C8" w14:paraId="39E54F94" w14:textId="77777777" w:rsidTr="00F830D1">
        <w:trPr>
          <w:gridAfter w:val="1"/>
          <w:wAfter w:w="6" w:type="dxa"/>
          <w:jc w:val="center"/>
        </w:trPr>
        <w:tc>
          <w:tcPr>
            <w:tcW w:w="12950" w:type="dxa"/>
            <w:gridSpan w:val="15"/>
            <w:tcBorders>
              <w:left w:val="single" w:sz="4" w:space="0" w:color="auto"/>
              <w:right w:val="single" w:sz="4" w:space="0" w:color="auto"/>
            </w:tcBorders>
            <w:shd w:val="clear" w:color="auto" w:fill="DBE5F1" w:themeFill="accent1" w:themeFillTint="33"/>
            <w:vAlign w:val="center"/>
          </w:tcPr>
          <w:p w14:paraId="199D12C2" w14:textId="77777777" w:rsidR="00A22D3A" w:rsidRPr="00FA30C8" w:rsidRDefault="00A22D3A" w:rsidP="00A22D3A">
            <w:pPr>
              <w:rPr>
                <w:rFonts w:cs="Arial"/>
                <w:b/>
                <w:sz w:val="18"/>
                <w:szCs w:val="18"/>
              </w:rPr>
            </w:pPr>
            <w:bookmarkStart w:id="19" w:name="_Hlk494448015"/>
            <w:r w:rsidRPr="00FA30C8">
              <w:rPr>
                <w:rFonts w:cs="Arial"/>
                <w:b/>
                <w:sz w:val="18"/>
                <w:szCs w:val="18"/>
              </w:rPr>
              <w:t>Component #1: Ensuring a coherent framework for business development: incentives and regulations</w:t>
            </w:r>
          </w:p>
        </w:tc>
      </w:tr>
      <w:bookmarkEnd w:id="19"/>
      <w:tr w:rsidR="00A22D3A" w:rsidRPr="00FA30C8" w14:paraId="21C04097" w14:textId="77777777" w:rsidTr="00F830D1">
        <w:trPr>
          <w:gridAfter w:val="1"/>
          <w:wAfter w:w="6" w:type="dxa"/>
          <w:jc w:val="center"/>
        </w:trPr>
        <w:tc>
          <w:tcPr>
            <w:tcW w:w="3497" w:type="dxa"/>
            <w:vMerge w:val="restart"/>
            <w:tcBorders>
              <w:left w:val="single" w:sz="4" w:space="0" w:color="auto"/>
            </w:tcBorders>
            <w:vAlign w:val="center"/>
          </w:tcPr>
          <w:p w14:paraId="2D2AB5F6" w14:textId="77777777" w:rsidR="00A22D3A" w:rsidRPr="00FA30C8" w:rsidRDefault="00A22D3A" w:rsidP="00A22D3A">
            <w:pPr>
              <w:rPr>
                <w:rFonts w:cs="Arial"/>
                <w:sz w:val="18"/>
                <w:szCs w:val="18"/>
              </w:rPr>
            </w:pPr>
            <w:r w:rsidRPr="00FA30C8">
              <w:rPr>
                <w:rFonts w:cs="Arial"/>
                <w:sz w:val="18"/>
                <w:szCs w:val="18"/>
              </w:rPr>
              <w:t>Output #1: Fully operational tax policy model elaborated</w:t>
            </w:r>
          </w:p>
        </w:tc>
        <w:tc>
          <w:tcPr>
            <w:tcW w:w="1167" w:type="dxa"/>
            <w:gridSpan w:val="2"/>
            <w:vMerge w:val="restart"/>
            <w:vAlign w:val="center"/>
          </w:tcPr>
          <w:p w14:paraId="5A9365FF" w14:textId="77777777" w:rsidR="00A22D3A" w:rsidRPr="00FA30C8" w:rsidRDefault="00A22D3A" w:rsidP="00A22D3A">
            <w:pPr>
              <w:jc w:val="center"/>
              <w:rPr>
                <w:rFonts w:cs="Arial"/>
                <w:sz w:val="18"/>
                <w:szCs w:val="18"/>
              </w:rPr>
            </w:pPr>
            <w:r w:rsidRPr="00FA30C8">
              <w:rPr>
                <w:rFonts w:cs="Arial"/>
                <w:sz w:val="18"/>
                <w:szCs w:val="18"/>
              </w:rPr>
              <w:t>Model</w:t>
            </w:r>
          </w:p>
        </w:tc>
        <w:tc>
          <w:tcPr>
            <w:tcW w:w="1162" w:type="dxa"/>
            <w:gridSpan w:val="2"/>
            <w:vMerge w:val="restart"/>
            <w:vAlign w:val="center"/>
          </w:tcPr>
          <w:p w14:paraId="63BCDA5A" w14:textId="77777777" w:rsidR="00A22D3A" w:rsidRPr="00FA30C8" w:rsidRDefault="00A22D3A" w:rsidP="00A22D3A">
            <w:pPr>
              <w:jc w:val="center"/>
              <w:rPr>
                <w:rFonts w:cs="Arial"/>
                <w:sz w:val="18"/>
                <w:szCs w:val="18"/>
              </w:rPr>
            </w:pPr>
            <w:r w:rsidRPr="00FA30C8">
              <w:rPr>
                <w:rFonts w:cs="Arial"/>
                <w:sz w:val="18"/>
                <w:szCs w:val="18"/>
              </w:rPr>
              <w:t>0</w:t>
            </w:r>
          </w:p>
        </w:tc>
        <w:tc>
          <w:tcPr>
            <w:tcW w:w="1039" w:type="dxa"/>
            <w:gridSpan w:val="2"/>
            <w:vMerge w:val="restart"/>
            <w:vAlign w:val="center"/>
          </w:tcPr>
          <w:p w14:paraId="5F118C0E" w14:textId="77777777" w:rsidR="00A22D3A" w:rsidRPr="00FA30C8" w:rsidRDefault="00A22D3A" w:rsidP="00A22D3A">
            <w:pPr>
              <w:jc w:val="center"/>
              <w:rPr>
                <w:rFonts w:cs="Arial"/>
                <w:sz w:val="18"/>
                <w:szCs w:val="18"/>
              </w:rPr>
            </w:pPr>
            <w:r w:rsidRPr="00FA30C8">
              <w:rPr>
                <w:rFonts w:cs="Arial"/>
                <w:sz w:val="18"/>
                <w:szCs w:val="18"/>
              </w:rPr>
              <w:t>2010</w:t>
            </w:r>
          </w:p>
        </w:tc>
        <w:tc>
          <w:tcPr>
            <w:tcW w:w="2398" w:type="dxa"/>
            <w:gridSpan w:val="3"/>
            <w:vMerge w:val="restart"/>
            <w:vAlign w:val="center"/>
          </w:tcPr>
          <w:p w14:paraId="3F36DB5D" w14:textId="77777777" w:rsidR="00A22D3A" w:rsidRPr="00FA30C8" w:rsidRDefault="00A22D3A" w:rsidP="00A22D3A">
            <w:pPr>
              <w:rPr>
                <w:rFonts w:cs="Arial"/>
                <w:sz w:val="18"/>
                <w:szCs w:val="18"/>
              </w:rPr>
            </w:pPr>
          </w:p>
        </w:tc>
        <w:tc>
          <w:tcPr>
            <w:tcW w:w="1337" w:type="dxa"/>
            <w:vAlign w:val="center"/>
          </w:tcPr>
          <w:p w14:paraId="368A564D" w14:textId="77777777" w:rsidR="00A22D3A" w:rsidRPr="00FA30C8" w:rsidRDefault="00A22D3A" w:rsidP="00A22D3A">
            <w:pPr>
              <w:rPr>
                <w:rFonts w:cs="Arial"/>
                <w:sz w:val="18"/>
                <w:szCs w:val="18"/>
              </w:rPr>
            </w:pPr>
            <w:r w:rsidRPr="00FA30C8">
              <w:rPr>
                <w:rFonts w:cs="Arial"/>
                <w:sz w:val="18"/>
                <w:szCs w:val="18"/>
              </w:rPr>
              <w:t>Original Target value</w:t>
            </w:r>
          </w:p>
        </w:tc>
        <w:tc>
          <w:tcPr>
            <w:tcW w:w="936" w:type="dxa"/>
            <w:gridSpan w:val="3"/>
            <w:vAlign w:val="center"/>
          </w:tcPr>
          <w:p w14:paraId="741DA7CE" w14:textId="77777777" w:rsidR="00A22D3A" w:rsidRPr="00FA30C8" w:rsidRDefault="00A22D3A" w:rsidP="00A22D3A">
            <w:pPr>
              <w:jc w:val="center"/>
              <w:rPr>
                <w:rFonts w:cs="Arial"/>
                <w:sz w:val="18"/>
                <w:szCs w:val="18"/>
              </w:rPr>
            </w:pPr>
            <w:r w:rsidRPr="00FA30C8">
              <w:rPr>
                <w:rFonts w:cs="Arial"/>
                <w:sz w:val="18"/>
                <w:szCs w:val="18"/>
              </w:rPr>
              <w:t>1</w:t>
            </w:r>
          </w:p>
        </w:tc>
        <w:tc>
          <w:tcPr>
            <w:tcW w:w="1414" w:type="dxa"/>
            <w:vMerge w:val="restart"/>
            <w:tcBorders>
              <w:right w:val="single" w:sz="4" w:space="0" w:color="auto"/>
            </w:tcBorders>
            <w:vAlign w:val="center"/>
          </w:tcPr>
          <w:p w14:paraId="30BB6FE4" w14:textId="17E327FC" w:rsidR="00A22D3A" w:rsidRPr="00FA30C8" w:rsidRDefault="00E0070E" w:rsidP="00E0070E">
            <w:pPr>
              <w:jc w:val="center"/>
              <w:rPr>
                <w:rFonts w:cs="Arial"/>
                <w:sz w:val="18"/>
                <w:szCs w:val="18"/>
              </w:rPr>
            </w:pPr>
            <w:r w:rsidRPr="00FA30C8">
              <w:rPr>
                <w:rFonts w:cs="Arial"/>
                <w:sz w:val="18"/>
                <w:szCs w:val="18"/>
              </w:rPr>
              <w:t>100%</w:t>
            </w:r>
          </w:p>
        </w:tc>
      </w:tr>
      <w:tr w:rsidR="00A22D3A" w:rsidRPr="00FA30C8" w14:paraId="56DC08E4" w14:textId="77777777" w:rsidTr="00F830D1">
        <w:trPr>
          <w:gridAfter w:val="1"/>
          <w:wAfter w:w="6" w:type="dxa"/>
          <w:jc w:val="center"/>
        </w:trPr>
        <w:tc>
          <w:tcPr>
            <w:tcW w:w="3497" w:type="dxa"/>
            <w:vMerge/>
            <w:tcBorders>
              <w:left w:val="single" w:sz="4" w:space="0" w:color="auto"/>
            </w:tcBorders>
            <w:vAlign w:val="center"/>
          </w:tcPr>
          <w:p w14:paraId="677AB4A0" w14:textId="77777777" w:rsidR="00A22D3A" w:rsidRPr="00FA30C8" w:rsidRDefault="00A22D3A" w:rsidP="00A22D3A">
            <w:pPr>
              <w:rPr>
                <w:rFonts w:cs="Arial"/>
                <w:sz w:val="18"/>
                <w:szCs w:val="18"/>
              </w:rPr>
            </w:pPr>
          </w:p>
        </w:tc>
        <w:tc>
          <w:tcPr>
            <w:tcW w:w="1167" w:type="dxa"/>
            <w:gridSpan w:val="2"/>
            <w:vMerge/>
            <w:vAlign w:val="center"/>
          </w:tcPr>
          <w:p w14:paraId="69703ACF" w14:textId="77777777" w:rsidR="00A22D3A" w:rsidRPr="00FA30C8" w:rsidRDefault="00A22D3A" w:rsidP="00A22D3A">
            <w:pPr>
              <w:rPr>
                <w:rFonts w:cs="Arial"/>
                <w:sz w:val="18"/>
                <w:szCs w:val="18"/>
              </w:rPr>
            </w:pPr>
          </w:p>
        </w:tc>
        <w:tc>
          <w:tcPr>
            <w:tcW w:w="1162" w:type="dxa"/>
            <w:gridSpan w:val="2"/>
            <w:vMerge/>
            <w:vAlign w:val="center"/>
          </w:tcPr>
          <w:p w14:paraId="118D0B7E" w14:textId="77777777" w:rsidR="00A22D3A" w:rsidRPr="00FA30C8" w:rsidRDefault="00A22D3A" w:rsidP="00A22D3A">
            <w:pPr>
              <w:rPr>
                <w:rFonts w:cs="Arial"/>
                <w:sz w:val="18"/>
                <w:szCs w:val="18"/>
              </w:rPr>
            </w:pPr>
          </w:p>
        </w:tc>
        <w:tc>
          <w:tcPr>
            <w:tcW w:w="1039" w:type="dxa"/>
            <w:gridSpan w:val="2"/>
            <w:vMerge/>
            <w:vAlign w:val="center"/>
          </w:tcPr>
          <w:p w14:paraId="6AFE90A6" w14:textId="77777777" w:rsidR="00A22D3A" w:rsidRPr="00FA30C8" w:rsidRDefault="00A22D3A" w:rsidP="00A22D3A">
            <w:pPr>
              <w:rPr>
                <w:rFonts w:cs="Arial"/>
                <w:sz w:val="18"/>
                <w:szCs w:val="18"/>
              </w:rPr>
            </w:pPr>
          </w:p>
        </w:tc>
        <w:tc>
          <w:tcPr>
            <w:tcW w:w="2398" w:type="dxa"/>
            <w:gridSpan w:val="3"/>
            <w:vMerge/>
            <w:vAlign w:val="center"/>
          </w:tcPr>
          <w:p w14:paraId="43003321" w14:textId="77777777" w:rsidR="00A22D3A" w:rsidRPr="00FA30C8" w:rsidRDefault="00A22D3A" w:rsidP="00A22D3A">
            <w:pPr>
              <w:rPr>
                <w:rFonts w:cs="Arial"/>
                <w:sz w:val="18"/>
                <w:szCs w:val="18"/>
              </w:rPr>
            </w:pPr>
          </w:p>
        </w:tc>
        <w:tc>
          <w:tcPr>
            <w:tcW w:w="1337" w:type="dxa"/>
            <w:vAlign w:val="center"/>
          </w:tcPr>
          <w:p w14:paraId="79B65885" w14:textId="77777777" w:rsidR="00A22D3A" w:rsidRPr="00FA30C8" w:rsidRDefault="00A22D3A" w:rsidP="00A22D3A">
            <w:pPr>
              <w:rPr>
                <w:rFonts w:cs="Arial"/>
                <w:sz w:val="18"/>
                <w:szCs w:val="18"/>
              </w:rPr>
            </w:pPr>
            <w:r w:rsidRPr="00FA30C8">
              <w:rPr>
                <w:rFonts w:cs="Arial"/>
                <w:sz w:val="18"/>
                <w:szCs w:val="18"/>
              </w:rPr>
              <w:t>Revised target value</w:t>
            </w:r>
          </w:p>
        </w:tc>
        <w:tc>
          <w:tcPr>
            <w:tcW w:w="936" w:type="dxa"/>
            <w:gridSpan w:val="3"/>
            <w:vAlign w:val="center"/>
          </w:tcPr>
          <w:p w14:paraId="636ED6DB" w14:textId="77777777" w:rsidR="00A22D3A" w:rsidRPr="00FA30C8" w:rsidRDefault="00A22D3A" w:rsidP="00A22D3A">
            <w:pPr>
              <w:jc w:val="center"/>
              <w:rPr>
                <w:rFonts w:cs="Arial"/>
                <w:sz w:val="18"/>
                <w:szCs w:val="18"/>
              </w:rPr>
            </w:pPr>
            <w:r w:rsidRPr="00FA30C8">
              <w:rPr>
                <w:rFonts w:cs="Arial"/>
                <w:sz w:val="18"/>
                <w:szCs w:val="18"/>
              </w:rPr>
              <w:t>-</w:t>
            </w:r>
          </w:p>
        </w:tc>
        <w:tc>
          <w:tcPr>
            <w:tcW w:w="1414" w:type="dxa"/>
            <w:vMerge/>
            <w:tcBorders>
              <w:right w:val="single" w:sz="4" w:space="0" w:color="auto"/>
            </w:tcBorders>
            <w:vAlign w:val="center"/>
          </w:tcPr>
          <w:p w14:paraId="2E35892B" w14:textId="77777777" w:rsidR="00A22D3A" w:rsidRPr="00FA30C8" w:rsidRDefault="00A22D3A" w:rsidP="00A22D3A">
            <w:pPr>
              <w:rPr>
                <w:rFonts w:cs="Arial"/>
                <w:sz w:val="18"/>
                <w:szCs w:val="18"/>
              </w:rPr>
            </w:pPr>
          </w:p>
        </w:tc>
      </w:tr>
      <w:tr w:rsidR="00A22D3A" w:rsidRPr="00FA30C8" w14:paraId="6F35A225" w14:textId="77777777" w:rsidTr="00F830D1">
        <w:trPr>
          <w:gridAfter w:val="1"/>
          <w:wAfter w:w="6" w:type="dxa"/>
          <w:jc w:val="center"/>
        </w:trPr>
        <w:tc>
          <w:tcPr>
            <w:tcW w:w="3497" w:type="dxa"/>
            <w:vMerge/>
            <w:tcBorders>
              <w:left w:val="single" w:sz="4" w:space="0" w:color="auto"/>
              <w:bottom w:val="single" w:sz="4" w:space="0" w:color="auto"/>
            </w:tcBorders>
            <w:vAlign w:val="center"/>
          </w:tcPr>
          <w:p w14:paraId="524DFD9A" w14:textId="77777777" w:rsidR="00A22D3A" w:rsidRPr="00FA30C8" w:rsidRDefault="00A22D3A" w:rsidP="00A22D3A">
            <w:pPr>
              <w:rPr>
                <w:rFonts w:cs="Arial"/>
                <w:sz w:val="18"/>
                <w:szCs w:val="18"/>
              </w:rPr>
            </w:pPr>
          </w:p>
        </w:tc>
        <w:tc>
          <w:tcPr>
            <w:tcW w:w="1167" w:type="dxa"/>
            <w:gridSpan w:val="2"/>
            <w:vMerge/>
            <w:tcBorders>
              <w:bottom w:val="single" w:sz="4" w:space="0" w:color="auto"/>
            </w:tcBorders>
            <w:vAlign w:val="center"/>
          </w:tcPr>
          <w:p w14:paraId="1506D091" w14:textId="77777777" w:rsidR="00A22D3A" w:rsidRPr="00FA30C8" w:rsidRDefault="00A22D3A" w:rsidP="00A22D3A">
            <w:pPr>
              <w:rPr>
                <w:rFonts w:cs="Arial"/>
                <w:sz w:val="18"/>
                <w:szCs w:val="18"/>
              </w:rPr>
            </w:pPr>
          </w:p>
        </w:tc>
        <w:tc>
          <w:tcPr>
            <w:tcW w:w="1162" w:type="dxa"/>
            <w:gridSpan w:val="2"/>
            <w:vMerge/>
            <w:tcBorders>
              <w:bottom w:val="single" w:sz="4" w:space="0" w:color="auto"/>
            </w:tcBorders>
            <w:vAlign w:val="center"/>
          </w:tcPr>
          <w:p w14:paraId="417C196D" w14:textId="77777777" w:rsidR="00A22D3A" w:rsidRPr="00FA30C8" w:rsidRDefault="00A22D3A" w:rsidP="00A22D3A">
            <w:pPr>
              <w:rPr>
                <w:rFonts w:cs="Arial"/>
                <w:sz w:val="18"/>
                <w:szCs w:val="18"/>
              </w:rPr>
            </w:pPr>
          </w:p>
        </w:tc>
        <w:tc>
          <w:tcPr>
            <w:tcW w:w="1039" w:type="dxa"/>
            <w:gridSpan w:val="2"/>
            <w:vMerge/>
            <w:tcBorders>
              <w:bottom w:val="single" w:sz="4" w:space="0" w:color="auto"/>
            </w:tcBorders>
            <w:vAlign w:val="center"/>
          </w:tcPr>
          <w:p w14:paraId="50E840C4" w14:textId="77777777" w:rsidR="00A22D3A" w:rsidRPr="00FA30C8" w:rsidRDefault="00A22D3A" w:rsidP="00A22D3A">
            <w:pPr>
              <w:rPr>
                <w:rFonts w:cs="Arial"/>
                <w:sz w:val="18"/>
                <w:szCs w:val="18"/>
              </w:rPr>
            </w:pPr>
          </w:p>
        </w:tc>
        <w:tc>
          <w:tcPr>
            <w:tcW w:w="2398" w:type="dxa"/>
            <w:gridSpan w:val="3"/>
            <w:vMerge/>
            <w:tcBorders>
              <w:bottom w:val="single" w:sz="4" w:space="0" w:color="auto"/>
            </w:tcBorders>
            <w:vAlign w:val="center"/>
          </w:tcPr>
          <w:p w14:paraId="790974B1" w14:textId="77777777" w:rsidR="00A22D3A" w:rsidRPr="00FA30C8" w:rsidRDefault="00A22D3A" w:rsidP="00A22D3A">
            <w:pPr>
              <w:rPr>
                <w:rFonts w:cs="Arial"/>
                <w:sz w:val="18"/>
                <w:szCs w:val="18"/>
              </w:rPr>
            </w:pPr>
          </w:p>
        </w:tc>
        <w:tc>
          <w:tcPr>
            <w:tcW w:w="1337" w:type="dxa"/>
            <w:tcBorders>
              <w:bottom w:val="single" w:sz="4" w:space="0" w:color="auto"/>
            </w:tcBorders>
            <w:vAlign w:val="center"/>
          </w:tcPr>
          <w:p w14:paraId="7ACEB42A" w14:textId="77777777" w:rsidR="00A22D3A" w:rsidRPr="00FA30C8" w:rsidRDefault="00A22D3A" w:rsidP="00A22D3A">
            <w:pPr>
              <w:rPr>
                <w:rFonts w:cs="Arial"/>
                <w:sz w:val="18"/>
                <w:szCs w:val="18"/>
              </w:rPr>
            </w:pPr>
            <w:r w:rsidRPr="00FA30C8">
              <w:rPr>
                <w:rFonts w:cs="Arial"/>
                <w:sz w:val="18"/>
                <w:szCs w:val="18"/>
              </w:rPr>
              <w:t>Actual amount achieved</w:t>
            </w:r>
          </w:p>
        </w:tc>
        <w:tc>
          <w:tcPr>
            <w:tcW w:w="936" w:type="dxa"/>
            <w:gridSpan w:val="3"/>
            <w:tcBorders>
              <w:bottom w:val="single" w:sz="4" w:space="0" w:color="auto"/>
            </w:tcBorders>
            <w:vAlign w:val="center"/>
          </w:tcPr>
          <w:p w14:paraId="66E2B7DA" w14:textId="77777777" w:rsidR="00A22D3A" w:rsidRPr="00FA30C8" w:rsidRDefault="00A22D3A" w:rsidP="00A22D3A">
            <w:pPr>
              <w:jc w:val="center"/>
              <w:rPr>
                <w:rFonts w:cs="Arial"/>
                <w:sz w:val="18"/>
                <w:szCs w:val="18"/>
              </w:rPr>
            </w:pPr>
            <w:r w:rsidRPr="00FA30C8">
              <w:rPr>
                <w:rFonts w:cs="Arial"/>
                <w:sz w:val="18"/>
                <w:szCs w:val="18"/>
              </w:rPr>
              <w:t>1</w:t>
            </w:r>
          </w:p>
        </w:tc>
        <w:tc>
          <w:tcPr>
            <w:tcW w:w="1414" w:type="dxa"/>
            <w:vMerge/>
            <w:tcBorders>
              <w:bottom w:val="single" w:sz="4" w:space="0" w:color="auto"/>
              <w:right w:val="single" w:sz="4" w:space="0" w:color="auto"/>
            </w:tcBorders>
            <w:vAlign w:val="center"/>
          </w:tcPr>
          <w:p w14:paraId="22B40522" w14:textId="77777777" w:rsidR="00A22D3A" w:rsidRPr="00FA30C8" w:rsidRDefault="00A22D3A" w:rsidP="00A22D3A">
            <w:pPr>
              <w:rPr>
                <w:rFonts w:cs="Arial"/>
                <w:sz w:val="18"/>
                <w:szCs w:val="18"/>
              </w:rPr>
            </w:pPr>
          </w:p>
        </w:tc>
      </w:tr>
      <w:tr w:rsidR="00E0070E" w:rsidRPr="00FA30C8" w14:paraId="1B48450F" w14:textId="77777777" w:rsidTr="00F830D1">
        <w:trPr>
          <w:gridAfter w:val="1"/>
          <w:wAfter w:w="6" w:type="dxa"/>
          <w:jc w:val="center"/>
        </w:trPr>
        <w:tc>
          <w:tcPr>
            <w:tcW w:w="3497" w:type="dxa"/>
            <w:vMerge w:val="restart"/>
            <w:tcBorders>
              <w:left w:val="single" w:sz="4" w:space="0" w:color="auto"/>
            </w:tcBorders>
            <w:vAlign w:val="center"/>
          </w:tcPr>
          <w:p w14:paraId="779A5981" w14:textId="77777777" w:rsidR="00E0070E" w:rsidRPr="00FA30C8" w:rsidRDefault="00E0070E" w:rsidP="00E0070E">
            <w:pPr>
              <w:rPr>
                <w:rFonts w:cs="Arial"/>
                <w:sz w:val="18"/>
                <w:szCs w:val="18"/>
              </w:rPr>
            </w:pPr>
            <w:bookmarkStart w:id="20" w:name="_Hlk494447948"/>
            <w:r w:rsidRPr="00FA30C8">
              <w:rPr>
                <w:rFonts w:cs="Arial"/>
                <w:sz w:val="18"/>
                <w:szCs w:val="18"/>
              </w:rPr>
              <w:t>Output #3: Town and Country Development Planning Office systems /procedures upgrade implemented and certified</w:t>
            </w:r>
          </w:p>
        </w:tc>
        <w:tc>
          <w:tcPr>
            <w:tcW w:w="1167" w:type="dxa"/>
            <w:gridSpan w:val="2"/>
            <w:vMerge w:val="restart"/>
            <w:vAlign w:val="center"/>
          </w:tcPr>
          <w:p w14:paraId="776891A3" w14:textId="77777777" w:rsidR="00E0070E" w:rsidRPr="00FA30C8" w:rsidRDefault="00E0070E" w:rsidP="00E0070E">
            <w:pPr>
              <w:rPr>
                <w:rFonts w:cs="Arial"/>
                <w:sz w:val="18"/>
                <w:szCs w:val="18"/>
              </w:rPr>
            </w:pPr>
            <w:r w:rsidRPr="00FA30C8">
              <w:rPr>
                <w:rFonts w:cs="Arial"/>
                <w:sz w:val="18"/>
                <w:szCs w:val="18"/>
              </w:rPr>
              <w:t>Certificate</w:t>
            </w:r>
          </w:p>
        </w:tc>
        <w:tc>
          <w:tcPr>
            <w:tcW w:w="1162" w:type="dxa"/>
            <w:gridSpan w:val="2"/>
            <w:vMerge w:val="restart"/>
            <w:vAlign w:val="center"/>
          </w:tcPr>
          <w:p w14:paraId="01A80A16" w14:textId="77777777" w:rsidR="00E0070E" w:rsidRPr="00FA30C8" w:rsidRDefault="00E0070E" w:rsidP="00E0070E">
            <w:pPr>
              <w:rPr>
                <w:rFonts w:cs="Arial"/>
                <w:sz w:val="18"/>
                <w:szCs w:val="18"/>
              </w:rPr>
            </w:pPr>
            <w:r w:rsidRPr="00FA30C8">
              <w:rPr>
                <w:rFonts w:cs="Arial"/>
                <w:sz w:val="18"/>
                <w:szCs w:val="18"/>
              </w:rPr>
              <w:t>0</w:t>
            </w:r>
          </w:p>
        </w:tc>
        <w:tc>
          <w:tcPr>
            <w:tcW w:w="1039" w:type="dxa"/>
            <w:gridSpan w:val="2"/>
            <w:vMerge w:val="restart"/>
            <w:vAlign w:val="center"/>
          </w:tcPr>
          <w:p w14:paraId="2697A8D0" w14:textId="77777777" w:rsidR="00E0070E" w:rsidRPr="00FA30C8" w:rsidRDefault="00E0070E" w:rsidP="00E0070E">
            <w:pPr>
              <w:jc w:val="center"/>
              <w:rPr>
                <w:rFonts w:cs="Arial"/>
                <w:sz w:val="18"/>
                <w:szCs w:val="18"/>
              </w:rPr>
            </w:pPr>
            <w:r w:rsidRPr="00FA30C8">
              <w:rPr>
                <w:rFonts w:cs="Arial"/>
                <w:sz w:val="18"/>
                <w:szCs w:val="18"/>
              </w:rPr>
              <w:t>2010</w:t>
            </w:r>
          </w:p>
        </w:tc>
        <w:tc>
          <w:tcPr>
            <w:tcW w:w="2398" w:type="dxa"/>
            <w:gridSpan w:val="3"/>
            <w:vMerge w:val="restart"/>
            <w:vAlign w:val="center"/>
          </w:tcPr>
          <w:p w14:paraId="2333FD98" w14:textId="77777777" w:rsidR="00E0070E" w:rsidRPr="00FA30C8" w:rsidRDefault="00E0070E" w:rsidP="00E0070E">
            <w:pPr>
              <w:rPr>
                <w:rFonts w:cs="Arial"/>
                <w:sz w:val="18"/>
                <w:szCs w:val="18"/>
              </w:rPr>
            </w:pPr>
          </w:p>
        </w:tc>
        <w:tc>
          <w:tcPr>
            <w:tcW w:w="1337" w:type="dxa"/>
            <w:vAlign w:val="center"/>
          </w:tcPr>
          <w:p w14:paraId="1C9480E2" w14:textId="77777777" w:rsidR="00E0070E" w:rsidRPr="00FA30C8" w:rsidRDefault="00E0070E" w:rsidP="00E0070E">
            <w:pPr>
              <w:rPr>
                <w:rFonts w:cs="Arial"/>
                <w:sz w:val="18"/>
                <w:szCs w:val="18"/>
              </w:rPr>
            </w:pPr>
            <w:r w:rsidRPr="00FA30C8">
              <w:rPr>
                <w:rFonts w:cs="Arial"/>
                <w:sz w:val="18"/>
                <w:szCs w:val="18"/>
              </w:rPr>
              <w:t>Original Target value</w:t>
            </w:r>
          </w:p>
        </w:tc>
        <w:tc>
          <w:tcPr>
            <w:tcW w:w="936" w:type="dxa"/>
            <w:gridSpan w:val="3"/>
            <w:vAlign w:val="center"/>
          </w:tcPr>
          <w:p w14:paraId="082112F8" w14:textId="77777777" w:rsidR="00E0070E" w:rsidRPr="00FA30C8" w:rsidRDefault="00E0070E" w:rsidP="00E0070E">
            <w:pPr>
              <w:jc w:val="center"/>
              <w:rPr>
                <w:rFonts w:cs="Arial"/>
                <w:sz w:val="18"/>
                <w:szCs w:val="18"/>
              </w:rPr>
            </w:pPr>
            <w:r w:rsidRPr="00FA30C8">
              <w:rPr>
                <w:rFonts w:cs="Arial"/>
                <w:sz w:val="18"/>
                <w:szCs w:val="18"/>
              </w:rPr>
              <w:t>1</w:t>
            </w:r>
          </w:p>
        </w:tc>
        <w:tc>
          <w:tcPr>
            <w:tcW w:w="1414" w:type="dxa"/>
            <w:vMerge w:val="restart"/>
            <w:tcBorders>
              <w:right w:val="single" w:sz="4" w:space="0" w:color="auto"/>
            </w:tcBorders>
            <w:vAlign w:val="center"/>
          </w:tcPr>
          <w:p w14:paraId="77E15A0B" w14:textId="6DB65B79" w:rsidR="00E0070E" w:rsidRPr="00FA30C8" w:rsidRDefault="00E0070E" w:rsidP="00E0070E">
            <w:pPr>
              <w:jc w:val="center"/>
              <w:rPr>
                <w:rFonts w:cs="Arial"/>
                <w:sz w:val="18"/>
                <w:szCs w:val="18"/>
              </w:rPr>
            </w:pPr>
            <w:r w:rsidRPr="00FA30C8">
              <w:rPr>
                <w:rFonts w:cs="Arial"/>
                <w:sz w:val="18"/>
                <w:szCs w:val="18"/>
              </w:rPr>
              <w:t>100%</w:t>
            </w:r>
          </w:p>
        </w:tc>
      </w:tr>
      <w:tr w:rsidR="00E0070E" w:rsidRPr="00FA30C8" w14:paraId="42908D03" w14:textId="77777777" w:rsidTr="00F830D1">
        <w:trPr>
          <w:gridAfter w:val="1"/>
          <w:wAfter w:w="6" w:type="dxa"/>
          <w:jc w:val="center"/>
        </w:trPr>
        <w:tc>
          <w:tcPr>
            <w:tcW w:w="3497" w:type="dxa"/>
            <w:vMerge/>
            <w:tcBorders>
              <w:left w:val="single" w:sz="4" w:space="0" w:color="auto"/>
            </w:tcBorders>
            <w:vAlign w:val="center"/>
          </w:tcPr>
          <w:p w14:paraId="3E8DFF48" w14:textId="77777777" w:rsidR="00E0070E" w:rsidRPr="00FA30C8" w:rsidRDefault="00E0070E" w:rsidP="00E0070E">
            <w:pPr>
              <w:rPr>
                <w:rFonts w:cs="Arial"/>
                <w:sz w:val="18"/>
                <w:szCs w:val="18"/>
              </w:rPr>
            </w:pPr>
          </w:p>
        </w:tc>
        <w:tc>
          <w:tcPr>
            <w:tcW w:w="1167" w:type="dxa"/>
            <w:gridSpan w:val="2"/>
            <w:vMerge/>
            <w:vAlign w:val="center"/>
          </w:tcPr>
          <w:p w14:paraId="688734C9" w14:textId="77777777" w:rsidR="00E0070E" w:rsidRPr="00FA30C8" w:rsidRDefault="00E0070E" w:rsidP="00E0070E">
            <w:pPr>
              <w:rPr>
                <w:rFonts w:cs="Arial"/>
                <w:sz w:val="18"/>
                <w:szCs w:val="18"/>
              </w:rPr>
            </w:pPr>
          </w:p>
        </w:tc>
        <w:tc>
          <w:tcPr>
            <w:tcW w:w="1162" w:type="dxa"/>
            <w:gridSpan w:val="2"/>
            <w:vMerge/>
            <w:vAlign w:val="center"/>
          </w:tcPr>
          <w:p w14:paraId="2600F5BD" w14:textId="77777777" w:rsidR="00E0070E" w:rsidRPr="00FA30C8" w:rsidRDefault="00E0070E" w:rsidP="00E0070E">
            <w:pPr>
              <w:rPr>
                <w:rFonts w:cs="Arial"/>
                <w:sz w:val="18"/>
                <w:szCs w:val="18"/>
              </w:rPr>
            </w:pPr>
          </w:p>
        </w:tc>
        <w:tc>
          <w:tcPr>
            <w:tcW w:w="1039" w:type="dxa"/>
            <w:gridSpan w:val="2"/>
            <w:vMerge/>
            <w:vAlign w:val="center"/>
          </w:tcPr>
          <w:p w14:paraId="0DE00AA9" w14:textId="77777777" w:rsidR="00E0070E" w:rsidRPr="00FA30C8" w:rsidRDefault="00E0070E" w:rsidP="00E0070E">
            <w:pPr>
              <w:rPr>
                <w:rFonts w:cs="Arial"/>
                <w:sz w:val="18"/>
                <w:szCs w:val="18"/>
              </w:rPr>
            </w:pPr>
          </w:p>
        </w:tc>
        <w:tc>
          <w:tcPr>
            <w:tcW w:w="2398" w:type="dxa"/>
            <w:gridSpan w:val="3"/>
            <w:vMerge/>
            <w:vAlign w:val="center"/>
          </w:tcPr>
          <w:p w14:paraId="6705B54E" w14:textId="77777777" w:rsidR="00E0070E" w:rsidRPr="00FA30C8" w:rsidRDefault="00E0070E" w:rsidP="00E0070E">
            <w:pPr>
              <w:rPr>
                <w:rFonts w:cs="Arial"/>
                <w:sz w:val="18"/>
                <w:szCs w:val="18"/>
              </w:rPr>
            </w:pPr>
          </w:p>
        </w:tc>
        <w:tc>
          <w:tcPr>
            <w:tcW w:w="1337" w:type="dxa"/>
            <w:vAlign w:val="center"/>
          </w:tcPr>
          <w:p w14:paraId="61096F37" w14:textId="77777777" w:rsidR="00E0070E" w:rsidRPr="00FA30C8" w:rsidRDefault="00E0070E" w:rsidP="00E0070E">
            <w:pPr>
              <w:rPr>
                <w:rFonts w:cs="Arial"/>
                <w:sz w:val="18"/>
                <w:szCs w:val="18"/>
              </w:rPr>
            </w:pPr>
            <w:r w:rsidRPr="00FA30C8">
              <w:rPr>
                <w:rFonts w:cs="Arial"/>
                <w:sz w:val="18"/>
                <w:szCs w:val="18"/>
              </w:rPr>
              <w:t>Revised target value</w:t>
            </w:r>
          </w:p>
        </w:tc>
        <w:tc>
          <w:tcPr>
            <w:tcW w:w="936" w:type="dxa"/>
            <w:gridSpan w:val="3"/>
            <w:vAlign w:val="center"/>
          </w:tcPr>
          <w:p w14:paraId="41FC70D0" w14:textId="77777777" w:rsidR="00E0070E" w:rsidRPr="00FA30C8" w:rsidRDefault="00E0070E" w:rsidP="00E0070E">
            <w:pPr>
              <w:jc w:val="center"/>
              <w:rPr>
                <w:rFonts w:cs="Arial"/>
                <w:sz w:val="18"/>
                <w:szCs w:val="18"/>
              </w:rPr>
            </w:pPr>
            <w:r w:rsidRPr="00FA30C8">
              <w:rPr>
                <w:rFonts w:cs="Arial"/>
                <w:sz w:val="18"/>
                <w:szCs w:val="18"/>
              </w:rPr>
              <w:t>-</w:t>
            </w:r>
          </w:p>
        </w:tc>
        <w:tc>
          <w:tcPr>
            <w:tcW w:w="1414" w:type="dxa"/>
            <w:vMerge/>
            <w:tcBorders>
              <w:right w:val="single" w:sz="4" w:space="0" w:color="auto"/>
            </w:tcBorders>
            <w:vAlign w:val="center"/>
          </w:tcPr>
          <w:p w14:paraId="0C80C19E" w14:textId="77777777" w:rsidR="00E0070E" w:rsidRPr="00FA30C8" w:rsidRDefault="00E0070E" w:rsidP="00E0070E">
            <w:pPr>
              <w:rPr>
                <w:rFonts w:cs="Arial"/>
                <w:sz w:val="18"/>
                <w:szCs w:val="18"/>
              </w:rPr>
            </w:pPr>
          </w:p>
        </w:tc>
      </w:tr>
      <w:tr w:rsidR="00E0070E" w:rsidRPr="00FA30C8" w14:paraId="33E91F85" w14:textId="77777777" w:rsidTr="00F830D1">
        <w:trPr>
          <w:gridAfter w:val="1"/>
          <w:wAfter w:w="6" w:type="dxa"/>
          <w:jc w:val="center"/>
        </w:trPr>
        <w:tc>
          <w:tcPr>
            <w:tcW w:w="3497" w:type="dxa"/>
            <w:vMerge/>
            <w:tcBorders>
              <w:left w:val="single" w:sz="4" w:space="0" w:color="auto"/>
            </w:tcBorders>
            <w:vAlign w:val="center"/>
          </w:tcPr>
          <w:p w14:paraId="3E7E71EC" w14:textId="77777777" w:rsidR="00E0070E" w:rsidRPr="00FA30C8" w:rsidRDefault="00E0070E" w:rsidP="00E0070E">
            <w:pPr>
              <w:rPr>
                <w:rFonts w:cs="Arial"/>
                <w:sz w:val="18"/>
                <w:szCs w:val="18"/>
              </w:rPr>
            </w:pPr>
          </w:p>
        </w:tc>
        <w:tc>
          <w:tcPr>
            <w:tcW w:w="1167" w:type="dxa"/>
            <w:gridSpan w:val="2"/>
            <w:vMerge/>
            <w:vAlign w:val="center"/>
          </w:tcPr>
          <w:p w14:paraId="13E54FAA" w14:textId="77777777" w:rsidR="00E0070E" w:rsidRPr="00FA30C8" w:rsidRDefault="00E0070E" w:rsidP="00E0070E">
            <w:pPr>
              <w:rPr>
                <w:rFonts w:cs="Arial"/>
                <w:sz w:val="18"/>
                <w:szCs w:val="18"/>
              </w:rPr>
            </w:pPr>
          </w:p>
        </w:tc>
        <w:tc>
          <w:tcPr>
            <w:tcW w:w="1162" w:type="dxa"/>
            <w:gridSpan w:val="2"/>
            <w:vMerge/>
            <w:vAlign w:val="center"/>
          </w:tcPr>
          <w:p w14:paraId="5F2DF9EF" w14:textId="77777777" w:rsidR="00E0070E" w:rsidRPr="00FA30C8" w:rsidRDefault="00E0070E" w:rsidP="00E0070E">
            <w:pPr>
              <w:rPr>
                <w:rFonts w:cs="Arial"/>
                <w:sz w:val="18"/>
                <w:szCs w:val="18"/>
              </w:rPr>
            </w:pPr>
          </w:p>
        </w:tc>
        <w:tc>
          <w:tcPr>
            <w:tcW w:w="1039" w:type="dxa"/>
            <w:gridSpan w:val="2"/>
            <w:vMerge/>
            <w:vAlign w:val="center"/>
          </w:tcPr>
          <w:p w14:paraId="01DA231D" w14:textId="77777777" w:rsidR="00E0070E" w:rsidRPr="00FA30C8" w:rsidRDefault="00E0070E" w:rsidP="00E0070E">
            <w:pPr>
              <w:rPr>
                <w:rFonts w:cs="Arial"/>
                <w:sz w:val="18"/>
                <w:szCs w:val="18"/>
              </w:rPr>
            </w:pPr>
          </w:p>
        </w:tc>
        <w:tc>
          <w:tcPr>
            <w:tcW w:w="2398" w:type="dxa"/>
            <w:gridSpan w:val="3"/>
            <w:vMerge/>
            <w:vAlign w:val="center"/>
          </w:tcPr>
          <w:p w14:paraId="2881C87B" w14:textId="77777777" w:rsidR="00E0070E" w:rsidRPr="00FA30C8" w:rsidRDefault="00E0070E" w:rsidP="00E0070E">
            <w:pPr>
              <w:rPr>
                <w:rFonts w:cs="Arial"/>
                <w:sz w:val="18"/>
                <w:szCs w:val="18"/>
              </w:rPr>
            </w:pPr>
          </w:p>
        </w:tc>
        <w:tc>
          <w:tcPr>
            <w:tcW w:w="1337" w:type="dxa"/>
            <w:vAlign w:val="center"/>
          </w:tcPr>
          <w:p w14:paraId="15F4F253" w14:textId="77777777" w:rsidR="00E0070E" w:rsidRPr="00FA30C8" w:rsidRDefault="00E0070E" w:rsidP="00E0070E">
            <w:pPr>
              <w:rPr>
                <w:rFonts w:cs="Arial"/>
                <w:sz w:val="18"/>
                <w:szCs w:val="18"/>
              </w:rPr>
            </w:pPr>
            <w:r w:rsidRPr="00FA30C8">
              <w:rPr>
                <w:rFonts w:cs="Arial"/>
                <w:sz w:val="18"/>
                <w:szCs w:val="18"/>
              </w:rPr>
              <w:t>Actual amount achieved</w:t>
            </w:r>
          </w:p>
        </w:tc>
        <w:tc>
          <w:tcPr>
            <w:tcW w:w="936" w:type="dxa"/>
            <w:gridSpan w:val="3"/>
            <w:vAlign w:val="center"/>
          </w:tcPr>
          <w:p w14:paraId="71012A3F" w14:textId="77777777" w:rsidR="00E0070E" w:rsidRPr="00FA30C8" w:rsidRDefault="00E0070E" w:rsidP="00E0070E">
            <w:pPr>
              <w:jc w:val="center"/>
              <w:rPr>
                <w:rFonts w:cs="Arial"/>
                <w:sz w:val="18"/>
                <w:szCs w:val="18"/>
              </w:rPr>
            </w:pPr>
            <w:r w:rsidRPr="00FA30C8">
              <w:rPr>
                <w:rFonts w:cs="Arial"/>
                <w:sz w:val="18"/>
                <w:szCs w:val="18"/>
              </w:rPr>
              <w:t>1</w:t>
            </w:r>
          </w:p>
        </w:tc>
        <w:tc>
          <w:tcPr>
            <w:tcW w:w="1414" w:type="dxa"/>
            <w:vMerge/>
            <w:tcBorders>
              <w:right w:val="single" w:sz="4" w:space="0" w:color="auto"/>
            </w:tcBorders>
            <w:vAlign w:val="center"/>
          </w:tcPr>
          <w:p w14:paraId="54BEB9C2" w14:textId="77777777" w:rsidR="00E0070E" w:rsidRPr="00FA30C8" w:rsidRDefault="00E0070E" w:rsidP="00E0070E">
            <w:pPr>
              <w:rPr>
                <w:rFonts w:cs="Arial"/>
                <w:sz w:val="18"/>
                <w:szCs w:val="18"/>
              </w:rPr>
            </w:pPr>
          </w:p>
        </w:tc>
      </w:tr>
      <w:bookmarkEnd w:id="20"/>
      <w:tr w:rsidR="00E0070E" w:rsidRPr="00FA30C8" w14:paraId="4F4D9518" w14:textId="77777777" w:rsidTr="00F830D1">
        <w:trPr>
          <w:gridAfter w:val="1"/>
          <w:wAfter w:w="6" w:type="dxa"/>
          <w:jc w:val="center"/>
        </w:trPr>
        <w:tc>
          <w:tcPr>
            <w:tcW w:w="12950" w:type="dxa"/>
            <w:gridSpan w:val="15"/>
            <w:tcBorders>
              <w:left w:val="single" w:sz="4" w:space="0" w:color="auto"/>
              <w:right w:val="single" w:sz="4" w:space="0" w:color="auto"/>
            </w:tcBorders>
            <w:shd w:val="clear" w:color="auto" w:fill="DBE5F1" w:themeFill="accent1" w:themeFillTint="33"/>
            <w:vAlign w:val="center"/>
          </w:tcPr>
          <w:p w14:paraId="116AF534" w14:textId="77777777" w:rsidR="00E0070E" w:rsidRPr="00FA30C8" w:rsidRDefault="00E0070E" w:rsidP="00E0070E">
            <w:pPr>
              <w:rPr>
                <w:rFonts w:cs="Arial"/>
                <w:b/>
                <w:sz w:val="18"/>
                <w:szCs w:val="18"/>
              </w:rPr>
            </w:pPr>
            <w:r w:rsidRPr="00FA30C8">
              <w:rPr>
                <w:rFonts w:cs="Arial"/>
                <w:b/>
                <w:sz w:val="18"/>
                <w:szCs w:val="18"/>
              </w:rPr>
              <w:t>Component #3: Improving trade logistics and trade facilitation and enhancing access to infrastructure</w:t>
            </w:r>
          </w:p>
        </w:tc>
      </w:tr>
      <w:tr w:rsidR="00E0070E" w:rsidRPr="00FA30C8" w14:paraId="757E07CC" w14:textId="77777777" w:rsidTr="00F830D1">
        <w:tblPrEx>
          <w:jc w:val="left"/>
        </w:tblPrEx>
        <w:trPr>
          <w:gridAfter w:val="1"/>
          <w:wAfter w:w="6" w:type="dxa"/>
        </w:trPr>
        <w:tc>
          <w:tcPr>
            <w:tcW w:w="3497" w:type="dxa"/>
            <w:vMerge w:val="restart"/>
          </w:tcPr>
          <w:p w14:paraId="6E5DA550" w14:textId="7CECB1F1" w:rsidR="00E0070E" w:rsidRPr="00FA30C8" w:rsidRDefault="00E0070E" w:rsidP="00E0070E">
            <w:pPr>
              <w:rPr>
                <w:rFonts w:cs="Arial"/>
                <w:sz w:val="18"/>
                <w:szCs w:val="18"/>
              </w:rPr>
            </w:pPr>
            <w:r w:rsidRPr="00FA30C8">
              <w:rPr>
                <w:rFonts w:cs="Arial"/>
                <w:sz w:val="18"/>
                <w:szCs w:val="18"/>
              </w:rPr>
              <w:t>Output #1: Comprehensive plan for Cargo Examination Facility (CEF) and logistical support systems fully elaborated</w:t>
            </w:r>
          </w:p>
        </w:tc>
        <w:tc>
          <w:tcPr>
            <w:tcW w:w="1167" w:type="dxa"/>
            <w:gridSpan w:val="2"/>
            <w:vMerge w:val="restart"/>
            <w:vAlign w:val="center"/>
          </w:tcPr>
          <w:p w14:paraId="199BE7F9" w14:textId="77777777" w:rsidR="00E0070E" w:rsidRPr="00FA30C8" w:rsidRDefault="00E0070E" w:rsidP="00E0070E">
            <w:pPr>
              <w:jc w:val="center"/>
              <w:rPr>
                <w:rFonts w:cs="Arial"/>
                <w:sz w:val="18"/>
                <w:szCs w:val="18"/>
              </w:rPr>
            </w:pPr>
            <w:r w:rsidRPr="00FA30C8">
              <w:rPr>
                <w:rFonts w:cs="Arial"/>
                <w:sz w:val="18"/>
                <w:szCs w:val="18"/>
              </w:rPr>
              <w:t>Plan</w:t>
            </w:r>
          </w:p>
        </w:tc>
        <w:tc>
          <w:tcPr>
            <w:tcW w:w="1162" w:type="dxa"/>
            <w:gridSpan w:val="2"/>
            <w:vMerge w:val="restart"/>
            <w:vAlign w:val="center"/>
          </w:tcPr>
          <w:p w14:paraId="0D1F0351" w14:textId="77777777" w:rsidR="00E0070E" w:rsidRPr="00FA30C8" w:rsidRDefault="00E0070E" w:rsidP="00E0070E">
            <w:pPr>
              <w:jc w:val="center"/>
              <w:rPr>
                <w:rFonts w:cs="Arial"/>
                <w:sz w:val="18"/>
                <w:szCs w:val="18"/>
              </w:rPr>
            </w:pPr>
            <w:r w:rsidRPr="00FA30C8">
              <w:rPr>
                <w:rFonts w:cs="Arial"/>
                <w:sz w:val="18"/>
                <w:szCs w:val="18"/>
              </w:rPr>
              <w:t>0</w:t>
            </w:r>
          </w:p>
        </w:tc>
        <w:tc>
          <w:tcPr>
            <w:tcW w:w="1039" w:type="dxa"/>
            <w:gridSpan w:val="2"/>
            <w:vMerge w:val="restart"/>
            <w:vAlign w:val="center"/>
          </w:tcPr>
          <w:p w14:paraId="79CEF551" w14:textId="77777777" w:rsidR="00E0070E" w:rsidRPr="00FA30C8" w:rsidRDefault="00E0070E" w:rsidP="00E0070E">
            <w:pPr>
              <w:jc w:val="center"/>
              <w:rPr>
                <w:rFonts w:cs="Arial"/>
                <w:sz w:val="18"/>
                <w:szCs w:val="18"/>
              </w:rPr>
            </w:pPr>
            <w:r w:rsidRPr="00FA30C8">
              <w:rPr>
                <w:rFonts w:cs="Arial"/>
                <w:sz w:val="18"/>
                <w:szCs w:val="18"/>
              </w:rPr>
              <w:t>2010</w:t>
            </w:r>
          </w:p>
        </w:tc>
        <w:tc>
          <w:tcPr>
            <w:tcW w:w="2398" w:type="dxa"/>
            <w:gridSpan w:val="3"/>
            <w:vMerge w:val="restart"/>
          </w:tcPr>
          <w:p w14:paraId="13A61BCA" w14:textId="77777777" w:rsidR="00E0070E" w:rsidRPr="00FA30C8" w:rsidRDefault="00E0070E" w:rsidP="00E0070E">
            <w:pPr>
              <w:rPr>
                <w:rFonts w:cs="Arial"/>
                <w:sz w:val="18"/>
                <w:szCs w:val="18"/>
              </w:rPr>
            </w:pPr>
          </w:p>
        </w:tc>
        <w:tc>
          <w:tcPr>
            <w:tcW w:w="1337" w:type="dxa"/>
          </w:tcPr>
          <w:p w14:paraId="6684D57E" w14:textId="77777777" w:rsidR="00E0070E" w:rsidRPr="00FA30C8" w:rsidRDefault="00E0070E" w:rsidP="00E0070E">
            <w:pPr>
              <w:rPr>
                <w:rFonts w:cs="Arial"/>
                <w:sz w:val="18"/>
                <w:szCs w:val="18"/>
              </w:rPr>
            </w:pPr>
            <w:r w:rsidRPr="00FA30C8">
              <w:rPr>
                <w:rFonts w:cs="Arial"/>
                <w:sz w:val="18"/>
                <w:szCs w:val="18"/>
              </w:rPr>
              <w:t>Original Target value</w:t>
            </w:r>
          </w:p>
        </w:tc>
        <w:tc>
          <w:tcPr>
            <w:tcW w:w="936" w:type="dxa"/>
            <w:gridSpan w:val="3"/>
            <w:vAlign w:val="center"/>
          </w:tcPr>
          <w:p w14:paraId="10FF3D0F" w14:textId="77777777" w:rsidR="00E0070E" w:rsidRPr="00FA30C8" w:rsidRDefault="00E0070E" w:rsidP="00E0070E">
            <w:pPr>
              <w:jc w:val="center"/>
              <w:rPr>
                <w:rFonts w:cs="Arial"/>
                <w:sz w:val="18"/>
                <w:szCs w:val="18"/>
              </w:rPr>
            </w:pPr>
            <w:r w:rsidRPr="00FA30C8">
              <w:rPr>
                <w:rFonts w:cs="Arial"/>
                <w:sz w:val="18"/>
                <w:szCs w:val="18"/>
              </w:rPr>
              <w:t>1</w:t>
            </w:r>
          </w:p>
        </w:tc>
        <w:tc>
          <w:tcPr>
            <w:tcW w:w="1414" w:type="dxa"/>
            <w:vMerge w:val="restart"/>
            <w:vAlign w:val="center"/>
          </w:tcPr>
          <w:p w14:paraId="2AD62CB6" w14:textId="3B8FE2BF" w:rsidR="00E0070E" w:rsidRPr="00FA30C8" w:rsidRDefault="00E0070E" w:rsidP="00E0070E">
            <w:pPr>
              <w:jc w:val="center"/>
              <w:rPr>
                <w:rFonts w:cs="Arial"/>
                <w:sz w:val="18"/>
                <w:szCs w:val="18"/>
              </w:rPr>
            </w:pPr>
            <w:r w:rsidRPr="00FA30C8">
              <w:rPr>
                <w:rFonts w:cs="Arial"/>
                <w:sz w:val="18"/>
                <w:szCs w:val="18"/>
              </w:rPr>
              <w:t>100%</w:t>
            </w:r>
          </w:p>
        </w:tc>
      </w:tr>
      <w:tr w:rsidR="00E0070E" w:rsidRPr="00FA30C8" w14:paraId="062752E9" w14:textId="77777777" w:rsidTr="00F830D1">
        <w:tblPrEx>
          <w:jc w:val="left"/>
        </w:tblPrEx>
        <w:trPr>
          <w:gridAfter w:val="1"/>
          <w:wAfter w:w="6" w:type="dxa"/>
        </w:trPr>
        <w:tc>
          <w:tcPr>
            <w:tcW w:w="3497" w:type="dxa"/>
            <w:vMerge/>
          </w:tcPr>
          <w:p w14:paraId="7EFE1A76" w14:textId="77777777" w:rsidR="00E0070E" w:rsidRPr="00FA30C8" w:rsidRDefault="00E0070E" w:rsidP="00E0070E">
            <w:pPr>
              <w:rPr>
                <w:rFonts w:cs="Arial"/>
                <w:sz w:val="18"/>
                <w:szCs w:val="18"/>
              </w:rPr>
            </w:pPr>
          </w:p>
        </w:tc>
        <w:tc>
          <w:tcPr>
            <w:tcW w:w="1167" w:type="dxa"/>
            <w:gridSpan w:val="2"/>
            <w:vMerge/>
            <w:vAlign w:val="center"/>
          </w:tcPr>
          <w:p w14:paraId="754A1CB9" w14:textId="77777777" w:rsidR="00E0070E" w:rsidRPr="00FA30C8" w:rsidRDefault="00E0070E" w:rsidP="00E0070E">
            <w:pPr>
              <w:jc w:val="center"/>
              <w:rPr>
                <w:rFonts w:cs="Arial"/>
                <w:sz w:val="18"/>
                <w:szCs w:val="18"/>
              </w:rPr>
            </w:pPr>
          </w:p>
        </w:tc>
        <w:tc>
          <w:tcPr>
            <w:tcW w:w="1162" w:type="dxa"/>
            <w:gridSpan w:val="2"/>
            <w:vMerge/>
            <w:vAlign w:val="center"/>
          </w:tcPr>
          <w:p w14:paraId="373CC8CA" w14:textId="77777777" w:rsidR="00E0070E" w:rsidRPr="00FA30C8" w:rsidRDefault="00E0070E" w:rsidP="00E0070E">
            <w:pPr>
              <w:jc w:val="center"/>
              <w:rPr>
                <w:rFonts w:cs="Arial"/>
                <w:sz w:val="18"/>
                <w:szCs w:val="18"/>
              </w:rPr>
            </w:pPr>
          </w:p>
        </w:tc>
        <w:tc>
          <w:tcPr>
            <w:tcW w:w="1039" w:type="dxa"/>
            <w:gridSpan w:val="2"/>
            <w:vMerge/>
            <w:vAlign w:val="center"/>
          </w:tcPr>
          <w:p w14:paraId="31EFB04C" w14:textId="77777777" w:rsidR="00E0070E" w:rsidRPr="00FA30C8" w:rsidRDefault="00E0070E" w:rsidP="00E0070E">
            <w:pPr>
              <w:jc w:val="center"/>
              <w:rPr>
                <w:rFonts w:cs="Arial"/>
                <w:sz w:val="18"/>
                <w:szCs w:val="18"/>
              </w:rPr>
            </w:pPr>
          </w:p>
        </w:tc>
        <w:tc>
          <w:tcPr>
            <w:tcW w:w="2398" w:type="dxa"/>
            <w:gridSpan w:val="3"/>
            <w:vMerge/>
          </w:tcPr>
          <w:p w14:paraId="534B0EF4" w14:textId="77777777" w:rsidR="00E0070E" w:rsidRPr="00FA30C8" w:rsidRDefault="00E0070E" w:rsidP="00E0070E">
            <w:pPr>
              <w:rPr>
                <w:rFonts w:cs="Arial"/>
                <w:sz w:val="18"/>
                <w:szCs w:val="18"/>
              </w:rPr>
            </w:pPr>
          </w:p>
        </w:tc>
        <w:tc>
          <w:tcPr>
            <w:tcW w:w="1337" w:type="dxa"/>
          </w:tcPr>
          <w:p w14:paraId="01897B17" w14:textId="7EEB2DEB" w:rsidR="00E0070E" w:rsidRPr="00FA30C8" w:rsidRDefault="00E0070E" w:rsidP="00E0070E">
            <w:pPr>
              <w:rPr>
                <w:rFonts w:cs="Arial"/>
                <w:sz w:val="18"/>
                <w:szCs w:val="18"/>
              </w:rPr>
            </w:pPr>
            <w:r w:rsidRPr="00FA30C8">
              <w:rPr>
                <w:rFonts w:cs="Arial"/>
                <w:sz w:val="18"/>
                <w:szCs w:val="18"/>
              </w:rPr>
              <w:t>Revised target value</w:t>
            </w:r>
          </w:p>
        </w:tc>
        <w:tc>
          <w:tcPr>
            <w:tcW w:w="936" w:type="dxa"/>
            <w:gridSpan w:val="3"/>
            <w:vAlign w:val="center"/>
          </w:tcPr>
          <w:p w14:paraId="1243C9AC" w14:textId="59892F5F" w:rsidR="00E0070E" w:rsidRPr="00FA30C8" w:rsidRDefault="00E0070E" w:rsidP="00E0070E">
            <w:pPr>
              <w:jc w:val="center"/>
              <w:rPr>
                <w:rFonts w:cs="Arial"/>
                <w:sz w:val="18"/>
                <w:szCs w:val="18"/>
              </w:rPr>
            </w:pPr>
            <w:r w:rsidRPr="00FA30C8">
              <w:rPr>
                <w:rFonts w:cs="Arial"/>
                <w:sz w:val="18"/>
                <w:szCs w:val="18"/>
              </w:rPr>
              <w:t>-</w:t>
            </w:r>
          </w:p>
        </w:tc>
        <w:tc>
          <w:tcPr>
            <w:tcW w:w="1414" w:type="dxa"/>
            <w:vMerge/>
          </w:tcPr>
          <w:p w14:paraId="4D9C7452" w14:textId="77777777" w:rsidR="00E0070E" w:rsidRPr="00FA30C8" w:rsidRDefault="00E0070E" w:rsidP="00E0070E">
            <w:pPr>
              <w:rPr>
                <w:rFonts w:cs="Arial"/>
                <w:sz w:val="18"/>
                <w:szCs w:val="18"/>
              </w:rPr>
            </w:pPr>
          </w:p>
        </w:tc>
      </w:tr>
      <w:tr w:rsidR="00E0070E" w:rsidRPr="00FA30C8" w14:paraId="76A0C958" w14:textId="77777777" w:rsidTr="00F830D1">
        <w:tblPrEx>
          <w:jc w:val="left"/>
        </w:tblPrEx>
        <w:trPr>
          <w:gridAfter w:val="1"/>
          <w:wAfter w:w="6" w:type="dxa"/>
        </w:trPr>
        <w:tc>
          <w:tcPr>
            <w:tcW w:w="3497" w:type="dxa"/>
            <w:vMerge/>
          </w:tcPr>
          <w:p w14:paraId="2DA459A9" w14:textId="77777777" w:rsidR="00E0070E" w:rsidRPr="00FA30C8" w:rsidRDefault="00E0070E" w:rsidP="00E0070E">
            <w:pPr>
              <w:rPr>
                <w:rFonts w:cs="Arial"/>
                <w:sz w:val="18"/>
                <w:szCs w:val="18"/>
              </w:rPr>
            </w:pPr>
          </w:p>
        </w:tc>
        <w:tc>
          <w:tcPr>
            <w:tcW w:w="1167" w:type="dxa"/>
            <w:gridSpan w:val="2"/>
            <w:vMerge/>
            <w:vAlign w:val="center"/>
          </w:tcPr>
          <w:p w14:paraId="151077E5" w14:textId="77777777" w:rsidR="00E0070E" w:rsidRPr="00FA30C8" w:rsidRDefault="00E0070E" w:rsidP="00E0070E">
            <w:pPr>
              <w:jc w:val="center"/>
              <w:rPr>
                <w:rFonts w:cs="Arial"/>
                <w:sz w:val="18"/>
                <w:szCs w:val="18"/>
              </w:rPr>
            </w:pPr>
          </w:p>
        </w:tc>
        <w:tc>
          <w:tcPr>
            <w:tcW w:w="1162" w:type="dxa"/>
            <w:gridSpan w:val="2"/>
            <w:vMerge/>
            <w:vAlign w:val="center"/>
          </w:tcPr>
          <w:p w14:paraId="33D45B51" w14:textId="77777777" w:rsidR="00E0070E" w:rsidRPr="00FA30C8" w:rsidRDefault="00E0070E" w:rsidP="00E0070E">
            <w:pPr>
              <w:jc w:val="center"/>
              <w:rPr>
                <w:rFonts w:cs="Arial"/>
                <w:sz w:val="18"/>
                <w:szCs w:val="18"/>
              </w:rPr>
            </w:pPr>
          </w:p>
        </w:tc>
        <w:tc>
          <w:tcPr>
            <w:tcW w:w="1039" w:type="dxa"/>
            <w:gridSpan w:val="2"/>
            <w:vMerge/>
            <w:vAlign w:val="center"/>
          </w:tcPr>
          <w:p w14:paraId="74C00512" w14:textId="77777777" w:rsidR="00E0070E" w:rsidRPr="00FA30C8" w:rsidRDefault="00E0070E" w:rsidP="00E0070E">
            <w:pPr>
              <w:jc w:val="center"/>
              <w:rPr>
                <w:rFonts w:cs="Arial"/>
                <w:sz w:val="18"/>
                <w:szCs w:val="18"/>
              </w:rPr>
            </w:pPr>
          </w:p>
        </w:tc>
        <w:tc>
          <w:tcPr>
            <w:tcW w:w="2398" w:type="dxa"/>
            <w:gridSpan w:val="3"/>
            <w:vMerge/>
          </w:tcPr>
          <w:p w14:paraId="058F6ACB" w14:textId="77777777" w:rsidR="00E0070E" w:rsidRPr="00FA30C8" w:rsidRDefault="00E0070E" w:rsidP="00E0070E">
            <w:pPr>
              <w:rPr>
                <w:rFonts w:cs="Arial"/>
                <w:sz w:val="18"/>
                <w:szCs w:val="18"/>
              </w:rPr>
            </w:pPr>
          </w:p>
        </w:tc>
        <w:tc>
          <w:tcPr>
            <w:tcW w:w="1337" w:type="dxa"/>
          </w:tcPr>
          <w:p w14:paraId="6A00ACE9" w14:textId="413641DA" w:rsidR="00E0070E" w:rsidRPr="00FA30C8" w:rsidRDefault="00E0070E" w:rsidP="00E0070E">
            <w:pPr>
              <w:rPr>
                <w:rFonts w:cs="Arial"/>
                <w:sz w:val="18"/>
                <w:szCs w:val="18"/>
              </w:rPr>
            </w:pPr>
            <w:r w:rsidRPr="00FA30C8">
              <w:rPr>
                <w:rFonts w:cs="Arial"/>
                <w:sz w:val="18"/>
                <w:szCs w:val="18"/>
              </w:rPr>
              <w:t>Actual amount achieved</w:t>
            </w:r>
          </w:p>
        </w:tc>
        <w:tc>
          <w:tcPr>
            <w:tcW w:w="936" w:type="dxa"/>
            <w:gridSpan w:val="3"/>
            <w:vAlign w:val="center"/>
          </w:tcPr>
          <w:p w14:paraId="36F64534" w14:textId="70E94CDA" w:rsidR="00E0070E" w:rsidRPr="00FA30C8" w:rsidRDefault="00E0070E" w:rsidP="00E0070E">
            <w:pPr>
              <w:jc w:val="center"/>
              <w:rPr>
                <w:rFonts w:cs="Arial"/>
                <w:sz w:val="18"/>
                <w:szCs w:val="18"/>
              </w:rPr>
            </w:pPr>
            <w:r w:rsidRPr="00FA30C8">
              <w:rPr>
                <w:rFonts w:cs="Arial"/>
                <w:sz w:val="18"/>
                <w:szCs w:val="18"/>
              </w:rPr>
              <w:t>1</w:t>
            </w:r>
          </w:p>
        </w:tc>
        <w:tc>
          <w:tcPr>
            <w:tcW w:w="1414" w:type="dxa"/>
            <w:vMerge/>
          </w:tcPr>
          <w:p w14:paraId="20C9BE93" w14:textId="77777777" w:rsidR="00E0070E" w:rsidRPr="00FA30C8" w:rsidRDefault="00E0070E" w:rsidP="00E0070E">
            <w:pPr>
              <w:rPr>
                <w:rFonts w:cs="Arial"/>
                <w:sz w:val="18"/>
                <w:szCs w:val="18"/>
              </w:rPr>
            </w:pPr>
          </w:p>
        </w:tc>
      </w:tr>
      <w:tr w:rsidR="00E0070E" w:rsidRPr="00FA30C8" w14:paraId="25E87313" w14:textId="77777777" w:rsidTr="00F830D1">
        <w:tblPrEx>
          <w:jc w:val="left"/>
        </w:tblPrEx>
        <w:trPr>
          <w:gridAfter w:val="1"/>
          <w:wAfter w:w="6" w:type="dxa"/>
        </w:trPr>
        <w:tc>
          <w:tcPr>
            <w:tcW w:w="3497" w:type="dxa"/>
            <w:vMerge w:val="restart"/>
          </w:tcPr>
          <w:p w14:paraId="11591ACD" w14:textId="1DE53236" w:rsidR="00E0070E" w:rsidRPr="00FA30C8" w:rsidRDefault="00E0070E" w:rsidP="00E0070E">
            <w:pPr>
              <w:rPr>
                <w:rFonts w:cs="Arial"/>
                <w:sz w:val="18"/>
                <w:szCs w:val="18"/>
              </w:rPr>
            </w:pPr>
            <w:r w:rsidRPr="00FA30C8">
              <w:rPr>
                <w:rFonts w:cs="Arial"/>
                <w:sz w:val="18"/>
                <w:szCs w:val="18"/>
              </w:rPr>
              <w:t>Output #2: Electronic Single Window (ESW) fully implemented and functioning</w:t>
            </w:r>
          </w:p>
        </w:tc>
        <w:tc>
          <w:tcPr>
            <w:tcW w:w="1167" w:type="dxa"/>
            <w:gridSpan w:val="2"/>
            <w:vMerge w:val="restart"/>
            <w:vAlign w:val="center"/>
          </w:tcPr>
          <w:p w14:paraId="2265D842" w14:textId="77777777" w:rsidR="00E0070E" w:rsidRPr="00FA30C8" w:rsidRDefault="00E0070E" w:rsidP="00E0070E">
            <w:pPr>
              <w:jc w:val="center"/>
              <w:rPr>
                <w:rFonts w:cs="Arial"/>
                <w:sz w:val="18"/>
                <w:szCs w:val="18"/>
              </w:rPr>
            </w:pPr>
            <w:r w:rsidRPr="00FA30C8">
              <w:rPr>
                <w:rFonts w:cs="Arial"/>
                <w:sz w:val="18"/>
                <w:szCs w:val="18"/>
              </w:rPr>
              <w:t>System</w:t>
            </w:r>
          </w:p>
        </w:tc>
        <w:tc>
          <w:tcPr>
            <w:tcW w:w="1162" w:type="dxa"/>
            <w:gridSpan w:val="2"/>
            <w:vMerge w:val="restart"/>
            <w:vAlign w:val="center"/>
          </w:tcPr>
          <w:p w14:paraId="38260EC7" w14:textId="77777777" w:rsidR="00E0070E" w:rsidRPr="00FA30C8" w:rsidRDefault="00E0070E" w:rsidP="00E0070E">
            <w:pPr>
              <w:jc w:val="center"/>
              <w:rPr>
                <w:rFonts w:cs="Arial"/>
                <w:sz w:val="18"/>
                <w:szCs w:val="18"/>
              </w:rPr>
            </w:pPr>
            <w:r w:rsidRPr="00FA30C8">
              <w:rPr>
                <w:rFonts w:cs="Arial"/>
                <w:sz w:val="18"/>
                <w:szCs w:val="18"/>
              </w:rPr>
              <w:t>0</w:t>
            </w:r>
          </w:p>
        </w:tc>
        <w:tc>
          <w:tcPr>
            <w:tcW w:w="1039" w:type="dxa"/>
            <w:gridSpan w:val="2"/>
            <w:vMerge w:val="restart"/>
            <w:vAlign w:val="center"/>
          </w:tcPr>
          <w:p w14:paraId="2711C7FA" w14:textId="77777777" w:rsidR="00E0070E" w:rsidRPr="00FA30C8" w:rsidRDefault="00E0070E" w:rsidP="00E0070E">
            <w:pPr>
              <w:jc w:val="center"/>
              <w:rPr>
                <w:rFonts w:cs="Arial"/>
                <w:sz w:val="18"/>
                <w:szCs w:val="18"/>
              </w:rPr>
            </w:pPr>
            <w:r w:rsidRPr="00FA30C8">
              <w:rPr>
                <w:rFonts w:cs="Arial"/>
                <w:sz w:val="18"/>
                <w:szCs w:val="18"/>
              </w:rPr>
              <w:t>2010</w:t>
            </w:r>
          </w:p>
        </w:tc>
        <w:tc>
          <w:tcPr>
            <w:tcW w:w="2398" w:type="dxa"/>
            <w:gridSpan w:val="3"/>
            <w:vMerge w:val="restart"/>
          </w:tcPr>
          <w:p w14:paraId="703199EF" w14:textId="77777777" w:rsidR="00E0070E" w:rsidRPr="00FA30C8" w:rsidRDefault="00E0070E" w:rsidP="00E0070E">
            <w:pPr>
              <w:rPr>
                <w:rFonts w:cs="Arial"/>
                <w:sz w:val="18"/>
                <w:szCs w:val="18"/>
              </w:rPr>
            </w:pPr>
          </w:p>
        </w:tc>
        <w:tc>
          <w:tcPr>
            <w:tcW w:w="1337" w:type="dxa"/>
          </w:tcPr>
          <w:p w14:paraId="39EB570B" w14:textId="77777777" w:rsidR="00E0070E" w:rsidRPr="00FA30C8" w:rsidRDefault="00E0070E" w:rsidP="00E0070E">
            <w:pPr>
              <w:rPr>
                <w:rFonts w:cs="Arial"/>
                <w:sz w:val="18"/>
                <w:szCs w:val="18"/>
              </w:rPr>
            </w:pPr>
            <w:r w:rsidRPr="00FA30C8">
              <w:rPr>
                <w:rFonts w:cs="Arial"/>
                <w:sz w:val="18"/>
                <w:szCs w:val="18"/>
              </w:rPr>
              <w:t>Original Target value</w:t>
            </w:r>
          </w:p>
        </w:tc>
        <w:tc>
          <w:tcPr>
            <w:tcW w:w="936" w:type="dxa"/>
            <w:gridSpan w:val="3"/>
            <w:vAlign w:val="center"/>
          </w:tcPr>
          <w:p w14:paraId="14770628" w14:textId="77777777" w:rsidR="00E0070E" w:rsidRPr="00FA30C8" w:rsidRDefault="00E0070E" w:rsidP="00E0070E">
            <w:pPr>
              <w:jc w:val="center"/>
              <w:rPr>
                <w:rFonts w:cs="Arial"/>
                <w:sz w:val="18"/>
                <w:szCs w:val="18"/>
              </w:rPr>
            </w:pPr>
            <w:r w:rsidRPr="00FA30C8">
              <w:rPr>
                <w:rFonts w:cs="Arial"/>
                <w:sz w:val="18"/>
                <w:szCs w:val="18"/>
              </w:rPr>
              <w:t>1</w:t>
            </w:r>
          </w:p>
        </w:tc>
        <w:tc>
          <w:tcPr>
            <w:tcW w:w="1414" w:type="dxa"/>
            <w:vMerge w:val="restart"/>
            <w:vAlign w:val="center"/>
          </w:tcPr>
          <w:p w14:paraId="3533F91C" w14:textId="55EDC681" w:rsidR="00E0070E" w:rsidRPr="00FA30C8" w:rsidRDefault="00E0070E" w:rsidP="00E0070E">
            <w:pPr>
              <w:jc w:val="center"/>
              <w:rPr>
                <w:rFonts w:cs="Arial"/>
                <w:sz w:val="18"/>
                <w:szCs w:val="18"/>
              </w:rPr>
            </w:pPr>
            <w:r w:rsidRPr="00FA30C8">
              <w:rPr>
                <w:rFonts w:cs="Arial"/>
                <w:sz w:val="18"/>
                <w:szCs w:val="18"/>
              </w:rPr>
              <w:t>100%</w:t>
            </w:r>
          </w:p>
        </w:tc>
      </w:tr>
      <w:tr w:rsidR="00E0070E" w:rsidRPr="00FA30C8" w14:paraId="38BA1087" w14:textId="77777777" w:rsidTr="00F830D1">
        <w:tblPrEx>
          <w:jc w:val="left"/>
        </w:tblPrEx>
        <w:trPr>
          <w:gridAfter w:val="1"/>
          <w:wAfter w:w="6" w:type="dxa"/>
        </w:trPr>
        <w:tc>
          <w:tcPr>
            <w:tcW w:w="3497" w:type="dxa"/>
            <w:vMerge/>
          </w:tcPr>
          <w:p w14:paraId="619379D1" w14:textId="77777777" w:rsidR="00E0070E" w:rsidRPr="00FA30C8" w:rsidRDefault="00E0070E" w:rsidP="00E0070E">
            <w:pPr>
              <w:rPr>
                <w:rFonts w:cs="Arial"/>
                <w:sz w:val="18"/>
                <w:szCs w:val="18"/>
              </w:rPr>
            </w:pPr>
          </w:p>
        </w:tc>
        <w:tc>
          <w:tcPr>
            <w:tcW w:w="1167" w:type="dxa"/>
            <w:gridSpan w:val="2"/>
            <w:vMerge/>
            <w:vAlign w:val="center"/>
          </w:tcPr>
          <w:p w14:paraId="71B51F90" w14:textId="77777777" w:rsidR="00E0070E" w:rsidRPr="00FA30C8" w:rsidRDefault="00E0070E" w:rsidP="00E0070E">
            <w:pPr>
              <w:jc w:val="center"/>
              <w:rPr>
                <w:rFonts w:cs="Arial"/>
                <w:sz w:val="18"/>
                <w:szCs w:val="18"/>
              </w:rPr>
            </w:pPr>
          </w:p>
        </w:tc>
        <w:tc>
          <w:tcPr>
            <w:tcW w:w="1162" w:type="dxa"/>
            <w:gridSpan w:val="2"/>
            <w:vMerge/>
            <w:vAlign w:val="center"/>
          </w:tcPr>
          <w:p w14:paraId="4C88D2F2" w14:textId="77777777" w:rsidR="00E0070E" w:rsidRPr="00FA30C8" w:rsidRDefault="00E0070E" w:rsidP="00E0070E">
            <w:pPr>
              <w:jc w:val="center"/>
              <w:rPr>
                <w:rFonts w:cs="Arial"/>
                <w:sz w:val="18"/>
                <w:szCs w:val="18"/>
              </w:rPr>
            </w:pPr>
          </w:p>
        </w:tc>
        <w:tc>
          <w:tcPr>
            <w:tcW w:w="1039" w:type="dxa"/>
            <w:gridSpan w:val="2"/>
            <w:vMerge/>
            <w:vAlign w:val="center"/>
          </w:tcPr>
          <w:p w14:paraId="38115CAA" w14:textId="77777777" w:rsidR="00E0070E" w:rsidRPr="00FA30C8" w:rsidRDefault="00E0070E" w:rsidP="00E0070E">
            <w:pPr>
              <w:jc w:val="center"/>
              <w:rPr>
                <w:rFonts w:cs="Arial"/>
                <w:sz w:val="18"/>
                <w:szCs w:val="18"/>
              </w:rPr>
            </w:pPr>
          </w:p>
        </w:tc>
        <w:tc>
          <w:tcPr>
            <w:tcW w:w="2398" w:type="dxa"/>
            <w:gridSpan w:val="3"/>
            <w:vMerge/>
          </w:tcPr>
          <w:p w14:paraId="0D1CBBEE" w14:textId="77777777" w:rsidR="00E0070E" w:rsidRPr="00FA30C8" w:rsidRDefault="00E0070E" w:rsidP="00E0070E">
            <w:pPr>
              <w:rPr>
                <w:rFonts w:cs="Arial"/>
                <w:sz w:val="18"/>
                <w:szCs w:val="18"/>
              </w:rPr>
            </w:pPr>
          </w:p>
        </w:tc>
        <w:tc>
          <w:tcPr>
            <w:tcW w:w="1337" w:type="dxa"/>
          </w:tcPr>
          <w:p w14:paraId="22624898" w14:textId="09DBF25E" w:rsidR="00E0070E" w:rsidRPr="00FA30C8" w:rsidRDefault="00E0070E" w:rsidP="00E0070E">
            <w:pPr>
              <w:rPr>
                <w:rFonts w:cs="Arial"/>
                <w:sz w:val="18"/>
                <w:szCs w:val="18"/>
              </w:rPr>
            </w:pPr>
            <w:r w:rsidRPr="00FA30C8">
              <w:rPr>
                <w:rFonts w:cs="Arial"/>
                <w:sz w:val="18"/>
                <w:szCs w:val="18"/>
              </w:rPr>
              <w:t>Revised target value</w:t>
            </w:r>
          </w:p>
        </w:tc>
        <w:tc>
          <w:tcPr>
            <w:tcW w:w="936" w:type="dxa"/>
            <w:gridSpan w:val="3"/>
            <w:vAlign w:val="center"/>
          </w:tcPr>
          <w:p w14:paraId="2F87AC5D" w14:textId="6A48E73D" w:rsidR="00E0070E" w:rsidRPr="00FA30C8" w:rsidRDefault="00E0070E" w:rsidP="00E0070E">
            <w:pPr>
              <w:jc w:val="center"/>
              <w:rPr>
                <w:rFonts w:cs="Arial"/>
                <w:sz w:val="18"/>
                <w:szCs w:val="18"/>
              </w:rPr>
            </w:pPr>
            <w:r w:rsidRPr="00FA30C8">
              <w:rPr>
                <w:rFonts w:cs="Arial"/>
                <w:sz w:val="18"/>
                <w:szCs w:val="18"/>
              </w:rPr>
              <w:t>-</w:t>
            </w:r>
          </w:p>
        </w:tc>
        <w:tc>
          <w:tcPr>
            <w:tcW w:w="1414" w:type="dxa"/>
            <w:vMerge/>
          </w:tcPr>
          <w:p w14:paraId="02EC27A8" w14:textId="77777777" w:rsidR="00E0070E" w:rsidRPr="00FA30C8" w:rsidRDefault="00E0070E" w:rsidP="00E0070E">
            <w:pPr>
              <w:rPr>
                <w:rFonts w:cs="Arial"/>
                <w:sz w:val="18"/>
                <w:szCs w:val="18"/>
              </w:rPr>
            </w:pPr>
          </w:p>
        </w:tc>
      </w:tr>
      <w:tr w:rsidR="00E0070E" w:rsidRPr="00FA30C8" w14:paraId="50340679" w14:textId="77777777" w:rsidTr="00F830D1">
        <w:tblPrEx>
          <w:jc w:val="left"/>
        </w:tblPrEx>
        <w:trPr>
          <w:gridAfter w:val="1"/>
          <w:wAfter w:w="6" w:type="dxa"/>
        </w:trPr>
        <w:tc>
          <w:tcPr>
            <w:tcW w:w="3497" w:type="dxa"/>
            <w:vMerge/>
          </w:tcPr>
          <w:p w14:paraId="5518E33C" w14:textId="77777777" w:rsidR="00E0070E" w:rsidRPr="00FA30C8" w:rsidRDefault="00E0070E" w:rsidP="00E0070E">
            <w:pPr>
              <w:rPr>
                <w:rFonts w:cs="Arial"/>
                <w:sz w:val="18"/>
                <w:szCs w:val="18"/>
              </w:rPr>
            </w:pPr>
          </w:p>
        </w:tc>
        <w:tc>
          <w:tcPr>
            <w:tcW w:w="1167" w:type="dxa"/>
            <w:gridSpan w:val="2"/>
            <w:vMerge/>
            <w:vAlign w:val="center"/>
          </w:tcPr>
          <w:p w14:paraId="36D25D9F" w14:textId="77777777" w:rsidR="00E0070E" w:rsidRPr="00FA30C8" w:rsidRDefault="00E0070E" w:rsidP="00E0070E">
            <w:pPr>
              <w:jc w:val="center"/>
              <w:rPr>
                <w:rFonts w:cs="Arial"/>
                <w:sz w:val="18"/>
                <w:szCs w:val="18"/>
              </w:rPr>
            </w:pPr>
          </w:p>
        </w:tc>
        <w:tc>
          <w:tcPr>
            <w:tcW w:w="1162" w:type="dxa"/>
            <w:gridSpan w:val="2"/>
            <w:vMerge/>
            <w:vAlign w:val="center"/>
          </w:tcPr>
          <w:p w14:paraId="3F5E7B06" w14:textId="77777777" w:rsidR="00E0070E" w:rsidRPr="00FA30C8" w:rsidRDefault="00E0070E" w:rsidP="00E0070E">
            <w:pPr>
              <w:jc w:val="center"/>
              <w:rPr>
                <w:rFonts w:cs="Arial"/>
                <w:sz w:val="18"/>
                <w:szCs w:val="18"/>
              </w:rPr>
            </w:pPr>
          </w:p>
        </w:tc>
        <w:tc>
          <w:tcPr>
            <w:tcW w:w="1039" w:type="dxa"/>
            <w:gridSpan w:val="2"/>
            <w:vMerge/>
            <w:vAlign w:val="center"/>
          </w:tcPr>
          <w:p w14:paraId="26A25BFD" w14:textId="77777777" w:rsidR="00E0070E" w:rsidRPr="00FA30C8" w:rsidRDefault="00E0070E" w:rsidP="00E0070E">
            <w:pPr>
              <w:jc w:val="center"/>
              <w:rPr>
                <w:rFonts w:cs="Arial"/>
                <w:sz w:val="18"/>
                <w:szCs w:val="18"/>
              </w:rPr>
            </w:pPr>
          </w:p>
        </w:tc>
        <w:tc>
          <w:tcPr>
            <w:tcW w:w="2398" w:type="dxa"/>
            <w:gridSpan w:val="3"/>
            <w:vMerge/>
          </w:tcPr>
          <w:p w14:paraId="3DAFC556" w14:textId="77777777" w:rsidR="00E0070E" w:rsidRPr="00FA30C8" w:rsidRDefault="00E0070E" w:rsidP="00E0070E">
            <w:pPr>
              <w:rPr>
                <w:rFonts w:cs="Arial"/>
                <w:sz w:val="18"/>
                <w:szCs w:val="18"/>
              </w:rPr>
            </w:pPr>
          </w:p>
        </w:tc>
        <w:tc>
          <w:tcPr>
            <w:tcW w:w="1337" w:type="dxa"/>
          </w:tcPr>
          <w:p w14:paraId="1B325893" w14:textId="29061B0F" w:rsidR="00E0070E" w:rsidRPr="00FA30C8" w:rsidRDefault="00E0070E" w:rsidP="00E0070E">
            <w:pPr>
              <w:rPr>
                <w:rFonts w:cs="Arial"/>
                <w:sz w:val="18"/>
                <w:szCs w:val="18"/>
              </w:rPr>
            </w:pPr>
            <w:r w:rsidRPr="00FA30C8">
              <w:rPr>
                <w:rFonts w:cs="Arial"/>
                <w:sz w:val="18"/>
                <w:szCs w:val="18"/>
              </w:rPr>
              <w:t>Actual amount achieved</w:t>
            </w:r>
          </w:p>
        </w:tc>
        <w:tc>
          <w:tcPr>
            <w:tcW w:w="936" w:type="dxa"/>
            <w:gridSpan w:val="3"/>
            <w:vAlign w:val="center"/>
          </w:tcPr>
          <w:p w14:paraId="757CBB31" w14:textId="13A12B48" w:rsidR="00E0070E" w:rsidRPr="00FA30C8" w:rsidRDefault="00E0070E" w:rsidP="00E0070E">
            <w:pPr>
              <w:jc w:val="center"/>
              <w:rPr>
                <w:rFonts w:cs="Arial"/>
                <w:sz w:val="18"/>
                <w:szCs w:val="18"/>
              </w:rPr>
            </w:pPr>
            <w:r w:rsidRPr="00FA30C8">
              <w:rPr>
                <w:rFonts w:cs="Arial"/>
                <w:sz w:val="18"/>
                <w:szCs w:val="18"/>
              </w:rPr>
              <w:t>1</w:t>
            </w:r>
          </w:p>
        </w:tc>
        <w:tc>
          <w:tcPr>
            <w:tcW w:w="1414" w:type="dxa"/>
            <w:vMerge/>
          </w:tcPr>
          <w:p w14:paraId="4D26450E" w14:textId="77777777" w:rsidR="00E0070E" w:rsidRPr="00FA30C8" w:rsidRDefault="00E0070E" w:rsidP="00E0070E">
            <w:pPr>
              <w:rPr>
                <w:rFonts w:cs="Arial"/>
                <w:sz w:val="18"/>
                <w:szCs w:val="18"/>
              </w:rPr>
            </w:pPr>
          </w:p>
        </w:tc>
      </w:tr>
      <w:tr w:rsidR="00E0070E" w:rsidRPr="00FA30C8" w14:paraId="0687BFF0" w14:textId="77777777" w:rsidTr="00F830D1">
        <w:tblPrEx>
          <w:jc w:val="left"/>
        </w:tblPrEx>
        <w:trPr>
          <w:gridAfter w:val="1"/>
          <w:wAfter w:w="6" w:type="dxa"/>
        </w:trPr>
        <w:tc>
          <w:tcPr>
            <w:tcW w:w="3497" w:type="dxa"/>
            <w:vMerge w:val="restart"/>
          </w:tcPr>
          <w:p w14:paraId="76E9285F" w14:textId="1348C9B7" w:rsidR="00E0070E" w:rsidRPr="00FA30C8" w:rsidRDefault="00E0070E" w:rsidP="00E0070E">
            <w:pPr>
              <w:rPr>
                <w:rFonts w:cs="Arial"/>
                <w:sz w:val="18"/>
                <w:szCs w:val="18"/>
              </w:rPr>
            </w:pPr>
            <w:r w:rsidRPr="00FA30C8">
              <w:rPr>
                <w:rFonts w:cs="Arial"/>
                <w:sz w:val="18"/>
                <w:szCs w:val="18"/>
              </w:rPr>
              <w:t>Output #4: Public Private Partnership methodology developed</w:t>
            </w:r>
          </w:p>
          <w:p w14:paraId="69BEAB3C" w14:textId="77777777" w:rsidR="00E0070E" w:rsidRPr="00FA30C8" w:rsidRDefault="00E0070E" w:rsidP="00E0070E">
            <w:pPr>
              <w:rPr>
                <w:rFonts w:cs="Arial"/>
                <w:sz w:val="18"/>
                <w:szCs w:val="18"/>
              </w:rPr>
            </w:pPr>
          </w:p>
        </w:tc>
        <w:tc>
          <w:tcPr>
            <w:tcW w:w="1167" w:type="dxa"/>
            <w:gridSpan w:val="2"/>
            <w:vMerge w:val="restart"/>
            <w:vAlign w:val="center"/>
          </w:tcPr>
          <w:p w14:paraId="52BC1E32" w14:textId="77777777" w:rsidR="00E0070E" w:rsidRPr="00FA30C8" w:rsidRDefault="00E0070E" w:rsidP="00E0070E">
            <w:pPr>
              <w:jc w:val="center"/>
              <w:rPr>
                <w:rFonts w:cs="Arial"/>
                <w:sz w:val="18"/>
                <w:szCs w:val="18"/>
              </w:rPr>
            </w:pPr>
            <w:r w:rsidRPr="00FA30C8">
              <w:rPr>
                <w:rFonts w:cs="Arial"/>
                <w:sz w:val="18"/>
                <w:szCs w:val="18"/>
              </w:rPr>
              <w:t>Progress report</w:t>
            </w:r>
          </w:p>
          <w:p w14:paraId="15DF589B" w14:textId="77777777" w:rsidR="00E0070E" w:rsidRPr="00FA30C8" w:rsidRDefault="00E0070E" w:rsidP="00E0070E">
            <w:pPr>
              <w:jc w:val="center"/>
              <w:rPr>
                <w:rFonts w:cs="Arial"/>
                <w:sz w:val="18"/>
                <w:szCs w:val="18"/>
              </w:rPr>
            </w:pPr>
          </w:p>
        </w:tc>
        <w:tc>
          <w:tcPr>
            <w:tcW w:w="1162" w:type="dxa"/>
            <w:gridSpan w:val="2"/>
            <w:vMerge w:val="restart"/>
            <w:vAlign w:val="center"/>
          </w:tcPr>
          <w:p w14:paraId="3456F020" w14:textId="77777777" w:rsidR="00E0070E" w:rsidRPr="00FA30C8" w:rsidRDefault="00E0070E" w:rsidP="00E0070E">
            <w:pPr>
              <w:jc w:val="center"/>
              <w:rPr>
                <w:rFonts w:cs="Arial"/>
                <w:sz w:val="18"/>
                <w:szCs w:val="18"/>
              </w:rPr>
            </w:pPr>
            <w:r w:rsidRPr="00FA30C8">
              <w:rPr>
                <w:rFonts w:cs="Arial"/>
                <w:sz w:val="18"/>
                <w:szCs w:val="18"/>
              </w:rPr>
              <w:t>0</w:t>
            </w:r>
          </w:p>
          <w:p w14:paraId="0646CFD9" w14:textId="77777777" w:rsidR="00E0070E" w:rsidRPr="00FA30C8" w:rsidRDefault="00E0070E" w:rsidP="00E0070E">
            <w:pPr>
              <w:jc w:val="center"/>
              <w:rPr>
                <w:rFonts w:cs="Arial"/>
                <w:sz w:val="18"/>
                <w:szCs w:val="18"/>
              </w:rPr>
            </w:pPr>
          </w:p>
        </w:tc>
        <w:tc>
          <w:tcPr>
            <w:tcW w:w="1039" w:type="dxa"/>
            <w:gridSpan w:val="2"/>
            <w:vMerge w:val="restart"/>
            <w:vAlign w:val="center"/>
          </w:tcPr>
          <w:p w14:paraId="65A0719A" w14:textId="77777777" w:rsidR="00E0070E" w:rsidRPr="00FA30C8" w:rsidRDefault="00E0070E" w:rsidP="00E0070E">
            <w:pPr>
              <w:jc w:val="center"/>
              <w:rPr>
                <w:rFonts w:cs="Arial"/>
                <w:sz w:val="18"/>
                <w:szCs w:val="18"/>
              </w:rPr>
            </w:pPr>
            <w:r w:rsidRPr="00FA30C8">
              <w:rPr>
                <w:rFonts w:cs="Arial"/>
                <w:sz w:val="18"/>
                <w:szCs w:val="18"/>
              </w:rPr>
              <w:t>2010</w:t>
            </w:r>
          </w:p>
          <w:p w14:paraId="5732FC82" w14:textId="77777777" w:rsidR="00E0070E" w:rsidRPr="00FA30C8" w:rsidRDefault="00E0070E" w:rsidP="00E0070E">
            <w:pPr>
              <w:jc w:val="center"/>
              <w:rPr>
                <w:rFonts w:cs="Arial"/>
                <w:sz w:val="18"/>
                <w:szCs w:val="18"/>
              </w:rPr>
            </w:pPr>
          </w:p>
        </w:tc>
        <w:tc>
          <w:tcPr>
            <w:tcW w:w="2398" w:type="dxa"/>
            <w:gridSpan w:val="3"/>
            <w:vMerge w:val="restart"/>
          </w:tcPr>
          <w:p w14:paraId="5A0DDFB7" w14:textId="77777777" w:rsidR="00E0070E" w:rsidRPr="00FA30C8" w:rsidRDefault="00E0070E" w:rsidP="00E0070E">
            <w:pPr>
              <w:rPr>
                <w:rFonts w:cs="Arial"/>
                <w:sz w:val="18"/>
                <w:szCs w:val="18"/>
              </w:rPr>
            </w:pPr>
          </w:p>
        </w:tc>
        <w:tc>
          <w:tcPr>
            <w:tcW w:w="1337" w:type="dxa"/>
          </w:tcPr>
          <w:p w14:paraId="614C5D2C" w14:textId="77777777" w:rsidR="00E0070E" w:rsidRPr="00FA30C8" w:rsidRDefault="00E0070E" w:rsidP="00E0070E">
            <w:pPr>
              <w:rPr>
                <w:rFonts w:cs="Arial"/>
                <w:sz w:val="18"/>
                <w:szCs w:val="18"/>
              </w:rPr>
            </w:pPr>
            <w:r w:rsidRPr="00FA30C8">
              <w:rPr>
                <w:rFonts w:cs="Arial"/>
                <w:sz w:val="18"/>
                <w:szCs w:val="18"/>
              </w:rPr>
              <w:t>Original Target value</w:t>
            </w:r>
          </w:p>
        </w:tc>
        <w:tc>
          <w:tcPr>
            <w:tcW w:w="936" w:type="dxa"/>
            <w:gridSpan w:val="3"/>
            <w:vAlign w:val="center"/>
          </w:tcPr>
          <w:p w14:paraId="499F5E30" w14:textId="77777777" w:rsidR="00E0070E" w:rsidRPr="00FA30C8" w:rsidRDefault="00E0070E" w:rsidP="00E0070E">
            <w:pPr>
              <w:jc w:val="center"/>
              <w:rPr>
                <w:rFonts w:cs="Arial"/>
                <w:sz w:val="18"/>
                <w:szCs w:val="18"/>
              </w:rPr>
            </w:pPr>
            <w:r w:rsidRPr="00FA30C8">
              <w:rPr>
                <w:rFonts w:cs="Arial"/>
                <w:sz w:val="18"/>
                <w:szCs w:val="18"/>
              </w:rPr>
              <w:t>1</w:t>
            </w:r>
          </w:p>
        </w:tc>
        <w:tc>
          <w:tcPr>
            <w:tcW w:w="1414" w:type="dxa"/>
            <w:vMerge w:val="restart"/>
            <w:vAlign w:val="center"/>
          </w:tcPr>
          <w:p w14:paraId="01ED4549" w14:textId="74AC5BC0" w:rsidR="00E0070E" w:rsidRPr="00FA30C8" w:rsidRDefault="00E0070E" w:rsidP="00E0070E">
            <w:pPr>
              <w:jc w:val="center"/>
              <w:rPr>
                <w:rFonts w:cs="Arial"/>
                <w:sz w:val="18"/>
                <w:szCs w:val="18"/>
              </w:rPr>
            </w:pPr>
            <w:r w:rsidRPr="00FA30C8">
              <w:rPr>
                <w:rFonts w:cs="Arial"/>
                <w:sz w:val="18"/>
                <w:szCs w:val="18"/>
              </w:rPr>
              <w:t>100%</w:t>
            </w:r>
          </w:p>
        </w:tc>
      </w:tr>
      <w:tr w:rsidR="00E0070E" w:rsidRPr="00FA30C8" w14:paraId="4358F16A" w14:textId="77777777" w:rsidTr="00F830D1">
        <w:tblPrEx>
          <w:jc w:val="left"/>
        </w:tblPrEx>
        <w:trPr>
          <w:gridAfter w:val="1"/>
          <w:wAfter w:w="6" w:type="dxa"/>
        </w:trPr>
        <w:tc>
          <w:tcPr>
            <w:tcW w:w="3497" w:type="dxa"/>
            <w:vMerge/>
          </w:tcPr>
          <w:p w14:paraId="20DB196E" w14:textId="77777777" w:rsidR="00E0070E" w:rsidRPr="00FA30C8" w:rsidRDefault="00E0070E" w:rsidP="00E0070E">
            <w:pPr>
              <w:rPr>
                <w:rFonts w:cs="Arial"/>
                <w:sz w:val="18"/>
                <w:szCs w:val="18"/>
              </w:rPr>
            </w:pPr>
          </w:p>
        </w:tc>
        <w:tc>
          <w:tcPr>
            <w:tcW w:w="1167" w:type="dxa"/>
            <w:gridSpan w:val="2"/>
            <w:vMerge/>
          </w:tcPr>
          <w:p w14:paraId="106B671F" w14:textId="77777777" w:rsidR="00E0070E" w:rsidRPr="00FA30C8" w:rsidRDefault="00E0070E" w:rsidP="00E0070E">
            <w:pPr>
              <w:rPr>
                <w:rFonts w:cs="Arial"/>
                <w:sz w:val="18"/>
                <w:szCs w:val="18"/>
              </w:rPr>
            </w:pPr>
          </w:p>
        </w:tc>
        <w:tc>
          <w:tcPr>
            <w:tcW w:w="1162" w:type="dxa"/>
            <w:gridSpan w:val="2"/>
            <w:vMerge/>
          </w:tcPr>
          <w:p w14:paraId="035FD683" w14:textId="77777777" w:rsidR="00E0070E" w:rsidRPr="00FA30C8" w:rsidRDefault="00E0070E" w:rsidP="00E0070E">
            <w:pPr>
              <w:rPr>
                <w:rFonts w:cs="Arial"/>
                <w:sz w:val="18"/>
                <w:szCs w:val="18"/>
              </w:rPr>
            </w:pPr>
          </w:p>
        </w:tc>
        <w:tc>
          <w:tcPr>
            <w:tcW w:w="1039" w:type="dxa"/>
            <w:gridSpan w:val="2"/>
            <w:vMerge/>
          </w:tcPr>
          <w:p w14:paraId="0EB50AF0" w14:textId="77777777" w:rsidR="00E0070E" w:rsidRPr="00FA30C8" w:rsidRDefault="00E0070E" w:rsidP="00E0070E">
            <w:pPr>
              <w:rPr>
                <w:rFonts w:cs="Arial"/>
                <w:sz w:val="18"/>
                <w:szCs w:val="18"/>
              </w:rPr>
            </w:pPr>
          </w:p>
        </w:tc>
        <w:tc>
          <w:tcPr>
            <w:tcW w:w="2398" w:type="dxa"/>
            <w:gridSpan w:val="3"/>
            <w:vMerge/>
          </w:tcPr>
          <w:p w14:paraId="527162E1" w14:textId="77777777" w:rsidR="00E0070E" w:rsidRPr="00FA30C8" w:rsidRDefault="00E0070E" w:rsidP="00E0070E">
            <w:pPr>
              <w:rPr>
                <w:rFonts w:cs="Arial"/>
                <w:sz w:val="18"/>
                <w:szCs w:val="18"/>
              </w:rPr>
            </w:pPr>
          </w:p>
        </w:tc>
        <w:tc>
          <w:tcPr>
            <w:tcW w:w="1337" w:type="dxa"/>
          </w:tcPr>
          <w:p w14:paraId="62EB3115" w14:textId="63C0C0AB" w:rsidR="00E0070E" w:rsidRPr="00FA30C8" w:rsidRDefault="00E0070E" w:rsidP="00E0070E">
            <w:pPr>
              <w:rPr>
                <w:rFonts w:cs="Arial"/>
                <w:sz w:val="18"/>
                <w:szCs w:val="18"/>
              </w:rPr>
            </w:pPr>
            <w:r w:rsidRPr="00FA30C8">
              <w:rPr>
                <w:rFonts w:cs="Arial"/>
                <w:sz w:val="18"/>
                <w:szCs w:val="18"/>
              </w:rPr>
              <w:t>Revised target value</w:t>
            </w:r>
          </w:p>
        </w:tc>
        <w:tc>
          <w:tcPr>
            <w:tcW w:w="936" w:type="dxa"/>
            <w:gridSpan w:val="3"/>
            <w:vAlign w:val="center"/>
          </w:tcPr>
          <w:p w14:paraId="73C6E4F7" w14:textId="6A83F7A7" w:rsidR="00E0070E" w:rsidRPr="00FA30C8" w:rsidRDefault="00E0070E" w:rsidP="00E0070E">
            <w:pPr>
              <w:jc w:val="center"/>
              <w:rPr>
                <w:rFonts w:cs="Arial"/>
                <w:sz w:val="18"/>
                <w:szCs w:val="18"/>
              </w:rPr>
            </w:pPr>
            <w:r w:rsidRPr="00FA30C8">
              <w:rPr>
                <w:rFonts w:cs="Arial"/>
                <w:sz w:val="18"/>
                <w:szCs w:val="18"/>
              </w:rPr>
              <w:t>-</w:t>
            </w:r>
          </w:p>
        </w:tc>
        <w:tc>
          <w:tcPr>
            <w:tcW w:w="1414" w:type="dxa"/>
            <w:vMerge/>
          </w:tcPr>
          <w:p w14:paraId="304ADEFA" w14:textId="77777777" w:rsidR="00E0070E" w:rsidRPr="00FA30C8" w:rsidRDefault="00E0070E" w:rsidP="00E0070E">
            <w:pPr>
              <w:rPr>
                <w:rFonts w:cs="Arial"/>
                <w:sz w:val="18"/>
                <w:szCs w:val="18"/>
              </w:rPr>
            </w:pPr>
          </w:p>
        </w:tc>
      </w:tr>
      <w:tr w:rsidR="00E0070E" w:rsidRPr="00FA30C8" w14:paraId="548D0B49" w14:textId="77777777" w:rsidTr="00F830D1">
        <w:tblPrEx>
          <w:jc w:val="left"/>
        </w:tblPrEx>
        <w:trPr>
          <w:gridAfter w:val="1"/>
          <w:wAfter w:w="6" w:type="dxa"/>
        </w:trPr>
        <w:tc>
          <w:tcPr>
            <w:tcW w:w="3497" w:type="dxa"/>
            <w:vMerge/>
          </w:tcPr>
          <w:p w14:paraId="46324C1E" w14:textId="77777777" w:rsidR="00E0070E" w:rsidRPr="00FA30C8" w:rsidRDefault="00E0070E" w:rsidP="00E0070E">
            <w:pPr>
              <w:rPr>
                <w:rFonts w:cs="Arial"/>
                <w:sz w:val="18"/>
                <w:szCs w:val="18"/>
              </w:rPr>
            </w:pPr>
          </w:p>
        </w:tc>
        <w:tc>
          <w:tcPr>
            <w:tcW w:w="1167" w:type="dxa"/>
            <w:gridSpan w:val="2"/>
            <w:vMerge/>
          </w:tcPr>
          <w:p w14:paraId="129F0839" w14:textId="77777777" w:rsidR="00E0070E" w:rsidRPr="00FA30C8" w:rsidRDefault="00E0070E" w:rsidP="00E0070E">
            <w:pPr>
              <w:rPr>
                <w:rFonts w:cs="Arial"/>
                <w:sz w:val="18"/>
                <w:szCs w:val="18"/>
              </w:rPr>
            </w:pPr>
          </w:p>
        </w:tc>
        <w:tc>
          <w:tcPr>
            <w:tcW w:w="1162" w:type="dxa"/>
            <w:gridSpan w:val="2"/>
            <w:vMerge/>
          </w:tcPr>
          <w:p w14:paraId="7A0B26B4" w14:textId="77777777" w:rsidR="00E0070E" w:rsidRPr="00FA30C8" w:rsidRDefault="00E0070E" w:rsidP="00E0070E">
            <w:pPr>
              <w:rPr>
                <w:rFonts w:cs="Arial"/>
                <w:sz w:val="18"/>
                <w:szCs w:val="18"/>
              </w:rPr>
            </w:pPr>
          </w:p>
        </w:tc>
        <w:tc>
          <w:tcPr>
            <w:tcW w:w="1039" w:type="dxa"/>
            <w:gridSpan w:val="2"/>
            <w:vMerge/>
          </w:tcPr>
          <w:p w14:paraId="18D8C9D8" w14:textId="77777777" w:rsidR="00E0070E" w:rsidRPr="00FA30C8" w:rsidRDefault="00E0070E" w:rsidP="00E0070E">
            <w:pPr>
              <w:rPr>
                <w:rFonts w:cs="Arial"/>
                <w:sz w:val="18"/>
                <w:szCs w:val="18"/>
              </w:rPr>
            </w:pPr>
          </w:p>
        </w:tc>
        <w:tc>
          <w:tcPr>
            <w:tcW w:w="2398" w:type="dxa"/>
            <w:gridSpan w:val="3"/>
            <w:vMerge/>
          </w:tcPr>
          <w:p w14:paraId="4FC42016" w14:textId="77777777" w:rsidR="00E0070E" w:rsidRPr="00FA30C8" w:rsidRDefault="00E0070E" w:rsidP="00E0070E">
            <w:pPr>
              <w:rPr>
                <w:rFonts w:cs="Arial"/>
                <w:sz w:val="18"/>
                <w:szCs w:val="18"/>
              </w:rPr>
            </w:pPr>
          </w:p>
        </w:tc>
        <w:tc>
          <w:tcPr>
            <w:tcW w:w="1337" w:type="dxa"/>
          </w:tcPr>
          <w:p w14:paraId="320FC3CF" w14:textId="1FAA7CD7" w:rsidR="00E0070E" w:rsidRPr="00FA30C8" w:rsidRDefault="00E0070E" w:rsidP="00E0070E">
            <w:pPr>
              <w:rPr>
                <w:rFonts w:cs="Arial"/>
                <w:sz w:val="18"/>
                <w:szCs w:val="18"/>
              </w:rPr>
            </w:pPr>
            <w:r w:rsidRPr="00FA30C8">
              <w:rPr>
                <w:rFonts w:cs="Arial"/>
                <w:sz w:val="18"/>
                <w:szCs w:val="18"/>
              </w:rPr>
              <w:t>Actual amount achieved</w:t>
            </w:r>
          </w:p>
        </w:tc>
        <w:tc>
          <w:tcPr>
            <w:tcW w:w="936" w:type="dxa"/>
            <w:gridSpan w:val="3"/>
            <w:vAlign w:val="center"/>
          </w:tcPr>
          <w:p w14:paraId="21D7B18B" w14:textId="0BB7A7BC" w:rsidR="00E0070E" w:rsidRPr="00FA30C8" w:rsidRDefault="00E0070E" w:rsidP="00E0070E">
            <w:pPr>
              <w:jc w:val="center"/>
              <w:rPr>
                <w:rFonts w:cs="Arial"/>
                <w:sz w:val="18"/>
                <w:szCs w:val="18"/>
              </w:rPr>
            </w:pPr>
            <w:r w:rsidRPr="00FA30C8">
              <w:rPr>
                <w:rFonts w:cs="Arial"/>
                <w:sz w:val="18"/>
                <w:szCs w:val="18"/>
              </w:rPr>
              <w:t>1</w:t>
            </w:r>
          </w:p>
        </w:tc>
        <w:tc>
          <w:tcPr>
            <w:tcW w:w="1414" w:type="dxa"/>
            <w:vMerge/>
          </w:tcPr>
          <w:p w14:paraId="6AC2F710" w14:textId="77777777" w:rsidR="00E0070E" w:rsidRPr="00FA30C8" w:rsidRDefault="00E0070E" w:rsidP="00E0070E">
            <w:pPr>
              <w:rPr>
                <w:rFonts w:cs="Arial"/>
                <w:sz w:val="18"/>
                <w:szCs w:val="18"/>
              </w:rPr>
            </w:pPr>
          </w:p>
        </w:tc>
      </w:tr>
      <w:tr w:rsidR="00E0070E" w:rsidRPr="00FA30C8" w14:paraId="343B78B9" w14:textId="77777777" w:rsidTr="00F830D1">
        <w:trPr>
          <w:gridAfter w:val="1"/>
          <w:wAfter w:w="6" w:type="dxa"/>
          <w:jc w:val="center"/>
        </w:trPr>
        <w:tc>
          <w:tcPr>
            <w:tcW w:w="12950" w:type="dxa"/>
            <w:gridSpan w:val="15"/>
            <w:tcBorders>
              <w:left w:val="single" w:sz="4" w:space="0" w:color="auto"/>
              <w:right w:val="single" w:sz="4" w:space="0" w:color="auto"/>
            </w:tcBorders>
            <w:shd w:val="clear" w:color="auto" w:fill="DBE5F1" w:themeFill="accent1" w:themeFillTint="33"/>
            <w:vAlign w:val="center"/>
          </w:tcPr>
          <w:p w14:paraId="41F6CDA1" w14:textId="71D17663" w:rsidR="00E0070E" w:rsidRPr="00FA30C8" w:rsidRDefault="00E0070E" w:rsidP="00E0070E">
            <w:pPr>
              <w:rPr>
                <w:rFonts w:cs="Arial"/>
                <w:b/>
                <w:sz w:val="18"/>
                <w:szCs w:val="18"/>
              </w:rPr>
            </w:pPr>
            <w:r w:rsidRPr="00FA30C8">
              <w:rPr>
                <w:rFonts w:cs="Arial"/>
                <w:b/>
                <w:sz w:val="18"/>
                <w:szCs w:val="18"/>
              </w:rPr>
              <w:t>Component #4: Strengthening Public-Private Dialogue on competitiveness</w:t>
            </w:r>
          </w:p>
        </w:tc>
      </w:tr>
      <w:tr w:rsidR="00E0070E" w:rsidRPr="00FA30C8" w14:paraId="777E035A" w14:textId="77777777" w:rsidTr="00F830D1">
        <w:tblPrEx>
          <w:jc w:val="left"/>
        </w:tblPrEx>
        <w:trPr>
          <w:gridAfter w:val="1"/>
          <w:wAfter w:w="6" w:type="dxa"/>
        </w:trPr>
        <w:tc>
          <w:tcPr>
            <w:tcW w:w="3497" w:type="dxa"/>
            <w:vMerge w:val="restart"/>
          </w:tcPr>
          <w:p w14:paraId="689325E0" w14:textId="28F0FB50" w:rsidR="00E0070E" w:rsidRPr="00FA30C8" w:rsidRDefault="00E0070E" w:rsidP="00E0070E">
            <w:pPr>
              <w:rPr>
                <w:rFonts w:cs="Arial"/>
                <w:sz w:val="18"/>
                <w:szCs w:val="18"/>
              </w:rPr>
            </w:pPr>
            <w:r w:rsidRPr="00FA30C8">
              <w:rPr>
                <w:rFonts w:cs="Arial"/>
                <w:sz w:val="18"/>
                <w:szCs w:val="18"/>
              </w:rPr>
              <w:t>Output #1: Institutional structure of Commission on Competitiveness (including the Technical Unit) redesigned and in operation</w:t>
            </w:r>
          </w:p>
        </w:tc>
        <w:tc>
          <w:tcPr>
            <w:tcW w:w="1167" w:type="dxa"/>
            <w:gridSpan w:val="2"/>
            <w:vMerge w:val="restart"/>
            <w:vAlign w:val="center"/>
          </w:tcPr>
          <w:p w14:paraId="7020E5F4" w14:textId="77777777" w:rsidR="00E0070E" w:rsidRPr="00FA30C8" w:rsidRDefault="00E0070E" w:rsidP="00E0070E">
            <w:pPr>
              <w:jc w:val="center"/>
              <w:rPr>
                <w:rFonts w:cs="Arial"/>
                <w:sz w:val="18"/>
                <w:szCs w:val="18"/>
              </w:rPr>
            </w:pPr>
            <w:r w:rsidRPr="00FA30C8">
              <w:rPr>
                <w:rFonts w:cs="Arial"/>
                <w:sz w:val="18"/>
                <w:szCs w:val="18"/>
              </w:rPr>
              <w:t>Certificate</w:t>
            </w:r>
          </w:p>
        </w:tc>
        <w:tc>
          <w:tcPr>
            <w:tcW w:w="1162" w:type="dxa"/>
            <w:gridSpan w:val="2"/>
            <w:vMerge w:val="restart"/>
            <w:vAlign w:val="center"/>
          </w:tcPr>
          <w:p w14:paraId="3922AAD7" w14:textId="77777777" w:rsidR="00E0070E" w:rsidRPr="00FA30C8" w:rsidRDefault="00E0070E" w:rsidP="00E0070E">
            <w:pPr>
              <w:jc w:val="center"/>
              <w:rPr>
                <w:rFonts w:cs="Arial"/>
                <w:sz w:val="18"/>
                <w:szCs w:val="18"/>
              </w:rPr>
            </w:pPr>
            <w:r w:rsidRPr="00FA30C8">
              <w:rPr>
                <w:rFonts w:cs="Arial"/>
                <w:sz w:val="18"/>
                <w:szCs w:val="18"/>
              </w:rPr>
              <w:t>0</w:t>
            </w:r>
          </w:p>
        </w:tc>
        <w:tc>
          <w:tcPr>
            <w:tcW w:w="1039" w:type="dxa"/>
            <w:gridSpan w:val="2"/>
            <w:vMerge w:val="restart"/>
            <w:vAlign w:val="center"/>
          </w:tcPr>
          <w:p w14:paraId="0200D4D9" w14:textId="77777777" w:rsidR="00E0070E" w:rsidRPr="00FA30C8" w:rsidRDefault="00E0070E" w:rsidP="00E0070E">
            <w:pPr>
              <w:jc w:val="center"/>
              <w:rPr>
                <w:rFonts w:cs="Arial"/>
                <w:sz w:val="18"/>
                <w:szCs w:val="18"/>
              </w:rPr>
            </w:pPr>
            <w:r w:rsidRPr="00FA30C8">
              <w:rPr>
                <w:rFonts w:cs="Arial"/>
                <w:sz w:val="18"/>
                <w:szCs w:val="18"/>
              </w:rPr>
              <w:t>2010</w:t>
            </w:r>
          </w:p>
        </w:tc>
        <w:tc>
          <w:tcPr>
            <w:tcW w:w="2398" w:type="dxa"/>
            <w:gridSpan w:val="3"/>
            <w:vMerge w:val="restart"/>
            <w:vAlign w:val="center"/>
          </w:tcPr>
          <w:p w14:paraId="74F23B08" w14:textId="77777777" w:rsidR="00E0070E" w:rsidRPr="00FA30C8" w:rsidRDefault="00E0070E" w:rsidP="00E0070E">
            <w:pPr>
              <w:jc w:val="center"/>
              <w:rPr>
                <w:rFonts w:cs="Arial"/>
                <w:sz w:val="18"/>
                <w:szCs w:val="18"/>
              </w:rPr>
            </w:pPr>
          </w:p>
        </w:tc>
        <w:tc>
          <w:tcPr>
            <w:tcW w:w="1337" w:type="dxa"/>
          </w:tcPr>
          <w:p w14:paraId="0BCF9693" w14:textId="77777777" w:rsidR="00E0070E" w:rsidRPr="00FA30C8" w:rsidRDefault="00E0070E" w:rsidP="00E0070E">
            <w:pPr>
              <w:rPr>
                <w:rFonts w:cs="Arial"/>
                <w:sz w:val="18"/>
                <w:szCs w:val="18"/>
              </w:rPr>
            </w:pPr>
            <w:r w:rsidRPr="00FA30C8">
              <w:rPr>
                <w:rFonts w:cs="Arial"/>
                <w:sz w:val="18"/>
                <w:szCs w:val="18"/>
              </w:rPr>
              <w:t>Original Target value</w:t>
            </w:r>
          </w:p>
        </w:tc>
        <w:tc>
          <w:tcPr>
            <w:tcW w:w="936" w:type="dxa"/>
            <w:gridSpan w:val="3"/>
            <w:vAlign w:val="center"/>
          </w:tcPr>
          <w:p w14:paraId="35D048C4" w14:textId="77777777" w:rsidR="00E0070E" w:rsidRPr="00FA30C8" w:rsidRDefault="00E0070E" w:rsidP="00E0070E">
            <w:pPr>
              <w:jc w:val="center"/>
              <w:rPr>
                <w:rFonts w:cs="Arial"/>
                <w:sz w:val="18"/>
                <w:szCs w:val="18"/>
              </w:rPr>
            </w:pPr>
            <w:r w:rsidRPr="00FA30C8">
              <w:rPr>
                <w:rFonts w:cs="Arial"/>
                <w:sz w:val="18"/>
                <w:szCs w:val="18"/>
              </w:rPr>
              <w:t>1</w:t>
            </w:r>
          </w:p>
        </w:tc>
        <w:tc>
          <w:tcPr>
            <w:tcW w:w="1414" w:type="dxa"/>
            <w:vMerge w:val="restart"/>
            <w:vAlign w:val="center"/>
          </w:tcPr>
          <w:p w14:paraId="128445FF" w14:textId="25ABB2CF" w:rsidR="00E0070E" w:rsidRPr="00FA30C8" w:rsidRDefault="003C285C" w:rsidP="00E0070E">
            <w:pPr>
              <w:jc w:val="center"/>
              <w:rPr>
                <w:rFonts w:cs="Arial"/>
                <w:sz w:val="18"/>
                <w:szCs w:val="18"/>
              </w:rPr>
            </w:pPr>
            <w:r w:rsidRPr="00FA30C8">
              <w:rPr>
                <w:rFonts w:cs="Arial"/>
                <w:sz w:val="18"/>
                <w:szCs w:val="18"/>
              </w:rPr>
              <w:t>100</w:t>
            </w:r>
            <w:r w:rsidR="00E0070E" w:rsidRPr="00FA30C8">
              <w:rPr>
                <w:rFonts w:cs="Arial"/>
                <w:sz w:val="18"/>
                <w:szCs w:val="18"/>
              </w:rPr>
              <w:t>%</w:t>
            </w:r>
          </w:p>
        </w:tc>
      </w:tr>
      <w:tr w:rsidR="00E0070E" w:rsidRPr="00FA30C8" w14:paraId="61F88BF2" w14:textId="77777777" w:rsidTr="00F830D1">
        <w:tblPrEx>
          <w:jc w:val="left"/>
        </w:tblPrEx>
        <w:trPr>
          <w:gridAfter w:val="1"/>
          <w:wAfter w:w="6" w:type="dxa"/>
        </w:trPr>
        <w:tc>
          <w:tcPr>
            <w:tcW w:w="3497" w:type="dxa"/>
            <w:vMerge/>
          </w:tcPr>
          <w:p w14:paraId="38538AFB" w14:textId="77777777" w:rsidR="00E0070E" w:rsidRPr="00FA30C8" w:rsidRDefault="00E0070E" w:rsidP="00E0070E">
            <w:pPr>
              <w:rPr>
                <w:rFonts w:cs="Arial"/>
                <w:sz w:val="18"/>
                <w:szCs w:val="18"/>
              </w:rPr>
            </w:pPr>
          </w:p>
        </w:tc>
        <w:tc>
          <w:tcPr>
            <w:tcW w:w="1167" w:type="dxa"/>
            <w:gridSpan w:val="2"/>
            <w:vMerge/>
            <w:vAlign w:val="center"/>
          </w:tcPr>
          <w:p w14:paraId="78079F9D" w14:textId="77777777" w:rsidR="00E0070E" w:rsidRPr="00FA30C8" w:rsidRDefault="00E0070E" w:rsidP="00E0070E">
            <w:pPr>
              <w:jc w:val="center"/>
              <w:rPr>
                <w:rFonts w:cs="Arial"/>
                <w:sz w:val="18"/>
                <w:szCs w:val="18"/>
              </w:rPr>
            </w:pPr>
          </w:p>
        </w:tc>
        <w:tc>
          <w:tcPr>
            <w:tcW w:w="1162" w:type="dxa"/>
            <w:gridSpan w:val="2"/>
            <w:vMerge/>
            <w:vAlign w:val="center"/>
          </w:tcPr>
          <w:p w14:paraId="57834178" w14:textId="77777777" w:rsidR="00E0070E" w:rsidRPr="00FA30C8" w:rsidRDefault="00E0070E" w:rsidP="00E0070E">
            <w:pPr>
              <w:jc w:val="center"/>
              <w:rPr>
                <w:rFonts w:cs="Arial"/>
                <w:sz w:val="18"/>
                <w:szCs w:val="18"/>
              </w:rPr>
            </w:pPr>
          </w:p>
        </w:tc>
        <w:tc>
          <w:tcPr>
            <w:tcW w:w="1039" w:type="dxa"/>
            <w:gridSpan w:val="2"/>
            <w:vMerge/>
            <w:vAlign w:val="center"/>
          </w:tcPr>
          <w:p w14:paraId="6173871C" w14:textId="77777777" w:rsidR="00E0070E" w:rsidRPr="00FA30C8" w:rsidRDefault="00E0070E" w:rsidP="00E0070E">
            <w:pPr>
              <w:jc w:val="center"/>
              <w:rPr>
                <w:rFonts w:cs="Arial"/>
                <w:sz w:val="18"/>
                <w:szCs w:val="18"/>
              </w:rPr>
            </w:pPr>
          </w:p>
        </w:tc>
        <w:tc>
          <w:tcPr>
            <w:tcW w:w="2398" w:type="dxa"/>
            <w:gridSpan w:val="3"/>
            <w:vMerge/>
            <w:vAlign w:val="center"/>
          </w:tcPr>
          <w:p w14:paraId="28133A4E" w14:textId="77777777" w:rsidR="00E0070E" w:rsidRPr="00FA30C8" w:rsidRDefault="00E0070E" w:rsidP="00E0070E">
            <w:pPr>
              <w:jc w:val="center"/>
              <w:rPr>
                <w:rFonts w:cs="Arial"/>
                <w:sz w:val="18"/>
                <w:szCs w:val="18"/>
              </w:rPr>
            </w:pPr>
          </w:p>
        </w:tc>
        <w:tc>
          <w:tcPr>
            <w:tcW w:w="1337" w:type="dxa"/>
          </w:tcPr>
          <w:p w14:paraId="04B082DA" w14:textId="37591E78" w:rsidR="00E0070E" w:rsidRPr="00FA30C8" w:rsidRDefault="00E0070E" w:rsidP="00E0070E">
            <w:pPr>
              <w:rPr>
                <w:rFonts w:cs="Arial"/>
                <w:sz w:val="18"/>
                <w:szCs w:val="18"/>
              </w:rPr>
            </w:pPr>
            <w:r w:rsidRPr="00FA30C8">
              <w:rPr>
                <w:rFonts w:cs="Arial"/>
                <w:sz w:val="18"/>
                <w:szCs w:val="18"/>
              </w:rPr>
              <w:t>Revised target value</w:t>
            </w:r>
          </w:p>
        </w:tc>
        <w:tc>
          <w:tcPr>
            <w:tcW w:w="936" w:type="dxa"/>
            <w:gridSpan w:val="3"/>
            <w:vAlign w:val="center"/>
          </w:tcPr>
          <w:p w14:paraId="0298A7BC" w14:textId="16CC5156" w:rsidR="00E0070E" w:rsidRPr="00FA30C8" w:rsidRDefault="00E0070E" w:rsidP="00E0070E">
            <w:pPr>
              <w:jc w:val="center"/>
              <w:rPr>
                <w:rFonts w:cs="Arial"/>
                <w:sz w:val="18"/>
                <w:szCs w:val="18"/>
              </w:rPr>
            </w:pPr>
            <w:r w:rsidRPr="00FA30C8">
              <w:rPr>
                <w:rFonts w:cs="Arial"/>
                <w:sz w:val="18"/>
                <w:szCs w:val="18"/>
              </w:rPr>
              <w:t>-</w:t>
            </w:r>
          </w:p>
        </w:tc>
        <w:tc>
          <w:tcPr>
            <w:tcW w:w="1414" w:type="dxa"/>
            <w:vMerge/>
          </w:tcPr>
          <w:p w14:paraId="3567962A" w14:textId="77777777" w:rsidR="00E0070E" w:rsidRPr="00FA30C8" w:rsidRDefault="00E0070E" w:rsidP="00E0070E">
            <w:pPr>
              <w:rPr>
                <w:rFonts w:cs="Arial"/>
                <w:sz w:val="18"/>
                <w:szCs w:val="18"/>
              </w:rPr>
            </w:pPr>
          </w:p>
        </w:tc>
      </w:tr>
      <w:tr w:rsidR="00E0070E" w:rsidRPr="00FA30C8" w14:paraId="688FFECE" w14:textId="77777777" w:rsidTr="00F830D1">
        <w:tblPrEx>
          <w:jc w:val="left"/>
        </w:tblPrEx>
        <w:trPr>
          <w:gridAfter w:val="1"/>
          <w:wAfter w:w="6" w:type="dxa"/>
        </w:trPr>
        <w:tc>
          <w:tcPr>
            <w:tcW w:w="3497" w:type="dxa"/>
            <w:vMerge/>
          </w:tcPr>
          <w:p w14:paraId="171DA6B9" w14:textId="77777777" w:rsidR="00E0070E" w:rsidRPr="00FA30C8" w:rsidRDefault="00E0070E" w:rsidP="00E0070E">
            <w:pPr>
              <w:rPr>
                <w:rFonts w:cs="Arial"/>
                <w:sz w:val="18"/>
                <w:szCs w:val="18"/>
              </w:rPr>
            </w:pPr>
          </w:p>
        </w:tc>
        <w:tc>
          <w:tcPr>
            <w:tcW w:w="1167" w:type="dxa"/>
            <w:gridSpan w:val="2"/>
            <w:vMerge/>
            <w:vAlign w:val="center"/>
          </w:tcPr>
          <w:p w14:paraId="6791B895" w14:textId="77777777" w:rsidR="00E0070E" w:rsidRPr="00FA30C8" w:rsidRDefault="00E0070E" w:rsidP="00E0070E">
            <w:pPr>
              <w:jc w:val="center"/>
              <w:rPr>
                <w:rFonts w:cs="Arial"/>
                <w:sz w:val="18"/>
                <w:szCs w:val="18"/>
              </w:rPr>
            </w:pPr>
          </w:p>
        </w:tc>
        <w:tc>
          <w:tcPr>
            <w:tcW w:w="1162" w:type="dxa"/>
            <w:gridSpan w:val="2"/>
            <w:vMerge/>
            <w:vAlign w:val="center"/>
          </w:tcPr>
          <w:p w14:paraId="5C6320DE" w14:textId="77777777" w:rsidR="00E0070E" w:rsidRPr="00FA30C8" w:rsidRDefault="00E0070E" w:rsidP="00E0070E">
            <w:pPr>
              <w:jc w:val="center"/>
              <w:rPr>
                <w:rFonts w:cs="Arial"/>
                <w:sz w:val="18"/>
                <w:szCs w:val="18"/>
              </w:rPr>
            </w:pPr>
          </w:p>
        </w:tc>
        <w:tc>
          <w:tcPr>
            <w:tcW w:w="1039" w:type="dxa"/>
            <w:gridSpan w:val="2"/>
            <w:vMerge/>
            <w:vAlign w:val="center"/>
          </w:tcPr>
          <w:p w14:paraId="61F0BE56" w14:textId="77777777" w:rsidR="00E0070E" w:rsidRPr="00FA30C8" w:rsidRDefault="00E0070E" w:rsidP="00E0070E">
            <w:pPr>
              <w:jc w:val="center"/>
              <w:rPr>
                <w:rFonts w:cs="Arial"/>
                <w:sz w:val="18"/>
                <w:szCs w:val="18"/>
              </w:rPr>
            </w:pPr>
          </w:p>
        </w:tc>
        <w:tc>
          <w:tcPr>
            <w:tcW w:w="2398" w:type="dxa"/>
            <w:gridSpan w:val="3"/>
            <w:vMerge/>
            <w:vAlign w:val="center"/>
          </w:tcPr>
          <w:p w14:paraId="6BC2D357" w14:textId="77777777" w:rsidR="00E0070E" w:rsidRPr="00FA30C8" w:rsidRDefault="00E0070E" w:rsidP="00E0070E">
            <w:pPr>
              <w:jc w:val="center"/>
              <w:rPr>
                <w:rFonts w:cs="Arial"/>
                <w:sz w:val="18"/>
                <w:szCs w:val="18"/>
              </w:rPr>
            </w:pPr>
          </w:p>
        </w:tc>
        <w:tc>
          <w:tcPr>
            <w:tcW w:w="1337" w:type="dxa"/>
          </w:tcPr>
          <w:p w14:paraId="2C32923D" w14:textId="1A7BB49B" w:rsidR="00E0070E" w:rsidRPr="00FA30C8" w:rsidRDefault="00E0070E" w:rsidP="00E0070E">
            <w:pPr>
              <w:rPr>
                <w:rFonts w:cs="Arial"/>
                <w:sz w:val="18"/>
                <w:szCs w:val="18"/>
              </w:rPr>
            </w:pPr>
            <w:r w:rsidRPr="00FA30C8">
              <w:rPr>
                <w:rFonts w:cs="Arial"/>
                <w:sz w:val="18"/>
                <w:szCs w:val="18"/>
              </w:rPr>
              <w:t>Actual amount achieved</w:t>
            </w:r>
          </w:p>
        </w:tc>
        <w:tc>
          <w:tcPr>
            <w:tcW w:w="936" w:type="dxa"/>
            <w:gridSpan w:val="3"/>
            <w:vAlign w:val="center"/>
          </w:tcPr>
          <w:p w14:paraId="2B20FBB6" w14:textId="422E0B2C" w:rsidR="00E0070E" w:rsidRPr="00FA30C8" w:rsidRDefault="003C285C" w:rsidP="00E0070E">
            <w:pPr>
              <w:jc w:val="center"/>
              <w:rPr>
                <w:rFonts w:cs="Arial"/>
                <w:sz w:val="18"/>
                <w:szCs w:val="18"/>
              </w:rPr>
            </w:pPr>
            <w:r w:rsidRPr="00FA30C8">
              <w:rPr>
                <w:rFonts w:cs="Arial"/>
                <w:sz w:val="18"/>
                <w:szCs w:val="18"/>
              </w:rPr>
              <w:t>1</w:t>
            </w:r>
          </w:p>
        </w:tc>
        <w:tc>
          <w:tcPr>
            <w:tcW w:w="1414" w:type="dxa"/>
            <w:vMerge/>
          </w:tcPr>
          <w:p w14:paraId="2B654EE2" w14:textId="77777777" w:rsidR="00E0070E" w:rsidRPr="00FA30C8" w:rsidRDefault="00E0070E" w:rsidP="00E0070E">
            <w:pPr>
              <w:rPr>
                <w:rFonts w:cs="Arial"/>
                <w:sz w:val="18"/>
                <w:szCs w:val="18"/>
              </w:rPr>
            </w:pPr>
          </w:p>
        </w:tc>
      </w:tr>
      <w:tr w:rsidR="00E0070E" w:rsidRPr="00FA30C8" w14:paraId="2B7CA37A" w14:textId="77777777" w:rsidTr="00F830D1">
        <w:tblPrEx>
          <w:jc w:val="left"/>
        </w:tblPrEx>
        <w:trPr>
          <w:gridAfter w:val="1"/>
          <w:wAfter w:w="6" w:type="dxa"/>
        </w:trPr>
        <w:tc>
          <w:tcPr>
            <w:tcW w:w="3497" w:type="dxa"/>
            <w:vMerge w:val="restart"/>
          </w:tcPr>
          <w:p w14:paraId="772F0258" w14:textId="5C7694BB" w:rsidR="00E0070E" w:rsidRPr="00FA30C8" w:rsidRDefault="00E0070E" w:rsidP="00E0070E">
            <w:pPr>
              <w:rPr>
                <w:rFonts w:cs="Arial"/>
                <w:sz w:val="18"/>
                <w:szCs w:val="18"/>
              </w:rPr>
            </w:pPr>
            <w:r w:rsidRPr="00FA30C8">
              <w:rPr>
                <w:rFonts w:cs="Arial"/>
                <w:sz w:val="18"/>
                <w:szCs w:val="18"/>
              </w:rPr>
              <w:t xml:space="preserve">Output #2: </w:t>
            </w:r>
            <w:bookmarkStart w:id="21" w:name="_Hlk494204032"/>
            <w:r w:rsidRPr="00FA30C8">
              <w:rPr>
                <w:rFonts w:cs="Arial"/>
                <w:sz w:val="18"/>
                <w:szCs w:val="18"/>
              </w:rPr>
              <w:t xml:space="preserve">A National Competitiveness Strategy (NCS) </w:t>
            </w:r>
            <w:bookmarkEnd w:id="21"/>
            <w:r w:rsidRPr="00FA30C8">
              <w:rPr>
                <w:rFonts w:cs="Arial"/>
                <w:sz w:val="18"/>
                <w:szCs w:val="18"/>
              </w:rPr>
              <w:t>and action plan approved</w:t>
            </w:r>
          </w:p>
        </w:tc>
        <w:tc>
          <w:tcPr>
            <w:tcW w:w="1167" w:type="dxa"/>
            <w:gridSpan w:val="2"/>
            <w:vMerge w:val="restart"/>
            <w:vAlign w:val="center"/>
          </w:tcPr>
          <w:p w14:paraId="6179DE2E" w14:textId="77777777" w:rsidR="00E0070E" w:rsidRPr="00FA30C8" w:rsidRDefault="00E0070E" w:rsidP="00E0070E">
            <w:pPr>
              <w:jc w:val="center"/>
              <w:rPr>
                <w:rFonts w:cs="Arial"/>
                <w:sz w:val="18"/>
                <w:szCs w:val="18"/>
              </w:rPr>
            </w:pPr>
            <w:r w:rsidRPr="00FA30C8">
              <w:rPr>
                <w:rFonts w:cs="Arial"/>
                <w:sz w:val="18"/>
                <w:szCs w:val="18"/>
              </w:rPr>
              <w:t>Plan</w:t>
            </w:r>
          </w:p>
        </w:tc>
        <w:tc>
          <w:tcPr>
            <w:tcW w:w="1162" w:type="dxa"/>
            <w:gridSpan w:val="2"/>
            <w:vMerge w:val="restart"/>
            <w:vAlign w:val="center"/>
          </w:tcPr>
          <w:p w14:paraId="1B4D806D" w14:textId="77777777" w:rsidR="00E0070E" w:rsidRPr="00FA30C8" w:rsidRDefault="00E0070E" w:rsidP="00E0070E">
            <w:pPr>
              <w:jc w:val="center"/>
              <w:rPr>
                <w:rFonts w:cs="Arial"/>
                <w:sz w:val="18"/>
                <w:szCs w:val="18"/>
              </w:rPr>
            </w:pPr>
            <w:r w:rsidRPr="00FA30C8">
              <w:rPr>
                <w:rFonts w:cs="Arial"/>
                <w:sz w:val="18"/>
                <w:szCs w:val="18"/>
              </w:rPr>
              <w:t>0</w:t>
            </w:r>
          </w:p>
        </w:tc>
        <w:tc>
          <w:tcPr>
            <w:tcW w:w="1039" w:type="dxa"/>
            <w:gridSpan w:val="2"/>
            <w:vMerge w:val="restart"/>
            <w:vAlign w:val="center"/>
          </w:tcPr>
          <w:p w14:paraId="074496CA" w14:textId="77777777" w:rsidR="00E0070E" w:rsidRPr="00FA30C8" w:rsidRDefault="00E0070E" w:rsidP="00E0070E">
            <w:pPr>
              <w:jc w:val="center"/>
              <w:rPr>
                <w:rFonts w:cs="Arial"/>
                <w:sz w:val="18"/>
                <w:szCs w:val="18"/>
              </w:rPr>
            </w:pPr>
            <w:r w:rsidRPr="00FA30C8">
              <w:rPr>
                <w:rFonts w:cs="Arial"/>
                <w:sz w:val="18"/>
                <w:szCs w:val="18"/>
              </w:rPr>
              <w:t>2010</w:t>
            </w:r>
          </w:p>
        </w:tc>
        <w:tc>
          <w:tcPr>
            <w:tcW w:w="2398" w:type="dxa"/>
            <w:gridSpan w:val="3"/>
            <w:vMerge w:val="restart"/>
            <w:vAlign w:val="center"/>
          </w:tcPr>
          <w:p w14:paraId="6D5977E8" w14:textId="77777777" w:rsidR="00E0070E" w:rsidRPr="00FA30C8" w:rsidRDefault="00E0070E" w:rsidP="00E0070E">
            <w:pPr>
              <w:jc w:val="center"/>
              <w:rPr>
                <w:rFonts w:cs="Arial"/>
                <w:sz w:val="18"/>
                <w:szCs w:val="18"/>
              </w:rPr>
            </w:pPr>
          </w:p>
        </w:tc>
        <w:tc>
          <w:tcPr>
            <w:tcW w:w="1337" w:type="dxa"/>
          </w:tcPr>
          <w:p w14:paraId="1C59E5C9" w14:textId="77777777" w:rsidR="00E0070E" w:rsidRPr="00FA30C8" w:rsidRDefault="00E0070E" w:rsidP="00E0070E">
            <w:pPr>
              <w:rPr>
                <w:rFonts w:cs="Arial"/>
                <w:sz w:val="18"/>
                <w:szCs w:val="18"/>
              </w:rPr>
            </w:pPr>
            <w:r w:rsidRPr="00FA30C8">
              <w:rPr>
                <w:rFonts w:cs="Arial"/>
                <w:sz w:val="18"/>
                <w:szCs w:val="18"/>
              </w:rPr>
              <w:t>Original Target value</w:t>
            </w:r>
          </w:p>
        </w:tc>
        <w:tc>
          <w:tcPr>
            <w:tcW w:w="936" w:type="dxa"/>
            <w:gridSpan w:val="3"/>
            <w:vAlign w:val="center"/>
          </w:tcPr>
          <w:p w14:paraId="3FD11614" w14:textId="77777777" w:rsidR="00E0070E" w:rsidRPr="00FA30C8" w:rsidRDefault="00E0070E" w:rsidP="00E0070E">
            <w:pPr>
              <w:jc w:val="center"/>
              <w:rPr>
                <w:rFonts w:cs="Arial"/>
                <w:sz w:val="18"/>
                <w:szCs w:val="18"/>
              </w:rPr>
            </w:pPr>
            <w:r w:rsidRPr="00FA30C8">
              <w:rPr>
                <w:rFonts w:cs="Arial"/>
                <w:sz w:val="18"/>
                <w:szCs w:val="18"/>
              </w:rPr>
              <w:t>1</w:t>
            </w:r>
          </w:p>
        </w:tc>
        <w:tc>
          <w:tcPr>
            <w:tcW w:w="1414" w:type="dxa"/>
            <w:vMerge w:val="restart"/>
            <w:vAlign w:val="center"/>
          </w:tcPr>
          <w:p w14:paraId="5348D0BC" w14:textId="67AE6B4F" w:rsidR="00E0070E" w:rsidRPr="00FA30C8" w:rsidRDefault="00E0070E" w:rsidP="00E0070E">
            <w:pPr>
              <w:jc w:val="center"/>
              <w:rPr>
                <w:rFonts w:cs="Arial"/>
                <w:sz w:val="18"/>
                <w:szCs w:val="18"/>
              </w:rPr>
            </w:pPr>
          </w:p>
        </w:tc>
      </w:tr>
      <w:tr w:rsidR="00E0070E" w:rsidRPr="00FA30C8" w14:paraId="2AAD9864" w14:textId="77777777" w:rsidTr="00F830D1">
        <w:tblPrEx>
          <w:jc w:val="left"/>
        </w:tblPrEx>
        <w:trPr>
          <w:gridAfter w:val="1"/>
          <w:wAfter w:w="6" w:type="dxa"/>
        </w:trPr>
        <w:tc>
          <w:tcPr>
            <w:tcW w:w="3497" w:type="dxa"/>
            <w:vMerge/>
          </w:tcPr>
          <w:p w14:paraId="6798375D" w14:textId="77777777" w:rsidR="00E0070E" w:rsidRPr="00FA30C8" w:rsidRDefault="00E0070E" w:rsidP="00E0070E">
            <w:pPr>
              <w:rPr>
                <w:rFonts w:cs="Arial"/>
                <w:sz w:val="18"/>
                <w:szCs w:val="18"/>
              </w:rPr>
            </w:pPr>
          </w:p>
        </w:tc>
        <w:tc>
          <w:tcPr>
            <w:tcW w:w="1167" w:type="dxa"/>
            <w:gridSpan w:val="2"/>
            <w:vMerge/>
            <w:vAlign w:val="center"/>
          </w:tcPr>
          <w:p w14:paraId="5590E5E4" w14:textId="77777777" w:rsidR="00E0070E" w:rsidRPr="00FA30C8" w:rsidRDefault="00E0070E" w:rsidP="00E0070E">
            <w:pPr>
              <w:jc w:val="center"/>
              <w:rPr>
                <w:rFonts w:cs="Arial"/>
                <w:sz w:val="18"/>
                <w:szCs w:val="18"/>
              </w:rPr>
            </w:pPr>
          </w:p>
        </w:tc>
        <w:tc>
          <w:tcPr>
            <w:tcW w:w="1162" w:type="dxa"/>
            <w:gridSpan w:val="2"/>
            <w:vMerge/>
            <w:vAlign w:val="center"/>
          </w:tcPr>
          <w:p w14:paraId="32D04661" w14:textId="77777777" w:rsidR="00E0070E" w:rsidRPr="00FA30C8" w:rsidRDefault="00E0070E" w:rsidP="00E0070E">
            <w:pPr>
              <w:jc w:val="center"/>
              <w:rPr>
                <w:rFonts w:cs="Arial"/>
                <w:sz w:val="18"/>
                <w:szCs w:val="18"/>
              </w:rPr>
            </w:pPr>
          </w:p>
        </w:tc>
        <w:tc>
          <w:tcPr>
            <w:tcW w:w="1039" w:type="dxa"/>
            <w:gridSpan w:val="2"/>
            <w:vMerge/>
            <w:vAlign w:val="center"/>
          </w:tcPr>
          <w:p w14:paraId="7B28B5F3" w14:textId="77777777" w:rsidR="00E0070E" w:rsidRPr="00FA30C8" w:rsidRDefault="00E0070E" w:rsidP="00E0070E">
            <w:pPr>
              <w:jc w:val="center"/>
              <w:rPr>
                <w:rFonts w:cs="Arial"/>
                <w:sz w:val="18"/>
                <w:szCs w:val="18"/>
              </w:rPr>
            </w:pPr>
          </w:p>
        </w:tc>
        <w:tc>
          <w:tcPr>
            <w:tcW w:w="2398" w:type="dxa"/>
            <w:gridSpan w:val="3"/>
            <w:vMerge/>
            <w:vAlign w:val="center"/>
          </w:tcPr>
          <w:p w14:paraId="63D92CC0" w14:textId="77777777" w:rsidR="00E0070E" w:rsidRPr="00FA30C8" w:rsidRDefault="00E0070E" w:rsidP="00E0070E">
            <w:pPr>
              <w:jc w:val="center"/>
              <w:rPr>
                <w:rFonts w:cs="Arial"/>
                <w:sz w:val="18"/>
                <w:szCs w:val="18"/>
              </w:rPr>
            </w:pPr>
          </w:p>
        </w:tc>
        <w:tc>
          <w:tcPr>
            <w:tcW w:w="1337" w:type="dxa"/>
          </w:tcPr>
          <w:p w14:paraId="1D96BD29" w14:textId="4F584119" w:rsidR="00E0070E" w:rsidRPr="00FA30C8" w:rsidRDefault="00E0070E" w:rsidP="00E0070E">
            <w:pPr>
              <w:rPr>
                <w:rFonts w:cs="Arial"/>
                <w:sz w:val="18"/>
                <w:szCs w:val="18"/>
              </w:rPr>
            </w:pPr>
            <w:r w:rsidRPr="00FA30C8">
              <w:rPr>
                <w:rFonts w:cs="Arial"/>
                <w:sz w:val="18"/>
                <w:szCs w:val="18"/>
              </w:rPr>
              <w:t>Revised target value</w:t>
            </w:r>
          </w:p>
        </w:tc>
        <w:tc>
          <w:tcPr>
            <w:tcW w:w="936" w:type="dxa"/>
            <w:gridSpan w:val="3"/>
            <w:vAlign w:val="center"/>
          </w:tcPr>
          <w:p w14:paraId="3AE38797" w14:textId="293AC9B1" w:rsidR="00E0070E" w:rsidRPr="00FA30C8" w:rsidRDefault="00E0070E" w:rsidP="005064AD">
            <w:pPr>
              <w:pStyle w:val="ListParagraph"/>
              <w:numPr>
                <w:ilvl w:val="0"/>
                <w:numId w:val="8"/>
              </w:numPr>
              <w:jc w:val="center"/>
              <w:rPr>
                <w:rFonts w:cs="Arial"/>
                <w:sz w:val="18"/>
                <w:szCs w:val="18"/>
              </w:rPr>
            </w:pPr>
          </w:p>
        </w:tc>
        <w:tc>
          <w:tcPr>
            <w:tcW w:w="1414" w:type="dxa"/>
            <w:vMerge/>
          </w:tcPr>
          <w:p w14:paraId="45D58073" w14:textId="77777777" w:rsidR="00E0070E" w:rsidRPr="00FA30C8" w:rsidRDefault="00E0070E" w:rsidP="00E0070E">
            <w:pPr>
              <w:rPr>
                <w:rFonts w:cs="Arial"/>
                <w:sz w:val="18"/>
                <w:szCs w:val="18"/>
              </w:rPr>
            </w:pPr>
          </w:p>
        </w:tc>
      </w:tr>
      <w:tr w:rsidR="00E0070E" w:rsidRPr="00FA30C8" w14:paraId="16C4C06B" w14:textId="77777777" w:rsidTr="00F830D1">
        <w:tblPrEx>
          <w:jc w:val="left"/>
        </w:tblPrEx>
        <w:trPr>
          <w:gridAfter w:val="1"/>
          <w:wAfter w:w="6" w:type="dxa"/>
        </w:trPr>
        <w:tc>
          <w:tcPr>
            <w:tcW w:w="3497" w:type="dxa"/>
            <w:vMerge/>
          </w:tcPr>
          <w:p w14:paraId="60BBFB49" w14:textId="77777777" w:rsidR="00E0070E" w:rsidRPr="00FA30C8" w:rsidRDefault="00E0070E" w:rsidP="00E0070E">
            <w:pPr>
              <w:rPr>
                <w:rFonts w:cs="Arial"/>
                <w:sz w:val="18"/>
                <w:szCs w:val="18"/>
              </w:rPr>
            </w:pPr>
          </w:p>
        </w:tc>
        <w:tc>
          <w:tcPr>
            <w:tcW w:w="1167" w:type="dxa"/>
            <w:gridSpan w:val="2"/>
            <w:vMerge/>
            <w:vAlign w:val="center"/>
          </w:tcPr>
          <w:p w14:paraId="26A3F9E3" w14:textId="77777777" w:rsidR="00E0070E" w:rsidRPr="00FA30C8" w:rsidRDefault="00E0070E" w:rsidP="00E0070E">
            <w:pPr>
              <w:jc w:val="center"/>
              <w:rPr>
                <w:rFonts w:cs="Arial"/>
                <w:sz w:val="18"/>
                <w:szCs w:val="18"/>
              </w:rPr>
            </w:pPr>
          </w:p>
        </w:tc>
        <w:tc>
          <w:tcPr>
            <w:tcW w:w="1162" w:type="dxa"/>
            <w:gridSpan w:val="2"/>
            <w:vMerge/>
            <w:vAlign w:val="center"/>
          </w:tcPr>
          <w:p w14:paraId="7BB62F2F" w14:textId="77777777" w:rsidR="00E0070E" w:rsidRPr="00FA30C8" w:rsidRDefault="00E0070E" w:rsidP="00E0070E">
            <w:pPr>
              <w:jc w:val="center"/>
              <w:rPr>
                <w:rFonts w:cs="Arial"/>
                <w:sz w:val="18"/>
                <w:szCs w:val="18"/>
              </w:rPr>
            </w:pPr>
          </w:p>
        </w:tc>
        <w:tc>
          <w:tcPr>
            <w:tcW w:w="1039" w:type="dxa"/>
            <w:gridSpan w:val="2"/>
            <w:vMerge/>
            <w:vAlign w:val="center"/>
          </w:tcPr>
          <w:p w14:paraId="173D2758" w14:textId="77777777" w:rsidR="00E0070E" w:rsidRPr="00FA30C8" w:rsidRDefault="00E0070E" w:rsidP="00E0070E">
            <w:pPr>
              <w:jc w:val="center"/>
              <w:rPr>
                <w:rFonts w:cs="Arial"/>
                <w:sz w:val="18"/>
                <w:szCs w:val="18"/>
              </w:rPr>
            </w:pPr>
          </w:p>
        </w:tc>
        <w:tc>
          <w:tcPr>
            <w:tcW w:w="2398" w:type="dxa"/>
            <w:gridSpan w:val="3"/>
            <w:vMerge/>
            <w:vAlign w:val="center"/>
          </w:tcPr>
          <w:p w14:paraId="201B2BD2" w14:textId="77777777" w:rsidR="00E0070E" w:rsidRPr="00FA30C8" w:rsidRDefault="00E0070E" w:rsidP="00E0070E">
            <w:pPr>
              <w:jc w:val="center"/>
              <w:rPr>
                <w:rFonts w:cs="Arial"/>
                <w:sz w:val="18"/>
                <w:szCs w:val="18"/>
              </w:rPr>
            </w:pPr>
          </w:p>
        </w:tc>
        <w:tc>
          <w:tcPr>
            <w:tcW w:w="1337" w:type="dxa"/>
          </w:tcPr>
          <w:p w14:paraId="4D6CCA64" w14:textId="1DADA25F" w:rsidR="00E0070E" w:rsidRPr="00FA30C8" w:rsidRDefault="00E0070E" w:rsidP="00E0070E">
            <w:pPr>
              <w:rPr>
                <w:rFonts w:cs="Arial"/>
                <w:sz w:val="18"/>
                <w:szCs w:val="18"/>
              </w:rPr>
            </w:pPr>
            <w:r w:rsidRPr="00FA30C8">
              <w:rPr>
                <w:rFonts w:cs="Arial"/>
                <w:sz w:val="18"/>
                <w:szCs w:val="18"/>
              </w:rPr>
              <w:t>Actual amount achieved</w:t>
            </w:r>
          </w:p>
        </w:tc>
        <w:tc>
          <w:tcPr>
            <w:tcW w:w="936" w:type="dxa"/>
            <w:gridSpan w:val="3"/>
            <w:vAlign w:val="center"/>
          </w:tcPr>
          <w:p w14:paraId="619D3385" w14:textId="0D240C74" w:rsidR="00E0070E" w:rsidRPr="00FA30C8" w:rsidRDefault="003C285C" w:rsidP="00E0070E">
            <w:pPr>
              <w:jc w:val="center"/>
              <w:rPr>
                <w:rFonts w:cs="Arial"/>
                <w:sz w:val="18"/>
                <w:szCs w:val="18"/>
              </w:rPr>
            </w:pPr>
            <w:r w:rsidRPr="00FA30C8">
              <w:rPr>
                <w:rFonts w:cs="Arial"/>
                <w:sz w:val="18"/>
                <w:szCs w:val="18"/>
              </w:rPr>
              <w:t>0</w:t>
            </w:r>
          </w:p>
        </w:tc>
        <w:tc>
          <w:tcPr>
            <w:tcW w:w="1414" w:type="dxa"/>
            <w:vMerge/>
          </w:tcPr>
          <w:p w14:paraId="66CE634F" w14:textId="77777777" w:rsidR="00E0070E" w:rsidRPr="00FA30C8" w:rsidRDefault="00E0070E" w:rsidP="00E0070E">
            <w:pPr>
              <w:rPr>
                <w:rFonts w:cs="Arial"/>
                <w:sz w:val="18"/>
                <w:szCs w:val="18"/>
              </w:rPr>
            </w:pPr>
          </w:p>
        </w:tc>
      </w:tr>
      <w:tr w:rsidR="00E0070E" w:rsidRPr="00FA30C8" w14:paraId="251940E6" w14:textId="77777777" w:rsidTr="00F830D1">
        <w:tblPrEx>
          <w:jc w:val="left"/>
        </w:tblPrEx>
        <w:trPr>
          <w:gridAfter w:val="1"/>
          <w:wAfter w:w="6" w:type="dxa"/>
        </w:trPr>
        <w:tc>
          <w:tcPr>
            <w:tcW w:w="3497" w:type="dxa"/>
            <w:vMerge w:val="restart"/>
          </w:tcPr>
          <w:p w14:paraId="15167FDF" w14:textId="18EFC14C" w:rsidR="00E0070E" w:rsidRPr="00FA30C8" w:rsidRDefault="00E0070E" w:rsidP="00E0070E">
            <w:pPr>
              <w:rPr>
                <w:rFonts w:cs="Arial"/>
                <w:sz w:val="18"/>
                <w:szCs w:val="18"/>
              </w:rPr>
            </w:pPr>
            <w:r w:rsidRPr="00FA30C8">
              <w:rPr>
                <w:rFonts w:cs="Arial"/>
                <w:sz w:val="18"/>
                <w:szCs w:val="18"/>
              </w:rPr>
              <w:t>Output #3: NCS Action Plan implemented according to schedule</w:t>
            </w:r>
          </w:p>
        </w:tc>
        <w:tc>
          <w:tcPr>
            <w:tcW w:w="1167" w:type="dxa"/>
            <w:gridSpan w:val="2"/>
            <w:vMerge w:val="restart"/>
            <w:vAlign w:val="center"/>
          </w:tcPr>
          <w:p w14:paraId="1B344DEE" w14:textId="77777777" w:rsidR="00E0070E" w:rsidRPr="00FA30C8" w:rsidRDefault="00E0070E" w:rsidP="00E0070E">
            <w:pPr>
              <w:jc w:val="center"/>
              <w:rPr>
                <w:rFonts w:cs="Arial"/>
                <w:sz w:val="18"/>
                <w:szCs w:val="18"/>
              </w:rPr>
            </w:pPr>
            <w:r w:rsidRPr="00FA30C8">
              <w:rPr>
                <w:rFonts w:cs="Arial"/>
                <w:sz w:val="18"/>
                <w:szCs w:val="18"/>
              </w:rPr>
              <w:t>Certificate</w:t>
            </w:r>
          </w:p>
        </w:tc>
        <w:tc>
          <w:tcPr>
            <w:tcW w:w="1162" w:type="dxa"/>
            <w:gridSpan w:val="2"/>
            <w:vMerge w:val="restart"/>
            <w:vAlign w:val="center"/>
          </w:tcPr>
          <w:p w14:paraId="409E549D" w14:textId="77777777" w:rsidR="00E0070E" w:rsidRPr="00FA30C8" w:rsidRDefault="00E0070E" w:rsidP="00E0070E">
            <w:pPr>
              <w:jc w:val="center"/>
              <w:rPr>
                <w:rFonts w:cs="Arial"/>
                <w:sz w:val="18"/>
                <w:szCs w:val="18"/>
              </w:rPr>
            </w:pPr>
            <w:r w:rsidRPr="00FA30C8">
              <w:rPr>
                <w:rFonts w:cs="Arial"/>
                <w:sz w:val="18"/>
                <w:szCs w:val="18"/>
              </w:rPr>
              <w:t>0</w:t>
            </w:r>
          </w:p>
        </w:tc>
        <w:tc>
          <w:tcPr>
            <w:tcW w:w="1039" w:type="dxa"/>
            <w:gridSpan w:val="2"/>
            <w:vMerge w:val="restart"/>
            <w:vAlign w:val="center"/>
          </w:tcPr>
          <w:p w14:paraId="1520EADF" w14:textId="77777777" w:rsidR="00E0070E" w:rsidRPr="00FA30C8" w:rsidRDefault="00E0070E" w:rsidP="00E0070E">
            <w:pPr>
              <w:jc w:val="center"/>
              <w:rPr>
                <w:rFonts w:cs="Arial"/>
                <w:sz w:val="18"/>
                <w:szCs w:val="18"/>
              </w:rPr>
            </w:pPr>
            <w:r w:rsidRPr="00FA30C8">
              <w:rPr>
                <w:rFonts w:cs="Arial"/>
                <w:sz w:val="18"/>
                <w:szCs w:val="18"/>
              </w:rPr>
              <w:t>2010</w:t>
            </w:r>
          </w:p>
        </w:tc>
        <w:tc>
          <w:tcPr>
            <w:tcW w:w="2398" w:type="dxa"/>
            <w:gridSpan w:val="3"/>
            <w:vMerge w:val="restart"/>
            <w:vAlign w:val="center"/>
          </w:tcPr>
          <w:p w14:paraId="2ADF2CB4" w14:textId="77777777" w:rsidR="00E0070E" w:rsidRPr="00FA30C8" w:rsidRDefault="00E0070E" w:rsidP="00E0070E">
            <w:pPr>
              <w:jc w:val="center"/>
              <w:rPr>
                <w:rFonts w:cs="Arial"/>
                <w:sz w:val="18"/>
                <w:szCs w:val="18"/>
              </w:rPr>
            </w:pPr>
          </w:p>
        </w:tc>
        <w:tc>
          <w:tcPr>
            <w:tcW w:w="1337" w:type="dxa"/>
          </w:tcPr>
          <w:p w14:paraId="4EC2B800" w14:textId="77777777" w:rsidR="00E0070E" w:rsidRPr="00FA30C8" w:rsidRDefault="00E0070E" w:rsidP="00E0070E">
            <w:pPr>
              <w:rPr>
                <w:rFonts w:cs="Arial"/>
                <w:sz w:val="18"/>
                <w:szCs w:val="18"/>
              </w:rPr>
            </w:pPr>
            <w:r w:rsidRPr="00FA30C8">
              <w:rPr>
                <w:rFonts w:cs="Arial"/>
                <w:sz w:val="18"/>
                <w:szCs w:val="18"/>
              </w:rPr>
              <w:t>Original Target value</w:t>
            </w:r>
          </w:p>
        </w:tc>
        <w:tc>
          <w:tcPr>
            <w:tcW w:w="936" w:type="dxa"/>
            <w:gridSpan w:val="3"/>
            <w:vAlign w:val="center"/>
          </w:tcPr>
          <w:p w14:paraId="1F19C433" w14:textId="77777777" w:rsidR="00E0070E" w:rsidRPr="00FA30C8" w:rsidRDefault="00E0070E" w:rsidP="00E0070E">
            <w:pPr>
              <w:jc w:val="center"/>
              <w:rPr>
                <w:rFonts w:cs="Arial"/>
                <w:sz w:val="18"/>
                <w:szCs w:val="18"/>
              </w:rPr>
            </w:pPr>
            <w:r w:rsidRPr="00FA30C8">
              <w:rPr>
                <w:rFonts w:cs="Arial"/>
                <w:sz w:val="18"/>
                <w:szCs w:val="18"/>
              </w:rPr>
              <w:t>6</w:t>
            </w:r>
          </w:p>
        </w:tc>
        <w:tc>
          <w:tcPr>
            <w:tcW w:w="1414" w:type="dxa"/>
          </w:tcPr>
          <w:p w14:paraId="3A889718" w14:textId="1B6BFDAE" w:rsidR="00E0070E" w:rsidRPr="00FA30C8" w:rsidRDefault="00E0070E" w:rsidP="00E0070E">
            <w:pPr>
              <w:rPr>
                <w:rFonts w:cs="Arial"/>
                <w:sz w:val="18"/>
                <w:szCs w:val="18"/>
              </w:rPr>
            </w:pPr>
          </w:p>
        </w:tc>
      </w:tr>
      <w:tr w:rsidR="00E0070E" w:rsidRPr="00FA30C8" w14:paraId="72F1D69C" w14:textId="77777777" w:rsidTr="00F830D1">
        <w:tblPrEx>
          <w:jc w:val="left"/>
        </w:tblPrEx>
        <w:trPr>
          <w:gridAfter w:val="1"/>
          <w:wAfter w:w="6" w:type="dxa"/>
        </w:trPr>
        <w:tc>
          <w:tcPr>
            <w:tcW w:w="3497" w:type="dxa"/>
            <w:vMerge/>
          </w:tcPr>
          <w:p w14:paraId="54DB6E7A" w14:textId="77777777" w:rsidR="00E0070E" w:rsidRPr="00FA30C8" w:rsidRDefault="00E0070E" w:rsidP="00E0070E">
            <w:pPr>
              <w:rPr>
                <w:rFonts w:cs="Arial"/>
                <w:sz w:val="18"/>
                <w:szCs w:val="18"/>
              </w:rPr>
            </w:pPr>
          </w:p>
        </w:tc>
        <w:tc>
          <w:tcPr>
            <w:tcW w:w="1167" w:type="dxa"/>
            <w:gridSpan w:val="2"/>
            <w:vMerge/>
          </w:tcPr>
          <w:p w14:paraId="012A1DA2" w14:textId="77777777" w:rsidR="00E0070E" w:rsidRPr="00FA30C8" w:rsidRDefault="00E0070E" w:rsidP="00E0070E">
            <w:pPr>
              <w:rPr>
                <w:rFonts w:cs="Arial"/>
                <w:sz w:val="18"/>
                <w:szCs w:val="18"/>
              </w:rPr>
            </w:pPr>
          </w:p>
        </w:tc>
        <w:tc>
          <w:tcPr>
            <w:tcW w:w="1162" w:type="dxa"/>
            <w:gridSpan w:val="2"/>
            <w:vMerge/>
          </w:tcPr>
          <w:p w14:paraId="47BF8520" w14:textId="77777777" w:rsidR="00E0070E" w:rsidRPr="00FA30C8" w:rsidRDefault="00E0070E" w:rsidP="00E0070E">
            <w:pPr>
              <w:rPr>
                <w:rFonts w:cs="Arial"/>
                <w:sz w:val="18"/>
                <w:szCs w:val="18"/>
              </w:rPr>
            </w:pPr>
          </w:p>
        </w:tc>
        <w:tc>
          <w:tcPr>
            <w:tcW w:w="1039" w:type="dxa"/>
            <w:gridSpan w:val="2"/>
            <w:vMerge/>
          </w:tcPr>
          <w:p w14:paraId="1962FC16" w14:textId="77777777" w:rsidR="00E0070E" w:rsidRPr="00FA30C8" w:rsidRDefault="00E0070E" w:rsidP="00E0070E">
            <w:pPr>
              <w:rPr>
                <w:rFonts w:cs="Arial"/>
                <w:sz w:val="18"/>
                <w:szCs w:val="18"/>
              </w:rPr>
            </w:pPr>
          </w:p>
        </w:tc>
        <w:tc>
          <w:tcPr>
            <w:tcW w:w="2398" w:type="dxa"/>
            <w:gridSpan w:val="3"/>
            <w:vMerge/>
          </w:tcPr>
          <w:p w14:paraId="056DA6AC" w14:textId="77777777" w:rsidR="00E0070E" w:rsidRPr="00FA30C8" w:rsidRDefault="00E0070E" w:rsidP="00E0070E">
            <w:pPr>
              <w:rPr>
                <w:rFonts w:cs="Arial"/>
                <w:sz w:val="18"/>
                <w:szCs w:val="18"/>
              </w:rPr>
            </w:pPr>
          </w:p>
        </w:tc>
        <w:tc>
          <w:tcPr>
            <w:tcW w:w="1337" w:type="dxa"/>
          </w:tcPr>
          <w:p w14:paraId="5A9FBD52" w14:textId="1E6ECAEF" w:rsidR="00E0070E" w:rsidRPr="00FA30C8" w:rsidRDefault="00E0070E" w:rsidP="00E0070E">
            <w:pPr>
              <w:rPr>
                <w:rFonts w:cs="Arial"/>
                <w:sz w:val="18"/>
                <w:szCs w:val="18"/>
              </w:rPr>
            </w:pPr>
            <w:r w:rsidRPr="00FA30C8">
              <w:rPr>
                <w:rFonts w:cs="Arial"/>
                <w:sz w:val="18"/>
                <w:szCs w:val="18"/>
              </w:rPr>
              <w:t>Revised target value</w:t>
            </w:r>
          </w:p>
        </w:tc>
        <w:tc>
          <w:tcPr>
            <w:tcW w:w="936" w:type="dxa"/>
            <w:gridSpan w:val="3"/>
            <w:vAlign w:val="center"/>
          </w:tcPr>
          <w:p w14:paraId="3D2ECC67" w14:textId="77777777" w:rsidR="00E0070E" w:rsidRPr="00FA30C8" w:rsidRDefault="00E0070E" w:rsidP="00E0070E">
            <w:pPr>
              <w:jc w:val="center"/>
              <w:rPr>
                <w:rFonts w:cs="Arial"/>
                <w:sz w:val="18"/>
                <w:szCs w:val="18"/>
              </w:rPr>
            </w:pPr>
            <w:r w:rsidRPr="00FA30C8">
              <w:rPr>
                <w:rFonts w:cs="Arial"/>
                <w:sz w:val="18"/>
                <w:szCs w:val="18"/>
              </w:rPr>
              <w:t>-</w:t>
            </w:r>
          </w:p>
        </w:tc>
        <w:tc>
          <w:tcPr>
            <w:tcW w:w="1414" w:type="dxa"/>
          </w:tcPr>
          <w:p w14:paraId="47646E8C" w14:textId="780CCF04" w:rsidR="00E0070E" w:rsidRPr="00FA30C8" w:rsidRDefault="00E0070E" w:rsidP="00E0070E">
            <w:pPr>
              <w:rPr>
                <w:rFonts w:cs="Arial"/>
                <w:sz w:val="18"/>
                <w:szCs w:val="18"/>
              </w:rPr>
            </w:pPr>
          </w:p>
        </w:tc>
      </w:tr>
      <w:tr w:rsidR="00E0070E" w:rsidRPr="00FA30C8" w14:paraId="0CAE19F7" w14:textId="77777777" w:rsidTr="00F830D1">
        <w:tblPrEx>
          <w:jc w:val="left"/>
        </w:tblPrEx>
        <w:trPr>
          <w:gridAfter w:val="1"/>
          <w:wAfter w:w="6" w:type="dxa"/>
        </w:trPr>
        <w:tc>
          <w:tcPr>
            <w:tcW w:w="3497" w:type="dxa"/>
            <w:vMerge/>
          </w:tcPr>
          <w:p w14:paraId="42C31223" w14:textId="77777777" w:rsidR="00E0070E" w:rsidRPr="00FA30C8" w:rsidRDefault="00E0070E" w:rsidP="00E0070E">
            <w:pPr>
              <w:rPr>
                <w:rFonts w:cs="Arial"/>
                <w:sz w:val="18"/>
                <w:szCs w:val="18"/>
              </w:rPr>
            </w:pPr>
          </w:p>
        </w:tc>
        <w:tc>
          <w:tcPr>
            <w:tcW w:w="1167" w:type="dxa"/>
            <w:gridSpan w:val="2"/>
            <w:vMerge/>
          </w:tcPr>
          <w:p w14:paraId="509B9F1B" w14:textId="77777777" w:rsidR="00E0070E" w:rsidRPr="00FA30C8" w:rsidRDefault="00E0070E" w:rsidP="00E0070E">
            <w:pPr>
              <w:rPr>
                <w:rFonts w:cs="Arial"/>
                <w:sz w:val="18"/>
                <w:szCs w:val="18"/>
              </w:rPr>
            </w:pPr>
          </w:p>
        </w:tc>
        <w:tc>
          <w:tcPr>
            <w:tcW w:w="1162" w:type="dxa"/>
            <w:gridSpan w:val="2"/>
            <w:vMerge/>
          </w:tcPr>
          <w:p w14:paraId="7D33B934" w14:textId="77777777" w:rsidR="00E0070E" w:rsidRPr="00FA30C8" w:rsidRDefault="00E0070E" w:rsidP="00E0070E">
            <w:pPr>
              <w:rPr>
                <w:rFonts w:cs="Arial"/>
                <w:sz w:val="18"/>
                <w:szCs w:val="18"/>
              </w:rPr>
            </w:pPr>
          </w:p>
        </w:tc>
        <w:tc>
          <w:tcPr>
            <w:tcW w:w="1039" w:type="dxa"/>
            <w:gridSpan w:val="2"/>
            <w:vMerge/>
          </w:tcPr>
          <w:p w14:paraId="4454FD65" w14:textId="77777777" w:rsidR="00E0070E" w:rsidRPr="00FA30C8" w:rsidRDefault="00E0070E" w:rsidP="00E0070E">
            <w:pPr>
              <w:rPr>
                <w:rFonts w:cs="Arial"/>
                <w:sz w:val="18"/>
                <w:szCs w:val="18"/>
              </w:rPr>
            </w:pPr>
          </w:p>
        </w:tc>
        <w:tc>
          <w:tcPr>
            <w:tcW w:w="2398" w:type="dxa"/>
            <w:gridSpan w:val="3"/>
            <w:vMerge/>
          </w:tcPr>
          <w:p w14:paraId="0B89EF20" w14:textId="77777777" w:rsidR="00E0070E" w:rsidRPr="00FA30C8" w:rsidRDefault="00E0070E" w:rsidP="00E0070E">
            <w:pPr>
              <w:rPr>
                <w:rFonts w:cs="Arial"/>
                <w:sz w:val="18"/>
                <w:szCs w:val="18"/>
              </w:rPr>
            </w:pPr>
          </w:p>
        </w:tc>
        <w:tc>
          <w:tcPr>
            <w:tcW w:w="1337" w:type="dxa"/>
          </w:tcPr>
          <w:p w14:paraId="45A75386" w14:textId="2F234B4F" w:rsidR="00E0070E" w:rsidRPr="00FA30C8" w:rsidRDefault="00E0070E" w:rsidP="00E0070E">
            <w:pPr>
              <w:rPr>
                <w:rFonts w:cs="Arial"/>
                <w:sz w:val="18"/>
                <w:szCs w:val="18"/>
              </w:rPr>
            </w:pPr>
            <w:r w:rsidRPr="00FA30C8">
              <w:rPr>
                <w:rFonts w:cs="Arial"/>
                <w:sz w:val="18"/>
                <w:szCs w:val="18"/>
              </w:rPr>
              <w:t>Actual amount achieved</w:t>
            </w:r>
          </w:p>
        </w:tc>
        <w:tc>
          <w:tcPr>
            <w:tcW w:w="936" w:type="dxa"/>
            <w:gridSpan w:val="3"/>
            <w:vAlign w:val="center"/>
          </w:tcPr>
          <w:p w14:paraId="3F3C1EA9" w14:textId="77777777" w:rsidR="00E0070E" w:rsidRPr="00FA30C8" w:rsidRDefault="00E0070E" w:rsidP="00E0070E">
            <w:pPr>
              <w:jc w:val="center"/>
              <w:rPr>
                <w:rFonts w:cs="Arial"/>
                <w:sz w:val="18"/>
                <w:szCs w:val="18"/>
              </w:rPr>
            </w:pPr>
            <w:r w:rsidRPr="00FA30C8">
              <w:rPr>
                <w:rFonts w:cs="Arial"/>
                <w:sz w:val="18"/>
                <w:szCs w:val="18"/>
              </w:rPr>
              <w:t>0</w:t>
            </w:r>
          </w:p>
        </w:tc>
        <w:tc>
          <w:tcPr>
            <w:tcW w:w="1414" w:type="dxa"/>
          </w:tcPr>
          <w:p w14:paraId="00711137" w14:textId="17A85075" w:rsidR="00E0070E" w:rsidRPr="00FA30C8" w:rsidRDefault="00E0070E" w:rsidP="00E0070E">
            <w:pPr>
              <w:rPr>
                <w:rFonts w:cs="Arial"/>
                <w:sz w:val="18"/>
                <w:szCs w:val="18"/>
              </w:rPr>
            </w:pPr>
          </w:p>
        </w:tc>
      </w:tr>
    </w:tbl>
    <w:p w14:paraId="0E26C7F1" w14:textId="77777777" w:rsidR="00A22D3A" w:rsidRPr="00C06B07" w:rsidRDefault="00A22D3A" w:rsidP="00A22D3A">
      <w:pPr>
        <w:pStyle w:val="ListParagraph"/>
        <w:ind w:left="360"/>
        <w:jc w:val="both"/>
        <w:rPr>
          <w:rFonts w:cs="Arial"/>
          <w:lang w:val="es-MX"/>
        </w:rPr>
      </w:pPr>
    </w:p>
    <w:p w14:paraId="0F12383D" w14:textId="77777777" w:rsidR="00A22D3A" w:rsidRDefault="00A22D3A" w:rsidP="00A22D3A">
      <w:pPr>
        <w:pStyle w:val="ListParagraph"/>
        <w:ind w:left="360"/>
        <w:jc w:val="both"/>
        <w:rPr>
          <w:rFonts w:cs="Arial"/>
          <w:lang w:val="es-MX"/>
        </w:rPr>
        <w:sectPr w:rsidR="00A22D3A" w:rsidSect="00B95D11">
          <w:footerReference w:type="default" r:id="rId28"/>
          <w:pgSz w:w="15840" w:h="12240" w:orient="landscape"/>
          <w:pgMar w:top="1440" w:right="1440" w:bottom="1440" w:left="1440" w:header="720" w:footer="720" w:gutter="0"/>
          <w:cols w:space="720"/>
          <w:docGrid w:linePitch="299"/>
        </w:sectPr>
      </w:pPr>
    </w:p>
    <w:p w14:paraId="0535E6B0" w14:textId="6F42BEF5" w:rsidR="00A22D3A" w:rsidRPr="00FA30C8" w:rsidRDefault="00FA30C8" w:rsidP="00FA30C8">
      <w:pPr>
        <w:rPr>
          <w:rFonts w:cs="Arial"/>
          <w:b/>
        </w:rPr>
      </w:pPr>
      <w:r>
        <w:rPr>
          <w:rFonts w:cs="Arial"/>
          <w:b/>
        </w:rPr>
        <w:lastRenderedPageBreak/>
        <w:t>Impact indicator</w:t>
      </w:r>
    </w:p>
    <w:p w14:paraId="25D6947A" w14:textId="5BDB8FC8" w:rsidR="00A22D3A" w:rsidRDefault="00A22D3A" w:rsidP="00FA30C8">
      <w:pPr>
        <w:spacing w:before="120" w:after="120"/>
        <w:jc w:val="both"/>
        <w:rPr>
          <w:rFonts w:cs="Arial"/>
        </w:rPr>
      </w:pPr>
      <w:r w:rsidRPr="00FD1760">
        <w:rPr>
          <w:rFonts w:cs="Arial"/>
        </w:rPr>
        <w:t>The impact indicator set by the BCP was the Goods Market Efficiency Index (GMEI), one of the pilla</w:t>
      </w:r>
      <w:r>
        <w:rPr>
          <w:rFonts w:cs="Arial"/>
        </w:rPr>
        <w:t>rs of the WEF</w:t>
      </w:r>
      <w:r w:rsidRPr="00FD1760">
        <w:rPr>
          <w:rFonts w:cs="Arial"/>
        </w:rPr>
        <w:t xml:space="preserve"> composite Global Competitiveness Index (GCI). The base line was the GMEI of 2010, ranking Barbados at 54 (out of 139 count</w:t>
      </w:r>
      <w:r>
        <w:rPr>
          <w:rFonts w:cs="Arial"/>
        </w:rPr>
        <w:t xml:space="preserve">ries) </w:t>
      </w:r>
      <w:r w:rsidRPr="00FD1760">
        <w:rPr>
          <w:rFonts w:cs="Arial"/>
        </w:rPr>
        <w:t>with a score of 4.3 (out of 7)</w:t>
      </w:r>
      <w:r>
        <w:rPr>
          <w:rFonts w:cs="Arial"/>
        </w:rPr>
        <w:t>.</w:t>
      </w:r>
      <w:r w:rsidRPr="00FD1760">
        <w:rPr>
          <w:rFonts w:cs="Arial"/>
        </w:rPr>
        <w:t xml:space="preserve"> </w:t>
      </w:r>
      <w:r>
        <w:rPr>
          <w:rFonts w:cs="Arial"/>
        </w:rPr>
        <w:t xml:space="preserve">The </w:t>
      </w:r>
      <w:r w:rsidRPr="00FD1760">
        <w:rPr>
          <w:rFonts w:cs="Arial"/>
        </w:rPr>
        <w:t xml:space="preserve">target </w:t>
      </w:r>
      <w:r>
        <w:rPr>
          <w:rFonts w:cs="Arial"/>
        </w:rPr>
        <w:t xml:space="preserve">for the end of the project </w:t>
      </w:r>
      <w:r w:rsidRPr="00FD1760">
        <w:rPr>
          <w:rFonts w:cs="Arial"/>
        </w:rPr>
        <w:t xml:space="preserve">was </w:t>
      </w:r>
      <w:r>
        <w:rPr>
          <w:rFonts w:cs="Arial"/>
        </w:rPr>
        <w:t>an improvement of Barbados’ rank in this index to position 45. However, t</w:t>
      </w:r>
      <w:r w:rsidRPr="00FD1760">
        <w:rPr>
          <w:rFonts w:cs="Arial"/>
        </w:rPr>
        <w:t>he last WEF report (</w:t>
      </w:r>
      <w:r>
        <w:rPr>
          <w:rFonts w:cs="Arial"/>
        </w:rPr>
        <w:t>2016/2017</w:t>
      </w:r>
      <w:r w:rsidRPr="00FD1760">
        <w:rPr>
          <w:rFonts w:cs="Arial"/>
        </w:rPr>
        <w:t>)</w:t>
      </w:r>
      <w:r>
        <w:rPr>
          <w:rStyle w:val="FootnoteReference"/>
          <w:rFonts w:cs="Arial"/>
        </w:rPr>
        <w:footnoteReference w:id="9"/>
      </w:r>
      <w:r>
        <w:rPr>
          <w:rFonts w:cs="Arial"/>
        </w:rPr>
        <w:t xml:space="preserve"> ranked Barbados 86</w:t>
      </w:r>
      <w:r w:rsidRPr="00FD1760">
        <w:rPr>
          <w:rFonts w:cs="Arial"/>
        </w:rPr>
        <w:t xml:space="preserve"> (out of </w:t>
      </w:r>
      <w:r>
        <w:rPr>
          <w:rFonts w:cs="Arial"/>
        </w:rPr>
        <w:t>now 138</w:t>
      </w:r>
      <w:r w:rsidRPr="00FD1760">
        <w:rPr>
          <w:rFonts w:cs="Arial"/>
        </w:rPr>
        <w:t xml:space="preserve"> countries) in the GMEI, with </w:t>
      </w:r>
      <w:r>
        <w:rPr>
          <w:rFonts w:cs="Arial"/>
        </w:rPr>
        <w:t xml:space="preserve">a </w:t>
      </w:r>
      <w:r w:rsidRPr="00FD1760">
        <w:rPr>
          <w:rFonts w:cs="Arial"/>
        </w:rPr>
        <w:t xml:space="preserve">score of </w:t>
      </w:r>
      <w:r>
        <w:rPr>
          <w:rFonts w:cs="Arial"/>
        </w:rPr>
        <w:t>4.2, and an overall GCI rank of 72.</w:t>
      </w:r>
      <w:r w:rsidRPr="00FD1760">
        <w:rPr>
          <w:rFonts w:cs="Arial"/>
        </w:rPr>
        <w:t xml:space="preserve"> </w:t>
      </w:r>
    </w:p>
    <w:p w14:paraId="37396EEB" w14:textId="3E5A649A" w:rsidR="00A22D3A" w:rsidRDefault="00A22D3A" w:rsidP="00FA30C8">
      <w:pPr>
        <w:spacing w:before="120" w:after="120"/>
        <w:jc w:val="both"/>
        <w:rPr>
          <w:rFonts w:cs="Arial"/>
        </w:rPr>
      </w:pPr>
      <w:r>
        <w:rPr>
          <w:rFonts w:cs="Arial"/>
        </w:rPr>
        <w:t>These numbers clearly show that</w:t>
      </w:r>
      <w:r w:rsidRPr="00FD1760">
        <w:rPr>
          <w:rFonts w:cs="Arial"/>
        </w:rPr>
        <w:t xml:space="preserve"> the BCP target </w:t>
      </w:r>
      <w:r>
        <w:rPr>
          <w:rFonts w:cs="Arial"/>
        </w:rPr>
        <w:t>in terms of overall impact was not met. In fact,</w:t>
      </w:r>
      <w:r w:rsidRPr="00FD1760">
        <w:rPr>
          <w:rFonts w:cs="Arial"/>
        </w:rPr>
        <w:t xml:space="preserve"> Barbados ranks worse in terms of competi</w:t>
      </w:r>
      <w:r>
        <w:rPr>
          <w:rFonts w:cs="Arial"/>
        </w:rPr>
        <w:t>ti</w:t>
      </w:r>
      <w:r w:rsidRPr="00FD1760">
        <w:rPr>
          <w:rFonts w:cs="Arial"/>
        </w:rPr>
        <w:t>veness now than it did in 2010.</w:t>
      </w:r>
      <w:r>
        <w:rPr>
          <w:rFonts w:cs="Arial"/>
        </w:rPr>
        <w:t xml:space="preserve"> However, what is important to note here is that these rankings show a country’s position relative to others. Therefore, only looking at the ranking can be misleading, since it does not automatically mean that a country has performed a lot worse, but it can simply mean that others have done much better over the same period of time. The fact that Barbados achieved almost the same score as in 2010 gives an indication that the latter may actually be the case. In addition, the report also shows that the country is still the leader in the region, outranking</w:t>
      </w:r>
      <w:r w:rsidRPr="00FD1760">
        <w:rPr>
          <w:rFonts w:cs="Arial"/>
        </w:rPr>
        <w:t xml:space="preserve"> all other Caribbean States</w:t>
      </w:r>
      <w:r>
        <w:rPr>
          <w:rFonts w:cs="Arial"/>
        </w:rPr>
        <w:t xml:space="preserve"> whose performance is assessed as part o</w:t>
      </w:r>
      <w:r w:rsidR="00FF454A">
        <w:rPr>
          <w:rFonts w:cs="Arial"/>
        </w:rPr>
        <w:t>f this data compilation effort.</w:t>
      </w:r>
    </w:p>
    <w:p w14:paraId="0CEED9D8" w14:textId="4A0EE673" w:rsidR="00A22D3A" w:rsidRPr="00FA30C8" w:rsidRDefault="00A22D3A" w:rsidP="00FA30C8">
      <w:pPr>
        <w:spacing w:before="120" w:after="120"/>
        <w:jc w:val="both"/>
        <w:rPr>
          <w:rFonts w:cs="Arial"/>
        </w:rPr>
      </w:pPr>
      <w:r>
        <w:rPr>
          <w:rFonts w:cs="Arial"/>
        </w:rPr>
        <w:t>Nonetheless, the report also highlights that</w:t>
      </w:r>
      <w:r w:rsidRPr="00FD1760">
        <w:rPr>
          <w:rFonts w:cs="Arial"/>
        </w:rPr>
        <w:t xml:space="preserve"> Barbados needs to </w:t>
      </w:r>
      <w:r>
        <w:rPr>
          <w:rFonts w:cs="Arial"/>
        </w:rPr>
        <w:t xml:space="preserve">prioritize issues related to </w:t>
      </w:r>
      <w:r w:rsidRPr="00FD1760">
        <w:rPr>
          <w:rFonts w:cs="Arial"/>
        </w:rPr>
        <w:t xml:space="preserve">competitiveness </w:t>
      </w:r>
      <w:r>
        <w:rPr>
          <w:rFonts w:cs="Arial"/>
        </w:rPr>
        <w:t xml:space="preserve">in its public agenda </w:t>
      </w:r>
      <w:r w:rsidRPr="00FD1760">
        <w:rPr>
          <w:rFonts w:cs="Arial"/>
        </w:rPr>
        <w:t>and improve its institutional capacity</w:t>
      </w:r>
      <w:r>
        <w:rPr>
          <w:rFonts w:cs="Arial"/>
        </w:rPr>
        <w:t>. Graphic 3 shows that this holds particularly true in regard to labor force work ethic, government bureaucracy, and tax rates.</w:t>
      </w:r>
      <w:r w:rsidRPr="00FD1760">
        <w:rPr>
          <w:rFonts w:cs="Arial"/>
        </w:rPr>
        <w:t xml:space="preserve"> </w:t>
      </w:r>
    </w:p>
    <w:p w14:paraId="7E11BA11" w14:textId="0EB33B19" w:rsidR="00A22D3A" w:rsidRPr="00FA30C8" w:rsidRDefault="00A22D3A" w:rsidP="00FA30C8">
      <w:pPr>
        <w:spacing w:before="120" w:after="120"/>
        <w:jc w:val="center"/>
        <w:rPr>
          <w:rFonts w:cs="Arial"/>
          <w:b/>
          <w:sz w:val="18"/>
          <w:szCs w:val="18"/>
        </w:rPr>
      </w:pPr>
      <w:r w:rsidRPr="00FA30C8">
        <w:rPr>
          <w:rFonts w:cs="Arial"/>
          <w:b/>
          <w:sz w:val="18"/>
          <w:szCs w:val="18"/>
        </w:rPr>
        <w:t>Graphic 3: Most problematic factors for doing business in Barbados, WEF report 2016/2017</w:t>
      </w:r>
    </w:p>
    <w:p w14:paraId="13A16DAD" w14:textId="51B915AE" w:rsidR="00A22D3A" w:rsidRDefault="00A22D3A" w:rsidP="00FA30C8">
      <w:pPr>
        <w:jc w:val="center"/>
        <w:rPr>
          <w:rFonts w:cs="Arial"/>
          <w:sz w:val="18"/>
          <w:szCs w:val="18"/>
        </w:rPr>
      </w:pPr>
      <w:r>
        <w:rPr>
          <w:noProof/>
        </w:rPr>
        <w:drawing>
          <wp:inline distT="0" distB="0" distL="0" distR="0" wp14:anchorId="3A7C3243" wp14:editId="49A118BE">
            <wp:extent cx="5943600" cy="221551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3600" cy="2215515"/>
                    </a:xfrm>
                    <a:prstGeom prst="rect">
                      <a:avLst/>
                    </a:prstGeom>
                  </pic:spPr>
                </pic:pic>
              </a:graphicData>
            </a:graphic>
          </wp:inline>
        </w:drawing>
      </w:r>
      <w:r w:rsidRPr="00FA30C8">
        <w:rPr>
          <w:rFonts w:cs="Arial"/>
          <w:sz w:val="18"/>
          <w:szCs w:val="18"/>
        </w:rPr>
        <w:t>Source: WEF Global Competitiveness Report (2016/2017)</w:t>
      </w:r>
    </w:p>
    <w:p w14:paraId="4481923F" w14:textId="77777777" w:rsidR="00DF703E" w:rsidRDefault="00DF703E" w:rsidP="00FA30C8">
      <w:pPr>
        <w:jc w:val="center"/>
        <w:rPr>
          <w:rFonts w:cs="Arial"/>
        </w:rPr>
      </w:pPr>
    </w:p>
    <w:p w14:paraId="47191BDC" w14:textId="12E06D7E" w:rsidR="00A22D3A" w:rsidRPr="00FA30C8" w:rsidRDefault="00A22D3A" w:rsidP="00FA30C8">
      <w:pPr>
        <w:spacing w:before="120" w:after="120"/>
        <w:jc w:val="both"/>
        <w:rPr>
          <w:rFonts w:cs="Arial"/>
        </w:rPr>
      </w:pPr>
      <w:r>
        <w:rPr>
          <w:rFonts w:cs="Arial"/>
        </w:rPr>
        <w:t>To achieve the envisioned impact, t</w:t>
      </w:r>
      <w:r w:rsidRPr="00806628">
        <w:rPr>
          <w:rFonts w:cs="Arial"/>
        </w:rPr>
        <w:t xml:space="preserve">he program included specific actions </w:t>
      </w:r>
      <w:r>
        <w:rPr>
          <w:rFonts w:cs="Arial"/>
        </w:rPr>
        <w:t>organized</w:t>
      </w:r>
      <w:r w:rsidRPr="00806628">
        <w:rPr>
          <w:rFonts w:cs="Arial"/>
        </w:rPr>
        <w:t>, as mentioned above, in</w:t>
      </w:r>
      <w:r>
        <w:rPr>
          <w:rFonts w:cs="Arial"/>
        </w:rPr>
        <w:t>to</w:t>
      </w:r>
      <w:r w:rsidRPr="00806628">
        <w:rPr>
          <w:rFonts w:cs="Arial"/>
        </w:rPr>
        <w:t xml:space="preserve"> </w:t>
      </w:r>
      <w:r>
        <w:rPr>
          <w:rFonts w:cs="Arial"/>
        </w:rPr>
        <w:t>four</w:t>
      </w:r>
      <w:r w:rsidRPr="00806628">
        <w:rPr>
          <w:rFonts w:cs="Arial"/>
        </w:rPr>
        <w:t xml:space="preserve"> components, each of which was </w:t>
      </w:r>
      <w:r>
        <w:rPr>
          <w:rFonts w:cs="Arial"/>
        </w:rPr>
        <w:t xml:space="preserve">divided into sub-components. What follows is a discussion of the components’ rationale, scope, objectives, and results. </w:t>
      </w:r>
    </w:p>
    <w:p w14:paraId="6A93CD4E" w14:textId="17B804A0" w:rsidR="00A22D3A" w:rsidRPr="00FA30C8" w:rsidRDefault="00A22D3A" w:rsidP="00FA30C8">
      <w:pPr>
        <w:spacing w:before="120" w:after="120"/>
        <w:jc w:val="both"/>
        <w:rPr>
          <w:rFonts w:cs="Arial"/>
          <w:b/>
        </w:rPr>
      </w:pPr>
      <w:r w:rsidRPr="008D3917">
        <w:rPr>
          <w:rFonts w:cs="Arial"/>
          <w:b/>
        </w:rPr>
        <w:t>Component 1: Ensuring a coherent framework for business development: incentives and regulations (US$1</w:t>
      </w:r>
      <w:r>
        <w:rPr>
          <w:rFonts w:cs="Arial"/>
          <w:b/>
        </w:rPr>
        <w:t>.</w:t>
      </w:r>
      <w:r w:rsidRPr="008D3917">
        <w:rPr>
          <w:rFonts w:cs="Arial"/>
          <w:b/>
        </w:rPr>
        <w:t>15 million)</w:t>
      </w:r>
      <w:r w:rsidR="00FA30C8">
        <w:rPr>
          <w:rFonts w:cs="Arial"/>
          <w:b/>
        </w:rPr>
        <w:t xml:space="preserve">. </w:t>
      </w:r>
      <w:r w:rsidRPr="00B70EAD">
        <w:rPr>
          <w:rFonts w:cs="Arial"/>
          <w:lang w:val="en-029"/>
        </w:rPr>
        <w:t>Research shows that long-term sustainable growth depe</w:t>
      </w:r>
      <w:r>
        <w:rPr>
          <w:rFonts w:cs="Arial"/>
          <w:lang w:val="en-029"/>
        </w:rPr>
        <w:t>nds on the quality of a country’</w:t>
      </w:r>
      <w:r w:rsidRPr="00B70EAD">
        <w:rPr>
          <w:rFonts w:cs="Arial"/>
          <w:lang w:val="en-029"/>
        </w:rPr>
        <w:t>s institutions</w:t>
      </w:r>
      <w:r>
        <w:rPr>
          <w:rFonts w:cs="Arial"/>
          <w:lang w:val="en-029"/>
        </w:rPr>
        <w:t xml:space="preserve"> and that m</w:t>
      </w:r>
      <w:r w:rsidRPr="00B70EAD">
        <w:rPr>
          <w:rFonts w:cs="Arial"/>
          <w:lang w:val="en-029"/>
        </w:rPr>
        <w:t>arkets function most effectively when transaction costs are low.</w:t>
      </w:r>
      <w:r>
        <w:rPr>
          <w:rFonts w:cs="Arial"/>
          <w:lang w:val="en-029"/>
        </w:rPr>
        <w:t xml:space="preserve"> </w:t>
      </w:r>
      <w:r w:rsidRPr="00F42C8A">
        <w:rPr>
          <w:rFonts w:cs="Arial"/>
          <w:lang w:val="en-029"/>
        </w:rPr>
        <w:t>In the context of the current GCI</w:t>
      </w:r>
      <w:r>
        <w:rPr>
          <w:rFonts w:cs="Arial"/>
          <w:lang w:val="en-029"/>
        </w:rPr>
        <w:t xml:space="preserve"> and following the definition of the WEF</w:t>
      </w:r>
      <w:r w:rsidRPr="00F42C8A">
        <w:rPr>
          <w:rFonts w:cs="Arial"/>
          <w:lang w:val="en-029"/>
        </w:rPr>
        <w:t>, institutions are defined by two characteristics that reflect core features put forward by econo</w:t>
      </w:r>
      <w:r>
        <w:rPr>
          <w:rFonts w:cs="Arial"/>
          <w:lang w:val="en-029"/>
        </w:rPr>
        <w:t>mic literature.</w:t>
      </w:r>
      <w:r w:rsidRPr="00F42C8A">
        <w:rPr>
          <w:rFonts w:cs="Arial"/>
          <w:lang w:val="en-029"/>
        </w:rPr>
        <w:t xml:space="preserve"> </w:t>
      </w:r>
      <w:r>
        <w:rPr>
          <w:rFonts w:cs="Arial"/>
          <w:lang w:val="en-029"/>
        </w:rPr>
        <w:lastRenderedPageBreak/>
        <w:t>“</w:t>
      </w:r>
      <w:r w:rsidRPr="000D0ADF">
        <w:rPr>
          <w:rFonts w:cs="Arial"/>
          <w:i/>
          <w:lang w:val="en-029"/>
        </w:rPr>
        <w:t>First, institutions set formal, legally binding constraints—such as rules, laws, and constitutions—along with their associated enforcement mechanisms. Second, institutions include informal constraints such as norms of behaviour, conventions, and self-imposed codes of conduct such as business ethics, and can be thought to include norms of corporate governance as well</w:t>
      </w:r>
      <w:r w:rsidRPr="00F42C8A">
        <w:rPr>
          <w:rFonts w:cs="Arial"/>
          <w:lang w:val="en-029"/>
        </w:rPr>
        <w:t>.</w:t>
      </w:r>
      <w:r>
        <w:rPr>
          <w:rFonts w:cs="Arial"/>
          <w:lang w:val="en-029"/>
        </w:rPr>
        <w:t>”</w:t>
      </w:r>
      <w:r>
        <w:rPr>
          <w:rStyle w:val="FootnoteReference"/>
          <w:rFonts w:cs="Arial"/>
          <w:lang w:val="en-029"/>
        </w:rPr>
        <w:footnoteReference w:id="10"/>
      </w:r>
      <w:r>
        <w:rPr>
          <w:rFonts w:cs="Arial"/>
          <w:lang w:val="en-029"/>
        </w:rPr>
        <w:t xml:space="preserve"> I</w:t>
      </w:r>
      <w:r w:rsidRPr="00B70EAD">
        <w:rPr>
          <w:rFonts w:cs="Arial"/>
          <w:lang w:val="en-029"/>
        </w:rPr>
        <w:t>nstitutions</w:t>
      </w:r>
      <w:r>
        <w:rPr>
          <w:rFonts w:cs="Arial"/>
          <w:lang w:val="en-029"/>
        </w:rPr>
        <w:t xml:space="preserve"> </w:t>
      </w:r>
      <w:r w:rsidRPr="00B70EAD">
        <w:rPr>
          <w:rFonts w:cs="Arial"/>
          <w:lang w:val="en-029"/>
        </w:rPr>
        <w:t>pervade every aspect of the way</w:t>
      </w:r>
      <w:r>
        <w:rPr>
          <w:rFonts w:cs="Arial"/>
          <w:lang w:val="en-029"/>
        </w:rPr>
        <w:t xml:space="preserve"> </w:t>
      </w:r>
      <w:r w:rsidRPr="00B70EAD">
        <w:rPr>
          <w:rFonts w:cs="Arial"/>
          <w:lang w:val="en-029"/>
        </w:rPr>
        <w:t>businesses are organized, the way they deal with each other, and their interactions with government</w:t>
      </w:r>
      <w:r>
        <w:rPr>
          <w:rFonts w:cs="Arial"/>
          <w:lang w:val="en-029"/>
        </w:rPr>
        <w:t>. This component focussed on an assessment of and recommendations on incentives and regulations that build the framework for business establishment and deve</w:t>
      </w:r>
      <w:r w:rsidR="00FF454A">
        <w:rPr>
          <w:rFonts w:cs="Arial"/>
          <w:lang w:val="en-029"/>
        </w:rPr>
        <w:t>lopment in Barbados.</w:t>
      </w:r>
    </w:p>
    <w:p w14:paraId="4FC069BF" w14:textId="77777777" w:rsidR="00DF703E" w:rsidRDefault="00A22D3A" w:rsidP="00FA30C8">
      <w:pPr>
        <w:spacing w:before="120" w:after="120"/>
        <w:jc w:val="both"/>
        <w:rPr>
          <w:rFonts w:cs="Arial"/>
          <w:b/>
          <w:lang w:val="en-029"/>
        </w:rPr>
      </w:pPr>
      <w:r w:rsidRPr="008D3917">
        <w:rPr>
          <w:rFonts w:cs="Arial"/>
          <w:b/>
          <w:lang w:val="en-029"/>
        </w:rPr>
        <w:t>Sub-component 1.1: Ta</w:t>
      </w:r>
      <w:r w:rsidR="00FF454A">
        <w:rPr>
          <w:rFonts w:cs="Arial"/>
          <w:b/>
          <w:lang w:val="en-029"/>
        </w:rPr>
        <w:t>xes and incentives (US$525,000).</w:t>
      </w:r>
    </w:p>
    <w:p w14:paraId="78372D06" w14:textId="432DD13A" w:rsidR="00A22D3A" w:rsidRPr="00FF454A" w:rsidRDefault="00FF454A" w:rsidP="00FA30C8">
      <w:pPr>
        <w:spacing w:before="120" w:after="120"/>
        <w:jc w:val="both"/>
        <w:rPr>
          <w:rFonts w:cs="Arial"/>
          <w:b/>
          <w:lang w:val="en-029"/>
        </w:rPr>
      </w:pPr>
      <w:r>
        <w:rPr>
          <w:rFonts w:cs="Arial"/>
          <w:b/>
          <w:lang w:val="en-029"/>
        </w:rPr>
        <w:t xml:space="preserve"> </w:t>
      </w:r>
      <w:r w:rsidR="00A22D3A" w:rsidRPr="001D0B67">
        <w:rPr>
          <w:rFonts w:cs="Arial"/>
          <w:lang w:val="en-029"/>
        </w:rPr>
        <w:t>Among other factors</w:t>
      </w:r>
      <w:r w:rsidR="00A22D3A">
        <w:rPr>
          <w:rFonts w:cs="Arial"/>
          <w:lang w:val="en-029"/>
        </w:rPr>
        <w:t>,</w:t>
      </w:r>
      <w:r w:rsidR="00A22D3A" w:rsidRPr="001D0B67">
        <w:rPr>
          <w:rFonts w:cs="Arial"/>
          <w:lang w:val="en-029"/>
        </w:rPr>
        <w:t xml:space="preserve"> the </w:t>
      </w:r>
      <w:r w:rsidR="00A22D3A">
        <w:rPr>
          <w:rFonts w:cs="Arial"/>
          <w:lang w:val="en-029"/>
        </w:rPr>
        <w:t>deterioration of the</w:t>
      </w:r>
      <w:r w:rsidR="00A22D3A" w:rsidRPr="001D0B67">
        <w:rPr>
          <w:rFonts w:cs="Arial"/>
          <w:lang w:val="en-029"/>
        </w:rPr>
        <w:t xml:space="preserve"> fiscal situation in Barbados </w:t>
      </w:r>
      <w:r w:rsidR="00A22D3A">
        <w:rPr>
          <w:rFonts w:cs="Arial"/>
          <w:lang w:val="en-029"/>
        </w:rPr>
        <w:t>during the global financial crisis (2008-2010) was</w:t>
      </w:r>
      <w:r w:rsidR="00A22D3A" w:rsidRPr="001D0B67">
        <w:rPr>
          <w:rFonts w:cs="Arial"/>
          <w:lang w:val="en-029"/>
        </w:rPr>
        <w:t xml:space="preserve"> attributed to an erosion of tax revenues due to an excessive amount of tax expenditures. </w:t>
      </w:r>
      <w:r w:rsidR="00A22D3A">
        <w:rPr>
          <w:rFonts w:cs="Arial"/>
          <w:lang w:val="en-029"/>
        </w:rPr>
        <w:t xml:space="preserve">For GoB to </w:t>
      </w:r>
      <w:r w:rsidR="00A22D3A" w:rsidRPr="001D0B67">
        <w:rPr>
          <w:rFonts w:cs="Arial"/>
          <w:lang w:val="en-029"/>
        </w:rPr>
        <w:t xml:space="preserve">assess the revenue and economic impact of </w:t>
      </w:r>
      <w:r w:rsidR="00A22D3A">
        <w:rPr>
          <w:rFonts w:cs="Arial"/>
          <w:lang w:val="en-029"/>
        </w:rPr>
        <w:t>potential</w:t>
      </w:r>
      <w:r w:rsidR="00A22D3A" w:rsidRPr="001D0B67">
        <w:rPr>
          <w:rFonts w:cs="Arial"/>
          <w:lang w:val="en-029"/>
        </w:rPr>
        <w:t xml:space="preserve"> reforms, a quantitative assessment tool </w:t>
      </w:r>
      <w:r w:rsidR="00A22D3A">
        <w:rPr>
          <w:rFonts w:cs="Arial"/>
          <w:lang w:val="en-029"/>
        </w:rPr>
        <w:t>was</w:t>
      </w:r>
      <w:r w:rsidR="00A22D3A" w:rsidRPr="001D0B67">
        <w:rPr>
          <w:rFonts w:cs="Arial"/>
          <w:lang w:val="en-029"/>
        </w:rPr>
        <w:t xml:space="preserve"> needed</w:t>
      </w:r>
      <w:r w:rsidR="00A22D3A">
        <w:rPr>
          <w:rFonts w:cs="Arial"/>
          <w:lang w:val="en-029"/>
        </w:rPr>
        <w:t xml:space="preserve"> to identify</w:t>
      </w:r>
      <w:r w:rsidR="00A22D3A" w:rsidRPr="001D0B67">
        <w:rPr>
          <w:rFonts w:cs="Arial"/>
          <w:lang w:val="en-029"/>
        </w:rPr>
        <w:t xml:space="preserve"> concrete </w:t>
      </w:r>
      <w:r w:rsidR="00A22D3A">
        <w:rPr>
          <w:rFonts w:cs="Arial"/>
          <w:lang w:val="en-029"/>
        </w:rPr>
        <w:t xml:space="preserve">advantages and </w:t>
      </w:r>
      <w:r w:rsidR="00A22D3A" w:rsidRPr="001D0B67">
        <w:rPr>
          <w:rFonts w:cs="Arial"/>
          <w:lang w:val="en-029"/>
        </w:rPr>
        <w:t>trade-offs between different policy options</w:t>
      </w:r>
      <w:r w:rsidR="00A22D3A">
        <w:rPr>
          <w:rFonts w:cs="Arial"/>
          <w:lang w:val="en-029"/>
        </w:rPr>
        <w:t>.</w:t>
      </w:r>
    </w:p>
    <w:p w14:paraId="6709D5A3" w14:textId="11BEAB32" w:rsidR="00A22D3A" w:rsidRDefault="00A22D3A" w:rsidP="00FA30C8">
      <w:pPr>
        <w:spacing w:before="120" w:after="120"/>
        <w:jc w:val="both"/>
        <w:rPr>
          <w:rFonts w:cs="Arial"/>
          <w:lang w:val="en-029"/>
        </w:rPr>
      </w:pPr>
      <w:r>
        <w:rPr>
          <w:rFonts w:cs="Arial"/>
          <w:lang w:val="en-029"/>
        </w:rPr>
        <w:t>Therefore, the objective of this sub-component was the development of a</w:t>
      </w:r>
      <w:r w:rsidRPr="008D3917">
        <w:rPr>
          <w:rFonts w:cs="Arial"/>
          <w:lang w:val="en-029"/>
        </w:rPr>
        <w:t xml:space="preserve"> Computable General Equilibrium (CGE) model to enable the </w:t>
      </w:r>
      <w:r>
        <w:rPr>
          <w:rFonts w:cs="Arial"/>
          <w:lang w:val="en-029"/>
        </w:rPr>
        <w:t>MFEA</w:t>
      </w:r>
      <w:r w:rsidRPr="008D3917">
        <w:rPr>
          <w:rFonts w:cs="Arial"/>
          <w:lang w:val="en-029"/>
        </w:rPr>
        <w:t xml:space="preserve">, the Central Bank and other tax policy analysts to assess the direct and indirect impact of alternative tax regimes on economic activity and government revenues. </w:t>
      </w:r>
      <w:r>
        <w:rPr>
          <w:rFonts w:cs="Arial"/>
          <w:lang w:val="en-029"/>
        </w:rPr>
        <w:t xml:space="preserve">Such models had previously </w:t>
      </w:r>
      <w:r w:rsidRPr="001D0B67">
        <w:rPr>
          <w:rFonts w:cs="Arial"/>
          <w:lang w:val="en-029"/>
        </w:rPr>
        <w:t>been useful in similar cases (Jamaica 2004, 2007, Colombia</w:t>
      </w:r>
      <w:r>
        <w:rPr>
          <w:rFonts w:cs="Arial"/>
          <w:lang w:val="en-029"/>
        </w:rPr>
        <w:t xml:space="preserve"> 2002, 2004) to generate political</w:t>
      </w:r>
      <w:r w:rsidRPr="001D0B67">
        <w:rPr>
          <w:rFonts w:cs="Arial"/>
          <w:lang w:val="en-029"/>
        </w:rPr>
        <w:t xml:space="preserve"> consensus and to dispel </w:t>
      </w:r>
      <w:r>
        <w:rPr>
          <w:rFonts w:cs="Arial"/>
          <w:lang w:val="en-029"/>
        </w:rPr>
        <w:t xml:space="preserve">a biased </w:t>
      </w:r>
      <w:r w:rsidRPr="001D0B67">
        <w:rPr>
          <w:rFonts w:cs="Arial"/>
          <w:lang w:val="en-029"/>
        </w:rPr>
        <w:t>political rhetoric from the decision-making process.</w:t>
      </w:r>
      <w:r w:rsidR="00FF454A">
        <w:rPr>
          <w:rFonts w:cs="Arial"/>
          <w:lang w:val="en-029"/>
        </w:rPr>
        <w:t xml:space="preserve"> </w:t>
      </w:r>
    </w:p>
    <w:p w14:paraId="18E34B18" w14:textId="371687E0" w:rsidR="00A22D3A" w:rsidRDefault="00A22D3A" w:rsidP="00FA30C8">
      <w:pPr>
        <w:spacing w:before="120" w:after="120"/>
        <w:jc w:val="both"/>
        <w:rPr>
          <w:rFonts w:cs="Arial"/>
          <w:lang w:val="en-029"/>
        </w:rPr>
      </w:pPr>
      <w:r>
        <w:rPr>
          <w:rFonts w:cs="Arial"/>
          <w:lang w:val="en-029"/>
        </w:rPr>
        <w:t>As part of the activities to be delivered under this sub-component</w:t>
      </w:r>
      <w:r w:rsidRPr="008D3917">
        <w:rPr>
          <w:rFonts w:cs="Arial"/>
          <w:lang w:val="en-029"/>
        </w:rPr>
        <w:t xml:space="preserve">, </w:t>
      </w:r>
      <w:r>
        <w:rPr>
          <w:rFonts w:cs="Arial"/>
          <w:lang w:val="en-029"/>
        </w:rPr>
        <w:t xml:space="preserve">it was foreseen for </w:t>
      </w:r>
      <w:r w:rsidRPr="008D3917">
        <w:rPr>
          <w:rFonts w:cs="Arial"/>
          <w:lang w:val="en-029"/>
        </w:rPr>
        <w:t xml:space="preserve">the Barbados Statistical Service (BSS) and other </w:t>
      </w:r>
      <w:r>
        <w:rPr>
          <w:rFonts w:cs="Arial"/>
          <w:lang w:val="en-029"/>
        </w:rPr>
        <w:t>agencies to</w:t>
      </w:r>
      <w:r w:rsidRPr="008D3917">
        <w:rPr>
          <w:rFonts w:cs="Arial"/>
          <w:lang w:val="en-029"/>
        </w:rPr>
        <w:t xml:space="preserve"> receive support to update the countr</w:t>
      </w:r>
      <w:r>
        <w:rPr>
          <w:rFonts w:cs="Arial"/>
          <w:lang w:val="en-029"/>
        </w:rPr>
        <w:t xml:space="preserve">y’s Input-Output (I-O) matrix as well as its </w:t>
      </w:r>
      <w:r w:rsidRPr="008D3917">
        <w:rPr>
          <w:rFonts w:cs="Arial"/>
          <w:lang w:val="en-029"/>
        </w:rPr>
        <w:t>Supply and Use Table (SUT) to be sufficiently robust to support the CGE model.</w:t>
      </w:r>
      <w:r>
        <w:rPr>
          <w:rFonts w:cs="Arial"/>
          <w:lang w:val="en-029"/>
        </w:rPr>
        <w:t xml:space="preserve"> This was necessary since, i</w:t>
      </w:r>
      <w:r w:rsidRPr="001D0B67">
        <w:rPr>
          <w:rFonts w:cs="Arial"/>
          <w:lang w:val="en-029"/>
        </w:rPr>
        <w:t xml:space="preserve">n 2009, a review of the BSS National Accounts found significant room for improvement to estimate GDP, and to </w:t>
      </w:r>
      <w:r>
        <w:rPr>
          <w:rFonts w:cs="Arial"/>
          <w:lang w:val="en-029"/>
        </w:rPr>
        <w:t>assess</w:t>
      </w:r>
      <w:r w:rsidRPr="001D0B67">
        <w:rPr>
          <w:rFonts w:cs="Arial"/>
          <w:lang w:val="en-029"/>
        </w:rPr>
        <w:t xml:space="preserve"> production and value added for key sectors related to tourism, finance and business services, transportation, and distribution, and manufacturing.</w:t>
      </w:r>
      <w:r>
        <w:rPr>
          <w:rFonts w:cs="Arial"/>
          <w:lang w:val="en-029"/>
        </w:rPr>
        <w:t xml:space="preserve"> The review also mentioned</w:t>
      </w:r>
      <w:r w:rsidRPr="001D0B67">
        <w:rPr>
          <w:rFonts w:cs="Arial"/>
          <w:lang w:val="en-029"/>
        </w:rPr>
        <w:t xml:space="preserve"> that</w:t>
      </w:r>
      <w:r>
        <w:rPr>
          <w:rFonts w:cs="Arial"/>
          <w:lang w:val="en-029"/>
        </w:rPr>
        <w:t>, while</w:t>
      </w:r>
      <w:r w:rsidRPr="001D0B67">
        <w:rPr>
          <w:rFonts w:cs="Arial"/>
          <w:lang w:val="en-029"/>
        </w:rPr>
        <w:t xml:space="preserve"> the national accounts should be equal when measured by consu</w:t>
      </w:r>
      <w:r>
        <w:rPr>
          <w:rFonts w:cs="Arial"/>
          <w:lang w:val="en-029"/>
        </w:rPr>
        <w:t>mption or expenditure methods, in the case of Barbados they rarely were which called for a revision of the SUT.</w:t>
      </w:r>
      <w:r w:rsidRPr="001D0B67">
        <w:rPr>
          <w:rFonts w:cs="Arial"/>
          <w:lang w:val="en-029"/>
        </w:rPr>
        <w:t xml:space="preserve">  </w:t>
      </w:r>
    </w:p>
    <w:p w14:paraId="4AE6C9B6" w14:textId="770FD19A" w:rsidR="00A22D3A" w:rsidRDefault="00A22D3A" w:rsidP="00FA30C8">
      <w:pPr>
        <w:spacing w:before="120" w:after="120"/>
        <w:jc w:val="both"/>
        <w:rPr>
          <w:rFonts w:cs="Arial"/>
          <w:lang w:val="en-029"/>
        </w:rPr>
      </w:pPr>
      <w:r>
        <w:rPr>
          <w:rFonts w:cs="Arial"/>
          <w:lang w:val="en-029"/>
        </w:rPr>
        <w:t>The I-O matrix was delivered, which allows for p</w:t>
      </w:r>
      <w:r w:rsidRPr="00DD0884">
        <w:rPr>
          <w:rFonts w:cs="Arial"/>
          <w:lang w:val="en-029"/>
        </w:rPr>
        <w:t xml:space="preserve">ayments </w:t>
      </w:r>
      <w:r>
        <w:rPr>
          <w:rFonts w:cs="Arial"/>
          <w:lang w:val="en-029"/>
        </w:rPr>
        <w:t>related to the selling or purchase of</w:t>
      </w:r>
      <w:r w:rsidRPr="00DD0884">
        <w:rPr>
          <w:rFonts w:cs="Arial"/>
          <w:lang w:val="en-029"/>
        </w:rPr>
        <w:t xml:space="preserve"> goods and services </w:t>
      </w:r>
      <w:r>
        <w:rPr>
          <w:rFonts w:cs="Arial"/>
          <w:lang w:val="en-029"/>
        </w:rPr>
        <w:t>to</w:t>
      </w:r>
      <w:r w:rsidRPr="00DD0884">
        <w:rPr>
          <w:rFonts w:cs="Arial"/>
          <w:lang w:val="en-029"/>
        </w:rPr>
        <w:t xml:space="preserve"> be represented concisely by using a social accounting framework</w:t>
      </w:r>
      <w:r>
        <w:rPr>
          <w:rFonts w:cs="Arial"/>
          <w:lang w:val="en-029"/>
        </w:rPr>
        <w:t xml:space="preserve">. </w:t>
      </w:r>
      <w:r w:rsidRPr="00DD0884">
        <w:rPr>
          <w:rFonts w:cs="Arial"/>
          <w:lang w:val="en-029"/>
        </w:rPr>
        <w:t>The information</w:t>
      </w:r>
      <w:r>
        <w:rPr>
          <w:rFonts w:cs="Arial"/>
          <w:lang w:val="en-029"/>
        </w:rPr>
        <w:t xml:space="preserve"> on those transactions was then a key input </w:t>
      </w:r>
      <w:r w:rsidRPr="00825022">
        <w:rPr>
          <w:rFonts w:cs="Arial"/>
          <w:lang w:val="en-029"/>
        </w:rPr>
        <w:t xml:space="preserve">for the </w:t>
      </w:r>
      <w:r>
        <w:rPr>
          <w:rFonts w:cs="Arial"/>
          <w:lang w:val="en-029"/>
        </w:rPr>
        <w:t xml:space="preserve">tax policy analysis model itself. The latter, called the </w:t>
      </w:r>
      <w:r w:rsidRPr="00E21152">
        <w:rPr>
          <w:rFonts w:cs="Arial"/>
          <w:lang w:val="en-029"/>
        </w:rPr>
        <w:t>“Barbados Tax Policy Model”</w:t>
      </w:r>
      <w:r>
        <w:rPr>
          <w:rFonts w:cs="Arial"/>
          <w:lang w:val="en-029"/>
        </w:rPr>
        <w:t>, was also developed under this project covering 44</w:t>
      </w:r>
      <w:r w:rsidRPr="00E21152">
        <w:rPr>
          <w:rFonts w:cs="Arial"/>
          <w:lang w:val="en-029"/>
        </w:rPr>
        <w:t xml:space="preserve"> production sectors</w:t>
      </w:r>
      <w:r>
        <w:rPr>
          <w:rFonts w:cs="Arial"/>
          <w:lang w:val="en-029"/>
        </w:rPr>
        <w:t xml:space="preserve"> and</w:t>
      </w:r>
      <w:r w:rsidRPr="00E21152">
        <w:rPr>
          <w:rFonts w:cs="Arial"/>
          <w:lang w:val="en-029"/>
        </w:rPr>
        <w:t xml:space="preserve"> </w:t>
      </w:r>
      <w:r>
        <w:rPr>
          <w:rFonts w:cs="Arial"/>
          <w:lang w:val="en-029"/>
        </w:rPr>
        <w:t>89</w:t>
      </w:r>
      <w:r w:rsidRPr="00E21152">
        <w:rPr>
          <w:rFonts w:cs="Arial"/>
          <w:lang w:val="en-029"/>
        </w:rPr>
        <w:t xml:space="preserve"> goods and services</w:t>
      </w:r>
      <w:r>
        <w:rPr>
          <w:rFonts w:cs="Arial"/>
          <w:lang w:val="en-029"/>
        </w:rPr>
        <w:t xml:space="preserve">. As planned, the same consultant who developed the CGE model provided </w:t>
      </w:r>
      <w:r w:rsidRPr="009B23BB">
        <w:rPr>
          <w:rFonts w:cs="Arial"/>
          <w:lang w:val="en-029"/>
        </w:rPr>
        <w:t xml:space="preserve">practical training </w:t>
      </w:r>
      <w:r>
        <w:rPr>
          <w:rFonts w:cs="Arial"/>
          <w:lang w:val="en-029"/>
        </w:rPr>
        <w:t>to a total of 15</w:t>
      </w:r>
      <w:r w:rsidRPr="009B23BB">
        <w:rPr>
          <w:rFonts w:cs="Arial"/>
          <w:lang w:val="en-029"/>
        </w:rPr>
        <w:t xml:space="preserve"> staff of the BSS as well as the Economic Affairs</w:t>
      </w:r>
      <w:r w:rsidRPr="00B82823">
        <w:rPr>
          <w:rFonts w:cs="Arial"/>
          <w:lang w:val="en-029"/>
        </w:rPr>
        <w:t xml:space="preserve"> </w:t>
      </w:r>
      <w:r w:rsidRPr="009B23BB">
        <w:rPr>
          <w:rFonts w:cs="Arial"/>
          <w:lang w:val="en-029"/>
        </w:rPr>
        <w:t>Division</w:t>
      </w:r>
      <w:r>
        <w:rPr>
          <w:rFonts w:cs="Arial"/>
          <w:lang w:val="en-029"/>
        </w:rPr>
        <w:t xml:space="preserve"> (EAD) of the MFEA, covering both the use of the model as well as knowledge-transfer</w:t>
      </w:r>
      <w:r w:rsidRPr="009B23BB">
        <w:rPr>
          <w:rFonts w:cs="Arial"/>
          <w:lang w:val="en-029"/>
        </w:rPr>
        <w:t xml:space="preserve"> in the development of statistical t</w:t>
      </w:r>
      <w:r>
        <w:rPr>
          <w:rFonts w:cs="Arial"/>
          <w:lang w:val="en-029"/>
        </w:rPr>
        <w:t>ools.</w:t>
      </w:r>
      <w:r w:rsidRPr="009B23BB">
        <w:rPr>
          <w:rFonts w:cs="Arial"/>
          <w:lang w:val="en-029"/>
        </w:rPr>
        <w:t xml:space="preserve"> </w:t>
      </w:r>
      <w:r>
        <w:rPr>
          <w:rFonts w:cs="Arial"/>
          <w:lang w:val="en-029"/>
        </w:rPr>
        <w:t xml:space="preserve">Therefore, </w:t>
      </w:r>
      <w:r w:rsidRPr="00647D90">
        <w:rPr>
          <w:rFonts w:cs="Arial"/>
          <w:i/>
          <w:lang w:val="en-029"/>
        </w:rPr>
        <w:t>Output #1: Fully operational tax policy model elaborated</w:t>
      </w:r>
      <w:r w:rsidR="00FF454A">
        <w:rPr>
          <w:rFonts w:cs="Arial"/>
          <w:lang w:val="en-029"/>
        </w:rPr>
        <w:t xml:space="preserve"> has been achieved.</w:t>
      </w:r>
    </w:p>
    <w:p w14:paraId="1D48DBF1" w14:textId="69036A61" w:rsidR="00A22D3A" w:rsidRPr="00FF454A" w:rsidRDefault="00A22D3A" w:rsidP="00FA30C8">
      <w:pPr>
        <w:spacing w:before="120" w:after="120"/>
        <w:jc w:val="both"/>
        <w:rPr>
          <w:rFonts w:cs="Arial"/>
        </w:rPr>
      </w:pPr>
      <w:r>
        <w:rPr>
          <w:rFonts w:cs="Arial"/>
          <w:lang w:val="en-029"/>
        </w:rPr>
        <w:t>However, a</w:t>
      </w:r>
      <w:r w:rsidRPr="00825022">
        <w:rPr>
          <w:rFonts w:cs="Arial"/>
          <w:lang w:val="en-029"/>
        </w:rPr>
        <w:t xml:space="preserve">t present, </w:t>
      </w:r>
      <w:r>
        <w:rPr>
          <w:rFonts w:cs="Arial"/>
          <w:lang w:val="en-029"/>
        </w:rPr>
        <w:t>the CGE model</w:t>
      </w:r>
      <w:r w:rsidRPr="00825022">
        <w:rPr>
          <w:rFonts w:cs="Arial"/>
          <w:lang w:val="en-029"/>
        </w:rPr>
        <w:t xml:space="preserve"> is not being used</w:t>
      </w:r>
      <w:r>
        <w:rPr>
          <w:rFonts w:cs="Arial"/>
          <w:lang w:val="en-029"/>
        </w:rPr>
        <w:t xml:space="preserve"> which, according to stakeholder interviews, seems to be mainly linked to insufficient capacity and training of its</w:t>
      </w:r>
      <w:r w:rsidRPr="00084C10">
        <w:rPr>
          <w:rFonts w:cs="Arial"/>
          <w:lang w:val="en-029"/>
        </w:rPr>
        <w:t xml:space="preserve"> envisioned users and the </w:t>
      </w:r>
      <w:r>
        <w:rPr>
          <w:rFonts w:cs="Arial"/>
          <w:lang w:val="en-029"/>
        </w:rPr>
        <w:t xml:space="preserve">relative </w:t>
      </w:r>
      <w:r w:rsidRPr="00084C10">
        <w:rPr>
          <w:rFonts w:cs="Arial"/>
          <w:lang w:val="en-029"/>
        </w:rPr>
        <w:t>complexity of the design of the model</w:t>
      </w:r>
      <w:r>
        <w:rPr>
          <w:rFonts w:cs="Arial"/>
          <w:lang w:val="en-029"/>
        </w:rPr>
        <w:t xml:space="preserve"> requiring a vast amount of data that is either not available or not sufficiently reliable</w:t>
      </w:r>
      <w:r w:rsidRPr="00084C10">
        <w:rPr>
          <w:rFonts w:cs="Arial"/>
          <w:lang w:val="en-029"/>
        </w:rPr>
        <w:t xml:space="preserve">. </w:t>
      </w:r>
      <w:r>
        <w:rPr>
          <w:rFonts w:cs="Arial"/>
          <w:lang w:val="en-029"/>
        </w:rPr>
        <w:t>In the same conversations, the</w:t>
      </w:r>
      <w:r w:rsidRPr="00FB17F5">
        <w:rPr>
          <w:rFonts w:cs="Arial"/>
          <w:lang w:val="en-029"/>
        </w:rPr>
        <w:t xml:space="preserve"> </w:t>
      </w:r>
      <w:r>
        <w:rPr>
          <w:rFonts w:cs="Arial"/>
          <w:lang w:val="en-029"/>
        </w:rPr>
        <w:t>Project Executing Unit (PEU) mentioned that</w:t>
      </w:r>
      <w:r w:rsidRPr="00FB17F5">
        <w:rPr>
          <w:rFonts w:cs="Arial"/>
          <w:lang w:val="en-029"/>
        </w:rPr>
        <w:t xml:space="preserve"> a full-time in-house consultant would be required for up to a year in order to train the staff on how to feed data and how to run the program. </w:t>
      </w:r>
      <w:r w:rsidRPr="00084C10">
        <w:rPr>
          <w:rFonts w:cs="Arial"/>
          <w:lang w:val="en-029"/>
        </w:rPr>
        <w:t xml:space="preserve">This is one of the main reasons </w:t>
      </w:r>
      <w:r>
        <w:rPr>
          <w:rFonts w:cs="Arial"/>
          <w:lang w:val="en-029"/>
        </w:rPr>
        <w:t>why</w:t>
      </w:r>
      <w:r w:rsidRPr="00084C10">
        <w:rPr>
          <w:rFonts w:cs="Arial"/>
          <w:lang w:val="en-029"/>
        </w:rPr>
        <w:t xml:space="preserve"> the </w:t>
      </w:r>
      <w:r w:rsidRPr="00084C10">
        <w:rPr>
          <w:rFonts w:cs="Arial"/>
          <w:i/>
          <w:lang w:val="en-029"/>
        </w:rPr>
        <w:t xml:space="preserve">Outcome Indicator #1: </w:t>
      </w:r>
      <w:r w:rsidRPr="00084C10">
        <w:rPr>
          <w:rFonts w:cs="Arial"/>
          <w:i/>
        </w:rPr>
        <w:t xml:space="preserve">Number of tax proposals (draft bills and or regulations) that incorporate analysis derived from the tax policy tools (Computable General Equilibrium (CGE) Model and/or </w:t>
      </w:r>
      <w:r w:rsidRPr="00084C10">
        <w:rPr>
          <w:rFonts w:cs="Arial"/>
          <w:i/>
        </w:rPr>
        <w:lastRenderedPageBreak/>
        <w:t>Tax Expenditure Report) developed by the program</w:t>
      </w:r>
      <w:r w:rsidRPr="00084C10">
        <w:rPr>
          <w:rFonts w:cs="Arial"/>
        </w:rPr>
        <w:t xml:space="preserve"> was not achieved during the lifetime of the program. </w:t>
      </w:r>
    </w:p>
    <w:p w14:paraId="4254BD8D" w14:textId="15908BD3" w:rsidR="00A22D3A" w:rsidRPr="00FF454A" w:rsidRDefault="00A22D3A" w:rsidP="00FA30C8">
      <w:pPr>
        <w:spacing w:before="120" w:after="120"/>
        <w:jc w:val="both"/>
        <w:rPr>
          <w:rFonts w:cs="Arial"/>
          <w:lang w:val="en-029"/>
        </w:rPr>
      </w:pPr>
      <w:r w:rsidRPr="00084C10">
        <w:rPr>
          <w:rFonts w:cs="Arial"/>
          <w:lang w:val="en-029"/>
        </w:rPr>
        <w:t>Further strengthening of BSS capacity is required to develop such proposals and make use of the resulting big data advantages. At the same time, a more comprehensive statistical plan would allow for better data collection and informed policy interventions. In addition, GoB would need</w:t>
      </w:r>
      <w:r w:rsidRPr="00104337">
        <w:rPr>
          <w:rFonts w:cs="Arial"/>
          <w:lang w:val="en-029"/>
        </w:rPr>
        <w:t xml:space="preserve"> to define which entity is best equipped to host, maintain, and operate the CGE model. Based on that decision, additional training and a clear implementation plan would be needed to identify the way forward and evaluate different options for a successful implementation of the model, based on </w:t>
      </w:r>
      <w:r>
        <w:rPr>
          <w:rFonts w:cs="Arial"/>
          <w:lang w:val="en-029"/>
        </w:rPr>
        <w:t>the respective</w:t>
      </w:r>
      <w:r w:rsidRPr="00104337">
        <w:rPr>
          <w:rFonts w:cs="Arial"/>
          <w:lang w:val="en-029"/>
        </w:rPr>
        <w:t xml:space="preserve"> capacities and needs.</w:t>
      </w:r>
      <w:r w:rsidRPr="00C42036">
        <w:rPr>
          <w:rFonts w:cs="Arial"/>
          <w:lang w:val="en-029"/>
        </w:rPr>
        <w:t xml:space="preserve"> </w:t>
      </w:r>
    </w:p>
    <w:p w14:paraId="26548A7B" w14:textId="77777777" w:rsidR="00DF703E" w:rsidRDefault="00A22D3A" w:rsidP="00FA30C8">
      <w:pPr>
        <w:spacing w:before="120" w:after="120"/>
        <w:jc w:val="both"/>
        <w:rPr>
          <w:rFonts w:cs="Arial"/>
          <w:b/>
          <w:lang w:val="en-029"/>
        </w:rPr>
      </w:pPr>
      <w:r w:rsidRPr="008D3917">
        <w:rPr>
          <w:rFonts w:cs="Arial"/>
          <w:b/>
          <w:lang w:val="en-029"/>
        </w:rPr>
        <w:t>Sub-component 1.2: Business climate reforms (US$625,000)</w:t>
      </w:r>
      <w:r>
        <w:rPr>
          <w:rFonts w:cs="Arial"/>
          <w:b/>
          <w:lang w:val="en-029"/>
        </w:rPr>
        <w:t xml:space="preserve"> </w:t>
      </w:r>
      <w:r w:rsidRPr="006C0A41">
        <w:rPr>
          <w:rFonts w:cs="Arial"/>
          <w:b/>
          <w:lang w:val="en-029"/>
        </w:rPr>
        <w:t>[partially cancelled]</w:t>
      </w:r>
      <w:r w:rsidR="00FF454A">
        <w:rPr>
          <w:rFonts w:cs="Arial"/>
          <w:b/>
          <w:lang w:val="en-029"/>
        </w:rPr>
        <w:t>.</w:t>
      </w:r>
    </w:p>
    <w:p w14:paraId="38A94F0F" w14:textId="23A5AFC3" w:rsidR="00A22D3A" w:rsidRPr="00FF454A" w:rsidRDefault="00FF454A" w:rsidP="00FA30C8">
      <w:pPr>
        <w:spacing w:before="120" w:after="120"/>
        <w:jc w:val="both"/>
        <w:rPr>
          <w:rFonts w:cs="Arial"/>
          <w:b/>
          <w:lang w:val="en-029"/>
        </w:rPr>
      </w:pPr>
      <w:r>
        <w:rPr>
          <w:rFonts w:cs="Arial"/>
          <w:b/>
          <w:lang w:val="en-029"/>
        </w:rPr>
        <w:t xml:space="preserve"> </w:t>
      </w:r>
      <w:r w:rsidR="00A22D3A">
        <w:rPr>
          <w:rFonts w:cs="Arial"/>
          <w:lang w:val="en-029"/>
        </w:rPr>
        <w:t>Generally speaking, b</w:t>
      </w:r>
      <w:r w:rsidR="00A22D3A" w:rsidRPr="00D0359A">
        <w:rPr>
          <w:rFonts w:cs="Arial"/>
          <w:lang w:val="en-029"/>
        </w:rPr>
        <w:t xml:space="preserve">usiness climate </w:t>
      </w:r>
      <w:r w:rsidR="00A22D3A">
        <w:rPr>
          <w:rFonts w:cs="Arial"/>
          <w:lang w:val="en-029"/>
        </w:rPr>
        <w:t>refers to</w:t>
      </w:r>
      <w:r w:rsidR="00A22D3A" w:rsidRPr="00D0359A">
        <w:rPr>
          <w:rFonts w:cs="Arial"/>
          <w:lang w:val="en-029"/>
        </w:rPr>
        <w:t xml:space="preserve"> the </w:t>
      </w:r>
      <w:r w:rsidR="00A22D3A">
        <w:rPr>
          <w:rFonts w:cs="Arial"/>
          <w:lang w:val="en-029"/>
        </w:rPr>
        <w:t>overall</w:t>
      </w:r>
      <w:r w:rsidR="00A22D3A" w:rsidRPr="00D0359A">
        <w:rPr>
          <w:rFonts w:cs="Arial"/>
          <w:lang w:val="en-029"/>
        </w:rPr>
        <w:t xml:space="preserve"> economic environment of a given community that is relevant to the operation</w:t>
      </w:r>
      <w:r w:rsidR="00A22D3A">
        <w:rPr>
          <w:rFonts w:cs="Arial"/>
          <w:lang w:val="en-029"/>
        </w:rPr>
        <w:t xml:space="preserve"> of a business; usually including</w:t>
      </w:r>
      <w:r w:rsidR="00A22D3A" w:rsidRPr="00D0359A">
        <w:rPr>
          <w:rFonts w:cs="Arial"/>
          <w:lang w:val="en-029"/>
        </w:rPr>
        <w:t xml:space="preserve"> </w:t>
      </w:r>
      <w:r w:rsidR="00A22D3A">
        <w:rPr>
          <w:rFonts w:cs="Arial"/>
          <w:lang w:val="en-029"/>
        </w:rPr>
        <w:t>issues such as taxation regimes</w:t>
      </w:r>
      <w:r w:rsidR="00A22D3A" w:rsidRPr="00D0359A">
        <w:rPr>
          <w:rFonts w:cs="Arial"/>
          <w:lang w:val="en-029"/>
        </w:rPr>
        <w:t xml:space="preserve">, attitudes of government toward business, and </w:t>
      </w:r>
      <w:r w:rsidR="00A22D3A">
        <w:rPr>
          <w:rFonts w:cs="Arial"/>
          <w:lang w:val="en-029"/>
        </w:rPr>
        <w:t>financial and lending conditions</w:t>
      </w:r>
      <w:r w:rsidR="00A22D3A" w:rsidRPr="00D0359A">
        <w:rPr>
          <w:rFonts w:cs="Arial"/>
          <w:lang w:val="en-029"/>
        </w:rPr>
        <w:t>.</w:t>
      </w:r>
    </w:p>
    <w:p w14:paraId="2F03C503" w14:textId="3B826B8B" w:rsidR="00A22D3A" w:rsidRDefault="00A22D3A" w:rsidP="00FA30C8">
      <w:pPr>
        <w:spacing w:before="120" w:after="120"/>
        <w:jc w:val="both"/>
        <w:rPr>
          <w:rFonts w:cs="Arial"/>
          <w:lang w:val="en-029"/>
        </w:rPr>
      </w:pPr>
      <w:r>
        <w:rPr>
          <w:rFonts w:cs="Arial"/>
          <w:lang w:val="en-029"/>
        </w:rPr>
        <w:t>For Barbados, t</w:t>
      </w:r>
      <w:r w:rsidRPr="008E167D">
        <w:rPr>
          <w:rFonts w:cs="Arial"/>
          <w:lang w:val="en-029"/>
        </w:rPr>
        <w:t xml:space="preserve">he numbers published in the </w:t>
      </w:r>
      <w:r>
        <w:rPr>
          <w:rFonts w:cs="Arial"/>
          <w:lang w:val="en-029"/>
        </w:rPr>
        <w:t xml:space="preserve">Wold Bank’s </w:t>
      </w:r>
      <w:r w:rsidRPr="008E167D">
        <w:rPr>
          <w:rFonts w:cs="Arial"/>
          <w:lang w:val="en-029"/>
        </w:rPr>
        <w:t xml:space="preserve">Doing Business Report </w:t>
      </w:r>
      <w:r>
        <w:rPr>
          <w:rFonts w:cs="Arial"/>
          <w:lang w:val="en-029"/>
        </w:rPr>
        <w:t xml:space="preserve">repeatedly </w:t>
      </w:r>
      <w:r w:rsidRPr="008E167D">
        <w:rPr>
          <w:rFonts w:cs="Arial"/>
          <w:lang w:val="en-029"/>
        </w:rPr>
        <w:t>highlight the need for further consolidation in key areas such as property registration, trading across borders and enforcement of contract</w:t>
      </w:r>
      <w:r>
        <w:rPr>
          <w:rFonts w:cs="Arial"/>
          <w:lang w:val="en-029"/>
        </w:rPr>
        <w:t>s</w:t>
      </w:r>
      <w:r w:rsidRPr="008E167D">
        <w:rPr>
          <w:rFonts w:cs="Arial"/>
          <w:lang w:val="en-029"/>
        </w:rPr>
        <w:t>.</w:t>
      </w:r>
      <w:r>
        <w:rPr>
          <w:rFonts w:cs="Arial"/>
          <w:lang w:val="en-029"/>
        </w:rPr>
        <w:t xml:space="preserve"> Improving these conditions is key to </w:t>
      </w:r>
      <w:r w:rsidRPr="00AD3145">
        <w:rPr>
          <w:rFonts w:cs="Arial"/>
          <w:lang w:val="en-029"/>
        </w:rPr>
        <w:t xml:space="preserve">support the expansion of private sector participation in the economy and </w:t>
      </w:r>
      <w:r>
        <w:rPr>
          <w:rFonts w:cs="Arial"/>
          <w:lang w:val="en-029"/>
        </w:rPr>
        <w:t xml:space="preserve">to </w:t>
      </w:r>
      <w:r w:rsidRPr="00AD3145">
        <w:rPr>
          <w:rFonts w:cs="Arial"/>
          <w:lang w:val="en-029"/>
        </w:rPr>
        <w:t>increase government effectiveness and efficiency in overcoming or preventing market failures, by reducing burdensome transaction costs, and providing a sound environment for private sector development.</w:t>
      </w:r>
    </w:p>
    <w:p w14:paraId="62C41AC9" w14:textId="4ACEAD99" w:rsidR="00A22D3A" w:rsidRPr="00FF454A" w:rsidRDefault="00A22D3A" w:rsidP="00FA30C8">
      <w:pPr>
        <w:spacing w:before="120" w:after="120"/>
        <w:jc w:val="both"/>
        <w:rPr>
          <w:rFonts w:cs="Arial"/>
          <w:lang w:val="en-029"/>
        </w:rPr>
      </w:pPr>
      <w:r>
        <w:rPr>
          <w:rFonts w:cs="Arial"/>
          <w:lang w:val="en-029"/>
        </w:rPr>
        <w:t>In its original design, t</w:t>
      </w:r>
      <w:r w:rsidRPr="00AD3145">
        <w:rPr>
          <w:rFonts w:cs="Arial"/>
          <w:lang w:val="en-029"/>
        </w:rPr>
        <w:t xml:space="preserve">he </w:t>
      </w:r>
      <w:r>
        <w:rPr>
          <w:rFonts w:cs="Arial"/>
          <w:lang w:val="en-029"/>
        </w:rPr>
        <w:t>BCP</w:t>
      </w:r>
      <w:r w:rsidRPr="00AD3145">
        <w:rPr>
          <w:rFonts w:cs="Arial"/>
          <w:lang w:val="en-029"/>
        </w:rPr>
        <w:t xml:space="preserve"> </w:t>
      </w:r>
      <w:r>
        <w:rPr>
          <w:rFonts w:cs="Arial"/>
          <w:lang w:val="en-029"/>
        </w:rPr>
        <w:t xml:space="preserve">envisioned to provide </w:t>
      </w:r>
      <w:r w:rsidRPr="00AD3145">
        <w:rPr>
          <w:rFonts w:cs="Arial"/>
          <w:lang w:val="en-029"/>
        </w:rPr>
        <w:t xml:space="preserve">support </w:t>
      </w:r>
      <w:r>
        <w:rPr>
          <w:rFonts w:cs="Arial"/>
          <w:lang w:val="en-029"/>
        </w:rPr>
        <w:t>to improve</w:t>
      </w:r>
      <w:r w:rsidRPr="00AD3145">
        <w:rPr>
          <w:rFonts w:cs="Arial"/>
          <w:lang w:val="en-029"/>
        </w:rPr>
        <w:t xml:space="preserve"> the approval process for domestic and inter</w:t>
      </w:r>
      <w:r>
        <w:rPr>
          <w:rFonts w:cs="Arial"/>
          <w:lang w:val="en-029"/>
        </w:rPr>
        <w:t>national investments as well as access</w:t>
      </w:r>
      <w:r w:rsidRPr="00AD3145">
        <w:rPr>
          <w:rFonts w:cs="Arial"/>
          <w:lang w:val="en-029"/>
        </w:rPr>
        <w:t xml:space="preserve"> to credit. </w:t>
      </w:r>
      <w:r>
        <w:rPr>
          <w:rFonts w:cs="Arial"/>
          <w:lang w:val="en-029"/>
        </w:rPr>
        <w:t>A</w:t>
      </w:r>
      <w:r w:rsidRPr="00892624">
        <w:rPr>
          <w:rFonts w:cs="Arial"/>
          <w:lang w:val="en-029"/>
        </w:rPr>
        <w:t>ctivities related to the</w:t>
      </w:r>
      <w:r>
        <w:rPr>
          <w:rFonts w:cs="Arial"/>
          <w:lang w:val="en-029"/>
        </w:rPr>
        <w:t xml:space="preserve"> latter, the</w:t>
      </w:r>
      <w:r w:rsidRPr="00892624">
        <w:rPr>
          <w:rFonts w:cs="Arial"/>
          <w:lang w:val="en-029"/>
        </w:rPr>
        <w:t xml:space="preserve"> rationalization of development funds</w:t>
      </w:r>
      <w:r>
        <w:rPr>
          <w:rFonts w:cs="Arial"/>
          <w:lang w:val="en-029"/>
        </w:rPr>
        <w:t>,</w:t>
      </w:r>
      <w:r w:rsidRPr="00892624">
        <w:rPr>
          <w:rFonts w:cs="Arial"/>
          <w:lang w:val="en-029"/>
        </w:rPr>
        <w:t xml:space="preserve"> were </w:t>
      </w:r>
      <w:r>
        <w:rPr>
          <w:rFonts w:cs="Arial"/>
          <w:lang w:val="en-029"/>
        </w:rPr>
        <w:t xml:space="preserve">however </w:t>
      </w:r>
      <w:r w:rsidRPr="00892624">
        <w:rPr>
          <w:rFonts w:cs="Arial"/>
          <w:lang w:val="en-029"/>
        </w:rPr>
        <w:t>cancelled</w:t>
      </w:r>
      <w:r>
        <w:rPr>
          <w:rFonts w:cs="Arial"/>
          <w:lang w:val="en-029"/>
        </w:rPr>
        <w:t xml:space="preserve"> as part of the reallocation of resources in 2014.</w:t>
      </w:r>
    </w:p>
    <w:p w14:paraId="442E7ADB" w14:textId="2D686C9B" w:rsidR="00A22D3A" w:rsidRPr="00FF454A" w:rsidRDefault="00A22D3A" w:rsidP="00FF454A">
      <w:pPr>
        <w:rPr>
          <w:rFonts w:cs="Arial"/>
          <w:b/>
          <w:lang w:val="en-029"/>
        </w:rPr>
      </w:pPr>
      <w:r w:rsidRPr="007D7BCB">
        <w:rPr>
          <w:rFonts w:cs="Arial"/>
          <w:b/>
          <w:lang w:val="en-029"/>
        </w:rPr>
        <w:t>1.2.1 Physical inve</w:t>
      </w:r>
      <w:r>
        <w:rPr>
          <w:rFonts w:cs="Arial"/>
          <w:b/>
          <w:lang w:val="en-029"/>
        </w:rPr>
        <w:t>stment permits</w:t>
      </w:r>
      <w:r w:rsidR="00FF454A">
        <w:rPr>
          <w:rFonts w:cs="Arial"/>
          <w:b/>
          <w:lang w:val="en-029"/>
        </w:rPr>
        <w:t xml:space="preserve"> </w:t>
      </w:r>
    </w:p>
    <w:p w14:paraId="4F4B5384" w14:textId="1FD6CD6B" w:rsidR="00A22D3A" w:rsidRDefault="00A22D3A" w:rsidP="00FA30C8">
      <w:pPr>
        <w:spacing w:before="120" w:after="120"/>
        <w:jc w:val="both"/>
        <w:rPr>
          <w:rFonts w:cs="Arial"/>
          <w:lang w:val="en-029"/>
        </w:rPr>
      </w:pPr>
      <w:r w:rsidRPr="007728D1">
        <w:rPr>
          <w:rFonts w:cs="Arial"/>
          <w:lang w:val="en-029"/>
        </w:rPr>
        <w:t>According to data collected by</w:t>
      </w:r>
      <w:r>
        <w:rPr>
          <w:rFonts w:cs="Arial"/>
          <w:lang w:val="en-029"/>
        </w:rPr>
        <w:t xml:space="preserve"> the </w:t>
      </w:r>
      <w:r w:rsidRPr="007728D1">
        <w:rPr>
          <w:rFonts w:cs="Arial"/>
          <w:lang w:val="en-029"/>
        </w:rPr>
        <w:t>Doing Business</w:t>
      </w:r>
      <w:r>
        <w:rPr>
          <w:rFonts w:cs="Arial"/>
          <w:lang w:val="en-029"/>
        </w:rPr>
        <w:t xml:space="preserve"> Report</w:t>
      </w:r>
      <w:r w:rsidRPr="007728D1">
        <w:rPr>
          <w:rFonts w:cs="Arial"/>
          <w:lang w:val="en-029"/>
        </w:rPr>
        <w:t>, dealing with construction permits</w:t>
      </w:r>
      <w:r>
        <w:rPr>
          <w:rFonts w:cs="Arial"/>
          <w:lang w:val="en-029"/>
        </w:rPr>
        <w:t xml:space="preserve"> in Barbados requires a total of 442 days. Information for this indicator on global rankings only exists for the years 2016 and 2017, where Barbados stands at 158 and 161 respectively out of a total of 190 economies and puts the country well below the regional average for La</w:t>
      </w:r>
      <w:r w:rsidR="00FF454A">
        <w:rPr>
          <w:rFonts w:cs="Arial"/>
          <w:lang w:val="en-029"/>
        </w:rPr>
        <w:t xml:space="preserve">tin America and the Caribbean. </w:t>
      </w:r>
    </w:p>
    <w:p w14:paraId="40F2CE6E" w14:textId="22451535" w:rsidR="00A22D3A" w:rsidRDefault="00A22D3A" w:rsidP="00FA30C8">
      <w:pPr>
        <w:spacing w:before="120" w:after="120"/>
        <w:jc w:val="both"/>
        <w:rPr>
          <w:rFonts w:cs="Arial"/>
          <w:lang w:val="en-029"/>
        </w:rPr>
      </w:pPr>
      <w:r>
        <w:rPr>
          <w:rFonts w:cs="Arial"/>
          <w:lang w:val="en-029"/>
        </w:rPr>
        <w:t>Institutionally, t</w:t>
      </w:r>
      <w:r w:rsidRPr="006C0A41">
        <w:rPr>
          <w:rFonts w:cs="Arial"/>
          <w:lang w:val="en-029"/>
        </w:rPr>
        <w:t>he Town and Country Development Planning Office (TCDPO) is the government department responsible for managing all</w:t>
      </w:r>
      <w:r>
        <w:rPr>
          <w:rFonts w:cs="Arial"/>
          <w:lang w:val="en-029"/>
        </w:rPr>
        <w:t xml:space="preserve"> applications for development and o</w:t>
      </w:r>
      <w:r w:rsidRPr="006C0A41">
        <w:rPr>
          <w:rFonts w:cs="Arial"/>
          <w:lang w:val="en-029"/>
        </w:rPr>
        <w:t xml:space="preserve">ne of the tools used in assessing applications is the Physical Development Plan. </w:t>
      </w:r>
      <w:r>
        <w:rPr>
          <w:rFonts w:cs="Arial"/>
          <w:lang w:val="en-029"/>
        </w:rPr>
        <w:t>This plan</w:t>
      </w:r>
      <w:r w:rsidRPr="006C0A41">
        <w:rPr>
          <w:rFonts w:cs="Arial"/>
          <w:lang w:val="en-029"/>
        </w:rPr>
        <w:t xml:space="preserve"> zones the island into specific areas in which certain types of development may be permitted and other types prohibited.</w:t>
      </w:r>
      <w:r>
        <w:rPr>
          <w:rFonts w:cs="Arial"/>
          <w:lang w:val="en-029"/>
        </w:rPr>
        <w:t xml:space="preserve"> </w:t>
      </w:r>
    </w:p>
    <w:p w14:paraId="21D7FBDC" w14:textId="77BD00F1" w:rsidR="00A22D3A" w:rsidRDefault="00A22D3A" w:rsidP="00FA30C8">
      <w:pPr>
        <w:spacing w:before="120" w:after="120"/>
        <w:jc w:val="both"/>
        <w:rPr>
          <w:rFonts w:cs="Arial"/>
          <w:lang w:val="en-029"/>
        </w:rPr>
      </w:pPr>
      <w:r>
        <w:rPr>
          <w:rFonts w:cs="Arial"/>
          <w:lang w:val="en-029"/>
        </w:rPr>
        <w:t>T</w:t>
      </w:r>
      <w:r w:rsidRPr="00FF454A">
        <w:rPr>
          <w:rFonts w:cs="Arial"/>
          <w:lang w:val="en-029"/>
        </w:rPr>
        <w:t>own planning law, on the other hand, is regulated by the Town and Country Planning Act and its related rules.</w:t>
      </w:r>
      <w:r w:rsidRPr="00FF454A">
        <w:rPr>
          <w:lang w:val="en-029"/>
        </w:rPr>
        <w:footnoteReference w:id="11"/>
      </w:r>
      <w:r w:rsidRPr="00FF454A">
        <w:rPr>
          <w:rFonts w:cs="Arial"/>
          <w:lang w:val="en-029"/>
        </w:rPr>
        <w:t xml:space="preserve"> This Act defines development as: (i) carrying out building, engineering, mining, or other operations in, on over or under any land; (ii) making any material change in the use of any buildings or land, or (iii) subdivision of any land. Development can legally occur either by a specific grant of permission from the chief town planner or the minister responsible for planning; or through pre-approved “permitted development” as recognized under the town planning rules. </w:t>
      </w:r>
      <w:r w:rsidRPr="00572C49">
        <w:rPr>
          <w:rFonts w:cs="Arial"/>
          <w:lang w:val="en-029"/>
        </w:rPr>
        <w:t xml:space="preserve">Most applications to the TCDPO require a comment from other government departments and </w:t>
      </w:r>
      <w:r>
        <w:rPr>
          <w:rFonts w:cs="Arial"/>
          <w:lang w:val="en-029"/>
        </w:rPr>
        <w:t>therefore</w:t>
      </w:r>
      <w:r w:rsidRPr="00572C49">
        <w:rPr>
          <w:rFonts w:cs="Arial"/>
          <w:lang w:val="en-029"/>
        </w:rPr>
        <w:t xml:space="preserve"> permissions are </w:t>
      </w:r>
      <w:r>
        <w:rPr>
          <w:rFonts w:cs="Arial"/>
          <w:lang w:val="en-029"/>
        </w:rPr>
        <w:t>rarely</w:t>
      </w:r>
      <w:r w:rsidRPr="00572C49">
        <w:rPr>
          <w:rFonts w:cs="Arial"/>
          <w:lang w:val="en-029"/>
        </w:rPr>
        <w:t xml:space="preserve"> issued within the two-month period prescribed by the Act.</w:t>
      </w:r>
    </w:p>
    <w:p w14:paraId="78950359" w14:textId="3D44BB59" w:rsidR="00A22D3A" w:rsidRPr="00FA30C8" w:rsidRDefault="00A22D3A" w:rsidP="00FA30C8">
      <w:pPr>
        <w:spacing w:before="120" w:after="120"/>
        <w:jc w:val="both"/>
        <w:rPr>
          <w:rFonts w:cs="Arial"/>
        </w:rPr>
      </w:pPr>
      <w:r>
        <w:rPr>
          <w:rFonts w:cs="Arial"/>
          <w:lang w:val="en-029"/>
        </w:rPr>
        <w:t>As agreed during project preparation, this sub-component was to finance</w:t>
      </w:r>
      <w:r w:rsidRPr="005C476B">
        <w:rPr>
          <w:rFonts w:cs="Arial"/>
          <w:lang w:val="en-029"/>
        </w:rPr>
        <w:t xml:space="preserve"> staff training, documentation simplification and process re-engineering to achieve systemic improvements in the operations and all collaborating agencies </w:t>
      </w:r>
      <w:r>
        <w:rPr>
          <w:rFonts w:cs="Arial"/>
          <w:lang w:val="en-029"/>
        </w:rPr>
        <w:t>and</w:t>
      </w:r>
      <w:r w:rsidRPr="005C476B">
        <w:rPr>
          <w:rFonts w:cs="Arial"/>
          <w:lang w:val="en-029"/>
        </w:rPr>
        <w:t xml:space="preserve"> assure a more expeditious and equitable </w:t>
      </w:r>
      <w:r w:rsidRPr="005C476B">
        <w:rPr>
          <w:rFonts w:cs="Arial"/>
          <w:lang w:val="en-029"/>
        </w:rPr>
        <w:lastRenderedPageBreak/>
        <w:t>processing of investment applications.</w:t>
      </w:r>
      <w:r>
        <w:rPr>
          <w:rFonts w:cs="Arial"/>
          <w:lang w:val="en-029"/>
        </w:rPr>
        <w:t xml:space="preserve"> These activities were to be based on a study commissioned through another joint project between GoB and the Bank’s Modernization of the State Division, expected to provide</w:t>
      </w:r>
      <w:r w:rsidRPr="005C476B">
        <w:rPr>
          <w:rFonts w:cs="Arial"/>
          <w:color w:val="1B1919"/>
        </w:rPr>
        <w:t xml:space="preserve"> a number of recommendations to help improve the effectiveness and efficiency of the TCDPO. </w:t>
      </w:r>
    </w:p>
    <w:p w14:paraId="1A74C546" w14:textId="52A027B1" w:rsidR="00A22D3A" w:rsidRDefault="00A22D3A" w:rsidP="00FA30C8">
      <w:pPr>
        <w:spacing w:before="120" w:after="120"/>
        <w:jc w:val="both"/>
        <w:rPr>
          <w:rFonts w:cs="Arial"/>
          <w:lang w:val="en-029"/>
        </w:rPr>
      </w:pPr>
      <w:r>
        <w:rPr>
          <w:rFonts w:cs="Arial"/>
          <w:lang w:val="en-029"/>
        </w:rPr>
        <w:t xml:space="preserve">However, the draft report went through numerous iterations so that the </w:t>
      </w:r>
      <w:bookmarkStart w:id="22" w:name="_Hlk494198550"/>
      <w:r>
        <w:rPr>
          <w:rFonts w:cs="Arial"/>
          <w:lang w:val="en-029"/>
        </w:rPr>
        <w:t>a</w:t>
      </w:r>
      <w:r w:rsidRPr="001A2179">
        <w:rPr>
          <w:rFonts w:cs="Arial"/>
          <w:lang w:val="en-029"/>
        </w:rPr>
        <w:t>nalysis of requirements for TCPDO</w:t>
      </w:r>
      <w:r>
        <w:rPr>
          <w:rFonts w:cs="Arial"/>
          <w:lang w:val="en-029"/>
        </w:rPr>
        <w:t xml:space="preserve"> </w:t>
      </w:r>
      <w:r w:rsidRPr="001A2179">
        <w:rPr>
          <w:rFonts w:cs="Arial"/>
          <w:lang w:val="en-029"/>
        </w:rPr>
        <w:t xml:space="preserve">institutional strengthening </w:t>
      </w:r>
      <w:r>
        <w:rPr>
          <w:rFonts w:cs="Arial"/>
          <w:lang w:val="en-029"/>
        </w:rPr>
        <w:t xml:space="preserve">was not approved at the early stages of the BCP project implementation, which meant that the subsequent activities to be financed under the BCP could not start, as planned. After several discussions between the PEU, the Bank and TCDPO </w:t>
      </w:r>
      <w:r w:rsidRPr="00CD0169">
        <w:rPr>
          <w:rFonts w:cs="Arial"/>
          <w:lang w:val="en-029"/>
        </w:rPr>
        <w:t xml:space="preserve">it was agreed </w:t>
      </w:r>
      <w:r>
        <w:rPr>
          <w:rFonts w:cs="Arial"/>
          <w:lang w:val="en-029"/>
        </w:rPr>
        <w:t xml:space="preserve">in 2014 </w:t>
      </w:r>
      <w:r w:rsidRPr="00CD0169">
        <w:rPr>
          <w:rFonts w:cs="Arial"/>
          <w:lang w:val="en-029"/>
        </w:rPr>
        <w:t>that</w:t>
      </w:r>
      <w:r>
        <w:rPr>
          <w:rFonts w:cs="Arial"/>
          <w:lang w:val="en-029"/>
        </w:rPr>
        <w:t>,</w:t>
      </w:r>
      <w:r w:rsidRPr="00CD0169">
        <w:rPr>
          <w:rFonts w:cs="Arial"/>
          <w:lang w:val="en-029"/>
        </w:rPr>
        <w:t xml:space="preserve"> in order for the BCP project to </w:t>
      </w:r>
      <w:r>
        <w:rPr>
          <w:rFonts w:cs="Arial"/>
          <w:lang w:val="en-029"/>
        </w:rPr>
        <w:t>move</w:t>
      </w:r>
      <w:r w:rsidRPr="00CD0169">
        <w:rPr>
          <w:rFonts w:cs="Arial"/>
          <w:lang w:val="en-029"/>
        </w:rPr>
        <w:t xml:space="preserve"> forward </w:t>
      </w:r>
      <w:r>
        <w:rPr>
          <w:rFonts w:cs="Arial"/>
          <w:lang w:val="en-029"/>
        </w:rPr>
        <w:t>with this sub-component’s activities,</w:t>
      </w:r>
      <w:r w:rsidRPr="00CD0169">
        <w:rPr>
          <w:rFonts w:cs="Arial"/>
          <w:lang w:val="en-029"/>
        </w:rPr>
        <w:t xml:space="preserve"> </w:t>
      </w:r>
      <w:r>
        <w:rPr>
          <w:rFonts w:cs="Arial"/>
          <w:lang w:val="en-029"/>
        </w:rPr>
        <w:t>the work would focus exclusively on those institutional s</w:t>
      </w:r>
      <w:r w:rsidRPr="00CD0169">
        <w:rPr>
          <w:rFonts w:cs="Arial"/>
          <w:lang w:val="en-029"/>
        </w:rPr>
        <w:t xml:space="preserve">trengthening recommendations that </w:t>
      </w:r>
      <w:r>
        <w:rPr>
          <w:rFonts w:cs="Arial"/>
          <w:lang w:val="en-029"/>
        </w:rPr>
        <w:t>were</w:t>
      </w:r>
      <w:r w:rsidRPr="00CD0169">
        <w:rPr>
          <w:rFonts w:cs="Arial"/>
          <w:lang w:val="en-029"/>
        </w:rPr>
        <w:t xml:space="preserve"> </w:t>
      </w:r>
      <w:r>
        <w:rPr>
          <w:rFonts w:cs="Arial"/>
          <w:lang w:val="en-029"/>
        </w:rPr>
        <w:t xml:space="preserve">explicitly </w:t>
      </w:r>
      <w:r w:rsidRPr="00CD0169">
        <w:rPr>
          <w:rFonts w:cs="Arial"/>
          <w:lang w:val="en-029"/>
        </w:rPr>
        <w:t xml:space="preserve">supported by the TCDPO. </w:t>
      </w:r>
      <w:bookmarkEnd w:id="22"/>
    </w:p>
    <w:p w14:paraId="4BB86083" w14:textId="04AB66F4" w:rsidR="00A22D3A" w:rsidRDefault="00A22D3A" w:rsidP="00FA30C8">
      <w:pPr>
        <w:spacing w:before="120" w:after="120"/>
        <w:jc w:val="both"/>
        <w:rPr>
          <w:rFonts w:cs="Arial"/>
          <w:lang w:val="en-029"/>
        </w:rPr>
      </w:pPr>
      <w:r>
        <w:rPr>
          <w:rFonts w:cs="Arial"/>
          <w:lang w:val="en-029"/>
        </w:rPr>
        <w:t>As per one of the recommendations, the supporting software and hardware upgrades were installed and certified, providing desktop computers for technical staff of the TCDPO, who were previously sharing one machine among three people. This sub-component also financed the d</w:t>
      </w:r>
      <w:r w:rsidRPr="001A2179">
        <w:rPr>
          <w:rFonts w:cs="Arial"/>
          <w:lang w:val="en-029"/>
        </w:rPr>
        <w:t>esign and develop</w:t>
      </w:r>
      <w:r>
        <w:rPr>
          <w:rFonts w:cs="Arial"/>
          <w:lang w:val="en-029"/>
        </w:rPr>
        <w:t>ment of</w:t>
      </w:r>
      <w:r w:rsidRPr="001A2179">
        <w:rPr>
          <w:rFonts w:cs="Arial"/>
          <w:lang w:val="en-029"/>
        </w:rPr>
        <w:t xml:space="preserve"> an upgraded system which </w:t>
      </w:r>
      <w:r>
        <w:rPr>
          <w:rFonts w:cs="Arial"/>
          <w:lang w:val="en-029"/>
        </w:rPr>
        <w:t>aimed</w:t>
      </w:r>
      <w:r w:rsidRPr="001A2179">
        <w:rPr>
          <w:rFonts w:cs="Arial"/>
          <w:lang w:val="en-029"/>
        </w:rPr>
        <w:t xml:space="preserve"> at centralizing the registry functions within the </w:t>
      </w:r>
      <w:r>
        <w:rPr>
          <w:rFonts w:cs="Arial"/>
          <w:lang w:val="en-029"/>
        </w:rPr>
        <w:t xml:space="preserve">TCDPO. As can be seen in the results framework, these activities were completed in late 2015 and the </w:t>
      </w:r>
      <w:r w:rsidRPr="002104B3">
        <w:rPr>
          <w:rFonts w:cs="Arial"/>
          <w:i/>
          <w:lang w:val="en-029"/>
        </w:rPr>
        <w:t>Output #3: Town and Country Development Planning Office systems/procedures upgrade implemented and certified</w:t>
      </w:r>
      <w:r>
        <w:rPr>
          <w:rFonts w:cs="Arial"/>
          <w:lang w:val="en-029"/>
        </w:rPr>
        <w:t xml:space="preserve"> was achieved. However, given the delay described above, instead of delivering training on the new software to 30 </w:t>
      </w:r>
      <w:r w:rsidRPr="003950BF">
        <w:rPr>
          <w:rFonts w:cs="Arial"/>
          <w:lang w:val="en-029"/>
        </w:rPr>
        <w:t>TCPDO and collaborating agency staff new systems and procedures</w:t>
      </w:r>
      <w:r>
        <w:rPr>
          <w:rFonts w:cs="Arial"/>
          <w:lang w:val="en-029"/>
        </w:rPr>
        <w:t>, as initially planned, only 3 staff members received the full training</w:t>
      </w:r>
      <w:r w:rsidRPr="003950BF">
        <w:rPr>
          <w:rFonts w:cs="Arial"/>
          <w:lang w:val="en-029"/>
        </w:rPr>
        <w:t>.</w:t>
      </w:r>
      <w:r w:rsidR="00FF454A">
        <w:rPr>
          <w:rFonts w:cs="Arial"/>
          <w:lang w:val="en-029"/>
        </w:rPr>
        <w:t xml:space="preserve"> </w:t>
      </w:r>
    </w:p>
    <w:p w14:paraId="5D718080" w14:textId="1C856856" w:rsidR="00A22D3A" w:rsidRDefault="00A22D3A" w:rsidP="00FA30C8">
      <w:pPr>
        <w:spacing w:before="120" w:after="120"/>
        <w:jc w:val="both"/>
        <w:rPr>
          <w:rFonts w:cs="Arial"/>
          <w:lang w:val="en-029"/>
        </w:rPr>
      </w:pPr>
      <w:r>
        <w:rPr>
          <w:rFonts w:cs="Arial"/>
          <w:lang w:val="en-029"/>
        </w:rPr>
        <w:t xml:space="preserve">This sub-component also had the following outcome indicator linked to it: </w:t>
      </w:r>
      <w:r w:rsidRPr="001A7AC2">
        <w:rPr>
          <w:rFonts w:cs="Arial"/>
          <w:i/>
          <w:lang w:val="en-029"/>
        </w:rPr>
        <w:t>Outcome #2: Business</w:t>
      </w:r>
      <w:r w:rsidRPr="00F56A49">
        <w:rPr>
          <w:rFonts w:cs="Arial"/>
          <w:i/>
          <w:lang w:val="en-029"/>
        </w:rPr>
        <w:t xml:space="preserve"> decision making with respect to the key considerations of land use planning and development banking services facilitated</w:t>
      </w:r>
      <w:r>
        <w:rPr>
          <w:rFonts w:cs="Arial"/>
          <w:lang w:val="en-029"/>
        </w:rPr>
        <w:t xml:space="preserve"> measured in a reduction of time required for the processing of complex TCDPO applications.</w:t>
      </w:r>
      <w:r w:rsidRPr="002B0595">
        <w:rPr>
          <w:rFonts w:cs="Arial"/>
          <w:lang w:val="en-029"/>
        </w:rPr>
        <w:t xml:space="preserve"> </w:t>
      </w:r>
      <w:r>
        <w:rPr>
          <w:rFonts w:cs="Arial"/>
          <w:lang w:val="en-029"/>
        </w:rPr>
        <w:t>The pre-condition for this indicator to be achieved was at least threefold. On the one hand, it required the timely approval of the Cabinet Paper, on the other, recommendations had to be implemented by staff trained in the use of the new software and new processes, and lastly, an M&amp;E expert would have needed to determine the specifics of the indicator, such as the definit</w:t>
      </w:r>
      <w:r w:rsidR="00FF454A">
        <w:rPr>
          <w:rFonts w:cs="Arial"/>
          <w:lang w:val="en-029"/>
        </w:rPr>
        <w:t xml:space="preserve">ion of “complex applications”. </w:t>
      </w:r>
    </w:p>
    <w:p w14:paraId="30B85474" w14:textId="3F1572C7" w:rsidR="00A22D3A" w:rsidRDefault="00A22D3A" w:rsidP="00FA30C8">
      <w:pPr>
        <w:spacing w:before="120" w:after="120"/>
        <w:jc w:val="both"/>
        <w:rPr>
          <w:rFonts w:cs="Arial"/>
          <w:lang w:val="en-029"/>
        </w:rPr>
      </w:pPr>
      <w:r>
        <w:rPr>
          <w:rFonts w:cs="Arial"/>
          <w:lang w:val="en-029"/>
        </w:rPr>
        <w:t xml:space="preserve">The independent external evaluation commissioned by the Bank at the end of the BCP implementation phase highlighted that the </w:t>
      </w:r>
      <w:r w:rsidRPr="002B0595">
        <w:rPr>
          <w:rFonts w:cs="Arial"/>
          <w:lang w:val="en-029"/>
        </w:rPr>
        <w:t xml:space="preserve">TCDPO </w:t>
      </w:r>
      <w:r>
        <w:rPr>
          <w:rFonts w:cs="Arial"/>
          <w:lang w:val="en-029"/>
        </w:rPr>
        <w:t>is now</w:t>
      </w:r>
      <w:r w:rsidRPr="002B0595">
        <w:rPr>
          <w:rFonts w:cs="Arial"/>
          <w:lang w:val="en-029"/>
        </w:rPr>
        <w:t xml:space="preserve"> at a stage where further </w:t>
      </w:r>
      <w:r>
        <w:rPr>
          <w:rFonts w:cs="Arial"/>
          <w:lang w:val="en-029"/>
        </w:rPr>
        <w:t xml:space="preserve">process </w:t>
      </w:r>
      <w:r w:rsidRPr="002B0595">
        <w:rPr>
          <w:rFonts w:cs="Arial"/>
          <w:lang w:val="en-029"/>
        </w:rPr>
        <w:t>improvements are dependent on other agencies converging to it</w:t>
      </w:r>
      <w:r>
        <w:rPr>
          <w:rFonts w:cs="Arial"/>
          <w:lang w:val="en-029"/>
        </w:rPr>
        <w:t>s</w:t>
      </w:r>
      <w:r w:rsidRPr="002B0595">
        <w:rPr>
          <w:rFonts w:cs="Arial"/>
          <w:lang w:val="en-029"/>
        </w:rPr>
        <w:t xml:space="preserve"> technical capacity. </w:t>
      </w:r>
      <w:r>
        <w:rPr>
          <w:rFonts w:cs="Arial"/>
          <w:lang w:val="en-029"/>
        </w:rPr>
        <w:t>In addition, while TCDPO the new internal</w:t>
      </w:r>
      <w:r w:rsidRPr="00F06106">
        <w:rPr>
          <w:rFonts w:cs="Arial"/>
          <w:lang w:val="en-029"/>
        </w:rPr>
        <w:t xml:space="preserve"> approval procedures </w:t>
      </w:r>
      <w:r>
        <w:rPr>
          <w:rFonts w:cs="Arial"/>
          <w:lang w:val="en-029"/>
        </w:rPr>
        <w:t xml:space="preserve">were </w:t>
      </w:r>
      <w:r w:rsidRPr="00F06106">
        <w:rPr>
          <w:rFonts w:cs="Arial"/>
          <w:lang w:val="en-029"/>
        </w:rPr>
        <w:t>designed</w:t>
      </w:r>
      <w:r>
        <w:rPr>
          <w:rFonts w:cs="Arial"/>
          <w:lang w:val="en-029"/>
        </w:rPr>
        <w:t>,</w:t>
      </w:r>
      <w:r w:rsidRPr="00F06106">
        <w:rPr>
          <w:rFonts w:cs="Arial"/>
          <w:lang w:val="en-029"/>
        </w:rPr>
        <w:t xml:space="preserve"> </w:t>
      </w:r>
      <w:r>
        <w:rPr>
          <w:rFonts w:cs="Arial"/>
          <w:lang w:val="en-029"/>
        </w:rPr>
        <w:t xml:space="preserve">they are yet to approved by Cabinet and, therefore, the application of the new procedures is still outstanding at the time </w:t>
      </w:r>
      <w:r w:rsidR="00FF454A">
        <w:rPr>
          <w:rFonts w:cs="Arial"/>
          <w:lang w:val="en-029"/>
        </w:rPr>
        <w:t xml:space="preserve">of the writing of this report. </w:t>
      </w:r>
    </w:p>
    <w:p w14:paraId="558719BA" w14:textId="6B6F619E" w:rsidR="00A22D3A" w:rsidRPr="00FF454A" w:rsidRDefault="00A22D3A" w:rsidP="00FA30C8">
      <w:pPr>
        <w:spacing w:before="120" w:after="120"/>
        <w:jc w:val="both"/>
        <w:rPr>
          <w:rFonts w:cs="Arial"/>
          <w:b/>
        </w:rPr>
      </w:pPr>
      <w:r w:rsidRPr="00AB1AB5">
        <w:rPr>
          <w:rFonts w:cs="Arial"/>
          <w:b/>
          <w:lang w:val="en-029"/>
        </w:rPr>
        <w:t xml:space="preserve">Component 3: Improving trade logistics and trade facilitation and enhancing access to infrastructure (US$5.87 </w:t>
      </w:r>
      <w:bookmarkStart w:id="23" w:name="_Hlk494270794"/>
      <w:r w:rsidR="00FF454A">
        <w:rPr>
          <w:rFonts w:cs="Arial"/>
          <w:b/>
          <w:lang w:val="en-029"/>
        </w:rPr>
        <w:t xml:space="preserve">million). </w:t>
      </w:r>
      <w:r w:rsidRPr="004B396A">
        <w:rPr>
          <w:rFonts w:cs="Arial"/>
        </w:rPr>
        <w:t>The modern era of international trade is one of increasingly complex interactions between people, firms, and organizations. Supply chai</w:t>
      </w:r>
      <w:r>
        <w:rPr>
          <w:rFonts w:cs="Arial"/>
        </w:rPr>
        <w:t xml:space="preserve">ns can span various countries and regions </w:t>
      </w:r>
      <w:r w:rsidRPr="004B396A">
        <w:rPr>
          <w:rFonts w:cs="Arial"/>
        </w:rPr>
        <w:t xml:space="preserve">and good performance in trade requires connectivity not only </w:t>
      </w:r>
      <w:r>
        <w:rPr>
          <w:rFonts w:cs="Arial"/>
        </w:rPr>
        <w:t xml:space="preserve">in terms of </w:t>
      </w:r>
      <w:r w:rsidRPr="004B396A">
        <w:rPr>
          <w:rFonts w:cs="Arial"/>
        </w:rPr>
        <w:t>roads, rail</w:t>
      </w:r>
      <w:r>
        <w:rPr>
          <w:rFonts w:cs="Arial"/>
        </w:rPr>
        <w:t>, air,</w:t>
      </w:r>
      <w:r w:rsidRPr="004B396A">
        <w:rPr>
          <w:rFonts w:cs="Arial"/>
        </w:rPr>
        <w:t xml:space="preserve"> and sea, but </w:t>
      </w:r>
      <w:r>
        <w:rPr>
          <w:rFonts w:cs="Arial"/>
        </w:rPr>
        <w:t xml:space="preserve">also </w:t>
      </w:r>
      <w:r w:rsidRPr="004B396A">
        <w:rPr>
          <w:rFonts w:cs="Arial"/>
        </w:rPr>
        <w:t xml:space="preserve">in </w:t>
      </w:r>
      <w:r>
        <w:rPr>
          <w:rFonts w:cs="Arial"/>
        </w:rPr>
        <w:t xml:space="preserve">areas such as </w:t>
      </w:r>
      <w:r w:rsidRPr="004B396A">
        <w:rPr>
          <w:rFonts w:cs="Arial"/>
        </w:rPr>
        <w:t>telecommunications and information-processing. Having inefficient or inadequate systems of transportation, logistics</w:t>
      </w:r>
      <w:r>
        <w:rPr>
          <w:rFonts w:cs="Arial"/>
        </w:rPr>
        <w:t>,</w:t>
      </w:r>
      <w:r w:rsidRPr="004B396A">
        <w:rPr>
          <w:rFonts w:cs="Arial"/>
        </w:rPr>
        <w:t xml:space="preserve"> and trade-related infrastructure can severely impede a country’s ability to compete on a global scale.</w:t>
      </w:r>
      <w:r>
        <w:rPr>
          <w:rFonts w:cs="Arial"/>
        </w:rPr>
        <w:t xml:space="preserve"> This component aimed at working on some of the major </w:t>
      </w:r>
      <w:r w:rsidRPr="00A70E2A">
        <w:rPr>
          <w:rFonts w:cs="Arial"/>
        </w:rPr>
        <w:t xml:space="preserve">challenges </w:t>
      </w:r>
      <w:r>
        <w:rPr>
          <w:rFonts w:cs="Arial"/>
        </w:rPr>
        <w:t>Barbados is facing in the area of</w:t>
      </w:r>
      <w:r w:rsidRPr="00A70E2A">
        <w:rPr>
          <w:rFonts w:cs="Arial"/>
        </w:rPr>
        <w:t xml:space="preserve"> trade facilitation and logistics, </w:t>
      </w:r>
      <w:r>
        <w:rPr>
          <w:rFonts w:cs="Arial"/>
        </w:rPr>
        <w:t xml:space="preserve">with a focus on modernizing trade processes and fostering public-private collaboration. Overcoming existing bottlenecks is key to achieve </w:t>
      </w:r>
      <w:r w:rsidRPr="00F52D6A">
        <w:rPr>
          <w:rFonts w:cs="Arial"/>
        </w:rPr>
        <w:t>workflow optimization and cost reduction</w:t>
      </w:r>
      <w:r>
        <w:rPr>
          <w:rFonts w:cs="Arial"/>
        </w:rPr>
        <w:t xml:space="preserve"> and a </w:t>
      </w:r>
      <w:r w:rsidRPr="00F52D6A">
        <w:rPr>
          <w:rFonts w:cs="Arial"/>
        </w:rPr>
        <w:t>critical part of the country’s vision to be</w:t>
      </w:r>
      <w:r>
        <w:rPr>
          <w:rFonts w:cs="Arial"/>
        </w:rPr>
        <w:t>come</w:t>
      </w:r>
      <w:r w:rsidRPr="00F52D6A">
        <w:rPr>
          <w:rFonts w:cs="Arial"/>
        </w:rPr>
        <w:t xml:space="preserve"> a regional logistics hub</w:t>
      </w:r>
      <w:r>
        <w:rPr>
          <w:rFonts w:cs="Arial"/>
        </w:rPr>
        <w:t xml:space="preserve">. As per the results matrix, the successful implementation of this component was measured through </w:t>
      </w:r>
      <w:r w:rsidRPr="00F93B00">
        <w:rPr>
          <w:rFonts w:cs="Arial"/>
          <w:i/>
        </w:rPr>
        <w:t xml:space="preserve">Outcome #3: Time required by private sector to comply with trade data requirements reduced; </w:t>
      </w:r>
      <w:r w:rsidRPr="00F93B00">
        <w:rPr>
          <w:rFonts w:cs="Arial"/>
          <w:i/>
        </w:rPr>
        <w:lastRenderedPageBreak/>
        <w:t>volume of total customs declarations increased</w:t>
      </w:r>
      <w:r>
        <w:rPr>
          <w:rFonts w:cs="Arial"/>
        </w:rPr>
        <w:t>. The latter was divided into three indicators linked to sub-component 3.1 that will be discussed in further detail below.</w:t>
      </w:r>
      <w:bookmarkEnd w:id="23"/>
    </w:p>
    <w:p w14:paraId="46366B59" w14:textId="298BBB15" w:rsidR="00A22D3A" w:rsidRDefault="00A22D3A" w:rsidP="00FA30C8">
      <w:pPr>
        <w:spacing w:before="120" w:after="120"/>
        <w:jc w:val="both"/>
        <w:rPr>
          <w:rFonts w:cs="Arial"/>
          <w:b/>
          <w:lang w:val="en-029"/>
        </w:rPr>
      </w:pPr>
      <w:r w:rsidRPr="00AB1AB5">
        <w:rPr>
          <w:rFonts w:cs="Arial"/>
          <w:b/>
          <w:lang w:val="en-029"/>
        </w:rPr>
        <w:t xml:space="preserve">Sub-component 3.1: Trade logistics and trade </w:t>
      </w:r>
      <w:r w:rsidR="00FF454A">
        <w:rPr>
          <w:rFonts w:cs="Arial"/>
          <w:b/>
          <w:lang w:val="en-029"/>
        </w:rPr>
        <w:t>facilitation (US$4.725 million)</w:t>
      </w:r>
      <w:r w:rsidR="00441AD1">
        <w:rPr>
          <w:rFonts w:cs="Arial"/>
          <w:b/>
          <w:lang w:val="en-029"/>
        </w:rPr>
        <w:t>.</w:t>
      </w:r>
    </w:p>
    <w:p w14:paraId="218F9EFA" w14:textId="1DD2A5CE" w:rsidR="00DF703E" w:rsidRPr="00DF703E" w:rsidRDefault="00A22D3A" w:rsidP="00DF703E">
      <w:pPr>
        <w:pStyle w:val="ListParagraph"/>
        <w:numPr>
          <w:ilvl w:val="2"/>
          <w:numId w:val="2"/>
        </w:numPr>
        <w:spacing w:before="120" w:after="120"/>
        <w:jc w:val="both"/>
        <w:rPr>
          <w:rFonts w:cs="Arial"/>
          <w:b/>
          <w:lang w:val="en-029"/>
        </w:rPr>
      </w:pPr>
      <w:r w:rsidRPr="00DF703E">
        <w:rPr>
          <w:rFonts w:cs="Arial"/>
          <w:b/>
          <w:lang w:val="en-029"/>
        </w:rPr>
        <w:t>Cargo Examination Facility (CEF)</w:t>
      </w:r>
      <w:r w:rsidR="00FA30C8" w:rsidRPr="00DF703E">
        <w:rPr>
          <w:rFonts w:cs="Arial"/>
          <w:b/>
          <w:lang w:val="en-029"/>
        </w:rPr>
        <w:t>.</w:t>
      </w:r>
      <w:r w:rsidR="00441AD1" w:rsidRPr="00DF703E">
        <w:rPr>
          <w:rFonts w:cs="Arial"/>
          <w:b/>
          <w:lang w:val="en-029"/>
        </w:rPr>
        <w:t xml:space="preserve"> </w:t>
      </w:r>
    </w:p>
    <w:p w14:paraId="20D68561" w14:textId="4D17B535" w:rsidR="00BD534F" w:rsidRPr="00DF703E" w:rsidRDefault="00A22D3A" w:rsidP="00DF703E">
      <w:pPr>
        <w:spacing w:before="120" w:after="120"/>
        <w:jc w:val="both"/>
        <w:rPr>
          <w:rFonts w:cs="Arial"/>
          <w:lang w:val="en-029"/>
        </w:rPr>
      </w:pPr>
      <w:r w:rsidRPr="00DF703E">
        <w:rPr>
          <w:rFonts w:cs="Arial"/>
          <w:lang w:val="en-029"/>
        </w:rPr>
        <w:t>CEFs are examination facilities housing equipment that enables rapid physical check-up of selected consignments. This type of infrastructure is key to assist customs departments and other government agencies involved in import and export to detect prohibited goods, including illicit drugs, illegal firearms, and other harmful goods such as contaminated plant or animal material, and allow for an efficient and centralized verification of compliance with existing requirements. By reducing the time consignments remain under customs control, CEFs provide the exporters and importers with faster clearance rates, while also enhancing compliance with increasingly stringent international demands for secure trade, without a major impact on legi</w:t>
      </w:r>
      <w:r w:rsidR="00FF454A" w:rsidRPr="00DF703E">
        <w:rPr>
          <w:rFonts w:cs="Arial"/>
          <w:lang w:val="en-029"/>
        </w:rPr>
        <w:t xml:space="preserve">timate container traffic flow. </w:t>
      </w:r>
    </w:p>
    <w:p w14:paraId="6FE6A102" w14:textId="49B5F218" w:rsidR="00A22D3A" w:rsidRDefault="00A22D3A" w:rsidP="00FA30C8">
      <w:pPr>
        <w:spacing w:before="120" w:after="120"/>
        <w:jc w:val="both"/>
        <w:rPr>
          <w:rFonts w:cs="Arial"/>
          <w:lang w:val="en-029"/>
        </w:rPr>
      </w:pPr>
      <w:r w:rsidRPr="00C36E44">
        <w:rPr>
          <w:rFonts w:cs="Arial"/>
          <w:lang w:val="en-029"/>
        </w:rPr>
        <w:t>The Seaport at Bridgetown, managed by Barbados Port Inc. (BPI), is one of the most modern ports in the Caribbean with a deep-water harbour a</w:t>
      </w:r>
      <w:r>
        <w:rPr>
          <w:rFonts w:cs="Arial"/>
          <w:lang w:val="en-029"/>
        </w:rPr>
        <w:t>nd a shallow draught facility. According to official figures, p</w:t>
      </w:r>
      <w:r w:rsidRPr="00C36E44">
        <w:rPr>
          <w:rFonts w:cs="Arial"/>
          <w:lang w:val="en-029"/>
        </w:rPr>
        <w:t>ort traf</w:t>
      </w:r>
      <w:r>
        <w:rPr>
          <w:rFonts w:cs="Arial"/>
          <w:lang w:val="en-029"/>
        </w:rPr>
        <w:t>fic is about 1 million tonnes and a</w:t>
      </w:r>
      <w:r w:rsidRPr="00C36E44">
        <w:rPr>
          <w:rFonts w:cs="Arial"/>
          <w:lang w:val="en-029"/>
        </w:rPr>
        <w:t>uthorities report 22 unloaded containers per</w:t>
      </w:r>
      <w:r>
        <w:rPr>
          <w:rFonts w:cs="Arial"/>
          <w:lang w:val="en-029"/>
        </w:rPr>
        <w:t xml:space="preserve"> hour.</w:t>
      </w:r>
      <w:r w:rsidRPr="00C36E44">
        <w:rPr>
          <w:rFonts w:cs="Arial"/>
          <w:lang w:val="en-029"/>
        </w:rPr>
        <w:t xml:space="preserve"> </w:t>
      </w:r>
      <w:r>
        <w:rPr>
          <w:rFonts w:cs="Arial"/>
          <w:lang w:val="en-029"/>
        </w:rPr>
        <w:t>To improve efficiency of import and export activities, in the early 2000s</w:t>
      </w:r>
      <w:r w:rsidRPr="0028612C">
        <w:rPr>
          <w:rFonts w:cs="Arial"/>
          <w:lang w:val="en-029"/>
        </w:rPr>
        <w:t xml:space="preserve">, </w:t>
      </w:r>
      <w:r>
        <w:rPr>
          <w:rFonts w:cs="Arial"/>
          <w:lang w:val="en-029"/>
        </w:rPr>
        <w:t>GoB had</w:t>
      </w:r>
      <w:r w:rsidRPr="0028612C">
        <w:rPr>
          <w:rFonts w:cs="Arial"/>
          <w:lang w:val="en-029"/>
        </w:rPr>
        <w:t xml:space="preserve"> started the design of a </w:t>
      </w:r>
      <w:r>
        <w:rPr>
          <w:rFonts w:cs="Arial"/>
          <w:lang w:val="en-029"/>
        </w:rPr>
        <w:t>CEF</w:t>
      </w:r>
      <w:r w:rsidRPr="0028612C">
        <w:rPr>
          <w:rFonts w:cs="Arial"/>
          <w:lang w:val="en-029"/>
        </w:rPr>
        <w:t xml:space="preserve"> </w:t>
      </w:r>
      <w:r>
        <w:rPr>
          <w:rFonts w:cs="Arial"/>
          <w:lang w:val="en-029"/>
        </w:rPr>
        <w:t xml:space="preserve">to be constructed in the port and </w:t>
      </w:r>
      <w:r w:rsidRPr="0028612C">
        <w:rPr>
          <w:rFonts w:cs="Arial"/>
          <w:lang w:val="en-029"/>
        </w:rPr>
        <w:t>mode</w:t>
      </w:r>
      <w:r>
        <w:rPr>
          <w:rFonts w:cs="Arial"/>
          <w:lang w:val="en-029"/>
        </w:rPr>
        <w:t>l</w:t>
      </w:r>
      <w:r w:rsidRPr="0028612C">
        <w:rPr>
          <w:rFonts w:cs="Arial"/>
          <w:lang w:val="en-029"/>
        </w:rPr>
        <w:t>led after the</w:t>
      </w:r>
      <w:r>
        <w:rPr>
          <w:rFonts w:cs="Arial"/>
          <w:lang w:val="en-029"/>
        </w:rPr>
        <w:t xml:space="preserve"> one in use at that time in</w:t>
      </w:r>
      <w:r w:rsidRPr="0028612C">
        <w:rPr>
          <w:rFonts w:cs="Arial"/>
          <w:lang w:val="en-029"/>
        </w:rPr>
        <w:t xml:space="preserve"> Trinidad and </w:t>
      </w:r>
      <w:r>
        <w:rPr>
          <w:rFonts w:cs="Arial"/>
          <w:lang w:val="en-029"/>
        </w:rPr>
        <w:t>Tobago. H</w:t>
      </w:r>
      <w:r w:rsidRPr="0028612C">
        <w:rPr>
          <w:rFonts w:cs="Arial"/>
          <w:lang w:val="en-029"/>
        </w:rPr>
        <w:t xml:space="preserve">owever, it was </w:t>
      </w:r>
      <w:r>
        <w:rPr>
          <w:rFonts w:cs="Arial"/>
          <w:lang w:val="en-029"/>
        </w:rPr>
        <w:t>never</w:t>
      </w:r>
      <w:r w:rsidRPr="0028612C">
        <w:rPr>
          <w:rFonts w:cs="Arial"/>
          <w:lang w:val="en-029"/>
        </w:rPr>
        <w:t xml:space="preserve"> fully completed. </w:t>
      </w:r>
      <w:r>
        <w:rPr>
          <w:rFonts w:cs="Arial"/>
          <w:lang w:val="en-029"/>
        </w:rPr>
        <w:t>Later, t</w:t>
      </w:r>
      <w:r w:rsidRPr="0028612C">
        <w:rPr>
          <w:rFonts w:cs="Arial"/>
          <w:lang w:val="en-029"/>
        </w:rPr>
        <w:t xml:space="preserve">he 2008 </w:t>
      </w:r>
      <w:r>
        <w:rPr>
          <w:rFonts w:cs="Arial"/>
          <w:lang w:val="en-029"/>
        </w:rPr>
        <w:t>report</w:t>
      </w:r>
      <w:r w:rsidRPr="0028612C">
        <w:rPr>
          <w:rFonts w:cs="Arial"/>
          <w:lang w:val="en-029"/>
        </w:rPr>
        <w:t xml:space="preserve"> “</w:t>
      </w:r>
      <w:r w:rsidRPr="00323221">
        <w:rPr>
          <w:rFonts w:cs="Arial"/>
          <w:i/>
          <w:lang w:val="en-029"/>
        </w:rPr>
        <w:t>Strategy to Strengthen Trade Logistics and Trade Facilitation</w:t>
      </w:r>
      <w:r w:rsidRPr="0028612C">
        <w:rPr>
          <w:rFonts w:cs="Arial"/>
          <w:lang w:val="en-029"/>
        </w:rPr>
        <w:t>”</w:t>
      </w:r>
      <w:r>
        <w:rPr>
          <w:rFonts w:cs="Arial"/>
          <w:lang w:val="en-029"/>
        </w:rPr>
        <w:t xml:space="preserve"> financed by the IDB, revived the discussion and reinforced the importance of </w:t>
      </w:r>
      <w:r w:rsidRPr="0028612C">
        <w:rPr>
          <w:rFonts w:cs="Arial"/>
          <w:lang w:val="en-029"/>
        </w:rPr>
        <w:t>providing a single examination point to facilitate trade</w:t>
      </w:r>
      <w:r>
        <w:rPr>
          <w:rFonts w:cs="Arial"/>
          <w:lang w:val="en-029"/>
        </w:rPr>
        <w:t xml:space="preserve">. Following this recommendation, it was agreed to include this sub-component which was to finance the overall design of the facility. While BPI operates as the </w:t>
      </w:r>
      <w:r w:rsidRPr="0028612C">
        <w:rPr>
          <w:rFonts w:cs="Arial"/>
          <w:lang w:val="en-029"/>
        </w:rPr>
        <w:t>Border Inspection Post,</w:t>
      </w:r>
      <w:r>
        <w:rPr>
          <w:rFonts w:cs="Arial"/>
          <w:lang w:val="en-029"/>
        </w:rPr>
        <w:t xml:space="preserve"> these activities required very close collaboration </w:t>
      </w:r>
      <w:r w:rsidRPr="00AB1AB5">
        <w:rPr>
          <w:rFonts w:cs="Arial"/>
          <w:lang w:val="en-029"/>
        </w:rPr>
        <w:t>with all the agencies involved in the examination of good</w:t>
      </w:r>
      <w:r>
        <w:rPr>
          <w:rFonts w:cs="Arial"/>
          <w:lang w:val="en-029"/>
        </w:rPr>
        <w:t xml:space="preserve">s, such as the </w:t>
      </w:r>
      <w:r w:rsidRPr="0028612C">
        <w:rPr>
          <w:rFonts w:cs="Arial"/>
          <w:lang w:val="en-029"/>
        </w:rPr>
        <w:t xml:space="preserve">Customs and Excise Department (CED) </w:t>
      </w:r>
      <w:r>
        <w:rPr>
          <w:rFonts w:cs="Arial"/>
          <w:lang w:val="en-029"/>
        </w:rPr>
        <w:t>as well as</w:t>
      </w:r>
      <w:r w:rsidRPr="00480B87">
        <w:rPr>
          <w:rFonts w:cs="Arial"/>
          <w:lang w:val="en-029"/>
        </w:rPr>
        <w:t xml:space="preserve"> plant quarantine, veterinary quarant</w:t>
      </w:r>
      <w:r>
        <w:rPr>
          <w:rFonts w:cs="Arial"/>
          <w:lang w:val="en-029"/>
        </w:rPr>
        <w:t>ine, commerce and port health, c</w:t>
      </w:r>
      <w:r w:rsidRPr="00480B87">
        <w:rPr>
          <w:rFonts w:cs="Arial"/>
          <w:lang w:val="en-029"/>
        </w:rPr>
        <w:t>ustoms brokers</w:t>
      </w:r>
      <w:r>
        <w:rPr>
          <w:rFonts w:cs="Arial"/>
          <w:lang w:val="en-029"/>
        </w:rPr>
        <w:t>,</w:t>
      </w:r>
      <w:r w:rsidRPr="00480B87">
        <w:rPr>
          <w:rFonts w:cs="Arial"/>
          <w:lang w:val="en-029"/>
        </w:rPr>
        <w:t xml:space="preserve"> and trade operators</w:t>
      </w:r>
      <w:r>
        <w:rPr>
          <w:rFonts w:cs="Arial"/>
          <w:lang w:val="en-029"/>
        </w:rPr>
        <w:t>.</w:t>
      </w:r>
    </w:p>
    <w:p w14:paraId="3D9DF444" w14:textId="20A138BE" w:rsidR="00BD534F" w:rsidRDefault="00A22D3A" w:rsidP="00FA30C8">
      <w:pPr>
        <w:spacing w:before="120" w:after="120"/>
        <w:jc w:val="both"/>
        <w:rPr>
          <w:rFonts w:cs="Arial"/>
          <w:lang w:val="en-029"/>
        </w:rPr>
      </w:pPr>
      <w:r>
        <w:rPr>
          <w:rFonts w:cs="Arial"/>
          <w:lang w:val="en-029"/>
        </w:rPr>
        <w:t xml:space="preserve">In 2015, the study was successfully completed and included (i) the operational design of the </w:t>
      </w:r>
      <w:r w:rsidRPr="00C2014B">
        <w:rPr>
          <w:rFonts w:cs="Arial"/>
          <w:lang w:val="en-029"/>
        </w:rPr>
        <w:t>CEF</w:t>
      </w:r>
      <w:r>
        <w:rPr>
          <w:rFonts w:cs="Arial"/>
          <w:lang w:val="en-029"/>
        </w:rPr>
        <w:t>; (ii)</w:t>
      </w:r>
      <w:r w:rsidRPr="00C2014B">
        <w:rPr>
          <w:rFonts w:cs="Arial"/>
          <w:lang w:val="en-029"/>
        </w:rPr>
        <w:t xml:space="preserve"> the layout to maximize movement of containers and minimize idle times</w:t>
      </w:r>
      <w:r>
        <w:rPr>
          <w:rFonts w:cs="Arial"/>
          <w:lang w:val="en-029"/>
        </w:rPr>
        <w:t>; (iii) the definition of</w:t>
      </w:r>
      <w:r w:rsidRPr="00C2014B">
        <w:rPr>
          <w:rFonts w:cs="Arial"/>
          <w:lang w:val="en-029"/>
        </w:rPr>
        <w:t xml:space="preserve"> specific equipment/ facility requirements to satisfy all of the agencies pre-requisites for inspection</w:t>
      </w:r>
      <w:r>
        <w:rPr>
          <w:rFonts w:cs="Arial"/>
          <w:lang w:val="en-029"/>
        </w:rPr>
        <w:t>; (iv) the definition of</w:t>
      </w:r>
      <w:r w:rsidRPr="00C2014B">
        <w:rPr>
          <w:rFonts w:cs="Arial"/>
          <w:lang w:val="en-029"/>
        </w:rPr>
        <w:t xml:space="preserve"> operational procedures and security measures</w:t>
      </w:r>
      <w:r>
        <w:rPr>
          <w:rFonts w:cs="Arial"/>
          <w:lang w:val="en-029"/>
        </w:rPr>
        <w:t xml:space="preserve">; (v) a </w:t>
      </w:r>
      <w:r w:rsidRPr="00C2014B">
        <w:rPr>
          <w:rFonts w:cs="Arial"/>
          <w:lang w:val="en-029"/>
        </w:rPr>
        <w:t>detailed cost analysis</w:t>
      </w:r>
      <w:r>
        <w:rPr>
          <w:rFonts w:cs="Arial"/>
          <w:lang w:val="en-029"/>
        </w:rPr>
        <w:t>; (vi) recommendations on</w:t>
      </w:r>
      <w:r w:rsidRPr="00C2014B">
        <w:rPr>
          <w:rFonts w:cs="Arial"/>
          <w:lang w:val="en-029"/>
        </w:rPr>
        <w:t xml:space="preserve"> the most appropriate economic utilization system </w:t>
      </w:r>
      <w:r>
        <w:rPr>
          <w:rFonts w:cs="Arial"/>
          <w:lang w:val="en-029"/>
        </w:rPr>
        <w:t>taking into account</w:t>
      </w:r>
      <w:r w:rsidRPr="00C2014B">
        <w:rPr>
          <w:rFonts w:cs="Arial"/>
          <w:lang w:val="en-029"/>
        </w:rPr>
        <w:t xml:space="preserve"> </w:t>
      </w:r>
      <w:r>
        <w:rPr>
          <w:rFonts w:cs="Arial"/>
          <w:lang w:val="en-029"/>
        </w:rPr>
        <w:t>financial viability and</w:t>
      </w:r>
      <w:r w:rsidRPr="00C2014B">
        <w:rPr>
          <w:rFonts w:cs="Arial"/>
          <w:lang w:val="en-029"/>
        </w:rPr>
        <w:t xml:space="preserve"> competitiveness</w:t>
      </w:r>
      <w:r>
        <w:rPr>
          <w:rFonts w:cs="Arial"/>
          <w:lang w:val="en-029"/>
        </w:rPr>
        <w:t>; and (vii) a</w:t>
      </w:r>
      <w:r w:rsidRPr="00C2014B">
        <w:rPr>
          <w:rFonts w:cs="Arial"/>
          <w:lang w:val="en-029"/>
        </w:rPr>
        <w:t xml:space="preserve"> draft set of protocols to govern the operation of all regulatory agencies and management of the facility</w:t>
      </w:r>
      <w:r>
        <w:rPr>
          <w:rFonts w:cs="Arial"/>
          <w:lang w:val="en-029"/>
        </w:rPr>
        <w:t xml:space="preserve">. </w:t>
      </w:r>
      <w:r w:rsidRPr="0011726F">
        <w:rPr>
          <w:rFonts w:cs="Arial"/>
          <w:lang w:val="en-029"/>
        </w:rPr>
        <w:t xml:space="preserve">With </w:t>
      </w:r>
      <w:r>
        <w:rPr>
          <w:rFonts w:cs="Arial"/>
          <w:lang w:val="en-029"/>
        </w:rPr>
        <w:t>this</w:t>
      </w:r>
      <w:r w:rsidRPr="0011726F">
        <w:rPr>
          <w:rFonts w:cs="Arial"/>
          <w:lang w:val="en-029"/>
        </w:rPr>
        <w:t xml:space="preserve"> feasib</w:t>
      </w:r>
      <w:r>
        <w:rPr>
          <w:rFonts w:cs="Arial"/>
          <w:lang w:val="en-029"/>
        </w:rPr>
        <w:t xml:space="preserve">ility study and </w:t>
      </w:r>
      <w:r w:rsidRPr="0011726F">
        <w:rPr>
          <w:rFonts w:cs="Arial"/>
          <w:lang w:val="en-029"/>
        </w:rPr>
        <w:t xml:space="preserve">conceptual design </w:t>
      </w:r>
      <w:r>
        <w:rPr>
          <w:rFonts w:cs="Arial"/>
          <w:lang w:val="en-029"/>
        </w:rPr>
        <w:t xml:space="preserve">and the training to CED officials </w:t>
      </w:r>
      <w:r w:rsidRPr="0011726F">
        <w:rPr>
          <w:rFonts w:cs="Arial"/>
          <w:lang w:val="en-029"/>
        </w:rPr>
        <w:t>already delivered, the next step will be to move into construction</w:t>
      </w:r>
      <w:r>
        <w:rPr>
          <w:rFonts w:cs="Arial"/>
          <w:lang w:val="en-029"/>
        </w:rPr>
        <w:t xml:space="preserve">. In terms of the results foreseen under the project, </w:t>
      </w:r>
      <w:r w:rsidRPr="00226D7E">
        <w:rPr>
          <w:rFonts w:cs="Arial"/>
          <w:i/>
          <w:lang w:val="en-029"/>
        </w:rPr>
        <w:t>Output #1: Comprehensive plan for Cargo Examination Facility (CEF) and logistical support systems fully elaborated was achieved</w:t>
      </w:r>
      <w:r>
        <w:rPr>
          <w:rFonts w:cs="Arial"/>
          <w:lang w:val="en-029"/>
        </w:rPr>
        <w:t xml:space="preserve"> and GoB indicated that the </w:t>
      </w:r>
      <w:r w:rsidR="00AA0268">
        <w:rPr>
          <w:rFonts w:cs="Arial"/>
          <w:lang w:val="en-029"/>
        </w:rPr>
        <w:t xml:space="preserve">physical </w:t>
      </w:r>
      <w:r>
        <w:rPr>
          <w:rFonts w:cs="Arial"/>
          <w:lang w:val="en-029"/>
        </w:rPr>
        <w:t>location has already been identified and that discussions regarding the identification of necessary funding are underway</w:t>
      </w:r>
      <w:r w:rsidRPr="0011726F">
        <w:rPr>
          <w:rFonts w:cs="Arial"/>
          <w:lang w:val="en-029"/>
        </w:rPr>
        <w:t xml:space="preserve">. </w:t>
      </w:r>
    </w:p>
    <w:p w14:paraId="3C293B97" w14:textId="5A81AC34" w:rsidR="00BD534F" w:rsidRPr="00DF703E" w:rsidRDefault="00A22D3A" w:rsidP="00DF703E">
      <w:pPr>
        <w:spacing w:before="120" w:after="120"/>
        <w:jc w:val="both"/>
        <w:rPr>
          <w:rFonts w:cs="Arial"/>
          <w:lang w:val="en-029"/>
        </w:rPr>
      </w:pPr>
      <w:r>
        <w:rPr>
          <w:rFonts w:cs="Arial"/>
          <w:lang w:val="en-029"/>
        </w:rPr>
        <w:t xml:space="preserve">While these results are fully in line with the consultancy’s objective and received very positive feedback from a great number of stakeholders, the </w:t>
      </w:r>
      <w:r w:rsidRPr="00226D7E">
        <w:rPr>
          <w:rFonts w:cs="Arial"/>
          <w:i/>
          <w:lang w:val="en-029"/>
        </w:rPr>
        <w:t>Outcome</w:t>
      </w:r>
      <w:r>
        <w:rPr>
          <w:rFonts w:cs="Arial"/>
          <w:lang w:val="en-029"/>
        </w:rPr>
        <w:t xml:space="preserve"> </w:t>
      </w:r>
      <w:r w:rsidRPr="00F13CC2">
        <w:rPr>
          <w:rFonts w:cs="Arial"/>
          <w:i/>
          <w:lang w:val="en-029"/>
        </w:rPr>
        <w:t>Indicator #1: Service Based Plan for the CEF</w:t>
      </w:r>
      <w:r>
        <w:rPr>
          <w:rFonts w:cs="Arial"/>
          <w:lang w:val="en-029"/>
        </w:rPr>
        <w:t xml:space="preserve"> linked to this sub-component required a confirmation on the certification of the Service Based Plan based on audits of the agencies participating in the CEF. This outcome, however, was never foreseen in the original results framework approved by the Board as part of the overall </w:t>
      </w:r>
      <w:r w:rsidRPr="00E8005C">
        <w:rPr>
          <w:rFonts w:cs="Arial"/>
          <w:lang w:val="en-029"/>
        </w:rPr>
        <w:t>loan proposal</w:t>
      </w:r>
      <w:r>
        <w:rPr>
          <w:rFonts w:cs="Arial"/>
          <w:lang w:val="en-029"/>
        </w:rPr>
        <w:t xml:space="preserve">. That document </w:t>
      </w:r>
      <w:r w:rsidRPr="00E8005C">
        <w:rPr>
          <w:rFonts w:cs="Arial"/>
          <w:lang w:val="en-029"/>
        </w:rPr>
        <w:t>only refers to the conceptual design of the CEF and the training for staff. The new Outcome indicator was introduced later on as part of the revision of reporting mechanisms of the Bank</w:t>
      </w:r>
      <w:r>
        <w:rPr>
          <w:rFonts w:cs="Arial"/>
          <w:lang w:val="en-029"/>
        </w:rPr>
        <w:t xml:space="preserve"> but activities financed under the project were never expanded to support the dissemination of the plan and enforce its implementation. In addition, the provisions of the plan are designed for a context in which the actual CEF infrastructure is in place, so having </w:t>
      </w:r>
      <w:r>
        <w:rPr>
          <w:rFonts w:cs="Arial"/>
          <w:lang w:val="en-029"/>
        </w:rPr>
        <w:lastRenderedPageBreak/>
        <w:t>participating agencies adopt the provisions prior to that would have broug</w:t>
      </w:r>
      <w:r w:rsidR="00DF703E">
        <w:rPr>
          <w:rFonts w:cs="Arial"/>
          <w:lang w:val="en-029"/>
        </w:rPr>
        <w:t>ht about additional challenges.</w:t>
      </w:r>
    </w:p>
    <w:p w14:paraId="2B62B554" w14:textId="033C2C28" w:rsidR="00BD534F" w:rsidRPr="00FF454A" w:rsidRDefault="00A22D3A" w:rsidP="00FF454A">
      <w:pPr>
        <w:rPr>
          <w:rFonts w:cs="Arial"/>
          <w:b/>
          <w:lang w:val="en-029"/>
        </w:rPr>
      </w:pPr>
      <w:r w:rsidRPr="00EA71CF">
        <w:rPr>
          <w:rFonts w:cs="Arial"/>
          <w:b/>
          <w:lang w:val="en-029"/>
        </w:rPr>
        <w:t>3.1.2 Electronic</w:t>
      </w:r>
      <w:r w:rsidR="00FF454A">
        <w:rPr>
          <w:rFonts w:cs="Arial"/>
          <w:b/>
          <w:lang w:val="en-029"/>
        </w:rPr>
        <w:t xml:space="preserve"> Single Window (ESW) </w:t>
      </w:r>
    </w:p>
    <w:p w14:paraId="213910DC" w14:textId="03E13EAE" w:rsidR="00BD534F" w:rsidRPr="00FA30C8" w:rsidRDefault="00A22D3A" w:rsidP="00FA30C8">
      <w:pPr>
        <w:spacing w:before="120" w:after="120"/>
        <w:jc w:val="both"/>
        <w:rPr>
          <w:rFonts w:cs="Arial"/>
          <w:lang w:val="en-029"/>
        </w:rPr>
      </w:pPr>
      <w:r w:rsidRPr="00FA30C8">
        <w:rPr>
          <w:rFonts w:cs="Arial"/>
          <w:lang w:val="en-029"/>
        </w:rPr>
        <w:t>For a small country dependent on imports, with several agencies involved in the trade process, and the need to mobilize resources, a single window approach to border transactions is a policy considered best practice. An ESW allows parties involved in international trade and transport to file electronically standardized information and documents at a single-entry point in order to fulfil all import, export, and transit-related regulatory requirements. A simplified process based on a paperless platform improves revenues and reduces public costs, a win-win for both public and private agents. Several countries, including Trinidad and Tobago, have developed such one-stop shops for trade, investment, and other government-intensive processes.</w:t>
      </w:r>
    </w:p>
    <w:p w14:paraId="1838CB4C" w14:textId="4F9D4C00" w:rsidR="00BD534F" w:rsidRPr="00FA30C8" w:rsidRDefault="00A22D3A" w:rsidP="00FA30C8">
      <w:pPr>
        <w:spacing w:before="120" w:after="120"/>
        <w:jc w:val="both"/>
        <w:rPr>
          <w:rFonts w:cs="Arial"/>
          <w:lang w:val="en-029"/>
        </w:rPr>
      </w:pPr>
      <w:r w:rsidRPr="00FA30C8">
        <w:rPr>
          <w:rFonts w:cs="Arial"/>
          <w:lang w:val="en-029"/>
        </w:rPr>
        <w:t>Under the system in use at the time of project preparation, traders were faced with a confusing set of redundant reporting requirements, forms, systems, data sets, data models, and messages. This added enormous costs for all parties concerned, both in terms of fiscal resources as well as timeliness and accuracy of data. The ability to handle data efficiently and swiftly has, in fact, become a key element in international competitiveness, especially in international supply chains. ESWs provide the best way of balancing the often-opposing forces of compliance mana</w:t>
      </w:r>
      <w:r w:rsidR="00FF454A" w:rsidRPr="00FA30C8">
        <w:rPr>
          <w:rFonts w:cs="Arial"/>
          <w:lang w:val="en-029"/>
        </w:rPr>
        <w:t xml:space="preserve">gement and trade facilitation. </w:t>
      </w:r>
    </w:p>
    <w:p w14:paraId="3C80C534" w14:textId="30037B42" w:rsidR="00BD534F" w:rsidRPr="00FA30C8" w:rsidRDefault="00A22D3A" w:rsidP="00FA30C8">
      <w:pPr>
        <w:spacing w:before="120" w:after="120"/>
        <w:jc w:val="both"/>
        <w:rPr>
          <w:rFonts w:cs="Arial"/>
          <w:lang w:val="en-029"/>
        </w:rPr>
      </w:pPr>
      <w:r w:rsidRPr="00FA30C8">
        <w:rPr>
          <w:rFonts w:cs="Arial"/>
          <w:lang w:val="en-029"/>
        </w:rPr>
        <w:t>Developing an ESW was therefore declared a strategic objective for Barbados, as it constitutes a critical part of the country’s vision to be a regional logistics hub. Following international good practices, the BCP project included the design and development of an ESW. With a budget (after relocations) of nearly US$7.9 million (almost 70 percent of the total budget), the Barbados Electronic Single Window was the centrepiece of the BCP.</w:t>
      </w:r>
    </w:p>
    <w:p w14:paraId="1A13BE7B" w14:textId="5C971921" w:rsidR="00BD534F" w:rsidRPr="00FA30C8" w:rsidRDefault="00A22D3A" w:rsidP="00FA30C8">
      <w:pPr>
        <w:spacing w:before="120" w:after="120"/>
        <w:jc w:val="both"/>
        <w:rPr>
          <w:rFonts w:cs="Arial"/>
          <w:lang w:val="en-029"/>
        </w:rPr>
      </w:pPr>
      <w:r w:rsidRPr="00FA30C8">
        <w:rPr>
          <w:rFonts w:cs="Arial"/>
          <w:lang w:val="en-029"/>
        </w:rPr>
        <w:t xml:space="preserve">The program included: (i) the preparation of technical tender documents, the evaluation for the selection of a firm to develop the ESW, as well as a separate tender for the acquisition of an agency-wide Trade Document Management System; (ii) the procurement of all the necessary software and hardware so that all agencies would be capable of fully integrating into the ESW and fully converting into paperless electronic format; (iii) the procurement of the ESW facility; (iv) the necessary training for both the public and private sector; and (v) the necessary upgrades of the Automated SYstem for CUstoms DAta (ASYCUDA ++) system into ASYCUDA WORLD for the CED and the management information system at BPI. </w:t>
      </w:r>
    </w:p>
    <w:p w14:paraId="5B760F80" w14:textId="7F694DD1" w:rsidR="00BD534F" w:rsidRPr="00FA30C8" w:rsidRDefault="00A22D3A" w:rsidP="00FA30C8">
      <w:pPr>
        <w:spacing w:before="120" w:after="120"/>
        <w:jc w:val="both"/>
        <w:rPr>
          <w:rFonts w:cs="Arial"/>
          <w:lang w:val="en-029"/>
        </w:rPr>
      </w:pPr>
      <w:r w:rsidRPr="00FA30C8">
        <w:rPr>
          <w:rFonts w:cs="Arial"/>
          <w:lang w:val="en-029"/>
        </w:rPr>
        <w:t>Despite a number of challenges in implementation that will be discussed below, the ESW was formally launched in February 2017, making Barbados the second country in the English-speaking Caribbean to have a state-of-the-art operational Single Window for international trade. The country now has a central web portal where private sector users will be able obtain regulatory information affecting their imported, exported or in-transit goods and will also be able to obtain the requisite forms, file the necessary permits and licenses, and initiate the clearance of goods seamlessly from a single location.</w:t>
      </w:r>
      <w:r w:rsidR="00FF454A" w:rsidRPr="00FA30C8">
        <w:rPr>
          <w:rFonts w:cs="Arial"/>
          <w:lang w:val="en-029"/>
        </w:rPr>
        <w:t xml:space="preserve"> </w:t>
      </w:r>
    </w:p>
    <w:p w14:paraId="0CC05658" w14:textId="491D3FE4" w:rsidR="00BD534F" w:rsidRPr="00FA30C8" w:rsidRDefault="00A22D3A" w:rsidP="00FA30C8">
      <w:pPr>
        <w:spacing w:before="120" w:after="120"/>
        <w:jc w:val="both"/>
        <w:rPr>
          <w:rFonts w:cs="Arial"/>
          <w:lang w:val="en-029"/>
        </w:rPr>
      </w:pPr>
      <w:r w:rsidRPr="00FA30C8">
        <w:rPr>
          <w:rFonts w:cs="Arial"/>
          <w:lang w:val="en-029"/>
        </w:rPr>
        <w:t>As part of the effort, the project also financed the development of a Trade Document Management System (TDMS) as an integral input for the ESW since it allows for the conversion of the paper based forms currently used in the processes related to the approval or issuing of licenses, permits, certificates and other documents (LPCOs) into electronic forms. In total, 89 paper-based LPCOs were converted into electronic forms which enables ESW users to process documents such as import license requests online. The project also delivered a user-friendly harmonized system (HS) classification tool that defines a code for every type of good and is used as the principal means of identifying those commodities that are subject to regulatory controls and measures for all agencies.</w:t>
      </w:r>
      <w:r w:rsidRPr="00FA30C8">
        <w:rPr>
          <w:rFonts w:cs="Arial" w:hint="eastAsia"/>
          <w:lang w:val="en-029"/>
        </w:rPr>
        <w:t xml:space="preserve"> T</w:t>
      </w:r>
      <w:r w:rsidRPr="00FA30C8">
        <w:rPr>
          <w:rFonts w:cs="Arial"/>
          <w:lang w:val="en-029"/>
        </w:rPr>
        <w:t xml:space="preserve">he tool enables immediate and accurate HS classification (in the case of goods which </w:t>
      </w:r>
      <w:r w:rsidRPr="00FA30C8">
        <w:rPr>
          <w:rFonts w:cs="Arial"/>
          <w:lang w:val="en-029"/>
        </w:rPr>
        <w:lastRenderedPageBreak/>
        <w:t>have not yet been classified) and HS code verification (in the case of goods which have already been classified) to provide a clear path to the appropriate processing.</w:t>
      </w:r>
    </w:p>
    <w:p w14:paraId="5E6BBE82" w14:textId="752FC998" w:rsidR="00BD534F" w:rsidRPr="00FA30C8" w:rsidRDefault="00A22D3A" w:rsidP="00FA30C8">
      <w:pPr>
        <w:spacing w:before="120" w:after="120"/>
        <w:jc w:val="both"/>
        <w:rPr>
          <w:rFonts w:cs="Arial"/>
          <w:lang w:val="en-029"/>
        </w:rPr>
      </w:pPr>
      <w:r w:rsidRPr="00FA30C8">
        <w:rPr>
          <w:rFonts w:cs="Arial"/>
          <w:lang w:val="en-029"/>
        </w:rPr>
        <w:t>Despite all these important achievements, there are several issues that negatively impacted the timely implementation of activities under this sub-component. Some issues were due to the complex project design and challenges that also impacted other components, such as the lack of appropriate local skills and cumbersome procurement processes. A great number of issues was, however, beyond the project scope and the control of the PEU.</w:t>
      </w:r>
    </w:p>
    <w:p w14:paraId="1CF51E3D" w14:textId="05656CF3" w:rsidR="00BD534F" w:rsidRPr="00FA30C8" w:rsidRDefault="00A22D3A" w:rsidP="00FA30C8">
      <w:pPr>
        <w:spacing w:before="120" w:after="120"/>
        <w:jc w:val="both"/>
        <w:rPr>
          <w:rFonts w:cs="Arial"/>
          <w:lang w:val="en-029"/>
        </w:rPr>
      </w:pPr>
      <w:r w:rsidRPr="00FA30C8">
        <w:rPr>
          <w:rFonts w:cs="Arial"/>
          <w:lang w:val="en-029"/>
        </w:rPr>
        <w:t xml:space="preserve">One issue that stands out, according to the findings of the independent evaluator, was the shortfall of institutional clarity and perceived lack of senior management support. One major event with direct impact on these activities of the project was the creation of the Barbados Revenue Authority (BRA) in April 2014, a super-agency merging several existing agencies and departments grouping the functions of the CED, Inland Revenue Department, Licensing Authority, VAT Office, and Land Tax Department. While institutional arrangements were long unclear, it was finally announced in 2016 that the CED was to be housed under BRA and that the latter was to be the host for the ESW operation. Scheduled to complete transition into the new agency by April 2016, Customs entered a period of uncertainty and resisted the transition. At the writing of this report, CED remains separated from BRA which had enormous implications for all activities related to the ESW.  </w:t>
      </w:r>
    </w:p>
    <w:p w14:paraId="22C32CDC" w14:textId="75C188E6" w:rsidR="00BD534F" w:rsidRPr="00FA30C8" w:rsidRDefault="00A22D3A" w:rsidP="00FA30C8">
      <w:pPr>
        <w:spacing w:before="120" w:after="120"/>
        <w:jc w:val="both"/>
        <w:rPr>
          <w:rFonts w:cs="Arial"/>
          <w:lang w:val="en-029"/>
        </w:rPr>
      </w:pPr>
      <w:r w:rsidRPr="00FA30C8">
        <w:rPr>
          <w:rFonts w:cs="Arial"/>
          <w:lang w:val="en-029"/>
        </w:rPr>
        <w:t xml:space="preserve">Another indicator for the lack of political ownership was the fact that some high officers from key agencies repeatedly missed the Steering Committee meetings. The most notable absences were from CED and BRA representatives, the two key agencies in terms of participation and responsibility. Even if close collaboration was key for the project’s sustainability, top management at BRA was not co-opted into the project and hence did not become a champion for the initiative. Together with a number of coordination issues with UNCTAD, this further delayed the implementation, especially on issues regarding the ASYCUDA system going live and the </w:t>
      </w:r>
      <w:r w:rsidRPr="00FA30C8">
        <w:rPr>
          <w:rFonts w:eastAsia="Bookman Old Style" w:cs="Arial"/>
        </w:rPr>
        <w:t>work on the interface end-points</w:t>
      </w:r>
      <w:r w:rsidRPr="00FA30C8">
        <w:rPr>
          <w:rFonts w:cs="Arial"/>
          <w:lang w:val="en-029"/>
        </w:rPr>
        <w:t xml:space="preserve"> between both systems that need to be in place to allow for full automation of the process. Adding to the challenges, a joint institutional arrangement and line of reporting was missing since the PEU, in charge of the ESW design and implementation, was part of the Division of Economics Affairs, while BRA, the designated future operator of the ESW, is institutionally linked to</w:t>
      </w:r>
      <w:r w:rsidR="00FF454A" w:rsidRPr="00FA30C8">
        <w:rPr>
          <w:rFonts w:cs="Arial"/>
          <w:lang w:val="en-029"/>
        </w:rPr>
        <w:t xml:space="preserve"> the Division of Finance. </w:t>
      </w:r>
    </w:p>
    <w:p w14:paraId="2B845213" w14:textId="51BC31D9" w:rsidR="00BD534F" w:rsidRPr="00FA30C8" w:rsidRDefault="00A22D3A" w:rsidP="00FA30C8">
      <w:pPr>
        <w:spacing w:before="120" w:after="120"/>
        <w:jc w:val="both"/>
        <w:rPr>
          <w:rFonts w:cs="Arial"/>
          <w:lang w:val="en-029"/>
        </w:rPr>
      </w:pPr>
      <w:r w:rsidRPr="00FA30C8">
        <w:rPr>
          <w:rFonts w:cs="Arial"/>
          <w:lang w:val="en-029"/>
        </w:rPr>
        <w:t>This illustrates how the PEU had limited capacity to force other agencies into compliance, acting more as coordinators and facilitators, rather than actual executors of the program and its components. These challenges were sought to be remedied by the hiring of an international trade facilitation adviser in 2015, which did have a very positive effect on moving discussions and decisions forward. However, the vacuum generated by the lack of a clear political strategy and ownership created challenges that were still impossible to overcome.</w:t>
      </w:r>
    </w:p>
    <w:p w14:paraId="0DC33094" w14:textId="60C1EB75" w:rsidR="00BD534F" w:rsidRPr="00FA30C8" w:rsidRDefault="00A22D3A" w:rsidP="00FA30C8">
      <w:pPr>
        <w:spacing w:before="120" w:after="120"/>
        <w:jc w:val="both"/>
        <w:rPr>
          <w:rFonts w:cs="Arial"/>
          <w:lang w:val="en-029"/>
        </w:rPr>
      </w:pPr>
      <w:r w:rsidRPr="00FA30C8">
        <w:rPr>
          <w:rFonts w:cs="Arial"/>
          <w:lang w:val="en-029"/>
        </w:rPr>
        <w:t>These are some of the reasons for why, even if the ESW was launched in February, as of today there are still no formal transactions in the platform. While participating government agencies are starting to sign-in into the system, the positive effects on import, export, and transit-related efficiency gains will require time and, in parallel, furt</w:t>
      </w:r>
      <w:r w:rsidR="008B7075" w:rsidRPr="00FA30C8">
        <w:rPr>
          <w:rFonts w:cs="Arial"/>
          <w:lang w:val="en-029"/>
        </w:rPr>
        <w:t>her work is required to ensure full automation and synchronization between systems</w:t>
      </w:r>
      <w:r w:rsidRPr="00FA30C8">
        <w:rPr>
          <w:rFonts w:cs="Arial"/>
          <w:lang w:val="en-029"/>
        </w:rPr>
        <w:t>. This is also why both indicators linked to this sub-component (</w:t>
      </w:r>
      <w:r w:rsidRPr="00FA30C8">
        <w:rPr>
          <w:rFonts w:cs="Arial"/>
          <w:i/>
          <w:lang w:val="en-029"/>
        </w:rPr>
        <w:t>Indicator #2: Dwell time (time required for goods to clear Customs)</w:t>
      </w:r>
      <w:r w:rsidRPr="00FA30C8">
        <w:rPr>
          <w:rFonts w:cs="Arial"/>
          <w:lang w:val="en-029"/>
        </w:rPr>
        <w:t xml:space="preserve"> and </w:t>
      </w:r>
      <w:r w:rsidRPr="00FA30C8">
        <w:rPr>
          <w:rFonts w:cs="Arial"/>
          <w:i/>
          <w:lang w:val="en-029"/>
        </w:rPr>
        <w:t>Indicator #3: Total volume of customs declarations processed per year</w:t>
      </w:r>
      <w:r w:rsidRPr="00FA30C8">
        <w:rPr>
          <w:rFonts w:cs="Arial"/>
          <w:lang w:val="en-029"/>
        </w:rPr>
        <w:t xml:space="preserve">) were not achieved.  </w:t>
      </w:r>
    </w:p>
    <w:p w14:paraId="1195F22F" w14:textId="77777777" w:rsidR="00DF703E" w:rsidRDefault="00A22D3A" w:rsidP="00FA30C8">
      <w:pPr>
        <w:spacing w:before="120" w:after="120"/>
        <w:jc w:val="both"/>
        <w:rPr>
          <w:rFonts w:cs="Arial"/>
          <w:b/>
          <w:lang w:val="en-029"/>
        </w:rPr>
      </w:pPr>
      <w:r w:rsidRPr="00FA30C8">
        <w:rPr>
          <w:rFonts w:cs="Arial"/>
          <w:b/>
          <w:lang w:val="en-029"/>
        </w:rPr>
        <w:t>Sub-component 3.3: Enhanced access to infrastructure through Public Private Partnerships (PP</w:t>
      </w:r>
      <w:r w:rsidR="00FF454A" w:rsidRPr="00FA30C8">
        <w:rPr>
          <w:rFonts w:cs="Arial"/>
          <w:b/>
          <w:lang w:val="en-029"/>
        </w:rPr>
        <w:t xml:space="preserve">Ps) (US$745,000). </w:t>
      </w:r>
    </w:p>
    <w:p w14:paraId="7A266540" w14:textId="145164D5" w:rsidR="00BD534F" w:rsidRPr="00FA30C8" w:rsidRDefault="00A22D3A" w:rsidP="00FA30C8">
      <w:pPr>
        <w:spacing w:before="120" w:after="120"/>
        <w:jc w:val="both"/>
        <w:rPr>
          <w:rFonts w:cs="Arial"/>
          <w:b/>
          <w:lang w:val="en-029"/>
        </w:rPr>
      </w:pPr>
      <w:r w:rsidRPr="00FA30C8">
        <w:rPr>
          <w:rFonts w:cs="Arial"/>
        </w:rPr>
        <w:t xml:space="preserve">Barbados faces a number of challenges to secure crucial investment in public services and infrastructure. Mainly, these are linked to limited fiscal and institutional capacity, which constrains </w:t>
      </w:r>
      <w:r w:rsidRPr="00FA30C8">
        <w:rPr>
          <w:rFonts w:cs="Arial"/>
        </w:rPr>
        <w:lastRenderedPageBreak/>
        <w:t>GoB’s ability to ensure not only the selection of the most sustainable and affordable projects, but also to execute these in the most cost-efficient manner. The involvement of the private sector through Public-Private Partnerships (PPPs) provides a potential solution to the dilemma of having to reduce deficits while at the same time providing the necessary infrastructure and relate</w:t>
      </w:r>
      <w:r w:rsidR="00FF454A" w:rsidRPr="00FA30C8">
        <w:rPr>
          <w:rFonts w:cs="Arial"/>
        </w:rPr>
        <w:t>d services to boost the economy.</w:t>
      </w:r>
    </w:p>
    <w:p w14:paraId="459A7558" w14:textId="5B87553C" w:rsidR="00BD534F" w:rsidRPr="00FA30C8" w:rsidRDefault="00A22D3A" w:rsidP="00FA30C8">
      <w:pPr>
        <w:spacing w:before="120" w:after="120"/>
        <w:jc w:val="both"/>
        <w:rPr>
          <w:rFonts w:cs="Arial"/>
        </w:rPr>
      </w:pPr>
      <w:r w:rsidRPr="00FA30C8">
        <w:rPr>
          <w:rFonts w:cs="Arial"/>
        </w:rPr>
        <w:t>The PPP model has demonstrated its viability, particularly in terms of a “value for money” criterion. This is especially true in areas such as health or education, which, being free at the point of sale to the tax payer, rely totally or principally on payments received from the public sector in return for services provided by the private sector. In most of these cases, the scope of services covered by the PPP agreement relates to a combination of assets and services essential to the provision, by the public sector, of its obligations with regard to health or education.</w:t>
      </w:r>
    </w:p>
    <w:p w14:paraId="7F65F62A" w14:textId="62239555" w:rsidR="00BD534F" w:rsidRPr="00FA30C8" w:rsidRDefault="00A22D3A" w:rsidP="00FA30C8">
      <w:pPr>
        <w:spacing w:before="120" w:after="120"/>
        <w:jc w:val="both"/>
        <w:rPr>
          <w:rFonts w:cs="Arial"/>
        </w:rPr>
      </w:pPr>
      <w:r w:rsidRPr="00FA30C8">
        <w:rPr>
          <w:rFonts w:cs="Arial"/>
        </w:rPr>
        <w:t>However, the identification, evaluation, development, procurement and subsequent contract management of a PPP represents a significant challenge to any government. Unlike Jamaica or Trinidad and Tobago, Barbados had yet to take concerted steps at an institutional or policy level to formally adopt PPPs as a procurement option. Nevertheless, the importance of exploring the potential of PPPs in Barbados is highlighted, among others, by the following issue as highlighted in a 2001 report commissioned by the Economic Commission for Latin America (ECLAC) “</w:t>
      </w:r>
      <w:r w:rsidRPr="00FA30C8">
        <w:rPr>
          <w:rFonts w:cs="Arial"/>
          <w:i/>
        </w:rPr>
        <w:t>The Public Sector is characterized by over-centralization and over-dependence on rigid regulations. The Barbados Public Sector is operating within the same modalities as it has for over the last 30 years, while the economy has grown significantly and society has become infinitely more complex. In addition, this has contributed to general tardiness in the implementation processes.</w:t>
      </w:r>
      <w:r w:rsidRPr="00FA30C8">
        <w:rPr>
          <w:rFonts w:cs="Arial"/>
        </w:rPr>
        <w:t>” (p. 10).</w:t>
      </w:r>
      <w:r w:rsidRPr="00FA30C8">
        <w:rPr>
          <w:rStyle w:val="FootnoteReference"/>
          <w:rFonts w:cs="Arial"/>
        </w:rPr>
        <w:footnoteReference w:id="12"/>
      </w:r>
    </w:p>
    <w:p w14:paraId="26E582F3" w14:textId="41B3B0F5" w:rsidR="00BD534F" w:rsidRPr="00FA30C8" w:rsidRDefault="00A22D3A" w:rsidP="00FA30C8">
      <w:pPr>
        <w:spacing w:before="120" w:after="120"/>
        <w:jc w:val="both"/>
        <w:rPr>
          <w:rFonts w:cs="Arial"/>
        </w:rPr>
      </w:pPr>
      <w:r w:rsidRPr="00FA30C8">
        <w:rPr>
          <w:rFonts w:cs="Arial"/>
        </w:rPr>
        <w:t xml:space="preserve">In line with the above, the overall objective of this sub-component was to develop a tailored </w:t>
      </w:r>
      <w:bookmarkStart w:id="24" w:name="_Hlk494200769"/>
      <w:r w:rsidRPr="00FA30C8">
        <w:rPr>
          <w:rFonts w:cs="Arial"/>
        </w:rPr>
        <w:t xml:space="preserve">PPP framework </w:t>
      </w:r>
      <w:bookmarkEnd w:id="24"/>
      <w:r w:rsidRPr="00FA30C8">
        <w:rPr>
          <w:rFonts w:cs="Arial"/>
        </w:rPr>
        <w:t>for Barbados that would provide a methodology to be used as a basis for future Government decisions regarding the identification and prioritization of PPPs and a monitoring and evaluation mechanism for project identification and prioritization. The framework document was delivered</w:t>
      </w:r>
      <w:r w:rsidR="0035430F" w:rsidRPr="00FA30C8">
        <w:rPr>
          <w:rFonts w:cs="Arial"/>
        </w:rPr>
        <w:t xml:space="preserve"> (</w:t>
      </w:r>
      <w:r w:rsidR="0035430F" w:rsidRPr="00FA30C8">
        <w:rPr>
          <w:rFonts w:cs="Arial"/>
          <w:i/>
        </w:rPr>
        <w:t>Output #4: Public Private Partnership methodology developed</w:t>
      </w:r>
      <w:r w:rsidR="0035430F" w:rsidRPr="00FA30C8">
        <w:rPr>
          <w:rFonts w:cs="Arial"/>
        </w:rPr>
        <w:t>)</w:t>
      </w:r>
      <w:r w:rsidRPr="00FA30C8">
        <w:rPr>
          <w:rFonts w:cs="Arial"/>
        </w:rPr>
        <w:t xml:space="preserve">, as planned, and a number of activities detailed below were completed in the context of this component. Having said that, as can be seen in the results matrix, the outcome linked to this component was </w:t>
      </w:r>
      <w:r w:rsidR="00020E02" w:rsidRPr="00FA30C8">
        <w:rPr>
          <w:rFonts w:cs="Arial"/>
        </w:rPr>
        <w:t>not</w:t>
      </w:r>
      <w:r w:rsidRPr="00FA30C8">
        <w:rPr>
          <w:rFonts w:cs="Arial"/>
        </w:rPr>
        <w:t xml:space="preserve"> achieved (</w:t>
      </w:r>
      <w:r w:rsidRPr="00FA30C8">
        <w:rPr>
          <w:rFonts w:cs="Arial"/>
          <w:i/>
        </w:rPr>
        <w:t>Outcome #4: Investment in economic infrastructure through a selected Public Private Partnership (PPP) project increased</w:t>
      </w:r>
      <w:r w:rsidRPr="00FA30C8">
        <w:rPr>
          <w:rFonts w:cs="Arial"/>
        </w:rPr>
        <w:t xml:space="preserve">). The latter had determined that success was to be measured against the implementation of a concrete PPP project investing in economic infrastructure and compliant with PPP procurement methodology developed in the report. However, as part of the reallocation of funds in 2014, the products to be financed by this sub-component were reduced to the delivery of the framework report which was lagging way behind the original implementation schedule. Instead of attempting to push for the selection of a PPP project within the limited lifetime of the project, the remaining funds were allocated to the ESW sub-component 3.1.2 described above. </w:t>
      </w:r>
    </w:p>
    <w:p w14:paraId="3CC30AED" w14:textId="1D8B7785" w:rsidR="00BD534F" w:rsidRPr="00FA30C8" w:rsidRDefault="00A22D3A" w:rsidP="00FA30C8">
      <w:pPr>
        <w:spacing w:before="120" w:after="120"/>
        <w:jc w:val="both"/>
        <w:rPr>
          <w:rFonts w:cs="Arial"/>
        </w:rPr>
      </w:pPr>
      <w:r w:rsidRPr="00FA30C8">
        <w:rPr>
          <w:rFonts w:cs="Arial"/>
        </w:rPr>
        <w:t xml:space="preserve">What follows is a brief discussion of each of the interventions that were financed under this sub-component, both in terms </w:t>
      </w:r>
      <w:r w:rsidR="00FF454A" w:rsidRPr="00FA30C8">
        <w:rPr>
          <w:rFonts w:cs="Arial"/>
        </w:rPr>
        <w:t xml:space="preserve">of rationale and achievements. </w:t>
      </w:r>
    </w:p>
    <w:p w14:paraId="439684C0" w14:textId="413B956E" w:rsidR="00BD534F" w:rsidRPr="00FF454A" w:rsidRDefault="00A22D3A" w:rsidP="00FF454A">
      <w:pPr>
        <w:rPr>
          <w:rFonts w:cs="Arial"/>
          <w:b/>
          <w:lang w:val="en-029"/>
        </w:rPr>
      </w:pPr>
      <w:r w:rsidRPr="004F19CE">
        <w:rPr>
          <w:rFonts w:cs="Arial"/>
          <w:b/>
        </w:rPr>
        <w:t xml:space="preserve">3.3.1 </w:t>
      </w:r>
      <w:r w:rsidRPr="004F19CE">
        <w:rPr>
          <w:rFonts w:cs="Arial"/>
          <w:b/>
          <w:lang w:val="en-029"/>
        </w:rPr>
        <w:t>Evaluation of a series of candidate proj</w:t>
      </w:r>
      <w:r w:rsidR="00FF454A">
        <w:rPr>
          <w:rFonts w:cs="Arial"/>
          <w:b/>
          <w:lang w:val="en-029"/>
        </w:rPr>
        <w:t xml:space="preserve">ects to be carried out as PPPs </w:t>
      </w:r>
    </w:p>
    <w:p w14:paraId="0EF3480A" w14:textId="2D0CC13C" w:rsidR="00BD534F" w:rsidRPr="00FF454A" w:rsidRDefault="00A22D3A" w:rsidP="00FA30C8">
      <w:pPr>
        <w:spacing w:before="120" w:after="120"/>
        <w:jc w:val="both"/>
        <w:rPr>
          <w:rFonts w:cs="Arial"/>
          <w:lang w:val="en-029"/>
        </w:rPr>
      </w:pPr>
      <w:r w:rsidRPr="000E2936">
        <w:rPr>
          <w:rFonts w:cs="Arial"/>
          <w:lang w:val="en-029"/>
        </w:rPr>
        <w:t>In an economy the size of Barbados, the number of projects falling into the PP</w:t>
      </w:r>
      <w:r>
        <w:rPr>
          <w:rFonts w:cs="Arial"/>
          <w:lang w:val="en-029"/>
        </w:rPr>
        <w:t>P and concession categories would</w:t>
      </w:r>
      <w:r w:rsidRPr="000E2936">
        <w:rPr>
          <w:rFonts w:cs="Arial"/>
          <w:lang w:val="en-029"/>
        </w:rPr>
        <w:t xml:space="preserve"> inevitably </w:t>
      </w:r>
      <w:r>
        <w:rPr>
          <w:rFonts w:cs="Arial"/>
          <w:lang w:val="en-029"/>
        </w:rPr>
        <w:t>be limited and the component financed a</w:t>
      </w:r>
      <w:r w:rsidRPr="00AB1AB5">
        <w:rPr>
          <w:rFonts w:cs="Arial"/>
          <w:lang w:val="en-029"/>
        </w:rPr>
        <w:t>n evaluation applying the concepts of “value for money” and PPP comparator methodology to selecte</w:t>
      </w:r>
      <w:r>
        <w:rPr>
          <w:rFonts w:cs="Arial"/>
          <w:lang w:val="en-029"/>
        </w:rPr>
        <w:t>d potential investment projects. The objective was</w:t>
      </w:r>
      <w:r w:rsidRPr="00AB1AB5">
        <w:rPr>
          <w:rFonts w:cs="Arial"/>
          <w:lang w:val="en-029"/>
        </w:rPr>
        <w:t xml:space="preserve"> to compare costs and benefits of carrying out such projects using either the PPP modality or the conventional modality</w:t>
      </w:r>
      <w:r>
        <w:rPr>
          <w:rFonts w:cs="Arial"/>
          <w:lang w:val="en-029"/>
        </w:rPr>
        <w:t xml:space="preserve"> in sectors such as health, social housing, tourism, and coastal management.</w:t>
      </w:r>
      <w:r w:rsidRPr="00AB1AB5">
        <w:rPr>
          <w:rFonts w:cs="Arial"/>
          <w:lang w:val="en-029"/>
        </w:rPr>
        <w:t xml:space="preserve"> </w:t>
      </w:r>
      <w:r>
        <w:rPr>
          <w:rFonts w:cs="Arial"/>
          <w:lang w:val="en-029"/>
        </w:rPr>
        <w:t>As a result, two specific areas were identified</w:t>
      </w:r>
      <w:r w:rsidRPr="005361B4">
        <w:rPr>
          <w:rFonts w:cs="Arial"/>
          <w:lang w:val="en-029"/>
        </w:rPr>
        <w:t xml:space="preserve"> which</w:t>
      </w:r>
      <w:r>
        <w:rPr>
          <w:rFonts w:cs="Arial"/>
          <w:lang w:val="en-029"/>
        </w:rPr>
        <w:t xml:space="preserve"> could</w:t>
      </w:r>
      <w:r w:rsidRPr="005361B4">
        <w:rPr>
          <w:rFonts w:cs="Arial"/>
          <w:lang w:val="en-029"/>
        </w:rPr>
        <w:t xml:space="preserve"> significant</w:t>
      </w:r>
      <w:r>
        <w:rPr>
          <w:rFonts w:cs="Arial"/>
          <w:lang w:val="en-029"/>
        </w:rPr>
        <w:t>ly</w:t>
      </w:r>
      <w:r w:rsidRPr="005361B4">
        <w:rPr>
          <w:rFonts w:cs="Arial"/>
          <w:lang w:val="en-029"/>
        </w:rPr>
        <w:t xml:space="preserve"> benefit from </w:t>
      </w:r>
      <w:r>
        <w:rPr>
          <w:rFonts w:cs="Arial"/>
          <w:lang w:val="en-029"/>
        </w:rPr>
        <w:t>a PPP. These were the</w:t>
      </w:r>
      <w:r w:rsidRPr="005361B4">
        <w:rPr>
          <w:rFonts w:cs="Arial"/>
          <w:lang w:val="en-029"/>
        </w:rPr>
        <w:t xml:space="preserve"> replacement or refurbishment of the Queen </w:t>
      </w:r>
      <w:r w:rsidRPr="005361B4">
        <w:rPr>
          <w:rFonts w:cs="Arial"/>
          <w:lang w:val="en-029"/>
        </w:rPr>
        <w:lastRenderedPageBreak/>
        <w:t>Elisabeth Hospital</w:t>
      </w:r>
      <w:r>
        <w:rPr>
          <w:rFonts w:cs="Arial"/>
          <w:lang w:val="en-029"/>
        </w:rPr>
        <w:t xml:space="preserve"> and</w:t>
      </w:r>
      <w:r w:rsidRPr="005361B4">
        <w:rPr>
          <w:rFonts w:cs="Arial"/>
          <w:lang w:val="en-029"/>
        </w:rPr>
        <w:t xml:space="preserve"> the road sector.</w:t>
      </w:r>
      <w:r>
        <w:rPr>
          <w:rFonts w:cs="Arial"/>
          <w:lang w:val="en-029"/>
        </w:rPr>
        <w:t xml:space="preserve"> A respective </w:t>
      </w:r>
      <w:r w:rsidRPr="00AB1AB5">
        <w:rPr>
          <w:rFonts w:cs="Arial"/>
          <w:lang w:val="en-029"/>
        </w:rPr>
        <w:t>recommendation</w:t>
      </w:r>
      <w:r>
        <w:rPr>
          <w:rFonts w:cs="Arial"/>
          <w:lang w:val="en-029"/>
        </w:rPr>
        <w:t xml:space="preserve"> was made to the</w:t>
      </w:r>
      <w:r w:rsidRPr="00AB1AB5">
        <w:rPr>
          <w:rFonts w:cs="Arial"/>
          <w:lang w:val="en-029"/>
        </w:rPr>
        <w:t xml:space="preserve"> Cabinet Committee on Infrastructure. </w:t>
      </w:r>
      <w:r w:rsidRPr="00AB1AB5">
        <w:rPr>
          <w:rFonts w:ascii="MS Gothic" w:eastAsia="MS Gothic" w:hAnsi="MS Gothic" w:cs="MS Gothic" w:hint="eastAsia"/>
          <w:lang w:val="en-029"/>
        </w:rPr>
        <w:t> </w:t>
      </w:r>
    </w:p>
    <w:p w14:paraId="0CBFF510" w14:textId="1EAD82A4" w:rsidR="00BD534F" w:rsidRPr="00FF454A" w:rsidRDefault="00A22D3A" w:rsidP="00FF454A">
      <w:pPr>
        <w:rPr>
          <w:rFonts w:cs="Arial"/>
          <w:b/>
          <w:lang w:val="en-029"/>
        </w:rPr>
      </w:pPr>
      <w:r w:rsidRPr="001605FF">
        <w:rPr>
          <w:rFonts w:cs="Arial"/>
          <w:b/>
          <w:lang w:val="en-029"/>
        </w:rPr>
        <w:t>3.3.2 Legal and</w:t>
      </w:r>
      <w:r w:rsidR="00FF454A">
        <w:rPr>
          <w:rFonts w:cs="Arial"/>
          <w:b/>
          <w:lang w:val="en-029"/>
        </w:rPr>
        <w:t xml:space="preserve"> regulatory framework for PPPs </w:t>
      </w:r>
    </w:p>
    <w:p w14:paraId="05B210AD" w14:textId="2D056B82" w:rsidR="00BD534F" w:rsidRPr="00FF454A" w:rsidRDefault="00A22D3A" w:rsidP="00FA30C8">
      <w:pPr>
        <w:spacing w:before="120" w:after="120"/>
        <w:jc w:val="both"/>
        <w:rPr>
          <w:rFonts w:cs="Arial"/>
          <w:lang w:val="en-029"/>
        </w:rPr>
      </w:pPr>
      <w:r>
        <w:rPr>
          <w:rFonts w:cs="Arial"/>
          <w:lang w:val="en-029"/>
        </w:rPr>
        <w:t>T</w:t>
      </w:r>
      <w:r w:rsidRPr="006601C9">
        <w:rPr>
          <w:rFonts w:cs="Arial"/>
          <w:lang w:val="en-029"/>
        </w:rPr>
        <w:t>he PPP methodology is</w:t>
      </w:r>
      <w:r>
        <w:rPr>
          <w:rFonts w:cs="Arial"/>
          <w:lang w:val="en-029"/>
        </w:rPr>
        <w:t xml:space="preserve"> mostly</w:t>
      </w:r>
      <w:r w:rsidRPr="006601C9">
        <w:rPr>
          <w:rFonts w:cs="Arial"/>
          <w:lang w:val="en-029"/>
        </w:rPr>
        <w:t xml:space="preserve"> focused on a radical improvement in the procurement process. Its ability</w:t>
      </w:r>
      <w:r>
        <w:rPr>
          <w:rFonts w:cs="Arial"/>
          <w:lang w:val="en-029"/>
        </w:rPr>
        <w:t xml:space="preserve"> to</w:t>
      </w:r>
      <w:r w:rsidRPr="006601C9">
        <w:rPr>
          <w:rFonts w:cs="Arial"/>
          <w:lang w:val="en-029"/>
        </w:rPr>
        <w:t xml:space="preserve"> </w:t>
      </w:r>
      <w:r>
        <w:rPr>
          <w:rFonts w:cs="Arial"/>
          <w:lang w:val="en-029"/>
        </w:rPr>
        <w:t xml:space="preserve">attract private investors, </w:t>
      </w:r>
      <w:r w:rsidRPr="006601C9">
        <w:rPr>
          <w:rFonts w:cs="Arial"/>
          <w:lang w:val="en-029"/>
        </w:rPr>
        <w:t xml:space="preserve">generate improved </w:t>
      </w:r>
      <w:r>
        <w:rPr>
          <w:rFonts w:cs="Arial"/>
          <w:lang w:val="en-029"/>
        </w:rPr>
        <w:t>value for money</w:t>
      </w:r>
      <w:r w:rsidRPr="006601C9">
        <w:rPr>
          <w:rFonts w:cs="Arial"/>
          <w:lang w:val="en-029"/>
        </w:rPr>
        <w:t xml:space="preserve"> for the public sector</w:t>
      </w:r>
      <w:r>
        <w:rPr>
          <w:rFonts w:cs="Arial"/>
          <w:lang w:val="en-029"/>
        </w:rPr>
        <w:t>,</w:t>
      </w:r>
      <w:r w:rsidRPr="006601C9">
        <w:rPr>
          <w:rFonts w:cs="Arial"/>
          <w:lang w:val="en-029"/>
        </w:rPr>
        <w:t xml:space="preserve"> and improved services to consumers derives</w:t>
      </w:r>
      <w:r>
        <w:rPr>
          <w:rFonts w:cs="Arial"/>
          <w:lang w:val="en-029"/>
        </w:rPr>
        <w:t>,</w:t>
      </w:r>
      <w:r w:rsidRPr="006601C9">
        <w:rPr>
          <w:rFonts w:cs="Arial"/>
          <w:lang w:val="en-029"/>
        </w:rPr>
        <w:t xml:space="preserve"> above all</w:t>
      </w:r>
      <w:r>
        <w:rPr>
          <w:rFonts w:cs="Arial"/>
          <w:lang w:val="en-029"/>
        </w:rPr>
        <w:t>,</w:t>
      </w:r>
      <w:r w:rsidRPr="006601C9">
        <w:rPr>
          <w:rFonts w:cs="Arial"/>
          <w:lang w:val="en-029"/>
        </w:rPr>
        <w:t xml:space="preserve"> from the discipline and rigour with which the PPP proj</w:t>
      </w:r>
      <w:r>
        <w:rPr>
          <w:rFonts w:cs="Arial"/>
          <w:lang w:val="en-029"/>
        </w:rPr>
        <w:t xml:space="preserve">ect has been prepared prior to </w:t>
      </w:r>
      <w:r w:rsidRPr="006601C9">
        <w:rPr>
          <w:rFonts w:cs="Arial"/>
          <w:lang w:val="en-029"/>
        </w:rPr>
        <w:t xml:space="preserve">and during tendering, as well as </w:t>
      </w:r>
      <w:r>
        <w:rPr>
          <w:rFonts w:cs="Arial"/>
          <w:lang w:val="en-029"/>
        </w:rPr>
        <w:t>from</w:t>
      </w:r>
      <w:r w:rsidRPr="006601C9">
        <w:rPr>
          <w:rFonts w:cs="Arial"/>
          <w:lang w:val="en-029"/>
        </w:rPr>
        <w:t xml:space="preserve"> the quality of the project management during the contract period.</w:t>
      </w:r>
      <w:r>
        <w:rPr>
          <w:rFonts w:cs="Arial"/>
          <w:lang w:val="en-029"/>
        </w:rPr>
        <w:t xml:space="preserve"> The assessment found that</w:t>
      </w:r>
      <w:r w:rsidRPr="001605FF">
        <w:rPr>
          <w:rFonts w:cs="Arial"/>
          <w:lang w:val="en-029"/>
        </w:rPr>
        <w:t xml:space="preserve"> </w:t>
      </w:r>
      <w:r>
        <w:rPr>
          <w:rFonts w:cs="Arial"/>
          <w:lang w:val="en-029"/>
        </w:rPr>
        <w:t xml:space="preserve">there are no </w:t>
      </w:r>
      <w:r w:rsidRPr="00AB1AB5">
        <w:rPr>
          <w:rFonts w:cs="Arial"/>
          <w:lang w:val="en-029"/>
        </w:rPr>
        <w:t>legal impediments to project construction using the PPP procurement modality</w:t>
      </w:r>
      <w:r>
        <w:rPr>
          <w:rFonts w:cs="Arial"/>
          <w:lang w:val="en-029"/>
        </w:rPr>
        <w:t xml:space="preserve">. However, it also highlighted that, at present, </w:t>
      </w:r>
      <w:r w:rsidRPr="006601C9">
        <w:rPr>
          <w:rFonts w:cs="Arial"/>
          <w:lang w:val="en-029"/>
        </w:rPr>
        <w:t>there is little comprehensive procurement legislation in Barbados addressing the full range of issues associated with a complex procurement process by the public sector</w:t>
      </w:r>
      <w:r>
        <w:rPr>
          <w:rFonts w:cs="Arial"/>
          <w:lang w:val="en-029"/>
        </w:rPr>
        <w:t>. In this light, the recommendation made was to develop additional provisions to guide</w:t>
      </w:r>
      <w:r w:rsidRPr="006601C9">
        <w:rPr>
          <w:rFonts w:cs="Arial"/>
          <w:lang w:val="en-029"/>
        </w:rPr>
        <w:t xml:space="preserve"> the process and </w:t>
      </w:r>
      <w:r>
        <w:rPr>
          <w:rFonts w:cs="Arial"/>
          <w:lang w:val="en-029"/>
        </w:rPr>
        <w:t>provide</w:t>
      </w:r>
      <w:r w:rsidRPr="006601C9">
        <w:rPr>
          <w:rFonts w:cs="Arial"/>
          <w:lang w:val="en-029"/>
        </w:rPr>
        <w:t xml:space="preserve"> transparency</w:t>
      </w:r>
      <w:r>
        <w:rPr>
          <w:rFonts w:cs="Arial"/>
          <w:lang w:val="en-029"/>
        </w:rPr>
        <w:t xml:space="preserve"> for investors and stakeholders</w:t>
      </w:r>
      <w:r w:rsidRPr="006601C9">
        <w:rPr>
          <w:rFonts w:cs="Arial"/>
          <w:lang w:val="en-029"/>
        </w:rPr>
        <w:t>.</w:t>
      </w:r>
    </w:p>
    <w:p w14:paraId="1BFD3337" w14:textId="7144A67E" w:rsidR="00BD534F" w:rsidRPr="00FF454A" w:rsidRDefault="00A22D3A" w:rsidP="00FF454A">
      <w:pPr>
        <w:rPr>
          <w:rFonts w:cs="Arial"/>
          <w:b/>
          <w:lang w:val="en-029"/>
        </w:rPr>
      </w:pPr>
      <w:r w:rsidRPr="0091333E">
        <w:rPr>
          <w:rFonts w:cs="Arial"/>
          <w:b/>
          <w:lang w:val="en-029"/>
        </w:rPr>
        <w:t>3.3.3 Technical support through the project cycle, training and establish</w:t>
      </w:r>
      <w:r w:rsidR="00FF454A">
        <w:rPr>
          <w:rFonts w:cs="Arial"/>
          <w:b/>
          <w:lang w:val="en-029"/>
        </w:rPr>
        <w:t>ment of coordination mechanisms</w:t>
      </w:r>
    </w:p>
    <w:p w14:paraId="64C032C5" w14:textId="4B1B08C8" w:rsidR="00BD534F" w:rsidRPr="00135036" w:rsidRDefault="00A22D3A" w:rsidP="00FA30C8">
      <w:pPr>
        <w:spacing w:before="120" w:after="120"/>
        <w:jc w:val="both"/>
        <w:rPr>
          <w:rFonts w:cs="Arial"/>
          <w:lang w:val="en-029"/>
        </w:rPr>
      </w:pPr>
      <w:r>
        <w:rPr>
          <w:rFonts w:cs="Arial"/>
          <w:lang w:val="en-029"/>
        </w:rPr>
        <w:t xml:space="preserve">The objective of this sub-component was to deliver </w:t>
      </w:r>
      <w:r w:rsidRPr="00AB1AB5">
        <w:rPr>
          <w:rFonts w:cs="Arial"/>
          <w:lang w:val="en-029"/>
        </w:rPr>
        <w:t>“hands on training”</w:t>
      </w:r>
      <w:r>
        <w:rPr>
          <w:rFonts w:cs="Arial"/>
          <w:lang w:val="en-029"/>
        </w:rPr>
        <w:t xml:space="preserve"> to the staff of those agencies involved in the selection and implementation of the PPP project as identified</w:t>
      </w:r>
      <w:r w:rsidRPr="00AB1AB5">
        <w:rPr>
          <w:rFonts w:cs="Arial"/>
          <w:lang w:val="en-029"/>
        </w:rPr>
        <w:t xml:space="preserve"> </w:t>
      </w:r>
      <w:r>
        <w:rPr>
          <w:rFonts w:cs="Arial"/>
          <w:lang w:val="en-029"/>
        </w:rPr>
        <w:t xml:space="preserve">by the </w:t>
      </w:r>
      <w:r w:rsidRPr="00AB1AB5">
        <w:rPr>
          <w:rFonts w:cs="Arial"/>
          <w:lang w:val="en-029"/>
        </w:rPr>
        <w:t>Cabinet Committee on Infrastructure</w:t>
      </w:r>
      <w:r>
        <w:rPr>
          <w:rFonts w:cs="Arial"/>
          <w:lang w:val="en-029"/>
        </w:rPr>
        <w:t>. However, as mentioned above, the delivery of the report and approval of the methodology by Cabinet was affected by a number of delays, which made it impossible to follow through with the project as planned due to time constraints. Accordingly, no technical assistance was delivered.</w:t>
      </w:r>
      <w:r w:rsidRPr="00AB1AB5">
        <w:rPr>
          <w:rFonts w:cs="Arial"/>
          <w:lang w:val="en-029"/>
        </w:rPr>
        <w:t xml:space="preserve"> </w:t>
      </w:r>
      <w:r w:rsidRPr="00AB1AB5">
        <w:rPr>
          <w:rFonts w:ascii="MS Gothic" w:eastAsia="MS Gothic" w:hAnsi="MS Gothic" w:cs="MS Gothic" w:hint="eastAsia"/>
          <w:lang w:val="en-029"/>
        </w:rPr>
        <w:t> </w:t>
      </w:r>
    </w:p>
    <w:p w14:paraId="4330139B" w14:textId="38889C7E" w:rsidR="00BD534F" w:rsidRPr="00135036" w:rsidRDefault="00A22D3A" w:rsidP="00135036">
      <w:pPr>
        <w:rPr>
          <w:rFonts w:cs="Arial"/>
          <w:b/>
          <w:lang w:val="en-029"/>
        </w:rPr>
      </w:pPr>
      <w:r w:rsidRPr="00CF1087">
        <w:rPr>
          <w:rFonts w:cs="Arial"/>
          <w:b/>
          <w:lang w:val="en-029"/>
        </w:rPr>
        <w:t>3.3.4 Fiscal and accountin</w:t>
      </w:r>
      <w:r w:rsidR="00135036">
        <w:rPr>
          <w:rFonts w:cs="Arial"/>
          <w:b/>
          <w:lang w:val="en-029"/>
        </w:rPr>
        <w:t xml:space="preserve">g treatment of PPP liabilities </w:t>
      </w:r>
    </w:p>
    <w:p w14:paraId="7C77E7F0" w14:textId="40870985" w:rsidR="00BD534F" w:rsidRPr="00135036" w:rsidRDefault="00A22D3A" w:rsidP="00FA30C8">
      <w:pPr>
        <w:spacing w:before="120" w:after="120"/>
        <w:jc w:val="both"/>
        <w:rPr>
          <w:rFonts w:cs="Arial"/>
          <w:lang w:val="en-029"/>
        </w:rPr>
      </w:pPr>
      <w:r w:rsidRPr="001605FF">
        <w:rPr>
          <w:rFonts w:cs="Arial"/>
          <w:lang w:val="en-029"/>
        </w:rPr>
        <w:t>The fiscal impact of traditional procurement is relatively easy to calculate, since expenditure comes up front at the tim</w:t>
      </w:r>
      <w:r>
        <w:rPr>
          <w:rFonts w:cs="Arial"/>
          <w:lang w:val="en-029"/>
        </w:rPr>
        <w:t>e of construction of the asset. PPPs,</w:t>
      </w:r>
      <w:r w:rsidRPr="001605FF">
        <w:rPr>
          <w:rFonts w:cs="Arial"/>
          <w:lang w:val="en-029"/>
        </w:rPr>
        <w:t xml:space="preserve"> on the other hand</w:t>
      </w:r>
      <w:r>
        <w:rPr>
          <w:rFonts w:cs="Arial"/>
          <w:lang w:val="en-029"/>
        </w:rPr>
        <w:t>,</w:t>
      </w:r>
      <w:r w:rsidRPr="001605FF">
        <w:rPr>
          <w:rFonts w:cs="Arial"/>
          <w:lang w:val="en-029"/>
        </w:rPr>
        <w:t xml:space="preserve"> create long-term fiscal commitments, some of which may be difficult to evaluate, being additionally contingent. Such liabilities may stem from demand, technology change, or macroeconomic changes (e.g. exchange rates).</w:t>
      </w:r>
      <w:r>
        <w:rPr>
          <w:rFonts w:cs="Arial"/>
          <w:lang w:val="en-029"/>
        </w:rPr>
        <w:t xml:space="preserve"> It is therefore important for the</w:t>
      </w:r>
      <w:r w:rsidRPr="001605FF">
        <w:rPr>
          <w:rFonts w:cs="Arial"/>
          <w:lang w:val="en-029"/>
        </w:rPr>
        <w:t xml:space="preserve"> public sector </w:t>
      </w:r>
      <w:r>
        <w:rPr>
          <w:rFonts w:cs="Arial"/>
          <w:lang w:val="en-029"/>
        </w:rPr>
        <w:t>to</w:t>
      </w:r>
      <w:r w:rsidRPr="001605FF">
        <w:rPr>
          <w:rFonts w:cs="Arial"/>
          <w:lang w:val="en-029"/>
        </w:rPr>
        <w:t xml:space="preserve"> ensure that</w:t>
      </w:r>
      <w:r>
        <w:rPr>
          <w:rFonts w:cs="Arial"/>
          <w:lang w:val="en-029"/>
        </w:rPr>
        <w:t xml:space="preserve">, throughout the whole process, </w:t>
      </w:r>
      <w:r w:rsidRPr="001605FF">
        <w:rPr>
          <w:rFonts w:cs="Arial"/>
          <w:lang w:val="en-029"/>
        </w:rPr>
        <w:t>it maintains adequate control over the direct and contingent fiscal liabilities which PPP project</w:t>
      </w:r>
      <w:r>
        <w:rPr>
          <w:rFonts w:cs="Arial"/>
          <w:lang w:val="en-029"/>
        </w:rPr>
        <w:t>s</w:t>
      </w:r>
      <w:r w:rsidRPr="001605FF">
        <w:rPr>
          <w:rFonts w:cs="Arial"/>
          <w:lang w:val="en-029"/>
        </w:rPr>
        <w:t xml:space="preserve"> inevitably entail.</w:t>
      </w:r>
      <w:r>
        <w:rPr>
          <w:rFonts w:cs="Arial"/>
          <w:lang w:val="en-029"/>
        </w:rPr>
        <w:t xml:space="preserve"> To tackle these issues, the consultancy developed a</w:t>
      </w:r>
      <w:r w:rsidRPr="00AB1AB5">
        <w:rPr>
          <w:rFonts w:cs="Arial"/>
          <w:lang w:val="en-029"/>
        </w:rPr>
        <w:t xml:space="preserve"> methodology for evaluating and accounting for the commitments made when utilizing the PPP procurement methodology </w:t>
      </w:r>
      <w:r>
        <w:rPr>
          <w:rFonts w:cs="Arial"/>
          <w:lang w:val="en-029"/>
        </w:rPr>
        <w:t>which would</w:t>
      </w:r>
      <w:r w:rsidRPr="00AB1AB5">
        <w:rPr>
          <w:rFonts w:cs="Arial"/>
          <w:lang w:val="en-029"/>
        </w:rPr>
        <w:t xml:space="preserve"> be implemented as part of the project execution. </w:t>
      </w:r>
    </w:p>
    <w:p w14:paraId="093A1F66" w14:textId="651497B0" w:rsidR="00BD534F" w:rsidRPr="00135036" w:rsidRDefault="00A22D3A" w:rsidP="00135036">
      <w:pPr>
        <w:rPr>
          <w:rFonts w:cs="Arial"/>
          <w:b/>
          <w:lang w:val="en-029"/>
        </w:rPr>
      </w:pPr>
      <w:r w:rsidRPr="001E4A09">
        <w:rPr>
          <w:rFonts w:cs="Arial"/>
          <w:b/>
          <w:lang w:val="en-029"/>
        </w:rPr>
        <w:t>3.3.5 Monitoring,</w:t>
      </w:r>
      <w:r w:rsidR="00135036">
        <w:rPr>
          <w:rFonts w:cs="Arial"/>
          <w:b/>
          <w:lang w:val="en-029"/>
        </w:rPr>
        <w:t xml:space="preserve"> evaluation, and dissemination </w:t>
      </w:r>
    </w:p>
    <w:p w14:paraId="42A4058A" w14:textId="6F35C000" w:rsidR="00BD534F" w:rsidRPr="00135036" w:rsidRDefault="00A22D3A" w:rsidP="00FA30C8">
      <w:pPr>
        <w:spacing w:before="120" w:after="120"/>
        <w:jc w:val="both"/>
        <w:rPr>
          <w:rFonts w:cs="Arial"/>
          <w:lang w:val="en-029"/>
        </w:rPr>
      </w:pPr>
      <w:r w:rsidRPr="00CF1087">
        <w:rPr>
          <w:rFonts w:cs="Arial"/>
          <w:lang w:val="en-029"/>
        </w:rPr>
        <w:t>The monitoring function relating to a PPP can be broken down into two main stages</w:t>
      </w:r>
      <w:r>
        <w:rPr>
          <w:rFonts w:cs="Arial"/>
          <w:lang w:val="en-029"/>
        </w:rPr>
        <w:t xml:space="preserve">: (i) </w:t>
      </w:r>
      <w:r w:rsidRPr="00CF1087">
        <w:rPr>
          <w:rFonts w:cs="Arial"/>
          <w:lang w:val="en-029"/>
        </w:rPr>
        <w:t>the construction phase, where this involves the provision of an asset, being the platform on which the contracted services will be delivered</w:t>
      </w:r>
      <w:r>
        <w:rPr>
          <w:rFonts w:cs="Arial"/>
          <w:lang w:val="en-029"/>
        </w:rPr>
        <w:t>, and (ii) t</w:t>
      </w:r>
      <w:r w:rsidRPr="00CF1087">
        <w:rPr>
          <w:rFonts w:cs="Arial"/>
          <w:lang w:val="en-029"/>
        </w:rPr>
        <w:t>he service delivery stage, which extends out to the end of the contractual period.</w:t>
      </w:r>
      <w:r>
        <w:rPr>
          <w:rFonts w:cs="Arial"/>
          <w:lang w:val="en-029"/>
        </w:rPr>
        <w:t xml:space="preserve"> The consultancy developed a PPP monitoring and evaluation plan that covers the two stages and also </w:t>
      </w:r>
      <w:r w:rsidRPr="001605FF">
        <w:rPr>
          <w:rFonts w:cs="Arial"/>
          <w:lang w:val="en-029"/>
        </w:rPr>
        <w:t>provide</w:t>
      </w:r>
      <w:r>
        <w:rPr>
          <w:rFonts w:cs="Arial"/>
          <w:lang w:val="en-029"/>
        </w:rPr>
        <w:t>s</w:t>
      </w:r>
      <w:r w:rsidRPr="001605FF">
        <w:rPr>
          <w:rFonts w:cs="Arial"/>
          <w:lang w:val="en-029"/>
        </w:rPr>
        <w:t xml:space="preserve"> the opportunity to foresee potential defaults and other adverse events</w:t>
      </w:r>
      <w:r>
        <w:rPr>
          <w:rFonts w:cs="Arial"/>
          <w:lang w:val="en-029"/>
        </w:rPr>
        <w:t xml:space="preserve">. This, in turn, </w:t>
      </w:r>
      <w:r w:rsidRPr="001605FF">
        <w:rPr>
          <w:rFonts w:cs="Arial"/>
          <w:lang w:val="en-029"/>
        </w:rPr>
        <w:t>allow</w:t>
      </w:r>
      <w:r>
        <w:rPr>
          <w:rFonts w:cs="Arial"/>
          <w:lang w:val="en-029"/>
        </w:rPr>
        <w:t>s</w:t>
      </w:r>
      <w:r w:rsidRPr="001605FF">
        <w:rPr>
          <w:rFonts w:cs="Arial"/>
          <w:lang w:val="en-029"/>
        </w:rPr>
        <w:t xml:space="preserve"> the government to take measures as needed to avoid or smooth the impact of potential failures of the project, such as early termination of contract amendments.</w:t>
      </w:r>
      <w:r>
        <w:rPr>
          <w:rFonts w:cs="Arial"/>
          <w:lang w:val="en-029"/>
        </w:rPr>
        <w:t xml:space="preserve"> One issue that remained unattended upon project closure was the </w:t>
      </w:r>
      <w:bookmarkStart w:id="25" w:name="_Hlk494200884"/>
      <w:r>
        <w:rPr>
          <w:rFonts w:cs="Arial"/>
          <w:lang w:val="en-029"/>
        </w:rPr>
        <w:t>dissemination strategy of the findings and recommendations of the report</w:t>
      </w:r>
      <w:bookmarkEnd w:id="25"/>
      <w:r w:rsidR="00135036">
        <w:rPr>
          <w:rFonts w:cs="Arial"/>
          <w:lang w:val="en-029"/>
        </w:rPr>
        <w:t>.</w:t>
      </w:r>
    </w:p>
    <w:p w14:paraId="21ACFA8C" w14:textId="6704EE10" w:rsidR="00BD534F" w:rsidRPr="00DF703E" w:rsidRDefault="00A22D3A" w:rsidP="00FA30C8">
      <w:pPr>
        <w:spacing w:before="120" w:after="120"/>
        <w:jc w:val="both"/>
        <w:rPr>
          <w:rFonts w:cs="Arial"/>
          <w:b/>
          <w:lang w:val="en-029"/>
        </w:rPr>
      </w:pPr>
      <w:r w:rsidRPr="00AB1AB5">
        <w:rPr>
          <w:rFonts w:cs="Arial"/>
          <w:b/>
          <w:lang w:val="en-029"/>
        </w:rPr>
        <w:t xml:space="preserve">Component 4: Strengthening public-private dialogue </w:t>
      </w:r>
      <w:r w:rsidR="00135036">
        <w:rPr>
          <w:rFonts w:cs="Arial"/>
          <w:b/>
          <w:lang w:val="en-029"/>
        </w:rPr>
        <w:t>on competitiveness (US$830,000)</w:t>
      </w:r>
      <w:r w:rsidR="00DF703E">
        <w:rPr>
          <w:rFonts w:cs="Arial"/>
          <w:b/>
          <w:lang w:val="en-029"/>
        </w:rPr>
        <w:t xml:space="preserve"> </w:t>
      </w:r>
      <w:r w:rsidRPr="00F35F90">
        <w:rPr>
          <w:rFonts w:cs="Arial"/>
        </w:rPr>
        <w:t xml:space="preserve">Building trade capacity is not just about making sure that the necessary physical infrastructure is in place, but it is also about the institutional environment within which the private and public sectors operate, and the relationship between the two. Issues such as cumbersome regulatory </w:t>
      </w:r>
      <w:r w:rsidRPr="00F35F90">
        <w:rPr>
          <w:rFonts w:cs="Arial"/>
        </w:rPr>
        <w:lastRenderedPageBreak/>
        <w:t>arrangements, lack of access to capital, and a disjointed private sector can all drastically inhibit a country’s abil</w:t>
      </w:r>
      <w:r w:rsidR="00135036">
        <w:rPr>
          <w:rFonts w:cs="Arial"/>
        </w:rPr>
        <w:t>ity to grow – and trade.</w:t>
      </w:r>
    </w:p>
    <w:p w14:paraId="6E29E980" w14:textId="5025602E" w:rsidR="00BD534F" w:rsidRDefault="00A22D3A" w:rsidP="00FA30C8">
      <w:pPr>
        <w:spacing w:before="120" w:after="120"/>
        <w:jc w:val="both"/>
        <w:rPr>
          <w:rFonts w:cs="Arial"/>
        </w:rPr>
      </w:pPr>
      <w:r>
        <w:rPr>
          <w:rFonts w:cs="Arial"/>
        </w:rPr>
        <w:t>Generally speaking, these types of c</w:t>
      </w:r>
      <w:r w:rsidRPr="00D76BBE">
        <w:rPr>
          <w:rFonts w:cs="Arial"/>
        </w:rPr>
        <w:t xml:space="preserve">ompetitiveness partnerships </w:t>
      </w:r>
      <w:r>
        <w:rPr>
          <w:rFonts w:cs="Arial"/>
        </w:rPr>
        <w:t xml:space="preserve">between both sectors can </w:t>
      </w:r>
      <w:r w:rsidRPr="00D76BBE">
        <w:rPr>
          <w:rFonts w:cs="Arial"/>
        </w:rPr>
        <w:t>come in a wide range of forms, from broad-based</w:t>
      </w:r>
      <w:r>
        <w:rPr>
          <w:rFonts w:cs="Arial"/>
        </w:rPr>
        <w:t xml:space="preserve"> </w:t>
      </w:r>
      <w:r w:rsidRPr="00D76BBE">
        <w:rPr>
          <w:rFonts w:cs="Arial"/>
        </w:rPr>
        <w:t xml:space="preserve">statutory consultation involving business associations and labor unions to small and </w:t>
      </w:r>
      <w:r>
        <w:rPr>
          <w:rFonts w:cs="Arial"/>
        </w:rPr>
        <w:t xml:space="preserve">rather </w:t>
      </w:r>
      <w:r w:rsidRPr="00D76BBE">
        <w:rPr>
          <w:rFonts w:cs="Arial"/>
        </w:rPr>
        <w:t xml:space="preserve">informal groups </w:t>
      </w:r>
      <w:r>
        <w:rPr>
          <w:rFonts w:cs="Arial"/>
        </w:rPr>
        <w:t>where a number of businessmen meet</w:t>
      </w:r>
      <w:r w:rsidRPr="00D76BBE">
        <w:rPr>
          <w:rFonts w:cs="Arial"/>
        </w:rPr>
        <w:t xml:space="preserve"> with top government ministers</w:t>
      </w:r>
      <w:r>
        <w:rPr>
          <w:rFonts w:cs="Arial"/>
        </w:rPr>
        <w:t xml:space="preserve"> behind closed doors. In the end, it is t</w:t>
      </w:r>
      <w:r w:rsidRPr="00D76BBE">
        <w:rPr>
          <w:rFonts w:cs="Arial"/>
        </w:rPr>
        <w:t>he political and economic context of a country</w:t>
      </w:r>
      <w:r>
        <w:rPr>
          <w:rFonts w:cs="Arial"/>
        </w:rPr>
        <w:t xml:space="preserve"> that </w:t>
      </w:r>
      <w:r w:rsidRPr="00D76BBE">
        <w:rPr>
          <w:rFonts w:cs="Arial"/>
        </w:rPr>
        <w:t xml:space="preserve">determines </w:t>
      </w:r>
      <w:r>
        <w:rPr>
          <w:rFonts w:cs="Arial"/>
        </w:rPr>
        <w:t>what</w:t>
      </w:r>
      <w:r w:rsidRPr="00D76BBE">
        <w:rPr>
          <w:rFonts w:cs="Arial"/>
        </w:rPr>
        <w:t xml:space="preserve"> kind of partnership is feasible and likely to succeed</w:t>
      </w:r>
      <w:r>
        <w:rPr>
          <w:rFonts w:cs="Arial"/>
        </w:rPr>
        <w:t>.</w:t>
      </w:r>
    </w:p>
    <w:p w14:paraId="4A6159F9" w14:textId="078EB84F" w:rsidR="00BD534F" w:rsidRDefault="00A22D3A" w:rsidP="00FA30C8">
      <w:pPr>
        <w:spacing w:before="120" w:after="120"/>
        <w:jc w:val="both"/>
        <w:rPr>
          <w:rFonts w:cs="Arial"/>
        </w:rPr>
      </w:pPr>
      <w:r>
        <w:rPr>
          <w:rFonts w:cs="Arial"/>
        </w:rPr>
        <w:t>In the case of Barbados, t</w:t>
      </w:r>
      <w:r w:rsidRPr="00EC4E2A">
        <w:rPr>
          <w:rFonts w:cs="Arial"/>
        </w:rPr>
        <w:t xml:space="preserve">he </w:t>
      </w:r>
      <w:r w:rsidRPr="00A969F3">
        <w:rPr>
          <w:rFonts w:cs="Arial"/>
          <w:i/>
        </w:rPr>
        <w:t>2014 Barbados Private Sector Assessment Report</w:t>
      </w:r>
      <w:r>
        <w:rPr>
          <w:rStyle w:val="FootnoteReference"/>
          <w:rFonts w:cs="Arial"/>
        </w:rPr>
        <w:footnoteReference w:id="13"/>
      </w:r>
      <w:r>
        <w:rPr>
          <w:rFonts w:cs="Arial"/>
        </w:rPr>
        <w:t>, commissioned by the Bank and financed by Compete Caribbean, concluded</w:t>
      </w:r>
      <w:r w:rsidRPr="00EC4E2A">
        <w:rPr>
          <w:rFonts w:cs="Arial"/>
        </w:rPr>
        <w:t xml:space="preserve"> that the </w:t>
      </w:r>
      <w:r>
        <w:rPr>
          <w:rFonts w:cs="Arial"/>
        </w:rPr>
        <w:t xml:space="preserve">Barbados </w:t>
      </w:r>
      <w:r w:rsidRPr="00EC4E2A">
        <w:rPr>
          <w:rFonts w:cs="Arial"/>
        </w:rPr>
        <w:t>Social Partnership</w:t>
      </w:r>
      <w:r>
        <w:rPr>
          <w:rFonts w:cs="Arial"/>
        </w:rPr>
        <w:t xml:space="preserve"> (BSP)</w:t>
      </w:r>
      <w:r w:rsidRPr="00EC4E2A">
        <w:rPr>
          <w:rFonts w:cs="Arial"/>
        </w:rPr>
        <w:t xml:space="preserve"> between the private</w:t>
      </w:r>
      <w:r>
        <w:rPr>
          <w:rFonts w:cs="Arial"/>
        </w:rPr>
        <w:t xml:space="preserve"> </w:t>
      </w:r>
      <w:r w:rsidRPr="00EC4E2A">
        <w:rPr>
          <w:rFonts w:cs="Arial"/>
        </w:rPr>
        <w:t xml:space="preserve">sector, government and trade unions </w:t>
      </w:r>
      <w:r>
        <w:rPr>
          <w:rFonts w:cs="Arial"/>
        </w:rPr>
        <w:t>was</w:t>
      </w:r>
      <w:r w:rsidRPr="00EC4E2A">
        <w:rPr>
          <w:rFonts w:cs="Arial"/>
        </w:rPr>
        <w:t xml:space="preserve"> the best institutional arrangement to</w:t>
      </w:r>
      <w:r>
        <w:rPr>
          <w:rFonts w:cs="Arial"/>
        </w:rPr>
        <w:t xml:space="preserve"> foster this public-private dialogue and </w:t>
      </w:r>
      <w:r w:rsidRPr="00EC4E2A">
        <w:rPr>
          <w:rFonts w:cs="Arial"/>
        </w:rPr>
        <w:t>address the key hurdles to private-sector development. The report’s priority</w:t>
      </w:r>
      <w:r>
        <w:rPr>
          <w:rFonts w:cs="Arial"/>
        </w:rPr>
        <w:t xml:space="preserve"> action plan urged</w:t>
      </w:r>
      <w:r w:rsidRPr="00EC4E2A">
        <w:rPr>
          <w:rFonts w:cs="Arial"/>
        </w:rPr>
        <w:t xml:space="preserve"> that the relevant actors take steps to address public-sector</w:t>
      </w:r>
      <w:r>
        <w:rPr>
          <w:rFonts w:cs="Arial"/>
        </w:rPr>
        <w:t xml:space="preserve"> </w:t>
      </w:r>
      <w:r w:rsidRPr="00EC4E2A">
        <w:rPr>
          <w:rFonts w:cs="Arial"/>
        </w:rPr>
        <w:t>productivity, stimulate R&amp;D activity by the private sector, promote finance for</w:t>
      </w:r>
      <w:r>
        <w:rPr>
          <w:rFonts w:cs="Arial"/>
        </w:rPr>
        <w:t xml:space="preserve"> </w:t>
      </w:r>
      <w:r w:rsidRPr="00EC4E2A">
        <w:rPr>
          <w:rFonts w:cs="Arial"/>
        </w:rPr>
        <w:t>start-ups, simplify ta</w:t>
      </w:r>
      <w:r>
        <w:rPr>
          <w:rFonts w:cs="Arial"/>
        </w:rPr>
        <w:t>xation and reduce labo</w:t>
      </w:r>
      <w:r w:rsidRPr="00EC4E2A">
        <w:rPr>
          <w:rFonts w:cs="Arial"/>
        </w:rPr>
        <w:t>r market rigidity</w:t>
      </w:r>
      <w:r>
        <w:rPr>
          <w:rFonts w:cs="Arial"/>
        </w:rPr>
        <w:t xml:space="preserve"> (pp. 25ff.)</w:t>
      </w:r>
      <w:r w:rsidRPr="00EC4E2A">
        <w:rPr>
          <w:rFonts w:cs="Arial"/>
        </w:rPr>
        <w:t>.</w:t>
      </w:r>
      <w:r w:rsidR="00135036">
        <w:rPr>
          <w:rFonts w:cs="Arial"/>
        </w:rPr>
        <w:t xml:space="preserve"> </w:t>
      </w:r>
    </w:p>
    <w:p w14:paraId="6810DC35" w14:textId="2BE76F74" w:rsidR="00A22D3A" w:rsidRPr="00AB1AB5" w:rsidRDefault="00A22D3A" w:rsidP="00FA30C8">
      <w:pPr>
        <w:spacing w:before="120" w:after="120"/>
        <w:jc w:val="both"/>
        <w:rPr>
          <w:rFonts w:cs="Arial"/>
        </w:rPr>
      </w:pPr>
      <w:r>
        <w:rPr>
          <w:rFonts w:cs="Arial"/>
        </w:rPr>
        <w:t xml:space="preserve">These were all topics that were in some way or the other covered under this component which </w:t>
      </w:r>
      <w:r w:rsidRPr="00F35F90">
        <w:rPr>
          <w:rFonts w:cs="Arial"/>
        </w:rPr>
        <w:t>aimed at promoting the setting up of an institutional framework conducive to implement a long-term competitiveness strategy</w:t>
      </w:r>
      <w:r>
        <w:rPr>
          <w:rFonts w:cs="Arial"/>
        </w:rPr>
        <w:t xml:space="preserve"> and reach consensus on the way forward. In the case of this component, outcomes detailed in the results matrix are linked to the sub-components and will therefore be discussed i</w:t>
      </w:r>
      <w:r w:rsidR="00135036">
        <w:rPr>
          <w:rFonts w:cs="Arial"/>
        </w:rPr>
        <w:t>n the sections below.</w:t>
      </w:r>
    </w:p>
    <w:p w14:paraId="70C730CE" w14:textId="77777777" w:rsidR="00DF703E" w:rsidRDefault="00A22D3A" w:rsidP="00FA30C8">
      <w:pPr>
        <w:spacing w:before="120" w:after="120"/>
        <w:jc w:val="both"/>
        <w:rPr>
          <w:rFonts w:cs="Arial"/>
          <w:b/>
          <w:lang w:val="en-029"/>
        </w:rPr>
      </w:pPr>
      <w:r w:rsidRPr="00AB1AB5">
        <w:rPr>
          <w:rFonts w:cs="Arial"/>
          <w:b/>
          <w:lang w:val="en-029"/>
        </w:rPr>
        <w:t xml:space="preserve">Sub-component 4.1: Design and strengthening of the Commission on Competitiveness and establishment of </w:t>
      </w:r>
      <w:r w:rsidR="00135036">
        <w:rPr>
          <w:rFonts w:cs="Arial"/>
          <w:b/>
          <w:lang w:val="en-029"/>
        </w:rPr>
        <w:t>its Technical Unit (US$500,000).</w:t>
      </w:r>
    </w:p>
    <w:p w14:paraId="17456E5D" w14:textId="4078AE65" w:rsidR="00BD534F" w:rsidRPr="00135036" w:rsidRDefault="00135036" w:rsidP="00FA30C8">
      <w:pPr>
        <w:spacing w:before="120" w:after="120"/>
        <w:jc w:val="both"/>
        <w:rPr>
          <w:rFonts w:cs="Arial"/>
          <w:b/>
          <w:lang w:val="en-029"/>
        </w:rPr>
      </w:pPr>
      <w:r>
        <w:rPr>
          <w:rFonts w:cs="Arial"/>
          <w:b/>
          <w:lang w:val="en-029"/>
        </w:rPr>
        <w:t xml:space="preserve"> </w:t>
      </w:r>
      <w:r w:rsidR="00A22D3A">
        <w:rPr>
          <w:rFonts w:cs="Arial"/>
          <w:lang w:val="en-029"/>
        </w:rPr>
        <w:t>As described above, t</w:t>
      </w:r>
      <w:r w:rsidR="00A22D3A" w:rsidRPr="00AC10D5">
        <w:rPr>
          <w:rFonts w:cs="Arial"/>
          <w:lang w:val="en-029"/>
        </w:rPr>
        <w:t xml:space="preserve">he institutional framework for the conduct of public-private sector dialogue in Barbados includes the </w:t>
      </w:r>
      <w:r w:rsidR="00A22D3A">
        <w:rPr>
          <w:rFonts w:cs="Arial"/>
          <w:lang w:val="en-029"/>
        </w:rPr>
        <w:t>BSP</w:t>
      </w:r>
      <w:r w:rsidR="00A22D3A" w:rsidRPr="00AC10D5">
        <w:rPr>
          <w:rFonts w:cs="Arial"/>
          <w:lang w:val="en-029"/>
        </w:rPr>
        <w:t>, established in 1993</w:t>
      </w:r>
      <w:r w:rsidR="00A22D3A">
        <w:rPr>
          <w:rFonts w:cs="Arial"/>
          <w:lang w:val="en-029"/>
        </w:rPr>
        <w:t>. Another body of relevance for this sub-component’s activities was</w:t>
      </w:r>
      <w:r w:rsidR="00A22D3A" w:rsidRPr="00AC10D5">
        <w:rPr>
          <w:rFonts w:cs="Arial"/>
          <w:lang w:val="en-029"/>
        </w:rPr>
        <w:t xml:space="preserve"> the Barbados Action Team (BAT) </w:t>
      </w:r>
      <w:r w:rsidR="00A22D3A">
        <w:rPr>
          <w:rFonts w:cs="Arial"/>
          <w:lang w:val="en-029"/>
        </w:rPr>
        <w:t xml:space="preserve">which is </w:t>
      </w:r>
      <w:r w:rsidR="00A22D3A" w:rsidRPr="00AC10D5">
        <w:rPr>
          <w:rFonts w:cs="Arial"/>
          <w:lang w:val="en-029"/>
        </w:rPr>
        <w:t>supported by three</w:t>
      </w:r>
      <w:r w:rsidR="00A22D3A">
        <w:rPr>
          <w:rFonts w:cs="Arial"/>
          <w:lang w:val="en-029"/>
        </w:rPr>
        <w:t xml:space="preserve"> w</w:t>
      </w:r>
      <w:r w:rsidR="00A22D3A" w:rsidRPr="00AC10D5">
        <w:rPr>
          <w:rFonts w:cs="Arial"/>
          <w:lang w:val="en-029"/>
        </w:rPr>
        <w:t>orkin</w:t>
      </w:r>
      <w:r w:rsidR="00A22D3A">
        <w:rPr>
          <w:rFonts w:cs="Arial"/>
          <w:lang w:val="en-029"/>
        </w:rPr>
        <w:t>g groups that cover issues relating to growth, e</w:t>
      </w:r>
      <w:r w:rsidR="00A22D3A" w:rsidRPr="00AC10D5">
        <w:rPr>
          <w:rFonts w:cs="Arial"/>
          <w:lang w:val="en-029"/>
        </w:rPr>
        <w:t>fficiency</w:t>
      </w:r>
      <w:r w:rsidR="00A22D3A">
        <w:rPr>
          <w:rFonts w:cs="Arial"/>
          <w:lang w:val="en-029"/>
        </w:rPr>
        <w:t>,</w:t>
      </w:r>
      <w:r w:rsidR="00A22D3A" w:rsidRPr="00AC10D5">
        <w:rPr>
          <w:rFonts w:cs="Arial"/>
          <w:lang w:val="en-029"/>
        </w:rPr>
        <w:t xml:space="preserve"> and </w:t>
      </w:r>
      <w:r w:rsidR="00A22D3A">
        <w:rPr>
          <w:rFonts w:cs="Arial"/>
          <w:lang w:val="en-029"/>
        </w:rPr>
        <w:t>s</w:t>
      </w:r>
      <w:r w:rsidR="00A22D3A" w:rsidRPr="00AC10D5">
        <w:rPr>
          <w:rFonts w:cs="Arial"/>
          <w:lang w:val="en-029"/>
        </w:rPr>
        <w:t>o</w:t>
      </w:r>
      <w:r w:rsidR="00A22D3A">
        <w:rPr>
          <w:rFonts w:cs="Arial"/>
          <w:lang w:val="en-029"/>
        </w:rPr>
        <w:t>cial safety n</w:t>
      </w:r>
      <w:r w:rsidR="00A22D3A" w:rsidRPr="00AC10D5">
        <w:rPr>
          <w:rFonts w:cs="Arial"/>
          <w:lang w:val="en-029"/>
        </w:rPr>
        <w:t xml:space="preserve">et. While the </w:t>
      </w:r>
      <w:r w:rsidR="00A22D3A">
        <w:rPr>
          <w:rFonts w:cs="Arial"/>
          <w:lang w:val="en-029"/>
        </w:rPr>
        <w:t>BSP</w:t>
      </w:r>
      <w:r w:rsidR="00A22D3A" w:rsidRPr="00AC10D5">
        <w:rPr>
          <w:rFonts w:cs="Arial"/>
          <w:lang w:val="en-029"/>
        </w:rPr>
        <w:t xml:space="preserve"> has served as a consultative arrangement for forging consensus among government, the private sector and trade unions, it does not have a special commission to address issues of private sector development, productivity</w:t>
      </w:r>
      <w:r w:rsidR="00A22D3A">
        <w:rPr>
          <w:rFonts w:cs="Arial"/>
          <w:lang w:val="en-029"/>
        </w:rPr>
        <w:t>, and competitiveness. N</w:t>
      </w:r>
      <w:r w:rsidR="00A22D3A" w:rsidRPr="00AC10D5">
        <w:rPr>
          <w:rFonts w:cs="Arial"/>
          <w:lang w:val="en-029"/>
        </w:rPr>
        <w:t>either does it have the mandate or capacity to propose or impleme</w:t>
      </w:r>
      <w:r w:rsidR="00A22D3A">
        <w:rPr>
          <w:rFonts w:cs="Arial"/>
          <w:lang w:val="en-029"/>
        </w:rPr>
        <w:t>nt competitiveness strategies. In turn, t</w:t>
      </w:r>
      <w:r w:rsidR="00A22D3A" w:rsidRPr="00AC10D5">
        <w:rPr>
          <w:rFonts w:cs="Arial"/>
          <w:lang w:val="en-029"/>
        </w:rPr>
        <w:t>he BAT/Working Groups were established in 2012 to forge a better understanding among the Social Partners, and to improve efforts to address national pro</w:t>
      </w:r>
      <w:r w:rsidR="00A22D3A">
        <w:rPr>
          <w:rFonts w:cs="Arial"/>
          <w:lang w:val="en-029"/>
        </w:rPr>
        <w:t xml:space="preserve">blems identified by that body. </w:t>
      </w:r>
      <w:r w:rsidR="00A22D3A" w:rsidRPr="00AC10D5">
        <w:rPr>
          <w:rFonts w:cs="Arial"/>
          <w:lang w:val="en-029"/>
        </w:rPr>
        <w:t>Members are drawn from government, the private sector and the Congress of Trade Unions and Staff Associations of Barbados (CTUSAB).</w:t>
      </w:r>
    </w:p>
    <w:p w14:paraId="55DB4C8D" w14:textId="0F04C1E8" w:rsidR="00BD534F" w:rsidRDefault="00A22D3A" w:rsidP="00FA30C8">
      <w:pPr>
        <w:spacing w:before="120" w:after="120"/>
        <w:jc w:val="both"/>
        <w:rPr>
          <w:rFonts w:cs="Arial"/>
          <w:lang w:val="en-029"/>
        </w:rPr>
      </w:pPr>
      <w:r>
        <w:rPr>
          <w:rFonts w:cs="Arial"/>
          <w:lang w:val="en-029"/>
        </w:rPr>
        <w:t xml:space="preserve">In light of the above, the objective of this sub-component was </w:t>
      </w:r>
      <w:r w:rsidRPr="000B4A3E">
        <w:rPr>
          <w:rFonts w:cs="Arial"/>
          <w:lang w:val="en-029"/>
        </w:rPr>
        <w:t>to inform the design of a Commission on Competitiveness as the main articulator of public-private dialogue on Barbados’ competitiven</w:t>
      </w:r>
      <w:r>
        <w:rPr>
          <w:rFonts w:cs="Arial"/>
          <w:lang w:val="en-029"/>
        </w:rPr>
        <w:t>ess. The latter was to be</w:t>
      </w:r>
      <w:r w:rsidRPr="000B4A3E">
        <w:rPr>
          <w:rFonts w:cs="Arial"/>
          <w:lang w:val="en-029"/>
        </w:rPr>
        <w:t xml:space="preserve"> chaired by the Prime Minister, and fall under the purview of the </w:t>
      </w:r>
      <w:r>
        <w:rPr>
          <w:rFonts w:cs="Arial"/>
          <w:lang w:val="en-029"/>
        </w:rPr>
        <w:t>B</w:t>
      </w:r>
      <w:r w:rsidRPr="000B4A3E">
        <w:rPr>
          <w:rFonts w:cs="Arial"/>
          <w:lang w:val="en-029"/>
        </w:rPr>
        <w:t>S</w:t>
      </w:r>
      <w:r>
        <w:rPr>
          <w:rFonts w:cs="Arial"/>
          <w:lang w:val="en-029"/>
        </w:rPr>
        <w:t>P. It would also finance</w:t>
      </w:r>
      <w:r w:rsidRPr="000B4A3E">
        <w:rPr>
          <w:rFonts w:cs="Arial"/>
          <w:lang w:val="en-029"/>
        </w:rPr>
        <w:t xml:space="preserve"> the establishment of a Technical Unit</w:t>
      </w:r>
      <w:r>
        <w:rPr>
          <w:rFonts w:cs="Arial"/>
          <w:lang w:val="en-029"/>
        </w:rPr>
        <w:t xml:space="preserve"> (TU) that would provide support to the Commission. This TU would not be directly coordinated by the BSP but rather </w:t>
      </w:r>
      <w:r w:rsidRPr="000B4A3E">
        <w:rPr>
          <w:rFonts w:cs="Arial"/>
          <w:lang w:val="en-029"/>
        </w:rPr>
        <w:t xml:space="preserve">be integrated into the Economic Affairs Division (EAD) of the </w:t>
      </w:r>
      <w:r>
        <w:rPr>
          <w:rFonts w:cs="Arial"/>
          <w:lang w:val="en-029"/>
        </w:rPr>
        <w:t>MFEA</w:t>
      </w:r>
      <w:r w:rsidRPr="000B4A3E">
        <w:rPr>
          <w:rFonts w:cs="Arial"/>
          <w:lang w:val="en-029"/>
        </w:rPr>
        <w:t>.</w:t>
      </w:r>
    </w:p>
    <w:p w14:paraId="685DF3A6" w14:textId="557B2EEE" w:rsidR="00BD534F" w:rsidRPr="00135036" w:rsidRDefault="00A22D3A" w:rsidP="00FA30C8">
      <w:pPr>
        <w:spacing w:before="120" w:after="120"/>
        <w:jc w:val="both"/>
        <w:rPr>
          <w:rFonts w:cs="Arial"/>
        </w:rPr>
      </w:pPr>
      <w:r>
        <w:rPr>
          <w:rFonts w:cs="Arial"/>
          <w:lang w:val="en-029"/>
        </w:rPr>
        <w:t xml:space="preserve">The study was completed in August 2015 and included recommendations on, among others, the mandate of both bodies, the specific roles, and resource requirements. </w:t>
      </w:r>
      <w:r w:rsidR="00730C6A">
        <w:rPr>
          <w:rFonts w:cs="Arial"/>
          <w:lang w:val="en-029"/>
        </w:rPr>
        <w:t xml:space="preserve">The cabinet paper on the </w:t>
      </w:r>
      <w:r>
        <w:rPr>
          <w:rFonts w:cs="Arial"/>
          <w:lang w:val="en-029"/>
        </w:rPr>
        <w:t xml:space="preserve">design </w:t>
      </w:r>
      <w:r w:rsidR="00020E02">
        <w:rPr>
          <w:rFonts w:cs="Arial"/>
          <w:lang w:val="en-029"/>
        </w:rPr>
        <w:t xml:space="preserve">of the institutional structure was </w:t>
      </w:r>
      <w:r>
        <w:rPr>
          <w:rFonts w:cs="Arial"/>
          <w:lang w:val="en-029"/>
        </w:rPr>
        <w:t xml:space="preserve">approved by GoB, </w:t>
      </w:r>
      <w:r w:rsidR="00730C6A">
        <w:rPr>
          <w:rFonts w:cs="Arial"/>
          <w:lang w:val="en-029"/>
        </w:rPr>
        <w:t xml:space="preserve">and </w:t>
      </w:r>
      <w:r w:rsidR="00020E02" w:rsidRPr="00020E02">
        <w:rPr>
          <w:rFonts w:cs="Arial"/>
          <w:i/>
          <w:lang w:val="en-029"/>
        </w:rPr>
        <w:t>Output #1: Institutional structure of Commission on Competitiveness (including the Technical Unit) redesigned and in operation</w:t>
      </w:r>
      <w:r w:rsidR="00020E02" w:rsidRPr="00020E02">
        <w:rPr>
          <w:rFonts w:cs="Arial"/>
          <w:lang w:val="en-029"/>
        </w:rPr>
        <w:t xml:space="preserve"> </w:t>
      </w:r>
      <w:r w:rsidR="00020E02">
        <w:rPr>
          <w:rFonts w:cs="Arial"/>
          <w:lang w:val="en-029"/>
        </w:rPr>
        <w:t xml:space="preserve">was therefore achieved. </w:t>
      </w:r>
      <w:r>
        <w:rPr>
          <w:rFonts w:cs="Arial"/>
          <w:lang w:val="en-029"/>
        </w:rPr>
        <w:t>However, while</w:t>
      </w:r>
      <w:r w:rsidRPr="00F35F90">
        <w:rPr>
          <w:rFonts w:cs="Arial"/>
        </w:rPr>
        <w:t xml:space="preserve"> these </w:t>
      </w:r>
      <w:r>
        <w:rPr>
          <w:rFonts w:cs="Arial"/>
        </w:rPr>
        <w:t xml:space="preserve">analytical </w:t>
      </w:r>
      <w:r w:rsidRPr="00F35F90">
        <w:rPr>
          <w:rFonts w:cs="Arial"/>
        </w:rPr>
        <w:t xml:space="preserve">activities were concluded successfully during the lifetime of the loan, </w:t>
      </w:r>
      <w:r>
        <w:rPr>
          <w:rFonts w:cs="Arial"/>
        </w:rPr>
        <w:t>the outcome linked to the sub-component (</w:t>
      </w:r>
      <w:r w:rsidRPr="00F70822">
        <w:rPr>
          <w:rFonts w:cs="Arial"/>
          <w:i/>
        </w:rPr>
        <w:t>Outcome #5: Effective Public - Private Dialogue (PPD) on competitiveness issues carried out</w:t>
      </w:r>
      <w:r>
        <w:rPr>
          <w:rFonts w:cs="Arial"/>
        </w:rPr>
        <w:t xml:space="preserve">) was not achieved. </w:t>
      </w:r>
      <w:r w:rsidR="003117FE">
        <w:rPr>
          <w:rFonts w:cs="Arial"/>
        </w:rPr>
        <w:t xml:space="preserve">While </w:t>
      </w:r>
      <w:r w:rsidR="003117FE">
        <w:rPr>
          <w:rFonts w:cs="Arial"/>
        </w:rPr>
        <w:lastRenderedPageBreak/>
        <w:t>t</w:t>
      </w:r>
      <w:r w:rsidR="003117FE" w:rsidRPr="003117FE">
        <w:rPr>
          <w:rFonts w:cs="Arial"/>
        </w:rPr>
        <w:t xml:space="preserve">he paper on establishing the Commission on Competitiveness and its Technical Unit </w:t>
      </w:r>
      <w:r w:rsidR="003117FE">
        <w:rPr>
          <w:rFonts w:cs="Arial"/>
        </w:rPr>
        <w:t xml:space="preserve">was prepared, it </w:t>
      </w:r>
      <w:r w:rsidR="003117FE" w:rsidRPr="003117FE">
        <w:rPr>
          <w:rFonts w:cs="Arial"/>
        </w:rPr>
        <w:t>ha</w:t>
      </w:r>
      <w:r w:rsidR="003117FE">
        <w:rPr>
          <w:rFonts w:cs="Arial"/>
        </w:rPr>
        <w:t>s yet to be approved and</w:t>
      </w:r>
      <w:r w:rsidR="003117FE" w:rsidRPr="003117FE">
        <w:rPr>
          <w:rFonts w:cs="Arial"/>
        </w:rPr>
        <w:t xml:space="preserve"> will be re-submitted to Cabinet in November for their consideration</w:t>
      </w:r>
      <w:r w:rsidR="003117FE">
        <w:rPr>
          <w:rFonts w:cs="Arial"/>
        </w:rPr>
        <w:t>. Therefore, t</w:t>
      </w:r>
      <w:r>
        <w:rPr>
          <w:rFonts w:cs="Arial"/>
        </w:rPr>
        <w:t xml:space="preserve">he Commission did not hold the meetings as planned, which was one of the indicators, and the staffing decisions for the TU were not taken in time, which is why it was not formally set up and producing the planned reports. </w:t>
      </w:r>
    </w:p>
    <w:p w14:paraId="65AE1E3E" w14:textId="77777777" w:rsidR="00DF703E" w:rsidRDefault="00A22D3A" w:rsidP="00FA30C8">
      <w:pPr>
        <w:spacing w:before="120" w:after="120"/>
        <w:jc w:val="both"/>
        <w:rPr>
          <w:rFonts w:cs="Arial"/>
          <w:b/>
          <w:lang w:val="en-029"/>
        </w:rPr>
      </w:pPr>
      <w:r w:rsidRPr="00AB1AB5">
        <w:rPr>
          <w:rFonts w:cs="Arial"/>
          <w:b/>
          <w:lang w:val="en-029"/>
        </w:rPr>
        <w:t>Sub-component 4.2: National Competitiveness Strate</w:t>
      </w:r>
      <w:r w:rsidR="00135036">
        <w:rPr>
          <w:rFonts w:cs="Arial"/>
          <w:b/>
          <w:lang w:val="en-029"/>
        </w:rPr>
        <w:t>gy and Action Plan (US$330,000.</w:t>
      </w:r>
      <w:r w:rsidR="00441AD1">
        <w:rPr>
          <w:rFonts w:cs="Arial"/>
          <w:b/>
          <w:lang w:val="en-029"/>
        </w:rPr>
        <w:t xml:space="preserve"> </w:t>
      </w:r>
    </w:p>
    <w:p w14:paraId="7B5715FD" w14:textId="24A8400E" w:rsidR="00BD534F" w:rsidRPr="00441AD1" w:rsidRDefault="00A22D3A" w:rsidP="00FA30C8">
      <w:pPr>
        <w:spacing w:before="120" w:after="120"/>
        <w:jc w:val="both"/>
        <w:rPr>
          <w:rFonts w:cs="Arial"/>
          <w:b/>
          <w:lang w:val="en-029"/>
        </w:rPr>
      </w:pPr>
      <w:r w:rsidRPr="008273CA">
        <w:rPr>
          <w:rFonts w:cs="Arial"/>
          <w:lang w:val="en-029"/>
        </w:rPr>
        <w:t>Issues relating to competitiveness, private sector development and productivity have been topical in political discourse</w:t>
      </w:r>
      <w:r>
        <w:rPr>
          <w:rFonts w:cs="Arial"/>
          <w:lang w:val="en-029"/>
        </w:rPr>
        <w:t xml:space="preserve"> in the country</w:t>
      </w:r>
      <w:r w:rsidRPr="008273CA">
        <w:rPr>
          <w:rFonts w:cs="Arial"/>
          <w:lang w:val="en-029"/>
        </w:rPr>
        <w:t xml:space="preserve">, leading to a number of sectoral studies and reports being commissioned </w:t>
      </w:r>
      <w:r>
        <w:rPr>
          <w:rFonts w:cs="Arial"/>
          <w:lang w:val="en-029"/>
        </w:rPr>
        <w:t>over the last decades</w:t>
      </w:r>
      <w:r w:rsidRPr="008273CA">
        <w:rPr>
          <w:rFonts w:cs="Arial"/>
          <w:lang w:val="en-029"/>
        </w:rPr>
        <w:t xml:space="preserve">. However, </w:t>
      </w:r>
      <w:r>
        <w:rPr>
          <w:rFonts w:cs="Arial"/>
          <w:lang w:val="en-029"/>
        </w:rPr>
        <w:t xml:space="preserve">as the project was being designed, </w:t>
      </w:r>
      <w:r w:rsidRPr="008273CA">
        <w:rPr>
          <w:rFonts w:cs="Arial"/>
          <w:lang w:val="en-029"/>
        </w:rPr>
        <w:t>a natio</w:t>
      </w:r>
      <w:r>
        <w:rPr>
          <w:rFonts w:cs="Arial"/>
          <w:lang w:val="en-029"/>
        </w:rPr>
        <w:t>nal competitiveness strategy had</w:t>
      </w:r>
      <w:r w:rsidRPr="008273CA">
        <w:rPr>
          <w:rFonts w:cs="Arial"/>
          <w:lang w:val="en-029"/>
        </w:rPr>
        <w:t xml:space="preserve"> nev</w:t>
      </w:r>
      <w:r>
        <w:rPr>
          <w:rFonts w:cs="Arial"/>
          <w:lang w:val="en-029"/>
        </w:rPr>
        <w:t>er been developed for Barbados.</w:t>
      </w:r>
    </w:p>
    <w:p w14:paraId="7603EDC2" w14:textId="1E1FE0B5" w:rsidR="00BD534F" w:rsidRDefault="00A22D3A" w:rsidP="00FA30C8">
      <w:pPr>
        <w:spacing w:before="120" w:after="120"/>
        <w:jc w:val="both"/>
        <w:rPr>
          <w:rFonts w:cs="Arial"/>
        </w:rPr>
      </w:pPr>
      <w:r w:rsidRPr="008273CA">
        <w:rPr>
          <w:rFonts w:cs="Arial"/>
          <w:lang w:val="en-029"/>
        </w:rPr>
        <w:t xml:space="preserve">Therefore, the primary objective of this </w:t>
      </w:r>
      <w:r>
        <w:rPr>
          <w:rFonts w:cs="Arial"/>
          <w:lang w:val="en-029"/>
        </w:rPr>
        <w:t>sub-component</w:t>
      </w:r>
      <w:r w:rsidRPr="008273CA">
        <w:rPr>
          <w:rFonts w:cs="Arial"/>
          <w:lang w:val="en-029"/>
        </w:rPr>
        <w:t xml:space="preserve"> </w:t>
      </w:r>
      <w:r>
        <w:rPr>
          <w:rFonts w:cs="Arial"/>
          <w:lang w:val="en-029"/>
        </w:rPr>
        <w:t>was the development of an integral</w:t>
      </w:r>
      <w:r w:rsidRPr="00317403">
        <w:rPr>
          <w:rFonts w:cs="Arial"/>
          <w:lang w:val="en-029"/>
        </w:rPr>
        <w:t xml:space="preserve"> medium term National Competitiveness Strategy (NCS), </w:t>
      </w:r>
      <w:r>
        <w:rPr>
          <w:rFonts w:cs="Arial"/>
          <w:lang w:val="en-029"/>
        </w:rPr>
        <w:t>seen a</w:t>
      </w:r>
      <w:r w:rsidRPr="00317403">
        <w:rPr>
          <w:rFonts w:cs="Arial"/>
          <w:lang w:val="en-029"/>
        </w:rPr>
        <w:t xml:space="preserve">s a proactive futuristic vision in terms of opportunities for, and structural restrictions on economic growth and development. The NCS </w:t>
      </w:r>
      <w:r>
        <w:rPr>
          <w:rFonts w:cs="Arial"/>
          <w:lang w:val="en-029"/>
        </w:rPr>
        <w:t>would</w:t>
      </w:r>
      <w:r w:rsidRPr="00317403">
        <w:rPr>
          <w:rFonts w:cs="Arial"/>
          <w:lang w:val="en-029"/>
        </w:rPr>
        <w:t xml:space="preserve"> not only express national goals</w:t>
      </w:r>
      <w:r>
        <w:rPr>
          <w:rFonts w:cs="Arial"/>
          <w:lang w:val="en-029"/>
        </w:rPr>
        <w:t>,</w:t>
      </w:r>
      <w:r w:rsidRPr="00317403">
        <w:rPr>
          <w:rFonts w:cs="Arial"/>
          <w:lang w:val="en-029"/>
        </w:rPr>
        <w:t xml:space="preserve"> but also serve as a vehicle for prioritising and coordinating relevant government policies. </w:t>
      </w:r>
      <w:r>
        <w:rPr>
          <w:rFonts w:cs="Arial"/>
          <w:lang w:val="en-029"/>
        </w:rPr>
        <w:t>It would also</w:t>
      </w:r>
      <w:r w:rsidRPr="00317403">
        <w:rPr>
          <w:rFonts w:cs="Arial"/>
          <w:lang w:val="en-029"/>
        </w:rPr>
        <w:t xml:space="preserve"> provide the mandate for the work of the </w:t>
      </w:r>
      <w:r>
        <w:rPr>
          <w:rFonts w:cs="Arial"/>
        </w:rPr>
        <w:t>TU de</w:t>
      </w:r>
      <w:r w:rsidR="00135036">
        <w:rPr>
          <w:rFonts w:cs="Arial"/>
        </w:rPr>
        <w:t>scribed under sub-component 4.1</w:t>
      </w:r>
    </w:p>
    <w:p w14:paraId="619E17F6" w14:textId="1270373E" w:rsidR="00A22D3A" w:rsidRDefault="00A22D3A" w:rsidP="00FA30C8">
      <w:pPr>
        <w:spacing w:before="120" w:after="120"/>
        <w:jc w:val="both"/>
        <w:rPr>
          <w:rFonts w:cs="Arial"/>
        </w:rPr>
      </w:pPr>
      <w:r w:rsidRPr="00317403">
        <w:rPr>
          <w:rFonts w:cs="Arial"/>
        </w:rPr>
        <w:t>The</w:t>
      </w:r>
      <w:r>
        <w:rPr>
          <w:rFonts w:cs="Arial"/>
        </w:rPr>
        <w:t xml:space="preserve"> work was completed in December 2015 identifying the following three overarching goals</w:t>
      </w:r>
    </w:p>
    <w:p w14:paraId="090A1A61" w14:textId="77777777" w:rsidR="00A22D3A" w:rsidRPr="00A800D9" w:rsidRDefault="00A22D3A" w:rsidP="005064AD">
      <w:pPr>
        <w:pStyle w:val="ListParagraph"/>
        <w:numPr>
          <w:ilvl w:val="0"/>
          <w:numId w:val="9"/>
        </w:numPr>
        <w:spacing w:before="120" w:after="120"/>
        <w:contextualSpacing w:val="0"/>
        <w:jc w:val="both"/>
        <w:rPr>
          <w:rFonts w:cs="Arial"/>
        </w:rPr>
      </w:pPr>
      <w:r w:rsidRPr="00A800D9">
        <w:rPr>
          <w:rFonts w:cs="Arial"/>
        </w:rPr>
        <w:t xml:space="preserve">Strengthen the traditional economic basis of Barbados by expanding specialization and value-added in tourism, offshore international financial institutions and corporations and agriculture/agrofood industry </w:t>
      </w:r>
    </w:p>
    <w:p w14:paraId="63A29ED4" w14:textId="77777777" w:rsidR="00A22D3A" w:rsidRPr="00A800D9" w:rsidRDefault="00A22D3A" w:rsidP="005064AD">
      <w:pPr>
        <w:pStyle w:val="ListParagraph"/>
        <w:numPr>
          <w:ilvl w:val="0"/>
          <w:numId w:val="9"/>
        </w:numPr>
        <w:spacing w:before="120" w:after="120"/>
        <w:contextualSpacing w:val="0"/>
        <w:jc w:val="both"/>
        <w:rPr>
          <w:rFonts w:cs="Arial"/>
        </w:rPr>
      </w:pPr>
      <w:r w:rsidRPr="00A800D9">
        <w:rPr>
          <w:rFonts w:cs="Arial"/>
        </w:rPr>
        <w:t>Diversify and enlarge the productive basis of Barbados through “smart specialization” in new and emerging niches within selected sectors in which the country can gain a regional leadership position, fostering the integration of the whole value chain and inter-linkages with other sectors</w:t>
      </w:r>
    </w:p>
    <w:p w14:paraId="70B40F91" w14:textId="77777777" w:rsidR="00A22D3A" w:rsidRPr="00A800D9" w:rsidRDefault="00A22D3A" w:rsidP="005064AD">
      <w:pPr>
        <w:pStyle w:val="ListParagraph"/>
        <w:numPr>
          <w:ilvl w:val="0"/>
          <w:numId w:val="9"/>
        </w:numPr>
        <w:spacing w:before="120" w:after="120"/>
        <w:contextualSpacing w:val="0"/>
        <w:jc w:val="both"/>
        <w:rPr>
          <w:rFonts w:cs="Arial"/>
        </w:rPr>
      </w:pPr>
      <w:r w:rsidRPr="00A800D9">
        <w:rPr>
          <w:rFonts w:cs="Arial"/>
        </w:rPr>
        <w:t>Develop a more agile and consolidated business framework in which private enterprises can flourish, removing those structural restrictions that hamper economic growth and development in Barbados</w:t>
      </w:r>
    </w:p>
    <w:p w14:paraId="1554FFF7" w14:textId="0A26E2E6" w:rsidR="00BD534F" w:rsidRPr="00BD534F" w:rsidRDefault="00A22D3A" w:rsidP="00FA30C8">
      <w:pPr>
        <w:spacing w:before="120" w:after="120"/>
        <w:jc w:val="both"/>
        <w:rPr>
          <w:rFonts w:cs="Arial"/>
          <w:i/>
        </w:rPr>
      </w:pPr>
      <w:r>
        <w:rPr>
          <w:rFonts w:cs="Arial"/>
        </w:rPr>
        <w:t xml:space="preserve">It also identified </w:t>
      </w:r>
      <w:r w:rsidRPr="00317403">
        <w:rPr>
          <w:rFonts w:cs="Arial"/>
        </w:rPr>
        <w:t xml:space="preserve">10 </w:t>
      </w:r>
      <w:r>
        <w:rPr>
          <w:rFonts w:cs="Arial"/>
        </w:rPr>
        <w:t>priority s</w:t>
      </w:r>
      <w:r w:rsidRPr="00317403">
        <w:rPr>
          <w:rFonts w:cs="Arial"/>
        </w:rPr>
        <w:t>trategies</w:t>
      </w:r>
      <w:r>
        <w:rPr>
          <w:rFonts w:cs="Arial"/>
        </w:rPr>
        <w:t xml:space="preserve"> to be adopted in order to achieve the vision and g</w:t>
      </w:r>
      <w:r w:rsidRPr="00317403">
        <w:rPr>
          <w:rFonts w:cs="Arial"/>
        </w:rPr>
        <w:t>oals during a four-year period, as well as a list of</w:t>
      </w:r>
      <w:r>
        <w:rPr>
          <w:rFonts w:cs="Arial"/>
        </w:rPr>
        <w:t xml:space="preserve"> </w:t>
      </w:r>
      <w:r w:rsidRPr="00317403">
        <w:rPr>
          <w:rFonts w:cs="Arial"/>
        </w:rPr>
        <w:t xml:space="preserve">30 </w:t>
      </w:r>
      <w:r>
        <w:rPr>
          <w:rFonts w:cs="Arial"/>
        </w:rPr>
        <w:t xml:space="preserve">concrete action items. </w:t>
      </w:r>
      <w:bookmarkStart w:id="26" w:name="_Hlk496531186"/>
      <w:r>
        <w:rPr>
          <w:rFonts w:cs="Arial"/>
        </w:rPr>
        <w:t xml:space="preserve">This very comprehensive analytical work has already informed the dialogue among key stakeholders, however, the formal submission to and approval of the plan by Cabinet is still pending and expected to happen by </w:t>
      </w:r>
      <w:r w:rsidR="00FF5346">
        <w:rPr>
          <w:rFonts w:cs="Arial"/>
        </w:rPr>
        <w:t>January 2018</w:t>
      </w:r>
      <w:r>
        <w:rPr>
          <w:rFonts w:cs="Arial"/>
        </w:rPr>
        <w:t xml:space="preserve">, once the Cabinet Paper has been reviewed by related Ministries and Departments. This is why </w:t>
      </w:r>
      <w:r w:rsidR="00FF5346" w:rsidRPr="00FF5346">
        <w:rPr>
          <w:rFonts w:cs="Arial"/>
          <w:i/>
        </w:rPr>
        <w:t>Output #2: A National Competitiveness Strategy (NCS) and action plan approved</w:t>
      </w:r>
      <w:r w:rsidR="00FF5346" w:rsidRPr="00FF5346">
        <w:rPr>
          <w:rFonts w:cs="Arial"/>
        </w:rPr>
        <w:t xml:space="preserve"> </w:t>
      </w:r>
      <w:r w:rsidR="00FF5346">
        <w:rPr>
          <w:rFonts w:cs="Arial"/>
        </w:rPr>
        <w:t>was not achieved, and the same goes for</w:t>
      </w:r>
      <w:r>
        <w:rPr>
          <w:rFonts w:cs="Arial"/>
        </w:rPr>
        <w:t xml:space="preserve"> </w:t>
      </w:r>
      <w:r w:rsidRPr="00A800D9">
        <w:rPr>
          <w:rFonts w:cs="Arial"/>
          <w:i/>
        </w:rPr>
        <w:t>Outcome #6: Action Plan of National Competitiveness Strategy (NCS) partially implemented</w:t>
      </w:r>
      <w:r>
        <w:rPr>
          <w:rFonts w:cs="Arial"/>
        </w:rPr>
        <w:t xml:space="preserve">. </w:t>
      </w:r>
      <w:r w:rsidR="00632529">
        <w:rPr>
          <w:rFonts w:cs="Arial"/>
        </w:rPr>
        <w:t xml:space="preserve">The latter </w:t>
      </w:r>
      <w:r>
        <w:rPr>
          <w:rFonts w:cs="Arial"/>
        </w:rPr>
        <w:t>would have also required to have a functioning Commission of Competitiveness in place, since the means of verification were the minutes of its meetings.</w:t>
      </w:r>
      <w:bookmarkEnd w:id="26"/>
      <w:r>
        <w:rPr>
          <w:rFonts w:cs="Arial"/>
        </w:rPr>
        <w:t xml:space="preserve"> Once the NCS </w:t>
      </w:r>
      <w:r w:rsidRPr="00A7025A">
        <w:rPr>
          <w:rFonts w:cs="Arial"/>
        </w:rPr>
        <w:t>has been approv</w:t>
      </w:r>
      <w:r>
        <w:rPr>
          <w:rFonts w:cs="Arial"/>
        </w:rPr>
        <w:t>ed, the steps outlined in the action plan</w:t>
      </w:r>
      <w:r w:rsidRPr="00A7025A">
        <w:rPr>
          <w:rFonts w:cs="Arial"/>
        </w:rPr>
        <w:t xml:space="preserve"> would need to be implemented </w:t>
      </w:r>
      <w:r>
        <w:rPr>
          <w:rFonts w:cs="Arial"/>
        </w:rPr>
        <w:t xml:space="preserve">by stakeholders which is what was to be covered under </w:t>
      </w:r>
      <w:r w:rsidRPr="000D7DEC">
        <w:rPr>
          <w:rFonts w:cs="Arial"/>
          <w:i/>
        </w:rPr>
        <w:t>Output #3: NCS Action Plan implemented according to schedule</w:t>
      </w:r>
      <w:r>
        <w:rPr>
          <w:rFonts w:cs="Arial"/>
          <w:i/>
        </w:rPr>
        <w:t xml:space="preserve"> </w:t>
      </w:r>
      <w:r w:rsidRPr="00040189">
        <w:rPr>
          <w:rFonts w:cs="Arial"/>
        </w:rPr>
        <w:t xml:space="preserve">but could not happen during the lifetime of the project given the </w:t>
      </w:r>
      <w:r w:rsidR="0065292F">
        <w:rPr>
          <w:rFonts w:cs="Arial"/>
        </w:rPr>
        <w:t xml:space="preserve">repeated </w:t>
      </w:r>
      <w:r w:rsidRPr="00040189">
        <w:rPr>
          <w:rFonts w:cs="Arial"/>
        </w:rPr>
        <w:t>delays in the approval of the strategy.</w:t>
      </w:r>
    </w:p>
    <w:p w14:paraId="435B761C" w14:textId="416A8C7B" w:rsidR="009B4D7A" w:rsidRPr="00135036" w:rsidRDefault="009B4D7A" w:rsidP="005064AD">
      <w:pPr>
        <w:pStyle w:val="Heading3"/>
        <w:numPr>
          <w:ilvl w:val="0"/>
          <w:numId w:val="6"/>
        </w:numPr>
        <w:spacing w:before="120" w:after="120"/>
        <w:jc w:val="both"/>
      </w:pPr>
      <w:bookmarkStart w:id="27" w:name="_Toc500317971"/>
      <w:r>
        <w:t>Analysis of the Results Attribution</w:t>
      </w:r>
      <w:bookmarkEnd w:id="27"/>
    </w:p>
    <w:p w14:paraId="2B6E016A" w14:textId="149C5592" w:rsidR="00BD534F" w:rsidRDefault="00BD534F" w:rsidP="00FA30C8">
      <w:pPr>
        <w:spacing w:before="120" w:after="120"/>
        <w:jc w:val="both"/>
        <w:rPr>
          <w:rFonts w:cs="Arial"/>
          <w:lang w:val="en-029"/>
        </w:rPr>
      </w:pPr>
      <w:r>
        <w:rPr>
          <w:rFonts w:cs="Arial"/>
          <w:lang w:val="en-029"/>
        </w:rPr>
        <w:t xml:space="preserve">As mentioned in section 2.1.a, the original design of the project with its approach of enhancing competitiveness through a focus on strengthening policies and institutions was fully aligned with research findings and international best practice. The literature keeps pointing to the importance of these two factors for development </w:t>
      </w:r>
      <w:r w:rsidRPr="00366D14">
        <w:rPr>
          <w:rFonts w:cs="Arial"/>
          <w:lang w:val="en-029"/>
        </w:rPr>
        <w:t>(North, 1990; Rodrik, 2011)</w:t>
      </w:r>
      <w:r>
        <w:rPr>
          <w:rFonts w:cs="Arial"/>
          <w:lang w:val="en-029"/>
        </w:rPr>
        <w:t xml:space="preserve"> and, on the downside, c</w:t>
      </w:r>
      <w:r w:rsidRPr="00345176">
        <w:rPr>
          <w:rFonts w:cs="Arial"/>
          <w:lang w:val="en-029"/>
        </w:rPr>
        <w:t xml:space="preserve">ountless development efforts have failed </w:t>
      </w:r>
      <w:r>
        <w:rPr>
          <w:rFonts w:cs="Arial"/>
          <w:lang w:val="en-029"/>
        </w:rPr>
        <w:t xml:space="preserve">precisely </w:t>
      </w:r>
      <w:r w:rsidRPr="00345176">
        <w:rPr>
          <w:rFonts w:cs="Arial"/>
          <w:lang w:val="en-029"/>
        </w:rPr>
        <w:t xml:space="preserve">because countries lack </w:t>
      </w:r>
      <w:r>
        <w:rPr>
          <w:rFonts w:cs="Arial"/>
          <w:lang w:val="en-029"/>
        </w:rPr>
        <w:t xml:space="preserve">strong and stable </w:t>
      </w:r>
      <w:r w:rsidRPr="00345176">
        <w:rPr>
          <w:rFonts w:cs="Arial"/>
          <w:lang w:val="en-029"/>
        </w:rPr>
        <w:t xml:space="preserve">institutions </w:t>
      </w:r>
      <w:r>
        <w:rPr>
          <w:rFonts w:cs="Arial"/>
          <w:lang w:val="en-029"/>
        </w:rPr>
        <w:t xml:space="preserve">as </w:t>
      </w:r>
      <w:r>
        <w:rPr>
          <w:rFonts w:cs="Arial"/>
          <w:lang w:val="en-029"/>
        </w:rPr>
        <w:lastRenderedPageBreak/>
        <w:t>well as an adequate normative framework. This is also highlighted in the</w:t>
      </w:r>
      <w:r w:rsidRPr="00366D14">
        <w:rPr>
          <w:rFonts w:cs="Arial"/>
          <w:lang w:val="en-029"/>
        </w:rPr>
        <w:t xml:space="preserve"> Sectoral Framework for Science, Technology and Innovation of the Bank </w:t>
      </w:r>
      <w:r>
        <w:rPr>
          <w:rFonts w:cs="Arial"/>
          <w:lang w:val="en-029"/>
        </w:rPr>
        <w:t xml:space="preserve">which </w:t>
      </w:r>
      <w:r w:rsidRPr="00366D14">
        <w:rPr>
          <w:rFonts w:cs="Arial"/>
          <w:lang w:val="en-029"/>
        </w:rPr>
        <w:t xml:space="preserve">attributes particularly great importance to </w:t>
      </w:r>
      <w:r>
        <w:rPr>
          <w:rFonts w:cs="Arial"/>
          <w:lang w:val="en-029"/>
        </w:rPr>
        <w:t>strengthening the</w:t>
      </w:r>
      <w:r w:rsidRPr="00366D14">
        <w:rPr>
          <w:rFonts w:cs="Arial"/>
          <w:lang w:val="en-029"/>
        </w:rPr>
        <w:t xml:space="preserve"> institutional </w:t>
      </w:r>
      <w:r>
        <w:rPr>
          <w:rFonts w:cs="Arial"/>
          <w:lang w:val="en-029"/>
        </w:rPr>
        <w:t>and regulatory environment for competitiveness</w:t>
      </w:r>
      <w:r w:rsidRPr="00366D14">
        <w:rPr>
          <w:rFonts w:cs="Arial"/>
          <w:lang w:val="en-029"/>
        </w:rPr>
        <w:t xml:space="preserve"> as a condition to obtain development results</w:t>
      </w:r>
      <w:r>
        <w:rPr>
          <w:rFonts w:cs="Arial"/>
          <w:lang w:val="en-029"/>
        </w:rPr>
        <w:t>.</w:t>
      </w:r>
      <w:r>
        <w:rPr>
          <w:rStyle w:val="FootnoteReference"/>
          <w:rFonts w:cs="Arial"/>
          <w:lang w:val="en-029"/>
        </w:rPr>
        <w:footnoteReference w:id="14"/>
      </w:r>
      <w:r>
        <w:rPr>
          <w:rFonts w:cs="Arial"/>
          <w:lang w:val="en-029"/>
        </w:rPr>
        <w:t xml:space="preserve"> </w:t>
      </w:r>
    </w:p>
    <w:p w14:paraId="24BA3925" w14:textId="1D3C39B9" w:rsidR="00BD534F" w:rsidRDefault="00BD534F" w:rsidP="00FA30C8">
      <w:pPr>
        <w:spacing w:before="120" w:after="120"/>
        <w:jc w:val="both"/>
        <w:rPr>
          <w:rFonts w:cs="Arial"/>
          <w:lang w:val="en-029"/>
        </w:rPr>
      </w:pPr>
      <w:r>
        <w:rPr>
          <w:rFonts w:cs="Arial"/>
          <w:lang w:val="en-029"/>
        </w:rPr>
        <w:t>At the same time, the outputs and inputs financed by the project and discussed in the previous section were directly linked to a causal chain that would be conducive to achieve the envisioned outcomes and every knowledge work financed by the project included an analysis of international best practice so that adjustments in recommendations and the way forward could easily be identified. Thanks to this approach and the activities financed by this loan, a number of important outputs were produced and milestones were achieved that improved the conditions for increased competitiveness and business facilitation in the country. This holds particularly true for a set of areas that have repeatedly been emphasized by Go</w:t>
      </w:r>
      <w:r w:rsidR="00135036">
        <w:rPr>
          <w:rFonts w:cs="Arial"/>
          <w:lang w:val="en-029"/>
        </w:rPr>
        <w:t xml:space="preserve">B and stakeholders in general. </w:t>
      </w:r>
    </w:p>
    <w:p w14:paraId="44EE0C6F" w14:textId="77777777" w:rsidR="00135036" w:rsidRDefault="00BD534F" w:rsidP="00FA30C8">
      <w:pPr>
        <w:spacing w:before="120" w:after="120"/>
        <w:jc w:val="both"/>
        <w:rPr>
          <w:rFonts w:cs="Arial"/>
          <w:lang w:val="en-029"/>
        </w:rPr>
      </w:pPr>
      <w:r>
        <w:rPr>
          <w:rFonts w:cs="Arial"/>
          <w:lang w:val="en-029"/>
        </w:rPr>
        <w:t>First, GoB now has increased knowledge and capacities to evaluate incentives and regulations for business development. This is due to the CGE model financed by the loan serving as a key tool to enable</w:t>
      </w:r>
      <w:r w:rsidRPr="00CC0887">
        <w:rPr>
          <w:rFonts w:cs="Arial"/>
          <w:lang w:val="en-029"/>
        </w:rPr>
        <w:t xml:space="preserve"> the </w:t>
      </w:r>
      <w:r>
        <w:rPr>
          <w:rFonts w:cs="Arial"/>
          <w:lang w:val="en-029"/>
        </w:rPr>
        <w:t>MFEA</w:t>
      </w:r>
      <w:r w:rsidRPr="00CC0887">
        <w:rPr>
          <w:rFonts w:cs="Arial"/>
          <w:lang w:val="en-029"/>
        </w:rPr>
        <w:t>, the Central Bank and other tax policy analysts to assess the direct and indirect impact of alternative tax regimes on economic activity and government revenues</w:t>
      </w:r>
      <w:r>
        <w:rPr>
          <w:rFonts w:cs="Arial"/>
          <w:lang w:val="en-029"/>
        </w:rPr>
        <w:t>. As discussed in the previous section, adjustment may need to be made in line with local capabilities and needs, but the major work is done. In addition, even if</w:t>
      </w:r>
      <w:r w:rsidRPr="00CC0887">
        <w:rPr>
          <w:rFonts w:cs="Arial"/>
          <w:lang w:val="en-029"/>
        </w:rPr>
        <w:t xml:space="preserve"> the Finance Ministry benefits the most in terms of policy analysis of the general equilibrium effects of tax and subsidizes distortions, the model could also be used to estimate effects from other policy interventions (e.g. trade measures), external shocks (e.g. the Brexit) or demographic trends (e.g. migration), just to mention a few. Therefore, entities like the Central Bank, a local university, or a consortium of different research-oriented bodies could host and maintain the CGE, making it available for policy analysis to the Fiscal Research Department, the </w:t>
      </w:r>
      <w:r>
        <w:rPr>
          <w:rFonts w:cs="Arial"/>
          <w:lang w:val="en-029"/>
        </w:rPr>
        <w:t>BRA</w:t>
      </w:r>
      <w:r w:rsidRPr="00CC0887">
        <w:rPr>
          <w:rFonts w:cs="Arial"/>
          <w:lang w:val="en-029"/>
        </w:rPr>
        <w:t xml:space="preserve"> or any such fiscal body.</w:t>
      </w:r>
    </w:p>
    <w:p w14:paraId="692455F6" w14:textId="266A9B24" w:rsidR="00BD534F" w:rsidRDefault="00BD534F" w:rsidP="00FA30C8">
      <w:pPr>
        <w:spacing w:before="120" w:after="120"/>
        <w:jc w:val="both"/>
        <w:rPr>
          <w:rFonts w:cs="Arial"/>
          <w:lang w:val="en-029"/>
        </w:rPr>
      </w:pPr>
      <w:r>
        <w:rPr>
          <w:rFonts w:cs="Arial"/>
          <w:lang w:val="en-029"/>
        </w:rPr>
        <w:t xml:space="preserve">Second, Barbados made a quantum leap in the area of </w:t>
      </w:r>
      <w:r w:rsidRPr="00382840">
        <w:rPr>
          <w:rFonts w:cs="Arial"/>
          <w:noProof/>
        </w:rPr>
        <w:t>trade logistics and trade facilitation</w:t>
      </w:r>
      <w:r>
        <w:rPr>
          <w:rFonts w:cs="Arial"/>
          <w:lang w:val="en-029"/>
        </w:rPr>
        <w:t xml:space="preserve"> being now </w:t>
      </w:r>
      <w:r w:rsidRPr="006D64A3">
        <w:rPr>
          <w:rFonts w:cs="Arial"/>
          <w:lang w:val="en-029"/>
        </w:rPr>
        <w:t>only the second country in the English-speaking Caribbean to have an operational S</w:t>
      </w:r>
      <w:r>
        <w:rPr>
          <w:rFonts w:cs="Arial"/>
          <w:lang w:val="en-029"/>
        </w:rPr>
        <w:t xml:space="preserve">ingle Window for international </w:t>
      </w:r>
      <w:r w:rsidRPr="006D64A3">
        <w:rPr>
          <w:rFonts w:cs="Arial"/>
          <w:lang w:val="en-029"/>
        </w:rPr>
        <w:t>trade</w:t>
      </w:r>
      <w:r>
        <w:rPr>
          <w:rFonts w:cs="Arial"/>
          <w:lang w:val="en-029"/>
        </w:rPr>
        <w:t xml:space="preserve">. The conceptual design of the CEF is another major achievement that has received a lot of positive feedback and interest, voiced among others during a stakeholder workshop coordinated by the Bank in Barbados in April 2016 </w:t>
      </w:r>
      <w:r>
        <w:rPr>
          <w:rFonts w:cs="Arial"/>
        </w:rPr>
        <w:t>and it was also brought up during the project closing workshop in August 2017</w:t>
      </w:r>
      <w:r>
        <w:rPr>
          <w:rFonts w:cs="Arial"/>
          <w:lang w:val="en-029"/>
        </w:rPr>
        <w:t>. The benefits have already been discussed above and while this is a major achievement in terms of time and cost reductions, increased transparency, and revenue, it is also clear that the launch of the ESW is only the first step in a process that will require constant maintenance and improvement. The result of the development of the ESW as it exists today can, however, clearly be attributed to the project as will also be dis</w:t>
      </w:r>
      <w:r w:rsidR="00135036">
        <w:rPr>
          <w:rFonts w:cs="Arial"/>
          <w:lang w:val="en-029"/>
        </w:rPr>
        <w:t>cussed in further detail below.</w:t>
      </w:r>
    </w:p>
    <w:p w14:paraId="2264F003" w14:textId="2441FA6E" w:rsidR="00BD534F" w:rsidRDefault="00BD534F" w:rsidP="00FA30C8">
      <w:pPr>
        <w:spacing w:before="120" w:after="120"/>
        <w:jc w:val="both"/>
        <w:rPr>
          <w:rFonts w:cs="Arial"/>
          <w:lang w:val="en-029"/>
        </w:rPr>
      </w:pPr>
      <w:r w:rsidRPr="00BA6B33">
        <w:rPr>
          <w:rFonts w:cs="Arial"/>
          <w:lang w:val="en-029"/>
        </w:rPr>
        <w:t xml:space="preserve">And third, </w:t>
      </w:r>
      <w:r>
        <w:rPr>
          <w:rFonts w:cs="Arial"/>
          <w:lang w:val="en-029"/>
        </w:rPr>
        <w:t xml:space="preserve">there are a number of important achievements that will support the promotion of public-private dialogue in the country. The PPP framework </w:t>
      </w:r>
      <w:r>
        <w:rPr>
          <w:rFonts w:cs="Arial"/>
        </w:rPr>
        <w:t>has given the government a</w:t>
      </w:r>
      <w:r w:rsidRPr="005A2945">
        <w:rPr>
          <w:rFonts w:cs="Arial"/>
        </w:rPr>
        <w:t xml:space="preserve"> methodology to </w:t>
      </w:r>
      <w:r>
        <w:rPr>
          <w:rFonts w:cs="Arial"/>
        </w:rPr>
        <w:t>inform its</w:t>
      </w:r>
      <w:r w:rsidRPr="005A2945">
        <w:rPr>
          <w:rFonts w:cs="Arial"/>
        </w:rPr>
        <w:t xml:space="preserve"> decisions regarding the identification and prioritization of PPPs</w:t>
      </w:r>
      <w:r>
        <w:rPr>
          <w:rFonts w:cs="Arial"/>
        </w:rPr>
        <w:t xml:space="preserve"> which have an enormous potential to help it overcome some of the fiscal constraints related to public infrastructure investment. In addition, there is the design of the </w:t>
      </w:r>
      <w:r w:rsidRPr="000B4A3E">
        <w:rPr>
          <w:rFonts w:cs="Arial"/>
          <w:lang w:val="en-029"/>
        </w:rPr>
        <w:t>Commission on Competitiveness as the main articulator of public-private dialogue on Barbados’ competitiven</w:t>
      </w:r>
      <w:r>
        <w:rPr>
          <w:rFonts w:cs="Arial"/>
          <w:lang w:val="en-029"/>
        </w:rPr>
        <w:t xml:space="preserve">ess with added capacity and a mandate to actually propose and implement competitiveness strategies. The Cabinet Paper on establishing the Commission and its Technical Unit is to be resubmitted in October/November 2017 for consideration and is awaiting the formal verdict. And, to complement all of the above, Barbados now also has a </w:t>
      </w:r>
      <w:r w:rsidRPr="00317403">
        <w:rPr>
          <w:rFonts w:cs="Arial"/>
          <w:lang w:val="en-029"/>
        </w:rPr>
        <w:t>National Competitiveness Strategy</w:t>
      </w:r>
      <w:r>
        <w:rPr>
          <w:rFonts w:cs="Arial"/>
          <w:lang w:val="en-029"/>
        </w:rPr>
        <w:t xml:space="preserve"> (NCS) that highlights priority areas and, according to latest information, is to be approved</w:t>
      </w:r>
      <w:r w:rsidR="00135036">
        <w:rPr>
          <w:rFonts w:cs="Arial"/>
          <w:lang w:val="en-029"/>
        </w:rPr>
        <w:t xml:space="preserve"> by Cabinet by the end of 2017.</w:t>
      </w:r>
    </w:p>
    <w:p w14:paraId="3FD8B629" w14:textId="01CE00CA" w:rsidR="00BD534F" w:rsidRDefault="00BD534F" w:rsidP="00FA30C8">
      <w:pPr>
        <w:spacing w:before="120" w:after="120"/>
        <w:jc w:val="both"/>
        <w:rPr>
          <w:rFonts w:cs="Arial"/>
          <w:lang w:val="en-029"/>
        </w:rPr>
      </w:pPr>
      <w:r>
        <w:rPr>
          <w:rFonts w:cs="Arial"/>
          <w:lang w:val="en-029"/>
        </w:rPr>
        <w:lastRenderedPageBreak/>
        <w:t>Having said all this, the previous section 2.1.b also clearly showed that while important milestones were achieved, the big majority of outcomes was not. Part of the reasons were discussed for each of the components and overall it can be said that, being a comprehensive reform program, the BCP per design had many interdependent outputs and outcomes. This, in turn, often meant that if one agency or consultant failed to deliver its assignment on time, it would have direct negative consequences for overall project implementation. What follows is a discussion of some additional contextual factors, both within and beyond the project scope. This will shed some light on the overall reasons for the limited fulfilment of expectations and, on the other hand, also show where the project managed to move issues forward that would most likely not have been achieved otherwise. This discussion is key to allow for the identification of lessons that can inform future project design and also</w:t>
      </w:r>
      <w:r w:rsidR="00135036">
        <w:rPr>
          <w:rFonts w:cs="Arial"/>
          <w:lang w:val="en-029"/>
        </w:rPr>
        <w:t xml:space="preserve"> internal government processes.</w:t>
      </w:r>
    </w:p>
    <w:p w14:paraId="45623570" w14:textId="595DF85B" w:rsidR="00BD534F" w:rsidRDefault="00BD534F" w:rsidP="00FA30C8">
      <w:pPr>
        <w:spacing w:before="120" w:after="120"/>
        <w:jc w:val="both"/>
        <w:rPr>
          <w:rFonts w:cs="Arial"/>
          <w:lang w:val="en-029"/>
        </w:rPr>
      </w:pPr>
      <w:r>
        <w:rPr>
          <w:rFonts w:cs="Arial"/>
          <w:lang w:val="en-029"/>
        </w:rPr>
        <w:t>From the beginning, it was very clear that trying to work on improving competitiveness in Barbados in a comprehensive way made for a very ambitious project design and required the collaboration and coordination of various entities. The Project Profile document itself included the following statement in the section about risks: “</w:t>
      </w:r>
      <w:r w:rsidRPr="005A1DE0">
        <w:rPr>
          <w:rFonts w:cs="Arial"/>
          <w:i/>
          <w:lang w:val="en-029"/>
        </w:rPr>
        <w:t>Given the complexity of the Program, several institutions will be involved increasing the need for a strong executing unit and a lot of political will and support at the top level. Certain components may suffer implementation delays due to greater than expected legal, regulatory, and/or institutional impediments.</w:t>
      </w:r>
      <w:r>
        <w:rPr>
          <w:rFonts w:cs="Arial"/>
          <w:lang w:val="en-029"/>
        </w:rPr>
        <w:t>” And in fact, all of the mentioned factors in the end had a negative effect on project exec</w:t>
      </w:r>
      <w:r w:rsidR="00135036">
        <w:rPr>
          <w:rFonts w:cs="Arial"/>
          <w:lang w:val="en-029"/>
        </w:rPr>
        <w:t xml:space="preserve">ution in one way or the other. </w:t>
      </w:r>
    </w:p>
    <w:p w14:paraId="1AAED411" w14:textId="0838A90D" w:rsidR="00BD534F" w:rsidRDefault="00BD534F" w:rsidP="00FA30C8">
      <w:pPr>
        <w:spacing w:before="120" w:after="120"/>
        <w:jc w:val="both"/>
        <w:rPr>
          <w:rFonts w:cs="Arial"/>
          <w:lang w:val="en-029"/>
        </w:rPr>
      </w:pPr>
      <w:r>
        <w:rPr>
          <w:rFonts w:cs="Arial"/>
          <w:lang w:val="en-029"/>
        </w:rPr>
        <w:t xml:space="preserve">First, there is the call for a strong executing unit. The challenges that emerged in this context need to be divided into several stages. </w:t>
      </w:r>
      <w:r w:rsidRPr="00FD1760">
        <w:rPr>
          <w:rFonts w:cs="Arial"/>
          <w:lang w:val="en-029"/>
        </w:rPr>
        <w:t xml:space="preserve">The year 2010 was spent selecting the team and staffing the </w:t>
      </w:r>
      <w:r>
        <w:rPr>
          <w:rFonts w:cs="Arial"/>
          <w:lang w:val="en-029"/>
        </w:rPr>
        <w:t xml:space="preserve">PEU which, by 2014 and despite repeated insistence, still lacked a procurement consultant. </w:t>
      </w:r>
      <w:r w:rsidRPr="002A5572">
        <w:rPr>
          <w:rFonts w:cs="Arial"/>
          <w:lang w:val="en-029"/>
        </w:rPr>
        <w:t xml:space="preserve">The </w:t>
      </w:r>
      <w:r>
        <w:rPr>
          <w:rFonts w:cs="Arial"/>
          <w:lang w:val="en-029"/>
        </w:rPr>
        <w:t xml:space="preserve">work was partially covered by the PEU with support from the Bank’s procurement specialist, but the </w:t>
      </w:r>
      <w:r w:rsidRPr="002A5572">
        <w:rPr>
          <w:rFonts w:cs="Arial"/>
          <w:lang w:val="en-029"/>
        </w:rPr>
        <w:t xml:space="preserve">lack of a </w:t>
      </w:r>
      <w:r>
        <w:rPr>
          <w:rFonts w:cs="Arial"/>
          <w:lang w:val="en-029"/>
        </w:rPr>
        <w:t>dedicated</w:t>
      </w:r>
      <w:r w:rsidRPr="002A5572">
        <w:rPr>
          <w:rFonts w:cs="Arial"/>
          <w:lang w:val="en-029"/>
        </w:rPr>
        <w:t xml:space="preserve"> consultant has resulted in significant delays in some key </w:t>
      </w:r>
      <w:r>
        <w:rPr>
          <w:rFonts w:cs="Arial"/>
          <w:lang w:val="en-029"/>
        </w:rPr>
        <w:t>acquisitions of goods and services which partially explains the slow take-up of project activities in the first years.</w:t>
      </w:r>
      <w:r w:rsidRPr="002A5572">
        <w:rPr>
          <w:rFonts w:cs="Arial"/>
          <w:lang w:val="en-029"/>
        </w:rPr>
        <w:t xml:space="preserve"> </w:t>
      </w:r>
      <w:r>
        <w:rPr>
          <w:rFonts w:cs="Arial"/>
          <w:lang w:val="en-029"/>
        </w:rPr>
        <w:t>On the other hand, it was</w:t>
      </w:r>
      <w:r w:rsidRPr="00E36E38">
        <w:rPr>
          <w:rFonts w:cs="Arial"/>
          <w:lang w:val="en-029"/>
        </w:rPr>
        <w:t xml:space="preserve"> made evident by self-reported assessments </w:t>
      </w:r>
      <w:r>
        <w:rPr>
          <w:rFonts w:cs="Arial"/>
          <w:lang w:val="en-029"/>
        </w:rPr>
        <w:t>obtained by the external evaluator</w:t>
      </w:r>
      <w:r w:rsidRPr="00E36E38">
        <w:rPr>
          <w:rFonts w:cs="Arial"/>
          <w:lang w:val="en-029"/>
        </w:rPr>
        <w:t>, that</w:t>
      </w:r>
      <w:r>
        <w:rPr>
          <w:rFonts w:cs="Arial"/>
          <w:lang w:val="en-029"/>
        </w:rPr>
        <w:t>, particularly at the beginning of the project,</w:t>
      </w:r>
      <w:r w:rsidRPr="00E36E38">
        <w:rPr>
          <w:rFonts w:cs="Arial"/>
          <w:lang w:val="en-029"/>
        </w:rPr>
        <w:t xml:space="preserve"> the </w:t>
      </w:r>
      <w:r>
        <w:rPr>
          <w:rFonts w:cs="Arial"/>
          <w:lang w:val="en-029"/>
        </w:rPr>
        <w:t>PEU</w:t>
      </w:r>
      <w:r w:rsidRPr="00E36E38">
        <w:rPr>
          <w:rFonts w:cs="Arial"/>
          <w:lang w:val="en-029"/>
        </w:rPr>
        <w:t xml:space="preserve"> lacked the management skills to execute the many </w:t>
      </w:r>
      <w:r>
        <w:rPr>
          <w:rFonts w:cs="Arial"/>
          <w:lang w:val="en-029"/>
        </w:rPr>
        <w:t>sub-components</w:t>
      </w:r>
      <w:r w:rsidRPr="00E36E38">
        <w:rPr>
          <w:rFonts w:cs="Arial"/>
          <w:lang w:val="en-029"/>
        </w:rPr>
        <w:t xml:space="preserve"> and consultancies </w:t>
      </w:r>
      <w:r>
        <w:rPr>
          <w:rFonts w:cs="Arial"/>
          <w:lang w:val="en-029"/>
        </w:rPr>
        <w:t>that formed part of</w:t>
      </w:r>
      <w:r w:rsidRPr="00E36E38">
        <w:rPr>
          <w:rFonts w:cs="Arial"/>
          <w:lang w:val="en-029"/>
        </w:rPr>
        <w:t xml:space="preserve"> the BCP. </w:t>
      </w:r>
      <w:r>
        <w:rPr>
          <w:rFonts w:cs="Arial"/>
          <w:lang w:val="en-029"/>
        </w:rPr>
        <w:t xml:space="preserve">During the initial years of the project the PEU was basically learning the necessary management skills while at the same time attempting to deliver on project execution and becoming acquainted with the Bank’s procurement and financial management policies and procedures. Despite these efforts, the PEU fell short of the </w:t>
      </w:r>
      <w:r w:rsidRPr="002A5572">
        <w:rPr>
          <w:rFonts w:cs="Arial"/>
          <w:lang w:val="en-029"/>
        </w:rPr>
        <w:t>techn</w:t>
      </w:r>
      <w:r>
        <w:rPr>
          <w:rFonts w:cs="Arial"/>
          <w:lang w:val="en-029"/>
        </w:rPr>
        <w:t xml:space="preserve">ical and human capacity to </w:t>
      </w:r>
      <w:r w:rsidRPr="002A5572">
        <w:rPr>
          <w:rFonts w:cs="Arial"/>
          <w:lang w:val="en-029"/>
        </w:rPr>
        <w:t>complete the TORs for key cons</w:t>
      </w:r>
      <w:r>
        <w:rPr>
          <w:rFonts w:cs="Arial"/>
          <w:lang w:val="en-029"/>
        </w:rPr>
        <w:t xml:space="preserve">ultancies and studies, and </w:t>
      </w:r>
      <w:r w:rsidRPr="002A5572">
        <w:rPr>
          <w:rFonts w:cs="Arial"/>
          <w:lang w:val="en-029"/>
        </w:rPr>
        <w:t>conduct the processes of procurement of goods, works and services with reliability</w:t>
      </w:r>
      <w:r w:rsidR="00135036">
        <w:rPr>
          <w:rFonts w:cs="Arial"/>
          <w:lang w:val="en-029"/>
        </w:rPr>
        <w:t>.</w:t>
      </w:r>
    </w:p>
    <w:p w14:paraId="5CF24A6A" w14:textId="79BFF28E" w:rsidR="00BD534F" w:rsidRDefault="00BD534F" w:rsidP="00FA30C8">
      <w:pPr>
        <w:spacing w:before="120" w:after="120"/>
        <w:jc w:val="both"/>
        <w:rPr>
          <w:rFonts w:cs="Arial"/>
          <w:lang w:val="en-029"/>
        </w:rPr>
      </w:pPr>
      <w:r>
        <w:rPr>
          <w:rFonts w:cs="Arial"/>
          <w:lang w:val="en-029"/>
        </w:rPr>
        <w:t>In part, this challenge can be explained by staffing difficulties that tend to arise</w:t>
      </w:r>
      <w:r w:rsidRPr="00E36E38">
        <w:rPr>
          <w:rFonts w:cs="Arial"/>
          <w:lang w:val="en-029"/>
        </w:rPr>
        <w:t xml:space="preserve"> </w:t>
      </w:r>
      <w:r>
        <w:rPr>
          <w:rFonts w:cs="Arial"/>
          <w:lang w:val="en-029"/>
        </w:rPr>
        <w:t xml:space="preserve">in countries that can only recruit from a </w:t>
      </w:r>
      <w:r w:rsidRPr="00E36E38">
        <w:rPr>
          <w:rFonts w:cs="Arial"/>
          <w:lang w:val="en-029"/>
        </w:rPr>
        <w:t>limited pool of professionals and technicians</w:t>
      </w:r>
      <w:r>
        <w:rPr>
          <w:rFonts w:cs="Arial"/>
          <w:lang w:val="en-029"/>
        </w:rPr>
        <w:t xml:space="preserve">. In fact, this is an issue that was highlighted in the </w:t>
      </w:r>
      <w:r w:rsidRPr="00BE124E">
        <w:rPr>
          <w:rFonts w:cs="Arial"/>
          <w:i/>
          <w:lang w:val="en-029"/>
        </w:rPr>
        <w:t>2010-2013 Barbados Country Program Evaluation</w:t>
      </w:r>
      <w:r>
        <w:rPr>
          <w:rFonts w:cs="Arial"/>
          <w:lang w:val="en-029"/>
        </w:rPr>
        <w:t xml:space="preserve"> prepared by the Bank’s Office of Evaluation and Oversight (OVE) which states that “</w:t>
      </w:r>
      <w:r w:rsidRPr="00052C8B">
        <w:rPr>
          <w:rFonts w:cs="Arial"/>
          <w:i/>
          <w:lang w:val="en-029"/>
        </w:rPr>
        <w:t>Government officials argue that in a small country with limited human resources and a large number of projects under implementation, there are shortages of skilled personnel at every level. In addition, PEUs are often staffed with civil servants, requiring a lengthy approval process that has to go through the Personnel Administration Division; it may take 12-24 months to hire a manager</w:t>
      </w:r>
      <w:r w:rsidRPr="007E6B16">
        <w:rPr>
          <w:rFonts w:cs="Arial"/>
          <w:lang w:val="en-029"/>
        </w:rPr>
        <w:t>.</w:t>
      </w:r>
      <w:r>
        <w:rPr>
          <w:rFonts w:cs="Arial"/>
          <w:lang w:val="en-029"/>
        </w:rPr>
        <w:t>” (p. 20)</w:t>
      </w:r>
      <w:r>
        <w:rPr>
          <w:rStyle w:val="FootnoteReference"/>
          <w:rFonts w:cs="Arial"/>
          <w:lang w:val="en-029"/>
        </w:rPr>
        <w:footnoteReference w:id="15"/>
      </w:r>
      <w:r>
        <w:rPr>
          <w:rFonts w:cs="Arial"/>
          <w:lang w:val="en-029"/>
        </w:rPr>
        <w:t>. On the other hand, the lack of proactivity and intervention from GoB and later the PEU did certainly pl</w:t>
      </w:r>
      <w:r w:rsidR="00135036">
        <w:rPr>
          <w:rFonts w:cs="Arial"/>
          <w:lang w:val="en-029"/>
        </w:rPr>
        <w:t xml:space="preserve">ay an important role, as well. </w:t>
      </w:r>
    </w:p>
    <w:p w14:paraId="1DF04958" w14:textId="64ED391B" w:rsidR="00BD534F" w:rsidRDefault="00BD534F" w:rsidP="00FA30C8">
      <w:pPr>
        <w:spacing w:before="120" w:after="120"/>
        <w:jc w:val="both"/>
        <w:rPr>
          <w:rFonts w:cs="Arial"/>
          <w:lang w:val="en-029"/>
        </w:rPr>
      </w:pPr>
      <w:r>
        <w:rPr>
          <w:rFonts w:cs="Arial"/>
          <w:lang w:val="en-029"/>
        </w:rPr>
        <w:t xml:space="preserve">The second issue raised in the project’s risk assessment was the issue of political will and top-level support which also contributed to problems that emerged during project implementation. According to the interviews conducted as part of the independent evaluation and the perceptions </w:t>
      </w:r>
      <w:r>
        <w:rPr>
          <w:rFonts w:cs="Arial"/>
          <w:lang w:val="en-029"/>
        </w:rPr>
        <w:lastRenderedPageBreak/>
        <w:t xml:space="preserve">at that time, the project suffered a first important drawback in 2010 when the </w:t>
      </w:r>
      <w:r w:rsidRPr="005A1DE0">
        <w:rPr>
          <w:rFonts w:cs="Arial"/>
          <w:lang w:val="en-029"/>
        </w:rPr>
        <w:t xml:space="preserve">death of Prime Minister Howard Thompson </w:t>
      </w:r>
      <w:r>
        <w:rPr>
          <w:rFonts w:cs="Arial"/>
          <w:lang w:val="en-029"/>
        </w:rPr>
        <w:t>forced</w:t>
      </w:r>
      <w:r w:rsidRPr="005A1DE0">
        <w:rPr>
          <w:rFonts w:cs="Arial"/>
          <w:lang w:val="en-029"/>
        </w:rPr>
        <w:t xml:space="preserve"> </w:t>
      </w:r>
      <w:r>
        <w:rPr>
          <w:rFonts w:cs="Arial"/>
          <w:lang w:val="en-029"/>
        </w:rPr>
        <w:t xml:space="preserve">a </w:t>
      </w:r>
      <w:r w:rsidRPr="005A1DE0">
        <w:rPr>
          <w:rFonts w:cs="Arial"/>
          <w:lang w:val="en-029"/>
        </w:rPr>
        <w:t>change in government</w:t>
      </w:r>
      <w:r>
        <w:rPr>
          <w:rFonts w:cs="Arial"/>
          <w:lang w:val="en-029"/>
        </w:rPr>
        <w:t xml:space="preserve"> positions.</w:t>
      </w:r>
      <w:r w:rsidRPr="005A1DE0">
        <w:rPr>
          <w:rFonts w:cs="Arial"/>
          <w:lang w:val="en-029"/>
        </w:rPr>
        <w:t xml:space="preserve"> </w:t>
      </w:r>
      <w:r>
        <w:rPr>
          <w:rFonts w:cs="Arial"/>
          <w:lang w:val="en-029"/>
        </w:rPr>
        <w:t xml:space="preserve">The Prime Minister was in office during project preparation and was as an </w:t>
      </w:r>
      <w:r w:rsidRPr="005A1DE0">
        <w:rPr>
          <w:rFonts w:cs="Arial"/>
          <w:lang w:val="en-029"/>
        </w:rPr>
        <w:t xml:space="preserve">early champion for the </w:t>
      </w:r>
      <w:r>
        <w:rPr>
          <w:rFonts w:cs="Arial"/>
          <w:lang w:val="en-029"/>
        </w:rPr>
        <w:t>BCP, putting it high on the political agenda</w:t>
      </w:r>
      <w:r w:rsidRPr="005A1DE0">
        <w:rPr>
          <w:rFonts w:cs="Arial"/>
          <w:lang w:val="en-029"/>
        </w:rPr>
        <w:t>.</w:t>
      </w:r>
      <w:r>
        <w:rPr>
          <w:rFonts w:cs="Arial"/>
          <w:lang w:val="en-029"/>
        </w:rPr>
        <w:t xml:space="preserve"> But that can only explain part of the challenges in execution since even in 2015</w:t>
      </w:r>
      <w:r w:rsidRPr="00C65313">
        <w:rPr>
          <w:rFonts w:cs="Arial"/>
          <w:lang w:val="en-029"/>
        </w:rPr>
        <w:t xml:space="preserve">, after five years of implementation and one year over the initial disbursement deadline, the project was still largely delayed. </w:t>
      </w:r>
    </w:p>
    <w:p w14:paraId="18FC4285" w14:textId="5D2A269E" w:rsidR="00BD534F" w:rsidRDefault="00BD534F" w:rsidP="00FA30C8">
      <w:pPr>
        <w:spacing w:before="120" w:after="120"/>
        <w:jc w:val="both"/>
        <w:rPr>
          <w:rFonts w:cs="Arial"/>
          <w:lang w:val="en-029"/>
        </w:rPr>
      </w:pPr>
      <w:r>
        <w:rPr>
          <w:rFonts w:cs="Arial"/>
          <w:lang w:val="en-029"/>
        </w:rPr>
        <w:t>Besides the</w:t>
      </w:r>
      <w:r w:rsidRPr="00C65313">
        <w:rPr>
          <w:rFonts w:cs="Arial"/>
          <w:lang w:val="en-029"/>
        </w:rPr>
        <w:t xml:space="preserve"> lack of execution capacity at the PEU,</w:t>
      </w:r>
      <w:r>
        <w:rPr>
          <w:rFonts w:cs="Arial"/>
          <w:lang w:val="en-029"/>
        </w:rPr>
        <w:t xml:space="preserve"> the main reasons were the perceived lack of political support </w:t>
      </w:r>
      <w:r w:rsidRPr="00C65313">
        <w:rPr>
          <w:rFonts w:cs="Arial"/>
          <w:lang w:val="en-029"/>
        </w:rPr>
        <w:t xml:space="preserve">and lack of commitment from some </w:t>
      </w:r>
      <w:r>
        <w:rPr>
          <w:rFonts w:cs="Arial"/>
          <w:lang w:val="en-029"/>
        </w:rPr>
        <w:t xml:space="preserve">of the major </w:t>
      </w:r>
      <w:r w:rsidRPr="00C65313">
        <w:rPr>
          <w:rFonts w:cs="Arial"/>
          <w:lang w:val="en-029"/>
        </w:rPr>
        <w:t xml:space="preserve">stakeholders. </w:t>
      </w:r>
      <w:r>
        <w:rPr>
          <w:rFonts w:cs="Arial"/>
          <w:lang w:val="en-029"/>
        </w:rPr>
        <w:t>Given its limited leverage and mandate, the PEU</w:t>
      </w:r>
      <w:r w:rsidRPr="007D556F">
        <w:rPr>
          <w:rFonts w:cs="Arial"/>
          <w:lang w:val="en-029"/>
        </w:rPr>
        <w:t xml:space="preserve"> had </w:t>
      </w:r>
      <w:r>
        <w:rPr>
          <w:rFonts w:cs="Arial"/>
          <w:lang w:val="en-029"/>
        </w:rPr>
        <w:t>little</w:t>
      </w:r>
      <w:r w:rsidRPr="007D556F">
        <w:rPr>
          <w:rFonts w:cs="Arial"/>
          <w:lang w:val="en-029"/>
        </w:rPr>
        <w:t xml:space="preserve"> capacity to force other agencies into compliance</w:t>
      </w:r>
      <w:r>
        <w:rPr>
          <w:rFonts w:cs="Arial"/>
          <w:lang w:val="en-029"/>
        </w:rPr>
        <w:t xml:space="preserve"> in many of the project areas and was therefore often dependent on their support and goodwill. Overall</w:t>
      </w:r>
      <w:r w:rsidRPr="007D556F">
        <w:rPr>
          <w:rFonts w:cs="Arial"/>
          <w:lang w:val="en-029"/>
        </w:rPr>
        <w:t>,</w:t>
      </w:r>
      <w:r>
        <w:rPr>
          <w:rFonts w:cs="Arial"/>
          <w:lang w:val="en-029"/>
        </w:rPr>
        <w:t xml:space="preserve"> the PEU was acting more as a coordinator and facilitator</w:t>
      </w:r>
      <w:r w:rsidRPr="007D556F">
        <w:rPr>
          <w:rFonts w:cs="Arial"/>
          <w:lang w:val="en-029"/>
        </w:rPr>
        <w:t>, rather th</w:t>
      </w:r>
      <w:r>
        <w:rPr>
          <w:rFonts w:cs="Arial"/>
          <w:lang w:val="en-029"/>
        </w:rPr>
        <w:t>an an actual executor</w:t>
      </w:r>
      <w:r w:rsidRPr="007D556F">
        <w:rPr>
          <w:rFonts w:cs="Arial"/>
          <w:lang w:val="en-029"/>
        </w:rPr>
        <w:t xml:space="preserve"> of the program and its components. </w:t>
      </w:r>
      <w:r>
        <w:rPr>
          <w:rFonts w:cs="Arial"/>
          <w:lang w:val="en-029"/>
        </w:rPr>
        <w:t xml:space="preserve">This was particularly prejudicial for a complex loan like the BCP where many outcomes were interdependent and </w:t>
      </w:r>
      <w:r w:rsidRPr="00730FAE">
        <w:rPr>
          <w:rFonts w:cs="Arial"/>
          <w:lang w:val="en-029"/>
        </w:rPr>
        <w:t xml:space="preserve">progress </w:t>
      </w:r>
      <w:r>
        <w:rPr>
          <w:rFonts w:cs="Arial"/>
          <w:lang w:val="en-029"/>
        </w:rPr>
        <w:t>was</w:t>
      </w:r>
      <w:r w:rsidRPr="00730FAE">
        <w:rPr>
          <w:rFonts w:cs="Arial"/>
          <w:lang w:val="en-029"/>
        </w:rPr>
        <w:t xml:space="preserve"> jeopardized i</w:t>
      </w:r>
      <w:r>
        <w:rPr>
          <w:rFonts w:cs="Arial"/>
          <w:lang w:val="en-029"/>
        </w:rPr>
        <w:t>f just one agency failed</w:t>
      </w:r>
      <w:r w:rsidRPr="00730FAE">
        <w:rPr>
          <w:rFonts w:cs="Arial"/>
          <w:lang w:val="en-029"/>
        </w:rPr>
        <w:t xml:space="preserve"> to carry out its assignment in a timely fashion</w:t>
      </w:r>
      <w:r>
        <w:rPr>
          <w:rFonts w:cs="Arial"/>
          <w:lang w:val="en-029"/>
        </w:rPr>
        <w:t>. In the case of the ESW sub-component, the hiring of an international trade facilitation advisor provided some relief in this area given the consultant’s technical expertise and mandate to help coordinate the numerous agencies as well as the regular attendance a</w:t>
      </w:r>
      <w:r w:rsidR="00135036">
        <w:rPr>
          <w:rFonts w:cs="Arial"/>
          <w:lang w:val="en-029"/>
        </w:rPr>
        <w:t xml:space="preserve">t the ESW technical committee. </w:t>
      </w:r>
    </w:p>
    <w:p w14:paraId="5360C23E" w14:textId="0505EEBF" w:rsidR="00BD534F" w:rsidRDefault="00BD534F" w:rsidP="00FA30C8">
      <w:pPr>
        <w:spacing w:before="120" w:after="120"/>
        <w:jc w:val="both"/>
        <w:rPr>
          <w:rFonts w:cs="Arial"/>
          <w:lang w:val="en-029"/>
        </w:rPr>
      </w:pPr>
      <w:r>
        <w:rPr>
          <w:rFonts w:cs="Arial"/>
          <w:lang w:val="en-029"/>
        </w:rPr>
        <w:t>As previously discussed, the constant delay of activities</w:t>
      </w:r>
      <w:r w:rsidRPr="00C65313">
        <w:rPr>
          <w:rFonts w:cs="Arial"/>
          <w:lang w:val="en-029"/>
        </w:rPr>
        <w:t xml:space="preserve"> forced a second modification of the deadline for disbursement to December 21, 2016, the cancelation of all </w:t>
      </w:r>
      <w:r>
        <w:rPr>
          <w:rFonts w:cs="Arial"/>
          <w:lang w:val="en-029"/>
        </w:rPr>
        <w:t xml:space="preserve">delayed </w:t>
      </w:r>
      <w:r w:rsidRPr="00C65313">
        <w:rPr>
          <w:rFonts w:cs="Arial"/>
          <w:lang w:val="en-029"/>
        </w:rPr>
        <w:t>activities in Compo</w:t>
      </w:r>
      <w:r>
        <w:rPr>
          <w:rFonts w:cs="Arial"/>
          <w:lang w:val="en-029"/>
        </w:rPr>
        <w:t xml:space="preserve">nent 2 and the reallocation of all </w:t>
      </w:r>
      <w:r w:rsidRPr="00C65313">
        <w:rPr>
          <w:rFonts w:cs="Arial"/>
          <w:lang w:val="en-029"/>
        </w:rPr>
        <w:t>funds</w:t>
      </w:r>
      <w:r>
        <w:rPr>
          <w:rFonts w:cs="Arial"/>
          <w:lang w:val="en-029"/>
        </w:rPr>
        <w:t xml:space="preserve"> into the ESW sub-component. In light of the limited time remaining for project implementation, the objective of this measure was to reduce</w:t>
      </w:r>
      <w:r w:rsidRPr="00C65313">
        <w:rPr>
          <w:rFonts w:cs="Arial"/>
          <w:lang w:val="en-029"/>
        </w:rPr>
        <w:t xml:space="preserve"> t</w:t>
      </w:r>
      <w:r>
        <w:rPr>
          <w:rFonts w:cs="Arial"/>
          <w:lang w:val="en-029"/>
        </w:rPr>
        <w:t>he scope and complexity of the program</w:t>
      </w:r>
      <w:r w:rsidRPr="00C65313">
        <w:rPr>
          <w:rFonts w:cs="Arial"/>
          <w:lang w:val="en-029"/>
        </w:rPr>
        <w:t xml:space="preserve"> and </w:t>
      </w:r>
      <w:r>
        <w:rPr>
          <w:rFonts w:cs="Arial"/>
          <w:lang w:val="en-029"/>
        </w:rPr>
        <w:t>allow the team to turn its main focus to the coordination of ESW activities which promised to provide enormous positive impact if implemented correctly</w:t>
      </w:r>
      <w:r w:rsidRPr="00C65313">
        <w:rPr>
          <w:rFonts w:cs="Arial"/>
          <w:lang w:val="en-029"/>
        </w:rPr>
        <w:t>.</w:t>
      </w:r>
      <w:r>
        <w:rPr>
          <w:rFonts w:cs="Arial"/>
          <w:lang w:val="en-029"/>
        </w:rPr>
        <w:t xml:space="preserve"> And this turned out to be a very good decision culminating in the formal launching of the ESW in early 2017. This major achievement for Barbados would certainly not have been possible without the support of the BCP and thanks to this intervention, the public and the private sector have deepened their relationship and conversations, seeing the ESW as a win-win for all. This also became evident during the project closing workshop held in Barbados in August 2017, where the </w:t>
      </w:r>
      <w:r w:rsidRPr="000A3CC8">
        <w:rPr>
          <w:rFonts w:cs="Arial"/>
          <w:lang w:val="en-029"/>
        </w:rPr>
        <w:t>Minister of Finance and Economic Affairs, Christopher Sinckler,</w:t>
      </w:r>
      <w:r>
        <w:rPr>
          <w:rFonts w:cs="Arial"/>
          <w:lang w:val="en-029"/>
        </w:rPr>
        <w:t xml:space="preserve"> highlighted the importance of the achievement of this milestone given the ESW’s strong potential in reducing the cost of doing business in the country. Important private sector representatives were also present at that event and showed full agreement with those words and expressed their willingness to continuing this collaborative effort, all being aware that this project is but a first step and requires strong comm</w:t>
      </w:r>
      <w:r w:rsidR="00135036">
        <w:rPr>
          <w:rFonts w:cs="Arial"/>
          <w:lang w:val="en-029"/>
        </w:rPr>
        <w:t>itment and leadership from all.</w:t>
      </w:r>
    </w:p>
    <w:p w14:paraId="70F14795" w14:textId="7DEEACA5" w:rsidR="00BD534F" w:rsidRDefault="00BD534F" w:rsidP="00FA30C8">
      <w:pPr>
        <w:spacing w:before="120" w:after="120"/>
        <w:jc w:val="both"/>
        <w:rPr>
          <w:rFonts w:cs="Arial"/>
          <w:lang w:val="en-029"/>
        </w:rPr>
      </w:pPr>
      <w:r>
        <w:rPr>
          <w:rFonts w:cs="Arial"/>
          <w:lang w:val="en-029"/>
        </w:rPr>
        <w:t xml:space="preserve">And lastly, a reference must also be made to the </w:t>
      </w:r>
      <w:r w:rsidRPr="00A86CB2">
        <w:rPr>
          <w:rFonts w:cs="Arial"/>
          <w:lang w:val="en-029"/>
        </w:rPr>
        <w:t>legal, regulatory, and institutional impediments</w:t>
      </w:r>
      <w:r>
        <w:rPr>
          <w:rFonts w:cs="Arial"/>
          <w:lang w:val="en-029"/>
        </w:rPr>
        <w:t xml:space="preserve"> cited in the original project document. The first issue to be highlighted here is the l</w:t>
      </w:r>
      <w:r w:rsidRPr="00B901C5">
        <w:rPr>
          <w:rFonts w:cs="Arial"/>
          <w:lang w:val="en-029"/>
        </w:rPr>
        <w:t xml:space="preserve">engthy </w:t>
      </w:r>
      <w:r>
        <w:rPr>
          <w:rFonts w:cs="Arial"/>
          <w:lang w:val="en-029"/>
        </w:rPr>
        <w:t xml:space="preserve">government </w:t>
      </w:r>
      <w:r w:rsidRPr="00B901C5">
        <w:rPr>
          <w:rFonts w:cs="Arial"/>
          <w:lang w:val="en-029"/>
        </w:rPr>
        <w:t>process</w:t>
      </w:r>
      <w:r>
        <w:rPr>
          <w:rFonts w:cs="Arial"/>
          <w:lang w:val="en-029"/>
        </w:rPr>
        <w:t>es</w:t>
      </w:r>
      <w:r w:rsidRPr="00B901C5">
        <w:rPr>
          <w:rFonts w:cs="Arial"/>
          <w:lang w:val="en-029"/>
        </w:rPr>
        <w:t xml:space="preserve"> of approval of new legislation and decisions</w:t>
      </w:r>
      <w:r>
        <w:rPr>
          <w:rFonts w:cs="Arial"/>
          <w:lang w:val="en-029"/>
        </w:rPr>
        <w:t xml:space="preserve">. This is not specific to the BCP, and was highlighted, among others, in the OVE report quoted above. On page 20 it explicitly states that </w:t>
      </w:r>
      <w:r w:rsidRPr="00052C8B">
        <w:rPr>
          <w:rFonts w:cs="Arial"/>
          <w:i/>
          <w:lang w:val="en-029"/>
        </w:rPr>
        <w:t>“</w:t>
      </w:r>
      <w:r>
        <w:rPr>
          <w:rFonts w:cs="Arial"/>
          <w:i/>
          <w:lang w:val="en-029"/>
        </w:rPr>
        <w:t>s</w:t>
      </w:r>
      <w:r w:rsidRPr="00052C8B">
        <w:rPr>
          <w:rFonts w:cs="Arial"/>
          <w:i/>
          <w:lang w:val="en-029"/>
        </w:rPr>
        <w:t>everal projects have been delayed by the difficult process of approval of new legislation, which requires a number of intermediate steps and lengthy consultations among ministries and government agencies</w:t>
      </w:r>
      <w:r>
        <w:rPr>
          <w:rFonts w:cs="Arial"/>
          <w:lang w:val="en-029"/>
        </w:rPr>
        <w:t>.” Adding to that is the challenge that a big</w:t>
      </w:r>
      <w:r w:rsidRPr="00B901C5">
        <w:rPr>
          <w:rFonts w:cs="Arial"/>
          <w:lang w:val="en-029"/>
        </w:rPr>
        <w:t xml:space="preserve"> number of issues must be</w:t>
      </w:r>
      <w:r>
        <w:rPr>
          <w:rFonts w:cs="Arial"/>
          <w:lang w:val="en-029"/>
        </w:rPr>
        <w:t xml:space="preserve"> </w:t>
      </w:r>
      <w:r w:rsidRPr="00B901C5">
        <w:rPr>
          <w:rFonts w:cs="Arial"/>
          <w:lang w:val="en-029"/>
        </w:rPr>
        <w:t>resolved at Cabinet level</w:t>
      </w:r>
      <w:r>
        <w:rPr>
          <w:rFonts w:cs="Arial"/>
          <w:lang w:val="en-029"/>
        </w:rPr>
        <w:t xml:space="preserve"> and therefore depend on the schedule of Cabinet </w:t>
      </w:r>
      <w:r w:rsidR="00135036">
        <w:rPr>
          <w:rFonts w:cs="Arial"/>
          <w:lang w:val="en-029"/>
        </w:rPr>
        <w:t>meetings and respective agenda.</w:t>
      </w:r>
    </w:p>
    <w:p w14:paraId="03117296" w14:textId="7BC6AF8C" w:rsidR="00BD534F" w:rsidRDefault="00BD534F" w:rsidP="00FA30C8">
      <w:pPr>
        <w:spacing w:before="120" w:after="120"/>
        <w:jc w:val="both"/>
        <w:rPr>
          <w:rFonts w:cs="Arial"/>
          <w:lang w:val="en-029"/>
        </w:rPr>
      </w:pPr>
      <w:r>
        <w:rPr>
          <w:rFonts w:cs="Arial"/>
          <w:lang w:val="en-029"/>
        </w:rPr>
        <w:t>While these issues relate to the approval of new legislation, final official reports, etc. there are also important s</w:t>
      </w:r>
      <w:r w:rsidRPr="00B901C5">
        <w:rPr>
          <w:rFonts w:cs="Arial"/>
          <w:lang w:val="en-029"/>
        </w:rPr>
        <w:t>tructural and institutional bottlenecks in the procurement processes</w:t>
      </w:r>
      <w:r>
        <w:rPr>
          <w:rFonts w:cs="Arial"/>
          <w:lang w:val="en-029"/>
        </w:rPr>
        <w:t>. To quote the same OVE report, “</w:t>
      </w:r>
      <w:r w:rsidRPr="00052C8B">
        <w:rPr>
          <w:rFonts w:cs="Arial"/>
          <w:i/>
          <w:lang w:val="en-029"/>
        </w:rPr>
        <w:t xml:space="preserve">the two most significant structural obstacles are related to the </w:t>
      </w:r>
      <w:bookmarkStart w:id="28" w:name="_Hlk494460505"/>
      <w:r w:rsidRPr="00052C8B">
        <w:rPr>
          <w:rFonts w:cs="Arial"/>
          <w:i/>
          <w:lang w:val="en-029"/>
        </w:rPr>
        <w:t>Solicitor General’s Chambers, which is responsible for reviewing and approving all contracts and is seriously understaffed, and to the Ministry of the Civil Service and the Personnel Administration Division</w:t>
      </w:r>
      <w:bookmarkEnd w:id="28"/>
      <w:r w:rsidRPr="00052C8B">
        <w:rPr>
          <w:rFonts w:cs="Arial"/>
          <w:i/>
          <w:lang w:val="en-029"/>
        </w:rPr>
        <w:t xml:space="preserve">, which have jurisdiction over the creation of posts and the hiring of staff in the public </w:t>
      </w:r>
      <w:r w:rsidRPr="00052C8B">
        <w:rPr>
          <w:rFonts w:cs="Arial"/>
          <w:i/>
          <w:lang w:val="en-029"/>
        </w:rPr>
        <w:lastRenderedPageBreak/>
        <w:t>sector. The lengthy and difficult procurement process also constitutes a major source of delays, especially since the government requires procurements over the equivalent of US$100,000 to go to the Special Tenders Committee for approval.</w:t>
      </w:r>
      <w:r w:rsidR="00135036">
        <w:rPr>
          <w:rFonts w:cs="Arial"/>
          <w:lang w:val="en-029"/>
        </w:rPr>
        <w:t>” (p.20)</w:t>
      </w:r>
    </w:p>
    <w:p w14:paraId="48A12BA2" w14:textId="6DFECE76" w:rsidR="00BD534F" w:rsidRDefault="00BD534F" w:rsidP="00FA30C8">
      <w:pPr>
        <w:spacing w:before="120" w:after="120"/>
        <w:jc w:val="both"/>
        <w:rPr>
          <w:rFonts w:cs="Arial"/>
          <w:lang w:val="en-029"/>
        </w:rPr>
      </w:pPr>
      <w:r>
        <w:rPr>
          <w:rFonts w:cs="Arial"/>
          <w:lang w:val="en-029"/>
        </w:rPr>
        <w:t>While these are issues that other Bank projects have also suffered from, there are a number of additional challenges that were very specific to the BCP and lead to f</w:t>
      </w:r>
      <w:r w:rsidRPr="00FD1760">
        <w:rPr>
          <w:rFonts w:cs="Arial"/>
          <w:lang w:val="en-029"/>
        </w:rPr>
        <w:t>urther delays in 2014</w:t>
      </w:r>
      <w:r>
        <w:rPr>
          <w:rFonts w:cs="Arial"/>
          <w:lang w:val="en-029"/>
        </w:rPr>
        <w:t>. This is when</w:t>
      </w:r>
      <w:r w:rsidRPr="00FD1760">
        <w:rPr>
          <w:rFonts w:cs="Arial"/>
          <w:lang w:val="en-029"/>
        </w:rPr>
        <w:t xml:space="preserve"> major changes where announced within </w:t>
      </w:r>
      <w:r>
        <w:rPr>
          <w:rFonts w:cs="Arial"/>
          <w:lang w:val="en-029"/>
        </w:rPr>
        <w:t>GoB</w:t>
      </w:r>
      <w:r w:rsidRPr="00FD1760">
        <w:rPr>
          <w:rFonts w:cs="Arial"/>
          <w:lang w:val="en-029"/>
        </w:rPr>
        <w:t xml:space="preserve">, the most relevant for the project being the creation of the </w:t>
      </w:r>
      <w:r>
        <w:rPr>
          <w:rFonts w:cs="Arial"/>
          <w:lang w:val="en-029"/>
        </w:rPr>
        <w:t>BRA</w:t>
      </w:r>
      <w:r w:rsidRPr="00FD1760">
        <w:rPr>
          <w:rFonts w:cs="Arial"/>
          <w:lang w:val="en-029"/>
        </w:rPr>
        <w:t xml:space="preserve">, a </w:t>
      </w:r>
      <w:bookmarkStart w:id="29" w:name="_Hlk494981430"/>
      <w:r w:rsidRPr="00FD1760">
        <w:rPr>
          <w:rFonts w:cs="Arial"/>
          <w:lang w:val="en-029"/>
        </w:rPr>
        <w:t xml:space="preserve">supra-agency </w:t>
      </w:r>
      <w:bookmarkEnd w:id="29"/>
      <w:r w:rsidRPr="00FD1760">
        <w:rPr>
          <w:rFonts w:cs="Arial"/>
          <w:lang w:val="en-029"/>
        </w:rPr>
        <w:t xml:space="preserve">entity with a large span of responsibilities previously scattered among several different agencies and departments. Key to the ESW resulted the </w:t>
      </w:r>
      <w:r>
        <w:rPr>
          <w:rFonts w:cs="Arial"/>
          <w:lang w:val="en-029"/>
        </w:rPr>
        <w:t>government</w:t>
      </w:r>
      <w:r w:rsidRPr="00FD1760">
        <w:rPr>
          <w:rFonts w:cs="Arial"/>
          <w:lang w:val="en-029"/>
        </w:rPr>
        <w:t xml:space="preserve"> decision to place </w:t>
      </w:r>
      <w:r>
        <w:rPr>
          <w:rFonts w:cs="Arial"/>
          <w:lang w:val="en-029"/>
        </w:rPr>
        <w:t xml:space="preserve">the </w:t>
      </w:r>
      <w:r w:rsidRPr="00FD1760">
        <w:rPr>
          <w:rFonts w:cs="Arial"/>
          <w:lang w:val="en-029"/>
        </w:rPr>
        <w:t xml:space="preserve">Barbados </w:t>
      </w:r>
      <w:r>
        <w:rPr>
          <w:rFonts w:cs="Arial"/>
          <w:lang w:val="en-029"/>
        </w:rPr>
        <w:t>CED</w:t>
      </w:r>
      <w:r w:rsidRPr="00FD1760">
        <w:rPr>
          <w:rFonts w:cs="Arial"/>
          <w:lang w:val="en-029"/>
        </w:rPr>
        <w:t xml:space="preserve"> under the newly created </w:t>
      </w:r>
      <w:r>
        <w:rPr>
          <w:rFonts w:cs="Arial"/>
          <w:lang w:val="en-029"/>
        </w:rPr>
        <w:t>BRA</w:t>
      </w:r>
      <w:r w:rsidRPr="00FD1760">
        <w:rPr>
          <w:rFonts w:cs="Arial"/>
          <w:lang w:val="en-029"/>
        </w:rPr>
        <w:t xml:space="preserve">, a process resisted by Customs officers to this day, and still pending for the most part at the moment of writing. </w:t>
      </w:r>
      <w:r>
        <w:rPr>
          <w:rFonts w:cs="Arial"/>
          <w:lang w:val="en-029"/>
        </w:rPr>
        <w:t xml:space="preserve">This stalled many discussions that were crucial for the finalization of ESW activities and also affected the training plan since there was uncertainty about who would be hosting the ESW until a few months before project closure and responsible </w:t>
      </w:r>
      <w:r w:rsidR="00135036">
        <w:rPr>
          <w:rFonts w:cs="Arial"/>
          <w:lang w:val="en-029"/>
        </w:rPr>
        <w:t>staff was yet to be designated.</w:t>
      </w:r>
    </w:p>
    <w:p w14:paraId="7DCF6778" w14:textId="2CC59E5C" w:rsidR="00BD534F" w:rsidRDefault="00BD534F" w:rsidP="00FA30C8">
      <w:pPr>
        <w:spacing w:before="120" w:after="120"/>
        <w:jc w:val="both"/>
        <w:rPr>
          <w:rFonts w:cs="Arial"/>
          <w:lang w:val="en-029"/>
        </w:rPr>
      </w:pPr>
      <w:r>
        <w:rPr>
          <w:rFonts w:cs="Arial"/>
          <w:lang w:val="en-029"/>
        </w:rPr>
        <w:t>Government staffing was another challenge</w:t>
      </w:r>
      <w:r w:rsidRPr="006C5407">
        <w:rPr>
          <w:rFonts w:cs="Arial"/>
          <w:lang w:val="en-029"/>
        </w:rPr>
        <w:t xml:space="preserve"> </w:t>
      </w:r>
      <w:r>
        <w:rPr>
          <w:rFonts w:cs="Arial"/>
          <w:lang w:val="en-029"/>
        </w:rPr>
        <w:t>since there was a high amount of</w:t>
      </w:r>
      <w:r w:rsidRPr="006C5407">
        <w:rPr>
          <w:rFonts w:cs="Arial"/>
          <w:lang w:val="en-029"/>
        </w:rPr>
        <w:t xml:space="preserve"> turnover at every level of the project’s institutional environment which meant new difficulties and added to the delays. Some of the officers trained to by trainers left their posts, a situation threatening continuity of the project components and demanding more training.</w:t>
      </w:r>
    </w:p>
    <w:p w14:paraId="74ABB57F" w14:textId="51CA0EE5" w:rsidR="009F1F8D" w:rsidRPr="00FA30C8" w:rsidRDefault="00BD534F" w:rsidP="00FA30C8">
      <w:pPr>
        <w:spacing w:before="120" w:after="120"/>
        <w:jc w:val="both"/>
        <w:rPr>
          <w:rFonts w:cs="Arial"/>
          <w:lang w:val="en-029"/>
        </w:rPr>
      </w:pPr>
      <w:r w:rsidRPr="00BC2FD6">
        <w:rPr>
          <w:rFonts w:cs="Arial"/>
          <w:lang w:val="en-029"/>
        </w:rPr>
        <w:t>This evolution of the political and institutional environment</w:t>
      </w:r>
      <w:r>
        <w:rPr>
          <w:rFonts w:cs="Arial"/>
          <w:lang w:val="en-029"/>
        </w:rPr>
        <w:t xml:space="preserve"> created various uncertainties in the country that had direct impact on the country’s agenda on competitiveness. The fact that progress was made despite these described handicaps reinforces the notion of added value of the project. Seeing the country advance in a somewhat</w:t>
      </w:r>
      <w:r w:rsidRPr="00BC2FD6">
        <w:rPr>
          <w:rFonts w:cs="Arial"/>
          <w:lang w:val="en-029"/>
        </w:rPr>
        <w:t xml:space="preserve"> orderly and systematic manner indicates that the existence of the program offered a guiding thread that stabilized and provided directionality</w:t>
      </w:r>
      <w:r>
        <w:rPr>
          <w:rFonts w:cs="Arial"/>
          <w:lang w:val="en-029"/>
        </w:rPr>
        <w:t>. B</w:t>
      </w:r>
      <w:r w:rsidRPr="00B247C1">
        <w:rPr>
          <w:rFonts w:cs="Arial"/>
          <w:lang w:val="en-029"/>
        </w:rPr>
        <w:t xml:space="preserve">oth the expertise and technical support of the Bank and the continuity of objectives and administration made possible by the </w:t>
      </w:r>
      <w:r>
        <w:rPr>
          <w:rFonts w:cs="Arial"/>
          <w:lang w:val="en-029"/>
        </w:rPr>
        <w:t>BCP through the establishment of the PEU</w:t>
      </w:r>
      <w:r w:rsidRPr="00B247C1">
        <w:rPr>
          <w:rFonts w:cs="Arial"/>
          <w:lang w:val="en-029"/>
        </w:rPr>
        <w:t xml:space="preserve"> lead</w:t>
      </w:r>
      <w:r>
        <w:rPr>
          <w:rFonts w:cs="Arial"/>
          <w:lang w:val="en-029"/>
        </w:rPr>
        <w:t>s to the conclusion that the project was central in achieving these results</w:t>
      </w:r>
      <w:r w:rsidRPr="00B247C1">
        <w:rPr>
          <w:rFonts w:cs="Arial"/>
          <w:lang w:val="en-029"/>
        </w:rPr>
        <w:t>.</w:t>
      </w:r>
      <w:r>
        <w:rPr>
          <w:rFonts w:cs="Arial"/>
          <w:lang w:val="en-029"/>
        </w:rPr>
        <w:t xml:space="preserve"> At the same time, the continued engagement of the Bank in this area is aimed at mitigating the risk of turning the achievement into</w:t>
      </w:r>
      <w:r w:rsidRPr="009D127B">
        <w:rPr>
          <w:rFonts w:cs="Arial"/>
          <w:lang w:val="en-029"/>
        </w:rPr>
        <w:t xml:space="preserve"> one-time regulatory</w:t>
      </w:r>
      <w:r>
        <w:rPr>
          <w:rFonts w:cs="Arial"/>
          <w:lang w:val="en-029"/>
        </w:rPr>
        <w:t xml:space="preserve"> enhancements</w:t>
      </w:r>
      <w:r w:rsidRPr="009D127B">
        <w:rPr>
          <w:rFonts w:cs="Arial"/>
          <w:lang w:val="en-029"/>
        </w:rPr>
        <w:t xml:space="preserve"> that </w:t>
      </w:r>
      <w:r>
        <w:rPr>
          <w:rFonts w:cs="Arial"/>
          <w:lang w:val="en-029"/>
        </w:rPr>
        <w:t>would be</w:t>
      </w:r>
      <w:r w:rsidRPr="009D127B">
        <w:rPr>
          <w:rFonts w:cs="Arial"/>
          <w:lang w:val="en-029"/>
        </w:rPr>
        <w:t xml:space="preserve"> easily reversed</w:t>
      </w:r>
      <w:r>
        <w:rPr>
          <w:rFonts w:cs="Arial"/>
          <w:lang w:val="en-029"/>
        </w:rPr>
        <w:t>.</w:t>
      </w:r>
      <w:r w:rsidRPr="00F93FC4">
        <w:rPr>
          <w:rFonts w:cs="Arial"/>
          <w:lang w:val="en-029"/>
        </w:rPr>
        <w:t xml:space="preserve"> </w:t>
      </w:r>
    </w:p>
    <w:p w14:paraId="21BDBC03" w14:textId="60014F49" w:rsidR="00EC0C7B" w:rsidRPr="00FA30C8" w:rsidRDefault="009B4D7A" w:rsidP="007D46C7">
      <w:pPr>
        <w:pStyle w:val="Heading2"/>
        <w:numPr>
          <w:ilvl w:val="1"/>
          <w:numId w:val="1"/>
        </w:numPr>
      </w:pPr>
      <w:bookmarkStart w:id="30" w:name="_Toc500317972"/>
      <w:r>
        <w:t>Efficiency</w:t>
      </w:r>
      <w:bookmarkEnd w:id="30"/>
    </w:p>
    <w:p w14:paraId="7106A258" w14:textId="3393E8FA" w:rsidR="00BD534F" w:rsidRPr="00135036" w:rsidRDefault="00BD534F" w:rsidP="00FA30C8">
      <w:pPr>
        <w:spacing w:before="120" w:after="120"/>
        <w:jc w:val="both"/>
        <w:rPr>
          <w:rFonts w:cs="Arial"/>
        </w:rPr>
      </w:pPr>
      <w:r>
        <w:rPr>
          <w:rFonts w:cs="Arial"/>
        </w:rPr>
        <w:t>T</w:t>
      </w:r>
      <w:r w:rsidRPr="00EF2F8A">
        <w:rPr>
          <w:rFonts w:cs="Arial"/>
        </w:rPr>
        <w:t xml:space="preserve">his section </w:t>
      </w:r>
      <w:r>
        <w:rPr>
          <w:rFonts w:cs="Arial"/>
        </w:rPr>
        <w:t>will</w:t>
      </w:r>
      <w:r w:rsidRPr="00EF2F8A">
        <w:rPr>
          <w:rFonts w:cs="Arial"/>
        </w:rPr>
        <w:t xml:space="preserve"> examine the costs of the program taking into account several factors that have directly affected the execution of each component and the budgetary changes that have occurred throughout the life of the loan. Based on the experience of the project, </w:t>
      </w:r>
      <w:r>
        <w:rPr>
          <w:rFonts w:cs="Arial"/>
        </w:rPr>
        <w:t>it will also be discussed t</w:t>
      </w:r>
      <w:r w:rsidRPr="00EF2F8A">
        <w:rPr>
          <w:rFonts w:cs="Arial"/>
        </w:rPr>
        <w:t>o which</w:t>
      </w:r>
      <w:r>
        <w:rPr>
          <w:rFonts w:cs="Arial"/>
        </w:rPr>
        <w:t xml:space="preserve"> extent</w:t>
      </w:r>
      <w:r w:rsidRPr="00EF2F8A">
        <w:rPr>
          <w:rFonts w:cs="Arial"/>
        </w:rPr>
        <w:t xml:space="preserve"> the benefits of the loan were obtained at a reasonable cost, </w:t>
      </w:r>
      <w:r>
        <w:rPr>
          <w:rFonts w:cs="Arial"/>
        </w:rPr>
        <w:t>and whether they were achieved in line with t</w:t>
      </w:r>
      <w:r w:rsidR="00135036">
        <w:rPr>
          <w:rFonts w:cs="Arial"/>
        </w:rPr>
        <w:t>he original budget projections.</w:t>
      </w:r>
    </w:p>
    <w:p w14:paraId="67686092" w14:textId="1244B5FF" w:rsidR="00BD534F" w:rsidRDefault="00BD534F" w:rsidP="00FA30C8">
      <w:pPr>
        <w:spacing w:before="120" w:after="120"/>
        <w:jc w:val="both"/>
        <w:rPr>
          <w:rFonts w:cs="Arial"/>
        </w:rPr>
      </w:pPr>
      <w:r w:rsidRPr="00DC0BB5">
        <w:rPr>
          <w:rFonts w:cs="Arial"/>
          <w:i/>
        </w:rPr>
        <w:t>Table 4</w:t>
      </w:r>
      <w:r w:rsidRPr="00EF2F8A">
        <w:rPr>
          <w:rFonts w:cs="Arial"/>
        </w:rPr>
        <w:t xml:space="preserve"> allows comparing the initial budget allocation with the current total cost at the end of execution. It is important to note that these figures are the result </w:t>
      </w:r>
      <w:r>
        <w:rPr>
          <w:rFonts w:cs="Arial"/>
        </w:rPr>
        <w:t>of</w:t>
      </w:r>
      <w:r w:rsidRPr="00EF2F8A">
        <w:rPr>
          <w:rFonts w:cs="Arial"/>
        </w:rPr>
        <w:t xml:space="preserve"> </w:t>
      </w:r>
      <w:r>
        <w:rPr>
          <w:rFonts w:cs="Arial"/>
        </w:rPr>
        <w:t xml:space="preserve">(i) </w:t>
      </w:r>
      <w:r w:rsidRPr="00EF2F8A">
        <w:rPr>
          <w:rFonts w:cs="Arial"/>
        </w:rPr>
        <w:t xml:space="preserve">the </w:t>
      </w:r>
      <w:r>
        <w:rPr>
          <w:rFonts w:cs="Arial"/>
        </w:rPr>
        <w:t xml:space="preserve">reallocation of resources (US$2,600,000) to Component 3.1 confirmed by Cabinet in July 2014, (ii) the partial </w:t>
      </w:r>
      <w:r w:rsidRPr="00EF2F8A">
        <w:rPr>
          <w:rFonts w:cs="Arial"/>
        </w:rPr>
        <w:t xml:space="preserve">cancellation of </w:t>
      </w:r>
      <w:r>
        <w:rPr>
          <w:rFonts w:cs="Arial"/>
        </w:rPr>
        <w:t>uncommitted funds</w:t>
      </w:r>
      <w:r w:rsidRPr="00EF2F8A">
        <w:rPr>
          <w:rFonts w:cs="Arial"/>
        </w:rPr>
        <w:t xml:space="preserve"> </w:t>
      </w:r>
      <w:r w:rsidRPr="00170B3E">
        <w:rPr>
          <w:rFonts w:cs="Arial"/>
        </w:rPr>
        <w:t>(US$1,205,636)</w:t>
      </w:r>
      <w:r w:rsidRPr="00EF2F8A">
        <w:rPr>
          <w:rFonts w:cs="Arial"/>
        </w:rPr>
        <w:t xml:space="preserve"> of the loan </w:t>
      </w:r>
      <w:r>
        <w:rPr>
          <w:rFonts w:cs="Arial"/>
        </w:rPr>
        <w:t xml:space="preserve">approved by the Bank in November 2015, and (iii) a return of undisbursed funds </w:t>
      </w:r>
      <w:r w:rsidRPr="009C3DA8">
        <w:rPr>
          <w:rFonts w:cs="Arial"/>
        </w:rPr>
        <w:t>231,599 after project closure in April 2017</w:t>
      </w:r>
      <w:r w:rsidRPr="00EF2F8A">
        <w:rPr>
          <w:rFonts w:cs="Arial"/>
        </w:rPr>
        <w:t xml:space="preserve">. </w:t>
      </w:r>
    </w:p>
    <w:p w14:paraId="3AE158DD" w14:textId="77777777" w:rsidR="004059D9" w:rsidRDefault="004059D9" w:rsidP="00FA30C8">
      <w:pPr>
        <w:spacing w:before="120" w:after="120"/>
        <w:jc w:val="both"/>
        <w:rPr>
          <w:rFonts w:cs="Arial"/>
          <w:color w:val="000000"/>
        </w:rPr>
      </w:pPr>
    </w:p>
    <w:p w14:paraId="721ADCCA" w14:textId="77777777" w:rsidR="00DB7D95" w:rsidRDefault="00DB7D95" w:rsidP="00FA30C8">
      <w:pPr>
        <w:spacing w:before="120" w:after="120"/>
        <w:jc w:val="both"/>
        <w:rPr>
          <w:rFonts w:cs="Arial"/>
          <w:color w:val="808080" w:themeColor="background1" w:themeShade="80"/>
        </w:rPr>
      </w:pPr>
    </w:p>
    <w:p w14:paraId="0B952EAB" w14:textId="77777777" w:rsidR="00997527" w:rsidRPr="009B4D7A" w:rsidRDefault="00997527" w:rsidP="009B4D7A">
      <w:pPr>
        <w:rPr>
          <w:rFonts w:cs="Arial"/>
          <w:color w:val="000000"/>
        </w:rPr>
        <w:sectPr w:rsidR="00997527" w:rsidRPr="009B4D7A">
          <w:pgSz w:w="12240" w:h="15840"/>
          <w:pgMar w:top="1440" w:right="1440" w:bottom="1440" w:left="1440" w:header="720" w:footer="720" w:gutter="0"/>
          <w:cols w:space="720"/>
        </w:sectPr>
      </w:pPr>
    </w:p>
    <w:p w14:paraId="752BFE34" w14:textId="2B37034C" w:rsidR="009B4D7A" w:rsidRPr="00FA4FE3" w:rsidRDefault="009B4D7A" w:rsidP="009B4D7A">
      <w:pPr>
        <w:jc w:val="center"/>
        <w:rPr>
          <w:rFonts w:cs="Arial"/>
          <w:b/>
          <w:sz w:val="18"/>
          <w:szCs w:val="18"/>
        </w:rPr>
      </w:pPr>
      <w:r w:rsidRPr="00FA4FE3">
        <w:rPr>
          <w:rFonts w:cs="Arial"/>
          <w:b/>
          <w:sz w:val="18"/>
          <w:szCs w:val="18"/>
        </w:rPr>
        <w:lastRenderedPageBreak/>
        <w:t>Table 3</w:t>
      </w:r>
      <w:r w:rsidR="00542F1F" w:rsidRPr="00FA4FE3">
        <w:rPr>
          <w:rFonts w:cs="Arial"/>
          <w:b/>
          <w:sz w:val="18"/>
          <w:szCs w:val="18"/>
        </w:rPr>
        <w:t xml:space="preserve"> </w:t>
      </w:r>
      <w:r w:rsidRPr="00FA4FE3">
        <w:rPr>
          <w:rFonts w:cs="Arial"/>
          <w:b/>
          <w:sz w:val="18"/>
          <w:szCs w:val="18"/>
        </w:rPr>
        <w:t>Costs of the Project</w:t>
      </w:r>
    </w:p>
    <w:p w14:paraId="33C417EA" w14:textId="5D4C256C" w:rsidR="009B4D7A" w:rsidRDefault="00FA4FE3" w:rsidP="009B4D7A">
      <w:pPr>
        <w:jc w:val="both"/>
        <w:rPr>
          <w:rFonts w:cs="Arial"/>
        </w:rPr>
      </w:pPr>
      <w:r w:rsidRPr="008D0C90">
        <w:rPr>
          <w:noProof/>
        </w:rPr>
        <w:drawing>
          <wp:inline distT="0" distB="0" distL="0" distR="0" wp14:anchorId="4D4485FD" wp14:editId="741F60F4">
            <wp:extent cx="8229600" cy="5083810"/>
            <wp:effectExtent l="0" t="0" r="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29600" cy="5083810"/>
                    </a:xfrm>
                    <a:prstGeom prst="rect">
                      <a:avLst/>
                    </a:prstGeom>
                    <a:noFill/>
                    <a:ln>
                      <a:noFill/>
                    </a:ln>
                  </pic:spPr>
                </pic:pic>
              </a:graphicData>
            </a:graphic>
          </wp:inline>
        </w:drawing>
      </w:r>
    </w:p>
    <w:p w14:paraId="170C1A47" w14:textId="7D0FEC06" w:rsidR="009B4D7A" w:rsidRPr="00997527" w:rsidRDefault="009B4D7A" w:rsidP="00BD534F">
      <w:pPr>
        <w:jc w:val="both"/>
        <w:rPr>
          <w:rFonts w:cs="Arial"/>
        </w:rPr>
      </w:pPr>
    </w:p>
    <w:p w14:paraId="4658DF73" w14:textId="77777777" w:rsidR="009B4D7A" w:rsidRDefault="009B4D7A" w:rsidP="009B4D7A">
      <w:pPr>
        <w:rPr>
          <w:rFonts w:eastAsiaTheme="majorEastAsia" w:cstheme="majorBidi"/>
          <w:b/>
          <w:bCs/>
          <w:noProof/>
          <w:sz w:val="24"/>
          <w:szCs w:val="26"/>
        </w:rPr>
        <w:sectPr w:rsidR="009B4D7A">
          <w:pgSz w:w="15840" w:h="12240" w:orient="landscape"/>
          <w:pgMar w:top="1440" w:right="1440" w:bottom="1440" w:left="1440" w:header="720" w:footer="720" w:gutter="0"/>
          <w:cols w:space="720"/>
        </w:sectPr>
      </w:pPr>
    </w:p>
    <w:p w14:paraId="5A810775" w14:textId="77777777" w:rsidR="009B4D7A" w:rsidRDefault="009B4D7A" w:rsidP="000D057C">
      <w:pPr>
        <w:pStyle w:val="Heading2"/>
        <w:numPr>
          <w:ilvl w:val="1"/>
          <w:numId w:val="1"/>
        </w:numPr>
      </w:pPr>
      <w:bookmarkStart w:id="31" w:name="_Toc500317973"/>
      <w:r>
        <w:lastRenderedPageBreak/>
        <w:t>Sustainability</w:t>
      </w:r>
      <w:bookmarkEnd w:id="31"/>
    </w:p>
    <w:p w14:paraId="13237149" w14:textId="3CFB8579" w:rsidR="00E42941" w:rsidRDefault="00BD534F" w:rsidP="00FA30C8">
      <w:pPr>
        <w:spacing w:before="120" w:after="120"/>
        <w:jc w:val="both"/>
        <w:rPr>
          <w:rFonts w:cs="Arial"/>
        </w:rPr>
      </w:pPr>
      <w:r w:rsidRPr="00444DCF">
        <w:rPr>
          <w:rFonts w:cs="Arial"/>
        </w:rPr>
        <w:t xml:space="preserve">An assessment of the sustainability of the project is linked to </w:t>
      </w:r>
      <w:r>
        <w:rPr>
          <w:rFonts w:cs="Arial"/>
        </w:rPr>
        <w:t xml:space="preserve">whether the loan managed to create </w:t>
      </w:r>
      <w:r w:rsidRPr="00444DCF">
        <w:rPr>
          <w:rFonts w:cs="Arial"/>
        </w:rPr>
        <w:t xml:space="preserve">the conditions for the </w:t>
      </w:r>
      <w:r>
        <w:rPr>
          <w:rFonts w:cs="Arial"/>
        </w:rPr>
        <w:t>GoB</w:t>
      </w:r>
      <w:r w:rsidRPr="00444DCF">
        <w:rPr>
          <w:rFonts w:cs="Arial"/>
        </w:rPr>
        <w:t xml:space="preserve"> to </w:t>
      </w:r>
      <w:r>
        <w:rPr>
          <w:rFonts w:cs="Arial"/>
        </w:rPr>
        <w:t xml:space="preserve">make use of the tools and </w:t>
      </w:r>
      <w:r w:rsidRPr="00444DCF">
        <w:rPr>
          <w:rFonts w:cs="Arial"/>
        </w:rPr>
        <w:t xml:space="preserve">maintain the activities financed, </w:t>
      </w:r>
      <w:r>
        <w:rPr>
          <w:rFonts w:cs="Arial"/>
        </w:rPr>
        <w:t>adjusted</w:t>
      </w:r>
      <w:r w:rsidRPr="00444DCF">
        <w:rPr>
          <w:rFonts w:cs="Arial"/>
        </w:rPr>
        <w:t xml:space="preserve"> if necessary to improve </w:t>
      </w:r>
      <w:r>
        <w:rPr>
          <w:rFonts w:cs="Arial"/>
        </w:rPr>
        <w:t>their</w:t>
      </w:r>
      <w:r w:rsidRPr="00444DCF">
        <w:rPr>
          <w:rFonts w:cs="Arial"/>
        </w:rPr>
        <w:t xml:space="preserve"> effec</w:t>
      </w:r>
      <w:r>
        <w:rPr>
          <w:rFonts w:cs="Arial"/>
        </w:rPr>
        <w:t xml:space="preserve">tiveness. The following section contains an </w:t>
      </w:r>
      <w:r w:rsidRPr="00444DCF">
        <w:rPr>
          <w:rFonts w:cs="Arial"/>
        </w:rPr>
        <w:t xml:space="preserve">analysis </w:t>
      </w:r>
      <w:r>
        <w:rPr>
          <w:rFonts w:cs="Arial"/>
        </w:rPr>
        <w:t xml:space="preserve">on the </w:t>
      </w:r>
      <w:r w:rsidRPr="00444DCF">
        <w:rPr>
          <w:rFonts w:cs="Arial"/>
        </w:rPr>
        <w:t>sustainability</w:t>
      </w:r>
      <w:r>
        <w:rPr>
          <w:rFonts w:cs="Arial"/>
        </w:rPr>
        <w:t xml:space="preserve"> of the project</w:t>
      </w:r>
      <w:r w:rsidRPr="00444DCF">
        <w:rPr>
          <w:rFonts w:cs="Arial"/>
        </w:rPr>
        <w:t xml:space="preserve"> </w:t>
      </w:r>
      <w:r>
        <w:rPr>
          <w:rFonts w:cs="Arial"/>
        </w:rPr>
        <w:t>in the context of its major deliverables</w:t>
      </w:r>
      <w:r w:rsidRPr="00444DCF">
        <w:rPr>
          <w:rFonts w:cs="Arial"/>
        </w:rPr>
        <w:t xml:space="preserve">. </w:t>
      </w:r>
    </w:p>
    <w:p w14:paraId="729EE0E6" w14:textId="25E13D55" w:rsidR="00E42941" w:rsidRPr="00FA30C8" w:rsidRDefault="00BD534F" w:rsidP="00FA30C8">
      <w:pPr>
        <w:spacing w:before="120" w:after="120"/>
        <w:jc w:val="both"/>
        <w:rPr>
          <w:rFonts w:cs="Arial"/>
        </w:rPr>
      </w:pPr>
      <w:r>
        <w:rPr>
          <w:rFonts w:cs="Arial"/>
        </w:rPr>
        <w:t>The general perception is that, de</w:t>
      </w:r>
      <w:r w:rsidRPr="002876FE">
        <w:rPr>
          <w:rFonts w:cs="Arial"/>
        </w:rPr>
        <w:t xml:space="preserve">spite the delays and cancelations, the preliminary trend indicates that an encouraging outcome is emerging </w:t>
      </w:r>
      <w:r>
        <w:rPr>
          <w:rFonts w:cs="Arial"/>
        </w:rPr>
        <w:t>as the project is now closed</w:t>
      </w:r>
      <w:r w:rsidRPr="002876FE">
        <w:rPr>
          <w:rFonts w:cs="Arial"/>
        </w:rPr>
        <w:t xml:space="preserve">. </w:t>
      </w:r>
      <w:r>
        <w:rPr>
          <w:rFonts w:cs="Arial"/>
        </w:rPr>
        <w:t xml:space="preserve">Several milestones have been achieved and the analytical work around competitiveness issues has generated a valuable set of policy recommendations and therefore an important basis for GoB to take informed decisions on the way forward. In addition, the project has managed to strengthen the dialogue between the public and the private sector on issues related to competitiveness, which is a very positive sign in view of the sustained commitment and strong leadership required to take full advantage of the important achievements made possible through the BCP. Having said that, </w:t>
      </w:r>
      <w:r w:rsidRPr="00F96ED3">
        <w:rPr>
          <w:rFonts w:cs="Arial"/>
        </w:rPr>
        <w:t xml:space="preserve">there is a great need for immediate attention from </w:t>
      </w:r>
      <w:r>
        <w:rPr>
          <w:rFonts w:cs="Arial"/>
        </w:rPr>
        <w:t>GoB</w:t>
      </w:r>
      <w:r w:rsidRPr="00F96ED3">
        <w:rPr>
          <w:rFonts w:cs="Arial"/>
        </w:rPr>
        <w:t xml:space="preserve"> to solve pending issues </w:t>
      </w:r>
      <w:r>
        <w:rPr>
          <w:rFonts w:cs="Arial"/>
        </w:rPr>
        <w:t>and not lose the m</w:t>
      </w:r>
      <w:r w:rsidR="00FA30C8">
        <w:rPr>
          <w:rFonts w:cs="Arial"/>
        </w:rPr>
        <w:t xml:space="preserve">omentum generated by the loan. </w:t>
      </w:r>
    </w:p>
    <w:p w14:paraId="08705B16" w14:textId="222011CA" w:rsidR="00E42941" w:rsidRPr="00441AD1" w:rsidRDefault="00BD534F" w:rsidP="00441AD1">
      <w:pPr>
        <w:jc w:val="both"/>
        <w:rPr>
          <w:rFonts w:cs="Arial"/>
          <w:b/>
        </w:rPr>
      </w:pPr>
      <w:r w:rsidRPr="00C04480">
        <w:rPr>
          <w:rFonts w:cs="Arial"/>
          <w:b/>
          <w:lang w:val="en-029"/>
        </w:rPr>
        <w:t>The CGE Model</w:t>
      </w:r>
      <w:r w:rsidR="00441AD1">
        <w:rPr>
          <w:rFonts w:cs="Arial"/>
          <w:b/>
        </w:rPr>
        <w:t xml:space="preserve">. </w:t>
      </w:r>
      <w:r>
        <w:rPr>
          <w:rFonts w:cs="Arial"/>
        </w:rPr>
        <w:t xml:space="preserve">While the I-O Matrix and the </w:t>
      </w:r>
      <w:r>
        <w:rPr>
          <w:rFonts w:cs="Arial"/>
          <w:lang w:val="en-029"/>
        </w:rPr>
        <w:t xml:space="preserve">the </w:t>
      </w:r>
      <w:r w:rsidRPr="00E21152">
        <w:rPr>
          <w:rFonts w:cs="Arial"/>
          <w:lang w:val="en-029"/>
        </w:rPr>
        <w:t>“Barbados Tax Policy Model”</w:t>
      </w:r>
      <w:r>
        <w:rPr>
          <w:rFonts w:cs="Arial"/>
          <w:lang w:val="en-029"/>
        </w:rPr>
        <w:t xml:space="preserve"> were delivered, the CGE model is not being used. Interviews conducted as part of the external evaluation indicated that the country has access to a simpler model developed by the IMF. While this model does not allow to perform analytical activities to the same degree of detail that the tool provided by the BCP does, it does seem to have a more user-friendly interface and can therefore be integrated into business processes without major additional training. To make use of the project’s CGE model, f</w:t>
      </w:r>
      <w:r w:rsidRPr="0088023C">
        <w:rPr>
          <w:rFonts w:cs="Arial"/>
          <w:lang w:val="en-029"/>
        </w:rPr>
        <w:t xml:space="preserve">urther strengthening of BSS capacity is required to develop </w:t>
      </w:r>
      <w:r>
        <w:rPr>
          <w:rFonts w:cs="Arial"/>
          <w:lang w:val="en-029"/>
        </w:rPr>
        <w:t>the envisioned tax proposals</w:t>
      </w:r>
      <w:r w:rsidRPr="0088023C">
        <w:rPr>
          <w:rFonts w:cs="Arial"/>
          <w:lang w:val="en-029"/>
        </w:rPr>
        <w:t xml:space="preserve"> and make use of the resulting big data advantages. At the same time, a more comprehensive statistical plan would allow for better data collection and informed policy interventions. In addition, GoB would need to define which entity is best</w:t>
      </w:r>
      <w:r w:rsidRPr="00104337">
        <w:rPr>
          <w:rFonts w:cs="Arial"/>
          <w:lang w:val="en-029"/>
        </w:rPr>
        <w:t xml:space="preserve"> equipped to host, maintain, and operate the CGE model. Based on that decision, additional training and a clear implementation plan would be needed to identify the way forward and evaluate different options for a successful implementation of the model, based on </w:t>
      </w:r>
      <w:r>
        <w:rPr>
          <w:rFonts w:cs="Arial"/>
          <w:lang w:val="en-029"/>
        </w:rPr>
        <w:t>the respective</w:t>
      </w:r>
      <w:r w:rsidRPr="00104337">
        <w:rPr>
          <w:rFonts w:cs="Arial"/>
          <w:lang w:val="en-029"/>
        </w:rPr>
        <w:t xml:space="preserve"> capacities and needs.</w:t>
      </w:r>
      <w:r w:rsidRPr="00C42036">
        <w:rPr>
          <w:rFonts w:cs="Arial"/>
          <w:lang w:val="en-029"/>
        </w:rPr>
        <w:t xml:space="preserve"> </w:t>
      </w:r>
    </w:p>
    <w:p w14:paraId="6A9FDB5D" w14:textId="29AA4954" w:rsidR="00E42941" w:rsidRPr="00441AD1" w:rsidRDefault="00441AD1" w:rsidP="00FA30C8">
      <w:pPr>
        <w:spacing w:before="120" w:after="120"/>
        <w:jc w:val="both"/>
        <w:rPr>
          <w:rFonts w:cs="Arial"/>
          <w:lang w:val="en-029"/>
        </w:rPr>
      </w:pPr>
      <w:r>
        <w:rPr>
          <w:rFonts w:cs="Arial"/>
          <w:b/>
          <w:lang w:val="en-029"/>
        </w:rPr>
        <w:t xml:space="preserve">Physical investment permits. </w:t>
      </w:r>
      <w:r w:rsidR="00BD534F">
        <w:rPr>
          <w:rFonts w:cs="Arial"/>
          <w:lang w:val="en-029"/>
        </w:rPr>
        <w:t>The a</w:t>
      </w:r>
      <w:r w:rsidR="00BD534F" w:rsidRPr="001A2179">
        <w:rPr>
          <w:rFonts w:cs="Arial"/>
          <w:lang w:val="en-029"/>
        </w:rPr>
        <w:t>nalysis of requirements for TCPDO</w:t>
      </w:r>
      <w:r w:rsidR="00BD534F">
        <w:rPr>
          <w:rFonts w:cs="Arial"/>
          <w:lang w:val="en-029"/>
        </w:rPr>
        <w:t xml:space="preserve"> </w:t>
      </w:r>
      <w:r w:rsidR="00BD534F" w:rsidRPr="001A2179">
        <w:rPr>
          <w:rFonts w:cs="Arial"/>
          <w:lang w:val="en-029"/>
        </w:rPr>
        <w:t xml:space="preserve">institutional strengthening </w:t>
      </w:r>
      <w:r w:rsidR="00BD534F">
        <w:rPr>
          <w:rFonts w:cs="Arial"/>
          <w:lang w:val="en-029"/>
        </w:rPr>
        <w:t xml:space="preserve">was </w:t>
      </w:r>
      <w:r w:rsidR="00BD534F" w:rsidRPr="001A2179">
        <w:rPr>
          <w:rFonts w:cs="Arial"/>
          <w:lang w:val="en-029"/>
        </w:rPr>
        <w:t>completed</w:t>
      </w:r>
      <w:r w:rsidR="00BD534F">
        <w:rPr>
          <w:rFonts w:cs="Arial"/>
          <w:lang w:val="en-029"/>
        </w:rPr>
        <w:t>, supporting software and hardware upgrades were installed, and initial training to staff was delivered. However, as discussed in section II.2.1.b., to actually achieve a reduction of time required for the processing of complex physical investment applications, additional steps are needed that are mostly dependent on other agencies and their improvement of technical capabilities. However, thanks to the report, GoB now has a clear roadmap on how to reduce transaction costs for the private sector</w:t>
      </w:r>
      <w:r w:rsidR="00BD534F" w:rsidRPr="002B0595">
        <w:rPr>
          <w:rFonts w:cs="Arial"/>
          <w:lang w:val="en-029"/>
        </w:rPr>
        <w:t xml:space="preserve"> and improve its tax collection capacity by moving away from paper-based transactions.</w:t>
      </w:r>
      <w:r w:rsidR="00BD534F">
        <w:rPr>
          <w:rFonts w:cs="Arial"/>
          <w:lang w:val="en-029"/>
        </w:rPr>
        <w:t xml:space="preserve"> Discussions with relevant stakeholders seem to indicate that necessary arrangements will be made in the near future and are also reflected in the TCDPO Ten Years Physical Plan</w:t>
      </w:r>
      <w:r w:rsidR="00BD534F" w:rsidRPr="002B0595">
        <w:rPr>
          <w:rFonts w:cs="Arial"/>
          <w:lang w:val="en-029"/>
        </w:rPr>
        <w:t xml:space="preserve"> and the Strategic Competitiveness Action Plan</w:t>
      </w:r>
      <w:r w:rsidR="00BD534F">
        <w:rPr>
          <w:rFonts w:cs="Arial"/>
          <w:lang w:val="en-029"/>
        </w:rPr>
        <w:t>.</w:t>
      </w:r>
    </w:p>
    <w:p w14:paraId="1E6ADDB6" w14:textId="219D8C89" w:rsidR="00E42941" w:rsidRPr="00135036" w:rsidRDefault="00BD534F" w:rsidP="00FA30C8">
      <w:pPr>
        <w:spacing w:before="120" w:after="120"/>
        <w:jc w:val="both"/>
        <w:rPr>
          <w:rFonts w:cs="Arial"/>
        </w:rPr>
      </w:pPr>
      <w:r>
        <w:rPr>
          <w:rFonts w:cs="Arial"/>
          <w:b/>
          <w:lang w:val="en-029"/>
        </w:rPr>
        <w:t>The CEF</w:t>
      </w:r>
      <w:r w:rsidR="00441AD1">
        <w:rPr>
          <w:rFonts w:cs="Arial"/>
        </w:rPr>
        <w:t xml:space="preserve">. </w:t>
      </w:r>
      <w:r>
        <w:rPr>
          <w:rFonts w:cs="Arial"/>
        </w:rPr>
        <w:t xml:space="preserve">The conceptual design for the CEF was delivered, its location has been identified on grounds that belong to the port, and it is therefore potentially ready to move into construction phase. Different occasions showed the enormous interest from all stakeholders in this type of infrastructure given the expected reduction of inspection efforts and dwelling times. High-level political support has been expressed, among others, by the Minister of </w:t>
      </w:r>
      <w:r w:rsidRPr="00AD23B8">
        <w:rPr>
          <w:rFonts w:cs="Arial"/>
        </w:rPr>
        <w:t>Industry, International Business, Commerce and Small Business Development</w:t>
      </w:r>
      <w:r>
        <w:rPr>
          <w:rFonts w:cs="Arial"/>
        </w:rPr>
        <w:t>, in a speech before Customs Brokers and Clerks Association general meeting in early 2017 where he called for a quick implementation. Before moving into construction, however, previous regulatory work is needed and so is the development of a risk-based methodology that would provide the basis for the sample checks of containers. In addition, funds for the construction of the</w:t>
      </w:r>
      <w:r w:rsidR="00135036">
        <w:rPr>
          <w:rFonts w:cs="Arial"/>
        </w:rPr>
        <w:t xml:space="preserve"> CEF have yet to be identified.</w:t>
      </w:r>
    </w:p>
    <w:p w14:paraId="76B1B704" w14:textId="227EF1A4" w:rsidR="00E42941" w:rsidRPr="00441AD1" w:rsidRDefault="00135036" w:rsidP="00FA30C8">
      <w:pPr>
        <w:spacing w:before="120" w:after="120"/>
        <w:jc w:val="both"/>
        <w:rPr>
          <w:rFonts w:cs="Arial"/>
          <w:b/>
        </w:rPr>
      </w:pPr>
      <w:r>
        <w:rPr>
          <w:rFonts w:cs="Arial"/>
          <w:b/>
        </w:rPr>
        <w:lastRenderedPageBreak/>
        <w:t>The ESW</w:t>
      </w:r>
      <w:r w:rsidR="00441AD1">
        <w:rPr>
          <w:rFonts w:cs="Arial"/>
          <w:b/>
        </w:rPr>
        <w:t xml:space="preserve">. </w:t>
      </w:r>
      <w:r w:rsidR="00BD534F">
        <w:rPr>
          <w:rFonts w:cs="Arial"/>
        </w:rPr>
        <w:t>Given the complexity of the design and institutional environment, delivering a functional ESW at the end of the project was a major achievement which was celebrated by GoB and the Bank in a f</w:t>
      </w:r>
      <w:r>
        <w:rPr>
          <w:rFonts w:cs="Arial"/>
        </w:rPr>
        <w:t xml:space="preserve">ormal launching event in 2017. </w:t>
      </w:r>
    </w:p>
    <w:p w14:paraId="5AB3D79F" w14:textId="4EEA9902" w:rsidR="00E42941" w:rsidRPr="00135036" w:rsidRDefault="00BD534F" w:rsidP="00FA30C8">
      <w:pPr>
        <w:spacing w:before="120" w:after="120"/>
        <w:jc w:val="both"/>
        <w:rPr>
          <w:rFonts w:cs="Arial"/>
        </w:rPr>
      </w:pPr>
      <w:r>
        <w:rPr>
          <w:rFonts w:cs="Arial"/>
        </w:rPr>
        <w:t xml:space="preserve">From now on, </w:t>
      </w:r>
      <w:r w:rsidRPr="00EF6AB4">
        <w:rPr>
          <w:rFonts w:cs="Arial"/>
        </w:rPr>
        <w:t>the success of the ESW requires not only cutting-edge technology like the one that will be used, but also a great collaborative effort among agencies and private sector stakeholders.</w:t>
      </w:r>
      <w:r>
        <w:rPr>
          <w:rFonts w:cs="Arial"/>
        </w:rPr>
        <w:t xml:space="preserve"> </w:t>
      </w:r>
      <w:r w:rsidRPr="00EF6AB4">
        <w:rPr>
          <w:rFonts w:cs="Arial"/>
        </w:rPr>
        <w:t>Above all, the sustainability o</w:t>
      </w:r>
      <w:r>
        <w:rPr>
          <w:rFonts w:cs="Arial"/>
        </w:rPr>
        <w:t xml:space="preserve">f this endeavor requires solid </w:t>
      </w:r>
      <w:r w:rsidRPr="00EF6AB4">
        <w:rPr>
          <w:rFonts w:cs="Arial"/>
        </w:rPr>
        <w:t>ownership and commitment from all parties</w:t>
      </w:r>
      <w:r>
        <w:rPr>
          <w:rFonts w:cs="Arial"/>
        </w:rPr>
        <w:t xml:space="preserve"> which points to an important issue. Going forward, some of the </w:t>
      </w:r>
      <w:r w:rsidRPr="000C2FF3">
        <w:rPr>
          <w:rFonts w:cs="Arial"/>
        </w:rPr>
        <w:t>main challenge</w:t>
      </w:r>
      <w:r>
        <w:rPr>
          <w:rFonts w:cs="Arial"/>
        </w:rPr>
        <w:t>s may well not be</w:t>
      </w:r>
      <w:r w:rsidRPr="000C2FF3">
        <w:rPr>
          <w:rFonts w:cs="Arial"/>
        </w:rPr>
        <w:t xml:space="preserve"> IT-related, but rather cultural and political</w:t>
      </w:r>
      <w:r>
        <w:rPr>
          <w:rFonts w:cs="Arial"/>
        </w:rPr>
        <w:t>. C</w:t>
      </w:r>
      <w:r w:rsidRPr="000C2FF3">
        <w:rPr>
          <w:rFonts w:cs="Arial"/>
        </w:rPr>
        <w:t>hange management, extensive consultation and communication, team building, and a strong political commitment are the key factors</w:t>
      </w:r>
      <w:r>
        <w:rPr>
          <w:rFonts w:cs="Arial"/>
        </w:rPr>
        <w:t xml:space="preserve"> that will turn the ESW as it exists today into a success story</w:t>
      </w:r>
      <w:r w:rsidRPr="000C2FF3">
        <w:rPr>
          <w:rFonts w:cs="Arial"/>
        </w:rPr>
        <w:t>.</w:t>
      </w:r>
      <w:r>
        <w:rPr>
          <w:rFonts w:cs="Arial"/>
        </w:rPr>
        <w:t xml:space="preserve"> In addition, there are a number of pending technical issues, such as the </w:t>
      </w:r>
      <w:r w:rsidRPr="000C2FF3">
        <w:rPr>
          <w:rFonts w:cs="Arial"/>
        </w:rPr>
        <w:t xml:space="preserve">synchronization between ESW and </w:t>
      </w:r>
      <w:r>
        <w:rPr>
          <w:rFonts w:cs="Arial"/>
        </w:rPr>
        <w:t>ASYCUDA and</w:t>
      </w:r>
      <w:r w:rsidRPr="00FA6B27">
        <w:rPr>
          <w:rFonts w:cs="Arial"/>
        </w:rPr>
        <w:t xml:space="preserve"> </w:t>
      </w:r>
      <w:r>
        <w:rPr>
          <w:rFonts w:cs="Arial"/>
        </w:rPr>
        <w:t xml:space="preserve">the interoperability with other single windows, and </w:t>
      </w:r>
      <w:r w:rsidRPr="000C2FF3">
        <w:rPr>
          <w:rFonts w:cs="Arial"/>
        </w:rPr>
        <w:t>key high-level political decisions need be made in the very short term regarding ESW financial support, use, and long-term evolution</w:t>
      </w:r>
      <w:r>
        <w:rPr>
          <w:rFonts w:cs="Arial"/>
        </w:rPr>
        <w:t xml:space="preserve">. Most of these issues were raised at the project closing workshop and there was a common understanding about the urgency of this matter and the continued consultation and </w:t>
      </w:r>
      <w:r w:rsidR="00135036">
        <w:rPr>
          <w:rFonts w:cs="Arial"/>
        </w:rPr>
        <w:t xml:space="preserve">commitment the ESW requires.   </w:t>
      </w:r>
    </w:p>
    <w:p w14:paraId="04C95282" w14:textId="03F72654" w:rsidR="00E42941" w:rsidRPr="00441AD1" w:rsidRDefault="00135036" w:rsidP="00FA30C8">
      <w:pPr>
        <w:spacing w:before="120" w:after="120"/>
        <w:jc w:val="both"/>
        <w:rPr>
          <w:rFonts w:cs="Arial"/>
          <w:b/>
        </w:rPr>
      </w:pPr>
      <w:r>
        <w:rPr>
          <w:rFonts w:cs="Arial"/>
          <w:b/>
        </w:rPr>
        <w:t>PPPs</w:t>
      </w:r>
      <w:r w:rsidR="00441AD1">
        <w:rPr>
          <w:rFonts w:cs="Arial"/>
          <w:b/>
        </w:rPr>
        <w:t xml:space="preserve">. </w:t>
      </w:r>
      <w:r w:rsidR="00BD534F">
        <w:rPr>
          <w:rFonts w:cs="Arial"/>
        </w:rPr>
        <w:t xml:space="preserve">The framework document was delivered, providing GoB with very comprehensive recommendations on how to foster PPPs and necessary adjustments in light of the current legal and regulatory framework. While this is an important achievement and the need for PPPs is still very much there, GoB needs to renew its commitment with this approach and promote the </w:t>
      </w:r>
      <w:r w:rsidR="00BD534F" w:rsidRPr="00B40815">
        <w:rPr>
          <w:rFonts w:cs="Arial"/>
        </w:rPr>
        <w:t>implementation of a concrete PPP project compliant with PPP procurement</w:t>
      </w:r>
      <w:r w:rsidR="00BD534F" w:rsidRPr="007D3490">
        <w:rPr>
          <w:rFonts w:cs="Arial"/>
        </w:rPr>
        <w:t xml:space="preserve"> methodology</w:t>
      </w:r>
      <w:r w:rsidR="00BD534F">
        <w:rPr>
          <w:rFonts w:cs="Arial"/>
        </w:rPr>
        <w:t>. This was initially planned to happen as part of the BCP execution, but as the activities were increasingly delayed, the team decided to drop this additional stage and reallocate all remaining funds to the ESW sub-component to ensure that activities related to the latter w</w:t>
      </w:r>
      <w:r>
        <w:rPr>
          <w:rFonts w:cs="Arial"/>
        </w:rPr>
        <w:t>ould be completed successfully.</w:t>
      </w:r>
    </w:p>
    <w:p w14:paraId="2256BB5A" w14:textId="57C211C1" w:rsidR="00BD534F" w:rsidRPr="00441AD1" w:rsidRDefault="00BD534F" w:rsidP="00FA30C8">
      <w:pPr>
        <w:spacing w:before="120" w:after="120"/>
        <w:jc w:val="both"/>
        <w:rPr>
          <w:rFonts w:cs="Arial"/>
          <w:b/>
        </w:rPr>
      </w:pPr>
      <w:r>
        <w:rPr>
          <w:rFonts w:cs="Arial"/>
          <w:b/>
          <w:lang w:val="en-029"/>
        </w:rPr>
        <w:t>P</w:t>
      </w:r>
      <w:r w:rsidRPr="00AB1AB5">
        <w:rPr>
          <w:rFonts w:cs="Arial"/>
          <w:b/>
          <w:lang w:val="en-029"/>
        </w:rPr>
        <w:t>ublic-private dialogue on competitiveness</w:t>
      </w:r>
      <w:r w:rsidR="00441AD1">
        <w:rPr>
          <w:rFonts w:cs="Arial"/>
          <w:b/>
        </w:rPr>
        <w:t xml:space="preserve">. </w:t>
      </w:r>
      <w:r>
        <w:rPr>
          <w:rFonts w:cs="Arial"/>
        </w:rPr>
        <w:t>Giving GoB a clear outline on how to strengthen and institutionalize</w:t>
      </w:r>
      <w:r w:rsidRPr="000B4A3E">
        <w:rPr>
          <w:rFonts w:cs="Arial"/>
          <w:lang w:val="en-029"/>
        </w:rPr>
        <w:t xml:space="preserve"> public-private dialogue </w:t>
      </w:r>
      <w:r>
        <w:rPr>
          <w:rFonts w:cs="Arial"/>
          <w:lang w:val="en-029"/>
        </w:rPr>
        <w:t xml:space="preserve">about competitiveness, in the form of the </w:t>
      </w:r>
      <w:r w:rsidRPr="008D0512">
        <w:rPr>
          <w:rFonts w:cs="Arial"/>
          <w:lang w:val="en-029"/>
        </w:rPr>
        <w:t xml:space="preserve">Commission on Competitiveness and </w:t>
      </w:r>
      <w:r>
        <w:rPr>
          <w:rFonts w:cs="Arial"/>
          <w:lang w:val="en-029"/>
        </w:rPr>
        <w:t xml:space="preserve">TU, was an important output in light of the overall objective of the loan. </w:t>
      </w:r>
      <w:r>
        <w:rPr>
          <w:rFonts w:cs="Arial"/>
        </w:rPr>
        <w:t>However, l</w:t>
      </w:r>
      <w:r w:rsidRPr="00F35F90">
        <w:rPr>
          <w:rFonts w:cs="Arial"/>
        </w:rPr>
        <w:t xml:space="preserve">atest developments seem to indicate that the structure of the Commission </w:t>
      </w:r>
      <w:r>
        <w:rPr>
          <w:rFonts w:cs="Arial"/>
        </w:rPr>
        <w:t xml:space="preserve">on Competitiveness </w:t>
      </w:r>
      <w:r w:rsidRPr="00F35F90">
        <w:rPr>
          <w:rFonts w:cs="Arial"/>
        </w:rPr>
        <w:t>will be changed leading to less emp</w:t>
      </w:r>
      <w:r>
        <w:rPr>
          <w:rFonts w:cs="Arial"/>
        </w:rPr>
        <w:t>owerment of both bodies and staffing decisions on the TU have yet to be formalized</w:t>
      </w:r>
      <w:r w:rsidRPr="00F35F90">
        <w:rPr>
          <w:rFonts w:cs="Arial"/>
        </w:rPr>
        <w:t>. In addition, fostering a fruitful dialogue within the BSP has been a constant challenge and, while the NCS</w:t>
      </w:r>
      <w:r>
        <w:rPr>
          <w:rFonts w:cs="Arial"/>
        </w:rPr>
        <w:t>&amp;AP</w:t>
      </w:r>
      <w:r w:rsidRPr="00F35F90">
        <w:rPr>
          <w:rFonts w:cs="Arial"/>
        </w:rPr>
        <w:t xml:space="preserve"> is expected to go to Cabinet for approval in the coming months, there is still no clear national consensus on issues related to competitiveness and the way forward. This is particularly important, since this is a cross-cutting matter that affects nearly all sectors in the country</w:t>
      </w:r>
      <w:r>
        <w:rPr>
          <w:rFonts w:cs="Arial"/>
        </w:rPr>
        <w:t xml:space="preserve"> and the achievements made under the BCP are at risk of being jeopardized if necessary decisions are not taken promptly</w:t>
      </w:r>
      <w:r w:rsidRPr="00F35F90">
        <w:rPr>
          <w:rFonts w:cs="Arial"/>
        </w:rPr>
        <w:t>.</w:t>
      </w:r>
    </w:p>
    <w:p w14:paraId="0342CDF8" w14:textId="0AB8FE9C" w:rsidR="000D057C" w:rsidRPr="006E6903" w:rsidRDefault="00BD534F" w:rsidP="00FA30C8">
      <w:pPr>
        <w:spacing w:before="120" w:after="120"/>
        <w:jc w:val="both"/>
        <w:rPr>
          <w:rFonts w:cs="Arial"/>
        </w:rPr>
      </w:pPr>
      <w:r>
        <w:rPr>
          <w:rFonts w:cs="Arial"/>
        </w:rPr>
        <w:t xml:space="preserve">Lastly, as part of the sustainability discussion, it needs to be highlighted that the knowledge generated by the loan has already been used to inform other Bank projects. Among others, the US$45 million policy-based loan </w:t>
      </w:r>
      <w:r w:rsidRPr="00147152">
        <w:rPr>
          <w:rFonts w:cs="Arial"/>
          <w:i/>
        </w:rPr>
        <w:t>Sustainable Energy Framework in Barbados I</w:t>
      </w:r>
      <w:r>
        <w:rPr>
          <w:rFonts w:cs="Arial"/>
        </w:rPr>
        <w:t xml:space="preserve"> (BA-L1022) built on the project’s mapping exercise that had identified</w:t>
      </w:r>
      <w:r w:rsidRPr="00147152">
        <w:rPr>
          <w:rFonts w:cs="Arial"/>
        </w:rPr>
        <w:t xml:space="preserve"> a range of technological and economically feasible energy efficiency</w:t>
      </w:r>
      <w:r>
        <w:rPr>
          <w:rFonts w:cs="Arial"/>
        </w:rPr>
        <w:t xml:space="preserve"> </w:t>
      </w:r>
      <w:r w:rsidRPr="00147152">
        <w:rPr>
          <w:rFonts w:cs="Arial"/>
        </w:rPr>
        <w:t>and renewable energy measures</w:t>
      </w:r>
      <w:r>
        <w:rPr>
          <w:rFonts w:cs="Arial"/>
        </w:rPr>
        <w:t xml:space="preserve"> (p.30 of the OVE </w:t>
      </w:r>
      <w:r w:rsidRPr="00FD0103">
        <w:rPr>
          <w:rFonts w:cs="Arial"/>
          <w:i/>
        </w:rPr>
        <w:t>Country Program Evaluation: Barbados 2010-2013</w:t>
      </w:r>
      <w:r>
        <w:rPr>
          <w:rFonts w:cs="Arial"/>
        </w:rPr>
        <w:t>).</w:t>
      </w:r>
    </w:p>
    <w:p w14:paraId="39805231" w14:textId="734657D7" w:rsidR="00E52E4C" w:rsidRPr="00CD6996" w:rsidRDefault="009B4D7A" w:rsidP="00E52E4C">
      <w:pPr>
        <w:pStyle w:val="Heading1"/>
        <w:spacing w:before="240" w:after="240"/>
        <w:ind w:left="547"/>
        <w:jc w:val="both"/>
        <w:rPr>
          <w:smallCaps/>
        </w:rPr>
      </w:pPr>
      <w:bookmarkStart w:id="32" w:name="_Toc500317974"/>
      <w:r w:rsidRPr="004743DB">
        <w:rPr>
          <w:smallCaps/>
        </w:rPr>
        <w:t>Non-Core Criteria</w:t>
      </w:r>
      <w:bookmarkEnd w:id="32"/>
      <w:r w:rsidRPr="004743DB">
        <w:rPr>
          <w:smallCaps/>
        </w:rPr>
        <w:t xml:space="preserve"> </w:t>
      </w:r>
    </w:p>
    <w:p w14:paraId="0ADE04B6" w14:textId="77777777" w:rsidR="009B4D7A" w:rsidRDefault="00542F1F" w:rsidP="000D057C">
      <w:pPr>
        <w:pStyle w:val="Heading2"/>
        <w:numPr>
          <w:ilvl w:val="1"/>
          <w:numId w:val="1"/>
        </w:numPr>
      </w:pPr>
      <w:bookmarkStart w:id="33" w:name="_Toc500317975"/>
      <w:r>
        <w:t xml:space="preserve">Strategic </w:t>
      </w:r>
      <w:r w:rsidR="00E52E4C">
        <w:t>A</w:t>
      </w:r>
      <w:r>
        <w:t>lignment</w:t>
      </w:r>
      <w:bookmarkEnd w:id="33"/>
      <w:r w:rsidR="009B4D7A">
        <w:t xml:space="preserve"> </w:t>
      </w:r>
    </w:p>
    <w:p w14:paraId="598E88AF" w14:textId="2E95B39A" w:rsidR="00E42941" w:rsidRPr="00135036" w:rsidRDefault="00E42941" w:rsidP="00FA30C8">
      <w:pPr>
        <w:spacing w:before="120" w:after="120"/>
        <w:jc w:val="both"/>
        <w:rPr>
          <w:b/>
        </w:rPr>
      </w:pPr>
      <w:bookmarkStart w:id="34" w:name="_Toc496096605"/>
      <w:r w:rsidRPr="00E42941">
        <w:rPr>
          <w:rFonts w:cs="Arial"/>
          <w:b/>
        </w:rPr>
        <w:t>Contribution to the Bank’s Strategic Development Objectives</w:t>
      </w:r>
      <w:bookmarkEnd w:id="34"/>
      <w:r w:rsidR="00135036">
        <w:rPr>
          <w:b/>
        </w:rPr>
        <w:t xml:space="preserve"> </w:t>
      </w:r>
    </w:p>
    <w:p w14:paraId="5C12508A" w14:textId="6F9B5145" w:rsidR="00E42941" w:rsidRDefault="00E42941" w:rsidP="00FA30C8">
      <w:pPr>
        <w:spacing w:before="120" w:after="120"/>
        <w:jc w:val="both"/>
        <w:rPr>
          <w:rFonts w:cs="Arial"/>
        </w:rPr>
      </w:pPr>
      <w:r>
        <w:rPr>
          <w:rFonts w:cs="Arial"/>
        </w:rPr>
        <w:t>In light of the sh</w:t>
      </w:r>
      <w:r w:rsidRPr="002D498D">
        <w:rPr>
          <w:rFonts w:cs="Arial"/>
        </w:rPr>
        <w:t xml:space="preserve">arp increase in demand for IDB resources prior to and after the </w:t>
      </w:r>
      <w:r>
        <w:rPr>
          <w:rFonts w:cs="Arial"/>
        </w:rPr>
        <w:t xml:space="preserve">global financial </w:t>
      </w:r>
      <w:r w:rsidRPr="002D498D">
        <w:rPr>
          <w:rFonts w:cs="Arial"/>
        </w:rPr>
        <w:t>crisis</w:t>
      </w:r>
      <w:r>
        <w:rPr>
          <w:rFonts w:cs="Arial"/>
        </w:rPr>
        <w:t>, t</w:t>
      </w:r>
      <w:r w:rsidRPr="002D498D">
        <w:rPr>
          <w:rFonts w:cs="Arial"/>
        </w:rPr>
        <w:t xml:space="preserve">he IDB's Board of Governors agreed to the terms of the proposed increase of the Bank’s </w:t>
      </w:r>
      <w:r w:rsidRPr="002D498D">
        <w:rPr>
          <w:rFonts w:cs="Arial"/>
        </w:rPr>
        <w:lastRenderedPageBreak/>
        <w:t xml:space="preserve">Ordinary Capital by </w:t>
      </w:r>
      <w:r>
        <w:rPr>
          <w:rFonts w:cs="Arial"/>
        </w:rPr>
        <w:t>US</w:t>
      </w:r>
      <w:r w:rsidRPr="002D498D">
        <w:rPr>
          <w:rFonts w:cs="Arial"/>
        </w:rPr>
        <w:t>$70 billion, the largest expansion of resources in the Bank’s history</w:t>
      </w:r>
      <w:r>
        <w:rPr>
          <w:rFonts w:cs="Arial"/>
        </w:rPr>
        <w:t>, a</w:t>
      </w:r>
      <w:r w:rsidRPr="002D498D">
        <w:rPr>
          <w:rFonts w:cs="Arial"/>
        </w:rPr>
        <w:t xml:space="preserve">nd the increase </w:t>
      </w:r>
      <w:r>
        <w:rPr>
          <w:rFonts w:cs="Arial"/>
        </w:rPr>
        <w:t>went</w:t>
      </w:r>
      <w:r w:rsidRPr="002D498D">
        <w:rPr>
          <w:rFonts w:cs="Arial"/>
        </w:rPr>
        <w:t xml:space="preserve"> into effect on February 29</w:t>
      </w:r>
      <w:r w:rsidRPr="005F18C0">
        <w:rPr>
          <w:rFonts w:cs="Arial"/>
          <w:vertAlign w:val="superscript"/>
        </w:rPr>
        <w:t>th</w:t>
      </w:r>
      <w:r>
        <w:rPr>
          <w:rFonts w:cs="Arial"/>
        </w:rPr>
        <w:t>,</w:t>
      </w:r>
      <w:r w:rsidRPr="002D498D">
        <w:rPr>
          <w:rFonts w:cs="Arial"/>
        </w:rPr>
        <w:t xml:space="preserve"> 2012</w:t>
      </w:r>
      <w:r>
        <w:rPr>
          <w:rFonts w:cs="Arial"/>
        </w:rPr>
        <w:t xml:space="preserve">. Discussions were guided by consultations with civil society and </w:t>
      </w:r>
      <w:r w:rsidRPr="002D498D">
        <w:rPr>
          <w:rFonts w:cs="Arial"/>
        </w:rPr>
        <w:t>stakeholders</w:t>
      </w:r>
      <w:r>
        <w:rPr>
          <w:rFonts w:cs="Arial"/>
        </w:rPr>
        <w:t xml:space="preserve"> and, besides the increase of the Bank’s financial capacity, this exercise also led to the design of a new institutional strategy. The o</w:t>
      </w:r>
      <w:r w:rsidRPr="002D498D">
        <w:rPr>
          <w:rFonts w:cs="Arial"/>
        </w:rPr>
        <w:t xml:space="preserve">verarching objectives of </w:t>
      </w:r>
      <w:r>
        <w:rPr>
          <w:rFonts w:cs="Arial"/>
        </w:rPr>
        <w:t xml:space="preserve">the latter are </w:t>
      </w:r>
      <w:r w:rsidRPr="002D498D">
        <w:rPr>
          <w:rFonts w:cs="Arial"/>
        </w:rPr>
        <w:t xml:space="preserve">reducing poverty and inequality, and fostering sustainable growth, </w:t>
      </w:r>
      <w:r>
        <w:rPr>
          <w:rFonts w:cs="Arial"/>
        </w:rPr>
        <w:t>and</w:t>
      </w:r>
      <w:r w:rsidRPr="002D498D">
        <w:rPr>
          <w:rFonts w:cs="Arial"/>
        </w:rPr>
        <w:t xml:space="preserve"> promoting development through the private sector</w:t>
      </w:r>
      <w:r>
        <w:rPr>
          <w:rFonts w:cs="Arial"/>
        </w:rPr>
        <w:t xml:space="preserve"> was added as a strategic approach</w:t>
      </w:r>
      <w:r w:rsidRPr="002D498D">
        <w:rPr>
          <w:rFonts w:cs="Arial"/>
        </w:rPr>
        <w:t>.</w:t>
      </w:r>
    </w:p>
    <w:p w14:paraId="4EA448DE" w14:textId="7C905DBC" w:rsidR="00E42941" w:rsidRPr="006E6903" w:rsidRDefault="00E42941" w:rsidP="00FA30C8">
      <w:pPr>
        <w:spacing w:before="120" w:after="120"/>
        <w:jc w:val="both"/>
        <w:rPr>
          <w:rFonts w:cs="Arial"/>
        </w:rPr>
      </w:pPr>
      <w:r w:rsidRPr="00733ADE">
        <w:rPr>
          <w:rFonts w:cs="Arial"/>
        </w:rPr>
        <w:t xml:space="preserve">This operation is </w:t>
      </w:r>
      <w:r>
        <w:rPr>
          <w:rFonts w:cs="Arial"/>
        </w:rPr>
        <w:t xml:space="preserve">fully </w:t>
      </w:r>
      <w:r w:rsidRPr="00733ADE">
        <w:rPr>
          <w:rFonts w:cs="Arial"/>
        </w:rPr>
        <w:t xml:space="preserve">aligned with these objectives, and especially with the purpose of stimulating development through the private sector, given the central effort of the program to provide </w:t>
      </w:r>
      <w:r>
        <w:rPr>
          <w:rFonts w:cs="Arial"/>
        </w:rPr>
        <w:t xml:space="preserve">GoB </w:t>
      </w:r>
      <w:r w:rsidRPr="00733ADE">
        <w:rPr>
          <w:rFonts w:cs="Arial"/>
        </w:rPr>
        <w:t xml:space="preserve">with more and better policy instruments to stimulate business </w:t>
      </w:r>
      <w:r>
        <w:rPr>
          <w:rFonts w:cs="Arial"/>
        </w:rPr>
        <w:t xml:space="preserve">development and </w:t>
      </w:r>
      <w:r w:rsidRPr="00733ADE">
        <w:rPr>
          <w:rFonts w:cs="Arial"/>
        </w:rPr>
        <w:t xml:space="preserve">investment </w:t>
      </w:r>
      <w:r>
        <w:rPr>
          <w:rFonts w:cs="Arial"/>
        </w:rPr>
        <w:t>for sustainable growth</w:t>
      </w:r>
      <w:r w:rsidR="00135036">
        <w:rPr>
          <w:rFonts w:cs="Arial"/>
        </w:rPr>
        <w:t xml:space="preserve"> and increased competitiveness.</w:t>
      </w:r>
    </w:p>
    <w:p w14:paraId="14EEAA46" w14:textId="5C53ED96" w:rsidR="00E42941" w:rsidRPr="00E42941" w:rsidRDefault="00E42941" w:rsidP="00FA30C8">
      <w:pPr>
        <w:spacing w:before="120" w:after="120"/>
        <w:jc w:val="both"/>
        <w:rPr>
          <w:rFonts w:cs="Arial"/>
          <w:b/>
        </w:rPr>
      </w:pPr>
      <w:bookmarkStart w:id="35" w:name="_Toc496096606"/>
      <w:r w:rsidRPr="00E42941">
        <w:rPr>
          <w:rFonts w:cs="Arial"/>
          <w:b/>
        </w:rPr>
        <w:t>Contribution to the Country Strategy Development Objectives</w:t>
      </w:r>
      <w:bookmarkEnd w:id="35"/>
      <w:r w:rsidR="00135036">
        <w:rPr>
          <w:rFonts w:cs="Arial"/>
          <w:b/>
        </w:rPr>
        <w:t xml:space="preserve"> </w:t>
      </w:r>
    </w:p>
    <w:p w14:paraId="6FFF05B1" w14:textId="011C0FD1" w:rsidR="00E42941" w:rsidRDefault="00E42941" w:rsidP="00FA30C8">
      <w:pPr>
        <w:spacing w:before="120" w:after="120"/>
        <w:jc w:val="both"/>
        <w:rPr>
          <w:rFonts w:cs="Arial"/>
        </w:rPr>
      </w:pPr>
      <w:r>
        <w:rPr>
          <w:rFonts w:cs="Arial"/>
        </w:rPr>
        <w:t>The project was</w:t>
      </w:r>
      <w:r w:rsidRPr="006F1850">
        <w:rPr>
          <w:rFonts w:cs="Arial"/>
        </w:rPr>
        <w:t xml:space="preserve"> approved at the start of the </w:t>
      </w:r>
      <w:r>
        <w:rPr>
          <w:rFonts w:cs="Arial"/>
        </w:rPr>
        <w:t>2009-2013 Barbados Country Strategy (BCS)</w:t>
      </w:r>
      <w:r w:rsidRPr="006F1850">
        <w:rPr>
          <w:rFonts w:cs="Arial"/>
        </w:rPr>
        <w:t xml:space="preserve">, but </w:t>
      </w:r>
      <w:r>
        <w:rPr>
          <w:rFonts w:cs="Arial"/>
        </w:rPr>
        <w:t xml:space="preserve">envisaged </w:t>
      </w:r>
      <w:r w:rsidRPr="006F1850">
        <w:rPr>
          <w:rFonts w:cs="Arial"/>
        </w:rPr>
        <w:t xml:space="preserve">under the previous </w:t>
      </w:r>
      <w:r>
        <w:rPr>
          <w:rFonts w:cs="Arial"/>
        </w:rPr>
        <w:t xml:space="preserve">one that covered the years 2005 to </w:t>
      </w:r>
      <w:r w:rsidRPr="006F1850">
        <w:rPr>
          <w:rFonts w:cs="Arial"/>
        </w:rPr>
        <w:t>20</w:t>
      </w:r>
      <w:r>
        <w:rPr>
          <w:rFonts w:cs="Arial"/>
        </w:rPr>
        <w:t xml:space="preserve">08. The following section will highlight those the </w:t>
      </w:r>
      <w:r w:rsidRPr="00B41EA4">
        <w:rPr>
          <w:rFonts w:cs="Arial"/>
        </w:rPr>
        <w:t>Country Strategy Development Objectives</w:t>
      </w:r>
      <w:r>
        <w:rPr>
          <w:rFonts w:cs="Arial"/>
        </w:rPr>
        <w:t xml:space="preserve"> that have directly informed the design of the BCP. This brief analysis underscores the clear alignment of the project with the Bank’s</w:t>
      </w:r>
      <w:r w:rsidR="00135036">
        <w:rPr>
          <w:rFonts w:cs="Arial"/>
        </w:rPr>
        <w:t xml:space="preserve"> priority areas in the country.</w:t>
      </w:r>
    </w:p>
    <w:p w14:paraId="660383B7" w14:textId="4829CDA7" w:rsidR="00E42941" w:rsidRDefault="00E42941" w:rsidP="00FA30C8">
      <w:pPr>
        <w:autoSpaceDE w:val="0"/>
        <w:autoSpaceDN w:val="0"/>
        <w:adjustRightInd w:val="0"/>
        <w:spacing w:before="120" w:after="120"/>
        <w:jc w:val="both"/>
        <w:rPr>
          <w:rFonts w:cs="Arial"/>
        </w:rPr>
      </w:pPr>
      <w:r>
        <w:rPr>
          <w:rFonts w:cs="Arial"/>
        </w:rPr>
        <w:t xml:space="preserve">The 2005-2008 BCS states that </w:t>
      </w:r>
      <w:r w:rsidRPr="006E063E">
        <w:rPr>
          <w:rFonts w:cs="Arial"/>
        </w:rPr>
        <w:t>“</w:t>
      </w:r>
      <w:r w:rsidRPr="006E063E">
        <w:rPr>
          <w:rFonts w:cs="Arial"/>
          <w:i/>
        </w:rPr>
        <w:t>Barbados has set high priority on making the transition to a more competitive economy, and the Government has declared itself to be permanently in a reform mode. Consequently, there is consistency between the Bank strategy and GoB in identifying competitiveness as a leading priority for development efforts over the medium term.</w:t>
      </w:r>
      <w:r w:rsidRPr="006E063E">
        <w:rPr>
          <w:rFonts w:cs="Arial"/>
        </w:rPr>
        <w:t>”</w:t>
      </w:r>
    </w:p>
    <w:p w14:paraId="5200797D" w14:textId="116B797C" w:rsidR="00E42941" w:rsidRDefault="00E42941" w:rsidP="00FA30C8">
      <w:pPr>
        <w:spacing w:before="120" w:after="120"/>
        <w:jc w:val="both"/>
        <w:rPr>
          <w:rFonts w:cs="Arial"/>
        </w:rPr>
      </w:pPr>
      <w:r>
        <w:rPr>
          <w:rFonts w:cs="Arial"/>
        </w:rPr>
        <w:t>The document also</w:t>
      </w:r>
      <w:r w:rsidRPr="008460F4">
        <w:rPr>
          <w:rFonts w:cs="Arial"/>
        </w:rPr>
        <w:t xml:space="preserve"> identified the need for Barbados “</w:t>
      </w:r>
      <w:r w:rsidRPr="008460F4">
        <w:rPr>
          <w:rFonts w:cs="Arial"/>
          <w:i/>
        </w:rPr>
        <w:t>to raise its level of competitiveness relative to that of its main trading partners</w:t>
      </w:r>
      <w:r w:rsidRPr="008460F4">
        <w:rPr>
          <w:rFonts w:cs="Arial"/>
        </w:rPr>
        <w:t>” as the principal</w:t>
      </w:r>
      <w:r>
        <w:rPr>
          <w:rFonts w:cs="Arial"/>
        </w:rPr>
        <w:t xml:space="preserve"> </w:t>
      </w:r>
      <w:r w:rsidRPr="008460F4">
        <w:rPr>
          <w:rFonts w:cs="Arial"/>
        </w:rPr>
        <w:t>development challenge facing the country. This assessment emerged from a body</w:t>
      </w:r>
      <w:r>
        <w:rPr>
          <w:rFonts w:cs="Arial"/>
        </w:rPr>
        <w:t xml:space="preserve"> </w:t>
      </w:r>
      <w:r w:rsidRPr="008460F4">
        <w:rPr>
          <w:rFonts w:cs="Arial"/>
        </w:rPr>
        <w:t>of analytical work that was undertaken by the Bank to inform the strategy in areas</w:t>
      </w:r>
      <w:r>
        <w:rPr>
          <w:rFonts w:cs="Arial"/>
        </w:rPr>
        <w:t xml:space="preserve"> </w:t>
      </w:r>
      <w:r w:rsidRPr="008460F4">
        <w:rPr>
          <w:rFonts w:cs="Arial"/>
        </w:rPr>
        <w:t xml:space="preserve">relating to productivity, the labor market, trade, tourism, and </w:t>
      </w:r>
      <w:r>
        <w:rPr>
          <w:rFonts w:cs="Arial"/>
        </w:rPr>
        <w:t>a</w:t>
      </w:r>
      <w:r w:rsidRPr="008460F4">
        <w:rPr>
          <w:rFonts w:cs="Arial"/>
        </w:rPr>
        <w:t>griculture.</w:t>
      </w:r>
      <w:r w:rsidR="00135036">
        <w:rPr>
          <w:rFonts w:cs="Arial"/>
        </w:rPr>
        <w:t xml:space="preserve"> (BCS 2.9)</w:t>
      </w:r>
    </w:p>
    <w:p w14:paraId="23A60090" w14:textId="6A9F646A" w:rsidR="00E42941" w:rsidRDefault="00E42941" w:rsidP="00FA30C8">
      <w:pPr>
        <w:spacing w:before="120" w:after="120"/>
        <w:jc w:val="both"/>
        <w:rPr>
          <w:rFonts w:cs="Arial"/>
        </w:rPr>
      </w:pPr>
      <w:r w:rsidRPr="004A4435">
        <w:rPr>
          <w:rFonts w:cs="Arial"/>
        </w:rPr>
        <w:t xml:space="preserve">Consistent with its diagnosis, the </w:t>
      </w:r>
      <w:r>
        <w:rPr>
          <w:rFonts w:cs="Arial"/>
        </w:rPr>
        <w:t>BCS</w:t>
      </w:r>
      <w:r w:rsidRPr="004A4435">
        <w:rPr>
          <w:rFonts w:cs="Arial"/>
        </w:rPr>
        <w:t xml:space="preserve"> identified strengthening “</w:t>
      </w:r>
      <w:r w:rsidRPr="004A4435">
        <w:rPr>
          <w:rFonts w:cs="Arial"/>
          <w:i/>
        </w:rPr>
        <w:t>competitiveness as a basis for sustained growth and improved well-being of the population</w:t>
      </w:r>
      <w:r w:rsidRPr="004A4435">
        <w:rPr>
          <w:rFonts w:cs="Arial"/>
        </w:rPr>
        <w:t>” as its</w:t>
      </w:r>
      <w:r>
        <w:rPr>
          <w:rFonts w:cs="Arial"/>
        </w:rPr>
        <w:t xml:space="preserve"> </w:t>
      </w:r>
      <w:r w:rsidRPr="004A4435">
        <w:rPr>
          <w:rFonts w:cs="Arial"/>
        </w:rPr>
        <w:t>goal, and raising “</w:t>
      </w:r>
      <w:r w:rsidRPr="004A4435">
        <w:rPr>
          <w:rFonts w:cs="Arial"/>
          <w:i/>
        </w:rPr>
        <w:t>the capacity of Barbados and its businesses to compete in a changing international economic environment</w:t>
      </w:r>
      <w:r>
        <w:rPr>
          <w:rFonts w:cs="Arial"/>
        </w:rPr>
        <w:t xml:space="preserve">” as its purpose (BCS </w:t>
      </w:r>
      <w:r w:rsidRPr="004A4435">
        <w:rPr>
          <w:rFonts w:cs="Arial"/>
        </w:rPr>
        <w:t>5.1). To</w:t>
      </w:r>
      <w:r>
        <w:rPr>
          <w:rFonts w:cs="Arial"/>
        </w:rPr>
        <w:t xml:space="preserve"> </w:t>
      </w:r>
      <w:r w:rsidRPr="004A4435">
        <w:rPr>
          <w:rFonts w:cs="Arial"/>
        </w:rPr>
        <w:t>attain this outcome, the Bank focused its program on three strategic pillars: (i)</w:t>
      </w:r>
      <w:r>
        <w:rPr>
          <w:rFonts w:cs="Arial"/>
        </w:rPr>
        <w:t xml:space="preserve"> </w:t>
      </w:r>
      <w:r w:rsidRPr="004A4435">
        <w:rPr>
          <w:rFonts w:cs="Arial"/>
        </w:rPr>
        <w:t>strengthening the environment for private sector growth; (ii)</w:t>
      </w:r>
      <w:r>
        <w:rPr>
          <w:rFonts w:cs="Arial"/>
        </w:rPr>
        <w:t xml:space="preserve"> m</w:t>
      </w:r>
      <w:r w:rsidRPr="004A4435">
        <w:rPr>
          <w:rFonts w:cs="Arial"/>
        </w:rPr>
        <w:t>aintenance and</w:t>
      </w:r>
      <w:r>
        <w:rPr>
          <w:rFonts w:cs="Arial"/>
        </w:rPr>
        <w:t xml:space="preserve"> </w:t>
      </w:r>
      <w:r w:rsidRPr="004A4435">
        <w:rPr>
          <w:rFonts w:cs="Arial"/>
        </w:rPr>
        <w:t xml:space="preserve">improvement in infrastructure and human capital development; and (iii) </w:t>
      </w:r>
      <w:r>
        <w:rPr>
          <w:rFonts w:cs="Arial"/>
        </w:rPr>
        <w:t>p</w:t>
      </w:r>
      <w:r w:rsidRPr="004A4435">
        <w:rPr>
          <w:rFonts w:cs="Arial"/>
        </w:rPr>
        <w:t>ublic</w:t>
      </w:r>
      <w:r>
        <w:rPr>
          <w:rFonts w:cs="Arial"/>
        </w:rPr>
        <w:t>-</w:t>
      </w:r>
      <w:r w:rsidRPr="004A4435">
        <w:rPr>
          <w:rFonts w:cs="Arial"/>
        </w:rPr>
        <w:t>sector</w:t>
      </w:r>
      <w:r>
        <w:rPr>
          <w:rFonts w:cs="Arial"/>
        </w:rPr>
        <w:t xml:space="preserve"> </w:t>
      </w:r>
      <w:r w:rsidRPr="004A4435">
        <w:rPr>
          <w:rFonts w:cs="Arial"/>
        </w:rPr>
        <w:t>institutional strengthening.</w:t>
      </w:r>
    </w:p>
    <w:p w14:paraId="5729AB48" w14:textId="3A492289" w:rsidR="00E42941" w:rsidRDefault="00E42941" w:rsidP="00FA30C8">
      <w:pPr>
        <w:spacing w:before="120" w:after="120"/>
        <w:jc w:val="both"/>
        <w:rPr>
          <w:rFonts w:cs="Arial"/>
        </w:rPr>
      </w:pPr>
      <w:r w:rsidRPr="004A4435">
        <w:rPr>
          <w:rFonts w:cs="Arial"/>
        </w:rPr>
        <w:t xml:space="preserve">The </w:t>
      </w:r>
      <w:r>
        <w:rPr>
          <w:rFonts w:cs="Arial"/>
        </w:rPr>
        <w:t>B</w:t>
      </w:r>
      <w:r w:rsidRPr="004A4435">
        <w:rPr>
          <w:rFonts w:cs="Arial"/>
        </w:rPr>
        <w:t xml:space="preserve">CS </w:t>
      </w:r>
      <w:r>
        <w:rPr>
          <w:rFonts w:cs="Arial"/>
        </w:rPr>
        <w:t xml:space="preserve">also </w:t>
      </w:r>
      <w:r w:rsidRPr="004A4435">
        <w:rPr>
          <w:rFonts w:cs="Arial"/>
        </w:rPr>
        <w:t>stressed the importance of strengthening the economy’s “</w:t>
      </w:r>
      <w:r w:rsidRPr="004A4435">
        <w:rPr>
          <w:rFonts w:cs="Arial"/>
          <w:i/>
        </w:rPr>
        <w:t>export orientation and performance, and the environment for private sector-led growth</w:t>
      </w:r>
      <w:r w:rsidRPr="004A4435">
        <w:rPr>
          <w:rFonts w:cs="Arial"/>
        </w:rPr>
        <w:t>.”</w:t>
      </w:r>
      <w:r>
        <w:rPr>
          <w:rFonts w:cs="Arial"/>
        </w:rPr>
        <w:t xml:space="preserve"> </w:t>
      </w:r>
      <w:r w:rsidRPr="004A4435">
        <w:rPr>
          <w:rFonts w:cs="Arial"/>
        </w:rPr>
        <w:t>Building upon the body of analytical work undertaken by the Bank, and the</w:t>
      </w:r>
      <w:r>
        <w:rPr>
          <w:rFonts w:cs="Arial"/>
        </w:rPr>
        <w:t xml:space="preserve"> </w:t>
      </w:r>
      <w:r w:rsidRPr="004A4435">
        <w:rPr>
          <w:rFonts w:cs="Arial"/>
        </w:rPr>
        <w:t>ongoing dialogue “</w:t>
      </w:r>
      <w:r w:rsidRPr="004A4435">
        <w:rPr>
          <w:rFonts w:cs="Arial"/>
          <w:i/>
        </w:rPr>
        <w:t>between the Bank, the private sector, authorities in Barbados, and within the different parts of the Bank group</w:t>
      </w:r>
      <w:r w:rsidRPr="004A4435">
        <w:rPr>
          <w:rFonts w:cs="Arial"/>
        </w:rPr>
        <w:t>”, it proposed the preparation of a</w:t>
      </w:r>
      <w:r>
        <w:rPr>
          <w:rFonts w:cs="Arial"/>
        </w:rPr>
        <w:t xml:space="preserve"> </w:t>
      </w:r>
      <w:r w:rsidRPr="004A4435">
        <w:rPr>
          <w:rFonts w:cs="Arial"/>
        </w:rPr>
        <w:t xml:space="preserve">Private Sector Development Strategy. According to the </w:t>
      </w:r>
      <w:r>
        <w:rPr>
          <w:rFonts w:cs="Arial"/>
        </w:rPr>
        <w:t>B</w:t>
      </w:r>
      <w:r w:rsidRPr="004A4435">
        <w:rPr>
          <w:rFonts w:cs="Arial"/>
        </w:rPr>
        <w:t>CS, the diagnostic and</w:t>
      </w:r>
      <w:r>
        <w:rPr>
          <w:rFonts w:cs="Arial"/>
        </w:rPr>
        <w:t xml:space="preserve"> </w:t>
      </w:r>
      <w:r w:rsidRPr="004A4435">
        <w:rPr>
          <w:rFonts w:cs="Arial"/>
        </w:rPr>
        <w:t>consensus-building activities would serve as a basis for the design of the</w:t>
      </w:r>
      <w:r w:rsidR="00135036">
        <w:rPr>
          <w:rFonts w:cs="Arial"/>
        </w:rPr>
        <w:t xml:space="preserve"> </w:t>
      </w:r>
    </w:p>
    <w:p w14:paraId="538B4169" w14:textId="697D1D9C" w:rsidR="00F45363" w:rsidRDefault="00E42941" w:rsidP="00FA30C8">
      <w:pPr>
        <w:spacing w:before="120" w:after="120"/>
        <w:jc w:val="both"/>
        <w:rPr>
          <w:rFonts w:cs="Arial"/>
        </w:rPr>
      </w:pPr>
      <w:r>
        <w:rPr>
          <w:rFonts w:cs="Arial"/>
        </w:rPr>
        <w:t>Summing up, the program was fully</w:t>
      </w:r>
      <w:r w:rsidRPr="00264FBD">
        <w:rPr>
          <w:rFonts w:cs="Arial"/>
        </w:rPr>
        <w:t xml:space="preserve"> consistent with the IDB Country Stra</w:t>
      </w:r>
      <w:r>
        <w:rPr>
          <w:rFonts w:cs="Arial"/>
        </w:rPr>
        <w:t>tegy with Barbados (2005-2008)</w:t>
      </w:r>
      <w:r w:rsidRPr="00264FBD">
        <w:rPr>
          <w:rFonts w:cs="Arial"/>
        </w:rPr>
        <w:t>, with respect to supporting institutional and policy reform, strengthening of the environment for investment, international trade</w:t>
      </w:r>
      <w:r>
        <w:rPr>
          <w:rFonts w:cs="Arial"/>
        </w:rPr>
        <w:t>,</w:t>
      </w:r>
      <w:r w:rsidRPr="00264FBD">
        <w:rPr>
          <w:rFonts w:cs="Arial"/>
        </w:rPr>
        <w:t xml:space="preserve"> and local business growth, and through strengthening </w:t>
      </w:r>
      <w:r>
        <w:rPr>
          <w:rFonts w:cs="Arial"/>
        </w:rPr>
        <w:t>GoB</w:t>
      </w:r>
      <w:r w:rsidRPr="00264FBD">
        <w:rPr>
          <w:rFonts w:cs="Arial"/>
        </w:rPr>
        <w:t xml:space="preserve"> capacity to apply Public Private Partnerships (PPP) options most effectively.</w:t>
      </w:r>
      <w:r w:rsidRPr="00244CE0">
        <w:rPr>
          <w:rFonts w:cs="Arial"/>
        </w:rPr>
        <w:t xml:space="preserve"> </w:t>
      </w:r>
      <w:r>
        <w:rPr>
          <w:rFonts w:cs="Arial"/>
        </w:rPr>
        <w:t>During the implementation of the project there were two additional country strategies that all maintained the objective of r</w:t>
      </w:r>
      <w:r w:rsidRPr="00E30EE6">
        <w:rPr>
          <w:rFonts w:cs="Arial"/>
        </w:rPr>
        <w:t xml:space="preserve">aising the </w:t>
      </w:r>
      <w:r>
        <w:rPr>
          <w:rFonts w:cs="Arial"/>
        </w:rPr>
        <w:t xml:space="preserve">country’s </w:t>
      </w:r>
      <w:r w:rsidRPr="00E30EE6">
        <w:rPr>
          <w:rFonts w:cs="Arial"/>
        </w:rPr>
        <w:t>capacity to compete in a changing international economic environment</w:t>
      </w:r>
      <w:r>
        <w:rPr>
          <w:rFonts w:cs="Arial"/>
        </w:rPr>
        <w:t xml:space="preserve"> with an emphasis on private sector competitiveness as well as trade logistics and facilitation. And, lastly, even though this is not directly linked to Bank priorities, the CARICOM S</w:t>
      </w:r>
      <w:r w:rsidRPr="004D23DE">
        <w:rPr>
          <w:rFonts w:cs="Arial"/>
        </w:rPr>
        <w:t>trategy for Regional Implementation of the</w:t>
      </w:r>
      <w:r>
        <w:rPr>
          <w:rFonts w:cs="Arial"/>
        </w:rPr>
        <w:t xml:space="preserve"> World Trade Organization (WTO)</w:t>
      </w:r>
      <w:r w:rsidRPr="00933CCC">
        <w:rPr>
          <w:rFonts w:cs="Arial"/>
        </w:rPr>
        <w:t xml:space="preserve"> Trade </w:t>
      </w:r>
      <w:r w:rsidRPr="00933CCC">
        <w:rPr>
          <w:rFonts w:cs="Arial"/>
        </w:rPr>
        <w:lastRenderedPageBreak/>
        <w:t>Facilitation</w:t>
      </w:r>
      <w:r>
        <w:rPr>
          <w:rFonts w:cs="Arial"/>
        </w:rPr>
        <w:t xml:space="preserve"> </w:t>
      </w:r>
      <w:r w:rsidRPr="00933CCC">
        <w:rPr>
          <w:rFonts w:cs="Arial"/>
        </w:rPr>
        <w:t xml:space="preserve">Agreement </w:t>
      </w:r>
      <w:r>
        <w:rPr>
          <w:rFonts w:cs="Arial"/>
        </w:rPr>
        <w:t>(TFA)</w:t>
      </w:r>
      <w:r w:rsidRPr="00933CCC">
        <w:rPr>
          <w:rFonts w:cs="Arial"/>
        </w:rPr>
        <w:t xml:space="preserve"> </w:t>
      </w:r>
      <w:r>
        <w:rPr>
          <w:rFonts w:cs="Arial"/>
        </w:rPr>
        <w:t xml:space="preserve">highlighted the development of ESWs as a priority area and repeatedly emphasized during the consultations that public-private dialogue is key for the </w:t>
      </w:r>
      <w:r w:rsidRPr="00933CCC">
        <w:rPr>
          <w:rFonts w:cs="Arial"/>
        </w:rPr>
        <w:t xml:space="preserve">effective implementation of the </w:t>
      </w:r>
      <w:r>
        <w:rPr>
          <w:rFonts w:cs="Arial"/>
        </w:rPr>
        <w:t xml:space="preserve">TFA </w:t>
      </w:r>
      <w:r w:rsidRPr="00933CCC">
        <w:rPr>
          <w:rFonts w:cs="Arial"/>
        </w:rPr>
        <w:t>at national and regional levels</w:t>
      </w:r>
      <w:r w:rsidR="00135036">
        <w:rPr>
          <w:rFonts w:cs="Arial"/>
        </w:rPr>
        <w:t>.</w:t>
      </w:r>
    </w:p>
    <w:p w14:paraId="20592E58" w14:textId="77777777" w:rsidR="000D057C" w:rsidRDefault="009B4D7A" w:rsidP="000D057C">
      <w:pPr>
        <w:pStyle w:val="Heading2"/>
        <w:numPr>
          <w:ilvl w:val="1"/>
          <w:numId w:val="1"/>
        </w:numPr>
      </w:pPr>
      <w:bookmarkStart w:id="36" w:name="_Toc500317976"/>
      <w:r>
        <w:t>Monitoring and Evaluation</w:t>
      </w:r>
      <w:bookmarkEnd w:id="36"/>
    </w:p>
    <w:p w14:paraId="18539E3E" w14:textId="502983B7" w:rsidR="000D057C" w:rsidRDefault="00E42941" w:rsidP="00FA30C8">
      <w:pPr>
        <w:spacing w:before="120" w:after="120"/>
        <w:jc w:val="both"/>
        <w:rPr>
          <w:rFonts w:cs="Arial"/>
        </w:rPr>
      </w:pPr>
      <w:r>
        <w:rPr>
          <w:rFonts w:cs="Arial"/>
        </w:rPr>
        <w:t xml:space="preserve">As part of the program administration arrangements, a </w:t>
      </w:r>
      <w:r w:rsidRPr="00FF1303">
        <w:rPr>
          <w:rFonts w:cs="Arial"/>
        </w:rPr>
        <w:t xml:space="preserve">monitoring and evaluation </w:t>
      </w:r>
      <w:r>
        <w:rPr>
          <w:rFonts w:cs="Arial"/>
        </w:rPr>
        <w:t xml:space="preserve">(M&amp;E) </w:t>
      </w:r>
      <w:r w:rsidRPr="00FF1303">
        <w:rPr>
          <w:rFonts w:cs="Arial"/>
        </w:rPr>
        <w:t xml:space="preserve">specialist </w:t>
      </w:r>
      <w:r>
        <w:rPr>
          <w:rFonts w:cs="Arial"/>
        </w:rPr>
        <w:t>was to</w:t>
      </w:r>
      <w:r w:rsidRPr="00FF1303">
        <w:rPr>
          <w:rFonts w:cs="Arial"/>
        </w:rPr>
        <w:t xml:space="preserve"> be contracted to review the </w:t>
      </w:r>
      <w:r>
        <w:rPr>
          <w:rFonts w:cs="Arial"/>
        </w:rPr>
        <w:t>program’s base lines, set up an</w:t>
      </w:r>
      <w:r w:rsidRPr="00FF1303">
        <w:rPr>
          <w:rFonts w:cs="Arial"/>
        </w:rPr>
        <w:t xml:space="preserve"> M&amp;E system</w:t>
      </w:r>
      <w:r>
        <w:rPr>
          <w:rFonts w:cs="Arial"/>
        </w:rPr>
        <w:t>,</w:t>
      </w:r>
      <w:r w:rsidRPr="00FF1303">
        <w:rPr>
          <w:rFonts w:cs="Arial"/>
        </w:rPr>
        <w:t xml:space="preserve"> and develop evaluation criteria.</w:t>
      </w:r>
      <w:r>
        <w:rPr>
          <w:rFonts w:cs="Arial"/>
        </w:rPr>
        <w:t xml:space="preserve"> Based on this plan, 5 M&amp;E reports were to be developed during the project lifetime. As briefly </w:t>
      </w:r>
      <w:r w:rsidRPr="00CB1E7B">
        <w:rPr>
          <w:rFonts w:cs="Arial"/>
        </w:rPr>
        <w:t xml:space="preserve">mentioned </w:t>
      </w:r>
      <w:r>
        <w:rPr>
          <w:rFonts w:cs="Arial"/>
        </w:rPr>
        <w:t>in the section on efficiency and discussed in further detail below, the M&amp;E specialist was not hired and therefore none of the reports were prepared until project closure</w:t>
      </w:r>
    </w:p>
    <w:p w14:paraId="6F69AA62" w14:textId="6999D459" w:rsidR="00E52E4C" w:rsidRPr="003853DD" w:rsidRDefault="00E52E4C" w:rsidP="005064AD">
      <w:pPr>
        <w:pStyle w:val="Heading3"/>
        <w:numPr>
          <w:ilvl w:val="0"/>
          <w:numId w:val="7"/>
        </w:numPr>
      </w:pPr>
      <w:bookmarkStart w:id="37" w:name="_Toc500317977"/>
      <w:r>
        <w:t>M&amp;E Design</w:t>
      </w:r>
      <w:bookmarkEnd w:id="37"/>
    </w:p>
    <w:p w14:paraId="5B66D9AF" w14:textId="2F4A8A94" w:rsidR="00E42941" w:rsidRDefault="00E42941" w:rsidP="00FA30C8">
      <w:pPr>
        <w:spacing w:before="120" w:after="120"/>
        <w:jc w:val="both"/>
        <w:rPr>
          <w:rFonts w:cs="Arial"/>
        </w:rPr>
      </w:pPr>
      <w:r w:rsidRPr="00884458">
        <w:rPr>
          <w:rFonts w:cs="Arial"/>
        </w:rPr>
        <w:t xml:space="preserve">The program had a </w:t>
      </w:r>
      <w:r>
        <w:rPr>
          <w:rFonts w:cs="Arial"/>
        </w:rPr>
        <w:t>document on M&amp;E</w:t>
      </w:r>
      <w:r w:rsidRPr="00884458">
        <w:rPr>
          <w:rFonts w:cs="Arial"/>
        </w:rPr>
        <w:t xml:space="preserve"> </w:t>
      </w:r>
      <w:r>
        <w:rPr>
          <w:rFonts w:cs="Arial"/>
        </w:rPr>
        <w:t>arrangements that was</w:t>
      </w:r>
      <w:r w:rsidRPr="00884458">
        <w:rPr>
          <w:rFonts w:cs="Arial"/>
        </w:rPr>
        <w:t xml:space="preserve"> approved as an an</w:t>
      </w:r>
      <w:r>
        <w:rPr>
          <w:rFonts w:cs="Arial"/>
        </w:rPr>
        <w:t>nex to the loan document. It stipulated</w:t>
      </w:r>
      <w:r w:rsidRPr="00884458">
        <w:rPr>
          <w:rFonts w:cs="Arial"/>
        </w:rPr>
        <w:t xml:space="preserve"> </w:t>
      </w:r>
      <w:r>
        <w:rPr>
          <w:rFonts w:cs="Arial"/>
        </w:rPr>
        <w:t xml:space="preserve">the hiring of an M&amp;E </w:t>
      </w:r>
      <w:r w:rsidRPr="007B2AA2">
        <w:rPr>
          <w:rFonts w:cs="Arial"/>
        </w:rPr>
        <w:t>specialist at the start of implementation</w:t>
      </w:r>
      <w:r>
        <w:rPr>
          <w:rFonts w:cs="Arial"/>
        </w:rPr>
        <w:t xml:space="preserve"> that would, among others, be responsible for</w:t>
      </w:r>
      <w:r w:rsidRPr="007B2AA2">
        <w:rPr>
          <w:rFonts w:cs="Arial"/>
        </w:rPr>
        <w:t xml:space="preserve"> </w:t>
      </w:r>
      <w:r>
        <w:rPr>
          <w:rFonts w:cs="Arial"/>
        </w:rPr>
        <w:t>the</w:t>
      </w:r>
      <w:r w:rsidRPr="007B2AA2">
        <w:rPr>
          <w:rFonts w:cs="Arial"/>
        </w:rPr>
        <w:t xml:space="preserve"> set</w:t>
      </w:r>
      <w:r>
        <w:rPr>
          <w:rFonts w:cs="Arial"/>
        </w:rPr>
        <w:t>ting</w:t>
      </w:r>
      <w:r w:rsidRPr="007B2AA2">
        <w:rPr>
          <w:rFonts w:cs="Arial"/>
        </w:rPr>
        <w:t xml:space="preserve"> up </w:t>
      </w:r>
      <w:r>
        <w:rPr>
          <w:rFonts w:cs="Arial"/>
        </w:rPr>
        <w:t xml:space="preserve">of </w:t>
      </w:r>
      <w:r w:rsidRPr="007B2AA2">
        <w:rPr>
          <w:rFonts w:cs="Arial"/>
        </w:rPr>
        <w:t xml:space="preserve">a simple monitoring system </w:t>
      </w:r>
      <w:r>
        <w:rPr>
          <w:rFonts w:cs="Arial"/>
        </w:rPr>
        <w:t>and developing a</w:t>
      </w:r>
      <w:r w:rsidRPr="007B2AA2">
        <w:rPr>
          <w:rFonts w:cs="Arial"/>
        </w:rPr>
        <w:t xml:space="preserve"> detailed </w:t>
      </w:r>
      <w:r>
        <w:rPr>
          <w:rFonts w:cs="Arial"/>
        </w:rPr>
        <w:t>M&amp;E</w:t>
      </w:r>
      <w:r w:rsidRPr="007B2AA2">
        <w:rPr>
          <w:rFonts w:cs="Arial"/>
        </w:rPr>
        <w:t xml:space="preserve"> plan for the entire program</w:t>
      </w:r>
      <w:r>
        <w:rPr>
          <w:rFonts w:cs="Arial"/>
        </w:rPr>
        <w:t xml:space="preserve">. The document also foresaw </w:t>
      </w:r>
      <w:r w:rsidRPr="00884458">
        <w:rPr>
          <w:rFonts w:cs="Arial"/>
        </w:rPr>
        <w:t xml:space="preserve">the realization of a </w:t>
      </w:r>
      <w:r>
        <w:rPr>
          <w:rFonts w:cs="Arial"/>
        </w:rPr>
        <w:t xml:space="preserve">mid-term evaluation. However, despite repeated requests from the Bank, the M&amp;E specialist was not hired. In discussions with the PEU it became clear that the rationale behind this were the delays that most of the activities were suffering from and a perception voiced by multiple stakeholders that the project needed to be reformulated and specific activities needed to be cancelled. Against that context of uncertainty, the PEU decided that hiring an M&amp;E specialist at that time was inappropriate. In discussions after project closure, the PEU mentioned that the team was considering procuring the M&amp;E support in 2015, a </w:t>
      </w:r>
      <w:r w:rsidRPr="00131485">
        <w:rPr>
          <w:rFonts w:cs="Arial"/>
        </w:rPr>
        <w:t xml:space="preserve">time </w:t>
      </w:r>
      <w:r>
        <w:rPr>
          <w:rFonts w:cs="Arial"/>
        </w:rPr>
        <w:t xml:space="preserve">when the Bank had </w:t>
      </w:r>
      <w:r w:rsidRPr="00F215BC">
        <w:rPr>
          <w:rFonts w:cs="Arial"/>
        </w:rPr>
        <w:t xml:space="preserve">issued a deadline of June 21, 2015 for the contracting of all </w:t>
      </w:r>
      <w:r>
        <w:rPr>
          <w:rFonts w:cs="Arial"/>
        </w:rPr>
        <w:t>consultancies to ensure their successful completion by December 2016, and by then any uncommitted</w:t>
      </w:r>
      <w:r w:rsidRPr="00131485">
        <w:rPr>
          <w:rFonts w:cs="Arial"/>
        </w:rPr>
        <w:t xml:space="preserve"> loan funds </w:t>
      </w:r>
      <w:r>
        <w:rPr>
          <w:rFonts w:cs="Arial"/>
        </w:rPr>
        <w:t>had to be cancelled. Even without that deadline, however, given the advanced stage of project implementation, impeding the identification of an adequate baseline and respective monitoring indicators as initially foreseen, the added value of hiring the specialist at that tim</w:t>
      </w:r>
      <w:r w:rsidR="00135036">
        <w:rPr>
          <w:rFonts w:cs="Arial"/>
        </w:rPr>
        <w:t>e would have been questionable.</w:t>
      </w:r>
    </w:p>
    <w:p w14:paraId="43BA57CE" w14:textId="102E4DAF" w:rsidR="00E52E4C" w:rsidRPr="006E6903" w:rsidRDefault="00E42941" w:rsidP="00FA30C8">
      <w:pPr>
        <w:spacing w:before="120" w:after="120"/>
        <w:jc w:val="both"/>
        <w:rPr>
          <w:rFonts w:cs="Arial"/>
        </w:rPr>
      </w:pPr>
      <w:r>
        <w:rPr>
          <w:rFonts w:cs="Arial"/>
        </w:rPr>
        <w:t xml:space="preserve">In terms of reports, given the very limited progress of project activities to that date, the mid-term evaluation was ultimately waived upon request in 2013. However, as per the agreed M&amp;E arrangements, a </w:t>
      </w:r>
      <w:r w:rsidRPr="00884458">
        <w:rPr>
          <w:rFonts w:cs="Arial"/>
        </w:rPr>
        <w:t>final evaluation of the project as a whole</w:t>
      </w:r>
      <w:r>
        <w:rPr>
          <w:rFonts w:cs="Arial"/>
        </w:rPr>
        <w:t xml:space="preserve"> was started shortly prior to project closure</w:t>
      </w:r>
      <w:r w:rsidRPr="00884458">
        <w:rPr>
          <w:rFonts w:cs="Arial"/>
        </w:rPr>
        <w:t xml:space="preserve">. </w:t>
      </w:r>
      <w:r>
        <w:rPr>
          <w:rFonts w:cs="Arial"/>
        </w:rPr>
        <w:t>T</w:t>
      </w:r>
      <w:r w:rsidRPr="00884458">
        <w:rPr>
          <w:rFonts w:cs="Arial"/>
        </w:rPr>
        <w:t xml:space="preserve">he final evaluation </w:t>
      </w:r>
      <w:r>
        <w:rPr>
          <w:rFonts w:cs="Arial"/>
        </w:rPr>
        <w:t xml:space="preserve">was completed </w:t>
      </w:r>
      <w:r w:rsidRPr="00884458">
        <w:rPr>
          <w:rFonts w:cs="Arial"/>
        </w:rPr>
        <w:t>(</w:t>
      </w:r>
      <w:r>
        <w:rPr>
          <w:rFonts w:cs="Arial"/>
        </w:rPr>
        <w:t>Ulloa, 2017</w:t>
      </w:r>
      <w:r w:rsidRPr="00884458">
        <w:rPr>
          <w:rFonts w:cs="Arial"/>
        </w:rPr>
        <w:t xml:space="preserve">) </w:t>
      </w:r>
      <w:r>
        <w:rPr>
          <w:rFonts w:cs="Arial"/>
        </w:rPr>
        <w:t>and its analysis has informed the</w:t>
      </w:r>
      <w:r w:rsidRPr="00884458">
        <w:rPr>
          <w:rFonts w:cs="Arial"/>
        </w:rPr>
        <w:t xml:space="preserve"> writing of this report</w:t>
      </w:r>
    </w:p>
    <w:p w14:paraId="6918D616" w14:textId="5C0BCE4E" w:rsidR="00E42941" w:rsidRPr="00135036" w:rsidRDefault="00E52E4C" w:rsidP="005064AD">
      <w:pPr>
        <w:pStyle w:val="Heading3"/>
        <w:numPr>
          <w:ilvl w:val="0"/>
          <w:numId w:val="7"/>
        </w:numPr>
      </w:pPr>
      <w:bookmarkStart w:id="38" w:name="_Toc500317978"/>
      <w:r>
        <w:t>M&amp;E Implementation</w:t>
      </w:r>
      <w:bookmarkEnd w:id="38"/>
    </w:p>
    <w:p w14:paraId="7301084D" w14:textId="49500A9B" w:rsidR="00E42941" w:rsidRDefault="00E42941" w:rsidP="00FA30C8">
      <w:pPr>
        <w:spacing w:before="120" w:after="120"/>
        <w:jc w:val="both"/>
        <w:rPr>
          <w:rFonts w:cs="Arial"/>
        </w:rPr>
      </w:pPr>
      <w:r>
        <w:rPr>
          <w:rFonts w:cs="Arial"/>
        </w:rPr>
        <w:t>In light of the limitations described above, program</w:t>
      </w:r>
      <w:r w:rsidRPr="00A756BC">
        <w:rPr>
          <w:rFonts w:cs="Arial"/>
        </w:rPr>
        <w:t xml:space="preserve"> monitoring </w:t>
      </w:r>
      <w:r>
        <w:rPr>
          <w:rFonts w:cs="Arial"/>
        </w:rPr>
        <w:t>was</w:t>
      </w:r>
      <w:r w:rsidRPr="00A756BC">
        <w:rPr>
          <w:rFonts w:cs="Arial"/>
        </w:rPr>
        <w:t xml:space="preserve"> carried out by the </w:t>
      </w:r>
      <w:r>
        <w:rPr>
          <w:rFonts w:cs="Arial"/>
        </w:rPr>
        <w:t>PEU</w:t>
      </w:r>
      <w:r w:rsidRPr="00A756BC">
        <w:rPr>
          <w:rFonts w:cs="Arial"/>
        </w:rPr>
        <w:t xml:space="preserve"> </w:t>
      </w:r>
      <w:r>
        <w:rPr>
          <w:rFonts w:cs="Arial"/>
        </w:rPr>
        <w:t xml:space="preserve">core team </w:t>
      </w:r>
      <w:r w:rsidRPr="00A756BC">
        <w:rPr>
          <w:rFonts w:cs="Arial"/>
        </w:rPr>
        <w:t>through the following instruments: (i) the A</w:t>
      </w:r>
      <w:r>
        <w:rPr>
          <w:rFonts w:cs="Arial"/>
        </w:rPr>
        <w:t xml:space="preserve">nnual </w:t>
      </w:r>
      <w:r w:rsidRPr="00A756BC">
        <w:rPr>
          <w:rFonts w:cs="Arial"/>
        </w:rPr>
        <w:t>O</w:t>
      </w:r>
      <w:r>
        <w:rPr>
          <w:rFonts w:cs="Arial"/>
        </w:rPr>
        <w:t xml:space="preserve">perating </w:t>
      </w:r>
      <w:r w:rsidRPr="00A756BC">
        <w:rPr>
          <w:rFonts w:cs="Arial"/>
        </w:rPr>
        <w:t>P</w:t>
      </w:r>
      <w:r>
        <w:rPr>
          <w:rFonts w:cs="Arial"/>
        </w:rPr>
        <w:t>lan (AOP)</w:t>
      </w:r>
      <w:r w:rsidRPr="00A756BC">
        <w:rPr>
          <w:rFonts w:cs="Arial"/>
        </w:rPr>
        <w:t>; (ii) Semi-Annual Technical and Financial Progress Reports; (iii) the Results Framework; and its indicators and benchmarks established to assess progr</w:t>
      </w:r>
      <w:r>
        <w:rPr>
          <w:rFonts w:cs="Arial"/>
        </w:rPr>
        <w:t>ess and results in the Program. The AOP was to be prepared by</w:t>
      </w:r>
      <w:r w:rsidRPr="009675D4">
        <w:rPr>
          <w:rFonts w:cs="Arial"/>
        </w:rPr>
        <w:t xml:space="preserve"> the end </w:t>
      </w:r>
      <w:r>
        <w:rPr>
          <w:rFonts w:cs="Arial"/>
        </w:rPr>
        <w:t xml:space="preserve">of each year of implementation outlining the activities </w:t>
      </w:r>
      <w:r w:rsidRPr="009675D4">
        <w:rPr>
          <w:rFonts w:cs="Arial"/>
        </w:rPr>
        <w:t xml:space="preserve">for the following year. This plan </w:t>
      </w:r>
      <w:r>
        <w:rPr>
          <w:rFonts w:cs="Arial"/>
        </w:rPr>
        <w:t>was to</w:t>
      </w:r>
      <w:r w:rsidRPr="009675D4">
        <w:rPr>
          <w:rFonts w:cs="Arial"/>
        </w:rPr>
        <w:t xml:space="preserve"> contain the evaluation of results obtained during the previous period, and if needed, include a justification and recommended actions regarding any targets that were not achieved during the previous period.</w:t>
      </w:r>
      <w:r>
        <w:rPr>
          <w:rFonts w:cs="Arial"/>
        </w:rPr>
        <w:t xml:space="preserve"> As will be discussed in the following section IV, these reports were submitted by the PEU but in most occasions with a very considerable delay. Not having an updated overview of project progress imposed serious limitations to monit</w:t>
      </w:r>
      <w:r w:rsidR="00135036">
        <w:rPr>
          <w:rFonts w:cs="Arial"/>
        </w:rPr>
        <w:t>oring and evaluation activities.</w:t>
      </w:r>
    </w:p>
    <w:p w14:paraId="1E7D758F" w14:textId="70BB71D3" w:rsidR="00E52E4C" w:rsidRDefault="00E42941" w:rsidP="00FA30C8">
      <w:pPr>
        <w:spacing w:before="120" w:after="120"/>
        <w:jc w:val="both"/>
        <w:rPr>
          <w:rFonts w:cs="Arial"/>
        </w:rPr>
      </w:pPr>
      <w:r>
        <w:rPr>
          <w:rFonts w:cs="Arial"/>
        </w:rPr>
        <w:t>On the Bank side, while at t</w:t>
      </w:r>
      <w:r w:rsidRPr="003178EB">
        <w:rPr>
          <w:rFonts w:cs="Arial"/>
        </w:rPr>
        <w:t>he time of the design of the project and the beginning of the execution, the PMR system was not available</w:t>
      </w:r>
      <w:r>
        <w:rPr>
          <w:rFonts w:cs="Arial"/>
        </w:rPr>
        <w:t xml:space="preserve">, the team made an effort to adapt M&amp;E indicators </w:t>
      </w:r>
      <w:r w:rsidRPr="003178EB">
        <w:rPr>
          <w:rFonts w:cs="Arial"/>
        </w:rPr>
        <w:t xml:space="preserve">to the new </w:t>
      </w:r>
      <w:r w:rsidRPr="003178EB">
        <w:rPr>
          <w:rFonts w:cs="Arial"/>
        </w:rPr>
        <w:lastRenderedPageBreak/>
        <w:t>Bank system</w:t>
      </w:r>
      <w:r>
        <w:rPr>
          <w:rFonts w:cs="Arial"/>
        </w:rPr>
        <w:t xml:space="preserve"> and using it for periodic assessments. However, some discrepancies resulted from this conversion as discussed in the results section on Component 3.</w:t>
      </w:r>
    </w:p>
    <w:p w14:paraId="64112CD6" w14:textId="6A7613D3" w:rsidR="00E52E4C" w:rsidRPr="003853DD" w:rsidRDefault="00E52E4C" w:rsidP="005064AD">
      <w:pPr>
        <w:pStyle w:val="Heading3"/>
        <w:numPr>
          <w:ilvl w:val="0"/>
          <w:numId w:val="7"/>
        </w:numPr>
      </w:pPr>
      <w:bookmarkStart w:id="39" w:name="_Toc500317979"/>
      <w:r>
        <w:t>M&amp;E Utilization</w:t>
      </w:r>
      <w:bookmarkEnd w:id="39"/>
    </w:p>
    <w:p w14:paraId="0FF6FFE1" w14:textId="0964F64E" w:rsidR="00E42941" w:rsidRDefault="00E42941" w:rsidP="00FA30C8">
      <w:pPr>
        <w:spacing w:before="120" w:after="120"/>
        <w:jc w:val="both"/>
        <w:rPr>
          <w:rFonts w:cs="Arial"/>
        </w:rPr>
      </w:pPr>
      <w:r>
        <w:rPr>
          <w:rFonts w:cs="Arial"/>
        </w:rPr>
        <w:t>In the absence of the M&amp;E plan, the indicators of the results framework were a key input when discussing the execution progress and possible cancellation of specific activities. The table helped identify those areas where no or close to no progress had been made and where achieving the envisioned results seemed very unlikely given the time and funds left for the</w:t>
      </w:r>
      <w:r w:rsidR="00135036">
        <w:rPr>
          <w:rFonts w:cs="Arial"/>
        </w:rPr>
        <w:t xml:space="preserve"> implementation of the project.</w:t>
      </w:r>
    </w:p>
    <w:p w14:paraId="69976266" w14:textId="03EDEDA3" w:rsidR="00E42941" w:rsidRPr="006E6903" w:rsidRDefault="00E42941" w:rsidP="00FA30C8">
      <w:pPr>
        <w:spacing w:before="120" w:after="120"/>
        <w:jc w:val="both"/>
        <w:rPr>
          <w:rFonts w:cs="Arial"/>
        </w:rPr>
      </w:pPr>
      <w:r>
        <w:rPr>
          <w:rFonts w:cs="Arial"/>
        </w:rPr>
        <w:t>On the other hand, the final evaluation has distilled important lessons learned and provided specific recommendations that will be very useful inputs for continued efforts in the area of competitiveness and business facilitation</w:t>
      </w:r>
    </w:p>
    <w:p w14:paraId="38650FC4" w14:textId="77777777" w:rsidR="009B4D7A" w:rsidRDefault="009B4D7A" w:rsidP="000D057C">
      <w:pPr>
        <w:pStyle w:val="Heading2"/>
        <w:numPr>
          <w:ilvl w:val="1"/>
          <w:numId w:val="1"/>
        </w:numPr>
      </w:pPr>
      <w:bookmarkStart w:id="40" w:name="_Toc500317980"/>
      <w:r>
        <w:t>Use of Country Systems</w:t>
      </w:r>
      <w:bookmarkEnd w:id="40"/>
    </w:p>
    <w:p w14:paraId="5304C222" w14:textId="0BC191BF" w:rsidR="000D057C" w:rsidRPr="00135036" w:rsidRDefault="00E42941" w:rsidP="00FA30C8">
      <w:pPr>
        <w:spacing w:before="120" w:after="120"/>
        <w:jc w:val="both"/>
        <w:rPr>
          <w:rFonts w:cs="Arial"/>
        </w:rPr>
      </w:pPr>
      <w:r>
        <w:rPr>
          <w:rFonts w:cs="Arial"/>
        </w:rPr>
        <w:t xml:space="preserve">In line with what was foreseen in the Development Effectiveness Matrix and its specifications under </w:t>
      </w:r>
      <w:r w:rsidRPr="00F018E9">
        <w:rPr>
          <w:rFonts w:cs="Arial"/>
          <w:i/>
        </w:rPr>
        <w:t>Target 2: Use of country systems in public sector executing entity</w:t>
      </w:r>
      <w:r>
        <w:rPr>
          <w:rFonts w:cs="Arial"/>
        </w:rPr>
        <w:t xml:space="preserve">, the project did not rely on </w:t>
      </w:r>
      <w:r w:rsidRPr="00957B27">
        <w:rPr>
          <w:rFonts w:cs="Arial"/>
        </w:rPr>
        <w:t>government's systems</w:t>
      </w:r>
      <w:r>
        <w:rPr>
          <w:rFonts w:cs="Arial"/>
        </w:rPr>
        <w:t xml:space="preserve"> in any of the areas of f</w:t>
      </w:r>
      <w:r w:rsidRPr="00957B27">
        <w:rPr>
          <w:rFonts w:cs="Arial"/>
        </w:rPr>
        <w:t>inancial management</w:t>
      </w:r>
      <w:r>
        <w:rPr>
          <w:rFonts w:cs="Arial"/>
        </w:rPr>
        <w:t>, p</w:t>
      </w:r>
      <w:r w:rsidRPr="00957B27">
        <w:rPr>
          <w:rFonts w:cs="Arial"/>
        </w:rPr>
        <w:t>rocurement</w:t>
      </w:r>
      <w:r>
        <w:rPr>
          <w:rFonts w:cs="Arial"/>
        </w:rPr>
        <w:t>, m</w:t>
      </w:r>
      <w:r w:rsidRPr="00957B27">
        <w:rPr>
          <w:rFonts w:cs="Arial"/>
        </w:rPr>
        <w:t>onito</w:t>
      </w:r>
      <w:r>
        <w:rPr>
          <w:rFonts w:cs="Arial"/>
        </w:rPr>
        <w:t>ring &amp; e</w:t>
      </w:r>
      <w:r w:rsidRPr="00957B27">
        <w:rPr>
          <w:rFonts w:cs="Arial"/>
        </w:rPr>
        <w:t>valuation</w:t>
      </w:r>
      <w:r>
        <w:rPr>
          <w:rFonts w:cs="Arial"/>
        </w:rPr>
        <w:t>, or e</w:t>
      </w:r>
      <w:r w:rsidRPr="00957B27">
        <w:rPr>
          <w:rFonts w:cs="Arial"/>
        </w:rPr>
        <w:t>n</w:t>
      </w:r>
      <w:r>
        <w:rPr>
          <w:rFonts w:cs="Arial"/>
        </w:rPr>
        <w:t>vironmental m</w:t>
      </w:r>
      <w:r w:rsidRPr="00957B27">
        <w:rPr>
          <w:rFonts w:cs="Arial"/>
        </w:rPr>
        <w:t>anagement</w:t>
      </w:r>
      <w:r>
        <w:rPr>
          <w:rFonts w:cs="Arial"/>
        </w:rPr>
        <w:t>. This was due to the constraints of these systems that had been previously identified</w:t>
      </w:r>
    </w:p>
    <w:p w14:paraId="78988597" w14:textId="77777777" w:rsidR="009B4D7A" w:rsidRDefault="009B4D7A" w:rsidP="000D057C">
      <w:pPr>
        <w:pStyle w:val="Heading2"/>
        <w:numPr>
          <w:ilvl w:val="1"/>
          <w:numId w:val="1"/>
        </w:numPr>
      </w:pPr>
      <w:bookmarkStart w:id="41" w:name="_Toc500317981"/>
      <w:r>
        <w:t>Environmental and Social Safeguards</w:t>
      </w:r>
      <w:bookmarkEnd w:id="41"/>
    </w:p>
    <w:p w14:paraId="542FF5AE" w14:textId="70C2EC28" w:rsidR="006C292D" w:rsidRDefault="00E42941" w:rsidP="00FA30C8">
      <w:pPr>
        <w:spacing w:before="120" w:after="120"/>
        <w:jc w:val="both"/>
        <w:rPr>
          <w:rFonts w:cs="Arial"/>
        </w:rPr>
      </w:pPr>
      <w:r>
        <w:rPr>
          <w:rFonts w:cs="Arial"/>
        </w:rPr>
        <w:t>As foreseen</w:t>
      </w:r>
      <w:r w:rsidRPr="002F1B2B">
        <w:rPr>
          <w:rFonts w:cs="Arial"/>
        </w:rPr>
        <w:t xml:space="preserve"> in the design of the Program</w:t>
      </w:r>
      <w:r>
        <w:rPr>
          <w:rFonts w:cs="Arial"/>
        </w:rPr>
        <w:t xml:space="preserve"> and its classification as category “C”, </w:t>
      </w:r>
      <w:r w:rsidRPr="002F1B2B">
        <w:rPr>
          <w:rFonts w:cs="Arial"/>
        </w:rPr>
        <w:t xml:space="preserve">the </w:t>
      </w:r>
      <w:r>
        <w:rPr>
          <w:rFonts w:cs="Arial"/>
        </w:rPr>
        <w:t>activities</w:t>
      </w:r>
      <w:r w:rsidRPr="002F1B2B">
        <w:rPr>
          <w:rFonts w:cs="Arial"/>
        </w:rPr>
        <w:t xml:space="preserve"> of this operation have not had adverse direct effects on</w:t>
      </w:r>
      <w:r>
        <w:rPr>
          <w:rFonts w:cs="Arial"/>
        </w:rPr>
        <w:t xml:space="preserve"> society or</w:t>
      </w:r>
      <w:r w:rsidRPr="002F1B2B">
        <w:rPr>
          <w:rFonts w:cs="Arial"/>
        </w:rPr>
        <w:t xml:space="preserve"> the e</w:t>
      </w:r>
      <w:r>
        <w:rPr>
          <w:rFonts w:cs="Arial"/>
        </w:rPr>
        <w:t>nvironment. Therefore, during preparation and i</w:t>
      </w:r>
      <w:r w:rsidRPr="002F1B2B">
        <w:rPr>
          <w:rFonts w:cs="Arial"/>
        </w:rPr>
        <w:t xml:space="preserve">n accordance with the </w:t>
      </w:r>
      <w:r w:rsidRPr="00F16EA0">
        <w:rPr>
          <w:rFonts w:cs="Arial"/>
        </w:rPr>
        <w:t>Environment and Safeguards Compliance Policy (GN-2208-20)</w:t>
      </w:r>
      <w:r>
        <w:rPr>
          <w:rFonts w:cs="Arial"/>
        </w:rPr>
        <w:t>,</w:t>
      </w:r>
      <w:r w:rsidRPr="00F16EA0">
        <w:rPr>
          <w:rFonts w:cs="Arial"/>
        </w:rPr>
        <w:t xml:space="preserve"> this</w:t>
      </w:r>
      <w:r>
        <w:rPr>
          <w:rFonts w:cs="Arial"/>
        </w:rPr>
        <w:t xml:space="preserve"> operation did</w:t>
      </w:r>
      <w:r w:rsidRPr="00F16EA0">
        <w:rPr>
          <w:rFonts w:cs="Arial"/>
        </w:rPr>
        <w:t xml:space="preserve"> not require an environmental or social analysis beyond the screening and scoping analysis for</w:t>
      </w:r>
      <w:r>
        <w:rPr>
          <w:rFonts w:cs="Arial"/>
        </w:rPr>
        <w:t xml:space="preserve"> determining the classification and will also not be rated in this report.</w:t>
      </w:r>
    </w:p>
    <w:p w14:paraId="0F2DB4C4" w14:textId="5EDCA87A" w:rsidR="008E3065" w:rsidRPr="00CD6996" w:rsidRDefault="008E3065" w:rsidP="008E3065">
      <w:pPr>
        <w:pStyle w:val="Heading1"/>
        <w:spacing w:before="240" w:after="240"/>
        <w:ind w:left="547"/>
        <w:jc w:val="both"/>
        <w:rPr>
          <w:smallCaps/>
        </w:rPr>
      </w:pPr>
      <w:bookmarkStart w:id="42" w:name="_Toc321137742"/>
      <w:bookmarkStart w:id="43" w:name="_Toc500317982"/>
      <w:r w:rsidRPr="00CD6996">
        <w:rPr>
          <w:smallCaps/>
        </w:rPr>
        <w:t>Findings and Recommendations</w:t>
      </w:r>
      <w:bookmarkEnd w:id="42"/>
      <w:bookmarkEnd w:id="43"/>
    </w:p>
    <w:p w14:paraId="677C6C43" w14:textId="46ABDFD2" w:rsidR="000D057C" w:rsidRDefault="0000324D" w:rsidP="00FA30C8">
      <w:pPr>
        <w:spacing w:before="120" w:after="120"/>
        <w:jc w:val="both"/>
        <w:rPr>
          <w:rFonts w:cs="Arial"/>
        </w:rPr>
      </w:pPr>
      <w:r>
        <w:rPr>
          <w:rFonts w:cs="Arial"/>
        </w:rPr>
        <w:t>Delays of activities have been a constant issue for this project and have occurred at all stages, from project design, to the recruitment of personnel and actual execution.</w:t>
      </w:r>
      <w:r w:rsidR="005E57F3">
        <w:rPr>
          <w:rFonts w:cs="Arial"/>
        </w:rPr>
        <w:t xml:space="preserve"> Overall, the factors discussed in this section are very much in line with the findings of the WEF executive opinion survey, summarized in graphic 3 of this </w:t>
      </w:r>
      <w:r w:rsidR="005E57F3" w:rsidRPr="00D244E2">
        <w:rPr>
          <w:rFonts w:cs="Arial"/>
        </w:rPr>
        <w:t>report (</w:t>
      </w:r>
      <w:r w:rsidR="00D244E2" w:rsidRPr="00D244E2">
        <w:rPr>
          <w:rFonts w:cs="Arial"/>
        </w:rPr>
        <w:t>p. 6</w:t>
      </w:r>
      <w:r w:rsidR="005E57F3" w:rsidRPr="00D244E2">
        <w:rPr>
          <w:rFonts w:cs="Arial"/>
        </w:rPr>
        <w:t>).</w:t>
      </w:r>
      <w:r w:rsidR="00135036">
        <w:rPr>
          <w:rFonts w:cs="Arial"/>
        </w:rPr>
        <w:t xml:space="preserve"> </w:t>
      </w:r>
    </w:p>
    <w:p w14:paraId="0BC2B2B1" w14:textId="35EF733B" w:rsidR="00176A44" w:rsidRPr="003853DD" w:rsidRDefault="00E42941" w:rsidP="00176A44">
      <w:pPr>
        <w:pStyle w:val="Heading2"/>
        <w:numPr>
          <w:ilvl w:val="1"/>
          <w:numId w:val="1"/>
        </w:numPr>
      </w:pPr>
      <w:bookmarkStart w:id="44" w:name="_Toc500317983"/>
      <w:r>
        <w:t>Technical-sectorial dimensions</w:t>
      </w:r>
      <w:bookmarkEnd w:id="44"/>
    </w:p>
    <w:p w14:paraId="7E80C551" w14:textId="16105629" w:rsidR="00387E23" w:rsidRDefault="00387E23" w:rsidP="00FA30C8">
      <w:pPr>
        <w:spacing w:before="120" w:after="120"/>
        <w:jc w:val="both"/>
        <w:rPr>
          <w:rFonts w:cs="Arial"/>
        </w:rPr>
      </w:pPr>
      <w:r>
        <w:rPr>
          <w:rFonts w:cs="Arial"/>
        </w:rPr>
        <w:t xml:space="preserve">Aimed at promoting an </w:t>
      </w:r>
      <w:r w:rsidRPr="00D72B55">
        <w:rPr>
          <w:rFonts w:cs="Arial"/>
          <w:lang w:val="en-029"/>
        </w:rPr>
        <w:t>institutional framework conducive to implement a long-term competitiveness strategy</w:t>
      </w:r>
      <w:r>
        <w:rPr>
          <w:rFonts w:cs="Arial"/>
          <w:lang w:val="en-029"/>
        </w:rPr>
        <w:t>,</w:t>
      </w:r>
      <w:r w:rsidRPr="00E47C24">
        <w:rPr>
          <w:rFonts w:cs="Arial"/>
        </w:rPr>
        <w:t xml:space="preserve"> </w:t>
      </w:r>
      <w:r>
        <w:rPr>
          <w:rFonts w:cs="Arial"/>
        </w:rPr>
        <w:t>t</w:t>
      </w:r>
      <w:r w:rsidRPr="00E47C24">
        <w:rPr>
          <w:rFonts w:cs="Arial"/>
        </w:rPr>
        <w:t xml:space="preserve">he vertical logic of the project was adequate and </w:t>
      </w:r>
      <w:r>
        <w:rPr>
          <w:rFonts w:cs="Arial"/>
        </w:rPr>
        <w:t>none of initial the assumptions can explain</w:t>
      </w:r>
      <w:r w:rsidRPr="00E47C24">
        <w:rPr>
          <w:rFonts w:cs="Arial"/>
        </w:rPr>
        <w:t xml:space="preserve"> the complications </w:t>
      </w:r>
      <w:r>
        <w:rPr>
          <w:rFonts w:cs="Arial"/>
        </w:rPr>
        <w:t>and delays that occurred during</w:t>
      </w:r>
      <w:r w:rsidRPr="00E47C24">
        <w:rPr>
          <w:rFonts w:cs="Arial"/>
        </w:rPr>
        <w:t xml:space="preserve"> project</w:t>
      </w:r>
      <w:r w:rsidR="00135036">
        <w:rPr>
          <w:rFonts w:cs="Arial"/>
        </w:rPr>
        <w:t xml:space="preserve"> implementation. </w:t>
      </w:r>
    </w:p>
    <w:p w14:paraId="1B7B4819" w14:textId="4C8DA25D" w:rsidR="009B4D7A" w:rsidRPr="00135036" w:rsidRDefault="00387E23" w:rsidP="00FA30C8">
      <w:pPr>
        <w:spacing w:before="120" w:after="120"/>
        <w:jc w:val="both"/>
        <w:rPr>
          <w:rFonts w:cs="Arial"/>
        </w:rPr>
      </w:pPr>
      <w:r>
        <w:rPr>
          <w:rFonts w:cs="Arial"/>
        </w:rPr>
        <w:t xml:space="preserve">One lesson to be drawn, however, is that designing a project as complex as the BCP has a number of potential trade-offs that were already alluded to in some of the previous sections. The objective of </w:t>
      </w:r>
      <w:r w:rsidR="00FE485F">
        <w:rPr>
          <w:rFonts w:cs="Arial"/>
        </w:rPr>
        <w:t xml:space="preserve">simultaneously </w:t>
      </w:r>
      <w:r>
        <w:rPr>
          <w:rFonts w:cs="Arial"/>
        </w:rPr>
        <w:t xml:space="preserve">tackling major barriers to </w:t>
      </w:r>
      <w:r w:rsidR="00FE485F">
        <w:rPr>
          <w:rFonts w:cs="Arial"/>
        </w:rPr>
        <w:t xml:space="preserve">increasing </w:t>
      </w:r>
      <w:r>
        <w:rPr>
          <w:rFonts w:cs="Arial"/>
        </w:rPr>
        <w:t>competitiveness in the country under the umbrella of one single project coordinated by one PEU is a reasonable approach</w:t>
      </w:r>
      <w:r w:rsidR="00FE485F">
        <w:rPr>
          <w:rFonts w:cs="Arial"/>
        </w:rPr>
        <w:t>. C</w:t>
      </w:r>
      <w:r>
        <w:rPr>
          <w:rFonts w:cs="Arial"/>
        </w:rPr>
        <w:t>omprehensive reforms were needed in many areas and would only benefit the country to the full extent if implemented in close coordination. At the same time, the global financial crisis had put the country under serious fiscal pressures which generated a momentum for government reform in this area that the project intended to capitalize on. However, this same need for strong institutional coordination of multiple agencies paired with interdependent outcomes implied a risk of slowing the execution if not coordinated by an entity that had the necessary capacity, leverage, and high-level political support to enforce collab</w:t>
      </w:r>
      <w:r w:rsidR="00135036">
        <w:rPr>
          <w:rFonts w:cs="Arial"/>
        </w:rPr>
        <w:t xml:space="preserve">oration and responsiveness. </w:t>
      </w:r>
    </w:p>
    <w:p w14:paraId="487A4044" w14:textId="7E3A94F3" w:rsidR="00387E23" w:rsidRDefault="00387E23" w:rsidP="00387E23">
      <w:pPr>
        <w:pStyle w:val="Heading2"/>
        <w:numPr>
          <w:ilvl w:val="1"/>
          <w:numId w:val="1"/>
        </w:numPr>
      </w:pPr>
      <w:bookmarkStart w:id="45" w:name="_Toc500317984"/>
      <w:r>
        <w:lastRenderedPageBreak/>
        <w:t>Organizational and Managerial dimensions</w:t>
      </w:r>
      <w:bookmarkEnd w:id="45"/>
    </w:p>
    <w:p w14:paraId="7E4B9F85" w14:textId="766D2F57" w:rsidR="005E57F3" w:rsidRDefault="005E57F3" w:rsidP="00D41457">
      <w:pPr>
        <w:spacing w:before="120" w:after="120"/>
        <w:jc w:val="both"/>
        <w:rPr>
          <w:rFonts w:cs="Arial"/>
        </w:rPr>
      </w:pPr>
      <w:r>
        <w:rPr>
          <w:rFonts w:cs="Arial"/>
        </w:rPr>
        <w:t>The core team of the PEU was to include a Program Coordinator, a Deputy Program</w:t>
      </w:r>
      <w:r w:rsidRPr="009744FD">
        <w:rPr>
          <w:rFonts w:cs="Arial"/>
        </w:rPr>
        <w:t xml:space="preserve"> Coordinator, a Senior Accountant, and a Clerk/Typist</w:t>
      </w:r>
      <w:r>
        <w:rPr>
          <w:rFonts w:cs="Arial"/>
        </w:rPr>
        <w:t xml:space="preserve">. Those four </w:t>
      </w:r>
      <w:r w:rsidRPr="00A756BC">
        <w:rPr>
          <w:rFonts w:cs="Arial"/>
        </w:rPr>
        <w:t xml:space="preserve">posts </w:t>
      </w:r>
      <w:r>
        <w:rPr>
          <w:rFonts w:cs="Arial"/>
        </w:rPr>
        <w:t>were to</w:t>
      </w:r>
      <w:r w:rsidRPr="00A756BC">
        <w:rPr>
          <w:rFonts w:cs="Arial"/>
        </w:rPr>
        <w:t xml:space="preserve"> be civil service positions financed by the </w:t>
      </w:r>
      <w:r>
        <w:rPr>
          <w:rFonts w:cs="Arial"/>
        </w:rPr>
        <w:t xml:space="preserve">GoB with the </w:t>
      </w:r>
      <w:r w:rsidRPr="00A756BC">
        <w:rPr>
          <w:rFonts w:cs="Arial"/>
        </w:rPr>
        <w:t xml:space="preserve">agreed structure for carrying out the </w:t>
      </w:r>
      <w:r>
        <w:rPr>
          <w:rFonts w:cs="Arial"/>
        </w:rPr>
        <w:t>BCP</w:t>
      </w:r>
      <w:r w:rsidRPr="00A756BC">
        <w:rPr>
          <w:rFonts w:cs="Arial"/>
        </w:rPr>
        <w:t xml:space="preserve"> </w:t>
      </w:r>
      <w:r>
        <w:rPr>
          <w:rFonts w:cs="Arial"/>
        </w:rPr>
        <w:t>being</w:t>
      </w:r>
      <w:r w:rsidRPr="00A756BC">
        <w:rPr>
          <w:rFonts w:cs="Arial"/>
        </w:rPr>
        <w:t xml:space="preserve"> based on the existing decision-making model applied to project implementation by the </w:t>
      </w:r>
      <w:r>
        <w:rPr>
          <w:rFonts w:cs="Arial"/>
        </w:rPr>
        <w:t>government</w:t>
      </w:r>
      <w:r w:rsidRPr="00A756BC">
        <w:rPr>
          <w:rFonts w:cs="Arial"/>
        </w:rPr>
        <w:t xml:space="preserve">. </w:t>
      </w:r>
      <w:r>
        <w:rPr>
          <w:rFonts w:cs="Arial"/>
        </w:rPr>
        <w:t>In addition to the PEU there was to be established a Program</w:t>
      </w:r>
      <w:r w:rsidRPr="00A756BC">
        <w:rPr>
          <w:rFonts w:cs="Arial"/>
        </w:rPr>
        <w:t xml:space="preserve"> Steering Committee (PSC) comprising members at the level of </w:t>
      </w:r>
      <w:r>
        <w:rPr>
          <w:rFonts w:cs="Arial"/>
        </w:rPr>
        <w:t>the PS and a Program</w:t>
      </w:r>
      <w:r w:rsidRPr="00A756BC">
        <w:rPr>
          <w:rFonts w:cs="Arial"/>
        </w:rPr>
        <w:t xml:space="preserve"> Technical Committee (PTC) comprising participating agencies at the technical level. The PS </w:t>
      </w:r>
      <w:r>
        <w:rPr>
          <w:rFonts w:cs="Arial"/>
        </w:rPr>
        <w:t>would</w:t>
      </w:r>
      <w:r w:rsidRPr="00A756BC">
        <w:rPr>
          <w:rFonts w:cs="Arial"/>
        </w:rPr>
        <w:t xml:space="preserve"> continue to be the focal point for the </w:t>
      </w:r>
      <w:r>
        <w:rPr>
          <w:rFonts w:cs="Arial"/>
        </w:rPr>
        <w:t>Bank</w:t>
      </w:r>
      <w:r w:rsidRPr="00A756BC">
        <w:rPr>
          <w:rFonts w:cs="Arial"/>
        </w:rPr>
        <w:t xml:space="preserve"> </w:t>
      </w:r>
      <w:r>
        <w:rPr>
          <w:rFonts w:cs="Arial"/>
        </w:rPr>
        <w:t>and the</w:t>
      </w:r>
      <w:r w:rsidRPr="00A756BC">
        <w:rPr>
          <w:rFonts w:cs="Arial"/>
        </w:rPr>
        <w:t xml:space="preserve"> Cabinet </w:t>
      </w:r>
      <w:r>
        <w:rPr>
          <w:rFonts w:cs="Arial"/>
        </w:rPr>
        <w:t>would</w:t>
      </w:r>
      <w:r w:rsidRPr="00A756BC">
        <w:rPr>
          <w:rFonts w:cs="Arial"/>
        </w:rPr>
        <w:t xml:space="preserve"> be the ultimate authority regarding the direction of the </w:t>
      </w:r>
      <w:r>
        <w:rPr>
          <w:rFonts w:cs="Arial"/>
        </w:rPr>
        <w:t>BCP</w:t>
      </w:r>
      <w:r w:rsidRPr="00A756BC">
        <w:rPr>
          <w:rFonts w:cs="Arial"/>
        </w:rPr>
        <w:t>.</w:t>
      </w:r>
      <w:r>
        <w:rPr>
          <w:rFonts w:cs="Arial"/>
        </w:rPr>
        <w:t xml:space="preserve"> In addition to the PEU core team, there were </w:t>
      </w:r>
      <w:r w:rsidR="00FE485F">
        <w:rPr>
          <w:rFonts w:cs="Arial"/>
        </w:rPr>
        <w:t>a few more</w:t>
      </w:r>
      <w:r>
        <w:rPr>
          <w:rFonts w:cs="Arial"/>
        </w:rPr>
        <w:t xml:space="preserve"> positions to be contracted by the end of the first year of implementation of the program: a Procurement Specialist, a </w:t>
      </w:r>
      <w:r w:rsidRPr="00A756BC">
        <w:rPr>
          <w:rFonts w:cs="Arial"/>
        </w:rPr>
        <w:t>Monitoring and Evaluation Specialist</w:t>
      </w:r>
      <w:r>
        <w:rPr>
          <w:rFonts w:cs="Arial"/>
        </w:rPr>
        <w:t xml:space="preserve">, a </w:t>
      </w:r>
      <w:r w:rsidRPr="00A756BC">
        <w:rPr>
          <w:rFonts w:cs="Arial"/>
        </w:rPr>
        <w:t>Trade Facilitation Coordinator</w:t>
      </w:r>
      <w:r w:rsidR="00135036">
        <w:rPr>
          <w:rFonts w:cs="Arial"/>
        </w:rPr>
        <w:t xml:space="preserve">, and external auditors. </w:t>
      </w:r>
    </w:p>
    <w:p w14:paraId="5E615C49" w14:textId="75FFEA00" w:rsidR="005E57F3" w:rsidRDefault="005E57F3" w:rsidP="00FA30C8">
      <w:pPr>
        <w:spacing w:before="120" w:after="120"/>
        <w:jc w:val="both"/>
        <w:rPr>
          <w:rFonts w:cs="Arial"/>
        </w:rPr>
      </w:pPr>
      <w:r>
        <w:rPr>
          <w:rFonts w:cs="Arial"/>
        </w:rPr>
        <w:t xml:space="preserve">The core staff of the PEU was not hired until June 2010, which led to important delays of project implementation since the establishment and staffing of the PEU was stipulated as a special condition precedent to first disbursement in the loan contract and other clauses were dependent on the employment of its staff members. Compliance with the conditions prior to first disbursement was ultimately confirmed by the Bank in September 2010 and the first disbursement request </w:t>
      </w:r>
      <w:r w:rsidR="00135036">
        <w:rPr>
          <w:rFonts w:cs="Arial"/>
        </w:rPr>
        <w:t>was submitted in November 2010.</w:t>
      </w:r>
    </w:p>
    <w:p w14:paraId="142DB90F" w14:textId="1D376E23" w:rsidR="005E57F3" w:rsidRDefault="005E57F3" w:rsidP="00FA30C8">
      <w:pPr>
        <w:spacing w:before="120" w:after="120"/>
        <w:jc w:val="both"/>
        <w:rPr>
          <w:rFonts w:cs="Arial"/>
        </w:rPr>
      </w:pPr>
      <w:r>
        <w:rPr>
          <w:rFonts w:cs="Arial"/>
        </w:rPr>
        <w:t>However, while the PEU had most of the relevant technical capacities, with prior experience in issues such as public policy design and domestic commerce, it soon became evident that the team lacked the much-needed skills to coordinate a project as complex as the BCP. The team also had no prior experience in executing or dealing with Bank projects, which meant that the PEU had to familiarize itself with general project management and Bank requirements while activities needed to be implemented quickly t</w:t>
      </w:r>
      <w:r w:rsidR="00135036">
        <w:rPr>
          <w:rFonts w:cs="Arial"/>
        </w:rPr>
        <w:t>o not cause additional delays.</w:t>
      </w:r>
    </w:p>
    <w:p w14:paraId="638B616B" w14:textId="0DCF7CF8" w:rsidR="006A7234" w:rsidRDefault="005E57F3" w:rsidP="00FA30C8">
      <w:pPr>
        <w:spacing w:before="120" w:after="120"/>
        <w:jc w:val="both"/>
        <w:rPr>
          <w:rFonts w:cs="Arial"/>
        </w:rPr>
      </w:pPr>
      <w:r>
        <w:rPr>
          <w:rFonts w:cs="Arial"/>
        </w:rPr>
        <w:t xml:space="preserve">Adding to this, while these positions were agreed in the Program Operations Manual prepared in July 2010, the procurement and M&amp;E specialists were never hired and the Trade Facilitation Adviser joined the team with major delay. These issues were repeatedly raised by the Bank team during missions and in formal communications, but despite the assurance from GoB </w:t>
      </w:r>
      <w:r w:rsidRPr="00A95B0F">
        <w:rPr>
          <w:rFonts w:cs="Arial"/>
        </w:rPr>
        <w:t xml:space="preserve">that hiring additional personnel for the program </w:t>
      </w:r>
      <w:r>
        <w:rPr>
          <w:rFonts w:cs="Arial"/>
        </w:rPr>
        <w:t>was</w:t>
      </w:r>
      <w:r w:rsidRPr="00A95B0F">
        <w:rPr>
          <w:rFonts w:cs="Arial"/>
        </w:rPr>
        <w:t xml:space="preserve"> a priority</w:t>
      </w:r>
      <w:r>
        <w:rPr>
          <w:rFonts w:cs="Arial"/>
        </w:rPr>
        <w:t>, necessary steps wer</w:t>
      </w:r>
      <w:r w:rsidR="00135036">
        <w:rPr>
          <w:rFonts w:cs="Arial"/>
        </w:rPr>
        <w:t>e not taken in a timely manner.</w:t>
      </w:r>
    </w:p>
    <w:p w14:paraId="6AD0CBB8" w14:textId="6FAA3EE1" w:rsidR="0000324D" w:rsidRDefault="0000324D" w:rsidP="00FA30C8">
      <w:pPr>
        <w:spacing w:before="120" w:after="120"/>
        <w:jc w:val="both"/>
        <w:rPr>
          <w:rFonts w:cs="Arial"/>
        </w:rPr>
      </w:pPr>
      <w:r w:rsidRPr="0000324D">
        <w:rPr>
          <w:rFonts w:cs="Arial"/>
        </w:rPr>
        <w:t>Given the several delays the projects suffered, the PMR rating was changed from satisfactory to problem in December 2013. The specific reasons where that (i) the accumulated disbursements to country's historic disbursements indicator changed to alert after returning the revolving fund advance granted in 2013, and that the (ii) Executing Agency (EA) had yet to complete any of the outputs since the approval of the loan in 2009. These issues kept affecting the project and its PMR rating which was only changed to satisfactory in the last report, once major ESW</w:t>
      </w:r>
      <w:r w:rsidR="00135036">
        <w:rPr>
          <w:rFonts w:cs="Arial"/>
        </w:rPr>
        <w:t xml:space="preserve"> activities had been completed.</w:t>
      </w:r>
    </w:p>
    <w:p w14:paraId="32298F61" w14:textId="0520C234" w:rsidR="0000324D" w:rsidRDefault="0000324D" w:rsidP="00FA30C8">
      <w:pPr>
        <w:spacing w:before="120" w:after="120"/>
        <w:jc w:val="both"/>
        <w:rPr>
          <w:rFonts w:cs="Arial"/>
        </w:rPr>
      </w:pPr>
      <w:r w:rsidRPr="0000324D">
        <w:rPr>
          <w:rFonts w:cs="Arial"/>
        </w:rPr>
        <w:t xml:space="preserve">The Bank's project team tried to counterbalance some of these issues by requesting additional resources for supervision in 2014, providing technical assistance to complete terms of reference (TOR) for key consultancies and studies, and completing the situation assessment and reformulation of activities by the end of 2014. Project management did improve in 2015 as a result to these measures and the ESW component benefitted heavily from the support of the trade facilitation adviser, a full-time </w:t>
      </w:r>
      <w:r w:rsidR="00FE485F">
        <w:rPr>
          <w:rFonts w:cs="Arial"/>
        </w:rPr>
        <w:t xml:space="preserve">international </w:t>
      </w:r>
      <w:r w:rsidRPr="0000324D">
        <w:rPr>
          <w:rFonts w:cs="Arial"/>
        </w:rPr>
        <w:t>consult</w:t>
      </w:r>
      <w:r w:rsidR="00135036">
        <w:rPr>
          <w:rFonts w:cs="Arial"/>
        </w:rPr>
        <w:t>ant based in Barbados.</w:t>
      </w:r>
    </w:p>
    <w:p w14:paraId="287120EB" w14:textId="55387AD8" w:rsidR="00387E23" w:rsidRDefault="0000324D" w:rsidP="00FA30C8">
      <w:pPr>
        <w:spacing w:before="120" w:after="120"/>
        <w:jc w:val="both"/>
      </w:pPr>
      <w:r w:rsidRPr="0000324D">
        <w:rPr>
          <w:rFonts w:cs="Arial"/>
        </w:rPr>
        <w:t xml:space="preserve">Nevertheless, as the project was entering into its last phase of implementation and the team was growing increasingly concerned about the completion of activities and their sustainability, a number of </w:t>
      </w:r>
      <w:r w:rsidR="00FE485F">
        <w:rPr>
          <w:rFonts w:cs="Arial"/>
        </w:rPr>
        <w:t xml:space="preserve">official communications were sent to the PS in 2016 voicing the Bank’s concern about </w:t>
      </w:r>
      <w:r w:rsidR="00FE485F">
        <w:rPr>
          <w:rFonts w:cs="Arial"/>
        </w:rPr>
        <w:lastRenderedPageBreak/>
        <w:t>the l</w:t>
      </w:r>
      <w:r w:rsidRPr="0000324D">
        <w:rPr>
          <w:rFonts w:cs="Arial"/>
        </w:rPr>
        <w:t>ack of PEU responsiveness and timely submission of contractual obligations such as the AOP and the Semi-Annual Progress Reports.</w:t>
      </w:r>
    </w:p>
    <w:p w14:paraId="3AB2F86B" w14:textId="64C13D00" w:rsidR="00387E23" w:rsidRPr="003853DD" w:rsidRDefault="00387E23" w:rsidP="00613DB9">
      <w:pPr>
        <w:pStyle w:val="Heading2"/>
        <w:numPr>
          <w:ilvl w:val="1"/>
          <w:numId w:val="1"/>
        </w:numPr>
      </w:pPr>
      <w:bookmarkStart w:id="46" w:name="_Toc500317985"/>
      <w:r w:rsidRPr="00387E23">
        <w:t>Dimensions related to</w:t>
      </w:r>
      <w:r>
        <w:t xml:space="preserve"> </w:t>
      </w:r>
      <w:r w:rsidRPr="00387E23">
        <w:t>Public Processes/Actors</w:t>
      </w:r>
      <w:bookmarkEnd w:id="46"/>
    </w:p>
    <w:p w14:paraId="3AFE48A0" w14:textId="7010815F" w:rsidR="006A7234" w:rsidRDefault="0000324D" w:rsidP="00FA30C8">
      <w:pPr>
        <w:spacing w:before="120" w:after="120"/>
        <w:jc w:val="both"/>
        <w:rPr>
          <w:rFonts w:cs="Arial"/>
        </w:rPr>
      </w:pPr>
      <w:r w:rsidRPr="0000324D">
        <w:rPr>
          <w:rFonts w:cs="Arial"/>
        </w:rPr>
        <w:t xml:space="preserve">During project preparation and up to the time of eligibility for first disbursement, cooperation of counterpart agencies was mixed in that some were very </w:t>
      </w:r>
      <w:r w:rsidR="00FE485F">
        <w:rPr>
          <w:rFonts w:cs="Arial"/>
        </w:rPr>
        <w:t>collaborative</w:t>
      </w:r>
      <w:r w:rsidRPr="0000324D">
        <w:rPr>
          <w:rFonts w:cs="Arial"/>
        </w:rPr>
        <w:t xml:space="preserve"> and provided needed information and took the necessary steps in a timely manner, while others were less </w:t>
      </w:r>
      <w:r w:rsidR="00FE485F">
        <w:rPr>
          <w:rFonts w:cs="Arial"/>
        </w:rPr>
        <w:t>amenable</w:t>
      </w:r>
      <w:r w:rsidRPr="0000324D">
        <w:rPr>
          <w:rFonts w:cs="Arial"/>
        </w:rPr>
        <w:t>. From the Bank side, it was assumed that there would be a general consensus on the objectives of the program and that the corresponding agencies and private sector groups would actively assist in providing material needed to prepare the program but evidence seemed to suggest otherwise. This had negative impacts on the overall project preparation and disbursement eligibility timeline increased the need for continuous follow-up from the Bank.</w:t>
      </w:r>
    </w:p>
    <w:p w14:paraId="5B818A10" w14:textId="65FFC313" w:rsidR="0000324D" w:rsidRDefault="006A7234" w:rsidP="00FA30C8">
      <w:pPr>
        <w:spacing w:before="120" w:after="120"/>
        <w:jc w:val="both"/>
        <w:rPr>
          <w:rFonts w:cs="Arial"/>
        </w:rPr>
      </w:pPr>
      <w:r>
        <w:rPr>
          <w:rFonts w:cs="Arial"/>
        </w:rPr>
        <w:t xml:space="preserve">The project suffered from lengthy discussions and lack of clear counterpart and leadership, mostly because of internal discussions in GoB </w:t>
      </w:r>
      <w:r w:rsidRPr="00AE304D">
        <w:rPr>
          <w:rFonts w:cs="Arial"/>
        </w:rPr>
        <w:t>as to</w:t>
      </w:r>
      <w:r>
        <w:rPr>
          <w:rFonts w:cs="Arial"/>
        </w:rPr>
        <w:t xml:space="preserve"> </w:t>
      </w:r>
      <w:r w:rsidRPr="00AE304D">
        <w:rPr>
          <w:rFonts w:cs="Arial"/>
        </w:rPr>
        <w:t>which ministry would be the lead agency for this operation.</w:t>
      </w:r>
      <w:r>
        <w:rPr>
          <w:rFonts w:cs="Arial"/>
        </w:rPr>
        <w:t xml:space="preserve"> Finally, it was agreed to be the METIC, later restructured as the MFEA and in particular its Investment Division. Once this was confirmed, an initial assessment of existing human resources and capabilities was conducted and it was decided to establish a PEU </w:t>
      </w:r>
      <w:r w:rsidRPr="00A756BC">
        <w:rPr>
          <w:rFonts w:cs="Arial"/>
        </w:rPr>
        <w:t xml:space="preserve">responsible for coordinating the day-to-day implementation of the </w:t>
      </w:r>
      <w:r>
        <w:rPr>
          <w:rFonts w:cs="Arial"/>
        </w:rPr>
        <w:t>BCP</w:t>
      </w:r>
      <w:r w:rsidRPr="00A756BC">
        <w:rPr>
          <w:rFonts w:cs="Arial"/>
        </w:rPr>
        <w:t xml:space="preserve"> activities and </w:t>
      </w:r>
      <w:r>
        <w:rPr>
          <w:rFonts w:cs="Arial"/>
        </w:rPr>
        <w:t>reporting</w:t>
      </w:r>
      <w:r w:rsidRPr="00A756BC">
        <w:rPr>
          <w:rFonts w:cs="Arial"/>
        </w:rPr>
        <w:t xml:space="preserve"> directly to the Permanent Secretary (PS)</w:t>
      </w:r>
      <w:r>
        <w:rPr>
          <w:rFonts w:cs="Arial"/>
        </w:rPr>
        <w:t xml:space="preserve"> </w:t>
      </w:r>
      <w:r w:rsidRPr="00A756BC">
        <w:rPr>
          <w:rFonts w:cs="Arial"/>
        </w:rPr>
        <w:t>of Economic Affairs</w:t>
      </w:r>
      <w:r>
        <w:rPr>
          <w:rFonts w:cs="Arial"/>
        </w:rPr>
        <w:t>.</w:t>
      </w:r>
      <w:r w:rsidRPr="00A756BC">
        <w:rPr>
          <w:rFonts w:cs="Arial"/>
        </w:rPr>
        <w:t xml:space="preserve"> </w:t>
      </w:r>
      <w:r>
        <w:rPr>
          <w:rFonts w:cs="Arial"/>
        </w:rPr>
        <w:t xml:space="preserve">Specifically, the objective was to have this entity </w:t>
      </w:r>
      <w:r w:rsidRPr="00F25D78">
        <w:rPr>
          <w:rFonts w:cs="Arial"/>
        </w:rPr>
        <w:t xml:space="preserve">handle calls, terms of reference, contracts, tenders, acquisitions, and periodic reports. </w:t>
      </w:r>
    </w:p>
    <w:p w14:paraId="79EAE509" w14:textId="2F54330B" w:rsidR="005E57F3" w:rsidRDefault="0000324D" w:rsidP="00FA30C8">
      <w:pPr>
        <w:spacing w:before="120" w:after="120"/>
        <w:jc w:val="both"/>
        <w:rPr>
          <w:rFonts w:cs="Arial"/>
        </w:rPr>
      </w:pPr>
      <w:r w:rsidRPr="0000324D">
        <w:rPr>
          <w:rFonts w:cs="Arial"/>
        </w:rPr>
        <w:t>Once project execution started, the complexity of the project and the limited engagement of some of the counterparts caused additional challenges. In order to spur project implementation, Bank missions were used to organize several activities with the participation of all the stakeholders of the project to review the pertinence of the activities and the execution mechanisms.</w:t>
      </w:r>
    </w:p>
    <w:p w14:paraId="0B771993" w14:textId="73CC4B68" w:rsidR="00387E23" w:rsidRDefault="005E57F3" w:rsidP="00FA30C8">
      <w:pPr>
        <w:spacing w:before="120" w:after="120"/>
        <w:jc w:val="both"/>
        <w:rPr>
          <w:rFonts w:cs="Arial"/>
        </w:rPr>
      </w:pPr>
      <w:r>
        <w:rPr>
          <w:rFonts w:cs="Arial"/>
        </w:rPr>
        <w:t>Adding to this, t</w:t>
      </w:r>
      <w:r w:rsidRPr="00CF3881">
        <w:rPr>
          <w:rFonts w:cs="Arial"/>
        </w:rPr>
        <w:t xml:space="preserve">he </w:t>
      </w:r>
      <w:r>
        <w:rPr>
          <w:rFonts w:cs="Arial"/>
        </w:rPr>
        <w:t xml:space="preserve">conditions of institutional and political </w:t>
      </w:r>
      <w:r w:rsidRPr="00CF3881">
        <w:rPr>
          <w:rFonts w:cs="Arial"/>
        </w:rPr>
        <w:t xml:space="preserve">environmental of the project - described in the previous section </w:t>
      </w:r>
      <w:r>
        <w:rPr>
          <w:rFonts w:cs="Arial"/>
        </w:rPr>
        <w:t xml:space="preserve">II.2.1.c </w:t>
      </w:r>
      <w:r w:rsidRPr="00CF3881">
        <w:rPr>
          <w:rFonts w:cs="Arial"/>
        </w:rPr>
        <w:t>on attribution of results - also contributed</w:t>
      </w:r>
      <w:r>
        <w:rPr>
          <w:rFonts w:cs="Arial"/>
        </w:rPr>
        <w:t xml:space="preserve"> to a large extent to the delays and could not be resolved since they were outside of the control of the executing agency. In particular, this applies to the protracted and partially conflictual transition from Customs to BRA which had severe direct impact on finalizing activities related to the ESW an</w:t>
      </w:r>
      <w:r w:rsidR="00135036">
        <w:rPr>
          <w:rFonts w:cs="Arial"/>
        </w:rPr>
        <w:t>d the respective disbursements.</w:t>
      </w:r>
    </w:p>
    <w:p w14:paraId="40631041" w14:textId="20B798C1" w:rsidR="00387E23" w:rsidRPr="003853DD" w:rsidRDefault="00387E23" w:rsidP="00387E23">
      <w:pPr>
        <w:pStyle w:val="Heading2"/>
        <w:numPr>
          <w:ilvl w:val="1"/>
          <w:numId w:val="1"/>
        </w:numPr>
      </w:pPr>
      <w:bookmarkStart w:id="47" w:name="_Toc500317986"/>
      <w:r>
        <w:t>Fiduciary dimensions</w:t>
      </w:r>
      <w:bookmarkEnd w:id="47"/>
    </w:p>
    <w:p w14:paraId="46067F07" w14:textId="640E9506" w:rsidR="005E57F3" w:rsidRDefault="005E57F3" w:rsidP="00FA30C8">
      <w:pPr>
        <w:spacing w:before="120" w:after="120"/>
        <w:jc w:val="both"/>
        <w:rPr>
          <w:rFonts w:cs="Arial"/>
        </w:rPr>
      </w:pPr>
      <w:r>
        <w:rPr>
          <w:rFonts w:cs="Arial"/>
        </w:rPr>
        <w:t xml:space="preserve">The work of the </w:t>
      </w:r>
      <w:r w:rsidRPr="00702CF8">
        <w:rPr>
          <w:rFonts w:cs="Arial"/>
        </w:rPr>
        <w:t>procurement specialist,</w:t>
      </w:r>
      <w:r>
        <w:rPr>
          <w:rFonts w:cs="Arial"/>
        </w:rPr>
        <w:t xml:space="preserve"> which would have been key at the beginning of the project in terms of coordinating the acquisition of goods and services, was taken over by the PEU who sought advice from the Bank's in-house p</w:t>
      </w:r>
      <w:r w:rsidRPr="00702CF8">
        <w:rPr>
          <w:rFonts w:cs="Arial"/>
        </w:rPr>
        <w:t xml:space="preserve">rocurement </w:t>
      </w:r>
      <w:r>
        <w:rPr>
          <w:rFonts w:cs="Arial"/>
        </w:rPr>
        <w:t>specialist</w:t>
      </w:r>
      <w:r w:rsidRPr="00702CF8">
        <w:rPr>
          <w:rFonts w:cs="Arial"/>
        </w:rPr>
        <w:t xml:space="preserve"> and that of a procurement</w:t>
      </w:r>
      <w:r>
        <w:rPr>
          <w:rFonts w:cs="Arial"/>
        </w:rPr>
        <w:t xml:space="preserve"> officer of another GoB </w:t>
      </w:r>
      <w:r w:rsidRPr="00702CF8">
        <w:rPr>
          <w:rFonts w:cs="Arial"/>
        </w:rPr>
        <w:t xml:space="preserve">project. </w:t>
      </w:r>
      <w:r>
        <w:rPr>
          <w:rFonts w:cs="Arial"/>
        </w:rPr>
        <w:t>The major justification was that, as the continuation of certain project activities was still under discussion, it was difficult to define</w:t>
      </w:r>
      <w:r w:rsidRPr="00702CF8">
        <w:rPr>
          <w:rFonts w:cs="Arial"/>
        </w:rPr>
        <w:t xml:space="preserve"> the full scope of </w:t>
      </w:r>
      <w:r>
        <w:rPr>
          <w:rFonts w:cs="Arial"/>
        </w:rPr>
        <w:t xml:space="preserve">the consultant’s </w:t>
      </w:r>
      <w:r w:rsidRPr="00702CF8">
        <w:rPr>
          <w:rFonts w:cs="Arial"/>
        </w:rPr>
        <w:t>work</w:t>
      </w:r>
      <w:r>
        <w:rPr>
          <w:rFonts w:cs="Arial"/>
        </w:rPr>
        <w:t xml:space="preserve"> which was a condition for drafting the contract. A similar rationale was presented as for not hiring the M&amp;E specialist against this background of uncertainty. However, as discussed in section III.3.3, once activities were cancelled and funds reallocated, some of the other activities were already rather advanced so hiring an M&amp;E specialist to develop a monitoring system and plan when only 18 months were left under project implementation would, in all likelihood, hav</w:t>
      </w:r>
      <w:r w:rsidR="00135036">
        <w:rPr>
          <w:rFonts w:cs="Arial"/>
        </w:rPr>
        <w:t xml:space="preserve">e added very limited value.    </w:t>
      </w:r>
    </w:p>
    <w:p w14:paraId="49614042" w14:textId="787EC8CB" w:rsidR="005E57F3" w:rsidRDefault="005E57F3" w:rsidP="00FA30C8">
      <w:pPr>
        <w:spacing w:before="120" w:after="120"/>
        <w:jc w:val="both"/>
        <w:rPr>
          <w:rFonts w:cs="Arial"/>
        </w:rPr>
      </w:pPr>
      <w:r>
        <w:rPr>
          <w:rFonts w:cs="Arial"/>
        </w:rPr>
        <w:t xml:space="preserve">And while the TORs for the Trade Facilitation Advisor had already been drafted in early 2012, the </w:t>
      </w:r>
      <w:r w:rsidRPr="00123E1F">
        <w:rPr>
          <w:rFonts w:cs="Arial"/>
        </w:rPr>
        <w:t xml:space="preserve">contract </w:t>
      </w:r>
      <w:r>
        <w:rPr>
          <w:rFonts w:cs="Arial"/>
        </w:rPr>
        <w:t>did not commence until late 2014</w:t>
      </w:r>
      <w:r w:rsidRPr="00123E1F">
        <w:rPr>
          <w:rFonts w:cs="Arial"/>
        </w:rPr>
        <w:t xml:space="preserve"> for a</w:t>
      </w:r>
      <w:r>
        <w:rPr>
          <w:rFonts w:cs="Arial"/>
        </w:rPr>
        <w:t>n initial</w:t>
      </w:r>
      <w:r w:rsidRPr="00123E1F">
        <w:rPr>
          <w:rFonts w:cs="Arial"/>
        </w:rPr>
        <w:t xml:space="preserve"> duration of 12 months. </w:t>
      </w:r>
      <w:r>
        <w:rPr>
          <w:rFonts w:cs="Arial"/>
        </w:rPr>
        <w:t>However, g</w:t>
      </w:r>
      <w:r w:rsidRPr="00123E1F">
        <w:rPr>
          <w:rFonts w:cs="Arial"/>
        </w:rPr>
        <w:t xml:space="preserve">iven the </w:t>
      </w:r>
      <w:r>
        <w:rPr>
          <w:rFonts w:cs="Arial"/>
        </w:rPr>
        <w:t>repeated delays of the hiring of consultants and respective deliverables of the</w:t>
      </w:r>
      <w:r w:rsidRPr="00123E1F">
        <w:rPr>
          <w:rFonts w:cs="Arial"/>
        </w:rPr>
        <w:t xml:space="preserve"> TDMS and ESW, </w:t>
      </w:r>
      <w:r>
        <w:rPr>
          <w:rFonts w:cs="Arial"/>
        </w:rPr>
        <w:t>the</w:t>
      </w:r>
      <w:r w:rsidRPr="00123E1F">
        <w:rPr>
          <w:rFonts w:cs="Arial"/>
        </w:rPr>
        <w:t xml:space="preserve"> contract </w:t>
      </w:r>
      <w:r>
        <w:rPr>
          <w:rFonts w:cs="Arial"/>
        </w:rPr>
        <w:t>had</w:t>
      </w:r>
      <w:r w:rsidRPr="00123E1F">
        <w:rPr>
          <w:rFonts w:cs="Arial"/>
        </w:rPr>
        <w:t xml:space="preserve"> to be extended until </w:t>
      </w:r>
      <w:r>
        <w:rPr>
          <w:rFonts w:cs="Arial"/>
        </w:rPr>
        <w:t>project closure in December 2016 which significantly rai</w:t>
      </w:r>
      <w:r w:rsidR="00135036">
        <w:rPr>
          <w:rFonts w:cs="Arial"/>
        </w:rPr>
        <w:t>sed the cost of that component.</w:t>
      </w:r>
    </w:p>
    <w:p w14:paraId="3170F4B2" w14:textId="4528CD85" w:rsidR="005E57F3" w:rsidRDefault="005E57F3" w:rsidP="00FA30C8">
      <w:pPr>
        <w:spacing w:before="120" w:after="120"/>
        <w:jc w:val="both"/>
        <w:rPr>
          <w:rFonts w:cs="Arial"/>
        </w:rPr>
      </w:pPr>
      <w:r>
        <w:rPr>
          <w:rFonts w:cs="Arial"/>
        </w:rPr>
        <w:lastRenderedPageBreak/>
        <w:t>While all issues discussed thus far in this section relate to project execution in general, it has to be said that the f</w:t>
      </w:r>
      <w:r w:rsidRPr="00A95B0F">
        <w:rPr>
          <w:rFonts w:cs="Arial"/>
        </w:rPr>
        <w:t>i</w:t>
      </w:r>
      <w:r>
        <w:rPr>
          <w:rFonts w:cs="Arial"/>
        </w:rPr>
        <w:t>nancial m</w:t>
      </w:r>
      <w:r w:rsidRPr="00A95B0F">
        <w:rPr>
          <w:rFonts w:cs="Arial"/>
        </w:rPr>
        <w:t xml:space="preserve">anagement </w:t>
      </w:r>
      <w:r>
        <w:rPr>
          <w:rFonts w:cs="Arial"/>
        </w:rPr>
        <w:t xml:space="preserve">and budget execution </w:t>
      </w:r>
      <w:r w:rsidRPr="00A95B0F">
        <w:rPr>
          <w:rFonts w:cs="Arial"/>
        </w:rPr>
        <w:t xml:space="preserve">of the project </w:t>
      </w:r>
      <w:r>
        <w:rPr>
          <w:rFonts w:cs="Arial"/>
        </w:rPr>
        <w:t>were also</w:t>
      </w:r>
      <w:r w:rsidRPr="00A95B0F">
        <w:rPr>
          <w:rFonts w:cs="Arial"/>
        </w:rPr>
        <w:t xml:space="preserve"> </w:t>
      </w:r>
      <w:r>
        <w:rPr>
          <w:rFonts w:cs="Arial"/>
        </w:rPr>
        <w:t>a major bottleneck for the timely completion of activities. In part, this was due</w:t>
      </w:r>
      <w:r w:rsidRPr="00A95B0F">
        <w:rPr>
          <w:rFonts w:cs="Arial"/>
        </w:rPr>
        <w:t xml:space="preserve"> to the </w:t>
      </w:r>
      <w:r>
        <w:rPr>
          <w:rFonts w:cs="Arial"/>
        </w:rPr>
        <w:t xml:space="preserve">insufficient </w:t>
      </w:r>
      <w:r w:rsidRPr="00A95B0F">
        <w:rPr>
          <w:rFonts w:cs="Arial"/>
        </w:rPr>
        <w:t>capacity of the accounting support and systems</w:t>
      </w:r>
      <w:r>
        <w:rPr>
          <w:rFonts w:cs="Arial"/>
        </w:rPr>
        <w:t>. But most importantly, this was linked to the</w:t>
      </w:r>
      <w:r w:rsidRPr="00C47907">
        <w:rPr>
          <w:rFonts w:cs="Arial"/>
        </w:rPr>
        <w:t xml:space="preserve"> financial rules of Barbados. </w:t>
      </w:r>
      <w:r>
        <w:rPr>
          <w:rFonts w:cs="Arial"/>
        </w:rPr>
        <w:t>The latter foresee that t</w:t>
      </w:r>
      <w:r w:rsidRPr="00C47907">
        <w:rPr>
          <w:rFonts w:cs="Arial"/>
        </w:rPr>
        <w:t>he p</w:t>
      </w:r>
      <w:r>
        <w:rPr>
          <w:rFonts w:cs="Arial"/>
        </w:rPr>
        <w:t>rocurement of services over the equivalent of US$1</w:t>
      </w:r>
      <w:r w:rsidRPr="00C47907">
        <w:rPr>
          <w:rFonts w:cs="Arial"/>
        </w:rPr>
        <w:t>00.000 ha</w:t>
      </w:r>
      <w:r>
        <w:rPr>
          <w:rFonts w:cs="Arial"/>
        </w:rPr>
        <w:t>ve</w:t>
      </w:r>
      <w:r w:rsidRPr="00C47907">
        <w:rPr>
          <w:rFonts w:cs="Arial"/>
        </w:rPr>
        <w:t xml:space="preserve"> to go to the process of special tenders</w:t>
      </w:r>
      <w:r>
        <w:rPr>
          <w:rFonts w:cs="Arial"/>
        </w:rPr>
        <w:t>, known to take a long time,</w:t>
      </w:r>
      <w:r w:rsidRPr="00C47907">
        <w:rPr>
          <w:rFonts w:cs="Arial"/>
        </w:rPr>
        <w:t xml:space="preserve"> </w:t>
      </w:r>
      <w:r>
        <w:rPr>
          <w:rFonts w:cs="Arial"/>
        </w:rPr>
        <w:t>and t</w:t>
      </w:r>
      <w:r w:rsidRPr="00C47907">
        <w:rPr>
          <w:rFonts w:cs="Arial"/>
        </w:rPr>
        <w:t xml:space="preserve">he hiring of </w:t>
      </w:r>
      <w:r>
        <w:rPr>
          <w:rFonts w:cs="Arial"/>
        </w:rPr>
        <w:t>consultants</w:t>
      </w:r>
      <w:r w:rsidRPr="00C47907">
        <w:rPr>
          <w:rFonts w:cs="Arial"/>
        </w:rPr>
        <w:t xml:space="preserve"> below the threshold </w:t>
      </w:r>
      <w:r>
        <w:rPr>
          <w:rFonts w:cs="Arial"/>
        </w:rPr>
        <w:t xml:space="preserve">requires </w:t>
      </w:r>
      <w:r w:rsidRPr="00C47907">
        <w:rPr>
          <w:rFonts w:cs="Arial"/>
        </w:rPr>
        <w:t>Cabinet approval</w:t>
      </w:r>
      <w:r>
        <w:rPr>
          <w:rFonts w:cs="Arial"/>
        </w:rPr>
        <w:t xml:space="preserve"> which follow its own lengthy procedures</w:t>
      </w:r>
      <w:r w:rsidRPr="00C47907">
        <w:rPr>
          <w:rFonts w:cs="Arial"/>
        </w:rPr>
        <w:t>.</w:t>
      </w:r>
    </w:p>
    <w:p w14:paraId="33736907" w14:textId="6C350D6F" w:rsidR="00387E23" w:rsidRPr="006E6903" w:rsidRDefault="00387E23" w:rsidP="00FA30C8">
      <w:pPr>
        <w:spacing w:before="120" w:after="120"/>
        <w:jc w:val="both"/>
        <w:rPr>
          <w:rFonts w:cs="Arial"/>
        </w:rPr>
      </w:pPr>
    </w:p>
    <w:p w14:paraId="1310DDD5" w14:textId="77777777" w:rsidR="00387E23" w:rsidRPr="006E6903" w:rsidRDefault="00387E23" w:rsidP="00FA30C8">
      <w:pPr>
        <w:spacing w:before="120" w:after="120"/>
        <w:jc w:val="both"/>
        <w:rPr>
          <w:rFonts w:cs="Arial"/>
        </w:rPr>
      </w:pPr>
    </w:p>
    <w:p w14:paraId="118C4FD4" w14:textId="77777777" w:rsidR="00387E23" w:rsidRPr="00387E23" w:rsidRDefault="00387E23" w:rsidP="00FA30C8">
      <w:pPr>
        <w:spacing w:before="120" w:after="120"/>
        <w:jc w:val="both"/>
      </w:pPr>
    </w:p>
    <w:p w14:paraId="4934B03C" w14:textId="77777777" w:rsidR="00387E23" w:rsidRPr="00C94F10" w:rsidRDefault="00387E23" w:rsidP="009B4D7A">
      <w:pPr>
        <w:rPr>
          <w:rFonts w:cs="Arial"/>
          <w:b/>
          <w:color w:val="808080" w:themeColor="background1" w:themeShade="80"/>
        </w:rPr>
        <w:sectPr w:rsidR="00387E23" w:rsidRPr="00C94F10">
          <w:pgSz w:w="12240" w:h="15840"/>
          <w:pgMar w:top="1440" w:right="1440" w:bottom="1440" w:left="1440" w:header="720" w:footer="720" w:gutter="0"/>
          <w:cols w:space="720"/>
        </w:sectPr>
      </w:pPr>
    </w:p>
    <w:p w14:paraId="6389A9C4" w14:textId="77777777" w:rsidR="009B4D7A" w:rsidRPr="00FA30C8" w:rsidRDefault="009B4D7A" w:rsidP="00FA30C8">
      <w:pPr>
        <w:jc w:val="center"/>
        <w:rPr>
          <w:rFonts w:cs="Arial"/>
          <w:b/>
          <w:sz w:val="18"/>
          <w:szCs w:val="18"/>
        </w:rPr>
      </w:pPr>
      <w:r w:rsidRPr="00FA30C8">
        <w:rPr>
          <w:rFonts w:cs="Arial"/>
          <w:b/>
          <w:sz w:val="18"/>
          <w:szCs w:val="18"/>
        </w:rPr>
        <w:lastRenderedPageBreak/>
        <w:t>Table 4</w:t>
      </w:r>
    </w:p>
    <w:p w14:paraId="3342B75E" w14:textId="77777777" w:rsidR="009B4D7A" w:rsidRPr="00FA30C8" w:rsidRDefault="009B4D7A" w:rsidP="00FA30C8">
      <w:pPr>
        <w:jc w:val="center"/>
        <w:rPr>
          <w:rFonts w:cs="Arial"/>
          <w:b/>
          <w:sz w:val="18"/>
          <w:szCs w:val="18"/>
        </w:rPr>
      </w:pPr>
      <w:r w:rsidRPr="00FA30C8">
        <w:rPr>
          <w:rFonts w:cs="Arial"/>
          <w:b/>
          <w:sz w:val="18"/>
          <w:szCs w:val="18"/>
        </w:rPr>
        <w:t>Findings and Recommendations</w:t>
      </w:r>
    </w:p>
    <w:tbl>
      <w:tblPr>
        <w:tblW w:w="12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6930"/>
      </w:tblGrid>
      <w:tr w:rsidR="008E3065" w:rsidRPr="00FA30C8" w14:paraId="03C5CE5B" w14:textId="77777777" w:rsidTr="00AE3731">
        <w:trPr>
          <w:trHeight w:val="422"/>
          <w:jc w:val="center"/>
        </w:trPr>
        <w:tc>
          <w:tcPr>
            <w:tcW w:w="514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218171F5" w14:textId="77777777" w:rsidR="009B4D7A" w:rsidRPr="00FA30C8" w:rsidRDefault="009B4D7A" w:rsidP="00203E96">
            <w:pPr>
              <w:spacing w:line="276" w:lineRule="auto"/>
              <w:jc w:val="center"/>
              <w:rPr>
                <w:rFonts w:eastAsia="Times New Roman" w:cs="Arial"/>
                <w:b/>
                <w:color w:val="000000" w:themeColor="text1"/>
                <w:sz w:val="18"/>
                <w:szCs w:val="18"/>
              </w:rPr>
            </w:pPr>
            <w:r w:rsidRPr="00FA30C8">
              <w:rPr>
                <w:rFonts w:eastAsia="Times New Roman" w:cs="Arial"/>
                <w:b/>
                <w:color w:val="000000" w:themeColor="text1"/>
                <w:sz w:val="18"/>
                <w:szCs w:val="18"/>
              </w:rPr>
              <w:t>Findings</w:t>
            </w:r>
          </w:p>
        </w:tc>
        <w:tc>
          <w:tcPr>
            <w:tcW w:w="693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7DFD918D" w14:textId="77777777" w:rsidR="009B4D7A" w:rsidRPr="00FA30C8" w:rsidRDefault="009B4D7A">
            <w:pPr>
              <w:spacing w:line="276" w:lineRule="auto"/>
              <w:jc w:val="center"/>
              <w:rPr>
                <w:rFonts w:eastAsia="Times New Roman" w:cs="Arial"/>
                <w:b/>
                <w:color w:val="000000" w:themeColor="text1"/>
                <w:sz w:val="18"/>
                <w:szCs w:val="18"/>
              </w:rPr>
            </w:pPr>
            <w:r w:rsidRPr="00FA30C8">
              <w:rPr>
                <w:rFonts w:eastAsia="Times New Roman" w:cs="Arial"/>
                <w:b/>
                <w:color w:val="000000" w:themeColor="text1"/>
                <w:sz w:val="18"/>
                <w:szCs w:val="18"/>
              </w:rPr>
              <w:t>Recommendations</w:t>
            </w:r>
          </w:p>
        </w:tc>
      </w:tr>
      <w:tr w:rsidR="008E3065" w:rsidRPr="00FA30C8" w14:paraId="0B9C6F4F" w14:textId="77777777" w:rsidTr="00AE3731">
        <w:trPr>
          <w:trHeight w:val="287"/>
          <w:jc w:val="center"/>
        </w:trPr>
        <w:tc>
          <w:tcPr>
            <w:tcW w:w="1207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68A1D8C" w14:textId="55F9616E" w:rsidR="009B4D7A" w:rsidRPr="00FA30C8" w:rsidRDefault="008E3065" w:rsidP="00203E96">
            <w:pPr>
              <w:spacing w:line="276" w:lineRule="auto"/>
              <w:jc w:val="center"/>
              <w:rPr>
                <w:rFonts w:eastAsia="Times New Roman" w:cs="Arial"/>
                <w:b/>
                <w:color w:val="000000" w:themeColor="text1"/>
                <w:sz w:val="18"/>
                <w:szCs w:val="18"/>
              </w:rPr>
            </w:pPr>
            <w:r w:rsidRPr="00FA30C8">
              <w:rPr>
                <w:rFonts w:eastAsia="Times New Roman" w:cs="Arial"/>
                <w:b/>
                <w:color w:val="000000" w:themeColor="text1"/>
                <w:sz w:val="18"/>
                <w:szCs w:val="18"/>
              </w:rPr>
              <w:t>Dimension 1:</w:t>
            </w:r>
            <w:r w:rsidR="00B659FB" w:rsidRPr="00FA30C8">
              <w:rPr>
                <w:rFonts w:eastAsia="Times New Roman" w:cs="Arial"/>
                <w:b/>
                <w:color w:val="000000" w:themeColor="text1"/>
                <w:sz w:val="18"/>
                <w:szCs w:val="18"/>
              </w:rPr>
              <w:t xml:space="preserve"> </w:t>
            </w:r>
            <w:r w:rsidR="00744318" w:rsidRPr="00FA30C8">
              <w:rPr>
                <w:rFonts w:eastAsia="Times New Roman" w:cs="Arial"/>
                <w:b/>
                <w:color w:val="000000" w:themeColor="text1"/>
                <w:sz w:val="18"/>
                <w:szCs w:val="18"/>
              </w:rPr>
              <w:t>Technical-sectorial dimensions</w:t>
            </w:r>
          </w:p>
        </w:tc>
      </w:tr>
      <w:tr w:rsidR="008E3065" w:rsidRPr="00FA30C8" w14:paraId="5F0587BF" w14:textId="77777777" w:rsidTr="009B4D7A">
        <w:trPr>
          <w:trHeight w:val="377"/>
          <w:jc w:val="center"/>
        </w:trPr>
        <w:tc>
          <w:tcPr>
            <w:tcW w:w="5145" w:type="dxa"/>
            <w:tcBorders>
              <w:top w:val="single" w:sz="4" w:space="0" w:color="auto"/>
              <w:left w:val="single" w:sz="4" w:space="0" w:color="auto"/>
              <w:bottom w:val="single" w:sz="4" w:space="0" w:color="auto"/>
              <w:right w:val="single" w:sz="4" w:space="0" w:color="auto"/>
            </w:tcBorders>
            <w:vAlign w:val="center"/>
            <w:hideMark/>
          </w:tcPr>
          <w:p w14:paraId="0B66EF50" w14:textId="3689AF55" w:rsidR="009B4D7A" w:rsidRPr="00FA30C8" w:rsidRDefault="009B4D7A">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Finding # 1</w:t>
            </w:r>
            <w:r w:rsidR="00744318" w:rsidRPr="00FA30C8">
              <w:rPr>
                <w:rFonts w:eastAsia="Times New Roman" w:cs="Arial"/>
                <w:color w:val="000000" w:themeColor="text1"/>
                <w:sz w:val="18"/>
                <w:szCs w:val="18"/>
              </w:rPr>
              <w:t xml:space="preserve">: </w:t>
            </w:r>
            <w:r w:rsidR="00744318" w:rsidRPr="00FA30C8">
              <w:rPr>
                <w:rFonts w:cs="Arial"/>
                <w:color w:val="000000" w:themeColor="text1"/>
                <w:sz w:val="18"/>
                <w:szCs w:val="18"/>
              </w:rPr>
              <w:t>The program had a very broad objective and required significant inter-agency collaboration for nearly all of its sub-components. It included several non-related and disconnected components, and the scope was too wide for the unit resources, country capacity</w:t>
            </w:r>
            <w:r w:rsidR="00FE485F" w:rsidRPr="00FA30C8">
              <w:rPr>
                <w:rFonts w:cs="Arial"/>
                <w:color w:val="000000" w:themeColor="text1"/>
                <w:sz w:val="18"/>
                <w:szCs w:val="18"/>
              </w:rPr>
              <w:t>,</w:t>
            </w:r>
            <w:r w:rsidR="00744318" w:rsidRPr="00FA30C8">
              <w:rPr>
                <w:rFonts w:cs="Arial"/>
                <w:color w:val="000000" w:themeColor="text1"/>
                <w:sz w:val="18"/>
                <w:szCs w:val="18"/>
              </w:rPr>
              <w:t xml:space="preserve"> and implementation time frame of the project.</w:t>
            </w:r>
          </w:p>
        </w:tc>
        <w:tc>
          <w:tcPr>
            <w:tcW w:w="6930" w:type="dxa"/>
            <w:tcBorders>
              <w:top w:val="single" w:sz="4" w:space="0" w:color="auto"/>
              <w:left w:val="single" w:sz="4" w:space="0" w:color="auto"/>
              <w:bottom w:val="single" w:sz="4" w:space="0" w:color="auto"/>
              <w:right w:val="single" w:sz="4" w:space="0" w:color="auto"/>
            </w:tcBorders>
            <w:vAlign w:val="center"/>
            <w:hideMark/>
          </w:tcPr>
          <w:p w14:paraId="06F779BA" w14:textId="2880EFD3" w:rsidR="009B4D7A" w:rsidRPr="00FA30C8" w:rsidRDefault="009B4D7A">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Recommendation # 1</w:t>
            </w:r>
            <w:r w:rsidR="00744318" w:rsidRPr="00FA30C8">
              <w:rPr>
                <w:rFonts w:eastAsia="Times New Roman" w:cs="Arial"/>
                <w:color w:val="000000" w:themeColor="text1"/>
                <w:sz w:val="18"/>
                <w:szCs w:val="18"/>
              </w:rPr>
              <w:t xml:space="preserve">: With many competitiveness challenges to be tackled, ending up with a complex design is a natural </w:t>
            </w:r>
            <w:r w:rsidR="00413830" w:rsidRPr="00FA30C8">
              <w:rPr>
                <w:rFonts w:eastAsia="Times New Roman" w:cs="Arial"/>
                <w:color w:val="000000" w:themeColor="text1"/>
                <w:sz w:val="18"/>
                <w:szCs w:val="18"/>
              </w:rPr>
              <w:t>consequence</w:t>
            </w:r>
            <w:r w:rsidR="00744318" w:rsidRPr="00FA30C8">
              <w:rPr>
                <w:rFonts w:eastAsia="Times New Roman" w:cs="Arial"/>
                <w:color w:val="000000" w:themeColor="text1"/>
                <w:sz w:val="18"/>
                <w:szCs w:val="18"/>
              </w:rPr>
              <w:t>. However, these types of projects will easily suffer from a lack of focus and challenges related to the coordination of the numerous stakeholders involved. Therefore, implementing less activities but ensuring that these count on the appropriate technical and financial resources is key to increase the impact of the project</w:t>
            </w:r>
          </w:p>
        </w:tc>
      </w:tr>
      <w:tr w:rsidR="008E3065" w:rsidRPr="00FA30C8" w14:paraId="19848486" w14:textId="77777777" w:rsidTr="00AE3731">
        <w:trPr>
          <w:trHeight w:val="332"/>
          <w:jc w:val="center"/>
        </w:trPr>
        <w:tc>
          <w:tcPr>
            <w:tcW w:w="1207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60E9C07" w14:textId="46DE18ED" w:rsidR="009B4D7A" w:rsidRPr="00FA30C8" w:rsidRDefault="008E3065" w:rsidP="00203E96">
            <w:pPr>
              <w:spacing w:line="276" w:lineRule="auto"/>
              <w:jc w:val="center"/>
              <w:rPr>
                <w:rFonts w:eastAsia="Times New Roman" w:cs="Arial"/>
                <w:b/>
                <w:color w:val="000000" w:themeColor="text1"/>
                <w:sz w:val="18"/>
                <w:szCs w:val="18"/>
              </w:rPr>
            </w:pPr>
            <w:r w:rsidRPr="00FA30C8">
              <w:rPr>
                <w:rFonts w:eastAsia="Times New Roman" w:cs="Arial"/>
                <w:b/>
                <w:color w:val="000000" w:themeColor="text1"/>
                <w:sz w:val="18"/>
                <w:szCs w:val="18"/>
              </w:rPr>
              <w:t>Dimension 2:</w:t>
            </w:r>
            <w:r w:rsidR="00BC08DB" w:rsidRPr="00FA30C8">
              <w:rPr>
                <w:rFonts w:eastAsia="Times New Roman" w:cs="Arial"/>
                <w:b/>
                <w:color w:val="000000" w:themeColor="text1"/>
                <w:sz w:val="18"/>
                <w:szCs w:val="18"/>
              </w:rPr>
              <w:t xml:space="preserve"> Organizational and Managerial dimensions</w:t>
            </w:r>
          </w:p>
        </w:tc>
      </w:tr>
      <w:tr w:rsidR="008E3065" w:rsidRPr="00FA30C8" w14:paraId="44C0B201" w14:textId="77777777" w:rsidTr="009B4D7A">
        <w:trPr>
          <w:trHeight w:val="377"/>
          <w:jc w:val="center"/>
        </w:trPr>
        <w:tc>
          <w:tcPr>
            <w:tcW w:w="5145" w:type="dxa"/>
            <w:tcBorders>
              <w:top w:val="single" w:sz="4" w:space="0" w:color="auto"/>
              <w:left w:val="single" w:sz="4" w:space="0" w:color="auto"/>
              <w:bottom w:val="single" w:sz="4" w:space="0" w:color="auto"/>
              <w:right w:val="single" w:sz="4" w:space="0" w:color="auto"/>
            </w:tcBorders>
            <w:vAlign w:val="center"/>
            <w:hideMark/>
          </w:tcPr>
          <w:p w14:paraId="0BDCC334" w14:textId="1E5340D1" w:rsidR="009B4D7A" w:rsidRPr="00FA30C8" w:rsidRDefault="00413830">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Finding # 2</w:t>
            </w:r>
            <w:r w:rsidR="00BC08DB" w:rsidRPr="00FA30C8">
              <w:rPr>
                <w:rFonts w:eastAsia="Times New Roman" w:cs="Arial"/>
                <w:color w:val="000000" w:themeColor="text1"/>
                <w:sz w:val="18"/>
                <w:szCs w:val="18"/>
              </w:rPr>
              <w:t>: Limited PEU capacity, especially at the beginning of project execution</w:t>
            </w:r>
          </w:p>
        </w:tc>
        <w:tc>
          <w:tcPr>
            <w:tcW w:w="6930" w:type="dxa"/>
            <w:tcBorders>
              <w:top w:val="single" w:sz="4" w:space="0" w:color="auto"/>
              <w:left w:val="single" w:sz="4" w:space="0" w:color="auto"/>
              <w:bottom w:val="single" w:sz="4" w:space="0" w:color="auto"/>
              <w:right w:val="single" w:sz="4" w:space="0" w:color="auto"/>
            </w:tcBorders>
            <w:vAlign w:val="center"/>
            <w:hideMark/>
          </w:tcPr>
          <w:p w14:paraId="2F39500C" w14:textId="6F36985E" w:rsidR="009B4D7A" w:rsidRPr="00FA30C8" w:rsidRDefault="00413830">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Recommendation # 2</w:t>
            </w:r>
            <w:r w:rsidR="00BC08DB" w:rsidRPr="00FA30C8">
              <w:rPr>
                <w:rFonts w:eastAsia="Times New Roman" w:cs="Arial"/>
                <w:color w:val="000000" w:themeColor="text1"/>
                <w:sz w:val="18"/>
                <w:szCs w:val="18"/>
              </w:rPr>
              <w:t>: It is important to make an assessment of analytic tools, technical skills, staff competencies, etc. during project preparation and ensure that these required inputs are strengthened as early as possible, if necessary.</w:t>
            </w:r>
          </w:p>
        </w:tc>
      </w:tr>
      <w:tr w:rsidR="008E3065" w:rsidRPr="00FA30C8" w14:paraId="56A33ABA" w14:textId="77777777" w:rsidTr="009B4D7A">
        <w:trPr>
          <w:trHeight w:val="377"/>
          <w:jc w:val="center"/>
        </w:trPr>
        <w:tc>
          <w:tcPr>
            <w:tcW w:w="5145" w:type="dxa"/>
            <w:tcBorders>
              <w:top w:val="single" w:sz="4" w:space="0" w:color="auto"/>
              <w:left w:val="single" w:sz="4" w:space="0" w:color="auto"/>
              <w:bottom w:val="single" w:sz="4" w:space="0" w:color="auto"/>
              <w:right w:val="single" w:sz="4" w:space="0" w:color="auto"/>
            </w:tcBorders>
            <w:vAlign w:val="center"/>
            <w:hideMark/>
          </w:tcPr>
          <w:p w14:paraId="7FA876AB" w14:textId="36D8FEB8" w:rsidR="009B4D7A" w:rsidRPr="00FA30C8" w:rsidRDefault="00413830">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Finding # 3</w:t>
            </w:r>
            <w:r w:rsidR="00BC08DB" w:rsidRPr="00FA30C8">
              <w:rPr>
                <w:rFonts w:eastAsia="Times New Roman" w:cs="Arial"/>
                <w:color w:val="000000" w:themeColor="text1"/>
                <w:sz w:val="18"/>
                <w:szCs w:val="18"/>
              </w:rPr>
              <w:t xml:space="preserve">: All </w:t>
            </w:r>
            <w:r w:rsidR="00BC08DB" w:rsidRPr="00FA30C8">
              <w:rPr>
                <w:rFonts w:cs="Arial"/>
                <w:color w:val="000000" w:themeColor="text1"/>
                <w:sz w:val="18"/>
                <w:szCs w:val="18"/>
              </w:rPr>
              <w:t>consultancies required in-depth coordination and supervision, but no appropriate contract management tools were used to ensure timely and efficient performance of the contracts</w:t>
            </w:r>
          </w:p>
        </w:tc>
        <w:tc>
          <w:tcPr>
            <w:tcW w:w="6930" w:type="dxa"/>
            <w:tcBorders>
              <w:top w:val="single" w:sz="4" w:space="0" w:color="auto"/>
              <w:left w:val="single" w:sz="4" w:space="0" w:color="auto"/>
              <w:bottom w:val="single" w:sz="4" w:space="0" w:color="auto"/>
              <w:right w:val="single" w:sz="4" w:space="0" w:color="auto"/>
            </w:tcBorders>
            <w:vAlign w:val="center"/>
            <w:hideMark/>
          </w:tcPr>
          <w:p w14:paraId="7CDD7375" w14:textId="651F8321" w:rsidR="009B4D7A" w:rsidRPr="00FA30C8" w:rsidRDefault="009B4D7A">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Recommendation #</w:t>
            </w:r>
            <w:r w:rsidR="00413830" w:rsidRPr="00FA30C8">
              <w:rPr>
                <w:rFonts w:eastAsia="Times New Roman" w:cs="Arial"/>
                <w:color w:val="000000" w:themeColor="text1"/>
                <w:sz w:val="18"/>
                <w:szCs w:val="18"/>
              </w:rPr>
              <w:t xml:space="preserve"> 3</w:t>
            </w:r>
            <w:r w:rsidR="00BC08DB" w:rsidRPr="00FA30C8">
              <w:rPr>
                <w:rFonts w:eastAsia="Times New Roman" w:cs="Arial"/>
                <w:color w:val="000000" w:themeColor="text1"/>
                <w:sz w:val="18"/>
                <w:szCs w:val="18"/>
              </w:rPr>
              <w:t xml:space="preserve">: </w:t>
            </w:r>
            <w:r w:rsidR="00BC08DB" w:rsidRPr="00FA30C8">
              <w:rPr>
                <w:rFonts w:cs="Arial"/>
                <w:color w:val="000000" w:themeColor="text1"/>
                <w:sz w:val="18"/>
                <w:szCs w:val="18"/>
              </w:rPr>
              <w:t>Request a preparation of a supervision plan for each contract based on the work plans submitted by the various consulting firms at the beginning of the project. These supervision plans should include all major milestones, deadlines, responsible parties, risks and mitigating activities.</w:t>
            </w:r>
          </w:p>
        </w:tc>
      </w:tr>
      <w:tr w:rsidR="008E3065" w:rsidRPr="00FA30C8" w14:paraId="79E35522" w14:textId="77777777" w:rsidTr="00AE3731">
        <w:trPr>
          <w:trHeight w:val="332"/>
          <w:jc w:val="center"/>
        </w:trPr>
        <w:tc>
          <w:tcPr>
            <w:tcW w:w="1207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3AF55B" w14:textId="0E69ADE0" w:rsidR="009B4D7A" w:rsidRPr="00FA30C8" w:rsidRDefault="00BC08DB" w:rsidP="00203E96">
            <w:pPr>
              <w:spacing w:line="276" w:lineRule="auto"/>
              <w:jc w:val="center"/>
              <w:rPr>
                <w:rFonts w:eastAsia="Times New Roman" w:cs="Arial"/>
                <w:b/>
                <w:color w:val="000000" w:themeColor="text1"/>
                <w:sz w:val="18"/>
                <w:szCs w:val="18"/>
              </w:rPr>
            </w:pPr>
            <w:r w:rsidRPr="00FA30C8">
              <w:rPr>
                <w:rFonts w:eastAsia="Times New Roman" w:cs="Arial"/>
                <w:b/>
                <w:color w:val="000000" w:themeColor="text1"/>
                <w:sz w:val="18"/>
                <w:szCs w:val="18"/>
              </w:rPr>
              <w:t>Dimension 3</w:t>
            </w:r>
            <w:r w:rsidR="008E3065" w:rsidRPr="00FA30C8">
              <w:rPr>
                <w:rFonts w:eastAsia="Times New Roman" w:cs="Arial"/>
                <w:b/>
                <w:color w:val="000000" w:themeColor="text1"/>
                <w:sz w:val="18"/>
                <w:szCs w:val="18"/>
              </w:rPr>
              <w:t>:</w:t>
            </w:r>
            <w:r w:rsidRPr="00FA30C8">
              <w:rPr>
                <w:rFonts w:eastAsia="Times New Roman" w:cs="Arial"/>
                <w:b/>
                <w:color w:val="000000" w:themeColor="text1"/>
                <w:sz w:val="18"/>
                <w:szCs w:val="18"/>
              </w:rPr>
              <w:t xml:space="preserve"> Dimensions related to Public Processes/Actors</w:t>
            </w:r>
          </w:p>
        </w:tc>
      </w:tr>
      <w:tr w:rsidR="008E3065" w:rsidRPr="00FA30C8" w14:paraId="7C67B286" w14:textId="77777777" w:rsidTr="008E3065">
        <w:trPr>
          <w:trHeight w:val="377"/>
          <w:jc w:val="center"/>
        </w:trPr>
        <w:tc>
          <w:tcPr>
            <w:tcW w:w="5145" w:type="dxa"/>
            <w:tcBorders>
              <w:top w:val="single" w:sz="4" w:space="0" w:color="auto"/>
              <w:left w:val="single" w:sz="4" w:space="0" w:color="auto"/>
              <w:bottom w:val="single" w:sz="4" w:space="0" w:color="auto"/>
              <w:right w:val="single" w:sz="4" w:space="0" w:color="auto"/>
            </w:tcBorders>
            <w:vAlign w:val="center"/>
          </w:tcPr>
          <w:p w14:paraId="2145F895" w14:textId="28466143" w:rsidR="008E3065" w:rsidRPr="00FA30C8" w:rsidRDefault="00413830" w:rsidP="008E3065">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Finding # 4</w:t>
            </w:r>
            <w:r w:rsidR="00BC08DB" w:rsidRPr="00FA30C8">
              <w:rPr>
                <w:rFonts w:eastAsia="Times New Roman" w:cs="Arial"/>
                <w:color w:val="000000" w:themeColor="text1"/>
                <w:sz w:val="18"/>
                <w:szCs w:val="18"/>
              </w:rPr>
              <w:t>: Many of the outcomes of the BCP were not achieved because they assumed that the development of new tools and strategic plans and recommendations regarding process re-engineering within the respective agencies and would not only be swiftly approved by Cabinet, but also be immediately financed by GoB.  While the commitment from government on these matters was agreed during project negotiations, lengthy approval processes and changes in political leadership during the lifetime of the project were detrimental to the achievement of planned results.</w:t>
            </w:r>
          </w:p>
        </w:tc>
        <w:tc>
          <w:tcPr>
            <w:tcW w:w="6930" w:type="dxa"/>
            <w:tcBorders>
              <w:top w:val="single" w:sz="4" w:space="0" w:color="auto"/>
              <w:left w:val="single" w:sz="4" w:space="0" w:color="auto"/>
              <w:bottom w:val="single" w:sz="4" w:space="0" w:color="auto"/>
              <w:right w:val="single" w:sz="4" w:space="0" w:color="auto"/>
            </w:tcBorders>
            <w:vAlign w:val="center"/>
          </w:tcPr>
          <w:p w14:paraId="145E3018" w14:textId="1A6E42EE" w:rsidR="008E3065" w:rsidRPr="00FA30C8" w:rsidRDefault="00413830" w:rsidP="008E3065">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 xml:space="preserve">Recommendation # </w:t>
            </w:r>
            <w:r w:rsidR="00AB0DD1" w:rsidRPr="00FA30C8">
              <w:rPr>
                <w:rFonts w:eastAsia="Times New Roman" w:cs="Arial"/>
                <w:color w:val="000000" w:themeColor="text1"/>
                <w:sz w:val="18"/>
                <w:szCs w:val="18"/>
              </w:rPr>
              <w:t>4</w:t>
            </w:r>
            <w:r w:rsidR="00BC08DB" w:rsidRPr="00FA30C8">
              <w:rPr>
                <w:rFonts w:eastAsia="Times New Roman" w:cs="Arial"/>
                <w:color w:val="000000" w:themeColor="text1"/>
                <w:sz w:val="18"/>
                <w:szCs w:val="18"/>
              </w:rPr>
              <w:t>: It should be considered to introduce some type of results-based financing mechanism that would disburse part of the funds upon the completion of the study or other output, and the other part once the recommendations have been implemented. This would provide additional incentives to incorporate the new procedures into daily business processes.</w:t>
            </w:r>
          </w:p>
        </w:tc>
      </w:tr>
      <w:tr w:rsidR="008E3065" w:rsidRPr="00FA30C8" w14:paraId="3A030C93" w14:textId="77777777" w:rsidTr="008E3065">
        <w:trPr>
          <w:trHeight w:val="377"/>
          <w:jc w:val="center"/>
        </w:trPr>
        <w:tc>
          <w:tcPr>
            <w:tcW w:w="5145" w:type="dxa"/>
            <w:tcBorders>
              <w:top w:val="single" w:sz="4" w:space="0" w:color="auto"/>
              <w:left w:val="single" w:sz="4" w:space="0" w:color="auto"/>
              <w:bottom w:val="single" w:sz="4" w:space="0" w:color="auto"/>
              <w:right w:val="single" w:sz="4" w:space="0" w:color="auto"/>
            </w:tcBorders>
            <w:vAlign w:val="center"/>
          </w:tcPr>
          <w:p w14:paraId="5436F4CF" w14:textId="16F50977" w:rsidR="008E3065" w:rsidRPr="00FA30C8" w:rsidRDefault="008E3065" w:rsidP="008E3065">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Finding # 6</w:t>
            </w:r>
            <w:r w:rsidR="00BC08DB" w:rsidRPr="00FA30C8">
              <w:rPr>
                <w:rFonts w:eastAsia="Times New Roman" w:cs="Arial"/>
                <w:color w:val="000000" w:themeColor="text1"/>
                <w:sz w:val="18"/>
                <w:szCs w:val="18"/>
              </w:rPr>
              <w:t xml:space="preserve">: Disagreement in GoB as to which ministry would be the </w:t>
            </w:r>
            <w:r w:rsidR="00BC08DB" w:rsidRPr="00FA30C8">
              <w:rPr>
                <w:rFonts w:cs="Arial"/>
                <w:color w:val="000000" w:themeColor="text1"/>
                <w:sz w:val="18"/>
                <w:szCs w:val="18"/>
              </w:rPr>
              <w:t xml:space="preserve">lead agency for this operation which </w:t>
            </w:r>
            <w:r w:rsidR="0045515E" w:rsidRPr="00FA30C8">
              <w:rPr>
                <w:rFonts w:cs="Arial"/>
                <w:color w:val="000000" w:themeColor="text1"/>
                <w:sz w:val="18"/>
                <w:szCs w:val="18"/>
              </w:rPr>
              <w:t>caused</w:t>
            </w:r>
            <w:r w:rsidR="00BC08DB" w:rsidRPr="00FA30C8">
              <w:rPr>
                <w:rFonts w:cs="Arial"/>
                <w:color w:val="000000" w:themeColor="text1"/>
                <w:sz w:val="18"/>
                <w:szCs w:val="18"/>
              </w:rPr>
              <w:t xml:space="preserve"> important delays in the overall project preparation and eligibility timeline</w:t>
            </w:r>
            <w:r w:rsidR="0045515E" w:rsidRPr="00FA30C8">
              <w:rPr>
                <w:rFonts w:cs="Arial"/>
                <w:color w:val="000000" w:themeColor="text1"/>
                <w:sz w:val="18"/>
                <w:szCs w:val="18"/>
              </w:rPr>
              <w:t>. Once established, the PEU did not have sufficient leverage and the full mandate to coordinate the various stakeholders.</w:t>
            </w:r>
          </w:p>
        </w:tc>
        <w:tc>
          <w:tcPr>
            <w:tcW w:w="6930" w:type="dxa"/>
            <w:tcBorders>
              <w:top w:val="single" w:sz="4" w:space="0" w:color="auto"/>
              <w:left w:val="single" w:sz="4" w:space="0" w:color="auto"/>
              <w:bottom w:val="single" w:sz="4" w:space="0" w:color="auto"/>
              <w:right w:val="single" w:sz="4" w:space="0" w:color="auto"/>
            </w:tcBorders>
            <w:vAlign w:val="center"/>
          </w:tcPr>
          <w:p w14:paraId="5B5A8090" w14:textId="5ED408F0" w:rsidR="008E3065" w:rsidRPr="00FA30C8" w:rsidRDefault="008E3065" w:rsidP="008E3065">
            <w:pPr>
              <w:spacing w:line="276" w:lineRule="auto"/>
              <w:jc w:val="both"/>
              <w:rPr>
                <w:rFonts w:eastAsia="Times New Roman" w:cs="Arial"/>
                <w:color w:val="000000" w:themeColor="text1"/>
                <w:sz w:val="18"/>
                <w:szCs w:val="18"/>
              </w:rPr>
            </w:pPr>
            <w:r w:rsidRPr="00FA30C8">
              <w:rPr>
                <w:rFonts w:eastAsia="Times New Roman" w:cs="Arial"/>
                <w:color w:val="000000" w:themeColor="text1"/>
                <w:sz w:val="18"/>
                <w:szCs w:val="18"/>
              </w:rPr>
              <w:t xml:space="preserve">Recommendation # </w:t>
            </w:r>
            <w:r w:rsidR="0045515E" w:rsidRPr="00FA30C8">
              <w:rPr>
                <w:rFonts w:eastAsia="Times New Roman" w:cs="Arial"/>
                <w:color w:val="000000" w:themeColor="text1"/>
                <w:sz w:val="18"/>
                <w:szCs w:val="18"/>
              </w:rPr>
              <w:t>5</w:t>
            </w:r>
            <w:r w:rsidR="00BC08DB" w:rsidRPr="00FA30C8">
              <w:rPr>
                <w:rFonts w:eastAsia="Times New Roman" w:cs="Arial"/>
                <w:color w:val="000000" w:themeColor="text1"/>
                <w:sz w:val="18"/>
                <w:szCs w:val="18"/>
              </w:rPr>
              <w:t xml:space="preserve">: </w:t>
            </w:r>
            <w:r w:rsidR="00BC08DB" w:rsidRPr="00FA30C8">
              <w:rPr>
                <w:rFonts w:cs="Arial"/>
                <w:color w:val="000000" w:themeColor="text1"/>
                <w:sz w:val="18"/>
                <w:szCs w:val="18"/>
              </w:rPr>
              <w:t>For future operations of this type, which are inherently multi-sectoral and involve institutional reform, it would be useful to reach agreement early in the project identification process as to which agency will take the lead role</w:t>
            </w:r>
            <w:r w:rsidR="0045515E" w:rsidRPr="00FA30C8">
              <w:rPr>
                <w:rFonts w:cs="Arial"/>
                <w:color w:val="000000" w:themeColor="text1"/>
                <w:sz w:val="18"/>
                <w:szCs w:val="18"/>
              </w:rPr>
              <w:t xml:space="preserve"> and what the role and responsibilities of the PEU are. </w:t>
            </w:r>
          </w:p>
        </w:tc>
      </w:tr>
    </w:tbl>
    <w:p w14:paraId="2DFFFD5A" w14:textId="77777777" w:rsidR="009B4D7A" w:rsidRPr="00FA30C8" w:rsidRDefault="009B4D7A" w:rsidP="009B4D7A">
      <w:pPr>
        <w:rPr>
          <w:rFonts w:cs="Arial"/>
          <w:sz w:val="18"/>
          <w:szCs w:val="18"/>
        </w:rPr>
      </w:pPr>
    </w:p>
    <w:p w14:paraId="50A72F20" w14:textId="77777777" w:rsidR="00F81455" w:rsidRPr="00FA30C8" w:rsidRDefault="00F81455">
      <w:pPr>
        <w:rPr>
          <w:sz w:val="18"/>
          <w:szCs w:val="18"/>
        </w:rPr>
      </w:pPr>
    </w:p>
    <w:sectPr w:rsidR="00F81455" w:rsidRPr="00FA30C8" w:rsidSect="006C292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E4559" w14:textId="77777777" w:rsidR="00AC26BF" w:rsidRDefault="00AC26BF" w:rsidP="009B4D7A">
      <w:r>
        <w:separator/>
      </w:r>
    </w:p>
  </w:endnote>
  <w:endnote w:type="continuationSeparator" w:id="0">
    <w:p w14:paraId="04EC596E" w14:textId="77777777" w:rsidR="00AC26BF" w:rsidRDefault="00AC26BF" w:rsidP="009B4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770613"/>
      <w:docPartObj>
        <w:docPartGallery w:val="Page Numbers (Bottom of Page)"/>
        <w:docPartUnique/>
      </w:docPartObj>
    </w:sdtPr>
    <w:sdtEndPr>
      <w:rPr>
        <w:noProof/>
      </w:rPr>
    </w:sdtEndPr>
    <w:sdtContent>
      <w:p w14:paraId="27EB56FF" w14:textId="0F97431F" w:rsidR="007057EA" w:rsidRDefault="007057EA">
        <w:pPr>
          <w:pStyle w:val="Footer"/>
          <w:jc w:val="center"/>
        </w:pPr>
        <w:r>
          <w:fldChar w:fldCharType="begin"/>
        </w:r>
        <w:r>
          <w:instrText xml:space="preserve"> PAGE   \* MERGEFORMAT </w:instrText>
        </w:r>
        <w:r>
          <w:fldChar w:fldCharType="separate"/>
        </w:r>
        <w:r w:rsidR="00BE2CE8">
          <w:rPr>
            <w:noProof/>
          </w:rPr>
          <w:t>i</w:t>
        </w:r>
        <w:r>
          <w:rPr>
            <w:noProof/>
          </w:rPr>
          <w:fldChar w:fldCharType="end"/>
        </w:r>
      </w:p>
    </w:sdtContent>
  </w:sdt>
  <w:p w14:paraId="0A75389A" w14:textId="77777777" w:rsidR="007057EA" w:rsidRDefault="007057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45498471"/>
      <w:docPartObj>
        <w:docPartGallery w:val="Page Numbers (Bottom of Page)"/>
        <w:docPartUnique/>
      </w:docPartObj>
    </w:sdtPr>
    <w:sdtEndPr>
      <w:rPr>
        <w:noProof/>
      </w:rPr>
    </w:sdtEndPr>
    <w:sdtContent>
      <w:p w14:paraId="3DBC59CB" w14:textId="57165DC5" w:rsidR="007057EA" w:rsidRPr="00295447" w:rsidRDefault="007057EA" w:rsidP="00295447">
        <w:pPr>
          <w:pStyle w:val="Footer"/>
          <w:jc w:val="center"/>
          <w:rPr>
            <w:sz w:val="18"/>
            <w:szCs w:val="18"/>
          </w:rPr>
        </w:pPr>
        <w:r>
          <w:rPr>
            <w:sz w:val="18"/>
            <w:szCs w:val="18"/>
          </w:rPr>
          <w:t>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340214"/>
      <w:docPartObj>
        <w:docPartGallery w:val="Page Numbers (Bottom of Page)"/>
        <w:docPartUnique/>
      </w:docPartObj>
    </w:sdtPr>
    <w:sdtEndPr>
      <w:rPr>
        <w:noProof/>
      </w:rPr>
    </w:sdtEndPr>
    <w:sdtContent>
      <w:p w14:paraId="1B05EF98" w14:textId="43B2E9F1" w:rsidR="00B95D11" w:rsidRDefault="00B95D11">
        <w:pPr>
          <w:pStyle w:val="Footer"/>
          <w:jc w:val="center"/>
        </w:pPr>
        <w:r>
          <w:fldChar w:fldCharType="begin"/>
        </w:r>
        <w:r>
          <w:instrText xml:space="preserve"> PAGE   \* MERGEFORMAT </w:instrText>
        </w:r>
        <w:r>
          <w:fldChar w:fldCharType="separate"/>
        </w:r>
        <w:r w:rsidR="00BE2CE8">
          <w:rPr>
            <w:noProof/>
          </w:rPr>
          <w:t>7</w:t>
        </w:r>
        <w:r>
          <w:rPr>
            <w:noProof/>
          </w:rPr>
          <w:fldChar w:fldCharType="end"/>
        </w:r>
      </w:p>
    </w:sdtContent>
  </w:sdt>
  <w:p w14:paraId="534998C6" w14:textId="2FEFCC91" w:rsidR="007057EA" w:rsidRPr="0035317B" w:rsidRDefault="007057EA" w:rsidP="0035317B">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7002024"/>
      <w:docPartObj>
        <w:docPartGallery w:val="Page Numbers (Bottom of Page)"/>
        <w:docPartUnique/>
      </w:docPartObj>
    </w:sdtPr>
    <w:sdtEndPr>
      <w:rPr>
        <w:noProof/>
      </w:rPr>
    </w:sdtEndPr>
    <w:sdtContent>
      <w:p w14:paraId="695B78A9" w14:textId="112816EA" w:rsidR="00B95D11" w:rsidRDefault="00B95D11">
        <w:pPr>
          <w:pStyle w:val="Footer"/>
          <w:jc w:val="center"/>
        </w:pPr>
        <w:r>
          <w:fldChar w:fldCharType="begin"/>
        </w:r>
        <w:r>
          <w:instrText xml:space="preserve"> PAGE   \* MERGEFORMAT </w:instrText>
        </w:r>
        <w:r>
          <w:fldChar w:fldCharType="separate"/>
        </w:r>
        <w:r w:rsidR="00BE2CE8">
          <w:rPr>
            <w:noProof/>
          </w:rPr>
          <w:t>15</w:t>
        </w:r>
        <w:r>
          <w:rPr>
            <w:noProof/>
          </w:rPr>
          <w:fldChar w:fldCharType="end"/>
        </w:r>
      </w:p>
    </w:sdtContent>
  </w:sdt>
  <w:p w14:paraId="1AC1A510" w14:textId="036C35E0" w:rsidR="007057EA" w:rsidRPr="008A02A1" w:rsidRDefault="007057EA" w:rsidP="0029544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D45CE" w14:textId="77777777" w:rsidR="00AC26BF" w:rsidRDefault="00AC26BF" w:rsidP="009B4D7A">
      <w:r>
        <w:separator/>
      </w:r>
    </w:p>
  </w:footnote>
  <w:footnote w:type="continuationSeparator" w:id="0">
    <w:p w14:paraId="237FA144" w14:textId="77777777" w:rsidR="00AC26BF" w:rsidRDefault="00AC26BF" w:rsidP="009B4D7A">
      <w:r>
        <w:continuationSeparator/>
      </w:r>
    </w:p>
  </w:footnote>
  <w:footnote w:id="1">
    <w:p w14:paraId="3E8D6CFD" w14:textId="4C59FA6C" w:rsidR="007057EA" w:rsidRPr="00441AD1" w:rsidRDefault="007057EA" w:rsidP="00613DB9">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1" w:history="1">
        <w:r w:rsidRPr="00E900CB">
          <w:rPr>
            <w:rStyle w:val="Hyperlink"/>
            <w:rFonts w:ascii="Arial" w:hAnsi="Arial" w:cs="Arial"/>
            <w:sz w:val="18"/>
            <w:szCs w:val="18"/>
            <w:lang w:val="en-US"/>
          </w:rPr>
          <w:t>https://data.worldbank.org/country/barbados</w:t>
        </w:r>
      </w:hyperlink>
      <w:r>
        <w:rPr>
          <w:rFonts w:ascii="Arial" w:hAnsi="Arial" w:cs="Arial"/>
          <w:sz w:val="18"/>
          <w:szCs w:val="18"/>
          <w:lang w:val="en-US"/>
        </w:rPr>
        <w:t xml:space="preserve"> </w:t>
      </w:r>
    </w:p>
  </w:footnote>
  <w:footnote w:id="2">
    <w:p w14:paraId="529B0957" w14:textId="77777777" w:rsidR="007057EA" w:rsidRPr="00441AD1" w:rsidRDefault="007057EA" w:rsidP="00613DB9">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2" w:history="1">
        <w:r w:rsidRPr="00441AD1">
          <w:rPr>
            <w:rStyle w:val="Hyperlink"/>
            <w:rFonts w:ascii="Arial" w:hAnsi="Arial" w:cs="Arial"/>
            <w:sz w:val="18"/>
            <w:szCs w:val="18"/>
            <w:lang w:val="en-US"/>
          </w:rPr>
          <w:t>Global Competitiveness Report 2008-2009</w:t>
        </w:r>
      </w:hyperlink>
      <w:r w:rsidRPr="00441AD1">
        <w:rPr>
          <w:rFonts w:ascii="Arial" w:hAnsi="Arial" w:cs="Arial"/>
          <w:sz w:val="18"/>
          <w:szCs w:val="18"/>
          <w:lang w:val="en-US"/>
        </w:rPr>
        <w:t>, WEF</w:t>
      </w:r>
    </w:p>
  </w:footnote>
  <w:footnote w:id="3">
    <w:p w14:paraId="20C229DF" w14:textId="77777777" w:rsidR="007057EA" w:rsidRPr="00441AD1" w:rsidRDefault="007057EA" w:rsidP="00613DB9">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3" w:history="1">
        <w:r w:rsidRPr="00441AD1">
          <w:rPr>
            <w:rStyle w:val="Hyperlink"/>
            <w:rFonts w:ascii="Arial" w:hAnsi="Arial" w:cs="Arial"/>
            <w:sz w:val="18"/>
            <w:szCs w:val="18"/>
            <w:lang w:val="en-US"/>
          </w:rPr>
          <w:t>Back to Office Report – Orientation Mission October 19-15, 2008</w:t>
        </w:r>
      </w:hyperlink>
      <w:r w:rsidRPr="00441AD1">
        <w:rPr>
          <w:rFonts w:ascii="Arial" w:hAnsi="Arial" w:cs="Arial"/>
          <w:sz w:val="18"/>
          <w:szCs w:val="18"/>
          <w:lang w:val="en-US"/>
        </w:rPr>
        <w:t>.</w:t>
      </w:r>
    </w:p>
  </w:footnote>
  <w:footnote w:id="4">
    <w:p w14:paraId="53CD0CA1" w14:textId="77777777" w:rsidR="007057EA" w:rsidRPr="00441AD1" w:rsidRDefault="007057EA" w:rsidP="00613DB9">
      <w:pPr>
        <w:pStyle w:val="FootnoteText"/>
        <w:rPr>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4" w:history="1">
        <w:r w:rsidRPr="00441AD1">
          <w:rPr>
            <w:rStyle w:val="Hyperlink"/>
            <w:rFonts w:ascii="Arial" w:hAnsi="Arial" w:cs="Arial"/>
            <w:sz w:val="18"/>
            <w:szCs w:val="18"/>
            <w:lang w:val="en-US"/>
          </w:rPr>
          <w:t>Barbados: Strategic Guidelines for Private Sector Development</w:t>
        </w:r>
      </w:hyperlink>
      <w:r w:rsidRPr="00441AD1">
        <w:rPr>
          <w:rFonts w:ascii="Arial" w:hAnsi="Arial" w:cs="Arial"/>
          <w:sz w:val="18"/>
          <w:szCs w:val="18"/>
          <w:lang w:val="en-US"/>
        </w:rPr>
        <w:t xml:space="preserve"> (BA-P1012) approved in 2007 by the Bank’s Private Sector Committee.</w:t>
      </w:r>
    </w:p>
  </w:footnote>
  <w:footnote w:id="5">
    <w:p w14:paraId="341A5298" w14:textId="269D42CA" w:rsidR="007057EA" w:rsidRPr="00441AD1" w:rsidRDefault="007057EA" w:rsidP="000B3F32">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5" w:history="1">
        <w:r w:rsidRPr="00441AD1">
          <w:rPr>
            <w:rStyle w:val="Hyperlink"/>
            <w:rFonts w:ascii="Arial" w:hAnsi="Arial" w:cs="Arial"/>
            <w:sz w:val="18"/>
            <w:szCs w:val="18"/>
            <w:lang w:val="en-US"/>
          </w:rPr>
          <w:t>http://www.economicaffairs.gov.bb/archive-detail.php?id=327</w:t>
        </w:r>
      </w:hyperlink>
      <w:r w:rsidRPr="00441AD1">
        <w:rPr>
          <w:rFonts w:ascii="Arial" w:hAnsi="Arial" w:cs="Arial"/>
          <w:sz w:val="18"/>
          <w:szCs w:val="18"/>
          <w:lang w:val="en-US"/>
        </w:rPr>
        <w:t xml:space="preserve"> </w:t>
      </w:r>
    </w:p>
  </w:footnote>
  <w:footnote w:id="6">
    <w:p w14:paraId="70DF6C2E" w14:textId="6C9A1605" w:rsidR="007057EA" w:rsidRPr="00441AD1" w:rsidRDefault="007057EA" w:rsidP="000B3F32">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6" w:history="1">
        <w:r w:rsidRPr="00441AD1">
          <w:rPr>
            <w:rStyle w:val="Hyperlink"/>
            <w:rFonts w:ascii="Arial" w:hAnsi="Arial" w:cs="Arial"/>
            <w:sz w:val="18"/>
            <w:szCs w:val="18"/>
            <w:lang w:val="en-US"/>
          </w:rPr>
          <w:t>http://www.sice.oas.org/ctyindex/BRB/Plan2005-2025.pdf</w:t>
        </w:r>
      </w:hyperlink>
      <w:r w:rsidRPr="00441AD1">
        <w:rPr>
          <w:rFonts w:ascii="Arial" w:hAnsi="Arial" w:cs="Arial"/>
          <w:sz w:val="18"/>
          <w:szCs w:val="18"/>
          <w:lang w:val="en-US"/>
        </w:rPr>
        <w:t xml:space="preserve"> </w:t>
      </w:r>
    </w:p>
  </w:footnote>
  <w:footnote w:id="7">
    <w:p w14:paraId="46460E2E" w14:textId="226559BE" w:rsidR="007057EA" w:rsidRPr="00441AD1" w:rsidRDefault="007057EA" w:rsidP="000B3F32">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7" w:history="1">
        <w:r w:rsidRPr="00441AD1">
          <w:rPr>
            <w:rStyle w:val="Hyperlink"/>
            <w:rFonts w:ascii="Arial" w:hAnsi="Arial" w:cs="Arial"/>
            <w:sz w:val="18"/>
            <w:szCs w:val="18"/>
            <w:lang w:val="en-US"/>
          </w:rPr>
          <w:t>https://www.blp.org.bb/wp-content/uploads/2017/07/bb_Strategic_Plan_International_Business_Sector-2007-2012.pdf</w:t>
        </w:r>
      </w:hyperlink>
      <w:r w:rsidRPr="00441AD1">
        <w:rPr>
          <w:rFonts w:ascii="Arial" w:hAnsi="Arial" w:cs="Arial"/>
          <w:sz w:val="18"/>
          <w:szCs w:val="18"/>
          <w:lang w:val="en-US"/>
        </w:rPr>
        <w:t xml:space="preserve"> </w:t>
      </w:r>
    </w:p>
  </w:footnote>
  <w:footnote w:id="8">
    <w:p w14:paraId="089AE317" w14:textId="375D53CA" w:rsidR="007057EA" w:rsidRPr="00441AD1" w:rsidRDefault="007057EA" w:rsidP="000B3F32">
      <w:pPr>
        <w:pStyle w:val="FootnoteText"/>
        <w:rPr>
          <w:rFonts w:ascii="Arial" w:hAnsi="Arial" w:cs="Arial"/>
          <w:sz w:val="18"/>
          <w:szCs w:val="18"/>
          <w:lang w:val="en-US"/>
        </w:rPr>
      </w:pPr>
      <w:r w:rsidRPr="00441AD1">
        <w:rPr>
          <w:rStyle w:val="FootnoteReference"/>
          <w:rFonts w:ascii="Arial" w:hAnsi="Arial" w:cs="Arial"/>
          <w:color w:val="000000" w:themeColor="text1"/>
          <w:sz w:val="18"/>
          <w:szCs w:val="18"/>
        </w:rPr>
        <w:footnoteRef/>
      </w:r>
      <w:r w:rsidRPr="00441AD1">
        <w:rPr>
          <w:rFonts w:ascii="Arial" w:hAnsi="Arial" w:cs="Arial"/>
          <w:color w:val="000000" w:themeColor="text1"/>
          <w:sz w:val="18"/>
          <w:szCs w:val="18"/>
          <w:lang w:val="en-US"/>
        </w:rPr>
        <w:t xml:space="preserve"> </w:t>
      </w:r>
      <w:hyperlink r:id="rId8" w:history="1">
        <w:r w:rsidRPr="00441AD1">
          <w:rPr>
            <w:rStyle w:val="Hyperlink"/>
            <w:rFonts w:ascii="Arial" w:hAnsi="Arial" w:cs="Arial"/>
            <w:sz w:val="18"/>
            <w:szCs w:val="18"/>
            <w:shd w:val="clear" w:color="auto" w:fill="FFFFFF"/>
            <w:lang w:val="en-US"/>
          </w:rPr>
          <w:t>www.economicaffairs.gov.bb/download.php?id=327</w:t>
        </w:r>
      </w:hyperlink>
      <w:r w:rsidRPr="00441AD1">
        <w:rPr>
          <w:rFonts w:ascii="Arial" w:hAnsi="Arial" w:cs="Arial"/>
          <w:color w:val="000000" w:themeColor="text1"/>
          <w:sz w:val="18"/>
          <w:szCs w:val="18"/>
          <w:shd w:val="clear" w:color="auto" w:fill="FFFFFF"/>
          <w:lang w:val="en-US"/>
        </w:rPr>
        <w:t xml:space="preserve"> </w:t>
      </w:r>
    </w:p>
  </w:footnote>
  <w:footnote w:id="9">
    <w:p w14:paraId="0DE22D3A" w14:textId="7309B77B" w:rsidR="007057EA" w:rsidRPr="00441AD1" w:rsidRDefault="007057EA" w:rsidP="00A22D3A">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9" w:history="1">
        <w:r w:rsidRPr="00441AD1">
          <w:rPr>
            <w:rStyle w:val="Hyperlink"/>
            <w:rFonts w:ascii="Arial" w:hAnsi="Arial" w:cs="Arial"/>
            <w:sz w:val="18"/>
            <w:szCs w:val="18"/>
            <w:lang w:val="en-US"/>
          </w:rPr>
          <w:t>http://www3.weforum.org/docs/GCR2016-2017/05FullReport/TheGlobalCompetitivenessReport2016-2017_FINAL.pdf</w:t>
        </w:r>
      </w:hyperlink>
      <w:r w:rsidRPr="00441AD1">
        <w:rPr>
          <w:rFonts w:ascii="Arial" w:hAnsi="Arial" w:cs="Arial"/>
          <w:sz w:val="18"/>
          <w:szCs w:val="18"/>
          <w:lang w:val="en-US"/>
        </w:rPr>
        <w:t xml:space="preserve"> </w:t>
      </w:r>
    </w:p>
  </w:footnote>
  <w:footnote w:id="10">
    <w:p w14:paraId="38EDBEAC" w14:textId="59A324FB" w:rsidR="007057EA" w:rsidRPr="00441AD1" w:rsidRDefault="007057EA" w:rsidP="00A22D3A">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10" w:history="1">
        <w:r w:rsidRPr="00D37A3C">
          <w:rPr>
            <w:rStyle w:val="Hyperlink"/>
            <w:rFonts w:ascii="Arial" w:hAnsi="Arial" w:cs="Arial"/>
            <w:sz w:val="18"/>
            <w:szCs w:val="18"/>
            <w:lang w:val="en-US"/>
          </w:rPr>
          <w:t>http://reports.weforum.org/global-competitiveness-report-2015-2016/institutions/</w:t>
        </w:r>
      </w:hyperlink>
      <w:r>
        <w:rPr>
          <w:rFonts w:ascii="Arial" w:hAnsi="Arial" w:cs="Arial"/>
          <w:sz w:val="18"/>
          <w:szCs w:val="18"/>
          <w:lang w:val="en-US"/>
        </w:rPr>
        <w:t xml:space="preserve"> </w:t>
      </w:r>
    </w:p>
  </w:footnote>
  <w:footnote w:id="11">
    <w:p w14:paraId="13B89398" w14:textId="1B15AC9D" w:rsidR="007057EA" w:rsidRPr="00441AD1" w:rsidRDefault="007057EA" w:rsidP="00A22D3A">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11" w:history="1">
        <w:r w:rsidRPr="00D37A3C">
          <w:rPr>
            <w:rStyle w:val="Hyperlink"/>
            <w:rFonts w:ascii="Arial" w:hAnsi="Arial" w:cs="Arial"/>
            <w:sz w:val="18"/>
            <w:szCs w:val="18"/>
            <w:lang w:val="en-US"/>
          </w:rPr>
          <w:t>http://www.townplanning.gov.bb/</w:t>
        </w:r>
      </w:hyperlink>
      <w:r>
        <w:rPr>
          <w:rFonts w:ascii="Arial" w:hAnsi="Arial" w:cs="Arial"/>
          <w:sz w:val="18"/>
          <w:szCs w:val="18"/>
          <w:lang w:val="en-US"/>
        </w:rPr>
        <w:t xml:space="preserve"> </w:t>
      </w:r>
    </w:p>
  </w:footnote>
  <w:footnote w:id="12">
    <w:p w14:paraId="2B02F028" w14:textId="02AA6667" w:rsidR="007057EA" w:rsidRPr="00441AD1" w:rsidRDefault="007057EA" w:rsidP="00A22D3A">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12" w:history="1">
        <w:r w:rsidRPr="00D37A3C">
          <w:rPr>
            <w:rStyle w:val="Hyperlink"/>
            <w:rFonts w:ascii="Arial" w:hAnsi="Arial" w:cs="Arial"/>
            <w:sz w:val="18"/>
            <w:szCs w:val="18"/>
            <w:lang w:val="en-US"/>
          </w:rPr>
          <w:t>http://archivo.cepal.org/pdfs/2009/S2009724.pdf</w:t>
        </w:r>
      </w:hyperlink>
      <w:r>
        <w:rPr>
          <w:rFonts w:ascii="Arial" w:hAnsi="Arial" w:cs="Arial"/>
          <w:sz w:val="18"/>
          <w:szCs w:val="18"/>
          <w:lang w:val="en-US"/>
        </w:rPr>
        <w:t xml:space="preserve"> </w:t>
      </w:r>
    </w:p>
  </w:footnote>
  <w:footnote w:id="13">
    <w:p w14:paraId="2AC40261" w14:textId="44252D87" w:rsidR="007057EA" w:rsidRPr="00441AD1" w:rsidRDefault="007057EA" w:rsidP="00A22D3A">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13" w:history="1">
        <w:r w:rsidRPr="00D37A3C">
          <w:rPr>
            <w:rStyle w:val="Hyperlink"/>
            <w:rFonts w:ascii="Arial" w:hAnsi="Arial" w:cs="Arial"/>
            <w:sz w:val="18"/>
            <w:szCs w:val="18"/>
            <w:lang w:val="en-US"/>
          </w:rPr>
          <w:t>http://competecaribbean.org/psars/2014-barbados-private-sector-assessment-report/</w:t>
        </w:r>
      </w:hyperlink>
      <w:r>
        <w:rPr>
          <w:rFonts w:ascii="Arial" w:hAnsi="Arial" w:cs="Arial"/>
          <w:sz w:val="18"/>
          <w:szCs w:val="18"/>
          <w:lang w:val="en-US"/>
        </w:rPr>
        <w:t xml:space="preserve"> </w:t>
      </w:r>
    </w:p>
  </w:footnote>
  <w:footnote w:id="14">
    <w:p w14:paraId="699547F0" w14:textId="2C5AE251" w:rsidR="007057EA" w:rsidRPr="00441AD1" w:rsidRDefault="007057EA" w:rsidP="00BD534F">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14" w:history="1">
        <w:r w:rsidRPr="00D37A3C">
          <w:rPr>
            <w:rStyle w:val="Hyperlink"/>
            <w:rFonts w:ascii="Arial" w:hAnsi="Arial" w:cs="Arial"/>
            <w:sz w:val="18"/>
            <w:szCs w:val="18"/>
            <w:lang w:val="en-US"/>
          </w:rPr>
          <w:t>http://www.iadb.org/en/sector/science-and-technology/sector-framework,18415.html</w:t>
        </w:r>
      </w:hyperlink>
      <w:r>
        <w:rPr>
          <w:rFonts w:ascii="Arial" w:hAnsi="Arial" w:cs="Arial"/>
          <w:sz w:val="18"/>
          <w:szCs w:val="18"/>
          <w:lang w:val="en-US"/>
        </w:rPr>
        <w:t xml:space="preserve"> </w:t>
      </w:r>
    </w:p>
  </w:footnote>
  <w:footnote w:id="15">
    <w:p w14:paraId="1EF59F53" w14:textId="3CB7D681" w:rsidR="007057EA" w:rsidRPr="00441AD1" w:rsidRDefault="007057EA" w:rsidP="00BD534F">
      <w:pPr>
        <w:pStyle w:val="FootnoteText"/>
        <w:rPr>
          <w:rFonts w:ascii="Arial" w:hAnsi="Arial" w:cs="Arial"/>
          <w:sz w:val="18"/>
          <w:szCs w:val="18"/>
          <w:lang w:val="en-US"/>
        </w:rPr>
      </w:pPr>
      <w:r w:rsidRPr="00441AD1">
        <w:rPr>
          <w:rStyle w:val="FootnoteReference"/>
          <w:rFonts w:ascii="Arial" w:hAnsi="Arial" w:cs="Arial"/>
          <w:sz w:val="18"/>
          <w:szCs w:val="18"/>
        </w:rPr>
        <w:footnoteRef/>
      </w:r>
      <w:r w:rsidRPr="00441AD1">
        <w:rPr>
          <w:rFonts w:ascii="Arial" w:hAnsi="Arial" w:cs="Arial"/>
          <w:sz w:val="18"/>
          <w:szCs w:val="18"/>
          <w:lang w:val="en-US"/>
        </w:rPr>
        <w:t xml:space="preserve"> </w:t>
      </w:r>
      <w:hyperlink r:id="rId15" w:history="1">
        <w:r w:rsidRPr="00D37A3C">
          <w:rPr>
            <w:rStyle w:val="Hyperlink"/>
            <w:rFonts w:ascii="Arial" w:hAnsi="Arial" w:cs="Arial"/>
            <w:sz w:val="18"/>
            <w:szCs w:val="18"/>
            <w:lang w:val="en-US"/>
          </w:rPr>
          <w:t>https://publications.iadb.org/handle/11319/6419</w:t>
        </w:r>
      </w:hyperlink>
      <w:r>
        <w:rPr>
          <w:rFonts w:ascii="Arial" w:hAnsi="Arial" w:cs="Arial"/>
          <w:sz w:val="18"/>
          <w:szCs w:val="18"/>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56066"/>
    <w:multiLevelType w:val="hybridMultilevel"/>
    <w:tmpl w:val="70D65DDA"/>
    <w:lvl w:ilvl="0" w:tplc="04090019">
      <w:start w:val="1"/>
      <w:numFmt w:val="lowerLetter"/>
      <w:lvlText w:val="%1."/>
      <w:lvlJc w:val="left"/>
      <w:pPr>
        <w:ind w:left="1800" w:hanging="360"/>
      </w:pPr>
      <w:rPr>
        <w:rFonts w:hint="default"/>
        <w:vanish w:val="0"/>
        <w:color w:val="auto"/>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15:restartNumberingAfterBreak="0">
    <w:nsid w:val="1CBB61E3"/>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27134E32"/>
    <w:multiLevelType w:val="hybridMultilevel"/>
    <w:tmpl w:val="74BCD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637738"/>
    <w:multiLevelType w:val="hybridMultilevel"/>
    <w:tmpl w:val="7AE40956"/>
    <w:lvl w:ilvl="0" w:tplc="9502E8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DE2302"/>
    <w:multiLevelType w:val="multilevel"/>
    <w:tmpl w:val="6A5EF4A6"/>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F2B4B73"/>
    <w:multiLevelType w:val="hybridMultilevel"/>
    <w:tmpl w:val="6B2CE32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8F375A"/>
    <w:multiLevelType w:val="multilevel"/>
    <w:tmpl w:val="451EFCD0"/>
    <w:lvl w:ilvl="0">
      <w:start w:val="1"/>
      <w:numFmt w:val="upperRoman"/>
      <w:pStyle w:val="Heading1"/>
      <w:lvlText w:val="%1."/>
      <w:lvlJc w:val="left"/>
      <w:pPr>
        <w:ind w:left="4500" w:hanging="360"/>
      </w:pPr>
      <w:rPr>
        <w:rFonts w:ascii="Arial" w:hAnsi="Arial" w:hint="default"/>
        <w:b/>
        <w:i w:val="0"/>
        <w:color w:val="auto"/>
        <w:sz w:val="22"/>
        <w:lang w:val="es-MX"/>
      </w:rPr>
    </w:lvl>
    <w:lvl w:ilvl="1">
      <w:start w:val="1"/>
      <w:numFmt w:val="decimal"/>
      <w:isLgl/>
      <w:lvlText w:val="%1.%2"/>
      <w:lvlJc w:val="left"/>
      <w:pPr>
        <w:ind w:left="1800" w:hanging="720"/>
      </w:pPr>
      <w:rPr>
        <w:color w:val="auto"/>
      </w:rPr>
    </w:lvl>
    <w:lvl w:ilvl="2">
      <w:start w:val="1"/>
      <w:numFmt w:val="decimal"/>
      <w:isLgl/>
      <w:lvlText w:val="%1.%2.%3"/>
      <w:lvlJc w:val="left"/>
      <w:pPr>
        <w:ind w:left="2520" w:hanging="720"/>
      </w:pPr>
    </w:lvl>
    <w:lvl w:ilvl="3">
      <w:start w:val="1"/>
      <w:numFmt w:val="decimal"/>
      <w:isLgl/>
      <w:lvlText w:val="%1.%2.%3.%4"/>
      <w:lvlJc w:val="left"/>
      <w:pPr>
        <w:ind w:left="3600" w:hanging="1080"/>
      </w:pPr>
    </w:lvl>
    <w:lvl w:ilvl="4">
      <w:start w:val="1"/>
      <w:numFmt w:val="decimal"/>
      <w:isLgl/>
      <w:lvlText w:val="%1.%2.%3.%4.%5"/>
      <w:lvlJc w:val="left"/>
      <w:pPr>
        <w:ind w:left="4320" w:hanging="1080"/>
      </w:pPr>
    </w:lvl>
    <w:lvl w:ilvl="5">
      <w:start w:val="1"/>
      <w:numFmt w:val="decimal"/>
      <w:isLgl/>
      <w:lvlText w:val="%1.%2.%3.%4.%5.%6"/>
      <w:lvlJc w:val="left"/>
      <w:pPr>
        <w:ind w:left="5400" w:hanging="1440"/>
      </w:pPr>
    </w:lvl>
    <w:lvl w:ilvl="6">
      <w:start w:val="1"/>
      <w:numFmt w:val="decimal"/>
      <w:isLgl/>
      <w:lvlText w:val="%1.%2.%3.%4.%5.%6.%7"/>
      <w:lvlJc w:val="left"/>
      <w:pPr>
        <w:ind w:left="6480" w:hanging="1800"/>
      </w:pPr>
    </w:lvl>
    <w:lvl w:ilvl="7">
      <w:start w:val="1"/>
      <w:numFmt w:val="decimal"/>
      <w:isLgl/>
      <w:lvlText w:val="%1.%2.%3.%4.%5.%6.%7.%8"/>
      <w:lvlJc w:val="left"/>
      <w:pPr>
        <w:ind w:left="7200" w:hanging="1800"/>
      </w:pPr>
    </w:lvl>
    <w:lvl w:ilvl="8">
      <w:start w:val="1"/>
      <w:numFmt w:val="decimal"/>
      <w:isLgl/>
      <w:lvlText w:val="%1.%2.%3.%4.%5.%6.%7.%8.%9"/>
      <w:lvlJc w:val="left"/>
      <w:pPr>
        <w:ind w:left="8280" w:hanging="2160"/>
      </w:pPr>
    </w:lvl>
  </w:abstractNum>
  <w:abstractNum w:abstractNumId="7" w15:restartNumberingAfterBreak="0">
    <w:nsid w:val="47E97817"/>
    <w:multiLevelType w:val="hybridMultilevel"/>
    <w:tmpl w:val="112E66FA"/>
    <w:lvl w:ilvl="0" w:tplc="04090019">
      <w:start w:val="1"/>
      <w:numFmt w:val="lowerLetter"/>
      <w:lvlText w:val="%1."/>
      <w:lvlJc w:val="left"/>
      <w:pPr>
        <w:ind w:left="1800" w:hanging="360"/>
      </w:pPr>
      <w:rPr>
        <w:rFonts w:hint="default"/>
        <w:vanish w:val="0"/>
        <w:color w:val="auto"/>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8" w15:restartNumberingAfterBreak="0">
    <w:nsid w:val="525D726A"/>
    <w:multiLevelType w:val="hybridMultilevel"/>
    <w:tmpl w:val="112E66FA"/>
    <w:lvl w:ilvl="0" w:tplc="04090019">
      <w:start w:val="1"/>
      <w:numFmt w:val="lowerLetter"/>
      <w:pStyle w:val="Heading3"/>
      <w:lvlText w:val="%1."/>
      <w:lvlJc w:val="left"/>
      <w:pPr>
        <w:ind w:left="1800" w:hanging="360"/>
      </w:pPr>
      <w:rPr>
        <w:rFonts w:hint="default"/>
        <w:vanish w:val="0"/>
        <w:color w:val="auto"/>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9" w15:restartNumberingAfterBreak="0">
    <w:nsid w:val="685A06A4"/>
    <w:multiLevelType w:val="multilevel"/>
    <w:tmpl w:val="F47838DC"/>
    <w:lvl w:ilvl="0">
      <w:start w:val="1"/>
      <w:numFmt w:val="decimal"/>
      <w:lvlText w:val="%1."/>
      <w:lvlJc w:val="left"/>
      <w:pPr>
        <w:ind w:left="1440" w:hanging="360"/>
      </w:pPr>
    </w:lvl>
    <w:lvl w:ilvl="1">
      <w:start w:val="1"/>
      <w:numFmt w:val="decimal"/>
      <w:isLgl/>
      <w:lvlText w:val="%1.%2"/>
      <w:lvlJc w:val="left"/>
      <w:pPr>
        <w:ind w:left="1800" w:hanging="720"/>
      </w:pPr>
      <w:rPr>
        <w:b/>
      </w:rPr>
    </w:lvl>
    <w:lvl w:ilvl="2">
      <w:start w:val="1"/>
      <w:numFmt w:val="decimal"/>
      <w:isLgl/>
      <w:lvlText w:val="%1.%2.%3"/>
      <w:lvlJc w:val="left"/>
      <w:pPr>
        <w:ind w:left="1800" w:hanging="720"/>
      </w:pPr>
    </w:lvl>
    <w:lvl w:ilvl="3">
      <w:start w:val="1"/>
      <w:numFmt w:val="decimal"/>
      <w:isLgl/>
      <w:lvlText w:val="%1.%2.%3.%4"/>
      <w:lvlJc w:val="left"/>
      <w:pPr>
        <w:ind w:left="2160" w:hanging="1080"/>
      </w:pPr>
    </w:lvl>
    <w:lvl w:ilvl="4">
      <w:start w:val="1"/>
      <w:numFmt w:val="decimal"/>
      <w:isLgl/>
      <w:lvlText w:val="%1.%2.%3.%4.%5"/>
      <w:lvlJc w:val="left"/>
      <w:pPr>
        <w:ind w:left="2160" w:hanging="108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num w:numId="1">
    <w:abstractNumId w:val="6"/>
  </w:num>
  <w:num w:numId="2">
    <w:abstractNumId w:val="4"/>
  </w:num>
  <w:num w:numId="3">
    <w:abstractNumId w:val="8"/>
  </w:num>
  <w:num w:numId="4">
    <w:abstractNumId w:val="1"/>
  </w:num>
  <w:num w:numId="5">
    <w:abstractNumId w:val="2"/>
  </w:num>
  <w:num w:numId="6">
    <w:abstractNumId w:val="7"/>
  </w:num>
  <w:num w:numId="7">
    <w:abstractNumId w:val="0"/>
  </w:num>
  <w:num w:numId="8">
    <w:abstractNumId w:val="3"/>
  </w:num>
  <w:num w:numId="9">
    <w:abstractNumId w:val="5"/>
  </w:num>
  <w:num w:numId="10">
    <w:abstractNumId w:val="9"/>
    <w:lvlOverride w:ilvl="0">
      <w:startOverride w:val="2"/>
    </w:lvlOverride>
    <w:lvlOverride w:ilvl="1">
      <w:startOverride w:val="1"/>
    </w:lvlOverride>
  </w:num>
  <w:num w:numId="11">
    <w:abstractNumId w:val="6"/>
  </w:num>
  <w:num w:numId="12">
    <w:abstractNumId w:val="6"/>
  </w:num>
  <w:num w:numId="13">
    <w:abstractNumId w:val="6"/>
  </w:num>
  <w:num w:numId="14">
    <w:abstractNumId w:val="6"/>
  </w:num>
  <w:num w:numId="15">
    <w:abstractNumId w:val="8"/>
  </w:num>
  <w:num w:numId="16">
    <w:abstractNumId w:val="8"/>
  </w:num>
  <w:num w:numId="17">
    <w:abstractNumId w:val="8"/>
  </w:num>
  <w:num w:numId="18">
    <w:abstractNumId w:val="6"/>
  </w:num>
  <w:num w:numId="1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D7A"/>
    <w:rsid w:val="0000324D"/>
    <w:rsid w:val="00020E02"/>
    <w:rsid w:val="00040C7A"/>
    <w:rsid w:val="000763FC"/>
    <w:rsid w:val="000A1D7A"/>
    <w:rsid w:val="000B3B75"/>
    <w:rsid w:val="000B3F32"/>
    <w:rsid w:val="000B4FB5"/>
    <w:rsid w:val="000D057C"/>
    <w:rsid w:val="000D2427"/>
    <w:rsid w:val="000E69AE"/>
    <w:rsid w:val="000F0057"/>
    <w:rsid w:val="00126691"/>
    <w:rsid w:val="00135036"/>
    <w:rsid w:val="001539CC"/>
    <w:rsid w:val="00176A44"/>
    <w:rsid w:val="001850E5"/>
    <w:rsid w:val="001B21C5"/>
    <w:rsid w:val="001F30C0"/>
    <w:rsid w:val="001F3177"/>
    <w:rsid w:val="00203E96"/>
    <w:rsid w:val="00227DFF"/>
    <w:rsid w:val="00230A61"/>
    <w:rsid w:val="00262E06"/>
    <w:rsid w:val="00295447"/>
    <w:rsid w:val="002C409D"/>
    <w:rsid w:val="002E0FD0"/>
    <w:rsid w:val="002F46E1"/>
    <w:rsid w:val="003034F2"/>
    <w:rsid w:val="00305608"/>
    <w:rsid w:val="003117FE"/>
    <w:rsid w:val="00315F4F"/>
    <w:rsid w:val="00320DC2"/>
    <w:rsid w:val="00323DA9"/>
    <w:rsid w:val="0035317B"/>
    <w:rsid w:val="0035430F"/>
    <w:rsid w:val="003660F4"/>
    <w:rsid w:val="0038106F"/>
    <w:rsid w:val="003853DD"/>
    <w:rsid w:val="00387E23"/>
    <w:rsid w:val="003A0120"/>
    <w:rsid w:val="003C285C"/>
    <w:rsid w:val="003D7917"/>
    <w:rsid w:val="004059D9"/>
    <w:rsid w:val="00413830"/>
    <w:rsid w:val="004345F9"/>
    <w:rsid w:val="00441AD1"/>
    <w:rsid w:val="0045515E"/>
    <w:rsid w:val="004743DB"/>
    <w:rsid w:val="004A0D2E"/>
    <w:rsid w:val="004A5AC8"/>
    <w:rsid w:val="004B2D6C"/>
    <w:rsid w:val="004D0F69"/>
    <w:rsid w:val="005018BA"/>
    <w:rsid w:val="005064AD"/>
    <w:rsid w:val="005272FC"/>
    <w:rsid w:val="00542F1F"/>
    <w:rsid w:val="00550D5B"/>
    <w:rsid w:val="005C671D"/>
    <w:rsid w:val="005D3EB4"/>
    <w:rsid w:val="005D600D"/>
    <w:rsid w:val="005E57F3"/>
    <w:rsid w:val="005F17AA"/>
    <w:rsid w:val="005F58B6"/>
    <w:rsid w:val="00605C33"/>
    <w:rsid w:val="00613DB9"/>
    <w:rsid w:val="0061695B"/>
    <w:rsid w:val="00632529"/>
    <w:rsid w:val="006356B5"/>
    <w:rsid w:val="00644EC7"/>
    <w:rsid w:val="0065292F"/>
    <w:rsid w:val="00652F88"/>
    <w:rsid w:val="00687ECB"/>
    <w:rsid w:val="006A7234"/>
    <w:rsid w:val="006C292D"/>
    <w:rsid w:val="006D4864"/>
    <w:rsid w:val="006F6C48"/>
    <w:rsid w:val="007037F8"/>
    <w:rsid w:val="007057EA"/>
    <w:rsid w:val="00730C6A"/>
    <w:rsid w:val="00731314"/>
    <w:rsid w:val="00735DE3"/>
    <w:rsid w:val="00736B71"/>
    <w:rsid w:val="00744318"/>
    <w:rsid w:val="00752D07"/>
    <w:rsid w:val="007603A0"/>
    <w:rsid w:val="00763C17"/>
    <w:rsid w:val="00772A2D"/>
    <w:rsid w:val="00773FF2"/>
    <w:rsid w:val="0078177F"/>
    <w:rsid w:val="00786C2D"/>
    <w:rsid w:val="00793553"/>
    <w:rsid w:val="00795962"/>
    <w:rsid w:val="007B1A36"/>
    <w:rsid w:val="007D46C7"/>
    <w:rsid w:val="007E336E"/>
    <w:rsid w:val="0084555B"/>
    <w:rsid w:val="0085468C"/>
    <w:rsid w:val="0087636A"/>
    <w:rsid w:val="00876800"/>
    <w:rsid w:val="008A02A1"/>
    <w:rsid w:val="008B7075"/>
    <w:rsid w:val="008C1B78"/>
    <w:rsid w:val="008D2557"/>
    <w:rsid w:val="008E3065"/>
    <w:rsid w:val="0090321C"/>
    <w:rsid w:val="00903683"/>
    <w:rsid w:val="00923ED1"/>
    <w:rsid w:val="009378E5"/>
    <w:rsid w:val="0094065B"/>
    <w:rsid w:val="009622C3"/>
    <w:rsid w:val="00962DFF"/>
    <w:rsid w:val="00997527"/>
    <w:rsid w:val="009B4D7A"/>
    <w:rsid w:val="009D10F8"/>
    <w:rsid w:val="009F1F8D"/>
    <w:rsid w:val="00A0641E"/>
    <w:rsid w:val="00A22D3A"/>
    <w:rsid w:val="00A66C7C"/>
    <w:rsid w:val="00A67811"/>
    <w:rsid w:val="00A85D71"/>
    <w:rsid w:val="00A92BE4"/>
    <w:rsid w:val="00AA0268"/>
    <w:rsid w:val="00AB0DD1"/>
    <w:rsid w:val="00AC26BF"/>
    <w:rsid w:val="00AE3731"/>
    <w:rsid w:val="00AF0581"/>
    <w:rsid w:val="00B21776"/>
    <w:rsid w:val="00B33FC2"/>
    <w:rsid w:val="00B41944"/>
    <w:rsid w:val="00B424E4"/>
    <w:rsid w:val="00B45F45"/>
    <w:rsid w:val="00B54E29"/>
    <w:rsid w:val="00B55AFD"/>
    <w:rsid w:val="00B659FB"/>
    <w:rsid w:val="00B75691"/>
    <w:rsid w:val="00B85E0C"/>
    <w:rsid w:val="00B95D11"/>
    <w:rsid w:val="00BA4B77"/>
    <w:rsid w:val="00BB68A0"/>
    <w:rsid w:val="00BC08DB"/>
    <w:rsid w:val="00BD534F"/>
    <w:rsid w:val="00BE2CE8"/>
    <w:rsid w:val="00C12A9E"/>
    <w:rsid w:val="00C42573"/>
    <w:rsid w:val="00C42ACE"/>
    <w:rsid w:val="00C527B8"/>
    <w:rsid w:val="00C77273"/>
    <w:rsid w:val="00C80F99"/>
    <w:rsid w:val="00C94F10"/>
    <w:rsid w:val="00CA60DC"/>
    <w:rsid w:val="00CD6996"/>
    <w:rsid w:val="00CF79ED"/>
    <w:rsid w:val="00D168A3"/>
    <w:rsid w:val="00D244E2"/>
    <w:rsid w:val="00D359DD"/>
    <w:rsid w:val="00D41457"/>
    <w:rsid w:val="00D557FA"/>
    <w:rsid w:val="00D61C76"/>
    <w:rsid w:val="00D87F3C"/>
    <w:rsid w:val="00D955B4"/>
    <w:rsid w:val="00DB7D95"/>
    <w:rsid w:val="00DF703E"/>
    <w:rsid w:val="00E0070E"/>
    <w:rsid w:val="00E0289C"/>
    <w:rsid w:val="00E11965"/>
    <w:rsid w:val="00E22493"/>
    <w:rsid w:val="00E23E1F"/>
    <w:rsid w:val="00E42941"/>
    <w:rsid w:val="00E52E4C"/>
    <w:rsid w:val="00E845E5"/>
    <w:rsid w:val="00E9709F"/>
    <w:rsid w:val="00EC0C7B"/>
    <w:rsid w:val="00EC2FAE"/>
    <w:rsid w:val="00ED6889"/>
    <w:rsid w:val="00F04172"/>
    <w:rsid w:val="00F06771"/>
    <w:rsid w:val="00F1593F"/>
    <w:rsid w:val="00F45363"/>
    <w:rsid w:val="00F545C0"/>
    <w:rsid w:val="00F81455"/>
    <w:rsid w:val="00F830D1"/>
    <w:rsid w:val="00FA30C8"/>
    <w:rsid w:val="00FA4FE3"/>
    <w:rsid w:val="00FB1927"/>
    <w:rsid w:val="00FB41F8"/>
    <w:rsid w:val="00FC298C"/>
    <w:rsid w:val="00FC7CC1"/>
    <w:rsid w:val="00FE485F"/>
    <w:rsid w:val="00FE5A08"/>
    <w:rsid w:val="00FF3F3D"/>
    <w:rsid w:val="00FF454A"/>
    <w:rsid w:val="00FF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D3B84"/>
  <w15:docId w15:val="{DCA1D926-90F6-4440-9010-8A60B4F4E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4D7A"/>
    <w:pPr>
      <w:spacing w:after="0" w:line="240" w:lineRule="auto"/>
    </w:pPr>
    <w:rPr>
      <w:rFonts w:ascii="Arial" w:hAnsi="Arial"/>
    </w:rPr>
  </w:style>
  <w:style w:type="paragraph" w:styleId="Heading1">
    <w:name w:val="heading 1"/>
    <w:basedOn w:val="Normal"/>
    <w:next w:val="Normal"/>
    <w:link w:val="Heading1Char"/>
    <w:uiPriority w:val="9"/>
    <w:qFormat/>
    <w:rsid w:val="009B4D7A"/>
    <w:pPr>
      <w:keepNext/>
      <w:keepLines/>
      <w:numPr>
        <w:numId w:val="1"/>
      </w:numPr>
      <w:spacing w:before="120" w:after="12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9B4D7A"/>
    <w:pPr>
      <w:keepNext/>
      <w:keepLines/>
      <w:spacing w:before="120" w:after="120"/>
      <w:outlineLvl w:val="1"/>
    </w:pPr>
    <w:rPr>
      <w:rFonts w:eastAsiaTheme="majorEastAsia" w:cstheme="majorBidi"/>
      <w:b/>
      <w:bCs/>
      <w:noProof/>
      <w:szCs w:val="26"/>
    </w:rPr>
  </w:style>
  <w:style w:type="paragraph" w:styleId="Heading3">
    <w:name w:val="heading 3"/>
    <w:basedOn w:val="Normal"/>
    <w:next w:val="Normal"/>
    <w:link w:val="Heading3Char"/>
    <w:uiPriority w:val="9"/>
    <w:unhideWhenUsed/>
    <w:qFormat/>
    <w:rsid w:val="009B4D7A"/>
    <w:pPr>
      <w:keepNext/>
      <w:keepLines/>
      <w:numPr>
        <w:numId w:val="3"/>
      </w:numPr>
      <w:spacing w:before="200"/>
      <w:outlineLvl w:val="2"/>
    </w:pPr>
    <w:rPr>
      <w:rFonts w:eastAsiaTheme="majorEastAsia" w:cs="Arial"/>
      <w:b/>
      <w:bCs/>
      <w:szCs w:val="26"/>
    </w:rPr>
  </w:style>
  <w:style w:type="paragraph" w:styleId="Heading4">
    <w:name w:val="heading 4"/>
    <w:basedOn w:val="Normal"/>
    <w:next w:val="Normal"/>
    <w:link w:val="Heading4Char"/>
    <w:uiPriority w:val="9"/>
    <w:semiHidden/>
    <w:unhideWhenUsed/>
    <w:qFormat/>
    <w:rsid w:val="009B4D7A"/>
    <w:pPr>
      <w:autoSpaceDE w:val="0"/>
      <w:autoSpaceDN w:val="0"/>
      <w:adjustRightInd w:val="0"/>
      <w:jc w:val="both"/>
      <w:outlineLvl w:val="3"/>
    </w:pPr>
    <w:rPr>
      <w:rFonts w:eastAsia="Times New Roman"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D7A"/>
    <w:rPr>
      <w:rFonts w:ascii="Arial" w:eastAsiaTheme="majorEastAsia" w:hAnsi="Arial" w:cstheme="majorBidi"/>
      <w:b/>
      <w:bCs/>
      <w:szCs w:val="28"/>
    </w:rPr>
  </w:style>
  <w:style w:type="character" w:customStyle="1" w:styleId="Heading2Char">
    <w:name w:val="Heading 2 Char"/>
    <w:basedOn w:val="DefaultParagraphFont"/>
    <w:link w:val="Heading2"/>
    <w:uiPriority w:val="9"/>
    <w:rsid w:val="009B4D7A"/>
    <w:rPr>
      <w:rFonts w:ascii="Arial" w:eastAsiaTheme="majorEastAsia" w:hAnsi="Arial" w:cstheme="majorBidi"/>
      <w:b/>
      <w:bCs/>
      <w:noProof/>
      <w:szCs w:val="26"/>
    </w:rPr>
  </w:style>
  <w:style w:type="character" w:customStyle="1" w:styleId="Heading3Char">
    <w:name w:val="Heading 3 Char"/>
    <w:basedOn w:val="DefaultParagraphFont"/>
    <w:link w:val="Heading3"/>
    <w:uiPriority w:val="9"/>
    <w:rsid w:val="009B4D7A"/>
    <w:rPr>
      <w:rFonts w:ascii="Arial" w:eastAsiaTheme="majorEastAsia" w:hAnsi="Arial" w:cs="Arial"/>
      <w:b/>
      <w:bCs/>
      <w:szCs w:val="26"/>
    </w:rPr>
  </w:style>
  <w:style w:type="character" w:customStyle="1" w:styleId="Heading4Char">
    <w:name w:val="Heading 4 Char"/>
    <w:basedOn w:val="DefaultParagraphFont"/>
    <w:link w:val="Heading4"/>
    <w:uiPriority w:val="9"/>
    <w:semiHidden/>
    <w:rsid w:val="009B4D7A"/>
    <w:rPr>
      <w:rFonts w:ascii="Arial" w:eastAsia="Times New Roman" w:hAnsi="Arial" w:cs="Arial"/>
      <w:sz w:val="18"/>
    </w:rPr>
  </w:style>
  <w:style w:type="character" w:styleId="Hyperlink">
    <w:name w:val="Hyperlink"/>
    <w:basedOn w:val="DefaultParagraphFont"/>
    <w:uiPriority w:val="99"/>
    <w:unhideWhenUsed/>
    <w:rsid w:val="009B4D7A"/>
    <w:rPr>
      <w:color w:val="0000FF" w:themeColor="hyperlink"/>
      <w:u w:val="single"/>
    </w:rPr>
  </w:style>
  <w:style w:type="character" w:styleId="FollowedHyperlink">
    <w:name w:val="FollowedHyperlink"/>
    <w:basedOn w:val="DefaultParagraphFont"/>
    <w:uiPriority w:val="99"/>
    <w:semiHidden/>
    <w:unhideWhenUsed/>
    <w:rsid w:val="009B4D7A"/>
    <w:rPr>
      <w:color w:val="800080" w:themeColor="followedHyperlink"/>
      <w:u w:val="single"/>
    </w:rPr>
  </w:style>
  <w:style w:type="paragraph" w:styleId="TOC1">
    <w:name w:val="toc 1"/>
    <w:basedOn w:val="Normal"/>
    <w:next w:val="Normal"/>
    <w:autoRedefine/>
    <w:uiPriority w:val="39"/>
    <w:unhideWhenUsed/>
    <w:rsid w:val="009B4D7A"/>
    <w:pPr>
      <w:spacing w:after="100"/>
    </w:pPr>
  </w:style>
  <w:style w:type="paragraph" w:styleId="TOC2">
    <w:name w:val="toc 2"/>
    <w:basedOn w:val="Normal"/>
    <w:next w:val="Normal"/>
    <w:autoRedefine/>
    <w:uiPriority w:val="39"/>
    <w:unhideWhenUsed/>
    <w:rsid w:val="00F81455"/>
    <w:pPr>
      <w:tabs>
        <w:tab w:val="left" w:pos="880"/>
        <w:tab w:val="right" w:leader="dot" w:pos="9350"/>
      </w:tabs>
      <w:spacing w:after="100"/>
      <w:ind w:left="220"/>
    </w:pPr>
    <w:rPr>
      <w:rFonts w:cs="Times New Roman"/>
      <w:noProof/>
    </w:rPr>
  </w:style>
  <w:style w:type="paragraph" w:styleId="TOC3">
    <w:name w:val="toc 3"/>
    <w:basedOn w:val="Normal"/>
    <w:next w:val="Normal"/>
    <w:autoRedefine/>
    <w:uiPriority w:val="39"/>
    <w:unhideWhenUsed/>
    <w:rsid w:val="009B4D7A"/>
    <w:pPr>
      <w:spacing w:after="100"/>
      <w:ind w:left="440"/>
    </w:p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locked/>
    <w:rsid w:val="009B4D7A"/>
    <w:rPr>
      <w:rFonts w:ascii="Times New Roman" w:eastAsia="Times New Roman" w:hAnsi="Times New Roman" w:cs="Times New Roman"/>
      <w:sz w:val="24"/>
      <w:szCs w:val="24"/>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iPriority w:val="99"/>
    <w:unhideWhenUsed/>
    <w:rsid w:val="009B4D7A"/>
    <w:rPr>
      <w:rFonts w:ascii="Times New Roman" w:eastAsia="Times New Roman" w:hAnsi="Times New Roman" w:cs="Times New Roman"/>
      <w:sz w:val="24"/>
      <w:szCs w:val="24"/>
      <w:lang w:val="es-ES"/>
    </w:rPr>
  </w:style>
  <w:style w:type="character" w:customStyle="1" w:styleId="FootnoteTextChar1">
    <w:name w:val="Footnote Text Char1"/>
    <w:aliases w:val="fn Char1,texto de nota al pie Char1,Texto nota pie Car Car Car Car Car Car Car Car Char1,Texto nota pie Car Car Car Char1,Footnote Text Char Char Char Char Char Char Char1,Texto nota pie Car Car Car Car Car Char1,single space Char"/>
    <w:basedOn w:val="DefaultParagraphFont"/>
    <w:uiPriority w:val="99"/>
    <w:semiHidden/>
    <w:rsid w:val="009B4D7A"/>
    <w:rPr>
      <w:rFonts w:ascii="Arial" w:hAnsi="Arial"/>
      <w:sz w:val="20"/>
      <w:szCs w:val="20"/>
    </w:rPr>
  </w:style>
  <w:style w:type="character" w:customStyle="1" w:styleId="HeaderChar">
    <w:name w:val="Header Char"/>
    <w:aliases w:val="KH Heading 2 Char"/>
    <w:basedOn w:val="DefaultParagraphFont"/>
    <w:link w:val="Header"/>
    <w:uiPriority w:val="99"/>
    <w:locked/>
    <w:rsid w:val="009B4D7A"/>
    <w:rPr>
      <w:rFonts w:ascii="Arial" w:hAnsi="Arial" w:cs="Arial"/>
    </w:rPr>
  </w:style>
  <w:style w:type="paragraph" w:styleId="Header">
    <w:name w:val="header"/>
    <w:aliases w:val="KH Heading 2"/>
    <w:basedOn w:val="Normal"/>
    <w:link w:val="HeaderChar"/>
    <w:uiPriority w:val="99"/>
    <w:unhideWhenUsed/>
    <w:rsid w:val="009B4D7A"/>
    <w:pPr>
      <w:tabs>
        <w:tab w:val="center" w:pos="4680"/>
        <w:tab w:val="right" w:pos="9360"/>
      </w:tabs>
    </w:pPr>
    <w:rPr>
      <w:rFonts w:cs="Arial"/>
    </w:rPr>
  </w:style>
  <w:style w:type="character" w:customStyle="1" w:styleId="HeaderChar1">
    <w:name w:val="Header Char1"/>
    <w:aliases w:val="KH Heading 2 Char1"/>
    <w:basedOn w:val="DefaultParagraphFont"/>
    <w:uiPriority w:val="99"/>
    <w:semiHidden/>
    <w:rsid w:val="009B4D7A"/>
    <w:rPr>
      <w:rFonts w:ascii="Arial" w:hAnsi="Arial"/>
    </w:rPr>
  </w:style>
  <w:style w:type="paragraph" w:styleId="Footer">
    <w:name w:val="footer"/>
    <w:basedOn w:val="Normal"/>
    <w:link w:val="FooterChar"/>
    <w:uiPriority w:val="99"/>
    <w:unhideWhenUsed/>
    <w:rsid w:val="009B4D7A"/>
    <w:pPr>
      <w:tabs>
        <w:tab w:val="center" w:pos="4680"/>
        <w:tab w:val="right" w:pos="9360"/>
      </w:tabs>
    </w:pPr>
  </w:style>
  <w:style w:type="character" w:customStyle="1" w:styleId="FooterChar">
    <w:name w:val="Footer Char"/>
    <w:basedOn w:val="DefaultParagraphFont"/>
    <w:link w:val="Footer"/>
    <w:uiPriority w:val="99"/>
    <w:rsid w:val="009B4D7A"/>
    <w:rPr>
      <w:rFonts w:ascii="Arial" w:hAnsi="Arial"/>
    </w:rPr>
  </w:style>
  <w:style w:type="paragraph" w:styleId="Title">
    <w:name w:val="Title"/>
    <w:basedOn w:val="Normal"/>
    <w:next w:val="Normal"/>
    <w:link w:val="TitleChar"/>
    <w:uiPriority w:val="10"/>
    <w:qFormat/>
    <w:rsid w:val="009B4D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4D7A"/>
    <w:rPr>
      <w:rFonts w:asciiTheme="majorHAnsi" w:eastAsiaTheme="majorEastAsia" w:hAnsiTheme="majorHAnsi" w:cstheme="majorBidi"/>
      <w:color w:val="17365D" w:themeColor="text2" w:themeShade="BF"/>
      <w:spacing w:val="5"/>
      <w:kern w:val="28"/>
      <w:sz w:val="52"/>
      <w:szCs w:val="52"/>
    </w:rPr>
  </w:style>
  <w:style w:type="paragraph" w:styleId="DocumentMap">
    <w:name w:val="Document Map"/>
    <w:basedOn w:val="Normal"/>
    <w:link w:val="DocumentMapChar"/>
    <w:uiPriority w:val="99"/>
    <w:semiHidden/>
    <w:unhideWhenUsed/>
    <w:rsid w:val="009B4D7A"/>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9B4D7A"/>
    <w:rPr>
      <w:rFonts w:ascii="Lucida Grande" w:hAnsi="Lucida Grande" w:cs="Lucida Grande"/>
      <w:sz w:val="24"/>
      <w:szCs w:val="24"/>
    </w:rPr>
  </w:style>
  <w:style w:type="paragraph" w:styleId="BalloonText">
    <w:name w:val="Balloon Text"/>
    <w:basedOn w:val="Normal"/>
    <w:link w:val="BalloonTextChar"/>
    <w:uiPriority w:val="99"/>
    <w:semiHidden/>
    <w:unhideWhenUsed/>
    <w:rsid w:val="009B4D7A"/>
    <w:rPr>
      <w:rFonts w:ascii="Tahoma" w:hAnsi="Tahoma" w:cs="Tahoma"/>
      <w:sz w:val="16"/>
      <w:szCs w:val="16"/>
    </w:rPr>
  </w:style>
  <w:style w:type="character" w:customStyle="1" w:styleId="BalloonTextChar">
    <w:name w:val="Balloon Text Char"/>
    <w:basedOn w:val="DefaultParagraphFont"/>
    <w:link w:val="BalloonText"/>
    <w:uiPriority w:val="99"/>
    <w:semiHidden/>
    <w:rsid w:val="009B4D7A"/>
    <w:rPr>
      <w:rFonts w:ascii="Tahoma" w:hAnsi="Tahoma" w:cs="Tahoma"/>
      <w:sz w:val="16"/>
      <w:szCs w:val="16"/>
    </w:rPr>
  </w:style>
  <w:style w:type="paragraph" w:styleId="ListParagraph">
    <w:name w:val="List Paragraph"/>
    <w:basedOn w:val="Normal"/>
    <w:uiPriority w:val="34"/>
    <w:qFormat/>
    <w:rsid w:val="009B4D7A"/>
    <w:pPr>
      <w:ind w:left="720"/>
      <w:contextualSpacing/>
    </w:pPr>
  </w:style>
  <w:style w:type="paragraph" w:styleId="TOCHeading">
    <w:name w:val="TOC Heading"/>
    <w:basedOn w:val="Heading1"/>
    <w:next w:val="Normal"/>
    <w:uiPriority w:val="39"/>
    <w:semiHidden/>
    <w:unhideWhenUsed/>
    <w:qFormat/>
    <w:rsid w:val="009B4D7A"/>
    <w:pPr>
      <w:numPr>
        <w:numId w:val="0"/>
      </w:numPr>
      <w:outlineLvl w:val="9"/>
    </w:pPr>
    <w:rPr>
      <w:lang w:eastAsia="ja-JP"/>
    </w:rPr>
  </w:style>
  <w:style w:type="character" w:customStyle="1" w:styleId="DefaultChar">
    <w:name w:val="Default Char"/>
    <w:basedOn w:val="DefaultParagraphFont"/>
    <w:link w:val="Default"/>
    <w:locked/>
    <w:rsid w:val="009B4D7A"/>
    <w:rPr>
      <w:rFonts w:ascii="Calibri" w:eastAsia="Times New Roman" w:hAnsi="Calibri" w:cs="Times New Roman"/>
      <w:color w:val="000000"/>
      <w:sz w:val="24"/>
      <w:szCs w:val="24"/>
    </w:rPr>
  </w:style>
  <w:style w:type="paragraph" w:customStyle="1" w:styleId="Default">
    <w:name w:val="Default"/>
    <w:link w:val="DefaultChar"/>
    <w:rsid w:val="009B4D7A"/>
    <w:pPr>
      <w:autoSpaceDE w:val="0"/>
      <w:autoSpaceDN w:val="0"/>
      <w:adjustRightInd w:val="0"/>
      <w:spacing w:after="0" w:line="240" w:lineRule="auto"/>
    </w:pPr>
    <w:rPr>
      <w:rFonts w:ascii="Calibri" w:eastAsia="Times New Roman" w:hAnsi="Calibri" w:cs="Times New Roman"/>
      <w:color w:val="000000"/>
      <w:sz w:val="24"/>
      <w:szCs w:val="24"/>
    </w:rPr>
  </w:style>
  <w:style w:type="character" w:styleId="FootnoteReference">
    <w:name w:val="footnote reference"/>
    <w:aliases w:val="titulo 2,Style 24,pie pddes,referencia nota al pie,Fußnotenzeichen DISS,16 Point,Superscript 6 Point,ftref,FC"/>
    <w:uiPriority w:val="99"/>
    <w:unhideWhenUsed/>
    <w:rsid w:val="009B4D7A"/>
    <w:rPr>
      <w:vertAlign w:val="superscript"/>
    </w:rPr>
  </w:style>
  <w:style w:type="character" w:styleId="SubtleEmphasis">
    <w:name w:val="Subtle Emphasis"/>
    <w:basedOn w:val="DefaultParagraphFont"/>
    <w:uiPriority w:val="19"/>
    <w:qFormat/>
    <w:rsid w:val="009B4D7A"/>
    <w:rPr>
      <w:i/>
      <w:iCs/>
      <w:color w:val="808080" w:themeColor="text1" w:themeTint="7F"/>
    </w:rPr>
  </w:style>
  <w:style w:type="table" w:styleId="TableGrid">
    <w:name w:val="Table Grid"/>
    <w:basedOn w:val="TableNormal"/>
    <w:uiPriority w:val="59"/>
    <w:rsid w:val="009B4D7A"/>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B4D7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rsid w:val="008E3065"/>
    <w:pPr>
      <w:numPr>
        <w:numId w:val="4"/>
      </w:numPr>
    </w:pPr>
  </w:style>
  <w:style w:type="table" w:customStyle="1" w:styleId="TableGrid7">
    <w:name w:val="Table Grid7"/>
    <w:basedOn w:val="TableNormal"/>
    <w:next w:val="TableGrid"/>
    <w:uiPriority w:val="59"/>
    <w:rsid w:val="008E306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B1A36"/>
    <w:rPr>
      <w:sz w:val="16"/>
      <w:szCs w:val="16"/>
    </w:rPr>
  </w:style>
  <w:style w:type="paragraph" w:styleId="CommentText">
    <w:name w:val="annotation text"/>
    <w:basedOn w:val="Normal"/>
    <w:link w:val="CommentTextChar"/>
    <w:uiPriority w:val="99"/>
    <w:semiHidden/>
    <w:unhideWhenUsed/>
    <w:rsid w:val="007B1A36"/>
    <w:rPr>
      <w:sz w:val="20"/>
      <w:szCs w:val="20"/>
    </w:rPr>
  </w:style>
  <w:style w:type="character" w:customStyle="1" w:styleId="CommentTextChar">
    <w:name w:val="Comment Text Char"/>
    <w:basedOn w:val="DefaultParagraphFont"/>
    <w:link w:val="CommentText"/>
    <w:uiPriority w:val="99"/>
    <w:semiHidden/>
    <w:rsid w:val="007B1A3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B1A36"/>
    <w:rPr>
      <w:b/>
      <w:bCs/>
    </w:rPr>
  </w:style>
  <w:style w:type="character" w:customStyle="1" w:styleId="CommentSubjectChar">
    <w:name w:val="Comment Subject Char"/>
    <w:basedOn w:val="CommentTextChar"/>
    <w:link w:val="CommentSubject"/>
    <w:uiPriority w:val="99"/>
    <w:semiHidden/>
    <w:rsid w:val="007B1A36"/>
    <w:rPr>
      <w:rFonts w:ascii="Arial" w:hAnsi="Arial"/>
      <w:b/>
      <w:bCs/>
      <w:sz w:val="20"/>
      <w:szCs w:val="20"/>
    </w:rPr>
  </w:style>
  <w:style w:type="paragraph" w:styleId="BodyTextIndent">
    <w:name w:val="Body Text Indent"/>
    <w:basedOn w:val="Normal"/>
    <w:link w:val="BodyTextIndentChar"/>
    <w:semiHidden/>
    <w:rsid w:val="00A22D3A"/>
    <w:pPr>
      <w:ind w:left="720" w:hanging="810"/>
    </w:pPr>
    <w:rPr>
      <w:rFonts w:ascii="Times New Roman" w:eastAsia="Times New Roman" w:hAnsi="Times New Roman" w:cs="Times New Roman"/>
      <w:i/>
      <w:iCs/>
      <w:sz w:val="24"/>
      <w:szCs w:val="20"/>
      <w:lang w:val="es-ES"/>
    </w:rPr>
  </w:style>
  <w:style w:type="character" w:customStyle="1" w:styleId="BodyTextIndentChar">
    <w:name w:val="Body Text Indent Char"/>
    <w:basedOn w:val="DefaultParagraphFont"/>
    <w:link w:val="BodyTextIndent"/>
    <w:semiHidden/>
    <w:rsid w:val="00A22D3A"/>
    <w:rPr>
      <w:rFonts w:ascii="Times New Roman" w:eastAsia="Times New Roman" w:hAnsi="Times New Roman" w:cs="Times New Roman"/>
      <w:i/>
      <w:iCs/>
      <w:sz w:val="24"/>
      <w:szCs w:val="20"/>
      <w:lang w:val="es-ES"/>
    </w:rPr>
  </w:style>
  <w:style w:type="paragraph" w:styleId="NormalWeb">
    <w:name w:val="Normal (Web)"/>
    <w:basedOn w:val="Normal"/>
    <w:uiPriority w:val="99"/>
    <w:unhideWhenUsed/>
    <w:rsid w:val="00A22D3A"/>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41AD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54280">
      <w:bodyDiv w:val="1"/>
      <w:marLeft w:val="0"/>
      <w:marRight w:val="0"/>
      <w:marTop w:val="0"/>
      <w:marBottom w:val="0"/>
      <w:divBdr>
        <w:top w:val="none" w:sz="0" w:space="0" w:color="auto"/>
        <w:left w:val="none" w:sz="0" w:space="0" w:color="auto"/>
        <w:bottom w:val="none" w:sz="0" w:space="0" w:color="auto"/>
        <w:right w:val="none" w:sz="0" w:space="0" w:color="auto"/>
      </w:divBdr>
    </w:div>
    <w:div w:id="75609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BA-LON/BA-L1007/_layouts/15/DocIdRedir.aspx?ID=EZSHARE-1133377859-10"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convergence.iadb.org/operation/BA-M1007"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idbg.sharepoint.com/teams/EZ-BA-LON/BA-L1007/_layouts/15/DocIdRedir.aspx?ID=EZSHARE-1133377859-11"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iadb.org/en/projects/project-description-title,1303.html?id=BA-L1006"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convergence.iadb.org/operation/BA-T1002" TargetMode="External"/><Relationship Id="rId28"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hyperlink" Target="https://idbg.sharepoint.com/teams/EZ-BA-LON/BA-L1007/_layouts/15/DocIdRedir.aspx?ID=EZSHARE-1133377859-9"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convergence.iadb.org/operation/BA-T1004" TargetMode="External"/><Relationship Id="rId27" Type="http://schemas.openxmlformats.org/officeDocument/2006/relationships/image" Target="media/image4.png"/><Relationship Id="rId30" Type="http://schemas.openxmlformats.org/officeDocument/2006/relationships/image" Target="media/image6.emf"/></Relationships>
</file>

<file path=word/_rels/footnotes.xml.rels><?xml version="1.0" encoding="UTF-8" standalone="yes"?>
<Relationships xmlns="http://schemas.openxmlformats.org/package/2006/relationships"><Relationship Id="rId8" Type="http://schemas.openxmlformats.org/officeDocument/2006/relationships/hyperlink" Target="http://www.economicaffairs.gov.bb/download.php?id=327" TargetMode="External"/><Relationship Id="rId13" Type="http://schemas.openxmlformats.org/officeDocument/2006/relationships/hyperlink" Target="http://competecaribbean.org/psars/2014-barbados-private-sector-assessment-report/" TargetMode="External"/><Relationship Id="rId3" Type="http://schemas.openxmlformats.org/officeDocument/2006/relationships/hyperlink" Target="http://idbdocs.iadb.org/wsdocs/getDocument.aspx?DOCNUM=EZSHARE-649842333-433" TargetMode="External"/><Relationship Id="rId7" Type="http://schemas.openxmlformats.org/officeDocument/2006/relationships/hyperlink" Target="https://www.blp.org.bb/wp-content/uploads/2017/07/bb_Strategic_Plan_International_Business_Sector-2007-2012.pdf" TargetMode="External"/><Relationship Id="rId12" Type="http://schemas.openxmlformats.org/officeDocument/2006/relationships/hyperlink" Target="http://archivo.cepal.org/pdfs/2009/S2009724.pdf" TargetMode="External"/><Relationship Id="rId2" Type="http://schemas.openxmlformats.org/officeDocument/2006/relationships/hyperlink" Target="https://www.weforum.org/reports/global-competitiveness-report-2008-2009" TargetMode="External"/><Relationship Id="rId1" Type="http://schemas.openxmlformats.org/officeDocument/2006/relationships/hyperlink" Target="https://data.worldbank.org/country/barbados" TargetMode="External"/><Relationship Id="rId6" Type="http://schemas.openxmlformats.org/officeDocument/2006/relationships/hyperlink" Target="http://www.sice.oas.org/ctyindex/BRB/Plan2005-2025.pdf" TargetMode="External"/><Relationship Id="rId11" Type="http://schemas.openxmlformats.org/officeDocument/2006/relationships/hyperlink" Target="http://www.townplanning.gov.bb/" TargetMode="External"/><Relationship Id="rId5" Type="http://schemas.openxmlformats.org/officeDocument/2006/relationships/hyperlink" Target="http://www.economicaffairs.gov.bb/archive-detail.php?id=327" TargetMode="External"/><Relationship Id="rId15" Type="http://schemas.openxmlformats.org/officeDocument/2006/relationships/hyperlink" Target="https://publications.iadb.org/handle/11319/6419" TargetMode="External"/><Relationship Id="rId10" Type="http://schemas.openxmlformats.org/officeDocument/2006/relationships/hyperlink" Target="http://reports.weforum.org/global-competitiveness-report-2015-2016/institutions/" TargetMode="External"/><Relationship Id="rId4" Type="http://schemas.openxmlformats.org/officeDocument/2006/relationships/hyperlink" Target="https://idbg.sharepoint.com/teams/EZ-BA-PRG/BA-P1012/80%20IDBDocs%20Legacy/050.%20IDBDocs%20Unclassified/Strategic%20Guidelines%20for%20Private%20Sector%20Development%20(BA-P1012)%20to%20the%20PSC%20%5b1065566%5d.PDF" TargetMode="External"/><Relationship Id="rId9" Type="http://schemas.openxmlformats.org/officeDocument/2006/relationships/hyperlink" Target="http://www3.weforum.org/docs/GCR2016-2017/05FullReport/TheGlobalCompetitivenessReport2016-2017_FINAL.pdf" TargetMode="External"/><Relationship Id="rId14" Type="http://schemas.openxmlformats.org/officeDocument/2006/relationships/hyperlink" Target="http://www.iadb.org/en/sector/science-and-technology/sector-framework,1841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Corporate" ma:contentTypeID="0x0101000308A27134084F4AA40781B2DCA498A500A6448E39D7F37F4E9C70E4D793C43C97" ma:contentTypeVersion="5" ma:contentTypeDescription="The corporate content type from which other content types in the corporate content type track inherit their information." ma:contentTypeScope="" ma:versionID="7fbe91b6b6f8990f65afba1d8007b366">
  <xsd:schema xmlns:xsd="http://www.w3.org/2001/XMLSchema" xmlns:xs="http://www.w3.org/2001/XMLSchema" xmlns:p="http://schemas.microsoft.com/office/2006/metadata/properties" xmlns:ns2="cdc7663a-08f0-4737-9e8c-148ce897a09c" targetNamespace="http://schemas.microsoft.com/office/2006/metadata/properties" ma:root="true" ma:fieldsID="5bf788d7f83ae89db7377c8143ed0907"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46339a2c-a759-43f5-a320-9e18a41b2355}" ma:internalName="TaxCatchAll" ma:showField="CatchAllData" ma:web="291fbbc9-8cfb-4b1c-8eee-0b1842b90317">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46339a2c-a759-43f5-a320-9e18a41b2355}" ma:internalName="TaxCatchAllLabel" ma:readOnly="true" ma:showField="CatchAllDataLabel" ma:web="291fbbc9-8cfb-4b1c-8eee-0b1842b90317">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0308A27134084F4AA40781B2DCA498A5"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_catalogs/masterpage/ECMForms/CorporateCT/View.aspx</Display>
  <Edit>_catalogs/masterpage/ECMForms/CorporateCT/Edit.aspx</Edit>
</FormUrls>
</file>

<file path=customXml/item6.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40766950</IDBDocs_x0020_Number>
    <TaxCatchAll xmlns="cdc7663a-08f0-4737-9e8c-148ce897a09c">
      <Value>28</Value>
      <Value>22</Value>
    </TaxCatchAll>
    <SISCOR_x0020_Number xmlns="cdc7663a-08f0-4737-9e8c-148ce897a09c" xsi:nil="true"/>
    <Division_x0020_or_x0020_Unit xmlns="cdc7663a-08f0-4737-9e8c-148ce897a09c">SPD/SDV</Division_x0020_or_x0020_Unit>
    <Document_x0020_Author xmlns="cdc7663a-08f0-4737-9e8c-148ce897a09c">Cuesta Bernal, Ana Maria</Document_x0020_Author>
    <Fiscal_x0020_Year_x0020_IDB xmlns="cdc7663a-08f0-4737-9e8c-148ce897a09c">2016</Fiscal_x0020_Year_x0020_IDB>
    <Other_x0020_Author xmlns="cdc7663a-08f0-4737-9e8c-148ce897a09c" xsi:nil="true"/>
    <Migration_x0020_Info xmlns="cdc7663a-08f0-4737-9e8c-148ce897a09c">&lt;Data&gt;&lt;APPLICATION&gt;MS WORD&lt;/APPLICATION&gt;&lt;PD_OBJ_TYPE&gt;0&lt;/PD_OBJ_TYPE&gt;&lt;MAKERECORD&gt;N&lt;/MAKERECORD&gt;&lt;/Data&gt;</Migration_x0020_Info>
    <Document_x0020_Language_x0020_IDB xmlns="cdc7663a-08f0-4737-9e8c-148ce897a09c" xsi:nil="true"/>
    <Identifier xmlns="cdc7663a-08f0-4737-9e8c-148ce897a09c" xsi:nil="true"/>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ORF-07 Reports and Studies - Permanent</TermName>
          <TermId xmlns="http://schemas.microsoft.com/office/infopath/2007/PartnerControls">eaf66bbe-e3c7-4005-84d9-0afd174d8e39</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5 Organization and Functions</TermName>
          <TermId xmlns="http://schemas.microsoft.com/office/infopath/2007/PartnerControls">4701d7f9-8df6-4219-aeac-8d4b644c65a0</TermId>
        </TermInfo>
      </Terms>
    </cf0f1ca6d90e4583ad80995bcde0e58a>
    <To_x003a_ xmlns="cdc7663a-08f0-4737-9e8c-148ce897a09c" xsi:nil="true"/>
    <From_x003a_ xmlns="cdc7663a-08f0-4737-9e8c-148ce897a09c" xsi:nil="true"/>
    <_dlc_DocId xmlns="cdc7663a-08f0-4737-9e8c-148ce897a09c">EZSHARE-1800097097-18</_dlc_DocId>
    <_dlc_DocIdUrl xmlns="cdc7663a-08f0-4737-9e8c-148ce897a09c">
      <Url>https://idbg.sharepoint.com/teams/ez-SPD/SDV/PD/_layouts/15/DocIdRedir.aspx?ID=EZSHARE-1800097097-18</Url>
      <Description>EZSHARE-1800097097-18</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FDE71-8BF8-4AD0-9419-599915BCB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07F63-B833-4714-806B-8A99E7AFC067}">
  <ds:schemaRefs>
    <ds:schemaRef ds:uri="Microsoft.SharePoint.Taxonomy.ContentTypeSync"/>
  </ds:schemaRefs>
</ds:datastoreItem>
</file>

<file path=customXml/itemProps3.xml><?xml version="1.0" encoding="utf-8"?>
<ds:datastoreItem xmlns:ds="http://schemas.openxmlformats.org/officeDocument/2006/customXml" ds:itemID="{AE8A76AF-456E-4DB7-9868-AB99F267A15F}">
  <ds:schemaRefs>
    <ds:schemaRef ds:uri="http://schemas.microsoft.com/sharepoint/events"/>
  </ds:schemaRefs>
</ds:datastoreItem>
</file>

<file path=customXml/itemProps4.xml><?xml version="1.0" encoding="utf-8"?>
<ds:datastoreItem xmlns:ds="http://schemas.openxmlformats.org/officeDocument/2006/customXml" ds:itemID="{FBEE2093-FA90-403D-B77E-7915549D142F}">
  <ds:schemaRefs>
    <ds:schemaRef ds:uri="http://schemas.microsoft.com/sharepoint/v3/contenttype/forms"/>
  </ds:schemaRefs>
</ds:datastoreItem>
</file>

<file path=customXml/itemProps5.xml><?xml version="1.0" encoding="utf-8"?>
<ds:datastoreItem xmlns:ds="http://schemas.openxmlformats.org/officeDocument/2006/customXml" ds:itemID="{E9A7F767-E447-483B-8CA7-13E09E661BD3}">
  <ds:schemaRefs>
    <ds:schemaRef ds:uri="http://schemas.microsoft.com/sharepoint/v3/contenttype/forms/url"/>
  </ds:schemaRefs>
</ds:datastoreItem>
</file>

<file path=customXml/itemProps6.xml><?xml version="1.0" encoding="utf-8"?>
<ds:datastoreItem xmlns:ds="http://schemas.openxmlformats.org/officeDocument/2006/customXml" ds:itemID="{642A0A10-062C-43B0-8504-0610B8D9CC04}">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D217340E-96BC-4B81-B21B-BF76E9016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2674</TotalTime>
  <Pages>1</Pages>
  <Words>18955</Words>
  <Characters>108046</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ENG Template PCR OP-1242-5</vt:lpstr>
    </vt:vector>
  </TitlesOfParts>
  <Company>Inter-American Development Bank</Company>
  <LinksUpToDate>false</LinksUpToDate>
  <CharactersWithSpaces>126748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 Template PCR OP-1242-5</dc:title>
  <dc:creator>Test</dc:creator>
  <cp:lastModifiedBy>Gonzalez Alzualde, Yohana Beatriz</cp:lastModifiedBy>
  <cp:revision>17</cp:revision>
  <cp:lastPrinted>2017-12-06T15:40:00Z</cp:lastPrinted>
  <dcterms:created xsi:type="dcterms:W3CDTF">2017-11-29T19:28:00Z</dcterms:created>
  <dcterms:modified xsi:type="dcterms:W3CDTF">2017-12-06T15:43:00Z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0x0101000308A27134084F4AA40781B2DCA498A500A6448E39D7F37F4E9C70E4D793C43C97</vt:lpwstr>
  </property>
  <property fmtid="{D5CDD505-2E9C-101B-9397-08002B2CF9AE}" pid="3" name="TaxKeyword">
    <vt:lpwstr/>
  </property>
  <property fmtid="{D5CDD505-2E9C-101B-9397-08002B2CF9AE}" pid="4" name="Series Corporate IDB">
    <vt:lpwstr>-1;#ORF-07 Reports and Studies - Permanent|eaf66bbe-e3c7-4005-84d9-0afd174d8e39</vt:lpwstr>
  </property>
  <property fmtid="{D5CDD505-2E9C-101B-9397-08002B2CF9AE}" pid="5" name="Function Corporate IDB">
    <vt:lpwstr>-1;#5 Organization and Functions|4701d7f9-8df6-4219-aeac-8d4b644c65a0</vt:lpwstr>
  </property>
  <property fmtid="{D5CDD505-2E9C-101B-9397-08002B2CF9AE}" pid="6" name="TaxKeywordTaxHTField">
    <vt:lpwstr/>
  </property>
  <property fmtid="{D5CDD505-2E9C-101B-9397-08002B2CF9AE}" pid="7" name="Country">
    <vt:lpwstr/>
  </property>
  <property fmtid="{D5CDD505-2E9C-101B-9397-08002B2CF9AE}" pid="8" name="KP_x0020_Topics">
    <vt:lpwstr/>
  </property>
  <property fmtid="{D5CDD505-2E9C-101B-9397-08002B2CF9AE}" pid="9" name="Publication_x0020_Type">
    <vt:lpwstr/>
  </property>
  <property fmtid="{D5CDD505-2E9C-101B-9397-08002B2CF9AE}" pid="10" name="Publishing_x0020_House">
    <vt:lpwstr/>
  </property>
  <property fmtid="{D5CDD505-2E9C-101B-9397-08002B2CF9AE}" pid="11" name="Abstract">
    <vt:lpwstr/>
  </property>
  <property fmtid="{D5CDD505-2E9C-101B-9397-08002B2CF9AE}" pid="12" name="Editor1">
    <vt:lpwstr/>
  </property>
  <property fmtid="{D5CDD505-2E9C-101B-9397-08002B2CF9AE}" pid="13" name="URL">
    <vt:lpwstr/>
  </property>
  <property fmtid="{D5CDD505-2E9C-101B-9397-08002B2CF9AE}" pid="14" name="Disclosure Activity">
    <vt:lpwstr/>
  </property>
  <property fmtid="{D5CDD505-2E9C-101B-9397-08002B2CF9AE}" pid="15" name="Region">
    <vt:lpwstr/>
  </property>
  <property fmtid="{D5CDD505-2E9C-101B-9397-08002B2CF9AE}" pid="16" name="Publication Type">
    <vt:lpwstr/>
  </property>
  <property fmtid="{D5CDD505-2E9C-101B-9397-08002B2CF9AE}" pid="17" name="Series_x0020_Corporate_x0020_IDB">
    <vt:lpwstr>-1;#ORF-07 Reports and Studies - Permanent|eaf66bbe-e3c7-4005-84d9-0afd174d8e39</vt:lpwstr>
  </property>
  <property fmtid="{D5CDD505-2E9C-101B-9397-08002B2CF9AE}" pid="18" name="Disclosure_x0020_Activity">
    <vt:lpwstr/>
  </property>
  <property fmtid="{D5CDD505-2E9C-101B-9397-08002B2CF9AE}" pid="19" name="Function_x0020_Corporate_x0020_IDB">
    <vt:lpwstr>-1;#5 Organization and Functions|4701d7f9-8df6-4219-aeac-8d4b644c65a0</vt:lpwstr>
  </property>
  <property fmtid="{D5CDD505-2E9C-101B-9397-08002B2CF9AE}" pid="20" name="Publishing House">
    <vt:lpwstr/>
  </property>
  <property fmtid="{D5CDD505-2E9C-101B-9397-08002B2CF9AE}" pid="21" name="Disclosed">
    <vt:bool>false</vt:bool>
  </property>
  <property fmtid="{D5CDD505-2E9C-101B-9397-08002B2CF9AE}" pid="22" name="KP Topics">
    <vt:lpwstr/>
  </property>
  <property fmtid="{D5CDD505-2E9C-101B-9397-08002B2CF9AE}" pid="23" name="_dlc_DocIdItemGuid">
    <vt:lpwstr>6e4d8437-b49d-4715-bfb6-bdb755e7a477</vt:lpwstr>
  </property>
</Properties>
</file>