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3F9" w:rsidRPr="00E960FC" w:rsidRDefault="00A610F7" w:rsidP="00442FAA">
      <w:pPr>
        <w:spacing w:after="0"/>
        <w:jc w:val="center"/>
        <w:rPr>
          <w:b/>
          <w:lang w:val="es-ES"/>
        </w:rPr>
      </w:pPr>
      <w:r w:rsidRPr="00E960FC">
        <w:rPr>
          <w:b/>
          <w:lang w:val="es-ES"/>
        </w:rPr>
        <w:t>Análisis económico de programas de capacitación laboral en Chile</w:t>
      </w:r>
    </w:p>
    <w:p w:rsidR="0061102A" w:rsidRPr="00E960FC" w:rsidRDefault="00982E67" w:rsidP="00442FAA">
      <w:pPr>
        <w:spacing w:after="0"/>
        <w:jc w:val="center"/>
        <w:rPr>
          <w:lang w:val="es-ES"/>
        </w:rPr>
      </w:pPr>
      <w:r w:rsidRPr="00E960FC">
        <w:rPr>
          <w:b/>
          <w:lang w:val="es-ES"/>
        </w:rPr>
        <w:t>Informe</w:t>
      </w:r>
      <w:r w:rsidR="00F83FED" w:rsidRPr="00E960FC">
        <w:rPr>
          <w:rStyle w:val="FootnoteReference"/>
          <w:b/>
          <w:lang w:val="es-ES"/>
        </w:rPr>
        <w:footnoteReference w:id="1"/>
      </w:r>
    </w:p>
    <w:p w:rsidR="002C76C2" w:rsidRPr="00E960FC" w:rsidRDefault="002C76C2" w:rsidP="00442FAA">
      <w:pPr>
        <w:spacing w:after="0"/>
        <w:jc w:val="center"/>
        <w:rPr>
          <w:lang w:val="es-ES"/>
        </w:rPr>
      </w:pPr>
    </w:p>
    <w:p w:rsidR="00056632" w:rsidRPr="00E960FC" w:rsidRDefault="00BA7472" w:rsidP="00442FAA">
      <w:pPr>
        <w:spacing w:after="0"/>
        <w:jc w:val="center"/>
        <w:rPr>
          <w:lang w:val="es-ES"/>
        </w:rPr>
      </w:pPr>
      <w:r w:rsidRPr="00E960FC">
        <w:rPr>
          <w:lang w:val="es-ES"/>
        </w:rPr>
        <w:t>Rodrigo Montero, rodrigo.montero@udp.cl</w:t>
      </w:r>
    </w:p>
    <w:p w:rsidR="00B56F94" w:rsidRPr="00E960FC" w:rsidRDefault="00026AA0" w:rsidP="00442FAA">
      <w:pPr>
        <w:spacing w:after="0"/>
        <w:jc w:val="center"/>
        <w:rPr>
          <w:lang w:val="es-ES"/>
        </w:rPr>
      </w:pPr>
      <w:r w:rsidRPr="00E960FC">
        <w:rPr>
          <w:lang w:val="es-ES"/>
        </w:rPr>
        <w:t>8</w:t>
      </w:r>
      <w:r w:rsidR="006D5612" w:rsidRPr="00E960FC">
        <w:rPr>
          <w:lang w:val="es-ES"/>
        </w:rPr>
        <w:t xml:space="preserve"> </w:t>
      </w:r>
      <w:r w:rsidR="00BA7472" w:rsidRPr="00E960FC">
        <w:rPr>
          <w:lang w:val="es-ES"/>
        </w:rPr>
        <w:t xml:space="preserve">de </w:t>
      </w:r>
      <w:r w:rsidR="00EA5B37" w:rsidRPr="00E960FC">
        <w:rPr>
          <w:lang w:val="es-ES"/>
        </w:rPr>
        <w:t>marz</w:t>
      </w:r>
      <w:r w:rsidR="00FC30D5" w:rsidRPr="00E960FC">
        <w:rPr>
          <w:lang w:val="es-ES"/>
        </w:rPr>
        <w:t xml:space="preserve">o </w:t>
      </w:r>
      <w:r w:rsidR="00BA7472" w:rsidRPr="00E960FC">
        <w:rPr>
          <w:lang w:val="es-ES"/>
        </w:rPr>
        <w:t xml:space="preserve">de </w:t>
      </w:r>
      <w:r w:rsidR="00982AAD" w:rsidRPr="00E960FC">
        <w:rPr>
          <w:lang w:val="es-ES"/>
        </w:rPr>
        <w:t>2012</w:t>
      </w:r>
    </w:p>
    <w:p w:rsidR="00DD7FBE" w:rsidRPr="00E960FC" w:rsidRDefault="00DD7FBE" w:rsidP="00442FAA">
      <w:pPr>
        <w:spacing w:after="0"/>
        <w:rPr>
          <w:lang w:val="es-ES"/>
        </w:rPr>
      </w:pPr>
    </w:p>
    <w:p w:rsidR="00442FAA" w:rsidRPr="00E960FC" w:rsidRDefault="00442FAA" w:rsidP="00442FAA">
      <w:pPr>
        <w:spacing w:after="0"/>
        <w:rPr>
          <w:lang w:val="es-ES"/>
        </w:rPr>
      </w:pPr>
    </w:p>
    <w:p w:rsidR="00982E67" w:rsidRPr="00E960FC" w:rsidRDefault="00982E67" w:rsidP="00442FAA">
      <w:pPr>
        <w:pStyle w:val="ListParagraph"/>
        <w:numPr>
          <w:ilvl w:val="0"/>
          <w:numId w:val="2"/>
        </w:numPr>
        <w:spacing w:after="0"/>
        <w:rPr>
          <w:b/>
          <w:lang w:val="es-ES"/>
        </w:rPr>
      </w:pPr>
      <w:r w:rsidRPr="00E960FC">
        <w:rPr>
          <w:b/>
          <w:lang w:val="es-ES"/>
        </w:rPr>
        <w:t>Introducción</w:t>
      </w:r>
    </w:p>
    <w:p w:rsidR="00442FAA" w:rsidRPr="00E960FC" w:rsidRDefault="00442FAA" w:rsidP="00442FAA">
      <w:pPr>
        <w:pStyle w:val="ListParagraph"/>
        <w:spacing w:after="0"/>
        <w:ind w:left="1080"/>
        <w:rPr>
          <w:b/>
          <w:lang w:val="es-ES"/>
        </w:rPr>
      </w:pPr>
    </w:p>
    <w:p w:rsidR="00A610F7" w:rsidRPr="00E960FC" w:rsidRDefault="00A610F7" w:rsidP="00442FAA">
      <w:pPr>
        <w:spacing w:after="0"/>
        <w:jc w:val="both"/>
        <w:rPr>
          <w:lang w:val="es-ES"/>
        </w:rPr>
      </w:pPr>
      <w:r w:rsidRPr="00E960FC">
        <w:rPr>
          <w:lang w:val="es-ES"/>
        </w:rPr>
        <w:t>Considerando que la evidencia empírica disponible muestra la prácticamente nula efectividad de los programas de capacitación</w:t>
      </w:r>
      <w:r w:rsidR="00551178" w:rsidRPr="00E960FC">
        <w:rPr>
          <w:lang w:val="es-ES"/>
        </w:rPr>
        <w:t xml:space="preserve"> en la región (Puentes y Urzúa, 2010</w:t>
      </w:r>
      <w:r w:rsidRPr="00E960FC">
        <w:rPr>
          <w:lang w:val="es-ES"/>
        </w:rPr>
        <w:t xml:space="preserve">), Chile está planeando introducir importantes innovaciones en sus sistemas de capacitación e intermediación laboral. </w:t>
      </w:r>
      <w:r w:rsidR="00356C81" w:rsidRPr="00E960FC">
        <w:rPr>
          <w:lang w:val="es-ES"/>
        </w:rPr>
        <w:t>Asimismo</w:t>
      </w:r>
      <w:r w:rsidRPr="00E960FC">
        <w:rPr>
          <w:lang w:val="es-ES"/>
        </w:rPr>
        <w:t xml:space="preserve">, dado el enorme volumen de recursos destinados </w:t>
      </w:r>
      <w:r w:rsidR="00CA3485" w:rsidRPr="00E960FC">
        <w:rPr>
          <w:lang w:val="es-ES"/>
        </w:rPr>
        <w:t>a</w:t>
      </w:r>
      <w:r w:rsidRPr="00E960FC">
        <w:rPr>
          <w:lang w:val="es-ES"/>
        </w:rPr>
        <w:t xml:space="preserve"> este tipo de políticas es fundamental tomar en consideración tanto sus costos como sus beneficios. De ahí surge la necesidad de llevar a cabo evaluaciones </w:t>
      </w:r>
      <w:r w:rsidR="00CA3485" w:rsidRPr="00E960FC">
        <w:rPr>
          <w:lang w:val="es-ES"/>
        </w:rPr>
        <w:t>costo-beneficio</w:t>
      </w:r>
      <w:r w:rsidRPr="00E960FC">
        <w:rPr>
          <w:lang w:val="es-ES"/>
        </w:rPr>
        <w:t xml:space="preserve"> de dichos programas, sobre todo en el contexto de países en vías de desarrollo, con recursos limitados y con potencialmente muchas alternativas rentables de inversión social.</w:t>
      </w:r>
    </w:p>
    <w:p w:rsidR="00442FAA" w:rsidRPr="00E960FC" w:rsidRDefault="00442FAA" w:rsidP="00442FAA">
      <w:pPr>
        <w:spacing w:after="0"/>
        <w:jc w:val="both"/>
        <w:rPr>
          <w:lang w:val="es-ES"/>
        </w:rPr>
      </w:pPr>
    </w:p>
    <w:p w:rsidR="00C833DD" w:rsidRPr="00E960FC" w:rsidRDefault="00A610F7" w:rsidP="00442FAA">
      <w:pPr>
        <w:spacing w:after="0"/>
        <w:jc w:val="both"/>
        <w:rPr>
          <w:lang w:val="es-ES"/>
        </w:rPr>
      </w:pPr>
      <w:r w:rsidRPr="00E960FC">
        <w:rPr>
          <w:lang w:val="es-ES"/>
        </w:rPr>
        <w:t>Por todo esto, el Ministerio del Trabajo y Previsión Social de Chile ha solicitado la colaboración de la Unidad de Mercados Laborales y Seguridad Social del Banco Interamericano de Desarrollo</w:t>
      </w:r>
      <w:r w:rsidR="00E10757" w:rsidRPr="00E960FC">
        <w:rPr>
          <w:lang w:val="es-ES"/>
        </w:rPr>
        <w:t xml:space="preserve"> (BID)</w:t>
      </w:r>
      <w:r w:rsidRPr="00E960FC">
        <w:rPr>
          <w:lang w:val="es-ES"/>
        </w:rPr>
        <w:t>, para mejorar el funcionamiento del mercado laboral a través de la mejora en la eficiencia y efectividad de las políticas laborales.</w:t>
      </w:r>
    </w:p>
    <w:p w:rsidR="00442FAA" w:rsidRPr="00E960FC" w:rsidRDefault="00442FAA" w:rsidP="00442FAA">
      <w:pPr>
        <w:spacing w:after="0"/>
        <w:jc w:val="both"/>
        <w:rPr>
          <w:lang w:val="es-ES"/>
        </w:rPr>
      </w:pPr>
    </w:p>
    <w:p w:rsidR="00C833DD" w:rsidRPr="00E960FC" w:rsidRDefault="00C833DD" w:rsidP="00442FAA">
      <w:pPr>
        <w:spacing w:after="0"/>
        <w:jc w:val="both"/>
        <w:rPr>
          <w:lang w:val="es-ES"/>
        </w:rPr>
      </w:pPr>
      <w:r w:rsidRPr="00E960FC">
        <w:rPr>
          <w:lang w:val="es-ES"/>
        </w:rPr>
        <w:t>E</w:t>
      </w:r>
      <w:r w:rsidR="00CA3485" w:rsidRPr="00E960FC">
        <w:rPr>
          <w:lang w:val="es-ES"/>
        </w:rPr>
        <w:t>n este contexto, e</w:t>
      </w:r>
      <w:r w:rsidRPr="00E960FC">
        <w:rPr>
          <w:lang w:val="es-ES"/>
        </w:rPr>
        <w:t>l objetivo de este informe consiste en presentar un análisis costo-beneficio de los siguientes programas de capacitación laboral vigentes en Chile:</w:t>
      </w:r>
    </w:p>
    <w:p w:rsidR="00C833DD" w:rsidRPr="00E960FC" w:rsidRDefault="00C833DD" w:rsidP="00442FAA">
      <w:pPr>
        <w:pStyle w:val="ListParagraph"/>
        <w:numPr>
          <w:ilvl w:val="0"/>
          <w:numId w:val="5"/>
        </w:numPr>
        <w:spacing w:after="0"/>
        <w:jc w:val="both"/>
        <w:rPr>
          <w:lang w:val="es-ES"/>
        </w:rPr>
      </w:pPr>
      <w:r w:rsidRPr="00E960FC">
        <w:rPr>
          <w:lang w:val="es-ES"/>
        </w:rPr>
        <w:t xml:space="preserve">Bono </w:t>
      </w:r>
      <w:r w:rsidR="00CA43FF" w:rsidRPr="00E960FC">
        <w:rPr>
          <w:lang w:val="es-ES"/>
        </w:rPr>
        <w:t xml:space="preserve">del </w:t>
      </w:r>
      <w:r w:rsidRPr="00E960FC">
        <w:rPr>
          <w:lang w:val="es-ES"/>
        </w:rPr>
        <w:t>trabajador activo</w:t>
      </w:r>
    </w:p>
    <w:p w:rsidR="00C833DD" w:rsidRPr="00E960FC" w:rsidRDefault="00C833DD" w:rsidP="00442FAA">
      <w:pPr>
        <w:pStyle w:val="ListParagraph"/>
        <w:numPr>
          <w:ilvl w:val="0"/>
          <w:numId w:val="5"/>
        </w:numPr>
        <w:spacing w:after="0"/>
        <w:jc w:val="both"/>
        <w:rPr>
          <w:lang w:val="es-ES"/>
        </w:rPr>
      </w:pPr>
      <w:r w:rsidRPr="00E960FC">
        <w:rPr>
          <w:lang w:val="es-ES"/>
        </w:rPr>
        <w:t>Programa aprendices</w:t>
      </w:r>
      <w:r w:rsidR="00B77DFE" w:rsidRPr="00E960FC">
        <w:rPr>
          <w:lang w:val="es-ES"/>
        </w:rPr>
        <w:t xml:space="preserve"> (ahora denominado formación en el puesto de trabajo)</w:t>
      </w:r>
    </w:p>
    <w:p w:rsidR="00C833DD" w:rsidRPr="00E960FC" w:rsidRDefault="00C833DD" w:rsidP="00442FAA">
      <w:pPr>
        <w:pStyle w:val="ListParagraph"/>
        <w:numPr>
          <w:ilvl w:val="0"/>
          <w:numId w:val="5"/>
        </w:numPr>
        <w:spacing w:after="0"/>
        <w:jc w:val="both"/>
        <w:rPr>
          <w:lang w:val="es-ES"/>
        </w:rPr>
      </w:pPr>
      <w:r w:rsidRPr="00E960FC">
        <w:rPr>
          <w:lang w:val="es-ES"/>
        </w:rPr>
        <w:t>Programa oficios</w:t>
      </w:r>
    </w:p>
    <w:p w:rsidR="00C833DD" w:rsidRPr="00E960FC" w:rsidRDefault="00C833DD" w:rsidP="00442FAA">
      <w:pPr>
        <w:pStyle w:val="ListParagraph"/>
        <w:numPr>
          <w:ilvl w:val="0"/>
          <w:numId w:val="5"/>
        </w:numPr>
        <w:spacing w:after="0"/>
        <w:jc w:val="both"/>
        <w:rPr>
          <w:lang w:val="es-ES"/>
        </w:rPr>
      </w:pPr>
      <w:r w:rsidRPr="00E960FC">
        <w:rPr>
          <w:lang w:val="es-ES"/>
        </w:rPr>
        <w:t>Franquicia tributaria</w:t>
      </w:r>
    </w:p>
    <w:p w:rsidR="00F55B83" w:rsidRPr="00E960FC" w:rsidRDefault="00F83FED" w:rsidP="00442FAA">
      <w:pPr>
        <w:spacing w:after="0"/>
        <w:jc w:val="both"/>
        <w:rPr>
          <w:lang w:val="es-ES"/>
        </w:rPr>
      </w:pPr>
      <w:r w:rsidRPr="00E960FC">
        <w:rPr>
          <w:lang w:val="es-ES"/>
        </w:rPr>
        <w:t xml:space="preserve"> </w:t>
      </w:r>
    </w:p>
    <w:p w:rsidR="005561BC" w:rsidRPr="00E960FC" w:rsidRDefault="005561BC" w:rsidP="00442FAA">
      <w:pPr>
        <w:spacing w:after="0"/>
        <w:jc w:val="both"/>
        <w:rPr>
          <w:lang w:val="es-ES"/>
        </w:rPr>
      </w:pPr>
      <w:r w:rsidRPr="00E960FC">
        <w:rPr>
          <w:lang w:val="es-ES"/>
        </w:rPr>
        <w:t xml:space="preserve">El </w:t>
      </w:r>
      <w:r w:rsidR="000E667B" w:rsidRPr="00E960FC">
        <w:rPr>
          <w:b/>
          <w:lang w:val="es-ES"/>
        </w:rPr>
        <w:t>bono del trabajador activo</w:t>
      </w:r>
      <w:r w:rsidR="00CA43FF" w:rsidRPr="00E960FC">
        <w:rPr>
          <w:lang w:val="es-ES"/>
        </w:rPr>
        <w:t xml:space="preserve"> es un programa nuevo que </w:t>
      </w:r>
      <w:r w:rsidR="000B79FE" w:rsidRPr="00E960FC">
        <w:rPr>
          <w:lang w:val="es-ES"/>
        </w:rPr>
        <w:t>fue</w:t>
      </w:r>
      <w:r w:rsidR="00CA43FF" w:rsidRPr="00E960FC">
        <w:rPr>
          <w:lang w:val="es-ES"/>
        </w:rPr>
        <w:t xml:space="preserve"> lanzado durante el año 2011 y busca aumentar la empleabilidad y movilidad laboral de los trabajadores. La idea es beneficiar a trabajadores de entre 18 y 65 años de edad que tengan un salario menor a </w:t>
      </w:r>
      <w:r w:rsidR="006E35BF" w:rsidRPr="00E960FC">
        <w:rPr>
          <w:lang w:val="es-ES"/>
        </w:rPr>
        <w:t>US</w:t>
      </w:r>
      <w:r w:rsidR="00CA43FF" w:rsidRPr="00E960FC">
        <w:rPr>
          <w:lang w:val="es-ES"/>
        </w:rPr>
        <w:t>$</w:t>
      </w:r>
      <w:r w:rsidR="006E35BF" w:rsidRPr="00E960FC">
        <w:rPr>
          <w:lang w:val="es-ES"/>
        </w:rPr>
        <w:t>1</w:t>
      </w:r>
      <w:r w:rsidR="00CA43FF" w:rsidRPr="00E960FC">
        <w:rPr>
          <w:lang w:val="es-ES"/>
        </w:rPr>
        <w:t>.</w:t>
      </w:r>
      <w:r w:rsidR="006E35BF" w:rsidRPr="00E960FC">
        <w:rPr>
          <w:lang w:val="es-ES"/>
        </w:rPr>
        <w:t>154</w:t>
      </w:r>
      <w:r w:rsidR="00E10757" w:rsidRPr="00E960FC">
        <w:rPr>
          <w:lang w:val="es-ES"/>
        </w:rPr>
        <w:t xml:space="preserve"> (los beneficiarios son personas empleadas)</w:t>
      </w:r>
      <w:r w:rsidR="006E35BF" w:rsidRPr="00E960FC">
        <w:rPr>
          <w:lang w:val="es-ES"/>
        </w:rPr>
        <w:t xml:space="preserve"> </w:t>
      </w:r>
      <w:r w:rsidR="00CA43FF" w:rsidRPr="00E960FC">
        <w:rPr>
          <w:lang w:val="es-ES"/>
        </w:rPr>
        <w:t xml:space="preserve">con al menos un año de experiencia laboral y un mínimo de seis cotizaciones en los últimos </w:t>
      </w:r>
      <w:r w:rsidR="000600A5" w:rsidRPr="00E960FC">
        <w:rPr>
          <w:lang w:val="es-ES"/>
        </w:rPr>
        <w:t>doce</w:t>
      </w:r>
      <w:r w:rsidR="00CA43FF" w:rsidRPr="00E960FC">
        <w:rPr>
          <w:lang w:val="es-ES"/>
        </w:rPr>
        <w:t xml:space="preserve"> meses.</w:t>
      </w:r>
      <w:r w:rsidR="006E35BF" w:rsidRPr="00E960FC">
        <w:rPr>
          <w:rStyle w:val="FootnoteReference"/>
          <w:lang w:val="es-ES"/>
        </w:rPr>
        <w:footnoteReference w:id="2"/>
      </w:r>
      <w:r w:rsidR="00CA43FF" w:rsidRPr="00E960FC">
        <w:rPr>
          <w:lang w:val="es-ES"/>
        </w:rPr>
        <w:t xml:space="preserve"> Para el año 2011 se comenzó con una cobertura de 66.650 cupos.</w:t>
      </w:r>
      <w:r w:rsidR="006D5612" w:rsidRPr="00E960FC">
        <w:rPr>
          <w:rStyle w:val="FootnoteReference"/>
          <w:lang w:val="es-ES"/>
        </w:rPr>
        <w:footnoteReference w:id="3"/>
      </w:r>
      <w:r w:rsidR="00CA43FF" w:rsidRPr="00E960FC">
        <w:rPr>
          <w:lang w:val="es-ES"/>
        </w:rPr>
        <w:t xml:space="preserve"> </w:t>
      </w:r>
      <w:r w:rsidR="006D077A" w:rsidRPr="00E960FC">
        <w:rPr>
          <w:lang w:val="es-ES"/>
        </w:rPr>
        <w:t>La duración de los cursos debe ser de entre 80 y 14</w:t>
      </w:r>
      <w:r w:rsidR="00282A62" w:rsidRPr="00E960FC">
        <w:rPr>
          <w:lang w:val="es-ES"/>
        </w:rPr>
        <w:t>0</w:t>
      </w:r>
      <w:r w:rsidR="006D077A" w:rsidRPr="00E960FC">
        <w:rPr>
          <w:lang w:val="es-ES"/>
        </w:rPr>
        <w:t xml:space="preserve"> horas. </w:t>
      </w:r>
      <w:r w:rsidR="00647D75" w:rsidRPr="00E960FC">
        <w:rPr>
          <w:lang w:val="es-ES"/>
        </w:rPr>
        <w:t xml:space="preserve">El bono promedio es de </w:t>
      </w:r>
      <w:r w:rsidR="00647D75" w:rsidRPr="00E960FC">
        <w:rPr>
          <w:lang w:val="es-ES"/>
        </w:rPr>
        <w:lastRenderedPageBreak/>
        <w:t xml:space="preserve">US$519, y se exige al beneficiario el copago del 20% del curso elegido. Cabe mencionar que este monto es devuelto si es que el beneficiario aprueba el curso. </w:t>
      </w:r>
    </w:p>
    <w:p w:rsidR="003E3230" w:rsidRPr="00E960FC" w:rsidRDefault="003E3230" w:rsidP="00442FAA">
      <w:pPr>
        <w:spacing w:after="0"/>
        <w:jc w:val="both"/>
        <w:rPr>
          <w:lang w:val="es-ES"/>
        </w:rPr>
      </w:pPr>
    </w:p>
    <w:p w:rsidR="00543AE2" w:rsidRPr="00E960FC" w:rsidRDefault="00543AE2" w:rsidP="00442FAA">
      <w:pPr>
        <w:spacing w:after="0"/>
        <w:jc w:val="both"/>
        <w:rPr>
          <w:lang w:val="es-ES"/>
        </w:rPr>
      </w:pPr>
      <w:r w:rsidRPr="00E960FC">
        <w:rPr>
          <w:lang w:val="es-ES"/>
        </w:rPr>
        <w:t xml:space="preserve">El programa </w:t>
      </w:r>
      <w:r w:rsidR="000E667B" w:rsidRPr="00E960FC">
        <w:rPr>
          <w:b/>
          <w:lang w:val="es-ES"/>
        </w:rPr>
        <w:t>formación en el puesto de trabajo</w:t>
      </w:r>
      <w:r w:rsidR="005A5AB0" w:rsidRPr="00E960FC">
        <w:rPr>
          <w:lang w:val="es-ES"/>
        </w:rPr>
        <w:t xml:space="preserve"> </w:t>
      </w:r>
      <w:r w:rsidRPr="00E960FC">
        <w:rPr>
          <w:lang w:val="es-ES"/>
        </w:rPr>
        <w:t>busca apoyar y promover la contratación de grupos vulnerables en calidad de aprendices, para que adquieran formación laboral en un determinado oficio.</w:t>
      </w:r>
      <w:r w:rsidR="001044C0" w:rsidRPr="00E960FC">
        <w:rPr>
          <w:lang w:val="es-ES"/>
        </w:rPr>
        <w:t xml:space="preserve"> Los criterios de selección son personas en situación de desempleo (por al menos un período de tres meses), que tengan preferentemente educación media completa, y que pertenezcan a los quintiles dos y tres de la distribución de ingresos</w:t>
      </w:r>
      <w:r w:rsidR="00A51BB9" w:rsidRPr="00E960FC">
        <w:rPr>
          <w:lang w:val="es-ES"/>
        </w:rPr>
        <w:t xml:space="preserve"> (según la información proporcionada por la Ficha de Protección Social)</w:t>
      </w:r>
      <w:r w:rsidR="001044C0" w:rsidRPr="00E960FC">
        <w:rPr>
          <w:lang w:val="es-ES"/>
        </w:rPr>
        <w:t>.</w:t>
      </w:r>
      <w:r w:rsidRPr="00E960FC">
        <w:rPr>
          <w:lang w:val="es-ES"/>
        </w:rPr>
        <w:t xml:space="preserve"> La idea es que las destrezas sean alcanzadas mediante un proceso de formación basada en competencias en el lugar de trabajo. Actualmente el programa financia el 50% del salario mínimo por un período </w:t>
      </w:r>
      <w:r w:rsidR="00F9089A" w:rsidRPr="00E960FC">
        <w:rPr>
          <w:lang w:val="es-ES"/>
        </w:rPr>
        <w:t xml:space="preserve">máximo </w:t>
      </w:r>
      <w:r w:rsidRPr="00E960FC">
        <w:rPr>
          <w:lang w:val="es-ES"/>
        </w:rPr>
        <w:t xml:space="preserve">de </w:t>
      </w:r>
      <w:r w:rsidR="00F9089A" w:rsidRPr="00E960FC">
        <w:rPr>
          <w:lang w:val="es-ES"/>
        </w:rPr>
        <w:t xml:space="preserve">seis </w:t>
      </w:r>
      <w:r w:rsidRPr="00E960FC">
        <w:rPr>
          <w:lang w:val="es-ES"/>
        </w:rPr>
        <w:t xml:space="preserve">meses, y además un monto máximo para capacitación de 10 </w:t>
      </w:r>
      <w:r w:rsidR="000548A9" w:rsidRPr="00E960FC">
        <w:rPr>
          <w:lang w:val="es-ES"/>
        </w:rPr>
        <w:t>unidades tributarias mensuales (</w:t>
      </w:r>
      <w:r w:rsidRPr="00E960FC">
        <w:rPr>
          <w:lang w:val="es-ES"/>
        </w:rPr>
        <w:t>UTM</w:t>
      </w:r>
      <w:r w:rsidR="000548A9" w:rsidRPr="00E960FC">
        <w:rPr>
          <w:lang w:val="es-ES"/>
        </w:rPr>
        <w:t>)</w:t>
      </w:r>
      <w:r w:rsidRPr="00E960FC">
        <w:rPr>
          <w:lang w:val="es-ES"/>
        </w:rPr>
        <w:t>.</w:t>
      </w:r>
      <w:r w:rsidR="000548A9" w:rsidRPr="00E960FC">
        <w:rPr>
          <w:rStyle w:val="FootnoteReference"/>
          <w:lang w:val="es-ES"/>
        </w:rPr>
        <w:footnoteReference w:id="4"/>
      </w:r>
      <w:r w:rsidRPr="00E960FC">
        <w:rPr>
          <w:lang w:val="es-ES"/>
        </w:rPr>
        <w:t xml:space="preserve"> El cuadro 1 muestra los beneficiarios de este programa para los últimos años</w:t>
      </w:r>
      <w:r w:rsidR="00796FCA" w:rsidRPr="00E960FC">
        <w:rPr>
          <w:lang w:val="es-ES"/>
        </w:rPr>
        <w:t>.</w:t>
      </w:r>
    </w:p>
    <w:p w:rsidR="00282A62" w:rsidRPr="00E960FC" w:rsidRDefault="00282A62" w:rsidP="00442FAA">
      <w:pPr>
        <w:spacing w:after="0"/>
        <w:jc w:val="both"/>
        <w:rPr>
          <w:lang w:val="es-ES"/>
        </w:rPr>
      </w:pPr>
    </w:p>
    <w:p w:rsidR="00543AE2" w:rsidRPr="00E960FC" w:rsidRDefault="00543AE2" w:rsidP="00442FAA">
      <w:pPr>
        <w:spacing w:after="0" w:line="240" w:lineRule="auto"/>
        <w:jc w:val="center"/>
        <w:rPr>
          <w:b/>
          <w:sz w:val="20"/>
          <w:szCs w:val="20"/>
          <w:lang w:val="es-ES"/>
        </w:rPr>
      </w:pPr>
      <w:r w:rsidRPr="00E960FC">
        <w:rPr>
          <w:b/>
          <w:sz w:val="20"/>
          <w:szCs w:val="20"/>
          <w:lang w:val="es-ES"/>
        </w:rPr>
        <w:t>Cuadro 1</w:t>
      </w:r>
    </w:p>
    <w:p w:rsidR="00543AE2" w:rsidRPr="00E960FC" w:rsidRDefault="00543AE2" w:rsidP="00442FAA">
      <w:pPr>
        <w:spacing w:after="0"/>
        <w:jc w:val="center"/>
        <w:rPr>
          <w:b/>
          <w:sz w:val="20"/>
          <w:szCs w:val="20"/>
          <w:lang w:val="es-ES"/>
        </w:rPr>
      </w:pPr>
      <w:r w:rsidRPr="00E960FC">
        <w:rPr>
          <w:b/>
          <w:sz w:val="20"/>
          <w:szCs w:val="20"/>
          <w:lang w:val="es-ES"/>
        </w:rPr>
        <w:t xml:space="preserve">Programa </w:t>
      </w:r>
      <w:r w:rsidR="00D0755D" w:rsidRPr="00E960FC">
        <w:rPr>
          <w:b/>
          <w:sz w:val="20"/>
          <w:szCs w:val="20"/>
          <w:lang w:val="es-ES"/>
        </w:rPr>
        <w:t>formación en el puesto de trabajo</w:t>
      </w:r>
    </w:p>
    <w:p w:rsidR="000B79FE" w:rsidRPr="00E960FC" w:rsidRDefault="000B79FE" w:rsidP="00442FAA">
      <w:pPr>
        <w:spacing w:after="0"/>
        <w:jc w:val="center"/>
        <w:rPr>
          <w:b/>
          <w:sz w:val="20"/>
          <w:szCs w:val="20"/>
          <w:lang w:val="es-ES"/>
        </w:rPr>
      </w:pPr>
    </w:p>
    <w:tbl>
      <w:tblPr>
        <w:tblStyle w:val="TableGrid"/>
        <w:tblW w:w="0" w:type="auto"/>
        <w:tblLook w:val="04A0"/>
      </w:tblPr>
      <w:tblGrid>
        <w:gridCol w:w="4489"/>
        <w:gridCol w:w="4489"/>
      </w:tblGrid>
      <w:tr w:rsidR="00543AE2" w:rsidRPr="00E960FC" w:rsidTr="00543AE2">
        <w:tc>
          <w:tcPr>
            <w:tcW w:w="4489" w:type="dxa"/>
          </w:tcPr>
          <w:p w:rsidR="00543AE2" w:rsidRPr="00E960FC" w:rsidRDefault="00543AE2" w:rsidP="00442FAA">
            <w:pPr>
              <w:jc w:val="center"/>
              <w:rPr>
                <w:b/>
                <w:sz w:val="20"/>
                <w:szCs w:val="20"/>
                <w:lang w:val="es-ES"/>
              </w:rPr>
            </w:pPr>
            <w:r w:rsidRPr="00E960FC">
              <w:rPr>
                <w:b/>
                <w:sz w:val="20"/>
                <w:szCs w:val="20"/>
                <w:lang w:val="es-ES"/>
              </w:rPr>
              <w:t>Año</w:t>
            </w:r>
          </w:p>
        </w:tc>
        <w:tc>
          <w:tcPr>
            <w:tcW w:w="4489" w:type="dxa"/>
          </w:tcPr>
          <w:p w:rsidR="00543AE2" w:rsidRPr="00E960FC" w:rsidRDefault="00543AE2" w:rsidP="00442FAA">
            <w:pPr>
              <w:jc w:val="center"/>
              <w:rPr>
                <w:b/>
                <w:sz w:val="20"/>
                <w:szCs w:val="20"/>
                <w:lang w:val="es-ES"/>
              </w:rPr>
            </w:pPr>
            <w:r w:rsidRPr="00E960FC">
              <w:rPr>
                <w:b/>
                <w:sz w:val="20"/>
                <w:szCs w:val="20"/>
                <w:lang w:val="es-ES"/>
              </w:rPr>
              <w:t>Beneficiarios</w:t>
            </w:r>
          </w:p>
        </w:tc>
      </w:tr>
      <w:tr w:rsidR="00543AE2" w:rsidRPr="00E960FC" w:rsidTr="00543AE2">
        <w:tc>
          <w:tcPr>
            <w:tcW w:w="4489" w:type="dxa"/>
          </w:tcPr>
          <w:p w:rsidR="00543AE2" w:rsidRPr="00E960FC" w:rsidRDefault="00543AE2" w:rsidP="00442FAA">
            <w:pPr>
              <w:jc w:val="center"/>
              <w:rPr>
                <w:sz w:val="20"/>
                <w:szCs w:val="20"/>
                <w:lang w:val="es-ES"/>
              </w:rPr>
            </w:pPr>
            <w:r w:rsidRPr="00E960FC">
              <w:rPr>
                <w:sz w:val="20"/>
                <w:szCs w:val="20"/>
                <w:lang w:val="es-ES"/>
              </w:rPr>
              <w:t>2007</w:t>
            </w:r>
          </w:p>
        </w:tc>
        <w:tc>
          <w:tcPr>
            <w:tcW w:w="4489" w:type="dxa"/>
          </w:tcPr>
          <w:p w:rsidR="00543AE2" w:rsidRPr="00E960FC" w:rsidRDefault="00543AE2" w:rsidP="00442FAA">
            <w:pPr>
              <w:jc w:val="center"/>
              <w:rPr>
                <w:sz w:val="20"/>
                <w:szCs w:val="20"/>
                <w:lang w:val="es-ES"/>
              </w:rPr>
            </w:pPr>
            <w:r w:rsidRPr="00E960FC">
              <w:rPr>
                <w:sz w:val="20"/>
                <w:szCs w:val="20"/>
                <w:lang w:val="es-ES"/>
              </w:rPr>
              <w:t>1.232</w:t>
            </w:r>
          </w:p>
        </w:tc>
      </w:tr>
      <w:tr w:rsidR="00543AE2" w:rsidRPr="00E960FC" w:rsidTr="00543AE2">
        <w:tc>
          <w:tcPr>
            <w:tcW w:w="4489" w:type="dxa"/>
          </w:tcPr>
          <w:p w:rsidR="00543AE2" w:rsidRPr="00E960FC" w:rsidRDefault="00543AE2" w:rsidP="00442FAA">
            <w:pPr>
              <w:jc w:val="center"/>
              <w:rPr>
                <w:sz w:val="20"/>
                <w:szCs w:val="20"/>
                <w:lang w:val="es-ES"/>
              </w:rPr>
            </w:pPr>
            <w:r w:rsidRPr="00E960FC">
              <w:rPr>
                <w:sz w:val="20"/>
                <w:szCs w:val="20"/>
                <w:lang w:val="es-ES"/>
              </w:rPr>
              <w:t>2008</w:t>
            </w:r>
          </w:p>
        </w:tc>
        <w:tc>
          <w:tcPr>
            <w:tcW w:w="4489" w:type="dxa"/>
          </w:tcPr>
          <w:p w:rsidR="00543AE2" w:rsidRPr="00E960FC" w:rsidRDefault="00543AE2" w:rsidP="00442FAA">
            <w:pPr>
              <w:jc w:val="center"/>
              <w:rPr>
                <w:sz w:val="20"/>
                <w:szCs w:val="20"/>
                <w:lang w:val="es-ES"/>
              </w:rPr>
            </w:pPr>
            <w:r w:rsidRPr="00E960FC">
              <w:rPr>
                <w:sz w:val="20"/>
                <w:szCs w:val="20"/>
                <w:lang w:val="es-ES"/>
              </w:rPr>
              <w:t>4.966</w:t>
            </w:r>
          </w:p>
        </w:tc>
      </w:tr>
      <w:tr w:rsidR="00543AE2" w:rsidRPr="00E960FC" w:rsidTr="00543AE2">
        <w:tc>
          <w:tcPr>
            <w:tcW w:w="4489" w:type="dxa"/>
          </w:tcPr>
          <w:p w:rsidR="00543AE2" w:rsidRPr="00E960FC" w:rsidRDefault="00543AE2" w:rsidP="00442FAA">
            <w:pPr>
              <w:jc w:val="center"/>
              <w:rPr>
                <w:sz w:val="20"/>
                <w:szCs w:val="20"/>
                <w:lang w:val="es-ES"/>
              </w:rPr>
            </w:pPr>
            <w:r w:rsidRPr="00E960FC">
              <w:rPr>
                <w:sz w:val="20"/>
                <w:szCs w:val="20"/>
                <w:lang w:val="es-ES"/>
              </w:rPr>
              <w:t>2009</w:t>
            </w:r>
          </w:p>
        </w:tc>
        <w:tc>
          <w:tcPr>
            <w:tcW w:w="4489" w:type="dxa"/>
          </w:tcPr>
          <w:p w:rsidR="00543AE2" w:rsidRPr="00E960FC" w:rsidRDefault="00543AE2" w:rsidP="00442FAA">
            <w:pPr>
              <w:jc w:val="center"/>
              <w:rPr>
                <w:sz w:val="20"/>
                <w:szCs w:val="20"/>
                <w:lang w:val="es-ES"/>
              </w:rPr>
            </w:pPr>
            <w:r w:rsidRPr="00E960FC">
              <w:rPr>
                <w:sz w:val="20"/>
                <w:szCs w:val="20"/>
                <w:lang w:val="es-ES"/>
              </w:rPr>
              <w:t>5.213</w:t>
            </w:r>
          </w:p>
        </w:tc>
      </w:tr>
      <w:tr w:rsidR="00D8483B" w:rsidRPr="00E960FC" w:rsidTr="00543AE2">
        <w:tc>
          <w:tcPr>
            <w:tcW w:w="4489" w:type="dxa"/>
          </w:tcPr>
          <w:p w:rsidR="00D8483B" w:rsidRPr="00E960FC" w:rsidRDefault="00D8483B" w:rsidP="00442FAA">
            <w:pPr>
              <w:jc w:val="center"/>
              <w:rPr>
                <w:sz w:val="20"/>
                <w:szCs w:val="20"/>
                <w:lang w:val="es-ES"/>
              </w:rPr>
            </w:pPr>
            <w:r w:rsidRPr="00E960FC">
              <w:rPr>
                <w:sz w:val="20"/>
                <w:szCs w:val="20"/>
                <w:lang w:val="es-ES"/>
              </w:rPr>
              <w:t>2010</w:t>
            </w:r>
          </w:p>
        </w:tc>
        <w:tc>
          <w:tcPr>
            <w:tcW w:w="4489" w:type="dxa"/>
          </w:tcPr>
          <w:p w:rsidR="00D8483B" w:rsidRPr="00E960FC" w:rsidRDefault="00D8483B" w:rsidP="00442FAA">
            <w:pPr>
              <w:jc w:val="center"/>
              <w:rPr>
                <w:sz w:val="20"/>
                <w:szCs w:val="20"/>
                <w:lang w:val="es-ES"/>
              </w:rPr>
            </w:pPr>
            <w:r w:rsidRPr="00E960FC">
              <w:rPr>
                <w:sz w:val="20"/>
                <w:szCs w:val="20"/>
                <w:lang w:val="es-ES"/>
              </w:rPr>
              <w:t>2.142</w:t>
            </w:r>
          </w:p>
        </w:tc>
      </w:tr>
      <w:tr w:rsidR="00543AE2" w:rsidRPr="00E960FC" w:rsidTr="00543AE2">
        <w:tc>
          <w:tcPr>
            <w:tcW w:w="4489" w:type="dxa"/>
          </w:tcPr>
          <w:p w:rsidR="00543AE2" w:rsidRPr="00E960FC" w:rsidRDefault="00543AE2" w:rsidP="00442FAA">
            <w:pPr>
              <w:jc w:val="center"/>
              <w:rPr>
                <w:sz w:val="20"/>
                <w:szCs w:val="20"/>
                <w:lang w:val="es-ES"/>
              </w:rPr>
            </w:pPr>
            <w:r w:rsidRPr="00E960FC">
              <w:rPr>
                <w:sz w:val="20"/>
                <w:szCs w:val="20"/>
                <w:lang w:val="es-ES"/>
              </w:rPr>
              <w:t>201</w:t>
            </w:r>
            <w:r w:rsidR="00D8483B" w:rsidRPr="00E960FC">
              <w:rPr>
                <w:sz w:val="20"/>
                <w:szCs w:val="20"/>
                <w:lang w:val="es-ES"/>
              </w:rPr>
              <w:t>1</w:t>
            </w:r>
          </w:p>
        </w:tc>
        <w:tc>
          <w:tcPr>
            <w:tcW w:w="4489" w:type="dxa"/>
          </w:tcPr>
          <w:p w:rsidR="00543AE2" w:rsidRPr="00E960FC" w:rsidRDefault="00D8483B" w:rsidP="00442FAA">
            <w:pPr>
              <w:jc w:val="center"/>
              <w:rPr>
                <w:sz w:val="20"/>
                <w:szCs w:val="20"/>
                <w:lang w:val="es-ES"/>
              </w:rPr>
            </w:pPr>
            <w:r w:rsidRPr="00E960FC">
              <w:rPr>
                <w:sz w:val="20"/>
                <w:szCs w:val="20"/>
                <w:lang w:val="es-ES"/>
              </w:rPr>
              <w:t>12.300</w:t>
            </w:r>
          </w:p>
        </w:tc>
      </w:tr>
    </w:tbl>
    <w:p w:rsidR="00543AE2" w:rsidRPr="00E960FC" w:rsidRDefault="00543AE2" w:rsidP="00442FAA">
      <w:pPr>
        <w:spacing w:after="0"/>
        <w:jc w:val="both"/>
        <w:rPr>
          <w:sz w:val="18"/>
          <w:szCs w:val="18"/>
          <w:lang w:val="es-ES"/>
        </w:rPr>
      </w:pPr>
      <w:r w:rsidRPr="00E960FC">
        <w:rPr>
          <w:sz w:val="18"/>
          <w:szCs w:val="18"/>
          <w:lang w:val="es-ES"/>
        </w:rPr>
        <w:t>Fuente: Información administrativa oficial SENCE.</w:t>
      </w:r>
    </w:p>
    <w:p w:rsidR="00282A62" w:rsidRPr="00E960FC" w:rsidRDefault="00282A62" w:rsidP="00442FAA">
      <w:pPr>
        <w:spacing w:after="0"/>
        <w:jc w:val="both"/>
        <w:rPr>
          <w:lang w:val="es-ES"/>
        </w:rPr>
      </w:pPr>
    </w:p>
    <w:p w:rsidR="00543AE2" w:rsidRPr="00E960FC" w:rsidRDefault="00A51BB9" w:rsidP="00442FAA">
      <w:pPr>
        <w:spacing w:after="0"/>
        <w:jc w:val="both"/>
        <w:rPr>
          <w:lang w:val="es-ES"/>
        </w:rPr>
      </w:pPr>
      <w:r w:rsidRPr="00E960FC">
        <w:rPr>
          <w:lang w:val="es-ES"/>
        </w:rPr>
        <w:t xml:space="preserve">A partir del año 2011, </w:t>
      </w:r>
      <w:r w:rsidR="00796FCA" w:rsidRPr="00E960FC">
        <w:rPr>
          <w:lang w:val="es-ES"/>
        </w:rPr>
        <w:t>el programa ha ampliado los grupos objetivos,</w:t>
      </w:r>
      <w:r w:rsidRPr="00E960FC">
        <w:rPr>
          <w:lang w:val="es-ES"/>
        </w:rPr>
        <w:t xml:space="preserve"> y con ello el número de beneficiarios,</w:t>
      </w:r>
      <w:r w:rsidR="000B79FE" w:rsidRPr="00E960FC">
        <w:rPr>
          <w:lang w:val="es-ES"/>
        </w:rPr>
        <w:t xml:space="preserve"> </w:t>
      </w:r>
      <w:r w:rsidRPr="00E960FC">
        <w:rPr>
          <w:lang w:val="es-ES"/>
        </w:rPr>
        <w:t xml:space="preserve">por lo que ahora </w:t>
      </w:r>
      <w:r w:rsidR="00796FCA" w:rsidRPr="00E960FC">
        <w:rPr>
          <w:lang w:val="es-ES"/>
        </w:rPr>
        <w:t>beneficia a tres grupos</w:t>
      </w:r>
      <w:r w:rsidR="000548A9" w:rsidRPr="00E960FC">
        <w:rPr>
          <w:lang w:val="es-ES"/>
        </w:rPr>
        <w:t xml:space="preserve"> </w:t>
      </w:r>
      <w:r w:rsidR="00D0755D" w:rsidRPr="00E960FC">
        <w:rPr>
          <w:lang w:val="es-ES"/>
        </w:rPr>
        <w:t xml:space="preserve">de </w:t>
      </w:r>
      <w:r w:rsidR="000548A9" w:rsidRPr="00E960FC">
        <w:rPr>
          <w:lang w:val="es-ES"/>
        </w:rPr>
        <w:t>personas</w:t>
      </w:r>
      <w:r w:rsidR="00796FCA" w:rsidRPr="00E960FC">
        <w:rPr>
          <w:lang w:val="es-ES"/>
        </w:rPr>
        <w:t xml:space="preserve">: </w:t>
      </w:r>
    </w:p>
    <w:p w:rsidR="00796FCA" w:rsidRPr="00E960FC" w:rsidRDefault="00796FCA" w:rsidP="00442FAA">
      <w:pPr>
        <w:pStyle w:val="ListParagraph"/>
        <w:numPr>
          <w:ilvl w:val="0"/>
          <w:numId w:val="9"/>
        </w:numPr>
        <w:spacing w:after="0"/>
        <w:jc w:val="both"/>
        <w:rPr>
          <w:lang w:val="es-ES"/>
        </w:rPr>
      </w:pPr>
      <w:r w:rsidRPr="00E960FC">
        <w:rPr>
          <w:lang w:val="es-ES"/>
        </w:rPr>
        <w:t>Jóvenes entre 15 y 25 años de edad: se financia un mínimo de 90 horas de capacitación</w:t>
      </w:r>
      <w:r w:rsidR="006E35BF" w:rsidRPr="00E960FC">
        <w:rPr>
          <w:lang w:val="es-ES"/>
        </w:rPr>
        <w:t xml:space="preserve"> (hasta un tope de US$1.460)</w:t>
      </w:r>
      <w:r w:rsidRPr="00E960FC">
        <w:rPr>
          <w:lang w:val="es-ES"/>
        </w:rPr>
        <w:t>.</w:t>
      </w:r>
    </w:p>
    <w:p w:rsidR="00796FCA" w:rsidRPr="00E960FC" w:rsidRDefault="00796FCA" w:rsidP="00442FAA">
      <w:pPr>
        <w:pStyle w:val="ListParagraph"/>
        <w:numPr>
          <w:ilvl w:val="0"/>
          <w:numId w:val="9"/>
        </w:numPr>
        <w:spacing w:after="0"/>
        <w:jc w:val="both"/>
        <w:rPr>
          <w:lang w:val="es-ES"/>
        </w:rPr>
      </w:pPr>
      <w:r w:rsidRPr="00E960FC">
        <w:rPr>
          <w:lang w:val="es-ES"/>
        </w:rPr>
        <w:t>Mujeres entre 25 y 60 años de edad: se financia un mínimo de 40 horas de capacitación.</w:t>
      </w:r>
      <w:r w:rsidR="006E35BF" w:rsidRPr="00E960FC">
        <w:rPr>
          <w:lang w:val="es-ES"/>
        </w:rPr>
        <w:t xml:space="preserve"> (hasta un tope de US$1.035).</w:t>
      </w:r>
    </w:p>
    <w:p w:rsidR="00796FCA" w:rsidRPr="00E960FC" w:rsidRDefault="00796FCA" w:rsidP="00442FAA">
      <w:pPr>
        <w:pStyle w:val="ListParagraph"/>
        <w:numPr>
          <w:ilvl w:val="0"/>
          <w:numId w:val="9"/>
        </w:numPr>
        <w:spacing w:after="0"/>
        <w:jc w:val="both"/>
        <w:rPr>
          <w:lang w:val="es-ES"/>
        </w:rPr>
      </w:pPr>
      <w:r w:rsidRPr="00E960FC">
        <w:rPr>
          <w:lang w:val="es-ES"/>
        </w:rPr>
        <w:t>Hombres entre 50 y 65 años de edad: se financia un mínimo de 40 horas de capacitación.</w:t>
      </w:r>
      <w:r w:rsidR="006E35BF" w:rsidRPr="00E960FC">
        <w:rPr>
          <w:lang w:val="es-ES"/>
        </w:rPr>
        <w:t xml:space="preserve"> (hasta un tope de US$1.035).</w:t>
      </w:r>
    </w:p>
    <w:p w:rsidR="00796FCA" w:rsidRPr="00E960FC" w:rsidRDefault="00796FCA" w:rsidP="00442FAA">
      <w:pPr>
        <w:spacing w:after="0"/>
        <w:jc w:val="both"/>
        <w:rPr>
          <w:lang w:val="es-ES"/>
        </w:rPr>
      </w:pPr>
    </w:p>
    <w:p w:rsidR="00A610F7" w:rsidRPr="00E960FC" w:rsidRDefault="000548A9" w:rsidP="00442FAA">
      <w:pPr>
        <w:spacing w:after="0"/>
        <w:jc w:val="both"/>
        <w:rPr>
          <w:lang w:val="es-ES"/>
        </w:rPr>
      </w:pPr>
      <w:r w:rsidRPr="00E960FC">
        <w:rPr>
          <w:lang w:val="es-ES"/>
        </w:rPr>
        <w:t>Por otro lado, e</w:t>
      </w:r>
      <w:r w:rsidR="00A610F7" w:rsidRPr="00E960FC">
        <w:rPr>
          <w:lang w:val="es-ES"/>
        </w:rPr>
        <w:t xml:space="preserve">l programa </w:t>
      </w:r>
      <w:r w:rsidR="000E667B" w:rsidRPr="00E960FC">
        <w:rPr>
          <w:b/>
          <w:lang w:val="es-ES"/>
        </w:rPr>
        <w:t>oficios</w:t>
      </w:r>
      <w:r w:rsidR="00A610F7" w:rsidRPr="00E960FC">
        <w:rPr>
          <w:lang w:val="es-ES"/>
        </w:rPr>
        <w:t xml:space="preserve"> busca capacitar en competencias de empleabilidad y formación en oficios a hombres y mujeres con el fin de aumentar sus competencias para una mejor inserción laboral. </w:t>
      </w:r>
      <w:r w:rsidR="00BF6534" w:rsidRPr="00E960FC">
        <w:rPr>
          <w:lang w:val="es-ES"/>
        </w:rPr>
        <w:t xml:space="preserve">La capacitación que se lleva a cabo bajo esta modalidad contempla una fase lectiva de 450 horas, y una práctica laboral de 360 horas en promedio. </w:t>
      </w:r>
      <w:r w:rsidR="00A610F7" w:rsidRPr="00E960FC">
        <w:rPr>
          <w:lang w:val="es-ES"/>
        </w:rPr>
        <w:t xml:space="preserve">Este programa cuenta con dos líneas de capacitación: </w:t>
      </w:r>
    </w:p>
    <w:p w:rsidR="00EA62A6" w:rsidRPr="00E960FC" w:rsidRDefault="00A610F7" w:rsidP="00442FAA">
      <w:pPr>
        <w:pStyle w:val="ListParagraph"/>
        <w:numPr>
          <w:ilvl w:val="0"/>
          <w:numId w:val="10"/>
        </w:numPr>
        <w:spacing w:after="0"/>
        <w:jc w:val="both"/>
        <w:rPr>
          <w:lang w:val="es-ES"/>
        </w:rPr>
      </w:pPr>
      <w:r w:rsidRPr="00E960FC">
        <w:rPr>
          <w:lang w:val="es-ES"/>
        </w:rPr>
        <w:t xml:space="preserve">Línea regular: beneficia a jóvenes de entre 15 y 25 años de edad, a mujeres de entre 25 y 60 años de edad, y a hombres de entre 50 y 65 años de edad. La condición de elegibilidad es que deben estar desempleados o buscar trabajo por primera vez. </w:t>
      </w:r>
    </w:p>
    <w:p w:rsidR="00A610F7" w:rsidRPr="00E960FC" w:rsidRDefault="00A610F7" w:rsidP="00442FAA">
      <w:pPr>
        <w:pStyle w:val="ListParagraph"/>
        <w:numPr>
          <w:ilvl w:val="0"/>
          <w:numId w:val="10"/>
        </w:numPr>
        <w:spacing w:after="0"/>
        <w:jc w:val="both"/>
        <w:rPr>
          <w:lang w:val="es-ES"/>
        </w:rPr>
      </w:pPr>
      <w:r w:rsidRPr="00E960FC">
        <w:rPr>
          <w:lang w:val="es-ES"/>
        </w:rPr>
        <w:lastRenderedPageBreak/>
        <w:t>Programa especial de jóvenes</w:t>
      </w:r>
      <w:r w:rsidR="000548A9" w:rsidRPr="00E960FC">
        <w:rPr>
          <w:lang w:val="es-ES"/>
        </w:rPr>
        <w:t xml:space="preserve"> (PEJ)</w:t>
      </w:r>
      <w:r w:rsidRPr="00E960FC">
        <w:rPr>
          <w:lang w:val="es-ES"/>
        </w:rPr>
        <w:t>: beneficia a jóvenes de entre 18 y 29 años de edad</w:t>
      </w:r>
      <w:r w:rsidR="000A489B" w:rsidRPr="00E960FC">
        <w:rPr>
          <w:lang w:val="es-ES"/>
        </w:rPr>
        <w:t xml:space="preserve"> que se encuentren desempleados</w:t>
      </w:r>
      <w:r w:rsidRPr="00E960FC">
        <w:rPr>
          <w:lang w:val="es-ES"/>
        </w:rPr>
        <w:t>, que tengan un puntaje en la ficha de protección social inferior a 11.734 puntos, y que pertenezcan a los primeros dos quintiles de la distribución de ingresos.</w:t>
      </w:r>
      <w:r w:rsidR="00EA62A6" w:rsidRPr="00E960FC">
        <w:rPr>
          <w:rStyle w:val="FootnoteReference"/>
          <w:lang w:val="es-ES"/>
        </w:rPr>
        <w:footnoteReference w:id="5"/>
      </w:r>
      <w:r w:rsidRPr="00E960FC">
        <w:rPr>
          <w:lang w:val="es-ES"/>
        </w:rPr>
        <w:t xml:space="preserve"> </w:t>
      </w:r>
    </w:p>
    <w:p w:rsidR="000548A9" w:rsidRPr="00E960FC" w:rsidRDefault="000548A9" w:rsidP="00442FAA">
      <w:pPr>
        <w:pStyle w:val="ListParagraph"/>
        <w:spacing w:after="0"/>
        <w:jc w:val="both"/>
        <w:rPr>
          <w:lang w:val="es-ES"/>
        </w:rPr>
      </w:pPr>
    </w:p>
    <w:p w:rsidR="008E3E53" w:rsidRPr="00E960FC" w:rsidRDefault="008E3E53" w:rsidP="00442FAA">
      <w:pPr>
        <w:spacing w:after="0"/>
        <w:jc w:val="both"/>
        <w:rPr>
          <w:lang w:val="es-ES"/>
        </w:rPr>
      </w:pPr>
      <w:r w:rsidRPr="00E960FC">
        <w:rPr>
          <w:lang w:val="es-ES"/>
        </w:rPr>
        <w:t>El cuadro 2 presenta la evolución reciente de los beneficiarios de este programa:</w:t>
      </w:r>
    </w:p>
    <w:p w:rsidR="008E3E53" w:rsidRPr="00E960FC" w:rsidRDefault="008E3E53" w:rsidP="00442FAA">
      <w:pPr>
        <w:spacing w:after="0"/>
        <w:jc w:val="center"/>
        <w:rPr>
          <w:lang w:val="es-ES"/>
        </w:rPr>
      </w:pPr>
    </w:p>
    <w:p w:rsidR="008E3E53" w:rsidRPr="00E960FC" w:rsidRDefault="008E3E53" w:rsidP="00442FAA">
      <w:pPr>
        <w:spacing w:after="0" w:line="240" w:lineRule="auto"/>
        <w:jc w:val="center"/>
        <w:rPr>
          <w:b/>
          <w:sz w:val="20"/>
          <w:szCs w:val="20"/>
          <w:lang w:val="es-ES"/>
        </w:rPr>
      </w:pPr>
      <w:r w:rsidRPr="00E960FC">
        <w:rPr>
          <w:b/>
          <w:sz w:val="20"/>
          <w:szCs w:val="20"/>
          <w:lang w:val="es-ES"/>
        </w:rPr>
        <w:t>Cuadro 2</w:t>
      </w:r>
    </w:p>
    <w:p w:rsidR="008E3E53" w:rsidRPr="00E960FC" w:rsidRDefault="008E3E53" w:rsidP="00442FAA">
      <w:pPr>
        <w:spacing w:after="0"/>
        <w:jc w:val="center"/>
        <w:rPr>
          <w:b/>
          <w:sz w:val="20"/>
          <w:szCs w:val="20"/>
          <w:lang w:val="es-ES"/>
        </w:rPr>
      </w:pPr>
      <w:r w:rsidRPr="00E960FC">
        <w:rPr>
          <w:b/>
          <w:sz w:val="20"/>
          <w:szCs w:val="20"/>
          <w:lang w:val="es-ES"/>
        </w:rPr>
        <w:t>Programa oficios</w:t>
      </w:r>
    </w:p>
    <w:p w:rsidR="000B79FE" w:rsidRPr="00E960FC" w:rsidRDefault="000B79FE" w:rsidP="00442FAA">
      <w:pPr>
        <w:spacing w:after="0"/>
        <w:jc w:val="center"/>
        <w:rPr>
          <w:b/>
          <w:sz w:val="20"/>
          <w:szCs w:val="20"/>
          <w:lang w:val="es-ES"/>
        </w:rPr>
      </w:pPr>
    </w:p>
    <w:tbl>
      <w:tblPr>
        <w:tblStyle w:val="TableGrid"/>
        <w:tblW w:w="0" w:type="auto"/>
        <w:tblLook w:val="04A0"/>
      </w:tblPr>
      <w:tblGrid>
        <w:gridCol w:w="4489"/>
        <w:gridCol w:w="4489"/>
      </w:tblGrid>
      <w:tr w:rsidR="008E3E53" w:rsidRPr="00E960FC" w:rsidTr="008E3E53">
        <w:tc>
          <w:tcPr>
            <w:tcW w:w="4489" w:type="dxa"/>
          </w:tcPr>
          <w:p w:rsidR="008E3E53" w:rsidRPr="00E960FC" w:rsidRDefault="008E3E53" w:rsidP="00442FAA">
            <w:pPr>
              <w:jc w:val="center"/>
              <w:rPr>
                <w:b/>
                <w:sz w:val="20"/>
                <w:szCs w:val="20"/>
                <w:lang w:val="es-ES"/>
              </w:rPr>
            </w:pPr>
            <w:r w:rsidRPr="00E960FC">
              <w:rPr>
                <w:b/>
                <w:sz w:val="20"/>
                <w:szCs w:val="20"/>
                <w:lang w:val="es-ES"/>
              </w:rPr>
              <w:t>Año</w:t>
            </w:r>
          </w:p>
        </w:tc>
        <w:tc>
          <w:tcPr>
            <w:tcW w:w="4489" w:type="dxa"/>
          </w:tcPr>
          <w:p w:rsidR="008E3E53" w:rsidRPr="00E960FC" w:rsidRDefault="008E3E53" w:rsidP="00442FAA">
            <w:pPr>
              <w:jc w:val="center"/>
              <w:rPr>
                <w:b/>
                <w:sz w:val="20"/>
                <w:szCs w:val="20"/>
                <w:lang w:val="es-ES"/>
              </w:rPr>
            </w:pPr>
            <w:r w:rsidRPr="00E960FC">
              <w:rPr>
                <w:b/>
                <w:sz w:val="20"/>
                <w:szCs w:val="20"/>
                <w:lang w:val="es-ES"/>
              </w:rPr>
              <w:t>Beneficiarios</w:t>
            </w:r>
          </w:p>
        </w:tc>
      </w:tr>
      <w:tr w:rsidR="008E3E53" w:rsidRPr="00E960FC" w:rsidTr="008E3E53">
        <w:tc>
          <w:tcPr>
            <w:tcW w:w="4489" w:type="dxa"/>
          </w:tcPr>
          <w:p w:rsidR="008E3E53" w:rsidRPr="00E960FC" w:rsidRDefault="008E3E53" w:rsidP="00442FAA">
            <w:pPr>
              <w:jc w:val="center"/>
              <w:rPr>
                <w:sz w:val="20"/>
                <w:szCs w:val="20"/>
                <w:lang w:val="es-ES"/>
              </w:rPr>
            </w:pPr>
            <w:r w:rsidRPr="00E960FC">
              <w:rPr>
                <w:sz w:val="20"/>
                <w:szCs w:val="20"/>
                <w:lang w:val="es-ES"/>
              </w:rPr>
              <w:t>2007</w:t>
            </w:r>
          </w:p>
        </w:tc>
        <w:tc>
          <w:tcPr>
            <w:tcW w:w="4489" w:type="dxa"/>
          </w:tcPr>
          <w:p w:rsidR="008E3E53" w:rsidRPr="00E960FC" w:rsidRDefault="008E3E53" w:rsidP="00442FAA">
            <w:pPr>
              <w:jc w:val="center"/>
              <w:rPr>
                <w:sz w:val="20"/>
                <w:szCs w:val="20"/>
                <w:lang w:val="es-ES"/>
              </w:rPr>
            </w:pPr>
            <w:r w:rsidRPr="00E960FC">
              <w:rPr>
                <w:sz w:val="20"/>
                <w:szCs w:val="20"/>
                <w:lang w:val="es-ES"/>
              </w:rPr>
              <w:t>1.203</w:t>
            </w:r>
          </w:p>
        </w:tc>
      </w:tr>
      <w:tr w:rsidR="008E3E53" w:rsidRPr="00E960FC" w:rsidTr="008E3E53">
        <w:tc>
          <w:tcPr>
            <w:tcW w:w="4489" w:type="dxa"/>
          </w:tcPr>
          <w:p w:rsidR="008E3E53" w:rsidRPr="00E960FC" w:rsidRDefault="008E3E53" w:rsidP="00442FAA">
            <w:pPr>
              <w:jc w:val="center"/>
              <w:rPr>
                <w:sz w:val="20"/>
                <w:szCs w:val="20"/>
                <w:lang w:val="es-ES"/>
              </w:rPr>
            </w:pPr>
            <w:r w:rsidRPr="00E960FC">
              <w:rPr>
                <w:sz w:val="20"/>
                <w:szCs w:val="20"/>
                <w:lang w:val="es-ES"/>
              </w:rPr>
              <w:t>2008</w:t>
            </w:r>
          </w:p>
        </w:tc>
        <w:tc>
          <w:tcPr>
            <w:tcW w:w="4489" w:type="dxa"/>
          </w:tcPr>
          <w:p w:rsidR="008E3E53" w:rsidRPr="00E960FC" w:rsidRDefault="008E3E53" w:rsidP="00442FAA">
            <w:pPr>
              <w:jc w:val="center"/>
              <w:rPr>
                <w:sz w:val="20"/>
                <w:szCs w:val="20"/>
                <w:lang w:val="es-ES"/>
              </w:rPr>
            </w:pPr>
            <w:r w:rsidRPr="00E960FC">
              <w:rPr>
                <w:sz w:val="20"/>
                <w:szCs w:val="20"/>
                <w:lang w:val="es-ES"/>
              </w:rPr>
              <w:t>2.281</w:t>
            </w:r>
          </w:p>
        </w:tc>
      </w:tr>
      <w:tr w:rsidR="008E3E53" w:rsidRPr="00E960FC" w:rsidTr="008E3E53">
        <w:tc>
          <w:tcPr>
            <w:tcW w:w="4489" w:type="dxa"/>
          </w:tcPr>
          <w:p w:rsidR="008E3E53" w:rsidRPr="00E960FC" w:rsidRDefault="008E3E53" w:rsidP="00442FAA">
            <w:pPr>
              <w:jc w:val="center"/>
              <w:rPr>
                <w:sz w:val="20"/>
                <w:szCs w:val="20"/>
                <w:lang w:val="es-ES"/>
              </w:rPr>
            </w:pPr>
            <w:r w:rsidRPr="00E960FC">
              <w:rPr>
                <w:sz w:val="20"/>
                <w:szCs w:val="20"/>
                <w:lang w:val="es-ES"/>
              </w:rPr>
              <w:t>2009</w:t>
            </w:r>
          </w:p>
        </w:tc>
        <w:tc>
          <w:tcPr>
            <w:tcW w:w="4489" w:type="dxa"/>
          </w:tcPr>
          <w:p w:rsidR="008E3E53" w:rsidRPr="00E960FC" w:rsidRDefault="008E3E53" w:rsidP="00442FAA">
            <w:pPr>
              <w:jc w:val="center"/>
              <w:rPr>
                <w:sz w:val="20"/>
                <w:szCs w:val="20"/>
                <w:lang w:val="es-ES"/>
              </w:rPr>
            </w:pPr>
            <w:r w:rsidRPr="00E960FC">
              <w:rPr>
                <w:sz w:val="20"/>
                <w:szCs w:val="20"/>
                <w:lang w:val="es-ES"/>
              </w:rPr>
              <w:t>3.719</w:t>
            </w:r>
          </w:p>
        </w:tc>
      </w:tr>
      <w:tr w:rsidR="008E3E53" w:rsidRPr="00E960FC" w:rsidTr="008E3E53">
        <w:tc>
          <w:tcPr>
            <w:tcW w:w="4489" w:type="dxa"/>
          </w:tcPr>
          <w:p w:rsidR="008E3E53" w:rsidRPr="00E960FC" w:rsidRDefault="008E3E53" w:rsidP="00442FAA">
            <w:pPr>
              <w:jc w:val="center"/>
              <w:rPr>
                <w:sz w:val="20"/>
                <w:szCs w:val="20"/>
                <w:lang w:val="es-ES"/>
              </w:rPr>
            </w:pPr>
            <w:r w:rsidRPr="00E960FC">
              <w:rPr>
                <w:sz w:val="20"/>
                <w:szCs w:val="20"/>
                <w:lang w:val="es-ES"/>
              </w:rPr>
              <w:t>2010</w:t>
            </w:r>
          </w:p>
        </w:tc>
        <w:tc>
          <w:tcPr>
            <w:tcW w:w="4489" w:type="dxa"/>
          </w:tcPr>
          <w:p w:rsidR="008E3E53" w:rsidRPr="00E960FC" w:rsidRDefault="008E3E53" w:rsidP="00442FAA">
            <w:pPr>
              <w:jc w:val="center"/>
              <w:rPr>
                <w:sz w:val="20"/>
                <w:szCs w:val="20"/>
                <w:lang w:val="es-ES"/>
              </w:rPr>
            </w:pPr>
            <w:r w:rsidRPr="00E960FC">
              <w:rPr>
                <w:sz w:val="20"/>
                <w:szCs w:val="20"/>
                <w:lang w:val="es-ES"/>
              </w:rPr>
              <w:t>4.029</w:t>
            </w:r>
          </w:p>
        </w:tc>
      </w:tr>
      <w:tr w:rsidR="008E3E53" w:rsidRPr="00E960FC" w:rsidTr="008E3E53">
        <w:tc>
          <w:tcPr>
            <w:tcW w:w="4489" w:type="dxa"/>
          </w:tcPr>
          <w:p w:rsidR="008E3E53" w:rsidRPr="00E960FC" w:rsidRDefault="008E3E53" w:rsidP="00442FAA">
            <w:pPr>
              <w:jc w:val="center"/>
              <w:rPr>
                <w:sz w:val="20"/>
                <w:szCs w:val="20"/>
                <w:lang w:val="es-ES"/>
              </w:rPr>
            </w:pPr>
            <w:r w:rsidRPr="00E960FC">
              <w:rPr>
                <w:sz w:val="20"/>
                <w:szCs w:val="20"/>
                <w:lang w:val="es-ES"/>
              </w:rPr>
              <w:t>2011</w:t>
            </w:r>
          </w:p>
        </w:tc>
        <w:tc>
          <w:tcPr>
            <w:tcW w:w="4489" w:type="dxa"/>
          </w:tcPr>
          <w:p w:rsidR="008E3E53" w:rsidRPr="00E960FC" w:rsidRDefault="008E3E53" w:rsidP="00442FAA">
            <w:pPr>
              <w:jc w:val="center"/>
              <w:rPr>
                <w:sz w:val="20"/>
                <w:szCs w:val="20"/>
                <w:lang w:val="es-ES"/>
              </w:rPr>
            </w:pPr>
            <w:r w:rsidRPr="00E960FC">
              <w:rPr>
                <w:sz w:val="20"/>
                <w:szCs w:val="20"/>
                <w:lang w:val="es-ES"/>
              </w:rPr>
              <w:t>15.000</w:t>
            </w:r>
          </w:p>
        </w:tc>
      </w:tr>
    </w:tbl>
    <w:p w:rsidR="008E3E53" w:rsidRPr="00E960FC" w:rsidRDefault="008E3E53" w:rsidP="00442FAA">
      <w:pPr>
        <w:spacing w:after="0"/>
        <w:jc w:val="both"/>
        <w:rPr>
          <w:sz w:val="18"/>
          <w:szCs w:val="18"/>
          <w:lang w:val="es-ES"/>
        </w:rPr>
      </w:pPr>
      <w:r w:rsidRPr="00E960FC">
        <w:rPr>
          <w:sz w:val="18"/>
          <w:szCs w:val="18"/>
          <w:lang w:val="es-ES"/>
        </w:rPr>
        <w:t>Fuente: En base a información administrativa SENCE.</w:t>
      </w:r>
    </w:p>
    <w:p w:rsidR="008E3E53" w:rsidRPr="00E960FC" w:rsidRDefault="008E3E53" w:rsidP="00442FAA">
      <w:pPr>
        <w:spacing w:after="0"/>
        <w:jc w:val="center"/>
        <w:rPr>
          <w:lang w:val="es-ES"/>
        </w:rPr>
      </w:pPr>
    </w:p>
    <w:p w:rsidR="000548A9" w:rsidRPr="00E960FC" w:rsidRDefault="000548A9" w:rsidP="00442FAA">
      <w:pPr>
        <w:spacing w:after="0"/>
        <w:jc w:val="both"/>
        <w:rPr>
          <w:lang w:val="es-ES"/>
        </w:rPr>
      </w:pPr>
      <w:r w:rsidRPr="00E960FC">
        <w:rPr>
          <w:lang w:val="es-ES"/>
        </w:rPr>
        <w:t>Finalmente, e</w:t>
      </w:r>
      <w:r w:rsidR="00853BEF" w:rsidRPr="00E960FC">
        <w:rPr>
          <w:lang w:val="es-ES"/>
        </w:rPr>
        <w:t xml:space="preserve">l objetivo de la </w:t>
      </w:r>
      <w:r w:rsidR="000E667B" w:rsidRPr="00E960FC">
        <w:rPr>
          <w:b/>
          <w:lang w:val="es-ES"/>
        </w:rPr>
        <w:t>franquicia tributaria</w:t>
      </w:r>
      <w:r w:rsidR="00853BEF" w:rsidRPr="00E960FC">
        <w:rPr>
          <w:lang w:val="es-ES"/>
        </w:rPr>
        <w:t xml:space="preserve"> consiste en financiar la capacitación </w:t>
      </w:r>
      <w:r w:rsidRPr="00E960FC">
        <w:rPr>
          <w:lang w:val="es-ES"/>
        </w:rPr>
        <w:t>de los trabajadores de</w:t>
      </w:r>
      <w:r w:rsidR="00853BEF" w:rsidRPr="00E960FC">
        <w:rPr>
          <w:lang w:val="es-ES"/>
        </w:rPr>
        <w:t xml:space="preserve"> las empresas a través de descuentos tributarios. Tiene su origen en el año 1976, fecha en que se capacitó a 22.640 personas. Al año 2010 hubo 1.478.801 acciones de capacitación que beneficiaron a 920.688 </w:t>
      </w:r>
      <w:r w:rsidRPr="00E960FC">
        <w:rPr>
          <w:lang w:val="es-ES"/>
        </w:rPr>
        <w:t xml:space="preserve">personas </w:t>
      </w:r>
      <w:r w:rsidR="00853BEF" w:rsidRPr="00E960FC">
        <w:rPr>
          <w:lang w:val="es-ES"/>
        </w:rPr>
        <w:t xml:space="preserve">(ver cuadro </w:t>
      </w:r>
      <w:r w:rsidR="008E3E53" w:rsidRPr="00E960FC">
        <w:rPr>
          <w:lang w:val="es-ES"/>
        </w:rPr>
        <w:t>3</w:t>
      </w:r>
      <w:r w:rsidR="00853BEF" w:rsidRPr="00E960FC">
        <w:rPr>
          <w:lang w:val="es-ES"/>
        </w:rPr>
        <w:t xml:space="preserve">). Las acciones de capacitación difieren del número de beneficiarios por cuanto una persona puede tomar parte en más de una acción de capacitación. </w:t>
      </w:r>
    </w:p>
    <w:p w:rsidR="00442FAA" w:rsidRPr="00E960FC" w:rsidRDefault="00442FAA" w:rsidP="00442FAA">
      <w:pPr>
        <w:spacing w:after="0"/>
        <w:jc w:val="both"/>
        <w:rPr>
          <w:lang w:val="es-ES"/>
        </w:rPr>
      </w:pPr>
    </w:p>
    <w:p w:rsidR="008E3E53" w:rsidRPr="00E960FC" w:rsidRDefault="000548A9" w:rsidP="00442FAA">
      <w:pPr>
        <w:spacing w:after="0"/>
        <w:jc w:val="both"/>
        <w:rPr>
          <w:lang w:val="es-ES"/>
        </w:rPr>
      </w:pPr>
      <w:r w:rsidRPr="00E960FC">
        <w:rPr>
          <w:lang w:val="es-ES"/>
        </w:rPr>
        <w:t>Las instituciones que forman parte del sistema de franquicia tributaria son el Servicio Nacional de Capacitación y Empleo (SENCE), los organismos técnicos de capacitación (OTEC), los organismos técnicos intermedios de capacitación (OTIC), y finalmente, las empresas demandantes de capacitación. Según las bases de este programa</w:t>
      </w:r>
      <w:r w:rsidR="00455769" w:rsidRPr="00E960FC">
        <w:rPr>
          <w:lang w:val="es-ES"/>
        </w:rPr>
        <w:t>,</w:t>
      </w:r>
      <w:r w:rsidRPr="00E960FC">
        <w:rPr>
          <w:lang w:val="es-ES"/>
        </w:rPr>
        <w:t xml:space="preserve"> pueden optar a esta fuente de financiamiento de capacitación aquellos trabajadores con contrato de empresas contribuyentes de primera categoría de la Ley de Renta cuya planilla anual de remuneraciones imponibles supere las 35 </w:t>
      </w:r>
      <w:r w:rsidR="00E10757" w:rsidRPr="00E960FC">
        <w:rPr>
          <w:lang w:val="es-ES"/>
        </w:rPr>
        <w:t>UTM</w:t>
      </w:r>
      <w:r w:rsidRPr="00E960FC">
        <w:rPr>
          <w:lang w:val="es-ES"/>
        </w:rPr>
        <w:t>. La franquicia tributaria financia una amplia gama de actividades de capacitación: (i) cursos para la adquisición de conocimientos, habilidades y destrezas, (ii) diplomados, y (iii) seminarios. Según la información disponible para el año 2009 la duración promedio de los cursos fue de 19,3 horas.</w:t>
      </w:r>
      <w:r w:rsidR="00454762" w:rsidRPr="00E960FC">
        <w:rPr>
          <w:rStyle w:val="FootnoteReference"/>
          <w:lang w:val="es-ES"/>
        </w:rPr>
        <w:footnoteReference w:id="6"/>
      </w:r>
      <w:r w:rsidR="00870AC3" w:rsidRPr="00E960FC" w:rsidDel="00870AC3">
        <w:rPr>
          <w:lang w:val="es-ES"/>
        </w:rPr>
        <w:t xml:space="preserve"> </w:t>
      </w:r>
    </w:p>
    <w:p w:rsidR="000548A9" w:rsidRPr="00E960FC" w:rsidRDefault="000548A9" w:rsidP="00442FAA">
      <w:pPr>
        <w:spacing w:after="0"/>
        <w:jc w:val="both"/>
        <w:rPr>
          <w:lang w:val="es-ES"/>
        </w:rPr>
      </w:pPr>
    </w:p>
    <w:p w:rsidR="00442FAA" w:rsidRPr="00E960FC" w:rsidRDefault="00442FAA" w:rsidP="00442FAA">
      <w:pPr>
        <w:spacing w:after="0"/>
        <w:jc w:val="both"/>
        <w:rPr>
          <w:lang w:val="es-ES"/>
        </w:rPr>
      </w:pPr>
    </w:p>
    <w:p w:rsidR="00442FAA" w:rsidRPr="00E960FC" w:rsidRDefault="00442FAA" w:rsidP="00442FAA">
      <w:pPr>
        <w:spacing w:after="0"/>
        <w:jc w:val="both"/>
        <w:rPr>
          <w:lang w:val="es-ES"/>
        </w:rPr>
      </w:pPr>
    </w:p>
    <w:p w:rsidR="00442FAA" w:rsidRPr="00E960FC" w:rsidRDefault="00442FAA" w:rsidP="00442FAA">
      <w:pPr>
        <w:spacing w:after="0"/>
        <w:jc w:val="both"/>
        <w:rPr>
          <w:lang w:val="es-ES"/>
        </w:rPr>
      </w:pPr>
    </w:p>
    <w:p w:rsidR="00442FAA" w:rsidRPr="00E960FC" w:rsidRDefault="00442FAA" w:rsidP="00442FAA">
      <w:pPr>
        <w:spacing w:after="0"/>
        <w:jc w:val="both"/>
        <w:rPr>
          <w:lang w:val="es-ES"/>
        </w:rPr>
      </w:pPr>
    </w:p>
    <w:p w:rsidR="000B79FE" w:rsidRPr="00E960FC" w:rsidRDefault="000B79FE" w:rsidP="00442FAA">
      <w:pPr>
        <w:spacing w:after="0"/>
        <w:jc w:val="both"/>
        <w:rPr>
          <w:lang w:val="es-ES"/>
        </w:rPr>
      </w:pPr>
    </w:p>
    <w:p w:rsidR="00853BEF" w:rsidRPr="00E960FC" w:rsidRDefault="008E3E53" w:rsidP="00442FAA">
      <w:pPr>
        <w:spacing w:after="0" w:line="240" w:lineRule="auto"/>
        <w:jc w:val="center"/>
        <w:rPr>
          <w:b/>
          <w:sz w:val="20"/>
          <w:szCs w:val="20"/>
          <w:lang w:val="es-ES"/>
        </w:rPr>
      </w:pPr>
      <w:r w:rsidRPr="00E960FC">
        <w:rPr>
          <w:b/>
          <w:sz w:val="20"/>
          <w:szCs w:val="20"/>
          <w:lang w:val="es-ES"/>
        </w:rPr>
        <w:t>Cuadro 3</w:t>
      </w:r>
    </w:p>
    <w:p w:rsidR="00853BEF" w:rsidRPr="00E960FC" w:rsidRDefault="00853BEF" w:rsidP="00442FAA">
      <w:pPr>
        <w:spacing w:after="0" w:line="240" w:lineRule="auto"/>
        <w:jc w:val="center"/>
        <w:rPr>
          <w:b/>
          <w:sz w:val="20"/>
          <w:szCs w:val="20"/>
          <w:lang w:val="es-ES"/>
        </w:rPr>
      </w:pPr>
      <w:r w:rsidRPr="00E960FC">
        <w:rPr>
          <w:b/>
          <w:sz w:val="20"/>
          <w:szCs w:val="20"/>
          <w:lang w:val="es-ES"/>
        </w:rPr>
        <w:t>Franquicia tributaria</w:t>
      </w:r>
    </w:p>
    <w:p w:rsidR="00853BEF" w:rsidRPr="00E960FC" w:rsidRDefault="00853BEF" w:rsidP="00442FAA">
      <w:pPr>
        <w:spacing w:after="0" w:line="240" w:lineRule="auto"/>
        <w:jc w:val="center"/>
        <w:rPr>
          <w:lang w:val="es-ES"/>
        </w:rPr>
      </w:pPr>
    </w:p>
    <w:tbl>
      <w:tblPr>
        <w:tblStyle w:val="TableGrid"/>
        <w:tblW w:w="0" w:type="auto"/>
        <w:tblLook w:val="04A0"/>
      </w:tblPr>
      <w:tblGrid>
        <w:gridCol w:w="2992"/>
        <w:gridCol w:w="2993"/>
        <w:gridCol w:w="2993"/>
      </w:tblGrid>
      <w:tr w:rsidR="00853BEF" w:rsidRPr="00E960FC" w:rsidTr="00853BEF">
        <w:tc>
          <w:tcPr>
            <w:tcW w:w="2992" w:type="dxa"/>
          </w:tcPr>
          <w:p w:rsidR="00853BEF" w:rsidRPr="00E960FC" w:rsidRDefault="00853BEF" w:rsidP="00442FAA">
            <w:pPr>
              <w:jc w:val="center"/>
              <w:rPr>
                <w:b/>
                <w:sz w:val="20"/>
                <w:szCs w:val="20"/>
                <w:lang w:val="es-ES"/>
              </w:rPr>
            </w:pPr>
            <w:r w:rsidRPr="00E960FC">
              <w:rPr>
                <w:b/>
                <w:sz w:val="20"/>
                <w:szCs w:val="20"/>
                <w:lang w:val="es-ES"/>
              </w:rPr>
              <w:t>Año</w:t>
            </w:r>
          </w:p>
        </w:tc>
        <w:tc>
          <w:tcPr>
            <w:tcW w:w="2993" w:type="dxa"/>
          </w:tcPr>
          <w:p w:rsidR="00853BEF" w:rsidRPr="00E960FC" w:rsidRDefault="00853BEF" w:rsidP="00442FAA">
            <w:pPr>
              <w:jc w:val="center"/>
              <w:rPr>
                <w:b/>
                <w:sz w:val="20"/>
                <w:szCs w:val="20"/>
                <w:lang w:val="es-ES"/>
              </w:rPr>
            </w:pPr>
            <w:r w:rsidRPr="00E960FC">
              <w:rPr>
                <w:b/>
                <w:sz w:val="20"/>
                <w:szCs w:val="20"/>
                <w:lang w:val="es-ES"/>
              </w:rPr>
              <w:t>Acciones de capacitación</w:t>
            </w:r>
          </w:p>
        </w:tc>
        <w:tc>
          <w:tcPr>
            <w:tcW w:w="2993" w:type="dxa"/>
          </w:tcPr>
          <w:p w:rsidR="00853BEF" w:rsidRPr="00E960FC" w:rsidRDefault="00853BEF" w:rsidP="00442FAA">
            <w:pPr>
              <w:jc w:val="center"/>
              <w:rPr>
                <w:b/>
                <w:sz w:val="20"/>
                <w:szCs w:val="20"/>
                <w:lang w:val="es-ES"/>
              </w:rPr>
            </w:pPr>
            <w:r w:rsidRPr="00E960FC">
              <w:rPr>
                <w:b/>
                <w:sz w:val="20"/>
                <w:szCs w:val="20"/>
                <w:lang w:val="es-ES"/>
              </w:rPr>
              <w:t>Individuos</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1998</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634.139</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370.165</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1999</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581.655</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381.051</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2000</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695.492</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440.106</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2001</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853.501</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559.811</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2002</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959.843</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638.199</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2003</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975.413</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634.572</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2004</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965.732</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593.847</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2005</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1.011.441</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614.513</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2006</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1.040.876</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644.512</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2007</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1.171.274</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718.574</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2008</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1.329.423</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786.640</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2009</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1.418.946</w:t>
            </w:r>
          </w:p>
        </w:tc>
        <w:tc>
          <w:tcPr>
            <w:tcW w:w="2993" w:type="dxa"/>
            <w:vAlign w:val="bottom"/>
          </w:tcPr>
          <w:p w:rsidR="00853BEF" w:rsidRPr="00E960FC" w:rsidRDefault="00853BEF" w:rsidP="00442FAA">
            <w:pPr>
              <w:jc w:val="center"/>
              <w:rPr>
                <w:rFonts w:ascii="Calibri" w:hAnsi="Calibri"/>
                <w:color w:val="000000"/>
                <w:sz w:val="20"/>
                <w:szCs w:val="20"/>
                <w:lang w:val="es-ES"/>
              </w:rPr>
            </w:pPr>
            <w:r w:rsidRPr="00E960FC">
              <w:rPr>
                <w:rFonts w:ascii="Calibri" w:hAnsi="Calibri"/>
                <w:color w:val="000000"/>
                <w:sz w:val="20"/>
                <w:szCs w:val="20"/>
                <w:lang w:val="es-ES"/>
              </w:rPr>
              <w:t>805.082</w:t>
            </w:r>
          </w:p>
        </w:tc>
      </w:tr>
      <w:tr w:rsidR="00853BEF" w:rsidRPr="00E960FC" w:rsidTr="00853BEF">
        <w:tc>
          <w:tcPr>
            <w:tcW w:w="2992" w:type="dxa"/>
          </w:tcPr>
          <w:p w:rsidR="00853BEF" w:rsidRPr="00E960FC" w:rsidRDefault="00853BEF" w:rsidP="00442FAA">
            <w:pPr>
              <w:jc w:val="center"/>
              <w:rPr>
                <w:sz w:val="20"/>
                <w:szCs w:val="20"/>
                <w:lang w:val="es-ES"/>
              </w:rPr>
            </w:pPr>
            <w:r w:rsidRPr="00E960FC">
              <w:rPr>
                <w:sz w:val="20"/>
                <w:szCs w:val="20"/>
                <w:lang w:val="es-ES"/>
              </w:rPr>
              <w:t>2010</w:t>
            </w:r>
          </w:p>
        </w:tc>
        <w:tc>
          <w:tcPr>
            <w:tcW w:w="2993" w:type="dxa"/>
          </w:tcPr>
          <w:p w:rsidR="00853BEF" w:rsidRPr="00E960FC" w:rsidRDefault="00853BEF" w:rsidP="00442FAA">
            <w:pPr>
              <w:jc w:val="center"/>
              <w:rPr>
                <w:sz w:val="20"/>
                <w:szCs w:val="20"/>
                <w:lang w:val="es-ES"/>
              </w:rPr>
            </w:pPr>
            <w:r w:rsidRPr="00E960FC">
              <w:rPr>
                <w:sz w:val="20"/>
                <w:szCs w:val="20"/>
                <w:lang w:val="es-ES"/>
              </w:rPr>
              <w:t>1.478.801</w:t>
            </w:r>
          </w:p>
        </w:tc>
        <w:tc>
          <w:tcPr>
            <w:tcW w:w="2993" w:type="dxa"/>
          </w:tcPr>
          <w:p w:rsidR="00853BEF" w:rsidRPr="00E960FC" w:rsidRDefault="00853BEF" w:rsidP="00442FAA">
            <w:pPr>
              <w:jc w:val="center"/>
              <w:rPr>
                <w:sz w:val="20"/>
                <w:szCs w:val="20"/>
                <w:lang w:val="es-ES"/>
              </w:rPr>
            </w:pPr>
            <w:r w:rsidRPr="00E960FC">
              <w:rPr>
                <w:sz w:val="20"/>
                <w:szCs w:val="20"/>
                <w:lang w:val="es-ES"/>
              </w:rPr>
              <w:t>920.688</w:t>
            </w:r>
          </w:p>
        </w:tc>
      </w:tr>
    </w:tbl>
    <w:p w:rsidR="00853BEF" w:rsidRPr="00E960FC" w:rsidRDefault="00853BEF" w:rsidP="00442FAA">
      <w:pPr>
        <w:spacing w:after="0"/>
        <w:jc w:val="both"/>
        <w:rPr>
          <w:sz w:val="18"/>
          <w:szCs w:val="18"/>
          <w:lang w:val="es-ES"/>
        </w:rPr>
      </w:pPr>
      <w:r w:rsidRPr="00E960FC">
        <w:rPr>
          <w:sz w:val="18"/>
          <w:szCs w:val="18"/>
          <w:lang w:val="es-ES"/>
        </w:rPr>
        <w:t>Fuente: Informe Final. (2011) Comisión Revisora del Sistema de Capacitación e Intermediación Laboral.</w:t>
      </w:r>
    </w:p>
    <w:p w:rsidR="00853BEF" w:rsidRPr="00E960FC" w:rsidRDefault="00853BEF" w:rsidP="00442FAA">
      <w:pPr>
        <w:spacing w:after="0"/>
        <w:jc w:val="both"/>
        <w:rPr>
          <w:lang w:val="es-ES"/>
        </w:rPr>
      </w:pPr>
    </w:p>
    <w:p w:rsidR="00442FAA" w:rsidRPr="00E960FC" w:rsidRDefault="00442FAA" w:rsidP="00442FAA">
      <w:pPr>
        <w:spacing w:after="0"/>
        <w:jc w:val="both"/>
        <w:rPr>
          <w:lang w:val="es-ES"/>
        </w:rPr>
      </w:pPr>
    </w:p>
    <w:p w:rsidR="00982E67" w:rsidRPr="00E960FC" w:rsidRDefault="00982E67" w:rsidP="00442FAA">
      <w:pPr>
        <w:pStyle w:val="ListParagraph"/>
        <w:numPr>
          <w:ilvl w:val="0"/>
          <w:numId w:val="2"/>
        </w:numPr>
        <w:spacing w:after="0"/>
        <w:rPr>
          <w:b/>
          <w:lang w:val="es-ES"/>
        </w:rPr>
      </w:pPr>
      <w:r w:rsidRPr="00E960FC">
        <w:rPr>
          <w:b/>
          <w:lang w:val="es-ES"/>
        </w:rPr>
        <w:t>Supuestos y Metodología</w:t>
      </w:r>
    </w:p>
    <w:p w:rsidR="00442FAA" w:rsidRPr="00E960FC" w:rsidRDefault="00442FAA" w:rsidP="00442FAA">
      <w:pPr>
        <w:pStyle w:val="ListParagraph"/>
        <w:spacing w:after="0"/>
        <w:ind w:left="1080"/>
        <w:rPr>
          <w:b/>
          <w:lang w:val="es-ES"/>
        </w:rPr>
      </w:pPr>
    </w:p>
    <w:p w:rsidR="00F9221D" w:rsidRPr="00E960FC" w:rsidRDefault="00F9221D" w:rsidP="00442FAA">
      <w:pPr>
        <w:spacing w:after="0"/>
        <w:jc w:val="both"/>
        <w:rPr>
          <w:lang w:val="es-ES"/>
        </w:rPr>
      </w:pPr>
      <w:r w:rsidRPr="00E960FC">
        <w:rPr>
          <w:lang w:val="es-ES"/>
        </w:rPr>
        <w:t xml:space="preserve">En esta sección se describen los supuestos y la metodología utilizada para llevar a cabo el análisis económico de los programas de capacitación laboral. </w:t>
      </w:r>
    </w:p>
    <w:p w:rsidR="00442FAA" w:rsidRPr="00E960FC" w:rsidRDefault="00442FAA" w:rsidP="00442FAA">
      <w:pPr>
        <w:spacing w:after="0"/>
        <w:jc w:val="both"/>
        <w:rPr>
          <w:lang w:val="es-ES"/>
        </w:rPr>
      </w:pPr>
    </w:p>
    <w:p w:rsidR="00F9221D" w:rsidRPr="00E960FC" w:rsidRDefault="00F9221D" w:rsidP="00442FAA">
      <w:pPr>
        <w:spacing w:after="0"/>
        <w:jc w:val="both"/>
        <w:rPr>
          <w:lang w:val="es-ES"/>
        </w:rPr>
      </w:pPr>
      <w:r w:rsidRPr="00E960FC">
        <w:rPr>
          <w:lang w:val="es-ES"/>
        </w:rPr>
        <w:t xml:space="preserve">Para cuantificar los impactos esperados del programa se ha tomado como insumo básico los estudios encargados por el comité de expertos que constituyó el Ministerio del Trabajo y Previsión Social para revisar las políticas de capacitación e intermediación laboral vigentes en Chile. </w:t>
      </w:r>
    </w:p>
    <w:p w:rsidR="00442FAA" w:rsidRPr="00E960FC" w:rsidRDefault="00442FAA" w:rsidP="00442FAA">
      <w:pPr>
        <w:spacing w:after="0"/>
        <w:jc w:val="both"/>
        <w:rPr>
          <w:lang w:val="es-ES"/>
        </w:rPr>
      </w:pPr>
    </w:p>
    <w:p w:rsidR="00F9221D" w:rsidRPr="00E960FC" w:rsidRDefault="00F9221D" w:rsidP="00442FAA">
      <w:pPr>
        <w:spacing w:after="0"/>
        <w:jc w:val="both"/>
        <w:rPr>
          <w:lang w:val="es-ES"/>
        </w:rPr>
      </w:pPr>
      <w:r w:rsidRPr="00E960FC">
        <w:rPr>
          <w:lang w:val="es-ES"/>
        </w:rPr>
        <w:t>A continuación se pasan a describir los impactos estimados por la comisión para los programas en cuestión:</w:t>
      </w:r>
    </w:p>
    <w:p w:rsidR="00F9221D" w:rsidRPr="00E960FC" w:rsidRDefault="00F9221D" w:rsidP="00442FAA">
      <w:pPr>
        <w:pStyle w:val="ListParagraph"/>
        <w:numPr>
          <w:ilvl w:val="0"/>
          <w:numId w:val="7"/>
        </w:numPr>
        <w:spacing w:after="0"/>
        <w:jc w:val="both"/>
        <w:rPr>
          <w:lang w:val="es-ES"/>
        </w:rPr>
      </w:pPr>
      <w:r w:rsidRPr="00E960FC">
        <w:rPr>
          <w:b/>
          <w:lang w:val="es-ES"/>
        </w:rPr>
        <w:t xml:space="preserve">Bono </w:t>
      </w:r>
      <w:r w:rsidR="00CA43FF" w:rsidRPr="00E960FC">
        <w:rPr>
          <w:b/>
          <w:lang w:val="es-ES"/>
        </w:rPr>
        <w:t xml:space="preserve">del </w:t>
      </w:r>
      <w:r w:rsidRPr="00E960FC">
        <w:rPr>
          <w:b/>
          <w:lang w:val="es-ES"/>
        </w:rPr>
        <w:t>trabajador activo</w:t>
      </w:r>
      <w:r w:rsidRPr="00E960FC">
        <w:rPr>
          <w:lang w:val="es-ES"/>
        </w:rPr>
        <w:t xml:space="preserve">: </w:t>
      </w:r>
      <w:r w:rsidR="00CA43FF" w:rsidRPr="00E960FC">
        <w:rPr>
          <w:lang w:val="es-ES"/>
        </w:rPr>
        <w:t xml:space="preserve">no existe evidencia empírica </w:t>
      </w:r>
      <w:r w:rsidR="0096518D" w:rsidRPr="00E960FC">
        <w:rPr>
          <w:lang w:val="es-ES"/>
        </w:rPr>
        <w:t>disponible con</w:t>
      </w:r>
      <w:r w:rsidR="00CA43FF" w:rsidRPr="00E960FC">
        <w:rPr>
          <w:lang w:val="es-ES"/>
        </w:rPr>
        <w:t xml:space="preserve"> respecto </w:t>
      </w:r>
      <w:r w:rsidR="0096518D" w:rsidRPr="00E960FC">
        <w:rPr>
          <w:lang w:val="es-ES"/>
        </w:rPr>
        <w:t>a</w:t>
      </w:r>
      <w:r w:rsidR="00CA43FF" w:rsidRPr="00E960FC">
        <w:rPr>
          <w:lang w:val="es-ES"/>
        </w:rPr>
        <w:t xml:space="preserve"> los impactos </w:t>
      </w:r>
      <w:r w:rsidR="0096518D" w:rsidRPr="00E960FC">
        <w:rPr>
          <w:lang w:val="es-ES"/>
        </w:rPr>
        <w:t>de</w:t>
      </w:r>
      <w:r w:rsidR="00CA43FF" w:rsidRPr="00E960FC">
        <w:rPr>
          <w:lang w:val="es-ES"/>
        </w:rPr>
        <w:t xml:space="preserve"> este programa </w:t>
      </w:r>
      <w:r w:rsidR="0096518D" w:rsidRPr="00E960FC">
        <w:rPr>
          <w:lang w:val="es-ES"/>
        </w:rPr>
        <w:t xml:space="preserve">pues </w:t>
      </w:r>
      <w:r w:rsidR="000B79FE" w:rsidRPr="00E960FC">
        <w:rPr>
          <w:lang w:val="es-ES"/>
        </w:rPr>
        <w:t>fue lanzado recientemente</w:t>
      </w:r>
      <w:r w:rsidR="00CA43FF" w:rsidRPr="00E960FC">
        <w:rPr>
          <w:lang w:val="es-ES"/>
        </w:rPr>
        <w:t xml:space="preserve"> el año 2011. </w:t>
      </w:r>
    </w:p>
    <w:p w:rsidR="00D8483B" w:rsidRPr="00E960FC" w:rsidRDefault="00F9221D" w:rsidP="00442FAA">
      <w:pPr>
        <w:pStyle w:val="ListParagraph"/>
        <w:numPr>
          <w:ilvl w:val="0"/>
          <w:numId w:val="7"/>
        </w:numPr>
        <w:spacing w:after="0"/>
        <w:jc w:val="both"/>
        <w:rPr>
          <w:lang w:val="es-ES"/>
        </w:rPr>
      </w:pPr>
      <w:r w:rsidRPr="00E960FC">
        <w:rPr>
          <w:b/>
          <w:lang w:val="es-ES"/>
        </w:rPr>
        <w:t xml:space="preserve">Programa </w:t>
      </w:r>
      <w:r w:rsidR="00E10757" w:rsidRPr="00E960FC">
        <w:rPr>
          <w:b/>
          <w:lang w:val="es-ES"/>
        </w:rPr>
        <w:t>formación en el puesto de trabajo</w:t>
      </w:r>
      <w:r w:rsidRPr="00E960FC">
        <w:rPr>
          <w:lang w:val="es-ES"/>
        </w:rPr>
        <w:t xml:space="preserve">: </w:t>
      </w:r>
      <w:r w:rsidR="00D8483B" w:rsidRPr="00E960FC">
        <w:rPr>
          <w:lang w:val="es-ES"/>
        </w:rPr>
        <w:t>la comisión de expertos llevó a cabo un análisis de diferencias en diferencias para identificar el impacto de este programa. Los resultados apuntan a la existencia de un impacto positivo en empleo de entre 1 y 5% y en salarios de entre 2 y 9%.</w:t>
      </w:r>
      <w:r w:rsidR="00A51BB9" w:rsidRPr="00E960FC">
        <w:rPr>
          <w:rStyle w:val="FootnoteReference"/>
          <w:lang w:val="es-ES"/>
        </w:rPr>
        <w:footnoteReference w:id="7"/>
      </w:r>
      <w:r w:rsidR="00D8483B" w:rsidRPr="00E960FC">
        <w:rPr>
          <w:lang w:val="es-ES"/>
        </w:rPr>
        <w:t xml:space="preserve"> </w:t>
      </w:r>
      <w:r w:rsidR="0096518D" w:rsidRPr="00E960FC">
        <w:rPr>
          <w:lang w:val="es-ES"/>
        </w:rPr>
        <w:t>A</w:t>
      </w:r>
      <w:r w:rsidR="00D8483B" w:rsidRPr="00E960FC">
        <w:rPr>
          <w:lang w:val="es-ES"/>
        </w:rPr>
        <w:t xml:space="preserve">mbos impactos </w:t>
      </w:r>
      <w:r w:rsidR="0096518D" w:rsidRPr="00E960FC">
        <w:rPr>
          <w:lang w:val="es-ES"/>
        </w:rPr>
        <w:t xml:space="preserve">son </w:t>
      </w:r>
      <w:r w:rsidR="00D8483B" w:rsidRPr="00E960FC">
        <w:rPr>
          <w:lang w:val="es-ES"/>
        </w:rPr>
        <w:t xml:space="preserve">estadísticamente significativos. </w:t>
      </w:r>
    </w:p>
    <w:p w:rsidR="00F9221D" w:rsidRPr="00E960FC" w:rsidRDefault="00F9221D" w:rsidP="00442FAA">
      <w:pPr>
        <w:pStyle w:val="ListParagraph"/>
        <w:numPr>
          <w:ilvl w:val="0"/>
          <w:numId w:val="7"/>
        </w:numPr>
        <w:spacing w:after="0"/>
        <w:jc w:val="both"/>
        <w:rPr>
          <w:lang w:val="es-ES"/>
        </w:rPr>
      </w:pPr>
      <w:r w:rsidRPr="00E960FC">
        <w:rPr>
          <w:b/>
          <w:lang w:val="es-ES"/>
        </w:rPr>
        <w:t>Programa oficios</w:t>
      </w:r>
      <w:r w:rsidRPr="00E960FC">
        <w:rPr>
          <w:lang w:val="es-ES"/>
        </w:rPr>
        <w:t xml:space="preserve">: </w:t>
      </w:r>
      <w:r w:rsidR="00E365AF" w:rsidRPr="00E960FC">
        <w:rPr>
          <w:lang w:val="es-ES"/>
        </w:rPr>
        <w:t>para este programa los análisis realizados por la comisión revelaron la existencia de un efecto positivo en la probabilidad de obtener un empleo formal</w:t>
      </w:r>
      <w:r w:rsidR="00E10757" w:rsidRPr="00E960FC">
        <w:rPr>
          <w:lang w:val="es-ES"/>
        </w:rPr>
        <w:t xml:space="preserve"> del orden </w:t>
      </w:r>
      <w:r w:rsidR="00E10757" w:rsidRPr="00E960FC">
        <w:rPr>
          <w:lang w:val="es-ES"/>
        </w:rPr>
        <w:lastRenderedPageBreak/>
        <w:t>del 15%.</w:t>
      </w:r>
      <w:r w:rsidR="00EF6A7E" w:rsidRPr="00E960FC">
        <w:rPr>
          <w:rStyle w:val="FootnoteReference"/>
          <w:lang w:val="es-ES"/>
        </w:rPr>
        <w:footnoteReference w:id="8"/>
      </w:r>
      <w:r w:rsidR="00BF6534" w:rsidRPr="00E960FC">
        <w:rPr>
          <w:lang w:val="es-ES"/>
        </w:rPr>
        <w:t xml:space="preserve"> Por otro lado, el análisis econométrico </w:t>
      </w:r>
      <w:r w:rsidR="00982AAD" w:rsidRPr="00E960FC">
        <w:rPr>
          <w:lang w:val="es-ES"/>
        </w:rPr>
        <w:t>dio cuenta</w:t>
      </w:r>
      <w:r w:rsidR="00BF6534" w:rsidRPr="00E960FC">
        <w:rPr>
          <w:lang w:val="es-ES"/>
        </w:rPr>
        <w:t xml:space="preserve"> de un efecto positivo y estadísticamente significativo en salarios de entre </w:t>
      </w:r>
      <w:r w:rsidR="001D1543" w:rsidRPr="00E960FC">
        <w:rPr>
          <w:lang w:val="es-ES"/>
        </w:rPr>
        <w:t>US</w:t>
      </w:r>
      <w:r w:rsidR="00BF6534" w:rsidRPr="00E960FC">
        <w:rPr>
          <w:lang w:val="es-ES"/>
        </w:rPr>
        <w:t>$</w:t>
      </w:r>
      <w:r w:rsidR="001D1543" w:rsidRPr="00E960FC">
        <w:rPr>
          <w:lang w:val="es-ES"/>
        </w:rPr>
        <w:t>44,2</w:t>
      </w:r>
      <w:r w:rsidR="00BF6534" w:rsidRPr="00E960FC">
        <w:rPr>
          <w:lang w:val="es-ES"/>
        </w:rPr>
        <w:t xml:space="preserve"> y </w:t>
      </w:r>
      <w:r w:rsidR="001D1543" w:rsidRPr="00E960FC">
        <w:rPr>
          <w:lang w:val="es-ES"/>
        </w:rPr>
        <w:t>US</w:t>
      </w:r>
      <w:r w:rsidR="00BF6534" w:rsidRPr="00E960FC">
        <w:rPr>
          <w:lang w:val="es-ES"/>
        </w:rPr>
        <w:t>$</w:t>
      </w:r>
      <w:r w:rsidR="001D1543" w:rsidRPr="00E960FC">
        <w:rPr>
          <w:lang w:val="es-ES"/>
        </w:rPr>
        <w:t>48,1</w:t>
      </w:r>
      <w:r w:rsidR="00341BDE" w:rsidRPr="00E960FC">
        <w:rPr>
          <w:lang w:val="es-ES"/>
        </w:rPr>
        <w:t xml:space="preserve"> (esto equivale a un 16% más de salario para los que participaron con respecto a los que no lo hicieron)</w:t>
      </w:r>
      <w:r w:rsidR="00BF6534" w:rsidRPr="00E960FC">
        <w:rPr>
          <w:lang w:val="es-ES"/>
        </w:rPr>
        <w:t>.</w:t>
      </w:r>
    </w:p>
    <w:p w:rsidR="00C833DD" w:rsidRPr="00E960FC" w:rsidRDefault="00F9221D" w:rsidP="00442FAA">
      <w:pPr>
        <w:pStyle w:val="ListParagraph"/>
        <w:numPr>
          <w:ilvl w:val="0"/>
          <w:numId w:val="7"/>
        </w:numPr>
        <w:spacing w:after="0"/>
        <w:jc w:val="both"/>
        <w:rPr>
          <w:lang w:val="es-ES"/>
        </w:rPr>
      </w:pPr>
      <w:r w:rsidRPr="00E960FC">
        <w:rPr>
          <w:b/>
          <w:lang w:val="es-ES"/>
        </w:rPr>
        <w:t>Franquicia tributaria</w:t>
      </w:r>
      <w:r w:rsidRPr="00E960FC">
        <w:rPr>
          <w:lang w:val="es-ES"/>
        </w:rPr>
        <w:t xml:space="preserve">: </w:t>
      </w:r>
      <w:r w:rsidR="000D36B2" w:rsidRPr="00E960FC">
        <w:rPr>
          <w:lang w:val="es-ES"/>
        </w:rPr>
        <w:t xml:space="preserve">utilizando una base de datos de panel, obtenida a partir de los beneficiarios de la franquicia tributaria y la base de datos del seguro de cesantía, </w:t>
      </w:r>
      <w:r w:rsidR="002B5D72" w:rsidRPr="00E960FC">
        <w:rPr>
          <w:lang w:val="es-ES"/>
        </w:rPr>
        <w:t xml:space="preserve">es posible </w:t>
      </w:r>
      <w:r w:rsidR="000D36B2" w:rsidRPr="00E960FC">
        <w:rPr>
          <w:lang w:val="es-ES"/>
        </w:rPr>
        <w:t>identificar el impacto de las capacitaciones realizadas a través de esta modalidad. Los resultados no revelan un impacto en empleo, pero sí muestran un impacto muy leve (0,6%) en</w:t>
      </w:r>
      <w:r w:rsidR="001D1543" w:rsidRPr="00E960FC">
        <w:rPr>
          <w:lang w:val="es-ES"/>
        </w:rPr>
        <w:t xml:space="preserve"> </w:t>
      </w:r>
      <w:r w:rsidR="002A2287" w:rsidRPr="00E960FC">
        <w:rPr>
          <w:lang w:val="es-ES"/>
        </w:rPr>
        <w:t>salarios</w:t>
      </w:r>
      <w:r w:rsidR="000D36B2" w:rsidRPr="00E960FC">
        <w:rPr>
          <w:lang w:val="es-ES"/>
        </w:rPr>
        <w:t>.</w:t>
      </w:r>
      <w:r w:rsidR="004E5A81" w:rsidRPr="00E960FC">
        <w:rPr>
          <w:rStyle w:val="FootnoteReference"/>
          <w:lang w:val="es-ES"/>
        </w:rPr>
        <w:footnoteReference w:id="9"/>
      </w:r>
    </w:p>
    <w:p w:rsidR="00442FAA" w:rsidRPr="00E960FC" w:rsidRDefault="00442FAA" w:rsidP="00442FAA">
      <w:pPr>
        <w:spacing w:after="0" w:line="240" w:lineRule="auto"/>
        <w:jc w:val="both"/>
        <w:rPr>
          <w:b/>
          <w:sz w:val="20"/>
          <w:szCs w:val="20"/>
          <w:lang w:val="es-ES"/>
        </w:rPr>
      </w:pPr>
    </w:p>
    <w:p w:rsidR="00442FAA" w:rsidRPr="00E960FC" w:rsidRDefault="00442FAA" w:rsidP="00442FAA">
      <w:pPr>
        <w:spacing w:after="0" w:line="240" w:lineRule="auto"/>
        <w:jc w:val="center"/>
        <w:rPr>
          <w:b/>
          <w:sz w:val="20"/>
          <w:szCs w:val="20"/>
          <w:lang w:val="es-ES"/>
        </w:rPr>
      </w:pPr>
      <w:r w:rsidRPr="00E960FC">
        <w:rPr>
          <w:b/>
          <w:sz w:val="20"/>
          <w:szCs w:val="20"/>
          <w:lang w:val="es-ES"/>
        </w:rPr>
        <w:t>Cuadro 4</w:t>
      </w:r>
    </w:p>
    <w:p w:rsidR="00442FAA" w:rsidRPr="00E960FC" w:rsidRDefault="00442FAA" w:rsidP="00442FAA">
      <w:pPr>
        <w:spacing w:after="0" w:line="240" w:lineRule="auto"/>
        <w:jc w:val="center"/>
        <w:rPr>
          <w:b/>
          <w:sz w:val="20"/>
          <w:szCs w:val="20"/>
          <w:lang w:val="es-ES"/>
        </w:rPr>
      </w:pPr>
      <w:r w:rsidRPr="00E960FC">
        <w:rPr>
          <w:b/>
          <w:sz w:val="20"/>
          <w:szCs w:val="20"/>
          <w:lang w:val="es-ES"/>
        </w:rPr>
        <w:t>Resumen programas de capacitación</w:t>
      </w:r>
    </w:p>
    <w:p w:rsidR="00442FAA" w:rsidRPr="00E960FC" w:rsidRDefault="00442FAA" w:rsidP="00442FAA">
      <w:pPr>
        <w:spacing w:after="0"/>
        <w:jc w:val="center"/>
        <w:rPr>
          <w:lang w:val="es-ES"/>
        </w:rPr>
      </w:pPr>
    </w:p>
    <w:tbl>
      <w:tblPr>
        <w:tblStyle w:val="TableGrid"/>
        <w:tblW w:w="0" w:type="auto"/>
        <w:tblLook w:val="04A0"/>
      </w:tblPr>
      <w:tblGrid>
        <w:gridCol w:w="2244"/>
        <w:gridCol w:w="2244"/>
        <w:gridCol w:w="2245"/>
        <w:gridCol w:w="2245"/>
      </w:tblGrid>
      <w:tr w:rsidR="00442FAA" w:rsidRPr="00E960FC" w:rsidTr="00E10757">
        <w:tc>
          <w:tcPr>
            <w:tcW w:w="2244" w:type="dxa"/>
          </w:tcPr>
          <w:p w:rsidR="00442FAA" w:rsidRPr="00E960FC" w:rsidRDefault="00442FAA" w:rsidP="00442FAA">
            <w:pPr>
              <w:rPr>
                <w:b/>
                <w:sz w:val="20"/>
                <w:szCs w:val="20"/>
                <w:lang w:val="es-ES"/>
              </w:rPr>
            </w:pPr>
            <w:r w:rsidRPr="00E960FC">
              <w:rPr>
                <w:b/>
                <w:sz w:val="20"/>
                <w:szCs w:val="20"/>
                <w:lang w:val="es-ES"/>
              </w:rPr>
              <w:t>Programa</w:t>
            </w:r>
          </w:p>
        </w:tc>
        <w:tc>
          <w:tcPr>
            <w:tcW w:w="2244" w:type="dxa"/>
          </w:tcPr>
          <w:p w:rsidR="00442FAA" w:rsidRPr="00E960FC" w:rsidRDefault="00442FAA" w:rsidP="00442FAA">
            <w:pPr>
              <w:rPr>
                <w:b/>
                <w:sz w:val="20"/>
                <w:szCs w:val="20"/>
                <w:lang w:val="es-ES"/>
              </w:rPr>
            </w:pPr>
            <w:r w:rsidRPr="00E960FC">
              <w:rPr>
                <w:b/>
                <w:sz w:val="20"/>
                <w:szCs w:val="20"/>
                <w:lang w:val="es-ES"/>
              </w:rPr>
              <w:t>Población objetivo</w:t>
            </w:r>
          </w:p>
        </w:tc>
        <w:tc>
          <w:tcPr>
            <w:tcW w:w="2245" w:type="dxa"/>
          </w:tcPr>
          <w:p w:rsidR="00442FAA" w:rsidRPr="00E960FC" w:rsidRDefault="00442FAA" w:rsidP="00442FAA">
            <w:pPr>
              <w:rPr>
                <w:b/>
                <w:sz w:val="20"/>
                <w:szCs w:val="20"/>
                <w:lang w:val="es-ES"/>
              </w:rPr>
            </w:pPr>
            <w:r w:rsidRPr="00E960FC">
              <w:rPr>
                <w:b/>
                <w:sz w:val="20"/>
                <w:szCs w:val="20"/>
                <w:lang w:val="es-ES"/>
              </w:rPr>
              <w:t>Beneficios</w:t>
            </w:r>
          </w:p>
        </w:tc>
        <w:tc>
          <w:tcPr>
            <w:tcW w:w="2245" w:type="dxa"/>
          </w:tcPr>
          <w:p w:rsidR="00442FAA" w:rsidRPr="00E960FC" w:rsidRDefault="00442FAA" w:rsidP="00442FAA">
            <w:pPr>
              <w:rPr>
                <w:b/>
                <w:sz w:val="20"/>
                <w:szCs w:val="20"/>
                <w:lang w:val="es-ES"/>
              </w:rPr>
            </w:pPr>
            <w:r w:rsidRPr="00E960FC">
              <w:rPr>
                <w:b/>
                <w:sz w:val="20"/>
                <w:szCs w:val="20"/>
                <w:lang w:val="es-ES"/>
              </w:rPr>
              <w:t>Impactos esperados</w:t>
            </w:r>
          </w:p>
        </w:tc>
      </w:tr>
      <w:tr w:rsidR="00442FAA" w:rsidRPr="00E960FC" w:rsidTr="00E10757">
        <w:tc>
          <w:tcPr>
            <w:tcW w:w="2244" w:type="dxa"/>
          </w:tcPr>
          <w:p w:rsidR="00442FAA" w:rsidRPr="00E960FC" w:rsidRDefault="00442FAA" w:rsidP="00442FAA">
            <w:pPr>
              <w:rPr>
                <w:sz w:val="20"/>
                <w:szCs w:val="20"/>
                <w:lang w:val="es-ES"/>
              </w:rPr>
            </w:pPr>
            <w:r w:rsidRPr="00E960FC">
              <w:rPr>
                <w:sz w:val="20"/>
                <w:szCs w:val="20"/>
                <w:lang w:val="es-ES"/>
              </w:rPr>
              <w:t>Bono trabajador activo</w:t>
            </w:r>
          </w:p>
        </w:tc>
        <w:tc>
          <w:tcPr>
            <w:tcW w:w="2244" w:type="dxa"/>
          </w:tcPr>
          <w:p w:rsidR="00442FAA" w:rsidRPr="00E960FC" w:rsidRDefault="00442FAA" w:rsidP="00442FAA">
            <w:pPr>
              <w:rPr>
                <w:sz w:val="20"/>
                <w:szCs w:val="20"/>
                <w:lang w:val="es-ES"/>
              </w:rPr>
            </w:pPr>
            <w:r w:rsidRPr="00E960FC">
              <w:rPr>
                <w:sz w:val="20"/>
                <w:szCs w:val="20"/>
                <w:lang w:val="es-ES"/>
              </w:rPr>
              <w:t>Trabajadores ocupados de entre 18-65 años, con un salario &lt; US$1.154, con al menos 1 año de experiencia laboral, y un mínimo de 6 cotizaciones en los últimos 12 meses.</w:t>
            </w:r>
          </w:p>
        </w:tc>
        <w:tc>
          <w:tcPr>
            <w:tcW w:w="2245" w:type="dxa"/>
          </w:tcPr>
          <w:p w:rsidR="00442FAA" w:rsidRPr="00E960FC" w:rsidRDefault="00442FAA" w:rsidP="00442FAA">
            <w:pPr>
              <w:rPr>
                <w:sz w:val="20"/>
                <w:szCs w:val="20"/>
                <w:lang w:val="es-ES"/>
              </w:rPr>
            </w:pPr>
            <w:r w:rsidRPr="00E960FC">
              <w:rPr>
                <w:sz w:val="20"/>
                <w:szCs w:val="20"/>
                <w:lang w:val="es-ES"/>
              </w:rPr>
              <w:t xml:space="preserve">Un </w:t>
            </w:r>
            <w:r w:rsidRPr="00E960FC">
              <w:rPr>
                <w:i/>
                <w:sz w:val="20"/>
                <w:szCs w:val="20"/>
                <w:lang w:val="es-ES"/>
              </w:rPr>
              <w:t>voucher</w:t>
            </w:r>
            <w:r w:rsidRPr="00E960FC">
              <w:rPr>
                <w:sz w:val="20"/>
                <w:szCs w:val="20"/>
                <w:lang w:val="es-ES"/>
              </w:rPr>
              <w:t xml:space="preserve"> para capacitarse por un valor promedio de US$519. Se exige al beneficiario un copago del 20% del valor del curso elegido. El curso debe ser de entre 80 y 140 horas. </w:t>
            </w:r>
          </w:p>
        </w:tc>
        <w:tc>
          <w:tcPr>
            <w:tcW w:w="2245" w:type="dxa"/>
          </w:tcPr>
          <w:p w:rsidR="00442FAA" w:rsidRPr="00E960FC" w:rsidRDefault="00442FAA" w:rsidP="00442FAA">
            <w:pPr>
              <w:rPr>
                <w:sz w:val="20"/>
                <w:szCs w:val="20"/>
                <w:lang w:val="es-ES"/>
              </w:rPr>
            </w:pPr>
            <w:r w:rsidRPr="00E960FC">
              <w:rPr>
                <w:sz w:val="20"/>
                <w:szCs w:val="20"/>
                <w:lang w:val="es-ES"/>
              </w:rPr>
              <w:t>Salarios</w:t>
            </w:r>
          </w:p>
        </w:tc>
      </w:tr>
      <w:tr w:rsidR="00442FAA" w:rsidRPr="00E960FC" w:rsidTr="00E10757">
        <w:tc>
          <w:tcPr>
            <w:tcW w:w="2244" w:type="dxa"/>
          </w:tcPr>
          <w:p w:rsidR="00442FAA" w:rsidRPr="00E960FC" w:rsidRDefault="00442FAA" w:rsidP="00442FAA">
            <w:pPr>
              <w:rPr>
                <w:sz w:val="20"/>
                <w:szCs w:val="20"/>
                <w:lang w:val="es-ES"/>
              </w:rPr>
            </w:pPr>
            <w:r w:rsidRPr="00E960FC">
              <w:rPr>
                <w:sz w:val="20"/>
                <w:szCs w:val="20"/>
                <w:lang w:val="es-ES"/>
              </w:rPr>
              <w:t>Formación en el puesto de trabajo</w:t>
            </w:r>
          </w:p>
        </w:tc>
        <w:tc>
          <w:tcPr>
            <w:tcW w:w="2244" w:type="dxa"/>
          </w:tcPr>
          <w:p w:rsidR="00442FAA" w:rsidRPr="00E960FC" w:rsidRDefault="00442FAA" w:rsidP="00442FAA">
            <w:pPr>
              <w:rPr>
                <w:sz w:val="20"/>
                <w:szCs w:val="20"/>
                <w:lang w:val="es-ES"/>
              </w:rPr>
            </w:pPr>
            <w:r w:rsidRPr="00E960FC">
              <w:rPr>
                <w:sz w:val="20"/>
                <w:szCs w:val="20"/>
                <w:lang w:val="es-ES"/>
              </w:rPr>
              <w:t xml:space="preserve">Personas desempleadas (por al menos 3 meses), con educación media completa, y que pertenezcan a los quintiles 2 y 3. </w:t>
            </w:r>
          </w:p>
        </w:tc>
        <w:tc>
          <w:tcPr>
            <w:tcW w:w="2245" w:type="dxa"/>
          </w:tcPr>
          <w:p w:rsidR="00442FAA" w:rsidRPr="00E960FC" w:rsidRDefault="00442FAA" w:rsidP="00442FAA">
            <w:pPr>
              <w:rPr>
                <w:sz w:val="20"/>
                <w:szCs w:val="20"/>
                <w:lang w:val="es-ES"/>
              </w:rPr>
            </w:pPr>
            <w:r w:rsidRPr="00E960FC">
              <w:rPr>
                <w:sz w:val="20"/>
                <w:szCs w:val="20"/>
                <w:lang w:val="es-ES"/>
              </w:rPr>
              <w:t>Financia el 50% del salario mínimo por un período máximo de 6 meses. Entrega un subsidio máximo para capacitación de 10 UTM (US$1.460).</w:t>
            </w:r>
          </w:p>
          <w:p w:rsidR="00442FAA" w:rsidRPr="00E960FC" w:rsidRDefault="00442FAA" w:rsidP="00442FAA">
            <w:pPr>
              <w:rPr>
                <w:sz w:val="20"/>
                <w:szCs w:val="20"/>
                <w:lang w:val="es-ES"/>
              </w:rPr>
            </w:pPr>
            <w:r w:rsidRPr="00E960FC">
              <w:rPr>
                <w:sz w:val="20"/>
                <w:szCs w:val="20"/>
                <w:lang w:val="es-ES"/>
              </w:rPr>
              <w:t xml:space="preserve">Financia un mínimo de 40 y 90 horas de capacitación, dependiendo del grupo de beneficiarios. </w:t>
            </w:r>
          </w:p>
        </w:tc>
        <w:tc>
          <w:tcPr>
            <w:tcW w:w="2245" w:type="dxa"/>
          </w:tcPr>
          <w:p w:rsidR="00442FAA" w:rsidRPr="00E960FC" w:rsidRDefault="00442FAA" w:rsidP="00442FAA">
            <w:pPr>
              <w:rPr>
                <w:sz w:val="20"/>
                <w:szCs w:val="20"/>
                <w:lang w:val="es-ES"/>
              </w:rPr>
            </w:pPr>
            <w:r w:rsidRPr="00E960FC">
              <w:rPr>
                <w:sz w:val="20"/>
                <w:szCs w:val="20"/>
                <w:lang w:val="es-ES"/>
              </w:rPr>
              <w:t>Salarios</w:t>
            </w:r>
          </w:p>
          <w:p w:rsidR="00442FAA" w:rsidRPr="00E960FC" w:rsidRDefault="00442FAA" w:rsidP="00442FAA">
            <w:pPr>
              <w:rPr>
                <w:sz w:val="20"/>
                <w:szCs w:val="20"/>
                <w:lang w:val="es-ES"/>
              </w:rPr>
            </w:pPr>
            <w:r w:rsidRPr="00E960FC">
              <w:rPr>
                <w:sz w:val="20"/>
                <w:szCs w:val="20"/>
                <w:lang w:val="es-ES"/>
              </w:rPr>
              <w:t>Empleo</w:t>
            </w:r>
          </w:p>
        </w:tc>
      </w:tr>
      <w:tr w:rsidR="00442FAA" w:rsidRPr="00E960FC" w:rsidTr="00E10757">
        <w:tc>
          <w:tcPr>
            <w:tcW w:w="2244" w:type="dxa"/>
          </w:tcPr>
          <w:p w:rsidR="00442FAA" w:rsidRPr="00E960FC" w:rsidRDefault="00442FAA" w:rsidP="00442FAA">
            <w:pPr>
              <w:rPr>
                <w:sz w:val="20"/>
                <w:szCs w:val="20"/>
                <w:lang w:val="es-ES"/>
              </w:rPr>
            </w:pPr>
            <w:r w:rsidRPr="00E960FC">
              <w:rPr>
                <w:sz w:val="20"/>
                <w:szCs w:val="20"/>
                <w:lang w:val="es-ES"/>
              </w:rPr>
              <w:t>Oficios</w:t>
            </w:r>
          </w:p>
        </w:tc>
        <w:tc>
          <w:tcPr>
            <w:tcW w:w="2244" w:type="dxa"/>
          </w:tcPr>
          <w:p w:rsidR="00442FAA" w:rsidRPr="00E960FC" w:rsidRDefault="00442FAA" w:rsidP="00442FAA">
            <w:pPr>
              <w:rPr>
                <w:sz w:val="20"/>
                <w:szCs w:val="20"/>
                <w:lang w:val="es-ES"/>
              </w:rPr>
            </w:pPr>
            <w:r w:rsidRPr="00E960FC">
              <w:rPr>
                <w:sz w:val="20"/>
                <w:szCs w:val="20"/>
                <w:lang w:val="es-ES"/>
              </w:rPr>
              <w:t>Personas desempleadas entre 15 y 65 años de edad, que pertenezcan a los primeros dos quintiles (para aquellos entre 18 y 29 años)</w:t>
            </w:r>
          </w:p>
        </w:tc>
        <w:tc>
          <w:tcPr>
            <w:tcW w:w="2245" w:type="dxa"/>
          </w:tcPr>
          <w:p w:rsidR="00442FAA" w:rsidRPr="00E960FC" w:rsidRDefault="00442FAA" w:rsidP="00442FAA">
            <w:pPr>
              <w:rPr>
                <w:sz w:val="20"/>
                <w:szCs w:val="20"/>
                <w:lang w:val="es-ES"/>
              </w:rPr>
            </w:pPr>
            <w:r w:rsidRPr="00E960FC">
              <w:rPr>
                <w:sz w:val="20"/>
                <w:szCs w:val="20"/>
                <w:lang w:val="es-ES"/>
              </w:rPr>
              <w:t>Se entrega formación en un oficio.</w:t>
            </w:r>
          </w:p>
          <w:p w:rsidR="00442FAA" w:rsidRPr="00E960FC" w:rsidRDefault="00442FAA" w:rsidP="00442FAA">
            <w:pPr>
              <w:rPr>
                <w:sz w:val="20"/>
                <w:szCs w:val="20"/>
                <w:lang w:val="es-ES"/>
              </w:rPr>
            </w:pPr>
            <w:r w:rsidRPr="00E960FC">
              <w:rPr>
                <w:sz w:val="20"/>
                <w:szCs w:val="20"/>
                <w:lang w:val="es-ES"/>
              </w:rPr>
              <w:t>Subsidio de transporte y alimentación.</w:t>
            </w:r>
          </w:p>
          <w:p w:rsidR="00442FAA" w:rsidRPr="00E960FC" w:rsidRDefault="00442FAA" w:rsidP="00442FAA">
            <w:pPr>
              <w:rPr>
                <w:sz w:val="20"/>
                <w:szCs w:val="20"/>
                <w:lang w:val="es-ES"/>
              </w:rPr>
            </w:pPr>
            <w:r w:rsidRPr="00E960FC">
              <w:rPr>
                <w:sz w:val="20"/>
                <w:szCs w:val="20"/>
                <w:lang w:val="es-ES"/>
              </w:rPr>
              <w:t xml:space="preserve">Financia cursos de capacitación con una fase lectiva de 450 horas, y una práctica </w:t>
            </w:r>
            <w:r w:rsidRPr="00E960FC">
              <w:rPr>
                <w:sz w:val="20"/>
                <w:szCs w:val="20"/>
                <w:lang w:val="es-ES"/>
              </w:rPr>
              <w:lastRenderedPageBreak/>
              <w:t>laboral de 360 horas promedio.</w:t>
            </w:r>
          </w:p>
        </w:tc>
        <w:tc>
          <w:tcPr>
            <w:tcW w:w="2245" w:type="dxa"/>
          </w:tcPr>
          <w:p w:rsidR="00442FAA" w:rsidRPr="00E960FC" w:rsidRDefault="00442FAA" w:rsidP="00442FAA">
            <w:pPr>
              <w:rPr>
                <w:sz w:val="20"/>
                <w:szCs w:val="20"/>
                <w:lang w:val="es-ES"/>
              </w:rPr>
            </w:pPr>
            <w:r w:rsidRPr="00E960FC">
              <w:rPr>
                <w:sz w:val="20"/>
                <w:szCs w:val="20"/>
                <w:lang w:val="es-ES"/>
              </w:rPr>
              <w:lastRenderedPageBreak/>
              <w:t>Salarios</w:t>
            </w:r>
          </w:p>
          <w:p w:rsidR="00442FAA" w:rsidRPr="00E960FC" w:rsidRDefault="00442FAA" w:rsidP="00442FAA">
            <w:pPr>
              <w:rPr>
                <w:sz w:val="20"/>
                <w:szCs w:val="20"/>
                <w:lang w:val="es-ES"/>
              </w:rPr>
            </w:pPr>
            <w:r w:rsidRPr="00E960FC">
              <w:rPr>
                <w:sz w:val="20"/>
                <w:szCs w:val="20"/>
                <w:lang w:val="es-ES"/>
              </w:rPr>
              <w:t>Empleo</w:t>
            </w:r>
          </w:p>
        </w:tc>
      </w:tr>
      <w:tr w:rsidR="00442FAA" w:rsidRPr="00E960FC" w:rsidTr="00E10757">
        <w:tc>
          <w:tcPr>
            <w:tcW w:w="2244" w:type="dxa"/>
          </w:tcPr>
          <w:p w:rsidR="00442FAA" w:rsidRPr="00E960FC" w:rsidRDefault="00442FAA" w:rsidP="00442FAA">
            <w:pPr>
              <w:rPr>
                <w:sz w:val="20"/>
                <w:szCs w:val="20"/>
                <w:lang w:val="es-ES"/>
              </w:rPr>
            </w:pPr>
            <w:r w:rsidRPr="00E960FC">
              <w:rPr>
                <w:sz w:val="20"/>
                <w:szCs w:val="20"/>
                <w:lang w:val="es-ES"/>
              </w:rPr>
              <w:lastRenderedPageBreak/>
              <w:t>Franquicia tributaria</w:t>
            </w:r>
          </w:p>
        </w:tc>
        <w:tc>
          <w:tcPr>
            <w:tcW w:w="2244" w:type="dxa"/>
          </w:tcPr>
          <w:p w:rsidR="00442FAA" w:rsidRPr="00E960FC" w:rsidRDefault="00442FAA" w:rsidP="00442FAA">
            <w:pPr>
              <w:rPr>
                <w:sz w:val="20"/>
                <w:szCs w:val="20"/>
                <w:lang w:val="es-ES"/>
              </w:rPr>
            </w:pPr>
            <w:r w:rsidRPr="00E960FC">
              <w:rPr>
                <w:sz w:val="20"/>
                <w:szCs w:val="20"/>
                <w:lang w:val="es-ES"/>
              </w:rPr>
              <w:t>Trabajadores con contrato de empresas contribuyentes de primera categoría de la Ley de Renta con una planilla de remuneraciones superior a las 35 UTM.</w:t>
            </w:r>
          </w:p>
        </w:tc>
        <w:tc>
          <w:tcPr>
            <w:tcW w:w="2245" w:type="dxa"/>
          </w:tcPr>
          <w:p w:rsidR="00442FAA" w:rsidRPr="00E960FC" w:rsidRDefault="00442FAA" w:rsidP="00442FAA">
            <w:pPr>
              <w:rPr>
                <w:sz w:val="20"/>
                <w:szCs w:val="20"/>
                <w:lang w:val="es-ES"/>
              </w:rPr>
            </w:pPr>
            <w:r w:rsidRPr="00E960FC">
              <w:rPr>
                <w:sz w:val="20"/>
                <w:szCs w:val="20"/>
                <w:lang w:val="es-ES"/>
              </w:rPr>
              <w:t>Financia: (i) cursos para la adquisición de conocimientos, habilidades y destrezas, (ii) diplomados, y (iii) seminarios. La duración promedio de los cursos financiados en 2009 fue de 19,3 horas.</w:t>
            </w:r>
          </w:p>
        </w:tc>
        <w:tc>
          <w:tcPr>
            <w:tcW w:w="2245" w:type="dxa"/>
          </w:tcPr>
          <w:p w:rsidR="00442FAA" w:rsidRPr="00E960FC" w:rsidRDefault="00442FAA" w:rsidP="00442FAA">
            <w:pPr>
              <w:rPr>
                <w:sz w:val="20"/>
                <w:szCs w:val="20"/>
                <w:lang w:val="es-ES"/>
              </w:rPr>
            </w:pPr>
            <w:r w:rsidRPr="00E960FC">
              <w:rPr>
                <w:sz w:val="20"/>
                <w:szCs w:val="20"/>
                <w:lang w:val="es-ES"/>
              </w:rPr>
              <w:t>Salarios</w:t>
            </w:r>
          </w:p>
        </w:tc>
      </w:tr>
    </w:tbl>
    <w:p w:rsidR="00442FAA" w:rsidRPr="00E960FC" w:rsidRDefault="00442FAA" w:rsidP="00442FAA">
      <w:pPr>
        <w:spacing w:after="0"/>
        <w:jc w:val="both"/>
        <w:rPr>
          <w:lang w:val="es-ES"/>
        </w:rPr>
      </w:pPr>
    </w:p>
    <w:p w:rsidR="00442FAA" w:rsidRPr="00E960FC" w:rsidRDefault="00442FAA" w:rsidP="00442FAA">
      <w:pPr>
        <w:spacing w:after="0" w:line="240" w:lineRule="auto"/>
        <w:jc w:val="both"/>
        <w:rPr>
          <w:b/>
          <w:sz w:val="20"/>
          <w:szCs w:val="20"/>
          <w:lang w:val="es-ES"/>
        </w:rPr>
      </w:pPr>
    </w:p>
    <w:p w:rsidR="00442FAA" w:rsidRPr="00E960FC" w:rsidRDefault="00442FAA" w:rsidP="00442FAA">
      <w:pPr>
        <w:spacing w:after="0"/>
        <w:jc w:val="both"/>
        <w:rPr>
          <w:lang w:val="es-ES"/>
        </w:rPr>
      </w:pPr>
      <w:r w:rsidRPr="00E960FC">
        <w:rPr>
          <w:lang w:val="es-ES"/>
        </w:rPr>
        <w:t xml:space="preserve">Sin duda que </w:t>
      </w:r>
      <w:r w:rsidR="00EF6A7E" w:rsidRPr="00E960FC">
        <w:rPr>
          <w:lang w:val="es-ES"/>
        </w:rPr>
        <w:t>asumir como ciertos los efectos estimados por la comisión de expertos para los distintos programas c</w:t>
      </w:r>
      <w:r w:rsidRPr="00E960FC">
        <w:rPr>
          <w:lang w:val="es-ES"/>
        </w:rPr>
        <w:t xml:space="preserve">onstituye el principal supuesto detrás de la construcción de los flujos asociados a cada uno de los programas de capacitación laboral. </w:t>
      </w:r>
      <w:r w:rsidR="000B79FE" w:rsidRPr="00E960FC">
        <w:rPr>
          <w:lang w:val="es-ES"/>
        </w:rPr>
        <w:t>Cabe señalar además que l</w:t>
      </w:r>
      <w:r w:rsidRPr="00E960FC">
        <w:rPr>
          <w:lang w:val="es-ES"/>
        </w:rPr>
        <w:t>a cuantificación de dichos beneficios se hizo mediante el método de valoración contingente.</w:t>
      </w:r>
      <w:r w:rsidR="003D1727" w:rsidRPr="00E960FC">
        <w:rPr>
          <w:rStyle w:val="FootnoteReference"/>
          <w:lang w:val="es-ES"/>
        </w:rPr>
        <w:footnoteReference w:id="10"/>
      </w:r>
    </w:p>
    <w:p w:rsidR="00EF6A7E" w:rsidRPr="00E960FC" w:rsidRDefault="00EF6A7E" w:rsidP="00442FAA">
      <w:pPr>
        <w:spacing w:after="0"/>
        <w:jc w:val="both"/>
        <w:rPr>
          <w:lang w:val="es-ES"/>
        </w:rPr>
      </w:pPr>
    </w:p>
    <w:p w:rsidR="00442FAA" w:rsidRPr="00E960FC" w:rsidRDefault="00442FAA" w:rsidP="00442FAA">
      <w:pPr>
        <w:spacing w:after="0"/>
        <w:jc w:val="both"/>
        <w:rPr>
          <w:lang w:val="es-ES"/>
        </w:rPr>
      </w:pPr>
      <w:r w:rsidRPr="00E960FC">
        <w:rPr>
          <w:lang w:val="es-ES"/>
        </w:rPr>
        <w:t>Dado que los impactos encontrados en los análisis llevados a cabo por el comité de expertos se obtuvieron utilizando un grupo de control, se asume que éste exhibirá un comportamiento similar en el resto de las variables económicas, salvo en cuanto a los indicadores que se espera poder alterar.</w:t>
      </w:r>
      <w:r w:rsidR="00EF6A7E" w:rsidRPr="00E960FC">
        <w:rPr>
          <w:rStyle w:val="FootnoteReference"/>
          <w:lang w:val="es-ES"/>
        </w:rPr>
        <w:footnoteReference w:id="11"/>
      </w:r>
    </w:p>
    <w:p w:rsidR="00442FAA" w:rsidRPr="00E960FC" w:rsidRDefault="00442FAA" w:rsidP="00442FAA">
      <w:pPr>
        <w:spacing w:after="0" w:line="240" w:lineRule="auto"/>
        <w:jc w:val="both"/>
        <w:rPr>
          <w:lang w:val="es-ES"/>
        </w:rPr>
      </w:pPr>
    </w:p>
    <w:p w:rsidR="00442FAA" w:rsidRPr="00E960FC" w:rsidRDefault="00442FAA" w:rsidP="00442FAA">
      <w:pPr>
        <w:spacing w:after="0" w:line="240" w:lineRule="auto"/>
        <w:jc w:val="both"/>
        <w:rPr>
          <w:b/>
          <w:sz w:val="20"/>
          <w:szCs w:val="20"/>
          <w:lang w:val="es-ES"/>
        </w:rPr>
      </w:pPr>
      <w:r w:rsidRPr="00E960FC">
        <w:rPr>
          <w:lang w:val="es-ES"/>
        </w:rPr>
        <w:t>Finalmente, con respecto a la tasa de descuento para estimar el VAN de</w:t>
      </w:r>
      <w:r w:rsidR="00E10757" w:rsidRPr="00E960FC">
        <w:rPr>
          <w:lang w:val="es-ES"/>
        </w:rPr>
        <w:t xml:space="preserve"> cada </w:t>
      </w:r>
      <w:r w:rsidRPr="00E960FC">
        <w:rPr>
          <w:lang w:val="es-ES"/>
        </w:rPr>
        <w:t>programa se utilizará la tasa estándar que emplea el BID para este tipo de proyectos, es decir, de 12%.</w:t>
      </w:r>
    </w:p>
    <w:p w:rsidR="00442FAA" w:rsidRPr="00E960FC" w:rsidRDefault="00442FAA" w:rsidP="00442FAA">
      <w:pPr>
        <w:spacing w:after="0" w:line="240" w:lineRule="auto"/>
        <w:jc w:val="center"/>
        <w:rPr>
          <w:b/>
          <w:sz w:val="20"/>
          <w:szCs w:val="20"/>
          <w:lang w:val="es-ES"/>
        </w:rPr>
      </w:pPr>
    </w:p>
    <w:p w:rsidR="00442FAA" w:rsidRPr="00E960FC" w:rsidRDefault="00442FAA" w:rsidP="00442FAA">
      <w:pPr>
        <w:spacing w:after="0" w:line="240" w:lineRule="auto"/>
        <w:jc w:val="center"/>
        <w:rPr>
          <w:b/>
          <w:sz w:val="20"/>
          <w:szCs w:val="20"/>
          <w:lang w:val="es-ES"/>
        </w:rPr>
      </w:pPr>
    </w:p>
    <w:p w:rsidR="00982E67" w:rsidRPr="00E960FC" w:rsidRDefault="00982E67" w:rsidP="00442FAA">
      <w:pPr>
        <w:pStyle w:val="ListParagraph"/>
        <w:numPr>
          <w:ilvl w:val="0"/>
          <w:numId w:val="2"/>
        </w:numPr>
        <w:spacing w:after="0"/>
        <w:rPr>
          <w:b/>
          <w:lang w:val="es-ES"/>
        </w:rPr>
      </w:pPr>
      <w:r w:rsidRPr="00E960FC">
        <w:rPr>
          <w:b/>
          <w:lang w:val="es-ES"/>
        </w:rPr>
        <w:t>Beneficios Económicos</w:t>
      </w:r>
    </w:p>
    <w:p w:rsidR="00442FAA" w:rsidRPr="00E960FC" w:rsidRDefault="00442FAA" w:rsidP="00442FAA">
      <w:pPr>
        <w:pStyle w:val="ListParagraph"/>
        <w:spacing w:after="0"/>
        <w:ind w:left="1080"/>
        <w:rPr>
          <w:b/>
          <w:lang w:val="es-ES"/>
        </w:rPr>
      </w:pPr>
    </w:p>
    <w:p w:rsidR="00C833DD" w:rsidRPr="00E960FC" w:rsidRDefault="00320951" w:rsidP="00442FAA">
      <w:pPr>
        <w:spacing w:after="0"/>
        <w:jc w:val="both"/>
        <w:rPr>
          <w:lang w:val="es-ES"/>
        </w:rPr>
      </w:pPr>
      <w:r w:rsidRPr="00E960FC">
        <w:rPr>
          <w:lang w:val="es-ES"/>
        </w:rPr>
        <w:t>A continuación se detalla</w:t>
      </w:r>
      <w:r w:rsidR="004E5A81" w:rsidRPr="00E960FC">
        <w:rPr>
          <w:lang w:val="es-ES"/>
        </w:rPr>
        <w:t>rá</w:t>
      </w:r>
      <w:r w:rsidRPr="00E960FC">
        <w:rPr>
          <w:lang w:val="es-ES"/>
        </w:rPr>
        <w:t xml:space="preserve">n los beneficios económicos cuantificables </w:t>
      </w:r>
      <w:r w:rsidR="004E5A81" w:rsidRPr="00E960FC">
        <w:rPr>
          <w:lang w:val="es-ES"/>
        </w:rPr>
        <w:t>provenientes</w:t>
      </w:r>
      <w:r w:rsidRPr="00E960FC">
        <w:rPr>
          <w:lang w:val="es-ES"/>
        </w:rPr>
        <w:t xml:space="preserve"> de estos cuatro programas de capacitación laboral.</w:t>
      </w:r>
      <w:r w:rsidR="004E5A81" w:rsidRPr="00E960FC">
        <w:rPr>
          <w:lang w:val="es-ES"/>
        </w:rPr>
        <w:t xml:space="preserve"> Este punto es importante, pues los beneficios que se pueden identificar por medio del instrumental econométrico son solo aquellos que se traducen en mayores salarios o niveles de empleo, sin embargo, existe una amplia gama de efectos potenciales que pueden ser originados a partir de estos programas de capacitación. Algunos de estos efectos podrían ser mayores niveles de satisfacción laboral (percepción de seguridad laboral), mejor clima organizacional, mayor cumplimiento de metas que se recompensan por medio de bonos, etc. (Bassanini, 2004). </w:t>
      </w:r>
    </w:p>
    <w:p w:rsidR="0027470D" w:rsidRPr="00E960FC" w:rsidRDefault="0027470D" w:rsidP="00442FAA">
      <w:pPr>
        <w:spacing w:after="0"/>
        <w:jc w:val="both"/>
        <w:rPr>
          <w:lang w:val="es-ES"/>
        </w:rPr>
      </w:pPr>
    </w:p>
    <w:p w:rsidR="003D1727" w:rsidRPr="00E960FC" w:rsidRDefault="003D1727" w:rsidP="00442FAA">
      <w:pPr>
        <w:spacing w:after="0"/>
        <w:jc w:val="both"/>
        <w:rPr>
          <w:lang w:val="es-ES"/>
        </w:rPr>
      </w:pPr>
    </w:p>
    <w:p w:rsidR="003D6B5B" w:rsidRPr="00E960FC" w:rsidRDefault="003D6B5B" w:rsidP="00442FAA">
      <w:pPr>
        <w:spacing w:after="0"/>
        <w:jc w:val="both"/>
        <w:rPr>
          <w:b/>
          <w:i/>
          <w:lang w:val="es-ES"/>
        </w:rPr>
      </w:pPr>
      <w:r w:rsidRPr="00E960FC">
        <w:rPr>
          <w:b/>
          <w:i/>
          <w:lang w:val="es-ES"/>
        </w:rPr>
        <w:lastRenderedPageBreak/>
        <w:t xml:space="preserve">Bono </w:t>
      </w:r>
      <w:r w:rsidR="00CA43FF" w:rsidRPr="00E960FC">
        <w:rPr>
          <w:b/>
          <w:i/>
          <w:lang w:val="es-ES"/>
        </w:rPr>
        <w:t xml:space="preserve">del </w:t>
      </w:r>
      <w:r w:rsidRPr="00E960FC">
        <w:rPr>
          <w:b/>
          <w:i/>
          <w:lang w:val="es-ES"/>
        </w:rPr>
        <w:t>trabajador activo</w:t>
      </w:r>
    </w:p>
    <w:p w:rsidR="00442FAA" w:rsidRPr="00E960FC" w:rsidRDefault="00442FAA" w:rsidP="00442FAA">
      <w:pPr>
        <w:spacing w:after="0"/>
        <w:jc w:val="both"/>
        <w:rPr>
          <w:lang w:val="es-ES"/>
        </w:rPr>
      </w:pPr>
    </w:p>
    <w:p w:rsidR="003D6B5B" w:rsidRPr="00E960FC" w:rsidRDefault="00BF6534" w:rsidP="00442FAA">
      <w:pPr>
        <w:spacing w:after="0"/>
        <w:jc w:val="both"/>
        <w:rPr>
          <w:lang w:val="es-ES"/>
        </w:rPr>
      </w:pPr>
      <w:r w:rsidRPr="00E960FC">
        <w:rPr>
          <w:lang w:val="es-ES"/>
        </w:rPr>
        <w:t xml:space="preserve">En vista de las características que contempla este bono, y de que no existe evidencia estadística previa respecto de su impacto, se ha decidido asumir que el efecto que tendrá sobre los salarios será equivalente al encontrado para el programa </w:t>
      </w:r>
      <w:r w:rsidR="00E10757" w:rsidRPr="00E960FC">
        <w:rPr>
          <w:lang w:val="es-ES"/>
        </w:rPr>
        <w:t>formación en el puesto de trabajo</w:t>
      </w:r>
      <w:r w:rsidRPr="00E960FC">
        <w:rPr>
          <w:lang w:val="es-ES"/>
        </w:rPr>
        <w:t>.</w:t>
      </w:r>
      <w:r w:rsidR="003D1727" w:rsidRPr="00E960FC">
        <w:rPr>
          <w:rStyle w:val="FootnoteReference"/>
          <w:lang w:val="es-ES"/>
        </w:rPr>
        <w:footnoteReference w:id="12"/>
      </w:r>
      <w:r w:rsidRPr="00E960FC">
        <w:rPr>
          <w:lang w:val="es-ES"/>
        </w:rPr>
        <w:t xml:space="preserve"> De esta forma, se asumirá que los salarios del grupo de trabajadores capacitados experimentará un aumento salarial de 5</w:t>
      </w:r>
      <w:r w:rsidR="00113488" w:rsidRPr="00E960FC">
        <w:rPr>
          <w:lang w:val="es-ES"/>
        </w:rPr>
        <w:t>,</w:t>
      </w:r>
      <w:r w:rsidRPr="00E960FC">
        <w:rPr>
          <w:lang w:val="es-ES"/>
        </w:rPr>
        <w:t>5%.</w:t>
      </w:r>
      <w:r w:rsidR="00CC7A5C" w:rsidRPr="00E960FC">
        <w:rPr>
          <w:rStyle w:val="FootnoteReference"/>
          <w:lang w:val="es-ES"/>
        </w:rPr>
        <w:footnoteReference w:id="13"/>
      </w:r>
      <w:r w:rsidRPr="00E960FC">
        <w:rPr>
          <w:lang w:val="es-ES"/>
        </w:rPr>
        <w:t xml:space="preserve"> Este hecho se sustenta en que los potenciales beneficiarios</w:t>
      </w:r>
      <w:r w:rsidR="00CC2E12" w:rsidRPr="00E960FC">
        <w:rPr>
          <w:lang w:val="es-ES"/>
        </w:rPr>
        <w:t xml:space="preserve"> tienen experiencia laboral y por ende, pueden realizar una buena búsqueda de un programa que les impacte positivamente en su productividad. Asimismo, el copago que se debe efectuar permite un alineamiento de incentivos que tien</w:t>
      </w:r>
      <w:r w:rsidR="00113488" w:rsidRPr="00E960FC">
        <w:rPr>
          <w:lang w:val="es-ES"/>
        </w:rPr>
        <w:t>d</w:t>
      </w:r>
      <w:r w:rsidR="00CC2E12" w:rsidRPr="00E960FC">
        <w:rPr>
          <w:lang w:val="es-ES"/>
        </w:rPr>
        <w:t>e a maximizar el valor de la capacitación recibida. El punto crítico, no obstante, será que la competencia entre instituciones, y la búsqueda de programas por parte de los beneficiarios</w:t>
      </w:r>
      <w:r w:rsidR="00113488" w:rsidRPr="00E960FC">
        <w:rPr>
          <w:lang w:val="es-ES"/>
        </w:rPr>
        <w:t>,</w:t>
      </w:r>
      <w:r w:rsidR="00CC2E12" w:rsidRPr="00E960FC">
        <w:rPr>
          <w:lang w:val="es-ES"/>
        </w:rPr>
        <w:t xml:space="preserve"> d</w:t>
      </w:r>
      <w:r w:rsidR="00113488" w:rsidRPr="00E960FC">
        <w:rPr>
          <w:lang w:val="es-ES"/>
        </w:rPr>
        <w:t>é</w:t>
      </w:r>
      <w:r w:rsidR="00CC2E12" w:rsidRPr="00E960FC">
        <w:rPr>
          <w:lang w:val="es-ES"/>
        </w:rPr>
        <w:t xml:space="preserve"> origen</w:t>
      </w:r>
      <w:r w:rsidR="00E72825" w:rsidRPr="00E960FC">
        <w:rPr>
          <w:lang w:val="es-ES"/>
        </w:rPr>
        <w:t xml:space="preserve"> a una capacitación de calidad, lo que de acuerdo al análisis llevado a cabo por la comisión de expertos no está asegurado en las condiciones actuales. </w:t>
      </w:r>
    </w:p>
    <w:p w:rsidR="00442FAA" w:rsidRPr="00E960FC" w:rsidRDefault="00442FAA" w:rsidP="00442FAA">
      <w:pPr>
        <w:spacing w:after="0"/>
        <w:jc w:val="both"/>
        <w:rPr>
          <w:lang w:val="es-ES"/>
        </w:rPr>
      </w:pPr>
    </w:p>
    <w:p w:rsidR="00CC2E12" w:rsidRPr="00E960FC" w:rsidRDefault="00CC2E12" w:rsidP="00442FAA">
      <w:pPr>
        <w:spacing w:after="0"/>
        <w:jc w:val="both"/>
        <w:rPr>
          <w:lang w:val="es-ES"/>
        </w:rPr>
      </w:pPr>
      <w:r w:rsidRPr="00E960FC">
        <w:rPr>
          <w:lang w:val="es-ES"/>
        </w:rPr>
        <w:t>Luego, los beneficios se obtienen como el producto entre los beneficiarios y el efecto incremental sobre los salarios</w:t>
      </w:r>
      <w:r w:rsidR="008E0366" w:rsidRPr="00E960FC">
        <w:rPr>
          <w:lang w:val="es-ES"/>
        </w:rPr>
        <w:t>.</w:t>
      </w:r>
      <w:r w:rsidR="00647D75" w:rsidRPr="00E960FC">
        <w:rPr>
          <w:lang w:val="es-ES"/>
        </w:rPr>
        <w:t xml:space="preserve"> Cabe señalar que no existen otro tipo de subsidios para este programa (colación, transporte, etc.)</w:t>
      </w:r>
      <w:r w:rsidR="00E10757" w:rsidRPr="00E960FC">
        <w:rPr>
          <w:lang w:val="es-ES"/>
        </w:rPr>
        <w:t xml:space="preserve"> más allá del </w:t>
      </w:r>
      <w:r w:rsidR="00E10757" w:rsidRPr="00E960FC">
        <w:rPr>
          <w:i/>
          <w:lang w:val="es-ES"/>
        </w:rPr>
        <w:t>voucher</w:t>
      </w:r>
      <w:r w:rsidR="00E10757" w:rsidRPr="00E960FC">
        <w:rPr>
          <w:lang w:val="es-ES"/>
        </w:rPr>
        <w:t xml:space="preserve"> mismo.</w:t>
      </w:r>
    </w:p>
    <w:p w:rsidR="0027470D" w:rsidRPr="00E960FC" w:rsidRDefault="0027470D" w:rsidP="00442FAA">
      <w:pPr>
        <w:spacing w:after="0"/>
        <w:jc w:val="both"/>
        <w:rPr>
          <w:lang w:val="es-ES"/>
        </w:rPr>
      </w:pPr>
    </w:p>
    <w:p w:rsidR="00E10757" w:rsidRPr="00E960FC" w:rsidRDefault="00E10757" w:rsidP="00442FAA">
      <w:pPr>
        <w:spacing w:after="0"/>
        <w:jc w:val="both"/>
        <w:rPr>
          <w:lang w:val="es-ES"/>
        </w:rPr>
      </w:pPr>
    </w:p>
    <w:p w:rsidR="003D6B5B" w:rsidRPr="00E960FC" w:rsidRDefault="003D6B5B" w:rsidP="00442FAA">
      <w:pPr>
        <w:spacing w:after="0"/>
        <w:jc w:val="both"/>
        <w:rPr>
          <w:b/>
          <w:i/>
          <w:lang w:val="es-ES"/>
        </w:rPr>
      </w:pPr>
      <w:r w:rsidRPr="00E960FC">
        <w:rPr>
          <w:b/>
          <w:i/>
          <w:lang w:val="es-ES"/>
        </w:rPr>
        <w:t xml:space="preserve">Programa </w:t>
      </w:r>
      <w:r w:rsidR="005A5AB0" w:rsidRPr="00E960FC">
        <w:rPr>
          <w:b/>
          <w:i/>
          <w:lang w:val="es-ES"/>
        </w:rPr>
        <w:t>formación en el puesto de trabajo</w:t>
      </w:r>
    </w:p>
    <w:p w:rsidR="00442FAA" w:rsidRPr="00E960FC" w:rsidRDefault="00442FAA" w:rsidP="00442FAA">
      <w:pPr>
        <w:spacing w:after="0"/>
        <w:jc w:val="both"/>
        <w:rPr>
          <w:b/>
          <w:i/>
          <w:lang w:val="es-ES"/>
        </w:rPr>
      </w:pPr>
    </w:p>
    <w:p w:rsidR="003D6B5B" w:rsidRPr="00E960FC" w:rsidRDefault="00D8483B" w:rsidP="00442FAA">
      <w:pPr>
        <w:spacing w:after="0"/>
        <w:jc w:val="both"/>
        <w:rPr>
          <w:lang w:val="es-ES"/>
        </w:rPr>
      </w:pPr>
      <w:r w:rsidRPr="00E960FC">
        <w:rPr>
          <w:lang w:val="es-ES"/>
        </w:rPr>
        <w:t>De acuerdo a los registros oficiales del SENCE, los beneficiarios de este programa ascendieron a 12.300 en el año 2011 (ver cuadro 1); por ende, los beneficios asociados se obtienen imputando el impacto en términos de empleo</w:t>
      </w:r>
      <w:r w:rsidR="00767F6B" w:rsidRPr="00E960FC">
        <w:rPr>
          <w:lang w:val="es-ES"/>
        </w:rPr>
        <w:t xml:space="preserve"> (3%)</w:t>
      </w:r>
      <w:r w:rsidRPr="00E960FC">
        <w:rPr>
          <w:lang w:val="es-ES"/>
        </w:rPr>
        <w:t xml:space="preserve"> y salarios</w:t>
      </w:r>
      <w:r w:rsidR="00767F6B" w:rsidRPr="00E960FC">
        <w:rPr>
          <w:lang w:val="es-ES"/>
        </w:rPr>
        <w:t xml:space="preserve"> (5</w:t>
      </w:r>
      <w:r w:rsidR="00113488" w:rsidRPr="00E960FC">
        <w:rPr>
          <w:lang w:val="es-ES"/>
        </w:rPr>
        <w:t>,</w:t>
      </w:r>
      <w:r w:rsidR="00767F6B" w:rsidRPr="00E960FC">
        <w:rPr>
          <w:lang w:val="es-ES"/>
        </w:rPr>
        <w:t>5%)</w:t>
      </w:r>
      <w:r w:rsidRPr="00E960FC">
        <w:rPr>
          <w:lang w:val="es-ES"/>
        </w:rPr>
        <w:t xml:space="preserve"> en </w:t>
      </w:r>
      <w:r w:rsidR="00E10757" w:rsidRPr="00E960FC">
        <w:rPr>
          <w:lang w:val="es-ES"/>
        </w:rPr>
        <w:t>el</w:t>
      </w:r>
      <w:r w:rsidRPr="00E960FC">
        <w:rPr>
          <w:lang w:val="es-ES"/>
        </w:rPr>
        <w:t xml:space="preserve"> grupo beneficiario.</w:t>
      </w:r>
      <w:r w:rsidR="004B2711" w:rsidRPr="00E960FC">
        <w:rPr>
          <w:rStyle w:val="FootnoteReference"/>
          <w:lang w:val="es-ES"/>
        </w:rPr>
        <w:footnoteReference w:id="14"/>
      </w:r>
      <w:r w:rsidRPr="00E960FC">
        <w:rPr>
          <w:lang w:val="es-ES"/>
        </w:rPr>
        <w:t xml:space="preserve"> Ahora bien, como existen tres grupos beneficiarios, se utiliza el salario promedio de estos tres grupos. Según los datos de la encuesta CASEN 2009, los salarios promedio de estos grupos son </w:t>
      </w:r>
      <w:r w:rsidR="00870AC3" w:rsidRPr="00E960FC">
        <w:rPr>
          <w:lang w:val="es-ES"/>
        </w:rPr>
        <w:t>US</w:t>
      </w:r>
      <w:r w:rsidRPr="00E960FC">
        <w:rPr>
          <w:lang w:val="es-ES"/>
        </w:rPr>
        <w:t>$</w:t>
      </w:r>
      <w:r w:rsidR="00870AC3" w:rsidRPr="00E960FC">
        <w:rPr>
          <w:lang w:val="es-ES"/>
        </w:rPr>
        <w:t>439</w:t>
      </w:r>
      <w:r w:rsidRPr="00E960FC">
        <w:rPr>
          <w:lang w:val="es-ES"/>
        </w:rPr>
        <w:t xml:space="preserve"> (jóvenes </w:t>
      </w:r>
      <w:r w:rsidRPr="00E960FC">
        <w:rPr>
          <w:lang w:val="es-ES"/>
        </w:rPr>
        <w:lastRenderedPageBreak/>
        <w:t xml:space="preserve">entre 15 y 25 años), </w:t>
      </w:r>
      <w:r w:rsidR="00870AC3" w:rsidRPr="00E960FC">
        <w:rPr>
          <w:lang w:val="es-ES"/>
        </w:rPr>
        <w:t>US</w:t>
      </w:r>
      <w:r w:rsidRPr="00E960FC">
        <w:rPr>
          <w:lang w:val="es-ES"/>
        </w:rPr>
        <w:t>$</w:t>
      </w:r>
      <w:r w:rsidR="00870AC3" w:rsidRPr="00E960FC">
        <w:rPr>
          <w:lang w:val="es-ES"/>
        </w:rPr>
        <w:t>663,8</w:t>
      </w:r>
      <w:r w:rsidRPr="00E960FC">
        <w:rPr>
          <w:lang w:val="es-ES"/>
        </w:rPr>
        <w:t xml:space="preserve"> (mujeres entre 25 y 60 años) y </w:t>
      </w:r>
      <w:r w:rsidR="00870AC3" w:rsidRPr="00E960FC">
        <w:rPr>
          <w:lang w:val="es-ES"/>
        </w:rPr>
        <w:t>US</w:t>
      </w:r>
      <w:r w:rsidRPr="00E960FC">
        <w:rPr>
          <w:lang w:val="es-ES"/>
        </w:rPr>
        <w:t>$</w:t>
      </w:r>
      <w:r w:rsidR="00870AC3" w:rsidRPr="00E960FC">
        <w:rPr>
          <w:lang w:val="es-ES"/>
        </w:rPr>
        <w:t>866,6</w:t>
      </w:r>
      <w:r w:rsidRPr="00E960FC">
        <w:rPr>
          <w:lang w:val="es-ES"/>
        </w:rPr>
        <w:t xml:space="preserve"> (hombres entre 50 y 65 años). </w:t>
      </w:r>
      <w:r w:rsidR="00B0098C" w:rsidRPr="00E960FC">
        <w:rPr>
          <w:lang w:val="es-ES"/>
        </w:rPr>
        <w:t xml:space="preserve">Por lo tanto, el salario promedio (ponderado) es de </w:t>
      </w:r>
      <w:r w:rsidR="00870AC3" w:rsidRPr="00E960FC">
        <w:rPr>
          <w:lang w:val="es-ES"/>
        </w:rPr>
        <w:t>US</w:t>
      </w:r>
      <w:r w:rsidR="00B0098C" w:rsidRPr="00E960FC">
        <w:rPr>
          <w:lang w:val="es-ES"/>
        </w:rPr>
        <w:t>$</w:t>
      </w:r>
      <w:r w:rsidR="00870AC3" w:rsidRPr="00E960FC">
        <w:rPr>
          <w:lang w:val="es-ES"/>
        </w:rPr>
        <w:t>652,5</w:t>
      </w:r>
      <w:r w:rsidR="00B0098C" w:rsidRPr="00E960FC">
        <w:rPr>
          <w:lang w:val="es-ES"/>
        </w:rPr>
        <w:t>.</w:t>
      </w:r>
      <w:r w:rsidR="00870AC3" w:rsidRPr="00E960FC">
        <w:rPr>
          <w:rStyle w:val="FootnoteReference"/>
          <w:lang w:val="es-ES"/>
        </w:rPr>
        <w:footnoteReference w:id="15"/>
      </w:r>
    </w:p>
    <w:p w:rsidR="00442FAA" w:rsidRPr="00E960FC" w:rsidRDefault="00442FAA" w:rsidP="00442FAA">
      <w:pPr>
        <w:spacing w:after="0"/>
        <w:jc w:val="both"/>
        <w:rPr>
          <w:lang w:val="es-ES"/>
        </w:rPr>
      </w:pPr>
    </w:p>
    <w:p w:rsidR="00F9089A" w:rsidRPr="00E960FC" w:rsidRDefault="00F9089A" w:rsidP="00442FAA">
      <w:pPr>
        <w:spacing w:after="0"/>
        <w:jc w:val="both"/>
        <w:rPr>
          <w:lang w:val="es-ES"/>
        </w:rPr>
      </w:pPr>
      <w:r w:rsidRPr="00E960FC">
        <w:rPr>
          <w:lang w:val="es-ES"/>
        </w:rPr>
        <w:t>Cabe señalar además que dentro de los beneficios se deben incorporar los salarios percibidos por los trabajadores beneficiarios del programa. Según lo establecido en las bases, el monto que se debe pagar a cada beneficiario no puede ser inferior al mínimo legal. Actualmente ese valor asciende a $182.000 (US$350).</w:t>
      </w:r>
      <w:r w:rsidR="00C02459" w:rsidRPr="00E960FC">
        <w:rPr>
          <w:rStyle w:val="FootnoteReference"/>
          <w:lang w:val="es-ES"/>
        </w:rPr>
        <w:footnoteReference w:id="16"/>
      </w:r>
      <w:r w:rsidRPr="00E960FC">
        <w:rPr>
          <w:lang w:val="es-ES"/>
        </w:rPr>
        <w:t xml:space="preserve"> Cabe señalar que en promedio el salario mínimo en Chile se ha reajustado a una tasa de </w:t>
      </w:r>
      <w:r w:rsidR="00B6128A" w:rsidRPr="00E960FC">
        <w:rPr>
          <w:lang w:val="es-ES"/>
        </w:rPr>
        <w:t>5</w:t>
      </w:r>
      <w:r w:rsidR="00113488" w:rsidRPr="00E960FC">
        <w:rPr>
          <w:lang w:val="es-ES"/>
        </w:rPr>
        <w:t>,</w:t>
      </w:r>
      <w:r w:rsidR="00B6128A" w:rsidRPr="00E960FC">
        <w:rPr>
          <w:lang w:val="es-ES"/>
        </w:rPr>
        <w:t>8</w:t>
      </w:r>
      <w:r w:rsidRPr="00E960FC">
        <w:rPr>
          <w:lang w:val="es-ES"/>
        </w:rPr>
        <w:t>%</w:t>
      </w:r>
      <w:r w:rsidR="00113488" w:rsidRPr="00E960FC">
        <w:rPr>
          <w:lang w:val="es-ES"/>
        </w:rPr>
        <w:t xml:space="preserve"> </w:t>
      </w:r>
      <w:r w:rsidR="000E667B" w:rsidRPr="00E960FC">
        <w:rPr>
          <w:lang w:val="es-ES"/>
        </w:rPr>
        <w:t>anual.</w:t>
      </w:r>
      <w:r w:rsidRPr="00E960FC">
        <w:rPr>
          <w:lang w:val="es-ES"/>
        </w:rPr>
        <w:t xml:space="preserve"> </w:t>
      </w:r>
      <w:r w:rsidR="00064D11" w:rsidRPr="00E960FC">
        <w:rPr>
          <w:lang w:val="es-ES"/>
        </w:rPr>
        <w:t xml:space="preserve">Este reajuste </w:t>
      </w:r>
      <w:r w:rsidR="00D2755C" w:rsidRPr="00E960FC">
        <w:rPr>
          <w:lang w:val="es-ES"/>
        </w:rPr>
        <w:t xml:space="preserve">no </w:t>
      </w:r>
      <w:r w:rsidR="00064D11" w:rsidRPr="00E960FC">
        <w:rPr>
          <w:lang w:val="es-ES"/>
        </w:rPr>
        <w:t>se incorpora en el cálculo de los beneficios</w:t>
      </w:r>
      <w:r w:rsidR="00D2755C" w:rsidRPr="00E960FC">
        <w:rPr>
          <w:lang w:val="es-ES"/>
        </w:rPr>
        <w:t xml:space="preserve"> por </w:t>
      </w:r>
      <w:r w:rsidR="00E960FC" w:rsidRPr="00E960FC">
        <w:rPr>
          <w:lang w:val="es-ES"/>
        </w:rPr>
        <w:t>cuanto</w:t>
      </w:r>
      <w:r w:rsidR="00D2755C" w:rsidRPr="00E960FC">
        <w:rPr>
          <w:lang w:val="es-ES"/>
        </w:rPr>
        <w:t xml:space="preserve"> una vez que los individuos se capacitan dejan de ser perceptores del salario mínimo, y su reajuste obedece a la dinámica del segmento del mercado laboral en el cual se desenvolverán con posteridad</w:t>
      </w:r>
      <w:r w:rsidR="00064D11" w:rsidRPr="00E960FC">
        <w:rPr>
          <w:lang w:val="es-ES"/>
        </w:rPr>
        <w:t>.</w:t>
      </w:r>
      <w:r w:rsidR="00064D11" w:rsidRPr="00E960FC">
        <w:rPr>
          <w:rStyle w:val="FootnoteReference"/>
          <w:lang w:val="es-ES"/>
        </w:rPr>
        <w:footnoteReference w:id="17"/>
      </w:r>
      <w:r w:rsidR="00064D11" w:rsidRPr="00E960FC">
        <w:rPr>
          <w:lang w:val="es-ES"/>
        </w:rPr>
        <w:t xml:space="preserve"> </w:t>
      </w:r>
    </w:p>
    <w:p w:rsidR="00337706" w:rsidRPr="00E960FC" w:rsidRDefault="00337706" w:rsidP="00442FAA">
      <w:pPr>
        <w:spacing w:after="0"/>
        <w:jc w:val="both"/>
        <w:rPr>
          <w:b/>
          <w:i/>
          <w:lang w:val="es-ES"/>
        </w:rPr>
      </w:pPr>
    </w:p>
    <w:p w:rsidR="002E6937" w:rsidRPr="00E960FC" w:rsidRDefault="00FA19CB" w:rsidP="00442FAA">
      <w:pPr>
        <w:spacing w:after="0"/>
        <w:jc w:val="both"/>
        <w:rPr>
          <w:b/>
          <w:i/>
          <w:lang w:val="es-ES"/>
        </w:rPr>
      </w:pPr>
      <w:r w:rsidRPr="00E960FC">
        <w:rPr>
          <w:b/>
          <w:i/>
          <w:lang w:val="es-ES"/>
        </w:rPr>
        <w:t>Programa oficios</w:t>
      </w:r>
    </w:p>
    <w:p w:rsidR="00442FAA" w:rsidRPr="00E960FC" w:rsidRDefault="00442FAA" w:rsidP="00442FAA">
      <w:pPr>
        <w:spacing w:after="0"/>
        <w:jc w:val="both"/>
        <w:rPr>
          <w:lang w:val="es-ES"/>
        </w:rPr>
      </w:pPr>
    </w:p>
    <w:p w:rsidR="005C5D6A" w:rsidRPr="00E960FC" w:rsidRDefault="005C5D6A" w:rsidP="00442FAA">
      <w:pPr>
        <w:spacing w:after="0"/>
        <w:jc w:val="both"/>
        <w:rPr>
          <w:lang w:val="es-ES"/>
        </w:rPr>
      </w:pPr>
      <w:r w:rsidRPr="00E960FC">
        <w:rPr>
          <w:lang w:val="es-ES"/>
        </w:rPr>
        <w:t xml:space="preserve">Las fuentes consultadas en SENCE con respecto a la evolución de la cobertura de esta línea de capacitación apuntan a un fuerte incremento en los cupos para los próximos años, más que triplicando la oferta actual de cobertura. El cuadro </w:t>
      </w:r>
      <w:r w:rsidR="00E10757" w:rsidRPr="00E960FC">
        <w:rPr>
          <w:lang w:val="es-ES"/>
        </w:rPr>
        <w:t>5</w:t>
      </w:r>
      <w:r w:rsidRPr="00E960FC">
        <w:rPr>
          <w:lang w:val="es-ES"/>
        </w:rPr>
        <w:t xml:space="preserve"> presenta la evolución futura de </w:t>
      </w:r>
      <w:r w:rsidR="00442FAA" w:rsidRPr="00E960FC">
        <w:rPr>
          <w:lang w:val="es-ES"/>
        </w:rPr>
        <w:t>cobertura de este programa.</w:t>
      </w:r>
    </w:p>
    <w:p w:rsidR="00442FAA" w:rsidRPr="00E960FC" w:rsidRDefault="00442FAA" w:rsidP="00442FAA">
      <w:pPr>
        <w:spacing w:after="0"/>
        <w:jc w:val="both"/>
        <w:rPr>
          <w:lang w:val="es-ES"/>
        </w:rPr>
      </w:pPr>
    </w:p>
    <w:p w:rsidR="00442FAA" w:rsidRPr="00E960FC" w:rsidRDefault="00442FAA" w:rsidP="00442FAA">
      <w:pPr>
        <w:spacing w:after="0"/>
        <w:jc w:val="both"/>
        <w:rPr>
          <w:lang w:val="es-ES"/>
        </w:rPr>
      </w:pPr>
      <w:r w:rsidRPr="00E960FC">
        <w:rPr>
          <w:lang w:val="es-ES"/>
        </w:rPr>
        <w:t xml:space="preserve">Para la línea regular el grupo objetivo es el mismo que para el programa </w:t>
      </w:r>
      <w:r w:rsidR="00E10757" w:rsidRPr="00E960FC">
        <w:rPr>
          <w:lang w:val="es-ES"/>
        </w:rPr>
        <w:t>formación en el puesto de trabajo</w:t>
      </w:r>
      <w:r w:rsidRPr="00E960FC">
        <w:rPr>
          <w:lang w:val="es-ES"/>
        </w:rPr>
        <w:t>, y por ende, los beneficios se obtienen a partir del efecto en salarios estimado por la comisión (16% sobre un salario promedio de US$652</w:t>
      </w:r>
      <w:r w:rsidR="00113488" w:rsidRPr="00E960FC">
        <w:rPr>
          <w:lang w:val="es-ES"/>
        </w:rPr>
        <w:t>,</w:t>
      </w:r>
      <w:r w:rsidRPr="00E960FC">
        <w:rPr>
          <w:lang w:val="es-ES"/>
        </w:rPr>
        <w:t xml:space="preserve">5) y el número de beneficiarios. Por otro lado, para la línea programa especial de jóvenes, el beneficio se calculará tomando el mismo efecto en salarios pero con respecto a su salario promedio, esto es, US$320,6 (jóvenes cesantes entre 18 y 29 años de edad, pertenecientes a los dos primero quintiles de la distribución de ingresos, y con un puntaje en la ficha de protección social inferior a los 11.734 puntos). Cabe mencionar que la comisión logró identificar en su análisis econométrico (método de </w:t>
      </w:r>
      <w:r w:rsidRPr="00E960FC">
        <w:rPr>
          <w:i/>
          <w:lang w:val="es-ES"/>
        </w:rPr>
        <w:t>matching propensity score</w:t>
      </w:r>
      <w:r w:rsidRPr="00E960FC">
        <w:rPr>
          <w:lang w:val="es-ES"/>
        </w:rPr>
        <w:t>) un impacto positivo en empleo formal estadísticamente significativo (15%).</w:t>
      </w:r>
      <w:r w:rsidRPr="00E960FC">
        <w:rPr>
          <w:rStyle w:val="FootnoteReference"/>
          <w:lang w:val="es-ES"/>
        </w:rPr>
        <w:footnoteReference w:id="18"/>
      </w:r>
      <w:r w:rsidRPr="00E960FC">
        <w:rPr>
          <w:lang w:val="es-ES"/>
        </w:rPr>
        <w:t xml:space="preserve"> Por lo tanto, los beneficios totales vendrán dados por la suma de ambos efectos (salarios y formalidad del empleo), para los beneficiarios de ambas líneas de financiamiento (regular y programa especial de jóvenes).</w:t>
      </w:r>
    </w:p>
    <w:p w:rsidR="00442FAA" w:rsidRPr="00E960FC" w:rsidRDefault="00442FAA" w:rsidP="00442FAA">
      <w:pPr>
        <w:spacing w:after="0"/>
        <w:jc w:val="both"/>
        <w:rPr>
          <w:lang w:val="es-ES"/>
        </w:rPr>
      </w:pPr>
    </w:p>
    <w:p w:rsidR="005C5D6A" w:rsidRPr="00E960FC" w:rsidRDefault="005C5D6A" w:rsidP="00442FAA">
      <w:pPr>
        <w:spacing w:after="0" w:line="240" w:lineRule="auto"/>
        <w:jc w:val="center"/>
        <w:rPr>
          <w:b/>
          <w:sz w:val="20"/>
          <w:szCs w:val="20"/>
          <w:lang w:val="es-ES"/>
        </w:rPr>
      </w:pPr>
      <w:r w:rsidRPr="00E960FC">
        <w:rPr>
          <w:b/>
          <w:sz w:val="20"/>
          <w:szCs w:val="20"/>
          <w:lang w:val="es-ES"/>
        </w:rPr>
        <w:t xml:space="preserve">Cuadro </w:t>
      </w:r>
      <w:r w:rsidR="00E10757" w:rsidRPr="00E960FC">
        <w:rPr>
          <w:b/>
          <w:sz w:val="20"/>
          <w:szCs w:val="20"/>
          <w:lang w:val="es-ES"/>
        </w:rPr>
        <w:t>5</w:t>
      </w:r>
    </w:p>
    <w:p w:rsidR="005C5D6A" w:rsidRPr="00E960FC" w:rsidRDefault="005C5D6A" w:rsidP="00442FAA">
      <w:pPr>
        <w:spacing w:after="0" w:line="240" w:lineRule="auto"/>
        <w:jc w:val="center"/>
        <w:rPr>
          <w:b/>
          <w:sz w:val="20"/>
          <w:szCs w:val="20"/>
          <w:lang w:val="es-ES"/>
        </w:rPr>
      </w:pPr>
      <w:r w:rsidRPr="00E960FC">
        <w:rPr>
          <w:b/>
          <w:sz w:val="20"/>
          <w:szCs w:val="20"/>
          <w:lang w:val="es-ES"/>
        </w:rPr>
        <w:t>Programa oficios</w:t>
      </w:r>
    </w:p>
    <w:p w:rsidR="005C5D6A" w:rsidRPr="00E960FC" w:rsidRDefault="005C5D6A" w:rsidP="00442FAA">
      <w:pPr>
        <w:spacing w:after="0" w:line="240" w:lineRule="auto"/>
        <w:jc w:val="center"/>
        <w:rPr>
          <w:rFonts w:eastAsiaTheme="minorEastAsia"/>
          <w:lang w:val="es-ES"/>
        </w:rPr>
      </w:pPr>
    </w:p>
    <w:tbl>
      <w:tblPr>
        <w:tblStyle w:val="TableGrid"/>
        <w:tblW w:w="0" w:type="auto"/>
        <w:tblLook w:val="04A0"/>
      </w:tblPr>
      <w:tblGrid>
        <w:gridCol w:w="4489"/>
        <w:gridCol w:w="4489"/>
      </w:tblGrid>
      <w:tr w:rsidR="005C5D6A" w:rsidRPr="00E960FC" w:rsidTr="00F90CEC">
        <w:tc>
          <w:tcPr>
            <w:tcW w:w="4489" w:type="dxa"/>
          </w:tcPr>
          <w:p w:rsidR="005C5D6A" w:rsidRPr="00E960FC" w:rsidRDefault="005C5D6A" w:rsidP="00442FAA">
            <w:pPr>
              <w:jc w:val="center"/>
              <w:rPr>
                <w:rFonts w:eastAsiaTheme="minorEastAsia"/>
                <w:b/>
                <w:sz w:val="20"/>
                <w:szCs w:val="20"/>
                <w:lang w:val="es-ES"/>
              </w:rPr>
            </w:pPr>
            <w:r w:rsidRPr="00E960FC">
              <w:rPr>
                <w:rFonts w:eastAsiaTheme="minorEastAsia"/>
                <w:b/>
                <w:sz w:val="20"/>
                <w:szCs w:val="20"/>
                <w:lang w:val="es-ES"/>
              </w:rPr>
              <w:t>Año</w:t>
            </w:r>
          </w:p>
        </w:tc>
        <w:tc>
          <w:tcPr>
            <w:tcW w:w="4489" w:type="dxa"/>
          </w:tcPr>
          <w:p w:rsidR="005C5D6A" w:rsidRPr="00E960FC" w:rsidRDefault="005C5D6A" w:rsidP="00442FAA">
            <w:pPr>
              <w:jc w:val="center"/>
              <w:rPr>
                <w:rFonts w:eastAsiaTheme="minorEastAsia"/>
                <w:b/>
                <w:sz w:val="20"/>
                <w:szCs w:val="20"/>
                <w:lang w:val="es-ES"/>
              </w:rPr>
            </w:pPr>
            <w:r w:rsidRPr="00E960FC">
              <w:rPr>
                <w:rFonts w:eastAsiaTheme="minorEastAsia"/>
                <w:b/>
                <w:sz w:val="20"/>
                <w:szCs w:val="20"/>
                <w:lang w:val="es-ES"/>
              </w:rPr>
              <w:t>Capacitados</w:t>
            </w:r>
          </w:p>
        </w:tc>
      </w:tr>
      <w:tr w:rsidR="005C5D6A" w:rsidRPr="00E960FC" w:rsidTr="00F90CE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2011</w:t>
            </w:r>
          </w:p>
        </w:t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15.000</w:t>
            </w:r>
          </w:p>
        </w:tc>
      </w:tr>
      <w:tr w:rsidR="005C5D6A" w:rsidRPr="00E960FC" w:rsidTr="00F90CE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2012</w:t>
            </w:r>
          </w:p>
        </w:t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20.000</w:t>
            </w:r>
          </w:p>
        </w:tc>
      </w:tr>
      <w:tr w:rsidR="005C5D6A" w:rsidRPr="00E960FC" w:rsidTr="00F90CE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2013</w:t>
            </w:r>
          </w:p>
        </w:t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20.000</w:t>
            </w:r>
          </w:p>
        </w:tc>
      </w:tr>
      <w:tr w:rsidR="005C5D6A" w:rsidRPr="00E960FC" w:rsidTr="00F90CE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2014</w:t>
            </w:r>
          </w:p>
        </w:t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20.000</w:t>
            </w:r>
          </w:p>
        </w:tc>
      </w:tr>
      <w:tr w:rsidR="005C5D6A" w:rsidRPr="00E960FC" w:rsidTr="00F90CE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2015</w:t>
            </w:r>
          </w:p>
        </w:t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20.000</w:t>
            </w:r>
          </w:p>
        </w:tc>
      </w:tr>
      <w:tr w:rsidR="005C5D6A" w:rsidRPr="00E960FC" w:rsidTr="00F90CE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2016</w:t>
            </w:r>
          </w:p>
        </w:t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50.000</w:t>
            </w:r>
          </w:p>
        </w:tc>
      </w:tr>
      <w:tr w:rsidR="005C5D6A" w:rsidRPr="00E960FC" w:rsidTr="00F90CE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2017</w:t>
            </w:r>
          </w:p>
        </w:t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50.000</w:t>
            </w:r>
          </w:p>
        </w:tc>
      </w:tr>
      <w:tr w:rsidR="005C5D6A" w:rsidRPr="00E960FC" w:rsidTr="00F90CE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2018</w:t>
            </w:r>
          </w:p>
        </w:t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50.000</w:t>
            </w:r>
          </w:p>
        </w:tc>
      </w:tr>
      <w:tr w:rsidR="005C5D6A" w:rsidRPr="00E960FC" w:rsidTr="00F90CE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2019</w:t>
            </w:r>
          </w:p>
        </w:t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50.000</w:t>
            </w:r>
          </w:p>
        </w:tc>
      </w:tr>
      <w:tr w:rsidR="005C5D6A" w:rsidRPr="00E960FC" w:rsidTr="00F90CE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2020</w:t>
            </w:r>
          </w:p>
        </w:tc>
        <w:tc>
          <w:tcPr>
            <w:tcW w:w="4489" w:type="dxa"/>
          </w:tcPr>
          <w:p w:rsidR="005C5D6A" w:rsidRPr="00E960FC" w:rsidRDefault="005C5D6A" w:rsidP="00442FAA">
            <w:pPr>
              <w:jc w:val="center"/>
              <w:rPr>
                <w:rFonts w:eastAsiaTheme="minorEastAsia"/>
                <w:sz w:val="20"/>
                <w:szCs w:val="20"/>
                <w:lang w:val="es-ES"/>
              </w:rPr>
            </w:pPr>
            <w:r w:rsidRPr="00E960FC">
              <w:rPr>
                <w:rFonts w:eastAsiaTheme="minorEastAsia"/>
                <w:sz w:val="20"/>
                <w:szCs w:val="20"/>
                <w:lang w:val="es-ES"/>
              </w:rPr>
              <w:t>50.000</w:t>
            </w:r>
          </w:p>
        </w:tc>
      </w:tr>
    </w:tbl>
    <w:p w:rsidR="005C5D6A" w:rsidRPr="00E960FC" w:rsidRDefault="005C5D6A" w:rsidP="00442FAA">
      <w:pPr>
        <w:spacing w:after="0"/>
        <w:jc w:val="both"/>
        <w:rPr>
          <w:sz w:val="18"/>
          <w:szCs w:val="18"/>
          <w:lang w:val="es-ES"/>
        </w:rPr>
      </w:pPr>
      <w:r w:rsidRPr="00E960FC">
        <w:rPr>
          <w:sz w:val="18"/>
          <w:szCs w:val="18"/>
          <w:lang w:val="es-ES"/>
        </w:rPr>
        <w:t>Fuente: En base a información administrativa SENCE.</w:t>
      </w:r>
    </w:p>
    <w:p w:rsidR="00E96BC1" w:rsidRPr="00E960FC" w:rsidRDefault="00E96BC1" w:rsidP="00442FAA">
      <w:pPr>
        <w:spacing w:after="0"/>
        <w:jc w:val="both"/>
        <w:rPr>
          <w:lang w:val="es-ES"/>
        </w:rPr>
      </w:pPr>
    </w:p>
    <w:p w:rsidR="005C5D6A" w:rsidRPr="00E960FC" w:rsidRDefault="005C5D6A" w:rsidP="00442FAA">
      <w:pPr>
        <w:spacing w:after="0"/>
        <w:jc w:val="both"/>
        <w:rPr>
          <w:lang w:val="es-ES"/>
        </w:rPr>
      </w:pPr>
    </w:p>
    <w:p w:rsidR="0027470D" w:rsidRPr="00E960FC" w:rsidRDefault="0027470D" w:rsidP="00442FAA">
      <w:pPr>
        <w:spacing w:after="0"/>
        <w:jc w:val="both"/>
        <w:rPr>
          <w:lang w:val="es-ES"/>
        </w:rPr>
      </w:pPr>
    </w:p>
    <w:p w:rsidR="002E6937" w:rsidRPr="00E960FC" w:rsidRDefault="002E6937" w:rsidP="00442FAA">
      <w:pPr>
        <w:spacing w:after="0"/>
        <w:jc w:val="both"/>
        <w:rPr>
          <w:b/>
          <w:i/>
          <w:lang w:val="es-ES"/>
        </w:rPr>
      </w:pPr>
      <w:r w:rsidRPr="00E960FC">
        <w:rPr>
          <w:b/>
          <w:i/>
          <w:lang w:val="es-ES"/>
        </w:rPr>
        <w:t>Franquicia tributaria</w:t>
      </w:r>
    </w:p>
    <w:p w:rsidR="00442FAA" w:rsidRPr="00E960FC" w:rsidRDefault="00442FAA" w:rsidP="00442FAA">
      <w:pPr>
        <w:spacing w:after="0"/>
        <w:jc w:val="both"/>
        <w:rPr>
          <w:b/>
          <w:i/>
          <w:lang w:val="es-ES"/>
        </w:rPr>
      </w:pPr>
    </w:p>
    <w:p w:rsidR="00DE7F98" w:rsidRPr="00E960FC" w:rsidRDefault="00320951" w:rsidP="00442FAA">
      <w:pPr>
        <w:spacing w:after="0"/>
        <w:jc w:val="both"/>
        <w:rPr>
          <w:lang w:val="es-ES"/>
        </w:rPr>
      </w:pPr>
      <w:r w:rsidRPr="00E960FC">
        <w:rPr>
          <w:lang w:val="es-ES"/>
        </w:rPr>
        <w:t>Para cuantificar los impactos asociados a la franquicia tributaria se ha estimado un modelo econométrico muy simple que intenta proyectar los individuos que serán capacitados durante los próximos años. El modelo a estimar, con los datos provenientes para los años 1998-2010 es el siguiente:</w:t>
      </w:r>
    </w:p>
    <w:p w:rsidR="00320951" w:rsidRPr="00E960FC" w:rsidRDefault="000A72F1" w:rsidP="00442FAA">
      <w:pPr>
        <w:spacing w:after="0"/>
        <w:jc w:val="center"/>
        <w:rPr>
          <w:lang w:val="es-ES"/>
        </w:rPr>
      </w:pPr>
      <m:oMathPara>
        <m:oMath>
          <m:sSub>
            <m:sSubPr>
              <m:ctrlPr>
                <w:rPr>
                  <w:rFonts w:ascii="Cambria Math" w:hAnsi="Cambria Math"/>
                  <w:i/>
                  <w:lang w:val="es-ES"/>
                </w:rPr>
              </m:ctrlPr>
            </m:sSubPr>
            <m:e>
              <m:r>
                <w:rPr>
                  <w:rFonts w:ascii="Cambria Math" w:hAnsi="Cambria Math"/>
                  <w:lang w:val="es-ES"/>
                </w:rPr>
                <m:t>C</m:t>
              </m:r>
            </m:e>
            <m:sub>
              <m:r>
                <w:rPr>
                  <w:rFonts w:ascii="Cambria Math" w:hAnsi="Cambria Math"/>
                  <w:lang w:val="es-ES"/>
                </w:rPr>
                <m:t>t</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1</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β</m:t>
              </m:r>
            </m:e>
            <m:sub>
              <m:r>
                <w:rPr>
                  <w:rFonts w:ascii="Cambria Math" w:hAnsi="Cambria Math"/>
                  <w:lang w:val="es-ES"/>
                </w:rPr>
                <m:t>2</m:t>
              </m:r>
            </m:sub>
          </m:sSub>
          <m:r>
            <w:rPr>
              <w:rFonts w:ascii="Cambria Math" w:hAnsi="Cambria Math"/>
              <w:lang w:val="es-ES"/>
            </w:rPr>
            <m:t>t+</m:t>
          </m:r>
          <m:sSub>
            <m:sSubPr>
              <m:ctrlPr>
                <w:rPr>
                  <w:rFonts w:ascii="Cambria Math" w:hAnsi="Cambria Math"/>
                  <w:i/>
                  <w:lang w:val="es-ES"/>
                </w:rPr>
              </m:ctrlPr>
            </m:sSubPr>
            <m:e>
              <m:r>
                <w:rPr>
                  <w:rFonts w:ascii="Cambria Math" w:hAnsi="Cambria Math"/>
                  <w:lang w:val="es-ES"/>
                </w:rPr>
                <m:t>u</m:t>
              </m:r>
            </m:e>
            <m:sub>
              <m:r>
                <w:rPr>
                  <w:rFonts w:ascii="Cambria Math" w:hAnsi="Cambria Math"/>
                  <w:lang w:val="es-ES"/>
                </w:rPr>
                <m:t>t</m:t>
              </m:r>
            </m:sub>
          </m:sSub>
        </m:oMath>
      </m:oMathPara>
    </w:p>
    <w:p w:rsidR="00442FAA" w:rsidRPr="00E960FC" w:rsidRDefault="00442FAA" w:rsidP="00442FAA">
      <w:pPr>
        <w:spacing w:after="0"/>
        <w:jc w:val="both"/>
        <w:rPr>
          <w:lang w:val="es-ES"/>
        </w:rPr>
      </w:pPr>
    </w:p>
    <w:p w:rsidR="00201531" w:rsidRPr="00E960FC" w:rsidRDefault="00320951" w:rsidP="00442FAA">
      <w:pPr>
        <w:spacing w:after="0"/>
        <w:jc w:val="both"/>
        <w:rPr>
          <w:rFonts w:eastAsiaTheme="minorEastAsia"/>
          <w:lang w:val="es-ES"/>
        </w:rPr>
      </w:pPr>
      <w:r w:rsidRPr="00E960FC">
        <w:rPr>
          <w:lang w:val="es-ES"/>
        </w:rPr>
        <w:t xml:space="preserve">Donde </w:t>
      </w:r>
      <m:oMath>
        <m:r>
          <w:rPr>
            <w:rFonts w:ascii="Cambria Math" w:hAnsi="Cambria Math"/>
            <w:lang w:val="es-ES"/>
          </w:rPr>
          <m:t>C</m:t>
        </m:r>
      </m:oMath>
      <w:r w:rsidRPr="00E960FC">
        <w:rPr>
          <w:rFonts w:eastAsiaTheme="minorEastAsia"/>
          <w:lang w:val="es-ES"/>
        </w:rPr>
        <w:t xml:space="preserve"> son los individuos capacitados, </w:t>
      </w:r>
      <m:oMath>
        <m:r>
          <w:rPr>
            <w:rFonts w:ascii="Cambria Math" w:eastAsiaTheme="minorEastAsia" w:hAnsi="Cambria Math"/>
            <w:lang w:val="es-ES"/>
          </w:rPr>
          <m:t>t</m:t>
        </m:r>
      </m:oMath>
      <w:r w:rsidRPr="00E960FC">
        <w:rPr>
          <w:rFonts w:eastAsiaTheme="minorEastAsia"/>
          <w:lang w:val="es-ES"/>
        </w:rPr>
        <w:t xml:space="preserve"> es el tiempo, y </w:t>
      </w:r>
      <m:oMath>
        <m:r>
          <w:rPr>
            <w:rFonts w:ascii="Cambria Math" w:eastAsiaTheme="minorEastAsia" w:hAnsi="Cambria Math"/>
            <w:lang w:val="es-ES"/>
          </w:rPr>
          <m:t>u</m:t>
        </m:r>
      </m:oMath>
      <w:r w:rsidRPr="00E960FC">
        <w:rPr>
          <w:rFonts w:eastAsiaTheme="minorEastAsia"/>
          <w:lang w:val="es-ES"/>
        </w:rPr>
        <w:t xml:space="preserve"> es un componente estocástico que afecta el número de individuos capacitados año a año. Con estos datos el modelo permite proyectar los beneficiarios de la siguiente manera:</w:t>
      </w:r>
    </w:p>
    <w:p w:rsidR="00442FAA" w:rsidRPr="00E960FC" w:rsidRDefault="00442FAA" w:rsidP="00442FAA">
      <w:pPr>
        <w:spacing w:after="0"/>
        <w:jc w:val="both"/>
        <w:rPr>
          <w:rFonts w:eastAsiaTheme="minorEastAsia"/>
          <w:lang w:val="es-ES"/>
        </w:rPr>
      </w:pPr>
    </w:p>
    <w:p w:rsidR="00320951" w:rsidRPr="00E960FC" w:rsidRDefault="000A72F1" w:rsidP="00442FAA">
      <w:pPr>
        <w:spacing w:after="0"/>
        <w:jc w:val="center"/>
        <w:rPr>
          <w:rFonts w:eastAsiaTheme="minorEastAsia"/>
          <w:lang w:val="es-ES"/>
        </w:rPr>
      </w:pPr>
      <m:oMathPara>
        <m:oMath>
          <m:sSub>
            <m:sSubPr>
              <m:ctrlPr>
                <w:rPr>
                  <w:rFonts w:ascii="Cambria Math" w:eastAsiaTheme="minorEastAsia" w:hAnsi="Cambria Math"/>
                  <w:i/>
                  <w:lang w:val="es-ES"/>
                </w:rPr>
              </m:ctrlPr>
            </m:sSubPr>
            <m:e>
              <m:r>
                <w:rPr>
                  <w:rFonts w:ascii="Cambria Math" w:eastAsiaTheme="minorEastAsia" w:hAnsi="Cambria Math"/>
                  <w:lang w:val="es-ES"/>
                </w:rPr>
                <m:t>C</m:t>
              </m:r>
            </m:e>
            <m:sub>
              <m:r>
                <w:rPr>
                  <w:rFonts w:ascii="Cambria Math" w:eastAsiaTheme="minorEastAsia" w:hAnsi="Cambria Math"/>
                  <w:lang w:val="es-ES"/>
                </w:rPr>
                <m:t>T</m:t>
              </m:r>
            </m:sub>
          </m:sSub>
          <m:r>
            <w:rPr>
              <w:rFonts w:ascii="Cambria Math" w:eastAsiaTheme="minorEastAsia" w:hAnsi="Cambria Math"/>
              <w:lang w:val="es-ES"/>
            </w:rPr>
            <m:t>=</m:t>
          </m:r>
          <m:sSub>
            <m:sSubPr>
              <m:ctrlPr>
                <w:rPr>
                  <w:rFonts w:ascii="Cambria Math" w:eastAsiaTheme="minorEastAsia" w:hAnsi="Cambria Math"/>
                  <w:i/>
                  <w:lang w:val="es-ES"/>
                </w:rPr>
              </m:ctrlPr>
            </m:sSubPr>
            <m:e>
              <m:acc>
                <m:accPr>
                  <m:ctrlPr>
                    <w:rPr>
                      <w:rFonts w:ascii="Cambria Math" w:eastAsiaTheme="minorEastAsia" w:hAnsi="Cambria Math"/>
                      <w:i/>
                      <w:lang w:val="es-ES"/>
                    </w:rPr>
                  </m:ctrlPr>
                </m:accPr>
                <m:e>
                  <m:r>
                    <w:rPr>
                      <w:rFonts w:ascii="Cambria Math" w:eastAsiaTheme="minorEastAsia" w:hAnsi="Cambria Math"/>
                      <w:lang w:val="es-ES"/>
                    </w:rPr>
                    <m:t>β</m:t>
                  </m:r>
                </m:e>
              </m:acc>
            </m:e>
            <m:sub>
              <m:r>
                <w:rPr>
                  <w:rFonts w:ascii="Cambria Math" w:eastAsiaTheme="minorEastAsia" w:hAnsi="Cambria Math"/>
                  <w:lang w:val="es-ES"/>
                </w:rPr>
                <m:t>1</m:t>
              </m:r>
            </m:sub>
          </m:sSub>
          <m:r>
            <w:rPr>
              <w:rFonts w:ascii="Cambria Math" w:eastAsiaTheme="minorEastAsia" w:hAnsi="Cambria Math"/>
              <w:lang w:val="es-ES"/>
            </w:rPr>
            <m:t>+</m:t>
          </m:r>
          <m:sSub>
            <m:sSubPr>
              <m:ctrlPr>
                <w:rPr>
                  <w:rFonts w:ascii="Cambria Math" w:eastAsiaTheme="minorEastAsia" w:hAnsi="Cambria Math"/>
                  <w:i/>
                  <w:lang w:val="es-ES"/>
                </w:rPr>
              </m:ctrlPr>
            </m:sSubPr>
            <m:e>
              <m:acc>
                <m:accPr>
                  <m:ctrlPr>
                    <w:rPr>
                      <w:rFonts w:ascii="Cambria Math" w:eastAsiaTheme="minorEastAsia" w:hAnsi="Cambria Math"/>
                      <w:i/>
                      <w:lang w:val="es-ES"/>
                    </w:rPr>
                  </m:ctrlPr>
                </m:accPr>
                <m:e>
                  <m:r>
                    <w:rPr>
                      <w:rFonts w:ascii="Cambria Math" w:eastAsiaTheme="minorEastAsia" w:hAnsi="Cambria Math"/>
                      <w:lang w:val="es-ES"/>
                    </w:rPr>
                    <m:t>β</m:t>
                  </m:r>
                </m:e>
              </m:acc>
            </m:e>
            <m:sub>
              <m:r>
                <w:rPr>
                  <w:rFonts w:ascii="Cambria Math" w:eastAsiaTheme="minorEastAsia" w:hAnsi="Cambria Math"/>
                  <w:lang w:val="es-ES"/>
                </w:rPr>
                <m:t>2</m:t>
              </m:r>
            </m:sub>
          </m:sSub>
          <m:r>
            <w:rPr>
              <w:rFonts w:ascii="Cambria Math" w:eastAsiaTheme="minorEastAsia" w:hAnsi="Cambria Math"/>
              <w:lang w:val="es-ES"/>
            </w:rPr>
            <m:t>T</m:t>
          </m:r>
        </m:oMath>
      </m:oMathPara>
    </w:p>
    <w:p w:rsidR="00442FAA" w:rsidRPr="00E960FC" w:rsidRDefault="00442FAA" w:rsidP="00442FAA">
      <w:pPr>
        <w:spacing w:after="0"/>
        <w:jc w:val="both"/>
        <w:rPr>
          <w:lang w:val="es-ES"/>
        </w:rPr>
      </w:pPr>
    </w:p>
    <w:p w:rsidR="00320951" w:rsidRPr="00E960FC" w:rsidRDefault="00320951" w:rsidP="00442FAA">
      <w:pPr>
        <w:spacing w:after="0"/>
        <w:jc w:val="both"/>
        <w:rPr>
          <w:rFonts w:eastAsiaTheme="minorEastAsia"/>
          <w:lang w:val="es-ES"/>
        </w:rPr>
      </w:pPr>
      <w:r w:rsidRPr="00E960FC">
        <w:rPr>
          <w:lang w:val="es-ES"/>
        </w:rPr>
        <w:t xml:space="preserve">Con </w:t>
      </w:r>
      <m:oMath>
        <m:r>
          <w:rPr>
            <w:rFonts w:ascii="Cambria Math" w:hAnsi="Cambria Math"/>
            <w:lang w:val="es-ES"/>
          </w:rPr>
          <m:t>T</m:t>
        </m:r>
      </m:oMath>
      <w:r w:rsidRPr="00E960FC">
        <w:rPr>
          <w:rFonts w:eastAsiaTheme="minorEastAsia"/>
          <w:lang w:val="es-ES"/>
        </w:rPr>
        <w:t xml:space="preserve"> siendo el período a proyectar. El cuadro </w:t>
      </w:r>
      <w:r w:rsidR="00E10757" w:rsidRPr="00E960FC">
        <w:rPr>
          <w:rFonts w:eastAsiaTheme="minorEastAsia"/>
          <w:lang w:val="es-ES"/>
        </w:rPr>
        <w:t>6</w:t>
      </w:r>
      <w:r w:rsidRPr="00E960FC">
        <w:rPr>
          <w:rFonts w:eastAsiaTheme="minorEastAsia"/>
          <w:lang w:val="es-ES"/>
        </w:rPr>
        <w:t xml:space="preserve"> presenta la proyección de individuos capacitado</w:t>
      </w:r>
      <w:r w:rsidR="00D7062B" w:rsidRPr="00E960FC">
        <w:rPr>
          <w:rFonts w:eastAsiaTheme="minorEastAsia"/>
          <w:lang w:val="es-ES"/>
        </w:rPr>
        <w:t xml:space="preserve">s para los siguientes diez años. </w:t>
      </w:r>
    </w:p>
    <w:p w:rsidR="00442FAA" w:rsidRPr="00E960FC" w:rsidRDefault="00442FAA" w:rsidP="00442FAA">
      <w:pPr>
        <w:spacing w:after="0"/>
        <w:jc w:val="both"/>
        <w:rPr>
          <w:rFonts w:eastAsiaTheme="minorEastAsia"/>
          <w:lang w:val="es-ES"/>
        </w:rPr>
      </w:pPr>
    </w:p>
    <w:p w:rsidR="00D7062B" w:rsidRPr="00E960FC" w:rsidRDefault="00D7062B" w:rsidP="00442FAA">
      <w:pPr>
        <w:spacing w:after="0"/>
        <w:jc w:val="both"/>
        <w:rPr>
          <w:rFonts w:eastAsiaTheme="minorEastAsia"/>
          <w:lang w:val="es-ES"/>
        </w:rPr>
      </w:pPr>
      <w:r w:rsidRPr="00E960FC">
        <w:rPr>
          <w:rFonts w:eastAsiaTheme="minorEastAsia"/>
          <w:lang w:val="es-ES"/>
        </w:rPr>
        <w:t>El análisis econométrico del comité de expertos reveló una ausencia de impacto en términos de empleo y un impacto en salarios del orden del 0,6%. Por lo tanto, para obtener los beneficios de esta fuente de capacitación, se multiplica el número de beneficiarios el impacto de 0,6% y el salario promedio del grupo de beneficiarios.</w:t>
      </w:r>
      <w:r w:rsidR="00347330" w:rsidRPr="00E960FC">
        <w:rPr>
          <w:rStyle w:val="FootnoteReference"/>
          <w:rFonts w:eastAsiaTheme="minorEastAsia"/>
          <w:lang w:val="es-ES"/>
        </w:rPr>
        <w:footnoteReference w:id="19"/>
      </w:r>
      <w:r w:rsidRPr="00E960FC">
        <w:rPr>
          <w:rFonts w:eastAsiaTheme="minorEastAsia"/>
          <w:lang w:val="es-ES"/>
        </w:rPr>
        <w:t xml:space="preserve"> Según la información proporcionada en Rodríguez y Urzúa (2011) el salario promedio de los beneficiarios vía franquicia fue de US$1.106.</w:t>
      </w:r>
    </w:p>
    <w:p w:rsidR="00D7062B" w:rsidRPr="00E960FC" w:rsidRDefault="00D7062B" w:rsidP="00442FAA">
      <w:pPr>
        <w:spacing w:after="0"/>
        <w:jc w:val="both"/>
        <w:rPr>
          <w:rFonts w:eastAsiaTheme="minorEastAsia"/>
          <w:lang w:val="es-ES"/>
        </w:rPr>
      </w:pPr>
    </w:p>
    <w:p w:rsidR="00320951" w:rsidRPr="00E960FC" w:rsidRDefault="00320951" w:rsidP="00442FAA">
      <w:pPr>
        <w:spacing w:after="0" w:line="240" w:lineRule="auto"/>
        <w:jc w:val="center"/>
        <w:rPr>
          <w:b/>
          <w:sz w:val="20"/>
          <w:szCs w:val="20"/>
          <w:lang w:val="es-ES"/>
        </w:rPr>
      </w:pPr>
      <w:r w:rsidRPr="00E960FC">
        <w:rPr>
          <w:b/>
          <w:sz w:val="20"/>
          <w:szCs w:val="20"/>
          <w:lang w:val="es-ES"/>
        </w:rPr>
        <w:t xml:space="preserve">Cuadro </w:t>
      </w:r>
      <w:r w:rsidR="00E10757" w:rsidRPr="00E960FC">
        <w:rPr>
          <w:b/>
          <w:sz w:val="20"/>
          <w:szCs w:val="20"/>
          <w:lang w:val="es-ES"/>
        </w:rPr>
        <w:t>6</w:t>
      </w:r>
    </w:p>
    <w:p w:rsidR="00320951" w:rsidRPr="00E960FC" w:rsidRDefault="00320951" w:rsidP="00442FAA">
      <w:pPr>
        <w:spacing w:after="0" w:line="240" w:lineRule="auto"/>
        <w:jc w:val="center"/>
        <w:rPr>
          <w:b/>
          <w:sz w:val="20"/>
          <w:szCs w:val="20"/>
          <w:lang w:val="es-ES"/>
        </w:rPr>
      </w:pPr>
      <w:r w:rsidRPr="00E960FC">
        <w:rPr>
          <w:b/>
          <w:sz w:val="20"/>
          <w:szCs w:val="20"/>
          <w:lang w:val="es-ES"/>
        </w:rPr>
        <w:t>Franquicia tributaria</w:t>
      </w:r>
    </w:p>
    <w:p w:rsidR="00320951" w:rsidRPr="00E960FC" w:rsidRDefault="00320951" w:rsidP="00442FAA">
      <w:pPr>
        <w:spacing w:after="0" w:line="240" w:lineRule="auto"/>
        <w:jc w:val="center"/>
        <w:rPr>
          <w:rFonts w:eastAsiaTheme="minorEastAsia"/>
          <w:lang w:val="es-ES"/>
        </w:rPr>
      </w:pPr>
    </w:p>
    <w:tbl>
      <w:tblPr>
        <w:tblStyle w:val="TableGrid"/>
        <w:tblW w:w="0" w:type="auto"/>
        <w:tblLook w:val="04A0"/>
      </w:tblPr>
      <w:tblGrid>
        <w:gridCol w:w="4489"/>
        <w:gridCol w:w="4489"/>
      </w:tblGrid>
      <w:tr w:rsidR="00320951" w:rsidRPr="00E960FC" w:rsidTr="00320951">
        <w:tc>
          <w:tcPr>
            <w:tcW w:w="4489" w:type="dxa"/>
          </w:tcPr>
          <w:p w:rsidR="00320951" w:rsidRPr="00E960FC" w:rsidRDefault="00320951" w:rsidP="00442FAA">
            <w:pPr>
              <w:jc w:val="center"/>
              <w:rPr>
                <w:rFonts w:eastAsiaTheme="minorEastAsia"/>
                <w:b/>
                <w:sz w:val="20"/>
                <w:szCs w:val="20"/>
                <w:lang w:val="es-ES"/>
              </w:rPr>
            </w:pPr>
            <w:r w:rsidRPr="00E960FC">
              <w:rPr>
                <w:rFonts w:eastAsiaTheme="minorEastAsia"/>
                <w:b/>
                <w:sz w:val="20"/>
                <w:szCs w:val="20"/>
                <w:lang w:val="es-ES"/>
              </w:rPr>
              <w:t>Año</w:t>
            </w:r>
          </w:p>
        </w:tc>
        <w:tc>
          <w:tcPr>
            <w:tcW w:w="4489" w:type="dxa"/>
          </w:tcPr>
          <w:p w:rsidR="00320951" w:rsidRPr="00E960FC" w:rsidRDefault="00FE2F14" w:rsidP="00442FAA">
            <w:pPr>
              <w:jc w:val="center"/>
              <w:rPr>
                <w:rFonts w:eastAsiaTheme="minorEastAsia"/>
                <w:b/>
                <w:sz w:val="20"/>
                <w:szCs w:val="20"/>
                <w:lang w:val="es-ES"/>
              </w:rPr>
            </w:pPr>
            <w:r w:rsidRPr="00E960FC">
              <w:rPr>
                <w:rFonts w:eastAsiaTheme="minorEastAsia"/>
                <w:b/>
                <w:sz w:val="20"/>
                <w:szCs w:val="20"/>
                <w:lang w:val="es-ES"/>
              </w:rPr>
              <w:t>Capacitados</w:t>
            </w:r>
          </w:p>
        </w:tc>
      </w:tr>
      <w:tr w:rsidR="00320951" w:rsidRPr="00E960FC" w:rsidTr="00320951">
        <w:tc>
          <w:tcPr>
            <w:tcW w:w="4489" w:type="dxa"/>
          </w:tcPr>
          <w:p w:rsidR="00320951" w:rsidRPr="00E960FC" w:rsidRDefault="00320951" w:rsidP="00442FAA">
            <w:pPr>
              <w:jc w:val="center"/>
              <w:rPr>
                <w:rFonts w:eastAsiaTheme="minorEastAsia"/>
                <w:sz w:val="20"/>
                <w:szCs w:val="20"/>
                <w:lang w:val="es-ES"/>
              </w:rPr>
            </w:pPr>
            <w:r w:rsidRPr="00E960FC">
              <w:rPr>
                <w:rFonts w:eastAsiaTheme="minorEastAsia"/>
                <w:sz w:val="20"/>
                <w:szCs w:val="20"/>
                <w:lang w:val="es-ES"/>
              </w:rPr>
              <w:t>20</w:t>
            </w:r>
            <w:r w:rsidR="00FE2F14" w:rsidRPr="00E960FC">
              <w:rPr>
                <w:rFonts w:eastAsiaTheme="minorEastAsia"/>
                <w:sz w:val="20"/>
                <w:szCs w:val="20"/>
                <w:lang w:val="es-ES"/>
              </w:rPr>
              <w:t>11</w:t>
            </w:r>
          </w:p>
        </w:tc>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903.607</w:t>
            </w:r>
          </w:p>
        </w:tc>
      </w:tr>
      <w:tr w:rsidR="00320951" w:rsidRPr="00E960FC" w:rsidTr="00320951">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2012</w:t>
            </w:r>
          </w:p>
        </w:tc>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943.598</w:t>
            </w:r>
          </w:p>
        </w:tc>
      </w:tr>
      <w:tr w:rsidR="00320951" w:rsidRPr="00E960FC" w:rsidTr="00320951">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2013</w:t>
            </w:r>
          </w:p>
        </w:tc>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983.589</w:t>
            </w:r>
          </w:p>
        </w:tc>
      </w:tr>
      <w:tr w:rsidR="00320951" w:rsidRPr="00E960FC" w:rsidTr="00320951">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2014</w:t>
            </w:r>
          </w:p>
        </w:tc>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1.023.580</w:t>
            </w:r>
          </w:p>
        </w:tc>
      </w:tr>
      <w:tr w:rsidR="00320951" w:rsidRPr="00E960FC" w:rsidTr="00320951">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2015</w:t>
            </w:r>
          </w:p>
        </w:tc>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1.063.570</w:t>
            </w:r>
          </w:p>
        </w:tc>
      </w:tr>
      <w:tr w:rsidR="00FE2F14" w:rsidRPr="00E960FC" w:rsidTr="00320951">
        <w:tc>
          <w:tcPr>
            <w:tcW w:w="4489" w:type="dxa"/>
          </w:tcPr>
          <w:p w:rsidR="00FE2F14" w:rsidRPr="00E960FC" w:rsidRDefault="00FE2F14" w:rsidP="00442FAA">
            <w:pPr>
              <w:jc w:val="center"/>
              <w:rPr>
                <w:rFonts w:eastAsiaTheme="minorEastAsia"/>
                <w:sz w:val="20"/>
                <w:szCs w:val="20"/>
                <w:lang w:val="es-ES"/>
              </w:rPr>
            </w:pPr>
            <w:r w:rsidRPr="00E960FC">
              <w:rPr>
                <w:rFonts w:eastAsiaTheme="minorEastAsia"/>
                <w:sz w:val="20"/>
                <w:szCs w:val="20"/>
                <w:lang w:val="es-ES"/>
              </w:rPr>
              <w:t>2016</w:t>
            </w:r>
          </w:p>
        </w:tc>
        <w:tc>
          <w:tcPr>
            <w:tcW w:w="4489" w:type="dxa"/>
          </w:tcPr>
          <w:p w:rsidR="00FE2F14" w:rsidRPr="00E960FC" w:rsidRDefault="00FE2F14" w:rsidP="00442FAA">
            <w:pPr>
              <w:jc w:val="center"/>
              <w:rPr>
                <w:rFonts w:eastAsiaTheme="minorEastAsia"/>
                <w:sz w:val="20"/>
                <w:szCs w:val="20"/>
                <w:lang w:val="es-ES"/>
              </w:rPr>
            </w:pPr>
            <w:r w:rsidRPr="00E960FC">
              <w:rPr>
                <w:rFonts w:eastAsiaTheme="minorEastAsia"/>
                <w:sz w:val="20"/>
                <w:szCs w:val="20"/>
                <w:lang w:val="es-ES"/>
              </w:rPr>
              <w:t>1.103.561</w:t>
            </w:r>
          </w:p>
        </w:tc>
      </w:tr>
      <w:tr w:rsidR="00FE2F14" w:rsidRPr="00E960FC" w:rsidTr="00320951">
        <w:tc>
          <w:tcPr>
            <w:tcW w:w="4489" w:type="dxa"/>
          </w:tcPr>
          <w:p w:rsidR="00FE2F14" w:rsidRPr="00E960FC" w:rsidRDefault="00FE2F14" w:rsidP="00442FAA">
            <w:pPr>
              <w:jc w:val="center"/>
              <w:rPr>
                <w:rFonts w:eastAsiaTheme="minorEastAsia"/>
                <w:sz w:val="20"/>
                <w:szCs w:val="20"/>
                <w:lang w:val="es-ES"/>
              </w:rPr>
            </w:pPr>
            <w:r w:rsidRPr="00E960FC">
              <w:rPr>
                <w:rFonts w:eastAsiaTheme="minorEastAsia"/>
                <w:sz w:val="20"/>
                <w:szCs w:val="20"/>
                <w:lang w:val="es-ES"/>
              </w:rPr>
              <w:t>2017</w:t>
            </w:r>
          </w:p>
        </w:tc>
        <w:tc>
          <w:tcPr>
            <w:tcW w:w="4489" w:type="dxa"/>
          </w:tcPr>
          <w:p w:rsidR="00FE2F14" w:rsidRPr="00E960FC" w:rsidRDefault="00FE2F14" w:rsidP="00442FAA">
            <w:pPr>
              <w:jc w:val="center"/>
              <w:rPr>
                <w:rFonts w:eastAsiaTheme="minorEastAsia"/>
                <w:sz w:val="20"/>
                <w:szCs w:val="20"/>
                <w:lang w:val="es-ES"/>
              </w:rPr>
            </w:pPr>
            <w:r w:rsidRPr="00E960FC">
              <w:rPr>
                <w:rFonts w:eastAsiaTheme="minorEastAsia"/>
                <w:sz w:val="20"/>
                <w:szCs w:val="20"/>
                <w:lang w:val="es-ES"/>
              </w:rPr>
              <w:t>1.143.551</w:t>
            </w:r>
          </w:p>
        </w:tc>
      </w:tr>
      <w:tr w:rsidR="00FE2F14" w:rsidRPr="00E960FC" w:rsidTr="00320951">
        <w:tc>
          <w:tcPr>
            <w:tcW w:w="4489" w:type="dxa"/>
          </w:tcPr>
          <w:p w:rsidR="00FE2F14" w:rsidRPr="00E960FC" w:rsidRDefault="00FE2F14" w:rsidP="00442FAA">
            <w:pPr>
              <w:jc w:val="center"/>
              <w:rPr>
                <w:rFonts w:eastAsiaTheme="minorEastAsia"/>
                <w:sz w:val="20"/>
                <w:szCs w:val="20"/>
                <w:lang w:val="es-ES"/>
              </w:rPr>
            </w:pPr>
            <w:r w:rsidRPr="00E960FC">
              <w:rPr>
                <w:rFonts w:eastAsiaTheme="minorEastAsia"/>
                <w:sz w:val="20"/>
                <w:szCs w:val="20"/>
                <w:lang w:val="es-ES"/>
              </w:rPr>
              <w:t>2018</w:t>
            </w:r>
          </w:p>
        </w:tc>
        <w:tc>
          <w:tcPr>
            <w:tcW w:w="4489" w:type="dxa"/>
          </w:tcPr>
          <w:p w:rsidR="00FE2F14" w:rsidRPr="00E960FC" w:rsidRDefault="00FE2F14" w:rsidP="00442FAA">
            <w:pPr>
              <w:jc w:val="center"/>
              <w:rPr>
                <w:rFonts w:eastAsiaTheme="minorEastAsia"/>
                <w:sz w:val="20"/>
                <w:szCs w:val="20"/>
                <w:lang w:val="es-ES"/>
              </w:rPr>
            </w:pPr>
            <w:r w:rsidRPr="00E960FC">
              <w:rPr>
                <w:rFonts w:eastAsiaTheme="minorEastAsia"/>
                <w:sz w:val="20"/>
                <w:szCs w:val="20"/>
                <w:lang w:val="es-ES"/>
              </w:rPr>
              <w:t>1.183.542</w:t>
            </w:r>
          </w:p>
        </w:tc>
      </w:tr>
      <w:tr w:rsidR="00320951" w:rsidRPr="00E960FC" w:rsidTr="00320951">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2019</w:t>
            </w:r>
          </w:p>
        </w:tc>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1.223.533</w:t>
            </w:r>
          </w:p>
        </w:tc>
      </w:tr>
      <w:tr w:rsidR="00320951" w:rsidRPr="00E960FC" w:rsidTr="00320951">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2020</w:t>
            </w:r>
          </w:p>
        </w:tc>
        <w:tc>
          <w:tcPr>
            <w:tcW w:w="4489" w:type="dxa"/>
          </w:tcPr>
          <w:p w:rsidR="00320951" w:rsidRPr="00E960FC" w:rsidRDefault="00FE2F14" w:rsidP="00442FAA">
            <w:pPr>
              <w:jc w:val="center"/>
              <w:rPr>
                <w:rFonts w:eastAsiaTheme="minorEastAsia"/>
                <w:sz w:val="20"/>
                <w:szCs w:val="20"/>
                <w:lang w:val="es-ES"/>
              </w:rPr>
            </w:pPr>
            <w:r w:rsidRPr="00E960FC">
              <w:rPr>
                <w:rFonts w:eastAsiaTheme="minorEastAsia"/>
                <w:sz w:val="20"/>
                <w:szCs w:val="20"/>
                <w:lang w:val="es-ES"/>
              </w:rPr>
              <w:t>1.263.523</w:t>
            </w:r>
          </w:p>
        </w:tc>
      </w:tr>
    </w:tbl>
    <w:p w:rsidR="00320951" w:rsidRPr="00E960FC" w:rsidRDefault="00FE2F14" w:rsidP="00442FAA">
      <w:pPr>
        <w:spacing w:after="0"/>
        <w:jc w:val="both"/>
        <w:rPr>
          <w:rFonts w:eastAsiaTheme="minorEastAsia"/>
          <w:sz w:val="18"/>
          <w:szCs w:val="18"/>
          <w:lang w:val="es-ES"/>
        </w:rPr>
      </w:pPr>
      <w:r w:rsidRPr="00E960FC">
        <w:rPr>
          <w:rFonts w:eastAsiaTheme="minorEastAsia"/>
          <w:sz w:val="18"/>
          <w:szCs w:val="18"/>
          <w:lang w:val="es-ES"/>
        </w:rPr>
        <w:t xml:space="preserve">Fuente: Elaboración propia en base a datos administrativos. </w:t>
      </w:r>
    </w:p>
    <w:p w:rsidR="00320951" w:rsidRPr="00E960FC" w:rsidRDefault="00320951" w:rsidP="00442FAA">
      <w:pPr>
        <w:spacing w:after="0"/>
        <w:jc w:val="both"/>
        <w:rPr>
          <w:lang w:val="es-ES"/>
        </w:rPr>
      </w:pPr>
    </w:p>
    <w:p w:rsidR="00442FAA" w:rsidRPr="00E960FC" w:rsidRDefault="00442FAA" w:rsidP="00442FAA">
      <w:pPr>
        <w:spacing w:after="0"/>
        <w:jc w:val="both"/>
        <w:rPr>
          <w:lang w:val="es-ES"/>
        </w:rPr>
      </w:pPr>
    </w:p>
    <w:p w:rsidR="00982E67" w:rsidRPr="00E960FC" w:rsidRDefault="00982E67" w:rsidP="00442FAA">
      <w:pPr>
        <w:pStyle w:val="ListParagraph"/>
        <w:numPr>
          <w:ilvl w:val="0"/>
          <w:numId w:val="2"/>
        </w:numPr>
        <w:spacing w:after="0"/>
        <w:rPr>
          <w:b/>
          <w:lang w:val="es-ES"/>
        </w:rPr>
      </w:pPr>
      <w:r w:rsidRPr="00E960FC">
        <w:rPr>
          <w:b/>
          <w:lang w:val="es-ES"/>
        </w:rPr>
        <w:t>Costos Económicos</w:t>
      </w:r>
    </w:p>
    <w:p w:rsidR="00442FAA" w:rsidRPr="00E960FC" w:rsidRDefault="00442FAA" w:rsidP="00442FAA">
      <w:pPr>
        <w:pStyle w:val="ListParagraph"/>
        <w:spacing w:after="0"/>
        <w:ind w:left="1080"/>
        <w:rPr>
          <w:b/>
          <w:lang w:val="es-ES"/>
        </w:rPr>
      </w:pPr>
    </w:p>
    <w:p w:rsidR="00BF0DD5" w:rsidRPr="00E960FC" w:rsidRDefault="002E6937" w:rsidP="00442FAA">
      <w:pPr>
        <w:spacing w:after="0"/>
        <w:jc w:val="both"/>
        <w:rPr>
          <w:lang w:val="es-ES"/>
        </w:rPr>
      </w:pPr>
      <w:r w:rsidRPr="00E960FC">
        <w:rPr>
          <w:lang w:val="es-ES"/>
        </w:rPr>
        <w:t xml:space="preserve">En esta sección se detallan los costos asociados a cada uno de los programas de capacitación laboral. </w:t>
      </w:r>
    </w:p>
    <w:p w:rsidR="00442FAA" w:rsidRPr="00E960FC" w:rsidRDefault="00442FAA" w:rsidP="00442FAA">
      <w:pPr>
        <w:spacing w:after="0"/>
        <w:jc w:val="both"/>
        <w:rPr>
          <w:lang w:val="es-ES"/>
        </w:rPr>
      </w:pPr>
    </w:p>
    <w:p w:rsidR="00D10580" w:rsidRPr="00E960FC" w:rsidRDefault="00D10580" w:rsidP="00442FAA">
      <w:pPr>
        <w:spacing w:after="0"/>
        <w:jc w:val="both"/>
        <w:rPr>
          <w:lang w:val="es-ES"/>
        </w:rPr>
      </w:pPr>
      <w:r w:rsidRPr="00E960FC">
        <w:rPr>
          <w:lang w:val="es-ES"/>
        </w:rPr>
        <w:t xml:space="preserve">El cuadro </w:t>
      </w:r>
      <w:r w:rsidR="00E10757" w:rsidRPr="00E960FC">
        <w:rPr>
          <w:lang w:val="es-ES"/>
        </w:rPr>
        <w:t>7</w:t>
      </w:r>
      <w:r w:rsidRPr="00E960FC">
        <w:rPr>
          <w:lang w:val="es-ES"/>
        </w:rPr>
        <w:t xml:space="preserve"> presenta el resumen de los costos directos e indirectos para los programas de capacitación bono del trabajador activo, </w:t>
      </w:r>
      <w:r w:rsidR="005B398A" w:rsidRPr="00E960FC">
        <w:rPr>
          <w:lang w:val="es-ES"/>
        </w:rPr>
        <w:t>formación en el puesto de trabajo</w:t>
      </w:r>
      <w:r w:rsidRPr="00E960FC">
        <w:rPr>
          <w:lang w:val="es-ES"/>
        </w:rPr>
        <w:t xml:space="preserve">, y oficios. Los costos indirectos dicen relación esencialmente con los costos de administración de los distintos programas. </w:t>
      </w:r>
    </w:p>
    <w:p w:rsidR="00B0098C" w:rsidRPr="00E960FC" w:rsidRDefault="00B0098C" w:rsidP="00442FAA">
      <w:pPr>
        <w:spacing w:after="0"/>
        <w:jc w:val="center"/>
        <w:rPr>
          <w:lang w:val="es-ES"/>
        </w:rPr>
      </w:pPr>
    </w:p>
    <w:p w:rsidR="00D10580" w:rsidRPr="00E960FC" w:rsidRDefault="00D10580" w:rsidP="00442FAA">
      <w:pPr>
        <w:spacing w:after="0" w:line="240" w:lineRule="auto"/>
        <w:jc w:val="center"/>
        <w:rPr>
          <w:b/>
          <w:sz w:val="20"/>
          <w:szCs w:val="20"/>
          <w:lang w:val="es-ES"/>
        </w:rPr>
      </w:pPr>
      <w:r w:rsidRPr="00E960FC">
        <w:rPr>
          <w:b/>
          <w:sz w:val="20"/>
          <w:szCs w:val="20"/>
          <w:lang w:val="es-ES"/>
        </w:rPr>
        <w:t xml:space="preserve">Cuadro </w:t>
      </w:r>
      <w:r w:rsidR="00E10757" w:rsidRPr="00E960FC">
        <w:rPr>
          <w:b/>
          <w:sz w:val="20"/>
          <w:szCs w:val="20"/>
          <w:lang w:val="es-ES"/>
        </w:rPr>
        <w:t>7</w:t>
      </w:r>
    </w:p>
    <w:p w:rsidR="00D10580" w:rsidRPr="00E960FC" w:rsidRDefault="00D10580" w:rsidP="00442FAA">
      <w:pPr>
        <w:spacing w:after="0" w:line="240" w:lineRule="auto"/>
        <w:jc w:val="center"/>
        <w:rPr>
          <w:b/>
          <w:sz w:val="20"/>
          <w:szCs w:val="20"/>
          <w:lang w:val="es-ES"/>
        </w:rPr>
      </w:pPr>
      <w:r w:rsidRPr="00E960FC">
        <w:rPr>
          <w:b/>
          <w:sz w:val="20"/>
          <w:szCs w:val="20"/>
          <w:lang w:val="es-ES"/>
        </w:rPr>
        <w:t xml:space="preserve">Costos </w:t>
      </w:r>
      <w:r w:rsidR="008B7D01" w:rsidRPr="00E960FC">
        <w:rPr>
          <w:b/>
          <w:sz w:val="20"/>
          <w:szCs w:val="20"/>
          <w:lang w:val="es-ES"/>
        </w:rPr>
        <w:t xml:space="preserve">anuales </w:t>
      </w:r>
      <w:r w:rsidRPr="00E960FC">
        <w:rPr>
          <w:b/>
          <w:sz w:val="20"/>
          <w:szCs w:val="20"/>
          <w:lang w:val="es-ES"/>
        </w:rPr>
        <w:t>asociados a los programas de capacitación</w:t>
      </w:r>
      <w:r w:rsidR="008B7D01" w:rsidRPr="00E960FC">
        <w:rPr>
          <w:b/>
          <w:sz w:val="20"/>
          <w:szCs w:val="20"/>
          <w:lang w:val="es-ES"/>
        </w:rPr>
        <w:t>, 2011</w:t>
      </w:r>
      <w:r w:rsidR="00F90CEC" w:rsidRPr="00E960FC">
        <w:rPr>
          <w:b/>
          <w:sz w:val="20"/>
          <w:szCs w:val="20"/>
          <w:lang w:val="es-ES"/>
        </w:rPr>
        <w:t xml:space="preserve"> (en </w:t>
      </w:r>
      <w:r w:rsidR="004F790F" w:rsidRPr="00E960FC">
        <w:rPr>
          <w:b/>
          <w:sz w:val="20"/>
          <w:szCs w:val="20"/>
          <w:lang w:val="es-ES"/>
        </w:rPr>
        <w:t>US$</w:t>
      </w:r>
      <w:r w:rsidR="00F90CEC" w:rsidRPr="00E960FC">
        <w:rPr>
          <w:b/>
          <w:sz w:val="20"/>
          <w:szCs w:val="20"/>
          <w:lang w:val="es-ES"/>
        </w:rPr>
        <w:t>)</w:t>
      </w:r>
    </w:p>
    <w:p w:rsidR="00D10580" w:rsidRPr="00E960FC" w:rsidRDefault="00D10580" w:rsidP="00442FAA">
      <w:pPr>
        <w:spacing w:after="0" w:line="240" w:lineRule="auto"/>
        <w:jc w:val="center"/>
        <w:rPr>
          <w:lang w:val="es-ES"/>
        </w:rPr>
      </w:pPr>
    </w:p>
    <w:tbl>
      <w:tblPr>
        <w:tblStyle w:val="TableGrid"/>
        <w:tblW w:w="0" w:type="auto"/>
        <w:tblLook w:val="04A0"/>
      </w:tblPr>
      <w:tblGrid>
        <w:gridCol w:w="2244"/>
        <w:gridCol w:w="2244"/>
        <w:gridCol w:w="2245"/>
        <w:gridCol w:w="2245"/>
      </w:tblGrid>
      <w:tr w:rsidR="00D10580" w:rsidRPr="00E960FC" w:rsidTr="00D10580">
        <w:tc>
          <w:tcPr>
            <w:tcW w:w="2244" w:type="dxa"/>
          </w:tcPr>
          <w:p w:rsidR="00D10580" w:rsidRPr="00E960FC" w:rsidRDefault="00D10580" w:rsidP="00442FAA">
            <w:pPr>
              <w:jc w:val="center"/>
              <w:rPr>
                <w:b/>
                <w:sz w:val="20"/>
                <w:szCs w:val="20"/>
                <w:lang w:val="es-ES"/>
              </w:rPr>
            </w:pPr>
            <w:r w:rsidRPr="00E960FC">
              <w:rPr>
                <w:b/>
                <w:sz w:val="20"/>
                <w:szCs w:val="20"/>
                <w:lang w:val="es-ES"/>
              </w:rPr>
              <w:t>Programa</w:t>
            </w:r>
          </w:p>
        </w:tc>
        <w:tc>
          <w:tcPr>
            <w:tcW w:w="2244" w:type="dxa"/>
          </w:tcPr>
          <w:p w:rsidR="00D10580" w:rsidRPr="00E960FC" w:rsidRDefault="00D10580" w:rsidP="00442FAA">
            <w:pPr>
              <w:jc w:val="center"/>
              <w:rPr>
                <w:b/>
                <w:sz w:val="20"/>
                <w:szCs w:val="20"/>
                <w:lang w:val="es-ES"/>
              </w:rPr>
            </w:pPr>
            <w:r w:rsidRPr="00E960FC">
              <w:rPr>
                <w:b/>
                <w:sz w:val="20"/>
                <w:szCs w:val="20"/>
                <w:lang w:val="es-ES"/>
              </w:rPr>
              <w:t>Costos indirectos</w:t>
            </w:r>
          </w:p>
        </w:tc>
        <w:tc>
          <w:tcPr>
            <w:tcW w:w="2245" w:type="dxa"/>
          </w:tcPr>
          <w:p w:rsidR="00D10580" w:rsidRPr="00E960FC" w:rsidRDefault="00D10580" w:rsidP="00442FAA">
            <w:pPr>
              <w:jc w:val="center"/>
              <w:rPr>
                <w:b/>
                <w:sz w:val="20"/>
                <w:szCs w:val="20"/>
                <w:lang w:val="es-ES"/>
              </w:rPr>
            </w:pPr>
            <w:r w:rsidRPr="00E960FC">
              <w:rPr>
                <w:b/>
                <w:sz w:val="20"/>
                <w:szCs w:val="20"/>
                <w:lang w:val="es-ES"/>
              </w:rPr>
              <w:t>Costos directos</w:t>
            </w:r>
          </w:p>
        </w:tc>
        <w:tc>
          <w:tcPr>
            <w:tcW w:w="2245" w:type="dxa"/>
          </w:tcPr>
          <w:p w:rsidR="00D10580" w:rsidRPr="00E960FC" w:rsidRDefault="00D10580" w:rsidP="00442FAA">
            <w:pPr>
              <w:jc w:val="center"/>
              <w:rPr>
                <w:b/>
                <w:sz w:val="20"/>
                <w:szCs w:val="20"/>
                <w:lang w:val="es-ES"/>
              </w:rPr>
            </w:pPr>
            <w:r w:rsidRPr="00E960FC">
              <w:rPr>
                <w:b/>
                <w:sz w:val="20"/>
                <w:szCs w:val="20"/>
                <w:lang w:val="es-ES"/>
              </w:rPr>
              <w:t>Costos totales</w:t>
            </w:r>
          </w:p>
        </w:tc>
      </w:tr>
      <w:tr w:rsidR="00D10580" w:rsidRPr="00E960FC" w:rsidTr="00D10580">
        <w:tc>
          <w:tcPr>
            <w:tcW w:w="2244" w:type="dxa"/>
          </w:tcPr>
          <w:p w:rsidR="00D10580" w:rsidRPr="00E960FC" w:rsidRDefault="00D10580" w:rsidP="00442FAA">
            <w:pPr>
              <w:jc w:val="center"/>
              <w:rPr>
                <w:sz w:val="20"/>
                <w:szCs w:val="20"/>
                <w:lang w:val="es-ES"/>
              </w:rPr>
            </w:pPr>
            <w:r w:rsidRPr="00E960FC">
              <w:rPr>
                <w:sz w:val="20"/>
                <w:szCs w:val="20"/>
                <w:lang w:val="es-ES"/>
              </w:rPr>
              <w:t>Bono del trabajador activo</w:t>
            </w:r>
          </w:p>
        </w:tc>
        <w:tc>
          <w:tcPr>
            <w:tcW w:w="2244" w:type="dxa"/>
          </w:tcPr>
          <w:p w:rsidR="00D10580" w:rsidRPr="00E960FC" w:rsidRDefault="00E10757" w:rsidP="00442FAA">
            <w:pPr>
              <w:jc w:val="center"/>
              <w:rPr>
                <w:sz w:val="20"/>
                <w:szCs w:val="20"/>
                <w:lang w:val="es-ES"/>
              </w:rPr>
            </w:pPr>
            <w:r w:rsidRPr="00E960FC">
              <w:rPr>
                <w:sz w:val="20"/>
                <w:szCs w:val="20"/>
                <w:lang w:val="es-ES"/>
              </w:rPr>
              <w:t>793.</w:t>
            </w:r>
            <w:r w:rsidR="00E96BC1" w:rsidRPr="00E960FC">
              <w:rPr>
                <w:sz w:val="20"/>
                <w:szCs w:val="20"/>
                <w:lang w:val="es-ES"/>
              </w:rPr>
              <w:t>552</w:t>
            </w:r>
          </w:p>
        </w:tc>
        <w:tc>
          <w:tcPr>
            <w:tcW w:w="2245" w:type="dxa"/>
          </w:tcPr>
          <w:p w:rsidR="00D10580" w:rsidRPr="00E960FC" w:rsidRDefault="00E10757" w:rsidP="00442FAA">
            <w:pPr>
              <w:jc w:val="center"/>
              <w:rPr>
                <w:sz w:val="20"/>
                <w:szCs w:val="20"/>
                <w:lang w:val="es-ES"/>
              </w:rPr>
            </w:pPr>
            <w:r w:rsidRPr="00E960FC">
              <w:rPr>
                <w:sz w:val="20"/>
                <w:szCs w:val="20"/>
                <w:lang w:val="es-ES"/>
              </w:rPr>
              <w:t>39.977.</w:t>
            </w:r>
            <w:r w:rsidR="00E96BC1" w:rsidRPr="00E960FC">
              <w:rPr>
                <w:sz w:val="20"/>
                <w:szCs w:val="20"/>
                <w:lang w:val="es-ES"/>
              </w:rPr>
              <w:t>396</w:t>
            </w:r>
          </w:p>
        </w:tc>
        <w:tc>
          <w:tcPr>
            <w:tcW w:w="2245" w:type="dxa"/>
          </w:tcPr>
          <w:p w:rsidR="00D10580" w:rsidRPr="00E960FC" w:rsidRDefault="00E10757" w:rsidP="00442FAA">
            <w:pPr>
              <w:jc w:val="center"/>
              <w:rPr>
                <w:sz w:val="20"/>
                <w:szCs w:val="20"/>
                <w:lang w:val="es-ES"/>
              </w:rPr>
            </w:pPr>
            <w:r w:rsidRPr="00E960FC">
              <w:rPr>
                <w:sz w:val="20"/>
                <w:szCs w:val="20"/>
                <w:lang w:val="es-ES"/>
              </w:rPr>
              <w:t>40.770.</w:t>
            </w:r>
            <w:r w:rsidR="00E96BC1" w:rsidRPr="00E960FC">
              <w:rPr>
                <w:sz w:val="20"/>
                <w:szCs w:val="20"/>
                <w:lang w:val="es-ES"/>
              </w:rPr>
              <w:t>948</w:t>
            </w:r>
          </w:p>
        </w:tc>
      </w:tr>
      <w:tr w:rsidR="00D10580" w:rsidRPr="00E960FC" w:rsidTr="00D10580">
        <w:tc>
          <w:tcPr>
            <w:tcW w:w="2244" w:type="dxa"/>
          </w:tcPr>
          <w:p w:rsidR="00D10580" w:rsidRPr="00E960FC" w:rsidRDefault="00E96BC1" w:rsidP="00442FAA">
            <w:pPr>
              <w:jc w:val="center"/>
              <w:rPr>
                <w:sz w:val="20"/>
                <w:szCs w:val="20"/>
                <w:lang w:val="es-ES"/>
              </w:rPr>
            </w:pPr>
            <w:r w:rsidRPr="00E960FC">
              <w:rPr>
                <w:sz w:val="20"/>
                <w:szCs w:val="20"/>
                <w:lang w:val="es-ES"/>
              </w:rPr>
              <w:t>Formación en el puesto de trabajo</w:t>
            </w:r>
          </w:p>
        </w:tc>
        <w:tc>
          <w:tcPr>
            <w:tcW w:w="2244" w:type="dxa"/>
          </w:tcPr>
          <w:p w:rsidR="00D10580" w:rsidRPr="00E960FC" w:rsidRDefault="00E10757" w:rsidP="00442FAA">
            <w:pPr>
              <w:jc w:val="center"/>
              <w:rPr>
                <w:sz w:val="20"/>
                <w:szCs w:val="20"/>
                <w:lang w:val="es-ES"/>
              </w:rPr>
            </w:pPr>
            <w:r w:rsidRPr="00E960FC">
              <w:rPr>
                <w:sz w:val="20"/>
                <w:szCs w:val="20"/>
                <w:lang w:val="es-ES"/>
              </w:rPr>
              <w:t>652.</w:t>
            </w:r>
            <w:r w:rsidR="00E96BC1" w:rsidRPr="00E960FC">
              <w:rPr>
                <w:sz w:val="20"/>
                <w:szCs w:val="20"/>
                <w:lang w:val="es-ES"/>
              </w:rPr>
              <w:t>171</w:t>
            </w:r>
          </w:p>
        </w:tc>
        <w:tc>
          <w:tcPr>
            <w:tcW w:w="2245" w:type="dxa"/>
          </w:tcPr>
          <w:p w:rsidR="00D10580" w:rsidRPr="00E960FC" w:rsidRDefault="00E10757" w:rsidP="00442FAA">
            <w:pPr>
              <w:jc w:val="center"/>
              <w:rPr>
                <w:sz w:val="20"/>
                <w:szCs w:val="20"/>
                <w:lang w:val="es-ES"/>
              </w:rPr>
            </w:pPr>
            <w:r w:rsidRPr="00E960FC">
              <w:rPr>
                <w:sz w:val="20"/>
                <w:szCs w:val="20"/>
                <w:lang w:val="es-ES"/>
              </w:rPr>
              <w:t>15.613.</w:t>
            </w:r>
            <w:r w:rsidR="00E96BC1" w:rsidRPr="00E960FC">
              <w:rPr>
                <w:sz w:val="20"/>
                <w:szCs w:val="20"/>
                <w:lang w:val="es-ES"/>
              </w:rPr>
              <w:t>050</w:t>
            </w:r>
          </w:p>
        </w:tc>
        <w:tc>
          <w:tcPr>
            <w:tcW w:w="2245" w:type="dxa"/>
          </w:tcPr>
          <w:p w:rsidR="00D10580" w:rsidRPr="00E960FC" w:rsidRDefault="00E10757" w:rsidP="00442FAA">
            <w:pPr>
              <w:jc w:val="center"/>
              <w:rPr>
                <w:sz w:val="20"/>
                <w:szCs w:val="20"/>
                <w:lang w:val="es-ES"/>
              </w:rPr>
            </w:pPr>
            <w:r w:rsidRPr="00E960FC">
              <w:rPr>
                <w:sz w:val="20"/>
                <w:szCs w:val="20"/>
                <w:lang w:val="es-ES"/>
              </w:rPr>
              <w:t>16.265.</w:t>
            </w:r>
            <w:r w:rsidR="00E96BC1" w:rsidRPr="00E960FC">
              <w:rPr>
                <w:sz w:val="20"/>
                <w:szCs w:val="20"/>
                <w:lang w:val="es-ES"/>
              </w:rPr>
              <w:t>221</w:t>
            </w:r>
          </w:p>
        </w:tc>
      </w:tr>
      <w:tr w:rsidR="00D10580" w:rsidRPr="00E960FC" w:rsidTr="00D10580">
        <w:tc>
          <w:tcPr>
            <w:tcW w:w="2244" w:type="dxa"/>
          </w:tcPr>
          <w:p w:rsidR="00D10580" w:rsidRPr="00E960FC" w:rsidRDefault="00D10580" w:rsidP="00442FAA">
            <w:pPr>
              <w:jc w:val="center"/>
              <w:rPr>
                <w:sz w:val="20"/>
                <w:szCs w:val="20"/>
                <w:lang w:val="es-ES"/>
              </w:rPr>
            </w:pPr>
            <w:r w:rsidRPr="00E960FC">
              <w:rPr>
                <w:sz w:val="20"/>
                <w:szCs w:val="20"/>
                <w:lang w:val="es-ES"/>
              </w:rPr>
              <w:t>Programa oficios</w:t>
            </w:r>
          </w:p>
        </w:tc>
        <w:tc>
          <w:tcPr>
            <w:tcW w:w="2244" w:type="dxa"/>
          </w:tcPr>
          <w:p w:rsidR="00D10580" w:rsidRPr="00E960FC" w:rsidRDefault="00E10757" w:rsidP="00442FAA">
            <w:pPr>
              <w:jc w:val="center"/>
              <w:rPr>
                <w:sz w:val="20"/>
                <w:szCs w:val="20"/>
                <w:lang w:val="es-ES"/>
              </w:rPr>
            </w:pPr>
            <w:r w:rsidRPr="00E960FC">
              <w:rPr>
                <w:sz w:val="20"/>
                <w:szCs w:val="20"/>
                <w:lang w:val="es-ES"/>
              </w:rPr>
              <w:t>2.649.</w:t>
            </w:r>
            <w:r w:rsidR="00E96BC1" w:rsidRPr="00E960FC">
              <w:rPr>
                <w:sz w:val="20"/>
                <w:szCs w:val="20"/>
                <w:lang w:val="es-ES"/>
              </w:rPr>
              <w:t>123</w:t>
            </w:r>
          </w:p>
        </w:tc>
        <w:tc>
          <w:tcPr>
            <w:tcW w:w="2245" w:type="dxa"/>
          </w:tcPr>
          <w:p w:rsidR="00D10580" w:rsidRPr="00E960FC" w:rsidRDefault="00E10757" w:rsidP="00442FAA">
            <w:pPr>
              <w:jc w:val="center"/>
              <w:rPr>
                <w:sz w:val="20"/>
                <w:szCs w:val="20"/>
                <w:lang w:val="es-ES"/>
              </w:rPr>
            </w:pPr>
            <w:r w:rsidRPr="00E960FC">
              <w:rPr>
                <w:sz w:val="20"/>
                <w:szCs w:val="20"/>
                <w:lang w:val="es-ES"/>
              </w:rPr>
              <w:t>24.661.</w:t>
            </w:r>
            <w:r w:rsidR="00E96BC1" w:rsidRPr="00E960FC">
              <w:rPr>
                <w:sz w:val="20"/>
                <w:szCs w:val="20"/>
                <w:lang w:val="es-ES"/>
              </w:rPr>
              <w:t>777</w:t>
            </w:r>
          </w:p>
        </w:tc>
        <w:tc>
          <w:tcPr>
            <w:tcW w:w="2245" w:type="dxa"/>
          </w:tcPr>
          <w:p w:rsidR="00D10580" w:rsidRPr="00E960FC" w:rsidRDefault="00E10757" w:rsidP="00442FAA">
            <w:pPr>
              <w:jc w:val="center"/>
              <w:rPr>
                <w:sz w:val="20"/>
                <w:szCs w:val="20"/>
                <w:lang w:val="es-ES"/>
              </w:rPr>
            </w:pPr>
            <w:r w:rsidRPr="00E960FC">
              <w:rPr>
                <w:sz w:val="20"/>
                <w:szCs w:val="20"/>
                <w:lang w:val="es-ES"/>
              </w:rPr>
              <w:t>27.310.</w:t>
            </w:r>
            <w:r w:rsidR="00E96BC1" w:rsidRPr="00E960FC">
              <w:rPr>
                <w:sz w:val="20"/>
                <w:szCs w:val="20"/>
                <w:lang w:val="es-ES"/>
              </w:rPr>
              <w:t>900</w:t>
            </w:r>
          </w:p>
        </w:tc>
      </w:tr>
    </w:tbl>
    <w:p w:rsidR="00D10580" w:rsidRPr="00E960FC" w:rsidRDefault="00D10580" w:rsidP="00442FAA">
      <w:pPr>
        <w:spacing w:after="0"/>
        <w:jc w:val="both"/>
        <w:rPr>
          <w:sz w:val="18"/>
          <w:szCs w:val="18"/>
          <w:lang w:val="es-ES"/>
        </w:rPr>
      </w:pPr>
      <w:r w:rsidRPr="00E960FC">
        <w:rPr>
          <w:sz w:val="18"/>
          <w:szCs w:val="18"/>
          <w:lang w:val="es-ES"/>
        </w:rPr>
        <w:t>Fuente: En base a información administrativa SENCE.</w:t>
      </w:r>
    </w:p>
    <w:p w:rsidR="003441B8" w:rsidRPr="00E960FC" w:rsidRDefault="003441B8" w:rsidP="00442FAA">
      <w:pPr>
        <w:spacing w:after="0"/>
        <w:jc w:val="both"/>
        <w:rPr>
          <w:lang w:val="es-ES"/>
        </w:rPr>
      </w:pPr>
    </w:p>
    <w:p w:rsidR="00E10757" w:rsidRPr="00E960FC" w:rsidRDefault="00E10757" w:rsidP="00442FAA">
      <w:pPr>
        <w:spacing w:after="0"/>
        <w:jc w:val="both"/>
        <w:rPr>
          <w:lang w:val="es-ES"/>
        </w:rPr>
      </w:pPr>
    </w:p>
    <w:p w:rsidR="005B398A" w:rsidRPr="00E960FC" w:rsidRDefault="005B398A" w:rsidP="00442FAA">
      <w:pPr>
        <w:spacing w:after="0"/>
        <w:jc w:val="both"/>
        <w:rPr>
          <w:lang w:val="es-ES"/>
        </w:rPr>
      </w:pPr>
      <w:r w:rsidRPr="00E960FC">
        <w:rPr>
          <w:lang w:val="es-ES"/>
        </w:rPr>
        <w:t xml:space="preserve">Los costos directos del programa bono del trabajador activo incorporan esencialmente el sistema del </w:t>
      </w:r>
      <w:r w:rsidRPr="00E960FC">
        <w:rPr>
          <w:i/>
          <w:lang w:val="es-ES"/>
        </w:rPr>
        <w:t>voucher</w:t>
      </w:r>
      <w:r w:rsidRPr="00E960FC">
        <w:rPr>
          <w:lang w:val="es-ES"/>
        </w:rPr>
        <w:t xml:space="preserve"> en sí mismo, y no comprende</w:t>
      </w:r>
      <w:r w:rsidR="00E74527" w:rsidRPr="00E960FC">
        <w:rPr>
          <w:lang w:val="es-ES"/>
        </w:rPr>
        <w:t>n</w:t>
      </w:r>
      <w:r w:rsidRPr="00E960FC">
        <w:rPr>
          <w:lang w:val="es-ES"/>
        </w:rPr>
        <w:t xml:space="preserve"> otro tipo de subsidios para el beneficiario. Se debe recordar que hay un copago por parte del trabajador, que no está incorporado en estos costos, sin embargo, este monto es devuelto en caso de que el beneficiario apruebe el curso. </w:t>
      </w:r>
    </w:p>
    <w:p w:rsidR="00442FAA" w:rsidRPr="00E960FC" w:rsidRDefault="00442FAA" w:rsidP="00442FAA">
      <w:pPr>
        <w:spacing w:after="0"/>
        <w:jc w:val="both"/>
        <w:rPr>
          <w:lang w:val="es-ES"/>
        </w:rPr>
      </w:pPr>
    </w:p>
    <w:p w:rsidR="005B398A" w:rsidRPr="00E960FC" w:rsidRDefault="005B398A" w:rsidP="00442FAA">
      <w:pPr>
        <w:spacing w:after="0"/>
        <w:jc w:val="both"/>
        <w:rPr>
          <w:lang w:val="es-ES"/>
        </w:rPr>
      </w:pPr>
      <w:r w:rsidRPr="00E960FC">
        <w:rPr>
          <w:lang w:val="es-ES"/>
        </w:rPr>
        <w:lastRenderedPageBreak/>
        <w:t xml:space="preserve">Los costos directos del programa formación en el puesto de trabajo comprenden el subsidio al trabajador (50% del salario mínimo por un período máximo de seis meses) y el monto asignado para la capacitación (hasta 10 UTM). </w:t>
      </w:r>
    </w:p>
    <w:p w:rsidR="00442FAA" w:rsidRPr="00E960FC" w:rsidRDefault="00442FAA" w:rsidP="00442FAA">
      <w:pPr>
        <w:spacing w:after="0"/>
        <w:jc w:val="both"/>
        <w:rPr>
          <w:lang w:val="es-ES"/>
        </w:rPr>
      </w:pPr>
    </w:p>
    <w:p w:rsidR="005B398A" w:rsidRPr="00E960FC" w:rsidRDefault="005B398A" w:rsidP="00442FAA">
      <w:pPr>
        <w:spacing w:after="0"/>
        <w:jc w:val="both"/>
        <w:rPr>
          <w:lang w:val="es-ES"/>
        </w:rPr>
      </w:pPr>
      <w:r w:rsidRPr="00E960FC">
        <w:rPr>
          <w:lang w:val="es-ES"/>
        </w:rPr>
        <w:t>Los costos directos del programa oficios comprenden un costo unitario por beneficiario de US$2,596. Este costo comprende el costo de la capacitación y gastos asociados a movilización, alimentación y seguros.</w:t>
      </w:r>
      <w:r w:rsidR="00DE50DA" w:rsidRPr="00E960FC">
        <w:rPr>
          <w:lang w:val="es-ES"/>
        </w:rPr>
        <w:t xml:space="preserve"> No comprende un pago por el costo de oportunidad de la persona mientras dure la capacitación. </w:t>
      </w:r>
    </w:p>
    <w:p w:rsidR="003D7364" w:rsidRPr="00E960FC" w:rsidRDefault="003D7364" w:rsidP="00442FAA">
      <w:pPr>
        <w:spacing w:after="0"/>
        <w:jc w:val="both"/>
        <w:rPr>
          <w:lang w:val="es-ES"/>
        </w:rPr>
      </w:pPr>
    </w:p>
    <w:p w:rsidR="002E6937" w:rsidRPr="00E960FC" w:rsidRDefault="002E6937" w:rsidP="00442FAA">
      <w:pPr>
        <w:spacing w:after="0"/>
        <w:jc w:val="both"/>
        <w:rPr>
          <w:b/>
          <w:i/>
          <w:lang w:val="es-ES"/>
        </w:rPr>
      </w:pPr>
      <w:r w:rsidRPr="00E960FC">
        <w:rPr>
          <w:b/>
          <w:i/>
          <w:lang w:val="es-ES"/>
        </w:rPr>
        <w:t>Franquicia tributaria</w:t>
      </w:r>
    </w:p>
    <w:p w:rsidR="00442FAA" w:rsidRPr="00E960FC" w:rsidRDefault="00442FAA" w:rsidP="00442FAA">
      <w:pPr>
        <w:spacing w:after="0"/>
        <w:jc w:val="both"/>
        <w:rPr>
          <w:b/>
          <w:i/>
          <w:lang w:val="es-ES"/>
        </w:rPr>
      </w:pPr>
    </w:p>
    <w:p w:rsidR="002E6937" w:rsidRPr="00E960FC" w:rsidRDefault="002E6937" w:rsidP="00442FAA">
      <w:pPr>
        <w:spacing w:after="0"/>
        <w:jc w:val="both"/>
        <w:rPr>
          <w:lang w:val="es-ES"/>
        </w:rPr>
      </w:pPr>
      <w:r w:rsidRPr="00E960FC">
        <w:rPr>
          <w:lang w:val="es-ES"/>
        </w:rPr>
        <w:t>De acuerdo a la información oficial proveniente del SENCE los costos de</w:t>
      </w:r>
      <w:r w:rsidR="003D7364" w:rsidRPr="00E960FC">
        <w:rPr>
          <w:lang w:val="es-ES"/>
        </w:rPr>
        <w:t>l</w:t>
      </w:r>
      <w:r w:rsidRPr="00E960FC">
        <w:rPr>
          <w:lang w:val="es-ES"/>
        </w:rPr>
        <w:t xml:space="preserve"> programa </w:t>
      </w:r>
      <w:r w:rsidR="00E54A0A" w:rsidRPr="00E960FC">
        <w:rPr>
          <w:lang w:val="es-ES"/>
        </w:rPr>
        <w:t>de franquicia tributaria son los siguientes: los costos directos</w:t>
      </w:r>
      <w:r w:rsidR="008B7D01" w:rsidRPr="00E960FC">
        <w:rPr>
          <w:lang w:val="es-ES"/>
        </w:rPr>
        <w:t xml:space="preserve"> anuales para 2011 (que corresponden básicamente a los cursos)</w:t>
      </w:r>
      <w:r w:rsidR="00E54A0A" w:rsidRPr="00E960FC">
        <w:rPr>
          <w:lang w:val="es-ES"/>
        </w:rPr>
        <w:t xml:space="preserve"> ascienden a </w:t>
      </w:r>
      <w:r w:rsidR="00281BEF" w:rsidRPr="00E960FC">
        <w:rPr>
          <w:lang w:val="es-ES"/>
        </w:rPr>
        <w:t>US</w:t>
      </w:r>
      <w:r w:rsidR="00E54A0A" w:rsidRPr="00E960FC">
        <w:rPr>
          <w:lang w:val="es-ES"/>
        </w:rPr>
        <w:t>$</w:t>
      </w:r>
      <w:r w:rsidR="00281BEF" w:rsidRPr="00E960FC">
        <w:rPr>
          <w:lang w:val="es-ES"/>
        </w:rPr>
        <w:t>222.057.119</w:t>
      </w:r>
      <w:r w:rsidR="00E54A0A" w:rsidRPr="00E960FC">
        <w:rPr>
          <w:lang w:val="es-ES"/>
        </w:rPr>
        <w:t xml:space="preserve">, los costos indirectos son de </w:t>
      </w:r>
      <w:r w:rsidR="00281BEF" w:rsidRPr="00E960FC">
        <w:rPr>
          <w:lang w:val="es-ES"/>
        </w:rPr>
        <w:t>US</w:t>
      </w:r>
      <w:r w:rsidR="00E54A0A" w:rsidRPr="00E960FC">
        <w:rPr>
          <w:lang w:val="es-ES"/>
        </w:rPr>
        <w:t>$</w:t>
      </w:r>
      <w:r w:rsidR="00281BEF" w:rsidRPr="00E960FC">
        <w:rPr>
          <w:lang w:val="es-ES"/>
        </w:rPr>
        <w:t>3.865.494</w:t>
      </w:r>
      <w:r w:rsidR="00E54A0A" w:rsidRPr="00E960FC">
        <w:rPr>
          <w:lang w:val="es-ES"/>
        </w:rPr>
        <w:t xml:space="preserve">, por lo que los costos totales suman </w:t>
      </w:r>
      <w:r w:rsidR="00281BEF" w:rsidRPr="00E960FC">
        <w:rPr>
          <w:lang w:val="es-ES"/>
        </w:rPr>
        <w:t>US</w:t>
      </w:r>
      <w:r w:rsidR="00E54A0A" w:rsidRPr="00E960FC">
        <w:rPr>
          <w:lang w:val="es-ES"/>
        </w:rPr>
        <w:t>$</w:t>
      </w:r>
      <w:r w:rsidR="00281BEF" w:rsidRPr="00E960FC">
        <w:rPr>
          <w:lang w:val="es-ES"/>
        </w:rPr>
        <w:t>225.922.613</w:t>
      </w:r>
      <w:r w:rsidR="00E54A0A" w:rsidRPr="00E960FC">
        <w:rPr>
          <w:lang w:val="es-ES"/>
        </w:rPr>
        <w:t xml:space="preserve">. En vista de que los costos indirectos dicen relación con los costos administrativos, se estimó a partir de los costos directos un costo unitario por capacitado igual a </w:t>
      </w:r>
      <w:r w:rsidR="00281BEF" w:rsidRPr="00E960FC">
        <w:rPr>
          <w:lang w:val="es-ES"/>
        </w:rPr>
        <w:t>US</w:t>
      </w:r>
      <w:r w:rsidR="00E54A0A" w:rsidRPr="00E960FC">
        <w:rPr>
          <w:lang w:val="es-ES"/>
        </w:rPr>
        <w:t>$</w:t>
      </w:r>
      <w:r w:rsidR="00281BEF" w:rsidRPr="00E960FC">
        <w:rPr>
          <w:lang w:val="es-ES"/>
        </w:rPr>
        <w:t>241,2</w:t>
      </w:r>
      <w:r w:rsidR="00E54A0A" w:rsidRPr="00E960FC">
        <w:rPr>
          <w:lang w:val="es-ES"/>
        </w:rPr>
        <w:t xml:space="preserve"> (según la información para el año 2011). Por lo tanto, los costos se obtienen multiplicando este costo unitario por el número de individuos capacitados. </w:t>
      </w:r>
    </w:p>
    <w:p w:rsidR="00AA6476" w:rsidRPr="00E960FC" w:rsidRDefault="00AA6476" w:rsidP="00442FAA">
      <w:pPr>
        <w:spacing w:after="0"/>
        <w:jc w:val="both"/>
        <w:rPr>
          <w:lang w:val="es-ES"/>
        </w:rPr>
      </w:pPr>
    </w:p>
    <w:p w:rsidR="00442FAA" w:rsidRPr="00E960FC" w:rsidRDefault="00442FAA" w:rsidP="00442FAA">
      <w:pPr>
        <w:spacing w:after="0"/>
        <w:jc w:val="both"/>
        <w:rPr>
          <w:lang w:val="es-ES"/>
        </w:rPr>
      </w:pPr>
    </w:p>
    <w:p w:rsidR="00982E67" w:rsidRPr="00E960FC" w:rsidRDefault="00982E67" w:rsidP="00442FAA">
      <w:pPr>
        <w:pStyle w:val="ListParagraph"/>
        <w:numPr>
          <w:ilvl w:val="0"/>
          <w:numId w:val="2"/>
        </w:numPr>
        <w:spacing w:after="0"/>
        <w:rPr>
          <w:b/>
          <w:lang w:val="es-ES"/>
        </w:rPr>
      </w:pPr>
      <w:r w:rsidRPr="00E960FC">
        <w:rPr>
          <w:b/>
          <w:lang w:val="es-ES"/>
        </w:rPr>
        <w:t>Retornos Económicos</w:t>
      </w:r>
    </w:p>
    <w:p w:rsidR="00442FAA" w:rsidRPr="00E960FC" w:rsidRDefault="00442FAA" w:rsidP="00442FAA">
      <w:pPr>
        <w:pStyle w:val="ListParagraph"/>
        <w:spacing w:after="0"/>
        <w:ind w:left="1080"/>
        <w:rPr>
          <w:b/>
          <w:lang w:val="es-ES"/>
        </w:rPr>
      </w:pPr>
    </w:p>
    <w:p w:rsidR="00E54A0A" w:rsidRPr="00E960FC" w:rsidRDefault="00E54A0A" w:rsidP="00442FAA">
      <w:pPr>
        <w:spacing w:after="0"/>
        <w:jc w:val="both"/>
        <w:rPr>
          <w:lang w:val="es-ES"/>
        </w:rPr>
      </w:pPr>
      <w:r w:rsidRPr="00E960FC">
        <w:rPr>
          <w:lang w:val="es-ES"/>
        </w:rPr>
        <w:t>Los retornos económicos se estimarán para</w:t>
      </w:r>
      <w:r w:rsidR="002A57F3" w:rsidRPr="00E960FC">
        <w:rPr>
          <w:lang w:val="es-ES"/>
        </w:rPr>
        <w:t xml:space="preserve"> una cohorte de beneficiarios para</w:t>
      </w:r>
      <w:r w:rsidRPr="00E960FC">
        <w:rPr>
          <w:lang w:val="es-ES"/>
        </w:rPr>
        <w:t xml:space="preserve"> cada uno de los cuatro programas por separado con un horizonte a diez años tomando una tasa de descuento de 12% para el cálculo del VAN.</w:t>
      </w:r>
      <w:r w:rsidR="002A57F3" w:rsidRPr="00E960FC">
        <w:rPr>
          <w:lang w:val="es-ES"/>
        </w:rPr>
        <w:t xml:space="preserve"> Se asumirá</w:t>
      </w:r>
      <w:r w:rsidR="00DE50DA" w:rsidRPr="00E960FC">
        <w:rPr>
          <w:lang w:val="es-ES"/>
        </w:rPr>
        <w:t>, y esto es importante de recalcar,</w:t>
      </w:r>
      <w:r w:rsidR="002A57F3" w:rsidRPr="00E960FC">
        <w:rPr>
          <w:lang w:val="es-ES"/>
        </w:rPr>
        <w:t xml:space="preserve"> que los beneficios derivados de la capacitación se traducirán en un</w:t>
      </w:r>
      <w:r w:rsidR="003E3230" w:rsidRPr="00E960FC">
        <w:rPr>
          <w:lang w:val="es-ES"/>
        </w:rPr>
        <w:t xml:space="preserve">a ventaja comparativa salarial por un período de cuatro años, luego de los cuales la brecha originada a partir de la participación en el programa se anula. </w:t>
      </w:r>
      <w:r w:rsidR="00DE50DA" w:rsidRPr="00E960FC">
        <w:rPr>
          <w:lang w:val="es-ES"/>
        </w:rPr>
        <w:t xml:space="preserve">La alternativa a esta estrategia sería asumir que la ventaja comparativa del trabajador capacitado seguirá por siempre, o por algunos años más. No existe evidencia concreta para afirmar con exactitud por cuántos años debieran manifestarse los beneficios de la capacitación, y es por ello, que se ha asumido un horizonte de cuatro años. Por cierto, mientras mayor sea el horizonte en donde aplique el beneficio mayor será el VAN del programa en cuestión por cuanto los costos están fijos, ya que se está calculando el VAN para una cohorte de beneficiarios. </w:t>
      </w:r>
    </w:p>
    <w:p w:rsidR="00442FAA" w:rsidRPr="00E960FC" w:rsidRDefault="00442FAA" w:rsidP="00442FAA">
      <w:pPr>
        <w:spacing w:after="0"/>
        <w:jc w:val="both"/>
        <w:rPr>
          <w:lang w:val="es-ES"/>
        </w:rPr>
      </w:pPr>
    </w:p>
    <w:p w:rsidR="00442FAA" w:rsidRPr="00E960FC" w:rsidRDefault="003D6B5B" w:rsidP="00442FAA">
      <w:pPr>
        <w:spacing w:after="0"/>
        <w:jc w:val="both"/>
        <w:rPr>
          <w:lang w:val="es-ES"/>
        </w:rPr>
      </w:pPr>
      <w:r w:rsidRPr="00E960FC">
        <w:rPr>
          <w:lang w:val="es-ES"/>
        </w:rPr>
        <w:t>En vista de que estos programas se encuentran funcionando y utilizan una infraestructura que ya ha sido instalada, no se toma en cuenta la realización de una inversión propiamente tal, y por ende, no hay un flujo por este concepto en el cálculo del VAN.</w:t>
      </w:r>
      <w:r w:rsidR="005B398A" w:rsidRPr="00E960FC">
        <w:rPr>
          <w:lang w:val="es-ES"/>
        </w:rPr>
        <w:t xml:space="preserve"> Para el caso del programa de formación en oficios si bien se debe hacer una importante inversión por parte de las OTEC del registro especial</w:t>
      </w:r>
      <w:r w:rsidR="00667960" w:rsidRPr="00E960FC">
        <w:rPr>
          <w:lang w:val="es-ES"/>
        </w:rPr>
        <w:t xml:space="preserve">, este tipo de inversiones se financia por medio de la ley de donaciones y el apoyo de organizaciones filantrópicas y de desarrollo internacionales. </w:t>
      </w:r>
    </w:p>
    <w:p w:rsidR="00442FAA" w:rsidRPr="00E960FC" w:rsidRDefault="00442FAA" w:rsidP="00442FAA">
      <w:pPr>
        <w:spacing w:after="0"/>
        <w:jc w:val="both"/>
        <w:rPr>
          <w:lang w:val="es-ES"/>
        </w:rPr>
      </w:pPr>
    </w:p>
    <w:p w:rsidR="00FC00EE" w:rsidRPr="00E960FC" w:rsidRDefault="00FC00EE" w:rsidP="00442FAA">
      <w:pPr>
        <w:spacing w:after="0"/>
        <w:jc w:val="both"/>
        <w:rPr>
          <w:lang w:val="es-ES"/>
        </w:rPr>
      </w:pPr>
    </w:p>
    <w:p w:rsidR="006D077A" w:rsidRPr="00E960FC" w:rsidRDefault="00F90CEC" w:rsidP="00442FAA">
      <w:pPr>
        <w:spacing w:after="0" w:line="240" w:lineRule="auto"/>
        <w:jc w:val="center"/>
        <w:rPr>
          <w:b/>
          <w:sz w:val="20"/>
          <w:szCs w:val="20"/>
          <w:lang w:val="es-ES"/>
        </w:rPr>
      </w:pPr>
      <w:r w:rsidRPr="00E960FC">
        <w:rPr>
          <w:b/>
          <w:sz w:val="20"/>
          <w:szCs w:val="20"/>
          <w:lang w:val="es-ES"/>
        </w:rPr>
        <w:lastRenderedPageBreak/>
        <w:t xml:space="preserve">Cuadro </w:t>
      </w:r>
      <w:r w:rsidR="00E10757" w:rsidRPr="00E960FC">
        <w:rPr>
          <w:b/>
          <w:sz w:val="20"/>
          <w:szCs w:val="20"/>
          <w:lang w:val="es-ES"/>
        </w:rPr>
        <w:t>8</w:t>
      </w:r>
    </w:p>
    <w:p w:rsidR="006D077A" w:rsidRPr="00E960FC" w:rsidRDefault="006D077A" w:rsidP="00442FAA">
      <w:pPr>
        <w:spacing w:after="0" w:line="240" w:lineRule="auto"/>
        <w:jc w:val="center"/>
        <w:rPr>
          <w:b/>
          <w:sz w:val="20"/>
          <w:szCs w:val="20"/>
          <w:lang w:val="es-ES"/>
        </w:rPr>
      </w:pPr>
      <w:r w:rsidRPr="00E960FC">
        <w:rPr>
          <w:b/>
          <w:sz w:val="20"/>
          <w:szCs w:val="20"/>
          <w:lang w:val="es-ES"/>
        </w:rPr>
        <w:t>VAN del bono del trabajador activo</w:t>
      </w:r>
      <w:r w:rsidR="00885CE4" w:rsidRPr="00E960FC">
        <w:rPr>
          <w:b/>
          <w:sz w:val="20"/>
          <w:szCs w:val="20"/>
          <w:lang w:val="es-ES"/>
        </w:rPr>
        <w:t xml:space="preserve"> (</w:t>
      </w:r>
      <w:r w:rsidR="00B93BCA" w:rsidRPr="00E960FC">
        <w:rPr>
          <w:b/>
          <w:sz w:val="20"/>
          <w:szCs w:val="20"/>
          <w:lang w:val="es-ES"/>
        </w:rPr>
        <w:t xml:space="preserve">en millones de </w:t>
      </w:r>
      <w:r w:rsidR="00667960" w:rsidRPr="00E960FC">
        <w:rPr>
          <w:b/>
          <w:sz w:val="20"/>
          <w:szCs w:val="20"/>
          <w:lang w:val="es-ES"/>
        </w:rPr>
        <w:t>US$</w:t>
      </w:r>
      <w:r w:rsidR="00885CE4" w:rsidRPr="00E960FC">
        <w:rPr>
          <w:b/>
          <w:sz w:val="20"/>
          <w:szCs w:val="20"/>
          <w:lang w:val="es-ES"/>
        </w:rPr>
        <w:t>)</w:t>
      </w:r>
    </w:p>
    <w:p w:rsidR="006D077A" w:rsidRPr="00E960FC" w:rsidRDefault="006D077A" w:rsidP="00442FAA">
      <w:pPr>
        <w:spacing w:after="0" w:line="240" w:lineRule="auto"/>
        <w:jc w:val="center"/>
        <w:rPr>
          <w:lang w:val="es-ES"/>
        </w:rPr>
      </w:pPr>
    </w:p>
    <w:tbl>
      <w:tblPr>
        <w:tblStyle w:val="TableGrid"/>
        <w:tblW w:w="0" w:type="auto"/>
        <w:jc w:val="center"/>
        <w:tblLook w:val="04A0"/>
      </w:tblPr>
      <w:tblGrid>
        <w:gridCol w:w="984"/>
        <w:gridCol w:w="866"/>
        <w:gridCol w:w="720"/>
        <w:gridCol w:w="719"/>
        <w:gridCol w:w="721"/>
        <w:gridCol w:w="721"/>
      </w:tblGrid>
      <w:tr w:rsidR="00DE50DA" w:rsidRPr="00E960FC" w:rsidTr="00DE50DA">
        <w:trPr>
          <w:jc w:val="center"/>
        </w:trPr>
        <w:tc>
          <w:tcPr>
            <w:tcW w:w="984" w:type="dxa"/>
          </w:tcPr>
          <w:p w:rsidR="00DE50DA" w:rsidRPr="00E960FC" w:rsidRDefault="00DE50DA" w:rsidP="00442FAA">
            <w:pPr>
              <w:rPr>
                <w:b/>
                <w:sz w:val="16"/>
                <w:szCs w:val="16"/>
                <w:lang w:val="es-ES"/>
              </w:rPr>
            </w:pPr>
          </w:p>
        </w:tc>
        <w:tc>
          <w:tcPr>
            <w:tcW w:w="866" w:type="dxa"/>
          </w:tcPr>
          <w:p w:rsidR="00DE50DA" w:rsidRPr="00E960FC" w:rsidRDefault="00DE50DA" w:rsidP="00442FAA">
            <w:pPr>
              <w:jc w:val="center"/>
              <w:rPr>
                <w:b/>
                <w:sz w:val="16"/>
                <w:szCs w:val="16"/>
                <w:lang w:val="es-ES"/>
              </w:rPr>
            </w:pPr>
            <w:r w:rsidRPr="00E960FC">
              <w:rPr>
                <w:b/>
                <w:sz w:val="16"/>
                <w:szCs w:val="16"/>
                <w:lang w:val="es-ES"/>
              </w:rPr>
              <w:t>0</w:t>
            </w:r>
          </w:p>
        </w:tc>
        <w:tc>
          <w:tcPr>
            <w:tcW w:w="720" w:type="dxa"/>
          </w:tcPr>
          <w:p w:rsidR="00DE50DA" w:rsidRPr="00E960FC" w:rsidRDefault="00DE50DA" w:rsidP="00442FAA">
            <w:pPr>
              <w:jc w:val="center"/>
              <w:rPr>
                <w:b/>
                <w:sz w:val="16"/>
                <w:szCs w:val="16"/>
                <w:lang w:val="es-ES"/>
              </w:rPr>
            </w:pPr>
            <w:r w:rsidRPr="00E960FC">
              <w:rPr>
                <w:b/>
                <w:sz w:val="16"/>
                <w:szCs w:val="16"/>
                <w:lang w:val="es-ES"/>
              </w:rPr>
              <w:t>1</w:t>
            </w:r>
          </w:p>
        </w:tc>
        <w:tc>
          <w:tcPr>
            <w:tcW w:w="719" w:type="dxa"/>
          </w:tcPr>
          <w:p w:rsidR="00DE50DA" w:rsidRPr="00E960FC" w:rsidRDefault="00DE50DA" w:rsidP="00442FAA">
            <w:pPr>
              <w:jc w:val="center"/>
              <w:rPr>
                <w:b/>
                <w:sz w:val="16"/>
                <w:szCs w:val="16"/>
                <w:lang w:val="es-ES"/>
              </w:rPr>
            </w:pPr>
            <w:r w:rsidRPr="00E960FC">
              <w:rPr>
                <w:b/>
                <w:sz w:val="16"/>
                <w:szCs w:val="16"/>
                <w:lang w:val="es-ES"/>
              </w:rPr>
              <w:t>2</w:t>
            </w:r>
          </w:p>
        </w:tc>
        <w:tc>
          <w:tcPr>
            <w:tcW w:w="721" w:type="dxa"/>
          </w:tcPr>
          <w:p w:rsidR="00DE50DA" w:rsidRPr="00E960FC" w:rsidRDefault="00DE50DA" w:rsidP="00442FAA">
            <w:pPr>
              <w:jc w:val="center"/>
              <w:rPr>
                <w:b/>
                <w:sz w:val="16"/>
                <w:szCs w:val="16"/>
                <w:lang w:val="es-ES"/>
              </w:rPr>
            </w:pPr>
            <w:r w:rsidRPr="00E960FC">
              <w:rPr>
                <w:b/>
                <w:sz w:val="16"/>
                <w:szCs w:val="16"/>
                <w:lang w:val="es-ES"/>
              </w:rPr>
              <w:t>3</w:t>
            </w:r>
          </w:p>
        </w:tc>
        <w:tc>
          <w:tcPr>
            <w:tcW w:w="721" w:type="dxa"/>
          </w:tcPr>
          <w:p w:rsidR="00DE50DA" w:rsidRPr="00E960FC" w:rsidRDefault="00DE50DA" w:rsidP="00442FAA">
            <w:pPr>
              <w:jc w:val="center"/>
              <w:rPr>
                <w:b/>
                <w:sz w:val="16"/>
                <w:szCs w:val="16"/>
                <w:lang w:val="es-ES"/>
              </w:rPr>
            </w:pPr>
            <w:r w:rsidRPr="00E960FC">
              <w:rPr>
                <w:b/>
                <w:sz w:val="16"/>
                <w:szCs w:val="16"/>
                <w:lang w:val="es-ES"/>
              </w:rPr>
              <w:t>4</w:t>
            </w:r>
          </w:p>
        </w:tc>
      </w:tr>
      <w:tr w:rsidR="00DE50DA" w:rsidRPr="00E960FC" w:rsidTr="00DE50DA">
        <w:trPr>
          <w:jc w:val="center"/>
        </w:trPr>
        <w:tc>
          <w:tcPr>
            <w:tcW w:w="984" w:type="dxa"/>
          </w:tcPr>
          <w:p w:rsidR="00DE50DA" w:rsidRPr="00E960FC" w:rsidRDefault="00DE50DA" w:rsidP="00442FAA">
            <w:pPr>
              <w:rPr>
                <w:b/>
                <w:sz w:val="16"/>
                <w:szCs w:val="16"/>
                <w:lang w:val="es-ES"/>
              </w:rPr>
            </w:pPr>
            <w:r w:rsidRPr="00E960FC">
              <w:rPr>
                <w:b/>
                <w:sz w:val="16"/>
                <w:szCs w:val="16"/>
                <w:lang w:val="es-ES"/>
              </w:rPr>
              <w:t>Beneficios</w:t>
            </w:r>
          </w:p>
        </w:tc>
        <w:tc>
          <w:tcPr>
            <w:tcW w:w="866" w:type="dxa"/>
          </w:tcPr>
          <w:p w:rsidR="00DE50DA" w:rsidRPr="00E960FC" w:rsidRDefault="00DE50DA" w:rsidP="00442FAA">
            <w:pPr>
              <w:jc w:val="center"/>
              <w:rPr>
                <w:sz w:val="16"/>
                <w:szCs w:val="16"/>
                <w:lang w:val="es-ES"/>
              </w:rPr>
            </w:pPr>
            <w:r w:rsidRPr="00E960FC">
              <w:rPr>
                <w:sz w:val="16"/>
                <w:szCs w:val="16"/>
                <w:lang w:val="es-ES"/>
              </w:rPr>
              <w:t>0</w:t>
            </w:r>
          </w:p>
        </w:tc>
        <w:tc>
          <w:tcPr>
            <w:tcW w:w="720" w:type="dxa"/>
          </w:tcPr>
          <w:p w:rsidR="00DE50DA" w:rsidRPr="00E960FC" w:rsidRDefault="00DE50DA" w:rsidP="00442FAA">
            <w:pPr>
              <w:jc w:val="center"/>
              <w:rPr>
                <w:sz w:val="16"/>
                <w:szCs w:val="16"/>
                <w:lang w:val="es-ES"/>
              </w:rPr>
            </w:pPr>
            <w:r w:rsidRPr="00E960FC">
              <w:rPr>
                <w:sz w:val="16"/>
                <w:szCs w:val="16"/>
                <w:lang w:val="es-ES"/>
              </w:rPr>
              <w:t>33,3</w:t>
            </w:r>
          </w:p>
        </w:tc>
        <w:tc>
          <w:tcPr>
            <w:tcW w:w="719" w:type="dxa"/>
          </w:tcPr>
          <w:p w:rsidR="00DE50DA" w:rsidRPr="00E960FC" w:rsidRDefault="00DE50DA" w:rsidP="00442FAA">
            <w:pPr>
              <w:jc w:val="center"/>
              <w:rPr>
                <w:sz w:val="16"/>
                <w:szCs w:val="16"/>
                <w:lang w:val="es-ES"/>
              </w:rPr>
            </w:pPr>
            <w:r w:rsidRPr="00E960FC">
              <w:rPr>
                <w:sz w:val="16"/>
                <w:szCs w:val="16"/>
                <w:lang w:val="es-ES"/>
              </w:rPr>
              <w:t>33,3</w:t>
            </w:r>
          </w:p>
        </w:tc>
        <w:tc>
          <w:tcPr>
            <w:tcW w:w="721" w:type="dxa"/>
          </w:tcPr>
          <w:p w:rsidR="00DE50DA" w:rsidRPr="00E960FC" w:rsidRDefault="00DE50DA" w:rsidP="00442FAA">
            <w:pPr>
              <w:jc w:val="center"/>
              <w:rPr>
                <w:sz w:val="16"/>
                <w:szCs w:val="16"/>
                <w:lang w:val="es-ES"/>
              </w:rPr>
            </w:pPr>
            <w:r w:rsidRPr="00E960FC">
              <w:rPr>
                <w:sz w:val="16"/>
                <w:szCs w:val="16"/>
                <w:lang w:val="es-ES"/>
              </w:rPr>
              <w:t>33,3</w:t>
            </w:r>
          </w:p>
        </w:tc>
        <w:tc>
          <w:tcPr>
            <w:tcW w:w="721" w:type="dxa"/>
          </w:tcPr>
          <w:p w:rsidR="00DE50DA" w:rsidRPr="00E960FC" w:rsidRDefault="00DE50DA" w:rsidP="00442FAA">
            <w:pPr>
              <w:jc w:val="center"/>
              <w:rPr>
                <w:sz w:val="16"/>
                <w:szCs w:val="16"/>
                <w:lang w:val="es-ES"/>
              </w:rPr>
            </w:pPr>
            <w:r w:rsidRPr="00E960FC">
              <w:rPr>
                <w:sz w:val="16"/>
                <w:szCs w:val="16"/>
                <w:lang w:val="es-ES"/>
              </w:rPr>
              <w:t>33,3</w:t>
            </w:r>
          </w:p>
        </w:tc>
      </w:tr>
      <w:tr w:rsidR="00DE50DA" w:rsidRPr="00E960FC" w:rsidTr="00DE50DA">
        <w:trPr>
          <w:jc w:val="center"/>
        </w:trPr>
        <w:tc>
          <w:tcPr>
            <w:tcW w:w="984" w:type="dxa"/>
          </w:tcPr>
          <w:p w:rsidR="00DE50DA" w:rsidRPr="00E960FC" w:rsidRDefault="00DE50DA" w:rsidP="00442FAA">
            <w:pPr>
              <w:rPr>
                <w:sz w:val="16"/>
                <w:szCs w:val="16"/>
                <w:lang w:val="es-ES"/>
              </w:rPr>
            </w:pPr>
          </w:p>
        </w:tc>
        <w:tc>
          <w:tcPr>
            <w:tcW w:w="866" w:type="dxa"/>
          </w:tcPr>
          <w:p w:rsidR="00DE50DA" w:rsidRPr="00E960FC" w:rsidRDefault="00DE50DA" w:rsidP="00442FAA">
            <w:pPr>
              <w:jc w:val="center"/>
              <w:rPr>
                <w:sz w:val="16"/>
                <w:szCs w:val="16"/>
                <w:lang w:val="es-ES"/>
              </w:rPr>
            </w:pPr>
          </w:p>
        </w:tc>
        <w:tc>
          <w:tcPr>
            <w:tcW w:w="720" w:type="dxa"/>
          </w:tcPr>
          <w:p w:rsidR="00DE50DA" w:rsidRPr="00E960FC" w:rsidRDefault="00DE50DA" w:rsidP="00442FAA">
            <w:pPr>
              <w:jc w:val="center"/>
              <w:rPr>
                <w:sz w:val="16"/>
                <w:szCs w:val="16"/>
                <w:lang w:val="es-ES"/>
              </w:rPr>
            </w:pPr>
          </w:p>
        </w:tc>
        <w:tc>
          <w:tcPr>
            <w:tcW w:w="719"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r>
      <w:tr w:rsidR="00DE50DA" w:rsidRPr="00E960FC" w:rsidTr="00DE50DA">
        <w:trPr>
          <w:jc w:val="center"/>
        </w:trPr>
        <w:tc>
          <w:tcPr>
            <w:tcW w:w="984" w:type="dxa"/>
          </w:tcPr>
          <w:p w:rsidR="00DE50DA" w:rsidRPr="00E960FC" w:rsidRDefault="00DE50DA" w:rsidP="00442FAA">
            <w:pPr>
              <w:rPr>
                <w:b/>
                <w:sz w:val="16"/>
                <w:szCs w:val="16"/>
                <w:lang w:val="es-ES"/>
              </w:rPr>
            </w:pPr>
            <w:r w:rsidRPr="00E960FC">
              <w:rPr>
                <w:b/>
                <w:sz w:val="16"/>
                <w:szCs w:val="16"/>
                <w:lang w:val="es-ES"/>
              </w:rPr>
              <w:t>Costos</w:t>
            </w:r>
          </w:p>
        </w:tc>
        <w:tc>
          <w:tcPr>
            <w:tcW w:w="866" w:type="dxa"/>
          </w:tcPr>
          <w:p w:rsidR="00DE50DA" w:rsidRPr="00E960FC" w:rsidRDefault="00DE50DA" w:rsidP="00442FAA">
            <w:pPr>
              <w:jc w:val="center"/>
              <w:rPr>
                <w:sz w:val="16"/>
                <w:szCs w:val="16"/>
                <w:lang w:val="es-ES"/>
              </w:rPr>
            </w:pPr>
            <w:r w:rsidRPr="00E960FC">
              <w:rPr>
                <w:sz w:val="16"/>
                <w:szCs w:val="16"/>
                <w:lang w:val="es-ES"/>
              </w:rPr>
              <w:t>40,7</w:t>
            </w:r>
          </w:p>
        </w:tc>
        <w:tc>
          <w:tcPr>
            <w:tcW w:w="720" w:type="dxa"/>
          </w:tcPr>
          <w:p w:rsidR="00DE50DA" w:rsidRPr="00E960FC" w:rsidRDefault="00DE50DA" w:rsidP="00442FAA">
            <w:pPr>
              <w:jc w:val="center"/>
              <w:rPr>
                <w:sz w:val="16"/>
                <w:szCs w:val="16"/>
                <w:lang w:val="es-ES"/>
              </w:rPr>
            </w:pPr>
          </w:p>
        </w:tc>
        <w:tc>
          <w:tcPr>
            <w:tcW w:w="719"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r>
      <w:tr w:rsidR="00DE50DA" w:rsidRPr="00E960FC" w:rsidTr="00DE50DA">
        <w:trPr>
          <w:jc w:val="center"/>
        </w:trPr>
        <w:tc>
          <w:tcPr>
            <w:tcW w:w="984" w:type="dxa"/>
          </w:tcPr>
          <w:p w:rsidR="00DE50DA" w:rsidRPr="00E960FC" w:rsidRDefault="00DE50DA" w:rsidP="00442FAA">
            <w:pPr>
              <w:rPr>
                <w:sz w:val="16"/>
                <w:szCs w:val="16"/>
                <w:lang w:val="es-ES"/>
              </w:rPr>
            </w:pPr>
          </w:p>
        </w:tc>
        <w:tc>
          <w:tcPr>
            <w:tcW w:w="866" w:type="dxa"/>
          </w:tcPr>
          <w:p w:rsidR="00DE50DA" w:rsidRPr="00E960FC" w:rsidRDefault="00DE50DA" w:rsidP="00442FAA">
            <w:pPr>
              <w:jc w:val="center"/>
              <w:rPr>
                <w:sz w:val="16"/>
                <w:szCs w:val="16"/>
                <w:lang w:val="es-ES"/>
              </w:rPr>
            </w:pPr>
          </w:p>
        </w:tc>
        <w:tc>
          <w:tcPr>
            <w:tcW w:w="720" w:type="dxa"/>
          </w:tcPr>
          <w:p w:rsidR="00DE50DA" w:rsidRPr="00E960FC" w:rsidRDefault="00DE50DA" w:rsidP="00442FAA">
            <w:pPr>
              <w:jc w:val="center"/>
              <w:rPr>
                <w:sz w:val="16"/>
                <w:szCs w:val="16"/>
                <w:lang w:val="es-ES"/>
              </w:rPr>
            </w:pPr>
          </w:p>
        </w:tc>
        <w:tc>
          <w:tcPr>
            <w:tcW w:w="719"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r>
      <w:tr w:rsidR="00DE50DA" w:rsidRPr="00E960FC" w:rsidTr="00DE50DA">
        <w:trPr>
          <w:jc w:val="center"/>
        </w:trPr>
        <w:tc>
          <w:tcPr>
            <w:tcW w:w="984" w:type="dxa"/>
          </w:tcPr>
          <w:p w:rsidR="00DE50DA" w:rsidRPr="00E960FC" w:rsidRDefault="00DE50DA" w:rsidP="00442FAA">
            <w:pPr>
              <w:rPr>
                <w:b/>
                <w:sz w:val="16"/>
                <w:szCs w:val="16"/>
                <w:lang w:val="es-ES"/>
              </w:rPr>
            </w:pPr>
            <w:r w:rsidRPr="00E960FC">
              <w:rPr>
                <w:b/>
                <w:sz w:val="16"/>
                <w:szCs w:val="16"/>
                <w:lang w:val="es-ES"/>
              </w:rPr>
              <w:t>Inversión</w:t>
            </w:r>
          </w:p>
        </w:tc>
        <w:tc>
          <w:tcPr>
            <w:tcW w:w="866" w:type="dxa"/>
          </w:tcPr>
          <w:p w:rsidR="00DE50DA" w:rsidRPr="00E960FC" w:rsidRDefault="00DE50DA" w:rsidP="00442FAA">
            <w:pPr>
              <w:jc w:val="center"/>
              <w:rPr>
                <w:sz w:val="16"/>
                <w:szCs w:val="16"/>
                <w:lang w:val="es-ES"/>
              </w:rPr>
            </w:pPr>
          </w:p>
        </w:tc>
        <w:tc>
          <w:tcPr>
            <w:tcW w:w="720" w:type="dxa"/>
          </w:tcPr>
          <w:p w:rsidR="00DE50DA" w:rsidRPr="00E960FC" w:rsidRDefault="00DE50DA" w:rsidP="00442FAA">
            <w:pPr>
              <w:jc w:val="center"/>
              <w:rPr>
                <w:sz w:val="16"/>
                <w:szCs w:val="16"/>
                <w:lang w:val="es-ES"/>
              </w:rPr>
            </w:pPr>
          </w:p>
        </w:tc>
        <w:tc>
          <w:tcPr>
            <w:tcW w:w="719"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r>
      <w:tr w:rsidR="00DE50DA" w:rsidRPr="00E960FC" w:rsidTr="00DE50DA">
        <w:trPr>
          <w:jc w:val="center"/>
        </w:trPr>
        <w:tc>
          <w:tcPr>
            <w:tcW w:w="984" w:type="dxa"/>
          </w:tcPr>
          <w:p w:rsidR="00DE50DA" w:rsidRPr="00E960FC" w:rsidRDefault="00DE50DA" w:rsidP="00442FAA">
            <w:pPr>
              <w:rPr>
                <w:sz w:val="16"/>
                <w:szCs w:val="16"/>
                <w:lang w:val="es-ES"/>
              </w:rPr>
            </w:pPr>
          </w:p>
        </w:tc>
        <w:tc>
          <w:tcPr>
            <w:tcW w:w="866" w:type="dxa"/>
          </w:tcPr>
          <w:p w:rsidR="00DE50DA" w:rsidRPr="00E960FC" w:rsidRDefault="00DE50DA" w:rsidP="00442FAA">
            <w:pPr>
              <w:jc w:val="center"/>
              <w:rPr>
                <w:sz w:val="16"/>
                <w:szCs w:val="16"/>
                <w:lang w:val="es-ES"/>
              </w:rPr>
            </w:pPr>
          </w:p>
        </w:tc>
        <w:tc>
          <w:tcPr>
            <w:tcW w:w="720" w:type="dxa"/>
          </w:tcPr>
          <w:p w:rsidR="00DE50DA" w:rsidRPr="00E960FC" w:rsidRDefault="00DE50DA" w:rsidP="00442FAA">
            <w:pPr>
              <w:jc w:val="center"/>
              <w:rPr>
                <w:sz w:val="16"/>
                <w:szCs w:val="16"/>
                <w:lang w:val="es-ES"/>
              </w:rPr>
            </w:pPr>
          </w:p>
        </w:tc>
        <w:tc>
          <w:tcPr>
            <w:tcW w:w="719"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r>
      <w:tr w:rsidR="00DE50DA" w:rsidRPr="00E960FC" w:rsidTr="00DE50DA">
        <w:trPr>
          <w:jc w:val="center"/>
        </w:trPr>
        <w:tc>
          <w:tcPr>
            <w:tcW w:w="984" w:type="dxa"/>
          </w:tcPr>
          <w:p w:rsidR="00DE50DA" w:rsidRPr="00E960FC" w:rsidRDefault="00DE50DA" w:rsidP="00442FAA">
            <w:pPr>
              <w:rPr>
                <w:b/>
                <w:sz w:val="16"/>
                <w:szCs w:val="16"/>
                <w:lang w:val="es-ES"/>
              </w:rPr>
            </w:pPr>
            <w:r w:rsidRPr="00E960FC">
              <w:rPr>
                <w:b/>
                <w:sz w:val="16"/>
                <w:szCs w:val="16"/>
                <w:lang w:val="es-ES"/>
              </w:rPr>
              <w:t>Beneficio neto</w:t>
            </w:r>
          </w:p>
        </w:tc>
        <w:tc>
          <w:tcPr>
            <w:tcW w:w="866" w:type="dxa"/>
          </w:tcPr>
          <w:p w:rsidR="00DE50DA" w:rsidRPr="00E960FC" w:rsidRDefault="00DE50DA" w:rsidP="00442FAA">
            <w:pPr>
              <w:jc w:val="center"/>
              <w:rPr>
                <w:sz w:val="16"/>
                <w:szCs w:val="16"/>
                <w:lang w:val="es-ES"/>
              </w:rPr>
            </w:pPr>
            <w:r w:rsidRPr="00E960FC">
              <w:rPr>
                <w:sz w:val="16"/>
                <w:szCs w:val="16"/>
                <w:lang w:val="es-ES"/>
              </w:rPr>
              <w:t>-40,7</w:t>
            </w:r>
          </w:p>
        </w:tc>
        <w:tc>
          <w:tcPr>
            <w:tcW w:w="720" w:type="dxa"/>
          </w:tcPr>
          <w:p w:rsidR="00DE50DA" w:rsidRPr="00E960FC" w:rsidRDefault="00DE50DA" w:rsidP="00442FAA">
            <w:pPr>
              <w:jc w:val="center"/>
              <w:rPr>
                <w:sz w:val="16"/>
                <w:szCs w:val="16"/>
                <w:lang w:val="es-ES"/>
              </w:rPr>
            </w:pPr>
            <w:r w:rsidRPr="00E960FC">
              <w:rPr>
                <w:sz w:val="16"/>
                <w:szCs w:val="16"/>
                <w:lang w:val="es-ES"/>
              </w:rPr>
              <w:t>33,3</w:t>
            </w:r>
          </w:p>
        </w:tc>
        <w:tc>
          <w:tcPr>
            <w:tcW w:w="719" w:type="dxa"/>
          </w:tcPr>
          <w:p w:rsidR="00DE50DA" w:rsidRPr="00E960FC" w:rsidRDefault="00DE50DA" w:rsidP="00442FAA">
            <w:pPr>
              <w:jc w:val="center"/>
              <w:rPr>
                <w:sz w:val="16"/>
                <w:szCs w:val="16"/>
                <w:lang w:val="es-ES"/>
              </w:rPr>
            </w:pPr>
            <w:r w:rsidRPr="00E960FC">
              <w:rPr>
                <w:sz w:val="16"/>
                <w:szCs w:val="16"/>
                <w:lang w:val="es-ES"/>
              </w:rPr>
              <w:t>33,3</w:t>
            </w:r>
          </w:p>
        </w:tc>
        <w:tc>
          <w:tcPr>
            <w:tcW w:w="721" w:type="dxa"/>
          </w:tcPr>
          <w:p w:rsidR="00DE50DA" w:rsidRPr="00E960FC" w:rsidRDefault="00DE50DA" w:rsidP="00442FAA">
            <w:pPr>
              <w:jc w:val="center"/>
              <w:rPr>
                <w:sz w:val="16"/>
                <w:szCs w:val="16"/>
                <w:lang w:val="es-ES"/>
              </w:rPr>
            </w:pPr>
            <w:r w:rsidRPr="00E960FC">
              <w:rPr>
                <w:sz w:val="16"/>
                <w:szCs w:val="16"/>
                <w:lang w:val="es-ES"/>
              </w:rPr>
              <w:t>33,3</w:t>
            </w:r>
          </w:p>
        </w:tc>
        <w:tc>
          <w:tcPr>
            <w:tcW w:w="721" w:type="dxa"/>
          </w:tcPr>
          <w:p w:rsidR="00DE50DA" w:rsidRPr="00E960FC" w:rsidRDefault="00DE50DA" w:rsidP="00442FAA">
            <w:pPr>
              <w:jc w:val="center"/>
              <w:rPr>
                <w:sz w:val="16"/>
                <w:szCs w:val="16"/>
                <w:lang w:val="es-ES"/>
              </w:rPr>
            </w:pPr>
            <w:r w:rsidRPr="00E960FC">
              <w:rPr>
                <w:sz w:val="16"/>
                <w:szCs w:val="16"/>
                <w:lang w:val="es-ES"/>
              </w:rPr>
              <w:t>33,3</w:t>
            </w:r>
          </w:p>
        </w:tc>
      </w:tr>
      <w:tr w:rsidR="00DE50DA" w:rsidRPr="00E960FC" w:rsidTr="00DE50DA">
        <w:trPr>
          <w:jc w:val="center"/>
        </w:trPr>
        <w:tc>
          <w:tcPr>
            <w:tcW w:w="984" w:type="dxa"/>
          </w:tcPr>
          <w:p w:rsidR="00DE50DA" w:rsidRPr="00E960FC" w:rsidRDefault="00DE50DA" w:rsidP="00442FAA">
            <w:pPr>
              <w:rPr>
                <w:b/>
                <w:sz w:val="16"/>
                <w:szCs w:val="16"/>
                <w:lang w:val="es-ES"/>
              </w:rPr>
            </w:pPr>
            <w:r w:rsidRPr="00E960FC">
              <w:rPr>
                <w:b/>
                <w:sz w:val="16"/>
                <w:szCs w:val="16"/>
                <w:lang w:val="es-ES"/>
              </w:rPr>
              <w:t>VAN (@ 12%)</w:t>
            </w:r>
          </w:p>
        </w:tc>
        <w:tc>
          <w:tcPr>
            <w:tcW w:w="866" w:type="dxa"/>
          </w:tcPr>
          <w:p w:rsidR="00DE50DA" w:rsidRPr="00E960FC" w:rsidRDefault="00DE50DA" w:rsidP="00442FAA">
            <w:pPr>
              <w:jc w:val="center"/>
              <w:rPr>
                <w:sz w:val="16"/>
                <w:szCs w:val="16"/>
                <w:lang w:val="es-ES"/>
              </w:rPr>
            </w:pPr>
            <w:r w:rsidRPr="00E960FC">
              <w:rPr>
                <w:sz w:val="16"/>
                <w:szCs w:val="16"/>
                <w:lang w:val="es-ES"/>
              </w:rPr>
              <w:t>60,4</w:t>
            </w:r>
          </w:p>
        </w:tc>
        <w:tc>
          <w:tcPr>
            <w:tcW w:w="720" w:type="dxa"/>
          </w:tcPr>
          <w:p w:rsidR="00DE50DA" w:rsidRPr="00E960FC" w:rsidRDefault="00DE50DA" w:rsidP="00442FAA">
            <w:pPr>
              <w:jc w:val="center"/>
              <w:rPr>
                <w:sz w:val="16"/>
                <w:szCs w:val="16"/>
                <w:lang w:val="es-ES"/>
              </w:rPr>
            </w:pPr>
          </w:p>
        </w:tc>
        <w:tc>
          <w:tcPr>
            <w:tcW w:w="719"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r>
      <w:tr w:rsidR="00DE50DA" w:rsidRPr="00E960FC" w:rsidTr="00DE50DA">
        <w:trPr>
          <w:jc w:val="center"/>
        </w:trPr>
        <w:tc>
          <w:tcPr>
            <w:tcW w:w="984" w:type="dxa"/>
          </w:tcPr>
          <w:p w:rsidR="00DE50DA" w:rsidRPr="00E960FC" w:rsidRDefault="00DE50DA" w:rsidP="00442FAA">
            <w:pPr>
              <w:rPr>
                <w:b/>
                <w:sz w:val="16"/>
                <w:szCs w:val="16"/>
                <w:lang w:val="es-ES"/>
              </w:rPr>
            </w:pPr>
            <w:r w:rsidRPr="00E960FC">
              <w:rPr>
                <w:b/>
                <w:sz w:val="16"/>
                <w:szCs w:val="16"/>
                <w:lang w:val="es-ES"/>
              </w:rPr>
              <w:t>TIR</w:t>
            </w:r>
          </w:p>
        </w:tc>
        <w:tc>
          <w:tcPr>
            <w:tcW w:w="866" w:type="dxa"/>
          </w:tcPr>
          <w:p w:rsidR="00DE50DA" w:rsidRPr="00E960FC" w:rsidRDefault="00DE50DA" w:rsidP="00442FAA">
            <w:pPr>
              <w:jc w:val="center"/>
              <w:rPr>
                <w:sz w:val="16"/>
                <w:szCs w:val="16"/>
                <w:lang w:val="es-ES"/>
              </w:rPr>
            </w:pPr>
            <w:r w:rsidRPr="00E960FC">
              <w:rPr>
                <w:sz w:val="16"/>
                <w:szCs w:val="16"/>
                <w:lang w:val="es-ES"/>
              </w:rPr>
              <w:t>73%</w:t>
            </w:r>
          </w:p>
        </w:tc>
        <w:tc>
          <w:tcPr>
            <w:tcW w:w="720" w:type="dxa"/>
          </w:tcPr>
          <w:p w:rsidR="00DE50DA" w:rsidRPr="00E960FC" w:rsidRDefault="00DE50DA" w:rsidP="00442FAA">
            <w:pPr>
              <w:jc w:val="center"/>
              <w:rPr>
                <w:sz w:val="16"/>
                <w:szCs w:val="16"/>
                <w:lang w:val="es-ES"/>
              </w:rPr>
            </w:pPr>
          </w:p>
        </w:tc>
        <w:tc>
          <w:tcPr>
            <w:tcW w:w="719"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c>
          <w:tcPr>
            <w:tcW w:w="721" w:type="dxa"/>
          </w:tcPr>
          <w:p w:rsidR="00DE50DA" w:rsidRPr="00E960FC" w:rsidRDefault="00DE50DA" w:rsidP="00442FAA">
            <w:pPr>
              <w:jc w:val="center"/>
              <w:rPr>
                <w:sz w:val="16"/>
                <w:szCs w:val="16"/>
                <w:lang w:val="es-ES"/>
              </w:rPr>
            </w:pPr>
          </w:p>
        </w:tc>
      </w:tr>
    </w:tbl>
    <w:p w:rsidR="003E3230" w:rsidRPr="00E960FC" w:rsidRDefault="003E3230" w:rsidP="00E10757">
      <w:pPr>
        <w:spacing w:after="0"/>
        <w:jc w:val="both"/>
        <w:rPr>
          <w:lang w:val="es-ES"/>
        </w:rPr>
      </w:pPr>
    </w:p>
    <w:p w:rsidR="00FC00EE" w:rsidRPr="00E960FC" w:rsidRDefault="00FC00EE" w:rsidP="00E10757">
      <w:pPr>
        <w:spacing w:after="0"/>
        <w:jc w:val="both"/>
        <w:rPr>
          <w:lang w:val="es-ES"/>
        </w:rPr>
      </w:pPr>
    </w:p>
    <w:p w:rsidR="00E10757" w:rsidRPr="00E960FC" w:rsidRDefault="00E10757" w:rsidP="00E10757">
      <w:pPr>
        <w:spacing w:after="0"/>
        <w:jc w:val="both"/>
        <w:rPr>
          <w:lang w:val="es-ES"/>
        </w:rPr>
      </w:pPr>
      <w:r w:rsidRPr="00E960FC">
        <w:rPr>
          <w:lang w:val="es-ES"/>
        </w:rPr>
        <w:t>En primer lugar, el cuadro 8 presenta los flujos y el cálculo del VAN asociados al programa de capacitación del bono del trabajador activo. De acuerdo a los antecedentes recabados es posible señalar que el VAN para este programa es de US$</w:t>
      </w:r>
      <w:r w:rsidR="002F29FB" w:rsidRPr="00E960FC">
        <w:rPr>
          <w:lang w:val="es-ES"/>
        </w:rPr>
        <w:t>60</w:t>
      </w:r>
      <w:r w:rsidRPr="00E960FC">
        <w:rPr>
          <w:lang w:val="es-ES"/>
        </w:rPr>
        <w:t xml:space="preserve"> millones. </w:t>
      </w:r>
    </w:p>
    <w:p w:rsidR="00442FAA" w:rsidRPr="00E960FC" w:rsidRDefault="00442FAA" w:rsidP="00442FAA">
      <w:pPr>
        <w:spacing w:after="0"/>
        <w:jc w:val="both"/>
        <w:rPr>
          <w:lang w:val="es-ES"/>
        </w:rPr>
      </w:pPr>
    </w:p>
    <w:p w:rsidR="00BD6F47" w:rsidRPr="00E960FC" w:rsidRDefault="00BD6F47" w:rsidP="00442FAA">
      <w:pPr>
        <w:spacing w:after="0"/>
        <w:jc w:val="both"/>
        <w:rPr>
          <w:lang w:val="es-ES"/>
        </w:rPr>
      </w:pPr>
      <w:r w:rsidRPr="00E960FC">
        <w:rPr>
          <w:lang w:val="es-ES"/>
        </w:rPr>
        <w:t xml:space="preserve">El cuadro </w:t>
      </w:r>
      <w:r w:rsidR="00E10757" w:rsidRPr="00E960FC">
        <w:rPr>
          <w:lang w:val="es-ES"/>
        </w:rPr>
        <w:t>9</w:t>
      </w:r>
      <w:r w:rsidRPr="00E960FC">
        <w:rPr>
          <w:lang w:val="es-ES"/>
        </w:rPr>
        <w:t xml:space="preserve"> presenta el cálculo del VAN para el programa </w:t>
      </w:r>
      <w:r w:rsidR="00E10757" w:rsidRPr="00E960FC">
        <w:rPr>
          <w:lang w:val="es-ES"/>
        </w:rPr>
        <w:t>formación en el puesto de trabajo</w:t>
      </w:r>
      <w:r w:rsidRPr="00E960FC">
        <w:rPr>
          <w:lang w:val="es-ES"/>
        </w:rPr>
        <w:t xml:space="preserve">. Se puede apreciar que los beneficios asociados son </w:t>
      </w:r>
      <w:r w:rsidR="00E10757" w:rsidRPr="00E960FC">
        <w:rPr>
          <w:lang w:val="es-ES"/>
        </w:rPr>
        <w:t>significativos.</w:t>
      </w:r>
      <w:r w:rsidRPr="00E960FC">
        <w:rPr>
          <w:lang w:val="es-ES"/>
        </w:rPr>
        <w:t xml:space="preserve"> De esta manera, el VAN asciende a </w:t>
      </w:r>
      <w:r w:rsidR="00667960" w:rsidRPr="00E960FC">
        <w:rPr>
          <w:lang w:val="es-ES"/>
        </w:rPr>
        <w:t>US$</w:t>
      </w:r>
      <w:r w:rsidR="00590EBE" w:rsidRPr="00E960FC">
        <w:rPr>
          <w:lang w:val="es-ES"/>
        </w:rPr>
        <w:t>7</w:t>
      </w:r>
      <w:r w:rsidR="002F29FB" w:rsidRPr="00E960FC">
        <w:rPr>
          <w:lang w:val="es-ES"/>
        </w:rPr>
        <w:t>,2</w:t>
      </w:r>
      <w:r w:rsidR="00590EBE" w:rsidRPr="00E960FC">
        <w:rPr>
          <w:lang w:val="es-ES"/>
        </w:rPr>
        <w:t xml:space="preserve"> millones</w:t>
      </w:r>
      <w:r w:rsidR="00667960" w:rsidRPr="00E960FC">
        <w:rPr>
          <w:lang w:val="es-ES"/>
        </w:rPr>
        <w:t>.</w:t>
      </w:r>
      <w:r w:rsidR="00FC00EE" w:rsidRPr="00E960FC">
        <w:rPr>
          <w:lang w:val="es-ES"/>
        </w:rPr>
        <w:t xml:space="preserve"> Cabe señalar que los beneficios del primer año son mayores que los posteriores por cuanto en el primer año se considera el pago del salario mínimo que percibe el trabajador mientras dura la capacitación. </w:t>
      </w:r>
    </w:p>
    <w:p w:rsidR="00BD6F47" w:rsidRPr="00E960FC" w:rsidRDefault="00BD6F47" w:rsidP="00442FAA">
      <w:pPr>
        <w:spacing w:after="0"/>
        <w:jc w:val="both"/>
        <w:rPr>
          <w:lang w:val="es-ES"/>
        </w:rPr>
      </w:pPr>
      <w:r w:rsidRPr="00E960FC">
        <w:rPr>
          <w:lang w:val="es-ES"/>
        </w:rPr>
        <w:t xml:space="preserve"> </w:t>
      </w:r>
    </w:p>
    <w:p w:rsidR="00515970" w:rsidRPr="00E960FC" w:rsidRDefault="00515970" w:rsidP="00442FAA">
      <w:pPr>
        <w:spacing w:after="0"/>
        <w:jc w:val="both"/>
        <w:rPr>
          <w:lang w:val="es-ES"/>
        </w:rPr>
      </w:pPr>
    </w:p>
    <w:p w:rsidR="006D077A" w:rsidRPr="00E960FC" w:rsidRDefault="006D077A" w:rsidP="00442FAA">
      <w:pPr>
        <w:spacing w:after="0" w:line="240" w:lineRule="auto"/>
        <w:jc w:val="center"/>
        <w:rPr>
          <w:b/>
          <w:sz w:val="20"/>
          <w:szCs w:val="20"/>
          <w:lang w:val="es-ES"/>
        </w:rPr>
      </w:pPr>
      <w:r w:rsidRPr="00E960FC">
        <w:rPr>
          <w:b/>
          <w:sz w:val="20"/>
          <w:szCs w:val="20"/>
          <w:lang w:val="es-ES"/>
        </w:rPr>
        <w:t xml:space="preserve">Cuadro </w:t>
      </w:r>
      <w:r w:rsidR="00E10757" w:rsidRPr="00E960FC">
        <w:rPr>
          <w:b/>
          <w:sz w:val="20"/>
          <w:szCs w:val="20"/>
          <w:lang w:val="es-ES"/>
        </w:rPr>
        <w:t>9</w:t>
      </w:r>
    </w:p>
    <w:p w:rsidR="006D077A" w:rsidRPr="00E960FC" w:rsidRDefault="006D077A" w:rsidP="00442FAA">
      <w:pPr>
        <w:spacing w:after="0" w:line="240" w:lineRule="auto"/>
        <w:jc w:val="center"/>
        <w:rPr>
          <w:b/>
          <w:sz w:val="20"/>
          <w:szCs w:val="20"/>
          <w:lang w:val="es-ES"/>
        </w:rPr>
      </w:pPr>
      <w:r w:rsidRPr="00E960FC">
        <w:rPr>
          <w:b/>
          <w:sz w:val="20"/>
          <w:szCs w:val="20"/>
          <w:lang w:val="es-ES"/>
        </w:rPr>
        <w:t xml:space="preserve">VAN del programa </w:t>
      </w:r>
      <w:r w:rsidR="00667960" w:rsidRPr="00E960FC">
        <w:rPr>
          <w:b/>
          <w:sz w:val="20"/>
          <w:szCs w:val="20"/>
          <w:lang w:val="es-ES"/>
        </w:rPr>
        <w:t>formación en el puesto de trabajo</w:t>
      </w:r>
      <w:r w:rsidR="00885CE4" w:rsidRPr="00E960FC">
        <w:rPr>
          <w:b/>
          <w:sz w:val="20"/>
          <w:szCs w:val="20"/>
          <w:lang w:val="es-ES"/>
        </w:rPr>
        <w:t xml:space="preserve"> (</w:t>
      </w:r>
      <w:r w:rsidR="00B93BCA" w:rsidRPr="00E960FC">
        <w:rPr>
          <w:b/>
          <w:sz w:val="20"/>
          <w:szCs w:val="20"/>
          <w:lang w:val="es-ES"/>
        </w:rPr>
        <w:t xml:space="preserve">en millones de </w:t>
      </w:r>
      <w:r w:rsidR="00667960" w:rsidRPr="00E960FC">
        <w:rPr>
          <w:b/>
          <w:sz w:val="20"/>
          <w:szCs w:val="20"/>
          <w:lang w:val="es-ES"/>
        </w:rPr>
        <w:t>US$</w:t>
      </w:r>
      <w:r w:rsidR="00885CE4" w:rsidRPr="00E960FC">
        <w:rPr>
          <w:b/>
          <w:sz w:val="20"/>
          <w:szCs w:val="20"/>
          <w:lang w:val="es-ES"/>
        </w:rPr>
        <w:t>)</w:t>
      </w:r>
    </w:p>
    <w:p w:rsidR="006D077A" w:rsidRPr="00E960FC" w:rsidRDefault="006D077A" w:rsidP="00442FAA">
      <w:pPr>
        <w:spacing w:after="0" w:line="240" w:lineRule="auto"/>
        <w:jc w:val="center"/>
        <w:rPr>
          <w:lang w:val="es-ES"/>
        </w:rPr>
      </w:pPr>
    </w:p>
    <w:tbl>
      <w:tblPr>
        <w:tblStyle w:val="TableGrid"/>
        <w:tblW w:w="0" w:type="auto"/>
        <w:jc w:val="center"/>
        <w:tblLook w:val="04A0"/>
      </w:tblPr>
      <w:tblGrid>
        <w:gridCol w:w="984"/>
        <w:gridCol w:w="866"/>
        <w:gridCol w:w="720"/>
        <w:gridCol w:w="719"/>
        <w:gridCol w:w="721"/>
        <w:gridCol w:w="721"/>
      </w:tblGrid>
      <w:tr w:rsidR="00FC00EE" w:rsidRPr="00E960FC" w:rsidTr="00FC00EE">
        <w:trPr>
          <w:jc w:val="center"/>
        </w:trPr>
        <w:tc>
          <w:tcPr>
            <w:tcW w:w="984" w:type="dxa"/>
          </w:tcPr>
          <w:p w:rsidR="00FC00EE" w:rsidRPr="00E960FC" w:rsidRDefault="00FC00EE" w:rsidP="00442FAA">
            <w:pPr>
              <w:rPr>
                <w:b/>
                <w:sz w:val="16"/>
                <w:szCs w:val="16"/>
                <w:lang w:val="es-ES"/>
              </w:rPr>
            </w:pPr>
          </w:p>
        </w:tc>
        <w:tc>
          <w:tcPr>
            <w:tcW w:w="866" w:type="dxa"/>
          </w:tcPr>
          <w:p w:rsidR="00FC00EE" w:rsidRPr="00E960FC" w:rsidRDefault="00FC00EE" w:rsidP="00442FAA">
            <w:pPr>
              <w:jc w:val="center"/>
              <w:rPr>
                <w:b/>
                <w:sz w:val="16"/>
                <w:szCs w:val="16"/>
                <w:lang w:val="es-ES"/>
              </w:rPr>
            </w:pPr>
            <w:r w:rsidRPr="00E960FC">
              <w:rPr>
                <w:b/>
                <w:sz w:val="16"/>
                <w:szCs w:val="16"/>
                <w:lang w:val="es-ES"/>
              </w:rPr>
              <w:t>0</w:t>
            </w:r>
          </w:p>
        </w:tc>
        <w:tc>
          <w:tcPr>
            <w:tcW w:w="720" w:type="dxa"/>
          </w:tcPr>
          <w:p w:rsidR="00FC00EE" w:rsidRPr="00E960FC" w:rsidRDefault="00FC00EE" w:rsidP="00442FAA">
            <w:pPr>
              <w:jc w:val="center"/>
              <w:rPr>
                <w:b/>
                <w:sz w:val="16"/>
                <w:szCs w:val="16"/>
                <w:lang w:val="es-ES"/>
              </w:rPr>
            </w:pPr>
            <w:r w:rsidRPr="00E960FC">
              <w:rPr>
                <w:b/>
                <w:sz w:val="16"/>
                <w:szCs w:val="16"/>
                <w:lang w:val="es-ES"/>
              </w:rPr>
              <w:t>1</w:t>
            </w:r>
          </w:p>
        </w:tc>
        <w:tc>
          <w:tcPr>
            <w:tcW w:w="719" w:type="dxa"/>
          </w:tcPr>
          <w:p w:rsidR="00FC00EE" w:rsidRPr="00E960FC" w:rsidRDefault="00FC00EE" w:rsidP="00442FAA">
            <w:pPr>
              <w:jc w:val="center"/>
              <w:rPr>
                <w:b/>
                <w:sz w:val="16"/>
                <w:szCs w:val="16"/>
                <w:lang w:val="es-ES"/>
              </w:rPr>
            </w:pPr>
            <w:r w:rsidRPr="00E960FC">
              <w:rPr>
                <w:b/>
                <w:sz w:val="16"/>
                <w:szCs w:val="16"/>
                <w:lang w:val="es-ES"/>
              </w:rPr>
              <w:t>2</w:t>
            </w:r>
          </w:p>
        </w:tc>
        <w:tc>
          <w:tcPr>
            <w:tcW w:w="721" w:type="dxa"/>
          </w:tcPr>
          <w:p w:rsidR="00FC00EE" w:rsidRPr="00E960FC" w:rsidRDefault="00FC00EE" w:rsidP="00442FAA">
            <w:pPr>
              <w:jc w:val="center"/>
              <w:rPr>
                <w:b/>
                <w:sz w:val="16"/>
                <w:szCs w:val="16"/>
                <w:lang w:val="es-ES"/>
              </w:rPr>
            </w:pPr>
            <w:r w:rsidRPr="00E960FC">
              <w:rPr>
                <w:b/>
                <w:sz w:val="16"/>
                <w:szCs w:val="16"/>
                <w:lang w:val="es-ES"/>
              </w:rPr>
              <w:t>3</w:t>
            </w:r>
          </w:p>
        </w:tc>
        <w:tc>
          <w:tcPr>
            <w:tcW w:w="721" w:type="dxa"/>
          </w:tcPr>
          <w:p w:rsidR="00FC00EE" w:rsidRPr="00E960FC" w:rsidRDefault="00FC00EE" w:rsidP="00442FAA">
            <w:pPr>
              <w:jc w:val="center"/>
              <w:rPr>
                <w:b/>
                <w:sz w:val="16"/>
                <w:szCs w:val="16"/>
                <w:lang w:val="es-ES"/>
              </w:rPr>
            </w:pPr>
            <w:r w:rsidRPr="00E960FC">
              <w:rPr>
                <w:b/>
                <w:sz w:val="16"/>
                <w:szCs w:val="16"/>
                <w:lang w:val="es-ES"/>
              </w:rPr>
              <w:t>4</w:t>
            </w:r>
          </w:p>
        </w:tc>
      </w:tr>
      <w:tr w:rsidR="00FC00EE" w:rsidRPr="00E960FC" w:rsidTr="00FC00EE">
        <w:trPr>
          <w:jc w:val="center"/>
        </w:trPr>
        <w:tc>
          <w:tcPr>
            <w:tcW w:w="984" w:type="dxa"/>
          </w:tcPr>
          <w:p w:rsidR="00FC00EE" w:rsidRPr="00E960FC" w:rsidRDefault="00FC00EE" w:rsidP="00442FAA">
            <w:pPr>
              <w:rPr>
                <w:b/>
                <w:sz w:val="16"/>
                <w:szCs w:val="16"/>
                <w:lang w:val="es-ES"/>
              </w:rPr>
            </w:pPr>
            <w:r w:rsidRPr="00E960FC">
              <w:rPr>
                <w:b/>
                <w:sz w:val="16"/>
                <w:szCs w:val="16"/>
                <w:lang w:val="es-ES"/>
              </w:rPr>
              <w:t>Beneficios</w:t>
            </w:r>
          </w:p>
        </w:tc>
        <w:tc>
          <w:tcPr>
            <w:tcW w:w="866" w:type="dxa"/>
          </w:tcPr>
          <w:p w:rsidR="00FC00EE" w:rsidRPr="00E960FC" w:rsidRDefault="00FC00EE" w:rsidP="00442FAA">
            <w:pPr>
              <w:jc w:val="center"/>
              <w:rPr>
                <w:sz w:val="16"/>
                <w:szCs w:val="16"/>
                <w:lang w:val="es-ES"/>
              </w:rPr>
            </w:pPr>
            <w:r w:rsidRPr="00E960FC">
              <w:rPr>
                <w:sz w:val="16"/>
                <w:szCs w:val="16"/>
                <w:lang w:val="es-ES"/>
              </w:rPr>
              <w:t>0</w:t>
            </w:r>
          </w:p>
        </w:tc>
        <w:tc>
          <w:tcPr>
            <w:tcW w:w="720" w:type="dxa"/>
          </w:tcPr>
          <w:p w:rsidR="00FC00EE" w:rsidRPr="00E960FC" w:rsidRDefault="00FC00EE" w:rsidP="00442FAA">
            <w:pPr>
              <w:jc w:val="center"/>
              <w:rPr>
                <w:sz w:val="16"/>
                <w:szCs w:val="16"/>
                <w:lang w:val="es-ES"/>
              </w:rPr>
            </w:pPr>
            <w:r w:rsidRPr="00E960FC">
              <w:rPr>
                <w:sz w:val="16"/>
                <w:szCs w:val="16"/>
                <w:lang w:val="es-ES"/>
              </w:rPr>
              <w:t>25,9</w:t>
            </w:r>
          </w:p>
        </w:tc>
        <w:tc>
          <w:tcPr>
            <w:tcW w:w="719" w:type="dxa"/>
          </w:tcPr>
          <w:p w:rsidR="00FC00EE" w:rsidRPr="00E960FC" w:rsidRDefault="00FC00EE" w:rsidP="00442FAA">
            <w:pPr>
              <w:jc w:val="center"/>
              <w:rPr>
                <w:sz w:val="16"/>
                <w:szCs w:val="16"/>
                <w:lang w:val="es-ES"/>
              </w:rPr>
            </w:pPr>
            <w:r w:rsidRPr="00E960FC">
              <w:rPr>
                <w:sz w:val="16"/>
                <w:szCs w:val="16"/>
                <w:lang w:val="es-ES"/>
              </w:rPr>
              <w:t>0,15</w:t>
            </w:r>
          </w:p>
        </w:tc>
        <w:tc>
          <w:tcPr>
            <w:tcW w:w="721" w:type="dxa"/>
          </w:tcPr>
          <w:p w:rsidR="00FC00EE" w:rsidRPr="00E960FC" w:rsidRDefault="00FC00EE" w:rsidP="00442FAA">
            <w:pPr>
              <w:jc w:val="center"/>
              <w:rPr>
                <w:sz w:val="16"/>
                <w:szCs w:val="16"/>
                <w:lang w:val="es-ES"/>
              </w:rPr>
            </w:pPr>
            <w:r w:rsidRPr="00E960FC">
              <w:rPr>
                <w:sz w:val="16"/>
                <w:szCs w:val="16"/>
                <w:lang w:val="es-ES"/>
              </w:rPr>
              <w:t>0,15</w:t>
            </w:r>
          </w:p>
        </w:tc>
        <w:tc>
          <w:tcPr>
            <w:tcW w:w="721" w:type="dxa"/>
          </w:tcPr>
          <w:p w:rsidR="00FC00EE" w:rsidRPr="00E960FC" w:rsidRDefault="00FC00EE" w:rsidP="00442FAA">
            <w:pPr>
              <w:jc w:val="center"/>
              <w:rPr>
                <w:sz w:val="16"/>
                <w:szCs w:val="16"/>
                <w:lang w:val="es-ES"/>
              </w:rPr>
            </w:pPr>
            <w:r w:rsidRPr="00E960FC">
              <w:rPr>
                <w:sz w:val="16"/>
                <w:szCs w:val="16"/>
                <w:lang w:val="es-ES"/>
              </w:rPr>
              <w:t>0,15</w:t>
            </w:r>
          </w:p>
        </w:tc>
      </w:tr>
      <w:tr w:rsidR="00FC00EE" w:rsidRPr="00E960FC" w:rsidTr="00FC00EE">
        <w:trPr>
          <w:jc w:val="center"/>
        </w:trPr>
        <w:tc>
          <w:tcPr>
            <w:tcW w:w="984" w:type="dxa"/>
          </w:tcPr>
          <w:p w:rsidR="00FC00EE" w:rsidRPr="00E960FC" w:rsidRDefault="00FC00EE" w:rsidP="00442FAA">
            <w:pPr>
              <w:rPr>
                <w:sz w:val="16"/>
                <w:szCs w:val="16"/>
                <w:lang w:val="es-ES"/>
              </w:rPr>
            </w:pPr>
          </w:p>
        </w:tc>
        <w:tc>
          <w:tcPr>
            <w:tcW w:w="866" w:type="dxa"/>
          </w:tcPr>
          <w:p w:rsidR="00FC00EE" w:rsidRPr="00E960FC" w:rsidRDefault="00FC00EE" w:rsidP="00442FAA">
            <w:pPr>
              <w:jc w:val="center"/>
              <w:rPr>
                <w:sz w:val="16"/>
                <w:szCs w:val="16"/>
                <w:lang w:val="es-ES"/>
              </w:rPr>
            </w:pPr>
          </w:p>
        </w:tc>
        <w:tc>
          <w:tcPr>
            <w:tcW w:w="720" w:type="dxa"/>
          </w:tcPr>
          <w:p w:rsidR="00FC00EE" w:rsidRPr="00E960FC" w:rsidRDefault="00FC00EE" w:rsidP="00442FAA">
            <w:pPr>
              <w:jc w:val="center"/>
              <w:rPr>
                <w:sz w:val="16"/>
                <w:szCs w:val="16"/>
                <w:lang w:val="es-ES"/>
              </w:rPr>
            </w:pPr>
          </w:p>
        </w:tc>
        <w:tc>
          <w:tcPr>
            <w:tcW w:w="719"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r>
      <w:tr w:rsidR="00FC00EE" w:rsidRPr="00E960FC" w:rsidTr="00FC00EE">
        <w:trPr>
          <w:jc w:val="center"/>
        </w:trPr>
        <w:tc>
          <w:tcPr>
            <w:tcW w:w="984" w:type="dxa"/>
          </w:tcPr>
          <w:p w:rsidR="00FC00EE" w:rsidRPr="00E960FC" w:rsidRDefault="00FC00EE" w:rsidP="00442FAA">
            <w:pPr>
              <w:rPr>
                <w:b/>
                <w:sz w:val="16"/>
                <w:szCs w:val="16"/>
                <w:lang w:val="es-ES"/>
              </w:rPr>
            </w:pPr>
            <w:r w:rsidRPr="00E960FC">
              <w:rPr>
                <w:b/>
                <w:sz w:val="16"/>
                <w:szCs w:val="16"/>
                <w:lang w:val="es-ES"/>
              </w:rPr>
              <w:t>Costos</w:t>
            </w:r>
          </w:p>
        </w:tc>
        <w:tc>
          <w:tcPr>
            <w:tcW w:w="866" w:type="dxa"/>
          </w:tcPr>
          <w:p w:rsidR="00FC00EE" w:rsidRPr="00E960FC" w:rsidRDefault="00FC00EE" w:rsidP="00442FAA">
            <w:pPr>
              <w:jc w:val="center"/>
              <w:rPr>
                <w:sz w:val="16"/>
                <w:szCs w:val="16"/>
                <w:lang w:val="es-ES"/>
              </w:rPr>
            </w:pPr>
            <w:r w:rsidRPr="00E960FC">
              <w:rPr>
                <w:sz w:val="16"/>
                <w:szCs w:val="16"/>
                <w:lang w:val="es-ES"/>
              </w:rPr>
              <w:t>16,2</w:t>
            </w:r>
          </w:p>
        </w:tc>
        <w:tc>
          <w:tcPr>
            <w:tcW w:w="720" w:type="dxa"/>
          </w:tcPr>
          <w:p w:rsidR="00FC00EE" w:rsidRPr="00E960FC" w:rsidRDefault="00FC00EE" w:rsidP="00442FAA">
            <w:pPr>
              <w:jc w:val="center"/>
              <w:rPr>
                <w:sz w:val="16"/>
                <w:szCs w:val="16"/>
                <w:lang w:val="es-ES"/>
              </w:rPr>
            </w:pPr>
          </w:p>
        </w:tc>
        <w:tc>
          <w:tcPr>
            <w:tcW w:w="719"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r>
      <w:tr w:rsidR="00FC00EE" w:rsidRPr="00E960FC" w:rsidTr="00FC00EE">
        <w:trPr>
          <w:jc w:val="center"/>
        </w:trPr>
        <w:tc>
          <w:tcPr>
            <w:tcW w:w="984" w:type="dxa"/>
          </w:tcPr>
          <w:p w:rsidR="00FC00EE" w:rsidRPr="00E960FC" w:rsidRDefault="00FC00EE" w:rsidP="00442FAA">
            <w:pPr>
              <w:rPr>
                <w:sz w:val="16"/>
                <w:szCs w:val="16"/>
                <w:lang w:val="es-ES"/>
              </w:rPr>
            </w:pPr>
          </w:p>
        </w:tc>
        <w:tc>
          <w:tcPr>
            <w:tcW w:w="866" w:type="dxa"/>
          </w:tcPr>
          <w:p w:rsidR="00FC00EE" w:rsidRPr="00E960FC" w:rsidRDefault="00FC00EE" w:rsidP="00442FAA">
            <w:pPr>
              <w:jc w:val="center"/>
              <w:rPr>
                <w:sz w:val="16"/>
                <w:szCs w:val="16"/>
                <w:lang w:val="es-ES"/>
              </w:rPr>
            </w:pPr>
          </w:p>
        </w:tc>
        <w:tc>
          <w:tcPr>
            <w:tcW w:w="720" w:type="dxa"/>
          </w:tcPr>
          <w:p w:rsidR="00FC00EE" w:rsidRPr="00E960FC" w:rsidRDefault="00FC00EE" w:rsidP="00442FAA">
            <w:pPr>
              <w:jc w:val="center"/>
              <w:rPr>
                <w:sz w:val="16"/>
                <w:szCs w:val="16"/>
                <w:lang w:val="es-ES"/>
              </w:rPr>
            </w:pPr>
          </w:p>
        </w:tc>
        <w:tc>
          <w:tcPr>
            <w:tcW w:w="719"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r>
      <w:tr w:rsidR="00FC00EE" w:rsidRPr="00E960FC" w:rsidTr="00FC00EE">
        <w:trPr>
          <w:jc w:val="center"/>
        </w:trPr>
        <w:tc>
          <w:tcPr>
            <w:tcW w:w="984" w:type="dxa"/>
          </w:tcPr>
          <w:p w:rsidR="00FC00EE" w:rsidRPr="00E960FC" w:rsidRDefault="00FC00EE" w:rsidP="00442FAA">
            <w:pPr>
              <w:rPr>
                <w:b/>
                <w:sz w:val="16"/>
                <w:szCs w:val="16"/>
                <w:lang w:val="es-ES"/>
              </w:rPr>
            </w:pPr>
            <w:r w:rsidRPr="00E960FC">
              <w:rPr>
                <w:b/>
                <w:sz w:val="16"/>
                <w:szCs w:val="16"/>
                <w:lang w:val="es-ES"/>
              </w:rPr>
              <w:t>Inversión</w:t>
            </w:r>
          </w:p>
        </w:tc>
        <w:tc>
          <w:tcPr>
            <w:tcW w:w="866" w:type="dxa"/>
          </w:tcPr>
          <w:p w:rsidR="00FC00EE" w:rsidRPr="00E960FC" w:rsidRDefault="00FC00EE" w:rsidP="00442FAA">
            <w:pPr>
              <w:jc w:val="center"/>
              <w:rPr>
                <w:sz w:val="16"/>
                <w:szCs w:val="16"/>
                <w:lang w:val="es-ES"/>
              </w:rPr>
            </w:pPr>
          </w:p>
        </w:tc>
        <w:tc>
          <w:tcPr>
            <w:tcW w:w="720" w:type="dxa"/>
          </w:tcPr>
          <w:p w:rsidR="00FC00EE" w:rsidRPr="00E960FC" w:rsidRDefault="00FC00EE" w:rsidP="00442FAA">
            <w:pPr>
              <w:jc w:val="center"/>
              <w:rPr>
                <w:sz w:val="16"/>
                <w:szCs w:val="16"/>
                <w:lang w:val="es-ES"/>
              </w:rPr>
            </w:pPr>
          </w:p>
        </w:tc>
        <w:tc>
          <w:tcPr>
            <w:tcW w:w="719"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r>
      <w:tr w:rsidR="00FC00EE" w:rsidRPr="00E960FC" w:rsidTr="00FC00EE">
        <w:trPr>
          <w:jc w:val="center"/>
        </w:trPr>
        <w:tc>
          <w:tcPr>
            <w:tcW w:w="984" w:type="dxa"/>
          </w:tcPr>
          <w:p w:rsidR="00FC00EE" w:rsidRPr="00E960FC" w:rsidRDefault="00FC00EE" w:rsidP="00442FAA">
            <w:pPr>
              <w:rPr>
                <w:sz w:val="16"/>
                <w:szCs w:val="16"/>
                <w:lang w:val="es-ES"/>
              </w:rPr>
            </w:pPr>
          </w:p>
        </w:tc>
        <w:tc>
          <w:tcPr>
            <w:tcW w:w="866" w:type="dxa"/>
          </w:tcPr>
          <w:p w:rsidR="00FC00EE" w:rsidRPr="00E960FC" w:rsidRDefault="00FC00EE" w:rsidP="00442FAA">
            <w:pPr>
              <w:jc w:val="center"/>
              <w:rPr>
                <w:sz w:val="16"/>
                <w:szCs w:val="16"/>
                <w:lang w:val="es-ES"/>
              </w:rPr>
            </w:pPr>
          </w:p>
        </w:tc>
        <w:tc>
          <w:tcPr>
            <w:tcW w:w="720" w:type="dxa"/>
          </w:tcPr>
          <w:p w:rsidR="00FC00EE" w:rsidRPr="00E960FC" w:rsidRDefault="00FC00EE" w:rsidP="00442FAA">
            <w:pPr>
              <w:jc w:val="center"/>
              <w:rPr>
                <w:sz w:val="16"/>
                <w:szCs w:val="16"/>
                <w:lang w:val="es-ES"/>
              </w:rPr>
            </w:pPr>
          </w:p>
        </w:tc>
        <w:tc>
          <w:tcPr>
            <w:tcW w:w="719"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r>
      <w:tr w:rsidR="00FC00EE" w:rsidRPr="00E960FC" w:rsidTr="00FC00EE">
        <w:trPr>
          <w:jc w:val="center"/>
        </w:trPr>
        <w:tc>
          <w:tcPr>
            <w:tcW w:w="984" w:type="dxa"/>
          </w:tcPr>
          <w:p w:rsidR="00FC00EE" w:rsidRPr="00E960FC" w:rsidRDefault="00FC00EE" w:rsidP="00442FAA">
            <w:pPr>
              <w:rPr>
                <w:b/>
                <w:sz w:val="16"/>
                <w:szCs w:val="16"/>
                <w:lang w:val="es-ES"/>
              </w:rPr>
            </w:pPr>
            <w:r w:rsidRPr="00E960FC">
              <w:rPr>
                <w:b/>
                <w:sz w:val="16"/>
                <w:szCs w:val="16"/>
                <w:lang w:val="es-ES"/>
              </w:rPr>
              <w:t>Beneficio neto</w:t>
            </w:r>
          </w:p>
        </w:tc>
        <w:tc>
          <w:tcPr>
            <w:tcW w:w="866" w:type="dxa"/>
          </w:tcPr>
          <w:p w:rsidR="00FC00EE" w:rsidRPr="00E960FC" w:rsidRDefault="00FC00EE" w:rsidP="00442FAA">
            <w:pPr>
              <w:jc w:val="center"/>
              <w:rPr>
                <w:sz w:val="16"/>
                <w:szCs w:val="16"/>
                <w:lang w:val="es-ES"/>
              </w:rPr>
            </w:pPr>
            <w:r w:rsidRPr="00E960FC">
              <w:rPr>
                <w:sz w:val="16"/>
                <w:szCs w:val="16"/>
                <w:lang w:val="es-ES"/>
              </w:rPr>
              <w:t>-16,2</w:t>
            </w:r>
          </w:p>
        </w:tc>
        <w:tc>
          <w:tcPr>
            <w:tcW w:w="720" w:type="dxa"/>
          </w:tcPr>
          <w:p w:rsidR="00FC00EE" w:rsidRPr="00E960FC" w:rsidRDefault="00FC00EE" w:rsidP="00442FAA">
            <w:pPr>
              <w:jc w:val="center"/>
              <w:rPr>
                <w:sz w:val="16"/>
                <w:szCs w:val="16"/>
                <w:lang w:val="es-ES"/>
              </w:rPr>
            </w:pPr>
            <w:r w:rsidRPr="00E960FC">
              <w:rPr>
                <w:sz w:val="16"/>
                <w:szCs w:val="16"/>
                <w:lang w:val="es-ES"/>
              </w:rPr>
              <w:t>25,9</w:t>
            </w:r>
          </w:p>
        </w:tc>
        <w:tc>
          <w:tcPr>
            <w:tcW w:w="719" w:type="dxa"/>
          </w:tcPr>
          <w:p w:rsidR="00FC00EE" w:rsidRPr="00E960FC" w:rsidRDefault="00FC00EE" w:rsidP="00442FAA">
            <w:pPr>
              <w:jc w:val="center"/>
              <w:rPr>
                <w:sz w:val="16"/>
                <w:szCs w:val="16"/>
                <w:lang w:val="es-ES"/>
              </w:rPr>
            </w:pPr>
            <w:r w:rsidRPr="00E960FC">
              <w:rPr>
                <w:sz w:val="16"/>
                <w:szCs w:val="16"/>
                <w:lang w:val="es-ES"/>
              </w:rPr>
              <w:t>0,15</w:t>
            </w:r>
          </w:p>
        </w:tc>
        <w:tc>
          <w:tcPr>
            <w:tcW w:w="721" w:type="dxa"/>
          </w:tcPr>
          <w:p w:rsidR="00FC00EE" w:rsidRPr="00E960FC" w:rsidRDefault="00FC00EE" w:rsidP="00442FAA">
            <w:pPr>
              <w:jc w:val="center"/>
              <w:rPr>
                <w:sz w:val="16"/>
                <w:szCs w:val="16"/>
                <w:lang w:val="es-ES"/>
              </w:rPr>
            </w:pPr>
            <w:r w:rsidRPr="00E960FC">
              <w:rPr>
                <w:sz w:val="16"/>
                <w:szCs w:val="16"/>
                <w:lang w:val="es-ES"/>
              </w:rPr>
              <w:t>0,15</w:t>
            </w:r>
          </w:p>
        </w:tc>
        <w:tc>
          <w:tcPr>
            <w:tcW w:w="721" w:type="dxa"/>
          </w:tcPr>
          <w:p w:rsidR="00FC00EE" w:rsidRPr="00E960FC" w:rsidRDefault="00FC00EE" w:rsidP="00442FAA">
            <w:pPr>
              <w:jc w:val="center"/>
              <w:rPr>
                <w:sz w:val="16"/>
                <w:szCs w:val="16"/>
                <w:lang w:val="es-ES"/>
              </w:rPr>
            </w:pPr>
            <w:r w:rsidRPr="00E960FC">
              <w:rPr>
                <w:sz w:val="16"/>
                <w:szCs w:val="16"/>
                <w:lang w:val="es-ES"/>
              </w:rPr>
              <w:t>0,15</w:t>
            </w:r>
          </w:p>
        </w:tc>
      </w:tr>
      <w:tr w:rsidR="00FC00EE" w:rsidRPr="00E960FC" w:rsidTr="00FC00EE">
        <w:trPr>
          <w:jc w:val="center"/>
        </w:trPr>
        <w:tc>
          <w:tcPr>
            <w:tcW w:w="984" w:type="dxa"/>
          </w:tcPr>
          <w:p w:rsidR="00FC00EE" w:rsidRPr="00E960FC" w:rsidRDefault="00FC00EE" w:rsidP="00442FAA">
            <w:pPr>
              <w:rPr>
                <w:b/>
                <w:sz w:val="16"/>
                <w:szCs w:val="16"/>
                <w:lang w:val="es-ES"/>
              </w:rPr>
            </w:pPr>
            <w:r w:rsidRPr="00E960FC">
              <w:rPr>
                <w:b/>
                <w:sz w:val="16"/>
                <w:szCs w:val="16"/>
                <w:lang w:val="es-ES"/>
              </w:rPr>
              <w:t>VAN (@ 12%)</w:t>
            </w:r>
          </w:p>
        </w:tc>
        <w:tc>
          <w:tcPr>
            <w:tcW w:w="866" w:type="dxa"/>
          </w:tcPr>
          <w:p w:rsidR="00FC00EE" w:rsidRPr="00E960FC" w:rsidRDefault="00FC00EE" w:rsidP="00442FAA">
            <w:pPr>
              <w:jc w:val="center"/>
              <w:rPr>
                <w:sz w:val="16"/>
                <w:szCs w:val="16"/>
                <w:lang w:val="es-ES"/>
              </w:rPr>
            </w:pPr>
            <w:r w:rsidRPr="00E960FC">
              <w:rPr>
                <w:sz w:val="16"/>
                <w:szCs w:val="16"/>
                <w:lang w:val="es-ES"/>
              </w:rPr>
              <w:t>7,2</w:t>
            </w:r>
          </w:p>
        </w:tc>
        <w:tc>
          <w:tcPr>
            <w:tcW w:w="720" w:type="dxa"/>
          </w:tcPr>
          <w:p w:rsidR="00FC00EE" w:rsidRPr="00E960FC" w:rsidRDefault="00FC00EE" w:rsidP="00442FAA">
            <w:pPr>
              <w:jc w:val="center"/>
              <w:rPr>
                <w:sz w:val="16"/>
                <w:szCs w:val="16"/>
                <w:lang w:val="es-ES"/>
              </w:rPr>
            </w:pPr>
          </w:p>
        </w:tc>
        <w:tc>
          <w:tcPr>
            <w:tcW w:w="719"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r>
      <w:tr w:rsidR="00FC00EE" w:rsidRPr="00E960FC" w:rsidTr="00FC00EE">
        <w:trPr>
          <w:jc w:val="center"/>
        </w:trPr>
        <w:tc>
          <w:tcPr>
            <w:tcW w:w="984" w:type="dxa"/>
          </w:tcPr>
          <w:p w:rsidR="00FC00EE" w:rsidRPr="00E960FC" w:rsidRDefault="00FC00EE" w:rsidP="00442FAA">
            <w:pPr>
              <w:rPr>
                <w:b/>
                <w:sz w:val="16"/>
                <w:szCs w:val="16"/>
                <w:lang w:val="es-ES"/>
              </w:rPr>
            </w:pPr>
            <w:r w:rsidRPr="00E960FC">
              <w:rPr>
                <w:b/>
                <w:sz w:val="16"/>
                <w:szCs w:val="16"/>
                <w:lang w:val="es-ES"/>
              </w:rPr>
              <w:t>TIR</w:t>
            </w:r>
          </w:p>
        </w:tc>
        <w:tc>
          <w:tcPr>
            <w:tcW w:w="866" w:type="dxa"/>
          </w:tcPr>
          <w:p w:rsidR="00FC00EE" w:rsidRPr="00E960FC" w:rsidRDefault="00FC00EE" w:rsidP="00442FAA">
            <w:pPr>
              <w:jc w:val="center"/>
              <w:rPr>
                <w:sz w:val="16"/>
                <w:szCs w:val="16"/>
                <w:lang w:val="es-ES"/>
              </w:rPr>
            </w:pPr>
            <w:r w:rsidRPr="00E960FC">
              <w:rPr>
                <w:sz w:val="16"/>
                <w:szCs w:val="16"/>
                <w:lang w:val="es-ES"/>
              </w:rPr>
              <w:t>61%</w:t>
            </w:r>
          </w:p>
        </w:tc>
        <w:tc>
          <w:tcPr>
            <w:tcW w:w="720" w:type="dxa"/>
          </w:tcPr>
          <w:p w:rsidR="00FC00EE" w:rsidRPr="00E960FC" w:rsidRDefault="00FC00EE" w:rsidP="00442FAA">
            <w:pPr>
              <w:jc w:val="center"/>
              <w:rPr>
                <w:sz w:val="16"/>
                <w:szCs w:val="16"/>
                <w:lang w:val="es-ES"/>
              </w:rPr>
            </w:pPr>
          </w:p>
        </w:tc>
        <w:tc>
          <w:tcPr>
            <w:tcW w:w="719"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c>
          <w:tcPr>
            <w:tcW w:w="721" w:type="dxa"/>
          </w:tcPr>
          <w:p w:rsidR="00FC00EE" w:rsidRPr="00E960FC" w:rsidRDefault="00FC00EE" w:rsidP="00442FAA">
            <w:pPr>
              <w:jc w:val="center"/>
              <w:rPr>
                <w:sz w:val="16"/>
                <w:szCs w:val="16"/>
                <w:lang w:val="es-ES"/>
              </w:rPr>
            </w:pPr>
          </w:p>
        </w:tc>
      </w:tr>
    </w:tbl>
    <w:p w:rsidR="006D077A" w:rsidRPr="00E960FC" w:rsidRDefault="006D077A" w:rsidP="00442FAA">
      <w:pPr>
        <w:spacing w:after="0"/>
        <w:jc w:val="both"/>
        <w:rPr>
          <w:lang w:val="es-ES"/>
        </w:rPr>
      </w:pPr>
    </w:p>
    <w:p w:rsidR="00442FAA" w:rsidRPr="00E960FC" w:rsidRDefault="00442FAA" w:rsidP="00442FAA">
      <w:pPr>
        <w:spacing w:after="0"/>
        <w:jc w:val="both"/>
        <w:rPr>
          <w:lang w:val="es-ES"/>
        </w:rPr>
      </w:pPr>
    </w:p>
    <w:p w:rsidR="00442FAA" w:rsidRPr="00E960FC" w:rsidRDefault="00BD6F47" w:rsidP="00442FAA">
      <w:pPr>
        <w:spacing w:after="0"/>
        <w:jc w:val="both"/>
        <w:rPr>
          <w:lang w:val="es-ES"/>
        </w:rPr>
      </w:pPr>
      <w:r w:rsidRPr="00E960FC">
        <w:rPr>
          <w:lang w:val="es-ES"/>
        </w:rPr>
        <w:t xml:space="preserve">El cuadro </w:t>
      </w:r>
      <w:r w:rsidR="00E10757" w:rsidRPr="00E960FC">
        <w:rPr>
          <w:lang w:val="es-ES"/>
        </w:rPr>
        <w:t>10</w:t>
      </w:r>
      <w:r w:rsidRPr="00E960FC">
        <w:rPr>
          <w:lang w:val="es-ES"/>
        </w:rPr>
        <w:t xml:space="preserve"> muestra los cálculos asociados a</w:t>
      </w:r>
      <w:r w:rsidR="002F29FB" w:rsidRPr="00E960FC">
        <w:rPr>
          <w:lang w:val="es-ES"/>
        </w:rPr>
        <w:t xml:space="preserve">l VAN para el programa oficios, el cual </w:t>
      </w:r>
      <w:r w:rsidRPr="00E960FC">
        <w:rPr>
          <w:lang w:val="es-ES"/>
        </w:rPr>
        <w:t xml:space="preserve">asciende a </w:t>
      </w:r>
      <w:r w:rsidR="00667960" w:rsidRPr="00E960FC">
        <w:rPr>
          <w:lang w:val="es-ES"/>
        </w:rPr>
        <w:t>US$</w:t>
      </w:r>
      <w:r w:rsidR="00D51A02" w:rsidRPr="00E960FC">
        <w:rPr>
          <w:lang w:val="es-ES"/>
        </w:rPr>
        <w:t>2</w:t>
      </w:r>
      <w:r w:rsidR="00423BC3" w:rsidRPr="00E960FC">
        <w:rPr>
          <w:lang w:val="es-ES"/>
        </w:rPr>
        <w:t>,</w:t>
      </w:r>
      <w:r w:rsidR="00D51A02" w:rsidRPr="00E960FC">
        <w:rPr>
          <w:lang w:val="es-ES"/>
        </w:rPr>
        <w:t>9 millones</w:t>
      </w:r>
      <w:r w:rsidR="00667960" w:rsidRPr="00E960FC">
        <w:rPr>
          <w:lang w:val="es-ES"/>
        </w:rPr>
        <w:t>.</w:t>
      </w:r>
      <w:r w:rsidRPr="00E960FC">
        <w:rPr>
          <w:lang w:val="es-ES"/>
        </w:rPr>
        <w:t xml:space="preserve"> </w:t>
      </w:r>
      <w:r w:rsidR="00442FAA" w:rsidRPr="00E960FC">
        <w:rPr>
          <w:lang w:val="es-ES"/>
        </w:rPr>
        <w:t>Finalmente, el cuadro 1</w:t>
      </w:r>
      <w:r w:rsidR="00E10757" w:rsidRPr="00E960FC">
        <w:rPr>
          <w:lang w:val="es-ES"/>
        </w:rPr>
        <w:t>1</w:t>
      </w:r>
      <w:r w:rsidR="00442FAA" w:rsidRPr="00E960FC">
        <w:rPr>
          <w:lang w:val="es-ES"/>
        </w:rPr>
        <w:t xml:space="preserve"> presenta el cálculo del VAN para la capacitación que se lleva a cabo a través de la franquicia tributaria. El factor clave en este resultado proviene del impacto identificado en Rodríguez y Urzúa (2011) para este programa, que es de apenas 0,6% en salarios. De esta manera, el VAN asciende a US$977 millones. Cabe señalar, no obstante que dicho impacto podría estar subestimado en vista de la estrategia de identificación seguida por los </w:t>
      </w:r>
      <w:r w:rsidR="00442FAA" w:rsidRPr="00E960FC">
        <w:rPr>
          <w:lang w:val="es-ES"/>
        </w:rPr>
        <w:lastRenderedPageBreak/>
        <w:t>autores. En efecto, en el modelo econométrico estimado se asume que el grupo de control no toma parte en ningún otro tipo de programas de capacitación, por ejemplo, de manera privada. Si esto no es así, entonces, los salarios del grupo de control, al estar siendo afectados por otras fuentes de capacitación, podría estar sobreestimando el salario promedio contrafactual del grupo de beneficiarios. Lamentablemente con los datos disponibles para dicho estudio no es posible determinar el grado de aislamiento del grupo de control en términos del impacto que se está evaluando.</w:t>
      </w:r>
      <w:r w:rsidR="00FC00EE" w:rsidRPr="00E960FC">
        <w:rPr>
          <w:lang w:val="es-ES"/>
        </w:rPr>
        <w:t xml:space="preserve"> Cabe señalar que este comentario es igualmente válido para el grupo de tratamiento, y no hay razones para pensar que ambos efectos se compensen. </w:t>
      </w:r>
    </w:p>
    <w:p w:rsidR="00BD6F47" w:rsidRPr="00E960FC" w:rsidRDefault="00BD6F47" w:rsidP="00442FAA">
      <w:pPr>
        <w:spacing w:after="0"/>
        <w:jc w:val="both"/>
        <w:rPr>
          <w:lang w:val="es-ES"/>
        </w:rPr>
      </w:pPr>
    </w:p>
    <w:p w:rsidR="006D077A" w:rsidRPr="00E960FC" w:rsidRDefault="00885CE4" w:rsidP="00442FAA">
      <w:pPr>
        <w:spacing w:after="0" w:line="240" w:lineRule="auto"/>
        <w:jc w:val="center"/>
        <w:rPr>
          <w:b/>
          <w:sz w:val="20"/>
          <w:szCs w:val="20"/>
          <w:lang w:val="es-ES"/>
        </w:rPr>
      </w:pPr>
      <w:r w:rsidRPr="00E960FC">
        <w:rPr>
          <w:b/>
          <w:sz w:val="20"/>
          <w:szCs w:val="20"/>
          <w:lang w:val="es-ES"/>
        </w:rPr>
        <w:t xml:space="preserve">Cuadro </w:t>
      </w:r>
      <w:r w:rsidR="00E10757" w:rsidRPr="00E960FC">
        <w:rPr>
          <w:b/>
          <w:sz w:val="20"/>
          <w:szCs w:val="20"/>
          <w:lang w:val="es-ES"/>
        </w:rPr>
        <w:t>10</w:t>
      </w:r>
    </w:p>
    <w:p w:rsidR="006D077A" w:rsidRPr="00E960FC" w:rsidRDefault="006D077A" w:rsidP="00442FAA">
      <w:pPr>
        <w:spacing w:after="0" w:line="240" w:lineRule="auto"/>
        <w:jc w:val="center"/>
        <w:rPr>
          <w:b/>
          <w:sz w:val="20"/>
          <w:szCs w:val="20"/>
          <w:lang w:val="es-ES"/>
        </w:rPr>
      </w:pPr>
      <w:r w:rsidRPr="00E960FC">
        <w:rPr>
          <w:b/>
          <w:sz w:val="20"/>
          <w:szCs w:val="20"/>
          <w:lang w:val="es-ES"/>
        </w:rPr>
        <w:t>VAN del programa oficios</w:t>
      </w:r>
      <w:r w:rsidR="00885CE4" w:rsidRPr="00E960FC">
        <w:rPr>
          <w:b/>
          <w:sz w:val="20"/>
          <w:szCs w:val="20"/>
          <w:lang w:val="es-ES"/>
        </w:rPr>
        <w:t xml:space="preserve"> (</w:t>
      </w:r>
      <w:r w:rsidR="00B93BCA" w:rsidRPr="00E960FC">
        <w:rPr>
          <w:b/>
          <w:sz w:val="20"/>
          <w:szCs w:val="20"/>
          <w:lang w:val="es-ES"/>
        </w:rPr>
        <w:t xml:space="preserve">en millones de </w:t>
      </w:r>
      <w:r w:rsidR="00667960" w:rsidRPr="00E960FC">
        <w:rPr>
          <w:b/>
          <w:sz w:val="20"/>
          <w:szCs w:val="20"/>
          <w:lang w:val="es-ES"/>
        </w:rPr>
        <w:t>US$</w:t>
      </w:r>
      <w:r w:rsidR="00885CE4" w:rsidRPr="00E960FC">
        <w:rPr>
          <w:b/>
          <w:sz w:val="20"/>
          <w:szCs w:val="20"/>
          <w:lang w:val="es-ES"/>
        </w:rPr>
        <w:t>)</w:t>
      </w:r>
    </w:p>
    <w:p w:rsidR="006D077A" w:rsidRPr="00E960FC" w:rsidRDefault="006D077A" w:rsidP="00442FAA">
      <w:pPr>
        <w:spacing w:after="0" w:line="240" w:lineRule="auto"/>
        <w:jc w:val="center"/>
        <w:rPr>
          <w:lang w:val="es-ES"/>
        </w:rPr>
      </w:pPr>
    </w:p>
    <w:tbl>
      <w:tblPr>
        <w:tblStyle w:val="TableGrid"/>
        <w:tblW w:w="0" w:type="auto"/>
        <w:jc w:val="center"/>
        <w:tblInd w:w="-176" w:type="dxa"/>
        <w:tblLook w:val="04A0"/>
      </w:tblPr>
      <w:tblGrid>
        <w:gridCol w:w="993"/>
        <w:gridCol w:w="902"/>
        <w:gridCol w:w="711"/>
        <w:gridCol w:w="711"/>
        <w:gridCol w:w="711"/>
        <w:gridCol w:w="711"/>
      </w:tblGrid>
      <w:tr w:rsidR="00FC00EE" w:rsidRPr="00E960FC" w:rsidTr="00FC00EE">
        <w:trPr>
          <w:jc w:val="center"/>
        </w:trPr>
        <w:tc>
          <w:tcPr>
            <w:tcW w:w="993" w:type="dxa"/>
          </w:tcPr>
          <w:p w:rsidR="00FC00EE" w:rsidRPr="00E960FC" w:rsidRDefault="00FC00EE" w:rsidP="00442FAA">
            <w:pPr>
              <w:rPr>
                <w:b/>
                <w:sz w:val="16"/>
                <w:szCs w:val="16"/>
                <w:lang w:val="es-ES"/>
              </w:rPr>
            </w:pPr>
          </w:p>
        </w:tc>
        <w:tc>
          <w:tcPr>
            <w:tcW w:w="902" w:type="dxa"/>
          </w:tcPr>
          <w:p w:rsidR="00FC00EE" w:rsidRPr="00E960FC" w:rsidRDefault="00FC00EE" w:rsidP="00442FAA">
            <w:pPr>
              <w:jc w:val="center"/>
              <w:rPr>
                <w:b/>
                <w:sz w:val="16"/>
                <w:szCs w:val="16"/>
                <w:lang w:val="es-ES"/>
              </w:rPr>
            </w:pPr>
            <w:r w:rsidRPr="00E960FC">
              <w:rPr>
                <w:b/>
                <w:sz w:val="16"/>
                <w:szCs w:val="16"/>
                <w:lang w:val="es-ES"/>
              </w:rPr>
              <w:t>0</w:t>
            </w:r>
          </w:p>
        </w:tc>
        <w:tc>
          <w:tcPr>
            <w:tcW w:w="711" w:type="dxa"/>
          </w:tcPr>
          <w:p w:rsidR="00FC00EE" w:rsidRPr="00E960FC" w:rsidRDefault="00FC00EE" w:rsidP="00442FAA">
            <w:pPr>
              <w:jc w:val="center"/>
              <w:rPr>
                <w:b/>
                <w:sz w:val="16"/>
                <w:szCs w:val="16"/>
                <w:lang w:val="es-ES"/>
              </w:rPr>
            </w:pPr>
            <w:r w:rsidRPr="00E960FC">
              <w:rPr>
                <w:b/>
                <w:sz w:val="16"/>
                <w:szCs w:val="16"/>
                <w:lang w:val="es-ES"/>
              </w:rPr>
              <w:t>1</w:t>
            </w:r>
          </w:p>
        </w:tc>
        <w:tc>
          <w:tcPr>
            <w:tcW w:w="711" w:type="dxa"/>
          </w:tcPr>
          <w:p w:rsidR="00FC00EE" w:rsidRPr="00E960FC" w:rsidRDefault="00FC00EE" w:rsidP="00442FAA">
            <w:pPr>
              <w:jc w:val="center"/>
              <w:rPr>
                <w:b/>
                <w:sz w:val="16"/>
                <w:szCs w:val="16"/>
                <w:lang w:val="es-ES"/>
              </w:rPr>
            </w:pPr>
            <w:r w:rsidRPr="00E960FC">
              <w:rPr>
                <w:b/>
                <w:sz w:val="16"/>
                <w:szCs w:val="16"/>
                <w:lang w:val="es-ES"/>
              </w:rPr>
              <w:t>2</w:t>
            </w:r>
          </w:p>
        </w:tc>
        <w:tc>
          <w:tcPr>
            <w:tcW w:w="711" w:type="dxa"/>
          </w:tcPr>
          <w:p w:rsidR="00FC00EE" w:rsidRPr="00E960FC" w:rsidRDefault="00FC00EE" w:rsidP="00442FAA">
            <w:pPr>
              <w:jc w:val="center"/>
              <w:rPr>
                <w:b/>
                <w:sz w:val="16"/>
                <w:szCs w:val="16"/>
                <w:lang w:val="es-ES"/>
              </w:rPr>
            </w:pPr>
            <w:r w:rsidRPr="00E960FC">
              <w:rPr>
                <w:b/>
                <w:sz w:val="16"/>
                <w:szCs w:val="16"/>
                <w:lang w:val="es-ES"/>
              </w:rPr>
              <w:t>3</w:t>
            </w:r>
          </w:p>
        </w:tc>
        <w:tc>
          <w:tcPr>
            <w:tcW w:w="711" w:type="dxa"/>
          </w:tcPr>
          <w:p w:rsidR="00FC00EE" w:rsidRPr="00E960FC" w:rsidRDefault="00FC00EE" w:rsidP="00442FAA">
            <w:pPr>
              <w:jc w:val="center"/>
              <w:rPr>
                <w:b/>
                <w:sz w:val="16"/>
                <w:szCs w:val="16"/>
                <w:lang w:val="es-ES"/>
              </w:rPr>
            </w:pPr>
            <w:r w:rsidRPr="00E960FC">
              <w:rPr>
                <w:b/>
                <w:sz w:val="16"/>
                <w:szCs w:val="16"/>
                <w:lang w:val="es-ES"/>
              </w:rPr>
              <w:t>4</w:t>
            </w:r>
          </w:p>
        </w:tc>
      </w:tr>
      <w:tr w:rsidR="00FC00EE" w:rsidRPr="00E960FC" w:rsidTr="00FC00EE">
        <w:trPr>
          <w:jc w:val="center"/>
        </w:trPr>
        <w:tc>
          <w:tcPr>
            <w:tcW w:w="993" w:type="dxa"/>
          </w:tcPr>
          <w:p w:rsidR="00FC00EE" w:rsidRPr="00E960FC" w:rsidRDefault="00FC00EE" w:rsidP="00442FAA">
            <w:pPr>
              <w:rPr>
                <w:b/>
                <w:sz w:val="16"/>
                <w:szCs w:val="16"/>
                <w:lang w:val="es-ES"/>
              </w:rPr>
            </w:pPr>
            <w:r w:rsidRPr="00E960FC">
              <w:rPr>
                <w:b/>
                <w:sz w:val="16"/>
                <w:szCs w:val="16"/>
                <w:lang w:val="es-ES"/>
              </w:rPr>
              <w:t>Beneficios</w:t>
            </w:r>
          </w:p>
        </w:tc>
        <w:tc>
          <w:tcPr>
            <w:tcW w:w="902" w:type="dxa"/>
          </w:tcPr>
          <w:p w:rsidR="00FC00EE" w:rsidRPr="00E960FC" w:rsidRDefault="00FC00EE" w:rsidP="00442FAA">
            <w:pPr>
              <w:jc w:val="center"/>
              <w:rPr>
                <w:sz w:val="16"/>
                <w:szCs w:val="16"/>
                <w:lang w:val="es-ES"/>
              </w:rPr>
            </w:pPr>
            <w:r w:rsidRPr="00E960FC">
              <w:rPr>
                <w:sz w:val="16"/>
                <w:szCs w:val="16"/>
                <w:lang w:val="es-ES"/>
              </w:rPr>
              <w:t>0</w:t>
            </w:r>
          </w:p>
        </w:tc>
        <w:tc>
          <w:tcPr>
            <w:tcW w:w="711" w:type="dxa"/>
          </w:tcPr>
          <w:p w:rsidR="00FC00EE" w:rsidRPr="00E960FC" w:rsidRDefault="00FC00EE" w:rsidP="00442FAA">
            <w:pPr>
              <w:jc w:val="center"/>
              <w:rPr>
                <w:sz w:val="16"/>
                <w:szCs w:val="16"/>
                <w:lang w:val="es-ES"/>
              </w:rPr>
            </w:pPr>
            <w:r w:rsidRPr="00E960FC">
              <w:rPr>
                <w:sz w:val="16"/>
                <w:szCs w:val="16"/>
                <w:lang w:val="es-ES"/>
              </w:rPr>
              <w:t>18,9</w:t>
            </w:r>
          </w:p>
        </w:tc>
        <w:tc>
          <w:tcPr>
            <w:tcW w:w="711" w:type="dxa"/>
          </w:tcPr>
          <w:p w:rsidR="00FC00EE" w:rsidRPr="00E960FC" w:rsidRDefault="00FC00EE" w:rsidP="00442FAA">
            <w:pPr>
              <w:jc w:val="center"/>
              <w:rPr>
                <w:sz w:val="16"/>
                <w:szCs w:val="16"/>
                <w:lang w:val="es-ES"/>
              </w:rPr>
            </w:pPr>
            <w:r w:rsidRPr="00E960FC">
              <w:rPr>
                <w:sz w:val="16"/>
                <w:szCs w:val="16"/>
                <w:lang w:val="es-ES"/>
              </w:rPr>
              <w:t>18,9</w:t>
            </w:r>
          </w:p>
        </w:tc>
        <w:tc>
          <w:tcPr>
            <w:tcW w:w="711" w:type="dxa"/>
          </w:tcPr>
          <w:p w:rsidR="00FC00EE" w:rsidRPr="00E960FC" w:rsidRDefault="00FC00EE" w:rsidP="00442FAA">
            <w:pPr>
              <w:jc w:val="center"/>
              <w:rPr>
                <w:sz w:val="16"/>
                <w:szCs w:val="16"/>
                <w:lang w:val="es-ES"/>
              </w:rPr>
            </w:pPr>
            <w:r w:rsidRPr="00E960FC">
              <w:rPr>
                <w:sz w:val="16"/>
                <w:szCs w:val="16"/>
                <w:lang w:val="es-ES"/>
              </w:rPr>
              <w:t>18,9</w:t>
            </w:r>
          </w:p>
        </w:tc>
        <w:tc>
          <w:tcPr>
            <w:tcW w:w="711" w:type="dxa"/>
          </w:tcPr>
          <w:p w:rsidR="00FC00EE" w:rsidRPr="00E960FC" w:rsidRDefault="00FC00EE" w:rsidP="00442FAA">
            <w:pPr>
              <w:jc w:val="center"/>
              <w:rPr>
                <w:sz w:val="16"/>
                <w:szCs w:val="16"/>
                <w:lang w:val="es-ES"/>
              </w:rPr>
            </w:pPr>
            <w:r w:rsidRPr="00E960FC">
              <w:rPr>
                <w:sz w:val="16"/>
                <w:szCs w:val="16"/>
                <w:lang w:val="es-ES"/>
              </w:rPr>
              <w:t>18,9</w:t>
            </w:r>
          </w:p>
        </w:tc>
      </w:tr>
      <w:tr w:rsidR="00FC00EE" w:rsidRPr="00E960FC" w:rsidTr="00FC00EE">
        <w:trPr>
          <w:jc w:val="center"/>
        </w:trPr>
        <w:tc>
          <w:tcPr>
            <w:tcW w:w="993" w:type="dxa"/>
          </w:tcPr>
          <w:p w:rsidR="00FC00EE" w:rsidRPr="00E960FC" w:rsidRDefault="00FC00EE" w:rsidP="00442FAA">
            <w:pPr>
              <w:rPr>
                <w:sz w:val="16"/>
                <w:szCs w:val="16"/>
                <w:lang w:val="es-ES"/>
              </w:rPr>
            </w:pPr>
          </w:p>
        </w:tc>
        <w:tc>
          <w:tcPr>
            <w:tcW w:w="902"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r>
      <w:tr w:rsidR="00FC00EE" w:rsidRPr="00E960FC" w:rsidTr="00FC00EE">
        <w:trPr>
          <w:jc w:val="center"/>
        </w:trPr>
        <w:tc>
          <w:tcPr>
            <w:tcW w:w="993" w:type="dxa"/>
          </w:tcPr>
          <w:p w:rsidR="00FC00EE" w:rsidRPr="00E960FC" w:rsidRDefault="00FC00EE" w:rsidP="00442FAA">
            <w:pPr>
              <w:rPr>
                <w:b/>
                <w:sz w:val="16"/>
                <w:szCs w:val="16"/>
                <w:lang w:val="es-ES"/>
              </w:rPr>
            </w:pPr>
            <w:r w:rsidRPr="00E960FC">
              <w:rPr>
                <w:b/>
                <w:sz w:val="16"/>
                <w:szCs w:val="16"/>
                <w:lang w:val="es-ES"/>
              </w:rPr>
              <w:t>Costos</w:t>
            </w:r>
          </w:p>
        </w:tc>
        <w:tc>
          <w:tcPr>
            <w:tcW w:w="902" w:type="dxa"/>
          </w:tcPr>
          <w:p w:rsidR="00FC00EE" w:rsidRPr="00E960FC" w:rsidRDefault="00FC00EE" w:rsidP="00442FAA">
            <w:pPr>
              <w:jc w:val="center"/>
              <w:rPr>
                <w:sz w:val="16"/>
                <w:szCs w:val="16"/>
                <w:lang w:val="es-ES"/>
              </w:rPr>
            </w:pPr>
            <w:r w:rsidRPr="00E960FC">
              <w:rPr>
                <w:sz w:val="16"/>
                <w:szCs w:val="16"/>
                <w:lang w:val="es-ES"/>
              </w:rPr>
              <w:t>54,5</w:t>
            </w: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r>
      <w:tr w:rsidR="00FC00EE" w:rsidRPr="00E960FC" w:rsidTr="00FC00EE">
        <w:trPr>
          <w:jc w:val="center"/>
        </w:trPr>
        <w:tc>
          <w:tcPr>
            <w:tcW w:w="993" w:type="dxa"/>
          </w:tcPr>
          <w:p w:rsidR="00FC00EE" w:rsidRPr="00E960FC" w:rsidRDefault="00FC00EE" w:rsidP="00442FAA">
            <w:pPr>
              <w:rPr>
                <w:sz w:val="16"/>
                <w:szCs w:val="16"/>
                <w:lang w:val="es-ES"/>
              </w:rPr>
            </w:pPr>
          </w:p>
        </w:tc>
        <w:tc>
          <w:tcPr>
            <w:tcW w:w="902"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r>
      <w:tr w:rsidR="00FC00EE" w:rsidRPr="00E960FC" w:rsidTr="00FC00EE">
        <w:trPr>
          <w:jc w:val="center"/>
        </w:trPr>
        <w:tc>
          <w:tcPr>
            <w:tcW w:w="993" w:type="dxa"/>
          </w:tcPr>
          <w:p w:rsidR="00FC00EE" w:rsidRPr="00E960FC" w:rsidRDefault="00FC00EE" w:rsidP="00442FAA">
            <w:pPr>
              <w:rPr>
                <w:b/>
                <w:sz w:val="16"/>
                <w:szCs w:val="16"/>
                <w:lang w:val="es-ES"/>
              </w:rPr>
            </w:pPr>
            <w:r w:rsidRPr="00E960FC">
              <w:rPr>
                <w:b/>
                <w:sz w:val="16"/>
                <w:szCs w:val="16"/>
                <w:lang w:val="es-ES"/>
              </w:rPr>
              <w:t>Inversión</w:t>
            </w:r>
          </w:p>
        </w:tc>
        <w:tc>
          <w:tcPr>
            <w:tcW w:w="902"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r>
      <w:tr w:rsidR="00FC00EE" w:rsidRPr="00E960FC" w:rsidTr="00FC00EE">
        <w:trPr>
          <w:jc w:val="center"/>
        </w:trPr>
        <w:tc>
          <w:tcPr>
            <w:tcW w:w="993" w:type="dxa"/>
          </w:tcPr>
          <w:p w:rsidR="00FC00EE" w:rsidRPr="00E960FC" w:rsidRDefault="00FC00EE" w:rsidP="00442FAA">
            <w:pPr>
              <w:rPr>
                <w:sz w:val="16"/>
                <w:szCs w:val="16"/>
                <w:lang w:val="es-ES"/>
              </w:rPr>
            </w:pPr>
          </w:p>
        </w:tc>
        <w:tc>
          <w:tcPr>
            <w:tcW w:w="902"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r>
      <w:tr w:rsidR="00FC00EE" w:rsidRPr="00E960FC" w:rsidTr="00FC00EE">
        <w:trPr>
          <w:jc w:val="center"/>
        </w:trPr>
        <w:tc>
          <w:tcPr>
            <w:tcW w:w="993" w:type="dxa"/>
          </w:tcPr>
          <w:p w:rsidR="00FC00EE" w:rsidRPr="00E960FC" w:rsidRDefault="00FC00EE" w:rsidP="00442FAA">
            <w:pPr>
              <w:rPr>
                <w:b/>
                <w:sz w:val="16"/>
                <w:szCs w:val="16"/>
                <w:lang w:val="es-ES"/>
              </w:rPr>
            </w:pPr>
            <w:r w:rsidRPr="00E960FC">
              <w:rPr>
                <w:b/>
                <w:sz w:val="16"/>
                <w:szCs w:val="16"/>
                <w:lang w:val="es-ES"/>
              </w:rPr>
              <w:t>Beneficio neto</w:t>
            </w:r>
          </w:p>
        </w:tc>
        <w:tc>
          <w:tcPr>
            <w:tcW w:w="902" w:type="dxa"/>
          </w:tcPr>
          <w:p w:rsidR="00FC00EE" w:rsidRPr="00E960FC" w:rsidRDefault="00FC00EE" w:rsidP="00442FAA">
            <w:pPr>
              <w:jc w:val="center"/>
              <w:rPr>
                <w:sz w:val="16"/>
                <w:szCs w:val="16"/>
                <w:lang w:val="es-ES"/>
              </w:rPr>
            </w:pPr>
            <w:r w:rsidRPr="00E960FC">
              <w:rPr>
                <w:sz w:val="16"/>
                <w:szCs w:val="16"/>
                <w:lang w:val="es-ES"/>
              </w:rPr>
              <w:t>-54,5</w:t>
            </w:r>
          </w:p>
        </w:tc>
        <w:tc>
          <w:tcPr>
            <w:tcW w:w="711" w:type="dxa"/>
          </w:tcPr>
          <w:p w:rsidR="00FC00EE" w:rsidRPr="00E960FC" w:rsidRDefault="00FC00EE" w:rsidP="00442FAA">
            <w:pPr>
              <w:jc w:val="center"/>
              <w:rPr>
                <w:sz w:val="16"/>
                <w:szCs w:val="16"/>
                <w:lang w:val="es-ES"/>
              </w:rPr>
            </w:pPr>
            <w:r w:rsidRPr="00E960FC">
              <w:rPr>
                <w:sz w:val="16"/>
                <w:szCs w:val="16"/>
                <w:lang w:val="es-ES"/>
              </w:rPr>
              <w:t>18,9</w:t>
            </w:r>
          </w:p>
        </w:tc>
        <w:tc>
          <w:tcPr>
            <w:tcW w:w="711" w:type="dxa"/>
          </w:tcPr>
          <w:p w:rsidR="00FC00EE" w:rsidRPr="00E960FC" w:rsidRDefault="00FC00EE" w:rsidP="00442FAA">
            <w:pPr>
              <w:jc w:val="center"/>
              <w:rPr>
                <w:sz w:val="16"/>
                <w:szCs w:val="16"/>
                <w:lang w:val="es-ES"/>
              </w:rPr>
            </w:pPr>
            <w:r w:rsidRPr="00E960FC">
              <w:rPr>
                <w:sz w:val="16"/>
                <w:szCs w:val="16"/>
                <w:lang w:val="es-ES"/>
              </w:rPr>
              <w:t>18,9</w:t>
            </w:r>
          </w:p>
        </w:tc>
        <w:tc>
          <w:tcPr>
            <w:tcW w:w="711" w:type="dxa"/>
          </w:tcPr>
          <w:p w:rsidR="00FC00EE" w:rsidRPr="00E960FC" w:rsidRDefault="00FC00EE" w:rsidP="00442FAA">
            <w:pPr>
              <w:jc w:val="center"/>
              <w:rPr>
                <w:sz w:val="16"/>
                <w:szCs w:val="16"/>
                <w:lang w:val="es-ES"/>
              </w:rPr>
            </w:pPr>
            <w:r w:rsidRPr="00E960FC">
              <w:rPr>
                <w:sz w:val="16"/>
                <w:szCs w:val="16"/>
                <w:lang w:val="es-ES"/>
              </w:rPr>
              <w:t>18,9</w:t>
            </w:r>
          </w:p>
        </w:tc>
        <w:tc>
          <w:tcPr>
            <w:tcW w:w="711" w:type="dxa"/>
          </w:tcPr>
          <w:p w:rsidR="00FC00EE" w:rsidRPr="00E960FC" w:rsidRDefault="00FC00EE" w:rsidP="00442FAA">
            <w:pPr>
              <w:jc w:val="center"/>
              <w:rPr>
                <w:sz w:val="16"/>
                <w:szCs w:val="16"/>
                <w:lang w:val="es-ES"/>
              </w:rPr>
            </w:pPr>
            <w:r w:rsidRPr="00E960FC">
              <w:rPr>
                <w:sz w:val="16"/>
                <w:szCs w:val="16"/>
                <w:lang w:val="es-ES"/>
              </w:rPr>
              <w:t>18,9</w:t>
            </w:r>
          </w:p>
        </w:tc>
      </w:tr>
      <w:tr w:rsidR="00FC00EE" w:rsidRPr="00E960FC" w:rsidTr="00FC00EE">
        <w:trPr>
          <w:jc w:val="center"/>
        </w:trPr>
        <w:tc>
          <w:tcPr>
            <w:tcW w:w="993" w:type="dxa"/>
          </w:tcPr>
          <w:p w:rsidR="00FC00EE" w:rsidRPr="00E960FC" w:rsidRDefault="00FC00EE" w:rsidP="00442FAA">
            <w:pPr>
              <w:rPr>
                <w:b/>
                <w:sz w:val="16"/>
                <w:szCs w:val="16"/>
                <w:lang w:val="es-ES"/>
              </w:rPr>
            </w:pPr>
            <w:r w:rsidRPr="00E960FC">
              <w:rPr>
                <w:b/>
                <w:sz w:val="16"/>
                <w:szCs w:val="16"/>
                <w:lang w:val="es-ES"/>
              </w:rPr>
              <w:t>VAN (@ 12%)</w:t>
            </w:r>
          </w:p>
        </w:tc>
        <w:tc>
          <w:tcPr>
            <w:tcW w:w="902" w:type="dxa"/>
          </w:tcPr>
          <w:p w:rsidR="00FC00EE" w:rsidRPr="00E960FC" w:rsidRDefault="00FC00EE" w:rsidP="00442FAA">
            <w:pPr>
              <w:jc w:val="center"/>
              <w:rPr>
                <w:sz w:val="16"/>
                <w:szCs w:val="16"/>
                <w:lang w:val="es-ES"/>
              </w:rPr>
            </w:pPr>
            <w:r w:rsidRPr="00E960FC">
              <w:rPr>
                <w:sz w:val="16"/>
                <w:szCs w:val="16"/>
                <w:lang w:val="es-ES"/>
              </w:rPr>
              <w:t>2,9</w:t>
            </w: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r>
      <w:tr w:rsidR="00FC00EE" w:rsidRPr="00E960FC" w:rsidTr="00FC00EE">
        <w:trPr>
          <w:jc w:val="center"/>
        </w:trPr>
        <w:tc>
          <w:tcPr>
            <w:tcW w:w="993" w:type="dxa"/>
          </w:tcPr>
          <w:p w:rsidR="00FC00EE" w:rsidRPr="00E960FC" w:rsidRDefault="00FC00EE" w:rsidP="00442FAA">
            <w:pPr>
              <w:rPr>
                <w:b/>
                <w:sz w:val="16"/>
                <w:szCs w:val="16"/>
                <w:lang w:val="es-ES"/>
              </w:rPr>
            </w:pPr>
            <w:r w:rsidRPr="00E960FC">
              <w:rPr>
                <w:b/>
                <w:sz w:val="16"/>
                <w:szCs w:val="16"/>
                <w:lang w:val="es-ES"/>
              </w:rPr>
              <w:t>TIR</w:t>
            </w:r>
          </w:p>
        </w:tc>
        <w:tc>
          <w:tcPr>
            <w:tcW w:w="902" w:type="dxa"/>
          </w:tcPr>
          <w:p w:rsidR="00FC00EE" w:rsidRPr="00E960FC" w:rsidRDefault="00FC00EE" w:rsidP="00442FAA">
            <w:pPr>
              <w:jc w:val="center"/>
              <w:rPr>
                <w:sz w:val="16"/>
                <w:szCs w:val="16"/>
                <w:lang w:val="es-ES"/>
              </w:rPr>
            </w:pPr>
            <w:r w:rsidRPr="00E960FC">
              <w:rPr>
                <w:sz w:val="16"/>
                <w:szCs w:val="16"/>
                <w:lang w:val="es-ES"/>
              </w:rPr>
              <w:t>15%</w:t>
            </w: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c>
          <w:tcPr>
            <w:tcW w:w="711" w:type="dxa"/>
          </w:tcPr>
          <w:p w:rsidR="00FC00EE" w:rsidRPr="00E960FC" w:rsidRDefault="00FC00EE" w:rsidP="00442FAA">
            <w:pPr>
              <w:jc w:val="center"/>
              <w:rPr>
                <w:sz w:val="16"/>
                <w:szCs w:val="16"/>
                <w:lang w:val="es-ES"/>
              </w:rPr>
            </w:pPr>
          </w:p>
        </w:tc>
      </w:tr>
    </w:tbl>
    <w:p w:rsidR="006D077A" w:rsidRPr="00E960FC" w:rsidRDefault="006D077A" w:rsidP="00442FAA">
      <w:pPr>
        <w:spacing w:after="0"/>
        <w:jc w:val="both"/>
        <w:rPr>
          <w:lang w:val="es-ES"/>
        </w:rPr>
      </w:pPr>
    </w:p>
    <w:p w:rsidR="00DF3FD7" w:rsidRPr="00E960FC" w:rsidRDefault="00DF3FD7" w:rsidP="00442FAA">
      <w:pPr>
        <w:spacing w:after="0"/>
        <w:jc w:val="both"/>
        <w:rPr>
          <w:lang w:val="es-ES"/>
        </w:rPr>
      </w:pPr>
    </w:p>
    <w:p w:rsidR="003D6B5B" w:rsidRPr="00E960FC" w:rsidRDefault="00DF5650" w:rsidP="00442FAA">
      <w:pPr>
        <w:spacing w:after="0" w:line="240" w:lineRule="auto"/>
        <w:jc w:val="center"/>
        <w:rPr>
          <w:b/>
          <w:sz w:val="20"/>
          <w:szCs w:val="20"/>
          <w:lang w:val="es-ES"/>
        </w:rPr>
      </w:pPr>
      <w:r w:rsidRPr="00E960FC">
        <w:rPr>
          <w:b/>
          <w:sz w:val="20"/>
          <w:szCs w:val="20"/>
          <w:lang w:val="es-ES"/>
        </w:rPr>
        <w:t>Cuadro 11</w:t>
      </w:r>
    </w:p>
    <w:p w:rsidR="003D6B5B" w:rsidRPr="00E960FC" w:rsidRDefault="003D6B5B" w:rsidP="00442FAA">
      <w:pPr>
        <w:spacing w:after="0" w:line="240" w:lineRule="auto"/>
        <w:jc w:val="center"/>
        <w:rPr>
          <w:b/>
          <w:sz w:val="20"/>
          <w:szCs w:val="20"/>
          <w:lang w:val="es-ES"/>
        </w:rPr>
      </w:pPr>
      <w:r w:rsidRPr="00E960FC">
        <w:rPr>
          <w:b/>
          <w:sz w:val="20"/>
          <w:szCs w:val="20"/>
          <w:lang w:val="es-ES"/>
        </w:rPr>
        <w:t>VAN de la franquicia tributaria</w:t>
      </w:r>
      <w:r w:rsidR="00885CE4" w:rsidRPr="00E960FC">
        <w:rPr>
          <w:b/>
          <w:sz w:val="20"/>
          <w:szCs w:val="20"/>
          <w:lang w:val="es-ES"/>
        </w:rPr>
        <w:t xml:space="preserve"> (</w:t>
      </w:r>
      <w:r w:rsidR="00B93BCA" w:rsidRPr="00E960FC">
        <w:rPr>
          <w:b/>
          <w:sz w:val="20"/>
          <w:szCs w:val="20"/>
          <w:lang w:val="es-ES"/>
        </w:rPr>
        <w:t xml:space="preserve">en millones de </w:t>
      </w:r>
      <w:r w:rsidR="00667960" w:rsidRPr="00E960FC">
        <w:rPr>
          <w:b/>
          <w:sz w:val="20"/>
          <w:szCs w:val="20"/>
          <w:lang w:val="es-ES"/>
        </w:rPr>
        <w:t>US$</w:t>
      </w:r>
      <w:r w:rsidR="00885CE4" w:rsidRPr="00E960FC">
        <w:rPr>
          <w:b/>
          <w:sz w:val="20"/>
          <w:szCs w:val="20"/>
          <w:lang w:val="es-ES"/>
        </w:rPr>
        <w:t>)</w:t>
      </w:r>
    </w:p>
    <w:p w:rsidR="00E54A0A" w:rsidRPr="00E960FC" w:rsidRDefault="00E54A0A" w:rsidP="00442FAA">
      <w:pPr>
        <w:spacing w:after="0" w:line="240" w:lineRule="auto"/>
        <w:jc w:val="center"/>
        <w:rPr>
          <w:lang w:val="es-ES"/>
        </w:rPr>
      </w:pPr>
    </w:p>
    <w:tbl>
      <w:tblPr>
        <w:tblStyle w:val="TableGrid"/>
        <w:tblW w:w="4907" w:type="dxa"/>
        <w:jc w:val="center"/>
        <w:tblInd w:w="-176" w:type="dxa"/>
        <w:tblLook w:val="04A0"/>
      </w:tblPr>
      <w:tblGrid>
        <w:gridCol w:w="993"/>
        <w:gridCol w:w="851"/>
        <w:gridCol w:w="850"/>
        <w:gridCol w:w="771"/>
        <w:gridCol w:w="721"/>
        <w:gridCol w:w="721"/>
      </w:tblGrid>
      <w:tr w:rsidR="00A610C1" w:rsidRPr="00E960FC" w:rsidTr="00A610C1">
        <w:trPr>
          <w:jc w:val="center"/>
        </w:trPr>
        <w:tc>
          <w:tcPr>
            <w:tcW w:w="993" w:type="dxa"/>
          </w:tcPr>
          <w:p w:rsidR="00A610C1" w:rsidRPr="00E960FC" w:rsidRDefault="00A610C1" w:rsidP="00442FAA">
            <w:pPr>
              <w:rPr>
                <w:b/>
                <w:sz w:val="16"/>
                <w:szCs w:val="16"/>
                <w:lang w:val="es-ES"/>
              </w:rPr>
            </w:pPr>
          </w:p>
        </w:tc>
        <w:tc>
          <w:tcPr>
            <w:tcW w:w="851" w:type="dxa"/>
          </w:tcPr>
          <w:p w:rsidR="00A610C1" w:rsidRPr="00E960FC" w:rsidRDefault="00A610C1" w:rsidP="00442FAA">
            <w:pPr>
              <w:jc w:val="center"/>
              <w:rPr>
                <w:b/>
                <w:sz w:val="16"/>
                <w:szCs w:val="16"/>
                <w:lang w:val="es-ES"/>
              </w:rPr>
            </w:pPr>
            <w:r w:rsidRPr="00E960FC">
              <w:rPr>
                <w:b/>
                <w:sz w:val="16"/>
                <w:szCs w:val="16"/>
                <w:lang w:val="es-ES"/>
              </w:rPr>
              <w:t>0</w:t>
            </w:r>
          </w:p>
        </w:tc>
        <w:tc>
          <w:tcPr>
            <w:tcW w:w="850" w:type="dxa"/>
          </w:tcPr>
          <w:p w:rsidR="00A610C1" w:rsidRPr="00E960FC" w:rsidRDefault="00A610C1" w:rsidP="00442FAA">
            <w:pPr>
              <w:jc w:val="center"/>
              <w:rPr>
                <w:b/>
                <w:sz w:val="16"/>
                <w:szCs w:val="16"/>
                <w:lang w:val="es-ES"/>
              </w:rPr>
            </w:pPr>
            <w:r w:rsidRPr="00E960FC">
              <w:rPr>
                <w:b/>
                <w:sz w:val="16"/>
                <w:szCs w:val="16"/>
                <w:lang w:val="es-ES"/>
              </w:rPr>
              <w:t>1</w:t>
            </w:r>
          </w:p>
        </w:tc>
        <w:tc>
          <w:tcPr>
            <w:tcW w:w="771" w:type="dxa"/>
          </w:tcPr>
          <w:p w:rsidR="00A610C1" w:rsidRPr="00E960FC" w:rsidRDefault="00A610C1" w:rsidP="00442FAA">
            <w:pPr>
              <w:jc w:val="center"/>
              <w:rPr>
                <w:b/>
                <w:sz w:val="16"/>
                <w:szCs w:val="16"/>
                <w:lang w:val="es-ES"/>
              </w:rPr>
            </w:pPr>
            <w:r w:rsidRPr="00E960FC">
              <w:rPr>
                <w:b/>
                <w:sz w:val="16"/>
                <w:szCs w:val="16"/>
                <w:lang w:val="es-ES"/>
              </w:rPr>
              <w:t>2</w:t>
            </w:r>
          </w:p>
        </w:tc>
        <w:tc>
          <w:tcPr>
            <w:tcW w:w="721" w:type="dxa"/>
          </w:tcPr>
          <w:p w:rsidR="00A610C1" w:rsidRPr="00E960FC" w:rsidRDefault="00A610C1" w:rsidP="00442FAA">
            <w:pPr>
              <w:jc w:val="center"/>
              <w:rPr>
                <w:b/>
                <w:sz w:val="16"/>
                <w:szCs w:val="16"/>
                <w:lang w:val="es-ES"/>
              </w:rPr>
            </w:pPr>
            <w:r w:rsidRPr="00E960FC">
              <w:rPr>
                <w:b/>
                <w:sz w:val="16"/>
                <w:szCs w:val="16"/>
                <w:lang w:val="es-ES"/>
              </w:rPr>
              <w:t>3</w:t>
            </w:r>
          </w:p>
        </w:tc>
        <w:tc>
          <w:tcPr>
            <w:tcW w:w="721" w:type="dxa"/>
          </w:tcPr>
          <w:p w:rsidR="00A610C1" w:rsidRPr="00E960FC" w:rsidRDefault="00A610C1" w:rsidP="00442FAA">
            <w:pPr>
              <w:jc w:val="center"/>
              <w:rPr>
                <w:b/>
                <w:sz w:val="16"/>
                <w:szCs w:val="16"/>
                <w:lang w:val="es-ES"/>
              </w:rPr>
            </w:pPr>
            <w:r w:rsidRPr="00E960FC">
              <w:rPr>
                <w:b/>
                <w:sz w:val="16"/>
                <w:szCs w:val="16"/>
                <w:lang w:val="es-ES"/>
              </w:rPr>
              <w:t>4</w:t>
            </w:r>
          </w:p>
        </w:tc>
      </w:tr>
      <w:tr w:rsidR="00A610C1" w:rsidRPr="00E960FC" w:rsidTr="00A610C1">
        <w:trPr>
          <w:jc w:val="center"/>
        </w:trPr>
        <w:tc>
          <w:tcPr>
            <w:tcW w:w="993" w:type="dxa"/>
          </w:tcPr>
          <w:p w:rsidR="00A610C1" w:rsidRPr="00E960FC" w:rsidRDefault="00A610C1" w:rsidP="00442FAA">
            <w:pPr>
              <w:rPr>
                <w:b/>
                <w:sz w:val="16"/>
                <w:szCs w:val="16"/>
                <w:lang w:val="es-ES"/>
              </w:rPr>
            </w:pPr>
            <w:r w:rsidRPr="00E960FC">
              <w:rPr>
                <w:b/>
                <w:sz w:val="16"/>
                <w:szCs w:val="16"/>
                <w:lang w:val="es-ES"/>
              </w:rPr>
              <w:t>Beneficios</w:t>
            </w:r>
          </w:p>
        </w:tc>
        <w:tc>
          <w:tcPr>
            <w:tcW w:w="851" w:type="dxa"/>
            <w:vAlign w:val="center"/>
          </w:tcPr>
          <w:p w:rsidR="00A610C1" w:rsidRPr="00E960FC" w:rsidRDefault="00A610C1" w:rsidP="00442FAA">
            <w:pPr>
              <w:jc w:val="center"/>
              <w:rPr>
                <w:sz w:val="16"/>
                <w:szCs w:val="16"/>
                <w:lang w:val="es-ES"/>
              </w:rPr>
            </w:pPr>
            <w:r w:rsidRPr="00E960FC">
              <w:rPr>
                <w:sz w:val="16"/>
                <w:szCs w:val="16"/>
                <w:lang w:val="es-ES"/>
              </w:rPr>
              <w:t>0</w:t>
            </w:r>
          </w:p>
        </w:tc>
        <w:tc>
          <w:tcPr>
            <w:tcW w:w="850" w:type="dxa"/>
            <w:vAlign w:val="center"/>
          </w:tcPr>
          <w:p w:rsidR="00A610C1" w:rsidRPr="00E960FC" w:rsidRDefault="00A610C1" w:rsidP="00442FAA">
            <w:pPr>
              <w:jc w:val="center"/>
              <w:rPr>
                <w:sz w:val="16"/>
                <w:szCs w:val="16"/>
                <w:lang w:val="es-ES"/>
              </w:rPr>
            </w:pPr>
            <w:r w:rsidRPr="00E960FC">
              <w:rPr>
                <w:sz w:val="16"/>
                <w:szCs w:val="16"/>
                <w:lang w:val="es-ES"/>
              </w:rPr>
              <w:t>71,9</w:t>
            </w:r>
          </w:p>
        </w:tc>
        <w:tc>
          <w:tcPr>
            <w:tcW w:w="771" w:type="dxa"/>
            <w:vAlign w:val="center"/>
          </w:tcPr>
          <w:p w:rsidR="00A610C1" w:rsidRPr="00E960FC" w:rsidRDefault="00A610C1" w:rsidP="00442FAA">
            <w:pPr>
              <w:jc w:val="center"/>
              <w:rPr>
                <w:sz w:val="16"/>
                <w:szCs w:val="16"/>
                <w:lang w:val="es-ES"/>
              </w:rPr>
            </w:pPr>
            <w:r w:rsidRPr="00E960FC">
              <w:rPr>
                <w:sz w:val="16"/>
                <w:szCs w:val="16"/>
                <w:lang w:val="es-ES"/>
              </w:rPr>
              <w:t>71,9</w:t>
            </w:r>
          </w:p>
        </w:tc>
        <w:tc>
          <w:tcPr>
            <w:tcW w:w="721" w:type="dxa"/>
            <w:vAlign w:val="center"/>
          </w:tcPr>
          <w:p w:rsidR="00A610C1" w:rsidRPr="00E960FC" w:rsidRDefault="00A610C1" w:rsidP="00442FAA">
            <w:pPr>
              <w:jc w:val="center"/>
              <w:rPr>
                <w:sz w:val="16"/>
                <w:szCs w:val="16"/>
                <w:lang w:val="es-ES"/>
              </w:rPr>
            </w:pPr>
            <w:r w:rsidRPr="00E960FC">
              <w:rPr>
                <w:sz w:val="16"/>
                <w:szCs w:val="16"/>
                <w:lang w:val="es-ES"/>
              </w:rPr>
              <w:t>71,9</w:t>
            </w:r>
          </w:p>
        </w:tc>
        <w:tc>
          <w:tcPr>
            <w:tcW w:w="721" w:type="dxa"/>
            <w:vAlign w:val="center"/>
          </w:tcPr>
          <w:p w:rsidR="00A610C1" w:rsidRPr="00E960FC" w:rsidRDefault="00A610C1" w:rsidP="00442FAA">
            <w:pPr>
              <w:jc w:val="center"/>
              <w:rPr>
                <w:sz w:val="16"/>
                <w:szCs w:val="16"/>
                <w:lang w:val="es-ES"/>
              </w:rPr>
            </w:pPr>
            <w:r w:rsidRPr="00E960FC">
              <w:rPr>
                <w:sz w:val="16"/>
                <w:szCs w:val="16"/>
                <w:lang w:val="es-ES"/>
              </w:rPr>
              <w:t>71,9</w:t>
            </w:r>
          </w:p>
        </w:tc>
      </w:tr>
      <w:tr w:rsidR="00A610C1" w:rsidRPr="00E960FC" w:rsidTr="00A610C1">
        <w:trPr>
          <w:jc w:val="center"/>
        </w:trPr>
        <w:tc>
          <w:tcPr>
            <w:tcW w:w="993" w:type="dxa"/>
          </w:tcPr>
          <w:p w:rsidR="00A610C1" w:rsidRPr="00E960FC" w:rsidRDefault="00A610C1" w:rsidP="00442FAA">
            <w:pPr>
              <w:rPr>
                <w:sz w:val="16"/>
                <w:szCs w:val="16"/>
                <w:lang w:val="es-ES"/>
              </w:rPr>
            </w:pPr>
          </w:p>
        </w:tc>
        <w:tc>
          <w:tcPr>
            <w:tcW w:w="851" w:type="dxa"/>
            <w:vAlign w:val="center"/>
          </w:tcPr>
          <w:p w:rsidR="00A610C1" w:rsidRPr="00E960FC" w:rsidRDefault="00A610C1" w:rsidP="00442FAA">
            <w:pPr>
              <w:jc w:val="center"/>
              <w:rPr>
                <w:sz w:val="16"/>
                <w:szCs w:val="16"/>
                <w:lang w:val="es-ES"/>
              </w:rPr>
            </w:pPr>
          </w:p>
        </w:tc>
        <w:tc>
          <w:tcPr>
            <w:tcW w:w="850" w:type="dxa"/>
            <w:vAlign w:val="center"/>
          </w:tcPr>
          <w:p w:rsidR="00A610C1" w:rsidRPr="00E960FC" w:rsidRDefault="00A610C1" w:rsidP="00442FAA">
            <w:pPr>
              <w:jc w:val="center"/>
              <w:rPr>
                <w:sz w:val="16"/>
                <w:szCs w:val="16"/>
                <w:lang w:val="es-ES"/>
              </w:rPr>
            </w:pPr>
          </w:p>
        </w:tc>
        <w:tc>
          <w:tcPr>
            <w:tcW w:w="77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r>
      <w:tr w:rsidR="00A610C1" w:rsidRPr="00E960FC" w:rsidTr="00A610C1">
        <w:trPr>
          <w:jc w:val="center"/>
        </w:trPr>
        <w:tc>
          <w:tcPr>
            <w:tcW w:w="993" w:type="dxa"/>
          </w:tcPr>
          <w:p w:rsidR="00A610C1" w:rsidRPr="00E960FC" w:rsidRDefault="00A610C1" w:rsidP="00442FAA">
            <w:pPr>
              <w:rPr>
                <w:b/>
                <w:sz w:val="16"/>
                <w:szCs w:val="16"/>
                <w:lang w:val="es-ES"/>
              </w:rPr>
            </w:pPr>
            <w:r w:rsidRPr="00E960FC">
              <w:rPr>
                <w:b/>
                <w:sz w:val="16"/>
                <w:szCs w:val="16"/>
                <w:lang w:val="es-ES"/>
              </w:rPr>
              <w:t>Costos</w:t>
            </w:r>
          </w:p>
        </w:tc>
        <w:tc>
          <w:tcPr>
            <w:tcW w:w="851" w:type="dxa"/>
            <w:vAlign w:val="center"/>
          </w:tcPr>
          <w:p w:rsidR="00A610C1" w:rsidRPr="00E960FC" w:rsidRDefault="00A610C1" w:rsidP="00442FAA">
            <w:pPr>
              <w:jc w:val="center"/>
              <w:rPr>
                <w:sz w:val="16"/>
                <w:szCs w:val="16"/>
                <w:lang w:val="es-ES"/>
              </w:rPr>
            </w:pPr>
            <w:r w:rsidRPr="00E960FC">
              <w:rPr>
                <w:sz w:val="16"/>
                <w:szCs w:val="16"/>
                <w:lang w:val="es-ES"/>
              </w:rPr>
              <w:t>221,8</w:t>
            </w:r>
          </w:p>
        </w:tc>
        <w:tc>
          <w:tcPr>
            <w:tcW w:w="850" w:type="dxa"/>
            <w:vAlign w:val="center"/>
          </w:tcPr>
          <w:p w:rsidR="00A610C1" w:rsidRPr="00E960FC" w:rsidRDefault="00A610C1" w:rsidP="00442FAA">
            <w:pPr>
              <w:jc w:val="center"/>
              <w:rPr>
                <w:sz w:val="16"/>
                <w:szCs w:val="16"/>
                <w:lang w:val="es-ES"/>
              </w:rPr>
            </w:pPr>
          </w:p>
        </w:tc>
        <w:tc>
          <w:tcPr>
            <w:tcW w:w="77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r>
      <w:tr w:rsidR="00A610C1" w:rsidRPr="00E960FC" w:rsidTr="00A610C1">
        <w:trPr>
          <w:jc w:val="center"/>
        </w:trPr>
        <w:tc>
          <w:tcPr>
            <w:tcW w:w="993" w:type="dxa"/>
          </w:tcPr>
          <w:p w:rsidR="00A610C1" w:rsidRPr="00E960FC" w:rsidRDefault="00A610C1" w:rsidP="00442FAA">
            <w:pPr>
              <w:rPr>
                <w:sz w:val="16"/>
                <w:szCs w:val="16"/>
                <w:lang w:val="es-ES"/>
              </w:rPr>
            </w:pPr>
          </w:p>
        </w:tc>
        <w:tc>
          <w:tcPr>
            <w:tcW w:w="851" w:type="dxa"/>
            <w:vAlign w:val="center"/>
          </w:tcPr>
          <w:p w:rsidR="00A610C1" w:rsidRPr="00E960FC" w:rsidRDefault="00A610C1" w:rsidP="00442FAA">
            <w:pPr>
              <w:jc w:val="center"/>
              <w:rPr>
                <w:sz w:val="16"/>
                <w:szCs w:val="16"/>
                <w:lang w:val="es-ES"/>
              </w:rPr>
            </w:pPr>
          </w:p>
        </w:tc>
        <w:tc>
          <w:tcPr>
            <w:tcW w:w="850" w:type="dxa"/>
            <w:vAlign w:val="center"/>
          </w:tcPr>
          <w:p w:rsidR="00A610C1" w:rsidRPr="00E960FC" w:rsidRDefault="00A610C1" w:rsidP="00442FAA">
            <w:pPr>
              <w:jc w:val="center"/>
              <w:rPr>
                <w:sz w:val="16"/>
                <w:szCs w:val="16"/>
                <w:lang w:val="es-ES"/>
              </w:rPr>
            </w:pPr>
          </w:p>
        </w:tc>
        <w:tc>
          <w:tcPr>
            <w:tcW w:w="77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r>
      <w:tr w:rsidR="00A610C1" w:rsidRPr="00E960FC" w:rsidTr="00A610C1">
        <w:trPr>
          <w:jc w:val="center"/>
        </w:trPr>
        <w:tc>
          <w:tcPr>
            <w:tcW w:w="993" w:type="dxa"/>
          </w:tcPr>
          <w:p w:rsidR="00A610C1" w:rsidRPr="00E960FC" w:rsidRDefault="00A610C1" w:rsidP="00442FAA">
            <w:pPr>
              <w:rPr>
                <w:b/>
                <w:sz w:val="16"/>
                <w:szCs w:val="16"/>
                <w:lang w:val="es-ES"/>
              </w:rPr>
            </w:pPr>
            <w:r w:rsidRPr="00E960FC">
              <w:rPr>
                <w:b/>
                <w:sz w:val="16"/>
                <w:szCs w:val="16"/>
                <w:lang w:val="es-ES"/>
              </w:rPr>
              <w:t>Inversión</w:t>
            </w:r>
          </w:p>
        </w:tc>
        <w:tc>
          <w:tcPr>
            <w:tcW w:w="851" w:type="dxa"/>
            <w:vAlign w:val="center"/>
          </w:tcPr>
          <w:p w:rsidR="00A610C1" w:rsidRPr="00E960FC" w:rsidRDefault="00A610C1" w:rsidP="00442FAA">
            <w:pPr>
              <w:jc w:val="center"/>
              <w:rPr>
                <w:sz w:val="16"/>
                <w:szCs w:val="16"/>
                <w:lang w:val="es-ES"/>
              </w:rPr>
            </w:pPr>
          </w:p>
        </w:tc>
        <w:tc>
          <w:tcPr>
            <w:tcW w:w="850" w:type="dxa"/>
            <w:vAlign w:val="center"/>
          </w:tcPr>
          <w:p w:rsidR="00A610C1" w:rsidRPr="00E960FC" w:rsidRDefault="00A610C1" w:rsidP="00442FAA">
            <w:pPr>
              <w:jc w:val="center"/>
              <w:rPr>
                <w:sz w:val="16"/>
                <w:szCs w:val="16"/>
                <w:lang w:val="es-ES"/>
              </w:rPr>
            </w:pPr>
          </w:p>
        </w:tc>
        <w:tc>
          <w:tcPr>
            <w:tcW w:w="77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r>
      <w:tr w:rsidR="00A610C1" w:rsidRPr="00E960FC" w:rsidTr="00A610C1">
        <w:trPr>
          <w:jc w:val="center"/>
        </w:trPr>
        <w:tc>
          <w:tcPr>
            <w:tcW w:w="993" w:type="dxa"/>
          </w:tcPr>
          <w:p w:rsidR="00A610C1" w:rsidRPr="00E960FC" w:rsidRDefault="00A610C1" w:rsidP="00442FAA">
            <w:pPr>
              <w:rPr>
                <w:sz w:val="16"/>
                <w:szCs w:val="16"/>
                <w:lang w:val="es-ES"/>
              </w:rPr>
            </w:pPr>
          </w:p>
        </w:tc>
        <w:tc>
          <w:tcPr>
            <w:tcW w:w="851" w:type="dxa"/>
            <w:vAlign w:val="center"/>
          </w:tcPr>
          <w:p w:rsidR="00A610C1" w:rsidRPr="00E960FC" w:rsidRDefault="00A610C1" w:rsidP="00442FAA">
            <w:pPr>
              <w:jc w:val="center"/>
              <w:rPr>
                <w:sz w:val="16"/>
                <w:szCs w:val="16"/>
                <w:lang w:val="es-ES"/>
              </w:rPr>
            </w:pPr>
          </w:p>
        </w:tc>
        <w:tc>
          <w:tcPr>
            <w:tcW w:w="850" w:type="dxa"/>
            <w:vAlign w:val="center"/>
          </w:tcPr>
          <w:p w:rsidR="00A610C1" w:rsidRPr="00E960FC" w:rsidRDefault="00A610C1" w:rsidP="00442FAA">
            <w:pPr>
              <w:jc w:val="center"/>
              <w:rPr>
                <w:sz w:val="16"/>
                <w:szCs w:val="16"/>
                <w:lang w:val="es-ES"/>
              </w:rPr>
            </w:pPr>
          </w:p>
        </w:tc>
        <w:tc>
          <w:tcPr>
            <w:tcW w:w="77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r>
      <w:tr w:rsidR="00A610C1" w:rsidRPr="00E960FC" w:rsidTr="00A610C1">
        <w:trPr>
          <w:jc w:val="center"/>
        </w:trPr>
        <w:tc>
          <w:tcPr>
            <w:tcW w:w="993" w:type="dxa"/>
          </w:tcPr>
          <w:p w:rsidR="00A610C1" w:rsidRPr="00E960FC" w:rsidRDefault="00A610C1" w:rsidP="00442FAA">
            <w:pPr>
              <w:rPr>
                <w:b/>
                <w:sz w:val="16"/>
                <w:szCs w:val="16"/>
                <w:lang w:val="es-ES"/>
              </w:rPr>
            </w:pPr>
            <w:r w:rsidRPr="00E960FC">
              <w:rPr>
                <w:b/>
                <w:sz w:val="16"/>
                <w:szCs w:val="16"/>
                <w:lang w:val="es-ES"/>
              </w:rPr>
              <w:t>Beneficio neto</w:t>
            </w:r>
          </w:p>
        </w:tc>
        <w:tc>
          <w:tcPr>
            <w:tcW w:w="851" w:type="dxa"/>
            <w:vAlign w:val="center"/>
          </w:tcPr>
          <w:p w:rsidR="00A610C1" w:rsidRPr="00E960FC" w:rsidRDefault="00A610C1" w:rsidP="00442FAA">
            <w:pPr>
              <w:jc w:val="center"/>
              <w:rPr>
                <w:sz w:val="16"/>
                <w:szCs w:val="16"/>
                <w:lang w:val="es-ES"/>
              </w:rPr>
            </w:pPr>
            <w:r w:rsidRPr="00E960FC">
              <w:rPr>
                <w:sz w:val="16"/>
                <w:szCs w:val="16"/>
                <w:lang w:val="es-ES"/>
              </w:rPr>
              <w:t>-221,8</w:t>
            </w:r>
          </w:p>
        </w:tc>
        <w:tc>
          <w:tcPr>
            <w:tcW w:w="850" w:type="dxa"/>
            <w:vAlign w:val="center"/>
          </w:tcPr>
          <w:p w:rsidR="00A610C1" w:rsidRPr="00E960FC" w:rsidRDefault="00A610C1" w:rsidP="00442FAA">
            <w:pPr>
              <w:jc w:val="center"/>
              <w:rPr>
                <w:sz w:val="16"/>
                <w:szCs w:val="16"/>
                <w:lang w:val="es-ES"/>
              </w:rPr>
            </w:pPr>
            <w:r w:rsidRPr="00E960FC">
              <w:rPr>
                <w:sz w:val="16"/>
                <w:szCs w:val="16"/>
                <w:lang w:val="es-ES"/>
              </w:rPr>
              <w:t>71,9</w:t>
            </w:r>
          </w:p>
        </w:tc>
        <w:tc>
          <w:tcPr>
            <w:tcW w:w="771" w:type="dxa"/>
            <w:vAlign w:val="center"/>
          </w:tcPr>
          <w:p w:rsidR="00A610C1" w:rsidRPr="00E960FC" w:rsidRDefault="00A610C1" w:rsidP="00442FAA">
            <w:pPr>
              <w:jc w:val="center"/>
              <w:rPr>
                <w:sz w:val="16"/>
                <w:szCs w:val="16"/>
                <w:lang w:val="es-ES"/>
              </w:rPr>
            </w:pPr>
            <w:r w:rsidRPr="00E960FC">
              <w:rPr>
                <w:sz w:val="16"/>
                <w:szCs w:val="16"/>
                <w:lang w:val="es-ES"/>
              </w:rPr>
              <w:t>71,9</w:t>
            </w:r>
          </w:p>
        </w:tc>
        <w:tc>
          <w:tcPr>
            <w:tcW w:w="721" w:type="dxa"/>
            <w:vAlign w:val="center"/>
          </w:tcPr>
          <w:p w:rsidR="00A610C1" w:rsidRPr="00E960FC" w:rsidRDefault="00A610C1" w:rsidP="00442FAA">
            <w:pPr>
              <w:jc w:val="center"/>
              <w:rPr>
                <w:sz w:val="16"/>
                <w:szCs w:val="16"/>
                <w:lang w:val="es-ES"/>
              </w:rPr>
            </w:pPr>
            <w:r w:rsidRPr="00E960FC">
              <w:rPr>
                <w:sz w:val="16"/>
                <w:szCs w:val="16"/>
                <w:lang w:val="es-ES"/>
              </w:rPr>
              <w:t>71,9</w:t>
            </w:r>
          </w:p>
        </w:tc>
        <w:tc>
          <w:tcPr>
            <w:tcW w:w="721" w:type="dxa"/>
            <w:vAlign w:val="center"/>
          </w:tcPr>
          <w:p w:rsidR="00A610C1" w:rsidRPr="00E960FC" w:rsidRDefault="00A610C1" w:rsidP="00442FAA">
            <w:pPr>
              <w:jc w:val="center"/>
              <w:rPr>
                <w:sz w:val="16"/>
                <w:szCs w:val="16"/>
                <w:lang w:val="es-ES"/>
              </w:rPr>
            </w:pPr>
            <w:r w:rsidRPr="00E960FC">
              <w:rPr>
                <w:sz w:val="16"/>
                <w:szCs w:val="16"/>
                <w:lang w:val="es-ES"/>
              </w:rPr>
              <w:t>71,9</w:t>
            </w:r>
          </w:p>
        </w:tc>
      </w:tr>
      <w:tr w:rsidR="00A610C1" w:rsidRPr="00E960FC" w:rsidTr="00A610C1">
        <w:trPr>
          <w:jc w:val="center"/>
        </w:trPr>
        <w:tc>
          <w:tcPr>
            <w:tcW w:w="993" w:type="dxa"/>
          </w:tcPr>
          <w:p w:rsidR="00A610C1" w:rsidRPr="00E960FC" w:rsidRDefault="00A610C1" w:rsidP="00442FAA">
            <w:pPr>
              <w:rPr>
                <w:b/>
                <w:sz w:val="16"/>
                <w:szCs w:val="16"/>
                <w:lang w:val="es-ES"/>
              </w:rPr>
            </w:pPr>
            <w:r w:rsidRPr="00E960FC">
              <w:rPr>
                <w:b/>
                <w:sz w:val="16"/>
                <w:szCs w:val="16"/>
                <w:lang w:val="es-ES"/>
              </w:rPr>
              <w:t>VAN (@ 12%)</w:t>
            </w:r>
          </w:p>
        </w:tc>
        <w:tc>
          <w:tcPr>
            <w:tcW w:w="851" w:type="dxa"/>
            <w:vAlign w:val="center"/>
          </w:tcPr>
          <w:p w:rsidR="00A610C1" w:rsidRPr="00E960FC" w:rsidRDefault="00A610C1" w:rsidP="00442FAA">
            <w:pPr>
              <w:jc w:val="center"/>
              <w:rPr>
                <w:sz w:val="16"/>
                <w:szCs w:val="16"/>
                <w:lang w:val="es-ES"/>
              </w:rPr>
            </w:pPr>
            <w:r w:rsidRPr="00E960FC">
              <w:rPr>
                <w:sz w:val="16"/>
                <w:szCs w:val="16"/>
                <w:lang w:val="es-ES"/>
              </w:rPr>
              <w:t>-3,2</w:t>
            </w:r>
          </w:p>
        </w:tc>
        <w:tc>
          <w:tcPr>
            <w:tcW w:w="850" w:type="dxa"/>
            <w:vAlign w:val="center"/>
          </w:tcPr>
          <w:p w:rsidR="00A610C1" w:rsidRPr="00E960FC" w:rsidRDefault="00A610C1" w:rsidP="00442FAA">
            <w:pPr>
              <w:jc w:val="center"/>
              <w:rPr>
                <w:sz w:val="16"/>
                <w:szCs w:val="16"/>
                <w:lang w:val="es-ES"/>
              </w:rPr>
            </w:pPr>
          </w:p>
        </w:tc>
        <w:tc>
          <w:tcPr>
            <w:tcW w:w="77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r>
      <w:tr w:rsidR="00A610C1" w:rsidRPr="00E960FC" w:rsidTr="00A610C1">
        <w:trPr>
          <w:jc w:val="center"/>
        </w:trPr>
        <w:tc>
          <w:tcPr>
            <w:tcW w:w="993" w:type="dxa"/>
          </w:tcPr>
          <w:p w:rsidR="00A610C1" w:rsidRPr="00E960FC" w:rsidRDefault="00A610C1" w:rsidP="00442FAA">
            <w:pPr>
              <w:rPr>
                <w:b/>
                <w:sz w:val="16"/>
                <w:szCs w:val="16"/>
                <w:lang w:val="es-ES"/>
              </w:rPr>
            </w:pPr>
            <w:r w:rsidRPr="00E960FC">
              <w:rPr>
                <w:b/>
                <w:sz w:val="16"/>
                <w:szCs w:val="16"/>
                <w:lang w:val="es-ES"/>
              </w:rPr>
              <w:t>TIR</w:t>
            </w:r>
          </w:p>
        </w:tc>
        <w:tc>
          <w:tcPr>
            <w:tcW w:w="851" w:type="dxa"/>
            <w:vAlign w:val="center"/>
          </w:tcPr>
          <w:p w:rsidR="00A610C1" w:rsidRPr="00E960FC" w:rsidRDefault="00A610C1" w:rsidP="003E3230">
            <w:pPr>
              <w:jc w:val="center"/>
              <w:rPr>
                <w:sz w:val="16"/>
                <w:szCs w:val="16"/>
                <w:lang w:val="es-ES"/>
              </w:rPr>
            </w:pPr>
            <w:r w:rsidRPr="00E960FC">
              <w:rPr>
                <w:sz w:val="16"/>
                <w:szCs w:val="16"/>
                <w:lang w:val="es-ES"/>
              </w:rPr>
              <w:t>11%</w:t>
            </w:r>
          </w:p>
        </w:tc>
        <w:tc>
          <w:tcPr>
            <w:tcW w:w="850" w:type="dxa"/>
            <w:vAlign w:val="center"/>
          </w:tcPr>
          <w:p w:rsidR="00A610C1" w:rsidRPr="00E960FC" w:rsidRDefault="00A610C1" w:rsidP="00442FAA">
            <w:pPr>
              <w:jc w:val="center"/>
              <w:rPr>
                <w:sz w:val="16"/>
                <w:szCs w:val="16"/>
                <w:lang w:val="es-ES"/>
              </w:rPr>
            </w:pPr>
          </w:p>
        </w:tc>
        <w:tc>
          <w:tcPr>
            <w:tcW w:w="77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c>
          <w:tcPr>
            <w:tcW w:w="721" w:type="dxa"/>
            <w:vAlign w:val="center"/>
          </w:tcPr>
          <w:p w:rsidR="00A610C1" w:rsidRPr="00E960FC" w:rsidRDefault="00A610C1" w:rsidP="00442FAA">
            <w:pPr>
              <w:jc w:val="center"/>
              <w:rPr>
                <w:sz w:val="16"/>
                <w:szCs w:val="16"/>
                <w:lang w:val="es-ES"/>
              </w:rPr>
            </w:pPr>
          </w:p>
        </w:tc>
      </w:tr>
    </w:tbl>
    <w:p w:rsidR="003D6B5B" w:rsidRPr="00E960FC" w:rsidRDefault="003D6B5B" w:rsidP="00442FAA">
      <w:pPr>
        <w:spacing w:after="0"/>
        <w:jc w:val="center"/>
        <w:rPr>
          <w:lang w:val="es-ES"/>
        </w:rPr>
      </w:pPr>
    </w:p>
    <w:p w:rsidR="002F29FB" w:rsidRPr="00E960FC" w:rsidRDefault="002F29FB" w:rsidP="00442FAA">
      <w:pPr>
        <w:spacing w:after="0"/>
        <w:jc w:val="center"/>
        <w:rPr>
          <w:lang w:val="es-ES"/>
        </w:rPr>
      </w:pPr>
    </w:p>
    <w:p w:rsidR="002F29FB" w:rsidRPr="00E960FC" w:rsidRDefault="002F29FB" w:rsidP="00442FAA">
      <w:pPr>
        <w:spacing w:after="0"/>
        <w:jc w:val="center"/>
        <w:rPr>
          <w:lang w:val="es-ES"/>
        </w:rPr>
      </w:pPr>
    </w:p>
    <w:p w:rsidR="00982E67" w:rsidRPr="00E960FC" w:rsidRDefault="00982E67" w:rsidP="00442FAA">
      <w:pPr>
        <w:pStyle w:val="ListParagraph"/>
        <w:numPr>
          <w:ilvl w:val="0"/>
          <w:numId w:val="2"/>
        </w:numPr>
        <w:spacing w:after="0"/>
        <w:rPr>
          <w:b/>
          <w:lang w:val="es-ES"/>
        </w:rPr>
      </w:pPr>
      <w:r w:rsidRPr="00E960FC">
        <w:rPr>
          <w:b/>
          <w:lang w:val="es-ES"/>
        </w:rPr>
        <w:t>Análisis de Sensibilidad</w:t>
      </w:r>
    </w:p>
    <w:p w:rsidR="00442FAA" w:rsidRPr="00E960FC" w:rsidRDefault="00442FAA" w:rsidP="00442FAA">
      <w:pPr>
        <w:pStyle w:val="ListParagraph"/>
        <w:spacing w:after="0"/>
        <w:ind w:left="1080"/>
        <w:rPr>
          <w:b/>
          <w:lang w:val="es-ES"/>
        </w:rPr>
      </w:pPr>
    </w:p>
    <w:p w:rsidR="00C833DD" w:rsidRPr="00E960FC" w:rsidRDefault="00DF3FD7" w:rsidP="00442FAA">
      <w:pPr>
        <w:spacing w:after="0"/>
        <w:jc w:val="both"/>
        <w:rPr>
          <w:lang w:val="es-ES"/>
        </w:rPr>
      </w:pPr>
      <w:r w:rsidRPr="00E960FC">
        <w:rPr>
          <w:lang w:val="es-ES"/>
        </w:rPr>
        <w:t xml:space="preserve">En vista de </w:t>
      </w:r>
      <w:r w:rsidR="00423BC3" w:rsidRPr="00E960FC">
        <w:rPr>
          <w:lang w:val="es-ES"/>
        </w:rPr>
        <w:t xml:space="preserve">que los efectos estimados por la comisión de expertos para cada uno de los programas son variables estocásticas (de hecho, tienen asociado un error estándar), y cuyo comportamiento no es determinístico en el tiempo, en esta sección se llevarán a cabo </w:t>
      </w:r>
      <w:r w:rsidRPr="00E960FC">
        <w:rPr>
          <w:lang w:val="es-ES"/>
        </w:rPr>
        <w:t xml:space="preserve">análisis de sensibilidad </w:t>
      </w:r>
      <w:r w:rsidR="00423BC3" w:rsidRPr="00E960FC">
        <w:rPr>
          <w:lang w:val="es-ES"/>
        </w:rPr>
        <w:t xml:space="preserve">para </w:t>
      </w:r>
      <w:r w:rsidR="00423BC3" w:rsidRPr="00E960FC">
        <w:rPr>
          <w:lang w:val="es-ES"/>
        </w:rPr>
        <w:lastRenderedPageBreak/>
        <w:t>determinar una probable distribución para el VAN de cada uno de los proyectos.</w:t>
      </w:r>
      <w:r w:rsidR="00423BC3" w:rsidRPr="00E960FC">
        <w:rPr>
          <w:rStyle w:val="FootnoteReference"/>
          <w:lang w:val="es-ES"/>
        </w:rPr>
        <w:footnoteReference w:id="20"/>
      </w:r>
      <w:r w:rsidR="00423BC3" w:rsidRPr="00E960FC">
        <w:rPr>
          <w:lang w:val="es-ES"/>
        </w:rPr>
        <w:t xml:space="preserve"> También en esta sección se presentan los puntos de equilibrio para los programas de capacitación, en términos de cuál debiera ser el impacto del programa en salario para garantizar al menos un VAN nulo. </w:t>
      </w:r>
    </w:p>
    <w:p w:rsidR="00AB3724" w:rsidRPr="00E960FC" w:rsidRDefault="00AB3724" w:rsidP="00442FAA">
      <w:pPr>
        <w:spacing w:after="0"/>
        <w:jc w:val="both"/>
        <w:rPr>
          <w:lang w:val="es-ES"/>
        </w:rPr>
      </w:pPr>
    </w:p>
    <w:p w:rsidR="00442FAA" w:rsidRPr="00E960FC" w:rsidRDefault="00442FAA" w:rsidP="00442FAA">
      <w:pPr>
        <w:spacing w:after="0"/>
        <w:jc w:val="both"/>
        <w:rPr>
          <w:lang w:val="es-ES"/>
        </w:rPr>
      </w:pPr>
    </w:p>
    <w:p w:rsidR="00AB3724" w:rsidRPr="00E960FC" w:rsidRDefault="00AB3724" w:rsidP="00442FAA">
      <w:pPr>
        <w:spacing w:after="0"/>
        <w:jc w:val="both"/>
        <w:rPr>
          <w:b/>
          <w:i/>
          <w:lang w:val="es-ES"/>
        </w:rPr>
      </w:pPr>
      <w:r w:rsidRPr="00E960FC">
        <w:rPr>
          <w:b/>
          <w:i/>
          <w:lang w:val="es-ES"/>
        </w:rPr>
        <w:t>Análisis de Montecarlo</w:t>
      </w:r>
    </w:p>
    <w:p w:rsidR="00442FAA" w:rsidRPr="00E960FC" w:rsidRDefault="00442FAA" w:rsidP="00442FAA">
      <w:pPr>
        <w:spacing w:after="0"/>
        <w:jc w:val="both"/>
        <w:rPr>
          <w:lang w:val="es-ES"/>
        </w:rPr>
      </w:pPr>
    </w:p>
    <w:p w:rsidR="00AB3724" w:rsidRPr="00E960FC" w:rsidRDefault="00AB3724" w:rsidP="00442FAA">
      <w:pPr>
        <w:spacing w:after="0"/>
        <w:jc w:val="both"/>
        <w:rPr>
          <w:lang w:val="es-ES"/>
        </w:rPr>
      </w:pPr>
      <w:r w:rsidRPr="00E960FC">
        <w:rPr>
          <w:lang w:val="es-ES"/>
        </w:rPr>
        <w:t xml:space="preserve">A continuación se presentan los resultados de las simulaciones que se han llevado a cabo con el objetivo de evaluar la sensibilidad del VAN a los supuestos establecidos en términos de impacto. </w:t>
      </w:r>
    </w:p>
    <w:p w:rsidR="00442FAA" w:rsidRPr="00E960FC" w:rsidRDefault="00442FAA" w:rsidP="00442FAA">
      <w:pPr>
        <w:spacing w:after="0"/>
        <w:jc w:val="both"/>
        <w:rPr>
          <w:lang w:val="es-ES"/>
        </w:rPr>
      </w:pPr>
    </w:p>
    <w:p w:rsidR="00AB3724" w:rsidRPr="00E960FC" w:rsidRDefault="00AB3724" w:rsidP="00442FAA">
      <w:pPr>
        <w:spacing w:after="0"/>
        <w:jc w:val="both"/>
        <w:rPr>
          <w:lang w:val="es-ES"/>
        </w:rPr>
      </w:pPr>
      <w:r w:rsidRPr="00E960FC">
        <w:rPr>
          <w:lang w:val="es-ES"/>
        </w:rPr>
        <w:t>El cuadro 1</w:t>
      </w:r>
      <w:r w:rsidR="00B93BCA" w:rsidRPr="00E960FC">
        <w:rPr>
          <w:lang w:val="es-ES"/>
        </w:rPr>
        <w:t>2</w:t>
      </w:r>
      <w:r w:rsidRPr="00E960FC">
        <w:rPr>
          <w:lang w:val="es-ES"/>
        </w:rPr>
        <w:t xml:space="preserve"> presenta un resumen de los impactos y el rango esta</w:t>
      </w:r>
      <w:r w:rsidR="003E0C32" w:rsidRPr="00E960FC">
        <w:rPr>
          <w:lang w:val="es-ES"/>
        </w:rPr>
        <w:t>blecido para la sensibilización. En base a esta información, se procedieron a realizar las simulaciones de Montecarlo, y se ejecutaron mil realizaciones estocásticas para el comportamiento de las variables sensibilizadas. Los resultados, por programa, se presentan a continuación.</w:t>
      </w:r>
    </w:p>
    <w:p w:rsidR="00AB3724" w:rsidRPr="00E960FC" w:rsidRDefault="00AB3724" w:rsidP="00442FAA">
      <w:pPr>
        <w:spacing w:after="0" w:line="240" w:lineRule="auto"/>
        <w:jc w:val="center"/>
        <w:rPr>
          <w:b/>
          <w:sz w:val="20"/>
          <w:szCs w:val="20"/>
          <w:lang w:val="es-ES"/>
        </w:rPr>
      </w:pPr>
    </w:p>
    <w:p w:rsidR="003E0C32" w:rsidRPr="00E960FC" w:rsidRDefault="003E0C32" w:rsidP="00442FAA">
      <w:pPr>
        <w:spacing w:after="0" w:line="240" w:lineRule="auto"/>
        <w:jc w:val="center"/>
        <w:rPr>
          <w:b/>
          <w:sz w:val="20"/>
          <w:szCs w:val="20"/>
          <w:lang w:val="es-ES"/>
        </w:rPr>
      </w:pPr>
    </w:p>
    <w:p w:rsidR="00AB3724" w:rsidRPr="00E960FC" w:rsidRDefault="00B93BCA" w:rsidP="00442FAA">
      <w:pPr>
        <w:spacing w:after="0" w:line="240" w:lineRule="auto"/>
        <w:jc w:val="center"/>
        <w:rPr>
          <w:b/>
          <w:sz w:val="20"/>
          <w:szCs w:val="20"/>
          <w:lang w:val="es-ES"/>
        </w:rPr>
      </w:pPr>
      <w:r w:rsidRPr="00E960FC">
        <w:rPr>
          <w:b/>
          <w:sz w:val="20"/>
          <w:szCs w:val="20"/>
          <w:lang w:val="es-ES"/>
        </w:rPr>
        <w:t>Cuadro 12</w:t>
      </w:r>
    </w:p>
    <w:p w:rsidR="00AB3724" w:rsidRPr="00E960FC" w:rsidRDefault="00AB3724" w:rsidP="00442FAA">
      <w:pPr>
        <w:spacing w:after="0" w:line="240" w:lineRule="auto"/>
        <w:jc w:val="center"/>
        <w:rPr>
          <w:b/>
          <w:sz w:val="20"/>
          <w:szCs w:val="20"/>
          <w:lang w:val="es-ES"/>
        </w:rPr>
      </w:pPr>
      <w:r w:rsidRPr="00E960FC">
        <w:rPr>
          <w:b/>
          <w:sz w:val="20"/>
          <w:szCs w:val="20"/>
          <w:lang w:val="es-ES"/>
        </w:rPr>
        <w:t>Supuestos para la sensibilización</w:t>
      </w:r>
    </w:p>
    <w:p w:rsidR="00AB3724" w:rsidRPr="00E960FC" w:rsidRDefault="00AB3724" w:rsidP="00442FAA">
      <w:pPr>
        <w:spacing w:after="0" w:line="240" w:lineRule="auto"/>
        <w:jc w:val="center"/>
        <w:rPr>
          <w:b/>
          <w:sz w:val="20"/>
          <w:szCs w:val="20"/>
          <w:lang w:val="es-ES"/>
        </w:rPr>
      </w:pPr>
    </w:p>
    <w:tbl>
      <w:tblPr>
        <w:tblStyle w:val="TableGrid"/>
        <w:tblW w:w="0" w:type="auto"/>
        <w:tblLook w:val="04A0"/>
      </w:tblPr>
      <w:tblGrid>
        <w:gridCol w:w="2088"/>
        <w:gridCol w:w="1965"/>
        <w:gridCol w:w="1667"/>
        <w:gridCol w:w="1667"/>
        <w:gridCol w:w="1667"/>
      </w:tblGrid>
      <w:tr w:rsidR="00AA6A96" w:rsidRPr="00E960FC" w:rsidTr="00257C10">
        <w:tc>
          <w:tcPr>
            <w:tcW w:w="2088" w:type="dxa"/>
          </w:tcPr>
          <w:p w:rsidR="00AA6A96" w:rsidRPr="00E960FC" w:rsidRDefault="00AA6A96" w:rsidP="00442FAA">
            <w:pPr>
              <w:jc w:val="center"/>
              <w:rPr>
                <w:b/>
                <w:sz w:val="20"/>
                <w:szCs w:val="20"/>
                <w:lang w:val="es-ES"/>
              </w:rPr>
            </w:pPr>
            <w:r w:rsidRPr="00E960FC">
              <w:rPr>
                <w:b/>
                <w:sz w:val="20"/>
                <w:szCs w:val="20"/>
                <w:lang w:val="es-ES"/>
              </w:rPr>
              <w:t>Programa</w:t>
            </w:r>
          </w:p>
        </w:tc>
        <w:tc>
          <w:tcPr>
            <w:tcW w:w="3632" w:type="dxa"/>
            <w:gridSpan w:val="2"/>
          </w:tcPr>
          <w:p w:rsidR="00AA6A96" w:rsidRPr="00E960FC" w:rsidRDefault="00AA6A96" w:rsidP="00442FAA">
            <w:pPr>
              <w:jc w:val="center"/>
              <w:rPr>
                <w:b/>
                <w:sz w:val="20"/>
                <w:szCs w:val="20"/>
                <w:lang w:val="es-ES"/>
              </w:rPr>
            </w:pPr>
            <w:r w:rsidRPr="00E960FC">
              <w:rPr>
                <w:b/>
                <w:sz w:val="20"/>
                <w:szCs w:val="20"/>
                <w:lang w:val="es-ES"/>
              </w:rPr>
              <w:t>Salarios</w:t>
            </w:r>
          </w:p>
        </w:tc>
        <w:tc>
          <w:tcPr>
            <w:tcW w:w="3334" w:type="dxa"/>
            <w:gridSpan w:val="2"/>
          </w:tcPr>
          <w:p w:rsidR="00AA6A96" w:rsidRPr="00E960FC" w:rsidRDefault="00AA6A96" w:rsidP="00442FAA">
            <w:pPr>
              <w:jc w:val="center"/>
              <w:rPr>
                <w:b/>
                <w:sz w:val="20"/>
                <w:szCs w:val="20"/>
                <w:lang w:val="es-ES"/>
              </w:rPr>
            </w:pPr>
            <w:r w:rsidRPr="00E960FC">
              <w:rPr>
                <w:b/>
                <w:sz w:val="20"/>
                <w:szCs w:val="20"/>
                <w:lang w:val="es-ES"/>
              </w:rPr>
              <w:t>Empleo</w:t>
            </w:r>
          </w:p>
        </w:tc>
      </w:tr>
      <w:tr w:rsidR="00AB3724" w:rsidRPr="00E960FC" w:rsidTr="00AB3724">
        <w:tc>
          <w:tcPr>
            <w:tcW w:w="2088" w:type="dxa"/>
          </w:tcPr>
          <w:p w:rsidR="00AB3724" w:rsidRPr="00E960FC" w:rsidRDefault="00AB3724" w:rsidP="00442FAA">
            <w:pPr>
              <w:jc w:val="center"/>
              <w:rPr>
                <w:sz w:val="20"/>
                <w:szCs w:val="20"/>
                <w:lang w:val="es-ES"/>
              </w:rPr>
            </w:pPr>
          </w:p>
        </w:tc>
        <w:tc>
          <w:tcPr>
            <w:tcW w:w="1965" w:type="dxa"/>
          </w:tcPr>
          <w:p w:rsidR="00AB3724" w:rsidRPr="00E960FC" w:rsidRDefault="00AB3724" w:rsidP="00442FAA">
            <w:pPr>
              <w:jc w:val="center"/>
              <w:rPr>
                <w:b/>
                <w:sz w:val="20"/>
                <w:szCs w:val="20"/>
                <w:lang w:val="es-ES"/>
              </w:rPr>
            </w:pPr>
            <w:r w:rsidRPr="00E960FC">
              <w:rPr>
                <w:b/>
                <w:sz w:val="20"/>
                <w:szCs w:val="20"/>
                <w:lang w:val="es-ES"/>
              </w:rPr>
              <w:t>Valor más probable</w:t>
            </w:r>
          </w:p>
        </w:tc>
        <w:tc>
          <w:tcPr>
            <w:tcW w:w="1667" w:type="dxa"/>
          </w:tcPr>
          <w:p w:rsidR="00AB3724" w:rsidRPr="00E960FC" w:rsidRDefault="00AB3724" w:rsidP="00442FAA">
            <w:pPr>
              <w:jc w:val="center"/>
              <w:rPr>
                <w:b/>
                <w:sz w:val="20"/>
                <w:szCs w:val="20"/>
                <w:lang w:val="es-ES"/>
              </w:rPr>
            </w:pPr>
            <w:r w:rsidRPr="00E960FC">
              <w:rPr>
                <w:b/>
                <w:sz w:val="20"/>
                <w:szCs w:val="20"/>
                <w:lang w:val="es-ES"/>
              </w:rPr>
              <w:t>Rango</w:t>
            </w:r>
          </w:p>
        </w:tc>
        <w:tc>
          <w:tcPr>
            <w:tcW w:w="1667" w:type="dxa"/>
          </w:tcPr>
          <w:p w:rsidR="00AB3724" w:rsidRPr="00E960FC" w:rsidRDefault="00AB3724" w:rsidP="00442FAA">
            <w:pPr>
              <w:jc w:val="center"/>
              <w:rPr>
                <w:b/>
                <w:sz w:val="20"/>
                <w:szCs w:val="20"/>
                <w:lang w:val="es-ES"/>
              </w:rPr>
            </w:pPr>
            <w:r w:rsidRPr="00E960FC">
              <w:rPr>
                <w:b/>
                <w:sz w:val="20"/>
                <w:szCs w:val="20"/>
                <w:lang w:val="es-ES"/>
              </w:rPr>
              <w:t>Valor más probable</w:t>
            </w:r>
          </w:p>
        </w:tc>
        <w:tc>
          <w:tcPr>
            <w:tcW w:w="1667" w:type="dxa"/>
          </w:tcPr>
          <w:p w:rsidR="00AB3724" w:rsidRPr="00E960FC" w:rsidRDefault="00AB3724" w:rsidP="00442FAA">
            <w:pPr>
              <w:jc w:val="center"/>
              <w:rPr>
                <w:b/>
                <w:sz w:val="20"/>
                <w:szCs w:val="20"/>
                <w:lang w:val="es-ES"/>
              </w:rPr>
            </w:pPr>
            <w:r w:rsidRPr="00E960FC">
              <w:rPr>
                <w:b/>
                <w:sz w:val="20"/>
                <w:szCs w:val="20"/>
                <w:lang w:val="es-ES"/>
              </w:rPr>
              <w:t>Rango</w:t>
            </w:r>
          </w:p>
        </w:tc>
      </w:tr>
      <w:tr w:rsidR="00AB3724" w:rsidRPr="00E960FC" w:rsidTr="00AB3724">
        <w:tc>
          <w:tcPr>
            <w:tcW w:w="2088" w:type="dxa"/>
          </w:tcPr>
          <w:p w:rsidR="00AB3724" w:rsidRPr="00E960FC" w:rsidRDefault="00AB3724" w:rsidP="00442FAA">
            <w:pPr>
              <w:jc w:val="center"/>
              <w:rPr>
                <w:sz w:val="20"/>
                <w:szCs w:val="20"/>
                <w:lang w:val="es-ES"/>
              </w:rPr>
            </w:pPr>
            <w:r w:rsidRPr="00E960FC">
              <w:rPr>
                <w:sz w:val="20"/>
                <w:szCs w:val="20"/>
                <w:lang w:val="es-ES"/>
              </w:rPr>
              <w:t>Bono del trabajador activo</w:t>
            </w:r>
          </w:p>
        </w:tc>
        <w:tc>
          <w:tcPr>
            <w:tcW w:w="1965" w:type="dxa"/>
          </w:tcPr>
          <w:p w:rsidR="00AB3724" w:rsidRPr="00E960FC" w:rsidRDefault="00B93BCA" w:rsidP="00442FAA">
            <w:pPr>
              <w:jc w:val="center"/>
              <w:rPr>
                <w:sz w:val="20"/>
                <w:szCs w:val="20"/>
                <w:lang w:val="es-ES"/>
              </w:rPr>
            </w:pPr>
            <w:r w:rsidRPr="00E960FC">
              <w:rPr>
                <w:sz w:val="20"/>
                <w:szCs w:val="20"/>
                <w:lang w:val="es-ES"/>
              </w:rPr>
              <w:t>0,</w:t>
            </w:r>
            <w:r w:rsidR="00AB3724" w:rsidRPr="00E960FC">
              <w:rPr>
                <w:sz w:val="20"/>
                <w:szCs w:val="20"/>
                <w:lang w:val="es-ES"/>
              </w:rPr>
              <w:t>055</w:t>
            </w:r>
          </w:p>
        </w:tc>
        <w:tc>
          <w:tcPr>
            <w:tcW w:w="1667" w:type="dxa"/>
          </w:tcPr>
          <w:p w:rsidR="00AB3724" w:rsidRPr="00E960FC" w:rsidRDefault="00B93BCA" w:rsidP="00442FAA">
            <w:pPr>
              <w:jc w:val="center"/>
              <w:rPr>
                <w:sz w:val="20"/>
                <w:szCs w:val="20"/>
                <w:lang w:val="es-ES"/>
              </w:rPr>
            </w:pPr>
            <w:r w:rsidRPr="00E960FC">
              <w:rPr>
                <w:sz w:val="20"/>
                <w:szCs w:val="20"/>
                <w:lang w:val="es-ES"/>
              </w:rPr>
              <w:t>0,02-0,</w:t>
            </w:r>
            <w:r w:rsidR="00AB3724" w:rsidRPr="00E960FC">
              <w:rPr>
                <w:sz w:val="20"/>
                <w:szCs w:val="20"/>
                <w:lang w:val="es-ES"/>
              </w:rPr>
              <w:t>09</w:t>
            </w:r>
          </w:p>
        </w:tc>
        <w:tc>
          <w:tcPr>
            <w:tcW w:w="1667" w:type="dxa"/>
          </w:tcPr>
          <w:p w:rsidR="00AB3724" w:rsidRPr="00E960FC" w:rsidRDefault="00AB3724" w:rsidP="00442FAA">
            <w:pPr>
              <w:jc w:val="center"/>
              <w:rPr>
                <w:sz w:val="20"/>
                <w:szCs w:val="20"/>
                <w:lang w:val="es-ES"/>
              </w:rPr>
            </w:pPr>
            <w:r w:rsidRPr="00E960FC">
              <w:rPr>
                <w:sz w:val="20"/>
                <w:szCs w:val="20"/>
                <w:lang w:val="es-ES"/>
              </w:rPr>
              <w:t>X</w:t>
            </w:r>
          </w:p>
        </w:tc>
        <w:tc>
          <w:tcPr>
            <w:tcW w:w="1667" w:type="dxa"/>
          </w:tcPr>
          <w:p w:rsidR="00AB3724" w:rsidRPr="00E960FC" w:rsidRDefault="00AB3724" w:rsidP="00442FAA">
            <w:pPr>
              <w:jc w:val="center"/>
              <w:rPr>
                <w:sz w:val="20"/>
                <w:szCs w:val="20"/>
                <w:lang w:val="es-ES"/>
              </w:rPr>
            </w:pPr>
            <w:r w:rsidRPr="00E960FC">
              <w:rPr>
                <w:sz w:val="20"/>
                <w:szCs w:val="20"/>
                <w:lang w:val="es-ES"/>
              </w:rPr>
              <w:t>X</w:t>
            </w:r>
          </w:p>
        </w:tc>
      </w:tr>
      <w:tr w:rsidR="00AB3724" w:rsidRPr="00E960FC" w:rsidTr="00AB3724">
        <w:tc>
          <w:tcPr>
            <w:tcW w:w="2088" w:type="dxa"/>
          </w:tcPr>
          <w:p w:rsidR="00AB3724" w:rsidRPr="00E960FC" w:rsidRDefault="006B5262" w:rsidP="00442FAA">
            <w:pPr>
              <w:jc w:val="center"/>
              <w:rPr>
                <w:sz w:val="20"/>
                <w:szCs w:val="20"/>
                <w:lang w:val="es-ES"/>
              </w:rPr>
            </w:pPr>
            <w:r w:rsidRPr="00E960FC">
              <w:rPr>
                <w:sz w:val="20"/>
                <w:szCs w:val="20"/>
                <w:lang w:val="es-ES"/>
              </w:rPr>
              <w:t>Programa formación en el puesto de trabajo</w:t>
            </w:r>
          </w:p>
        </w:tc>
        <w:tc>
          <w:tcPr>
            <w:tcW w:w="1965" w:type="dxa"/>
          </w:tcPr>
          <w:p w:rsidR="00AB3724" w:rsidRPr="00E960FC" w:rsidRDefault="00B93BCA" w:rsidP="00442FAA">
            <w:pPr>
              <w:jc w:val="center"/>
              <w:rPr>
                <w:sz w:val="20"/>
                <w:szCs w:val="20"/>
                <w:lang w:val="es-ES"/>
              </w:rPr>
            </w:pPr>
            <w:r w:rsidRPr="00E960FC">
              <w:rPr>
                <w:sz w:val="20"/>
                <w:szCs w:val="20"/>
                <w:lang w:val="es-ES"/>
              </w:rPr>
              <w:t>0,</w:t>
            </w:r>
            <w:r w:rsidR="00AB3724" w:rsidRPr="00E960FC">
              <w:rPr>
                <w:sz w:val="20"/>
                <w:szCs w:val="20"/>
                <w:lang w:val="es-ES"/>
              </w:rPr>
              <w:t>055</w:t>
            </w:r>
          </w:p>
        </w:tc>
        <w:tc>
          <w:tcPr>
            <w:tcW w:w="1667" w:type="dxa"/>
          </w:tcPr>
          <w:p w:rsidR="00AB3724" w:rsidRPr="00E960FC" w:rsidRDefault="00B93BCA" w:rsidP="00442FAA">
            <w:pPr>
              <w:jc w:val="center"/>
              <w:rPr>
                <w:sz w:val="20"/>
                <w:szCs w:val="20"/>
                <w:lang w:val="es-ES"/>
              </w:rPr>
            </w:pPr>
            <w:r w:rsidRPr="00E960FC">
              <w:rPr>
                <w:sz w:val="20"/>
                <w:szCs w:val="20"/>
                <w:lang w:val="es-ES"/>
              </w:rPr>
              <w:t>0,02-0,</w:t>
            </w:r>
            <w:r w:rsidR="00AB3724" w:rsidRPr="00E960FC">
              <w:rPr>
                <w:sz w:val="20"/>
                <w:szCs w:val="20"/>
                <w:lang w:val="es-ES"/>
              </w:rPr>
              <w:t>09</w:t>
            </w:r>
          </w:p>
        </w:tc>
        <w:tc>
          <w:tcPr>
            <w:tcW w:w="1667" w:type="dxa"/>
          </w:tcPr>
          <w:p w:rsidR="00AB3724" w:rsidRPr="00E960FC" w:rsidRDefault="00B93BCA" w:rsidP="00442FAA">
            <w:pPr>
              <w:jc w:val="center"/>
              <w:rPr>
                <w:sz w:val="20"/>
                <w:szCs w:val="20"/>
                <w:lang w:val="es-ES"/>
              </w:rPr>
            </w:pPr>
            <w:r w:rsidRPr="00E960FC">
              <w:rPr>
                <w:sz w:val="20"/>
                <w:szCs w:val="20"/>
                <w:lang w:val="es-ES"/>
              </w:rPr>
              <w:t>0,</w:t>
            </w:r>
            <w:r w:rsidR="00AB3724" w:rsidRPr="00E960FC">
              <w:rPr>
                <w:sz w:val="20"/>
                <w:szCs w:val="20"/>
                <w:lang w:val="es-ES"/>
              </w:rPr>
              <w:t>03</w:t>
            </w:r>
          </w:p>
        </w:tc>
        <w:tc>
          <w:tcPr>
            <w:tcW w:w="1667" w:type="dxa"/>
          </w:tcPr>
          <w:p w:rsidR="00AB3724" w:rsidRPr="00E960FC" w:rsidRDefault="00B93BCA" w:rsidP="00442FAA">
            <w:pPr>
              <w:jc w:val="center"/>
              <w:rPr>
                <w:sz w:val="20"/>
                <w:szCs w:val="20"/>
                <w:lang w:val="es-ES"/>
              </w:rPr>
            </w:pPr>
            <w:r w:rsidRPr="00E960FC">
              <w:rPr>
                <w:sz w:val="20"/>
                <w:szCs w:val="20"/>
                <w:lang w:val="es-ES"/>
              </w:rPr>
              <w:t>0,01-0,</w:t>
            </w:r>
            <w:r w:rsidR="00AB3724" w:rsidRPr="00E960FC">
              <w:rPr>
                <w:sz w:val="20"/>
                <w:szCs w:val="20"/>
                <w:lang w:val="es-ES"/>
              </w:rPr>
              <w:t>05</w:t>
            </w:r>
          </w:p>
        </w:tc>
      </w:tr>
      <w:tr w:rsidR="00AB3724" w:rsidRPr="00E960FC" w:rsidTr="00AB3724">
        <w:tc>
          <w:tcPr>
            <w:tcW w:w="2088" w:type="dxa"/>
          </w:tcPr>
          <w:p w:rsidR="00AB3724" w:rsidRPr="00E960FC" w:rsidRDefault="00AB3724" w:rsidP="00442FAA">
            <w:pPr>
              <w:jc w:val="center"/>
              <w:rPr>
                <w:sz w:val="20"/>
                <w:szCs w:val="20"/>
                <w:lang w:val="es-ES"/>
              </w:rPr>
            </w:pPr>
            <w:r w:rsidRPr="00E960FC">
              <w:rPr>
                <w:sz w:val="20"/>
                <w:szCs w:val="20"/>
                <w:lang w:val="es-ES"/>
              </w:rPr>
              <w:t>Programa oficios</w:t>
            </w:r>
          </w:p>
        </w:tc>
        <w:tc>
          <w:tcPr>
            <w:tcW w:w="1965" w:type="dxa"/>
          </w:tcPr>
          <w:p w:rsidR="00AB3724" w:rsidRPr="00E960FC" w:rsidRDefault="00B93BCA" w:rsidP="00442FAA">
            <w:pPr>
              <w:jc w:val="center"/>
              <w:rPr>
                <w:sz w:val="20"/>
                <w:szCs w:val="20"/>
                <w:lang w:val="es-ES"/>
              </w:rPr>
            </w:pPr>
            <w:r w:rsidRPr="00E960FC">
              <w:rPr>
                <w:sz w:val="20"/>
                <w:szCs w:val="20"/>
                <w:lang w:val="es-ES"/>
              </w:rPr>
              <w:t>0,</w:t>
            </w:r>
            <w:r w:rsidR="00667960" w:rsidRPr="00E960FC">
              <w:rPr>
                <w:sz w:val="20"/>
                <w:szCs w:val="20"/>
                <w:lang w:val="es-ES"/>
              </w:rPr>
              <w:t>16</w:t>
            </w:r>
          </w:p>
        </w:tc>
        <w:tc>
          <w:tcPr>
            <w:tcW w:w="1667" w:type="dxa"/>
          </w:tcPr>
          <w:p w:rsidR="00AB3724" w:rsidRPr="00E960FC" w:rsidRDefault="00B93BCA" w:rsidP="00442FAA">
            <w:pPr>
              <w:jc w:val="center"/>
              <w:rPr>
                <w:sz w:val="20"/>
                <w:szCs w:val="20"/>
                <w:lang w:val="es-ES"/>
              </w:rPr>
            </w:pPr>
            <w:r w:rsidRPr="00E960FC">
              <w:rPr>
                <w:sz w:val="20"/>
                <w:szCs w:val="20"/>
                <w:lang w:val="es-ES"/>
              </w:rPr>
              <w:t>0,15-0,</w:t>
            </w:r>
            <w:r w:rsidR="00667960" w:rsidRPr="00E960FC">
              <w:rPr>
                <w:sz w:val="20"/>
                <w:szCs w:val="20"/>
                <w:lang w:val="es-ES"/>
              </w:rPr>
              <w:t>17</w:t>
            </w:r>
          </w:p>
        </w:tc>
        <w:tc>
          <w:tcPr>
            <w:tcW w:w="1667" w:type="dxa"/>
          </w:tcPr>
          <w:p w:rsidR="00AB3724" w:rsidRPr="00E960FC" w:rsidRDefault="00B93BCA" w:rsidP="00442FAA">
            <w:pPr>
              <w:jc w:val="center"/>
              <w:rPr>
                <w:sz w:val="20"/>
                <w:szCs w:val="20"/>
                <w:lang w:val="es-ES"/>
              </w:rPr>
            </w:pPr>
            <w:r w:rsidRPr="00E960FC">
              <w:rPr>
                <w:sz w:val="20"/>
                <w:szCs w:val="20"/>
                <w:lang w:val="es-ES"/>
              </w:rPr>
              <w:t>0,</w:t>
            </w:r>
            <w:r w:rsidR="00667960" w:rsidRPr="00E960FC">
              <w:rPr>
                <w:sz w:val="20"/>
                <w:szCs w:val="20"/>
                <w:lang w:val="es-ES"/>
              </w:rPr>
              <w:t>15</w:t>
            </w:r>
          </w:p>
        </w:tc>
        <w:tc>
          <w:tcPr>
            <w:tcW w:w="1667" w:type="dxa"/>
          </w:tcPr>
          <w:p w:rsidR="00AB3724" w:rsidRPr="00E960FC" w:rsidRDefault="00B93BCA" w:rsidP="00442FAA">
            <w:pPr>
              <w:jc w:val="center"/>
              <w:rPr>
                <w:sz w:val="20"/>
                <w:szCs w:val="20"/>
                <w:lang w:val="es-ES"/>
              </w:rPr>
            </w:pPr>
            <w:r w:rsidRPr="00E960FC">
              <w:rPr>
                <w:sz w:val="20"/>
                <w:szCs w:val="20"/>
                <w:lang w:val="es-ES"/>
              </w:rPr>
              <w:t>0,</w:t>
            </w:r>
            <w:r w:rsidR="00667960" w:rsidRPr="00E960FC">
              <w:rPr>
                <w:sz w:val="20"/>
                <w:szCs w:val="20"/>
                <w:lang w:val="es-ES"/>
              </w:rPr>
              <w:t>14</w:t>
            </w:r>
            <w:r w:rsidRPr="00E960FC">
              <w:rPr>
                <w:sz w:val="20"/>
                <w:szCs w:val="20"/>
                <w:lang w:val="es-ES"/>
              </w:rPr>
              <w:t>-0,</w:t>
            </w:r>
            <w:r w:rsidR="00667960" w:rsidRPr="00E960FC">
              <w:rPr>
                <w:sz w:val="20"/>
                <w:szCs w:val="20"/>
                <w:lang w:val="es-ES"/>
              </w:rPr>
              <w:t>16</w:t>
            </w:r>
          </w:p>
        </w:tc>
      </w:tr>
      <w:tr w:rsidR="00AB3724" w:rsidRPr="00E960FC" w:rsidTr="00AB3724">
        <w:tc>
          <w:tcPr>
            <w:tcW w:w="2088" w:type="dxa"/>
          </w:tcPr>
          <w:p w:rsidR="00AB3724" w:rsidRPr="00E960FC" w:rsidRDefault="00AB3724" w:rsidP="00442FAA">
            <w:pPr>
              <w:jc w:val="center"/>
              <w:rPr>
                <w:sz w:val="20"/>
                <w:szCs w:val="20"/>
                <w:lang w:val="es-ES"/>
              </w:rPr>
            </w:pPr>
            <w:r w:rsidRPr="00E960FC">
              <w:rPr>
                <w:sz w:val="20"/>
                <w:szCs w:val="20"/>
                <w:lang w:val="es-ES"/>
              </w:rPr>
              <w:t>Franquicia tributaria</w:t>
            </w:r>
          </w:p>
        </w:tc>
        <w:tc>
          <w:tcPr>
            <w:tcW w:w="1965" w:type="dxa"/>
          </w:tcPr>
          <w:p w:rsidR="00AB3724" w:rsidRPr="00E960FC" w:rsidRDefault="00B93BCA" w:rsidP="00442FAA">
            <w:pPr>
              <w:jc w:val="center"/>
              <w:rPr>
                <w:sz w:val="20"/>
                <w:szCs w:val="20"/>
                <w:lang w:val="es-ES"/>
              </w:rPr>
            </w:pPr>
            <w:r w:rsidRPr="00E960FC">
              <w:rPr>
                <w:sz w:val="20"/>
                <w:szCs w:val="20"/>
                <w:lang w:val="es-ES"/>
              </w:rPr>
              <w:t>0,</w:t>
            </w:r>
            <w:r w:rsidR="00AB3724" w:rsidRPr="00E960FC">
              <w:rPr>
                <w:sz w:val="20"/>
                <w:szCs w:val="20"/>
                <w:lang w:val="es-ES"/>
              </w:rPr>
              <w:t>006</w:t>
            </w:r>
          </w:p>
        </w:tc>
        <w:tc>
          <w:tcPr>
            <w:tcW w:w="1667" w:type="dxa"/>
          </w:tcPr>
          <w:p w:rsidR="00AB3724" w:rsidRPr="00E960FC" w:rsidRDefault="00B93BCA" w:rsidP="00442FAA">
            <w:pPr>
              <w:jc w:val="center"/>
              <w:rPr>
                <w:sz w:val="20"/>
                <w:szCs w:val="20"/>
                <w:lang w:val="es-ES"/>
              </w:rPr>
            </w:pPr>
            <w:r w:rsidRPr="00E960FC">
              <w:rPr>
                <w:sz w:val="20"/>
                <w:szCs w:val="20"/>
                <w:lang w:val="es-ES"/>
              </w:rPr>
              <w:t>0,003-0,</w:t>
            </w:r>
            <w:r w:rsidR="00AB3724" w:rsidRPr="00E960FC">
              <w:rPr>
                <w:sz w:val="20"/>
                <w:szCs w:val="20"/>
                <w:lang w:val="es-ES"/>
              </w:rPr>
              <w:t>009</w:t>
            </w:r>
          </w:p>
        </w:tc>
        <w:tc>
          <w:tcPr>
            <w:tcW w:w="1667" w:type="dxa"/>
          </w:tcPr>
          <w:p w:rsidR="00AB3724" w:rsidRPr="00E960FC" w:rsidRDefault="00AB3724" w:rsidP="00442FAA">
            <w:pPr>
              <w:jc w:val="center"/>
              <w:rPr>
                <w:sz w:val="20"/>
                <w:szCs w:val="20"/>
                <w:lang w:val="es-ES"/>
              </w:rPr>
            </w:pPr>
            <w:r w:rsidRPr="00E960FC">
              <w:rPr>
                <w:sz w:val="20"/>
                <w:szCs w:val="20"/>
                <w:lang w:val="es-ES"/>
              </w:rPr>
              <w:t>X</w:t>
            </w:r>
          </w:p>
        </w:tc>
        <w:tc>
          <w:tcPr>
            <w:tcW w:w="1667" w:type="dxa"/>
          </w:tcPr>
          <w:p w:rsidR="00AB3724" w:rsidRPr="00E960FC" w:rsidRDefault="00AB3724" w:rsidP="00442FAA">
            <w:pPr>
              <w:jc w:val="center"/>
              <w:rPr>
                <w:sz w:val="20"/>
                <w:szCs w:val="20"/>
                <w:lang w:val="es-ES"/>
              </w:rPr>
            </w:pPr>
            <w:r w:rsidRPr="00E960FC">
              <w:rPr>
                <w:sz w:val="20"/>
                <w:szCs w:val="20"/>
                <w:lang w:val="es-ES"/>
              </w:rPr>
              <w:t>X</w:t>
            </w:r>
          </w:p>
        </w:tc>
      </w:tr>
    </w:tbl>
    <w:p w:rsidR="00AB3724" w:rsidRPr="00E960FC" w:rsidRDefault="00AB3724" w:rsidP="00442FAA">
      <w:pPr>
        <w:spacing w:after="0" w:line="240" w:lineRule="auto"/>
        <w:jc w:val="center"/>
        <w:rPr>
          <w:sz w:val="20"/>
          <w:szCs w:val="20"/>
          <w:lang w:val="es-ES"/>
        </w:rPr>
      </w:pPr>
    </w:p>
    <w:p w:rsidR="00AB3724" w:rsidRPr="00E960FC" w:rsidRDefault="00AB3724" w:rsidP="00442FAA">
      <w:pPr>
        <w:spacing w:after="0"/>
        <w:jc w:val="center"/>
        <w:rPr>
          <w:lang w:val="es-ES"/>
        </w:rPr>
      </w:pPr>
    </w:p>
    <w:p w:rsidR="00AB3724" w:rsidRPr="00E960FC" w:rsidRDefault="00B93BCA" w:rsidP="00442FAA">
      <w:pPr>
        <w:spacing w:after="0" w:line="240" w:lineRule="auto"/>
        <w:jc w:val="center"/>
        <w:rPr>
          <w:b/>
          <w:sz w:val="20"/>
          <w:szCs w:val="20"/>
          <w:lang w:val="es-ES"/>
        </w:rPr>
      </w:pPr>
      <w:r w:rsidRPr="00E960FC">
        <w:rPr>
          <w:b/>
          <w:sz w:val="20"/>
          <w:szCs w:val="20"/>
          <w:lang w:val="es-ES"/>
        </w:rPr>
        <w:t>Figura 1</w:t>
      </w:r>
    </w:p>
    <w:p w:rsidR="00AB3724" w:rsidRPr="00E960FC" w:rsidRDefault="00AB3724" w:rsidP="00442FAA">
      <w:pPr>
        <w:spacing w:after="0"/>
        <w:jc w:val="center"/>
        <w:rPr>
          <w:b/>
          <w:sz w:val="20"/>
          <w:szCs w:val="20"/>
          <w:lang w:val="es-ES"/>
        </w:rPr>
      </w:pPr>
      <w:r w:rsidRPr="00E960FC">
        <w:rPr>
          <w:b/>
          <w:sz w:val="20"/>
          <w:szCs w:val="20"/>
          <w:lang w:val="es-ES"/>
        </w:rPr>
        <w:t>Programa bono del trabajador activo</w:t>
      </w:r>
      <w:r w:rsidR="00DC2879" w:rsidRPr="00E960FC">
        <w:rPr>
          <w:b/>
          <w:sz w:val="20"/>
          <w:szCs w:val="20"/>
          <w:lang w:val="es-ES"/>
        </w:rPr>
        <w:t>: análisis de sensibilidad</w:t>
      </w:r>
    </w:p>
    <w:p w:rsidR="00442FAA" w:rsidRPr="00E960FC" w:rsidRDefault="00442FAA" w:rsidP="00442FAA">
      <w:pPr>
        <w:spacing w:after="0"/>
        <w:jc w:val="center"/>
        <w:rPr>
          <w:b/>
          <w:sz w:val="20"/>
          <w:szCs w:val="20"/>
          <w:lang w:val="es-ES"/>
        </w:rPr>
      </w:pPr>
    </w:p>
    <w:p w:rsidR="00DC2879" w:rsidRPr="00E960FC" w:rsidRDefault="00587FF4" w:rsidP="00442FAA">
      <w:pPr>
        <w:spacing w:after="0"/>
        <w:jc w:val="center"/>
        <w:rPr>
          <w:b/>
          <w:sz w:val="20"/>
          <w:szCs w:val="20"/>
          <w:lang w:val="es-ES"/>
        </w:rPr>
      </w:pPr>
      <w:r w:rsidRPr="00E960FC">
        <w:rPr>
          <w:noProof/>
          <w:lang w:val="es-ES"/>
        </w:rPr>
        <w:lastRenderedPageBreak/>
        <w:drawing>
          <wp:inline distT="0" distB="0" distL="0" distR="0">
            <wp:extent cx="3441700" cy="2190750"/>
            <wp:effectExtent l="0" t="0" r="0" b="0"/>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441700" cy="2190750"/>
                    </a:xfrm>
                    <a:prstGeom prst="rect">
                      <a:avLst/>
                    </a:prstGeom>
                    <a:noFill/>
                    <a:ln w="9525">
                      <a:noFill/>
                      <a:miter lim="800000"/>
                      <a:headEnd/>
                      <a:tailEnd/>
                    </a:ln>
                  </pic:spPr>
                </pic:pic>
              </a:graphicData>
            </a:graphic>
          </wp:inline>
        </w:drawing>
      </w:r>
    </w:p>
    <w:p w:rsidR="00DC2879" w:rsidRPr="00E960FC" w:rsidRDefault="00DC2879" w:rsidP="00442FAA">
      <w:pPr>
        <w:spacing w:after="0"/>
        <w:jc w:val="center"/>
        <w:rPr>
          <w:lang w:val="es-ES"/>
        </w:rPr>
      </w:pPr>
    </w:p>
    <w:p w:rsidR="00587FF4" w:rsidRPr="00E960FC" w:rsidRDefault="00587FF4" w:rsidP="00587FF4">
      <w:pPr>
        <w:rPr>
          <w:lang w:val="es-ES"/>
        </w:rPr>
      </w:pPr>
      <w:r w:rsidRPr="00E960FC">
        <w:rPr>
          <w:lang w:val="es-ES"/>
        </w:rPr>
        <w:t>Valor mínimo: (US$174.910)</w:t>
      </w:r>
    </w:p>
    <w:p w:rsidR="00587FF4" w:rsidRPr="00E960FC" w:rsidRDefault="00587FF4" w:rsidP="00587FF4">
      <w:pPr>
        <w:rPr>
          <w:lang w:val="es-ES"/>
        </w:rPr>
      </w:pPr>
      <w:r w:rsidRPr="00E960FC">
        <w:rPr>
          <w:lang w:val="es-ES"/>
        </w:rPr>
        <w:t xml:space="preserve">Valor promedio: US$59.734.837  </w:t>
      </w:r>
    </w:p>
    <w:p w:rsidR="00587FF4" w:rsidRPr="00E960FC" w:rsidRDefault="00587FF4" w:rsidP="00587FF4">
      <w:pPr>
        <w:rPr>
          <w:lang w:val="es-ES"/>
        </w:rPr>
      </w:pPr>
      <w:r w:rsidRPr="00E960FC">
        <w:rPr>
          <w:lang w:val="es-ES"/>
        </w:rPr>
        <w:t>Valor máximo: US$124.476.251</w:t>
      </w:r>
    </w:p>
    <w:p w:rsidR="00587FF4" w:rsidRPr="00E960FC" w:rsidRDefault="00587FF4" w:rsidP="00587FF4">
      <w:pPr>
        <w:rPr>
          <w:lang w:val="es-ES"/>
        </w:rPr>
      </w:pPr>
      <w:r w:rsidRPr="00E960FC">
        <w:rPr>
          <w:lang w:val="es-ES"/>
        </w:rPr>
        <w:t>Desviación estándar: US$25.834.892</w:t>
      </w:r>
    </w:p>
    <w:p w:rsidR="00B93BCA" w:rsidRPr="00E960FC" w:rsidRDefault="00B93BCA" w:rsidP="00442FAA">
      <w:pPr>
        <w:spacing w:after="0"/>
        <w:jc w:val="both"/>
        <w:rPr>
          <w:lang w:val="es-ES"/>
        </w:rPr>
      </w:pPr>
    </w:p>
    <w:p w:rsidR="00B93BCA" w:rsidRPr="00E960FC" w:rsidRDefault="00B93BCA" w:rsidP="00442FAA">
      <w:pPr>
        <w:spacing w:after="0"/>
        <w:jc w:val="both"/>
        <w:rPr>
          <w:lang w:val="es-ES"/>
        </w:rPr>
      </w:pPr>
    </w:p>
    <w:p w:rsidR="00B93BCA" w:rsidRPr="00E960FC" w:rsidRDefault="00B93BCA" w:rsidP="00B93BCA">
      <w:pPr>
        <w:spacing w:after="0" w:line="240" w:lineRule="auto"/>
        <w:jc w:val="center"/>
        <w:rPr>
          <w:b/>
          <w:sz w:val="20"/>
          <w:szCs w:val="20"/>
          <w:lang w:val="es-ES"/>
        </w:rPr>
      </w:pPr>
      <w:r w:rsidRPr="00E960FC">
        <w:rPr>
          <w:b/>
          <w:sz w:val="20"/>
          <w:szCs w:val="20"/>
          <w:lang w:val="es-ES"/>
        </w:rPr>
        <w:t>Figura 2</w:t>
      </w:r>
    </w:p>
    <w:p w:rsidR="00DC2879" w:rsidRPr="00E960FC" w:rsidRDefault="00DC2879" w:rsidP="00442FAA">
      <w:pPr>
        <w:spacing w:after="0"/>
        <w:jc w:val="center"/>
        <w:rPr>
          <w:b/>
          <w:sz w:val="20"/>
          <w:szCs w:val="20"/>
          <w:lang w:val="es-ES"/>
        </w:rPr>
      </w:pPr>
      <w:r w:rsidRPr="00E960FC">
        <w:rPr>
          <w:b/>
          <w:sz w:val="20"/>
          <w:szCs w:val="20"/>
          <w:lang w:val="es-ES"/>
        </w:rPr>
        <w:t xml:space="preserve">Programa </w:t>
      </w:r>
      <w:r w:rsidR="00667960" w:rsidRPr="00E960FC">
        <w:rPr>
          <w:b/>
          <w:sz w:val="20"/>
          <w:szCs w:val="20"/>
          <w:lang w:val="es-ES"/>
        </w:rPr>
        <w:t>formación en el puesto de trabajo</w:t>
      </w:r>
      <w:r w:rsidRPr="00E960FC">
        <w:rPr>
          <w:b/>
          <w:sz w:val="20"/>
          <w:szCs w:val="20"/>
          <w:lang w:val="es-ES"/>
        </w:rPr>
        <w:t>: análisis de sensibilidad</w:t>
      </w:r>
    </w:p>
    <w:p w:rsidR="00442FAA" w:rsidRPr="00E960FC" w:rsidRDefault="00442FAA" w:rsidP="00442FAA">
      <w:pPr>
        <w:spacing w:after="0"/>
        <w:jc w:val="center"/>
        <w:rPr>
          <w:b/>
          <w:sz w:val="20"/>
          <w:szCs w:val="20"/>
          <w:lang w:val="es-ES"/>
        </w:rPr>
      </w:pPr>
    </w:p>
    <w:p w:rsidR="00DC2879" w:rsidRPr="00E960FC" w:rsidRDefault="00587FF4" w:rsidP="00442FAA">
      <w:pPr>
        <w:spacing w:after="0"/>
        <w:jc w:val="center"/>
        <w:rPr>
          <w:b/>
          <w:sz w:val="20"/>
          <w:szCs w:val="20"/>
          <w:lang w:val="es-ES"/>
        </w:rPr>
      </w:pPr>
      <w:r w:rsidRPr="00E960FC">
        <w:rPr>
          <w:noProof/>
          <w:lang w:val="es-ES"/>
        </w:rPr>
        <w:drawing>
          <wp:inline distT="0" distB="0" distL="0" distR="0">
            <wp:extent cx="3441700" cy="2190750"/>
            <wp:effectExtent l="0" t="0" r="0" b="0"/>
            <wp:docPr id="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441700" cy="2190750"/>
                    </a:xfrm>
                    <a:prstGeom prst="rect">
                      <a:avLst/>
                    </a:prstGeom>
                    <a:noFill/>
                    <a:ln w="9525">
                      <a:noFill/>
                      <a:miter lim="800000"/>
                      <a:headEnd/>
                      <a:tailEnd/>
                    </a:ln>
                  </pic:spPr>
                </pic:pic>
              </a:graphicData>
            </a:graphic>
          </wp:inline>
        </w:drawing>
      </w:r>
    </w:p>
    <w:p w:rsidR="00DC2879" w:rsidRPr="00E960FC" w:rsidRDefault="00DC2879" w:rsidP="00442FAA">
      <w:pPr>
        <w:spacing w:after="0"/>
        <w:jc w:val="center"/>
        <w:rPr>
          <w:lang w:val="es-ES"/>
        </w:rPr>
      </w:pPr>
    </w:p>
    <w:p w:rsidR="00587FF4" w:rsidRPr="00E960FC" w:rsidRDefault="00587FF4" w:rsidP="00587FF4">
      <w:pPr>
        <w:rPr>
          <w:lang w:val="es-ES"/>
        </w:rPr>
      </w:pPr>
      <w:r w:rsidRPr="00E960FC">
        <w:rPr>
          <w:lang w:val="es-ES"/>
        </w:rPr>
        <w:t>Valor mínimo: US$6.896.604</w:t>
      </w:r>
    </w:p>
    <w:p w:rsidR="00587FF4" w:rsidRPr="00E960FC" w:rsidRDefault="00587FF4" w:rsidP="00587FF4">
      <w:pPr>
        <w:rPr>
          <w:lang w:val="es-ES"/>
        </w:rPr>
      </w:pPr>
      <w:r w:rsidRPr="00E960FC">
        <w:rPr>
          <w:lang w:val="es-ES"/>
        </w:rPr>
        <w:t>Valor promedio: US$7.183.969</w:t>
      </w:r>
    </w:p>
    <w:p w:rsidR="00587FF4" w:rsidRPr="00E960FC" w:rsidRDefault="00587FF4" w:rsidP="00587FF4">
      <w:pPr>
        <w:rPr>
          <w:lang w:val="es-ES"/>
        </w:rPr>
      </w:pPr>
      <w:r w:rsidRPr="00E960FC">
        <w:rPr>
          <w:lang w:val="es-ES"/>
        </w:rPr>
        <w:t>Valor máximo: US$7.808.648</w:t>
      </w:r>
    </w:p>
    <w:p w:rsidR="003E0C32" w:rsidRPr="00E960FC" w:rsidRDefault="00587FF4" w:rsidP="00587FF4">
      <w:pPr>
        <w:spacing w:after="0"/>
        <w:jc w:val="both"/>
        <w:rPr>
          <w:lang w:val="es-ES"/>
        </w:rPr>
      </w:pPr>
      <w:r w:rsidRPr="00E960FC">
        <w:rPr>
          <w:lang w:val="es-ES"/>
        </w:rPr>
        <w:t>Desviación estándar: US$163.178</w:t>
      </w:r>
    </w:p>
    <w:p w:rsidR="00B93BCA" w:rsidRPr="00E960FC" w:rsidRDefault="00B93BCA" w:rsidP="00B93BCA">
      <w:pPr>
        <w:spacing w:after="0" w:line="240" w:lineRule="auto"/>
        <w:jc w:val="center"/>
        <w:rPr>
          <w:b/>
          <w:sz w:val="20"/>
          <w:szCs w:val="20"/>
          <w:lang w:val="es-ES"/>
        </w:rPr>
      </w:pPr>
      <w:r w:rsidRPr="00E960FC">
        <w:rPr>
          <w:b/>
          <w:sz w:val="20"/>
          <w:szCs w:val="20"/>
          <w:lang w:val="es-ES"/>
        </w:rPr>
        <w:lastRenderedPageBreak/>
        <w:t>Figura 3</w:t>
      </w:r>
    </w:p>
    <w:p w:rsidR="00DC2879" w:rsidRPr="00E960FC" w:rsidRDefault="00DC2879" w:rsidP="00442FAA">
      <w:pPr>
        <w:spacing w:after="0"/>
        <w:jc w:val="center"/>
        <w:rPr>
          <w:b/>
          <w:sz w:val="20"/>
          <w:szCs w:val="20"/>
          <w:lang w:val="es-ES"/>
        </w:rPr>
      </w:pPr>
      <w:r w:rsidRPr="00E960FC">
        <w:rPr>
          <w:b/>
          <w:sz w:val="20"/>
          <w:szCs w:val="20"/>
          <w:lang w:val="es-ES"/>
        </w:rPr>
        <w:t>Programa oficios: análisis de sensibilidad</w:t>
      </w:r>
    </w:p>
    <w:p w:rsidR="00DC2879" w:rsidRPr="00E960FC" w:rsidRDefault="00DC2879" w:rsidP="00442FAA">
      <w:pPr>
        <w:spacing w:after="0"/>
        <w:jc w:val="center"/>
        <w:rPr>
          <w:b/>
          <w:sz w:val="20"/>
          <w:szCs w:val="20"/>
          <w:lang w:val="es-ES"/>
        </w:rPr>
      </w:pPr>
    </w:p>
    <w:p w:rsidR="00DC2879" w:rsidRPr="00E960FC" w:rsidRDefault="00587FF4" w:rsidP="00442FAA">
      <w:pPr>
        <w:spacing w:after="0"/>
        <w:jc w:val="center"/>
        <w:rPr>
          <w:lang w:val="es-ES"/>
        </w:rPr>
      </w:pPr>
      <w:r w:rsidRPr="00E960FC">
        <w:rPr>
          <w:noProof/>
          <w:lang w:val="es-ES"/>
        </w:rPr>
        <w:drawing>
          <wp:inline distT="0" distB="0" distL="0" distR="0">
            <wp:extent cx="3441700" cy="219075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3441700" cy="2190750"/>
                    </a:xfrm>
                    <a:prstGeom prst="rect">
                      <a:avLst/>
                    </a:prstGeom>
                    <a:noFill/>
                    <a:ln w="9525">
                      <a:noFill/>
                      <a:miter lim="800000"/>
                      <a:headEnd/>
                      <a:tailEnd/>
                    </a:ln>
                  </pic:spPr>
                </pic:pic>
              </a:graphicData>
            </a:graphic>
          </wp:inline>
        </w:drawing>
      </w:r>
    </w:p>
    <w:p w:rsidR="001962FE" w:rsidRPr="00E960FC" w:rsidRDefault="001962FE" w:rsidP="00442FAA">
      <w:pPr>
        <w:spacing w:after="0"/>
        <w:rPr>
          <w:lang w:val="es-ES"/>
        </w:rPr>
      </w:pPr>
    </w:p>
    <w:p w:rsidR="00DC2879" w:rsidRPr="00E960FC" w:rsidRDefault="00DC2879" w:rsidP="00442FAA">
      <w:pPr>
        <w:spacing w:after="0"/>
        <w:jc w:val="both"/>
        <w:rPr>
          <w:lang w:val="es-ES"/>
        </w:rPr>
      </w:pPr>
    </w:p>
    <w:p w:rsidR="00587FF4" w:rsidRPr="00E960FC" w:rsidRDefault="00587FF4" w:rsidP="00587FF4">
      <w:pPr>
        <w:rPr>
          <w:lang w:val="es-ES"/>
        </w:rPr>
      </w:pPr>
      <w:r w:rsidRPr="00E960FC">
        <w:rPr>
          <w:lang w:val="es-ES"/>
        </w:rPr>
        <w:t xml:space="preserve">Valor mínimo: (US$531.464) </w:t>
      </w:r>
    </w:p>
    <w:p w:rsidR="00587FF4" w:rsidRPr="00E960FC" w:rsidRDefault="00587FF4" w:rsidP="00587FF4">
      <w:pPr>
        <w:rPr>
          <w:lang w:val="es-ES"/>
        </w:rPr>
      </w:pPr>
      <w:r w:rsidRPr="00E960FC">
        <w:rPr>
          <w:lang w:val="es-ES"/>
        </w:rPr>
        <w:t xml:space="preserve">Valor promedio: US$2.886.431  </w:t>
      </w:r>
    </w:p>
    <w:p w:rsidR="00587FF4" w:rsidRPr="00E960FC" w:rsidRDefault="00587FF4" w:rsidP="00587FF4">
      <w:pPr>
        <w:rPr>
          <w:lang w:val="es-ES"/>
        </w:rPr>
      </w:pPr>
      <w:r w:rsidRPr="00E960FC">
        <w:rPr>
          <w:lang w:val="es-ES"/>
        </w:rPr>
        <w:t>Valor máximo: US$6.353.969</w:t>
      </w:r>
    </w:p>
    <w:p w:rsidR="00587FF4" w:rsidRPr="00E960FC" w:rsidRDefault="00587FF4" w:rsidP="00587FF4">
      <w:pPr>
        <w:rPr>
          <w:lang w:val="es-ES"/>
        </w:rPr>
      </w:pPr>
      <w:r w:rsidRPr="00E960FC">
        <w:rPr>
          <w:lang w:val="es-ES"/>
        </w:rPr>
        <w:t>Desviación estándar: US$1.444.751</w:t>
      </w:r>
    </w:p>
    <w:p w:rsidR="00587FF4" w:rsidRPr="00E960FC" w:rsidRDefault="00587FF4" w:rsidP="00442FAA">
      <w:pPr>
        <w:spacing w:after="0"/>
        <w:jc w:val="both"/>
        <w:rPr>
          <w:lang w:val="es-ES"/>
        </w:rPr>
      </w:pPr>
    </w:p>
    <w:p w:rsidR="00B93BCA" w:rsidRPr="00E960FC" w:rsidRDefault="00B93BCA" w:rsidP="00B93BCA">
      <w:pPr>
        <w:spacing w:after="0" w:line="240" w:lineRule="auto"/>
        <w:jc w:val="center"/>
        <w:rPr>
          <w:b/>
          <w:sz w:val="20"/>
          <w:szCs w:val="20"/>
          <w:lang w:val="es-ES"/>
        </w:rPr>
      </w:pPr>
      <w:r w:rsidRPr="00E960FC">
        <w:rPr>
          <w:b/>
          <w:sz w:val="20"/>
          <w:szCs w:val="20"/>
          <w:lang w:val="es-ES"/>
        </w:rPr>
        <w:t>Figura 4</w:t>
      </w:r>
    </w:p>
    <w:p w:rsidR="00DC2879" w:rsidRPr="00E960FC" w:rsidRDefault="00DC2879" w:rsidP="00442FAA">
      <w:pPr>
        <w:spacing w:after="0"/>
        <w:jc w:val="center"/>
        <w:rPr>
          <w:b/>
          <w:sz w:val="20"/>
          <w:szCs w:val="20"/>
          <w:lang w:val="es-ES"/>
        </w:rPr>
      </w:pPr>
      <w:r w:rsidRPr="00E960FC">
        <w:rPr>
          <w:b/>
          <w:sz w:val="20"/>
          <w:szCs w:val="20"/>
          <w:lang w:val="es-ES"/>
        </w:rPr>
        <w:t>Franquicia tributaria: análisis de sensibilidad</w:t>
      </w:r>
    </w:p>
    <w:p w:rsidR="00442FAA" w:rsidRPr="00E960FC" w:rsidRDefault="00442FAA" w:rsidP="00442FAA">
      <w:pPr>
        <w:spacing w:after="0"/>
        <w:jc w:val="center"/>
        <w:rPr>
          <w:b/>
          <w:sz w:val="20"/>
          <w:szCs w:val="20"/>
          <w:lang w:val="es-ES"/>
        </w:rPr>
      </w:pPr>
    </w:p>
    <w:p w:rsidR="00DC2879" w:rsidRPr="00E960FC" w:rsidRDefault="00587FF4" w:rsidP="00442FAA">
      <w:pPr>
        <w:spacing w:after="0"/>
        <w:jc w:val="center"/>
        <w:rPr>
          <w:b/>
          <w:sz w:val="20"/>
          <w:szCs w:val="20"/>
          <w:lang w:val="es-ES"/>
        </w:rPr>
      </w:pPr>
      <w:r w:rsidRPr="00E960FC">
        <w:rPr>
          <w:noProof/>
          <w:lang w:val="es-ES"/>
        </w:rPr>
        <w:drawing>
          <wp:inline distT="0" distB="0" distL="0" distR="0">
            <wp:extent cx="3441700" cy="219075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441700" cy="2190750"/>
                    </a:xfrm>
                    <a:prstGeom prst="rect">
                      <a:avLst/>
                    </a:prstGeom>
                    <a:noFill/>
                    <a:ln w="9525">
                      <a:noFill/>
                      <a:miter lim="800000"/>
                      <a:headEnd/>
                      <a:tailEnd/>
                    </a:ln>
                  </pic:spPr>
                </pic:pic>
              </a:graphicData>
            </a:graphic>
          </wp:inline>
        </w:drawing>
      </w:r>
    </w:p>
    <w:p w:rsidR="00DC2879" w:rsidRPr="00E960FC" w:rsidRDefault="00DC2879" w:rsidP="00442FAA">
      <w:pPr>
        <w:spacing w:after="0"/>
        <w:jc w:val="both"/>
        <w:rPr>
          <w:lang w:val="es-ES"/>
        </w:rPr>
      </w:pPr>
    </w:p>
    <w:p w:rsidR="00587FF4" w:rsidRPr="00E960FC" w:rsidRDefault="00587FF4" w:rsidP="00442FAA">
      <w:pPr>
        <w:spacing w:after="0"/>
        <w:jc w:val="both"/>
        <w:rPr>
          <w:highlight w:val="yellow"/>
          <w:lang w:val="es-ES"/>
        </w:rPr>
      </w:pPr>
    </w:p>
    <w:p w:rsidR="00587FF4" w:rsidRPr="00E960FC" w:rsidRDefault="00587FF4" w:rsidP="00587FF4">
      <w:pPr>
        <w:rPr>
          <w:lang w:val="es-ES"/>
        </w:rPr>
      </w:pPr>
      <w:r w:rsidRPr="00E960FC">
        <w:rPr>
          <w:lang w:val="es-ES"/>
        </w:rPr>
        <w:t>Valor mínimo: (US$110.629.502)</w:t>
      </w:r>
    </w:p>
    <w:p w:rsidR="00587FF4" w:rsidRPr="00E960FC" w:rsidRDefault="00587FF4" w:rsidP="00587FF4">
      <w:pPr>
        <w:rPr>
          <w:lang w:val="es-ES"/>
        </w:rPr>
      </w:pPr>
      <w:r w:rsidRPr="00E960FC">
        <w:rPr>
          <w:lang w:val="es-ES"/>
        </w:rPr>
        <w:t>Valor promedio: (US$4.202.933)</w:t>
      </w:r>
    </w:p>
    <w:p w:rsidR="00587FF4" w:rsidRPr="00E960FC" w:rsidRDefault="00587FF4" w:rsidP="00587FF4">
      <w:pPr>
        <w:rPr>
          <w:lang w:val="es-ES"/>
        </w:rPr>
      </w:pPr>
      <w:r w:rsidRPr="00E960FC">
        <w:rPr>
          <w:lang w:val="es-ES"/>
        </w:rPr>
        <w:lastRenderedPageBreak/>
        <w:t>Valor máximo: US$104.590.805</w:t>
      </w:r>
    </w:p>
    <w:p w:rsidR="00587FF4" w:rsidRPr="00E960FC" w:rsidRDefault="00587FF4" w:rsidP="00587FF4">
      <w:pPr>
        <w:rPr>
          <w:lang w:val="es-ES"/>
        </w:rPr>
      </w:pPr>
      <w:r w:rsidRPr="00E960FC">
        <w:rPr>
          <w:lang w:val="es-ES"/>
        </w:rPr>
        <w:t>Desviación estándar: US$43.787.045</w:t>
      </w:r>
    </w:p>
    <w:p w:rsidR="00587FF4" w:rsidRPr="00E960FC" w:rsidRDefault="00587FF4" w:rsidP="00442FAA">
      <w:pPr>
        <w:spacing w:after="0"/>
        <w:jc w:val="both"/>
        <w:rPr>
          <w:highlight w:val="yellow"/>
          <w:lang w:val="es-ES"/>
        </w:rPr>
      </w:pPr>
    </w:p>
    <w:p w:rsidR="000C01E8" w:rsidRPr="00E960FC" w:rsidRDefault="000C01E8" w:rsidP="00551178">
      <w:pPr>
        <w:jc w:val="both"/>
        <w:rPr>
          <w:lang w:val="es-ES"/>
        </w:rPr>
      </w:pPr>
      <w:r w:rsidRPr="00E960FC">
        <w:rPr>
          <w:lang w:val="es-ES"/>
        </w:rPr>
        <w:t xml:space="preserve">Los ejercicios de Montecarlo revelan, por un lado, la robustez de los resultados gruesos (un VAN </w:t>
      </w:r>
      <w:r w:rsidR="00551178" w:rsidRPr="00E960FC">
        <w:rPr>
          <w:lang w:val="es-ES"/>
        </w:rPr>
        <w:t>posi</w:t>
      </w:r>
      <w:r w:rsidRPr="00E960FC">
        <w:rPr>
          <w:lang w:val="es-ES"/>
        </w:rPr>
        <w:t xml:space="preserve">tivo para </w:t>
      </w:r>
      <w:r w:rsidR="00115581" w:rsidRPr="00E960FC">
        <w:rPr>
          <w:lang w:val="es-ES"/>
        </w:rPr>
        <w:t>tres</w:t>
      </w:r>
      <w:r w:rsidRPr="00E960FC">
        <w:rPr>
          <w:lang w:val="es-ES"/>
        </w:rPr>
        <w:t xml:space="preserve"> de los </w:t>
      </w:r>
      <w:r w:rsidR="00115581" w:rsidRPr="00E960FC">
        <w:rPr>
          <w:lang w:val="es-ES"/>
        </w:rPr>
        <w:t xml:space="preserve">cuatro </w:t>
      </w:r>
      <w:r w:rsidRPr="00E960FC">
        <w:rPr>
          <w:lang w:val="es-ES"/>
        </w:rPr>
        <w:t xml:space="preserve">programas) para distintos </w:t>
      </w:r>
      <w:r w:rsidR="000B4DBF" w:rsidRPr="00E960FC">
        <w:rPr>
          <w:lang w:val="es-ES"/>
        </w:rPr>
        <w:t xml:space="preserve">impactos, y por otro lado, una alta dispersión del rango de valores plausibles para el VAN. En definitiva, es posible señalar que los impactos estimados para </w:t>
      </w:r>
      <w:r w:rsidR="00115581" w:rsidRPr="00E960FC">
        <w:rPr>
          <w:lang w:val="es-ES"/>
        </w:rPr>
        <w:t>tres</w:t>
      </w:r>
      <w:r w:rsidR="000B4DBF" w:rsidRPr="00E960FC">
        <w:rPr>
          <w:lang w:val="es-ES"/>
        </w:rPr>
        <w:t xml:space="preserve"> de los </w:t>
      </w:r>
      <w:r w:rsidR="00115581" w:rsidRPr="00E960FC">
        <w:rPr>
          <w:lang w:val="es-ES"/>
        </w:rPr>
        <w:t xml:space="preserve">cuatro </w:t>
      </w:r>
      <w:r w:rsidR="00551178" w:rsidRPr="00E960FC">
        <w:rPr>
          <w:lang w:val="es-ES"/>
        </w:rPr>
        <w:t xml:space="preserve">programas </w:t>
      </w:r>
      <w:r w:rsidR="000B4DBF" w:rsidRPr="00E960FC">
        <w:rPr>
          <w:lang w:val="es-ES"/>
        </w:rPr>
        <w:t xml:space="preserve">son de una magnitud suficiente como para esperar un </w:t>
      </w:r>
      <w:r w:rsidR="00551178" w:rsidRPr="00E960FC">
        <w:rPr>
          <w:lang w:val="es-ES"/>
        </w:rPr>
        <w:t xml:space="preserve">VAN positivo con un 95% de probabilidad. </w:t>
      </w:r>
      <w:r w:rsidR="000B4DBF" w:rsidRPr="00E960FC">
        <w:rPr>
          <w:lang w:val="es-ES"/>
        </w:rPr>
        <w:t xml:space="preserve"> </w:t>
      </w:r>
    </w:p>
    <w:p w:rsidR="004B45AB" w:rsidRPr="00E960FC" w:rsidRDefault="004B45AB" w:rsidP="00442FAA">
      <w:pPr>
        <w:spacing w:after="0"/>
        <w:rPr>
          <w:lang w:val="es-ES"/>
        </w:rPr>
      </w:pPr>
    </w:p>
    <w:p w:rsidR="003E0C32" w:rsidRPr="00E960FC" w:rsidRDefault="003E0C32" w:rsidP="00442FAA">
      <w:pPr>
        <w:spacing w:after="0"/>
        <w:rPr>
          <w:lang w:val="es-ES"/>
        </w:rPr>
      </w:pPr>
    </w:p>
    <w:p w:rsidR="00AB3724" w:rsidRPr="00E960FC" w:rsidRDefault="00AB3724" w:rsidP="00442FAA">
      <w:pPr>
        <w:spacing w:after="0"/>
        <w:jc w:val="both"/>
        <w:rPr>
          <w:b/>
          <w:i/>
          <w:lang w:val="es-ES"/>
        </w:rPr>
      </w:pPr>
      <w:r w:rsidRPr="00E960FC">
        <w:rPr>
          <w:b/>
          <w:i/>
          <w:lang w:val="es-ES"/>
        </w:rPr>
        <w:t>Puntos de equilibrio</w:t>
      </w:r>
    </w:p>
    <w:p w:rsidR="00442FAA" w:rsidRPr="00E960FC" w:rsidRDefault="00442FAA" w:rsidP="00442FAA">
      <w:pPr>
        <w:spacing w:after="0"/>
        <w:jc w:val="both"/>
        <w:rPr>
          <w:b/>
          <w:i/>
          <w:lang w:val="es-ES"/>
        </w:rPr>
      </w:pPr>
    </w:p>
    <w:p w:rsidR="00AB3724" w:rsidRPr="00E960FC" w:rsidRDefault="005174BE" w:rsidP="00442FAA">
      <w:pPr>
        <w:spacing w:after="0"/>
        <w:jc w:val="both"/>
        <w:rPr>
          <w:lang w:val="es-ES"/>
        </w:rPr>
      </w:pPr>
      <w:r w:rsidRPr="00E960FC">
        <w:rPr>
          <w:lang w:val="es-ES"/>
        </w:rPr>
        <w:t>E</w:t>
      </w:r>
      <w:r w:rsidR="000B4DBF" w:rsidRPr="00E960FC">
        <w:rPr>
          <w:lang w:val="es-ES"/>
        </w:rPr>
        <w:t>l objetivo del ejercicio que se llevará a cabo a continuación consiste en determinar un valor para el impacto del programa que asegure</w:t>
      </w:r>
      <w:r w:rsidR="00115581" w:rsidRPr="00E960FC">
        <w:rPr>
          <w:lang w:val="es-ES"/>
        </w:rPr>
        <w:t xml:space="preserve"> al menos</w:t>
      </w:r>
      <w:r w:rsidR="000B4DBF" w:rsidRPr="00E960FC">
        <w:rPr>
          <w:lang w:val="es-ES"/>
        </w:rPr>
        <w:t xml:space="preserve"> un VAN nulo (</w:t>
      </w:r>
      <w:r w:rsidR="00667960" w:rsidRPr="00E960FC">
        <w:rPr>
          <w:lang w:val="es-ES"/>
        </w:rPr>
        <w:t>US</w:t>
      </w:r>
      <w:r w:rsidR="000B4DBF" w:rsidRPr="00E960FC">
        <w:rPr>
          <w:lang w:val="es-ES"/>
        </w:rPr>
        <w:t xml:space="preserve">$0). </w:t>
      </w:r>
    </w:p>
    <w:p w:rsidR="00257C10" w:rsidRPr="00E960FC" w:rsidRDefault="00257C10" w:rsidP="00442FAA">
      <w:pPr>
        <w:spacing w:after="0"/>
        <w:jc w:val="both"/>
        <w:rPr>
          <w:lang w:val="es-ES"/>
        </w:rPr>
      </w:pPr>
    </w:p>
    <w:p w:rsidR="00257C10" w:rsidRPr="00E960FC" w:rsidRDefault="00257C10" w:rsidP="00442FAA">
      <w:pPr>
        <w:spacing w:after="0" w:line="240" w:lineRule="auto"/>
        <w:jc w:val="center"/>
        <w:rPr>
          <w:b/>
          <w:sz w:val="20"/>
          <w:szCs w:val="20"/>
          <w:lang w:val="es-ES"/>
        </w:rPr>
      </w:pPr>
      <w:r w:rsidRPr="00E960FC">
        <w:rPr>
          <w:b/>
          <w:sz w:val="20"/>
          <w:szCs w:val="20"/>
          <w:lang w:val="es-ES"/>
        </w:rPr>
        <w:t>Cuadro 1</w:t>
      </w:r>
      <w:r w:rsidR="00B93BCA" w:rsidRPr="00E960FC">
        <w:rPr>
          <w:b/>
          <w:sz w:val="20"/>
          <w:szCs w:val="20"/>
          <w:lang w:val="es-ES"/>
        </w:rPr>
        <w:t>3</w:t>
      </w:r>
    </w:p>
    <w:p w:rsidR="00257C10" w:rsidRPr="00E960FC" w:rsidRDefault="00257C10" w:rsidP="00442FAA">
      <w:pPr>
        <w:spacing w:after="0"/>
        <w:jc w:val="center"/>
        <w:rPr>
          <w:b/>
          <w:sz w:val="20"/>
          <w:szCs w:val="20"/>
          <w:lang w:val="es-ES"/>
        </w:rPr>
      </w:pPr>
      <w:r w:rsidRPr="00E960FC">
        <w:rPr>
          <w:b/>
          <w:sz w:val="20"/>
          <w:szCs w:val="20"/>
          <w:lang w:val="es-ES"/>
        </w:rPr>
        <w:t>Determinación del punto de equilibrio</w:t>
      </w:r>
    </w:p>
    <w:p w:rsidR="00442FAA" w:rsidRPr="00E960FC" w:rsidRDefault="00442FAA" w:rsidP="00442FAA">
      <w:pPr>
        <w:spacing w:after="0"/>
        <w:jc w:val="center"/>
        <w:rPr>
          <w:b/>
          <w:sz w:val="20"/>
          <w:szCs w:val="20"/>
          <w:lang w:val="es-ES"/>
        </w:rPr>
      </w:pPr>
    </w:p>
    <w:tbl>
      <w:tblPr>
        <w:tblStyle w:val="TableGrid"/>
        <w:tblW w:w="0" w:type="auto"/>
        <w:tblLook w:val="04A0"/>
      </w:tblPr>
      <w:tblGrid>
        <w:gridCol w:w="2992"/>
        <w:gridCol w:w="2993"/>
        <w:gridCol w:w="2993"/>
      </w:tblGrid>
      <w:tr w:rsidR="00257C10" w:rsidRPr="00E960FC" w:rsidTr="00257C10">
        <w:tc>
          <w:tcPr>
            <w:tcW w:w="2992" w:type="dxa"/>
          </w:tcPr>
          <w:p w:rsidR="00257C10" w:rsidRPr="00E960FC" w:rsidRDefault="00257C10" w:rsidP="00442FAA">
            <w:pPr>
              <w:jc w:val="center"/>
              <w:rPr>
                <w:b/>
                <w:sz w:val="20"/>
                <w:szCs w:val="20"/>
                <w:lang w:val="es-ES"/>
              </w:rPr>
            </w:pPr>
            <w:r w:rsidRPr="00E960FC">
              <w:rPr>
                <w:b/>
                <w:sz w:val="20"/>
                <w:szCs w:val="20"/>
                <w:lang w:val="es-ES"/>
              </w:rPr>
              <w:t>Programa</w:t>
            </w:r>
          </w:p>
        </w:tc>
        <w:tc>
          <w:tcPr>
            <w:tcW w:w="2993" w:type="dxa"/>
          </w:tcPr>
          <w:p w:rsidR="00257C10" w:rsidRPr="00E960FC" w:rsidRDefault="00257C10" w:rsidP="00442FAA">
            <w:pPr>
              <w:jc w:val="center"/>
              <w:rPr>
                <w:b/>
                <w:sz w:val="20"/>
                <w:szCs w:val="20"/>
                <w:lang w:val="es-ES"/>
              </w:rPr>
            </w:pPr>
            <w:r w:rsidRPr="00E960FC">
              <w:rPr>
                <w:b/>
                <w:sz w:val="20"/>
                <w:szCs w:val="20"/>
                <w:lang w:val="es-ES"/>
              </w:rPr>
              <w:t>Salarios</w:t>
            </w:r>
          </w:p>
        </w:tc>
        <w:tc>
          <w:tcPr>
            <w:tcW w:w="2993" w:type="dxa"/>
          </w:tcPr>
          <w:p w:rsidR="00257C10" w:rsidRPr="00E960FC" w:rsidRDefault="00257C10" w:rsidP="00442FAA">
            <w:pPr>
              <w:jc w:val="center"/>
              <w:rPr>
                <w:b/>
                <w:sz w:val="20"/>
                <w:szCs w:val="20"/>
                <w:lang w:val="es-ES"/>
              </w:rPr>
            </w:pPr>
            <w:r w:rsidRPr="00E960FC">
              <w:rPr>
                <w:b/>
                <w:sz w:val="20"/>
                <w:szCs w:val="20"/>
                <w:lang w:val="es-ES"/>
              </w:rPr>
              <w:t>Empleo</w:t>
            </w:r>
          </w:p>
        </w:tc>
      </w:tr>
      <w:tr w:rsidR="00257C10" w:rsidRPr="00E960FC" w:rsidTr="00257C10">
        <w:tc>
          <w:tcPr>
            <w:tcW w:w="2992" w:type="dxa"/>
          </w:tcPr>
          <w:p w:rsidR="00257C10" w:rsidRPr="00E960FC" w:rsidRDefault="00257C10" w:rsidP="00442FAA">
            <w:pPr>
              <w:jc w:val="center"/>
              <w:rPr>
                <w:sz w:val="20"/>
                <w:szCs w:val="20"/>
                <w:lang w:val="es-ES"/>
              </w:rPr>
            </w:pPr>
            <w:r w:rsidRPr="00E960FC">
              <w:rPr>
                <w:sz w:val="20"/>
                <w:szCs w:val="20"/>
                <w:lang w:val="es-ES"/>
              </w:rPr>
              <w:t>Bono del trabajador activo</w:t>
            </w:r>
          </w:p>
        </w:tc>
        <w:tc>
          <w:tcPr>
            <w:tcW w:w="2993" w:type="dxa"/>
          </w:tcPr>
          <w:p w:rsidR="00257C10" w:rsidRPr="00E960FC" w:rsidRDefault="00AA6981" w:rsidP="00AA6981">
            <w:pPr>
              <w:jc w:val="center"/>
              <w:rPr>
                <w:sz w:val="20"/>
                <w:szCs w:val="20"/>
                <w:lang w:val="es-ES"/>
              </w:rPr>
            </w:pPr>
            <w:r w:rsidRPr="00E960FC">
              <w:rPr>
                <w:sz w:val="20"/>
                <w:szCs w:val="20"/>
                <w:lang w:val="es-ES"/>
              </w:rPr>
              <w:t>2</w:t>
            </w:r>
            <w:r w:rsidR="00B93BCA" w:rsidRPr="00E960FC">
              <w:rPr>
                <w:sz w:val="20"/>
                <w:szCs w:val="20"/>
                <w:lang w:val="es-ES"/>
              </w:rPr>
              <w:t>,</w:t>
            </w:r>
            <w:r w:rsidRPr="00E960FC">
              <w:rPr>
                <w:sz w:val="20"/>
                <w:szCs w:val="20"/>
                <w:lang w:val="es-ES"/>
              </w:rPr>
              <w:t>2</w:t>
            </w:r>
            <w:r w:rsidR="00257C10" w:rsidRPr="00E960FC">
              <w:rPr>
                <w:sz w:val="20"/>
                <w:szCs w:val="20"/>
                <w:lang w:val="es-ES"/>
              </w:rPr>
              <w:t>%</w:t>
            </w:r>
          </w:p>
        </w:tc>
        <w:tc>
          <w:tcPr>
            <w:tcW w:w="2993" w:type="dxa"/>
          </w:tcPr>
          <w:p w:rsidR="00257C10" w:rsidRPr="00E960FC" w:rsidRDefault="00257C10" w:rsidP="00442FAA">
            <w:pPr>
              <w:jc w:val="center"/>
              <w:rPr>
                <w:sz w:val="20"/>
                <w:szCs w:val="20"/>
                <w:lang w:val="es-ES"/>
              </w:rPr>
            </w:pPr>
            <w:r w:rsidRPr="00E960FC">
              <w:rPr>
                <w:sz w:val="20"/>
                <w:szCs w:val="20"/>
                <w:lang w:val="es-ES"/>
              </w:rPr>
              <w:t>X</w:t>
            </w:r>
          </w:p>
        </w:tc>
      </w:tr>
      <w:tr w:rsidR="00257C10" w:rsidRPr="00E960FC" w:rsidTr="00257C10">
        <w:tc>
          <w:tcPr>
            <w:tcW w:w="2992" w:type="dxa"/>
          </w:tcPr>
          <w:p w:rsidR="00257C10" w:rsidRPr="00E960FC" w:rsidRDefault="00257C10" w:rsidP="00442FAA">
            <w:pPr>
              <w:jc w:val="center"/>
              <w:rPr>
                <w:sz w:val="20"/>
                <w:szCs w:val="20"/>
                <w:lang w:val="es-ES"/>
              </w:rPr>
            </w:pPr>
            <w:r w:rsidRPr="00E960FC">
              <w:rPr>
                <w:sz w:val="20"/>
                <w:szCs w:val="20"/>
                <w:lang w:val="es-ES"/>
              </w:rPr>
              <w:t xml:space="preserve">Programa </w:t>
            </w:r>
            <w:r w:rsidR="00D51A02" w:rsidRPr="00E960FC">
              <w:rPr>
                <w:sz w:val="20"/>
                <w:szCs w:val="20"/>
                <w:lang w:val="es-ES"/>
              </w:rPr>
              <w:t>formación en el puesto de trabajo</w:t>
            </w:r>
          </w:p>
        </w:tc>
        <w:tc>
          <w:tcPr>
            <w:tcW w:w="2993" w:type="dxa"/>
          </w:tcPr>
          <w:p w:rsidR="00257C10" w:rsidRPr="00E960FC" w:rsidRDefault="00AA6981" w:rsidP="00442FAA">
            <w:pPr>
              <w:jc w:val="center"/>
              <w:rPr>
                <w:sz w:val="20"/>
                <w:szCs w:val="20"/>
                <w:lang w:val="es-ES"/>
              </w:rPr>
            </w:pPr>
            <w:r w:rsidRPr="00E960FC">
              <w:rPr>
                <w:sz w:val="20"/>
                <w:szCs w:val="20"/>
                <w:lang w:val="es-ES"/>
              </w:rPr>
              <w:t>ND</w:t>
            </w:r>
          </w:p>
        </w:tc>
        <w:tc>
          <w:tcPr>
            <w:tcW w:w="2993" w:type="dxa"/>
          </w:tcPr>
          <w:p w:rsidR="00257C10" w:rsidRPr="00E960FC" w:rsidRDefault="00405D85" w:rsidP="00442FAA">
            <w:pPr>
              <w:jc w:val="center"/>
              <w:rPr>
                <w:sz w:val="20"/>
                <w:szCs w:val="20"/>
                <w:lang w:val="es-ES"/>
              </w:rPr>
            </w:pPr>
            <w:r w:rsidRPr="00E960FC">
              <w:rPr>
                <w:sz w:val="20"/>
                <w:szCs w:val="20"/>
                <w:lang w:val="es-ES"/>
              </w:rPr>
              <w:t>ND</w:t>
            </w:r>
          </w:p>
        </w:tc>
      </w:tr>
      <w:tr w:rsidR="00257C10" w:rsidRPr="00E960FC" w:rsidTr="00257C10">
        <w:tc>
          <w:tcPr>
            <w:tcW w:w="2992" w:type="dxa"/>
          </w:tcPr>
          <w:p w:rsidR="00257C10" w:rsidRPr="00E960FC" w:rsidRDefault="00257C10" w:rsidP="00442FAA">
            <w:pPr>
              <w:jc w:val="center"/>
              <w:rPr>
                <w:sz w:val="20"/>
                <w:szCs w:val="20"/>
                <w:lang w:val="es-ES"/>
              </w:rPr>
            </w:pPr>
            <w:r w:rsidRPr="00E960FC">
              <w:rPr>
                <w:sz w:val="20"/>
                <w:szCs w:val="20"/>
                <w:lang w:val="es-ES"/>
              </w:rPr>
              <w:t>Programa oficios</w:t>
            </w:r>
          </w:p>
        </w:tc>
        <w:tc>
          <w:tcPr>
            <w:tcW w:w="2993" w:type="dxa"/>
          </w:tcPr>
          <w:p w:rsidR="00257C10" w:rsidRPr="00E960FC" w:rsidRDefault="00AA6981" w:rsidP="00AA6981">
            <w:pPr>
              <w:jc w:val="center"/>
              <w:rPr>
                <w:sz w:val="20"/>
                <w:szCs w:val="20"/>
                <w:lang w:val="es-ES"/>
              </w:rPr>
            </w:pPr>
            <w:r w:rsidRPr="00E960FC">
              <w:rPr>
                <w:sz w:val="20"/>
                <w:szCs w:val="20"/>
                <w:lang w:val="es-ES"/>
              </w:rPr>
              <w:t>15</w:t>
            </w:r>
            <w:r w:rsidR="00B93BCA" w:rsidRPr="00E960FC">
              <w:rPr>
                <w:sz w:val="20"/>
                <w:szCs w:val="20"/>
                <w:lang w:val="es-ES"/>
              </w:rPr>
              <w:t>,</w:t>
            </w:r>
            <w:r w:rsidRPr="00E960FC">
              <w:rPr>
                <w:sz w:val="20"/>
                <w:szCs w:val="20"/>
                <w:lang w:val="es-ES"/>
              </w:rPr>
              <w:t>1</w:t>
            </w:r>
            <w:r w:rsidR="00667960" w:rsidRPr="00E960FC">
              <w:rPr>
                <w:sz w:val="20"/>
                <w:szCs w:val="20"/>
                <w:lang w:val="es-ES"/>
              </w:rPr>
              <w:t>%</w:t>
            </w:r>
          </w:p>
        </w:tc>
        <w:tc>
          <w:tcPr>
            <w:tcW w:w="2993" w:type="dxa"/>
          </w:tcPr>
          <w:p w:rsidR="00257C10" w:rsidRPr="00E960FC" w:rsidRDefault="00E5586C" w:rsidP="00442FAA">
            <w:pPr>
              <w:jc w:val="center"/>
              <w:rPr>
                <w:sz w:val="20"/>
                <w:szCs w:val="20"/>
                <w:lang w:val="es-ES"/>
              </w:rPr>
            </w:pPr>
            <w:r w:rsidRPr="00E960FC">
              <w:rPr>
                <w:sz w:val="20"/>
                <w:szCs w:val="20"/>
                <w:lang w:val="es-ES"/>
              </w:rPr>
              <w:t>ND</w:t>
            </w:r>
          </w:p>
        </w:tc>
      </w:tr>
      <w:tr w:rsidR="00257C10" w:rsidRPr="00E960FC" w:rsidTr="00257C10">
        <w:tc>
          <w:tcPr>
            <w:tcW w:w="2992" w:type="dxa"/>
          </w:tcPr>
          <w:p w:rsidR="00257C10" w:rsidRPr="00E960FC" w:rsidRDefault="00257C10" w:rsidP="00442FAA">
            <w:pPr>
              <w:jc w:val="center"/>
              <w:rPr>
                <w:sz w:val="20"/>
                <w:szCs w:val="20"/>
                <w:lang w:val="es-ES"/>
              </w:rPr>
            </w:pPr>
            <w:r w:rsidRPr="00E960FC">
              <w:rPr>
                <w:sz w:val="20"/>
                <w:szCs w:val="20"/>
                <w:lang w:val="es-ES"/>
              </w:rPr>
              <w:t>Franquicia tributaria</w:t>
            </w:r>
          </w:p>
        </w:tc>
        <w:tc>
          <w:tcPr>
            <w:tcW w:w="2993" w:type="dxa"/>
          </w:tcPr>
          <w:p w:rsidR="00257C10" w:rsidRPr="00E960FC" w:rsidRDefault="00AA6981" w:rsidP="00AA6981">
            <w:pPr>
              <w:jc w:val="center"/>
              <w:rPr>
                <w:sz w:val="20"/>
                <w:szCs w:val="20"/>
                <w:lang w:val="es-ES"/>
              </w:rPr>
            </w:pPr>
            <w:r w:rsidRPr="00E960FC">
              <w:rPr>
                <w:sz w:val="20"/>
                <w:szCs w:val="20"/>
                <w:lang w:val="es-ES"/>
              </w:rPr>
              <w:t>0</w:t>
            </w:r>
            <w:r w:rsidR="00B93BCA" w:rsidRPr="00E960FC">
              <w:rPr>
                <w:sz w:val="20"/>
                <w:szCs w:val="20"/>
                <w:lang w:val="es-ES"/>
              </w:rPr>
              <w:t>,</w:t>
            </w:r>
            <w:r w:rsidRPr="00E960FC">
              <w:rPr>
                <w:sz w:val="20"/>
                <w:szCs w:val="20"/>
                <w:lang w:val="es-ES"/>
              </w:rPr>
              <w:t>609</w:t>
            </w:r>
            <w:r w:rsidR="00405D85" w:rsidRPr="00E960FC">
              <w:rPr>
                <w:sz w:val="20"/>
                <w:szCs w:val="20"/>
                <w:lang w:val="es-ES"/>
              </w:rPr>
              <w:t>%</w:t>
            </w:r>
          </w:p>
        </w:tc>
        <w:tc>
          <w:tcPr>
            <w:tcW w:w="2993" w:type="dxa"/>
          </w:tcPr>
          <w:p w:rsidR="00257C10" w:rsidRPr="00E960FC" w:rsidRDefault="00405D85" w:rsidP="00442FAA">
            <w:pPr>
              <w:jc w:val="center"/>
              <w:rPr>
                <w:sz w:val="20"/>
                <w:szCs w:val="20"/>
                <w:lang w:val="es-ES"/>
              </w:rPr>
            </w:pPr>
            <w:r w:rsidRPr="00E960FC">
              <w:rPr>
                <w:sz w:val="20"/>
                <w:szCs w:val="20"/>
                <w:lang w:val="es-ES"/>
              </w:rPr>
              <w:t>X</w:t>
            </w:r>
          </w:p>
        </w:tc>
      </w:tr>
    </w:tbl>
    <w:p w:rsidR="00257C10" w:rsidRPr="00E960FC" w:rsidRDefault="00257C10" w:rsidP="00442FAA">
      <w:pPr>
        <w:spacing w:after="0"/>
        <w:jc w:val="center"/>
        <w:rPr>
          <w:sz w:val="20"/>
          <w:szCs w:val="20"/>
          <w:lang w:val="es-ES"/>
        </w:rPr>
      </w:pPr>
    </w:p>
    <w:p w:rsidR="00442FAA" w:rsidRPr="00E960FC" w:rsidRDefault="00442FAA" w:rsidP="00442FAA">
      <w:pPr>
        <w:spacing w:after="0"/>
        <w:jc w:val="both"/>
        <w:rPr>
          <w:lang w:val="es-ES"/>
        </w:rPr>
      </w:pPr>
    </w:p>
    <w:p w:rsidR="00A8178D" w:rsidRPr="00E960FC" w:rsidRDefault="00360D31" w:rsidP="00442FAA">
      <w:pPr>
        <w:spacing w:after="0"/>
        <w:jc w:val="both"/>
        <w:rPr>
          <w:lang w:val="es-ES"/>
        </w:rPr>
      </w:pPr>
      <w:r w:rsidRPr="00E960FC">
        <w:rPr>
          <w:lang w:val="es-ES"/>
        </w:rPr>
        <w:t xml:space="preserve">Como es posible apreciar, </w:t>
      </w:r>
      <w:r w:rsidR="005174BE" w:rsidRPr="00E960FC">
        <w:rPr>
          <w:lang w:val="es-ES"/>
        </w:rPr>
        <w:t xml:space="preserve">para tres de los cuatro </w:t>
      </w:r>
      <w:r w:rsidRPr="00E960FC">
        <w:rPr>
          <w:lang w:val="es-ES"/>
        </w:rPr>
        <w:t>programas de capacitación</w:t>
      </w:r>
      <w:r w:rsidR="00E5586C" w:rsidRPr="00E960FC">
        <w:rPr>
          <w:lang w:val="es-ES"/>
        </w:rPr>
        <w:t xml:space="preserve"> </w:t>
      </w:r>
      <w:r w:rsidR="005174BE" w:rsidRPr="00E960FC">
        <w:rPr>
          <w:lang w:val="es-ES"/>
        </w:rPr>
        <w:t>se</w:t>
      </w:r>
      <w:r w:rsidRPr="00E960FC">
        <w:rPr>
          <w:lang w:val="es-ES"/>
        </w:rPr>
        <w:t xml:space="preserve"> requiere de un efecto </w:t>
      </w:r>
      <w:r w:rsidR="005174BE" w:rsidRPr="00E960FC">
        <w:rPr>
          <w:lang w:val="es-ES"/>
        </w:rPr>
        <w:t xml:space="preserve">real en términos de salarios </w:t>
      </w:r>
      <w:r w:rsidRPr="00E960FC">
        <w:rPr>
          <w:lang w:val="es-ES"/>
        </w:rPr>
        <w:t xml:space="preserve">para exhibir un VAN igual a cero. </w:t>
      </w:r>
      <w:r w:rsidR="001962FE" w:rsidRPr="00E960FC">
        <w:rPr>
          <w:lang w:val="es-ES"/>
        </w:rPr>
        <w:t>Para contextualizar apropiadamente estos valores cabe mencionar que tomando los datos provenientes de la encuesta CASEN 2009, el retorno de un año de escolaridad completa en el sistema formal en Chile es, en promedio, del orden del 11%.</w:t>
      </w:r>
      <w:r w:rsidR="00A8178D" w:rsidRPr="00E960FC">
        <w:rPr>
          <w:lang w:val="es-ES"/>
        </w:rPr>
        <w:t xml:space="preserve"> Para la educación secundaria, que probablemente sea un punto de comparación más sensato para un programa como el de formación en el puesto de trabajo, el retorno es de 5,5%.</w:t>
      </w:r>
      <w:r w:rsidR="001962FE" w:rsidRPr="00E960FC">
        <w:rPr>
          <w:lang w:val="es-ES"/>
        </w:rPr>
        <w:t xml:space="preserve"> </w:t>
      </w:r>
    </w:p>
    <w:p w:rsidR="00A8178D" w:rsidRPr="00E960FC" w:rsidRDefault="00A8178D" w:rsidP="00442FAA">
      <w:pPr>
        <w:spacing w:after="0"/>
        <w:jc w:val="both"/>
        <w:rPr>
          <w:lang w:val="es-ES"/>
        </w:rPr>
      </w:pPr>
    </w:p>
    <w:p w:rsidR="005174BE" w:rsidRPr="00E960FC" w:rsidRDefault="00A8178D" w:rsidP="00442FAA">
      <w:pPr>
        <w:spacing w:after="0"/>
        <w:jc w:val="both"/>
        <w:rPr>
          <w:lang w:val="es-ES"/>
        </w:rPr>
      </w:pPr>
      <w:r w:rsidRPr="00E960FC">
        <w:rPr>
          <w:lang w:val="es-ES"/>
        </w:rPr>
        <w:t>Por otro lado</w:t>
      </w:r>
      <w:r w:rsidR="005174BE" w:rsidRPr="00E960FC">
        <w:rPr>
          <w:lang w:val="es-ES"/>
        </w:rPr>
        <w:t>, se puede apreciar que para que el programa del bono del trabajador activo presente un VAN nulo se necesita s</w:t>
      </w:r>
      <w:r w:rsidRPr="00E960FC">
        <w:rPr>
          <w:lang w:val="es-ES"/>
        </w:rPr>
        <w:t>ó</w:t>
      </w:r>
      <w:r w:rsidR="005174BE" w:rsidRPr="00E960FC">
        <w:rPr>
          <w:lang w:val="es-ES"/>
        </w:rPr>
        <w:t xml:space="preserve">lo de un impacto en salario del orden del 2%. En vista de que este programa es nuevo, comenzó a operar recién el año 2011, no se cuenta con antecedentes estadísticos que permitan pronunciarse respecto de la factibilidad de lograr dicho impacto. </w:t>
      </w:r>
      <w:r w:rsidRPr="00E960FC">
        <w:rPr>
          <w:lang w:val="es-ES"/>
        </w:rPr>
        <w:t>No obstante, existe evidencia favorable a nivel internacional respecto del impacto de esta forma de capacitación (</w:t>
      </w:r>
      <w:r w:rsidR="000D09BA" w:rsidRPr="00E960FC">
        <w:rPr>
          <w:lang w:val="es-ES"/>
        </w:rPr>
        <w:t xml:space="preserve">Rinne (2008)). </w:t>
      </w:r>
    </w:p>
    <w:p w:rsidR="00965B15" w:rsidRPr="00E960FC" w:rsidRDefault="00965B15" w:rsidP="00442FAA">
      <w:pPr>
        <w:spacing w:after="0"/>
        <w:jc w:val="both"/>
        <w:rPr>
          <w:lang w:val="es-ES"/>
        </w:rPr>
      </w:pPr>
      <w:r w:rsidRPr="00E960FC">
        <w:rPr>
          <w:lang w:val="es-ES"/>
        </w:rPr>
        <w:lastRenderedPageBreak/>
        <w:t>El programa oficios por su parte, requiere de impacto de 15% para garantizar un VAN positivo, lo que en vista de las estimaciones que realizó la comisión de expertos, es un valor más bien alcanzable</w:t>
      </w:r>
      <w:r w:rsidR="000D09BA" w:rsidRPr="00E960FC">
        <w:rPr>
          <w:lang w:val="es-ES"/>
        </w:rPr>
        <w:t xml:space="preserve"> (en los resultados de la tabla 10 se asumió un impacto de 16%)</w:t>
      </w:r>
      <w:r w:rsidRPr="00E960FC">
        <w:rPr>
          <w:lang w:val="es-ES"/>
        </w:rPr>
        <w:t xml:space="preserve">. Ahora bien, eso depende esencialmente del grado de confianza que se le otorgue al ejercicio realizado por la comisión. Por ejemplo, el grupo de control se seleccionó en mediante un </w:t>
      </w:r>
      <w:r w:rsidRPr="00E960FC">
        <w:rPr>
          <w:i/>
          <w:lang w:val="es-ES"/>
        </w:rPr>
        <w:t>matching</w:t>
      </w:r>
      <w:r w:rsidRPr="00E960FC">
        <w:rPr>
          <w:lang w:val="es-ES"/>
        </w:rPr>
        <w:t xml:space="preserve"> entre los individuos que habían reprobado o desertado, es decir, se asume que el individuo de control no difieren en términos de no observables, lo que en caso de no ser cierto, generaría un importante sesgo en los resultados estimados. </w:t>
      </w:r>
    </w:p>
    <w:p w:rsidR="005174BE" w:rsidRPr="00E960FC" w:rsidRDefault="005174BE" w:rsidP="00442FAA">
      <w:pPr>
        <w:spacing w:after="0"/>
        <w:jc w:val="both"/>
        <w:rPr>
          <w:lang w:val="es-ES"/>
        </w:rPr>
      </w:pPr>
    </w:p>
    <w:p w:rsidR="00982E67" w:rsidRPr="00E960FC" w:rsidRDefault="00360D31" w:rsidP="00442FAA">
      <w:pPr>
        <w:spacing w:after="0"/>
        <w:jc w:val="both"/>
        <w:rPr>
          <w:lang w:val="es-ES"/>
        </w:rPr>
      </w:pPr>
      <w:r w:rsidRPr="00E960FC">
        <w:rPr>
          <w:lang w:val="es-ES"/>
        </w:rPr>
        <w:t xml:space="preserve">La franquicia tributaria, en cambio, con un impacto </w:t>
      </w:r>
      <w:r w:rsidR="00965B15" w:rsidRPr="00E960FC">
        <w:rPr>
          <w:lang w:val="es-ES"/>
        </w:rPr>
        <w:t>prácticamente equivalente a lo estimado por Rodríguez y Urzúa (2010)</w:t>
      </w:r>
      <w:r w:rsidRPr="00E960FC">
        <w:rPr>
          <w:lang w:val="es-ES"/>
        </w:rPr>
        <w:t xml:space="preserve"> s</w:t>
      </w:r>
      <w:r w:rsidR="00E5586C" w:rsidRPr="00E960FC">
        <w:rPr>
          <w:lang w:val="es-ES"/>
        </w:rPr>
        <w:t>er</w:t>
      </w:r>
      <w:r w:rsidR="00965B15" w:rsidRPr="00E960FC">
        <w:rPr>
          <w:lang w:val="es-ES"/>
        </w:rPr>
        <w:t>ía</w:t>
      </w:r>
      <w:r w:rsidR="00E5586C" w:rsidRPr="00E960FC">
        <w:rPr>
          <w:lang w:val="es-ES"/>
        </w:rPr>
        <w:t xml:space="preserve"> capaz de generar un VAN nulo</w:t>
      </w:r>
      <w:r w:rsidR="00965B15" w:rsidRPr="00E960FC">
        <w:rPr>
          <w:lang w:val="es-ES"/>
        </w:rPr>
        <w:t xml:space="preserve">. </w:t>
      </w:r>
      <w:r w:rsidR="001962FE" w:rsidRPr="00E960FC">
        <w:rPr>
          <w:lang w:val="es-ES"/>
        </w:rPr>
        <w:t xml:space="preserve">No obstante, si bien pudiera parecer un impacto asequible no se debe olvidar que los cursos que se financian por este mecanismo son brevísimos, lo que hace tener fundadas dudas sobre si será posible que logren </w:t>
      </w:r>
      <w:r w:rsidR="00965B15" w:rsidRPr="00E960FC">
        <w:rPr>
          <w:lang w:val="es-ES"/>
        </w:rPr>
        <w:t xml:space="preserve">realmente </w:t>
      </w:r>
      <w:r w:rsidR="001962FE" w:rsidRPr="00E960FC">
        <w:rPr>
          <w:lang w:val="es-ES"/>
        </w:rPr>
        <w:t>un impacto de</w:t>
      </w:r>
      <w:r w:rsidR="00965B15" w:rsidRPr="00E960FC">
        <w:rPr>
          <w:lang w:val="es-ES"/>
        </w:rPr>
        <w:t xml:space="preserve"> </w:t>
      </w:r>
      <w:r w:rsidR="001962FE" w:rsidRPr="00E960FC">
        <w:rPr>
          <w:lang w:val="es-ES"/>
        </w:rPr>
        <w:t>l</w:t>
      </w:r>
      <w:r w:rsidR="00965B15" w:rsidRPr="00E960FC">
        <w:rPr>
          <w:lang w:val="es-ES"/>
        </w:rPr>
        <w:t>a</w:t>
      </w:r>
      <w:r w:rsidR="001962FE" w:rsidRPr="00E960FC">
        <w:rPr>
          <w:lang w:val="es-ES"/>
        </w:rPr>
        <w:t xml:space="preserve"> </w:t>
      </w:r>
      <w:r w:rsidR="00965B15" w:rsidRPr="00E960FC">
        <w:rPr>
          <w:lang w:val="es-ES"/>
        </w:rPr>
        <w:t>magnitud requerida. Además, cabe mencionar que en el ejercicio llevado a cabo por los autores de este análisis este impacto (0,6%) estuvo presente sólo e algunas especificaciones, y que la robustez de las conclusiones está aún en entredicho.</w:t>
      </w:r>
    </w:p>
    <w:p w:rsidR="00442FAA" w:rsidRPr="00E960FC" w:rsidRDefault="00442FAA" w:rsidP="00442FAA">
      <w:pPr>
        <w:spacing w:after="0"/>
        <w:jc w:val="both"/>
        <w:rPr>
          <w:lang w:val="es-ES"/>
        </w:rPr>
      </w:pPr>
    </w:p>
    <w:p w:rsidR="007D3FE9" w:rsidRPr="00E960FC" w:rsidRDefault="00965B15" w:rsidP="00442FAA">
      <w:pPr>
        <w:spacing w:after="0"/>
        <w:jc w:val="both"/>
        <w:rPr>
          <w:lang w:val="es-ES"/>
        </w:rPr>
      </w:pPr>
      <w:r w:rsidRPr="00E960FC">
        <w:rPr>
          <w:lang w:val="es-ES"/>
        </w:rPr>
        <w:t>Finalmente</w:t>
      </w:r>
      <w:r w:rsidR="007D3FE9" w:rsidRPr="00E960FC">
        <w:rPr>
          <w:lang w:val="es-ES"/>
        </w:rPr>
        <w:t>, el programa de formación en el puesto de trabajo siempre exhibe un VAN positivo por lo que no es posible encontrar puntos de equilibrio, lo cual se debe en esencia a</w:t>
      </w:r>
      <w:r w:rsidR="0066450B" w:rsidRPr="00E960FC">
        <w:rPr>
          <w:lang w:val="es-ES"/>
        </w:rPr>
        <w:t>l salario (mínimo) que se la paga a las personas que están siendo capacitadas, como una  manera de solventar su costo de oportunidad</w:t>
      </w:r>
      <w:r w:rsidR="007D3FE9" w:rsidRPr="00E960FC">
        <w:rPr>
          <w:lang w:val="es-ES"/>
        </w:rPr>
        <w:t xml:space="preserve">. </w:t>
      </w:r>
      <w:r w:rsidR="001962FE" w:rsidRPr="00E960FC">
        <w:rPr>
          <w:lang w:val="es-ES"/>
        </w:rPr>
        <w:t>Un aspecto interesante que de sebe destacar de este programa es que es el único que incorpora entre sus beneficios un salario para aquell</w:t>
      </w:r>
      <w:r w:rsidRPr="00E960FC">
        <w:rPr>
          <w:lang w:val="es-ES"/>
        </w:rPr>
        <w:t>os que se están capacitando.</w:t>
      </w:r>
    </w:p>
    <w:p w:rsidR="00982AAD" w:rsidRPr="00E960FC" w:rsidRDefault="00982AAD" w:rsidP="00442FAA">
      <w:pPr>
        <w:pStyle w:val="ListParagraph"/>
        <w:spacing w:after="0"/>
        <w:rPr>
          <w:lang w:val="es-ES"/>
        </w:rPr>
      </w:pPr>
    </w:p>
    <w:p w:rsidR="002150F2" w:rsidRPr="00E960FC" w:rsidRDefault="002150F2" w:rsidP="00442FAA">
      <w:pPr>
        <w:pStyle w:val="ListParagraph"/>
        <w:spacing w:after="0"/>
        <w:rPr>
          <w:lang w:val="es-ES"/>
        </w:rPr>
      </w:pPr>
    </w:p>
    <w:p w:rsidR="00982E67" w:rsidRPr="00E960FC" w:rsidRDefault="00982E67" w:rsidP="00442FAA">
      <w:pPr>
        <w:pStyle w:val="ListParagraph"/>
        <w:numPr>
          <w:ilvl w:val="0"/>
          <w:numId w:val="2"/>
        </w:numPr>
        <w:spacing w:after="0"/>
        <w:rPr>
          <w:b/>
          <w:lang w:val="es-ES"/>
        </w:rPr>
      </w:pPr>
      <w:r w:rsidRPr="00E960FC">
        <w:rPr>
          <w:b/>
          <w:lang w:val="es-ES"/>
        </w:rPr>
        <w:t>Conclusiones</w:t>
      </w:r>
    </w:p>
    <w:p w:rsidR="00442FAA" w:rsidRPr="00E960FC" w:rsidRDefault="00442FAA" w:rsidP="00442FAA">
      <w:pPr>
        <w:pStyle w:val="ListParagraph"/>
        <w:spacing w:after="0"/>
        <w:ind w:left="1080"/>
        <w:rPr>
          <w:b/>
          <w:lang w:val="es-ES"/>
        </w:rPr>
      </w:pPr>
    </w:p>
    <w:p w:rsidR="00AC2924" w:rsidRPr="00E960FC" w:rsidRDefault="00F83FED" w:rsidP="00442FAA">
      <w:pPr>
        <w:spacing w:after="0"/>
        <w:jc w:val="both"/>
        <w:rPr>
          <w:lang w:val="es-ES"/>
        </w:rPr>
      </w:pPr>
      <w:r w:rsidRPr="00E960FC">
        <w:rPr>
          <w:lang w:val="es-ES"/>
        </w:rPr>
        <w:t>E</w:t>
      </w:r>
      <w:r w:rsidR="00322B05" w:rsidRPr="00E960FC">
        <w:rPr>
          <w:lang w:val="es-ES"/>
        </w:rPr>
        <w:t xml:space="preserve">l objetivo de este informe ha sido presentar la evaluación costo-beneficio de los programas de capacitación bono del trabajador activo, </w:t>
      </w:r>
      <w:r w:rsidR="007D3FE9" w:rsidRPr="00E960FC">
        <w:rPr>
          <w:lang w:val="es-ES"/>
        </w:rPr>
        <w:t>formación en el puesto de trabajo</w:t>
      </w:r>
      <w:r w:rsidR="00322B05" w:rsidRPr="00E960FC">
        <w:rPr>
          <w:lang w:val="es-ES"/>
        </w:rPr>
        <w:t xml:space="preserve">, oficios y franquicia tributaria. Los resultados muestran, hasta ahora, una evaluación </w:t>
      </w:r>
      <w:r w:rsidR="005174BE" w:rsidRPr="00E960FC">
        <w:rPr>
          <w:lang w:val="es-ES"/>
        </w:rPr>
        <w:t>posit</w:t>
      </w:r>
      <w:r w:rsidR="00322B05" w:rsidRPr="00E960FC">
        <w:rPr>
          <w:lang w:val="es-ES"/>
        </w:rPr>
        <w:t xml:space="preserve">iva para </w:t>
      </w:r>
      <w:r w:rsidR="005174BE" w:rsidRPr="00E960FC">
        <w:rPr>
          <w:lang w:val="es-ES"/>
        </w:rPr>
        <w:t>los</w:t>
      </w:r>
      <w:r w:rsidR="00322B05" w:rsidRPr="00E960FC">
        <w:rPr>
          <w:lang w:val="es-ES"/>
        </w:rPr>
        <w:t xml:space="preserve"> programas, </w:t>
      </w:r>
      <w:r w:rsidR="005174BE" w:rsidRPr="00E960FC">
        <w:rPr>
          <w:lang w:val="es-ES"/>
        </w:rPr>
        <w:t>en términos de valor actual neto (VAN), y</w:t>
      </w:r>
      <w:r w:rsidR="007D3FE9" w:rsidRPr="00E960FC">
        <w:rPr>
          <w:lang w:val="es-ES"/>
        </w:rPr>
        <w:t xml:space="preserve"> </w:t>
      </w:r>
      <w:r w:rsidR="00322B05" w:rsidRPr="00E960FC">
        <w:rPr>
          <w:lang w:val="es-ES"/>
        </w:rPr>
        <w:t xml:space="preserve">asumiendo que los impactos que han sido estimados hasta la fecha se concretan </w:t>
      </w:r>
      <w:r w:rsidR="00D2755C" w:rsidRPr="00E960FC">
        <w:rPr>
          <w:lang w:val="es-ES"/>
        </w:rPr>
        <w:t>sólo durante</w:t>
      </w:r>
      <w:r w:rsidR="00322B05" w:rsidRPr="00E960FC">
        <w:rPr>
          <w:lang w:val="es-ES"/>
        </w:rPr>
        <w:t xml:space="preserve"> los próximos </w:t>
      </w:r>
      <w:r w:rsidR="00D2755C" w:rsidRPr="00E960FC">
        <w:rPr>
          <w:lang w:val="es-ES"/>
        </w:rPr>
        <w:t>cuatro</w:t>
      </w:r>
      <w:r w:rsidR="00322B05" w:rsidRPr="00E960FC">
        <w:rPr>
          <w:lang w:val="es-ES"/>
        </w:rPr>
        <w:t xml:space="preserve"> años</w:t>
      </w:r>
      <w:r w:rsidR="00D2755C" w:rsidRPr="00E960FC">
        <w:rPr>
          <w:lang w:val="es-ES"/>
        </w:rPr>
        <w:t>, dando origen a una ganancia en términos de productividad</w:t>
      </w:r>
      <w:r w:rsidR="00322B05" w:rsidRPr="00E960FC">
        <w:rPr>
          <w:lang w:val="es-ES"/>
        </w:rPr>
        <w:t xml:space="preserve">. </w:t>
      </w:r>
      <w:r w:rsidR="00D2755C" w:rsidRPr="00E960FC">
        <w:rPr>
          <w:lang w:val="es-ES"/>
        </w:rPr>
        <w:t>En efecto,</w:t>
      </w:r>
      <w:r w:rsidR="00322B05" w:rsidRPr="00E960FC">
        <w:rPr>
          <w:lang w:val="es-ES"/>
        </w:rPr>
        <w:t xml:space="preserve"> los </w:t>
      </w:r>
      <w:r w:rsidR="00D2755C" w:rsidRPr="00E960FC">
        <w:rPr>
          <w:lang w:val="es-ES"/>
        </w:rPr>
        <w:t>impactos</w:t>
      </w:r>
      <w:r w:rsidR="00322B05" w:rsidRPr="00E960FC">
        <w:rPr>
          <w:lang w:val="es-ES"/>
        </w:rPr>
        <w:t xml:space="preserve"> que han sido estimados en los análisis econométricos encargados por la comisión de expertos apuntan siempre a efectos de mediano y largo plazo, sin embargo, </w:t>
      </w:r>
      <w:r w:rsidR="00590B43" w:rsidRPr="00E960FC">
        <w:rPr>
          <w:lang w:val="es-ES"/>
        </w:rPr>
        <w:t>para este análisis</w:t>
      </w:r>
      <w:r w:rsidR="00322B05" w:rsidRPr="00E960FC">
        <w:rPr>
          <w:lang w:val="es-ES"/>
        </w:rPr>
        <w:t xml:space="preserve"> se ha asumido que los efectos de los programas son inmediatos</w:t>
      </w:r>
      <w:r w:rsidR="005174BE" w:rsidRPr="00E960FC">
        <w:rPr>
          <w:lang w:val="es-ES"/>
        </w:rPr>
        <w:t xml:space="preserve"> y que se prolongan por un período de cuatro años, luego del cual la ventaja comparativa (salarios) asociada al hecho de haber participado en el programa desaparece.</w:t>
      </w:r>
      <w:r w:rsidR="00590B43" w:rsidRPr="00E960FC">
        <w:rPr>
          <w:lang w:val="es-ES"/>
        </w:rPr>
        <w:t xml:space="preserve"> Los resultados muestran que en tres de los cuatro programas analizados se puede esperar con un 95% de probabilidad un VAN positivo. </w:t>
      </w:r>
    </w:p>
    <w:p w:rsidR="005174BE" w:rsidRPr="00E960FC" w:rsidRDefault="005174BE" w:rsidP="00442FAA">
      <w:pPr>
        <w:spacing w:after="0"/>
        <w:jc w:val="both"/>
        <w:rPr>
          <w:lang w:val="es-ES"/>
        </w:rPr>
      </w:pPr>
    </w:p>
    <w:p w:rsidR="00B93BCA" w:rsidRPr="00E960FC" w:rsidRDefault="00B93BCA" w:rsidP="00442FAA">
      <w:pPr>
        <w:spacing w:after="0"/>
        <w:jc w:val="both"/>
        <w:rPr>
          <w:lang w:val="es-ES"/>
        </w:rPr>
      </w:pPr>
      <w:r w:rsidRPr="00E960FC">
        <w:rPr>
          <w:lang w:val="es-ES"/>
        </w:rPr>
        <w:t xml:space="preserve">Con todo, los resultados econométricos que se han citado deben ser tomados con cautela, por cuanto el hecho de que no se haya podido identificar un efecto mayor ya sea en salarios o en empleo no significa que dicho efecto no exista. Las herramientas econométricas tienen limitantes, </w:t>
      </w:r>
      <w:r w:rsidRPr="00E960FC">
        <w:rPr>
          <w:lang w:val="es-ES"/>
        </w:rPr>
        <w:lastRenderedPageBreak/>
        <w:t>y los datos con los que se trabaja no siempre son los más apropiados. El caso del aislamiento del grupo de control para la evaluación de impacto de la franquicia es un ejemplo de ello.</w:t>
      </w:r>
      <w:r w:rsidR="005174BE" w:rsidRPr="00E960FC">
        <w:rPr>
          <w:lang w:val="es-ES"/>
        </w:rPr>
        <w:t xml:space="preserve"> En vista de esto es que se hace imperativo poder contar con evaluaciones de impacto rigurosas, las que por cierto, conllevan considerables costos. En este contexto, un diseño experimental para e</w:t>
      </w:r>
      <w:r w:rsidR="00590B43" w:rsidRPr="00E960FC">
        <w:rPr>
          <w:lang w:val="es-ES"/>
        </w:rPr>
        <w:t>valuar alguno de estos</w:t>
      </w:r>
      <w:r w:rsidR="005174BE" w:rsidRPr="00E960FC">
        <w:rPr>
          <w:lang w:val="es-ES"/>
        </w:rPr>
        <w:t xml:space="preserve"> programa</w:t>
      </w:r>
      <w:r w:rsidR="00590B43" w:rsidRPr="00E960FC">
        <w:rPr>
          <w:lang w:val="es-ES"/>
        </w:rPr>
        <w:t>s</w:t>
      </w:r>
      <w:r w:rsidR="005174BE" w:rsidRPr="00E960FC">
        <w:rPr>
          <w:lang w:val="es-ES"/>
        </w:rPr>
        <w:t xml:space="preserve"> sería del todo oportuno con el objetivo de tener una estimación precisa respecto del real impacto que tiene este tipo de programas. Los grupos de control que se han confeccionado para llevar a cabo los análisis encargados por la comisión adolecen de muchas falencias, por cuanto descansan en supuestos fuertes en términos de su real comparabilidad con los individuos del grupo de tratamiento. </w:t>
      </w:r>
    </w:p>
    <w:p w:rsidR="006B358A" w:rsidRPr="00E960FC" w:rsidRDefault="006B358A" w:rsidP="00442FAA">
      <w:pPr>
        <w:spacing w:after="0"/>
        <w:jc w:val="both"/>
        <w:rPr>
          <w:lang w:val="es-ES"/>
        </w:rPr>
      </w:pPr>
    </w:p>
    <w:p w:rsidR="005174BE" w:rsidRPr="00E960FC" w:rsidRDefault="006B358A" w:rsidP="00442FAA">
      <w:pPr>
        <w:spacing w:after="0"/>
        <w:jc w:val="both"/>
        <w:rPr>
          <w:lang w:val="es-ES"/>
        </w:rPr>
      </w:pPr>
      <w:r w:rsidRPr="00E960FC">
        <w:rPr>
          <w:lang w:val="es-ES"/>
        </w:rPr>
        <w:t xml:space="preserve">Finalmente, no se debe dejar de mencionar que no todos los impactos de los programas de capacitación tienen efectos que son cuantificables desde el punto de vista econométrico. Hay otros impactos (satisfacción laboral, clima organizacional, sentido de logro, mayor cumplimiento de metas que se recompensan por medio de bonos, etc.) que no pueden observarse pero que no significa que no existan ni mucho menos que sean importantes </w:t>
      </w:r>
      <w:r w:rsidR="005174BE" w:rsidRPr="00E960FC">
        <w:rPr>
          <w:lang w:val="es-ES"/>
        </w:rPr>
        <w:t xml:space="preserve">(Bassanini, 2004). </w:t>
      </w:r>
      <w:r w:rsidR="00965B15" w:rsidRPr="00E960FC">
        <w:rPr>
          <w:lang w:val="es-ES"/>
        </w:rPr>
        <w:t xml:space="preserve">Por otro lado, y no menos importante que el punto anterior, se deben tener muy presentes las externalidades que tienen asociadas estos programas. Por ejemplo, y sobre todo para la población que se encuentra desempleada, la participación en este tipo de programas podría significar que </w:t>
      </w:r>
      <w:r w:rsidR="00827EDF" w:rsidRPr="00E960FC">
        <w:rPr>
          <w:lang w:val="es-ES"/>
        </w:rPr>
        <w:t xml:space="preserve">el individuo no caiga en actividades informales o delictivas, lo cual trae un importante costo para la sociedad como un todo. Si bien este ejercicio no ha cuantificado estas externalidades, en parte porque es una arista bastante discutible, no se deben pasar por alto al momento de evaluar de una manera íntegra un programa social de estas características. </w:t>
      </w:r>
      <w:r w:rsidR="0066450B" w:rsidRPr="00E960FC">
        <w:rPr>
          <w:lang w:val="es-ES"/>
        </w:rPr>
        <w:t xml:space="preserve">Todo lo anterior releva la importancia que tiene llevar a cabo un monitoreo y seguimiento no solo de los resultados esperados de los programas sino también de otros resultados no esperados, además de mejorar la cantidad y calidad de la información y el diseño y la efectividad de las políticas. </w:t>
      </w:r>
    </w:p>
    <w:p w:rsidR="005174BE" w:rsidRPr="00E960FC" w:rsidRDefault="005174BE" w:rsidP="00442FAA">
      <w:pPr>
        <w:spacing w:after="0"/>
        <w:jc w:val="both"/>
        <w:rPr>
          <w:lang w:val="es-ES"/>
        </w:rPr>
      </w:pPr>
    </w:p>
    <w:p w:rsidR="005174BE" w:rsidRPr="00E960FC" w:rsidRDefault="005174BE">
      <w:pPr>
        <w:rPr>
          <w:lang w:val="es-ES"/>
        </w:rPr>
      </w:pPr>
      <w:r w:rsidRPr="00E960FC">
        <w:rPr>
          <w:lang w:val="es-ES"/>
        </w:rPr>
        <w:br w:type="page"/>
      </w:r>
    </w:p>
    <w:p w:rsidR="005174BE" w:rsidRPr="00E960FC" w:rsidRDefault="005174BE" w:rsidP="00442FAA">
      <w:pPr>
        <w:spacing w:after="0"/>
        <w:jc w:val="both"/>
        <w:rPr>
          <w:lang w:val="es-ES"/>
        </w:rPr>
      </w:pPr>
    </w:p>
    <w:p w:rsidR="00A55251" w:rsidRPr="00E960FC" w:rsidRDefault="00A55251" w:rsidP="00442FAA">
      <w:pPr>
        <w:spacing w:after="0"/>
        <w:jc w:val="both"/>
        <w:rPr>
          <w:b/>
          <w:lang w:val="es-ES"/>
        </w:rPr>
      </w:pPr>
      <w:r w:rsidRPr="00E960FC">
        <w:rPr>
          <w:b/>
          <w:lang w:val="es-ES"/>
        </w:rPr>
        <w:t>Referencias</w:t>
      </w:r>
      <w:bookmarkStart w:id="0" w:name="_GoBack"/>
      <w:bookmarkEnd w:id="0"/>
    </w:p>
    <w:p w:rsidR="00FC30D5" w:rsidRPr="00E960FC" w:rsidRDefault="00FC30D5" w:rsidP="00442FAA">
      <w:pPr>
        <w:pStyle w:val="ListParagraph"/>
        <w:numPr>
          <w:ilvl w:val="0"/>
          <w:numId w:val="1"/>
        </w:numPr>
        <w:spacing w:after="0"/>
        <w:jc w:val="both"/>
        <w:rPr>
          <w:lang w:val="es-ES"/>
        </w:rPr>
      </w:pPr>
      <w:r w:rsidRPr="00E960FC">
        <w:rPr>
          <w:lang w:val="es-ES"/>
        </w:rPr>
        <w:t xml:space="preserve">Bassanini, A. (2004) </w:t>
      </w:r>
      <w:r w:rsidRPr="00E960FC">
        <w:rPr>
          <w:i/>
          <w:lang w:val="es-ES"/>
        </w:rPr>
        <w:t>Improving skills for more and better jobs? The quest for efficient policies to promote adult education and training</w:t>
      </w:r>
      <w:r w:rsidRPr="00E960FC">
        <w:rPr>
          <w:lang w:val="es-ES"/>
        </w:rPr>
        <w:t xml:space="preserve">. En OECD Employment Outlook. </w:t>
      </w:r>
    </w:p>
    <w:p w:rsidR="00AA42E0" w:rsidRPr="00E960FC" w:rsidRDefault="00AA42E0" w:rsidP="00442FAA">
      <w:pPr>
        <w:pStyle w:val="ListParagraph"/>
        <w:numPr>
          <w:ilvl w:val="0"/>
          <w:numId w:val="1"/>
        </w:numPr>
        <w:spacing w:after="0"/>
        <w:jc w:val="both"/>
        <w:rPr>
          <w:lang w:val="es-ES"/>
        </w:rPr>
      </w:pPr>
      <w:r w:rsidRPr="00E960FC">
        <w:rPr>
          <w:lang w:val="es-ES"/>
        </w:rPr>
        <w:t>BID (2008). Marco de Efectividad en el Desarrollo (DEF).</w:t>
      </w:r>
    </w:p>
    <w:p w:rsidR="00A55251" w:rsidRPr="00E960FC" w:rsidRDefault="00AA42E0" w:rsidP="00442FAA">
      <w:pPr>
        <w:pStyle w:val="ListParagraph"/>
        <w:numPr>
          <w:ilvl w:val="0"/>
          <w:numId w:val="1"/>
        </w:numPr>
        <w:spacing w:after="0"/>
        <w:jc w:val="both"/>
        <w:rPr>
          <w:lang w:val="es-ES"/>
        </w:rPr>
      </w:pPr>
      <w:r w:rsidRPr="00E960FC">
        <w:rPr>
          <w:lang w:val="es-ES"/>
        </w:rPr>
        <w:t xml:space="preserve">BID (2011). </w:t>
      </w:r>
      <w:r w:rsidR="00A55251" w:rsidRPr="00E960FC">
        <w:rPr>
          <w:i/>
          <w:lang w:val="es-ES"/>
        </w:rPr>
        <w:t>Review of the development effectiveness matr</w:t>
      </w:r>
      <w:r w:rsidR="008D2AF2" w:rsidRPr="00E960FC">
        <w:rPr>
          <w:i/>
          <w:lang w:val="es-ES"/>
        </w:rPr>
        <w:t>i</w:t>
      </w:r>
      <w:r w:rsidR="00A55251" w:rsidRPr="00E960FC">
        <w:rPr>
          <w:i/>
          <w:lang w:val="es-ES"/>
        </w:rPr>
        <w:t>x for sovereign guaranteed and non-sovereign guaranteed operations</w:t>
      </w:r>
      <w:r w:rsidR="00A55251" w:rsidRPr="00E960FC">
        <w:rPr>
          <w:lang w:val="es-ES"/>
        </w:rPr>
        <w:t xml:space="preserve">. </w:t>
      </w:r>
      <w:r w:rsidR="00BD5A9B" w:rsidRPr="00E960FC">
        <w:rPr>
          <w:lang w:val="es-ES"/>
        </w:rPr>
        <w:t xml:space="preserve">Document of the Inter-American Development Bank. </w:t>
      </w:r>
    </w:p>
    <w:p w:rsidR="004C3EDC" w:rsidRPr="00E960FC" w:rsidRDefault="00AA42E0" w:rsidP="00442FAA">
      <w:pPr>
        <w:pStyle w:val="ListParagraph"/>
        <w:numPr>
          <w:ilvl w:val="0"/>
          <w:numId w:val="1"/>
        </w:numPr>
        <w:spacing w:after="0"/>
        <w:jc w:val="both"/>
        <w:rPr>
          <w:lang w:val="es-ES"/>
        </w:rPr>
      </w:pPr>
      <w:r w:rsidRPr="00E960FC">
        <w:rPr>
          <w:lang w:val="es-ES"/>
        </w:rPr>
        <w:t xml:space="preserve">BID (2011). </w:t>
      </w:r>
      <w:r w:rsidR="00A55251" w:rsidRPr="00E960FC">
        <w:rPr>
          <w:i/>
          <w:lang w:val="es-ES"/>
        </w:rPr>
        <w:t>Informe Costo-beneficio de las modalidades de capacitación para la inserción laboral de jóvenes vulnerables</w:t>
      </w:r>
      <w:r w:rsidR="00A55251" w:rsidRPr="00E960FC">
        <w:rPr>
          <w:lang w:val="es-ES"/>
        </w:rPr>
        <w:t>. Programa de Apoyo al Sistema Nacional de Empleo (DR-L1036). República Dominicana</w:t>
      </w:r>
      <w:r w:rsidR="006D077A" w:rsidRPr="00E960FC">
        <w:rPr>
          <w:lang w:val="es-ES"/>
        </w:rPr>
        <w:t>.</w:t>
      </w:r>
    </w:p>
    <w:p w:rsidR="00944783" w:rsidRPr="00E960FC" w:rsidRDefault="00944783" w:rsidP="00442FAA">
      <w:pPr>
        <w:pStyle w:val="ListParagraph"/>
        <w:numPr>
          <w:ilvl w:val="0"/>
          <w:numId w:val="1"/>
        </w:numPr>
        <w:spacing w:after="0"/>
        <w:jc w:val="both"/>
        <w:rPr>
          <w:lang w:val="es-ES"/>
        </w:rPr>
      </w:pPr>
      <w:r w:rsidRPr="00E960FC">
        <w:rPr>
          <w:lang w:val="es-ES"/>
        </w:rPr>
        <w:t xml:space="preserve">BID (2011). </w:t>
      </w:r>
      <w:r w:rsidRPr="00E960FC">
        <w:rPr>
          <w:i/>
          <w:lang w:val="es-ES"/>
        </w:rPr>
        <w:t>Análisis Económico de la operación Programa de Apoyo a la Inserción Laboral en Paraguay</w:t>
      </w:r>
      <w:r w:rsidRPr="00E960FC">
        <w:rPr>
          <w:lang w:val="es-ES"/>
        </w:rPr>
        <w:t>. Informe elaborado por Rodrigo Montero P.</w:t>
      </w:r>
    </w:p>
    <w:p w:rsidR="00A55251" w:rsidRPr="00E960FC" w:rsidRDefault="004C3EDC" w:rsidP="00442FAA">
      <w:pPr>
        <w:pStyle w:val="ListParagraph"/>
        <w:numPr>
          <w:ilvl w:val="0"/>
          <w:numId w:val="1"/>
        </w:numPr>
        <w:spacing w:after="0"/>
        <w:jc w:val="both"/>
        <w:rPr>
          <w:lang w:val="es-ES"/>
        </w:rPr>
      </w:pPr>
      <w:r w:rsidRPr="00E960FC">
        <w:rPr>
          <w:lang w:val="es-ES"/>
        </w:rPr>
        <w:t>Flores</w:t>
      </w:r>
      <w:r w:rsidR="008D2AF2" w:rsidRPr="00E960FC">
        <w:rPr>
          <w:lang w:val="es-ES"/>
        </w:rPr>
        <w:t>-Lima</w:t>
      </w:r>
      <w:r w:rsidRPr="00E960FC">
        <w:rPr>
          <w:lang w:val="es-ES"/>
        </w:rPr>
        <w:t xml:space="preserve">, R. (2007) </w:t>
      </w:r>
      <w:r w:rsidRPr="00E960FC">
        <w:rPr>
          <w:i/>
          <w:lang w:val="es-ES"/>
        </w:rPr>
        <w:t>Innovaciones en Evaluación de Impacto del Servicio de Intermediación Laboral en México</w:t>
      </w:r>
      <w:r w:rsidRPr="00E960FC">
        <w:rPr>
          <w:lang w:val="es-ES"/>
        </w:rPr>
        <w:t>. Banco Interamericano del Desarrollo.</w:t>
      </w:r>
    </w:p>
    <w:p w:rsidR="00CC7A5C" w:rsidRPr="00E960FC" w:rsidRDefault="00FA19CB" w:rsidP="00442FAA">
      <w:pPr>
        <w:pStyle w:val="ListParagraph"/>
        <w:numPr>
          <w:ilvl w:val="0"/>
          <w:numId w:val="1"/>
        </w:numPr>
        <w:spacing w:after="0"/>
        <w:jc w:val="both"/>
        <w:rPr>
          <w:lang w:val="es-ES"/>
        </w:rPr>
      </w:pPr>
      <w:r w:rsidRPr="00E960FC">
        <w:rPr>
          <w:lang w:val="es-ES"/>
        </w:rPr>
        <w:t xml:space="preserve">Haelermans, C. y L. Borghans (2011). </w:t>
      </w:r>
      <w:r w:rsidRPr="00E960FC">
        <w:rPr>
          <w:i/>
          <w:lang w:val="es-ES"/>
        </w:rPr>
        <w:t>Wage effects of on the job training: a meta analysis</w:t>
      </w:r>
      <w:r w:rsidRPr="00E960FC">
        <w:rPr>
          <w:lang w:val="es-ES"/>
        </w:rPr>
        <w:t xml:space="preserve">. </w:t>
      </w:r>
      <w:r w:rsidR="00CC7A5C" w:rsidRPr="00E960FC">
        <w:rPr>
          <w:lang w:val="es-ES"/>
        </w:rPr>
        <w:t xml:space="preserve">IZA, DP No. 6077. </w:t>
      </w:r>
    </w:p>
    <w:p w:rsidR="00853BEF" w:rsidRPr="00E960FC" w:rsidRDefault="00853BEF" w:rsidP="00442FAA">
      <w:pPr>
        <w:pStyle w:val="ListParagraph"/>
        <w:numPr>
          <w:ilvl w:val="0"/>
          <w:numId w:val="1"/>
        </w:numPr>
        <w:spacing w:after="0"/>
        <w:jc w:val="both"/>
        <w:rPr>
          <w:lang w:val="es-ES"/>
        </w:rPr>
      </w:pPr>
      <w:r w:rsidRPr="00E960FC">
        <w:rPr>
          <w:lang w:val="es-ES"/>
        </w:rPr>
        <w:t xml:space="preserve">Informe Final. (2011) Comisión Revisora del Sistema de Capacitación e Intermediación Laboral. </w:t>
      </w:r>
    </w:p>
    <w:p w:rsidR="003D1727" w:rsidRPr="00E960FC" w:rsidRDefault="003D1727" w:rsidP="00442FAA">
      <w:pPr>
        <w:pStyle w:val="ListParagraph"/>
        <w:numPr>
          <w:ilvl w:val="0"/>
          <w:numId w:val="1"/>
        </w:numPr>
        <w:spacing w:after="0"/>
        <w:jc w:val="both"/>
        <w:rPr>
          <w:lang w:val="es-ES"/>
        </w:rPr>
      </w:pPr>
      <w:r w:rsidRPr="00E960FC">
        <w:rPr>
          <w:lang w:val="es-ES"/>
        </w:rPr>
        <w:t xml:space="preserve">Rinne, U., A. Uhlendorff y Z. Zhao. </w:t>
      </w:r>
      <w:r w:rsidRPr="00E960FC">
        <w:rPr>
          <w:i/>
          <w:lang w:val="es-ES"/>
        </w:rPr>
        <w:t>Vouchers, caseworkers, and the reform: public training programs in Germany</w:t>
      </w:r>
      <w:r w:rsidRPr="00E960FC">
        <w:rPr>
          <w:lang w:val="es-ES"/>
        </w:rPr>
        <w:t xml:space="preserve">. </w:t>
      </w:r>
    </w:p>
    <w:p w:rsidR="00944783" w:rsidRPr="00E960FC" w:rsidRDefault="00944783" w:rsidP="00442FAA">
      <w:pPr>
        <w:pStyle w:val="ListParagraph"/>
        <w:numPr>
          <w:ilvl w:val="0"/>
          <w:numId w:val="1"/>
        </w:numPr>
        <w:spacing w:after="0"/>
        <w:jc w:val="both"/>
        <w:rPr>
          <w:lang w:val="es-ES"/>
        </w:rPr>
      </w:pPr>
      <w:r w:rsidRPr="00E960FC">
        <w:rPr>
          <w:lang w:val="es-ES"/>
        </w:rPr>
        <w:t xml:space="preserve">Rodríguez, J. y S. Urzúa (2011). </w:t>
      </w:r>
      <w:r w:rsidR="00FA19CB" w:rsidRPr="00E960FC">
        <w:rPr>
          <w:i/>
          <w:lang w:val="es-ES"/>
        </w:rPr>
        <w:t>An evaluation of training programs financed by public funds in Chile</w:t>
      </w:r>
      <w:r w:rsidR="00FA19CB" w:rsidRPr="00E960FC">
        <w:rPr>
          <w:lang w:val="es-ES"/>
        </w:rPr>
        <w:t>.</w:t>
      </w:r>
    </w:p>
    <w:p w:rsidR="008D2AF2" w:rsidRPr="00E960FC" w:rsidRDefault="00BD5A9B" w:rsidP="00442FAA">
      <w:pPr>
        <w:pStyle w:val="ListParagraph"/>
        <w:numPr>
          <w:ilvl w:val="0"/>
          <w:numId w:val="1"/>
        </w:numPr>
        <w:spacing w:after="0"/>
        <w:jc w:val="both"/>
        <w:rPr>
          <w:lang w:val="es-ES"/>
        </w:rPr>
      </w:pPr>
      <w:r w:rsidRPr="00E960FC">
        <w:rPr>
          <w:lang w:val="es-ES"/>
        </w:rPr>
        <w:t>Urzúa, S</w:t>
      </w:r>
      <w:r w:rsidR="008D2AF2" w:rsidRPr="00E960FC">
        <w:rPr>
          <w:lang w:val="es-ES"/>
        </w:rPr>
        <w:t>.</w:t>
      </w:r>
      <w:r w:rsidRPr="00E960FC">
        <w:rPr>
          <w:lang w:val="es-ES"/>
        </w:rPr>
        <w:t xml:space="preserve"> y Puentes, E</w:t>
      </w:r>
      <w:r w:rsidR="008D2AF2" w:rsidRPr="00E960FC">
        <w:rPr>
          <w:lang w:val="es-ES"/>
        </w:rPr>
        <w:t>.</w:t>
      </w:r>
      <w:r w:rsidRPr="00E960FC">
        <w:rPr>
          <w:lang w:val="es-ES"/>
        </w:rPr>
        <w:t xml:space="preserve"> (2010). </w:t>
      </w:r>
      <w:r w:rsidRPr="00E960FC">
        <w:rPr>
          <w:i/>
          <w:lang w:val="es-ES"/>
        </w:rPr>
        <w:t>La evidencia del impacto de los programas de capacitación en el desempeño en el mercado laboral.</w:t>
      </w:r>
      <w:r w:rsidRPr="00E960FC">
        <w:rPr>
          <w:lang w:val="es-ES"/>
        </w:rPr>
        <w:t xml:space="preserve"> BID. SCL/LMK. Notas técnicas # IDB-TN-268.</w:t>
      </w:r>
    </w:p>
    <w:p w:rsidR="009B2FDB" w:rsidRPr="00E960FC" w:rsidRDefault="009B2FDB" w:rsidP="00442FAA">
      <w:pPr>
        <w:spacing w:after="0"/>
        <w:rPr>
          <w:lang w:val="es-ES"/>
        </w:rPr>
      </w:pPr>
    </w:p>
    <w:sectPr w:rsidR="009B2FDB" w:rsidRPr="00E960FC" w:rsidSect="0061102A">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84E" w:rsidRDefault="0046584E" w:rsidP="00DD7FBE">
      <w:pPr>
        <w:spacing w:after="0" w:line="240" w:lineRule="auto"/>
      </w:pPr>
      <w:r>
        <w:separator/>
      </w:r>
    </w:p>
  </w:endnote>
  <w:endnote w:type="continuationSeparator" w:id="0">
    <w:p w:rsidR="0046584E" w:rsidRDefault="0046584E" w:rsidP="00DD7F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11282"/>
      <w:docPartObj>
        <w:docPartGallery w:val="Page Numbers (Bottom of Page)"/>
        <w:docPartUnique/>
      </w:docPartObj>
    </w:sdtPr>
    <w:sdtContent>
      <w:p w:rsidR="00A610C1" w:rsidRDefault="000A72F1">
        <w:pPr>
          <w:pStyle w:val="Footer"/>
          <w:jc w:val="right"/>
        </w:pPr>
        <w:fldSimple w:instr=" PAGE   \* MERGEFORMAT ">
          <w:r w:rsidR="00E960FC">
            <w:rPr>
              <w:noProof/>
            </w:rPr>
            <w:t>20</w:t>
          </w:r>
        </w:fldSimple>
      </w:p>
    </w:sdtContent>
  </w:sdt>
  <w:p w:rsidR="00A610C1" w:rsidRDefault="00A610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84E" w:rsidRDefault="0046584E" w:rsidP="00DD7FBE">
      <w:pPr>
        <w:spacing w:after="0" w:line="240" w:lineRule="auto"/>
      </w:pPr>
      <w:r>
        <w:separator/>
      </w:r>
    </w:p>
  </w:footnote>
  <w:footnote w:type="continuationSeparator" w:id="0">
    <w:p w:rsidR="0046584E" w:rsidRDefault="0046584E" w:rsidP="00DD7FBE">
      <w:pPr>
        <w:spacing w:after="0" w:line="240" w:lineRule="auto"/>
      </w:pPr>
      <w:r>
        <w:continuationSeparator/>
      </w:r>
    </w:p>
  </w:footnote>
  <w:footnote w:id="1">
    <w:p w:rsidR="00A610C1" w:rsidRPr="00F83FED" w:rsidRDefault="00A610C1" w:rsidP="002E396B">
      <w:pPr>
        <w:pStyle w:val="FootnoteText"/>
        <w:jc w:val="both"/>
      </w:pPr>
      <w:r>
        <w:rPr>
          <w:rStyle w:val="FootnoteReference"/>
        </w:rPr>
        <w:footnoteRef/>
      </w:r>
      <w:r>
        <w:t xml:space="preserve"> Para la elaboración de este informe se agradece particularmente la ayuda de Silvia Leiva (Ministerio del Trabajo y Previsión Social), Jorge Rodríguez (BID) y Olivia Castro (SENCE), además de los valiosos comentarios de la Unidad de Mercados Laborales del Banco Interamericano del Desarrollo. </w:t>
      </w:r>
    </w:p>
  </w:footnote>
  <w:footnote w:id="2">
    <w:p w:rsidR="00A610C1" w:rsidRPr="006E35BF" w:rsidRDefault="00A610C1" w:rsidP="002E396B">
      <w:pPr>
        <w:pStyle w:val="FootnoteText"/>
        <w:jc w:val="both"/>
        <w:rPr>
          <w:lang w:val="es-MX"/>
        </w:rPr>
      </w:pPr>
      <w:r>
        <w:rPr>
          <w:rStyle w:val="FootnoteReference"/>
        </w:rPr>
        <w:footnoteRef/>
      </w:r>
      <w:r>
        <w:t xml:space="preserve"> </w:t>
      </w:r>
      <w:r>
        <w:rPr>
          <w:lang w:val="es-MX"/>
        </w:rPr>
        <w:t xml:space="preserve">Para este informe se ha utilizado un tipo de cambio de 520 pesos. </w:t>
      </w:r>
    </w:p>
  </w:footnote>
  <w:footnote w:id="3">
    <w:p w:rsidR="00A610C1" w:rsidRDefault="00A610C1" w:rsidP="002E396B">
      <w:pPr>
        <w:pStyle w:val="FootnoteText"/>
        <w:jc w:val="both"/>
      </w:pPr>
      <w:r>
        <w:rPr>
          <w:rStyle w:val="FootnoteReference"/>
        </w:rPr>
        <w:footnoteRef/>
      </w:r>
      <w:r>
        <w:t xml:space="preserve"> Según la información reportada por comisión de expertos, se habrían utilizado solo 55.359 de estos cupos. </w:t>
      </w:r>
    </w:p>
  </w:footnote>
  <w:footnote w:id="4">
    <w:p w:rsidR="00A610C1" w:rsidRPr="00F9221D" w:rsidRDefault="00A610C1" w:rsidP="002E396B">
      <w:pPr>
        <w:pStyle w:val="FootnoteText"/>
        <w:jc w:val="both"/>
        <w:rPr>
          <w:lang w:val="es-MX"/>
        </w:rPr>
      </w:pPr>
      <w:r>
        <w:rPr>
          <w:rStyle w:val="FootnoteReference"/>
        </w:rPr>
        <w:footnoteRef/>
      </w:r>
      <w:r>
        <w:t xml:space="preserve"> </w:t>
      </w:r>
      <w:r>
        <w:rPr>
          <w:lang w:val="es-MX"/>
        </w:rPr>
        <w:t xml:space="preserve">El valor de una UTM a diciembre de 2011 es de $39.021, lo que equivale a US$76. </w:t>
      </w:r>
    </w:p>
  </w:footnote>
  <w:footnote w:id="5">
    <w:p w:rsidR="00A610C1" w:rsidRDefault="00A610C1" w:rsidP="002E396B">
      <w:pPr>
        <w:pStyle w:val="FootnoteText"/>
        <w:jc w:val="both"/>
      </w:pPr>
      <w:r>
        <w:rPr>
          <w:rStyle w:val="FootnoteReference"/>
        </w:rPr>
        <w:footnoteRef/>
      </w:r>
      <w:r>
        <w:t xml:space="preserve"> La Ficha de Protección Social (anteriormente denominada Ficha CAS) es el instrumento de estratificación actualmente utilizado en Chile para focalizar los distintos beneficios sociales a los cuales puede optar la población. </w:t>
      </w:r>
    </w:p>
  </w:footnote>
  <w:footnote w:id="6">
    <w:p w:rsidR="00A610C1" w:rsidRPr="00454762" w:rsidRDefault="00A610C1" w:rsidP="002E396B">
      <w:pPr>
        <w:pStyle w:val="FootnoteText"/>
        <w:jc w:val="both"/>
        <w:rPr>
          <w:lang w:val="es-MX"/>
        </w:rPr>
      </w:pPr>
      <w:r>
        <w:rPr>
          <w:rStyle w:val="FootnoteReference"/>
        </w:rPr>
        <w:footnoteRef/>
      </w:r>
      <w:r>
        <w:t xml:space="preserve"> </w:t>
      </w:r>
      <w:r>
        <w:rPr>
          <w:lang w:val="es-MX"/>
        </w:rPr>
        <w:t xml:space="preserve">En vista de la breve duración que en promedio exhiben estos programas no es de extrañar que no se encuentren impactos asociados. </w:t>
      </w:r>
    </w:p>
  </w:footnote>
  <w:footnote w:id="7">
    <w:p w:rsidR="00A610C1" w:rsidRDefault="00A610C1" w:rsidP="002E396B">
      <w:pPr>
        <w:pStyle w:val="FootnoteText"/>
        <w:jc w:val="both"/>
      </w:pPr>
      <w:r>
        <w:rPr>
          <w:rStyle w:val="FootnoteReference"/>
        </w:rPr>
        <w:footnoteRef/>
      </w:r>
      <w:r>
        <w:t xml:space="preserve"> El impacto en términos de empleo corresponde a la diferencia en puntos porcentuales de las tasas de empleo del grupo de tratamiento y del grupo de control. Así, si la tasa de empleo del grupo de control es de 60%, esta cifra (entre 1 y 5%) quiere decir que la tasa de empleo del grupo beneficiario es entre 61 y 65%. Por lo tanto, el impacto es la ganancia marginal de esos individuos que ahora estarían empleados por ser parte del grupo de tratamiento. </w:t>
      </w:r>
    </w:p>
  </w:footnote>
  <w:footnote w:id="8">
    <w:p w:rsidR="00A610C1" w:rsidRDefault="00A610C1" w:rsidP="002E396B">
      <w:pPr>
        <w:pStyle w:val="FootnoteText"/>
        <w:jc w:val="both"/>
      </w:pPr>
      <w:r>
        <w:rPr>
          <w:rStyle w:val="FootnoteReference"/>
        </w:rPr>
        <w:footnoteRef/>
      </w:r>
      <w:r>
        <w:t xml:space="preserve"> Si bien este valor puede parecer bastante grande, no es muy distinto de lo que se ha encontrado para otros países como Panamá y Honduras. </w:t>
      </w:r>
    </w:p>
  </w:footnote>
  <w:footnote w:id="9">
    <w:p w:rsidR="00A610C1" w:rsidRDefault="00A610C1" w:rsidP="002E396B">
      <w:pPr>
        <w:pStyle w:val="FootnoteText"/>
        <w:jc w:val="both"/>
      </w:pPr>
      <w:r>
        <w:rPr>
          <w:rStyle w:val="FootnoteReference"/>
        </w:rPr>
        <w:footnoteRef/>
      </w:r>
      <w:r>
        <w:t xml:space="preserve"> Sin embargo, este efecto no se encuentra para todos los años del análisis, sino solo para quienes se capacitaron en el período comprendido entre los años 2002 y 2006. Además, solo se identifica un impacto positivo cuando se considera la capacitación como stock (si es que el individuo ha recibido capacitación en trimestres anteriores además del actual). Por lo tanto, si bien el impacto pudiera parecer importante dada la breve duración de los cursos, no se debe soslayar el hecho de que se está considerando a la capacitación como el efecto acumulativo proveniente también de las capacitaciones anteriores.</w:t>
      </w:r>
    </w:p>
  </w:footnote>
  <w:footnote w:id="10">
    <w:p w:rsidR="00A610C1" w:rsidRDefault="00A610C1" w:rsidP="002E396B">
      <w:pPr>
        <w:pStyle w:val="FootnoteText"/>
        <w:jc w:val="both"/>
      </w:pPr>
      <w:r>
        <w:rPr>
          <w:rStyle w:val="FootnoteReference"/>
        </w:rPr>
        <w:footnoteRef/>
      </w:r>
      <w:r>
        <w:t xml:space="preserve"> El método de valoración contingente consiste en determinar el impacto que tendrá en el bienestar de las personas (ingresos) un cambio hipotético, en este caso, ser sujeto a un programa de capacitación laboral. </w:t>
      </w:r>
    </w:p>
  </w:footnote>
  <w:footnote w:id="11">
    <w:p w:rsidR="00A610C1" w:rsidRDefault="00A610C1" w:rsidP="002E396B">
      <w:pPr>
        <w:pStyle w:val="FootnoteText"/>
        <w:jc w:val="both"/>
      </w:pPr>
      <w:r>
        <w:rPr>
          <w:rStyle w:val="FootnoteReference"/>
        </w:rPr>
        <w:footnoteRef/>
      </w:r>
      <w:r>
        <w:t xml:space="preserve"> Los grupos de control construidos en los análisis llevados a cabo por la comisión de expertos fueron extraídos a partir de la información proveniente de las bases administrativas de los programas y de la base de datos del Seguro de Cesantía. En algunos casos, por ejemplo, los individuos del grupo de control fueron tomados a partir de los beneficiarios que abandonaron o reprobaron el programa. </w:t>
      </w:r>
    </w:p>
  </w:footnote>
  <w:footnote w:id="12">
    <w:p w:rsidR="00A610C1" w:rsidRDefault="00A610C1" w:rsidP="002E396B">
      <w:pPr>
        <w:pStyle w:val="FootnoteText"/>
        <w:jc w:val="both"/>
      </w:pPr>
      <w:r>
        <w:rPr>
          <w:rStyle w:val="FootnoteReference"/>
        </w:rPr>
        <w:footnoteRef/>
      </w:r>
      <w:r>
        <w:t xml:space="preserve"> No obstante, se debe señalar que existe evidencia favorable con respecto al efecto que tienen los bonos de capacitación en los salarios de los trabajadores. Rinne et al (2008) utilizando datos para Alemania, encuentran un efecto positivo de los bonos de capacitación en un período que va de 12 a 18 meses después de recibida la capacitación. Este efecto lo atribuyen al hecho de que la entrega de bonos a los trabajadores para que lleven a cabo su capacitación aumenta la competencia de los organismos capacitadores, y en consecuencia al calidad de los programas. </w:t>
      </w:r>
    </w:p>
  </w:footnote>
  <w:footnote w:id="13">
    <w:p w:rsidR="00A610C1" w:rsidRDefault="00A610C1" w:rsidP="002E396B">
      <w:pPr>
        <w:pStyle w:val="FootnoteText"/>
        <w:jc w:val="both"/>
      </w:pPr>
      <w:r>
        <w:rPr>
          <w:rStyle w:val="FootnoteReference"/>
        </w:rPr>
        <w:footnoteRef/>
      </w:r>
      <w:r>
        <w:t xml:space="preserve"> Este impacto es elevado tomando en cuenta la evidencia internacional para el efecto de la capacitación. En un reciente estudio Haelermans y Borghans (2011) muestran que el impacto de la capacitación (</w:t>
      </w:r>
      <w:r w:rsidRPr="00870AC3">
        <w:rPr>
          <w:i/>
        </w:rPr>
        <w:t>on the job training</w:t>
      </w:r>
      <w:r>
        <w:t xml:space="preserve">) es de 2,6% una vez que se toma en cuenta el sesgo por publicación. Por otro lado, cuando estos programas señalan que buscan aumentar la empleabilidad, se refieren al hecho de que aumentan las posibilidades de los trabajadores de aspirar a mayores salarios (por cuanto la población objetivo son personas ocupadas). </w:t>
      </w:r>
    </w:p>
  </w:footnote>
  <w:footnote w:id="14">
    <w:p w:rsidR="00A610C1" w:rsidRDefault="00A610C1" w:rsidP="002E396B">
      <w:pPr>
        <w:pStyle w:val="FootnoteText"/>
        <w:jc w:val="both"/>
      </w:pPr>
      <w:r>
        <w:rPr>
          <w:rStyle w:val="FootnoteReference"/>
        </w:rPr>
        <w:footnoteRef/>
      </w:r>
      <w:r>
        <w:t xml:space="preserve"> Por lo tanto, se imputa el impacto en salario (5,5% sobre el salario promedio que percibe este grupo (US$652), pero solo para el 3% de los beneficiarios, pues según las estimaciones, la probabilidad que un trabajador capacitado tenga un empleo es solo 3% más alta que la de los trabajadores del grupo de control. </w:t>
      </w:r>
    </w:p>
  </w:footnote>
  <w:footnote w:id="15">
    <w:p w:rsidR="00A610C1" w:rsidRPr="00870AC3" w:rsidRDefault="00A610C1" w:rsidP="002E396B">
      <w:pPr>
        <w:pStyle w:val="FootnoteText"/>
        <w:jc w:val="both"/>
      </w:pPr>
      <w:r>
        <w:rPr>
          <w:rStyle w:val="FootnoteReference"/>
        </w:rPr>
        <w:footnoteRef/>
      </w:r>
      <w:r>
        <w:t xml:space="preserve"> Se sigue este enfoque por cuanto no se conoce con anticipación el perfil de beneficiarios del programa en términos de edad, escolaridad y género, sobre todo considerando que se han incorporado dos nuevas líneas de beneficiarios. Para el segmento de jóvenes de entre 15 y 25 años se conocen algunas características. Por ejemplo, que en términos históricos el 56% de los beneficiarios han sido hombres y el 44% han sido mujeres.  En vista de lo anterior se ha decidido imputar el salario promedio. De todas formas, se pidió a SENCE la composición de los beneficiarios de acuerdo a estos tres grupos para tener una mejor estimación del salario. Con todo, los beneficios estimados no debieran variar significativamente con esta nueva información. </w:t>
      </w:r>
    </w:p>
  </w:footnote>
  <w:footnote w:id="16">
    <w:p w:rsidR="00A610C1" w:rsidRDefault="00A610C1" w:rsidP="002E396B">
      <w:pPr>
        <w:pStyle w:val="FootnoteText"/>
        <w:jc w:val="both"/>
      </w:pPr>
      <w:r>
        <w:rPr>
          <w:rStyle w:val="FootnoteReference"/>
        </w:rPr>
        <w:footnoteRef/>
      </w:r>
      <w:r>
        <w:t xml:space="preserve"> Cabe señalar que existe un salario mínimo diferenciado para los jóvenes de entre 15 y 18 años de edad (y para los mayores de 65 años de edad), que es aproximadamente un 75% del salario mínimo legal vigente. Para el cálculo de los beneficios se asumió que la persona percibe el salario mínimo completo sin importar su edad. </w:t>
      </w:r>
    </w:p>
  </w:footnote>
  <w:footnote w:id="17">
    <w:p w:rsidR="00A610C1" w:rsidRDefault="00A610C1" w:rsidP="002E396B">
      <w:pPr>
        <w:pStyle w:val="FootnoteText"/>
        <w:jc w:val="both"/>
      </w:pPr>
      <w:r>
        <w:rPr>
          <w:rStyle w:val="FootnoteReference"/>
        </w:rPr>
        <w:footnoteRef/>
      </w:r>
      <w:r>
        <w:t xml:space="preserve"> El programa no incluye otro tipo de subsidios. </w:t>
      </w:r>
    </w:p>
  </w:footnote>
  <w:footnote w:id="18">
    <w:p w:rsidR="00A610C1" w:rsidRDefault="00A610C1" w:rsidP="002E396B">
      <w:pPr>
        <w:pStyle w:val="FootnoteText"/>
        <w:jc w:val="both"/>
      </w:pPr>
      <w:r>
        <w:rPr>
          <w:rStyle w:val="FootnoteReference"/>
        </w:rPr>
        <w:footnoteRef/>
      </w:r>
      <w:r>
        <w:t xml:space="preserve"> Los salarios de los empleos formales para estos grupos son de US$703 y US$350.</w:t>
      </w:r>
    </w:p>
  </w:footnote>
  <w:footnote w:id="19">
    <w:p w:rsidR="00A610C1" w:rsidRPr="00347330" w:rsidRDefault="00A610C1" w:rsidP="002E396B">
      <w:pPr>
        <w:pStyle w:val="FootnoteText"/>
        <w:jc w:val="both"/>
        <w:rPr>
          <w:lang w:val="es-MX"/>
        </w:rPr>
      </w:pPr>
      <w:r>
        <w:rPr>
          <w:rStyle w:val="FootnoteReference"/>
        </w:rPr>
        <w:footnoteRef/>
      </w:r>
      <w:r>
        <w:t xml:space="preserve"> </w:t>
      </w:r>
      <w:r>
        <w:rPr>
          <w:lang w:val="es-MX"/>
        </w:rPr>
        <w:t>Se estuvo a la espera de un dato más fino en cuanto a la composición de los beneficiarios para poder precisar los beneficios asociados a este programa de financiamiento, sin embargo, a la fecha no se ha podido contar con un valor más certero.</w:t>
      </w:r>
    </w:p>
  </w:footnote>
  <w:footnote w:id="20">
    <w:p w:rsidR="00A610C1" w:rsidRDefault="00A610C1" w:rsidP="002E396B">
      <w:pPr>
        <w:pStyle w:val="FootnoteText"/>
        <w:jc w:val="both"/>
      </w:pPr>
      <w:r>
        <w:rPr>
          <w:rStyle w:val="FootnoteReference"/>
        </w:rPr>
        <w:footnoteRef/>
      </w:r>
      <w:r>
        <w:t xml:space="preserve"> Más aún, y en línea con lo anterior, el efecto que se ha estimado para los beneficiarios que ya han participado del programa no tiene que ser necesariamente el mismo para los beneficiarios que entrarán en el futuro. Hay variables institucionales, de entorno y de la misma composición de los grupos de beneficiarios que influirán en la trayectoria de los efectos futuros que tengan los programas.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0C1" w:rsidRDefault="00A610C1">
    <w:pPr>
      <w:pStyle w:val="Header"/>
    </w:pPr>
    <w:r>
      <w:t>Documento borrador – no circular – Uso interno del BID</w:t>
    </w:r>
  </w:p>
  <w:p w:rsidR="00A610C1" w:rsidRDefault="00A610C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02A27"/>
    <w:multiLevelType w:val="hybridMultilevel"/>
    <w:tmpl w:val="6DFCFB6A"/>
    <w:lvl w:ilvl="0" w:tplc="B366EBAA">
      <w:start w:val="19"/>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5E3998"/>
    <w:multiLevelType w:val="hybridMultilevel"/>
    <w:tmpl w:val="AAAC01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83B0C73"/>
    <w:multiLevelType w:val="hybridMultilevel"/>
    <w:tmpl w:val="8550B26E"/>
    <w:lvl w:ilvl="0" w:tplc="BCF245D6">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32862EF"/>
    <w:multiLevelType w:val="hybridMultilevel"/>
    <w:tmpl w:val="AAAC01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DC81756"/>
    <w:multiLevelType w:val="hybridMultilevel"/>
    <w:tmpl w:val="AAAC01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1B7069F"/>
    <w:multiLevelType w:val="hybridMultilevel"/>
    <w:tmpl w:val="99D285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3BD0A70"/>
    <w:multiLevelType w:val="hybridMultilevel"/>
    <w:tmpl w:val="1FB23516"/>
    <w:lvl w:ilvl="0" w:tplc="073A9F7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9D85F60"/>
    <w:multiLevelType w:val="hybridMultilevel"/>
    <w:tmpl w:val="B1A497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7C6B79AC"/>
    <w:multiLevelType w:val="hybridMultilevel"/>
    <w:tmpl w:val="7E8C23C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7E7806E2"/>
    <w:multiLevelType w:val="hybridMultilevel"/>
    <w:tmpl w:val="06B6E7A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0"/>
  </w:num>
  <w:num w:numId="5">
    <w:abstractNumId w:val="3"/>
  </w:num>
  <w:num w:numId="6">
    <w:abstractNumId w:val="5"/>
  </w:num>
  <w:num w:numId="7">
    <w:abstractNumId w:val="1"/>
  </w:num>
  <w:num w:numId="8">
    <w:abstractNumId w:val="4"/>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B2FDB"/>
    <w:rsid w:val="00007B58"/>
    <w:rsid w:val="00026AA0"/>
    <w:rsid w:val="0004734A"/>
    <w:rsid w:val="00050C3B"/>
    <w:rsid w:val="000548A9"/>
    <w:rsid w:val="00056632"/>
    <w:rsid w:val="000600A5"/>
    <w:rsid w:val="00064D11"/>
    <w:rsid w:val="00091387"/>
    <w:rsid w:val="00092661"/>
    <w:rsid w:val="000A010D"/>
    <w:rsid w:val="000A489B"/>
    <w:rsid w:val="000A72F1"/>
    <w:rsid w:val="000B4DBF"/>
    <w:rsid w:val="000B79FE"/>
    <w:rsid w:val="000C01E8"/>
    <w:rsid w:val="000C2B9E"/>
    <w:rsid w:val="000D09BA"/>
    <w:rsid w:val="000D36B2"/>
    <w:rsid w:val="000E2BC2"/>
    <w:rsid w:val="000E3473"/>
    <w:rsid w:val="000E667B"/>
    <w:rsid w:val="000E74F4"/>
    <w:rsid w:val="000F02C9"/>
    <w:rsid w:val="00100DC7"/>
    <w:rsid w:val="001044C0"/>
    <w:rsid w:val="001048D3"/>
    <w:rsid w:val="00105187"/>
    <w:rsid w:val="00113488"/>
    <w:rsid w:val="00113BDE"/>
    <w:rsid w:val="00115581"/>
    <w:rsid w:val="001248B2"/>
    <w:rsid w:val="00126B88"/>
    <w:rsid w:val="00146019"/>
    <w:rsid w:val="001625BD"/>
    <w:rsid w:val="00173362"/>
    <w:rsid w:val="001962FE"/>
    <w:rsid w:val="001A1BE4"/>
    <w:rsid w:val="001B180E"/>
    <w:rsid w:val="001B4018"/>
    <w:rsid w:val="001D0D54"/>
    <w:rsid w:val="001D1543"/>
    <w:rsid w:val="001D2AF1"/>
    <w:rsid w:val="001E7376"/>
    <w:rsid w:val="00201531"/>
    <w:rsid w:val="00201719"/>
    <w:rsid w:val="002150F2"/>
    <w:rsid w:val="002174B9"/>
    <w:rsid w:val="00227942"/>
    <w:rsid w:val="00233483"/>
    <w:rsid w:val="00240D02"/>
    <w:rsid w:val="00253EE0"/>
    <w:rsid w:val="00257C10"/>
    <w:rsid w:val="00270284"/>
    <w:rsid w:val="0027096E"/>
    <w:rsid w:val="0027470D"/>
    <w:rsid w:val="00280634"/>
    <w:rsid w:val="00280A7C"/>
    <w:rsid w:val="00281BEF"/>
    <w:rsid w:val="002823EE"/>
    <w:rsid w:val="00282A62"/>
    <w:rsid w:val="00290914"/>
    <w:rsid w:val="002A0627"/>
    <w:rsid w:val="002A0820"/>
    <w:rsid w:val="002A17D0"/>
    <w:rsid w:val="002A2287"/>
    <w:rsid w:val="002A57F3"/>
    <w:rsid w:val="002B5D72"/>
    <w:rsid w:val="002C2E2C"/>
    <w:rsid w:val="002C76C2"/>
    <w:rsid w:val="002E396B"/>
    <w:rsid w:val="002E6937"/>
    <w:rsid w:val="002F29FB"/>
    <w:rsid w:val="002F70A6"/>
    <w:rsid w:val="00304840"/>
    <w:rsid w:val="00311B51"/>
    <w:rsid w:val="00320951"/>
    <w:rsid w:val="00322B05"/>
    <w:rsid w:val="00337554"/>
    <w:rsid w:val="00337706"/>
    <w:rsid w:val="00340C93"/>
    <w:rsid w:val="0034136A"/>
    <w:rsid w:val="00341BDE"/>
    <w:rsid w:val="003441B8"/>
    <w:rsid w:val="00347330"/>
    <w:rsid w:val="00356C81"/>
    <w:rsid w:val="00360D31"/>
    <w:rsid w:val="0036191E"/>
    <w:rsid w:val="0036388B"/>
    <w:rsid w:val="00363AB8"/>
    <w:rsid w:val="003858EF"/>
    <w:rsid w:val="00390353"/>
    <w:rsid w:val="0039117F"/>
    <w:rsid w:val="003937D3"/>
    <w:rsid w:val="003A0A5C"/>
    <w:rsid w:val="003A69CD"/>
    <w:rsid w:val="003C0381"/>
    <w:rsid w:val="003C4A63"/>
    <w:rsid w:val="003C5F77"/>
    <w:rsid w:val="003D1727"/>
    <w:rsid w:val="003D6B5B"/>
    <w:rsid w:val="003D7364"/>
    <w:rsid w:val="003E0C32"/>
    <w:rsid w:val="003E3230"/>
    <w:rsid w:val="003E639A"/>
    <w:rsid w:val="003E6BDC"/>
    <w:rsid w:val="00404BCD"/>
    <w:rsid w:val="00405D85"/>
    <w:rsid w:val="004117C3"/>
    <w:rsid w:val="00423BC3"/>
    <w:rsid w:val="00442FAA"/>
    <w:rsid w:val="00454762"/>
    <w:rsid w:val="00455769"/>
    <w:rsid w:val="00464FC4"/>
    <w:rsid w:val="0046584E"/>
    <w:rsid w:val="00472F2C"/>
    <w:rsid w:val="004765F6"/>
    <w:rsid w:val="00477628"/>
    <w:rsid w:val="00485784"/>
    <w:rsid w:val="004B2711"/>
    <w:rsid w:val="004B45AB"/>
    <w:rsid w:val="004C3EDC"/>
    <w:rsid w:val="004C4F09"/>
    <w:rsid w:val="004D0989"/>
    <w:rsid w:val="004D230A"/>
    <w:rsid w:val="004E48FA"/>
    <w:rsid w:val="004E5A81"/>
    <w:rsid w:val="004E79D8"/>
    <w:rsid w:val="004F790F"/>
    <w:rsid w:val="00505596"/>
    <w:rsid w:val="00515970"/>
    <w:rsid w:val="005174BE"/>
    <w:rsid w:val="00543AE2"/>
    <w:rsid w:val="00551178"/>
    <w:rsid w:val="005561BC"/>
    <w:rsid w:val="005633B9"/>
    <w:rsid w:val="00587FF4"/>
    <w:rsid w:val="00590B43"/>
    <w:rsid w:val="00590EBE"/>
    <w:rsid w:val="00592724"/>
    <w:rsid w:val="005A5AB0"/>
    <w:rsid w:val="005A704B"/>
    <w:rsid w:val="005B2FFB"/>
    <w:rsid w:val="005B36D3"/>
    <w:rsid w:val="005B398A"/>
    <w:rsid w:val="005C13AD"/>
    <w:rsid w:val="005C3AD4"/>
    <w:rsid w:val="005C5D6A"/>
    <w:rsid w:val="005F786E"/>
    <w:rsid w:val="006033CD"/>
    <w:rsid w:val="00606424"/>
    <w:rsid w:val="0061102A"/>
    <w:rsid w:val="006122CE"/>
    <w:rsid w:val="006157E7"/>
    <w:rsid w:val="006278B0"/>
    <w:rsid w:val="00632D49"/>
    <w:rsid w:val="0064523A"/>
    <w:rsid w:val="00647D75"/>
    <w:rsid w:val="0066450B"/>
    <w:rsid w:val="006672BF"/>
    <w:rsid w:val="00667960"/>
    <w:rsid w:val="00696338"/>
    <w:rsid w:val="006B358A"/>
    <w:rsid w:val="006B43F9"/>
    <w:rsid w:val="006B5262"/>
    <w:rsid w:val="006C19C7"/>
    <w:rsid w:val="006C5645"/>
    <w:rsid w:val="006D077A"/>
    <w:rsid w:val="006D5612"/>
    <w:rsid w:val="006D5811"/>
    <w:rsid w:val="006D6411"/>
    <w:rsid w:val="006E35BF"/>
    <w:rsid w:val="006E42EB"/>
    <w:rsid w:val="006F5BA6"/>
    <w:rsid w:val="0070249F"/>
    <w:rsid w:val="00711561"/>
    <w:rsid w:val="007260AB"/>
    <w:rsid w:val="00743FD8"/>
    <w:rsid w:val="007452F9"/>
    <w:rsid w:val="007658CF"/>
    <w:rsid w:val="00767F6B"/>
    <w:rsid w:val="00775EC2"/>
    <w:rsid w:val="00796FCA"/>
    <w:rsid w:val="007A02D4"/>
    <w:rsid w:val="007A088D"/>
    <w:rsid w:val="007A4CB8"/>
    <w:rsid w:val="007C5DF1"/>
    <w:rsid w:val="007D3E82"/>
    <w:rsid w:val="007D3FE9"/>
    <w:rsid w:val="007E50F7"/>
    <w:rsid w:val="007F2686"/>
    <w:rsid w:val="007F2B32"/>
    <w:rsid w:val="00812842"/>
    <w:rsid w:val="00812971"/>
    <w:rsid w:val="00827EDF"/>
    <w:rsid w:val="00834ABE"/>
    <w:rsid w:val="008478D5"/>
    <w:rsid w:val="00853BEF"/>
    <w:rsid w:val="00854304"/>
    <w:rsid w:val="00863C91"/>
    <w:rsid w:val="00870AC3"/>
    <w:rsid w:val="00873F6F"/>
    <w:rsid w:val="00880CBE"/>
    <w:rsid w:val="00885CE4"/>
    <w:rsid w:val="008A5F90"/>
    <w:rsid w:val="008B54E4"/>
    <w:rsid w:val="008B7D01"/>
    <w:rsid w:val="008D2AF2"/>
    <w:rsid w:val="008D2BD8"/>
    <w:rsid w:val="008E0366"/>
    <w:rsid w:val="008E3E53"/>
    <w:rsid w:val="008F3A06"/>
    <w:rsid w:val="00903261"/>
    <w:rsid w:val="00916378"/>
    <w:rsid w:val="00920C1F"/>
    <w:rsid w:val="00921DA3"/>
    <w:rsid w:val="00944783"/>
    <w:rsid w:val="009551E6"/>
    <w:rsid w:val="009603D2"/>
    <w:rsid w:val="0096518D"/>
    <w:rsid w:val="00965B15"/>
    <w:rsid w:val="009678D3"/>
    <w:rsid w:val="00967F17"/>
    <w:rsid w:val="00982AAD"/>
    <w:rsid w:val="00982E67"/>
    <w:rsid w:val="00992500"/>
    <w:rsid w:val="009A2ED6"/>
    <w:rsid w:val="009B2FDB"/>
    <w:rsid w:val="009C1A83"/>
    <w:rsid w:val="009C4BEA"/>
    <w:rsid w:val="009F07EB"/>
    <w:rsid w:val="00A01B09"/>
    <w:rsid w:val="00A11E58"/>
    <w:rsid w:val="00A24EEE"/>
    <w:rsid w:val="00A4080C"/>
    <w:rsid w:val="00A40DED"/>
    <w:rsid w:val="00A44B8C"/>
    <w:rsid w:val="00A50BDB"/>
    <w:rsid w:val="00A51BB9"/>
    <w:rsid w:val="00A55251"/>
    <w:rsid w:val="00A610C1"/>
    <w:rsid w:val="00A610F7"/>
    <w:rsid w:val="00A67868"/>
    <w:rsid w:val="00A76C66"/>
    <w:rsid w:val="00A8178D"/>
    <w:rsid w:val="00A85D04"/>
    <w:rsid w:val="00A95A16"/>
    <w:rsid w:val="00A9697B"/>
    <w:rsid w:val="00AA42E0"/>
    <w:rsid w:val="00AA6476"/>
    <w:rsid w:val="00AA6981"/>
    <w:rsid w:val="00AA6A96"/>
    <w:rsid w:val="00AA7A2E"/>
    <w:rsid w:val="00AB3724"/>
    <w:rsid w:val="00AC2924"/>
    <w:rsid w:val="00AC4F4A"/>
    <w:rsid w:val="00AC6615"/>
    <w:rsid w:val="00AD6240"/>
    <w:rsid w:val="00AE0D8F"/>
    <w:rsid w:val="00AE5078"/>
    <w:rsid w:val="00B0098C"/>
    <w:rsid w:val="00B131C6"/>
    <w:rsid w:val="00B407FD"/>
    <w:rsid w:val="00B466EF"/>
    <w:rsid w:val="00B56F94"/>
    <w:rsid w:val="00B57EB1"/>
    <w:rsid w:val="00B6128A"/>
    <w:rsid w:val="00B62579"/>
    <w:rsid w:val="00B65F8C"/>
    <w:rsid w:val="00B7253A"/>
    <w:rsid w:val="00B77DFE"/>
    <w:rsid w:val="00B838A7"/>
    <w:rsid w:val="00B93BCA"/>
    <w:rsid w:val="00BA5BC8"/>
    <w:rsid w:val="00BA7472"/>
    <w:rsid w:val="00BB71BC"/>
    <w:rsid w:val="00BC2EB2"/>
    <w:rsid w:val="00BD22B3"/>
    <w:rsid w:val="00BD5A77"/>
    <w:rsid w:val="00BD5A9B"/>
    <w:rsid w:val="00BD6F47"/>
    <w:rsid w:val="00BE2956"/>
    <w:rsid w:val="00BF0DD5"/>
    <w:rsid w:val="00BF2B89"/>
    <w:rsid w:val="00BF6534"/>
    <w:rsid w:val="00C02459"/>
    <w:rsid w:val="00C07D0B"/>
    <w:rsid w:val="00C07E46"/>
    <w:rsid w:val="00C107A2"/>
    <w:rsid w:val="00C275E8"/>
    <w:rsid w:val="00C33945"/>
    <w:rsid w:val="00C56E03"/>
    <w:rsid w:val="00C66AE7"/>
    <w:rsid w:val="00C7169D"/>
    <w:rsid w:val="00C813E7"/>
    <w:rsid w:val="00C833DD"/>
    <w:rsid w:val="00CA3485"/>
    <w:rsid w:val="00CA43FF"/>
    <w:rsid w:val="00CA678B"/>
    <w:rsid w:val="00CB2F91"/>
    <w:rsid w:val="00CC1243"/>
    <w:rsid w:val="00CC2E12"/>
    <w:rsid w:val="00CC7A5C"/>
    <w:rsid w:val="00CC7DA6"/>
    <w:rsid w:val="00CD68B5"/>
    <w:rsid w:val="00CE1858"/>
    <w:rsid w:val="00CE4976"/>
    <w:rsid w:val="00CE5F03"/>
    <w:rsid w:val="00CF3C7D"/>
    <w:rsid w:val="00CF6FFC"/>
    <w:rsid w:val="00D0028C"/>
    <w:rsid w:val="00D06F8A"/>
    <w:rsid w:val="00D07261"/>
    <w:rsid w:val="00D0755D"/>
    <w:rsid w:val="00D10580"/>
    <w:rsid w:val="00D124A5"/>
    <w:rsid w:val="00D15C85"/>
    <w:rsid w:val="00D171E6"/>
    <w:rsid w:val="00D2755C"/>
    <w:rsid w:val="00D27A9B"/>
    <w:rsid w:val="00D428A5"/>
    <w:rsid w:val="00D51A02"/>
    <w:rsid w:val="00D567F8"/>
    <w:rsid w:val="00D7062B"/>
    <w:rsid w:val="00D8483B"/>
    <w:rsid w:val="00D92BB9"/>
    <w:rsid w:val="00D9509C"/>
    <w:rsid w:val="00DA2447"/>
    <w:rsid w:val="00DA338E"/>
    <w:rsid w:val="00DA6696"/>
    <w:rsid w:val="00DC0272"/>
    <w:rsid w:val="00DC2879"/>
    <w:rsid w:val="00DC470D"/>
    <w:rsid w:val="00DD7FBE"/>
    <w:rsid w:val="00DE0486"/>
    <w:rsid w:val="00DE1CD0"/>
    <w:rsid w:val="00DE50DA"/>
    <w:rsid w:val="00DE7F98"/>
    <w:rsid w:val="00DF3FD7"/>
    <w:rsid w:val="00DF5650"/>
    <w:rsid w:val="00DF5CA6"/>
    <w:rsid w:val="00E10757"/>
    <w:rsid w:val="00E3297F"/>
    <w:rsid w:val="00E365AF"/>
    <w:rsid w:val="00E40317"/>
    <w:rsid w:val="00E40E78"/>
    <w:rsid w:val="00E451A8"/>
    <w:rsid w:val="00E54A0A"/>
    <w:rsid w:val="00E5586C"/>
    <w:rsid w:val="00E71F48"/>
    <w:rsid w:val="00E72825"/>
    <w:rsid w:val="00E74527"/>
    <w:rsid w:val="00E77965"/>
    <w:rsid w:val="00E901A0"/>
    <w:rsid w:val="00E92475"/>
    <w:rsid w:val="00E960FC"/>
    <w:rsid w:val="00E96BC1"/>
    <w:rsid w:val="00EA5B37"/>
    <w:rsid w:val="00EA62A6"/>
    <w:rsid w:val="00EC54E8"/>
    <w:rsid w:val="00ED1D79"/>
    <w:rsid w:val="00EF6A7E"/>
    <w:rsid w:val="00EF6C93"/>
    <w:rsid w:val="00F03E35"/>
    <w:rsid w:val="00F1416D"/>
    <w:rsid w:val="00F23717"/>
    <w:rsid w:val="00F3217C"/>
    <w:rsid w:val="00F5431A"/>
    <w:rsid w:val="00F54D99"/>
    <w:rsid w:val="00F55B83"/>
    <w:rsid w:val="00F61B1E"/>
    <w:rsid w:val="00F66206"/>
    <w:rsid w:val="00F75217"/>
    <w:rsid w:val="00F83FED"/>
    <w:rsid w:val="00F9089A"/>
    <w:rsid w:val="00F90CEC"/>
    <w:rsid w:val="00F9221D"/>
    <w:rsid w:val="00F92947"/>
    <w:rsid w:val="00FA19CB"/>
    <w:rsid w:val="00FA7C09"/>
    <w:rsid w:val="00FC00EE"/>
    <w:rsid w:val="00FC0917"/>
    <w:rsid w:val="00FC2A28"/>
    <w:rsid w:val="00FC30D5"/>
    <w:rsid w:val="00FD0EB3"/>
    <w:rsid w:val="00FE2F14"/>
    <w:rsid w:val="00FE4FF4"/>
    <w:rsid w:val="00FF0AEA"/>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0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251"/>
    <w:pPr>
      <w:ind w:left="720"/>
      <w:contextualSpacing/>
    </w:pPr>
  </w:style>
  <w:style w:type="paragraph" w:styleId="BalloonText">
    <w:name w:val="Balloon Text"/>
    <w:basedOn w:val="Normal"/>
    <w:link w:val="BalloonTextChar"/>
    <w:uiPriority w:val="99"/>
    <w:semiHidden/>
    <w:unhideWhenUsed/>
    <w:rsid w:val="007A4C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B8"/>
    <w:rPr>
      <w:rFonts w:ascii="Tahoma" w:hAnsi="Tahoma" w:cs="Tahoma"/>
      <w:sz w:val="16"/>
      <w:szCs w:val="16"/>
    </w:rPr>
  </w:style>
  <w:style w:type="paragraph" w:styleId="Header">
    <w:name w:val="header"/>
    <w:basedOn w:val="Normal"/>
    <w:link w:val="HeaderChar"/>
    <w:uiPriority w:val="99"/>
    <w:unhideWhenUsed/>
    <w:rsid w:val="00DD7FBE"/>
    <w:pPr>
      <w:tabs>
        <w:tab w:val="center" w:pos="4419"/>
        <w:tab w:val="right" w:pos="8838"/>
      </w:tabs>
      <w:spacing w:after="0" w:line="240" w:lineRule="auto"/>
    </w:pPr>
  </w:style>
  <w:style w:type="character" w:customStyle="1" w:styleId="HeaderChar">
    <w:name w:val="Header Char"/>
    <w:basedOn w:val="DefaultParagraphFont"/>
    <w:link w:val="Header"/>
    <w:uiPriority w:val="99"/>
    <w:rsid w:val="00DD7FBE"/>
  </w:style>
  <w:style w:type="paragraph" w:styleId="Footer">
    <w:name w:val="footer"/>
    <w:basedOn w:val="Normal"/>
    <w:link w:val="FooterChar"/>
    <w:uiPriority w:val="99"/>
    <w:unhideWhenUsed/>
    <w:rsid w:val="00DD7FBE"/>
    <w:pPr>
      <w:tabs>
        <w:tab w:val="center" w:pos="4419"/>
        <w:tab w:val="right" w:pos="8838"/>
      </w:tabs>
      <w:spacing w:after="0" w:line="240" w:lineRule="auto"/>
    </w:pPr>
  </w:style>
  <w:style w:type="character" w:customStyle="1" w:styleId="FooterChar">
    <w:name w:val="Footer Char"/>
    <w:basedOn w:val="DefaultParagraphFont"/>
    <w:link w:val="Footer"/>
    <w:uiPriority w:val="99"/>
    <w:rsid w:val="00DD7FBE"/>
  </w:style>
  <w:style w:type="character" w:styleId="CommentReference">
    <w:name w:val="annotation reference"/>
    <w:basedOn w:val="DefaultParagraphFont"/>
    <w:uiPriority w:val="99"/>
    <w:semiHidden/>
    <w:unhideWhenUsed/>
    <w:rsid w:val="00B56F94"/>
    <w:rPr>
      <w:sz w:val="16"/>
      <w:szCs w:val="16"/>
    </w:rPr>
  </w:style>
  <w:style w:type="paragraph" w:styleId="CommentText">
    <w:name w:val="annotation text"/>
    <w:basedOn w:val="Normal"/>
    <w:link w:val="CommentTextChar"/>
    <w:uiPriority w:val="99"/>
    <w:semiHidden/>
    <w:unhideWhenUsed/>
    <w:rsid w:val="00B56F94"/>
    <w:pPr>
      <w:spacing w:line="240" w:lineRule="auto"/>
    </w:pPr>
    <w:rPr>
      <w:sz w:val="20"/>
      <w:szCs w:val="20"/>
    </w:rPr>
  </w:style>
  <w:style w:type="character" w:customStyle="1" w:styleId="CommentTextChar">
    <w:name w:val="Comment Text Char"/>
    <w:basedOn w:val="DefaultParagraphFont"/>
    <w:link w:val="CommentText"/>
    <w:uiPriority w:val="99"/>
    <w:semiHidden/>
    <w:rsid w:val="00B56F94"/>
    <w:rPr>
      <w:sz w:val="20"/>
      <w:szCs w:val="20"/>
    </w:rPr>
  </w:style>
  <w:style w:type="paragraph" w:styleId="CommentSubject">
    <w:name w:val="annotation subject"/>
    <w:basedOn w:val="CommentText"/>
    <w:next w:val="CommentText"/>
    <w:link w:val="CommentSubjectChar"/>
    <w:uiPriority w:val="99"/>
    <w:semiHidden/>
    <w:unhideWhenUsed/>
    <w:rsid w:val="00B56F94"/>
    <w:rPr>
      <w:b/>
      <w:bCs/>
    </w:rPr>
  </w:style>
  <w:style w:type="character" w:customStyle="1" w:styleId="CommentSubjectChar">
    <w:name w:val="Comment Subject Char"/>
    <w:basedOn w:val="CommentTextChar"/>
    <w:link w:val="CommentSubject"/>
    <w:uiPriority w:val="99"/>
    <w:semiHidden/>
    <w:rsid w:val="00B56F94"/>
    <w:rPr>
      <w:b/>
      <w:bCs/>
      <w:sz w:val="20"/>
      <w:szCs w:val="20"/>
    </w:rPr>
  </w:style>
  <w:style w:type="table" w:styleId="TableGrid">
    <w:name w:val="Table Grid"/>
    <w:basedOn w:val="TableNormal"/>
    <w:uiPriority w:val="59"/>
    <w:rsid w:val="00B57E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6672BF"/>
    <w:pPr>
      <w:spacing w:after="0" w:line="240" w:lineRule="auto"/>
    </w:pPr>
    <w:rPr>
      <w:sz w:val="20"/>
      <w:szCs w:val="20"/>
    </w:rPr>
  </w:style>
  <w:style w:type="character" w:customStyle="1" w:styleId="FootnoteTextChar">
    <w:name w:val="Footnote Text Char"/>
    <w:basedOn w:val="DefaultParagraphFont"/>
    <w:link w:val="FootnoteText"/>
    <w:uiPriority w:val="99"/>
    <w:rsid w:val="006672BF"/>
    <w:rPr>
      <w:sz w:val="20"/>
      <w:szCs w:val="20"/>
    </w:rPr>
  </w:style>
  <w:style w:type="character" w:styleId="FootnoteReference">
    <w:name w:val="footnote reference"/>
    <w:basedOn w:val="DefaultParagraphFont"/>
    <w:uiPriority w:val="99"/>
    <w:semiHidden/>
    <w:unhideWhenUsed/>
    <w:rsid w:val="006672BF"/>
    <w:rPr>
      <w:vertAlign w:val="superscript"/>
    </w:rPr>
  </w:style>
  <w:style w:type="character" w:styleId="PlaceholderText">
    <w:name w:val="Placeholder Text"/>
    <w:basedOn w:val="DefaultParagraphFont"/>
    <w:uiPriority w:val="99"/>
    <w:semiHidden/>
    <w:rsid w:val="00320951"/>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404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 Id="rId22" Type="http://schemas.openxmlformats.org/officeDocument/2006/relationships/customXml" Target="../customXml/item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36879282</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Rucci, Graciana</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CH-L1064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TC-EMP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0FE0F5A5030D4CA9DF31FDD99991D2" ma:contentTypeVersion="0" ma:contentTypeDescription="A content type to manage public (operations) IDB documents" ma:contentTypeScope="" ma:versionID="057c1f8ce35e56f80dcce74f0f5dacda">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98F85AF4-A1DE-4001-B37C-5EF77540C014}"/>
</file>

<file path=customXml/itemProps2.xml><?xml version="1.0" encoding="utf-8"?>
<ds:datastoreItem xmlns:ds="http://schemas.openxmlformats.org/officeDocument/2006/customXml" ds:itemID="{9EAFA1D7-2653-4A07-A4CD-DAE17AB3A3A4}"/>
</file>

<file path=customXml/itemProps3.xml><?xml version="1.0" encoding="utf-8"?>
<ds:datastoreItem xmlns:ds="http://schemas.openxmlformats.org/officeDocument/2006/customXml" ds:itemID="{D53614EB-F918-48D9-BFDD-854935390439}"/>
</file>

<file path=customXml/itemProps4.xml><?xml version="1.0" encoding="utf-8"?>
<ds:datastoreItem xmlns:ds="http://schemas.openxmlformats.org/officeDocument/2006/customXml" ds:itemID="{42BABA82-2520-4AB7-B25F-DCD7E3BA7F3A}"/>
</file>

<file path=customXml/itemProps5.xml><?xml version="1.0" encoding="utf-8"?>
<ds:datastoreItem xmlns:ds="http://schemas.openxmlformats.org/officeDocument/2006/customXml" ds:itemID="{F15AF3BF-7740-43B7-8801-CEA3F009D85C}"/>
</file>

<file path=customXml/itemProps6.xml><?xml version="1.0" encoding="utf-8"?>
<ds:datastoreItem xmlns:ds="http://schemas.openxmlformats.org/officeDocument/2006/customXml" ds:itemID="{D7C083EA-7DCC-44B4-9093-6E2B75DD95A5}"/>
</file>

<file path=docProps/app.xml><?xml version="1.0" encoding="utf-8"?>
<Properties xmlns="http://schemas.openxmlformats.org/officeDocument/2006/extended-properties" xmlns:vt="http://schemas.openxmlformats.org/officeDocument/2006/docPropsVTypes">
  <Template>Normal.dotm</Template>
  <TotalTime>9</TotalTime>
  <Pages>20</Pages>
  <Words>5315</Words>
  <Characters>30297</Characters>
  <Application>Microsoft Office Word</Application>
  <DocSecurity>0</DocSecurity>
  <Lines>252</Lines>
  <Paragraphs>71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UDP</Company>
  <LinksUpToDate>false</LinksUpToDate>
  <CharactersWithSpaces>35541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de programas de capacitación laboral en Chile - CH-L1064</dc:title>
  <dc:subject/>
  <dc:creator>rodrigo.montero</dc:creator>
  <cp:keywords/>
  <dc:description/>
  <cp:lastModifiedBy>IADB</cp:lastModifiedBy>
  <cp:revision>3</cp:revision>
  <cp:lastPrinted>2012-01-31T17:01:00Z</cp:lastPrinted>
  <dcterms:created xsi:type="dcterms:W3CDTF">2012-05-24T14:35:00Z</dcterms:created>
  <dcterms:modified xsi:type="dcterms:W3CDTF">2012-05-24T14:39:00Z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0x01010046CF21643EE8D14686A648AA6DAD089200950FE0F5A5030D4CA9DF31FDD99991D2</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