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8E2" w:rsidRPr="00580F2E" w:rsidRDefault="00FA45BD" w:rsidP="009563D7">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 xml:space="preserve">Un diagnóstico </w:t>
      </w:r>
      <w:r w:rsidR="005632F9" w:rsidRPr="00580F2E">
        <w:rPr>
          <w:rFonts w:ascii="Times New Roman" w:hAnsi="Times New Roman" w:cs="Times New Roman"/>
          <w:b/>
          <w:sz w:val="24"/>
          <w:szCs w:val="24"/>
          <w:lang w:val="es-ES"/>
        </w:rPr>
        <w:t>al</w:t>
      </w:r>
      <w:r w:rsidR="000408E2" w:rsidRPr="00580F2E">
        <w:rPr>
          <w:rFonts w:ascii="Times New Roman" w:hAnsi="Times New Roman" w:cs="Times New Roman"/>
          <w:b/>
          <w:sz w:val="24"/>
          <w:szCs w:val="24"/>
          <w:lang w:val="es-ES"/>
        </w:rPr>
        <w:t xml:space="preserve"> sistema de capacitación en Chile</w:t>
      </w:r>
    </w:p>
    <w:p w:rsidR="00C33A5C" w:rsidRPr="00580F2E" w:rsidRDefault="00C33A5C" w:rsidP="009563D7">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Jorge Rodríguez</w:t>
      </w:r>
      <w:r w:rsidRPr="00580F2E">
        <w:rPr>
          <w:rStyle w:val="FootnoteReference"/>
          <w:rFonts w:ascii="Times New Roman" w:hAnsi="Times New Roman" w:cs="Times New Roman"/>
          <w:b/>
          <w:sz w:val="24"/>
          <w:szCs w:val="24"/>
          <w:lang w:val="es-ES"/>
        </w:rPr>
        <w:footnoteReference w:id="1"/>
      </w:r>
    </w:p>
    <w:p w:rsidR="00C33A5C" w:rsidRPr="00580F2E" w:rsidRDefault="00C33A5C" w:rsidP="009563D7">
      <w:pPr>
        <w:spacing w:after="0"/>
        <w:jc w:val="center"/>
        <w:rPr>
          <w:rFonts w:ascii="Times New Roman" w:hAnsi="Times New Roman" w:cs="Times New Roman"/>
          <w:sz w:val="24"/>
          <w:szCs w:val="24"/>
          <w:lang w:val="es-ES"/>
        </w:rPr>
      </w:pPr>
      <w:r w:rsidRPr="00580F2E">
        <w:rPr>
          <w:rFonts w:ascii="Times New Roman" w:hAnsi="Times New Roman" w:cs="Times New Roman"/>
          <w:sz w:val="24"/>
          <w:szCs w:val="24"/>
          <w:lang w:val="es-ES"/>
        </w:rPr>
        <w:t>Marzo 2012</w:t>
      </w:r>
    </w:p>
    <w:p w:rsidR="0070656A" w:rsidRPr="00580F2E" w:rsidRDefault="0070656A" w:rsidP="009563D7">
      <w:pPr>
        <w:spacing w:after="0"/>
        <w:jc w:val="center"/>
        <w:rPr>
          <w:rFonts w:ascii="Times New Roman" w:hAnsi="Times New Roman" w:cs="Times New Roman"/>
          <w:b/>
          <w:sz w:val="24"/>
          <w:szCs w:val="24"/>
          <w:lang w:val="es-ES"/>
        </w:rPr>
      </w:pPr>
    </w:p>
    <w:p w:rsidR="000408E2" w:rsidRPr="00580F2E" w:rsidRDefault="000408E2" w:rsidP="009563D7">
      <w:pPr>
        <w:spacing w:after="0"/>
        <w:rPr>
          <w:rFonts w:ascii="Times New Roman" w:hAnsi="Times New Roman" w:cs="Times New Roman"/>
          <w:b/>
          <w:sz w:val="24"/>
          <w:szCs w:val="24"/>
          <w:lang w:val="es-ES"/>
        </w:rPr>
      </w:pPr>
    </w:p>
    <w:p w:rsidR="00F4635D" w:rsidRPr="00580F2E" w:rsidRDefault="00F4635D" w:rsidP="009563D7">
      <w:pPr>
        <w:pStyle w:val="ListParagraph"/>
        <w:numPr>
          <w:ilvl w:val="0"/>
          <w:numId w:val="7"/>
        </w:numPr>
        <w:spacing w:after="0"/>
        <w:rPr>
          <w:rFonts w:ascii="Times New Roman" w:hAnsi="Times New Roman" w:cs="Times New Roman"/>
          <w:b/>
          <w:sz w:val="24"/>
          <w:szCs w:val="24"/>
          <w:lang w:val="es-ES"/>
        </w:rPr>
      </w:pPr>
      <w:r w:rsidRPr="00580F2E">
        <w:rPr>
          <w:rFonts w:ascii="Times New Roman" w:hAnsi="Times New Roman" w:cs="Times New Roman"/>
          <w:b/>
          <w:sz w:val="24"/>
          <w:szCs w:val="24"/>
          <w:lang w:val="es-ES"/>
        </w:rPr>
        <w:t>Introducción</w:t>
      </w:r>
    </w:p>
    <w:p w:rsidR="000408E2" w:rsidRPr="00580F2E" w:rsidRDefault="000408E2" w:rsidP="009563D7">
      <w:pPr>
        <w:pStyle w:val="ListParagraph"/>
        <w:spacing w:after="0"/>
        <w:ind w:left="360"/>
        <w:rPr>
          <w:rFonts w:ascii="Times New Roman" w:hAnsi="Times New Roman" w:cs="Times New Roman"/>
          <w:lang w:val="es-ES"/>
        </w:rPr>
      </w:pPr>
    </w:p>
    <w:p w:rsidR="00275751" w:rsidRPr="00580F2E" w:rsidRDefault="009563D7"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Este informe presenta un diagnóstico del sistema de capacitación</w:t>
      </w:r>
      <w:r w:rsidR="00F34C50" w:rsidRPr="00580F2E">
        <w:rPr>
          <w:rStyle w:val="FootnoteReference"/>
          <w:rFonts w:ascii="Times New Roman" w:hAnsi="Times New Roman" w:cs="Times New Roman"/>
          <w:sz w:val="24"/>
          <w:szCs w:val="24"/>
          <w:lang w:val="es-ES"/>
        </w:rPr>
        <w:footnoteReference w:id="2"/>
      </w:r>
      <w:r w:rsidR="008B35D4" w:rsidRPr="00580F2E">
        <w:rPr>
          <w:rFonts w:ascii="Times New Roman" w:hAnsi="Times New Roman" w:cs="Times New Roman"/>
          <w:sz w:val="24"/>
          <w:szCs w:val="24"/>
          <w:lang w:val="es-ES"/>
        </w:rPr>
        <w:t xml:space="preserve"> en Chile</w:t>
      </w:r>
      <w:r w:rsidR="00275751" w:rsidRPr="00580F2E">
        <w:rPr>
          <w:rFonts w:ascii="Times New Roman" w:hAnsi="Times New Roman" w:cs="Times New Roman"/>
          <w:sz w:val="24"/>
          <w:szCs w:val="24"/>
          <w:lang w:val="es-ES"/>
        </w:rPr>
        <w:t>. Se pone especial</w:t>
      </w:r>
      <w:r w:rsidRPr="00580F2E">
        <w:rPr>
          <w:rFonts w:ascii="Times New Roman" w:hAnsi="Times New Roman" w:cs="Times New Roman"/>
          <w:sz w:val="24"/>
          <w:szCs w:val="24"/>
          <w:lang w:val="es-ES"/>
        </w:rPr>
        <w:t xml:space="preserve"> </w:t>
      </w:r>
      <w:r w:rsidR="00275751" w:rsidRPr="00580F2E">
        <w:rPr>
          <w:rFonts w:ascii="Times New Roman" w:hAnsi="Times New Roman" w:cs="Times New Roman"/>
          <w:sz w:val="24"/>
          <w:szCs w:val="24"/>
          <w:lang w:val="es-ES"/>
        </w:rPr>
        <w:t>atención</w:t>
      </w:r>
      <w:r w:rsidRPr="00580F2E">
        <w:rPr>
          <w:rFonts w:ascii="Times New Roman" w:hAnsi="Times New Roman" w:cs="Times New Roman"/>
          <w:sz w:val="24"/>
          <w:szCs w:val="24"/>
          <w:lang w:val="es-ES"/>
        </w:rPr>
        <w:t xml:space="preserve"> en la evidencia disponible sobre </w:t>
      </w:r>
      <w:r w:rsidR="00275751" w:rsidRPr="00580F2E">
        <w:rPr>
          <w:rFonts w:ascii="Times New Roman" w:hAnsi="Times New Roman" w:cs="Times New Roman"/>
          <w:sz w:val="24"/>
          <w:szCs w:val="24"/>
          <w:lang w:val="es-ES"/>
        </w:rPr>
        <w:t>(i) focalización de los programas de capacitación</w:t>
      </w:r>
      <w:r w:rsidR="00747331" w:rsidRPr="00580F2E">
        <w:rPr>
          <w:rFonts w:ascii="Times New Roman" w:hAnsi="Times New Roman" w:cs="Times New Roman"/>
          <w:sz w:val="24"/>
          <w:szCs w:val="24"/>
          <w:lang w:val="es-ES"/>
        </w:rPr>
        <w:t>, específicamente,</w:t>
      </w:r>
      <w:r w:rsidR="00275751" w:rsidRPr="00580F2E">
        <w:rPr>
          <w:rFonts w:ascii="Times New Roman" w:hAnsi="Times New Roman" w:cs="Times New Roman"/>
          <w:sz w:val="24"/>
          <w:szCs w:val="24"/>
          <w:lang w:val="es-ES"/>
        </w:rPr>
        <w:t xml:space="preserve"> su capacidad</w:t>
      </w:r>
      <w:r w:rsidR="00EA4486" w:rsidRPr="00580F2E">
        <w:rPr>
          <w:rFonts w:ascii="Times New Roman" w:hAnsi="Times New Roman" w:cs="Times New Roman"/>
          <w:sz w:val="24"/>
          <w:szCs w:val="24"/>
          <w:lang w:val="es-ES"/>
        </w:rPr>
        <w:t xml:space="preserve"> y efectividad</w:t>
      </w:r>
      <w:r w:rsidR="00275751" w:rsidRPr="00580F2E">
        <w:rPr>
          <w:rFonts w:ascii="Times New Roman" w:hAnsi="Times New Roman" w:cs="Times New Roman"/>
          <w:sz w:val="24"/>
          <w:szCs w:val="24"/>
          <w:lang w:val="es-ES"/>
        </w:rPr>
        <w:t xml:space="preserve"> para atender a su demanda potencial y (ii) </w:t>
      </w:r>
      <w:r w:rsidR="008F2D61" w:rsidRPr="00580F2E">
        <w:rPr>
          <w:rFonts w:ascii="Times New Roman" w:hAnsi="Times New Roman" w:cs="Times New Roman"/>
          <w:sz w:val="24"/>
          <w:szCs w:val="24"/>
          <w:lang w:val="es-ES"/>
        </w:rPr>
        <w:t xml:space="preserve">la evidencia disponible sobre </w:t>
      </w:r>
      <w:r w:rsidR="00EA4486" w:rsidRPr="00580F2E">
        <w:rPr>
          <w:rFonts w:ascii="Times New Roman" w:hAnsi="Times New Roman" w:cs="Times New Roman"/>
          <w:sz w:val="24"/>
          <w:szCs w:val="24"/>
          <w:lang w:val="es-ES"/>
        </w:rPr>
        <w:t>el efecto que éstos</w:t>
      </w:r>
      <w:r w:rsidR="008F2D61" w:rsidRPr="00580F2E">
        <w:rPr>
          <w:rFonts w:ascii="Times New Roman" w:hAnsi="Times New Roman" w:cs="Times New Roman"/>
          <w:sz w:val="24"/>
          <w:szCs w:val="24"/>
          <w:lang w:val="es-ES"/>
        </w:rPr>
        <w:t xml:space="preserve"> </w:t>
      </w:r>
      <w:r w:rsidR="00EA4486" w:rsidRPr="00580F2E">
        <w:rPr>
          <w:rFonts w:ascii="Times New Roman" w:hAnsi="Times New Roman" w:cs="Times New Roman"/>
          <w:sz w:val="24"/>
          <w:szCs w:val="24"/>
          <w:lang w:val="es-ES"/>
        </w:rPr>
        <w:t>poseen sobre sus beneficiarios</w:t>
      </w:r>
      <w:r w:rsidR="008F2D61" w:rsidRPr="00580F2E">
        <w:rPr>
          <w:rFonts w:ascii="Times New Roman" w:hAnsi="Times New Roman" w:cs="Times New Roman"/>
          <w:sz w:val="24"/>
          <w:szCs w:val="24"/>
          <w:lang w:val="es-ES"/>
        </w:rPr>
        <w:t>.</w:t>
      </w:r>
    </w:p>
    <w:p w:rsidR="00275751" w:rsidRPr="00580F2E" w:rsidRDefault="009563D7"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sistema de capacitación en Chile muestra rasgos </w:t>
      </w:r>
      <w:r w:rsidR="00275751" w:rsidRPr="00580F2E">
        <w:rPr>
          <w:rFonts w:ascii="Times New Roman" w:hAnsi="Times New Roman" w:cs="Times New Roman"/>
          <w:sz w:val="24"/>
          <w:szCs w:val="24"/>
          <w:lang w:val="es-ES"/>
        </w:rPr>
        <w:t>deficitarios en varias aristas, lo que abre diversos frentes de acción para la política pública</w:t>
      </w:r>
      <w:r w:rsidRPr="00580F2E">
        <w:rPr>
          <w:rFonts w:ascii="Times New Roman" w:hAnsi="Times New Roman" w:cs="Times New Roman"/>
          <w:sz w:val="24"/>
          <w:szCs w:val="24"/>
          <w:lang w:val="es-ES"/>
        </w:rPr>
        <w:t>. La red de capacitación s</w:t>
      </w:r>
      <w:r w:rsidR="00F4635D" w:rsidRPr="00580F2E">
        <w:rPr>
          <w:rFonts w:ascii="Times New Roman" w:hAnsi="Times New Roman" w:cs="Times New Roman"/>
          <w:sz w:val="24"/>
          <w:szCs w:val="24"/>
          <w:lang w:val="es-ES"/>
        </w:rPr>
        <w:t xml:space="preserve">e sustenta en su gran mayoría por un subsidio del Estado a </w:t>
      </w:r>
      <w:r w:rsidR="008B35D4" w:rsidRPr="00580F2E">
        <w:rPr>
          <w:rFonts w:ascii="Times New Roman" w:hAnsi="Times New Roman" w:cs="Times New Roman"/>
          <w:sz w:val="24"/>
          <w:szCs w:val="24"/>
          <w:lang w:val="es-ES"/>
        </w:rPr>
        <w:t xml:space="preserve">aquellas </w:t>
      </w:r>
      <w:r w:rsidR="00F4635D" w:rsidRPr="00580F2E">
        <w:rPr>
          <w:rFonts w:ascii="Times New Roman" w:hAnsi="Times New Roman" w:cs="Times New Roman"/>
          <w:sz w:val="24"/>
          <w:szCs w:val="24"/>
          <w:lang w:val="es-ES"/>
        </w:rPr>
        <w:t>firmas que invierten en capacitación.</w:t>
      </w:r>
      <w:r w:rsidR="008B35D4" w:rsidRPr="00580F2E">
        <w:rPr>
          <w:rFonts w:ascii="Times New Roman" w:hAnsi="Times New Roman" w:cs="Times New Roman"/>
          <w:sz w:val="24"/>
          <w:szCs w:val="24"/>
          <w:lang w:val="es-ES"/>
        </w:rPr>
        <w:t xml:space="preserve"> Este programa (Franquicia Tributaria para la Capacitación) absorbe 87% de los recursos del Ministerio del Trabajo en capacitación.</w:t>
      </w:r>
      <w:r w:rsidR="00F4635D" w:rsidRPr="00580F2E">
        <w:rPr>
          <w:rFonts w:ascii="Times New Roman" w:hAnsi="Times New Roman" w:cs="Times New Roman"/>
          <w:sz w:val="24"/>
          <w:szCs w:val="24"/>
          <w:lang w:val="es-ES"/>
        </w:rPr>
        <w:t xml:space="preserve"> Datos </w:t>
      </w:r>
      <w:r w:rsidR="0091322E" w:rsidRPr="00580F2E">
        <w:rPr>
          <w:rFonts w:ascii="Times New Roman" w:hAnsi="Times New Roman" w:cs="Times New Roman"/>
          <w:sz w:val="24"/>
          <w:szCs w:val="24"/>
          <w:lang w:val="es-ES"/>
        </w:rPr>
        <w:t>analizados en este informe</w:t>
      </w:r>
      <w:r w:rsidRPr="00580F2E">
        <w:rPr>
          <w:rFonts w:ascii="Times New Roman" w:hAnsi="Times New Roman" w:cs="Times New Roman"/>
          <w:sz w:val="24"/>
          <w:szCs w:val="24"/>
          <w:lang w:val="es-ES"/>
        </w:rPr>
        <w:t xml:space="preserve"> </w:t>
      </w:r>
      <w:r w:rsidR="00F4635D" w:rsidRPr="00580F2E">
        <w:rPr>
          <w:rFonts w:ascii="Times New Roman" w:hAnsi="Times New Roman" w:cs="Times New Roman"/>
          <w:sz w:val="24"/>
          <w:szCs w:val="24"/>
          <w:lang w:val="es-ES"/>
        </w:rPr>
        <w:t xml:space="preserve">muestran que este programa no apunta a grupos especialmente vulnerables. Adicionalmente, evidencia con datos administrativos no experimentales demuestran </w:t>
      </w:r>
      <w:r w:rsidR="00EA4486" w:rsidRPr="00580F2E">
        <w:rPr>
          <w:rFonts w:ascii="Times New Roman" w:hAnsi="Times New Roman" w:cs="Times New Roman"/>
          <w:sz w:val="24"/>
          <w:szCs w:val="24"/>
          <w:lang w:val="es-ES"/>
        </w:rPr>
        <w:t xml:space="preserve">el </w:t>
      </w:r>
      <w:r w:rsidR="008F2D61" w:rsidRPr="00580F2E">
        <w:rPr>
          <w:rFonts w:ascii="Times New Roman" w:hAnsi="Times New Roman" w:cs="Times New Roman"/>
          <w:sz w:val="24"/>
          <w:szCs w:val="24"/>
          <w:lang w:val="es-ES"/>
        </w:rPr>
        <w:t xml:space="preserve">bajo impacto que éste ha tenido </w:t>
      </w:r>
      <w:r w:rsidR="00EA4486" w:rsidRPr="00580F2E">
        <w:rPr>
          <w:rFonts w:ascii="Times New Roman" w:hAnsi="Times New Roman" w:cs="Times New Roman"/>
          <w:sz w:val="24"/>
          <w:szCs w:val="24"/>
          <w:lang w:val="es-ES"/>
        </w:rPr>
        <w:t>en términos de mejorar salarios y probabilidad de empleo</w:t>
      </w:r>
      <w:r w:rsidR="008B35D4" w:rsidRPr="00580F2E">
        <w:rPr>
          <w:rFonts w:ascii="Times New Roman" w:hAnsi="Times New Roman" w:cs="Times New Roman"/>
          <w:sz w:val="24"/>
          <w:szCs w:val="24"/>
          <w:lang w:val="es-ES"/>
        </w:rPr>
        <w:t xml:space="preserve"> (Rodríguez y Urzúa, 2011)</w:t>
      </w:r>
      <w:r w:rsidR="00F4635D" w:rsidRPr="00580F2E">
        <w:rPr>
          <w:rFonts w:ascii="Times New Roman" w:hAnsi="Times New Roman" w:cs="Times New Roman"/>
          <w:sz w:val="24"/>
          <w:szCs w:val="24"/>
          <w:lang w:val="es-ES"/>
        </w:rPr>
        <w:t xml:space="preserve">. </w:t>
      </w:r>
    </w:p>
    <w:p w:rsidR="00F4635D" w:rsidRPr="00580F2E" w:rsidRDefault="00672582"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Si bien existe</w:t>
      </w:r>
      <w:r w:rsidR="00F34C50"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w:t>
      </w:r>
      <w:r w:rsidR="00F34C50" w:rsidRPr="00580F2E">
        <w:rPr>
          <w:rFonts w:ascii="Times New Roman" w:hAnsi="Times New Roman" w:cs="Times New Roman"/>
          <w:sz w:val="24"/>
          <w:szCs w:val="24"/>
          <w:lang w:val="es-ES"/>
        </w:rPr>
        <w:t>los llamados</w:t>
      </w:r>
      <w:r w:rsidRPr="00580F2E">
        <w:rPr>
          <w:rFonts w:ascii="Times New Roman" w:hAnsi="Times New Roman" w:cs="Times New Roman"/>
          <w:sz w:val="24"/>
          <w:szCs w:val="24"/>
          <w:lang w:val="es-ES"/>
        </w:rPr>
        <w:t xml:space="preserve"> </w:t>
      </w:r>
      <w:r w:rsidR="00F34C50" w:rsidRPr="00580F2E">
        <w:rPr>
          <w:rFonts w:ascii="Times New Roman" w:hAnsi="Times New Roman" w:cs="Times New Roman"/>
          <w:sz w:val="24"/>
          <w:szCs w:val="24"/>
          <w:lang w:val="es-ES"/>
        </w:rPr>
        <w:t>Programas Sociales del Ministerio del Trabajo</w:t>
      </w:r>
      <w:r w:rsidRPr="00580F2E">
        <w:rPr>
          <w:rFonts w:ascii="Times New Roman" w:hAnsi="Times New Roman" w:cs="Times New Roman"/>
          <w:sz w:val="24"/>
          <w:szCs w:val="24"/>
          <w:lang w:val="es-ES"/>
        </w:rPr>
        <w:t xml:space="preserve"> que atienden a grupos vulnerables (jóvenes y mujeres principalmente), la inversión del Estado en estas instancias es claramente insuficiente en relación a su demanda potencial.</w:t>
      </w:r>
      <w:r w:rsidR="008B35D4" w:rsidRPr="00580F2E">
        <w:rPr>
          <w:rFonts w:ascii="Times New Roman" w:hAnsi="Times New Roman" w:cs="Times New Roman"/>
          <w:sz w:val="24"/>
          <w:szCs w:val="24"/>
          <w:lang w:val="es-ES"/>
        </w:rPr>
        <w:t xml:space="preserve"> Ello trae como resultado el dejar a una importante fracción de la población con escaso margen para el desarrollo de competencias para el trabajo Adicionalmente, el instrumento para focalizar recursos en familias vulnerables (la Ficha de Protección Social) </w:t>
      </w:r>
      <w:r w:rsidR="00F34C50" w:rsidRPr="00580F2E">
        <w:rPr>
          <w:rFonts w:ascii="Times New Roman" w:hAnsi="Times New Roman" w:cs="Times New Roman"/>
          <w:sz w:val="24"/>
          <w:szCs w:val="24"/>
          <w:lang w:val="es-ES"/>
        </w:rPr>
        <w:t>no posee una institucionalidad que garantice una correcta asignación de los recursos públicos</w:t>
      </w:r>
      <w:r w:rsidR="0070656A" w:rsidRPr="00580F2E">
        <w:rPr>
          <w:rFonts w:ascii="Times New Roman" w:hAnsi="Times New Roman" w:cs="Times New Roman"/>
          <w:sz w:val="24"/>
          <w:szCs w:val="24"/>
          <w:lang w:val="es-ES"/>
        </w:rPr>
        <w:t xml:space="preserve">. </w:t>
      </w:r>
      <w:r w:rsidR="00F4635D" w:rsidRPr="00580F2E">
        <w:rPr>
          <w:rFonts w:ascii="Times New Roman" w:hAnsi="Times New Roman" w:cs="Times New Roman"/>
          <w:sz w:val="24"/>
          <w:szCs w:val="24"/>
          <w:lang w:val="es-ES"/>
        </w:rPr>
        <w:t>Por otro lado, tampoco hay evidencia robusta</w:t>
      </w:r>
      <w:r w:rsidR="0070656A" w:rsidRPr="00580F2E">
        <w:rPr>
          <w:rFonts w:ascii="Times New Roman" w:hAnsi="Times New Roman" w:cs="Times New Roman"/>
          <w:sz w:val="24"/>
          <w:szCs w:val="24"/>
          <w:lang w:val="es-ES"/>
        </w:rPr>
        <w:t xml:space="preserve"> que indique que</w:t>
      </w:r>
      <w:r w:rsidR="009563D7" w:rsidRPr="00580F2E">
        <w:rPr>
          <w:rFonts w:ascii="Times New Roman" w:hAnsi="Times New Roman" w:cs="Times New Roman"/>
          <w:sz w:val="24"/>
          <w:szCs w:val="24"/>
          <w:lang w:val="es-ES"/>
        </w:rPr>
        <w:t>, al menos,</w:t>
      </w:r>
      <w:r w:rsidR="0070656A" w:rsidRPr="00580F2E">
        <w:rPr>
          <w:rFonts w:ascii="Times New Roman" w:hAnsi="Times New Roman" w:cs="Times New Roman"/>
          <w:sz w:val="24"/>
          <w:szCs w:val="24"/>
          <w:lang w:val="es-ES"/>
        </w:rPr>
        <w:t xml:space="preserve"> </w:t>
      </w:r>
      <w:r w:rsidR="005632F9" w:rsidRPr="00580F2E">
        <w:rPr>
          <w:rFonts w:ascii="Times New Roman" w:hAnsi="Times New Roman" w:cs="Times New Roman"/>
          <w:sz w:val="24"/>
          <w:szCs w:val="24"/>
          <w:lang w:val="es-ES"/>
        </w:rPr>
        <w:t xml:space="preserve">los programas </w:t>
      </w:r>
      <w:r w:rsidR="00EA4486" w:rsidRPr="00580F2E">
        <w:rPr>
          <w:rFonts w:ascii="Times New Roman" w:hAnsi="Times New Roman" w:cs="Times New Roman"/>
          <w:sz w:val="24"/>
          <w:szCs w:val="24"/>
          <w:lang w:val="es-ES"/>
        </w:rPr>
        <w:t>correctamente</w:t>
      </w:r>
      <w:r w:rsidR="005632F9" w:rsidRPr="00580F2E">
        <w:rPr>
          <w:rFonts w:ascii="Times New Roman" w:hAnsi="Times New Roman" w:cs="Times New Roman"/>
          <w:sz w:val="24"/>
          <w:szCs w:val="24"/>
          <w:lang w:val="es-ES"/>
        </w:rPr>
        <w:t xml:space="preserve"> focalizados en grupos vulnerables gener</w:t>
      </w:r>
      <w:r w:rsidR="00EA4486" w:rsidRPr="00580F2E">
        <w:rPr>
          <w:rFonts w:ascii="Times New Roman" w:hAnsi="Times New Roman" w:cs="Times New Roman"/>
          <w:sz w:val="24"/>
          <w:szCs w:val="24"/>
          <w:lang w:val="es-ES"/>
        </w:rPr>
        <w:t>a</w:t>
      </w:r>
      <w:r w:rsidR="005632F9" w:rsidRPr="00580F2E">
        <w:rPr>
          <w:rFonts w:ascii="Times New Roman" w:hAnsi="Times New Roman" w:cs="Times New Roman"/>
          <w:sz w:val="24"/>
          <w:szCs w:val="24"/>
          <w:lang w:val="es-ES"/>
        </w:rPr>
        <w:t xml:space="preserve">n </w:t>
      </w:r>
      <w:r w:rsidR="00EA4486" w:rsidRPr="00580F2E">
        <w:rPr>
          <w:rFonts w:ascii="Times New Roman" w:hAnsi="Times New Roman" w:cs="Times New Roman"/>
          <w:sz w:val="24"/>
          <w:szCs w:val="24"/>
          <w:lang w:val="es-ES"/>
        </w:rPr>
        <w:t xml:space="preserve">algún tipo de </w:t>
      </w:r>
      <w:r w:rsidR="005632F9" w:rsidRPr="00580F2E">
        <w:rPr>
          <w:rFonts w:ascii="Times New Roman" w:hAnsi="Times New Roman" w:cs="Times New Roman"/>
          <w:sz w:val="24"/>
          <w:szCs w:val="24"/>
          <w:lang w:val="es-ES"/>
        </w:rPr>
        <w:t>valor agregado.</w:t>
      </w:r>
    </w:p>
    <w:p w:rsidR="00E90BDF" w:rsidRPr="00580F2E" w:rsidRDefault="0070656A"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Con todo, el sistema de capacitación contiene una serie de deficiencias importantes respecto de su </w:t>
      </w:r>
      <w:r w:rsidR="005632F9" w:rsidRPr="00580F2E">
        <w:rPr>
          <w:rFonts w:ascii="Times New Roman" w:hAnsi="Times New Roman" w:cs="Times New Roman"/>
          <w:sz w:val="24"/>
          <w:szCs w:val="24"/>
          <w:lang w:val="es-ES"/>
        </w:rPr>
        <w:t>impacto</w:t>
      </w:r>
      <w:r w:rsidR="00747331" w:rsidRPr="00580F2E">
        <w:rPr>
          <w:rFonts w:ascii="Times New Roman" w:hAnsi="Times New Roman" w:cs="Times New Roman"/>
          <w:sz w:val="24"/>
          <w:szCs w:val="24"/>
          <w:lang w:val="es-ES"/>
        </w:rPr>
        <w:t xml:space="preserve"> y</w:t>
      </w:r>
      <w:r w:rsidRPr="00580F2E">
        <w:rPr>
          <w:rFonts w:ascii="Times New Roman" w:hAnsi="Times New Roman" w:cs="Times New Roman"/>
          <w:sz w:val="24"/>
          <w:szCs w:val="24"/>
          <w:lang w:val="es-ES"/>
        </w:rPr>
        <w:t xml:space="preserve"> focali</w:t>
      </w:r>
      <w:r w:rsidR="00747331" w:rsidRPr="00580F2E">
        <w:rPr>
          <w:rFonts w:ascii="Times New Roman" w:hAnsi="Times New Roman" w:cs="Times New Roman"/>
          <w:sz w:val="24"/>
          <w:szCs w:val="24"/>
          <w:lang w:val="es-ES"/>
        </w:rPr>
        <w:t>zación hacia grupos vulnerables, lo cual</w:t>
      </w:r>
      <w:r w:rsidR="00F4635D" w:rsidRPr="00580F2E">
        <w:rPr>
          <w:rFonts w:ascii="Times New Roman" w:hAnsi="Times New Roman" w:cs="Times New Roman"/>
          <w:sz w:val="24"/>
          <w:szCs w:val="24"/>
          <w:lang w:val="es-ES"/>
        </w:rPr>
        <w:t xml:space="preserve"> requiere de una reforma sustantiva. En el corto plazo, </w:t>
      </w:r>
      <w:r w:rsidR="00745EEB" w:rsidRPr="00580F2E">
        <w:rPr>
          <w:rFonts w:ascii="Times New Roman" w:hAnsi="Times New Roman" w:cs="Times New Roman"/>
          <w:sz w:val="24"/>
          <w:szCs w:val="24"/>
          <w:lang w:val="es-ES"/>
        </w:rPr>
        <w:t>es imperativo</w:t>
      </w:r>
      <w:r w:rsidR="00F4635D" w:rsidRPr="00580F2E">
        <w:rPr>
          <w:rFonts w:ascii="Times New Roman" w:hAnsi="Times New Roman" w:cs="Times New Roman"/>
          <w:sz w:val="24"/>
          <w:szCs w:val="24"/>
          <w:lang w:val="es-ES"/>
        </w:rPr>
        <w:t xml:space="preserve"> generar evidencia respecto del funcionamiento de distintos programas</w:t>
      </w:r>
      <w:r w:rsidRPr="00580F2E">
        <w:rPr>
          <w:rFonts w:ascii="Times New Roman" w:hAnsi="Times New Roman" w:cs="Times New Roman"/>
          <w:sz w:val="24"/>
          <w:szCs w:val="24"/>
          <w:lang w:val="es-ES"/>
        </w:rPr>
        <w:t xml:space="preserve"> que atienden a individuos con grandes brechas de competencias</w:t>
      </w:r>
      <w:r w:rsidR="00F4635D" w:rsidRPr="00580F2E">
        <w:rPr>
          <w:rFonts w:ascii="Times New Roman" w:hAnsi="Times New Roman" w:cs="Times New Roman"/>
          <w:sz w:val="24"/>
          <w:szCs w:val="24"/>
          <w:lang w:val="es-ES"/>
        </w:rPr>
        <w:t xml:space="preserve">. </w:t>
      </w:r>
      <w:r w:rsidR="00745EEB" w:rsidRPr="00580F2E">
        <w:rPr>
          <w:rFonts w:ascii="Times New Roman" w:hAnsi="Times New Roman" w:cs="Times New Roman"/>
          <w:sz w:val="24"/>
          <w:szCs w:val="24"/>
          <w:lang w:val="es-ES"/>
        </w:rPr>
        <w:t>E</w:t>
      </w:r>
      <w:r w:rsidR="00F4635D" w:rsidRPr="00580F2E">
        <w:rPr>
          <w:rFonts w:ascii="Times New Roman" w:hAnsi="Times New Roman" w:cs="Times New Roman"/>
          <w:sz w:val="24"/>
          <w:szCs w:val="24"/>
          <w:lang w:val="es-ES"/>
        </w:rPr>
        <w:t>llo permitiría</w:t>
      </w:r>
      <w:r w:rsidR="00747331" w:rsidRPr="00580F2E">
        <w:rPr>
          <w:rFonts w:ascii="Times New Roman" w:hAnsi="Times New Roman" w:cs="Times New Roman"/>
          <w:sz w:val="24"/>
          <w:szCs w:val="24"/>
          <w:lang w:val="es-ES"/>
        </w:rPr>
        <w:t>,</w:t>
      </w:r>
      <w:r w:rsidR="00F4635D" w:rsidRPr="00580F2E">
        <w:rPr>
          <w:rFonts w:ascii="Times New Roman" w:hAnsi="Times New Roman" w:cs="Times New Roman"/>
          <w:sz w:val="24"/>
          <w:szCs w:val="24"/>
          <w:lang w:val="es-ES"/>
        </w:rPr>
        <w:t xml:space="preserve"> </w:t>
      </w:r>
      <w:r w:rsidR="00745EEB" w:rsidRPr="00580F2E">
        <w:rPr>
          <w:rFonts w:ascii="Times New Roman" w:hAnsi="Times New Roman" w:cs="Times New Roman"/>
          <w:sz w:val="24"/>
          <w:szCs w:val="24"/>
          <w:lang w:val="es-ES"/>
        </w:rPr>
        <w:t>en el largo plazo</w:t>
      </w:r>
      <w:r w:rsidR="00747331" w:rsidRPr="00580F2E">
        <w:rPr>
          <w:rFonts w:ascii="Times New Roman" w:hAnsi="Times New Roman" w:cs="Times New Roman"/>
          <w:sz w:val="24"/>
          <w:szCs w:val="24"/>
          <w:lang w:val="es-ES"/>
        </w:rPr>
        <w:t>, sentar las bases institucionales para</w:t>
      </w:r>
      <w:r w:rsidR="00745EEB" w:rsidRPr="00580F2E">
        <w:rPr>
          <w:rFonts w:ascii="Times New Roman" w:hAnsi="Times New Roman" w:cs="Times New Roman"/>
          <w:sz w:val="24"/>
          <w:szCs w:val="24"/>
          <w:lang w:val="es-ES"/>
        </w:rPr>
        <w:t xml:space="preserve"> </w:t>
      </w:r>
      <w:r w:rsidR="00F4635D" w:rsidRPr="00580F2E">
        <w:rPr>
          <w:rFonts w:ascii="Times New Roman" w:hAnsi="Times New Roman" w:cs="Times New Roman"/>
          <w:sz w:val="24"/>
          <w:szCs w:val="24"/>
          <w:lang w:val="es-ES"/>
        </w:rPr>
        <w:t>redirigir recursos</w:t>
      </w:r>
      <w:r w:rsidR="000408E2" w:rsidRPr="00580F2E">
        <w:rPr>
          <w:rFonts w:ascii="Times New Roman" w:hAnsi="Times New Roman" w:cs="Times New Roman"/>
          <w:sz w:val="24"/>
          <w:szCs w:val="24"/>
          <w:lang w:val="es-ES"/>
        </w:rPr>
        <w:t xml:space="preserve"> hacia grupos vulnerables </w:t>
      </w:r>
      <w:r w:rsidR="00747331" w:rsidRPr="00580F2E">
        <w:rPr>
          <w:rFonts w:ascii="Times New Roman" w:hAnsi="Times New Roman" w:cs="Times New Roman"/>
          <w:sz w:val="24"/>
          <w:szCs w:val="24"/>
          <w:lang w:val="es-ES"/>
        </w:rPr>
        <w:t xml:space="preserve">con programas </w:t>
      </w:r>
      <w:r w:rsidR="00EA4486" w:rsidRPr="00580F2E">
        <w:rPr>
          <w:rFonts w:ascii="Times New Roman" w:hAnsi="Times New Roman" w:cs="Times New Roman"/>
          <w:sz w:val="24"/>
          <w:szCs w:val="24"/>
          <w:lang w:val="es-ES"/>
        </w:rPr>
        <w:t>diseñados</w:t>
      </w:r>
      <w:r w:rsidR="00747331" w:rsidRPr="00580F2E">
        <w:rPr>
          <w:rFonts w:ascii="Times New Roman" w:hAnsi="Times New Roman" w:cs="Times New Roman"/>
          <w:sz w:val="24"/>
          <w:szCs w:val="24"/>
          <w:lang w:val="es-ES"/>
        </w:rPr>
        <w:t xml:space="preserve"> a partir de la evidencia con que se disponga</w:t>
      </w:r>
      <w:r w:rsidR="000408E2" w:rsidRPr="00580F2E">
        <w:rPr>
          <w:rFonts w:ascii="Times New Roman" w:hAnsi="Times New Roman" w:cs="Times New Roman"/>
          <w:sz w:val="24"/>
          <w:szCs w:val="24"/>
          <w:lang w:val="es-ES"/>
        </w:rPr>
        <w:t>.</w:t>
      </w:r>
      <w:r w:rsidR="00F4635D" w:rsidRPr="00580F2E">
        <w:rPr>
          <w:rFonts w:ascii="Times New Roman" w:hAnsi="Times New Roman" w:cs="Times New Roman"/>
          <w:sz w:val="24"/>
          <w:szCs w:val="24"/>
          <w:lang w:val="es-ES"/>
        </w:rPr>
        <w:t xml:space="preserve"> </w:t>
      </w:r>
    </w:p>
    <w:p w:rsidR="00E90BDF" w:rsidRPr="00580F2E" w:rsidRDefault="00EA4486"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Este</w:t>
      </w:r>
      <w:r w:rsidR="00E90BDF" w:rsidRPr="00580F2E">
        <w:rPr>
          <w:rFonts w:ascii="Times New Roman" w:hAnsi="Times New Roman" w:cs="Times New Roman"/>
          <w:sz w:val="24"/>
          <w:szCs w:val="24"/>
          <w:lang w:val="es-ES"/>
        </w:rPr>
        <w:t xml:space="preserve"> informe se organiza de la siguiente manera. En la siguiente sección se describe la institucionalidad del sistema de formación en Chile</w:t>
      </w:r>
      <w:r w:rsidR="005C4791" w:rsidRPr="00580F2E">
        <w:rPr>
          <w:rFonts w:ascii="Times New Roman" w:hAnsi="Times New Roman" w:cs="Times New Roman"/>
          <w:sz w:val="24"/>
          <w:szCs w:val="24"/>
          <w:lang w:val="es-ES"/>
        </w:rPr>
        <w:t xml:space="preserve"> y cómo se conjuga con el resto de la red para la adquisición de capital humano</w:t>
      </w:r>
      <w:r w:rsidR="00E90BDF" w:rsidRPr="00580F2E">
        <w:rPr>
          <w:rFonts w:ascii="Times New Roman" w:hAnsi="Times New Roman" w:cs="Times New Roman"/>
          <w:sz w:val="24"/>
          <w:szCs w:val="24"/>
          <w:lang w:val="es-ES"/>
        </w:rPr>
        <w:t>. En la sección 3 se caracterizan distintos grupos, comparando</w:t>
      </w:r>
      <w:r w:rsidR="00F34C50" w:rsidRPr="00580F2E">
        <w:rPr>
          <w:rFonts w:ascii="Times New Roman" w:hAnsi="Times New Roman" w:cs="Times New Roman"/>
          <w:sz w:val="24"/>
          <w:szCs w:val="24"/>
          <w:lang w:val="es-ES"/>
        </w:rPr>
        <w:t xml:space="preserve"> su</w:t>
      </w:r>
      <w:r w:rsidR="00E90BDF" w:rsidRPr="00580F2E">
        <w:rPr>
          <w:rFonts w:ascii="Times New Roman" w:hAnsi="Times New Roman" w:cs="Times New Roman"/>
          <w:sz w:val="24"/>
          <w:szCs w:val="24"/>
          <w:lang w:val="es-ES"/>
        </w:rPr>
        <w:t xml:space="preserve"> desempeño en </w:t>
      </w:r>
      <w:r w:rsidR="00672582" w:rsidRPr="00580F2E">
        <w:rPr>
          <w:rFonts w:ascii="Times New Roman" w:hAnsi="Times New Roman" w:cs="Times New Roman"/>
          <w:sz w:val="24"/>
          <w:szCs w:val="24"/>
          <w:lang w:val="es-ES"/>
        </w:rPr>
        <w:t xml:space="preserve">el </w:t>
      </w:r>
      <w:r w:rsidR="00E90BDF" w:rsidRPr="00580F2E">
        <w:rPr>
          <w:rFonts w:ascii="Times New Roman" w:hAnsi="Times New Roman" w:cs="Times New Roman"/>
          <w:sz w:val="24"/>
          <w:szCs w:val="24"/>
          <w:lang w:val="es-ES"/>
        </w:rPr>
        <w:t xml:space="preserve">mercado laboral acorde con distintos caminos tomados en el sistema escolar </w:t>
      </w:r>
      <w:r w:rsidR="00F34C50" w:rsidRPr="00580F2E">
        <w:rPr>
          <w:rFonts w:ascii="Times New Roman" w:hAnsi="Times New Roman" w:cs="Times New Roman"/>
          <w:sz w:val="24"/>
          <w:szCs w:val="24"/>
          <w:lang w:val="es-ES"/>
        </w:rPr>
        <w:t>formal</w:t>
      </w:r>
      <w:r w:rsidR="00E90BDF" w:rsidRPr="00580F2E">
        <w:rPr>
          <w:rFonts w:ascii="Times New Roman" w:hAnsi="Times New Roman" w:cs="Times New Roman"/>
          <w:sz w:val="24"/>
          <w:szCs w:val="24"/>
          <w:lang w:val="es-ES"/>
        </w:rPr>
        <w:t xml:space="preserve">. Se identifican de esta manera grupos vulnerables como demanda potencial del sistema de capacitación. En la sección 4 se analiza la organización del sistema de capacitación, se describen a sus beneficiarios y se muestra evidencia respecto del impacto que tiene el sistema de capacitación sobre </w:t>
      </w:r>
      <w:r w:rsidR="00672582" w:rsidRPr="00580F2E">
        <w:rPr>
          <w:rFonts w:ascii="Times New Roman" w:hAnsi="Times New Roman" w:cs="Times New Roman"/>
          <w:sz w:val="24"/>
          <w:szCs w:val="24"/>
          <w:lang w:val="es-ES"/>
        </w:rPr>
        <w:t xml:space="preserve">el </w:t>
      </w:r>
      <w:r w:rsidR="00E90BDF" w:rsidRPr="00580F2E">
        <w:rPr>
          <w:rFonts w:ascii="Times New Roman" w:hAnsi="Times New Roman" w:cs="Times New Roman"/>
          <w:sz w:val="24"/>
          <w:szCs w:val="24"/>
          <w:lang w:val="es-ES"/>
        </w:rPr>
        <w:t xml:space="preserve">desempeño en </w:t>
      </w:r>
      <w:r w:rsidR="00672582" w:rsidRPr="00580F2E">
        <w:rPr>
          <w:rFonts w:ascii="Times New Roman" w:hAnsi="Times New Roman" w:cs="Times New Roman"/>
          <w:sz w:val="24"/>
          <w:szCs w:val="24"/>
          <w:lang w:val="es-ES"/>
        </w:rPr>
        <w:t xml:space="preserve">el </w:t>
      </w:r>
      <w:r w:rsidR="00E90BDF" w:rsidRPr="00580F2E">
        <w:rPr>
          <w:rFonts w:ascii="Times New Roman" w:hAnsi="Times New Roman" w:cs="Times New Roman"/>
          <w:sz w:val="24"/>
          <w:szCs w:val="24"/>
          <w:lang w:val="es-ES"/>
        </w:rPr>
        <w:t xml:space="preserve">mercado laboral. Se concluye en el apartado número 5. </w:t>
      </w:r>
    </w:p>
    <w:p w:rsidR="00F4635D" w:rsidRPr="00580F2E" w:rsidRDefault="00F4635D" w:rsidP="00F34C50">
      <w:pPr>
        <w:pStyle w:val="ListParagraph"/>
        <w:spacing w:after="0" w:line="360" w:lineRule="auto"/>
        <w:ind w:left="792" w:firstLine="709"/>
        <w:rPr>
          <w:rFonts w:ascii="Times New Roman" w:hAnsi="Times New Roman" w:cs="Times New Roman"/>
          <w:b/>
          <w:lang w:val="es-ES"/>
        </w:rPr>
      </w:pPr>
    </w:p>
    <w:p w:rsidR="00E90BDF" w:rsidRPr="00580F2E" w:rsidRDefault="00E90BDF" w:rsidP="00F34C50">
      <w:pPr>
        <w:spacing w:after="0" w:line="360" w:lineRule="auto"/>
        <w:rPr>
          <w:rFonts w:ascii="Times New Roman" w:hAnsi="Times New Roman" w:cs="Times New Roman"/>
          <w:b/>
          <w:lang w:val="es-ES"/>
        </w:rPr>
      </w:pPr>
    </w:p>
    <w:p w:rsidR="00E90BDF" w:rsidRPr="00580F2E" w:rsidRDefault="00B24840" w:rsidP="00F34C50">
      <w:pPr>
        <w:pStyle w:val="ListParagraph"/>
        <w:numPr>
          <w:ilvl w:val="0"/>
          <w:numId w:val="7"/>
        </w:numPr>
        <w:spacing w:after="0" w:line="360" w:lineRule="auto"/>
        <w:rPr>
          <w:rFonts w:ascii="Times New Roman" w:hAnsi="Times New Roman" w:cs="Times New Roman"/>
          <w:b/>
          <w:lang w:val="es-ES"/>
        </w:rPr>
      </w:pPr>
      <w:r w:rsidRPr="00580F2E">
        <w:rPr>
          <w:rFonts w:ascii="Times New Roman" w:hAnsi="Times New Roman" w:cs="Times New Roman"/>
          <w:b/>
          <w:lang w:val="es-ES"/>
        </w:rPr>
        <w:t xml:space="preserve">La </w:t>
      </w:r>
      <w:r w:rsidR="00E90BDF" w:rsidRPr="00580F2E">
        <w:rPr>
          <w:rFonts w:ascii="Times New Roman" w:hAnsi="Times New Roman" w:cs="Times New Roman"/>
          <w:b/>
          <w:lang w:val="es-ES"/>
        </w:rPr>
        <w:t xml:space="preserve">formación </w:t>
      </w:r>
      <w:r w:rsidRPr="00580F2E">
        <w:rPr>
          <w:rFonts w:ascii="Times New Roman" w:hAnsi="Times New Roman" w:cs="Times New Roman"/>
          <w:b/>
          <w:lang w:val="es-ES"/>
        </w:rPr>
        <w:t>de capital humano</w:t>
      </w:r>
      <w:r w:rsidR="00E90BDF" w:rsidRPr="00580F2E">
        <w:rPr>
          <w:rFonts w:ascii="Times New Roman" w:hAnsi="Times New Roman" w:cs="Times New Roman"/>
          <w:b/>
          <w:lang w:val="es-ES"/>
        </w:rPr>
        <w:t xml:space="preserve"> en Chile</w:t>
      </w:r>
      <w:r w:rsidR="00205FE0" w:rsidRPr="00580F2E">
        <w:rPr>
          <w:rFonts w:ascii="Times New Roman" w:hAnsi="Times New Roman" w:cs="Times New Roman"/>
          <w:b/>
          <w:lang w:val="es-ES"/>
        </w:rPr>
        <w:t xml:space="preserve"> y el sistema de capacitación.</w:t>
      </w:r>
    </w:p>
    <w:p w:rsidR="00E90BDF" w:rsidRPr="00580F2E" w:rsidRDefault="00E90BDF" w:rsidP="00F34C50">
      <w:pPr>
        <w:spacing w:after="0" w:line="360" w:lineRule="auto"/>
        <w:rPr>
          <w:rFonts w:ascii="Times New Roman" w:hAnsi="Times New Roman" w:cs="Times New Roman"/>
          <w:b/>
          <w:lang w:val="es-ES"/>
        </w:rPr>
      </w:pPr>
    </w:p>
    <w:p w:rsidR="00C34392" w:rsidRPr="00580F2E" w:rsidRDefault="00B24840"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Las instancias de acumulación de capital humano, dependiendo de los arreglos institucionales de cada economía, se pueden encontrar en distintos etapas en el ciclo de vida. Además, se encuentran más o menos interconectados entre sí, lo que depende de la red organizacional dispuesta para atender necesidades desde la oferta y demanda por capital humano. Particularmente en Chile, se evidencia</w:t>
      </w:r>
      <w:r w:rsidR="00C34392"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desarrollo</w:t>
      </w:r>
      <w:r w:rsidR="00C34392" w:rsidRPr="00580F2E">
        <w:rPr>
          <w:rFonts w:ascii="Times New Roman" w:hAnsi="Times New Roman" w:cs="Times New Roman"/>
          <w:sz w:val="24"/>
          <w:szCs w:val="24"/>
          <w:lang w:val="es-ES"/>
        </w:rPr>
        <w:t>s ampliamente heterogéneos entr</w:t>
      </w:r>
      <w:r w:rsidR="002E6D64" w:rsidRPr="00580F2E">
        <w:rPr>
          <w:rFonts w:ascii="Times New Roman" w:hAnsi="Times New Roman" w:cs="Times New Roman"/>
          <w:sz w:val="24"/>
          <w:szCs w:val="24"/>
          <w:lang w:val="es-ES"/>
        </w:rPr>
        <w:t>e dichas instancias. La Figura 1</w:t>
      </w:r>
      <w:r w:rsidR="00C34392" w:rsidRPr="00580F2E">
        <w:rPr>
          <w:rFonts w:ascii="Times New Roman" w:hAnsi="Times New Roman" w:cs="Times New Roman"/>
          <w:sz w:val="24"/>
          <w:szCs w:val="24"/>
          <w:lang w:val="es-ES"/>
        </w:rPr>
        <w:t xml:space="preserve"> ilustra</w:t>
      </w:r>
      <w:r w:rsidRPr="00580F2E">
        <w:rPr>
          <w:rFonts w:ascii="Times New Roman" w:hAnsi="Times New Roman" w:cs="Times New Roman"/>
          <w:sz w:val="24"/>
          <w:szCs w:val="24"/>
          <w:lang w:val="es-ES"/>
        </w:rPr>
        <w:t xml:space="preserve"> </w:t>
      </w:r>
      <w:r w:rsidR="00C34392" w:rsidRPr="00580F2E">
        <w:rPr>
          <w:rFonts w:ascii="Times New Roman" w:hAnsi="Times New Roman" w:cs="Times New Roman"/>
          <w:sz w:val="24"/>
          <w:szCs w:val="24"/>
          <w:lang w:val="es-ES"/>
        </w:rPr>
        <w:t xml:space="preserve">la composición de las instituciones de acumulación de capital humano. </w:t>
      </w:r>
    </w:p>
    <w:p w:rsidR="00C721D1" w:rsidRPr="00580F2E" w:rsidRDefault="00F34C50"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La educación preescolar en Chile es tal vez de los niveles menos desarrollados de la etapa escolar. En efecto, los niveles de cobertura distan enormemente  de los niveles que exhiben países desarrollados (</w:t>
      </w:r>
      <w:r w:rsidR="00C721D1" w:rsidRPr="00580F2E">
        <w:rPr>
          <w:rFonts w:ascii="Times New Roman" w:hAnsi="Times New Roman" w:cs="Times New Roman"/>
          <w:sz w:val="24"/>
          <w:szCs w:val="24"/>
          <w:lang w:val="es-ES"/>
        </w:rPr>
        <w:t>Tokman, 2010</w:t>
      </w:r>
      <w:r w:rsidRPr="00580F2E">
        <w:rPr>
          <w:rFonts w:ascii="Times New Roman" w:hAnsi="Times New Roman" w:cs="Times New Roman"/>
          <w:sz w:val="24"/>
          <w:szCs w:val="24"/>
          <w:lang w:val="es-ES"/>
        </w:rPr>
        <w:t xml:space="preserve">). No obstante, su conexión con el resto del sistema escolar provee de una plataforma adecuada para impulsar su crecimiento. </w:t>
      </w:r>
    </w:p>
    <w:p w:rsidR="00F34C50" w:rsidRPr="00580F2E" w:rsidRDefault="00F34C50" w:rsidP="00F34C50">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Chile posee un desarrollo importante en la etapa escolar (primaria y secundaria). En efecto, la cobertura en el primer caso se acerca prácticamente a </w:t>
      </w:r>
      <w:r w:rsidR="00C721D1" w:rsidRPr="00580F2E">
        <w:rPr>
          <w:rFonts w:ascii="Times New Roman" w:hAnsi="Times New Roman" w:cs="Times New Roman"/>
          <w:sz w:val="24"/>
          <w:szCs w:val="24"/>
          <w:lang w:val="es-ES"/>
        </w:rPr>
        <w:t xml:space="preserve">una </w:t>
      </w:r>
      <w:r w:rsidRPr="00580F2E">
        <w:rPr>
          <w:rFonts w:ascii="Times New Roman" w:hAnsi="Times New Roman" w:cs="Times New Roman"/>
          <w:sz w:val="24"/>
          <w:szCs w:val="24"/>
          <w:lang w:val="es-ES"/>
        </w:rPr>
        <w:t xml:space="preserve">cobertura universal; 97% de la población entre 6 y 17 años </w:t>
      </w:r>
      <w:r w:rsidR="00C721D1" w:rsidRPr="00580F2E">
        <w:rPr>
          <w:rFonts w:ascii="Times New Roman" w:hAnsi="Times New Roman" w:cs="Times New Roman"/>
          <w:sz w:val="24"/>
          <w:szCs w:val="24"/>
          <w:lang w:val="es-ES"/>
        </w:rPr>
        <w:t>asiste a un establecimiento</w:t>
      </w:r>
      <w:r w:rsidRPr="00580F2E">
        <w:rPr>
          <w:rFonts w:ascii="Times New Roman" w:hAnsi="Times New Roman" w:cs="Times New Roman"/>
          <w:sz w:val="24"/>
          <w:szCs w:val="24"/>
          <w:lang w:val="es-ES"/>
        </w:rPr>
        <w:t xml:space="preserve"> </w:t>
      </w:r>
      <w:r w:rsidR="00C721D1" w:rsidRPr="00580F2E">
        <w:rPr>
          <w:rFonts w:ascii="Times New Roman" w:hAnsi="Times New Roman" w:cs="Times New Roman"/>
          <w:sz w:val="24"/>
          <w:szCs w:val="24"/>
          <w:lang w:val="es-ES"/>
        </w:rPr>
        <w:t>de</w:t>
      </w:r>
      <w:r w:rsidRPr="00580F2E">
        <w:rPr>
          <w:rFonts w:ascii="Times New Roman" w:hAnsi="Times New Roman" w:cs="Times New Roman"/>
          <w:sz w:val="24"/>
          <w:szCs w:val="24"/>
          <w:lang w:val="es-ES"/>
        </w:rPr>
        <w:t xml:space="preserve"> educación primaria o secundaria (Encuesta CASEN, 2009).</w:t>
      </w:r>
      <w:r w:rsidRPr="00580F2E">
        <w:rPr>
          <w:rStyle w:val="FootnoteReference"/>
          <w:rFonts w:ascii="Times New Roman" w:hAnsi="Times New Roman" w:cs="Times New Roman"/>
          <w:sz w:val="24"/>
          <w:szCs w:val="24"/>
          <w:lang w:val="es-ES"/>
        </w:rPr>
        <w:footnoteReference w:id="3"/>
      </w:r>
      <w:r w:rsidRPr="00580F2E">
        <w:rPr>
          <w:rFonts w:ascii="Times New Roman" w:hAnsi="Times New Roman" w:cs="Times New Roman"/>
          <w:sz w:val="24"/>
          <w:szCs w:val="24"/>
          <w:lang w:val="es-ES"/>
        </w:rPr>
        <w:t xml:space="preserve"> Se ha argumentado que, no obstante, la calidad de los servicios educativos carece de eficiencia, al comparar rendimiento de estudiantes chilenos con pares de la OECD (</w:t>
      </w:r>
      <w:r w:rsidR="00C721D1" w:rsidRPr="00580F2E">
        <w:rPr>
          <w:rFonts w:ascii="Times New Roman" w:hAnsi="Times New Roman" w:cs="Times New Roman"/>
          <w:sz w:val="24"/>
          <w:szCs w:val="24"/>
          <w:lang w:val="es-ES"/>
        </w:rPr>
        <w:t>Brunner y Elacqua, 2003</w:t>
      </w:r>
      <w:r w:rsidRPr="00580F2E">
        <w:rPr>
          <w:rFonts w:ascii="Times New Roman" w:hAnsi="Times New Roman" w:cs="Times New Roman"/>
          <w:sz w:val="24"/>
          <w:szCs w:val="24"/>
          <w:lang w:val="es-ES"/>
        </w:rPr>
        <w:t xml:space="preserve">). Sin embargo, en los últimos años, se evidencia una tendencia al cierre de brechas. </w:t>
      </w:r>
    </w:p>
    <w:p w:rsidR="00F34C50" w:rsidRPr="00580F2E" w:rsidRDefault="00F34C50" w:rsidP="00F34C50">
      <w:pPr>
        <w:spacing w:after="0" w:line="360" w:lineRule="auto"/>
        <w:ind w:firstLine="709"/>
        <w:jc w:val="both"/>
        <w:rPr>
          <w:rFonts w:ascii="Times New Roman" w:hAnsi="Times New Roman" w:cs="Times New Roman"/>
          <w:sz w:val="24"/>
          <w:szCs w:val="24"/>
          <w:lang w:val="es-ES"/>
        </w:rPr>
      </w:pPr>
    </w:p>
    <w:p w:rsidR="00C34392" w:rsidRPr="00580F2E" w:rsidRDefault="00C34392" w:rsidP="00F34C50">
      <w:pPr>
        <w:spacing w:after="0" w:line="360" w:lineRule="auto"/>
        <w:rPr>
          <w:rFonts w:ascii="Times New Roman" w:hAnsi="Times New Roman" w:cs="Times New Roman"/>
          <w:lang w:val="es-ES"/>
        </w:rPr>
      </w:pPr>
    </w:p>
    <w:p w:rsidR="002E6D64" w:rsidRPr="00580F2E" w:rsidRDefault="002E6D64" w:rsidP="002E6D64">
      <w:pPr>
        <w:spacing w:after="0"/>
        <w:jc w:val="center"/>
        <w:rPr>
          <w:rFonts w:ascii="Times New Roman" w:hAnsi="Times New Roman" w:cs="Times New Roman"/>
          <w:b/>
          <w:lang w:val="es-ES"/>
        </w:rPr>
      </w:pPr>
      <w:r w:rsidRPr="00580F2E">
        <w:rPr>
          <w:rFonts w:ascii="Times New Roman" w:hAnsi="Times New Roman" w:cs="Times New Roman"/>
          <w:b/>
          <w:lang w:val="es-ES"/>
        </w:rPr>
        <w:t>Figura 1: Acumulación de capital humano en Chile</w:t>
      </w:r>
    </w:p>
    <w:p w:rsidR="002E6D64" w:rsidRPr="00580F2E" w:rsidRDefault="002E6D64" w:rsidP="009563D7">
      <w:pPr>
        <w:spacing w:after="0"/>
        <w:rPr>
          <w:rFonts w:ascii="Times New Roman" w:hAnsi="Times New Roman" w:cs="Times New Roman"/>
          <w:lang w:val="es-ES"/>
        </w:rPr>
      </w:pPr>
    </w:p>
    <w:p w:rsidR="00402D7C" w:rsidRPr="00580F2E" w:rsidRDefault="00672582" w:rsidP="00402D7C">
      <w:pPr>
        <w:spacing w:after="0"/>
        <w:jc w:val="center"/>
        <w:rPr>
          <w:rFonts w:ascii="Times New Roman" w:hAnsi="Times New Roman" w:cs="Times New Roman"/>
          <w:lang w:val="es-ES"/>
        </w:rPr>
      </w:pPr>
      <w:r w:rsidRPr="00580F2E">
        <w:rPr>
          <w:noProof/>
          <w:lang w:val="es-ES"/>
        </w:rPr>
        <w:drawing>
          <wp:inline distT="0" distB="0" distL="0" distR="0" wp14:anchorId="239D30F7" wp14:editId="606C34D7">
            <wp:extent cx="3629036" cy="2520000"/>
            <wp:effectExtent l="19050" t="0" r="9514"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29036" cy="2520000"/>
                    </a:xfrm>
                    <a:prstGeom prst="rect">
                      <a:avLst/>
                    </a:prstGeom>
                    <a:noFill/>
                    <a:ln w="9525">
                      <a:noFill/>
                      <a:miter lim="800000"/>
                      <a:headEnd/>
                      <a:tailEnd/>
                    </a:ln>
                  </pic:spPr>
                </pic:pic>
              </a:graphicData>
            </a:graphic>
          </wp:inline>
        </w:drawing>
      </w:r>
    </w:p>
    <w:p w:rsidR="00A06CC7" w:rsidRPr="00580F2E" w:rsidRDefault="002E6D64" w:rsidP="00A06CC7">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w:t>
      </w:r>
    </w:p>
    <w:p w:rsidR="002E6D64" w:rsidRPr="00580F2E" w:rsidRDefault="002E6D64" w:rsidP="00A06CC7">
      <w:pPr>
        <w:spacing w:after="0"/>
        <w:rPr>
          <w:rFonts w:ascii="Times New Roman" w:hAnsi="Times New Roman" w:cs="Times New Roman"/>
          <w:lang w:val="es-ES"/>
        </w:rPr>
      </w:pPr>
    </w:p>
    <w:p w:rsidR="00A06CC7" w:rsidRPr="00580F2E" w:rsidRDefault="00A06CC7" w:rsidP="00C721D1">
      <w:pPr>
        <w:spacing w:after="0" w:line="360" w:lineRule="auto"/>
        <w:ind w:firstLine="709"/>
        <w:rPr>
          <w:rFonts w:ascii="Times New Roman" w:hAnsi="Times New Roman" w:cs="Times New Roman"/>
          <w:lang w:val="es-ES"/>
        </w:rPr>
      </w:pPr>
    </w:p>
    <w:p w:rsidR="0032074B" w:rsidRPr="00580F2E" w:rsidRDefault="00C34392" w:rsidP="00C721D1">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Por su lado, la educación terciaria </w:t>
      </w:r>
      <w:r w:rsidR="00830AD1"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a</w:t>
      </w:r>
      <w:r w:rsidR="00830AD1"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partir</w:t>
      </w:r>
      <w:r w:rsidR="00B67D67" w:rsidRPr="00580F2E">
        <w:rPr>
          <w:rFonts w:ascii="Times New Roman" w:hAnsi="Times New Roman" w:cs="Times New Roman"/>
          <w:sz w:val="24"/>
          <w:szCs w:val="24"/>
          <w:lang w:val="es-ES"/>
        </w:rPr>
        <w:t xml:space="preserve"> de una gran reforma </w:t>
      </w:r>
      <w:r w:rsidR="00065742" w:rsidRPr="00580F2E">
        <w:rPr>
          <w:rFonts w:ascii="Times New Roman" w:hAnsi="Times New Roman" w:cs="Times New Roman"/>
          <w:sz w:val="24"/>
          <w:szCs w:val="24"/>
          <w:lang w:val="es-ES"/>
        </w:rPr>
        <w:t xml:space="preserve">en </w:t>
      </w:r>
      <w:r w:rsidR="00B67D67" w:rsidRPr="00580F2E">
        <w:rPr>
          <w:rFonts w:ascii="Times New Roman" w:hAnsi="Times New Roman" w:cs="Times New Roman"/>
          <w:sz w:val="24"/>
          <w:szCs w:val="24"/>
          <w:lang w:val="es-ES"/>
        </w:rPr>
        <w:t>el año 1981</w:t>
      </w:r>
      <w:r w:rsidRPr="00580F2E">
        <w:rPr>
          <w:rFonts w:ascii="Times New Roman" w:hAnsi="Times New Roman" w:cs="Times New Roman"/>
          <w:sz w:val="24"/>
          <w:szCs w:val="24"/>
          <w:lang w:val="es-ES"/>
        </w:rPr>
        <w:t xml:space="preserve"> que permitió el ingreso de proveedores privados al siste</w:t>
      </w:r>
      <w:r w:rsidR="00830AD1" w:rsidRPr="00580F2E">
        <w:rPr>
          <w:rFonts w:ascii="Times New Roman" w:hAnsi="Times New Roman" w:cs="Times New Roman"/>
          <w:sz w:val="24"/>
          <w:szCs w:val="24"/>
          <w:lang w:val="es-ES"/>
        </w:rPr>
        <w:t>ma–</w:t>
      </w:r>
      <w:r w:rsidRPr="00580F2E">
        <w:rPr>
          <w:rFonts w:ascii="Times New Roman" w:hAnsi="Times New Roman" w:cs="Times New Roman"/>
          <w:sz w:val="24"/>
          <w:szCs w:val="24"/>
          <w:lang w:val="es-ES"/>
        </w:rPr>
        <w:t xml:space="preserve"> ha exhibido un aumento </w:t>
      </w:r>
      <w:r w:rsidR="00830AD1" w:rsidRPr="00580F2E">
        <w:rPr>
          <w:rFonts w:ascii="Times New Roman" w:hAnsi="Times New Roman" w:cs="Times New Roman"/>
          <w:sz w:val="24"/>
          <w:szCs w:val="24"/>
          <w:lang w:val="es-ES"/>
        </w:rPr>
        <w:t>importante</w:t>
      </w:r>
      <w:r w:rsidRPr="00580F2E">
        <w:rPr>
          <w:rFonts w:ascii="Times New Roman" w:hAnsi="Times New Roman" w:cs="Times New Roman"/>
          <w:sz w:val="24"/>
          <w:szCs w:val="24"/>
          <w:lang w:val="es-ES"/>
        </w:rPr>
        <w:t xml:space="preserve"> en cobertura. Est</w:t>
      </w:r>
      <w:r w:rsidR="00C721D1" w:rsidRPr="00580F2E">
        <w:rPr>
          <w:rFonts w:ascii="Times New Roman" w:hAnsi="Times New Roman" w:cs="Times New Roman"/>
          <w:sz w:val="24"/>
          <w:szCs w:val="24"/>
          <w:lang w:val="es-ES"/>
        </w:rPr>
        <w:t>a tendencia</w:t>
      </w:r>
      <w:r w:rsidRPr="00580F2E">
        <w:rPr>
          <w:rFonts w:ascii="Times New Roman" w:hAnsi="Times New Roman" w:cs="Times New Roman"/>
          <w:sz w:val="24"/>
          <w:szCs w:val="24"/>
          <w:lang w:val="es-ES"/>
        </w:rPr>
        <w:t xml:space="preserve"> se sostiene inclusive en la última década, con niveles comparables con estándares OECD y con un crecimiento mayor al promedio de éste</w:t>
      </w:r>
      <w:r w:rsidR="002E6D64" w:rsidRPr="00580F2E">
        <w:rPr>
          <w:rFonts w:ascii="Times New Roman" w:hAnsi="Times New Roman" w:cs="Times New Roman"/>
          <w:sz w:val="24"/>
          <w:szCs w:val="24"/>
          <w:lang w:val="es-ES"/>
        </w:rPr>
        <w:t xml:space="preserve"> (Figura 2</w:t>
      </w:r>
      <w:r w:rsidR="00830AD1" w:rsidRPr="00580F2E">
        <w:rPr>
          <w:rFonts w:ascii="Times New Roman" w:hAnsi="Times New Roman" w:cs="Times New Roman"/>
          <w:sz w:val="24"/>
          <w:szCs w:val="24"/>
          <w:lang w:val="es-ES"/>
        </w:rPr>
        <w:t>)</w:t>
      </w:r>
      <w:r w:rsidR="00065742" w:rsidRPr="00580F2E">
        <w:rPr>
          <w:rFonts w:ascii="Times New Roman" w:hAnsi="Times New Roman" w:cs="Times New Roman"/>
          <w:sz w:val="24"/>
          <w:szCs w:val="24"/>
          <w:lang w:val="es-ES"/>
        </w:rPr>
        <w:t xml:space="preserve">. </w:t>
      </w:r>
      <w:r w:rsidR="00C721D1" w:rsidRPr="00580F2E">
        <w:rPr>
          <w:rFonts w:ascii="Times New Roman" w:hAnsi="Times New Roman" w:cs="Times New Roman"/>
          <w:sz w:val="24"/>
          <w:szCs w:val="24"/>
          <w:lang w:val="es-ES"/>
        </w:rPr>
        <w:t>L</w:t>
      </w:r>
      <w:r w:rsidR="00A77138" w:rsidRPr="00580F2E">
        <w:rPr>
          <w:rFonts w:ascii="Times New Roman" w:hAnsi="Times New Roman" w:cs="Times New Roman"/>
          <w:sz w:val="24"/>
          <w:szCs w:val="24"/>
          <w:lang w:val="es-ES"/>
        </w:rPr>
        <w:t xml:space="preserve">a oferta </w:t>
      </w:r>
      <w:r w:rsidR="00C721D1" w:rsidRPr="00580F2E">
        <w:rPr>
          <w:rFonts w:ascii="Times New Roman" w:hAnsi="Times New Roman" w:cs="Times New Roman"/>
          <w:sz w:val="24"/>
          <w:szCs w:val="24"/>
          <w:lang w:val="es-ES"/>
        </w:rPr>
        <w:t xml:space="preserve">en educación superior </w:t>
      </w:r>
      <w:r w:rsidR="00A77138" w:rsidRPr="00580F2E">
        <w:rPr>
          <w:rFonts w:ascii="Times New Roman" w:hAnsi="Times New Roman" w:cs="Times New Roman"/>
          <w:sz w:val="24"/>
          <w:szCs w:val="24"/>
          <w:lang w:val="es-ES"/>
        </w:rPr>
        <w:t xml:space="preserve">la constituyen </w:t>
      </w:r>
      <w:r w:rsidR="00C721D1" w:rsidRPr="00580F2E">
        <w:rPr>
          <w:rFonts w:ascii="Times New Roman" w:hAnsi="Times New Roman" w:cs="Times New Roman"/>
          <w:sz w:val="24"/>
          <w:szCs w:val="24"/>
          <w:lang w:val="es-ES"/>
        </w:rPr>
        <w:t xml:space="preserve">en primer lugar las </w:t>
      </w:r>
      <w:r w:rsidR="00205FE0" w:rsidRPr="00580F2E">
        <w:rPr>
          <w:rFonts w:ascii="Times New Roman" w:hAnsi="Times New Roman" w:cs="Times New Roman"/>
          <w:sz w:val="24"/>
          <w:szCs w:val="24"/>
          <w:lang w:val="es-ES"/>
        </w:rPr>
        <w:t xml:space="preserve">universidades estatales y privadas las que proveen de títulos profesionales. </w:t>
      </w:r>
      <w:r w:rsidR="00C721D1" w:rsidRPr="00580F2E">
        <w:rPr>
          <w:rFonts w:ascii="Times New Roman" w:hAnsi="Times New Roman" w:cs="Times New Roman"/>
          <w:sz w:val="24"/>
          <w:szCs w:val="24"/>
          <w:lang w:val="es-ES"/>
        </w:rPr>
        <w:t>Segundo, l</w:t>
      </w:r>
      <w:r w:rsidR="00205FE0" w:rsidRPr="00580F2E">
        <w:rPr>
          <w:rFonts w:ascii="Times New Roman" w:hAnsi="Times New Roman" w:cs="Times New Roman"/>
          <w:sz w:val="24"/>
          <w:szCs w:val="24"/>
          <w:lang w:val="es-ES"/>
        </w:rPr>
        <w:t xml:space="preserve">os Centros de Formación Técnica (CFT), en cambio, constituyen carreras de corta duración, dirigidos </w:t>
      </w:r>
      <w:r w:rsidR="00205FE0" w:rsidRPr="00580F2E">
        <w:rPr>
          <w:rFonts w:ascii="Times New Roman" w:hAnsi="Times New Roman" w:cs="Times New Roman"/>
          <w:sz w:val="24"/>
          <w:szCs w:val="24"/>
          <w:lang w:val="es-ES"/>
        </w:rPr>
        <w:lastRenderedPageBreak/>
        <w:t>principalmente al desarrollo de competencias en el á</w:t>
      </w:r>
      <w:r w:rsidR="00B67D67" w:rsidRPr="00580F2E">
        <w:rPr>
          <w:rFonts w:ascii="Times New Roman" w:hAnsi="Times New Roman" w:cs="Times New Roman"/>
          <w:sz w:val="24"/>
          <w:szCs w:val="24"/>
          <w:lang w:val="es-ES"/>
        </w:rPr>
        <w:t xml:space="preserve">mbito de la educación técnica. </w:t>
      </w:r>
      <w:r w:rsidR="00205FE0" w:rsidRPr="00580F2E">
        <w:rPr>
          <w:rFonts w:ascii="Times New Roman" w:hAnsi="Times New Roman" w:cs="Times New Roman"/>
          <w:sz w:val="24"/>
          <w:szCs w:val="24"/>
          <w:lang w:val="es-ES"/>
        </w:rPr>
        <w:t xml:space="preserve">Estas instancias se diseñan de manera tal </w:t>
      </w:r>
      <w:r w:rsidR="00830AD1" w:rsidRPr="00580F2E">
        <w:rPr>
          <w:rFonts w:ascii="Times New Roman" w:hAnsi="Times New Roman" w:cs="Times New Roman"/>
          <w:sz w:val="24"/>
          <w:szCs w:val="24"/>
          <w:lang w:val="es-ES"/>
        </w:rPr>
        <w:t xml:space="preserve">de </w:t>
      </w:r>
      <w:r w:rsidR="00205FE0" w:rsidRPr="00580F2E">
        <w:rPr>
          <w:rFonts w:ascii="Times New Roman" w:hAnsi="Times New Roman" w:cs="Times New Roman"/>
          <w:sz w:val="24"/>
          <w:szCs w:val="24"/>
          <w:lang w:val="es-ES"/>
        </w:rPr>
        <w:t>mantener nexos cercanos con el mercado del trabajo.</w:t>
      </w:r>
      <w:r w:rsidR="0032074B" w:rsidRPr="00580F2E">
        <w:rPr>
          <w:rFonts w:ascii="Times New Roman" w:hAnsi="Times New Roman" w:cs="Times New Roman"/>
          <w:sz w:val="24"/>
          <w:szCs w:val="24"/>
          <w:lang w:val="es-ES"/>
        </w:rPr>
        <w:t xml:space="preserve"> No obstante, la matriz productiva</w:t>
      </w:r>
      <w:r w:rsidR="001074DD" w:rsidRPr="00580F2E">
        <w:rPr>
          <w:rFonts w:ascii="Times New Roman" w:hAnsi="Times New Roman" w:cs="Times New Roman"/>
          <w:sz w:val="24"/>
          <w:szCs w:val="24"/>
          <w:lang w:val="es-ES"/>
        </w:rPr>
        <w:t xml:space="preserve"> </w:t>
      </w:r>
      <w:r w:rsidR="0032074B" w:rsidRPr="00580F2E">
        <w:rPr>
          <w:rFonts w:ascii="Times New Roman" w:hAnsi="Times New Roman" w:cs="Times New Roman"/>
          <w:sz w:val="24"/>
          <w:szCs w:val="24"/>
          <w:lang w:val="es-ES"/>
        </w:rPr>
        <w:t>de Chile, intensiva en extracción de recursos naturales, no ha provocado un incremento en la demanda de este tipo de competencias y, por consecuencia, su desarro</w:t>
      </w:r>
      <w:r w:rsidR="00C721D1" w:rsidRPr="00580F2E">
        <w:rPr>
          <w:rFonts w:ascii="Times New Roman" w:hAnsi="Times New Roman" w:cs="Times New Roman"/>
          <w:sz w:val="24"/>
          <w:szCs w:val="24"/>
          <w:lang w:val="es-ES"/>
        </w:rPr>
        <w:t>llo</w:t>
      </w:r>
      <w:r w:rsidR="0032074B" w:rsidRPr="00580F2E">
        <w:rPr>
          <w:rFonts w:ascii="Times New Roman" w:hAnsi="Times New Roman" w:cs="Times New Roman"/>
          <w:sz w:val="24"/>
          <w:szCs w:val="24"/>
          <w:lang w:val="es-ES"/>
        </w:rPr>
        <w:t xml:space="preserve"> ha sido limitado</w:t>
      </w:r>
      <w:r w:rsidR="00830AD1" w:rsidRPr="00580F2E">
        <w:rPr>
          <w:rFonts w:ascii="Times New Roman" w:hAnsi="Times New Roman" w:cs="Times New Roman"/>
          <w:sz w:val="24"/>
          <w:szCs w:val="24"/>
          <w:lang w:val="es-ES"/>
        </w:rPr>
        <w:t xml:space="preserve"> comparado con </w:t>
      </w:r>
      <w:r w:rsidR="00804364" w:rsidRPr="00580F2E">
        <w:rPr>
          <w:rFonts w:ascii="Times New Roman" w:hAnsi="Times New Roman" w:cs="Times New Roman"/>
          <w:sz w:val="24"/>
          <w:szCs w:val="24"/>
          <w:lang w:val="es-ES"/>
        </w:rPr>
        <w:t>el aumento de la matrícula en universidades</w:t>
      </w:r>
      <w:r w:rsidR="0032074B" w:rsidRPr="00580F2E">
        <w:rPr>
          <w:rFonts w:ascii="Times New Roman" w:hAnsi="Times New Roman" w:cs="Times New Roman"/>
          <w:sz w:val="24"/>
          <w:szCs w:val="24"/>
          <w:lang w:val="es-ES"/>
        </w:rPr>
        <w:t xml:space="preserve">. </w:t>
      </w:r>
      <w:r w:rsidR="00A77138" w:rsidRPr="00580F2E">
        <w:rPr>
          <w:rFonts w:ascii="Times New Roman" w:hAnsi="Times New Roman" w:cs="Times New Roman"/>
          <w:sz w:val="24"/>
          <w:szCs w:val="24"/>
          <w:lang w:val="es-ES"/>
        </w:rPr>
        <w:t xml:space="preserve">Finalmente, Institutos Profesionales (IP) proveen de carreras similares a Universidades pero sin licenciatura, lo que redunda en años de escolaridad más </w:t>
      </w:r>
      <w:r w:rsidR="002E6D64" w:rsidRPr="00580F2E">
        <w:rPr>
          <w:rFonts w:ascii="Times New Roman" w:hAnsi="Times New Roman" w:cs="Times New Roman"/>
          <w:sz w:val="24"/>
          <w:szCs w:val="24"/>
          <w:lang w:val="es-ES"/>
        </w:rPr>
        <w:t>acotados</w:t>
      </w:r>
      <w:r w:rsidR="00A77138" w:rsidRPr="00580F2E">
        <w:rPr>
          <w:rFonts w:ascii="Times New Roman" w:hAnsi="Times New Roman" w:cs="Times New Roman"/>
          <w:sz w:val="24"/>
          <w:szCs w:val="24"/>
          <w:lang w:val="es-ES"/>
        </w:rPr>
        <w:t>. La composición de la matrícula de educación superior tiene un sesgo evidente h</w:t>
      </w:r>
      <w:r w:rsidR="002E6D64" w:rsidRPr="00580F2E">
        <w:rPr>
          <w:rFonts w:ascii="Times New Roman" w:hAnsi="Times New Roman" w:cs="Times New Roman"/>
          <w:sz w:val="24"/>
          <w:szCs w:val="24"/>
          <w:lang w:val="es-ES"/>
        </w:rPr>
        <w:t>acia las Universidades (Figura 3</w:t>
      </w:r>
      <w:r w:rsidR="00A77138" w:rsidRPr="00580F2E">
        <w:rPr>
          <w:rFonts w:ascii="Times New Roman" w:hAnsi="Times New Roman" w:cs="Times New Roman"/>
          <w:sz w:val="24"/>
          <w:szCs w:val="24"/>
          <w:lang w:val="es-ES"/>
        </w:rPr>
        <w:t>)</w:t>
      </w:r>
      <w:r w:rsidR="00804364" w:rsidRPr="00580F2E">
        <w:rPr>
          <w:rFonts w:ascii="Times New Roman" w:hAnsi="Times New Roman" w:cs="Times New Roman"/>
          <w:sz w:val="24"/>
          <w:szCs w:val="24"/>
          <w:lang w:val="es-ES"/>
        </w:rPr>
        <w:t>. Estas instituciones de educación superior poseen bajos vínculos con organizaciones que pertenecen al sistema de capacitación.</w:t>
      </w:r>
      <w:r w:rsidR="002E6D64" w:rsidRPr="00580F2E">
        <w:rPr>
          <w:rFonts w:ascii="Times New Roman" w:hAnsi="Times New Roman" w:cs="Times New Roman"/>
          <w:sz w:val="24"/>
          <w:szCs w:val="24"/>
          <w:lang w:val="es-ES"/>
        </w:rPr>
        <w:t xml:space="preserve"> Si bien hay cursos radicados en el sistema de capacitación </w:t>
      </w:r>
      <w:r w:rsidR="00C721D1" w:rsidRPr="00580F2E">
        <w:rPr>
          <w:rFonts w:ascii="Times New Roman" w:hAnsi="Times New Roman" w:cs="Times New Roman"/>
          <w:sz w:val="24"/>
          <w:szCs w:val="24"/>
          <w:lang w:val="es-ES"/>
        </w:rPr>
        <w:t>dictados por</w:t>
      </w:r>
      <w:r w:rsidR="002E6D64" w:rsidRPr="00580F2E">
        <w:rPr>
          <w:rFonts w:ascii="Times New Roman" w:hAnsi="Times New Roman" w:cs="Times New Roman"/>
          <w:sz w:val="24"/>
          <w:szCs w:val="24"/>
          <w:lang w:val="es-ES"/>
        </w:rPr>
        <w:t xml:space="preserve"> universidades, no hay una conexión clara que permita continuidad en las distintas líneas curriculares.</w:t>
      </w:r>
    </w:p>
    <w:p w:rsidR="00A77138" w:rsidRPr="00580F2E" w:rsidRDefault="00A77138" w:rsidP="009563D7">
      <w:pPr>
        <w:spacing w:after="0"/>
        <w:jc w:val="both"/>
        <w:rPr>
          <w:rFonts w:ascii="Times New Roman" w:hAnsi="Times New Roman" w:cs="Times New Roman"/>
          <w:lang w:val="es-ES"/>
        </w:rPr>
      </w:pPr>
    </w:p>
    <w:p w:rsidR="00A06CC7" w:rsidRPr="00580F2E" w:rsidRDefault="00A06CC7" w:rsidP="00A06CC7">
      <w:pPr>
        <w:spacing w:after="0"/>
        <w:jc w:val="center"/>
        <w:rPr>
          <w:rFonts w:ascii="Times New Roman" w:hAnsi="Times New Roman" w:cs="Times New Roman"/>
          <w:b/>
          <w:lang w:val="es-ES"/>
        </w:rPr>
      </w:pPr>
      <w:r w:rsidRPr="00580F2E">
        <w:rPr>
          <w:rFonts w:ascii="Times New Roman" w:hAnsi="Times New Roman" w:cs="Times New Roman"/>
          <w:b/>
          <w:lang w:val="es-ES"/>
        </w:rPr>
        <w:t>Figura</w:t>
      </w:r>
      <w:r w:rsidR="002E6D64" w:rsidRPr="00580F2E">
        <w:rPr>
          <w:rFonts w:ascii="Times New Roman" w:hAnsi="Times New Roman" w:cs="Times New Roman"/>
          <w:b/>
          <w:lang w:val="es-ES"/>
        </w:rPr>
        <w:t xml:space="preserve"> 2</w:t>
      </w:r>
      <w:r w:rsidRPr="00580F2E">
        <w:rPr>
          <w:rFonts w:ascii="Times New Roman" w:hAnsi="Times New Roman" w:cs="Times New Roman"/>
          <w:b/>
          <w:lang w:val="es-ES"/>
        </w:rPr>
        <w:t>: Educación superior en Chile y la OECD</w:t>
      </w:r>
    </w:p>
    <w:p w:rsidR="00A06CC7" w:rsidRPr="00580F2E" w:rsidRDefault="00A06CC7" w:rsidP="00A06CC7">
      <w:pPr>
        <w:spacing w:after="0"/>
        <w:rPr>
          <w:rFonts w:ascii="Times New Roman" w:hAnsi="Times New Roman" w:cs="Times New Roman"/>
          <w:lang w:val="es-ES"/>
        </w:rPr>
      </w:pPr>
    </w:p>
    <w:p w:rsidR="00A06CC7" w:rsidRPr="00580F2E" w:rsidRDefault="008766BE" w:rsidP="00A06CC7">
      <w:pPr>
        <w:spacing w:after="0"/>
        <w:jc w:val="center"/>
        <w:rPr>
          <w:rFonts w:ascii="Times New Roman" w:hAnsi="Times New Roman" w:cs="Times New Roman"/>
          <w:lang w:val="es-ES"/>
        </w:rPr>
      </w:pPr>
      <w:r w:rsidRPr="00580F2E">
        <w:rPr>
          <w:noProof/>
          <w:lang w:val="es-ES"/>
        </w:rPr>
        <w:drawing>
          <wp:inline distT="0" distB="0" distL="0" distR="0" wp14:anchorId="32341664" wp14:editId="134BBE97">
            <wp:extent cx="5151891" cy="3240000"/>
            <wp:effectExtent l="0" t="0" r="0" b="0"/>
            <wp:docPr id="1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151891" cy="3240000"/>
                    </a:xfrm>
                    <a:prstGeom prst="rect">
                      <a:avLst/>
                    </a:prstGeom>
                    <a:noFill/>
                    <a:ln w="9525">
                      <a:noFill/>
                      <a:miter lim="800000"/>
                      <a:headEnd/>
                      <a:tailEnd/>
                    </a:ln>
                  </pic:spPr>
                </pic:pic>
              </a:graphicData>
            </a:graphic>
          </wp:inline>
        </w:drawing>
      </w:r>
    </w:p>
    <w:p w:rsidR="00A06CC7" w:rsidRPr="00580F2E" w:rsidRDefault="00A06CC7" w:rsidP="00A06CC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OECD.</w:t>
      </w:r>
    </w:p>
    <w:p w:rsidR="008766BE" w:rsidRPr="00580F2E" w:rsidRDefault="008766BE" w:rsidP="00A06CC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Nota: Se muestra la proporción de la matrícula en educación terciaria como porcentaje de la población entre 18 y 24 años.  Respecto de este estadístico, se muestra el cambio en puntos porcentuales entre los años 2009 y 2002.</w:t>
      </w:r>
    </w:p>
    <w:p w:rsidR="00C721D1" w:rsidRPr="00580F2E" w:rsidRDefault="00C721D1" w:rsidP="009563D7">
      <w:pPr>
        <w:spacing w:after="0"/>
        <w:jc w:val="center"/>
        <w:rPr>
          <w:rFonts w:ascii="Times New Roman" w:hAnsi="Times New Roman" w:cs="Times New Roman"/>
          <w:b/>
          <w:lang w:val="es-ES"/>
        </w:rPr>
      </w:pPr>
    </w:p>
    <w:p w:rsidR="00C721D1" w:rsidRPr="00580F2E" w:rsidRDefault="00C721D1" w:rsidP="009563D7">
      <w:pPr>
        <w:spacing w:after="0"/>
        <w:jc w:val="center"/>
        <w:rPr>
          <w:rFonts w:ascii="Times New Roman" w:hAnsi="Times New Roman" w:cs="Times New Roman"/>
          <w:b/>
          <w:lang w:val="es-ES"/>
        </w:rPr>
      </w:pPr>
    </w:p>
    <w:p w:rsidR="00C721D1" w:rsidRPr="00580F2E" w:rsidRDefault="00C721D1" w:rsidP="009563D7">
      <w:pPr>
        <w:spacing w:after="0"/>
        <w:jc w:val="center"/>
        <w:rPr>
          <w:rFonts w:ascii="Times New Roman" w:hAnsi="Times New Roman" w:cs="Times New Roman"/>
          <w:b/>
          <w:lang w:val="es-ES"/>
        </w:rPr>
      </w:pPr>
    </w:p>
    <w:p w:rsidR="00B00D62" w:rsidRPr="00580F2E" w:rsidRDefault="00B00D62" w:rsidP="009563D7">
      <w:pPr>
        <w:spacing w:after="0"/>
        <w:jc w:val="center"/>
        <w:rPr>
          <w:rFonts w:ascii="Times New Roman" w:hAnsi="Times New Roman" w:cs="Times New Roman"/>
          <w:b/>
          <w:lang w:val="es-ES"/>
        </w:rPr>
      </w:pPr>
    </w:p>
    <w:p w:rsidR="00A77138" w:rsidRPr="00580F2E" w:rsidRDefault="00B74EB1" w:rsidP="009563D7">
      <w:pPr>
        <w:spacing w:after="0"/>
        <w:jc w:val="center"/>
        <w:rPr>
          <w:rFonts w:ascii="Times New Roman" w:hAnsi="Times New Roman" w:cs="Times New Roman"/>
          <w:b/>
          <w:lang w:val="es-ES"/>
        </w:rPr>
      </w:pPr>
      <w:r w:rsidRPr="00580F2E">
        <w:rPr>
          <w:rFonts w:ascii="Times New Roman" w:hAnsi="Times New Roman" w:cs="Times New Roman"/>
          <w:b/>
          <w:lang w:val="es-ES"/>
        </w:rPr>
        <w:lastRenderedPageBreak/>
        <w:t>Fi</w:t>
      </w:r>
      <w:r w:rsidR="002E6D64" w:rsidRPr="00580F2E">
        <w:rPr>
          <w:rFonts w:ascii="Times New Roman" w:hAnsi="Times New Roman" w:cs="Times New Roman"/>
          <w:b/>
          <w:lang w:val="es-ES"/>
        </w:rPr>
        <w:t>gura 3</w:t>
      </w:r>
      <w:r w:rsidRPr="00580F2E">
        <w:rPr>
          <w:rFonts w:ascii="Times New Roman" w:hAnsi="Times New Roman" w:cs="Times New Roman"/>
          <w:b/>
          <w:lang w:val="es-ES"/>
        </w:rPr>
        <w:t>: Distribución de matrícula en educación superior</w:t>
      </w:r>
    </w:p>
    <w:p w:rsidR="00B74EB1" w:rsidRPr="00580F2E" w:rsidRDefault="00B74EB1" w:rsidP="009563D7">
      <w:pPr>
        <w:spacing w:after="0"/>
        <w:jc w:val="center"/>
        <w:rPr>
          <w:rFonts w:ascii="Times New Roman" w:hAnsi="Times New Roman" w:cs="Times New Roman"/>
          <w:lang w:val="es-ES"/>
        </w:rPr>
      </w:pPr>
      <w:r w:rsidRPr="00580F2E">
        <w:rPr>
          <w:noProof/>
          <w:lang w:val="es-ES"/>
        </w:rPr>
        <w:drawing>
          <wp:inline distT="0" distB="0" distL="0" distR="0" wp14:anchorId="5BDB6C8A" wp14:editId="0BDFC121">
            <wp:extent cx="3529194" cy="2520000"/>
            <wp:effectExtent l="0" t="0" r="0" b="0"/>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3529194" cy="2520000"/>
                    </a:xfrm>
                    <a:prstGeom prst="rect">
                      <a:avLst/>
                    </a:prstGeom>
                    <a:noFill/>
                    <a:ln w="9525">
                      <a:noFill/>
                      <a:miter lim="800000"/>
                      <a:headEnd/>
                      <a:tailEnd/>
                    </a:ln>
                  </pic:spPr>
                </pic:pic>
              </a:graphicData>
            </a:graphic>
          </wp:inline>
        </w:drawing>
      </w:r>
    </w:p>
    <w:p w:rsidR="00B74EB1" w:rsidRPr="00580F2E" w:rsidRDefault="00B74EB1" w:rsidP="00B74EB1">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estadísticas de Ministerio de Educación</w:t>
      </w:r>
    </w:p>
    <w:p w:rsidR="0032074B" w:rsidRPr="00580F2E" w:rsidRDefault="0032074B" w:rsidP="009563D7">
      <w:pPr>
        <w:spacing w:after="0"/>
        <w:jc w:val="both"/>
        <w:rPr>
          <w:rFonts w:ascii="Times New Roman" w:hAnsi="Times New Roman" w:cs="Times New Roman"/>
          <w:lang w:val="es-ES"/>
        </w:rPr>
      </w:pPr>
    </w:p>
    <w:p w:rsidR="00B00D62" w:rsidRPr="00580F2E" w:rsidRDefault="008766BE" w:rsidP="00B00D62">
      <w:pPr>
        <w:spacing w:after="0" w:line="360" w:lineRule="auto"/>
        <w:ind w:firstLine="709"/>
        <w:jc w:val="both"/>
        <w:rPr>
          <w:rFonts w:ascii="Times New Roman" w:hAnsi="Times New Roman" w:cs="Times New Roman"/>
          <w:lang w:val="es-ES"/>
        </w:rPr>
      </w:pPr>
      <w:r w:rsidRPr="00580F2E">
        <w:rPr>
          <w:rFonts w:ascii="Times New Roman" w:hAnsi="Times New Roman" w:cs="Times New Roman"/>
          <w:sz w:val="24"/>
          <w:szCs w:val="24"/>
          <w:lang w:val="es-ES"/>
        </w:rPr>
        <w:t xml:space="preserve">En Chile se ha estudiado ampliamente los retornos en el mercado laboral asociados a cada una de las etapas en el sistema escolar formal </w:t>
      </w:r>
      <w:r w:rsidR="0062023A" w:rsidRPr="00580F2E">
        <w:rPr>
          <w:rFonts w:ascii="Times New Roman" w:hAnsi="Times New Roman" w:cs="Times New Roman"/>
          <w:sz w:val="24"/>
          <w:szCs w:val="24"/>
          <w:lang w:val="es-ES"/>
        </w:rPr>
        <w:t>(</w:t>
      </w:r>
      <w:r w:rsidR="00B00D62" w:rsidRPr="00580F2E">
        <w:rPr>
          <w:rFonts w:ascii="Times New Roman" w:hAnsi="Times New Roman" w:cs="Times New Roman"/>
          <w:sz w:val="24"/>
          <w:szCs w:val="24"/>
          <w:lang w:val="es-ES"/>
        </w:rPr>
        <w:t>Contreras y Bravo, 1999; Sapelli, 2003; Contreras, Melo y Ojeda, 2005</w:t>
      </w:r>
      <w:r w:rsidR="00B927F2" w:rsidRPr="00580F2E">
        <w:rPr>
          <w:rFonts w:ascii="Times New Roman" w:hAnsi="Times New Roman" w:cs="Times New Roman"/>
          <w:sz w:val="24"/>
          <w:szCs w:val="24"/>
          <w:lang w:val="es-ES"/>
        </w:rPr>
        <w:t>).</w:t>
      </w:r>
      <w:r w:rsidR="00B927F2" w:rsidRPr="00580F2E">
        <w:rPr>
          <w:rStyle w:val="FootnoteReference"/>
          <w:rFonts w:ascii="Times New Roman" w:hAnsi="Times New Roman" w:cs="Times New Roman"/>
          <w:sz w:val="24"/>
          <w:szCs w:val="24"/>
          <w:lang w:val="es-ES"/>
        </w:rPr>
        <w:footnoteReference w:id="4"/>
      </w:r>
      <w:r w:rsidRPr="00580F2E">
        <w:rPr>
          <w:rFonts w:ascii="Times New Roman" w:hAnsi="Times New Roman" w:cs="Times New Roman"/>
          <w:sz w:val="24"/>
          <w:szCs w:val="24"/>
          <w:lang w:val="es-ES"/>
        </w:rPr>
        <w:t xml:space="preserve"> </w:t>
      </w:r>
      <w:r w:rsidR="00B00D62" w:rsidRPr="00580F2E">
        <w:rPr>
          <w:rFonts w:ascii="Times New Roman" w:hAnsi="Times New Roman" w:cs="Times New Roman"/>
          <w:sz w:val="24"/>
          <w:szCs w:val="24"/>
          <w:lang w:val="es-ES"/>
        </w:rPr>
        <w:t>C</w:t>
      </w:r>
      <w:r w:rsidR="0059618E" w:rsidRPr="00580F2E">
        <w:rPr>
          <w:rFonts w:ascii="Times New Roman" w:hAnsi="Times New Roman" w:cs="Times New Roman"/>
          <w:sz w:val="24"/>
          <w:szCs w:val="24"/>
          <w:lang w:val="es-ES"/>
        </w:rPr>
        <w:t>ada una de éstas posee retornos positivos en términos de salario</w:t>
      </w:r>
      <w:r w:rsidR="00B00D62" w:rsidRPr="00580F2E">
        <w:rPr>
          <w:rFonts w:ascii="Times New Roman" w:hAnsi="Times New Roman" w:cs="Times New Roman"/>
          <w:sz w:val="24"/>
          <w:szCs w:val="24"/>
          <w:lang w:val="es-ES"/>
        </w:rPr>
        <w:t xml:space="preserve"> (Figura 4)</w:t>
      </w:r>
      <w:r w:rsidR="0059618E" w:rsidRPr="00580F2E">
        <w:rPr>
          <w:rFonts w:ascii="Times New Roman" w:hAnsi="Times New Roman" w:cs="Times New Roman"/>
          <w:sz w:val="24"/>
          <w:szCs w:val="24"/>
          <w:lang w:val="es-ES"/>
        </w:rPr>
        <w:t>. Gran parte de los estudios coinciden con esta conclusión. Como veremos, existe una diferencia abismante en la producción académica que intenta evaluar el impacto de la educación formal, respecto de la producción en el frente del sistema de capacitación.</w:t>
      </w:r>
    </w:p>
    <w:p w:rsidR="00B00D62" w:rsidRPr="00580F2E" w:rsidRDefault="00B00D62" w:rsidP="00B00D62">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Si bien la cobertura del sistema de educación superior ha tenido avances importantes, existe una parte considerable de la fuerza laboral que no accede a ella. </w:t>
      </w:r>
      <w:r w:rsidR="00132134" w:rsidRPr="00580F2E">
        <w:rPr>
          <w:rFonts w:ascii="Times New Roman" w:hAnsi="Times New Roman" w:cs="Times New Roman"/>
          <w:sz w:val="24"/>
          <w:szCs w:val="24"/>
          <w:lang w:val="es-ES"/>
        </w:rPr>
        <w:t>Desafortunadamente, n</w:t>
      </w:r>
      <w:r w:rsidRPr="00580F2E">
        <w:rPr>
          <w:rFonts w:ascii="Times New Roman" w:hAnsi="Times New Roman" w:cs="Times New Roman"/>
          <w:sz w:val="24"/>
          <w:szCs w:val="24"/>
          <w:lang w:val="es-ES"/>
        </w:rPr>
        <w:t xml:space="preserve">o hay estudios en Chile que </w:t>
      </w:r>
      <w:r w:rsidR="00132134" w:rsidRPr="00580F2E">
        <w:rPr>
          <w:rFonts w:ascii="Times New Roman" w:hAnsi="Times New Roman" w:cs="Times New Roman"/>
          <w:sz w:val="24"/>
          <w:szCs w:val="24"/>
          <w:lang w:val="es-ES"/>
        </w:rPr>
        <w:t>indaguen en</w:t>
      </w:r>
      <w:r w:rsidRPr="00580F2E">
        <w:rPr>
          <w:rFonts w:ascii="Times New Roman" w:hAnsi="Times New Roman" w:cs="Times New Roman"/>
          <w:sz w:val="24"/>
          <w:szCs w:val="24"/>
          <w:lang w:val="es-ES"/>
        </w:rPr>
        <w:t xml:space="preserve"> la importancia relativa que poseen las restricciones financieras, la incertidumbre respecto a retornos futuros o las decisiones informadas pero condicionales en stock de habilidades</w:t>
      </w:r>
      <w:r w:rsidR="00132134" w:rsidRPr="00580F2E">
        <w:rPr>
          <w:rFonts w:ascii="Times New Roman" w:hAnsi="Times New Roman" w:cs="Times New Roman"/>
          <w:sz w:val="24"/>
          <w:szCs w:val="24"/>
          <w:lang w:val="es-ES"/>
        </w:rPr>
        <w:t xml:space="preserve"> en la decisión de continuar o desertar de educación superior</w:t>
      </w:r>
      <w:r w:rsidRPr="00580F2E">
        <w:rPr>
          <w:rFonts w:ascii="Times New Roman" w:hAnsi="Times New Roman" w:cs="Times New Roman"/>
          <w:sz w:val="24"/>
          <w:szCs w:val="24"/>
          <w:lang w:val="es-ES"/>
        </w:rPr>
        <w:t xml:space="preserve">. Independiente de las razones, en teoría, individuos que no acceden a educación superior tienen al sistema de capacitación como la única opción para incrementar su stock de capital humano, más allá de la propia experiencia laboral.  </w:t>
      </w:r>
    </w:p>
    <w:p w:rsidR="00B00D62" w:rsidRPr="00580F2E" w:rsidRDefault="00B00D62" w:rsidP="00B00D62">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No obstante lo anterior, el sistema de capacitación se encuentra mayormente disociado del sistema escolar y de la educación superior, tal como muestra el esquema en la </w:t>
      </w:r>
      <w:r w:rsidRPr="00580F2E">
        <w:rPr>
          <w:rFonts w:ascii="Times New Roman" w:hAnsi="Times New Roman" w:cs="Times New Roman"/>
          <w:sz w:val="24"/>
          <w:szCs w:val="24"/>
          <w:lang w:val="es-ES"/>
        </w:rPr>
        <w:lastRenderedPageBreak/>
        <w:t>Figura 1.</w:t>
      </w:r>
      <w:r w:rsidRPr="00580F2E">
        <w:rPr>
          <w:rStyle w:val="FootnoteReference"/>
          <w:rFonts w:ascii="Times New Roman" w:hAnsi="Times New Roman" w:cs="Times New Roman"/>
          <w:sz w:val="24"/>
          <w:szCs w:val="24"/>
          <w:lang w:val="es-ES"/>
        </w:rPr>
        <w:footnoteReference w:id="5"/>
      </w:r>
      <w:r w:rsidRPr="00580F2E">
        <w:rPr>
          <w:rFonts w:ascii="Times New Roman" w:hAnsi="Times New Roman" w:cs="Times New Roman"/>
          <w:sz w:val="24"/>
          <w:szCs w:val="24"/>
          <w:lang w:val="es-ES"/>
        </w:rPr>
        <w:t xml:space="preserve"> Si bien no existe impedimento alguno para que aquellos jóvenes que terminan educación secundaria puedan postular a programas de capacitación, no hay una continuidad curricular definida de la educación formal con el sistema de capacitación (la Figura 1ilustra el punto). Los programas en este sistema están diseñados principalmente para mantener nexos cercanos con el mundo del trabajo. De esta manera, el sistema de capacitación funciona bajo el alero del Ministerio de Trabajo y Previsión Social (MINTRAB), específicamente gestionado desde el Servicio Nacional de Capacitación y Empleo (SENCE). En lo que respecta a la coordinación con las políticas educacionales a nivel país, la política pública llevada a cabo en SENCE y MINTRAB posee casi nula coordinación con aquella radicada en el Ministerio de Educación (el cual gestiona los componentes de educación formal).  En términos de cobertura, los beneficiarios del sistema de capacitación representan 6,6% de la fuerza laboral. En la sección 3 volveremos con más detalles respecto de su funcionamiento y evidencia sobre su impacto en mercado laboral.</w:t>
      </w:r>
    </w:p>
    <w:p w:rsidR="00132134" w:rsidRPr="00580F2E" w:rsidRDefault="00132134" w:rsidP="00B927F2">
      <w:pPr>
        <w:spacing w:after="0"/>
        <w:jc w:val="center"/>
        <w:rPr>
          <w:rFonts w:ascii="Times New Roman" w:hAnsi="Times New Roman" w:cs="Times New Roman"/>
          <w:b/>
          <w:lang w:val="es-ES"/>
        </w:rPr>
      </w:pPr>
    </w:p>
    <w:p w:rsidR="0032074B" w:rsidRPr="00580F2E" w:rsidRDefault="00862EAC" w:rsidP="00B927F2">
      <w:pPr>
        <w:spacing w:after="0"/>
        <w:jc w:val="center"/>
        <w:rPr>
          <w:rFonts w:ascii="Times New Roman" w:hAnsi="Times New Roman" w:cs="Times New Roman"/>
          <w:b/>
          <w:lang w:val="es-ES"/>
        </w:rPr>
      </w:pPr>
      <w:r w:rsidRPr="00580F2E">
        <w:rPr>
          <w:rFonts w:ascii="Times New Roman" w:hAnsi="Times New Roman" w:cs="Times New Roman"/>
          <w:b/>
          <w:lang w:val="es-ES"/>
        </w:rPr>
        <w:t>Figura 4</w:t>
      </w:r>
      <w:r w:rsidR="00B927F2" w:rsidRPr="00580F2E">
        <w:rPr>
          <w:rFonts w:ascii="Times New Roman" w:hAnsi="Times New Roman" w:cs="Times New Roman"/>
          <w:b/>
          <w:lang w:val="es-ES"/>
        </w:rPr>
        <w:t>: Retornos a la escolaridad según tipo de educación</w:t>
      </w:r>
    </w:p>
    <w:p w:rsidR="00132134" w:rsidRPr="00580F2E" w:rsidRDefault="00132134" w:rsidP="00B927F2">
      <w:pPr>
        <w:spacing w:after="0"/>
        <w:jc w:val="center"/>
        <w:rPr>
          <w:rFonts w:ascii="Times New Roman" w:hAnsi="Times New Roman" w:cs="Times New Roman"/>
          <w:b/>
          <w:lang w:val="es-ES"/>
        </w:rPr>
      </w:pPr>
    </w:p>
    <w:p w:rsidR="00B927F2" w:rsidRPr="00580F2E" w:rsidRDefault="00B927F2" w:rsidP="00B927F2">
      <w:pPr>
        <w:spacing w:after="0"/>
        <w:jc w:val="center"/>
        <w:rPr>
          <w:rFonts w:ascii="Times New Roman" w:hAnsi="Times New Roman" w:cs="Times New Roman"/>
          <w:lang w:val="es-ES"/>
        </w:rPr>
      </w:pPr>
      <w:r w:rsidRPr="00580F2E">
        <w:rPr>
          <w:noProof/>
          <w:lang w:val="es-ES"/>
        </w:rPr>
        <w:drawing>
          <wp:inline distT="0" distB="0" distL="0" distR="0" wp14:anchorId="2200BE0C" wp14:editId="11878889">
            <wp:extent cx="3943847" cy="2627449"/>
            <wp:effectExtent l="0" t="0" r="0" b="0"/>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945716" cy="2628694"/>
                    </a:xfrm>
                    <a:prstGeom prst="rect">
                      <a:avLst/>
                    </a:prstGeom>
                    <a:noFill/>
                    <a:ln w="9525">
                      <a:noFill/>
                      <a:miter lim="800000"/>
                      <a:headEnd/>
                      <a:tailEnd/>
                    </a:ln>
                  </pic:spPr>
                </pic:pic>
              </a:graphicData>
            </a:graphic>
          </wp:inline>
        </w:drawing>
      </w:r>
    </w:p>
    <w:p w:rsidR="00B927F2" w:rsidRPr="00580F2E" w:rsidRDefault="00B927F2"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encuesta CASEN (1990-2009).</w:t>
      </w:r>
    </w:p>
    <w:p w:rsidR="00B927F2" w:rsidRPr="00580F2E" w:rsidRDefault="00B927F2"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Nota: Se muestran retornos calculados en una ecuación tipo Heckman en dos etapas sobre</w:t>
      </w:r>
      <w:r w:rsidR="008766BE" w:rsidRPr="00580F2E">
        <w:rPr>
          <w:rFonts w:ascii="Times New Roman" w:hAnsi="Times New Roman" w:cs="Times New Roman"/>
          <w:sz w:val="16"/>
          <w:szCs w:val="16"/>
          <w:lang w:val="es-ES"/>
        </w:rPr>
        <w:t xml:space="preserve"> el</w:t>
      </w:r>
      <w:r w:rsidRPr="00580F2E">
        <w:rPr>
          <w:rFonts w:ascii="Times New Roman" w:hAnsi="Times New Roman" w:cs="Times New Roman"/>
          <w:sz w:val="16"/>
          <w:szCs w:val="16"/>
          <w:lang w:val="es-ES"/>
        </w:rPr>
        <w:t xml:space="preserve"> logaritmo natural del salario. Se </w:t>
      </w:r>
      <w:r w:rsidR="008766BE" w:rsidRPr="00580F2E">
        <w:rPr>
          <w:rFonts w:ascii="Times New Roman" w:hAnsi="Times New Roman" w:cs="Times New Roman"/>
          <w:sz w:val="16"/>
          <w:szCs w:val="16"/>
          <w:lang w:val="es-ES"/>
        </w:rPr>
        <w:t>presenta</w:t>
      </w:r>
      <w:r w:rsidRPr="00580F2E">
        <w:rPr>
          <w:rFonts w:ascii="Times New Roman" w:hAnsi="Times New Roman" w:cs="Times New Roman"/>
          <w:sz w:val="16"/>
          <w:szCs w:val="16"/>
          <w:lang w:val="es-ES"/>
        </w:rPr>
        <w:t xml:space="preserve"> el retorno de un año adicional de escolaridad según nivel de escolaridad.</w:t>
      </w:r>
    </w:p>
    <w:p w:rsidR="001842D9" w:rsidRPr="00580F2E" w:rsidRDefault="001842D9" w:rsidP="009563D7">
      <w:pPr>
        <w:spacing w:after="0"/>
        <w:jc w:val="both"/>
        <w:rPr>
          <w:rFonts w:ascii="Times New Roman" w:hAnsi="Times New Roman" w:cs="Times New Roman"/>
          <w:lang w:val="es-ES"/>
        </w:rPr>
      </w:pPr>
    </w:p>
    <w:p w:rsidR="0002423F" w:rsidRPr="00580F2E" w:rsidRDefault="00B906C0" w:rsidP="0013213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En términos de cobertura, e</w:t>
      </w:r>
      <w:r w:rsidR="001842D9" w:rsidRPr="00580F2E">
        <w:rPr>
          <w:rFonts w:ascii="Times New Roman" w:hAnsi="Times New Roman" w:cs="Times New Roman"/>
          <w:sz w:val="24"/>
          <w:szCs w:val="24"/>
          <w:lang w:val="es-ES"/>
        </w:rPr>
        <w:t xml:space="preserve">s razonable </w:t>
      </w:r>
      <w:r w:rsidR="00682F9D" w:rsidRPr="00580F2E">
        <w:rPr>
          <w:rFonts w:ascii="Times New Roman" w:hAnsi="Times New Roman" w:cs="Times New Roman"/>
          <w:sz w:val="24"/>
          <w:szCs w:val="24"/>
          <w:lang w:val="es-ES"/>
        </w:rPr>
        <w:t>plantear la interrogante de</w:t>
      </w:r>
      <w:r w:rsidR="001842D9" w:rsidRPr="00580F2E">
        <w:rPr>
          <w:rFonts w:ascii="Times New Roman" w:hAnsi="Times New Roman" w:cs="Times New Roman"/>
          <w:sz w:val="24"/>
          <w:szCs w:val="24"/>
          <w:lang w:val="es-ES"/>
        </w:rPr>
        <w:t xml:space="preserve"> si acaso el sistema de capacitación atiende efectivamente a la demanda potencial de usuarios</w:t>
      </w:r>
      <w:r w:rsidR="0002423F"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En </w:t>
      </w:r>
      <w:r w:rsidRPr="00580F2E">
        <w:rPr>
          <w:rFonts w:ascii="Times New Roman" w:hAnsi="Times New Roman" w:cs="Times New Roman"/>
          <w:sz w:val="24"/>
          <w:szCs w:val="24"/>
          <w:lang w:val="es-ES"/>
        </w:rPr>
        <w:lastRenderedPageBreak/>
        <w:t>Chile, la misión de SENCE</w:t>
      </w:r>
      <w:r w:rsidR="007B0166" w:rsidRPr="00580F2E">
        <w:rPr>
          <w:rFonts w:ascii="Times New Roman" w:hAnsi="Times New Roman" w:cs="Times New Roman"/>
          <w:sz w:val="24"/>
          <w:szCs w:val="24"/>
          <w:lang w:val="es-ES"/>
        </w:rPr>
        <w:t xml:space="preserve"> consiste en promover políticas públicas para empleabilidad.</w:t>
      </w:r>
      <w:r w:rsidR="00DA4511" w:rsidRPr="00580F2E">
        <w:rPr>
          <w:rStyle w:val="FootnoteReference"/>
          <w:rFonts w:ascii="Times New Roman" w:hAnsi="Times New Roman" w:cs="Times New Roman"/>
          <w:sz w:val="24"/>
          <w:szCs w:val="24"/>
          <w:lang w:val="es-ES"/>
        </w:rPr>
        <w:footnoteReference w:id="6"/>
      </w:r>
      <w:r w:rsidR="004F5BBB" w:rsidRPr="00580F2E">
        <w:rPr>
          <w:rFonts w:ascii="Times New Roman" w:hAnsi="Times New Roman" w:cs="Times New Roman"/>
          <w:sz w:val="24"/>
          <w:szCs w:val="24"/>
          <w:lang w:val="es-ES"/>
        </w:rPr>
        <w:t xml:space="preserve"> Por otro lado, gran parte del sistema de educación superior está diseñado para seleccionar a mejores alumnos.</w:t>
      </w:r>
      <w:r w:rsidRPr="00580F2E">
        <w:rPr>
          <w:rFonts w:ascii="Times New Roman" w:hAnsi="Times New Roman" w:cs="Times New Roman"/>
          <w:sz w:val="24"/>
          <w:szCs w:val="24"/>
          <w:lang w:val="es-ES"/>
        </w:rPr>
        <w:t xml:space="preserve"> Consistente con ello, la plataforma institucional del MINTRAB y SENCE apunta a cerrar brechas para individuos</w:t>
      </w:r>
      <w:r w:rsidR="004F5BBB" w:rsidRPr="00580F2E">
        <w:rPr>
          <w:rFonts w:ascii="Times New Roman" w:hAnsi="Times New Roman" w:cs="Times New Roman"/>
          <w:sz w:val="24"/>
          <w:szCs w:val="24"/>
          <w:lang w:val="es-ES"/>
        </w:rPr>
        <w:t xml:space="preserve"> con</w:t>
      </w:r>
      <w:r w:rsidRPr="00580F2E">
        <w:rPr>
          <w:rFonts w:ascii="Times New Roman" w:hAnsi="Times New Roman" w:cs="Times New Roman"/>
          <w:sz w:val="24"/>
          <w:szCs w:val="24"/>
          <w:lang w:val="es-ES"/>
        </w:rPr>
        <w:t xml:space="preserve"> bajas competencias</w:t>
      </w:r>
      <w:r w:rsidR="004F5BBB" w:rsidRPr="00580F2E">
        <w:rPr>
          <w:rFonts w:ascii="Times New Roman" w:hAnsi="Times New Roman" w:cs="Times New Roman"/>
          <w:sz w:val="24"/>
          <w:szCs w:val="24"/>
          <w:lang w:val="es-ES"/>
        </w:rPr>
        <w:t>, individuos que generalmente no acceden a educación superior</w:t>
      </w:r>
      <w:r w:rsidR="007B0166" w:rsidRPr="00580F2E">
        <w:rPr>
          <w:rFonts w:ascii="Times New Roman" w:hAnsi="Times New Roman" w:cs="Times New Roman"/>
          <w:sz w:val="24"/>
          <w:szCs w:val="24"/>
          <w:lang w:val="es-ES"/>
        </w:rPr>
        <w:t>.</w:t>
      </w:r>
      <w:r w:rsidR="004F5BBB" w:rsidRPr="00580F2E">
        <w:rPr>
          <w:rStyle w:val="FootnoteReference"/>
          <w:rFonts w:ascii="Times New Roman" w:hAnsi="Times New Roman" w:cs="Times New Roman"/>
          <w:sz w:val="24"/>
          <w:szCs w:val="24"/>
          <w:lang w:val="es-ES"/>
        </w:rPr>
        <w:footnoteReference w:id="7"/>
      </w:r>
      <w:r w:rsidR="00436663"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 xml:space="preserve">El paso siguiente es detallar con mayor precisión cuál es la demanda potencial que posee el sistema de capacitación, para luego </w:t>
      </w:r>
      <w:r w:rsidR="00A64034" w:rsidRPr="00580F2E">
        <w:rPr>
          <w:rFonts w:ascii="Times New Roman" w:hAnsi="Times New Roman" w:cs="Times New Roman"/>
          <w:sz w:val="24"/>
          <w:szCs w:val="24"/>
          <w:lang w:val="es-ES"/>
        </w:rPr>
        <w:t>comprobar</w:t>
      </w:r>
      <w:r w:rsidRPr="00580F2E">
        <w:rPr>
          <w:rFonts w:ascii="Times New Roman" w:hAnsi="Times New Roman" w:cs="Times New Roman"/>
          <w:sz w:val="24"/>
          <w:szCs w:val="24"/>
          <w:lang w:val="es-ES"/>
        </w:rPr>
        <w:t xml:space="preserve"> </w:t>
      </w:r>
      <w:r w:rsidR="00A64034" w:rsidRPr="00580F2E">
        <w:rPr>
          <w:rFonts w:ascii="Times New Roman" w:hAnsi="Times New Roman" w:cs="Times New Roman"/>
          <w:sz w:val="24"/>
          <w:szCs w:val="24"/>
          <w:lang w:val="es-ES"/>
        </w:rPr>
        <w:t xml:space="preserve">si </w:t>
      </w:r>
      <w:r w:rsidRPr="00580F2E">
        <w:rPr>
          <w:rFonts w:ascii="Times New Roman" w:hAnsi="Times New Roman" w:cs="Times New Roman"/>
          <w:sz w:val="24"/>
          <w:szCs w:val="24"/>
          <w:lang w:val="es-ES"/>
        </w:rPr>
        <w:t xml:space="preserve">el sistema </w:t>
      </w:r>
      <w:r w:rsidR="00A64034" w:rsidRPr="00580F2E">
        <w:rPr>
          <w:rFonts w:ascii="Times New Roman" w:hAnsi="Times New Roman" w:cs="Times New Roman"/>
          <w:sz w:val="24"/>
          <w:szCs w:val="24"/>
          <w:lang w:val="es-ES"/>
        </w:rPr>
        <w:t>ha sido capaz de</w:t>
      </w:r>
      <w:r w:rsidRPr="00580F2E">
        <w:rPr>
          <w:rFonts w:ascii="Times New Roman" w:hAnsi="Times New Roman" w:cs="Times New Roman"/>
          <w:sz w:val="24"/>
          <w:szCs w:val="24"/>
          <w:lang w:val="es-ES"/>
        </w:rPr>
        <w:t xml:space="preserve"> cubrirla.</w:t>
      </w:r>
    </w:p>
    <w:p w:rsidR="001842D9" w:rsidRPr="00580F2E" w:rsidRDefault="001842D9" w:rsidP="009563D7">
      <w:pPr>
        <w:spacing w:after="0"/>
        <w:jc w:val="both"/>
        <w:rPr>
          <w:rFonts w:ascii="Times New Roman" w:hAnsi="Times New Roman" w:cs="Times New Roman"/>
          <w:lang w:val="es-ES"/>
        </w:rPr>
      </w:pPr>
    </w:p>
    <w:p w:rsidR="00B6777B" w:rsidRPr="00580F2E" w:rsidRDefault="00EB7709" w:rsidP="009563D7">
      <w:pPr>
        <w:pStyle w:val="ListParagraph"/>
        <w:numPr>
          <w:ilvl w:val="0"/>
          <w:numId w:val="7"/>
        </w:numPr>
        <w:spacing w:after="0"/>
        <w:rPr>
          <w:rFonts w:ascii="Times New Roman" w:hAnsi="Times New Roman" w:cs="Times New Roman"/>
          <w:b/>
          <w:sz w:val="24"/>
          <w:szCs w:val="24"/>
          <w:lang w:val="es-ES"/>
        </w:rPr>
      </w:pPr>
      <w:r w:rsidRPr="00580F2E">
        <w:rPr>
          <w:rFonts w:ascii="Times New Roman" w:hAnsi="Times New Roman" w:cs="Times New Roman"/>
          <w:b/>
          <w:sz w:val="24"/>
          <w:szCs w:val="24"/>
          <w:lang w:val="es-ES"/>
        </w:rPr>
        <w:t>La deman</w:t>
      </w:r>
      <w:r w:rsidR="00A77138" w:rsidRPr="00580F2E">
        <w:rPr>
          <w:rFonts w:ascii="Times New Roman" w:hAnsi="Times New Roman" w:cs="Times New Roman"/>
          <w:b/>
          <w:sz w:val="24"/>
          <w:szCs w:val="24"/>
          <w:lang w:val="es-ES"/>
        </w:rPr>
        <w:t xml:space="preserve">da potencial por </w:t>
      </w:r>
      <w:r w:rsidR="00B906C0" w:rsidRPr="00580F2E">
        <w:rPr>
          <w:rFonts w:ascii="Times New Roman" w:hAnsi="Times New Roman" w:cs="Times New Roman"/>
          <w:b/>
          <w:sz w:val="24"/>
          <w:szCs w:val="24"/>
          <w:lang w:val="es-ES"/>
        </w:rPr>
        <w:t>programas de capacitación</w:t>
      </w:r>
      <w:r w:rsidRPr="00580F2E">
        <w:rPr>
          <w:rFonts w:ascii="Times New Roman" w:hAnsi="Times New Roman" w:cs="Times New Roman"/>
          <w:b/>
          <w:sz w:val="24"/>
          <w:szCs w:val="24"/>
          <w:lang w:val="es-ES"/>
        </w:rPr>
        <w:t>.</w:t>
      </w:r>
    </w:p>
    <w:p w:rsidR="00B6777B" w:rsidRPr="00580F2E" w:rsidRDefault="00B6777B" w:rsidP="009563D7">
      <w:pPr>
        <w:pStyle w:val="ListParagraph"/>
        <w:spacing w:after="0"/>
        <w:ind w:left="792"/>
        <w:jc w:val="both"/>
        <w:rPr>
          <w:rFonts w:ascii="Times New Roman" w:hAnsi="Times New Roman" w:cs="Times New Roman"/>
          <w:b/>
          <w:sz w:val="24"/>
          <w:szCs w:val="24"/>
          <w:lang w:val="es-ES"/>
        </w:rPr>
      </w:pPr>
    </w:p>
    <w:p w:rsidR="00682F9D" w:rsidRPr="00580F2E" w:rsidRDefault="00682F9D" w:rsidP="00132134">
      <w:pPr>
        <w:pStyle w:val="ListParagraph"/>
        <w:spacing w:after="0" w:line="360" w:lineRule="auto"/>
        <w:ind w:left="0"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Como se mencionó, el sistema de capacitación </w:t>
      </w:r>
      <w:r w:rsidR="007B0166" w:rsidRPr="00580F2E">
        <w:rPr>
          <w:rFonts w:ascii="Times New Roman" w:hAnsi="Times New Roman" w:cs="Times New Roman"/>
          <w:sz w:val="24"/>
          <w:szCs w:val="24"/>
          <w:lang w:val="es-ES"/>
        </w:rPr>
        <w:t>en Chile</w:t>
      </w:r>
      <w:r w:rsidRPr="00580F2E">
        <w:rPr>
          <w:rFonts w:ascii="Times New Roman" w:hAnsi="Times New Roman" w:cs="Times New Roman"/>
          <w:sz w:val="24"/>
          <w:szCs w:val="24"/>
          <w:lang w:val="es-ES"/>
        </w:rPr>
        <w:t xml:space="preserve"> </w:t>
      </w:r>
      <w:r w:rsidR="007B0166" w:rsidRPr="00580F2E">
        <w:rPr>
          <w:rFonts w:ascii="Times New Roman" w:hAnsi="Times New Roman" w:cs="Times New Roman"/>
          <w:sz w:val="24"/>
          <w:szCs w:val="24"/>
          <w:lang w:val="es-ES"/>
        </w:rPr>
        <w:t>tiene</w:t>
      </w:r>
      <w:r w:rsidRPr="00580F2E">
        <w:rPr>
          <w:rFonts w:ascii="Times New Roman" w:hAnsi="Times New Roman" w:cs="Times New Roman"/>
          <w:sz w:val="24"/>
          <w:szCs w:val="24"/>
          <w:lang w:val="es-ES"/>
        </w:rPr>
        <w:t xml:space="preserve"> como potenciales usuarios aquellos que requieran de cerrar brechas de competencias. </w:t>
      </w:r>
      <w:r w:rsidR="00AB706B" w:rsidRPr="00580F2E">
        <w:rPr>
          <w:rFonts w:ascii="Times New Roman" w:hAnsi="Times New Roman" w:cs="Times New Roman"/>
          <w:sz w:val="24"/>
          <w:szCs w:val="24"/>
          <w:lang w:val="es-ES"/>
        </w:rPr>
        <w:t>Los grupos que generalmente tienen un desempeño relativamente bajos son jóvenes y mujeres en situación de vulnerabilidad</w:t>
      </w:r>
      <w:r w:rsidR="004F5BBB" w:rsidRPr="00580F2E">
        <w:rPr>
          <w:rFonts w:ascii="Times New Roman" w:hAnsi="Times New Roman" w:cs="Times New Roman"/>
          <w:sz w:val="24"/>
          <w:szCs w:val="24"/>
          <w:lang w:val="es-ES"/>
        </w:rPr>
        <w:t>,</w:t>
      </w:r>
      <w:r w:rsidR="00AB706B" w:rsidRPr="00580F2E">
        <w:rPr>
          <w:rFonts w:ascii="Times New Roman" w:hAnsi="Times New Roman" w:cs="Times New Roman"/>
          <w:sz w:val="24"/>
          <w:szCs w:val="24"/>
          <w:lang w:val="es-ES"/>
        </w:rPr>
        <w:t xml:space="preserve"> evidencia</w:t>
      </w:r>
      <w:r w:rsidR="004F5BBB" w:rsidRPr="00580F2E">
        <w:rPr>
          <w:rFonts w:ascii="Times New Roman" w:hAnsi="Times New Roman" w:cs="Times New Roman"/>
          <w:sz w:val="24"/>
          <w:szCs w:val="24"/>
          <w:lang w:val="es-ES"/>
        </w:rPr>
        <w:t xml:space="preserve"> que se sustenta en el Cuadro 1</w:t>
      </w:r>
      <w:r w:rsidR="00AB706B" w:rsidRPr="00580F2E">
        <w:rPr>
          <w:rFonts w:ascii="Times New Roman" w:hAnsi="Times New Roman" w:cs="Times New Roman"/>
          <w:sz w:val="24"/>
          <w:szCs w:val="24"/>
          <w:lang w:val="es-ES"/>
        </w:rPr>
        <w:t>.</w:t>
      </w:r>
      <w:r w:rsidR="00DE479F" w:rsidRPr="00580F2E">
        <w:rPr>
          <w:rFonts w:ascii="Times New Roman" w:hAnsi="Times New Roman" w:cs="Times New Roman"/>
          <w:sz w:val="24"/>
          <w:szCs w:val="24"/>
          <w:lang w:val="es-ES"/>
        </w:rPr>
        <w:t xml:space="preserve"> </w:t>
      </w:r>
      <w:r w:rsidR="006861AF" w:rsidRPr="00580F2E">
        <w:rPr>
          <w:rFonts w:ascii="Times New Roman" w:hAnsi="Times New Roman" w:cs="Times New Roman"/>
          <w:sz w:val="24"/>
          <w:szCs w:val="24"/>
          <w:lang w:val="es-ES"/>
        </w:rPr>
        <w:t xml:space="preserve">En las próximas secciones  se caracterizarán ambos grupos. </w:t>
      </w:r>
      <w:r w:rsidR="00DE479F" w:rsidRPr="00580F2E">
        <w:rPr>
          <w:rFonts w:ascii="Times New Roman" w:hAnsi="Times New Roman" w:cs="Times New Roman"/>
          <w:sz w:val="24"/>
          <w:szCs w:val="24"/>
          <w:lang w:val="es-ES"/>
        </w:rPr>
        <w:t xml:space="preserve">Además, se </w:t>
      </w:r>
      <w:r w:rsidR="00436663" w:rsidRPr="00580F2E">
        <w:rPr>
          <w:rFonts w:ascii="Times New Roman" w:hAnsi="Times New Roman" w:cs="Times New Roman"/>
          <w:sz w:val="24"/>
          <w:szCs w:val="24"/>
          <w:lang w:val="es-ES"/>
        </w:rPr>
        <w:t xml:space="preserve">pondrá hincapié </w:t>
      </w:r>
      <w:r w:rsidR="00871C74" w:rsidRPr="00580F2E">
        <w:rPr>
          <w:rFonts w:ascii="Times New Roman" w:hAnsi="Times New Roman" w:cs="Times New Roman"/>
          <w:sz w:val="24"/>
          <w:szCs w:val="24"/>
          <w:lang w:val="es-ES"/>
        </w:rPr>
        <w:t>en</w:t>
      </w:r>
      <w:r w:rsidR="00436663" w:rsidRPr="00580F2E">
        <w:rPr>
          <w:rFonts w:ascii="Times New Roman" w:hAnsi="Times New Roman" w:cs="Times New Roman"/>
          <w:sz w:val="24"/>
          <w:szCs w:val="24"/>
          <w:lang w:val="es-ES"/>
        </w:rPr>
        <w:t xml:space="preserve"> </w:t>
      </w:r>
      <w:r w:rsidR="00DE479F" w:rsidRPr="00580F2E">
        <w:rPr>
          <w:rFonts w:ascii="Times New Roman" w:hAnsi="Times New Roman" w:cs="Times New Roman"/>
          <w:sz w:val="24"/>
          <w:szCs w:val="24"/>
          <w:lang w:val="es-ES"/>
        </w:rPr>
        <w:t>la situación de algunos adultos con baja educación y altas tasas de desempleo.</w:t>
      </w:r>
      <w:r w:rsidR="00436663" w:rsidRPr="00580F2E">
        <w:rPr>
          <w:rFonts w:ascii="Times New Roman" w:hAnsi="Times New Roman" w:cs="Times New Roman"/>
          <w:sz w:val="24"/>
          <w:szCs w:val="24"/>
          <w:lang w:val="es-ES"/>
        </w:rPr>
        <w:t xml:space="preserve"> </w:t>
      </w:r>
      <w:r w:rsidR="006861AF" w:rsidRPr="00580F2E">
        <w:rPr>
          <w:rFonts w:ascii="Times New Roman" w:hAnsi="Times New Roman" w:cs="Times New Roman"/>
          <w:sz w:val="24"/>
          <w:szCs w:val="24"/>
          <w:lang w:val="es-ES"/>
        </w:rPr>
        <w:t>Haremos el punto de que</w:t>
      </w:r>
      <w:r w:rsidR="00436663" w:rsidRPr="00580F2E">
        <w:rPr>
          <w:rFonts w:ascii="Times New Roman" w:hAnsi="Times New Roman" w:cs="Times New Roman"/>
          <w:sz w:val="24"/>
          <w:szCs w:val="24"/>
          <w:lang w:val="es-ES"/>
        </w:rPr>
        <w:t xml:space="preserve"> </w:t>
      </w:r>
      <w:r w:rsidR="00132134" w:rsidRPr="00580F2E">
        <w:rPr>
          <w:rFonts w:ascii="Times New Roman" w:hAnsi="Times New Roman" w:cs="Times New Roman"/>
          <w:sz w:val="24"/>
          <w:szCs w:val="24"/>
          <w:lang w:val="es-ES"/>
        </w:rPr>
        <w:t>estos</w:t>
      </w:r>
      <w:r w:rsidR="00436663" w:rsidRPr="00580F2E">
        <w:rPr>
          <w:rFonts w:ascii="Times New Roman" w:hAnsi="Times New Roman" w:cs="Times New Roman"/>
          <w:sz w:val="24"/>
          <w:szCs w:val="24"/>
          <w:lang w:val="es-ES"/>
        </w:rPr>
        <w:t xml:space="preserve"> grupos vulnerables</w:t>
      </w:r>
      <w:r w:rsidR="00132134" w:rsidRPr="00580F2E">
        <w:rPr>
          <w:rFonts w:ascii="Times New Roman" w:hAnsi="Times New Roman" w:cs="Times New Roman"/>
          <w:sz w:val="24"/>
          <w:szCs w:val="24"/>
          <w:lang w:val="es-ES"/>
        </w:rPr>
        <w:t xml:space="preserve"> son de gran número relativo a la fuerza laboral</w:t>
      </w:r>
      <w:r w:rsidR="00436663" w:rsidRPr="00580F2E">
        <w:rPr>
          <w:rFonts w:ascii="Times New Roman" w:hAnsi="Times New Roman" w:cs="Times New Roman"/>
          <w:sz w:val="24"/>
          <w:szCs w:val="24"/>
          <w:lang w:val="es-ES"/>
        </w:rPr>
        <w:t>, lo que impone desafíos importantes al sistema de capacitación.</w:t>
      </w:r>
    </w:p>
    <w:p w:rsidR="00862EAC" w:rsidRPr="00580F2E" w:rsidRDefault="00862EAC" w:rsidP="009563D7">
      <w:pPr>
        <w:pStyle w:val="ListParagraph"/>
        <w:spacing w:after="0"/>
        <w:ind w:left="0"/>
        <w:jc w:val="both"/>
        <w:rPr>
          <w:rFonts w:ascii="Times New Roman" w:hAnsi="Times New Roman" w:cs="Times New Roman"/>
          <w:sz w:val="24"/>
          <w:szCs w:val="24"/>
          <w:lang w:val="es-ES"/>
        </w:rPr>
      </w:pPr>
    </w:p>
    <w:p w:rsidR="00DF0539" w:rsidRPr="00580F2E" w:rsidRDefault="006861AF" w:rsidP="006861AF">
      <w:pPr>
        <w:pStyle w:val="ListParagraph"/>
        <w:spacing w:after="0"/>
        <w:ind w:left="0"/>
        <w:jc w:val="center"/>
        <w:rPr>
          <w:rFonts w:ascii="Times New Roman" w:hAnsi="Times New Roman" w:cs="Times New Roman"/>
          <w:b/>
          <w:lang w:val="es-ES"/>
        </w:rPr>
      </w:pPr>
      <w:r w:rsidRPr="00580F2E">
        <w:rPr>
          <w:rFonts w:ascii="Times New Roman" w:hAnsi="Times New Roman" w:cs="Times New Roman"/>
          <w:b/>
          <w:lang w:val="es-ES"/>
        </w:rPr>
        <w:t>Cuadro 1: Participación, desempleo y salarios por género y edad.</w:t>
      </w:r>
    </w:p>
    <w:tbl>
      <w:tblPr>
        <w:tblW w:w="0" w:type="auto"/>
        <w:tblCellMar>
          <w:left w:w="70" w:type="dxa"/>
          <w:right w:w="70" w:type="dxa"/>
        </w:tblCellMar>
        <w:tblLook w:val="04A0" w:firstRow="1" w:lastRow="0" w:firstColumn="1" w:lastColumn="0" w:noHBand="0" w:noVBand="1"/>
      </w:tblPr>
      <w:tblGrid>
        <w:gridCol w:w="560"/>
        <w:gridCol w:w="185"/>
        <w:gridCol w:w="850"/>
        <w:gridCol w:w="181"/>
        <w:gridCol w:w="780"/>
        <w:gridCol w:w="185"/>
        <w:gridCol w:w="551"/>
        <w:gridCol w:w="185"/>
        <w:gridCol w:w="850"/>
        <w:gridCol w:w="185"/>
        <w:gridCol w:w="780"/>
        <w:gridCol w:w="185"/>
        <w:gridCol w:w="551"/>
        <w:gridCol w:w="185"/>
        <w:gridCol w:w="850"/>
        <w:gridCol w:w="185"/>
        <w:gridCol w:w="780"/>
        <w:gridCol w:w="185"/>
        <w:gridCol w:w="551"/>
      </w:tblGrid>
      <w:tr w:rsidR="0053620B" w:rsidRPr="00580F2E" w:rsidTr="0053620B">
        <w:trPr>
          <w:trHeight w:val="300"/>
        </w:trPr>
        <w:tc>
          <w:tcPr>
            <w:tcW w:w="0" w:type="auto"/>
            <w:vMerge w:val="restart"/>
            <w:tcBorders>
              <w:top w:val="single" w:sz="4" w:space="0" w:color="auto"/>
              <w:left w:val="nil"/>
              <w:bottom w:val="single" w:sz="4" w:space="0" w:color="000000"/>
              <w:right w:val="nil"/>
            </w:tcBorders>
            <w:shd w:val="clear" w:color="auto" w:fill="auto"/>
            <w:noWrap/>
            <w:vAlign w:val="center"/>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Edad</w:t>
            </w:r>
          </w:p>
        </w:tc>
        <w:tc>
          <w:tcPr>
            <w:tcW w:w="0" w:type="auto"/>
            <w:tcBorders>
              <w:top w:val="single" w:sz="4" w:space="0" w:color="auto"/>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 </w:t>
            </w:r>
          </w:p>
        </w:tc>
        <w:tc>
          <w:tcPr>
            <w:tcW w:w="0" w:type="auto"/>
            <w:gridSpan w:val="5"/>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Tasa participación (%)</w:t>
            </w:r>
          </w:p>
        </w:tc>
        <w:tc>
          <w:tcPr>
            <w:tcW w:w="0" w:type="auto"/>
            <w:tcBorders>
              <w:top w:val="single" w:sz="4" w:space="0" w:color="auto"/>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 </w:t>
            </w:r>
          </w:p>
        </w:tc>
        <w:tc>
          <w:tcPr>
            <w:tcW w:w="0" w:type="auto"/>
            <w:gridSpan w:val="5"/>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Tasa desempleo (%)</w:t>
            </w:r>
          </w:p>
        </w:tc>
        <w:tc>
          <w:tcPr>
            <w:tcW w:w="0" w:type="auto"/>
            <w:tcBorders>
              <w:top w:val="single" w:sz="4" w:space="0" w:color="auto"/>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 </w:t>
            </w:r>
          </w:p>
        </w:tc>
        <w:tc>
          <w:tcPr>
            <w:tcW w:w="0" w:type="auto"/>
            <w:gridSpan w:val="5"/>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Salarios (US$)</w:t>
            </w:r>
          </w:p>
        </w:tc>
      </w:tr>
      <w:tr w:rsidR="0053620B" w:rsidRPr="00580F2E" w:rsidTr="0053620B">
        <w:trPr>
          <w:trHeight w:val="300"/>
        </w:trPr>
        <w:tc>
          <w:tcPr>
            <w:tcW w:w="0" w:type="auto"/>
            <w:vMerge/>
            <w:tcBorders>
              <w:top w:val="single" w:sz="4" w:space="0" w:color="auto"/>
              <w:left w:val="nil"/>
              <w:bottom w:val="single" w:sz="4" w:space="0" w:color="000000"/>
              <w:right w:val="nil"/>
            </w:tcBorders>
            <w:vAlign w:val="center"/>
            <w:hideMark/>
          </w:tcPr>
          <w:p w:rsidR="0053620B" w:rsidRPr="00580F2E" w:rsidRDefault="0053620B" w:rsidP="0053620B">
            <w:pPr>
              <w:spacing w:after="0" w:line="240" w:lineRule="auto"/>
              <w:rPr>
                <w:rFonts w:ascii="Times New Roman" w:eastAsia="Times New Roman" w:hAnsi="Times New Roman" w:cs="Times New Roman"/>
                <w:b/>
                <w:bCs/>
                <w:color w:val="000000"/>
                <w:sz w:val="18"/>
                <w:szCs w:val="20"/>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Hombres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Mujeres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Total</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Hombres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Mujeres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Total</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Hombres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Mujeres</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Total</w:t>
            </w:r>
          </w:p>
        </w:tc>
      </w:tr>
      <w:tr w:rsidR="0053620B" w:rsidRPr="00580F2E" w:rsidTr="0053620B">
        <w:trPr>
          <w:trHeight w:val="300"/>
        </w:trPr>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18-24</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44.6</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szCs w:val="20"/>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29.3</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36.9</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21.6</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27.1</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23.9</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484.5</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429.9</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462.7</w:t>
            </w:r>
          </w:p>
        </w:tc>
      </w:tr>
      <w:tr w:rsidR="0053620B" w:rsidRPr="00580F2E" w:rsidTr="0053620B">
        <w:trPr>
          <w:trHeight w:val="300"/>
        </w:trPr>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25-30</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78.3</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54.7</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66.2</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11.7</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13.8</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12.6</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769.8</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660.5</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724.1</w:t>
            </w:r>
          </w:p>
        </w:tc>
      </w:tr>
      <w:tr w:rsidR="0053620B" w:rsidRPr="00580F2E" w:rsidTr="0053620B">
        <w:trPr>
          <w:trHeight w:val="300"/>
        </w:trPr>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31-55</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88.4</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52.7</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69.5</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5.8</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8.7</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7.0</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982.6</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669.7</w:t>
            </w: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857.5</w:t>
            </w:r>
          </w:p>
        </w:tc>
      </w:tr>
      <w:tr w:rsidR="0053620B" w:rsidRPr="00580F2E" w:rsidTr="0053620B">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18-55</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rPr>
                <w:rFonts w:ascii="Calibri" w:eastAsia="Times New Roman" w:hAnsi="Calibri" w:cs="Calibri"/>
                <w:color w:val="000000"/>
                <w:sz w:val="18"/>
                <w:lang w:val="es-ES" w:eastAsia="es-CL"/>
              </w:rPr>
            </w:pPr>
            <w:r w:rsidRPr="00580F2E">
              <w:rPr>
                <w:rFonts w:ascii="Calibri" w:eastAsia="Times New Roman" w:hAnsi="Calibri" w:cs="Calibri"/>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76.0</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rPr>
                <w:rFonts w:ascii="Calibri" w:eastAsia="Times New Roman" w:hAnsi="Calibri" w:cs="Calibri"/>
                <w:color w:val="000000"/>
                <w:sz w:val="18"/>
                <w:lang w:val="es-ES" w:eastAsia="es-CL"/>
              </w:rPr>
            </w:pPr>
            <w:r w:rsidRPr="00580F2E">
              <w:rPr>
                <w:rFonts w:ascii="Calibri" w:eastAsia="Times New Roman" w:hAnsi="Calibri" w:cs="Calibri"/>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47.6</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61.2</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9.4</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12.7</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10.8</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877.1</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634.9</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53620B" w:rsidRPr="00580F2E" w:rsidRDefault="0053620B" w:rsidP="0053620B">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779.6</w:t>
            </w:r>
          </w:p>
        </w:tc>
      </w:tr>
    </w:tbl>
    <w:p w:rsidR="00682F9D" w:rsidRPr="00580F2E" w:rsidRDefault="00682F9D" w:rsidP="009563D7">
      <w:pPr>
        <w:pStyle w:val="ListParagraph"/>
        <w:spacing w:after="0"/>
        <w:ind w:left="0"/>
        <w:jc w:val="both"/>
        <w:rPr>
          <w:rFonts w:ascii="Times New Roman" w:hAnsi="Times New Roman" w:cs="Times New Roman"/>
          <w:lang w:val="es-ES"/>
        </w:rPr>
      </w:pPr>
    </w:p>
    <w:p w:rsidR="00682F9D" w:rsidRPr="00580F2E" w:rsidRDefault="00DF0539" w:rsidP="009563D7">
      <w:pPr>
        <w:pStyle w:val="ListParagraph"/>
        <w:spacing w:after="0"/>
        <w:ind w:left="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CASEN (2009).</w:t>
      </w:r>
    </w:p>
    <w:p w:rsidR="00682F9D" w:rsidRPr="00580F2E" w:rsidRDefault="00682F9D" w:rsidP="009563D7">
      <w:pPr>
        <w:pStyle w:val="ListParagraph"/>
        <w:spacing w:after="0"/>
        <w:ind w:left="0"/>
        <w:jc w:val="both"/>
        <w:rPr>
          <w:rFonts w:ascii="Times New Roman" w:hAnsi="Times New Roman" w:cs="Times New Roman"/>
          <w:lang w:val="es-ES"/>
        </w:rPr>
      </w:pPr>
    </w:p>
    <w:p w:rsidR="00DE479F" w:rsidRPr="00580F2E" w:rsidRDefault="00DE479F" w:rsidP="009563D7">
      <w:pPr>
        <w:pStyle w:val="ListParagraph"/>
        <w:numPr>
          <w:ilvl w:val="1"/>
          <w:numId w:val="7"/>
        </w:numPr>
        <w:spacing w:after="0"/>
        <w:rPr>
          <w:rFonts w:ascii="Times New Roman" w:hAnsi="Times New Roman" w:cs="Times New Roman"/>
          <w:b/>
          <w:i/>
          <w:sz w:val="24"/>
          <w:szCs w:val="24"/>
          <w:lang w:val="es-ES"/>
        </w:rPr>
      </w:pPr>
      <w:r w:rsidRPr="00580F2E">
        <w:rPr>
          <w:rFonts w:ascii="Times New Roman" w:hAnsi="Times New Roman" w:cs="Times New Roman"/>
          <w:b/>
          <w:i/>
          <w:sz w:val="24"/>
          <w:szCs w:val="24"/>
          <w:lang w:val="es-ES"/>
        </w:rPr>
        <w:t>Jóvenes</w:t>
      </w:r>
    </w:p>
    <w:p w:rsidR="00DA4511" w:rsidRPr="00580F2E" w:rsidRDefault="00DA4511" w:rsidP="009563D7">
      <w:pPr>
        <w:pStyle w:val="ListParagraph"/>
        <w:spacing w:after="0"/>
        <w:ind w:left="0"/>
        <w:jc w:val="both"/>
        <w:rPr>
          <w:rFonts w:ascii="Times New Roman" w:hAnsi="Times New Roman" w:cs="Times New Roman"/>
          <w:sz w:val="24"/>
          <w:szCs w:val="24"/>
          <w:lang w:val="es-ES"/>
        </w:rPr>
      </w:pPr>
    </w:p>
    <w:p w:rsidR="0028299D" w:rsidRPr="00580F2E" w:rsidRDefault="00B6777B" w:rsidP="00043CE3">
      <w:pPr>
        <w:pStyle w:val="ListParagraph"/>
        <w:spacing w:after="0" w:line="360" w:lineRule="auto"/>
        <w:ind w:left="0"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No es extraño encontrar una brecha significativa entre distintos indicadores de desempeño en el mercado del trabajo de los jóvenes relativo al de los adultos. </w:t>
      </w:r>
      <w:r w:rsidR="006861AF" w:rsidRPr="00580F2E">
        <w:rPr>
          <w:rFonts w:ascii="Times New Roman" w:hAnsi="Times New Roman" w:cs="Times New Roman"/>
          <w:sz w:val="24"/>
          <w:szCs w:val="24"/>
          <w:lang w:val="es-ES"/>
        </w:rPr>
        <w:t xml:space="preserve">De hecho, es </w:t>
      </w:r>
      <w:r w:rsidR="006861AF" w:rsidRPr="00580F2E">
        <w:rPr>
          <w:rFonts w:ascii="Times New Roman" w:hAnsi="Times New Roman" w:cs="Times New Roman"/>
          <w:sz w:val="24"/>
          <w:szCs w:val="24"/>
          <w:lang w:val="es-ES"/>
        </w:rPr>
        <w:lastRenderedPageBreak/>
        <w:t xml:space="preserve">una característica compartida en otros países de la región y de la OECD. </w:t>
      </w:r>
      <w:r w:rsidR="008E51BF" w:rsidRPr="00580F2E">
        <w:rPr>
          <w:rFonts w:ascii="Times New Roman" w:hAnsi="Times New Roman" w:cs="Times New Roman"/>
          <w:sz w:val="24"/>
          <w:szCs w:val="24"/>
          <w:lang w:val="es-ES"/>
        </w:rPr>
        <w:t xml:space="preserve">Esto es explica en parte por </w:t>
      </w:r>
      <w:r w:rsidR="00862EAC" w:rsidRPr="00580F2E">
        <w:rPr>
          <w:rFonts w:ascii="Times New Roman" w:hAnsi="Times New Roman" w:cs="Times New Roman"/>
          <w:sz w:val="24"/>
          <w:szCs w:val="24"/>
          <w:lang w:val="es-ES"/>
        </w:rPr>
        <w:t>un efecto de acumulación de experiencia a lo largo del ciclo de vida laboral</w:t>
      </w:r>
      <w:r w:rsidR="006861AF" w:rsidRPr="00580F2E">
        <w:rPr>
          <w:rFonts w:ascii="Times New Roman" w:hAnsi="Times New Roman" w:cs="Times New Roman"/>
          <w:sz w:val="24"/>
          <w:szCs w:val="24"/>
          <w:lang w:val="es-ES"/>
        </w:rPr>
        <w:t>, lo que tiene retornos positivos en términos de ingresos</w:t>
      </w:r>
      <w:r w:rsidR="00862EAC" w:rsidRPr="00580F2E">
        <w:rPr>
          <w:rFonts w:ascii="Times New Roman" w:hAnsi="Times New Roman" w:cs="Times New Roman"/>
          <w:sz w:val="24"/>
          <w:szCs w:val="24"/>
          <w:lang w:val="es-ES"/>
        </w:rPr>
        <w:t xml:space="preserve">. </w:t>
      </w:r>
      <w:r w:rsidR="006861AF" w:rsidRPr="00580F2E">
        <w:rPr>
          <w:rFonts w:ascii="Times New Roman" w:hAnsi="Times New Roman" w:cs="Times New Roman"/>
          <w:sz w:val="24"/>
          <w:szCs w:val="24"/>
          <w:lang w:val="es-ES"/>
        </w:rPr>
        <w:t>En Chile</w:t>
      </w:r>
      <w:r w:rsidR="00862EAC" w:rsidRPr="00580F2E">
        <w:rPr>
          <w:rFonts w:ascii="Times New Roman" w:hAnsi="Times New Roman" w:cs="Times New Roman"/>
          <w:sz w:val="24"/>
          <w:szCs w:val="24"/>
          <w:lang w:val="es-ES"/>
        </w:rPr>
        <w:t>, p</w:t>
      </w:r>
      <w:r w:rsidR="00DE479F" w:rsidRPr="00580F2E">
        <w:rPr>
          <w:rFonts w:ascii="Times New Roman" w:hAnsi="Times New Roman" w:cs="Times New Roman"/>
          <w:sz w:val="24"/>
          <w:szCs w:val="24"/>
          <w:lang w:val="es-ES"/>
        </w:rPr>
        <w:t xml:space="preserve">ara el año 2009, individuos entre 18 </w:t>
      </w:r>
      <w:r w:rsidR="00DC3860" w:rsidRPr="00580F2E">
        <w:rPr>
          <w:rFonts w:ascii="Times New Roman" w:hAnsi="Times New Roman" w:cs="Times New Roman"/>
          <w:sz w:val="24"/>
          <w:szCs w:val="24"/>
          <w:lang w:val="es-ES"/>
        </w:rPr>
        <w:t>y 29</w:t>
      </w:r>
      <w:r w:rsidR="00DE479F" w:rsidRPr="00580F2E">
        <w:rPr>
          <w:rFonts w:ascii="Times New Roman" w:hAnsi="Times New Roman" w:cs="Times New Roman"/>
          <w:sz w:val="24"/>
          <w:szCs w:val="24"/>
          <w:lang w:val="es-ES"/>
        </w:rPr>
        <w:t xml:space="preserve"> años ganan </w:t>
      </w:r>
      <w:r w:rsidR="00DC3860" w:rsidRPr="00580F2E">
        <w:rPr>
          <w:rFonts w:ascii="Times New Roman" w:hAnsi="Times New Roman" w:cs="Times New Roman"/>
          <w:sz w:val="24"/>
          <w:szCs w:val="24"/>
          <w:lang w:val="es-ES"/>
        </w:rPr>
        <w:t xml:space="preserve">un </w:t>
      </w:r>
      <w:r w:rsidR="00AF4BD5" w:rsidRPr="00580F2E">
        <w:rPr>
          <w:rFonts w:ascii="Times New Roman" w:hAnsi="Times New Roman" w:cs="Times New Roman"/>
          <w:sz w:val="24"/>
          <w:szCs w:val="24"/>
          <w:lang w:val="es-ES"/>
        </w:rPr>
        <w:t>75%</w:t>
      </w:r>
      <w:r w:rsidR="00DE479F" w:rsidRPr="00580F2E">
        <w:rPr>
          <w:rFonts w:ascii="Times New Roman" w:hAnsi="Times New Roman" w:cs="Times New Roman"/>
          <w:sz w:val="24"/>
          <w:szCs w:val="24"/>
          <w:lang w:val="es-ES"/>
        </w:rPr>
        <w:t xml:space="preserve"> de los ingresos de </w:t>
      </w:r>
      <w:r w:rsidR="008E51BF" w:rsidRPr="00580F2E">
        <w:rPr>
          <w:rFonts w:ascii="Times New Roman" w:hAnsi="Times New Roman" w:cs="Times New Roman"/>
          <w:sz w:val="24"/>
          <w:szCs w:val="24"/>
          <w:lang w:val="es-ES"/>
        </w:rPr>
        <w:t xml:space="preserve">los </w:t>
      </w:r>
      <w:r w:rsidR="00DE479F" w:rsidRPr="00580F2E">
        <w:rPr>
          <w:rFonts w:ascii="Times New Roman" w:hAnsi="Times New Roman" w:cs="Times New Roman"/>
          <w:sz w:val="24"/>
          <w:szCs w:val="24"/>
          <w:lang w:val="es-ES"/>
        </w:rPr>
        <w:t xml:space="preserve">adultos entre 30 y 55 años de edad. </w:t>
      </w:r>
      <w:r w:rsidR="0028299D" w:rsidRPr="00580F2E">
        <w:rPr>
          <w:rFonts w:ascii="Times New Roman" w:hAnsi="Times New Roman" w:cs="Times New Roman"/>
          <w:sz w:val="24"/>
          <w:szCs w:val="24"/>
          <w:lang w:val="es-ES"/>
        </w:rPr>
        <w:t xml:space="preserve">La baja experiencia acumulada </w:t>
      </w:r>
      <w:r w:rsidR="006861AF" w:rsidRPr="00580F2E">
        <w:rPr>
          <w:rFonts w:ascii="Times New Roman" w:hAnsi="Times New Roman" w:cs="Times New Roman"/>
          <w:sz w:val="24"/>
          <w:szCs w:val="24"/>
          <w:lang w:val="es-ES"/>
        </w:rPr>
        <w:t>implica además una</w:t>
      </w:r>
      <w:r w:rsidR="00862EAC" w:rsidRPr="00580F2E">
        <w:rPr>
          <w:rFonts w:ascii="Times New Roman" w:hAnsi="Times New Roman" w:cs="Times New Roman"/>
          <w:sz w:val="24"/>
          <w:szCs w:val="24"/>
          <w:lang w:val="es-ES"/>
        </w:rPr>
        <w:t xml:space="preserve"> alta probabilidad de estar en desempleo</w:t>
      </w:r>
      <w:r w:rsidR="00DE479F" w:rsidRPr="00580F2E">
        <w:rPr>
          <w:rFonts w:ascii="Times New Roman" w:hAnsi="Times New Roman" w:cs="Times New Roman"/>
          <w:sz w:val="24"/>
          <w:szCs w:val="24"/>
          <w:lang w:val="es-ES"/>
        </w:rPr>
        <w:t>. La Figura 1 muestra cómo</w:t>
      </w:r>
      <w:r w:rsidR="00862EAC" w:rsidRPr="00580F2E">
        <w:rPr>
          <w:rFonts w:ascii="Times New Roman" w:hAnsi="Times New Roman" w:cs="Times New Roman"/>
          <w:sz w:val="24"/>
          <w:szCs w:val="24"/>
          <w:lang w:val="es-ES"/>
        </w:rPr>
        <w:t xml:space="preserve"> las</w:t>
      </w:r>
      <w:r w:rsidR="00DE479F" w:rsidRPr="00580F2E">
        <w:rPr>
          <w:rFonts w:ascii="Times New Roman" w:hAnsi="Times New Roman" w:cs="Times New Roman"/>
          <w:sz w:val="24"/>
          <w:szCs w:val="24"/>
          <w:lang w:val="es-ES"/>
        </w:rPr>
        <w:t xml:space="preserve"> tasas de desempleo caen consistentemente en distintos cohortes de edad.</w:t>
      </w:r>
      <w:r w:rsidR="00F351C4" w:rsidRPr="00580F2E">
        <w:rPr>
          <w:rFonts w:ascii="Times New Roman" w:hAnsi="Times New Roman" w:cs="Times New Roman"/>
          <w:sz w:val="24"/>
          <w:szCs w:val="24"/>
          <w:lang w:val="es-ES"/>
        </w:rPr>
        <w:t xml:space="preserve"> </w:t>
      </w:r>
      <w:r w:rsidR="006861AF" w:rsidRPr="00580F2E">
        <w:rPr>
          <w:rFonts w:ascii="Times New Roman" w:hAnsi="Times New Roman" w:cs="Times New Roman"/>
          <w:sz w:val="24"/>
          <w:szCs w:val="24"/>
          <w:lang w:val="es-ES"/>
        </w:rPr>
        <w:t>Respecto a ello</w:t>
      </w:r>
      <w:r w:rsidR="00F351C4" w:rsidRPr="00580F2E">
        <w:rPr>
          <w:rFonts w:ascii="Times New Roman" w:hAnsi="Times New Roman" w:cs="Times New Roman"/>
          <w:sz w:val="24"/>
          <w:szCs w:val="24"/>
          <w:lang w:val="es-ES"/>
        </w:rPr>
        <w:t xml:space="preserve">, se </w:t>
      </w:r>
      <w:r w:rsidR="00043CE3" w:rsidRPr="00580F2E">
        <w:rPr>
          <w:rFonts w:ascii="Times New Roman" w:hAnsi="Times New Roman" w:cs="Times New Roman"/>
          <w:sz w:val="24"/>
          <w:szCs w:val="24"/>
          <w:lang w:val="es-ES"/>
        </w:rPr>
        <w:t>sabe</w:t>
      </w:r>
      <w:r w:rsidR="00F351C4" w:rsidRPr="00580F2E">
        <w:rPr>
          <w:rFonts w:ascii="Times New Roman" w:hAnsi="Times New Roman" w:cs="Times New Roman"/>
          <w:sz w:val="24"/>
          <w:szCs w:val="24"/>
          <w:lang w:val="es-ES"/>
        </w:rPr>
        <w:t xml:space="preserve"> que la duración del empleo para jóvenes resulta más baja, debido a que la propensión de transitar entre empleos es alta comparada con los adultos (</w:t>
      </w:r>
      <w:r w:rsidR="008E51BF" w:rsidRPr="00580F2E">
        <w:rPr>
          <w:rFonts w:ascii="Times New Roman" w:hAnsi="Times New Roman" w:cs="Times New Roman"/>
          <w:sz w:val="24"/>
          <w:szCs w:val="24"/>
          <w:lang w:val="es-ES"/>
        </w:rPr>
        <w:t>Topel y Ward, 1992</w:t>
      </w:r>
      <w:r w:rsidR="00F351C4" w:rsidRPr="00580F2E">
        <w:rPr>
          <w:rFonts w:ascii="Times New Roman" w:hAnsi="Times New Roman" w:cs="Times New Roman"/>
          <w:sz w:val="24"/>
          <w:szCs w:val="24"/>
          <w:lang w:val="es-ES"/>
        </w:rPr>
        <w:t>).</w:t>
      </w:r>
      <w:r w:rsidR="0028299D" w:rsidRPr="00580F2E">
        <w:rPr>
          <w:rFonts w:ascii="Times New Roman" w:hAnsi="Times New Roman" w:cs="Times New Roman"/>
          <w:sz w:val="24"/>
          <w:szCs w:val="24"/>
          <w:lang w:val="es-ES"/>
        </w:rPr>
        <w:t xml:space="preserve"> No obstante, varios puntos se deben notar respecto del mercado laboral para jóvenes, y que no responden sólo a un efecto de experiencia laboral</w:t>
      </w:r>
      <w:r w:rsidR="001E63CD" w:rsidRPr="00580F2E">
        <w:rPr>
          <w:rFonts w:ascii="Times New Roman" w:hAnsi="Times New Roman" w:cs="Times New Roman"/>
          <w:sz w:val="24"/>
          <w:szCs w:val="24"/>
          <w:lang w:val="es-ES"/>
        </w:rPr>
        <w:t xml:space="preserve"> o</w:t>
      </w:r>
      <w:r w:rsidR="00436663" w:rsidRPr="00580F2E">
        <w:rPr>
          <w:rFonts w:ascii="Times New Roman" w:hAnsi="Times New Roman" w:cs="Times New Roman"/>
          <w:sz w:val="24"/>
          <w:szCs w:val="24"/>
          <w:lang w:val="es-ES"/>
        </w:rPr>
        <w:t xml:space="preserve"> de la dinámica inherente de movilidad entre empleos.</w:t>
      </w:r>
    </w:p>
    <w:p w:rsidR="00043CE3" w:rsidRPr="00580F2E" w:rsidRDefault="00862EAC" w:rsidP="00043CE3">
      <w:pPr>
        <w:pStyle w:val="ListParagraph"/>
        <w:spacing w:after="0" w:line="360" w:lineRule="auto"/>
        <w:ind w:left="0" w:firstLine="709"/>
        <w:jc w:val="both"/>
        <w:rPr>
          <w:rFonts w:ascii="Times New Roman" w:hAnsi="Times New Roman" w:cs="Times New Roman"/>
          <w:lang w:val="es-ES"/>
        </w:rPr>
      </w:pPr>
      <w:r w:rsidRPr="00580F2E">
        <w:rPr>
          <w:rFonts w:ascii="Times New Roman" w:hAnsi="Times New Roman" w:cs="Times New Roman"/>
          <w:sz w:val="24"/>
          <w:szCs w:val="24"/>
          <w:lang w:val="es-ES"/>
        </w:rPr>
        <w:t>En primer lugar, de la Figura 5</w:t>
      </w:r>
      <w:r w:rsidR="0028299D" w:rsidRPr="00580F2E">
        <w:rPr>
          <w:rFonts w:ascii="Times New Roman" w:hAnsi="Times New Roman" w:cs="Times New Roman"/>
          <w:sz w:val="24"/>
          <w:szCs w:val="24"/>
          <w:lang w:val="es-ES"/>
        </w:rPr>
        <w:t xml:space="preserve"> se desprende que la brecha en desempleo depende del ciclo económico. </w:t>
      </w:r>
      <w:r w:rsidRPr="00580F2E">
        <w:rPr>
          <w:rFonts w:ascii="Times New Roman" w:hAnsi="Times New Roman" w:cs="Times New Roman"/>
          <w:sz w:val="24"/>
          <w:szCs w:val="24"/>
          <w:lang w:val="es-ES"/>
        </w:rPr>
        <w:t>De hecho, en</w:t>
      </w:r>
      <w:r w:rsidR="0028299D" w:rsidRPr="00580F2E">
        <w:rPr>
          <w:rFonts w:ascii="Times New Roman" w:hAnsi="Times New Roman" w:cs="Times New Roman"/>
          <w:sz w:val="24"/>
          <w:szCs w:val="24"/>
          <w:lang w:val="es-ES"/>
        </w:rPr>
        <w:t xml:space="preserve"> períodos de recesión como los acontecidos </w:t>
      </w:r>
      <w:r w:rsidR="00043CE3" w:rsidRPr="00580F2E">
        <w:rPr>
          <w:rFonts w:ascii="Times New Roman" w:hAnsi="Times New Roman" w:cs="Times New Roman"/>
          <w:sz w:val="24"/>
          <w:szCs w:val="24"/>
          <w:lang w:val="es-ES"/>
        </w:rPr>
        <w:t xml:space="preserve">en </w:t>
      </w:r>
      <w:r w:rsidR="0028299D" w:rsidRPr="00580F2E">
        <w:rPr>
          <w:rFonts w:ascii="Times New Roman" w:hAnsi="Times New Roman" w:cs="Times New Roman"/>
          <w:sz w:val="24"/>
          <w:szCs w:val="24"/>
          <w:lang w:val="es-ES"/>
        </w:rPr>
        <w:t xml:space="preserve">los años 1998 y 2009, la tasa de desempleo para cohortes más </w:t>
      </w:r>
      <w:r w:rsidR="00043CE3" w:rsidRPr="00580F2E">
        <w:rPr>
          <w:rFonts w:ascii="Times New Roman" w:hAnsi="Times New Roman" w:cs="Times New Roman"/>
          <w:sz w:val="24"/>
          <w:szCs w:val="24"/>
          <w:lang w:val="es-ES"/>
        </w:rPr>
        <w:t xml:space="preserve">los </w:t>
      </w:r>
      <w:r w:rsidR="0028299D" w:rsidRPr="00580F2E">
        <w:rPr>
          <w:rFonts w:ascii="Times New Roman" w:hAnsi="Times New Roman" w:cs="Times New Roman"/>
          <w:sz w:val="24"/>
          <w:szCs w:val="24"/>
          <w:lang w:val="es-ES"/>
        </w:rPr>
        <w:t>jóvenes puede incluso superar el 30%. En ello influye</w:t>
      </w:r>
      <w:r w:rsidRPr="00580F2E">
        <w:rPr>
          <w:rFonts w:ascii="Times New Roman" w:hAnsi="Times New Roman" w:cs="Times New Roman"/>
          <w:sz w:val="24"/>
          <w:szCs w:val="24"/>
          <w:lang w:val="es-ES"/>
        </w:rPr>
        <w:t>n</w:t>
      </w:r>
      <w:r w:rsidR="0028299D" w:rsidRPr="00580F2E">
        <w:rPr>
          <w:rFonts w:ascii="Times New Roman" w:hAnsi="Times New Roman" w:cs="Times New Roman"/>
          <w:sz w:val="24"/>
          <w:szCs w:val="24"/>
          <w:lang w:val="es-ES"/>
        </w:rPr>
        <w:t xml:space="preserve"> ciertos rasgos de la institucionalidad en Chile, específicamente, la existencia de costos de despido relativamente más bajos para jóvenes (</w:t>
      </w:r>
      <w:r w:rsidR="00043CE3" w:rsidRPr="00580F2E">
        <w:rPr>
          <w:rFonts w:ascii="Times New Roman" w:hAnsi="Times New Roman" w:cs="Times New Roman"/>
          <w:sz w:val="24"/>
          <w:szCs w:val="24"/>
          <w:lang w:val="es-ES"/>
        </w:rPr>
        <w:t>Montenegro y Pagés, 2007</w:t>
      </w:r>
      <w:r w:rsidR="0028299D" w:rsidRPr="00580F2E">
        <w:rPr>
          <w:rFonts w:ascii="Times New Roman" w:hAnsi="Times New Roman" w:cs="Times New Roman"/>
          <w:sz w:val="24"/>
          <w:szCs w:val="24"/>
          <w:lang w:val="es-ES"/>
        </w:rPr>
        <w:t xml:space="preserve">). </w:t>
      </w:r>
      <w:r w:rsidR="00DC2393" w:rsidRPr="00580F2E">
        <w:rPr>
          <w:rFonts w:ascii="Times New Roman" w:hAnsi="Times New Roman" w:cs="Times New Roman"/>
          <w:sz w:val="24"/>
          <w:szCs w:val="24"/>
          <w:lang w:val="es-ES"/>
        </w:rPr>
        <w:t>Esta dependencia</w:t>
      </w:r>
      <w:r w:rsidR="0028299D" w:rsidRPr="00580F2E">
        <w:rPr>
          <w:rFonts w:ascii="Times New Roman" w:hAnsi="Times New Roman" w:cs="Times New Roman"/>
          <w:sz w:val="24"/>
          <w:szCs w:val="24"/>
          <w:lang w:val="es-ES"/>
        </w:rPr>
        <w:t xml:space="preserve"> </w:t>
      </w:r>
      <w:r w:rsidR="00DC2393" w:rsidRPr="00580F2E">
        <w:rPr>
          <w:rFonts w:ascii="Times New Roman" w:hAnsi="Times New Roman" w:cs="Times New Roman"/>
          <w:sz w:val="24"/>
          <w:szCs w:val="24"/>
          <w:lang w:val="es-ES"/>
        </w:rPr>
        <w:t>de</w:t>
      </w:r>
      <w:r w:rsidR="0028299D" w:rsidRPr="00580F2E">
        <w:rPr>
          <w:rFonts w:ascii="Times New Roman" w:hAnsi="Times New Roman" w:cs="Times New Roman"/>
          <w:sz w:val="24"/>
          <w:szCs w:val="24"/>
          <w:lang w:val="es-ES"/>
        </w:rPr>
        <w:t xml:space="preserve"> la brecha en desempleo </w:t>
      </w:r>
      <w:r w:rsidR="00DC2393" w:rsidRPr="00580F2E">
        <w:rPr>
          <w:rFonts w:ascii="Times New Roman" w:hAnsi="Times New Roman" w:cs="Times New Roman"/>
          <w:sz w:val="24"/>
          <w:szCs w:val="24"/>
          <w:lang w:val="es-ES"/>
        </w:rPr>
        <w:t xml:space="preserve">sobre el ciclo </w:t>
      </w:r>
      <w:r w:rsidR="0028299D" w:rsidRPr="00580F2E">
        <w:rPr>
          <w:rFonts w:ascii="Times New Roman" w:hAnsi="Times New Roman" w:cs="Times New Roman"/>
          <w:sz w:val="24"/>
          <w:szCs w:val="24"/>
          <w:lang w:val="es-ES"/>
        </w:rPr>
        <w:t xml:space="preserve">requiere de mecanismos específicos para facilitar la entrada de jóvenes a la fuerza laboral en </w:t>
      </w:r>
      <w:r w:rsidR="00DC2393" w:rsidRPr="00580F2E">
        <w:rPr>
          <w:rFonts w:ascii="Times New Roman" w:hAnsi="Times New Roman" w:cs="Times New Roman"/>
          <w:sz w:val="24"/>
          <w:szCs w:val="24"/>
          <w:lang w:val="es-ES"/>
        </w:rPr>
        <w:t>períodos</w:t>
      </w:r>
      <w:r w:rsidR="0028299D" w:rsidRPr="00580F2E">
        <w:rPr>
          <w:rFonts w:ascii="Times New Roman" w:hAnsi="Times New Roman" w:cs="Times New Roman"/>
          <w:sz w:val="24"/>
          <w:szCs w:val="24"/>
          <w:lang w:val="es-ES"/>
        </w:rPr>
        <w:t xml:space="preserve"> de </w:t>
      </w:r>
      <w:r w:rsidR="00DC2393" w:rsidRPr="00580F2E">
        <w:rPr>
          <w:rFonts w:ascii="Times New Roman" w:hAnsi="Times New Roman" w:cs="Times New Roman"/>
          <w:sz w:val="24"/>
          <w:szCs w:val="24"/>
          <w:lang w:val="es-ES"/>
        </w:rPr>
        <w:t xml:space="preserve">alto </w:t>
      </w:r>
      <w:r w:rsidR="0028299D" w:rsidRPr="00580F2E">
        <w:rPr>
          <w:rFonts w:ascii="Times New Roman" w:hAnsi="Times New Roman" w:cs="Times New Roman"/>
          <w:sz w:val="24"/>
          <w:szCs w:val="24"/>
          <w:lang w:val="es-ES"/>
        </w:rPr>
        <w:t>desempleo.</w:t>
      </w:r>
      <w:r w:rsidR="0028299D" w:rsidRPr="00580F2E">
        <w:rPr>
          <w:rStyle w:val="FootnoteReference"/>
          <w:rFonts w:ascii="Times New Roman" w:hAnsi="Times New Roman" w:cs="Times New Roman"/>
          <w:sz w:val="24"/>
          <w:szCs w:val="24"/>
          <w:lang w:val="es-ES"/>
        </w:rPr>
        <w:footnoteReference w:id="8"/>
      </w:r>
    </w:p>
    <w:p w:rsidR="00043CE3" w:rsidRPr="00580F2E" w:rsidRDefault="00043CE3" w:rsidP="00043CE3">
      <w:pPr>
        <w:pStyle w:val="ListParagraph"/>
        <w:spacing w:after="0" w:line="360" w:lineRule="auto"/>
        <w:ind w:left="0"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Sin embargo, debe destacarse que dentro del grupo de jóvenes existe una amplia heterogeneidad de competencias para el trabajo. Ello se asocia a distintos stocks de capital humano adquirido. Controlando por cohorte de edad, individuos que no completaron las etapas en educación secundaria tienen, sistemáticamente, altas tasas de desempleo y salarios más bajos en relación a individuos con educación terciaria completa (Figura 6). Además, estas diferencias en salarios se acentúan a medida que individuos ganan experiencia. Ello explica además la persistencia en las tasas de pobreza para aquellos grupos de menor educación (Figura 6, panel c).</w:t>
      </w:r>
    </w:p>
    <w:p w:rsidR="00043CE3" w:rsidRPr="00580F2E" w:rsidRDefault="00043CE3" w:rsidP="00043CE3">
      <w:pPr>
        <w:pStyle w:val="ListParagraph"/>
        <w:spacing w:after="0" w:line="360" w:lineRule="auto"/>
        <w:ind w:left="0" w:firstLine="709"/>
        <w:jc w:val="both"/>
        <w:rPr>
          <w:rFonts w:ascii="Times New Roman" w:hAnsi="Times New Roman" w:cs="Times New Roman"/>
          <w:sz w:val="24"/>
          <w:szCs w:val="24"/>
          <w:lang w:val="es-ES"/>
        </w:rPr>
      </w:pPr>
    </w:p>
    <w:p w:rsidR="00DE479F" w:rsidRPr="00580F2E" w:rsidRDefault="00DE479F" w:rsidP="009563D7">
      <w:pPr>
        <w:pStyle w:val="ListParagraph"/>
        <w:spacing w:after="0"/>
        <w:ind w:left="0"/>
        <w:jc w:val="center"/>
        <w:rPr>
          <w:rFonts w:ascii="Times New Roman" w:hAnsi="Times New Roman" w:cs="Times New Roman"/>
          <w:b/>
          <w:lang w:val="es-ES"/>
        </w:rPr>
      </w:pPr>
      <w:r w:rsidRPr="00580F2E">
        <w:rPr>
          <w:rFonts w:ascii="Times New Roman" w:hAnsi="Times New Roman" w:cs="Times New Roman"/>
          <w:b/>
          <w:lang w:val="es-ES"/>
        </w:rPr>
        <w:lastRenderedPageBreak/>
        <w:t>Figura</w:t>
      </w:r>
      <w:r w:rsidR="00862EAC" w:rsidRPr="00580F2E">
        <w:rPr>
          <w:rFonts w:ascii="Times New Roman" w:hAnsi="Times New Roman" w:cs="Times New Roman"/>
          <w:b/>
          <w:lang w:val="es-ES"/>
        </w:rPr>
        <w:t xml:space="preserve"> 5</w:t>
      </w:r>
      <w:r w:rsidRPr="00580F2E">
        <w:rPr>
          <w:rFonts w:ascii="Times New Roman" w:hAnsi="Times New Roman" w:cs="Times New Roman"/>
          <w:b/>
          <w:lang w:val="es-ES"/>
        </w:rPr>
        <w:t>: Desempleo por cohortes de edad y año</w:t>
      </w:r>
    </w:p>
    <w:p w:rsidR="00DE479F" w:rsidRPr="00580F2E" w:rsidRDefault="00DE479F" w:rsidP="009563D7">
      <w:pPr>
        <w:pStyle w:val="ListParagraph"/>
        <w:spacing w:after="0"/>
        <w:ind w:left="0"/>
        <w:jc w:val="both"/>
        <w:rPr>
          <w:rFonts w:ascii="Times New Roman" w:hAnsi="Times New Roman" w:cs="Times New Roman"/>
          <w:lang w:val="es-ES"/>
        </w:rPr>
      </w:pPr>
    </w:p>
    <w:p w:rsidR="00DE479F" w:rsidRPr="00580F2E" w:rsidRDefault="00DE479F" w:rsidP="009563D7">
      <w:pPr>
        <w:pStyle w:val="ListParagraph"/>
        <w:spacing w:after="0"/>
        <w:ind w:left="0"/>
        <w:jc w:val="center"/>
        <w:rPr>
          <w:rFonts w:ascii="Times New Roman" w:hAnsi="Times New Roman" w:cs="Times New Roman"/>
          <w:lang w:val="es-ES"/>
        </w:rPr>
      </w:pPr>
      <w:r w:rsidRPr="00580F2E">
        <w:rPr>
          <w:noProof/>
          <w:lang w:val="es-ES"/>
        </w:rPr>
        <w:drawing>
          <wp:inline distT="0" distB="0" distL="0" distR="0" wp14:anchorId="178DAFC3" wp14:editId="319C83F6">
            <wp:extent cx="3242927" cy="216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242927" cy="2160000"/>
                    </a:xfrm>
                    <a:prstGeom prst="rect">
                      <a:avLst/>
                    </a:prstGeom>
                    <a:noFill/>
                    <a:ln w="9525">
                      <a:noFill/>
                      <a:miter lim="800000"/>
                      <a:headEnd/>
                      <a:tailEnd/>
                    </a:ln>
                  </pic:spPr>
                </pic:pic>
              </a:graphicData>
            </a:graphic>
          </wp:inline>
        </w:drawing>
      </w:r>
    </w:p>
    <w:p w:rsidR="00DE479F" w:rsidRPr="00580F2E" w:rsidRDefault="00DE479F" w:rsidP="009563D7">
      <w:pPr>
        <w:pStyle w:val="ListParagraph"/>
        <w:spacing w:after="0"/>
        <w:ind w:left="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CASEN (2009).</w:t>
      </w:r>
    </w:p>
    <w:p w:rsidR="00DE479F" w:rsidRPr="00580F2E" w:rsidRDefault="00DE479F" w:rsidP="009563D7">
      <w:pPr>
        <w:pStyle w:val="ListParagraph"/>
        <w:spacing w:after="0"/>
        <w:ind w:left="0"/>
        <w:jc w:val="both"/>
        <w:rPr>
          <w:rFonts w:ascii="Times New Roman" w:hAnsi="Times New Roman" w:cs="Times New Roman"/>
          <w:lang w:val="es-ES"/>
        </w:rPr>
      </w:pPr>
    </w:p>
    <w:p w:rsidR="00B6777B" w:rsidRPr="00580F2E" w:rsidRDefault="00B6777B" w:rsidP="009563D7">
      <w:pPr>
        <w:pStyle w:val="ListParagraph"/>
        <w:spacing w:after="0"/>
        <w:ind w:left="0"/>
        <w:jc w:val="both"/>
        <w:rPr>
          <w:rFonts w:ascii="Times New Roman" w:hAnsi="Times New Roman" w:cs="Times New Roman"/>
          <w:lang w:val="es-ES"/>
        </w:rPr>
      </w:pPr>
    </w:p>
    <w:p w:rsidR="00B6777B" w:rsidRPr="00580F2E" w:rsidRDefault="00862EAC" w:rsidP="009563D7">
      <w:pPr>
        <w:spacing w:after="0"/>
        <w:jc w:val="center"/>
        <w:rPr>
          <w:rFonts w:ascii="Times New Roman" w:hAnsi="Times New Roman" w:cs="Times New Roman"/>
          <w:b/>
          <w:lang w:val="es-ES"/>
        </w:rPr>
      </w:pPr>
      <w:r w:rsidRPr="00580F2E">
        <w:rPr>
          <w:rFonts w:ascii="Times New Roman" w:hAnsi="Times New Roman" w:cs="Times New Roman"/>
          <w:b/>
          <w:lang w:val="es-ES"/>
        </w:rPr>
        <w:t>Figura 6</w:t>
      </w:r>
      <w:r w:rsidR="00DC2393" w:rsidRPr="00580F2E">
        <w:rPr>
          <w:rFonts w:ascii="Times New Roman" w:hAnsi="Times New Roman" w:cs="Times New Roman"/>
          <w:b/>
          <w:lang w:val="es-ES"/>
        </w:rPr>
        <w:t>: Desempleo y salarios por cohortes de edad y nivel educacional</w:t>
      </w:r>
    </w:p>
    <w:p w:rsidR="00DC2393" w:rsidRPr="00580F2E" w:rsidRDefault="00DC2393" w:rsidP="009563D7">
      <w:pPr>
        <w:spacing w:after="0"/>
        <w:jc w:val="center"/>
        <w:rPr>
          <w:rFonts w:ascii="Times New Roman" w:hAnsi="Times New Roman" w:cs="Times New Roman"/>
          <w:b/>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DC2393" w:rsidRPr="00580F2E" w:rsidTr="00DC2393">
        <w:tc>
          <w:tcPr>
            <w:tcW w:w="4489" w:type="dxa"/>
          </w:tcPr>
          <w:p w:rsidR="00DC2393" w:rsidRPr="00580F2E" w:rsidRDefault="00DC2393" w:rsidP="009563D7">
            <w:pPr>
              <w:pStyle w:val="ListParagraph"/>
              <w:numPr>
                <w:ilvl w:val="0"/>
                <w:numId w:val="9"/>
              </w:numPr>
              <w:jc w:val="center"/>
              <w:rPr>
                <w:rFonts w:ascii="Times New Roman" w:hAnsi="Times New Roman" w:cs="Times New Roman"/>
                <w:b/>
                <w:sz w:val="18"/>
                <w:lang w:val="es-ES"/>
              </w:rPr>
            </w:pPr>
            <w:r w:rsidRPr="00580F2E">
              <w:rPr>
                <w:rFonts w:ascii="Times New Roman" w:hAnsi="Times New Roman" w:cs="Times New Roman"/>
                <w:b/>
                <w:sz w:val="18"/>
                <w:lang w:val="es-ES"/>
              </w:rPr>
              <w:t>Tasa de desempleo</w:t>
            </w:r>
          </w:p>
        </w:tc>
        <w:tc>
          <w:tcPr>
            <w:tcW w:w="4489" w:type="dxa"/>
          </w:tcPr>
          <w:p w:rsidR="00DC2393" w:rsidRPr="00580F2E" w:rsidRDefault="00DC2393" w:rsidP="009563D7">
            <w:pPr>
              <w:pStyle w:val="ListParagraph"/>
              <w:numPr>
                <w:ilvl w:val="0"/>
                <w:numId w:val="9"/>
              </w:numPr>
              <w:jc w:val="center"/>
              <w:rPr>
                <w:rFonts w:ascii="Times New Roman" w:hAnsi="Times New Roman" w:cs="Times New Roman"/>
                <w:b/>
                <w:sz w:val="18"/>
                <w:lang w:val="es-ES"/>
              </w:rPr>
            </w:pPr>
            <w:r w:rsidRPr="00580F2E">
              <w:rPr>
                <w:rFonts w:ascii="Times New Roman" w:hAnsi="Times New Roman" w:cs="Times New Roman"/>
                <w:b/>
                <w:sz w:val="18"/>
                <w:lang w:val="es-ES"/>
              </w:rPr>
              <w:t>Salarios</w:t>
            </w:r>
          </w:p>
        </w:tc>
      </w:tr>
      <w:tr w:rsidR="00DC2393" w:rsidRPr="00580F2E" w:rsidTr="00DC2393">
        <w:tc>
          <w:tcPr>
            <w:tcW w:w="4489" w:type="dxa"/>
          </w:tcPr>
          <w:p w:rsidR="00DC2393" w:rsidRPr="00580F2E" w:rsidRDefault="00DC2393" w:rsidP="009563D7">
            <w:pPr>
              <w:jc w:val="center"/>
              <w:rPr>
                <w:rFonts w:ascii="Times New Roman" w:hAnsi="Times New Roman" w:cs="Times New Roman"/>
                <w:b/>
                <w:lang w:val="es-ES"/>
              </w:rPr>
            </w:pPr>
            <w:r w:rsidRPr="00580F2E">
              <w:rPr>
                <w:rFonts w:ascii="Times New Roman" w:hAnsi="Times New Roman" w:cs="Times New Roman"/>
                <w:b/>
                <w:noProof/>
                <w:lang w:val="es-ES"/>
              </w:rPr>
              <w:drawing>
                <wp:inline distT="0" distB="0" distL="0" distR="0" wp14:anchorId="5C7F5014" wp14:editId="1B2FF5B2">
                  <wp:extent cx="2482466" cy="18000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482466" cy="1800000"/>
                          </a:xfrm>
                          <a:prstGeom prst="rect">
                            <a:avLst/>
                          </a:prstGeom>
                          <a:noFill/>
                          <a:ln w="9525">
                            <a:noFill/>
                            <a:miter lim="800000"/>
                            <a:headEnd/>
                            <a:tailEnd/>
                          </a:ln>
                        </pic:spPr>
                      </pic:pic>
                    </a:graphicData>
                  </a:graphic>
                </wp:inline>
              </w:drawing>
            </w:r>
          </w:p>
        </w:tc>
        <w:tc>
          <w:tcPr>
            <w:tcW w:w="4489" w:type="dxa"/>
          </w:tcPr>
          <w:p w:rsidR="00DC2393" w:rsidRPr="00580F2E" w:rsidRDefault="00A46380" w:rsidP="009563D7">
            <w:pPr>
              <w:jc w:val="center"/>
              <w:rPr>
                <w:rFonts w:ascii="Times New Roman" w:hAnsi="Times New Roman" w:cs="Times New Roman"/>
                <w:b/>
                <w:lang w:val="es-ES"/>
              </w:rPr>
            </w:pPr>
            <w:r w:rsidRPr="00580F2E">
              <w:rPr>
                <w:rFonts w:ascii="Times New Roman" w:hAnsi="Times New Roman" w:cs="Times New Roman"/>
                <w:b/>
                <w:noProof/>
                <w:lang w:val="es-ES"/>
              </w:rPr>
              <w:drawing>
                <wp:inline distT="0" distB="0" distL="0" distR="0" wp14:anchorId="19F16CC2" wp14:editId="5DE5FFB4">
                  <wp:extent cx="2632161" cy="1800000"/>
                  <wp:effectExtent l="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632161" cy="1800000"/>
                          </a:xfrm>
                          <a:prstGeom prst="rect">
                            <a:avLst/>
                          </a:prstGeom>
                          <a:noFill/>
                          <a:ln w="9525">
                            <a:noFill/>
                            <a:miter lim="800000"/>
                            <a:headEnd/>
                            <a:tailEnd/>
                          </a:ln>
                        </pic:spPr>
                      </pic:pic>
                    </a:graphicData>
                  </a:graphic>
                </wp:inline>
              </w:drawing>
            </w:r>
          </w:p>
        </w:tc>
      </w:tr>
      <w:tr w:rsidR="00A46380" w:rsidRPr="00580F2E" w:rsidTr="005B58EB">
        <w:tc>
          <w:tcPr>
            <w:tcW w:w="8978" w:type="dxa"/>
            <w:gridSpan w:val="2"/>
          </w:tcPr>
          <w:p w:rsidR="00A46380" w:rsidRPr="00580F2E" w:rsidRDefault="00A46380" w:rsidP="009563D7">
            <w:pPr>
              <w:pStyle w:val="ListParagraph"/>
              <w:numPr>
                <w:ilvl w:val="0"/>
                <w:numId w:val="9"/>
              </w:numPr>
              <w:jc w:val="center"/>
              <w:rPr>
                <w:rFonts w:ascii="Times New Roman" w:hAnsi="Times New Roman" w:cs="Times New Roman"/>
                <w:b/>
                <w:noProof/>
                <w:lang w:val="es-ES" w:eastAsia="es-CL"/>
              </w:rPr>
            </w:pPr>
            <w:r w:rsidRPr="00580F2E">
              <w:rPr>
                <w:rFonts w:ascii="Times New Roman" w:hAnsi="Times New Roman" w:cs="Times New Roman"/>
                <w:b/>
                <w:noProof/>
                <w:sz w:val="18"/>
                <w:lang w:val="es-ES" w:eastAsia="es-CL"/>
              </w:rPr>
              <w:t>Tasa de pobreza</w:t>
            </w:r>
          </w:p>
        </w:tc>
      </w:tr>
      <w:tr w:rsidR="00A46380" w:rsidRPr="00580F2E" w:rsidTr="005B58EB">
        <w:tc>
          <w:tcPr>
            <w:tcW w:w="8978" w:type="dxa"/>
            <w:gridSpan w:val="2"/>
          </w:tcPr>
          <w:p w:rsidR="00A46380" w:rsidRPr="00580F2E" w:rsidRDefault="00A46380" w:rsidP="009563D7">
            <w:pPr>
              <w:jc w:val="center"/>
              <w:rPr>
                <w:rFonts w:ascii="Times New Roman" w:hAnsi="Times New Roman" w:cs="Times New Roman"/>
                <w:b/>
                <w:noProof/>
                <w:lang w:val="es-ES" w:eastAsia="es-CL"/>
              </w:rPr>
            </w:pPr>
            <w:r w:rsidRPr="00580F2E">
              <w:rPr>
                <w:rFonts w:ascii="Times New Roman" w:hAnsi="Times New Roman" w:cs="Times New Roman"/>
                <w:b/>
                <w:noProof/>
                <w:lang w:val="es-ES"/>
              </w:rPr>
              <w:drawing>
                <wp:inline distT="0" distB="0" distL="0" distR="0" wp14:anchorId="5B8F8331" wp14:editId="2BA8D0BC">
                  <wp:extent cx="2681909" cy="1800000"/>
                  <wp:effectExtent l="0" t="0" r="0" b="0"/>
                  <wp:docPr id="1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2681909" cy="1800000"/>
                          </a:xfrm>
                          <a:prstGeom prst="rect">
                            <a:avLst/>
                          </a:prstGeom>
                          <a:noFill/>
                          <a:ln w="9525">
                            <a:noFill/>
                            <a:miter lim="800000"/>
                            <a:headEnd/>
                            <a:tailEnd/>
                          </a:ln>
                        </pic:spPr>
                      </pic:pic>
                    </a:graphicData>
                  </a:graphic>
                </wp:inline>
              </w:drawing>
            </w:r>
          </w:p>
        </w:tc>
      </w:tr>
      <w:tr w:rsidR="00A46380" w:rsidRPr="00580F2E" w:rsidTr="005B58EB">
        <w:tc>
          <w:tcPr>
            <w:tcW w:w="8978" w:type="dxa"/>
            <w:gridSpan w:val="2"/>
          </w:tcPr>
          <w:p w:rsidR="00A46380" w:rsidRPr="00580F2E" w:rsidRDefault="00A46380" w:rsidP="009563D7">
            <w:pPr>
              <w:jc w:val="center"/>
              <w:rPr>
                <w:rFonts w:ascii="Times New Roman" w:hAnsi="Times New Roman" w:cs="Times New Roman"/>
                <w:b/>
                <w:noProof/>
                <w:lang w:val="es-ES" w:eastAsia="es-CL"/>
              </w:rPr>
            </w:pPr>
          </w:p>
        </w:tc>
      </w:tr>
    </w:tbl>
    <w:p w:rsidR="00DC2393" w:rsidRPr="00580F2E" w:rsidRDefault="00DC2393" w:rsidP="009563D7">
      <w:pPr>
        <w:spacing w:after="0"/>
        <w:jc w:val="center"/>
        <w:rPr>
          <w:rFonts w:ascii="Times New Roman" w:hAnsi="Times New Roman" w:cs="Times New Roman"/>
          <w:b/>
          <w:lang w:val="es-ES"/>
        </w:rPr>
      </w:pPr>
    </w:p>
    <w:p w:rsidR="00DC2393" w:rsidRPr="00580F2E" w:rsidRDefault="00DC2393" w:rsidP="009563D7">
      <w:pPr>
        <w:pStyle w:val="ListParagraph"/>
        <w:spacing w:after="0"/>
        <w:ind w:left="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CASEN (2009).</w:t>
      </w:r>
    </w:p>
    <w:p w:rsidR="00A46380" w:rsidRPr="00580F2E" w:rsidRDefault="00A46380" w:rsidP="009563D7">
      <w:pPr>
        <w:pStyle w:val="ListParagraph"/>
        <w:spacing w:after="0"/>
        <w:ind w:left="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Nota: La tasa de pobreza se calcula como la proporción de individuos con ingresos familiares bajo un nivel determinado por la canasta básica sobre la población total en cada grupo. Esta canasta básica se ha calculado en el año 2009 en US$</w:t>
      </w:r>
      <w:r w:rsidR="00862EAC" w:rsidRPr="00580F2E">
        <w:rPr>
          <w:rFonts w:ascii="Times New Roman" w:hAnsi="Times New Roman" w:cs="Times New Roman"/>
          <w:sz w:val="16"/>
          <w:szCs w:val="16"/>
          <w:lang w:val="es-ES"/>
        </w:rPr>
        <w:t>128 y US$87 para zonas urbanas y rurales, respectivamente.</w:t>
      </w:r>
    </w:p>
    <w:p w:rsidR="00075D48" w:rsidRPr="00580F2E" w:rsidRDefault="00075D48" w:rsidP="00043CE3">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Al año 2009, acorde con datos de la encuesta CASEN, 40% de los jóvenes entre 18 y 30 años tenían sólo educación secundaria completa (más de 1 millón 300 mil jóvenes). Por otro lado, 21% de jóvenes en el mismo grupo </w:t>
      </w:r>
      <w:r w:rsidR="0079510F" w:rsidRPr="00580F2E">
        <w:rPr>
          <w:rFonts w:ascii="Times New Roman" w:hAnsi="Times New Roman" w:cs="Times New Roman"/>
          <w:sz w:val="24"/>
          <w:szCs w:val="24"/>
          <w:lang w:val="es-ES"/>
        </w:rPr>
        <w:t>eran</w:t>
      </w:r>
      <w:r w:rsidRPr="00580F2E">
        <w:rPr>
          <w:rFonts w:ascii="Times New Roman" w:hAnsi="Times New Roman" w:cs="Times New Roman"/>
          <w:sz w:val="24"/>
          <w:szCs w:val="24"/>
          <w:lang w:val="es-ES"/>
        </w:rPr>
        <w:t xml:space="preserve"> desertores de educación secundaria, esto es, cerca de 700 mil individuos. Hay evidencia, por lo tanto, de que existe un </w:t>
      </w:r>
      <w:r w:rsidR="00862EAC" w:rsidRPr="00580F2E">
        <w:rPr>
          <w:rFonts w:ascii="Times New Roman" w:hAnsi="Times New Roman" w:cs="Times New Roman"/>
          <w:sz w:val="24"/>
          <w:szCs w:val="24"/>
          <w:lang w:val="es-ES"/>
        </w:rPr>
        <w:t>gran número</w:t>
      </w:r>
      <w:r w:rsidR="00AF4BD5" w:rsidRPr="00580F2E">
        <w:rPr>
          <w:rFonts w:ascii="Times New Roman" w:hAnsi="Times New Roman" w:cs="Times New Roman"/>
          <w:sz w:val="24"/>
          <w:szCs w:val="24"/>
          <w:lang w:val="es-ES"/>
        </w:rPr>
        <w:t xml:space="preserve"> de jóvenes que no accede</w:t>
      </w:r>
      <w:r w:rsidRPr="00580F2E">
        <w:rPr>
          <w:rFonts w:ascii="Times New Roman" w:hAnsi="Times New Roman" w:cs="Times New Roman"/>
          <w:sz w:val="24"/>
          <w:szCs w:val="24"/>
          <w:lang w:val="es-ES"/>
        </w:rPr>
        <w:t xml:space="preserve"> a educación superior, con alto desempleo, bajos salarios y alta probabilidad de caer en pobreza.</w:t>
      </w:r>
    </w:p>
    <w:p w:rsidR="00DC2393" w:rsidRPr="00580F2E" w:rsidRDefault="00DC2393" w:rsidP="009563D7">
      <w:pPr>
        <w:spacing w:after="0"/>
        <w:jc w:val="both"/>
        <w:rPr>
          <w:rFonts w:ascii="Times New Roman" w:hAnsi="Times New Roman" w:cs="Times New Roman"/>
          <w:lang w:val="es-ES"/>
        </w:rPr>
      </w:pPr>
    </w:p>
    <w:p w:rsidR="00B6777B" w:rsidRPr="00580F2E" w:rsidRDefault="00B6777B" w:rsidP="00043CE3">
      <w:pPr>
        <w:pStyle w:val="ListParagraph"/>
        <w:numPr>
          <w:ilvl w:val="1"/>
          <w:numId w:val="7"/>
        </w:numPr>
        <w:spacing w:after="0" w:line="360" w:lineRule="auto"/>
        <w:ind w:firstLine="709"/>
        <w:rPr>
          <w:rFonts w:ascii="Times New Roman" w:hAnsi="Times New Roman" w:cs="Times New Roman"/>
          <w:b/>
          <w:i/>
          <w:lang w:val="es-ES"/>
        </w:rPr>
      </w:pPr>
      <w:r w:rsidRPr="00580F2E">
        <w:rPr>
          <w:rFonts w:ascii="Times New Roman" w:hAnsi="Times New Roman" w:cs="Times New Roman"/>
          <w:b/>
          <w:i/>
          <w:lang w:val="es-ES"/>
        </w:rPr>
        <w:t>Mujeres.</w:t>
      </w:r>
    </w:p>
    <w:p w:rsidR="00075D48" w:rsidRPr="00580F2E" w:rsidRDefault="00075D48" w:rsidP="00043CE3">
      <w:pPr>
        <w:spacing w:after="0" w:line="360" w:lineRule="auto"/>
        <w:ind w:firstLine="709"/>
        <w:rPr>
          <w:rFonts w:ascii="Times New Roman" w:hAnsi="Times New Roman" w:cs="Times New Roman"/>
          <w:lang w:val="es-ES"/>
        </w:rPr>
      </w:pPr>
    </w:p>
    <w:p w:rsidR="00075D48" w:rsidRPr="00580F2E" w:rsidRDefault="00075D48" w:rsidP="00043CE3">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De acuerdo con las cifras presentadas en el Cuadro 1, un problema importante en Chile tiene que ver con los bajos índices de participación laboral de la mujer. Si bien ello pareciera ser una característica </w:t>
      </w:r>
      <w:r w:rsidR="00D66088" w:rsidRPr="00580F2E">
        <w:rPr>
          <w:rFonts w:ascii="Times New Roman" w:hAnsi="Times New Roman" w:cs="Times New Roman"/>
          <w:sz w:val="24"/>
          <w:szCs w:val="24"/>
          <w:lang w:val="es-ES"/>
        </w:rPr>
        <w:t>transversal en distintos países</w:t>
      </w:r>
      <w:r w:rsidRPr="00580F2E">
        <w:rPr>
          <w:rFonts w:ascii="Times New Roman" w:hAnsi="Times New Roman" w:cs="Times New Roman"/>
          <w:sz w:val="24"/>
          <w:szCs w:val="24"/>
          <w:lang w:val="es-ES"/>
        </w:rPr>
        <w:t xml:space="preserve"> </w:t>
      </w:r>
      <w:r w:rsidR="00D66088"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debido a factores como maternidad y otros</w:t>
      </w:r>
      <w:r w:rsidR="00D66088"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en Chile el problema es especialmente grave. </w:t>
      </w:r>
      <w:r w:rsidR="00436663" w:rsidRPr="00580F2E">
        <w:rPr>
          <w:rFonts w:ascii="Times New Roman" w:hAnsi="Times New Roman" w:cs="Times New Roman"/>
          <w:sz w:val="24"/>
          <w:szCs w:val="24"/>
          <w:lang w:val="es-ES"/>
        </w:rPr>
        <w:t>En efecto, d</w:t>
      </w:r>
      <w:r w:rsidRPr="00580F2E">
        <w:rPr>
          <w:rFonts w:ascii="Times New Roman" w:hAnsi="Times New Roman" w:cs="Times New Roman"/>
          <w:sz w:val="24"/>
          <w:szCs w:val="24"/>
          <w:lang w:val="es-ES"/>
        </w:rPr>
        <w:t xml:space="preserve">entro de los países OECD, </w:t>
      </w:r>
      <w:r w:rsidR="00DA08CB" w:rsidRPr="00580F2E">
        <w:rPr>
          <w:rFonts w:ascii="Times New Roman" w:hAnsi="Times New Roman" w:cs="Times New Roman"/>
          <w:sz w:val="24"/>
          <w:szCs w:val="24"/>
          <w:lang w:val="es-ES"/>
        </w:rPr>
        <w:t xml:space="preserve">Chile es una de las economías con más baja participación laboral femenina. No obstante, es también uno de los países más dinámicos en tratar de revertir dicha situación (Figura </w:t>
      </w:r>
      <w:r w:rsidR="00D66088" w:rsidRPr="00580F2E">
        <w:rPr>
          <w:rFonts w:ascii="Times New Roman" w:hAnsi="Times New Roman" w:cs="Times New Roman"/>
          <w:sz w:val="24"/>
          <w:szCs w:val="24"/>
          <w:lang w:val="es-ES"/>
        </w:rPr>
        <w:t>7</w:t>
      </w:r>
      <w:r w:rsidR="00DA08CB" w:rsidRPr="00580F2E">
        <w:rPr>
          <w:rFonts w:ascii="Times New Roman" w:hAnsi="Times New Roman" w:cs="Times New Roman"/>
          <w:sz w:val="24"/>
          <w:szCs w:val="24"/>
          <w:lang w:val="es-ES"/>
        </w:rPr>
        <w:t>).</w:t>
      </w:r>
    </w:p>
    <w:p w:rsidR="00DA08CB" w:rsidRPr="00580F2E" w:rsidRDefault="00DA08CB" w:rsidP="009563D7">
      <w:pPr>
        <w:spacing w:after="0"/>
        <w:rPr>
          <w:rFonts w:ascii="Times New Roman" w:hAnsi="Times New Roman" w:cs="Times New Roman"/>
          <w:lang w:val="es-ES"/>
        </w:rPr>
      </w:pPr>
    </w:p>
    <w:p w:rsidR="0079510F" w:rsidRPr="00580F2E" w:rsidRDefault="0079510F" w:rsidP="0079510F">
      <w:pPr>
        <w:spacing w:after="0"/>
        <w:jc w:val="center"/>
        <w:rPr>
          <w:rFonts w:ascii="Times New Roman" w:hAnsi="Times New Roman" w:cs="Times New Roman"/>
          <w:b/>
          <w:lang w:val="es-ES"/>
        </w:rPr>
      </w:pPr>
      <w:r w:rsidRPr="00580F2E">
        <w:rPr>
          <w:rFonts w:ascii="Times New Roman" w:hAnsi="Times New Roman" w:cs="Times New Roman"/>
          <w:b/>
          <w:lang w:val="es-ES"/>
        </w:rPr>
        <w:t>Figura 7: Tasa de participación laboral femenina en países OECD</w:t>
      </w:r>
    </w:p>
    <w:p w:rsidR="00DA08CB" w:rsidRPr="00580F2E" w:rsidRDefault="0079510F" w:rsidP="009563D7">
      <w:pPr>
        <w:spacing w:after="0"/>
        <w:jc w:val="center"/>
        <w:rPr>
          <w:rFonts w:ascii="Times New Roman" w:hAnsi="Times New Roman" w:cs="Times New Roman"/>
          <w:lang w:val="es-ES"/>
        </w:rPr>
      </w:pPr>
      <w:r w:rsidRPr="00580F2E">
        <w:rPr>
          <w:rFonts w:ascii="Times New Roman" w:hAnsi="Times New Roman" w:cs="Times New Roman"/>
          <w:lang w:val="es-ES"/>
        </w:rPr>
        <w:t xml:space="preserve"> </w:t>
      </w:r>
      <w:r w:rsidR="00DA08CB" w:rsidRPr="00580F2E">
        <w:rPr>
          <w:rFonts w:ascii="Times New Roman" w:hAnsi="Times New Roman" w:cs="Times New Roman"/>
          <w:lang w:val="es-ES"/>
        </w:rPr>
        <w:t>(</w:t>
      </w:r>
      <w:r w:rsidR="00A37423" w:rsidRPr="00580F2E">
        <w:rPr>
          <w:rFonts w:ascii="Times New Roman" w:hAnsi="Times New Roman" w:cs="Times New Roman"/>
          <w:lang w:val="es-ES"/>
        </w:rPr>
        <w:t>Nivel</w:t>
      </w:r>
      <w:r w:rsidR="00DA08CB" w:rsidRPr="00580F2E">
        <w:rPr>
          <w:rFonts w:ascii="Times New Roman" w:hAnsi="Times New Roman" w:cs="Times New Roman"/>
          <w:lang w:val="es-ES"/>
        </w:rPr>
        <w:t xml:space="preserve"> año 2010 y variación 2010-2000)</w:t>
      </w:r>
    </w:p>
    <w:p w:rsidR="00DA08CB" w:rsidRPr="00580F2E" w:rsidRDefault="00DA08CB" w:rsidP="009563D7">
      <w:pPr>
        <w:spacing w:after="0"/>
        <w:jc w:val="center"/>
        <w:rPr>
          <w:rFonts w:ascii="Times New Roman" w:hAnsi="Times New Roman" w:cs="Times New Roman"/>
          <w:lang w:val="es-ES"/>
        </w:rPr>
      </w:pPr>
    </w:p>
    <w:p w:rsidR="00DA08CB" w:rsidRPr="00580F2E" w:rsidRDefault="00DA08CB" w:rsidP="009563D7">
      <w:pPr>
        <w:spacing w:after="0"/>
        <w:jc w:val="center"/>
        <w:rPr>
          <w:rFonts w:ascii="Times New Roman" w:hAnsi="Times New Roman" w:cs="Times New Roman"/>
          <w:lang w:val="es-ES"/>
        </w:rPr>
      </w:pPr>
      <w:r w:rsidRPr="00580F2E">
        <w:rPr>
          <w:noProof/>
          <w:lang w:val="es-ES"/>
        </w:rPr>
        <w:drawing>
          <wp:inline distT="0" distB="0" distL="0" distR="0" wp14:anchorId="065C7F49" wp14:editId="258BD5D5">
            <wp:extent cx="4401040" cy="2880000"/>
            <wp:effectExtent l="0" t="0" r="0" b="0"/>
            <wp:docPr id="1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4401040" cy="2880000"/>
                    </a:xfrm>
                    <a:prstGeom prst="rect">
                      <a:avLst/>
                    </a:prstGeom>
                    <a:noFill/>
                    <a:ln w="9525">
                      <a:noFill/>
                      <a:miter lim="800000"/>
                      <a:headEnd/>
                      <a:tailEnd/>
                    </a:ln>
                  </pic:spPr>
                </pic:pic>
              </a:graphicData>
            </a:graphic>
          </wp:inline>
        </w:drawing>
      </w:r>
    </w:p>
    <w:p w:rsidR="00075D48" w:rsidRPr="00580F2E" w:rsidRDefault="00075D48" w:rsidP="009563D7">
      <w:pPr>
        <w:spacing w:after="0"/>
        <w:rPr>
          <w:rFonts w:ascii="Times New Roman" w:hAnsi="Times New Roman" w:cs="Times New Roman"/>
          <w:lang w:val="es-ES"/>
        </w:rPr>
      </w:pPr>
    </w:p>
    <w:p w:rsidR="00DA08CB" w:rsidRPr="00580F2E" w:rsidRDefault="00DA08CB" w:rsidP="009563D7">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OECD.</w:t>
      </w:r>
    </w:p>
    <w:p w:rsidR="00436663" w:rsidRPr="00580F2E" w:rsidRDefault="00436663" w:rsidP="00043CE3">
      <w:pPr>
        <w:spacing w:after="0" w:line="360" w:lineRule="auto"/>
        <w:ind w:firstLine="709"/>
        <w:rPr>
          <w:rFonts w:ascii="Times New Roman" w:hAnsi="Times New Roman" w:cs="Times New Roman"/>
          <w:sz w:val="16"/>
          <w:szCs w:val="16"/>
          <w:lang w:val="es-ES"/>
        </w:rPr>
      </w:pPr>
    </w:p>
    <w:p w:rsidR="00F33EBB" w:rsidRPr="00580F2E" w:rsidRDefault="00DA08CB"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La evidencia </w:t>
      </w:r>
      <w:r w:rsidR="00436663" w:rsidRPr="00580F2E">
        <w:rPr>
          <w:rFonts w:ascii="Times New Roman" w:hAnsi="Times New Roman" w:cs="Times New Roman"/>
          <w:sz w:val="24"/>
          <w:szCs w:val="24"/>
          <w:lang w:val="es-ES"/>
        </w:rPr>
        <w:t>comparada</w:t>
      </w:r>
      <w:r w:rsidRPr="00580F2E">
        <w:rPr>
          <w:rFonts w:ascii="Times New Roman" w:hAnsi="Times New Roman" w:cs="Times New Roman"/>
          <w:sz w:val="24"/>
          <w:szCs w:val="24"/>
          <w:lang w:val="es-ES"/>
        </w:rPr>
        <w:t xml:space="preserve"> y el significativo dinamismo que </w:t>
      </w:r>
      <w:r w:rsidR="00163F88" w:rsidRPr="00580F2E">
        <w:rPr>
          <w:rFonts w:ascii="Times New Roman" w:hAnsi="Times New Roman" w:cs="Times New Roman"/>
          <w:sz w:val="24"/>
          <w:szCs w:val="24"/>
          <w:lang w:val="es-ES"/>
        </w:rPr>
        <w:t>caracteriza</w:t>
      </w:r>
      <w:r w:rsidRPr="00580F2E">
        <w:rPr>
          <w:rFonts w:ascii="Times New Roman" w:hAnsi="Times New Roman" w:cs="Times New Roman"/>
          <w:sz w:val="24"/>
          <w:szCs w:val="24"/>
          <w:lang w:val="es-ES"/>
        </w:rPr>
        <w:t xml:space="preserve"> </w:t>
      </w:r>
      <w:r w:rsidR="00163F88" w:rsidRPr="00580F2E">
        <w:rPr>
          <w:rFonts w:ascii="Times New Roman" w:hAnsi="Times New Roman" w:cs="Times New Roman"/>
          <w:sz w:val="24"/>
          <w:szCs w:val="24"/>
          <w:lang w:val="es-ES"/>
        </w:rPr>
        <w:t>la</w:t>
      </w:r>
      <w:r w:rsidRPr="00580F2E">
        <w:rPr>
          <w:rFonts w:ascii="Times New Roman" w:hAnsi="Times New Roman" w:cs="Times New Roman"/>
          <w:sz w:val="24"/>
          <w:szCs w:val="24"/>
          <w:lang w:val="es-ES"/>
        </w:rPr>
        <w:t xml:space="preserve"> fuerza laboral femenina </w:t>
      </w:r>
      <w:r w:rsidR="00EC4A18" w:rsidRPr="00580F2E">
        <w:rPr>
          <w:rFonts w:ascii="Times New Roman" w:hAnsi="Times New Roman" w:cs="Times New Roman"/>
          <w:sz w:val="24"/>
          <w:szCs w:val="24"/>
          <w:lang w:val="es-ES"/>
        </w:rPr>
        <w:t>h</w:t>
      </w:r>
      <w:r w:rsidRPr="00580F2E">
        <w:rPr>
          <w:rFonts w:ascii="Times New Roman" w:hAnsi="Times New Roman" w:cs="Times New Roman"/>
          <w:sz w:val="24"/>
          <w:szCs w:val="24"/>
          <w:lang w:val="es-ES"/>
        </w:rPr>
        <w:t>a</w:t>
      </w:r>
      <w:r w:rsidR="00EC4A18"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w:t>
      </w:r>
      <w:r w:rsidR="00436663" w:rsidRPr="00580F2E">
        <w:rPr>
          <w:rFonts w:ascii="Times New Roman" w:hAnsi="Times New Roman" w:cs="Times New Roman"/>
          <w:sz w:val="24"/>
          <w:szCs w:val="24"/>
          <w:lang w:val="es-ES"/>
        </w:rPr>
        <w:t>suscitado el interés</w:t>
      </w:r>
      <w:r w:rsidRPr="00580F2E">
        <w:rPr>
          <w:rFonts w:ascii="Times New Roman" w:hAnsi="Times New Roman" w:cs="Times New Roman"/>
          <w:sz w:val="24"/>
          <w:szCs w:val="24"/>
          <w:lang w:val="es-ES"/>
        </w:rPr>
        <w:t xml:space="preserve"> </w:t>
      </w:r>
      <w:r w:rsidR="00EC4A18" w:rsidRPr="00580F2E">
        <w:rPr>
          <w:rFonts w:ascii="Times New Roman" w:hAnsi="Times New Roman" w:cs="Times New Roman"/>
          <w:sz w:val="24"/>
          <w:szCs w:val="24"/>
          <w:lang w:val="es-ES"/>
        </w:rPr>
        <w:t xml:space="preserve">de varios autores </w:t>
      </w:r>
      <w:r w:rsidR="00436663" w:rsidRPr="00580F2E">
        <w:rPr>
          <w:rFonts w:ascii="Times New Roman" w:hAnsi="Times New Roman" w:cs="Times New Roman"/>
          <w:sz w:val="24"/>
          <w:szCs w:val="24"/>
          <w:lang w:val="es-ES"/>
        </w:rPr>
        <w:t>por</w:t>
      </w:r>
      <w:r w:rsidRPr="00580F2E">
        <w:rPr>
          <w:rFonts w:ascii="Times New Roman" w:hAnsi="Times New Roman" w:cs="Times New Roman"/>
          <w:sz w:val="24"/>
          <w:szCs w:val="24"/>
          <w:lang w:val="es-ES"/>
        </w:rPr>
        <w:t xml:space="preserve"> estudiar los determinantes de </w:t>
      </w:r>
      <w:r w:rsidR="00436663" w:rsidRPr="00580F2E">
        <w:rPr>
          <w:rFonts w:ascii="Times New Roman" w:hAnsi="Times New Roman" w:cs="Times New Roman"/>
          <w:sz w:val="24"/>
          <w:szCs w:val="24"/>
          <w:lang w:val="es-ES"/>
        </w:rPr>
        <w:t>tal</w:t>
      </w:r>
      <w:r w:rsidR="00163F88" w:rsidRPr="00580F2E">
        <w:rPr>
          <w:rFonts w:ascii="Times New Roman" w:hAnsi="Times New Roman" w:cs="Times New Roman"/>
          <w:sz w:val="24"/>
          <w:szCs w:val="24"/>
          <w:lang w:val="es-ES"/>
        </w:rPr>
        <w:t>es</w:t>
      </w:r>
      <w:r w:rsidR="00436663" w:rsidRPr="00580F2E">
        <w:rPr>
          <w:rFonts w:ascii="Times New Roman" w:hAnsi="Times New Roman" w:cs="Times New Roman"/>
          <w:sz w:val="24"/>
          <w:szCs w:val="24"/>
          <w:lang w:val="es-ES"/>
        </w:rPr>
        <w:t xml:space="preserve"> fenómeno</w:t>
      </w:r>
      <w:r w:rsidR="00163F88" w:rsidRPr="00580F2E">
        <w:rPr>
          <w:rFonts w:ascii="Times New Roman" w:hAnsi="Times New Roman" w:cs="Times New Roman"/>
          <w:sz w:val="24"/>
          <w:szCs w:val="24"/>
          <w:lang w:val="es-ES"/>
        </w:rPr>
        <w:t>s</w:t>
      </w:r>
      <w:r w:rsidRPr="00580F2E">
        <w:rPr>
          <w:rFonts w:ascii="Times New Roman" w:hAnsi="Times New Roman" w:cs="Times New Roman"/>
          <w:sz w:val="24"/>
          <w:szCs w:val="24"/>
          <w:lang w:val="es-ES"/>
        </w:rPr>
        <w:t>.</w:t>
      </w:r>
      <w:r w:rsidR="00A10FFF" w:rsidRPr="00580F2E">
        <w:rPr>
          <w:rFonts w:ascii="Times New Roman" w:hAnsi="Times New Roman" w:cs="Times New Roman"/>
          <w:sz w:val="24"/>
          <w:szCs w:val="24"/>
          <w:lang w:val="es-ES"/>
        </w:rPr>
        <w:t xml:space="preserve"> Contreras, Mello y Puentes (2010) concluyen que dentro de l</w:t>
      </w:r>
      <w:r w:rsidR="00043CE3" w:rsidRPr="00580F2E">
        <w:rPr>
          <w:rFonts w:ascii="Times New Roman" w:hAnsi="Times New Roman" w:cs="Times New Roman"/>
          <w:sz w:val="24"/>
          <w:szCs w:val="24"/>
          <w:lang w:val="es-ES"/>
        </w:rPr>
        <w:t>as variables</w:t>
      </w:r>
      <w:r w:rsidR="00A10FFF" w:rsidRPr="00580F2E">
        <w:rPr>
          <w:rFonts w:ascii="Times New Roman" w:hAnsi="Times New Roman" w:cs="Times New Roman"/>
          <w:sz w:val="24"/>
          <w:szCs w:val="24"/>
          <w:lang w:val="es-ES"/>
        </w:rPr>
        <w:t xml:space="preserve"> importantes para determinar la entrada de la mujer al mercado del trabajo están el stock de educación, aumentos en el retorno a la escolaridad y el número de niños en el hogar. Anteriormente, Benvin y Perticara (2007) estiman que gran parte de este crecimiento se puede explicar por cambios estructurales</w:t>
      </w:r>
      <w:r w:rsidR="0079510F" w:rsidRPr="00580F2E">
        <w:rPr>
          <w:rFonts w:ascii="Times New Roman" w:hAnsi="Times New Roman" w:cs="Times New Roman"/>
          <w:sz w:val="24"/>
          <w:szCs w:val="24"/>
          <w:lang w:val="es-ES"/>
        </w:rPr>
        <w:t xml:space="preserve"> en preferencias</w:t>
      </w:r>
      <w:r w:rsidR="00A10FFF" w:rsidRPr="00580F2E">
        <w:rPr>
          <w:rFonts w:ascii="Times New Roman" w:hAnsi="Times New Roman" w:cs="Times New Roman"/>
          <w:sz w:val="24"/>
          <w:szCs w:val="24"/>
          <w:lang w:val="es-ES"/>
        </w:rPr>
        <w:t>. Una posible explicación a ello puede tener que ver c</w:t>
      </w:r>
      <w:r w:rsidR="000C34D2" w:rsidRPr="00580F2E">
        <w:rPr>
          <w:rFonts w:ascii="Times New Roman" w:hAnsi="Times New Roman" w:cs="Times New Roman"/>
          <w:sz w:val="24"/>
          <w:szCs w:val="24"/>
          <w:lang w:val="es-ES"/>
        </w:rPr>
        <w:t>on variaciones en actitudes y roles de género. Al respecto, Puentes y Ruiz-Tagle (2011) encuentran una asociación importante entre participación laboral femenina y roles de género. Adicional</w:t>
      </w:r>
      <w:r w:rsidR="00436663" w:rsidRPr="00580F2E">
        <w:rPr>
          <w:rFonts w:ascii="Times New Roman" w:hAnsi="Times New Roman" w:cs="Times New Roman"/>
          <w:sz w:val="24"/>
          <w:szCs w:val="24"/>
          <w:lang w:val="es-ES"/>
        </w:rPr>
        <w:t>mente, Contreras y Plaza (2010)</w:t>
      </w:r>
      <w:r w:rsidR="000C34D2" w:rsidRPr="00580F2E">
        <w:rPr>
          <w:rFonts w:ascii="Times New Roman" w:hAnsi="Times New Roman" w:cs="Times New Roman"/>
          <w:sz w:val="24"/>
          <w:szCs w:val="24"/>
          <w:lang w:val="es-ES"/>
        </w:rPr>
        <w:t xml:space="preserve"> estiman que actitudes tipo “machismo” de la mujer puede explicar bajas tasas de participación laboral, </w:t>
      </w:r>
      <w:r w:rsidR="0079510F" w:rsidRPr="00580F2E">
        <w:rPr>
          <w:rFonts w:ascii="Times New Roman" w:hAnsi="Times New Roman" w:cs="Times New Roman"/>
          <w:sz w:val="24"/>
          <w:szCs w:val="24"/>
          <w:lang w:val="es-ES"/>
        </w:rPr>
        <w:t>pudiendo incluso compensar</w:t>
      </w:r>
      <w:r w:rsidR="000C34D2" w:rsidRPr="00580F2E">
        <w:rPr>
          <w:rFonts w:ascii="Times New Roman" w:hAnsi="Times New Roman" w:cs="Times New Roman"/>
          <w:sz w:val="24"/>
          <w:szCs w:val="24"/>
          <w:lang w:val="es-ES"/>
        </w:rPr>
        <w:t xml:space="preserve"> el efecto que poseen variables asociadas a capital humano.</w:t>
      </w:r>
      <w:r w:rsidR="00F33EBB" w:rsidRPr="00580F2E">
        <w:rPr>
          <w:rFonts w:ascii="Times New Roman" w:hAnsi="Times New Roman" w:cs="Times New Roman"/>
          <w:sz w:val="24"/>
          <w:szCs w:val="24"/>
          <w:lang w:val="es-ES"/>
        </w:rPr>
        <w:t xml:space="preserve"> Recientemente, Puentes y Ruiz-Tagle (2011) encuentran que los roles de género no se explican por variables contemporáneas, actuando más bien como dotación que, posiblemente, se forme en edades tempranas. La importancia de este factor se muestra en el Cuadro 2. Allí, se  presentan distintas respuestas a la pregunta </w:t>
      </w:r>
      <w:r w:rsidR="00F33EBB" w:rsidRPr="00580F2E">
        <w:rPr>
          <w:rFonts w:ascii="Times New Roman" w:hAnsi="Times New Roman" w:cs="Times New Roman"/>
          <w:i/>
          <w:sz w:val="24"/>
          <w:szCs w:val="24"/>
          <w:lang w:val="es-ES"/>
        </w:rPr>
        <w:t>¿Por qué no busca empleo?</w:t>
      </w:r>
      <w:r w:rsidR="00F33EBB" w:rsidRPr="00580F2E">
        <w:rPr>
          <w:rFonts w:ascii="Times New Roman" w:hAnsi="Times New Roman" w:cs="Times New Roman"/>
          <w:sz w:val="24"/>
          <w:szCs w:val="24"/>
          <w:lang w:val="es-ES"/>
        </w:rPr>
        <w:t>, separadas por nivel educacional (CASEN 2009). De aquellas mujeres inactivas con sólo educación secundaria, 49% indica que no busca empleo por “quehaceres del hogar”. Este porcentaje se reduce a poco menos de la mitad para mujeres con educación terciaria. Un factor importante además –independiente del nivel de capital humano– es la presencia de niños en el hogar.</w:t>
      </w:r>
    </w:p>
    <w:p w:rsidR="00EC4A18" w:rsidRPr="00580F2E" w:rsidRDefault="00F33EBB" w:rsidP="00043CE3">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w:t>
      </w:r>
      <w:r w:rsidR="000C34D2" w:rsidRPr="00580F2E">
        <w:rPr>
          <w:rFonts w:ascii="Times New Roman" w:hAnsi="Times New Roman" w:cs="Times New Roman"/>
          <w:sz w:val="24"/>
          <w:szCs w:val="24"/>
          <w:lang w:val="es-ES"/>
        </w:rPr>
        <w:t xml:space="preserve">xiste una vasta heterogeneidad en los niveles de capital humano en las mujeres, lo que da espacio para </w:t>
      </w:r>
      <w:r w:rsidR="00436663" w:rsidRPr="00580F2E">
        <w:rPr>
          <w:rFonts w:ascii="Times New Roman" w:hAnsi="Times New Roman" w:cs="Times New Roman"/>
          <w:sz w:val="24"/>
          <w:szCs w:val="24"/>
          <w:lang w:val="es-ES"/>
        </w:rPr>
        <w:t xml:space="preserve">que </w:t>
      </w:r>
      <w:r w:rsidR="00EC4A18" w:rsidRPr="00580F2E">
        <w:rPr>
          <w:rFonts w:ascii="Times New Roman" w:hAnsi="Times New Roman" w:cs="Times New Roman"/>
          <w:sz w:val="24"/>
          <w:szCs w:val="24"/>
          <w:lang w:val="es-ES"/>
        </w:rPr>
        <w:t>acciones de</w:t>
      </w:r>
      <w:r w:rsidR="000C34D2" w:rsidRPr="00580F2E">
        <w:rPr>
          <w:rFonts w:ascii="Times New Roman" w:hAnsi="Times New Roman" w:cs="Times New Roman"/>
          <w:sz w:val="24"/>
          <w:szCs w:val="24"/>
          <w:lang w:val="es-ES"/>
        </w:rPr>
        <w:t xml:space="preserve"> política pública </w:t>
      </w:r>
      <w:r w:rsidR="00EC4A18" w:rsidRPr="00580F2E">
        <w:rPr>
          <w:rFonts w:ascii="Times New Roman" w:hAnsi="Times New Roman" w:cs="Times New Roman"/>
          <w:sz w:val="24"/>
          <w:szCs w:val="24"/>
          <w:lang w:val="es-ES"/>
        </w:rPr>
        <w:t>puedan</w:t>
      </w:r>
      <w:r w:rsidR="000C34D2" w:rsidRPr="00580F2E">
        <w:rPr>
          <w:rFonts w:ascii="Times New Roman" w:hAnsi="Times New Roman" w:cs="Times New Roman"/>
          <w:sz w:val="24"/>
          <w:szCs w:val="24"/>
          <w:lang w:val="es-ES"/>
        </w:rPr>
        <w:t xml:space="preserve"> inducir mayores tasas de par</w:t>
      </w:r>
      <w:r w:rsidR="00163F88" w:rsidRPr="00580F2E">
        <w:rPr>
          <w:rFonts w:ascii="Times New Roman" w:hAnsi="Times New Roman" w:cs="Times New Roman"/>
          <w:sz w:val="24"/>
          <w:szCs w:val="24"/>
          <w:lang w:val="es-ES"/>
        </w:rPr>
        <w:t>ticipación femenina. La Figura 8</w:t>
      </w:r>
      <w:r w:rsidR="000C34D2" w:rsidRPr="00580F2E">
        <w:rPr>
          <w:rFonts w:ascii="Times New Roman" w:hAnsi="Times New Roman" w:cs="Times New Roman"/>
          <w:sz w:val="24"/>
          <w:szCs w:val="24"/>
          <w:lang w:val="es-ES"/>
        </w:rPr>
        <w:t xml:space="preserve"> muestra que gran parte del aumento en las tasas de participación laboral femenina provienen de estratos con baja educación. </w:t>
      </w:r>
      <w:r w:rsidR="00443822" w:rsidRPr="00580F2E">
        <w:rPr>
          <w:rFonts w:ascii="Times New Roman" w:hAnsi="Times New Roman" w:cs="Times New Roman"/>
          <w:sz w:val="24"/>
          <w:szCs w:val="24"/>
          <w:lang w:val="es-ES"/>
        </w:rPr>
        <w:t>En promedio, según los datos de la encuesta CASEN, 59% de las mujeres entre 25 y 55 años de edad están dentro de la fuerza laboral. Este porcentaje cae a 45</w:t>
      </w:r>
      <w:r w:rsidR="00436663" w:rsidRPr="00580F2E">
        <w:rPr>
          <w:rFonts w:ascii="Times New Roman" w:hAnsi="Times New Roman" w:cs="Times New Roman"/>
          <w:sz w:val="24"/>
          <w:szCs w:val="24"/>
          <w:lang w:val="es-ES"/>
        </w:rPr>
        <w:t>%</w:t>
      </w:r>
      <w:r w:rsidR="00443822" w:rsidRPr="00580F2E">
        <w:rPr>
          <w:rFonts w:ascii="Times New Roman" w:hAnsi="Times New Roman" w:cs="Times New Roman"/>
          <w:sz w:val="24"/>
          <w:szCs w:val="24"/>
          <w:lang w:val="es-ES"/>
        </w:rPr>
        <w:t xml:space="preserve"> para mujeres con educación secundaria incompleta. Si bien mujeres con secundaria completa y terciaria incompleta se ubican sobre el promedio</w:t>
      </w:r>
      <w:r w:rsidR="00163F88" w:rsidRPr="00580F2E">
        <w:rPr>
          <w:rFonts w:ascii="Times New Roman" w:hAnsi="Times New Roman" w:cs="Times New Roman"/>
          <w:sz w:val="24"/>
          <w:szCs w:val="24"/>
          <w:lang w:val="es-ES"/>
        </w:rPr>
        <w:t xml:space="preserve"> (cifra demasiado influenciada por el dato de mujeres con terciaria)</w:t>
      </w:r>
      <w:r w:rsidR="00443822" w:rsidRPr="00580F2E">
        <w:rPr>
          <w:rFonts w:ascii="Times New Roman" w:hAnsi="Times New Roman" w:cs="Times New Roman"/>
          <w:sz w:val="24"/>
          <w:szCs w:val="24"/>
          <w:lang w:val="es-ES"/>
        </w:rPr>
        <w:t>, amb</w:t>
      </w:r>
      <w:r w:rsidR="0079510F" w:rsidRPr="00580F2E">
        <w:rPr>
          <w:rFonts w:ascii="Times New Roman" w:hAnsi="Times New Roman" w:cs="Times New Roman"/>
          <w:sz w:val="24"/>
          <w:szCs w:val="24"/>
          <w:lang w:val="es-ES"/>
        </w:rPr>
        <w:t>os números</w:t>
      </w:r>
      <w:r w:rsidR="00443822" w:rsidRPr="00580F2E">
        <w:rPr>
          <w:rFonts w:ascii="Times New Roman" w:hAnsi="Times New Roman" w:cs="Times New Roman"/>
          <w:sz w:val="24"/>
          <w:szCs w:val="24"/>
          <w:lang w:val="es-ES"/>
        </w:rPr>
        <w:t xml:space="preserve"> se alejan considerablemente respecto de aquellas mujeres que completan educación terciaria. </w:t>
      </w:r>
      <w:r w:rsidR="00D41481" w:rsidRPr="00580F2E">
        <w:rPr>
          <w:rFonts w:ascii="Times New Roman" w:hAnsi="Times New Roman" w:cs="Times New Roman"/>
          <w:sz w:val="24"/>
          <w:szCs w:val="24"/>
          <w:lang w:val="es-ES"/>
        </w:rPr>
        <w:t xml:space="preserve">Con todo, cerca de 46% de mujeres que tienen no más de </w:t>
      </w:r>
      <w:r w:rsidR="00D41481" w:rsidRPr="00580F2E">
        <w:rPr>
          <w:rFonts w:ascii="Times New Roman" w:hAnsi="Times New Roman" w:cs="Times New Roman"/>
          <w:sz w:val="24"/>
          <w:szCs w:val="24"/>
          <w:lang w:val="es-ES"/>
        </w:rPr>
        <w:lastRenderedPageBreak/>
        <w:t xml:space="preserve">educación terciaria incompleta se encuentran fuera del mercado del trabajo. </w:t>
      </w:r>
      <w:r w:rsidR="00043CE3" w:rsidRPr="00580F2E">
        <w:rPr>
          <w:rFonts w:ascii="Times New Roman" w:hAnsi="Times New Roman" w:cs="Times New Roman"/>
          <w:sz w:val="24"/>
          <w:szCs w:val="24"/>
          <w:lang w:val="es-ES"/>
        </w:rPr>
        <w:t>Por lo tanto, es evidente que acciones tendientes a incrementar el stock de capital humano de mujeres vulnerables puede</w:t>
      </w:r>
      <w:r w:rsidRPr="00580F2E">
        <w:rPr>
          <w:rFonts w:ascii="Times New Roman" w:hAnsi="Times New Roman" w:cs="Times New Roman"/>
          <w:sz w:val="24"/>
          <w:szCs w:val="24"/>
          <w:lang w:val="es-ES"/>
        </w:rPr>
        <w:t xml:space="preserve"> determinar su entrada al mercado del trabajo</w:t>
      </w:r>
    </w:p>
    <w:p w:rsidR="00163F88" w:rsidRPr="00580F2E" w:rsidRDefault="00163F88" w:rsidP="009563D7">
      <w:pPr>
        <w:spacing w:after="0"/>
        <w:jc w:val="both"/>
        <w:rPr>
          <w:rFonts w:ascii="Times New Roman" w:hAnsi="Times New Roman" w:cs="Times New Roman"/>
          <w:sz w:val="24"/>
          <w:szCs w:val="24"/>
          <w:lang w:val="es-ES"/>
        </w:rPr>
      </w:pPr>
    </w:p>
    <w:p w:rsidR="00163F88" w:rsidRPr="00580F2E" w:rsidRDefault="00163F88" w:rsidP="00163F88">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Figura 8: Participación laboral femenina y educación</w:t>
      </w:r>
    </w:p>
    <w:p w:rsidR="00163F88" w:rsidRPr="00580F2E" w:rsidRDefault="00163F88" w:rsidP="009563D7">
      <w:pPr>
        <w:spacing w:after="0"/>
        <w:jc w:val="both"/>
        <w:rPr>
          <w:rFonts w:ascii="Times New Roman" w:hAnsi="Times New Roman" w:cs="Times New Roman"/>
          <w:sz w:val="24"/>
          <w:szCs w:val="24"/>
          <w:lang w:val="es-ES"/>
        </w:rPr>
      </w:pPr>
    </w:p>
    <w:p w:rsidR="00163F88" w:rsidRPr="00580F2E" w:rsidRDefault="00163F88" w:rsidP="00163F88">
      <w:pPr>
        <w:spacing w:after="0"/>
        <w:jc w:val="center"/>
        <w:rPr>
          <w:rFonts w:ascii="Times New Roman" w:hAnsi="Times New Roman" w:cs="Times New Roman"/>
          <w:sz w:val="24"/>
          <w:szCs w:val="24"/>
          <w:lang w:val="es-ES"/>
        </w:rPr>
      </w:pPr>
      <w:r w:rsidRPr="00580F2E">
        <w:rPr>
          <w:noProof/>
          <w:szCs w:val="24"/>
          <w:lang w:val="es-ES"/>
        </w:rPr>
        <w:drawing>
          <wp:inline distT="0" distB="0" distL="0" distR="0" wp14:anchorId="00971CB5" wp14:editId="4034F471">
            <wp:extent cx="3594182" cy="2520000"/>
            <wp:effectExtent l="0" t="0" r="0" b="0"/>
            <wp:docPr id="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3594182" cy="2520000"/>
                    </a:xfrm>
                    <a:prstGeom prst="rect">
                      <a:avLst/>
                    </a:prstGeom>
                    <a:noFill/>
                    <a:ln w="9525">
                      <a:noFill/>
                      <a:miter lim="800000"/>
                      <a:headEnd/>
                      <a:tailEnd/>
                    </a:ln>
                  </pic:spPr>
                </pic:pic>
              </a:graphicData>
            </a:graphic>
          </wp:inline>
        </w:drawing>
      </w:r>
    </w:p>
    <w:p w:rsidR="0091322E" w:rsidRPr="00580F2E" w:rsidRDefault="00163F88" w:rsidP="00163F88">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encuesta CASEN 2009.</w:t>
      </w:r>
    </w:p>
    <w:p w:rsidR="00163F88" w:rsidRPr="00580F2E" w:rsidRDefault="00163F88" w:rsidP="00163F88">
      <w:pPr>
        <w:spacing w:after="0"/>
        <w:rPr>
          <w:rFonts w:ascii="Times New Roman" w:hAnsi="Times New Roman" w:cs="Times New Roman"/>
          <w:b/>
          <w:sz w:val="24"/>
          <w:szCs w:val="24"/>
          <w:lang w:val="es-ES"/>
        </w:rPr>
      </w:pPr>
    </w:p>
    <w:p w:rsidR="00163F88" w:rsidRPr="00580F2E" w:rsidRDefault="00163F88" w:rsidP="00163F88">
      <w:pPr>
        <w:spacing w:after="0"/>
        <w:rPr>
          <w:rFonts w:ascii="Times New Roman" w:hAnsi="Times New Roman" w:cs="Times New Roman"/>
          <w:b/>
          <w:sz w:val="24"/>
          <w:szCs w:val="24"/>
          <w:lang w:val="es-ES"/>
        </w:rPr>
      </w:pPr>
    </w:p>
    <w:p w:rsidR="00D41481" w:rsidRPr="00580F2E" w:rsidRDefault="00D41481" w:rsidP="009563D7">
      <w:pPr>
        <w:spacing w:after="0"/>
        <w:jc w:val="center"/>
        <w:rPr>
          <w:rFonts w:ascii="Times New Roman" w:hAnsi="Times New Roman" w:cs="Times New Roman"/>
          <w:b/>
          <w:i/>
          <w:lang w:val="es-ES"/>
        </w:rPr>
      </w:pPr>
      <w:r w:rsidRPr="00580F2E">
        <w:rPr>
          <w:rFonts w:ascii="Times New Roman" w:hAnsi="Times New Roman" w:cs="Times New Roman"/>
          <w:b/>
          <w:lang w:val="es-ES"/>
        </w:rPr>
        <w:t xml:space="preserve">Cuadro </w:t>
      </w:r>
      <w:r w:rsidR="00163F88" w:rsidRPr="00580F2E">
        <w:rPr>
          <w:rFonts w:ascii="Times New Roman" w:hAnsi="Times New Roman" w:cs="Times New Roman"/>
          <w:b/>
          <w:lang w:val="es-ES"/>
        </w:rPr>
        <w:t>2</w:t>
      </w:r>
      <w:r w:rsidRPr="00580F2E">
        <w:rPr>
          <w:rFonts w:ascii="Times New Roman" w:hAnsi="Times New Roman" w:cs="Times New Roman"/>
          <w:b/>
          <w:lang w:val="es-ES"/>
        </w:rPr>
        <w:t xml:space="preserve">: Respuestas a pregunta </w:t>
      </w:r>
      <w:r w:rsidRPr="00580F2E">
        <w:rPr>
          <w:rFonts w:ascii="Times New Roman" w:hAnsi="Times New Roman" w:cs="Times New Roman"/>
          <w:b/>
          <w:i/>
          <w:lang w:val="es-ES"/>
        </w:rPr>
        <w:t>¿Por qué no busca empleo?</w:t>
      </w:r>
    </w:p>
    <w:p w:rsidR="00D41481" w:rsidRPr="00580F2E" w:rsidRDefault="00D41481" w:rsidP="009563D7">
      <w:pPr>
        <w:spacing w:after="0"/>
        <w:jc w:val="center"/>
        <w:rPr>
          <w:rFonts w:ascii="Times New Roman" w:hAnsi="Times New Roman" w:cs="Times New Roman"/>
          <w:lang w:val="es-ES"/>
        </w:rPr>
      </w:pPr>
      <w:r w:rsidRPr="00580F2E">
        <w:rPr>
          <w:rFonts w:ascii="Times New Roman" w:hAnsi="Times New Roman" w:cs="Times New Roman"/>
          <w:lang w:val="es-ES"/>
        </w:rPr>
        <w:t>(</w:t>
      </w:r>
      <w:r w:rsidR="00A37423" w:rsidRPr="00580F2E">
        <w:rPr>
          <w:rFonts w:ascii="Times New Roman" w:hAnsi="Times New Roman" w:cs="Times New Roman"/>
          <w:lang w:val="es-ES"/>
        </w:rPr>
        <w:t>Distribución</w:t>
      </w:r>
      <w:r w:rsidRPr="00580F2E">
        <w:rPr>
          <w:rFonts w:ascii="Times New Roman" w:hAnsi="Times New Roman" w:cs="Times New Roman"/>
          <w:lang w:val="es-ES"/>
        </w:rPr>
        <w:t xml:space="preserve"> de respuestas, en %)</w:t>
      </w:r>
    </w:p>
    <w:p w:rsidR="00D41481" w:rsidRPr="00580F2E" w:rsidRDefault="00D41481" w:rsidP="009563D7">
      <w:pPr>
        <w:spacing w:after="0"/>
        <w:jc w:val="center"/>
        <w:rPr>
          <w:rFonts w:ascii="Times New Roman" w:hAnsi="Times New Roman" w:cs="Times New Roman"/>
          <w:lang w:val="es-ES"/>
        </w:rPr>
      </w:pPr>
    </w:p>
    <w:tbl>
      <w:tblPr>
        <w:tblW w:w="7088" w:type="dxa"/>
        <w:jc w:val="center"/>
        <w:tblInd w:w="70" w:type="dxa"/>
        <w:tblCellMar>
          <w:left w:w="70" w:type="dxa"/>
          <w:right w:w="70" w:type="dxa"/>
        </w:tblCellMar>
        <w:tblLook w:val="04A0" w:firstRow="1" w:lastRow="0" w:firstColumn="1" w:lastColumn="0" w:noHBand="0" w:noVBand="1"/>
      </w:tblPr>
      <w:tblGrid>
        <w:gridCol w:w="4096"/>
        <w:gridCol w:w="296"/>
        <w:gridCol w:w="1435"/>
        <w:gridCol w:w="190"/>
        <w:gridCol w:w="1187"/>
      </w:tblGrid>
      <w:tr w:rsidR="0079510F" w:rsidRPr="00580F2E" w:rsidTr="0079510F">
        <w:trPr>
          <w:trHeight w:val="300"/>
          <w:jc w:val="center"/>
        </w:trPr>
        <w:tc>
          <w:tcPr>
            <w:tcW w:w="4096" w:type="dxa"/>
            <w:vMerge w:val="restart"/>
            <w:tcBorders>
              <w:top w:val="single" w:sz="4" w:space="0" w:color="auto"/>
              <w:left w:val="nil"/>
              <w:bottom w:val="single" w:sz="4" w:space="0" w:color="000000"/>
              <w:right w:val="nil"/>
            </w:tcBorders>
            <w:shd w:val="clear" w:color="auto" w:fill="auto"/>
            <w:noWrap/>
            <w:vAlign w:val="center"/>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¿Por qué no busca empleo?</w:t>
            </w:r>
          </w:p>
        </w:tc>
        <w:tc>
          <w:tcPr>
            <w:tcW w:w="296" w:type="dxa"/>
            <w:tcBorders>
              <w:top w:val="single" w:sz="4" w:space="0" w:color="auto"/>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2696" w:type="dxa"/>
            <w:gridSpan w:val="3"/>
            <w:tcBorders>
              <w:top w:val="single" w:sz="4" w:space="0" w:color="auto"/>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Educación</w:t>
            </w:r>
          </w:p>
        </w:tc>
      </w:tr>
      <w:tr w:rsidR="0079510F" w:rsidRPr="00580F2E" w:rsidTr="0079510F">
        <w:trPr>
          <w:trHeight w:val="300"/>
          <w:jc w:val="center"/>
        </w:trPr>
        <w:tc>
          <w:tcPr>
            <w:tcW w:w="4096" w:type="dxa"/>
            <w:vMerge/>
            <w:tcBorders>
              <w:top w:val="single" w:sz="4" w:space="0" w:color="auto"/>
              <w:left w:val="nil"/>
              <w:bottom w:val="single" w:sz="4" w:space="0" w:color="000000"/>
              <w:right w:val="nil"/>
            </w:tcBorders>
            <w:vAlign w:val="center"/>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296"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435"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Secundaria</w:t>
            </w:r>
          </w:p>
        </w:tc>
        <w:tc>
          <w:tcPr>
            <w:tcW w:w="74"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187"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Terciaria</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Quehaceres del hogar</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48,8</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28,1</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No tiene con quien dejar los niños</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20,4</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21,1</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Estudiante</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0,0</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19,2</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Enfermedad crónica o invalidez</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8,0</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2,7</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No tiene interés en trabajar</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5,0</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8,2</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No tiene con quien dejar a adultos mayor</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2,2</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1,2</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No tiene con quien dejar a un postrado</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2,1</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1,3</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Jubilado(a), montepiada o pensionada</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1,8</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1,1</w:t>
            </w:r>
          </w:p>
        </w:tc>
      </w:tr>
      <w:tr w:rsidR="0079510F" w:rsidRPr="00580F2E" w:rsidTr="0079510F">
        <w:trPr>
          <w:trHeight w:val="300"/>
          <w:jc w:val="center"/>
        </w:trPr>
        <w:tc>
          <w:tcPr>
            <w:tcW w:w="40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Un familiar se opone</w:t>
            </w:r>
          </w:p>
        </w:tc>
        <w:tc>
          <w:tcPr>
            <w:tcW w:w="296"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p>
        </w:tc>
        <w:tc>
          <w:tcPr>
            <w:tcW w:w="1435"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1,1</w:t>
            </w:r>
          </w:p>
        </w:tc>
        <w:tc>
          <w:tcPr>
            <w:tcW w:w="74"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p>
        </w:tc>
        <w:tc>
          <w:tcPr>
            <w:tcW w:w="1187" w:type="dxa"/>
            <w:tcBorders>
              <w:top w:val="nil"/>
              <w:left w:val="nil"/>
              <w:bottom w:val="nil"/>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0,3</w:t>
            </w:r>
          </w:p>
        </w:tc>
      </w:tr>
      <w:tr w:rsidR="0079510F" w:rsidRPr="00580F2E" w:rsidTr="0079510F">
        <w:trPr>
          <w:trHeight w:val="300"/>
          <w:jc w:val="center"/>
        </w:trPr>
        <w:tc>
          <w:tcPr>
            <w:tcW w:w="4096"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Otras razones</w:t>
            </w:r>
          </w:p>
        </w:tc>
        <w:tc>
          <w:tcPr>
            <w:tcW w:w="296"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435"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10,6</w:t>
            </w:r>
          </w:p>
        </w:tc>
        <w:tc>
          <w:tcPr>
            <w:tcW w:w="74"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 </w:t>
            </w:r>
          </w:p>
        </w:tc>
        <w:tc>
          <w:tcPr>
            <w:tcW w:w="1187" w:type="dxa"/>
            <w:tcBorders>
              <w:top w:val="nil"/>
              <w:left w:val="nil"/>
              <w:bottom w:val="single" w:sz="4" w:space="0" w:color="auto"/>
              <w:right w:val="nil"/>
            </w:tcBorders>
            <w:shd w:val="clear" w:color="auto" w:fill="auto"/>
            <w:noWrap/>
            <w:vAlign w:val="bottom"/>
            <w:hideMark/>
          </w:tcPr>
          <w:p w:rsidR="0079510F" w:rsidRPr="00580F2E" w:rsidRDefault="0079510F" w:rsidP="0079510F">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16,9</w:t>
            </w:r>
          </w:p>
        </w:tc>
      </w:tr>
    </w:tbl>
    <w:p w:rsidR="00D41481" w:rsidRPr="00580F2E" w:rsidRDefault="00D41481"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 xml:space="preserve"> </w:t>
      </w:r>
    </w:p>
    <w:p w:rsidR="000C34D2" w:rsidRPr="00580F2E" w:rsidRDefault="00D41481"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CASEN (2009)</w:t>
      </w:r>
    </w:p>
    <w:p w:rsidR="00436663" w:rsidRPr="00580F2E" w:rsidRDefault="00436663" w:rsidP="00F33EBB">
      <w:pPr>
        <w:spacing w:after="0" w:line="360" w:lineRule="auto"/>
        <w:ind w:firstLine="709"/>
        <w:jc w:val="both"/>
        <w:rPr>
          <w:rFonts w:ascii="Times New Roman" w:hAnsi="Times New Roman" w:cs="Times New Roman"/>
          <w:sz w:val="24"/>
          <w:szCs w:val="24"/>
          <w:lang w:val="es-ES"/>
        </w:rPr>
      </w:pPr>
    </w:p>
    <w:p w:rsidR="00D41481" w:rsidRPr="00580F2E" w:rsidRDefault="0091322E"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En conclusión, </w:t>
      </w:r>
      <w:r w:rsidR="00436663" w:rsidRPr="00580F2E">
        <w:rPr>
          <w:rFonts w:ascii="Times New Roman" w:hAnsi="Times New Roman" w:cs="Times New Roman"/>
          <w:sz w:val="24"/>
          <w:szCs w:val="24"/>
          <w:lang w:val="es-ES"/>
        </w:rPr>
        <w:t>l</w:t>
      </w:r>
      <w:r w:rsidR="00D41481" w:rsidRPr="00580F2E">
        <w:rPr>
          <w:rFonts w:ascii="Times New Roman" w:hAnsi="Times New Roman" w:cs="Times New Roman"/>
          <w:sz w:val="24"/>
          <w:szCs w:val="24"/>
          <w:lang w:val="es-ES"/>
        </w:rPr>
        <w:t xml:space="preserve">as cifras indican que existe una gran porción de la población femenina con baja </w:t>
      </w:r>
      <w:r w:rsidRPr="00580F2E">
        <w:rPr>
          <w:rFonts w:ascii="Times New Roman" w:hAnsi="Times New Roman" w:cs="Times New Roman"/>
          <w:sz w:val="24"/>
          <w:szCs w:val="24"/>
          <w:lang w:val="es-ES"/>
        </w:rPr>
        <w:t>propensión</w:t>
      </w:r>
      <w:r w:rsidR="00D41481" w:rsidRPr="00580F2E">
        <w:rPr>
          <w:rFonts w:ascii="Times New Roman" w:hAnsi="Times New Roman" w:cs="Times New Roman"/>
          <w:sz w:val="24"/>
          <w:szCs w:val="24"/>
          <w:lang w:val="es-ES"/>
        </w:rPr>
        <w:t xml:space="preserve"> a entrar a la fuerza laboral. Disti</w:t>
      </w:r>
      <w:r w:rsidR="0079510F" w:rsidRPr="00580F2E">
        <w:rPr>
          <w:rFonts w:ascii="Times New Roman" w:hAnsi="Times New Roman" w:cs="Times New Roman"/>
          <w:sz w:val="24"/>
          <w:szCs w:val="24"/>
          <w:lang w:val="es-ES"/>
        </w:rPr>
        <w:t xml:space="preserve">ntos factores influyen en ello: </w:t>
      </w:r>
      <w:r w:rsidR="00D41481" w:rsidRPr="00580F2E">
        <w:rPr>
          <w:rFonts w:ascii="Times New Roman" w:hAnsi="Times New Roman" w:cs="Times New Roman"/>
          <w:sz w:val="24"/>
          <w:szCs w:val="24"/>
          <w:lang w:val="es-ES"/>
        </w:rPr>
        <w:t xml:space="preserve">educación, </w:t>
      </w:r>
      <w:r w:rsidR="0079510F" w:rsidRPr="00580F2E">
        <w:rPr>
          <w:rFonts w:ascii="Times New Roman" w:hAnsi="Times New Roman" w:cs="Times New Roman"/>
          <w:sz w:val="24"/>
          <w:szCs w:val="24"/>
          <w:lang w:val="es-ES"/>
        </w:rPr>
        <w:t>niños, roles de género, entre otros</w:t>
      </w:r>
      <w:r w:rsidR="00D41481" w:rsidRPr="00580F2E">
        <w:rPr>
          <w:rFonts w:ascii="Times New Roman" w:hAnsi="Times New Roman" w:cs="Times New Roman"/>
          <w:sz w:val="24"/>
          <w:szCs w:val="24"/>
          <w:lang w:val="es-ES"/>
        </w:rPr>
        <w:t>. Una política pública de capacitación debe tomar en cuenta dichos factores para incrementar su efectividad.</w:t>
      </w:r>
    </w:p>
    <w:p w:rsidR="00D41481" w:rsidRPr="00580F2E" w:rsidRDefault="00D41481" w:rsidP="009563D7">
      <w:pPr>
        <w:spacing w:after="0"/>
        <w:jc w:val="both"/>
        <w:rPr>
          <w:rFonts w:ascii="Times New Roman" w:hAnsi="Times New Roman" w:cs="Times New Roman"/>
          <w:sz w:val="16"/>
          <w:szCs w:val="16"/>
          <w:lang w:val="es-ES"/>
        </w:rPr>
      </w:pPr>
    </w:p>
    <w:p w:rsidR="00A03FBE" w:rsidRPr="00580F2E" w:rsidRDefault="00A03FBE" w:rsidP="00E21B95">
      <w:pPr>
        <w:pStyle w:val="ListParagraph"/>
        <w:numPr>
          <w:ilvl w:val="1"/>
          <w:numId w:val="7"/>
        </w:numPr>
        <w:spacing w:after="0"/>
        <w:rPr>
          <w:rFonts w:ascii="Times New Roman" w:hAnsi="Times New Roman" w:cs="Times New Roman"/>
          <w:b/>
          <w:i/>
          <w:lang w:val="es-ES"/>
        </w:rPr>
      </w:pPr>
      <w:r w:rsidRPr="00580F2E">
        <w:rPr>
          <w:rFonts w:ascii="Times New Roman" w:hAnsi="Times New Roman" w:cs="Times New Roman"/>
          <w:b/>
          <w:i/>
          <w:lang w:val="es-ES"/>
        </w:rPr>
        <w:t>Adultos.</w:t>
      </w:r>
    </w:p>
    <w:p w:rsidR="0067711D" w:rsidRPr="00580F2E" w:rsidRDefault="0067711D" w:rsidP="009563D7">
      <w:pPr>
        <w:spacing w:after="0"/>
        <w:rPr>
          <w:rFonts w:ascii="Times New Roman" w:hAnsi="Times New Roman" w:cs="Times New Roman"/>
          <w:lang w:val="es-ES"/>
        </w:rPr>
      </w:pPr>
    </w:p>
    <w:p w:rsidR="00436663" w:rsidRPr="00580F2E" w:rsidRDefault="006457BC" w:rsidP="00F33EBB">
      <w:pPr>
        <w:spacing w:after="0" w:line="360" w:lineRule="auto"/>
        <w:ind w:firstLine="709"/>
        <w:jc w:val="both"/>
        <w:rPr>
          <w:rFonts w:ascii="Times New Roman" w:hAnsi="Times New Roman" w:cs="Times New Roman"/>
          <w:lang w:val="es-ES"/>
        </w:rPr>
      </w:pPr>
      <w:r w:rsidRPr="00580F2E">
        <w:rPr>
          <w:rFonts w:ascii="Times New Roman" w:hAnsi="Times New Roman" w:cs="Times New Roman"/>
          <w:sz w:val="24"/>
          <w:szCs w:val="24"/>
          <w:lang w:val="es-ES"/>
        </w:rPr>
        <w:t xml:space="preserve">Si bien no se ilustra con claridad en el Cuadro 1 –en donde resaltan como grupos especialmente vulnerables mujeres y jóvenes– existe un </w:t>
      </w:r>
      <w:r w:rsidR="00163F88" w:rsidRPr="00580F2E">
        <w:rPr>
          <w:rFonts w:ascii="Times New Roman" w:hAnsi="Times New Roman" w:cs="Times New Roman"/>
          <w:sz w:val="24"/>
          <w:szCs w:val="24"/>
          <w:lang w:val="es-ES"/>
        </w:rPr>
        <w:t>conjunto</w:t>
      </w:r>
      <w:r w:rsidRPr="00580F2E">
        <w:rPr>
          <w:rFonts w:ascii="Times New Roman" w:hAnsi="Times New Roman" w:cs="Times New Roman"/>
          <w:sz w:val="24"/>
          <w:szCs w:val="24"/>
          <w:lang w:val="es-ES"/>
        </w:rPr>
        <w:t xml:space="preserve"> de adultos </w:t>
      </w:r>
      <w:r w:rsidR="00957B14" w:rsidRPr="00580F2E">
        <w:rPr>
          <w:rFonts w:ascii="Times New Roman" w:hAnsi="Times New Roman" w:cs="Times New Roman"/>
          <w:sz w:val="24"/>
          <w:szCs w:val="24"/>
          <w:lang w:val="es-ES"/>
        </w:rPr>
        <w:t xml:space="preserve">que poseen altos niveles de vulnerabilidad. </w:t>
      </w:r>
      <w:r w:rsidR="00163F88" w:rsidRPr="00580F2E">
        <w:rPr>
          <w:rFonts w:ascii="Times New Roman" w:hAnsi="Times New Roman" w:cs="Times New Roman"/>
          <w:sz w:val="24"/>
          <w:szCs w:val="24"/>
          <w:lang w:val="es-ES"/>
        </w:rPr>
        <w:t>L</w:t>
      </w:r>
      <w:r w:rsidR="00436663" w:rsidRPr="00580F2E">
        <w:rPr>
          <w:rFonts w:ascii="Times New Roman" w:hAnsi="Times New Roman" w:cs="Times New Roman"/>
          <w:sz w:val="24"/>
          <w:szCs w:val="24"/>
          <w:lang w:val="es-ES"/>
        </w:rPr>
        <w:t xml:space="preserve">os datos indican </w:t>
      </w:r>
      <w:r w:rsidR="00957B14" w:rsidRPr="00580F2E">
        <w:rPr>
          <w:rFonts w:ascii="Times New Roman" w:hAnsi="Times New Roman" w:cs="Times New Roman"/>
          <w:sz w:val="24"/>
          <w:szCs w:val="24"/>
          <w:lang w:val="es-ES"/>
        </w:rPr>
        <w:t>que este segmento cubre una parte importante de la población.</w:t>
      </w:r>
    </w:p>
    <w:p w:rsidR="00E80C33" w:rsidRPr="00580F2E" w:rsidRDefault="006457BC"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Cuadro </w:t>
      </w:r>
      <w:r w:rsidR="00163F88" w:rsidRPr="00580F2E">
        <w:rPr>
          <w:rFonts w:ascii="Times New Roman" w:hAnsi="Times New Roman" w:cs="Times New Roman"/>
          <w:sz w:val="24"/>
          <w:szCs w:val="24"/>
          <w:lang w:val="es-ES"/>
        </w:rPr>
        <w:t>3</w:t>
      </w:r>
      <w:r w:rsidRPr="00580F2E">
        <w:rPr>
          <w:rFonts w:ascii="Times New Roman" w:hAnsi="Times New Roman" w:cs="Times New Roman"/>
          <w:sz w:val="24"/>
          <w:szCs w:val="24"/>
          <w:lang w:val="es-ES"/>
        </w:rPr>
        <w:t xml:space="preserve"> muestra distintos indicadores desagregados por niveles educacionales para individuos entre 29 y 60 años.</w:t>
      </w:r>
      <w:r w:rsidR="00957B14" w:rsidRPr="00580F2E">
        <w:rPr>
          <w:rFonts w:ascii="Times New Roman" w:hAnsi="Times New Roman" w:cs="Times New Roman"/>
          <w:sz w:val="24"/>
          <w:szCs w:val="24"/>
          <w:lang w:val="es-ES"/>
        </w:rPr>
        <w:t xml:space="preserve"> Como se puede apreciar, existen diferencias notables en probabilidad de empleo, sa</w:t>
      </w:r>
      <w:r w:rsidR="00E80C33" w:rsidRPr="00580F2E">
        <w:rPr>
          <w:rFonts w:ascii="Times New Roman" w:hAnsi="Times New Roman" w:cs="Times New Roman"/>
          <w:sz w:val="24"/>
          <w:szCs w:val="24"/>
          <w:lang w:val="es-ES"/>
        </w:rPr>
        <w:t>larios, pobreza e informalidad, según niveles de escolaridad. Por otro lado, individuos que pertenecen al 40% de menores ingresos tienen, consistentemente, mayor probabilidad de estadía en su estado de desempleo</w:t>
      </w:r>
      <w:r w:rsidR="00163F88" w:rsidRPr="00580F2E">
        <w:rPr>
          <w:rFonts w:ascii="Times New Roman" w:hAnsi="Times New Roman" w:cs="Times New Roman"/>
          <w:sz w:val="24"/>
          <w:szCs w:val="24"/>
          <w:lang w:val="es-ES"/>
        </w:rPr>
        <w:t xml:space="preserve"> (Figura 9)</w:t>
      </w:r>
      <w:r w:rsidR="00E80C33" w:rsidRPr="00580F2E">
        <w:rPr>
          <w:rFonts w:ascii="Times New Roman" w:hAnsi="Times New Roman" w:cs="Times New Roman"/>
          <w:sz w:val="24"/>
          <w:szCs w:val="24"/>
          <w:lang w:val="es-ES"/>
        </w:rPr>
        <w:t>.</w:t>
      </w:r>
    </w:p>
    <w:p w:rsidR="006457BC" w:rsidRPr="00580F2E" w:rsidRDefault="00957B14"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Del cuadro, además, se comprueba que adultos con baja escolaridad (sea, educación secundaria incompleta) representan </w:t>
      </w:r>
      <w:r w:rsidR="00163F88" w:rsidRPr="00580F2E">
        <w:rPr>
          <w:rFonts w:ascii="Times New Roman" w:hAnsi="Times New Roman" w:cs="Times New Roman"/>
          <w:sz w:val="24"/>
          <w:szCs w:val="24"/>
          <w:lang w:val="es-ES"/>
        </w:rPr>
        <w:t>46% del total de individuos. Ést</w:t>
      </w:r>
      <w:r w:rsidRPr="00580F2E">
        <w:rPr>
          <w:rFonts w:ascii="Times New Roman" w:hAnsi="Times New Roman" w:cs="Times New Roman"/>
          <w:sz w:val="24"/>
          <w:szCs w:val="24"/>
          <w:lang w:val="es-ES"/>
        </w:rPr>
        <w:t xml:space="preserve">os </w:t>
      </w:r>
      <w:r w:rsidR="00163F88" w:rsidRPr="00580F2E">
        <w:rPr>
          <w:rFonts w:ascii="Times New Roman" w:hAnsi="Times New Roman" w:cs="Times New Roman"/>
          <w:sz w:val="24"/>
          <w:szCs w:val="24"/>
          <w:lang w:val="es-ES"/>
        </w:rPr>
        <w:t>corresponden a</w:t>
      </w:r>
      <w:r w:rsidRPr="00580F2E">
        <w:rPr>
          <w:rFonts w:ascii="Times New Roman" w:hAnsi="Times New Roman" w:cs="Times New Roman"/>
          <w:sz w:val="24"/>
          <w:szCs w:val="24"/>
          <w:lang w:val="es-ES"/>
        </w:rPr>
        <w:t xml:space="preserve"> cohortes de mayor edad, lo que es consistente con la evidencia en Chile sobre el avance importante en cobertura en distintos niveles educacionales durante los últimos 20 años. Sin embargo, </w:t>
      </w:r>
      <w:r w:rsidR="00F33EBB" w:rsidRPr="00580F2E">
        <w:rPr>
          <w:rFonts w:ascii="Times New Roman" w:hAnsi="Times New Roman" w:cs="Times New Roman"/>
          <w:sz w:val="24"/>
          <w:szCs w:val="24"/>
          <w:lang w:val="es-ES"/>
        </w:rPr>
        <w:t xml:space="preserve">estas </w:t>
      </w:r>
      <w:r w:rsidRPr="00580F2E">
        <w:rPr>
          <w:rFonts w:ascii="Times New Roman" w:hAnsi="Times New Roman" w:cs="Times New Roman"/>
          <w:sz w:val="24"/>
          <w:szCs w:val="24"/>
          <w:lang w:val="es-ES"/>
        </w:rPr>
        <w:t xml:space="preserve">cohortes </w:t>
      </w:r>
      <w:r w:rsidR="00F33EBB" w:rsidRPr="00580F2E">
        <w:rPr>
          <w:rFonts w:ascii="Times New Roman" w:hAnsi="Times New Roman" w:cs="Times New Roman"/>
          <w:sz w:val="24"/>
          <w:szCs w:val="24"/>
          <w:lang w:val="es-ES"/>
        </w:rPr>
        <w:t>de mayor edad promedio</w:t>
      </w:r>
      <w:r w:rsidRPr="00580F2E">
        <w:rPr>
          <w:rFonts w:ascii="Times New Roman" w:hAnsi="Times New Roman" w:cs="Times New Roman"/>
          <w:sz w:val="24"/>
          <w:szCs w:val="24"/>
          <w:lang w:val="es-ES"/>
        </w:rPr>
        <w:t xml:space="preserve"> tienen escasas –si no nulas– posibilidades de retornar a la educación superior. Es en este frente donde el sistema de capacitación</w:t>
      </w:r>
      <w:r w:rsidR="00B72033" w:rsidRPr="00580F2E">
        <w:rPr>
          <w:rFonts w:ascii="Times New Roman" w:hAnsi="Times New Roman" w:cs="Times New Roman"/>
          <w:sz w:val="24"/>
          <w:szCs w:val="24"/>
          <w:lang w:val="es-ES"/>
        </w:rPr>
        <w:t xml:space="preserve"> puede representar</w:t>
      </w:r>
      <w:r w:rsidRPr="00580F2E">
        <w:rPr>
          <w:rFonts w:ascii="Times New Roman" w:hAnsi="Times New Roman" w:cs="Times New Roman"/>
          <w:sz w:val="24"/>
          <w:szCs w:val="24"/>
          <w:lang w:val="es-ES"/>
        </w:rPr>
        <w:t xml:space="preserve"> una oportunidad de cerrar brechas vía actualización de conocimientos</w:t>
      </w:r>
      <w:r w:rsidR="00E80C33" w:rsidRPr="00580F2E">
        <w:rPr>
          <w:rFonts w:ascii="Times New Roman" w:hAnsi="Times New Roman" w:cs="Times New Roman"/>
          <w:sz w:val="24"/>
          <w:szCs w:val="24"/>
          <w:lang w:val="es-ES"/>
        </w:rPr>
        <w:t>.</w:t>
      </w:r>
    </w:p>
    <w:p w:rsidR="00F33EBB" w:rsidRDefault="00F33EBB"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Default="00580F2E" w:rsidP="009563D7">
      <w:pPr>
        <w:spacing w:after="0"/>
        <w:rPr>
          <w:rFonts w:ascii="Times New Roman" w:hAnsi="Times New Roman" w:cs="Times New Roman"/>
          <w:lang w:val="es-ES"/>
        </w:rPr>
      </w:pPr>
    </w:p>
    <w:p w:rsidR="00580F2E" w:rsidRPr="00580F2E" w:rsidRDefault="00580F2E" w:rsidP="009563D7">
      <w:pPr>
        <w:spacing w:after="0"/>
        <w:rPr>
          <w:rFonts w:ascii="Times New Roman" w:hAnsi="Times New Roman" w:cs="Times New Roman"/>
          <w:lang w:val="es-ES"/>
        </w:rPr>
      </w:pPr>
    </w:p>
    <w:p w:rsidR="00B72033" w:rsidRPr="00580F2E" w:rsidRDefault="00B72033" w:rsidP="009563D7">
      <w:pPr>
        <w:spacing w:after="0"/>
        <w:jc w:val="center"/>
        <w:rPr>
          <w:rFonts w:ascii="Times New Roman" w:hAnsi="Times New Roman" w:cs="Times New Roman"/>
          <w:b/>
          <w:lang w:val="es-ES"/>
        </w:rPr>
      </w:pPr>
      <w:r w:rsidRPr="00580F2E">
        <w:rPr>
          <w:rFonts w:ascii="Times New Roman" w:hAnsi="Times New Roman" w:cs="Times New Roman"/>
          <w:b/>
          <w:lang w:val="es-ES"/>
        </w:rPr>
        <w:lastRenderedPageBreak/>
        <w:t xml:space="preserve">Cuadro </w:t>
      </w:r>
      <w:r w:rsidR="00163F88" w:rsidRPr="00580F2E">
        <w:rPr>
          <w:rFonts w:ascii="Times New Roman" w:hAnsi="Times New Roman" w:cs="Times New Roman"/>
          <w:b/>
          <w:lang w:val="es-ES"/>
        </w:rPr>
        <w:t>3</w:t>
      </w:r>
      <w:r w:rsidRPr="00580F2E">
        <w:rPr>
          <w:rFonts w:ascii="Times New Roman" w:hAnsi="Times New Roman" w:cs="Times New Roman"/>
          <w:b/>
          <w:lang w:val="es-ES"/>
        </w:rPr>
        <w:t>. Indicadores de bienestar para adultos (30 a 60 años)</w:t>
      </w:r>
    </w:p>
    <w:tbl>
      <w:tblPr>
        <w:tblW w:w="5000" w:type="pct"/>
        <w:tblCellMar>
          <w:left w:w="70" w:type="dxa"/>
          <w:right w:w="70" w:type="dxa"/>
        </w:tblCellMar>
        <w:tblLook w:val="04A0" w:firstRow="1" w:lastRow="0" w:firstColumn="1" w:lastColumn="0" w:noHBand="0" w:noVBand="1"/>
      </w:tblPr>
      <w:tblGrid>
        <w:gridCol w:w="1295"/>
        <w:gridCol w:w="264"/>
        <w:gridCol w:w="1370"/>
        <w:gridCol w:w="189"/>
        <w:gridCol w:w="1370"/>
        <w:gridCol w:w="189"/>
        <w:gridCol w:w="1357"/>
        <w:gridCol w:w="189"/>
        <w:gridCol w:w="1275"/>
        <w:gridCol w:w="189"/>
        <w:gridCol w:w="1291"/>
      </w:tblGrid>
      <w:tr w:rsidR="00AF4BD5" w:rsidRPr="00580F2E" w:rsidTr="00AF4BD5">
        <w:trPr>
          <w:trHeight w:val="300"/>
        </w:trPr>
        <w:tc>
          <w:tcPr>
            <w:tcW w:w="722" w:type="pct"/>
            <w:vMerge w:val="restart"/>
            <w:tcBorders>
              <w:top w:val="single" w:sz="4" w:space="0" w:color="auto"/>
              <w:left w:val="nil"/>
              <w:bottom w:val="single" w:sz="4" w:space="0" w:color="000000"/>
              <w:right w:val="nil"/>
            </w:tcBorders>
            <w:shd w:val="clear" w:color="auto" w:fill="auto"/>
            <w:noWrap/>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Indicadores</w:t>
            </w:r>
          </w:p>
        </w:tc>
        <w:tc>
          <w:tcPr>
            <w:tcW w:w="147" w:type="pct"/>
            <w:tcBorders>
              <w:top w:val="single" w:sz="4" w:space="0" w:color="auto"/>
              <w:left w:val="nil"/>
              <w:bottom w:val="nil"/>
              <w:right w:val="nil"/>
            </w:tcBorders>
            <w:shd w:val="clear" w:color="auto" w:fill="auto"/>
            <w:noWrap/>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 </w:t>
            </w:r>
          </w:p>
        </w:tc>
        <w:tc>
          <w:tcPr>
            <w:tcW w:w="4132" w:type="pct"/>
            <w:gridSpan w:val="9"/>
            <w:tcBorders>
              <w:top w:val="single" w:sz="4" w:space="0" w:color="auto"/>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Educación</w:t>
            </w:r>
          </w:p>
        </w:tc>
      </w:tr>
      <w:tr w:rsidR="00AF4BD5" w:rsidRPr="00580F2E" w:rsidTr="00AF4BD5">
        <w:trPr>
          <w:trHeight w:val="615"/>
        </w:trPr>
        <w:tc>
          <w:tcPr>
            <w:tcW w:w="722" w:type="pct"/>
            <w:vMerge/>
            <w:tcBorders>
              <w:top w:val="single" w:sz="4" w:space="0" w:color="auto"/>
              <w:left w:val="nil"/>
              <w:bottom w:val="single" w:sz="4" w:space="0" w:color="000000"/>
              <w:right w:val="nil"/>
            </w:tcBorders>
            <w:vAlign w:val="center"/>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147" w:type="pct"/>
            <w:tcBorders>
              <w:top w:val="nil"/>
              <w:left w:val="nil"/>
              <w:bottom w:val="nil"/>
              <w:right w:val="nil"/>
            </w:tcBorders>
            <w:shd w:val="clear" w:color="auto" w:fill="auto"/>
            <w:noWrap/>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p>
        </w:tc>
        <w:tc>
          <w:tcPr>
            <w:tcW w:w="763" w:type="pct"/>
            <w:tcBorders>
              <w:top w:val="nil"/>
              <w:left w:val="nil"/>
              <w:bottom w:val="single" w:sz="4" w:space="0" w:color="auto"/>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Secundaria incompleta</w:t>
            </w:r>
          </w:p>
        </w:tc>
        <w:tc>
          <w:tcPr>
            <w:tcW w:w="105" w:type="pct"/>
            <w:tcBorders>
              <w:top w:val="nil"/>
              <w:left w:val="nil"/>
              <w:bottom w:val="nil"/>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p>
        </w:tc>
        <w:tc>
          <w:tcPr>
            <w:tcW w:w="763" w:type="pct"/>
            <w:tcBorders>
              <w:top w:val="nil"/>
              <w:left w:val="nil"/>
              <w:bottom w:val="single" w:sz="4" w:space="0" w:color="auto"/>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Secundaria completa</w:t>
            </w:r>
          </w:p>
        </w:tc>
        <w:tc>
          <w:tcPr>
            <w:tcW w:w="105" w:type="pct"/>
            <w:tcBorders>
              <w:top w:val="nil"/>
              <w:left w:val="nil"/>
              <w:bottom w:val="nil"/>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p>
        </w:tc>
        <w:tc>
          <w:tcPr>
            <w:tcW w:w="756" w:type="pct"/>
            <w:tcBorders>
              <w:top w:val="nil"/>
              <w:left w:val="nil"/>
              <w:bottom w:val="single" w:sz="4" w:space="0" w:color="auto"/>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Terciaria incompleta</w:t>
            </w:r>
          </w:p>
        </w:tc>
        <w:tc>
          <w:tcPr>
            <w:tcW w:w="105" w:type="pct"/>
            <w:tcBorders>
              <w:top w:val="nil"/>
              <w:left w:val="nil"/>
              <w:bottom w:val="nil"/>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p>
        </w:tc>
        <w:tc>
          <w:tcPr>
            <w:tcW w:w="710" w:type="pct"/>
            <w:tcBorders>
              <w:top w:val="nil"/>
              <w:left w:val="nil"/>
              <w:bottom w:val="single" w:sz="4" w:space="0" w:color="auto"/>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Terciaria completa</w:t>
            </w:r>
          </w:p>
        </w:tc>
        <w:tc>
          <w:tcPr>
            <w:tcW w:w="105" w:type="pct"/>
            <w:tcBorders>
              <w:top w:val="nil"/>
              <w:left w:val="nil"/>
              <w:bottom w:val="nil"/>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p>
        </w:tc>
        <w:tc>
          <w:tcPr>
            <w:tcW w:w="721" w:type="pct"/>
            <w:tcBorders>
              <w:top w:val="nil"/>
              <w:left w:val="nil"/>
              <w:bottom w:val="single" w:sz="4" w:space="0" w:color="auto"/>
              <w:right w:val="nil"/>
            </w:tcBorders>
            <w:shd w:val="clear" w:color="auto" w:fill="auto"/>
            <w:vAlign w:val="center"/>
            <w:hideMark/>
          </w:tcPr>
          <w:p w:rsidR="00AF4BD5" w:rsidRPr="00580F2E" w:rsidRDefault="00AF4BD5" w:rsidP="00AF4BD5">
            <w:pPr>
              <w:spacing w:after="0" w:line="240" w:lineRule="auto"/>
              <w:jc w:val="center"/>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Promedio</w:t>
            </w:r>
          </w:p>
        </w:tc>
      </w:tr>
      <w:tr w:rsidR="00AF4BD5" w:rsidRPr="00580F2E" w:rsidTr="00AF4BD5">
        <w:trPr>
          <w:trHeight w:val="300"/>
        </w:trPr>
        <w:tc>
          <w:tcPr>
            <w:tcW w:w="722"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Empleo</w:t>
            </w:r>
          </w:p>
        </w:tc>
        <w:tc>
          <w:tcPr>
            <w:tcW w:w="147"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59,4</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70,6</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56"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73,6</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10"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84,1</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21"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67,9</w:t>
            </w:r>
          </w:p>
        </w:tc>
      </w:tr>
      <w:tr w:rsidR="00AF4BD5" w:rsidRPr="00580F2E" w:rsidTr="00AF4BD5">
        <w:trPr>
          <w:trHeight w:val="300"/>
        </w:trPr>
        <w:tc>
          <w:tcPr>
            <w:tcW w:w="722"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Salario</w:t>
            </w:r>
          </w:p>
        </w:tc>
        <w:tc>
          <w:tcPr>
            <w:tcW w:w="147"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479,3</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693,8</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56"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1324,1</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10"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1817,8</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21"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872,3</w:t>
            </w:r>
          </w:p>
        </w:tc>
      </w:tr>
      <w:tr w:rsidR="00AF4BD5" w:rsidRPr="00580F2E" w:rsidTr="00AF4BD5">
        <w:trPr>
          <w:trHeight w:val="300"/>
        </w:trPr>
        <w:tc>
          <w:tcPr>
            <w:tcW w:w="722"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Pobreza</w:t>
            </w:r>
          </w:p>
        </w:tc>
        <w:tc>
          <w:tcPr>
            <w:tcW w:w="147"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19,1</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10,6</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56"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6,5</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10"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2,5</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21"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12,9</w:t>
            </w:r>
          </w:p>
        </w:tc>
      </w:tr>
      <w:tr w:rsidR="00AF4BD5" w:rsidRPr="00580F2E" w:rsidTr="00AF4BD5">
        <w:trPr>
          <w:trHeight w:val="300"/>
        </w:trPr>
        <w:tc>
          <w:tcPr>
            <w:tcW w:w="722"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Informalidad</w:t>
            </w:r>
          </w:p>
        </w:tc>
        <w:tc>
          <w:tcPr>
            <w:tcW w:w="147"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28,2</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13,8</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56"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11,9</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10"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6,8</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21"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17,5</w:t>
            </w:r>
          </w:p>
        </w:tc>
      </w:tr>
      <w:tr w:rsidR="00AF4BD5" w:rsidRPr="00580F2E" w:rsidTr="00AF4BD5">
        <w:trPr>
          <w:trHeight w:val="300"/>
        </w:trPr>
        <w:tc>
          <w:tcPr>
            <w:tcW w:w="722"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Edad</w:t>
            </w:r>
          </w:p>
        </w:tc>
        <w:tc>
          <w:tcPr>
            <w:tcW w:w="147"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46,4</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63"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42,9</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56"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43,5</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10"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43,1</w:t>
            </w:r>
          </w:p>
        </w:tc>
        <w:tc>
          <w:tcPr>
            <w:tcW w:w="105"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p>
        </w:tc>
        <w:tc>
          <w:tcPr>
            <w:tcW w:w="721" w:type="pct"/>
            <w:tcBorders>
              <w:top w:val="nil"/>
              <w:left w:val="nil"/>
              <w:bottom w:val="nil"/>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44,5</w:t>
            </w:r>
          </w:p>
        </w:tc>
      </w:tr>
      <w:tr w:rsidR="00AF4BD5" w:rsidRPr="00580F2E" w:rsidTr="00AF4BD5">
        <w:trPr>
          <w:trHeight w:val="300"/>
        </w:trPr>
        <w:tc>
          <w:tcPr>
            <w:tcW w:w="722"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Población</w:t>
            </w:r>
          </w:p>
        </w:tc>
        <w:tc>
          <w:tcPr>
            <w:tcW w:w="147"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rPr>
                <w:rFonts w:ascii="Times New Roman" w:eastAsia="Times New Roman" w:hAnsi="Times New Roman" w:cs="Times New Roman"/>
                <w:b/>
                <w:bCs/>
                <w:color w:val="000000"/>
                <w:sz w:val="18"/>
                <w:szCs w:val="20"/>
                <w:lang w:val="es-ES" w:eastAsia="es-CL"/>
              </w:rPr>
            </w:pPr>
            <w:r w:rsidRPr="00580F2E">
              <w:rPr>
                <w:rFonts w:ascii="Times New Roman" w:eastAsia="Times New Roman" w:hAnsi="Times New Roman" w:cs="Times New Roman"/>
                <w:b/>
                <w:bCs/>
                <w:color w:val="000000"/>
                <w:sz w:val="18"/>
                <w:szCs w:val="20"/>
                <w:lang w:val="es-ES" w:eastAsia="es-CL"/>
              </w:rPr>
              <w:t> </w:t>
            </w:r>
          </w:p>
        </w:tc>
        <w:tc>
          <w:tcPr>
            <w:tcW w:w="763"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3.010.297</w:t>
            </w:r>
          </w:p>
        </w:tc>
        <w:tc>
          <w:tcPr>
            <w:tcW w:w="105"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 </w:t>
            </w:r>
          </w:p>
        </w:tc>
        <w:tc>
          <w:tcPr>
            <w:tcW w:w="763"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2.178.076</w:t>
            </w:r>
          </w:p>
        </w:tc>
        <w:tc>
          <w:tcPr>
            <w:tcW w:w="105"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 </w:t>
            </w:r>
          </w:p>
        </w:tc>
        <w:tc>
          <w:tcPr>
            <w:tcW w:w="756"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262.061</w:t>
            </w:r>
          </w:p>
        </w:tc>
        <w:tc>
          <w:tcPr>
            <w:tcW w:w="105"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 </w:t>
            </w:r>
          </w:p>
        </w:tc>
        <w:tc>
          <w:tcPr>
            <w:tcW w:w="710"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1.109.370</w:t>
            </w:r>
          </w:p>
        </w:tc>
        <w:tc>
          <w:tcPr>
            <w:tcW w:w="105"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 </w:t>
            </w:r>
          </w:p>
        </w:tc>
        <w:tc>
          <w:tcPr>
            <w:tcW w:w="721" w:type="pct"/>
            <w:tcBorders>
              <w:top w:val="nil"/>
              <w:left w:val="nil"/>
              <w:bottom w:val="single" w:sz="4" w:space="0" w:color="auto"/>
              <w:right w:val="nil"/>
            </w:tcBorders>
            <w:shd w:val="clear" w:color="auto" w:fill="auto"/>
            <w:noWrap/>
            <w:vAlign w:val="bottom"/>
            <w:hideMark/>
          </w:tcPr>
          <w:p w:rsidR="00AF4BD5" w:rsidRPr="00580F2E" w:rsidRDefault="00AF4BD5" w:rsidP="00AF4BD5">
            <w:pPr>
              <w:spacing w:after="0" w:line="240" w:lineRule="auto"/>
              <w:jc w:val="center"/>
              <w:rPr>
                <w:rFonts w:ascii="Times New Roman" w:eastAsia="Times New Roman" w:hAnsi="Times New Roman" w:cs="Times New Roman"/>
                <w:color w:val="000000"/>
                <w:sz w:val="18"/>
                <w:szCs w:val="20"/>
                <w:lang w:val="es-ES" w:eastAsia="es-CL"/>
              </w:rPr>
            </w:pPr>
            <w:r w:rsidRPr="00580F2E">
              <w:rPr>
                <w:rFonts w:ascii="Times New Roman" w:eastAsia="Times New Roman" w:hAnsi="Times New Roman" w:cs="Times New Roman"/>
                <w:color w:val="000000"/>
                <w:sz w:val="18"/>
                <w:szCs w:val="20"/>
                <w:lang w:val="es-ES" w:eastAsia="es-CL"/>
              </w:rPr>
              <w:t>6.559.804</w:t>
            </w:r>
          </w:p>
        </w:tc>
      </w:tr>
    </w:tbl>
    <w:p w:rsidR="009563D7" w:rsidRPr="00580F2E" w:rsidRDefault="009563D7" w:rsidP="009563D7">
      <w:pPr>
        <w:spacing w:after="0"/>
        <w:rPr>
          <w:rFonts w:ascii="Times New Roman" w:hAnsi="Times New Roman" w:cs="Times New Roman"/>
          <w:lang w:val="es-ES"/>
        </w:rPr>
      </w:pPr>
    </w:p>
    <w:p w:rsidR="00B72033" w:rsidRPr="00580F2E" w:rsidRDefault="009563D7" w:rsidP="009563D7">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en base a encuesta CASEN (2009).</w:t>
      </w:r>
    </w:p>
    <w:p w:rsidR="009563D7" w:rsidRPr="00580F2E" w:rsidRDefault="009563D7" w:rsidP="009563D7">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Nota: (i) Empleo: población empleada sobre total de individuos entre 30 y 60 años de edad en cada grupo. (ii) Pobreza: porcentaje de individuos sobre el total en cada grupo que poseen ingresos familiares baj</w:t>
      </w:r>
      <w:r w:rsidR="00AF4BD5" w:rsidRPr="00580F2E">
        <w:rPr>
          <w:rFonts w:ascii="Times New Roman" w:hAnsi="Times New Roman" w:cs="Times New Roman"/>
          <w:sz w:val="16"/>
          <w:szCs w:val="16"/>
          <w:lang w:val="es-ES"/>
        </w:rPr>
        <w:t>o el valor referencial para el ingreso familiar mensual de US$128 en zonas urbanas y US$86 en zonas rurales</w:t>
      </w:r>
      <w:r w:rsidRPr="00580F2E">
        <w:rPr>
          <w:rFonts w:ascii="Times New Roman" w:hAnsi="Times New Roman" w:cs="Times New Roman"/>
          <w:sz w:val="16"/>
          <w:szCs w:val="16"/>
          <w:lang w:val="es-ES"/>
        </w:rPr>
        <w:t xml:space="preserve">. (iii) Informalidad: porcentaje de individuos </w:t>
      </w:r>
      <w:r w:rsidR="00F33EBB" w:rsidRPr="00580F2E">
        <w:rPr>
          <w:rFonts w:ascii="Times New Roman" w:hAnsi="Times New Roman" w:cs="Times New Roman"/>
          <w:sz w:val="16"/>
          <w:szCs w:val="16"/>
          <w:lang w:val="es-ES"/>
        </w:rPr>
        <w:t>empleados</w:t>
      </w:r>
      <w:r w:rsidRPr="00580F2E">
        <w:rPr>
          <w:rFonts w:ascii="Times New Roman" w:hAnsi="Times New Roman" w:cs="Times New Roman"/>
          <w:sz w:val="16"/>
          <w:szCs w:val="16"/>
          <w:lang w:val="es-ES"/>
        </w:rPr>
        <w:t xml:space="preserve"> sin contrato</w:t>
      </w:r>
      <w:r w:rsidR="00F33EBB" w:rsidRPr="00580F2E">
        <w:rPr>
          <w:rFonts w:ascii="Times New Roman" w:hAnsi="Times New Roman" w:cs="Times New Roman"/>
          <w:sz w:val="16"/>
          <w:szCs w:val="16"/>
          <w:lang w:val="es-ES"/>
        </w:rPr>
        <w:t xml:space="preserve"> de trabajo</w:t>
      </w:r>
      <w:r w:rsidRPr="00580F2E">
        <w:rPr>
          <w:rFonts w:ascii="Times New Roman" w:hAnsi="Times New Roman" w:cs="Times New Roman"/>
          <w:sz w:val="16"/>
          <w:szCs w:val="16"/>
          <w:lang w:val="es-ES"/>
        </w:rPr>
        <w:t>.</w:t>
      </w:r>
    </w:p>
    <w:p w:rsidR="00F33EBB" w:rsidRPr="00580F2E" w:rsidRDefault="00F33EBB" w:rsidP="009563D7">
      <w:pPr>
        <w:spacing w:after="0"/>
        <w:rPr>
          <w:rFonts w:ascii="Times New Roman" w:hAnsi="Times New Roman" w:cs="Times New Roman"/>
          <w:sz w:val="16"/>
          <w:szCs w:val="16"/>
          <w:lang w:val="es-ES"/>
        </w:rPr>
      </w:pPr>
    </w:p>
    <w:p w:rsidR="00B72033" w:rsidRPr="00580F2E" w:rsidRDefault="00B72033" w:rsidP="009563D7">
      <w:pPr>
        <w:spacing w:after="0"/>
        <w:rPr>
          <w:rFonts w:ascii="Times New Roman" w:hAnsi="Times New Roman" w:cs="Times New Roman"/>
          <w:lang w:val="es-ES"/>
        </w:rPr>
      </w:pPr>
    </w:p>
    <w:p w:rsidR="00957B14" w:rsidRPr="00580F2E" w:rsidRDefault="00AF4BD5" w:rsidP="009563D7">
      <w:pPr>
        <w:spacing w:after="0"/>
        <w:jc w:val="center"/>
        <w:rPr>
          <w:rFonts w:ascii="Times New Roman" w:hAnsi="Times New Roman" w:cs="Times New Roman"/>
          <w:b/>
          <w:lang w:val="es-ES"/>
        </w:rPr>
      </w:pPr>
      <w:r w:rsidRPr="00580F2E">
        <w:rPr>
          <w:rFonts w:ascii="Times New Roman" w:hAnsi="Times New Roman" w:cs="Times New Roman"/>
          <w:b/>
          <w:lang w:val="es-ES"/>
        </w:rPr>
        <w:t>Figura 9</w:t>
      </w:r>
      <w:r w:rsidR="00B72033" w:rsidRPr="00580F2E">
        <w:rPr>
          <w:rFonts w:ascii="Times New Roman" w:hAnsi="Times New Roman" w:cs="Times New Roman"/>
          <w:b/>
          <w:lang w:val="es-ES"/>
        </w:rPr>
        <w:t xml:space="preserve">. </w:t>
      </w:r>
      <w:r w:rsidR="00957B14" w:rsidRPr="00580F2E">
        <w:rPr>
          <w:rFonts w:ascii="Times New Roman" w:hAnsi="Times New Roman" w:cs="Times New Roman"/>
          <w:b/>
          <w:lang w:val="es-ES"/>
        </w:rPr>
        <w:t xml:space="preserve">Probabilidad de salida </w:t>
      </w:r>
      <w:r w:rsidR="00784547" w:rsidRPr="00580F2E">
        <w:rPr>
          <w:rFonts w:ascii="Times New Roman" w:hAnsi="Times New Roman" w:cs="Times New Roman"/>
          <w:b/>
          <w:lang w:val="es-ES"/>
        </w:rPr>
        <w:t>y permanencia en</w:t>
      </w:r>
      <w:r w:rsidR="00957B14" w:rsidRPr="00580F2E">
        <w:rPr>
          <w:rFonts w:ascii="Times New Roman" w:hAnsi="Times New Roman" w:cs="Times New Roman"/>
          <w:b/>
          <w:lang w:val="es-ES"/>
        </w:rPr>
        <w:t xml:space="preserve"> desempleo</w:t>
      </w:r>
    </w:p>
    <w:p w:rsidR="00B72033" w:rsidRPr="00580F2E" w:rsidRDefault="00B72033" w:rsidP="009563D7">
      <w:pPr>
        <w:spacing w:after="0"/>
        <w:jc w:val="center"/>
        <w:rPr>
          <w:rFonts w:ascii="Times New Roman" w:hAnsi="Times New Roman" w:cs="Times New Roman"/>
          <w:lang w:val="es-ES"/>
        </w:rPr>
      </w:pPr>
      <w:r w:rsidRPr="00580F2E">
        <w:rPr>
          <w:rFonts w:ascii="Times New Roman" w:hAnsi="Times New Roman" w:cs="Times New Roman"/>
          <w:lang w:val="es-ES"/>
        </w:rPr>
        <w:t>(</w:t>
      </w:r>
      <w:r w:rsidR="00A37423" w:rsidRPr="00580F2E">
        <w:rPr>
          <w:rFonts w:ascii="Times New Roman" w:hAnsi="Times New Roman" w:cs="Times New Roman"/>
          <w:lang w:val="es-ES"/>
        </w:rPr>
        <w:t>Adultos</w:t>
      </w:r>
      <w:r w:rsidRPr="00580F2E">
        <w:rPr>
          <w:rFonts w:ascii="Times New Roman" w:hAnsi="Times New Roman" w:cs="Times New Roman"/>
          <w:lang w:val="es-ES"/>
        </w:rPr>
        <w:t>, 30 a 60 años)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784547" w:rsidRPr="00580F2E" w:rsidTr="00784547">
        <w:tc>
          <w:tcPr>
            <w:tcW w:w="4489" w:type="dxa"/>
          </w:tcPr>
          <w:p w:rsidR="00784547" w:rsidRPr="00580F2E" w:rsidRDefault="00784547" w:rsidP="00784547">
            <w:pPr>
              <w:pStyle w:val="ListParagraph"/>
              <w:numPr>
                <w:ilvl w:val="0"/>
                <w:numId w:val="12"/>
              </w:numPr>
              <w:jc w:val="center"/>
              <w:rPr>
                <w:rFonts w:ascii="Times New Roman" w:hAnsi="Times New Roman" w:cs="Times New Roman"/>
                <w:b/>
                <w:sz w:val="18"/>
                <w:lang w:val="es-ES"/>
              </w:rPr>
            </w:pPr>
            <w:r w:rsidRPr="00580F2E">
              <w:rPr>
                <w:rFonts w:ascii="Times New Roman" w:hAnsi="Times New Roman" w:cs="Times New Roman"/>
                <w:b/>
                <w:sz w:val="18"/>
                <w:lang w:val="es-ES"/>
              </w:rPr>
              <w:t>Probabilidad de permanencia</w:t>
            </w:r>
          </w:p>
        </w:tc>
        <w:tc>
          <w:tcPr>
            <w:tcW w:w="4489" w:type="dxa"/>
          </w:tcPr>
          <w:p w:rsidR="00784547" w:rsidRPr="00580F2E" w:rsidRDefault="00784547" w:rsidP="00784547">
            <w:pPr>
              <w:pStyle w:val="ListParagraph"/>
              <w:numPr>
                <w:ilvl w:val="0"/>
                <w:numId w:val="12"/>
              </w:numPr>
              <w:jc w:val="center"/>
              <w:rPr>
                <w:rFonts w:ascii="Times New Roman" w:hAnsi="Times New Roman" w:cs="Times New Roman"/>
                <w:b/>
                <w:sz w:val="18"/>
                <w:lang w:val="es-ES"/>
              </w:rPr>
            </w:pPr>
            <w:r w:rsidRPr="00580F2E">
              <w:rPr>
                <w:rFonts w:ascii="Times New Roman" w:hAnsi="Times New Roman" w:cs="Times New Roman"/>
                <w:b/>
                <w:sz w:val="18"/>
                <w:lang w:val="es-ES"/>
              </w:rPr>
              <w:t>Probabilidad de salida acumulada</w:t>
            </w:r>
          </w:p>
        </w:tc>
      </w:tr>
      <w:tr w:rsidR="00784547" w:rsidRPr="00580F2E" w:rsidTr="00784547">
        <w:tc>
          <w:tcPr>
            <w:tcW w:w="4489" w:type="dxa"/>
          </w:tcPr>
          <w:p w:rsidR="00784547" w:rsidRPr="00580F2E" w:rsidRDefault="00784547" w:rsidP="009563D7">
            <w:pPr>
              <w:jc w:val="center"/>
              <w:rPr>
                <w:rFonts w:ascii="Times New Roman" w:hAnsi="Times New Roman" w:cs="Times New Roman"/>
                <w:lang w:val="es-ES"/>
              </w:rPr>
            </w:pPr>
            <w:r w:rsidRPr="00580F2E">
              <w:rPr>
                <w:rFonts w:ascii="Times New Roman" w:hAnsi="Times New Roman" w:cs="Times New Roman"/>
                <w:noProof/>
                <w:lang w:val="es-ES"/>
              </w:rPr>
              <w:drawing>
                <wp:inline distT="0" distB="0" distL="0" distR="0" wp14:anchorId="4A925EBB" wp14:editId="6C48FC67">
                  <wp:extent cx="2641462" cy="1800000"/>
                  <wp:effectExtent l="19050" t="0" r="6488" b="0"/>
                  <wp:docPr id="3" name="Imagen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cstate="print"/>
                          <a:srcRect/>
                          <a:stretch>
                            <a:fillRect/>
                          </a:stretch>
                        </pic:blipFill>
                        <pic:spPr bwMode="auto">
                          <a:xfrm>
                            <a:off x="0" y="0"/>
                            <a:ext cx="2641462" cy="1800000"/>
                          </a:xfrm>
                          <a:prstGeom prst="rect">
                            <a:avLst/>
                          </a:prstGeom>
                          <a:noFill/>
                        </pic:spPr>
                      </pic:pic>
                    </a:graphicData>
                  </a:graphic>
                </wp:inline>
              </w:drawing>
            </w:r>
          </w:p>
        </w:tc>
        <w:tc>
          <w:tcPr>
            <w:tcW w:w="4489" w:type="dxa"/>
          </w:tcPr>
          <w:p w:rsidR="00784547" w:rsidRPr="00580F2E" w:rsidRDefault="00784547" w:rsidP="009563D7">
            <w:pPr>
              <w:jc w:val="center"/>
              <w:rPr>
                <w:rFonts w:ascii="Times New Roman" w:hAnsi="Times New Roman" w:cs="Times New Roman"/>
                <w:lang w:val="es-ES"/>
              </w:rPr>
            </w:pPr>
            <w:r w:rsidRPr="00580F2E">
              <w:rPr>
                <w:rFonts w:ascii="Times New Roman" w:hAnsi="Times New Roman" w:cs="Times New Roman"/>
                <w:noProof/>
                <w:lang w:val="es-ES"/>
              </w:rPr>
              <w:drawing>
                <wp:inline distT="0" distB="0" distL="0" distR="0" wp14:anchorId="4707FEC4" wp14:editId="18C58F14">
                  <wp:extent cx="2642400" cy="1796995"/>
                  <wp:effectExtent l="19050" t="0" r="5550" b="0"/>
                  <wp:docPr id="7" name="Imagen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0" cstate="print"/>
                          <a:srcRect/>
                          <a:stretch>
                            <a:fillRect/>
                          </a:stretch>
                        </pic:blipFill>
                        <pic:spPr bwMode="auto">
                          <a:xfrm>
                            <a:off x="0" y="0"/>
                            <a:ext cx="2642400" cy="1796995"/>
                          </a:xfrm>
                          <a:prstGeom prst="rect">
                            <a:avLst/>
                          </a:prstGeom>
                          <a:noFill/>
                        </pic:spPr>
                      </pic:pic>
                    </a:graphicData>
                  </a:graphic>
                </wp:inline>
              </w:drawing>
            </w:r>
          </w:p>
        </w:tc>
      </w:tr>
    </w:tbl>
    <w:p w:rsidR="00957B14" w:rsidRPr="00580F2E" w:rsidRDefault="00957B14" w:rsidP="009563D7">
      <w:pPr>
        <w:spacing w:after="0"/>
        <w:jc w:val="center"/>
        <w:rPr>
          <w:rFonts w:ascii="Times New Roman" w:hAnsi="Times New Roman" w:cs="Times New Roman"/>
          <w:lang w:val="es-ES"/>
        </w:rPr>
      </w:pPr>
    </w:p>
    <w:p w:rsidR="00E80C33" w:rsidRPr="00580F2E" w:rsidRDefault="00E80C33" w:rsidP="009563D7">
      <w:pPr>
        <w:spacing w:after="0"/>
        <w:jc w:val="center"/>
        <w:rPr>
          <w:rFonts w:ascii="Times New Roman" w:hAnsi="Times New Roman" w:cs="Times New Roman"/>
          <w:lang w:val="es-ES"/>
        </w:rPr>
      </w:pPr>
    </w:p>
    <w:p w:rsidR="006457BC" w:rsidRPr="00580F2E" w:rsidRDefault="00957B14" w:rsidP="009563D7">
      <w:pPr>
        <w:spacing w:after="0"/>
        <w:rPr>
          <w:rFonts w:ascii="Times New Roman" w:hAnsi="Times New Roman" w:cs="Times New Roman"/>
          <w:sz w:val="16"/>
          <w:lang w:val="es-ES"/>
        </w:rPr>
      </w:pPr>
      <w:r w:rsidRPr="00580F2E">
        <w:rPr>
          <w:rFonts w:ascii="Times New Roman" w:hAnsi="Times New Roman" w:cs="Times New Roman"/>
          <w:sz w:val="16"/>
          <w:lang w:val="es-ES"/>
        </w:rPr>
        <w:t>Fuente:</w:t>
      </w:r>
      <w:r w:rsidR="006457BC" w:rsidRPr="00580F2E">
        <w:rPr>
          <w:rFonts w:ascii="Times New Roman" w:hAnsi="Times New Roman" w:cs="Times New Roman"/>
          <w:sz w:val="16"/>
          <w:lang w:val="es-ES"/>
        </w:rPr>
        <w:t xml:space="preserve"> </w:t>
      </w:r>
      <w:r w:rsidRPr="00580F2E">
        <w:rPr>
          <w:rFonts w:ascii="Times New Roman" w:hAnsi="Times New Roman" w:cs="Times New Roman"/>
          <w:sz w:val="16"/>
          <w:lang w:val="es-ES"/>
        </w:rPr>
        <w:t>Elaboración propia en base a Encue</w:t>
      </w:r>
      <w:r w:rsidR="00C0654E" w:rsidRPr="00580F2E">
        <w:rPr>
          <w:rFonts w:ascii="Times New Roman" w:hAnsi="Times New Roman" w:cs="Times New Roman"/>
          <w:sz w:val="16"/>
          <w:lang w:val="es-ES"/>
        </w:rPr>
        <w:t>s</w:t>
      </w:r>
      <w:r w:rsidRPr="00580F2E">
        <w:rPr>
          <w:rFonts w:ascii="Times New Roman" w:hAnsi="Times New Roman" w:cs="Times New Roman"/>
          <w:sz w:val="16"/>
          <w:lang w:val="es-ES"/>
        </w:rPr>
        <w:t>ta de Protección Social (2009)</w:t>
      </w:r>
      <w:r w:rsidR="00B72033" w:rsidRPr="00580F2E">
        <w:rPr>
          <w:rFonts w:ascii="Times New Roman" w:hAnsi="Times New Roman" w:cs="Times New Roman"/>
          <w:sz w:val="16"/>
          <w:lang w:val="es-ES"/>
        </w:rPr>
        <w:t>.</w:t>
      </w:r>
    </w:p>
    <w:p w:rsidR="00B72033" w:rsidRPr="00580F2E" w:rsidRDefault="00B72033" w:rsidP="009563D7">
      <w:pPr>
        <w:spacing w:after="0"/>
        <w:rPr>
          <w:rFonts w:ascii="Times New Roman" w:hAnsi="Times New Roman" w:cs="Times New Roman"/>
          <w:sz w:val="16"/>
          <w:lang w:val="es-ES"/>
        </w:rPr>
      </w:pPr>
      <w:r w:rsidRPr="00580F2E">
        <w:rPr>
          <w:rFonts w:ascii="Times New Roman" w:hAnsi="Times New Roman" w:cs="Times New Roman"/>
          <w:sz w:val="16"/>
          <w:lang w:val="es-ES"/>
        </w:rPr>
        <w:t xml:space="preserve">Nota: </w:t>
      </w:r>
      <w:r w:rsidR="00784547" w:rsidRPr="00580F2E">
        <w:rPr>
          <w:rFonts w:ascii="Times New Roman" w:hAnsi="Times New Roman" w:cs="Times New Roman"/>
          <w:sz w:val="16"/>
          <w:lang w:val="es-ES"/>
        </w:rPr>
        <w:t>Se muestran estimadores Kaplan Nelson Aalen y Kaplan Meier en los paneles a y b, respectivamente.</w:t>
      </w:r>
      <w:r w:rsidR="00C0654E" w:rsidRPr="00580F2E">
        <w:rPr>
          <w:rFonts w:ascii="Times New Roman" w:hAnsi="Times New Roman" w:cs="Times New Roman"/>
          <w:sz w:val="16"/>
          <w:lang w:val="es-ES"/>
        </w:rPr>
        <w:t xml:space="preserve"> Los quintiles de ingreso se construyeron a partir de salarios promedio 2006-2009.</w:t>
      </w:r>
    </w:p>
    <w:p w:rsidR="005D0F13" w:rsidRPr="00580F2E" w:rsidRDefault="005D0F13" w:rsidP="009563D7">
      <w:pPr>
        <w:spacing w:after="0"/>
        <w:jc w:val="center"/>
        <w:rPr>
          <w:rFonts w:ascii="Times New Roman" w:hAnsi="Times New Roman" w:cs="Times New Roman"/>
          <w:lang w:val="es-ES"/>
        </w:rPr>
      </w:pPr>
    </w:p>
    <w:p w:rsidR="001842D9" w:rsidRPr="00580F2E" w:rsidRDefault="001842D9" w:rsidP="00AF4BD5">
      <w:pPr>
        <w:pStyle w:val="ListParagraph"/>
        <w:numPr>
          <w:ilvl w:val="0"/>
          <w:numId w:val="7"/>
        </w:numPr>
        <w:spacing w:after="0"/>
        <w:rPr>
          <w:rFonts w:ascii="Times New Roman" w:hAnsi="Times New Roman" w:cs="Times New Roman"/>
          <w:b/>
          <w:lang w:val="es-ES"/>
        </w:rPr>
      </w:pPr>
      <w:r w:rsidRPr="00580F2E">
        <w:rPr>
          <w:rFonts w:ascii="Times New Roman" w:hAnsi="Times New Roman" w:cs="Times New Roman"/>
          <w:b/>
          <w:lang w:val="es-ES"/>
        </w:rPr>
        <w:t>Un zoom al sistema de capacitación</w:t>
      </w:r>
    </w:p>
    <w:p w:rsidR="001842D9" w:rsidRPr="00580F2E" w:rsidRDefault="001842D9" w:rsidP="009563D7">
      <w:pPr>
        <w:pStyle w:val="ListParagraph"/>
        <w:spacing w:after="0"/>
        <w:ind w:left="360"/>
        <w:rPr>
          <w:rFonts w:ascii="Times New Roman" w:hAnsi="Times New Roman" w:cs="Times New Roman"/>
          <w:lang w:val="es-ES"/>
        </w:rPr>
      </w:pPr>
    </w:p>
    <w:p w:rsidR="000872CD" w:rsidRPr="00580F2E" w:rsidRDefault="00EC4A18"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La sección anterior describe algunas características de grupos vulnerables en Chile. Se argumentó además que dichos grupos constituyen una demanda potencial al sistema de capacitación, por cuanto, al ser grupos con alta probabilidad </w:t>
      </w:r>
      <w:r w:rsidR="00163F88" w:rsidRPr="00580F2E">
        <w:rPr>
          <w:rFonts w:ascii="Times New Roman" w:hAnsi="Times New Roman" w:cs="Times New Roman"/>
          <w:sz w:val="24"/>
          <w:szCs w:val="24"/>
          <w:lang w:val="es-ES"/>
        </w:rPr>
        <w:t>de no completa</w:t>
      </w:r>
      <w:r w:rsidR="00344F64" w:rsidRPr="00580F2E">
        <w:rPr>
          <w:rFonts w:ascii="Times New Roman" w:hAnsi="Times New Roman" w:cs="Times New Roman"/>
          <w:sz w:val="24"/>
          <w:szCs w:val="24"/>
          <w:lang w:val="es-ES"/>
        </w:rPr>
        <w:t>r</w:t>
      </w:r>
      <w:r w:rsidRPr="00580F2E">
        <w:rPr>
          <w:rFonts w:ascii="Times New Roman" w:hAnsi="Times New Roman" w:cs="Times New Roman"/>
          <w:sz w:val="24"/>
          <w:szCs w:val="24"/>
          <w:lang w:val="es-ES"/>
        </w:rPr>
        <w:t xml:space="preserve"> todas las etapas desde educación preescolar a educación superior, le</w:t>
      </w:r>
      <w:r w:rsidR="000872CD" w:rsidRPr="00580F2E">
        <w:rPr>
          <w:rFonts w:ascii="Times New Roman" w:hAnsi="Times New Roman" w:cs="Times New Roman"/>
          <w:sz w:val="24"/>
          <w:szCs w:val="24"/>
          <w:lang w:val="es-ES"/>
        </w:rPr>
        <w:t>s</w:t>
      </w:r>
      <w:r w:rsidRPr="00580F2E">
        <w:rPr>
          <w:rFonts w:ascii="Times New Roman" w:hAnsi="Times New Roman" w:cs="Times New Roman"/>
          <w:sz w:val="24"/>
          <w:szCs w:val="24"/>
          <w:lang w:val="es-ES"/>
        </w:rPr>
        <w:t xml:space="preserve"> sea óptimo desarrollar competencias laborales más arraigadas con el mercado del trabajo. A continuación, se hará un análisis detallado respecto de los programas de capacitación.</w:t>
      </w:r>
    </w:p>
    <w:p w:rsidR="000872CD" w:rsidRPr="00580F2E" w:rsidRDefault="00344F64"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El C</w:t>
      </w:r>
      <w:r w:rsidR="000872CD" w:rsidRPr="00580F2E">
        <w:rPr>
          <w:rFonts w:ascii="Times New Roman" w:hAnsi="Times New Roman" w:cs="Times New Roman"/>
          <w:sz w:val="24"/>
          <w:szCs w:val="24"/>
          <w:lang w:val="es-ES"/>
        </w:rPr>
        <w:t xml:space="preserve">uadro </w:t>
      </w:r>
      <w:r w:rsidRPr="00580F2E">
        <w:rPr>
          <w:rFonts w:ascii="Times New Roman" w:hAnsi="Times New Roman" w:cs="Times New Roman"/>
          <w:sz w:val="24"/>
          <w:szCs w:val="24"/>
          <w:lang w:val="es-ES"/>
        </w:rPr>
        <w:t>4</w:t>
      </w:r>
      <w:r w:rsidR="000872CD" w:rsidRPr="00580F2E">
        <w:rPr>
          <w:rFonts w:ascii="Times New Roman" w:hAnsi="Times New Roman" w:cs="Times New Roman"/>
          <w:sz w:val="24"/>
          <w:szCs w:val="24"/>
          <w:lang w:val="es-ES"/>
        </w:rPr>
        <w:t xml:space="preserve"> presenta los programas de SENCE que tienen que ver con capacitación.</w:t>
      </w:r>
      <w:r w:rsidR="000872CD" w:rsidRPr="00580F2E">
        <w:rPr>
          <w:rStyle w:val="FootnoteReference"/>
          <w:rFonts w:ascii="Times New Roman" w:hAnsi="Times New Roman" w:cs="Times New Roman"/>
          <w:sz w:val="24"/>
          <w:szCs w:val="24"/>
          <w:lang w:val="es-ES"/>
        </w:rPr>
        <w:footnoteReference w:id="9"/>
      </w:r>
      <w:r w:rsidRPr="00580F2E">
        <w:rPr>
          <w:rFonts w:ascii="Times New Roman" w:hAnsi="Times New Roman" w:cs="Times New Roman"/>
          <w:sz w:val="24"/>
          <w:szCs w:val="24"/>
          <w:lang w:val="es-ES"/>
        </w:rPr>
        <w:t xml:space="preserve"> </w:t>
      </w:r>
      <w:r w:rsidR="000872CD" w:rsidRPr="00580F2E">
        <w:rPr>
          <w:rFonts w:ascii="Times New Roman" w:hAnsi="Times New Roman" w:cs="Times New Roman"/>
          <w:sz w:val="24"/>
          <w:szCs w:val="24"/>
          <w:lang w:val="es-ES"/>
        </w:rPr>
        <w:t xml:space="preserve">A primera vista, se puede apreciar que existe un abanico interesante de posibilidades, para distintos grupos. Sin embargo, tal como analizaremos en detalle a continuación, dicha gama se concentra más bien </w:t>
      </w:r>
      <w:r w:rsidR="00F33EBB" w:rsidRPr="00580F2E">
        <w:rPr>
          <w:rFonts w:ascii="Times New Roman" w:hAnsi="Times New Roman" w:cs="Times New Roman"/>
          <w:sz w:val="24"/>
          <w:szCs w:val="24"/>
          <w:lang w:val="es-ES"/>
        </w:rPr>
        <w:t xml:space="preserve">en </w:t>
      </w:r>
      <w:r w:rsidR="000872CD" w:rsidRPr="00580F2E">
        <w:rPr>
          <w:rFonts w:ascii="Times New Roman" w:hAnsi="Times New Roman" w:cs="Times New Roman"/>
          <w:sz w:val="24"/>
          <w:szCs w:val="24"/>
          <w:lang w:val="es-ES"/>
        </w:rPr>
        <w:t xml:space="preserve">un tipo de programas que no atiende a </w:t>
      </w:r>
      <w:r w:rsidR="00F33EBB" w:rsidRPr="00580F2E">
        <w:rPr>
          <w:rFonts w:ascii="Times New Roman" w:hAnsi="Times New Roman" w:cs="Times New Roman"/>
          <w:sz w:val="24"/>
          <w:szCs w:val="24"/>
          <w:lang w:val="es-ES"/>
        </w:rPr>
        <w:t xml:space="preserve">la </w:t>
      </w:r>
      <w:r w:rsidR="000872CD" w:rsidRPr="00580F2E">
        <w:rPr>
          <w:rFonts w:ascii="Times New Roman" w:hAnsi="Times New Roman" w:cs="Times New Roman"/>
          <w:sz w:val="24"/>
          <w:szCs w:val="24"/>
          <w:lang w:val="es-ES"/>
        </w:rPr>
        <w:t xml:space="preserve">población </w:t>
      </w:r>
      <w:r w:rsidRPr="00580F2E">
        <w:rPr>
          <w:rFonts w:ascii="Times New Roman" w:hAnsi="Times New Roman" w:cs="Times New Roman"/>
          <w:sz w:val="24"/>
          <w:szCs w:val="24"/>
          <w:lang w:val="es-ES"/>
        </w:rPr>
        <w:t xml:space="preserve">con </w:t>
      </w:r>
      <w:r w:rsidR="000872CD" w:rsidRPr="00580F2E">
        <w:rPr>
          <w:rFonts w:ascii="Times New Roman" w:hAnsi="Times New Roman" w:cs="Times New Roman"/>
          <w:sz w:val="24"/>
          <w:szCs w:val="24"/>
          <w:lang w:val="es-ES"/>
        </w:rPr>
        <w:t xml:space="preserve">mayores necesidades </w:t>
      </w:r>
      <w:r w:rsidR="00F33EBB" w:rsidRPr="00580F2E">
        <w:rPr>
          <w:rFonts w:ascii="Times New Roman" w:hAnsi="Times New Roman" w:cs="Times New Roman"/>
          <w:sz w:val="24"/>
          <w:szCs w:val="24"/>
          <w:lang w:val="es-ES"/>
        </w:rPr>
        <w:t xml:space="preserve">relativas </w:t>
      </w:r>
      <w:r w:rsidR="000872CD" w:rsidRPr="00580F2E">
        <w:rPr>
          <w:rFonts w:ascii="Times New Roman" w:hAnsi="Times New Roman" w:cs="Times New Roman"/>
          <w:sz w:val="24"/>
          <w:szCs w:val="24"/>
          <w:lang w:val="es-ES"/>
        </w:rPr>
        <w:t>de desarrollo de competencias.</w:t>
      </w:r>
    </w:p>
    <w:p w:rsidR="001842D9" w:rsidRPr="00580F2E" w:rsidRDefault="001842D9" w:rsidP="009563D7">
      <w:pPr>
        <w:spacing w:after="0"/>
        <w:jc w:val="both"/>
        <w:rPr>
          <w:rFonts w:ascii="Times New Roman" w:hAnsi="Times New Roman" w:cs="Times New Roman"/>
          <w:sz w:val="24"/>
          <w:szCs w:val="24"/>
          <w:lang w:val="es-ES"/>
        </w:rPr>
      </w:pPr>
    </w:p>
    <w:p w:rsidR="00B23098" w:rsidRPr="00580F2E" w:rsidRDefault="00344F64" w:rsidP="00B23098">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Cuadro 4</w:t>
      </w:r>
      <w:r w:rsidR="00B23098" w:rsidRPr="00580F2E">
        <w:rPr>
          <w:rFonts w:ascii="Times New Roman" w:hAnsi="Times New Roman" w:cs="Times New Roman"/>
          <w:b/>
          <w:sz w:val="24"/>
          <w:szCs w:val="24"/>
          <w:lang w:val="es-ES"/>
        </w:rPr>
        <w:t>: Programas de capacitación SENCE (2010)</w:t>
      </w:r>
    </w:p>
    <w:tbl>
      <w:tblPr>
        <w:tblW w:w="0" w:type="auto"/>
        <w:jc w:val="center"/>
        <w:tblInd w:w="70" w:type="dxa"/>
        <w:tblCellMar>
          <w:left w:w="70" w:type="dxa"/>
          <w:right w:w="70" w:type="dxa"/>
        </w:tblCellMar>
        <w:tblLook w:val="04A0" w:firstRow="1" w:lastRow="0" w:firstColumn="1" w:lastColumn="0" w:noHBand="0" w:noVBand="1"/>
      </w:tblPr>
      <w:tblGrid>
        <w:gridCol w:w="2805"/>
        <w:gridCol w:w="195"/>
        <w:gridCol w:w="1140"/>
        <w:gridCol w:w="185"/>
        <w:gridCol w:w="2356"/>
      </w:tblGrid>
      <w:tr w:rsidR="008E1400" w:rsidRPr="00580F2E" w:rsidTr="008E1400">
        <w:trPr>
          <w:trHeight w:val="570"/>
          <w:jc w:val="center"/>
        </w:trPr>
        <w:tc>
          <w:tcPr>
            <w:tcW w:w="0" w:type="auto"/>
            <w:tcBorders>
              <w:top w:val="single" w:sz="4" w:space="0" w:color="auto"/>
              <w:left w:val="nil"/>
              <w:bottom w:val="single" w:sz="4" w:space="0" w:color="auto"/>
              <w:right w:val="nil"/>
            </w:tcBorders>
            <w:shd w:val="clear" w:color="auto" w:fill="auto"/>
            <w:vAlign w:val="center"/>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Programa</w:t>
            </w:r>
          </w:p>
        </w:tc>
        <w:tc>
          <w:tcPr>
            <w:tcW w:w="0" w:type="auto"/>
            <w:tcBorders>
              <w:top w:val="single" w:sz="4" w:space="0" w:color="auto"/>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vAlign w:val="center"/>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Beneficiarios</w:t>
            </w:r>
          </w:p>
        </w:tc>
        <w:tc>
          <w:tcPr>
            <w:tcW w:w="0" w:type="auto"/>
            <w:tcBorders>
              <w:top w:val="single" w:sz="4" w:space="0" w:color="auto"/>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vAlign w:val="center"/>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Inversión pública (US$ MM)</w:t>
            </w:r>
          </w:p>
        </w:tc>
      </w:tr>
      <w:tr w:rsidR="008E1400" w:rsidRPr="00580F2E" w:rsidTr="008E1400">
        <w:trPr>
          <w:trHeight w:val="300"/>
          <w:jc w:val="center"/>
        </w:trPr>
        <w:tc>
          <w:tcPr>
            <w:tcW w:w="0" w:type="auto"/>
            <w:tcBorders>
              <w:top w:val="nil"/>
              <w:left w:val="nil"/>
              <w:bottom w:val="nil"/>
              <w:right w:val="nil"/>
            </w:tcBorders>
            <w:shd w:val="clear" w:color="auto" w:fill="auto"/>
            <w:vAlign w:val="center"/>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TRABAJADORES ACTIVOS</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vAlign w:val="center"/>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vAlign w:val="center"/>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Franquicia Tributaria</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496.999</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292</w:t>
            </w: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r>
      <w:tr w:rsidR="008E1400" w:rsidRPr="00580F2E" w:rsidTr="008E1400">
        <w:trPr>
          <w:trHeight w:val="300"/>
          <w:jc w:val="center"/>
        </w:trPr>
        <w:tc>
          <w:tcPr>
            <w:tcW w:w="0" w:type="auto"/>
            <w:tcBorders>
              <w:top w:val="nil"/>
              <w:left w:val="nil"/>
              <w:bottom w:val="nil"/>
              <w:right w:val="nil"/>
            </w:tcBorders>
            <w:shd w:val="clear" w:color="auto" w:fill="auto"/>
            <w:vAlign w:val="center"/>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PROGRAMAS SOCIALES</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Aprendices</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2.273</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5,0</w:t>
            </w: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Programa Especial de Jóvenes</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3.848</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18,6</w:t>
            </w: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Mujeres Jefas de Hogar</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2.433</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24,3</w:t>
            </w: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Reinserción laboral para adultos</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2.753</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0,33</w:t>
            </w:r>
          </w:p>
        </w:tc>
      </w:tr>
      <w:tr w:rsidR="008E1400" w:rsidRPr="00580F2E" w:rsidTr="008E1400">
        <w:trPr>
          <w:trHeight w:val="300"/>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Bono trabajador activo</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1.383</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0,53</w:t>
            </w:r>
          </w:p>
        </w:tc>
      </w:tr>
      <w:tr w:rsidR="008E1400" w:rsidRPr="00580F2E" w:rsidTr="008E1400">
        <w:trPr>
          <w:trHeight w:val="300"/>
          <w:jc w:val="center"/>
        </w:trPr>
        <w:tc>
          <w:tcPr>
            <w:tcW w:w="0" w:type="auto"/>
            <w:gridSpan w:val="2"/>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Bono capacitación empresa y negocio</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354</w:t>
            </w: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0,17</w:t>
            </w:r>
          </w:p>
        </w:tc>
      </w:tr>
      <w:tr w:rsidR="008E1400" w:rsidRPr="00580F2E" w:rsidTr="008E1400">
        <w:trPr>
          <w:trHeight w:val="165"/>
          <w:jc w:val="center"/>
        </w:trPr>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p>
        </w:tc>
        <w:tc>
          <w:tcPr>
            <w:tcW w:w="0" w:type="auto"/>
            <w:tcBorders>
              <w:top w:val="nil"/>
              <w:left w:val="nil"/>
              <w:bottom w:val="nil"/>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p>
        </w:tc>
      </w:tr>
      <w:tr w:rsidR="008E1400" w:rsidRPr="00580F2E" w:rsidTr="008E1400">
        <w:trPr>
          <w:trHeight w:val="300"/>
          <w:jc w:val="center"/>
        </w:trPr>
        <w:tc>
          <w:tcPr>
            <w:tcW w:w="0" w:type="auto"/>
            <w:tcBorders>
              <w:top w:val="single" w:sz="4" w:space="0" w:color="auto"/>
              <w:left w:val="nil"/>
              <w:bottom w:val="single" w:sz="4" w:space="0" w:color="auto"/>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Total</w:t>
            </w:r>
          </w:p>
        </w:tc>
        <w:tc>
          <w:tcPr>
            <w:tcW w:w="0" w:type="auto"/>
            <w:tcBorders>
              <w:top w:val="single" w:sz="4" w:space="0" w:color="auto"/>
              <w:left w:val="nil"/>
              <w:bottom w:val="single" w:sz="4" w:space="0" w:color="auto"/>
              <w:right w:val="nil"/>
            </w:tcBorders>
            <w:shd w:val="clear" w:color="auto" w:fill="auto"/>
            <w:noWrap/>
            <w:vAlign w:val="bottom"/>
            <w:hideMark/>
          </w:tcPr>
          <w:p w:rsidR="008E1400" w:rsidRPr="00580F2E" w:rsidRDefault="008E1400" w:rsidP="008E1400">
            <w:pPr>
              <w:spacing w:after="0" w:line="240" w:lineRule="auto"/>
              <w:rPr>
                <w:rFonts w:ascii="Times New Roman" w:eastAsia="Times New Roman" w:hAnsi="Times New Roman" w:cs="Times New Roman"/>
                <w:color w:val="000000"/>
                <w:sz w:val="18"/>
                <w:lang w:val="es-ES" w:eastAsia="es-CL"/>
              </w:rPr>
            </w:pPr>
            <w:r w:rsidRPr="00580F2E">
              <w:rPr>
                <w:rFonts w:ascii="Times New Roman" w:eastAsia="Times New Roman" w:hAnsi="Times New Roman" w:cs="Times New Roman"/>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510.043</w:t>
            </w:r>
          </w:p>
        </w:tc>
        <w:tc>
          <w:tcPr>
            <w:tcW w:w="0" w:type="auto"/>
            <w:tcBorders>
              <w:top w:val="single" w:sz="4" w:space="0" w:color="auto"/>
              <w:left w:val="nil"/>
              <w:bottom w:val="single" w:sz="4" w:space="0" w:color="auto"/>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 </w:t>
            </w:r>
          </w:p>
        </w:tc>
        <w:tc>
          <w:tcPr>
            <w:tcW w:w="0" w:type="auto"/>
            <w:tcBorders>
              <w:top w:val="single" w:sz="4" w:space="0" w:color="auto"/>
              <w:left w:val="nil"/>
              <w:bottom w:val="single" w:sz="4" w:space="0" w:color="auto"/>
              <w:right w:val="nil"/>
            </w:tcBorders>
            <w:shd w:val="clear" w:color="auto" w:fill="auto"/>
            <w:noWrap/>
            <w:vAlign w:val="bottom"/>
            <w:hideMark/>
          </w:tcPr>
          <w:p w:rsidR="008E1400" w:rsidRPr="00580F2E" w:rsidRDefault="008E1400" w:rsidP="008E1400">
            <w:pPr>
              <w:spacing w:after="0" w:line="240" w:lineRule="auto"/>
              <w:jc w:val="center"/>
              <w:rPr>
                <w:rFonts w:ascii="Times New Roman" w:eastAsia="Times New Roman" w:hAnsi="Times New Roman" w:cs="Times New Roman"/>
                <w:b/>
                <w:bCs/>
                <w:color w:val="000000"/>
                <w:sz w:val="18"/>
                <w:lang w:val="es-ES" w:eastAsia="es-CL"/>
              </w:rPr>
            </w:pPr>
            <w:r w:rsidRPr="00580F2E">
              <w:rPr>
                <w:rFonts w:ascii="Times New Roman" w:eastAsia="Times New Roman" w:hAnsi="Times New Roman" w:cs="Times New Roman"/>
                <w:b/>
                <w:bCs/>
                <w:color w:val="000000"/>
                <w:sz w:val="18"/>
                <w:lang w:val="es-ES" w:eastAsia="es-CL"/>
              </w:rPr>
              <w:t>340,9</w:t>
            </w:r>
          </w:p>
        </w:tc>
      </w:tr>
    </w:tbl>
    <w:p w:rsidR="001842D9" w:rsidRPr="00580F2E" w:rsidRDefault="00B23098" w:rsidP="00344F64">
      <w:pPr>
        <w:spacing w:after="0"/>
        <w:jc w:val="both"/>
        <w:rPr>
          <w:rFonts w:ascii="Times New Roman" w:hAnsi="Times New Roman" w:cs="Times New Roman"/>
          <w:sz w:val="16"/>
          <w:szCs w:val="24"/>
          <w:lang w:val="es-ES"/>
        </w:rPr>
      </w:pPr>
      <w:r w:rsidRPr="00580F2E">
        <w:rPr>
          <w:rFonts w:ascii="Times New Roman" w:hAnsi="Times New Roman" w:cs="Times New Roman"/>
          <w:sz w:val="16"/>
          <w:szCs w:val="24"/>
          <w:lang w:val="es-ES"/>
        </w:rPr>
        <w:t>Fuente: SENCE y Dirección de Presupuestos.</w:t>
      </w:r>
    </w:p>
    <w:p w:rsidR="00B23098" w:rsidRPr="00580F2E" w:rsidRDefault="00B23098" w:rsidP="00344F64">
      <w:pPr>
        <w:spacing w:after="0"/>
        <w:jc w:val="both"/>
        <w:rPr>
          <w:rFonts w:ascii="Times New Roman" w:hAnsi="Times New Roman" w:cs="Times New Roman"/>
          <w:sz w:val="16"/>
          <w:szCs w:val="24"/>
          <w:lang w:val="es-ES"/>
        </w:rPr>
      </w:pPr>
      <w:r w:rsidRPr="00580F2E">
        <w:rPr>
          <w:rFonts w:ascii="Times New Roman" w:hAnsi="Times New Roman" w:cs="Times New Roman"/>
          <w:sz w:val="16"/>
          <w:szCs w:val="24"/>
          <w:lang w:val="es-ES"/>
        </w:rPr>
        <w:t>Notas: Los datos de beneficiarios son extraídos de Anuarios Estadísticos SENCE 2010. En el caso de inversión pública, de dicha publicación se obtiene montos para Bono trabajador activo, Bono capacitación empresa y negocio y Franquicia Tributaria. Las demás cifras vienen de Dirección de Presupuesto (ejecución al cuarto trimestre 2010).</w:t>
      </w:r>
    </w:p>
    <w:p w:rsidR="005D0F13" w:rsidRPr="00580F2E" w:rsidRDefault="005D0F13" w:rsidP="005D0F13">
      <w:pPr>
        <w:spacing w:after="0"/>
        <w:rPr>
          <w:rFonts w:ascii="Times New Roman" w:hAnsi="Times New Roman" w:cs="Times New Roman"/>
          <w:lang w:val="es-ES"/>
        </w:rPr>
      </w:pPr>
    </w:p>
    <w:p w:rsidR="00ED19E3" w:rsidRPr="00580F2E" w:rsidRDefault="00ED19E3" w:rsidP="008E1400">
      <w:pPr>
        <w:pStyle w:val="ListParagraph"/>
        <w:numPr>
          <w:ilvl w:val="1"/>
          <w:numId w:val="7"/>
        </w:numPr>
        <w:spacing w:after="0"/>
        <w:rPr>
          <w:rFonts w:ascii="Times New Roman" w:hAnsi="Times New Roman" w:cs="Times New Roman"/>
          <w:b/>
          <w:sz w:val="24"/>
          <w:szCs w:val="24"/>
          <w:lang w:val="es-ES"/>
        </w:rPr>
      </w:pPr>
      <w:r w:rsidRPr="00580F2E">
        <w:rPr>
          <w:rFonts w:ascii="Times New Roman" w:hAnsi="Times New Roman" w:cs="Times New Roman"/>
          <w:b/>
          <w:sz w:val="24"/>
          <w:szCs w:val="24"/>
          <w:lang w:val="es-ES"/>
        </w:rPr>
        <w:t>La Franquicia Tributaria</w:t>
      </w:r>
    </w:p>
    <w:p w:rsidR="00ED19E3" w:rsidRPr="00580F2E" w:rsidRDefault="00ED19E3" w:rsidP="00F33EBB">
      <w:pPr>
        <w:spacing w:after="0" w:line="360" w:lineRule="auto"/>
        <w:ind w:firstLine="709"/>
        <w:jc w:val="both"/>
        <w:rPr>
          <w:rFonts w:ascii="Times New Roman" w:hAnsi="Times New Roman" w:cs="Times New Roman"/>
          <w:sz w:val="24"/>
          <w:szCs w:val="24"/>
          <w:lang w:val="es-ES"/>
        </w:rPr>
      </w:pPr>
    </w:p>
    <w:p w:rsidR="00521CED" w:rsidRPr="00580F2E" w:rsidRDefault="001842D9"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programa que absorbe la mayor cantidad de beneficiarios e inversión pública </w:t>
      </w:r>
      <w:r w:rsidR="008E1400" w:rsidRPr="00580F2E">
        <w:rPr>
          <w:rFonts w:ascii="Times New Roman" w:hAnsi="Times New Roman" w:cs="Times New Roman"/>
          <w:sz w:val="24"/>
          <w:szCs w:val="24"/>
          <w:lang w:val="es-ES"/>
        </w:rPr>
        <w:t>es la</w:t>
      </w:r>
      <w:r w:rsidRPr="00580F2E">
        <w:rPr>
          <w:rFonts w:ascii="Times New Roman" w:hAnsi="Times New Roman" w:cs="Times New Roman"/>
          <w:sz w:val="24"/>
          <w:szCs w:val="24"/>
          <w:lang w:val="es-ES"/>
        </w:rPr>
        <w:t xml:space="preserve"> Franquicia Tributaria </w:t>
      </w:r>
      <w:r w:rsidR="008E1400" w:rsidRPr="00580F2E">
        <w:rPr>
          <w:rFonts w:ascii="Times New Roman" w:hAnsi="Times New Roman" w:cs="Times New Roman"/>
          <w:sz w:val="24"/>
          <w:szCs w:val="24"/>
          <w:lang w:val="es-ES"/>
        </w:rPr>
        <w:t xml:space="preserve">para Capacitación </w:t>
      </w:r>
      <w:r w:rsidRPr="00580F2E">
        <w:rPr>
          <w:rFonts w:ascii="Times New Roman" w:hAnsi="Times New Roman" w:cs="Times New Roman"/>
          <w:sz w:val="24"/>
          <w:szCs w:val="24"/>
          <w:lang w:val="es-ES"/>
        </w:rPr>
        <w:t xml:space="preserve">(FT). </w:t>
      </w:r>
      <w:r w:rsidR="00344F64" w:rsidRPr="00580F2E">
        <w:rPr>
          <w:rFonts w:ascii="Times New Roman" w:hAnsi="Times New Roman" w:cs="Times New Roman"/>
          <w:sz w:val="24"/>
          <w:szCs w:val="24"/>
          <w:lang w:val="es-ES"/>
        </w:rPr>
        <w:t>La Figura 10</w:t>
      </w:r>
      <w:r w:rsidR="00521CED" w:rsidRPr="00580F2E">
        <w:rPr>
          <w:rFonts w:ascii="Times New Roman" w:hAnsi="Times New Roman" w:cs="Times New Roman"/>
          <w:sz w:val="24"/>
          <w:szCs w:val="24"/>
          <w:lang w:val="es-ES"/>
        </w:rPr>
        <w:t xml:space="preserve"> muestra la evolución del </w:t>
      </w:r>
      <w:r w:rsidR="00344F64" w:rsidRPr="00580F2E">
        <w:rPr>
          <w:rFonts w:ascii="Times New Roman" w:hAnsi="Times New Roman" w:cs="Times New Roman"/>
          <w:sz w:val="24"/>
          <w:szCs w:val="24"/>
          <w:lang w:val="es-ES"/>
        </w:rPr>
        <w:t>programa</w:t>
      </w:r>
      <w:r w:rsidR="00521CED" w:rsidRPr="00580F2E">
        <w:rPr>
          <w:rFonts w:ascii="Times New Roman" w:hAnsi="Times New Roman" w:cs="Times New Roman"/>
          <w:sz w:val="24"/>
          <w:szCs w:val="24"/>
          <w:lang w:val="es-ES"/>
        </w:rPr>
        <w:t>. Cerca de 12% de la fuerza laboral ocupada se capacita por esta vía (2009). En ello, el Estado invierte alrededor de US$</w:t>
      </w:r>
      <w:r w:rsidR="000872CD" w:rsidRPr="00580F2E">
        <w:rPr>
          <w:rFonts w:ascii="Times New Roman" w:hAnsi="Times New Roman" w:cs="Times New Roman"/>
          <w:sz w:val="24"/>
          <w:szCs w:val="24"/>
          <w:lang w:val="es-ES"/>
        </w:rPr>
        <w:t>292</w:t>
      </w:r>
      <w:r w:rsidR="00521CED" w:rsidRPr="00580F2E">
        <w:rPr>
          <w:rFonts w:ascii="Times New Roman" w:hAnsi="Times New Roman" w:cs="Times New Roman"/>
          <w:sz w:val="24"/>
          <w:szCs w:val="24"/>
          <w:lang w:val="es-ES"/>
        </w:rPr>
        <w:t xml:space="preserve"> millones</w:t>
      </w:r>
      <w:r w:rsidR="008E1400" w:rsidRPr="00580F2E">
        <w:rPr>
          <w:rFonts w:ascii="Times New Roman" w:hAnsi="Times New Roman" w:cs="Times New Roman"/>
          <w:sz w:val="24"/>
          <w:szCs w:val="24"/>
          <w:lang w:val="es-ES"/>
        </w:rPr>
        <w:t xml:space="preserve"> (año 2010)</w:t>
      </w:r>
      <w:r w:rsidR="00521CED" w:rsidRPr="00580F2E">
        <w:rPr>
          <w:rFonts w:ascii="Times New Roman" w:hAnsi="Times New Roman" w:cs="Times New Roman"/>
          <w:sz w:val="24"/>
          <w:szCs w:val="24"/>
          <w:lang w:val="es-ES"/>
        </w:rPr>
        <w:t>,</w:t>
      </w:r>
      <w:r w:rsidR="008E1400" w:rsidRPr="00580F2E">
        <w:rPr>
          <w:rFonts w:ascii="Times New Roman" w:hAnsi="Times New Roman" w:cs="Times New Roman"/>
          <w:sz w:val="24"/>
          <w:szCs w:val="24"/>
          <w:lang w:val="es-ES"/>
        </w:rPr>
        <w:t xml:space="preserve"> esto es</w:t>
      </w:r>
      <w:r w:rsidR="00521CED" w:rsidRPr="00580F2E">
        <w:rPr>
          <w:rFonts w:ascii="Times New Roman" w:hAnsi="Times New Roman" w:cs="Times New Roman"/>
          <w:sz w:val="24"/>
          <w:szCs w:val="24"/>
          <w:lang w:val="es-ES"/>
        </w:rPr>
        <w:t xml:space="preserve"> </w:t>
      </w:r>
      <w:r w:rsidR="000872CD" w:rsidRPr="00580F2E">
        <w:rPr>
          <w:rFonts w:ascii="Times New Roman" w:hAnsi="Times New Roman" w:cs="Times New Roman"/>
          <w:sz w:val="24"/>
          <w:szCs w:val="24"/>
          <w:lang w:val="es-ES"/>
        </w:rPr>
        <w:t>87</w:t>
      </w:r>
      <w:r w:rsidR="00521CED" w:rsidRPr="00580F2E">
        <w:rPr>
          <w:rFonts w:ascii="Times New Roman" w:hAnsi="Times New Roman" w:cs="Times New Roman"/>
          <w:sz w:val="24"/>
          <w:szCs w:val="24"/>
          <w:lang w:val="es-ES"/>
        </w:rPr>
        <w:t>% de los recursos que SENCE destina –directa o indirectamente– a capacitación.</w:t>
      </w:r>
    </w:p>
    <w:p w:rsidR="00521CED" w:rsidRPr="00580F2E" w:rsidRDefault="00521CED" w:rsidP="00580F2E">
      <w:pPr>
        <w:keepNext/>
        <w:spacing w:after="0"/>
        <w:jc w:val="both"/>
        <w:rPr>
          <w:rFonts w:ascii="Times New Roman" w:hAnsi="Times New Roman" w:cs="Times New Roman"/>
          <w:lang w:val="es-ES"/>
        </w:rPr>
      </w:pPr>
    </w:p>
    <w:p w:rsidR="00521CED" w:rsidRPr="00580F2E" w:rsidRDefault="00344F64" w:rsidP="00580F2E">
      <w:pPr>
        <w:keepNext/>
        <w:spacing w:after="0"/>
        <w:jc w:val="center"/>
        <w:rPr>
          <w:rFonts w:ascii="Times New Roman" w:hAnsi="Times New Roman" w:cs="Times New Roman"/>
          <w:b/>
          <w:lang w:val="es-ES"/>
        </w:rPr>
      </w:pPr>
      <w:r w:rsidRPr="00580F2E">
        <w:rPr>
          <w:rFonts w:ascii="Times New Roman" w:hAnsi="Times New Roman" w:cs="Times New Roman"/>
          <w:b/>
          <w:lang w:val="es-ES"/>
        </w:rPr>
        <w:t>Figura 10</w:t>
      </w:r>
      <w:r w:rsidR="00521CED" w:rsidRPr="00580F2E">
        <w:rPr>
          <w:rFonts w:ascii="Times New Roman" w:hAnsi="Times New Roman" w:cs="Times New Roman"/>
          <w:b/>
          <w:lang w:val="es-ES"/>
        </w:rPr>
        <w:t>: Evolución de Franquicia Tributaria</w:t>
      </w:r>
    </w:p>
    <w:p w:rsidR="00521CED" w:rsidRPr="00580F2E" w:rsidRDefault="00521CED" w:rsidP="00521CED">
      <w:pPr>
        <w:spacing w:after="0"/>
        <w:jc w:val="center"/>
        <w:rPr>
          <w:rFonts w:ascii="Times New Roman" w:hAnsi="Times New Roman" w:cs="Times New Roman"/>
          <w:lang w:val="es-ES"/>
        </w:rPr>
      </w:pPr>
      <w:r w:rsidRPr="00580F2E">
        <w:rPr>
          <w:rFonts w:ascii="Times New Roman" w:hAnsi="Times New Roman" w:cs="Times New Roman"/>
          <w:noProof/>
          <w:lang w:val="es-ES"/>
        </w:rPr>
        <w:drawing>
          <wp:inline distT="0" distB="0" distL="0" distR="0" wp14:anchorId="6E0EBEFD" wp14:editId="46C1F01D">
            <wp:extent cx="3002446" cy="2401294"/>
            <wp:effectExtent l="19050" t="0" r="7454" b="0"/>
            <wp:docPr id="17" name="Imagen 4"/>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21" cstate="print"/>
                    <a:srcRect/>
                    <a:stretch>
                      <a:fillRect/>
                    </a:stretch>
                  </pic:blipFill>
                  <pic:spPr bwMode="auto">
                    <a:xfrm>
                      <a:off x="0" y="0"/>
                      <a:ext cx="3005676" cy="2403877"/>
                    </a:xfrm>
                    <a:prstGeom prst="rect">
                      <a:avLst/>
                    </a:prstGeom>
                    <a:noFill/>
                  </pic:spPr>
                </pic:pic>
              </a:graphicData>
            </a:graphic>
          </wp:inline>
        </w:drawing>
      </w:r>
    </w:p>
    <w:p w:rsidR="00521CED" w:rsidRPr="00580F2E" w:rsidRDefault="00521CED"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Rodríguez y Urzúa (2011).</w:t>
      </w:r>
    </w:p>
    <w:p w:rsidR="00521CED" w:rsidRPr="00580F2E" w:rsidRDefault="00521CED"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Nota: Se muestra la cantidad de individuos y capacitaciones (línea discontinua) en términos anuales. No hay restricciones respecto del número de cursos que un individuo puede realizar.</w:t>
      </w:r>
    </w:p>
    <w:p w:rsidR="00521CED" w:rsidRPr="00580F2E" w:rsidRDefault="00521CED" w:rsidP="009563D7">
      <w:pPr>
        <w:spacing w:after="0"/>
        <w:jc w:val="both"/>
        <w:rPr>
          <w:rFonts w:ascii="Times New Roman" w:hAnsi="Times New Roman" w:cs="Times New Roman"/>
          <w:lang w:val="es-ES"/>
        </w:rPr>
      </w:pPr>
    </w:p>
    <w:p w:rsidR="0018055F" w:rsidRPr="00580F2E" w:rsidRDefault="001842D9"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Tal como lo indica su nombre, </w:t>
      </w:r>
      <w:r w:rsidR="00EC4A18" w:rsidRPr="00580F2E">
        <w:rPr>
          <w:rFonts w:ascii="Times New Roman" w:hAnsi="Times New Roman" w:cs="Times New Roman"/>
          <w:sz w:val="24"/>
          <w:szCs w:val="24"/>
          <w:lang w:val="es-ES"/>
        </w:rPr>
        <w:t>FT</w:t>
      </w:r>
      <w:r w:rsidR="003A0240"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 xml:space="preserve">corresponde a una exención de impuestos para empresas que invierten en capacitación de sus trabajadores. Este monto depende de la planilla anual de remuneraciones de la empresa, de un valor de referencia llamado Valor Hora SENCE </w:t>
      </w:r>
      <w:r w:rsidR="006A5EE4" w:rsidRPr="00580F2E">
        <w:rPr>
          <w:rFonts w:ascii="Times New Roman" w:hAnsi="Times New Roman" w:cs="Times New Roman"/>
          <w:sz w:val="24"/>
          <w:szCs w:val="24"/>
          <w:lang w:val="es-ES"/>
        </w:rPr>
        <w:t xml:space="preserve">(VHS) </w:t>
      </w:r>
      <w:r w:rsidRPr="00580F2E">
        <w:rPr>
          <w:rFonts w:ascii="Times New Roman" w:hAnsi="Times New Roman" w:cs="Times New Roman"/>
          <w:sz w:val="24"/>
          <w:szCs w:val="24"/>
          <w:lang w:val="es-ES"/>
        </w:rPr>
        <w:t xml:space="preserve">y de la remuneración del trabajador. </w:t>
      </w:r>
      <w:r w:rsidR="006A5EE4" w:rsidRPr="00580F2E">
        <w:rPr>
          <w:rFonts w:ascii="Times New Roman" w:hAnsi="Times New Roman" w:cs="Times New Roman"/>
          <w:sz w:val="24"/>
          <w:szCs w:val="24"/>
          <w:lang w:val="es-ES"/>
        </w:rPr>
        <w:t>SENCE sitúa el costo de una hora de capacitación (VHS) en US$8. En base a ello, subsidia la capacitación para un trabajador en 100% del VHS, si el salario imponible de éste está bajo 25 Unidad Tributaria Mensual (UTM, donde 1UTM=US$81). Si el salario está entre 25 y 50UTM</w:t>
      </w:r>
      <w:r w:rsidR="008E1400" w:rsidRPr="00580F2E">
        <w:rPr>
          <w:rFonts w:ascii="Times New Roman" w:hAnsi="Times New Roman" w:cs="Times New Roman"/>
          <w:sz w:val="24"/>
          <w:szCs w:val="24"/>
          <w:lang w:val="es-ES"/>
        </w:rPr>
        <w:t>,  se cubre sólo 50% del VHS. Si</w:t>
      </w:r>
      <w:r w:rsidR="006A5EE4" w:rsidRPr="00580F2E">
        <w:rPr>
          <w:rFonts w:ascii="Times New Roman" w:hAnsi="Times New Roman" w:cs="Times New Roman"/>
          <w:sz w:val="24"/>
          <w:szCs w:val="24"/>
          <w:lang w:val="es-ES"/>
        </w:rPr>
        <w:t xml:space="preserve"> es mayor a 50UTM, se cubre 15% de VHS. </w:t>
      </w:r>
      <w:r w:rsidR="00F33EBB" w:rsidRPr="00580F2E">
        <w:rPr>
          <w:rFonts w:ascii="Times New Roman" w:hAnsi="Times New Roman" w:cs="Times New Roman"/>
          <w:sz w:val="24"/>
          <w:szCs w:val="24"/>
          <w:lang w:val="es-ES"/>
        </w:rPr>
        <w:t>L</w:t>
      </w:r>
      <w:r w:rsidR="006A5EE4" w:rsidRPr="00580F2E">
        <w:rPr>
          <w:rFonts w:ascii="Times New Roman" w:hAnsi="Times New Roman" w:cs="Times New Roman"/>
          <w:sz w:val="24"/>
          <w:szCs w:val="24"/>
          <w:lang w:val="es-ES"/>
        </w:rPr>
        <w:t xml:space="preserve">a empresa </w:t>
      </w:r>
      <w:r w:rsidR="00F33EBB" w:rsidRPr="00580F2E">
        <w:rPr>
          <w:rFonts w:ascii="Times New Roman" w:hAnsi="Times New Roman" w:cs="Times New Roman"/>
          <w:sz w:val="24"/>
          <w:szCs w:val="24"/>
          <w:lang w:val="es-ES"/>
        </w:rPr>
        <w:t xml:space="preserve">tiene derecho a una </w:t>
      </w:r>
      <w:r w:rsidR="004A05AD" w:rsidRPr="00580F2E">
        <w:rPr>
          <w:rFonts w:ascii="Times New Roman" w:hAnsi="Times New Roman" w:cs="Times New Roman"/>
          <w:sz w:val="24"/>
          <w:szCs w:val="24"/>
          <w:lang w:val="es-ES"/>
        </w:rPr>
        <w:t>exención</w:t>
      </w:r>
      <w:r w:rsidR="006A5EE4" w:rsidRPr="00580F2E">
        <w:rPr>
          <w:rFonts w:ascii="Times New Roman" w:hAnsi="Times New Roman" w:cs="Times New Roman"/>
          <w:sz w:val="24"/>
          <w:szCs w:val="24"/>
          <w:lang w:val="es-ES"/>
        </w:rPr>
        <w:t xml:space="preserve"> en términos anuales</w:t>
      </w:r>
      <w:r w:rsidR="004A05AD" w:rsidRPr="00580F2E">
        <w:rPr>
          <w:rFonts w:ascii="Times New Roman" w:hAnsi="Times New Roman" w:cs="Times New Roman"/>
          <w:sz w:val="24"/>
          <w:szCs w:val="24"/>
          <w:lang w:val="es-ES"/>
        </w:rPr>
        <w:t>, determinado como</w:t>
      </w:r>
      <w:r w:rsidR="006A5EE4" w:rsidRPr="00580F2E">
        <w:rPr>
          <w:rFonts w:ascii="Times New Roman" w:hAnsi="Times New Roman" w:cs="Times New Roman"/>
          <w:sz w:val="24"/>
          <w:szCs w:val="24"/>
          <w:lang w:val="es-ES"/>
        </w:rPr>
        <w:t xml:space="preserve"> un porcentaje de su planilla anual de remuneraciones. Si ésta se sitúa entre 35 y 45 UTM, se puede descontar como máximo 7UTM de impuestos con cargo a inversión en capacitación. Si la planilla anual es mayor a 45 y menor a 900 UTM, el tope de subsidio impositivo es de 9 UTM. Para empresas con planillas anuales por sobre 900 UTM, se les puede descontar hasta 1% de su planilla anual. Este último tope </w:t>
      </w:r>
      <w:r w:rsidR="00DA4511" w:rsidRPr="00580F2E">
        <w:rPr>
          <w:rFonts w:ascii="Times New Roman" w:hAnsi="Times New Roman" w:cs="Times New Roman"/>
          <w:sz w:val="24"/>
          <w:szCs w:val="24"/>
          <w:lang w:val="es-ES"/>
        </w:rPr>
        <w:t>implica que empresas con más trabajadores tienen la posibilidad de invertir una mayor cantidad</w:t>
      </w:r>
      <w:r w:rsidR="005D0F13" w:rsidRPr="00580F2E">
        <w:rPr>
          <w:rFonts w:ascii="Times New Roman" w:hAnsi="Times New Roman" w:cs="Times New Roman"/>
          <w:sz w:val="24"/>
          <w:szCs w:val="24"/>
          <w:lang w:val="es-ES"/>
        </w:rPr>
        <w:t xml:space="preserve"> de recursos para capacitación, hecho que se c</w:t>
      </w:r>
      <w:r w:rsidR="0018055F" w:rsidRPr="00580F2E">
        <w:rPr>
          <w:rFonts w:ascii="Times New Roman" w:hAnsi="Times New Roman" w:cs="Times New Roman"/>
          <w:sz w:val="24"/>
          <w:szCs w:val="24"/>
          <w:lang w:val="es-ES"/>
        </w:rPr>
        <w:t>orrobora al observar la Figura 11</w:t>
      </w:r>
      <w:r w:rsidR="005D0F13" w:rsidRPr="00580F2E">
        <w:rPr>
          <w:rFonts w:ascii="Times New Roman" w:hAnsi="Times New Roman" w:cs="Times New Roman"/>
          <w:sz w:val="24"/>
          <w:szCs w:val="24"/>
          <w:lang w:val="es-ES"/>
        </w:rPr>
        <w:t>.</w:t>
      </w:r>
      <w:r w:rsidR="005F693F" w:rsidRPr="00580F2E">
        <w:rPr>
          <w:rStyle w:val="FootnoteReference"/>
          <w:rFonts w:ascii="Times New Roman" w:hAnsi="Times New Roman" w:cs="Times New Roman"/>
          <w:sz w:val="24"/>
          <w:szCs w:val="24"/>
          <w:lang w:val="es-ES"/>
        </w:rPr>
        <w:footnoteReference w:id="10"/>
      </w:r>
      <w:r w:rsidR="005D0F13" w:rsidRPr="00580F2E">
        <w:rPr>
          <w:rFonts w:ascii="Times New Roman" w:hAnsi="Times New Roman" w:cs="Times New Roman"/>
          <w:sz w:val="24"/>
          <w:szCs w:val="24"/>
          <w:lang w:val="es-ES"/>
        </w:rPr>
        <w:t xml:space="preserve"> </w:t>
      </w:r>
    </w:p>
    <w:p w:rsidR="00DA4511" w:rsidRPr="00580F2E" w:rsidRDefault="004A05AD" w:rsidP="00F33EBB">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No hay criterios de elegibilidad para que un trabajador tome un curso financiado a través de FT.  L</w:t>
      </w:r>
      <w:r w:rsidR="00DA4511" w:rsidRPr="00580F2E">
        <w:rPr>
          <w:rFonts w:ascii="Times New Roman" w:hAnsi="Times New Roman" w:cs="Times New Roman"/>
          <w:sz w:val="24"/>
          <w:szCs w:val="24"/>
          <w:lang w:val="es-ES"/>
        </w:rPr>
        <w:t xml:space="preserve">a decisión final para capacitarse la toma la empresa. </w:t>
      </w:r>
    </w:p>
    <w:p w:rsidR="005D0F13" w:rsidRPr="00580F2E" w:rsidRDefault="005D0F13" w:rsidP="00F33EBB">
      <w:pPr>
        <w:spacing w:after="0" w:line="360" w:lineRule="auto"/>
        <w:ind w:firstLine="709"/>
        <w:jc w:val="both"/>
        <w:rPr>
          <w:rFonts w:ascii="Times New Roman" w:hAnsi="Times New Roman" w:cs="Times New Roman"/>
          <w:sz w:val="24"/>
          <w:szCs w:val="24"/>
          <w:lang w:val="es-ES"/>
        </w:rPr>
      </w:pPr>
    </w:p>
    <w:p w:rsidR="005D0F13" w:rsidRPr="00580F2E" w:rsidRDefault="005D0F13" w:rsidP="009563D7">
      <w:pPr>
        <w:spacing w:after="0"/>
        <w:jc w:val="both"/>
        <w:rPr>
          <w:rFonts w:ascii="Times New Roman" w:hAnsi="Times New Roman" w:cs="Times New Roman"/>
          <w:lang w:val="es-ES"/>
        </w:rPr>
      </w:pPr>
    </w:p>
    <w:p w:rsidR="005D0F13" w:rsidRPr="00580F2E" w:rsidRDefault="0018055F" w:rsidP="009563D7">
      <w:pPr>
        <w:spacing w:after="0"/>
        <w:jc w:val="both"/>
        <w:rPr>
          <w:rFonts w:ascii="Times New Roman" w:hAnsi="Times New Roman" w:cs="Times New Roman"/>
          <w:b/>
          <w:lang w:val="es-ES"/>
        </w:rPr>
      </w:pPr>
      <w:r w:rsidRPr="00580F2E">
        <w:rPr>
          <w:rFonts w:ascii="Times New Roman" w:hAnsi="Times New Roman" w:cs="Times New Roman"/>
          <w:b/>
          <w:lang w:val="es-ES"/>
        </w:rPr>
        <w:t>Figura 11</w:t>
      </w:r>
      <w:r w:rsidR="005D0F13" w:rsidRPr="00580F2E">
        <w:rPr>
          <w:rFonts w:ascii="Times New Roman" w:hAnsi="Times New Roman" w:cs="Times New Roman"/>
          <w:b/>
          <w:lang w:val="es-ES"/>
        </w:rPr>
        <w:t>: Distribución de trabajadores capacitados por Franquicia Tributaria según tamaño empresa</w:t>
      </w:r>
    </w:p>
    <w:p w:rsidR="005D0F13" w:rsidRPr="00580F2E" w:rsidRDefault="005D0F13" w:rsidP="009563D7">
      <w:pPr>
        <w:spacing w:after="0"/>
        <w:jc w:val="both"/>
        <w:rPr>
          <w:rFonts w:ascii="Times New Roman" w:hAnsi="Times New Roman" w:cs="Times New Roman"/>
          <w:b/>
          <w:lang w:val="es-ES"/>
        </w:rPr>
      </w:pPr>
    </w:p>
    <w:p w:rsidR="005D0F13" w:rsidRPr="00580F2E" w:rsidRDefault="005D0F13" w:rsidP="005D0F13">
      <w:pPr>
        <w:spacing w:after="0"/>
        <w:jc w:val="center"/>
        <w:rPr>
          <w:rFonts w:ascii="Times New Roman" w:hAnsi="Times New Roman" w:cs="Times New Roman"/>
          <w:b/>
          <w:lang w:val="es-ES"/>
        </w:rPr>
      </w:pPr>
      <w:r w:rsidRPr="00580F2E">
        <w:rPr>
          <w:noProof/>
          <w:lang w:val="es-ES"/>
        </w:rPr>
        <w:drawing>
          <wp:inline distT="0" distB="0" distL="0" distR="0" wp14:anchorId="19255A49" wp14:editId="49055C84">
            <wp:extent cx="3809152" cy="2520000"/>
            <wp:effectExtent l="0" t="0" r="0" b="0"/>
            <wp:docPr id="1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3809152" cy="2520000"/>
                    </a:xfrm>
                    <a:prstGeom prst="rect">
                      <a:avLst/>
                    </a:prstGeom>
                    <a:noFill/>
                    <a:ln w="9525">
                      <a:noFill/>
                      <a:miter lim="800000"/>
                      <a:headEnd/>
                      <a:tailEnd/>
                    </a:ln>
                  </pic:spPr>
                </pic:pic>
              </a:graphicData>
            </a:graphic>
          </wp:inline>
        </w:drawing>
      </w:r>
    </w:p>
    <w:p w:rsidR="005D0F13" w:rsidRPr="00580F2E" w:rsidRDefault="005D0F13"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Rodríguez y Urzúa (2011).</w:t>
      </w:r>
    </w:p>
    <w:p w:rsidR="005D0F13" w:rsidRPr="00580F2E" w:rsidRDefault="005D0F13" w:rsidP="009563D7">
      <w:pPr>
        <w:spacing w:after="0"/>
        <w:jc w:val="both"/>
        <w:rPr>
          <w:rFonts w:ascii="Times New Roman" w:hAnsi="Times New Roman" w:cs="Times New Roman"/>
          <w:sz w:val="16"/>
          <w:szCs w:val="16"/>
          <w:lang w:val="es-ES"/>
        </w:rPr>
      </w:pPr>
    </w:p>
    <w:p w:rsidR="005D0F13" w:rsidRPr="00580F2E" w:rsidRDefault="005D0F13" w:rsidP="009563D7">
      <w:pPr>
        <w:spacing w:after="0"/>
        <w:jc w:val="both"/>
        <w:rPr>
          <w:rFonts w:ascii="Times New Roman" w:hAnsi="Times New Roman" w:cs="Times New Roman"/>
          <w:sz w:val="16"/>
          <w:szCs w:val="16"/>
          <w:lang w:val="es-ES"/>
        </w:rPr>
      </w:pPr>
    </w:p>
    <w:p w:rsidR="00DA4511" w:rsidRPr="00580F2E" w:rsidRDefault="005D0F13" w:rsidP="004A05A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Una mirada en detalle a las característ</w:t>
      </w:r>
      <w:r w:rsidR="005B58EB" w:rsidRPr="00580F2E">
        <w:rPr>
          <w:rFonts w:ascii="Times New Roman" w:hAnsi="Times New Roman" w:cs="Times New Roman"/>
          <w:sz w:val="24"/>
          <w:szCs w:val="24"/>
          <w:lang w:val="es-ES"/>
        </w:rPr>
        <w:t>icas de los beneficiarios revel</w:t>
      </w:r>
      <w:r w:rsidRPr="00580F2E">
        <w:rPr>
          <w:rFonts w:ascii="Times New Roman" w:hAnsi="Times New Roman" w:cs="Times New Roman"/>
          <w:sz w:val="24"/>
          <w:szCs w:val="24"/>
          <w:lang w:val="es-ES"/>
        </w:rPr>
        <w:t xml:space="preserve">a que éstos, comparados con individuos </w:t>
      </w:r>
      <w:r w:rsidR="008E1400" w:rsidRPr="00580F2E">
        <w:rPr>
          <w:rFonts w:ascii="Times New Roman" w:hAnsi="Times New Roman" w:cs="Times New Roman"/>
          <w:sz w:val="24"/>
          <w:szCs w:val="24"/>
          <w:lang w:val="es-ES"/>
        </w:rPr>
        <w:t xml:space="preserve">que </w:t>
      </w:r>
      <w:r w:rsidRPr="00580F2E">
        <w:rPr>
          <w:rFonts w:ascii="Times New Roman" w:hAnsi="Times New Roman" w:cs="Times New Roman"/>
          <w:sz w:val="24"/>
          <w:szCs w:val="24"/>
          <w:lang w:val="es-ES"/>
        </w:rPr>
        <w:t xml:space="preserve">no </w:t>
      </w:r>
      <w:r w:rsidR="008E1400" w:rsidRPr="00580F2E">
        <w:rPr>
          <w:rFonts w:ascii="Times New Roman" w:hAnsi="Times New Roman" w:cs="Times New Roman"/>
          <w:sz w:val="24"/>
          <w:szCs w:val="24"/>
          <w:lang w:val="es-ES"/>
        </w:rPr>
        <w:t xml:space="preserve">se </w:t>
      </w:r>
      <w:r w:rsidRPr="00580F2E">
        <w:rPr>
          <w:rFonts w:ascii="Times New Roman" w:hAnsi="Times New Roman" w:cs="Times New Roman"/>
          <w:sz w:val="24"/>
          <w:szCs w:val="24"/>
          <w:lang w:val="es-ES"/>
        </w:rPr>
        <w:t xml:space="preserve">capacitan, son relativamente más aventajados en términos de desempeño en </w:t>
      </w:r>
      <w:r w:rsidR="008E1400" w:rsidRPr="00580F2E">
        <w:rPr>
          <w:rFonts w:ascii="Times New Roman" w:hAnsi="Times New Roman" w:cs="Times New Roman"/>
          <w:sz w:val="24"/>
          <w:szCs w:val="24"/>
          <w:lang w:val="es-ES"/>
        </w:rPr>
        <w:t xml:space="preserve">el </w:t>
      </w:r>
      <w:r w:rsidRPr="00580F2E">
        <w:rPr>
          <w:rFonts w:ascii="Times New Roman" w:hAnsi="Times New Roman" w:cs="Times New Roman"/>
          <w:sz w:val="24"/>
          <w:szCs w:val="24"/>
          <w:lang w:val="es-ES"/>
        </w:rPr>
        <w:t xml:space="preserve">mercado laboral. </w:t>
      </w:r>
      <w:r w:rsidR="005B58EB" w:rsidRPr="00580F2E">
        <w:rPr>
          <w:rFonts w:ascii="Times New Roman" w:hAnsi="Times New Roman" w:cs="Times New Roman"/>
          <w:sz w:val="24"/>
          <w:szCs w:val="24"/>
          <w:lang w:val="es-ES"/>
        </w:rPr>
        <w:t xml:space="preserve">La diferencia en remuneraciones imponibles entre trabajadores que alguna vez se capacitaron por FT respecto de trabajadores nunca capacitados es aproximadamente 20%, brecha que se acentúa en el tiempo (Rodríguez y Urzúa, 2011). Ello, se podría argumentar, podría deberse al impacto </w:t>
      </w:r>
      <w:r w:rsidR="003A0240" w:rsidRPr="00580F2E">
        <w:rPr>
          <w:rFonts w:ascii="Times New Roman" w:hAnsi="Times New Roman" w:cs="Times New Roman"/>
          <w:sz w:val="24"/>
          <w:szCs w:val="24"/>
          <w:lang w:val="es-ES"/>
        </w:rPr>
        <w:t xml:space="preserve">mismo </w:t>
      </w:r>
      <w:r w:rsidR="00AD6666" w:rsidRPr="00580F2E">
        <w:rPr>
          <w:rFonts w:ascii="Times New Roman" w:hAnsi="Times New Roman" w:cs="Times New Roman"/>
          <w:sz w:val="24"/>
          <w:szCs w:val="24"/>
          <w:lang w:val="es-ES"/>
        </w:rPr>
        <w:t>de la capacitación.</w:t>
      </w:r>
      <w:r w:rsidR="00245AD0" w:rsidRPr="00580F2E">
        <w:rPr>
          <w:rFonts w:ascii="Times New Roman" w:hAnsi="Times New Roman" w:cs="Times New Roman"/>
          <w:sz w:val="24"/>
          <w:szCs w:val="24"/>
          <w:lang w:val="es-ES"/>
        </w:rPr>
        <w:t xml:space="preserve"> </w:t>
      </w:r>
      <w:r w:rsidR="00AD6666" w:rsidRPr="00580F2E">
        <w:rPr>
          <w:rFonts w:ascii="Times New Roman" w:hAnsi="Times New Roman" w:cs="Times New Roman"/>
          <w:sz w:val="24"/>
          <w:szCs w:val="24"/>
          <w:lang w:val="es-ES"/>
        </w:rPr>
        <w:t>N</w:t>
      </w:r>
      <w:r w:rsidR="00245AD0" w:rsidRPr="00580F2E">
        <w:rPr>
          <w:rFonts w:ascii="Times New Roman" w:hAnsi="Times New Roman" w:cs="Times New Roman"/>
          <w:sz w:val="24"/>
          <w:szCs w:val="24"/>
          <w:lang w:val="es-ES"/>
        </w:rPr>
        <w:t>o obstante,</w:t>
      </w:r>
      <w:r w:rsidR="005B58EB" w:rsidRPr="00580F2E">
        <w:rPr>
          <w:rFonts w:ascii="Times New Roman" w:hAnsi="Times New Roman" w:cs="Times New Roman"/>
          <w:sz w:val="24"/>
          <w:szCs w:val="24"/>
          <w:lang w:val="es-ES"/>
        </w:rPr>
        <w:t xml:space="preserve"> </w:t>
      </w:r>
      <w:r w:rsidR="00245AD0" w:rsidRPr="00580F2E">
        <w:rPr>
          <w:rFonts w:ascii="Times New Roman" w:hAnsi="Times New Roman" w:cs="Times New Roman"/>
          <w:sz w:val="24"/>
          <w:szCs w:val="24"/>
          <w:lang w:val="es-ES"/>
        </w:rPr>
        <w:t>l</w:t>
      </w:r>
      <w:r w:rsidRPr="00580F2E">
        <w:rPr>
          <w:rFonts w:ascii="Times New Roman" w:hAnsi="Times New Roman" w:cs="Times New Roman"/>
          <w:sz w:val="24"/>
          <w:szCs w:val="24"/>
          <w:lang w:val="es-ES"/>
        </w:rPr>
        <w:t xml:space="preserve">a Figura </w:t>
      </w:r>
      <w:r w:rsidR="0018055F" w:rsidRPr="00580F2E">
        <w:rPr>
          <w:rFonts w:ascii="Times New Roman" w:hAnsi="Times New Roman" w:cs="Times New Roman"/>
          <w:sz w:val="24"/>
          <w:szCs w:val="24"/>
          <w:lang w:val="es-ES"/>
        </w:rPr>
        <w:t>12</w:t>
      </w:r>
      <w:r w:rsidRPr="00580F2E">
        <w:rPr>
          <w:rFonts w:ascii="Times New Roman" w:hAnsi="Times New Roman" w:cs="Times New Roman"/>
          <w:sz w:val="24"/>
          <w:szCs w:val="24"/>
          <w:lang w:val="es-ES"/>
        </w:rPr>
        <w:t xml:space="preserve"> </w:t>
      </w:r>
      <w:r w:rsidR="005B58EB" w:rsidRPr="00580F2E">
        <w:rPr>
          <w:rFonts w:ascii="Times New Roman" w:hAnsi="Times New Roman" w:cs="Times New Roman"/>
          <w:sz w:val="24"/>
          <w:szCs w:val="24"/>
          <w:lang w:val="es-ES"/>
        </w:rPr>
        <w:t xml:space="preserve">descarta </w:t>
      </w:r>
      <w:r w:rsidR="00AD6666" w:rsidRPr="00580F2E">
        <w:rPr>
          <w:rFonts w:ascii="Times New Roman" w:hAnsi="Times New Roman" w:cs="Times New Roman"/>
          <w:sz w:val="24"/>
          <w:szCs w:val="24"/>
          <w:lang w:val="es-ES"/>
        </w:rPr>
        <w:t xml:space="preserve">parcialmente </w:t>
      </w:r>
      <w:r w:rsidR="005B58EB" w:rsidRPr="00580F2E">
        <w:rPr>
          <w:rFonts w:ascii="Times New Roman" w:hAnsi="Times New Roman" w:cs="Times New Roman"/>
          <w:sz w:val="24"/>
          <w:szCs w:val="24"/>
          <w:lang w:val="es-ES"/>
        </w:rPr>
        <w:t xml:space="preserve">esta hipótesis. Allí se </w:t>
      </w:r>
      <w:r w:rsidRPr="00580F2E">
        <w:rPr>
          <w:rFonts w:ascii="Times New Roman" w:hAnsi="Times New Roman" w:cs="Times New Roman"/>
          <w:sz w:val="24"/>
          <w:szCs w:val="24"/>
          <w:lang w:val="es-ES"/>
        </w:rPr>
        <w:t>muestra</w:t>
      </w:r>
      <w:r w:rsidR="008E1400"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w:t>
      </w:r>
      <w:r w:rsidR="00245AD0" w:rsidRPr="00580F2E">
        <w:rPr>
          <w:rFonts w:ascii="Times New Roman" w:hAnsi="Times New Roman" w:cs="Times New Roman"/>
          <w:sz w:val="24"/>
          <w:szCs w:val="24"/>
          <w:lang w:val="es-ES"/>
        </w:rPr>
        <w:t xml:space="preserve">los </w:t>
      </w:r>
      <w:r w:rsidRPr="00580F2E">
        <w:rPr>
          <w:rFonts w:ascii="Times New Roman" w:hAnsi="Times New Roman" w:cs="Times New Roman"/>
          <w:sz w:val="24"/>
          <w:szCs w:val="24"/>
          <w:lang w:val="es-ES"/>
        </w:rPr>
        <w:t>salarios promedio para dos años para una muestra particular de trabajadores formales</w:t>
      </w:r>
      <w:r w:rsidR="005B58EB" w:rsidRPr="00580F2E">
        <w:rPr>
          <w:rFonts w:ascii="Times New Roman" w:hAnsi="Times New Roman" w:cs="Times New Roman"/>
          <w:sz w:val="24"/>
          <w:szCs w:val="24"/>
          <w:lang w:val="es-ES"/>
        </w:rPr>
        <w:t>; individuos “tratados”</w:t>
      </w:r>
      <w:r w:rsidR="00245AD0" w:rsidRPr="00580F2E">
        <w:rPr>
          <w:rFonts w:ascii="Times New Roman" w:hAnsi="Times New Roman" w:cs="Times New Roman"/>
          <w:sz w:val="24"/>
          <w:szCs w:val="24"/>
          <w:lang w:val="es-ES"/>
        </w:rPr>
        <w:t>, que</w:t>
      </w:r>
      <w:r w:rsidR="005B58EB" w:rsidRPr="00580F2E">
        <w:rPr>
          <w:rFonts w:ascii="Times New Roman" w:hAnsi="Times New Roman" w:cs="Times New Roman"/>
          <w:sz w:val="24"/>
          <w:szCs w:val="24"/>
          <w:lang w:val="es-ES"/>
        </w:rPr>
        <w:t xml:space="preserve"> corresponde</w:t>
      </w:r>
      <w:r w:rsidR="008E1400" w:rsidRPr="00580F2E">
        <w:rPr>
          <w:rFonts w:ascii="Times New Roman" w:hAnsi="Times New Roman" w:cs="Times New Roman"/>
          <w:sz w:val="24"/>
          <w:szCs w:val="24"/>
          <w:lang w:val="es-ES"/>
        </w:rPr>
        <w:t>n</w:t>
      </w:r>
      <w:r w:rsidR="005B58EB" w:rsidRPr="00580F2E">
        <w:rPr>
          <w:rFonts w:ascii="Times New Roman" w:hAnsi="Times New Roman" w:cs="Times New Roman"/>
          <w:sz w:val="24"/>
          <w:szCs w:val="24"/>
          <w:lang w:val="es-ES"/>
        </w:rPr>
        <w:t xml:space="preserve"> al grupo</w:t>
      </w:r>
      <w:r w:rsidRPr="00580F2E">
        <w:rPr>
          <w:rFonts w:ascii="Times New Roman" w:hAnsi="Times New Roman" w:cs="Times New Roman"/>
          <w:sz w:val="24"/>
          <w:szCs w:val="24"/>
          <w:lang w:val="es-ES"/>
        </w:rPr>
        <w:t xml:space="preserve"> </w:t>
      </w:r>
      <w:r w:rsidR="005B58EB" w:rsidRPr="00580F2E">
        <w:rPr>
          <w:rFonts w:ascii="Times New Roman" w:hAnsi="Times New Roman" w:cs="Times New Roman"/>
          <w:sz w:val="24"/>
          <w:szCs w:val="24"/>
          <w:lang w:val="es-ES"/>
        </w:rPr>
        <w:t>que toma su primera capacitación por FT en el año 2010</w:t>
      </w:r>
      <w:r w:rsidR="00245AD0" w:rsidRPr="00580F2E">
        <w:rPr>
          <w:rFonts w:ascii="Times New Roman" w:hAnsi="Times New Roman" w:cs="Times New Roman"/>
          <w:sz w:val="24"/>
          <w:szCs w:val="24"/>
          <w:lang w:val="es-ES"/>
        </w:rPr>
        <w:t xml:space="preserve"> e</w:t>
      </w:r>
      <w:r w:rsidR="005B58EB" w:rsidRPr="00580F2E">
        <w:rPr>
          <w:rFonts w:ascii="Times New Roman" w:hAnsi="Times New Roman" w:cs="Times New Roman"/>
          <w:sz w:val="24"/>
          <w:szCs w:val="24"/>
          <w:lang w:val="es-ES"/>
        </w:rPr>
        <w:t xml:space="preserve"> </w:t>
      </w:r>
      <w:r w:rsidR="00245AD0" w:rsidRPr="00580F2E">
        <w:rPr>
          <w:rFonts w:ascii="Times New Roman" w:hAnsi="Times New Roman" w:cs="Times New Roman"/>
          <w:sz w:val="24"/>
          <w:szCs w:val="24"/>
          <w:lang w:val="es-ES"/>
        </w:rPr>
        <w:t>i</w:t>
      </w:r>
      <w:r w:rsidR="008E1400" w:rsidRPr="00580F2E">
        <w:rPr>
          <w:rFonts w:ascii="Times New Roman" w:hAnsi="Times New Roman" w:cs="Times New Roman"/>
          <w:sz w:val="24"/>
          <w:szCs w:val="24"/>
          <w:lang w:val="es-ES"/>
        </w:rPr>
        <w:t>ndividuos “no tratados”</w:t>
      </w:r>
      <w:r w:rsidR="00245AD0" w:rsidRPr="00580F2E">
        <w:rPr>
          <w:rFonts w:ascii="Times New Roman" w:hAnsi="Times New Roman" w:cs="Times New Roman"/>
          <w:sz w:val="24"/>
          <w:szCs w:val="24"/>
          <w:lang w:val="es-ES"/>
        </w:rPr>
        <w:t xml:space="preserve">, </w:t>
      </w:r>
      <w:r w:rsidR="005B58EB" w:rsidRPr="00580F2E">
        <w:rPr>
          <w:rFonts w:ascii="Times New Roman" w:hAnsi="Times New Roman" w:cs="Times New Roman"/>
          <w:sz w:val="24"/>
          <w:szCs w:val="24"/>
          <w:lang w:val="es-ES"/>
        </w:rPr>
        <w:t>conforma</w:t>
      </w:r>
      <w:r w:rsidR="00AD6666" w:rsidRPr="00580F2E">
        <w:rPr>
          <w:rFonts w:ascii="Times New Roman" w:hAnsi="Times New Roman" w:cs="Times New Roman"/>
          <w:sz w:val="24"/>
          <w:szCs w:val="24"/>
          <w:lang w:val="es-ES"/>
        </w:rPr>
        <w:t>do por</w:t>
      </w:r>
      <w:r w:rsidR="005B58EB" w:rsidRPr="00580F2E">
        <w:rPr>
          <w:rFonts w:ascii="Times New Roman" w:hAnsi="Times New Roman" w:cs="Times New Roman"/>
          <w:sz w:val="24"/>
          <w:szCs w:val="24"/>
          <w:lang w:val="es-ES"/>
        </w:rPr>
        <w:t xml:space="preserve"> trabajadores nunca capacitados. La Figura </w:t>
      </w:r>
      <w:r w:rsidR="0018055F" w:rsidRPr="00580F2E">
        <w:rPr>
          <w:rFonts w:ascii="Times New Roman" w:hAnsi="Times New Roman" w:cs="Times New Roman"/>
          <w:sz w:val="24"/>
          <w:szCs w:val="24"/>
          <w:lang w:val="es-ES"/>
        </w:rPr>
        <w:t>12 ilustra que</w:t>
      </w:r>
      <w:r w:rsidR="005B58EB" w:rsidRPr="00580F2E">
        <w:rPr>
          <w:rFonts w:ascii="Times New Roman" w:hAnsi="Times New Roman" w:cs="Times New Roman"/>
          <w:sz w:val="24"/>
          <w:szCs w:val="24"/>
          <w:lang w:val="es-ES"/>
        </w:rPr>
        <w:t>, inclus</w:t>
      </w:r>
      <w:r w:rsidR="00245AD0" w:rsidRPr="00580F2E">
        <w:rPr>
          <w:rFonts w:ascii="Times New Roman" w:hAnsi="Times New Roman" w:cs="Times New Roman"/>
          <w:sz w:val="24"/>
          <w:szCs w:val="24"/>
          <w:lang w:val="es-ES"/>
        </w:rPr>
        <w:t>o</w:t>
      </w:r>
      <w:r w:rsidR="005B58EB" w:rsidRPr="00580F2E">
        <w:rPr>
          <w:rFonts w:ascii="Times New Roman" w:hAnsi="Times New Roman" w:cs="Times New Roman"/>
          <w:sz w:val="24"/>
          <w:szCs w:val="24"/>
          <w:lang w:val="es-ES"/>
        </w:rPr>
        <w:t xml:space="preserve"> antes de que el grupo de tratados incurriese en su primera capacitación, ya existe una diferencia importante en sus salarios.</w:t>
      </w:r>
    </w:p>
    <w:p w:rsidR="005B58EB" w:rsidRPr="00580F2E" w:rsidRDefault="005B58EB"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Esta diferencia se explica por diversas características observables. Datos administrativos del Seguro de Cesantía muestran que la proporción de individuos capacitados con educación terciaria es más del doble que dicho porcentaje en el grupo de nunca capacitados (17</w:t>
      </w:r>
      <w:r w:rsidR="008E1400"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versus 8%, respectivamente). Factores no observables </w:t>
      </w:r>
      <w:r w:rsidR="003A0240" w:rsidRPr="00580F2E">
        <w:rPr>
          <w:rFonts w:ascii="Times New Roman" w:hAnsi="Times New Roman" w:cs="Times New Roman"/>
          <w:sz w:val="24"/>
          <w:szCs w:val="24"/>
          <w:lang w:val="es-ES"/>
        </w:rPr>
        <w:t xml:space="preserve">también </w:t>
      </w:r>
      <w:r w:rsidRPr="00580F2E">
        <w:rPr>
          <w:rFonts w:ascii="Times New Roman" w:hAnsi="Times New Roman" w:cs="Times New Roman"/>
          <w:sz w:val="24"/>
          <w:szCs w:val="24"/>
          <w:lang w:val="es-ES"/>
        </w:rPr>
        <w:t xml:space="preserve">entran en juego, dado el marco actual con que opera FT. </w:t>
      </w:r>
      <w:r w:rsidR="00AD6666" w:rsidRPr="00580F2E">
        <w:rPr>
          <w:rFonts w:ascii="Times New Roman" w:hAnsi="Times New Roman" w:cs="Times New Roman"/>
          <w:sz w:val="24"/>
          <w:szCs w:val="24"/>
          <w:lang w:val="es-ES"/>
        </w:rPr>
        <w:t>Recordemos que e</w:t>
      </w:r>
      <w:r w:rsidRPr="00580F2E">
        <w:rPr>
          <w:rFonts w:ascii="Times New Roman" w:hAnsi="Times New Roman" w:cs="Times New Roman"/>
          <w:sz w:val="24"/>
          <w:szCs w:val="24"/>
          <w:lang w:val="es-ES"/>
        </w:rPr>
        <w:t>l único criterio de elegibilidad para entrar a este programa es estar trabajando, hecho que</w:t>
      </w:r>
      <w:r w:rsidR="00AD6666" w:rsidRPr="00580F2E">
        <w:rPr>
          <w:rFonts w:ascii="Times New Roman" w:hAnsi="Times New Roman" w:cs="Times New Roman"/>
          <w:sz w:val="24"/>
          <w:szCs w:val="24"/>
          <w:lang w:val="es-ES"/>
        </w:rPr>
        <w:t>, obviamente,</w:t>
      </w:r>
      <w:r w:rsidRPr="00580F2E">
        <w:rPr>
          <w:rFonts w:ascii="Times New Roman" w:hAnsi="Times New Roman" w:cs="Times New Roman"/>
          <w:sz w:val="24"/>
          <w:szCs w:val="24"/>
          <w:lang w:val="es-ES"/>
        </w:rPr>
        <w:t xml:space="preserve"> de inmediato restringe la muestra a trabajadores más propensos a encontrar empleo</w:t>
      </w:r>
      <w:r w:rsidR="00AD6666" w:rsidRPr="00580F2E">
        <w:rPr>
          <w:rFonts w:ascii="Times New Roman" w:hAnsi="Times New Roman" w:cs="Times New Roman"/>
          <w:sz w:val="24"/>
          <w:szCs w:val="24"/>
          <w:lang w:val="es-ES"/>
        </w:rPr>
        <w:t xml:space="preserve"> y por lo tanto con mayor stock de habilidades</w:t>
      </w:r>
      <w:r w:rsidRPr="00580F2E">
        <w:rPr>
          <w:rFonts w:ascii="Times New Roman" w:hAnsi="Times New Roman" w:cs="Times New Roman"/>
          <w:sz w:val="24"/>
          <w:szCs w:val="24"/>
          <w:lang w:val="es-ES"/>
        </w:rPr>
        <w:t>. Por otro lado, dado que la decisión d</w:t>
      </w:r>
      <w:r w:rsidR="008E1400" w:rsidRPr="00580F2E">
        <w:rPr>
          <w:rFonts w:ascii="Times New Roman" w:hAnsi="Times New Roman" w:cs="Times New Roman"/>
          <w:sz w:val="24"/>
          <w:szCs w:val="24"/>
          <w:lang w:val="es-ES"/>
        </w:rPr>
        <w:t>e inversión en capacitación la</w:t>
      </w:r>
      <w:r w:rsidRPr="00580F2E">
        <w:rPr>
          <w:rFonts w:ascii="Times New Roman" w:hAnsi="Times New Roman" w:cs="Times New Roman"/>
          <w:sz w:val="24"/>
          <w:szCs w:val="24"/>
          <w:lang w:val="es-ES"/>
        </w:rPr>
        <w:t xml:space="preserve"> toma la empresa, ésta tiene el incentivo a escoger para capacitar a aquellos trabajadores con más potencial.</w:t>
      </w:r>
    </w:p>
    <w:p w:rsidR="005D0F13" w:rsidRPr="00580F2E" w:rsidRDefault="005D0F13" w:rsidP="009563D7">
      <w:pPr>
        <w:spacing w:after="0"/>
        <w:jc w:val="both"/>
        <w:rPr>
          <w:rFonts w:ascii="Times New Roman" w:hAnsi="Times New Roman" w:cs="Times New Roman"/>
          <w:lang w:val="es-ES"/>
        </w:rPr>
      </w:pPr>
    </w:p>
    <w:p w:rsidR="005D0F13" w:rsidRPr="00580F2E" w:rsidRDefault="005D0F13" w:rsidP="005D0F13">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 xml:space="preserve">Figura </w:t>
      </w:r>
      <w:r w:rsidR="0018055F" w:rsidRPr="00580F2E">
        <w:rPr>
          <w:rFonts w:ascii="Times New Roman" w:hAnsi="Times New Roman" w:cs="Times New Roman"/>
          <w:b/>
          <w:sz w:val="24"/>
          <w:szCs w:val="24"/>
          <w:lang w:val="es-ES"/>
        </w:rPr>
        <w:t>12</w:t>
      </w:r>
      <w:r w:rsidRPr="00580F2E">
        <w:rPr>
          <w:rFonts w:ascii="Times New Roman" w:hAnsi="Times New Roman" w:cs="Times New Roman"/>
          <w:b/>
          <w:sz w:val="24"/>
          <w:szCs w:val="24"/>
          <w:lang w:val="es-ES"/>
        </w:rPr>
        <w:t>: Salarios de capacitados por Franquicia Tributaria y no capacitados.</w:t>
      </w:r>
    </w:p>
    <w:p w:rsidR="005D0F13" w:rsidRPr="00580F2E" w:rsidRDefault="005D0F13" w:rsidP="009563D7">
      <w:pPr>
        <w:spacing w:after="0"/>
        <w:jc w:val="both"/>
        <w:rPr>
          <w:rFonts w:ascii="Times New Roman" w:hAnsi="Times New Roman" w:cs="Times New Roman"/>
          <w:lang w:val="es-ES"/>
        </w:rPr>
      </w:pPr>
    </w:p>
    <w:p w:rsidR="005D0F13" w:rsidRPr="00580F2E" w:rsidRDefault="005D0F13" w:rsidP="005D0F13">
      <w:pPr>
        <w:spacing w:after="0"/>
        <w:jc w:val="center"/>
        <w:rPr>
          <w:rFonts w:ascii="Times New Roman" w:hAnsi="Times New Roman" w:cs="Times New Roman"/>
          <w:lang w:val="es-ES"/>
        </w:rPr>
      </w:pPr>
      <w:r w:rsidRPr="00580F2E">
        <w:rPr>
          <w:noProof/>
          <w:lang w:val="es-ES"/>
        </w:rPr>
        <w:drawing>
          <wp:inline distT="0" distB="0" distL="0" distR="0" wp14:anchorId="6DBAFE0E" wp14:editId="39B15194">
            <wp:extent cx="3910109" cy="2520000"/>
            <wp:effectExtent l="19050" t="0" r="0" b="0"/>
            <wp:docPr id="1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3910109" cy="2520000"/>
                    </a:xfrm>
                    <a:prstGeom prst="rect">
                      <a:avLst/>
                    </a:prstGeom>
                    <a:noFill/>
                    <a:ln w="9525">
                      <a:noFill/>
                      <a:miter lim="800000"/>
                      <a:headEnd/>
                      <a:tailEnd/>
                    </a:ln>
                  </pic:spPr>
                </pic:pic>
              </a:graphicData>
            </a:graphic>
          </wp:inline>
        </w:drawing>
      </w:r>
    </w:p>
    <w:p w:rsidR="005D0F13" w:rsidRPr="00580F2E" w:rsidRDefault="005D0F13"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Rodríguez y Urzúa (2011)</w:t>
      </w:r>
    </w:p>
    <w:p w:rsidR="005D0F13" w:rsidRPr="00580F2E" w:rsidRDefault="005D0F13" w:rsidP="009563D7">
      <w:pPr>
        <w:spacing w:after="0"/>
        <w:jc w:val="both"/>
        <w:rPr>
          <w:rFonts w:ascii="Times New Roman" w:hAnsi="Times New Roman" w:cs="Times New Roman"/>
          <w:lang w:val="es-ES"/>
        </w:rPr>
      </w:pPr>
    </w:p>
    <w:p w:rsidR="00ED19E3" w:rsidRPr="00580F2E" w:rsidRDefault="00ED19E3" w:rsidP="009563D7">
      <w:pPr>
        <w:spacing w:after="0"/>
        <w:jc w:val="both"/>
        <w:rPr>
          <w:rFonts w:ascii="Times New Roman" w:hAnsi="Times New Roman" w:cs="Times New Roman"/>
          <w:lang w:val="es-ES"/>
        </w:rPr>
      </w:pPr>
    </w:p>
    <w:p w:rsidR="00D74252" w:rsidRPr="00580F2E" w:rsidRDefault="001842D9"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Los servicios de capacitación en Chile </w:t>
      </w:r>
      <w:r w:rsidR="008E1400" w:rsidRPr="00580F2E">
        <w:rPr>
          <w:rFonts w:ascii="Times New Roman" w:hAnsi="Times New Roman" w:cs="Times New Roman"/>
          <w:sz w:val="24"/>
          <w:szCs w:val="24"/>
          <w:lang w:val="es-ES"/>
        </w:rPr>
        <w:t>son provistos por</w:t>
      </w:r>
      <w:r w:rsidRPr="00580F2E">
        <w:rPr>
          <w:rFonts w:ascii="Times New Roman" w:hAnsi="Times New Roman" w:cs="Times New Roman"/>
          <w:sz w:val="24"/>
          <w:szCs w:val="24"/>
          <w:lang w:val="es-ES"/>
        </w:rPr>
        <w:t xml:space="preserve"> empresas privadas llamadas Organismos Técnicos de Capacitación (OTEC). </w:t>
      </w:r>
      <w:r w:rsidR="0019473B" w:rsidRPr="00580F2E">
        <w:rPr>
          <w:rFonts w:ascii="Times New Roman" w:hAnsi="Times New Roman" w:cs="Times New Roman"/>
          <w:sz w:val="24"/>
          <w:szCs w:val="24"/>
          <w:lang w:val="es-ES"/>
        </w:rPr>
        <w:t xml:space="preserve">El mercado de las OTEC se caracteriza por mantener una dinámica de regulación </w:t>
      </w:r>
      <w:r w:rsidR="008E1400" w:rsidRPr="00580F2E">
        <w:rPr>
          <w:rFonts w:ascii="Times New Roman" w:hAnsi="Times New Roman" w:cs="Times New Roman"/>
          <w:sz w:val="24"/>
          <w:szCs w:val="24"/>
          <w:lang w:val="es-ES"/>
        </w:rPr>
        <w:t>basada</w:t>
      </w:r>
      <w:r w:rsidR="00D74252" w:rsidRPr="00580F2E">
        <w:rPr>
          <w:rFonts w:ascii="Times New Roman" w:hAnsi="Times New Roman" w:cs="Times New Roman"/>
          <w:sz w:val="24"/>
          <w:szCs w:val="24"/>
          <w:lang w:val="es-ES"/>
        </w:rPr>
        <w:t xml:space="preserve"> en requisitos mínimos de funcionamiento</w:t>
      </w:r>
      <w:r w:rsidR="0019473B" w:rsidRPr="00580F2E">
        <w:rPr>
          <w:rFonts w:ascii="Times New Roman" w:hAnsi="Times New Roman" w:cs="Times New Roman"/>
          <w:sz w:val="24"/>
          <w:szCs w:val="24"/>
          <w:lang w:val="es-ES"/>
        </w:rPr>
        <w:t>.</w:t>
      </w:r>
      <w:r w:rsidR="00D74252" w:rsidRPr="00580F2E">
        <w:rPr>
          <w:rFonts w:ascii="Times New Roman" w:hAnsi="Times New Roman" w:cs="Times New Roman"/>
          <w:sz w:val="24"/>
          <w:szCs w:val="24"/>
          <w:lang w:val="es-ES"/>
        </w:rPr>
        <w:t xml:space="preserve"> Las exigencias </w:t>
      </w:r>
      <w:r w:rsidR="0019473B" w:rsidRPr="00580F2E">
        <w:rPr>
          <w:rFonts w:ascii="Times New Roman" w:hAnsi="Times New Roman" w:cs="Times New Roman"/>
          <w:sz w:val="24"/>
          <w:szCs w:val="24"/>
          <w:lang w:val="es-ES"/>
        </w:rPr>
        <w:t>tienen que ver principalmente con la presentación de un plan de capacitación; mantener estándares de infraestructura acordes con el objetivo de la capacitación</w:t>
      </w:r>
      <w:r w:rsidR="0018055F" w:rsidRPr="00580F2E">
        <w:rPr>
          <w:rFonts w:ascii="Times New Roman" w:hAnsi="Times New Roman" w:cs="Times New Roman"/>
          <w:sz w:val="24"/>
          <w:szCs w:val="24"/>
          <w:lang w:val="es-ES"/>
        </w:rPr>
        <w:t>;</w:t>
      </w:r>
      <w:r w:rsidR="0019473B" w:rsidRPr="00580F2E">
        <w:rPr>
          <w:rFonts w:ascii="Times New Roman" w:hAnsi="Times New Roman" w:cs="Times New Roman"/>
          <w:sz w:val="24"/>
          <w:szCs w:val="24"/>
          <w:lang w:val="es-ES"/>
        </w:rPr>
        <w:t xml:space="preserve"> y el cumplimiento de la Norma Chilena 2728 que exige el cumplimiento de estándares en procesos de gestión del tipo ISO</w:t>
      </w:r>
      <w:r w:rsidR="0018055F" w:rsidRPr="00580F2E">
        <w:rPr>
          <w:rFonts w:ascii="Times New Roman" w:hAnsi="Times New Roman" w:cs="Times New Roman"/>
          <w:sz w:val="24"/>
          <w:szCs w:val="24"/>
          <w:lang w:val="es-ES"/>
        </w:rPr>
        <w:t>-</w:t>
      </w:r>
      <w:r w:rsidR="0019473B" w:rsidRPr="00580F2E">
        <w:rPr>
          <w:rFonts w:ascii="Times New Roman" w:hAnsi="Times New Roman" w:cs="Times New Roman"/>
          <w:sz w:val="24"/>
          <w:szCs w:val="24"/>
          <w:lang w:val="es-ES"/>
        </w:rPr>
        <w:t>9001.</w:t>
      </w:r>
      <w:r w:rsidR="00D74252" w:rsidRPr="00580F2E">
        <w:rPr>
          <w:rFonts w:ascii="Times New Roman" w:hAnsi="Times New Roman" w:cs="Times New Roman"/>
          <w:sz w:val="24"/>
          <w:szCs w:val="24"/>
          <w:lang w:val="es-ES"/>
        </w:rPr>
        <w:t xml:space="preserve"> </w:t>
      </w:r>
    </w:p>
    <w:p w:rsidR="00166B23" w:rsidRPr="00580F2E" w:rsidRDefault="00D74252"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La Figura</w:t>
      </w:r>
      <w:r w:rsidR="0018055F" w:rsidRPr="00580F2E">
        <w:rPr>
          <w:rFonts w:ascii="Times New Roman" w:hAnsi="Times New Roman" w:cs="Times New Roman"/>
          <w:sz w:val="24"/>
          <w:szCs w:val="24"/>
          <w:lang w:val="es-ES"/>
        </w:rPr>
        <w:t xml:space="preserve"> 13</w:t>
      </w:r>
      <w:r w:rsidRPr="00580F2E">
        <w:rPr>
          <w:rFonts w:ascii="Times New Roman" w:hAnsi="Times New Roman" w:cs="Times New Roman"/>
          <w:sz w:val="24"/>
          <w:szCs w:val="24"/>
          <w:lang w:val="es-ES"/>
        </w:rPr>
        <w:t xml:space="preserve"> muestra que OTEC con al menos una acción de capacitación (</w:t>
      </w:r>
      <w:r w:rsidR="000441E2" w:rsidRPr="00580F2E">
        <w:rPr>
          <w:rFonts w:ascii="Times New Roman" w:hAnsi="Times New Roman" w:cs="Times New Roman"/>
          <w:sz w:val="24"/>
          <w:szCs w:val="24"/>
          <w:lang w:val="es-ES"/>
        </w:rPr>
        <w:t xml:space="preserve">esto es, </w:t>
      </w:r>
      <w:r w:rsidRPr="00580F2E">
        <w:rPr>
          <w:rFonts w:ascii="Times New Roman" w:hAnsi="Times New Roman" w:cs="Times New Roman"/>
          <w:sz w:val="24"/>
          <w:szCs w:val="24"/>
          <w:lang w:val="es-ES"/>
        </w:rPr>
        <w:t>un curso efectuado) constituyen cerca de 42 mil en un año (promedio 1998-2010). Si restringimos el número de OTEC a aquellas que al menos hayan efectuado 10 acciones de capacitación en un año (medido en el eje vertical izquierdo) el promedio cae a 3 mil por año. Más aún, aquellas OTEC que realizan 100 cursos en un año –es decir, mantienen una frecuencia regular– no son más de 300 promedio en un año. De no haber</w:t>
      </w:r>
      <w:r w:rsidR="0018055F" w:rsidRPr="00580F2E">
        <w:rPr>
          <w:rFonts w:ascii="Times New Roman" w:hAnsi="Times New Roman" w:cs="Times New Roman"/>
          <w:sz w:val="24"/>
          <w:szCs w:val="24"/>
          <w:lang w:val="es-ES"/>
        </w:rPr>
        <w:t xml:space="preserve"> un quiebre masivo de OTEC en cada uno de estos</w:t>
      </w:r>
      <w:r w:rsidRPr="00580F2E">
        <w:rPr>
          <w:rFonts w:ascii="Times New Roman" w:hAnsi="Times New Roman" w:cs="Times New Roman"/>
          <w:sz w:val="24"/>
          <w:szCs w:val="24"/>
          <w:lang w:val="es-ES"/>
        </w:rPr>
        <w:t xml:space="preserve"> año</w:t>
      </w:r>
      <w:r w:rsidR="0018055F" w:rsidRPr="00580F2E">
        <w:rPr>
          <w:rFonts w:ascii="Times New Roman" w:hAnsi="Times New Roman" w:cs="Times New Roman"/>
          <w:sz w:val="24"/>
          <w:szCs w:val="24"/>
          <w:lang w:val="es-ES"/>
        </w:rPr>
        <w:t>s</w:t>
      </w:r>
      <w:r w:rsidR="00741A18" w:rsidRPr="00580F2E">
        <w:rPr>
          <w:rFonts w:ascii="Times New Roman" w:hAnsi="Times New Roman" w:cs="Times New Roman"/>
          <w:sz w:val="24"/>
          <w:szCs w:val="24"/>
          <w:lang w:val="es-ES"/>
        </w:rPr>
        <w:t>,</w:t>
      </w:r>
      <w:r w:rsidRPr="00580F2E">
        <w:rPr>
          <w:rStyle w:val="FootnoteReference"/>
          <w:rFonts w:ascii="Times New Roman" w:hAnsi="Times New Roman" w:cs="Times New Roman"/>
          <w:sz w:val="24"/>
          <w:szCs w:val="24"/>
          <w:lang w:val="es-ES"/>
        </w:rPr>
        <w:footnoteReference w:id="11"/>
      </w:r>
      <w:r w:rsidR="00741A18" w:rsidRPr="00580F2E">
        <w:rPr>
          <w:rFonts w:ascii="Times New Roman" w:hAnsi="Times New Roman" w:cs="Times New Roman"/>
          <w:sz w:val="24"/>
          <w:szCs w:val="24"/>
          <w:lang w:val="es-ES"/>
        </w:rPr>
        <w:t xml:space="preserve"> esto implica que la inversión inicial para constituir una OTEC es considerablemente baja.</w:t>
      </w:r>
    </w:p>
    <w:p w:rsidR="00166B23" w:rsidRPr="00580F2E" w:rsidRDefault="00166B23" w:rsidP="009563D7">
      <w:pPr>
        <w:spacing w:after="0"/>
        <w:jc w:val="both"/>
        <w:rPr>
          <w:rFonts w:ascii="Times New Roman" w:hAnsi="Times New Roman" w:cs="Times New Roman"/>
          <w:sz w:val="24"/>
          <w:szCs w:val="24"/>
          <w:lang w:val="es-ES"/>
        </w:rPr>
      </w:pPr>
    </w:p>
    <w:p w:rsidR="00166B23" w:rsidRPr="00580F2E" w:rsidRDefault="00166B23" w:rsidP="009563D7">
      <w:pPr>
        <w:spacing w:after="0"/>
        <w:jc w:val="both"/>
        <w:rPr>
          <w:rFonts w:ascii="Times New Roman" w:hAnsi="Times New Roman" w:cs="Times New Roman"/>
          <w:sz w:val="24"/>
          <w:szCs w:val="24"/>
          <w:lang w:val="es-ES"/>
        </w:rPr>
      </w:pPr>
    </w:p>
    <w:p w:rsidR="00166B23" w:rsidRPr="00580F2E" w:rsidRDefault="0018055F" w:rsidP="00166B23">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Figura 13</w:t>
      </w:r>
      <w:r w:rsidR="00166B23" w:rsidRPr="00580F2E">
        <w:rPr>
          <w:rFonts w:ascii="Times New Roman" w:hAnsi="Times New Roman" w:cs="Times New Roman"/>
          <w:b/>
          <w:sz w:val="24"/>
          <w:szCs w:val="24"/>
          <w:lang w:val="es-ES"/>
        </w:rPr>
        <w:t>: Evolución de mercado de OTEC (1998-2010)</w:t>
      </w:r>
    </w:p>
    <w:p w:rsidR="00166B23" w:rsidRPr="00580F2E" w:rsidRDefault="00166B23" w:rsidP="00166B23">
      <w:pPr>
        <w:spacing w:after="0"/>
        <w:jc w:val="center"/>
        <w:rPr>
          <w:rFonts w:ascii="Times New Roman" w:hAnsi="Times New Roman" w:cs="Times New Roman"/>
          <w:sz w:val="24"/>
          <w:szCs w:val="24"/>
          <w:lang w:val="es-ES"/>
        </w:rPr>
      </w:pPr>
    </w:p>
    <w:p w:rsidR="00166B23" w:rsidRPr="00580F2E" w:rsidRDefault="00AD6666" w:rsidP="00166B23">
      <w:pPr>
        <w:spacing w:after="0"/>
        <w:jc w:val="center"/>
        <w:rPr>
          <w:rFonts w:ascii="Times New Roman" w:hAnsi="Times New Roman" w:cs="Times New Roman"/>
          <w:sz w:val="24"/>
          <w:szCs w:val="24"/>
          <w:lang w:val="es-ES"/>
        </w:rPr>
      </w:pPr>
      <w:r w:rsidRPr="00580F2E">
        <w:rPr>
          <w:noProof/>
          <w:szCs w:val="24"/>
          <w:lang w:val="es-ES"/>
        </w:rPr>
        <w:drawing>
          <wp:inline distT="0" distB="0" distL="0" distR="0" wp14:anchorId="62936338" wp14:editId="4B524DFC">
            <wp:extent cx="3592340" cy="2520000"/>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3592340" cy="2520000"/>
                    </a:xfrm>
                    <a:prstGeom prst="rect">
                      <a:avLst/>
                    </a:prstGeom>
                    <a:noFill/>
                    <a:ln w="9525">
                      <a:noFill/>
                      <a:miter lim="800000"/>
                      <a:headEnd/>
                      <a:tailEnd/>
                    </a:ln>
                  </pic:spPr>
                </pic:pic>
              </a:graphicData>
            </a:graphic>
          </wp:inline>
        </w:drawing>
      </w:r>
    </w:p>
    <w:p w:rsidR="00166B23" w:rsidRPr="00580F2E" w:rsidRDefault="00166B23" w:rsidP="009563D7">
      <w:pPr>
        <w:spacing w:after="0"/>
        <w:jc w:val="both"/>
        <w:rPr>
          <w:rFonts w:ascii="Times New Roman" w:hAnsi="Times New Roman" w:cs="Times New Roman"/>
          <w:sz w:val="16"/>
          <w:szCs w:val="24"/>
          <w:lang w:val="es-ES"/>
        </w:rPr>
      </w:pPr>
      <w:r w:rsidRPr="00580F2E">
        <w:rPr>
          <w:rFonts w:ascii="Times New Roman" w:hAnsi="Times New Roman" w:cs="Times New Roman"/>
          <w:sz w:val="16"/>
          <w:szCs w:val="24"/>
          <w:lang w:val="es-ES"/>
        </w:rPr>
        <w:t>Fuente: Elaboración propia a partir de registros administrativos de SENCE.</w:t>
      </w:r>
    </w:p>
    <w:p w:rsidR="00166B23" w:rsidRPr="00580F2E" w:rsidRDefault="00166B23" w:rsidP="009563D7">
      <w:pPr>
        <w:spacing w:after="0"/>
        <w:jc w:val="both"/>
        <w:rPr>
          <w:rFonts w:ascii="Times New Roman" w:hAnsi="Times New Roman" w:cs="Times New Roman"/>
          <w:sz w:val="24"/>
          <w:szCs w:val="24"/>
          <w:lang w:val="es-ES"/>
        </w:rPr>
      </w:pPr>
      <w:r w:rsidRPr="00580F2E">
        <w:rPr>
          <w:rFonts w:ascii="Times New Roman" w:hAnsi="Times New Roman" w:cs="Times New Roman"/>
          <w:sz w:val="16"/>
          <w:szCs w:val="24"/>
          <w:lang w:val="es-ES"/>
        </w:rPr>
        <w:t>Nota: La Figura muestra el número de OTEC condicionando en el número de acciones de capacitación en un año.</w:t>
      </w:r>
      <w:r w:rsidRPr="00580F2E">
        <w:rPr>
          <w:rFonts w:ascii="Times New Roman" w:hAnsi="Times New Roman" w:cs="Times New Roman"/>
          <w:sz w:val="24"/>
          <w:szCs w:val="24"/>
          <w:lang w:val="es-ES"/>
        </w:rPr>
        <w:t xml:space="preserve"> </w:t>
      </w:r>
    </w:p>
    <w:p w:rsidR="00166B23" w:rsidRPr="00580F2E" w:rsidRDefault="00166B23" w:rsidP="009563D7">
      <w:pPr>
        <w:spacing w:after="0"/>
        <w:jc w:val="both"/>
        <w:rPr>
          <w:rFonts w:ascii="Times New Roman" w:hAnsi="Times New Roman" w:cs="Times New Roman"/>
          <w:sz w:val="24"/>
          <w:szCs w:val="24"/>
          <w:lang w:val="es-ES"/>
        </w:rPr>
      </w:pPr>
    </w:p>
    <w:p w:rsidR="00741A18" w:rsidRPr="00580F2E" w:rsidRDefault="00741A18"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No obstante, lo primero que llama la atención de la Figura </w:t>
      </w:r>
      <w:r w:rsidR="0018055F" w:rsidRPr="00580F2E">
        <w:rPr>
          <w:rFonts w:ascii="Times New Roman" w:hAnsi="Times New Roman" w:cs="Times New Roman"/>
          <w:sz w:val="24"/>
          <w:szCs w:val="24"/>
          <w:lang w:val="es-ES"/>
        </w:rPr>
        <w:t>13</w:t>
      </w:r>
      <w:r w:rsidRPr="00580F2E">
        <w:rPr>
          <w:rFonts w:ascii="Times New Roman" w:hAnsi="Times New Roman" w:cs="Times New Roman"/>
          <w:sz w:val="24"/>
          <w:szCs w:val="24"/>
          <w:lang w:val="es-ES"/>
        </w:rPr>
        <w:t xml:space="preserve"> es un salto importante en el número de OTEC </w:t>
      </w:r>
      <w:r w:rsidR="007F05E6" w:rsidRPr="00580F2E">
        <w:rPr>
          <w:rFonts w:ascii="Times New Roman" w:hAnsi="Times New Roman" w:cs="Times New Roman"/>
          <w:sz w:val="24"/>
          <w:szCs w:val="24"/>
          <w:lang w:val="es-ES"/>
        </w:rPr>
        <w:t xml:space="preserve">en </w:t>
      </w:r>
      <w:r w:rsidRPr="00580F2E">
        <w:rPr>
          <w:rFonts w:ascii="Times New Roman" w:hAnsi="Times New Roman" w:cs="Times New Roman"/>
          <w:sz w:val="24"/>
          <w:szCs w:val="24"/>
          <w:lang w:val="es-ES"/>
        </w:rPr>
        <w:t>el año 2002. Si bien no tenemos información objetiva al respecto,</w:t>
      </w:r>
      <w:r w:rsidR="0018055F" w:rsidRPr="00580F2E">
        <w:rPr>
          <w:rFonts w:ascii="Times New Roman" w:hAnsi="Times New Roman" w:cs="Times New Roman"/>
          <w:sz w:val="24"/>
          <w:szCs w:val="24"/>
          <w:lang w:val="es-ES"/>
        </w:rPr>
        <w:t xml:space="preserve"> ello</w:t>
      </w:r>
      <w:r w:rsidRPr="00580F2E">
        <w:rPr>
          <w:rFonts w:ascii="Times New Roman" w:hAnsi="Times New Roman" w:cs="Times New Roman"/>
          <w:sz w:val="24"/>
          <w:szCs w:val="24"/>
          <w:lang w:val="es-ES"/>
        </w:rPr>
        <w:t xml:space="preserve"> respondería a irregularidades en tal año</w:t>
      </w:r>
      <w:r w:rsidR="0018055F" w:rsidRPr="00580F2E">
        <w:rPr>
          <w:rFonts w:ascii="Times New Roman" w:hAnsi="Times New Roman" w:cs="Times New Roman"/>
          <w:sz w:val="24"/>
          <w:szCs w:val="24"/>
          <w:lang w:val="es-ES"/>
        </w:rPr>
        <w:t xml:space="preserve">, de acuerdo a </w:t>
      </w:r>
      <w:r w:rsidR="008E1400" w:rsidRPr="00580F2E">
        <w:rPr>
          <w:rFonts w:ascii="Times New Roman" w:hAnsi="Times New Roman" w:cs="Times New Roman"/>
          <w:sz w:val="24"/>
          <w:szCs w:val="24"/>
          <w:lang w:val="es-ES"/>
        </w:rPr>
        <w:t>conversaciones informales</w:t>
      </w:r>
      <w:r w:rsidR="0018055F" w:rsidRPr="00580F2E">
        <w:rPr>
          <w:rFonts w:ascii="Times New Roman" w:hAnsi="Times New Roman" w:cs="Times New Roman"/>
          <w:sz w:val="24"/>
          <w:szCs w:val="24"/>
          <w:lang w:val="es-ES"/>
        </w:rPr>
        <w:t xml:space="preserve"> que proporcionó el equipo de estudios de SENCE</w:t>
      </w:r>
      <w:r w:rsidR="008E1400" w:rsidRPr="00580F2E">
        <w:rPr>
          <w:rFonts w:ascii="Times New Roman" w:hAnsi="Times New Roman" w:cs="Times New Roman"/>
          <w:sz w:val="24"/>
          <w:szCs w:val="24"/>
          <w:lang w:val="es-ES"/>
        </w:rPr>
        <w:t xml:space="preserve">. El equipo BID no tiene evidencia formal respecto de este </w:t>
      </w:r>
      <w:r w:rsidR="007F05E6" w:rsidRPr="00580F2E">
        <w:rPr>
          <w:rFonts w:ascii="Times New Roman" w:hAnsi="Times New Roman" w:cs="Times New Roman"/>
          <w:sz w:val="24"/>
          <w:szCs w:val="24"/>
          <w:lang w:val="es-ES"/>
        </w:rPr>
        <w:t xml:space="preserve">fenómeno que se evidenció entre el 2001 y 2003. A partir </w:t>
      </w:r>
      <w:r w:rsidR="007F05E6" w:rsidRPr="00580F2E">
        <w:rPr>
          <w:rFonts w:ascii="Times New Roman" w:hAnsi="Times New Roman" w:cs="Times New Roman"/>
          <w:sz w:val="24"/>
          <w:szCs w:val="24"/>
          <w:lang w:val="es-ES"/>
        </w:rPr>
        <w:lastRenderedPageBreak/>
        <w:t>de este último</w:t>
      </w:r>
      <w:r w:rsidRPr="00580F2E">
        <w:rPr>
          <w:rFonts w:ascii="Times New Roman" w:hAnsi="Times New Roman" w:cs="Times New Roman"/>
          <w:sz w:val="24"/>
          <w:szCs w:val="24"/>
          <w:lang w:val="es-ES"/>
        </w:rPr>
        <w:t xml:space="preserve"> año se implementa la Norma Chilena 2728</w:t>
      </w:r>
      <w:r w:rsidR="0018055F" w:rsidRPr="00580F2E">
        <w:rPr>
          <w:rFonts w:ascii="Times New Roman" w:hAnsi="Times New Roman" w:cs="Times New Roman"/>
          <w:sz w:val="24"/>
          <w:szCs w:val="24"/>
          <w:lang w:val="es-ES"/>
        </w:rPr>
        <w:t>, lo cual</w:t>
      </w:r>
      <w:r w:rsidRPr="00580F2E">
        <w:rPr>
          <w:rFonts w:ascii="Times New Roman" w:hAnsi="Times New Roman" w:cs="Times New Roman"/>
          <w:sz w:val="24"/>
          <w:szCs w:val="24"/>
          <w:lang w:val="es-ES"/>
        </w:rPr>
        <w:t xml:space="preserve"> hizo bajar considerablemente el número de OTEC inscritas.</w:t>
      </w:r>
    </w:p>
    <w:p w:rsidR="00B77778" w:rsidRPr="00580F2E" w:rsidRDefault="007F05E6"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Como es de esperarse, la concentración promedio de mercado es baja. Una OTEC promedio agrupa 0,</w:t>
      </w:r>
      <w:r w:rsidR="00A6554D" w:rsidRPr="00580F2E">
        <w:rPr>
          <w:rFonts w:ascii="Times New Roman" w:hAnsi="Times New Roman" w:cs="Times New Roman"/>
          <w:sz w:val="24"/>
          <w:szCs w:val="24"/>
          <w:lang w:val="es-ES"/>
        </w:rPr>
        <w:t>005</w:t>
      </w:r>
      <w:r w:rsidR="00741A18" w:rsidRPr="00580F2E">
        <w:rPr>
          <w:rFonts w:ascii="Times New Roman" w:hAnsi="Times New Roman" w:cs="Times New Roman"/>
          <w:sz w:val="24"/>
          <w:szCs w:val="24"/>
          <w:lang w:val="es-ES"/>
        </w:rPr>
        <w:t xml:space="preserve">% de las acciones de capacitación </w:t>
      </w:r>
      <w:r w:rsidR="00A6554D" w:rsidRPr="00580F2E">
        <w:rPr>
          <w:rFonts w:ascii="Times New Roman" w:hAnsi="Times New Roman" w:cs="Times New Roman"/>
          <w:sz w:val="24"/>
          <w:szCs w:val="24"/>
          <w:lang w:val="es-ES"/>
        </w:rPr>
        <w:t xml:space="preserve">en el </w:t>
      </w:r>
      <w:r w:rsidR="00741A18" w:rsidRPr="00580F2E">
        <w:rPr>
          <w:rFonts w:ascii="Times New Roman" w:hAnsi="Times New Roman" w:cs="Times New Roman"/>
          <w:sz w:val="24"/>
          <w:szCs w:val="24"/>
          <w:lang w:val="es-ES"/>
        </w:rPr>
        <w:t>2009.</w:t>
      </w:r>
      <w:r w:rsidR="00A6554D" w:rsidRPr="00580F2E">
        <w:rPr>
          <w:rFonts w:ascii="Times New Roman" w:hAnsi="Times New Roman" w:cs="Times New Roman"/>
          <w:sz w:val="24"/>
          <w:szCs w:val="24"/>
          <w:lang w:val="es-ES"/>
        </w:rPr>
        <w:t xml:space="preserve"> Un cifra similar registra la concentración de mercado promedio de capacitados en dicho año.</w:t>
      </w:r>
      <w:r w:rsidR="00741A18" w:rsidRPr="00580F2E">
        <w:rPr>
          <w:rFonts w:ascii="Times New Roman" w:hAnsi="Times New Roman" w:cs="Times New Roman"/>
          <w:sz w:val="24"/>
          <w:szCs w:val="24"/>
          <w:lang w:val="es-ES"/>
        </w:rPr>
        <w:t xml:space="preserve"> La evolución del índice de concentración de Herfindahl  muestra que el grado de poder de mercado</w:t>
      </w:r>
      <w:r w:rsidR="00B77778" w:rsidRPr="00580F2E">
        <w:rPr>
          <w:rFonts w:ascii="Times New Roman" w:hAnsi="Times New Roman" w:cs="Times New Roman"/>
          <w:sz w:val="24"/>
          <w:szCs w:val="24"/>
          <w:lang w:val="es-ES"/>
        </w:rPr>
        <w:t xml:space="preserve"> tuvo una caída en 2002 –coincidente la una inscripción masiva de OTEC mencionada anteriormente–. La introducción de la Norma Chilena 2728 </w:t>
      </w:r>
      <w:r w:rsidRPr="00580F2E">
        <w:rPr>
          <w:rFonts w:ascii="Times New Roman" w:hAnsi="Times New Roman" w:cs="Times New Roman"/>
          <w:sz w:val="24"/>
          <w:szCs w:val="24"/>
          <w:lang w:val="es-ES"/>
        </w:rPr>
        <w:t>en el 2003 provocó un</w:t>
      </w:r>
      <w:r w:rsidR="00B77778" w:rsidRPr="00580F2E">
        <w:rPr>
          <w:rFonts w:ascii="Times New Roman" w:hAnsi="Times New Roman" w:cs="Times New Roman"/>
          <w:sz w:val="24"/>
          <w:szCs w:val="24"/>
          <w:lang w:val="es-ES"/>
        </w:rPr>
        <w:t xml:space="preserve"> quiebre importante en la dinámica de concentración de mercado, no obstante, ésta sigue siendo significativamente baja. Con todo, las cifras indican que </w:t>
      </w:r>
      <w:r w:rsidR="0018055F" w:rsidRPr="00580F2E">
        <w:rPr>
          <w:rFonts w:ascii="Times New Roman" w:hAnsi="Times New Roman" w:cs="Times New Roman"/>
          <w:sz w:val="24"/>
          <w:szCs w:val="24"/>
          <w:lang w:val="es-ES"/>
        </w:rPr>
        <w:t>las</w:t>
      </w:r>
      <w:r w:rsidR="00B77778" w:rsidRPr="00580F2E">
        <w:rPr>
          <w:rFonts w:ascii="Times New Roman" w:hAnsi="Times New Roman" w:cs="Times New Roman"/>
          <w:sz w:val="24"/>
          <w:szCs w:val="24"/>
          <w:lang w:val="es-ES"/>
        </w:rPr>
        <w:t xml:space="preserve"> exigencias </w:t>
      </w:r>
      <w:r w:rsidR="0018055F" w:rsidRPr="00580F2E">
        <w:rPr>
          <w:rFonts w:ascii="Times New Roman" w:hAnsi="Times New Roman" w:cs="Times New Roman"/>
          <w:sz w:val="24"/>
          <w:szCs w:val="24"/>
          <w:lang w:val="es-ES"/>
        </w:rPr>
        <w:t xml:space="preserve">para el funcionamiento de una OTEC </w:t>
      </w:r>
      <w:r w:rsidR="00B77778" w:rsidRPr="00580F2E">
        <w:rPr>
          <w:rFonts w:ascii="Times New Roman" w:hAnsi="Times New Roman" w:cs="Times New Roman"/>
          <w:sz w:val="24"/>
          <w:szCs w:val="24"/>
          <w:lang w:val="es-ES"/>
        </w:rPr>
        <w:t xml:space="preserve">no parecen constituir barreras de entrada importantes al mercado. </w:t>
      </w:r>
    </w:p>
    <w:p w:rsidR="00166B23" w:rsidRPr="00580F2E" w:rsidRDefault="00166B23" w:rsidP="009563D7">
      <w:pPr>
        <w:spacing w:after="0"/>
        <w:jc w:val="both"/>
        <w:rPr>
          <w:rFonts w:ascii="Times New Roman" w:hAnsi="Times New Roman" w:cs="Times New Roman"/>
          <w:sz w:val="24"/>
          <w:szCs w:val="24"/>
          <w:lang w:val="es-ES"/>
        </w:rPr>
      </w:pPr>
    </w:p>
    <w:p w:rsidR="00166B23" w:rsidRPr="00580F2E" w:rsidRDefault="007F05E6" w:rsidP="007F05E6">
      <w:pPr>
        <w:spacing w:after="0"/>
        <w:jc w:val="center"/>
        <w:rPr>
          <w:rFonts w:ascii="Times New Roman" w:hAnsi="Times New Roman" w:cs="Times New Roman"/>
          <w:sz w:val="24"/>
          <w:szCs w:val="24"/>
          <w:lang w:val="es-ES"/>
        </w:rPr>
      </w:pPr>
      <w:r w:rsidRPr="00580F2E">
        <w:rPr>
          <w:rFonts w:ascii="Times New Roman" w:hAnsi="Times New Roman" w:cs="Times New Roman"/>
          <w:b/>
          <w:sz w:val="24"/>
          <w:szCs w:val="24"/>
          <w:lang w:val="es-ES"/>
        </w:rPr>
        <w:t>Figura 14</w:t>
      </w:r>
      <w:r w:rsidR="00166B23" w:rsidRPr="00580F2E">
        <w:rPr>
          <w:rFonts w:ascii="Times New Roman" w:hAnsi="Times New Roman" w:cs="Times New Roman"/>
          <w:b/>
          <w:sz w:val="24"/>
          <w:szCs w:val="24"/>
          <w:lang w:val="es-ES"/>
        </w:rPr>
        <w:t>. Índice de Herfindahl en el mercado de las OTEC</w:t>
      </w:r>
    </w:p>
    <w:p w:rsidR="00166B23" w:rsidRPr="00580F2E" w:rsidRDefault="00166B23" w:rsidP="00166B23">
      <w:pPr>
        <w:spacing w:after="0"/>
        <w:jc w:val="center"/>
        <w:rPr>
          <w:rFonts w:ascii="Times New Roman" w:hAnsi="Times New Roman" w:cs="Times New Roman"/>
          <w:sz w:val="24"/>
          <w:szCs w:val="24"/>
          <w:lang w:val="es-ES"/>
        </w:rPr>
      </w:pPr>
      <w:r w:rsidRPr="00580F2E">
        <w:rPr>
          <w:noProof/>
          <w:szCs w:val="24"/>
          <w:lang w:val="es-ES"/>
        </w:rPr>
        <w:drawing>
          <wp:inline distT="0" distB="0" distL="0" distR="0" wp14:anchorId="2F8692F1" wp14:editId="58BFEB96">
            <wp:extent cx="3772921" cy="2520000"/>
            <wp:effectExtent l="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3772921" cy="2520000"/>
                    </a:xfrm>
                    <a:prstGeom prst="rect">
                      <a:avLst/>
                    </a:prstGeom>
                    <a:noFill/>
                    <a:ln w="9525">
                      <a:noFill/>
                      <a:miter lim="800000"/>
                      <a:headEnd/>
                      <a:tailEnd/>
                    </a:ln>
                  </pic:spPr>
                </pic:pic>
              </a:graphicData>
            </a:graphic>
          </wp:inline>
        </w:drawing>
      </w:r>
    </w:p>
    <w:p w:rsidR="00B77778" w:rsidRPr="00580F2E" w:rsidRDefault="00166B23"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a partir de registros administrativos de SENCE.</w:t>
      </w:r>
    </w:p>
    <w:p w:rsidR="00166B23" w:rsidRPr="00580F2E" w:rsidRDefault="00166B23" w:rsidP="009563D7">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Nota: El índice de Herfindahl (suma de concentraciones al cuadrado) se calcula para acciones de capacitación y para número de capacitados.</w:t>
      </w:r>
    </w:p>
    <w:p w:rsidR="00166B23" w:rsidRPr="00580F2E" w:rsidRDefault="00166B23" w:rsidP="009563D7">
      <w:pPr>
        <w:spacing w:after="0"/>
        <w:jc w:val="both"/>
        <w:rPr>
          <w:rFonts w:ascii="Times New Roman" w:hAnsi="Times New Roman" w:cs="Times New Roman"/>
          <w:sz w:val="24"/>
          <w:szCs w:val="24"/>
          <w:lang w:val="es-ES"/>
        </w:rPr>
      </w:pPr>
    </w:p>
    <w:p w:rsidR="001C1B82" w:rsidRPr="00580F2E" w:rsidRDefault="00B77778"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En términos de fiscalización, SENCE se limita a revisar las exigencias ya mencionadas. No existe una revisión en términos de potenciales resultados sobre los beneficiarios de capacitación. Tampoco existen evaluaciones sobre aquellos factores y procesos que pueden seguir las OTEC para incrementar la empleabilidad de los capacitados (para luego fiscalizar el cumplimiento de dichos elementos). </w:t>
      </w:r>
    </w:p>
    <w:p w:rsidR="00FD33D7" w:rsidRPr="00580F2E" w:rsidRDefault="001C1B82"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Las bajas barreras de entrada y la poca información respecto de la calidad del servicio proporcionado por las distintas OTEC propicia un escenario de altas asimetrías de información. Parte de ello es razón para la existencia de las llamadas Organismos Técnicos Intermedios de Capacitación (OTIC). Tal como lo sugiere su nombre, actúan como mediadoras entre empresas y OTEC</w:t>
      </w:r>
      <w:r w:rsidR="005A0235" w:rsidRPr="00580F2E">
        <w:rPr>
          <w:rFonts w:ascii="Times New Roman" w:hAnsi="Times New Roman" w:cs="Times New Roman"/>
          <w:sz w:val="24"/>
          <w:szCs w:val="24"/>
          <w:lang w:val="es-ES"/>
        </w:rPr>
        <w:t>, además de organizar y supervisar programas de capacitación</w:t>
      </w:r>
      <w:r w:rsidRPr="00580F2E">
        <w:rPr>
          <w:rFonts w:ascii="Times New Roman" w:hAnsi="Times New Roman" w:cs="Times New Roman"/>
          <w:sz w:val="24"/>
          <w:szCs w:val="24"/>
          <w:lang w:val="es-ES"/>
        </w:rPr>
        <w:t xml:space="preserve">. </w:t>
      </w:r>
      <w:r w:rsidR="00316C37" w:rsidRPr="00580F2E">
        <w:rPr>
          <w:rFonts w:ascii="Times New Roman" w:hAnsi="Times New Roman" w:cs="Times New Roman"/>
          <w:sz w:val="24"/>
          <w:szCs w:val="24"/>
          <w:lang w:val="es-ES"/>
        </w:rPr>
        <w:t xml:space="preserve">Su rol es ayudar a las primeras a encontrar las mejores alternativas dentro del mercado. </w:t>
      </w:r>
      <w:r w:rsidR="005F693F" w:rsidRPr="00580F2E">
        <w:rPr>
          <w:rFonts w:ascii="Times New Roman" w:hAnsi="Times New Roman" w:cs="Times New Roman"/>
          <w:sz w:val="24"/>
          <w:szCs w:val="24"/>
          <w:lang w:val="es-ES"/>
        </w:rPr>
        <w:t xml:space="preserve">Son empresas sin fines de lucro que financian sus actividades administrando los recursos del Estado para actividades de capacitación (generalmente, el 1% de la planilla anual de remuneraciones). </w:t>
      </w:r>
      <w:r w:rsidR="008C20E1" w:rsidRPr="00580F2E">
        <w:rPr>
          <w:rFonts w:ascii="Times New Roman" w:hAnsi="Times New Roman" w:cs="Times New Roman"/>
          <w:sz w:val="24"/>
          <w:szCs w:val="24"/>
          <w:lang w:val="es-ES"/>
        </w:rPr>
        <w:t xml:space="preserve">Estos recursos deben ser financiados en el transcurso del año calendario en que son asignados, de lo contrario pasan a “segundo año” como excedentes,  y finalmente a “tercer año”, en forma de Becas Sociales OTIC: subvención a desempleados (o trabajadores de empresas no adheridas a una OTIC) para financiar capacitación. </w:t>
      </w:r>
    </w:p>
    <w:p w:rsidR="00FD33D7" w:rsidRPr="00580F2E" w:rsidRDefault="00316C37"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Lamentablemente, no hay evaluaciones formales respecto del funcionamiento de las OTIC, </w:t>
      </w:r>
      <w:r w:rsidR="00AD6666" w:rsidRPr="00580F2E">
        <w:rPr>
          <w:rFonts w:ascii="Times New Roman" w:hAnsi="Times New Roman" w:cs="Times New Roman"/>
          <w:sz w:val="24"/>
          <w:szCs w:val="24"/>
          <w:lang w:val="es-ES"/>
        </w:rPr>
        <w:t xml:space="preserve">como </w:t>
      </w:r>
      <w:r w:rsidRPr="00580F2E">
        <w:rPr>
          <w:rFonts w:ascii="Times New Roman" w:hAnsi="Times New Roman" w:cs="Times New Roman"/>
          <w:sz w:val="24"/>
          <w:szCs w:val="24"/>
          <w:lang w:val="es-ES"/>
        </w:rPr>
        <w:t>tampoco hay datos suficientes como para hacer un análisis más acabado. La evidencia disponible, si bien no sistemática, puede encontrarse en el análisis hecho por la Comisión Revisora del Sistema de Capacitación e Intermediación Laboral.</w:t>
      </w:r>
      <w:r w:rsidR="00AD6666" w:rsidRPr="00580F2E">
        <w:rPr>
          <w:rStyle w:val="FootnoteReference"/>
          <w:rFonts w:ascii="Times New Roman" w:hAnsi="Times New Roman" w:cs="Times New Roman"/>
          <w:sz w:val="24"/>
          <w:szCs w:val="24"/>
          <w:lang w:val="es-ES"/>
        </w:rPr>
        <w:footnoteReference w:id="12"/>
      </w:r>
      <w:r w:rsidR="00AD6666"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 xml:space="preserve">En su informe final se </w:t>
      </w:r>
      <w:r w:rsidR="00FD33D7" w:rsidRPr="00580F2E">
        <w:rPr>
          <w:rFonts w:ascii="Times New Roman" w:hAnsi="Times New Roman" w:cs="Times New Roman"/>
          <w:sz w:val="24"/>
          <w:szCs w:val="24"/>
          <w:lang w:val="es-ES"/>
        </w:rPr>
        <w:t>evalúa</w:t>
      </w:r>
      <w:r w:rsidRPr="00580F2E">
        <w:rPr>
          <w:rFonts w:ascii="Times New Roman" w:hAnsi="Times New Roman" w:cs="Times New Roman"/>
          <w:sz w:val="24"/>
          <w:szCs w:val="24"/>
          <w:lang w:val="es-ES"/>
        </w:rPr>
        <w:t xml:space="preserve"> negativamente el funcionamiento de las OTIC.</w:t>
      </w:r>
      <w:r w:rsidR="00AD6666" w:rsidRPr="00580F2E">
        <w:rPr>
          <w:rFonts w:ascii="Times New Roman" w:hAnsi="Times New Roman" w:cs="Times New Roman"/>
          <w:sz w:val="24"/>
          <w:szCs w:val="24"/>
          <w:lang w:val="es-ES"/>
        </w:rPr>
        <w:t xml:space="preserve"> En primer lugar, de acuerdo a este</w:t>
      </w:r>
      <w:r w:rsidR="00FD33D7" w:rsidRPr="00580F2E">
        <w:rPr>
          <w:rFonts w:ascii="Times New Roman" w:hAnsi="Times New Roman" w:cs="Times New Roman"/>
          <w:sz w:val="24"/>
          <w:szCs w:val="24"/>
          <w:lang w:val="es-ES"/>
        </w:rPr>
        <w:t xml:space="preserve"> informe, más de la mitad de los recursos administrados de las OTIC pasan a segundo año y entre 10% a 15% a Becas Sociales OTIC, lo que reflejaría cierta ineficiencia en la gestión de recursos. Por otro lado, las empresas adheridas a las OTIC son generalmente empresas de gran tamaño con departamentos de RRHH de alto desarrollo, por lo que su aporte en reducir asimetrías en dichas empresas sería marginal. Finalmente, </w:t>
      </w:r>
      <w:r w:rsidR="0081355E" w:rsidRPr="00580F2E">
        <w:rPr>
          <w:rFonts w:ascii="Times New Roman" w:hAnsi="Times New Roman" w:cs="Times New Roman"/>
          <w:sz w:val="24"/>
          <w:szCs w:val="24"/>
          <w:lang w:val="es-ES"/>
        </w:rPr>
        <w:t>hay</w:t>
      </w:r>
      <w:r w:rsidR="00FD33D7" w:rsidRPr="00580F2E">
        <w:rPr>
          <w:rFonts w:ascii="Times New Roman" w:hAnsi="Times New Roman" w:cs="Times New Roman"/>
          <w:sz w:val="24"/>
          <w:szCs w:val="24"/>
          <w:lang w:val="es-ES"/>
        </w:rPr>
        <w:t xml:space="preserve"> indicios de integración vertical OTIC-OTEC en algunos gremios</w:t>
      </w:r>
      <w:r w:rsidR="0081355E" w:rsidRPr="00580F2E">
        <w:rPr>
          <w:rFonts w:ascii="Times New Roman" w:hAnsi="Times New Roman" w:cs="Times New Roman"/>
          <w:sz w:val="24"/>
          <w:szCs w:val="24"/>
          <w:lang w:val="es-ES"/>
        </w:rPr>
        <w:t>. Todo ello, permite presumir que la contribución de las OTIC en atenuar asimetrías de información no ha sido significativa.</w:t>
      </w:r>
    </w:p>
    <w:p w:rsidR="00ED19E3" w:rsidRPr="00580F2E" w:rsidRDefault="00B77778" w:rsidP="00AD6666">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Los elementos señalados en este apartado indican que la institucionalidad </w:t>
      </w:r>
      <w:r w:rsidR="0018055F" w:rsidRPr="00580F2E">
        <w:rPr>
          <w:rFonts w:ascii="Times New Roman" w:hAnsi="Times New Roman" w:cs="Times New Roman"/>
          <w:sz w:val="24"/>
          <w:szCs w:val="24"/>
          <w:lang w:val="es-ES"/>
        </w:rPr>
        <w:t xml:space="preserve">de FT no está configurada para </w:t>
      </w:r>
      <w:r w:rsidRPr="00580F2E">
        <w:rPr>
          <w:rFonts w:ascii="Times New Roman" w:hAnsi="Times New Roman" w:cs="Times New Roman"/>
          <w:sz w:val="24"/>
          <w:szCs w:val="24"/>
          <w:lang w:val="es-ES"/>
        </w:rPr>
        <w:t>maximiza</w:t>
      </w:r>
      <w:r w:rsidR="0018055F" w:rsidRPr="00580F2E">
        <w:rPr>
          <w:rFonts w:ascii="Times New Roman" w:hAnsi="Times New Roman" w:cs="Times New Roman"/>
          <w:sz w:val="24"/>
          <w:szCs w:val="24"/>
          <w:lang w:val="es-ES"/>
        </w:rPr>
        <w:t>r</w:t>
      </w:r>
      <w:r w:rsidRPr="00580F2E">
        <w:rPr>
          <w:rFonts w:ascii="Times New Roman" w:hAnsi="Times New Roman" w:cs="Times New Roman"/>
          <w:sz w:val="24"/>
          <w:szCs w:val="24"/>
          <w:lang w:val="es-ES"/>
        </w:rPr>
        <w:t xml:space="preserve"> la probabilidad de incremento en empleabilidad. </w:t>
      </w:r>
      <w:r w:rsidR="00166B23" w:rsidRPr="00580F2E">
        <w:rPr>
          <w:rFonts w:ascii="Times New Roman" w:hAnsi="Times New Roman" w:cs="Times New Roman"/>
          <w:sz w:val="24"/>
          <w:szCs w:val="24"/>
          <w:lang w:val="es-ES"/>
        </w:rPr>
        <w:t xml:space="preserve">En este escenario, sorprende los escasos esfuerzos por evaluar el sistema. Al respecto, </w:t>
      </w:r>
      <w:r w:rsidR="00ED19E3" w:rsidRPr="00580F2E">
        <w:rPr>
          <w:rFonts w:ascii="Times New Roman" w:hAnsi="Times New Roman" w:cs="Times New Roman"/>
          <w:sz w:val="24"/>
          <w:szCs w:val="24"/>
          <w:lang w:val="es-ES"/>
        </w:rPr>
        <w:t xml:space="preserve">Rodríguez y Urzúa </w:t>
      </w:r>
      <w:r w:rsidR="005B58EB" w:rsidRPr="00580F2E">
        <w:rPr>
          <w:rFonts w:ascii="Times New Roman" w:hAnsi="Times New Roman" w:cs="Times New Roman"/>
          <w:sz w:val="24"/>
          <w:szCs w:val="24"/>
          <w:lang w:val="es-ES"/>
        </w:rPr>
        <w:t>(2011</w:t>
      </w:r>
      <w:r w:rsidR="00ED19E3" w:rsidRPr="00580F2E">
        <w:rPr>
          <w:rFonts w:ascii="Times New Roman" w:hAnsi="Times New Roman" w:cs="Times New Roman"/>
          <w:sz w:val="24"/>
          <w:szCs w:val="24"/>
          <w:lang w:val="es-ES"/>
        </w:rPr>
        <w:t xml:space="preserve">) usan registros administrativos de SENCE y </w:t>
      </w:r>
      <w:r w:rsidR="007E075D" w:rsidRPr="00580F2E">
        <w:rPr>
          <w:rFonts w:ascii="Times New Roman" w:hAnsi="Times New Roman" w:cs="Times New Roman"/>
          <w:sz w:val="24"/>
          <w:szCs w:val="24"/>
          <w:lang w:val="es-ES"/>
        </w:rPr>
        <w:t xml:space="preserve">de </w:t>
      </w:r>
      <w:r w:rsidR="00ED19E3" w:rsidRPr="00580F2E">
        <w:rPr>
          <w:rFonts w:ascii="Times New Roman" w:hAnsi="Times New Roman" w:cs="Times New Roman"/>
          <w:sz w:val="24"/>
          <w:szCs w:val="24"/>
          <w:lang w:val="es-ES"/>
        </w:rPr>
        <w:t>MINTRAB para estimar el impacto de capacitación</w:t>
      </w:r>
      <w:r w:rsidR="0081355E" w:rsidRPr="00580F2E">
        <w:rPr>
          <w:rFonts w:ascii="Times New Roman" w:hAnsi="Times New Roman" w:cs="Times New Roman"/>
          <w:sz w:val="24"/>
          <w:szCs w:val="24"/>
          <w:lang w:val="es-ES"/>
        </w:rPr>
        <w:t xml:space="preserve"> en probabilidad de estar empleado y salarios</w:t>
      </w:r>
      <w:r w:rsidR="00ED19E3" w:rsidRPr="00580F2E">
        <w:rPr>
          <w:rFonts w:ascii="Times New Roman" w:hAnsi="Times New Roman" w:cs="Times New Roman"/>
          <w:sz w:val="24"/>
          <w:szCs w:val="24"/>
          <w:lang w:val="es-ES"/>
        </w:rPr>
        <w:t>.</w:t>
      </w:r>
      <w:r w:rsidR="005B58EB" w:rsidRPr="00580F2E">
        <w:rPr>
          <w:rFonts w:ascii="Times New Roman" w:hAnsi="Times New Roman" w:cs="Times New Roman"/>
          <w:sz w:val="24"/>
          <w:szCs w:val="24"/>
          <w:lang w:val="es-ES"/>
        </w:rPr>
        <w:t xml:space="preserve"> Controlando por </w:t>
      </w:r>
      <w:r w:rsidR="005B58EB" w:rsidRPr="00580F2E">
        <w:rPr>
          <w:rFonts w:ascii="Times New Roman" w:hAnsi="Times New Roman" w:cs="Times New Roman"/>
          <w:sz w:val="24"/>
          <w:szCs w:val="24"/>
          <w:lang w:val="es-ES"/>
        </w:rPr>
        <w:lastRenderedPageBreak/>
        <w:t>factores observables y no observables, encuentran que el impacto de un programa de capacitación es cercano a 0</w:t>
      </w:r>
      <w:r w:rsidR="007E075D" w:rsidRPr="00580F2E">
        <w:rPr>
          <w:rFonts w:ascii="Times New Roman" w:hAnsi="Times New Roman" w:cs="Times New Roman"/>
          <w:sz w:val="24"/>
          <w:szCs w:val="24"/>
          <w:lang w:val="es-ES"/>
        </w:rPr>
        <w:t xml:space="preserve"> en ambas dimensiones</w:t>
      </w:r>
      <w:r w:rsidR="005B58EB" w:rsidRPr="00580F2E">
        <w:rPr>
          <w:rFonts w:ascii="Times New Roman" w:hAnsi="Times New Roman" w:cs="Times New Roman"/>
          <w:sz w:val="24"/>
          <w:szCs w:val="24"/>
          <w:lang w:val="es-ES"/>
        </w:rPr>
        <w:t>.</w:t>
      </w:r>
      <w:r w:rsidR="005B58EB" w:rsidRPr="00580F2E">
        <w:rPr>
          <w:rStyle w:val="FootnoteReference"/>
          <w:rFonts w:ascii="Times New Roman" w:hAnsi="Times New Roman" w:cs="Times New Roman"/>
          <w:sz w:val="24"/>
          <w:szCs w:val="24"/>
          <w:lang w:val="es-ES"/>
        </w:rPr>
        <w:footnoteReference w:id="13"/>
      </w:r>
      <w:r w:rsidR="00521CED" w:rsidRPr="00580F2E">
        <w:rPr>
          <w:rFonts w:ascii="Times New Roman" w:hAnsi="Times New Roman" w:cs="Times New Roman"/>
          <w:sz w:val="24"/>
          <w:szCs w:val="24"/>
          <w:lang w:val="es-ES"/>
        </w:rPr>
        <w:t xml:space="preserve"> Existe cierta heterogeneidad</w:t>
      </w:r>
      <w:r w:rsidR="00245AD0" w:rsidRPr="00580F2E">
        <w:rPr>
          <w:rFonts w:ascii="Times New Roman" w:hAnsi="Times New Roman" w:cs="Times New Roman"/>
          <w:sz w:val="24"/>
          <w:szCs w:val="24"/>
          <w:lang w:val="es-ES"/>
        </w:rPr>
        <w:t xml:space="preserve"> en este efecto:</w:t>
      </w:r>
      <w:r w:rsidR="00521CED" w:rsidRPr="00580F2E">
        <w:rPr>
          <w:rFonts w:ascii="Times New Roman" w:hAnsi="Times New Roman" w:cs="Times New Roman"/>
          <w:sz w:val="24"/>
          <w:szCs w:val="24"/>
          <w:lang w:val="es-ES"/>
        </w:rPr>
        <w:t xml:space="preserve"> </w:t>
      </w:r>
      <w:r w:rsidR="00245AD0" w:rsidRPr="00580F2E">
        <w:rPr>
          <w:rFonts w:ascii="Times New Roman" w:hAnsi="Times New Roman" w:cs="Times New Roman"/>
          <w:sz w:val="24"/>
          <w:szCs w:val="24"/>
          <w:lang w:val="es-ES"/>
        </w:rPr>
        <w:t>c</w:t>
      </w:r>
      <w:r w:rsidR="00521CED" w:rsidRPr="00580F2E">
        <w:rPr>
          <w:rFonts w:ascii="Times New Roman" w:hAnsi="Times New Roman" w:cs="Times New Roman"/>
          <w:sz w:val="24"/>
          <w:szCs w:val="24"/>
          <w:lang w:val="es-ES"/>
        </w:rPr>
        <w:t>ursos de mayor duración y OTEC de gran tamaño pueden lograr impactos sobre 0</w:t>
      </w:r>
      <w:r w:rsidR="00245AD0" w:rsidRPr="00580F2E">
        <w:rPr>
          <w:rFonts w:ascii="Times New Roman" w:hAnsi="Times New Roman" w:cs="Times New Roman"/>
          <w:sz w:val="24"/>
          <w:szCs w:val="24"/>
          <w:lang w:val="es-ES"/>
        </w:rPr>
        <w:t xml:space="preserve"> en términos de salario</w:t>
      </w:r>
      <w:r w:rsidR="00521CED" w:rsidRPr="00580F2E">
        <w:rPr>
          <w:rFonts w:ascii="Times New Roman" w:hAnsi="Times New Roman" w:cs="Times New Roman"/>
          <w:sz w:val="24"/>
          <w:szCs w:val="24"/>
          <w:lang w:val="es-ES"/>
        </w:rPr>
        <w:t>. Lamentablemente, dichos casos escasamente se pueden encontrar en el mercado de la capacitación.</w:t>
      </w:r>
      <w:r w:rsidR="007E075D" w:rsidRPr="00580F2E">
        <w:rPr>
          <w:rStyle w:val="FootnoteReference"/>
          <w:rFonts w:ascii="Times New Roman" w:hAnsi="Times New Roman" w:cs="Times New Roman"/>
          <w:sz w:val="24"/>
          <w:szCs w:val="24"/>
          <w:lang w:val="es-ES"/>
        </w:rPr>
        <w:footnoteReference w:id="14"/>
      </w:r>
      <w:r w:rsidR="00521CED" w:rsidRPr="00580F2E">
        <w:rPr>
          <w:rFonts w:ascii="Times New Roman" w:hAnsi="Times New Roman" w:cs="Times New Roman"/>
          <w:sz w:val="24"/>
          <w:szCs w:val="24"/>
          <w:lang w:val="es-ES"/>
        </w:rPr>
        <w:t xml:space="preserve"> </w:t>
      </w:r>
    </w:p>
    <w:p w:rsidR="004302F8" w:rsidRPr="00580F2E" w:rsidRDefault="00B427CA" w:rsidP="00AD6666">
      <w:pPr>
        <w:spacing w:after="0" w:line="360" w:lineRule="auto"/>
        <w:ind w:firstLine="709"/>
        <w:jc w:val="both"/>
        <w:rPr>
          <w:rFonts w:ascii="Times New Roman" w:hAnsi="Times New Roman" w:cs="Times New Roman"/>
          <w:lang w:val="es-ES"/>
        </w:rPr>
      </w:pPr>
      <w:r w:rsidRPr="00580F2E">
        <w:rPr>
          <w:rFonts w:ascii="Times New Roman" w:hAnsi="Times New Roman" w:cs="Times New Roman"/>
          <w:sz w:val="24"/>
          <w:szCs w:val="24"/>
          <w:lang w:val="es-ES"/>
        </w:rPr>
        <w:t>Con todo, c</w:t>
      </w:r>
      <w:r w:rsidR="00ED19E3" w:rsidRPr="00580F2E">
        <w:rPr>
          <w:rFonts w:ascii="Times New Roman" w:hAnsi="Times New Roman" w:cs="Times New Roman"/>
          <w:sz w:val="24"/>
          <w:szCs w:val="24"/>
          <w:lang w:val="es-ES"/>
        </w:rPr>
        <w:t>ifras y estudios</w:t>
      </w:r>
      <w:r w:rsidR="005E3594" w:rsidRPr="00580F2E">
        <w:rPr>
          <w:rFonts w:ascii="Times New Roman" w:hAnsi="Times New Roman" w:cs="Times New Roman"/>
          <w:sz w:val="24"/>
          <w:szCs w:val="24"/>
          <w:lang w:val="es-ES"/>
        </w:rPr>
        <w:t xml:space="preserve"> recientes </w:t>
      </w:r>
      <w:r w:rsidR="00245AD0" w:rsidRPr="00580F2E">
        <w:rPr>
          <w:rFonts w:ascii="Times New Roman" w:hAnsi="Times New Roman" w:cs="Times New Roman"/>
          <w:sz w:val="24"/>
          <w:szCs w:val="24"/>
          <w:lang w:val="es-ES"/>
        </w:rPr>
        <w:t xml:space="preserve">muestran que FT no se enfoca en trabajadores especialmente con déficits de competencias. </w:t>
      </w:r>
      <w:r w:rsidR="0081355E" w:rsidRPr="00580F2E">
        <w:rPr>
          <w:rFonts w:ascii="Times New Roman" w:hAnsi="Times New Roman" w:cs="Times New Roman"/>
          <w:sz w:val="24"/>
          <w:szCs w:val="24"/>
          <w:lang w:val="es-ES"/>
        </w:rPr>
        <w:t>La configuración institucional de la FT no parece ser la adecuada para maximizar la calidad de los cursos. Consistente con ello, no</w:t>
      </w:r>
      <w:r w:rsidR="00245AD0" w:rsidRPr="00580F2E">
        <w:rPr>
          <w:rFonts w:ascii="Times New Roman" w:hAnsi="Times New Roman" w:cs="Times New Roman"/>
          <w:sz w:val="24"/>
          <w:szCs w:val="24"/>
          <w:lang w:val="es-ES"/>
        </w:rPr>
        <w:t xml:space="preserve"> hay evidencia que dichos trabajadores se vean beneficiados en términos de salario o empleabilidad. </w:t>
      </w:r>
      <w:r w:rsidR="0081355E" w:rsidRPr="00580F2E">
        <w:rPr>
          <w:rFonts w:ascii="Times New Roman" w:hAnsi="Times New Roman" w:cs="Times New Roman"/>
          <w:sz w:val="24"/>
          <w:szCs w:val="24"/>
          <w:lang w:val="es-ES"/>
        </w:rPr>
        <w:t>Estos</w:t>
      </w:r>
      <w:r w:rsidR="00245AD0" w:rsidRPr="00580F2E">
        <w:rPr>
          <w:rFonts w:ascii="Times New Roman" w:hAnsi="Times New Roman" w:cs="Times New Roman"/>
          <w:sz w:val="24"/>
          <w:szCs w:val="24"/>
          <w:lang w:val="es-ES"/>
        </w:rPr>
        <w:t xml:space="preserve"> hechos preocupan, por cuanto FT es el pilar que sostiene el sistema de capacitación en Chile.</w:t>
      </w:r>
    </w:p>
    <w:p w:rsidR="001842D9" w:rsidRPr="00580F2E" w:rsidRDefault="005E3594" w:rsidP="009563D7">
      <w:pPr>
        <w:spacing w:after="0"/>
        <w:jc w:val="both"/>
        <w:rPr>
          <w:rFonts w:ascii="Times New Roman" w:hAnsi="Times New Roman" w:cs="Times New Roman"/>
          <w:lang w:val="es-ES"/>
        </w:rPr>
      </w:pPr>
      <w:r w:rsidRPr="00580F2E">
        <w:rPr>
          <w:rFonts w:ascii="Times New Roman" w:hAnsi="Times New Roman" w:cs="Times New Roman"/>
          <w:lang w:val="es-ES"/>
        </w:rPr>
        <w:t xml:space="preserve"> </w:t>
      </w:r>
    </w:p>
    <w:p w:rsidR="004302F8" w:rsidRPr="00580F2E" w:rsidRDefault="004302F8" w:rsidP="007E075D">
      <w:pPr>
        <w:pStyle w:val="ListParagraph"/>
        <w:numPr>
          <w:ilvl w:val="1"/>
          <w:numId w:val="7"/>
        </w:numPr>
        <w:spacing w:after="0" w:line="360" w:lineRule="auto"/>
        <w:ind w:firstLine="709"/>
        <w:rPr>
          <w:rFonts w:ascii="Times New Roman" w:hAnsi="Times New Roman" w:cs="Times New Roman"/>
          <w:b/>
          <w:sz w:val="24"/>
          <w:szCs w:val="24"/>
          <w:lang w:val="es-ES"/>
        </w:rPr>
      </w:pPr>
      <w:r w:rsidRPr="00580F2E">
        <w:rPr>
          <w:rFonts w:ascii="Times New Roman" w:hAnsi="Times New Roman" w:cs="Times New Roman"/>
          <w:b/>
          <w:sz w:val="24"/>
          <w:szCs w:val="24"/>
          <w:lang w:val="es-ES"/>
        </w:rPr>
        <w:t>Los programas sociales de SENCE</w:t>
      </w:r>
    </w:p>
    <w:p w:rsidR="0018055F" w:rsidRPr="00580F2E" w:rsidRDefault="0018055F" w:rsidP="007E075D">
      <w:pPr>
        <w:spacing w:after="0" w:line="360" w:lineRule="auto"/>
        <w:ind w:firstLine="709"/>
        <w:jc w:val="both"/>
        <w:rPr>
          <w:rFonts w:ascii="Times New Roman" w:hAnsi="Times New Roman" w:cs="Times New Roman"/>
          <w:sz w:val="24"/>
          <w:szCs w:val="24"/>
          <w:lang w:val="es-ES"/>
        </w:rPr>
      </w:pPr>
    </w:p>
    <w:p w:rsidR="00B802D6" w:rsidRPr="00580F2E" w:rsidRDefault="002918A7"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SENCE gestiona una serie de programas </w:t>
      </w:r>
      <w:r w:rsidR="007E075D" w:rsidRPr="00580F2E">
        <w:rPr>
          <w:rFonts w:ascii="Times New Roman" w:hAnsi="Times New Roman" w:cs="Times New Roman"/>
          <w:sz w:val="24"/>
          <w:szCs w:val="24"/>
          <w:lang w:val="es-ES"/>
        </w:rPr>
        <w:t>dirigidos hacia</w:t>
      </w:r>
      <w:r w:rsidRPr="00580F2E">
        <w:rPr>
          <w:rFonts w:ascii="Times New Roman" w:hAnsi="Times New Roman" w:cs="Times New Roman"/>
          <w:sz w:val="24"/>
          <w:szCs w:val="24"/>
          <w:lang w:val="es-ES"/>
        </w:rPr>
        <w:t xml:space="preserve"> trabajadores vulnerables.</w:t>
      </w:r>
      <w:r w:rsidR="003A0240" w:rsidRPr="00580F2E">
        <w:rPr>
          <w:rFonts w:ascii="Times New Roman" w:hAnsi="Times New Roman" w:cs="Times New Roman"/>
          <w:sz w:val="24"/>
          <w:szCs w:val="24"/>
          <w:lang w:val="es-ES"/>
        </w:rPr>
        <w:t xml:space="preserve"> El total de estos programas r</w:t>
      </w:r>
      <w:r w:rsidRPr="00580F2E">
        <w:rPr>
          <w:rFonts w:ascii="Times New Roman" w:hAnsi="Times New Roman" w:cs="Times New Roman"/>
          <w:sz w:val="24"/>
          <w:szCs w:val="24"/>
          <w:lang w:val="es-ES"/>
        </w:rPr>
        <w:t xml:space="preserve">epresenta </w:t>
      </w:r>
      <w:r w:rsidR="0018055F" w:rsidRPr="00580F2E">
        <w:rPr>
          <w:rFonts w:ascii="Times New Roman" w:hAnsi="Times New Roman" w:cs="Times New Roman"/>
          <w:sz w:val="24"/>
          <w:szCs w:val="24"/>
          <w:lang w:val="es-ES"/>
        </w:rPr>
        <w:t>3</w:t>
      </w:r>
      <w:r w:rsidRPr="00580F2E">
        <w:rPr>
          <w:rFonts w:ascii="Times New Roman" w:hAnsi="Times New Roman" w:cs="Times New Roman"/>
          <w:sz w:val="24"/>
          <w:szCs w:val="24"/>
          <w:lang w:val="es-ES"/>
        </w:rPr>
        <w:t xml:space="preserve">% del total de beneficiarios y </w:t>
      </w:r>
      <w:r w:rsidR="0018055F" w:rsidRPr="00580F2E">
        <w:rPr>
          <w:rFonts w:ascii="Times New Roman" w:hAnsi="Times New Roman" w:cs="Times New Roman"/>
          <w:sz w:val="24"/>
          <w:szCs w:val="24"/>
          <w:lang w:val="es-ES"/>
        </w:rPr>
        <w:t>14</w:t>
      </w:r>
      <w:r w:rsidRPr="00580F2E">
        <w:rPr>
          <w:rFonts w:ascii="Times New Roman" w:hAnsi="Times New Roman" w:cs="Times New Roman"/>
          <w:sz w:val="24"/>
          <w:szCs w:val="24"/>
          <w:lang w:val="es-ES"/>
        </w:rPr>
        <w:t>% de la inversión pública asociada a SENCE</w:t>
      </w:r>
      <w:r w:rsidR="0018055F" w:rsidRPr="00580F2E">
        <w:rPr>
          <w:rFonts w:ascii="Times New Roman" w:hAnsi="Times New Roman" w:cs="Times New Roman"/>
          <w:sz w:val="24"/>
          <w:szCs w:val="24"/>
          <w:lang w:val="es-ES"/>
        </w:rPr>
        <w:t xml:space="preserve"> para capacitación</w:t>
      </w:r>
      <w:r w:rsidRPr="00580F2E">
        <w:rPr>
          <w:rFonts w:ascii="Times New Roman" w:hAnsi="Times New Roman" w:cs="Times New Roman"/>
          <w:sz w:val="24"/>
          <w:szCs w:val="24"/>
          <w:lang w:val="es-ES"/>
        </w:rPr>
        <w:t>. A continuación, se revisan los más importantes.</w:t>
      </w:r>
    </w:p>
    <w:p w:rsidR="005B58EB" w:rsidRPr="00580F2E" w:rsidRDefault="005B58EB" w:rsidP="007E075D">
      <w:pPr>
        <w:spacing w:after="0" w:line="360" w:lineRule="auto"/>
        <w:ind w:firstLine="709"/>
        <w:jc w:val="both"/>
        <w:rPr>
          <w:rFonts w:ascii="Times New Roman" w:hAnsi="Times New Roman" w:cs="Times New Roman"/>
          <w:sz w:val="24"/>
          <w:szCs w:val="24"/>
          <w:lang w:val="es-ES"/>
        </w:rPr>
      </w:pPr>
    </w:p>
    <w:p w:rsidR="002918A7" w:rsidRPr="00580F2E" w:rsidRDefault="002918A7" w:rsidP="007E075D">
      <w:pPr>
        <w:pStyle w:val="ListParagraph"/>
        <w:numPr>
          <w:ilvl w:val="2"/>
          <w:numId w:val="7"/>
        </w:numPr>
        <w:spacing w:after="0" w:line="360" w:lineRule="auto"/>
        <w:ind w:firstLine="709"/>
        <w:rPr>
          <w:rFonts w:ascii="Times New Roman" w:hAnsi="Times New Roman" w:cs="Times New Roman"/>
          <w:i/>
          <w:sz w:val="24"/>
          <w:szCs w:val="24"/>
          <w:lang w:val="es-ES"/>
        </w:rPr>
      </w:pPr>
      <w:r w:rsidRPr="00580F2E">
        <w:rPr>
          <w:rFonts w:ascii="Times New Roman" w:hAnsi="Times New Roman" w:cs="Times New Roman"/>
          <w:i/>
          <w:sz w:val="24"/>
          <w:szCs w:val="24"/>
          <w:lang w:val="es-ES"/>
        </w:rPr>
        <w:t>P</w:t>
      </w:r>
      <w:r w:rsidR="005B5DD5" w:rsidRPr="00580F2E">
        <w:rPr>
          <w:rFonts w:ascii="Times New Roman" w:hAnsi="Times New Roman" w:cs="Times New Roman"/>
          <w:i/>
          <w:sz w:val="24"/>
          <w:szCs w:val="24"/>
          <w:lang w:val="es-ES"/>
        </w:rPr>
        <w:t>rograma Especial de Jóvenes</w:t>
      </w:r>
      <w:r w:rsidR="0081355E" w:rsidRPr="00580F2E">
        <w:rPr>
          <w:rFonts w:ascii="Times New Roman" w:hAnsi="Times New Roman" w:cs="Times New Roman"/>
          <w:i/>
          <w:sz w:val="24"/>
          <w:szCs w:val="24"/>
          <w:lang w:val="es-ES"/>
        </w:rPr>
        <w:t xml:space="preserve"> (PEJ)</w:t>
      </w:r>
      <w:r w:rsidR="005B5DD5" w:rsidRPr="00580F2E">
        <w:rPr>
          <w:rStyle w:val="FootnoteReference"/>
          <w:rFonts w:ascii="Times New Roman" w:hAnsi="Times New Roman" w:cs="Times New Roman"/>
          <w:i/>
          <w:sz w:val="24"/>
          <w:szCs w:val="24"/>
          <w:lang w:val="es-ES"/>
        </w:rPr>
        <w:footnoteReference w:id="15"/>
      </w:r>
    </w:p>
    <w:p w:rsidR="00245AD0" w:rsidRPr="00580F2E" w:rsidRDefault="00245AD0" w:rsidP="007E075D">
      <w:pPr>
        <w:pStyle w:val="ListParagraph"/>
        <w:spacing w:after="0" w:line="360" w:lineRule="auto"/>
        <w:ind w:left="1224" w:firstLine="709"/>
        <w:rPr>
          <w:rFonts w:ascii="Times New Roman" w:hAnsi="Times New Roman" w:cs="Times New Roman"/>
          <w:i/>
          <w:sz w:val="24"/>
          <w:szCs w:val="24"/>
          <w:lang w:val="es-ES"/>
        </w:rPr>
      </w:pPr>
    </w:p>
    <w:p w:rsidR="002918A7" w:rsidRPr="00580F2E" w:rsidRDefault="002F4CEC"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Este programa consiste en proveer de capacitación en oficios a jóvenes en situación de vulnerabilidad social. Su objetivo es “</w:t>
      </w:r>
      <w:r w:rsidR="0018055F" w:rsidRPr="00580F2E">
        <w:rPr>
          <w:rFonts w:ascii="Times New Roman" w:hAnsi="Times New Roman" w:cs="Times New Roman"/>
          <w:sz w:val="24"/>
          <w:szCs w:val="24"/>
          <w:lang w:val="es-ES"/>
        </w:rPr>
        <w:t>…capacitar en competencias de empleabilidad y formación en oficio a hombres y mujeres jóvenes, entre 16 y 29 años, con el fin de aumentar sus competencias para incorporarse al mercado laboral</w:t>
      </w:r>
      <w:r w:rsidRPr="00580F2E">
        <w:rPr>
          <w:rFonts w:ascii="Times New Roman" w:hAnsi="Times New Roman" w:cs="Times New Roman"/>
          <w:sz w:val="24"/>
          <w:szCs w:val="24"/>
          <w:lang w:val="es-ES"/>
        </w:rPr>
        <w:t>”.</w:t>
      </w:r>
      <w:r w:rsidR="0018055F" w:rsidRPr="00580F2E">
        <w:rPr>
          <w:rStyle w:val="FootnoteReference"/>
          <w:rFonts w:ascii="Times New Roman" w:hAnsi="Times New Roman" w:cs="Times New Roman"/>
          <w:sz w:val="24"/>
          <w:szCs w:val="24"/>
          <w:lang w:val="es-ES"/>
        </w:rPr>
        <w:footnoteReference w:id="16"/>
      </w:r>
      <w:r w:rsidRPr="00580F2E">
        <w:rPr>
          <w:rFonts w:ascii="Times New Roman" w:hAnsi="Times New Roman" w:cs="Times New Roman"/>
          <w:sz w:val="24"/>
          <w:szCs w:val="24"/>
          <w:lang w:val="es-ES"/>
        </w:rPr>
        <w:t xml:space="preserve"> </w:t>
      </w:r>
      <w:r w:rsidR="00E54DCA" w:rsidRPr="00580F2E">
        <w:rPr>
          <w:rFonts w:ascii="Times New Roman" w:hAnsi="Times New Roman" w:cs="Times New Roman"/>
          <w:sz w:val="24"/>
          <w:szCs w:val="24"/>
          <w:lang w:val="es-ES"/>
        </w:rPr>
        <w:t xml:space="preserve">Los criterios de focalización se basan en </w:t>
      </w:r>
      <w:r w:rsidR="0081355E" w:rsidRPr="00580F2E">
        <w:rPr>
          <w:rFonts w:ascii="Times New Roman" w:hAnsi="Times New Roman" w:cs="Times New Roman"/>
          <w:sz w:val="24"/>
          <w:szCs w:val="24"/>
          <w:lang w:val="es-ES"/>
        </w:rPr>
        <w:t xml:space="preserve">el </w:t>
      </w:r>
      <w:r w:rsidR="00E54DCA" w:rsidRPr="00580F2E">
        <w:rPr>
          <w:rFonts w:ascii="Times New Roman" w:hAnsi="Times New Roman" w:cs="Times New Roman"/>
          <w:sz w:val="24"/>
          <w:szCs w:val="24"/>
          <w:lang w:val="es-ES"/>
        </w:rPr>
        <w:t xml:space="preserve">puntaje de </w:t>
      </w:r>
      <w:r w:rsidR="0081355E" w:rsidRPr="00580F2E">
        <w:rPr>
          <w:rFonts w:ascii="Times New Roman" w:hAnsi="Times New Roman" w:cs="Times New Roman"/>
          <w:sz w:val="24"/>
          <w:szCs w:val="24"/>
          <w:lang w:val="es-ES"/>
        </w:rPr>
        <w:t xml:space="preserve">la </w:t>
      </w:r>
      <w:r w:rsidR="00E54DCA" w:rsidRPr="00580F2E">
        <w:rPr>
          <w:rFonts w:ascii="Times New Roman" w:hAnsi="Times New Roman" w:cs="Times New Roman"/>
          <w:sz w:val="24"/>
          <w:szCs w:val="24"/>
          <w:lang w:val="es-ES"/>
        </w:rPr>
        <w:t xml:space="preserve">Ficha Protección Social (FPS). Este indicador se construye </w:t>
      </w:r>
      <w:r w:rsidR="0081355E" w:rsidRPr="00580F2E">
        <w:rPr>
          <w:rFonts w:ascii="Times New Roman" w:hAnsi="Times New Roman" w:cs="Times New Roman"/>
          <w:sz w:val="24"/>
          <w:szCs w:val="24"/>
          <w:lang w:val="es-ES"/>
        </w:rPr>
        <w:t>sobre la</w:t>
      </w:r>
      <w:r w:rsidR="00E54DCA" w:rsidRPr="00580F2E">
        <w:rPr>
          <w:rFonts w:ascii="Times New Roman" w:hAnsi="Times New Roman" w:cs="Times New Roman"/>
          <w:sz w:val="24"/>
          <w:szCs w:val="24"/>
          <w:lang w:val="es-ES"/>
        </w:rPr>
        <w:t xml:space="preserve"> base </w:t>
      </w:r>
      <w:r w:rsidR="0081355E" w:rsidRPr="00580F2E">
        <w:rPr>
          <w:rFonts w:ascii="Times New Roman" w:hAnsi="Times New Roman" w:cs="Times New Roman"/>
          <w:sz w:val="24"/>
          <w:szCs w:val="24"/>
          <w:lang w:val="es-ES"/>
        </w:rPr>
        <w:t>de</w:t>
      </w:r>
      <w:r w:rsidR="00E54DCA" w:rsidRPr="00580F2E">
        <w:rPr>
          <w:rFonts w:ascii="Times New Roman" w:hAnsi="Times New Roman" w:cs="Times New Roman"/>
          <w:sz w:val="24"/>
          <w:szCs w:val="24"/>
          <w:lang w:val="es-ES"/>
        </w:rPr>
        <w:t xml:space="preserve"> un cuestionario voluntario que se le aplica a hogares que </w:t>
      </w:r>
      <w:r w:rsidR="0081355E" w:rsidRPr="00580F2E">
        <w:rPr>
          <w:rFonts w:ascii="Times New Roman" w:hAnsi="Times New Roman" w:cs="Times New Roman"/>
          <w:sz w:val="24"/>
          <w:szCs w:val="24"/>
          <w:lang w:val="es-ES"/>
        </w:rPr>
        <w:t>dese</w:t>
      </w:r>
      <w:r w:rsidR="00E54DCA" w:rsidRPr="00580F2E">
        <w:rPr>
          <w:rFonts w:ascii="Times New Roman" w:hAnsi="Times New Roman" w:cs="Times New Roman"/>
          <w:sz w:val="24"/>
          <w:szCs w:val="24"/>
          <w:lang w:val="es-ES"/>
        </w:rPr>
        <w:t>a</w:t>
      </w:r>
      <w:r w:rsidR="0081355E" w:rsidRPr="00580F2E">
        <w:rPr>
          <w:rFonts w:ascii="Times New Roman" w:hAnsi="Times New Roman" w:cs="Times New Roman"/>
          <w:sz w:val="24"/>
          <w:szCs w:val="24"/>
          <w:lang w:val="es-ES"/>
        </w:rPr>
        <w:t>n</w:t>
      </w:r>
      <w:r w:rsidR="00E54DCA" w:rsidRPr="00580F2E">
        <w:rPr>
          <w:rFonts w:ascii="Times New Roman" w:hAnsi="Times New Roman" w:cs="Times New Roman"/>
          <w:sz w:val="24"/>
          <w:szCs w:val="24"/>
          <w:lang w:val="es-ES"/>
        </w:rPr>
        <w:t xml:space="preserve"> </w:t>
      </w:r>
      <w:r w:rsidR="00E54DCA" w:rsidRPr="00580F2E">
        <w:rPr>
          <w:rFonts w:ascii="Times New Roman" w:hAnsi="Times New Roman" w:cs="Times New Roman"/>
          <w:sz w:val="24"/>
          <w:szCs w:val="24"/>
          <w:lang w:val="es-ES"/>
        </w:rPr>
        <w:lastRenderedPageBreak/>
        <w:t>participar en algún programa social del Estado. La escala de puntajes se obtiene a partir de un polinomio que incluye aspectos como tamaño del hogar, condición de actividad económica, comuna, educación, ingreso familiar entre otros. Un puntaje bajo los 11.734 puntos permite a los integrantes de un hogar poder acceder a una importante gama de</w:t>
      </w:r>
      <w:r w:rsidR="00E00405" w:rsidRPr="00580F2E">
        <w:rPr>
          <w:rFonts w:ascii="Times New Roman" w:hAnsi="Times New Roman" w:cs="Times New Roman"/>
          <w:sz w:val="24"/>
          <w:szCs w:val="24"/>
          <w:lang w:val="es-ES"/>
        </w:rPr>
        <w:t xml:space="preserve"> servicios sociales del Estado (se a</w:t>
      </w:r>
      <w:r w:rsidR="0081355E" w:rsidRPr="00580F2E">
        <w:rPr>
          <w:rFonts w:ascii="Times New Roman" w:hAnsi="Times New Roman" w:cs="Times New Roman"/>
          <w:sz w:val="24"/>
          <w:szCs w:val="24"/>
          <w:lang w:val="es-ES"/>
        </w:rPr>
        <w:t xml:space="preserve">nalizará en detalle en </w:t>
      </w:r>
      <w:r w:rsidR="00DC6A24" w:rsidRPr="00580F2E">
        <w:rPr>
          <w:rFonts w:ascii="Times New Roman" w:hAnsi="Times New Roman" w:cs="Times New Roman"/>
          <w:sz w:val="24"/>
          <w:szCs w:val="24"/>
          <w:lang w:val="es-ES"/>
        </w:rPr>
        <w:t xml:space="preserve">la </w:t>
      </w:r>
      <w:r w:rsidR="0081355E" w:rsidRPr="00580F2E">
        <w:rPr>
          <w:rFonts w:ascii="Times New Roman" w:hAnsi="Times New Roman" w:cs="Times New Roman"/>
          <w:sz w:val="24"/>
          <w:szCs w:val="24"/>
          <w:lang w:val="es-ES"/>
        </w:rPr>
        <w:t>sección 4.3</w:t>
      </w:r>
      <w:r w:rsidR="00DC6A24" w:rsidRPr="00580F2E">
        <w:rPr>
          <w:rFonts w:ascii="Times New Roman" w:hAnsi="Times New Roman" w:cs="Times New Roman"/>
          <w:sz w:val="24"/>
          <w:szCs w:val="24"/>
          <w:lang w:val="es-ES"/>
        </w:rPr>
        <w:t xml:space="preserve"> los criterios para establecer estos puntajes de corte</w:t>
      </w:r>
      <w:r w:rsidR="00E00405" w:rsidRPr="00580F2E">
        <w:rPr>
          <w:rFonts w:ascii="Times New Roman" w:hAnsi="Times New Roman" w:cs="Times New Roman"/>
          <w:sz w:val="24"/>
          <w:szCs w:val="24"/>
          <w:lang w:val="es-ES"/>
        </w:rPr>
        <w:t xml:space="preserve">). </w:t>
      </w:r>
      <w:r w:rsidR="00E54DCA" w:rsidRPr="00580F2E">
        <w:rPr>
          <w:rFonts w:ascii="Times New Roman" w:hAnsi="Times New Roman" w:cs="Times New Roman"/>
          <w:sz w:val="24"/>
          <w:szCs w:val="24"/>
          <w:lang w:val="es-ES"/>
        </w:rPr>
        <w:t>En el caso de PEJ,</w:t>
      </w:r>
      <w:r w:rsidR="0081355E" w:rsidRPr="00580F2E">
        <w:rPr>
          <w:rFonts w:ascii="Times New Roman" w:hAnsi="Times New Roman" w:cs="Times New Roman"/>
          <w:sz w:val="24"/>
          <w:szCs w:val="24"/>
          <w:lang w:val="es-ES"/>
        </w:rPr>
        <w:t xml:space="preserve"> si bien son elegibles jóvenes entre 16 y 29 años,</w:t>
      </w:r>
      <w:r w:rsidR="00E54DCA" w:rsidRPr="00580F2E">
        <w:rPr>
          <w:rFonts w:ascii="Times New Roman" w:hAnsi="Times New Roman" w:cs="Times New Roman"/>
          <w:sz w:val="24"/>
          <w:szCs w:val="24"/>
          <w:lang w:val="es-ES"/>
        </w:rPr>
        <w:t xml:space="preserve"> se priorizan a </w:t>
      </w:r>
      <w:r w:rsidR="0081355E" w:rsidRPr="00580F2E">
        <w:rPr>
          <w:rFonts w:ascii="Times New Roman" w:hAnsi="Times New Roman" w:cs="Times New Roman"/>
          <w:sz w:val="24"/>
          <w:szCs w:val="24"/>
          <w:lang w:val="es-ES"/>
        </w:rPr>
        <w:t>individuos</w:t>
      </w:r>
      <w:r w:rsidR="00E54DCA" w:rsidRPr="00580F2E">
        <w:rPr>
          <w:rFonts w:ascii="Times New Roman" w:hAnsi="Times New Roman" w:cs="Times New Roman"/>
          <w:sz w:val="24"/>
          <w:szCs w:val="24"/>
          <w:lang w:val="es-ES"/>
        </w:rPr>
        <w:t xml:space="preserve"> entre 18 y 24 años bajo 11.734 puntos.</w:t>
      </w:r>
    </w:p>
    <w:p w:rsidR="002F4CEC" w:rsidRPr="00580F2E" w:rsidRDefault="002F4CEC"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programa lo ejecutan OTEC que pertenecen a una categoría especial denominada Registro Especial de OTEC. Para integrar este grupo las OTEC deben constituirse como organizaciones sin fines de lucro, conformadas por un Directorio y que tengan como giro único la capacitación a jóvenes de bajos recursos. </w:t>
      </w:r>
      <w:r w:rsidR="00E00405" w:rsidRPr="00580F2E">
        <w:rPr>
          <w:rFonts w:ascii="Times New Roman" w:hAnsi="Times New Roman" w:cs="Times New Roman"/>
          <w:sz w:val="24"/>
          <w:szCs w:val="24"/>
          <w:lang w:val="es-ES"/>
        </w:rPr>
        <w:t xml:space="preserve">Respecto de este </w:t>
      </w:r>
      <w:r w:rsidR="0081355E" w:rsidRPr="00580F2E">
        <w:rPr>
          <w:rFonts w:ascii="Times New Roman" w:hAnsi="Times New Roman" w:cs="Times New Roman"/>
          <w:sz w:val="24"/>
          <w:szCs w:val="24"/>
          <w:lang w:val="es-ES"/>
        </w:rPr>
        <w:t>requisito</w:t>
      </w:r>
      <w:r w:rsidR="00E00405" w:rsidRPr="00580F2E">
        <w:rPr>
          <w:rFonts w:ascii="Times New Roman" w:hAnsi="Times New Roman" w:cs="Times New Roman"/>
          <w:sz w:val="24"/>
          <w:szCs w:val="24"/>
          <w:lang w:val="es-ES"/>
        </w:rPr>
        <w:t xml:space="preserve">, se deben destacar tres </w:t>
      </w:r>
      <w:r w:rsidR="0081355E" w:rsidRPr="00580F2E">
        <w:rPr>
          <w:rFonts w:ascii="Times New Roman" w:hAnsi="Times New Roman" w:cs="Times New Roman"/>
          <w:sz w:val="24"/>
          <w:szCs w:val="24"/>
          <w:lang w:val="es-ES"/>
        </w:rPr>
        <w:t>aspectos</w:t>
      </w:r>
      <w:r w:rsidR="00E00405" w:rsidRPr="00580F2E">
        <w:rPr>
          <w:rFonts w:ascii="Times New Roman" w:hAnsi="Times New Roman" w:cs="Times New Roman"/>
          <w:sz w:val="24"/>
          <w:szCs w:val="24"/>
          <w:lang w:val="es-ES"/>
        </w:rPr>
        <w:t>. En primer lugar, n</w:t>
      </w:r>
      <w:r w:rsidRPr="00580F2E">
        <w:rPr>
          <w:rFonts w:ascii="Times New Roman" w:hAnsi="Times New Roman" w:cs="Times New Roman"/>
          <w:sz w:val="24"/>
          <w:szCs w:val="24"/>
          <w:lang w:val="es-ES"/>
        </w:rPr>
        <w:t xml:space="preserve">o ha habido en SENCE una revisión de dichas condiciones. </w:t>
      </w:r>
      <w:r w:rsidR="0081355E" w:rsidRPr="00580F2E">
        <w:rPr>
          <w:rFonts w:ascii="Times New Roman" w:hAnsi="Times New Roman" w:cs="Times New Roman"/>
          <w:sz w:val="24"/>
          <w:szCs w:val="24"/>
          <w:lang w:val="es-ES"/>
        </w:rPr>
        <w:t>S</w:t>
      </w:r>
      <w:r w:rsidR="00E00405" w:rsidRPr="00580F2E">
        <w:rPr>
          <w:rFonts w:ascii="Times New Roman" w:hAnsi="Times New Roman" w:cs="Times New Roman"/>
          <w:sz w:val="24"/>
          <w:szCs w:val="24"/>
          <w:lang w:val="es-ES"/>
        </w:rPr>
        <w:t>egundo, n</w:t>
      </w:r>
      <w:r w:rsidRPr="00580F2E">
        <w:rPr>
          <w:rFonts w:ascii="Times New Roman" w:hAnsi="Times New Roman" w:cs="Times New Roman"/>
          <w:sz w:val="24"/>
          <w:szCs w:val="24"/>
          <w:lang w:val="es-ES"/>
        </w:rPr>
        <w:t xml:space="preserve">o existen tampoco requisitos de permanencia o mecanismos que activen la salida </w:t>
      </w:r>
      <w:r w:rsidR="0081355E" w:rsidRPr="00580F2E">
        <w:rPr>
          <w:rFonts w:ascii="Times New Roman" w:hAnsi="Times New Roman" w:cs="Times New Roman"/>
          <w:sz w:val="24"/>
          <w:szCs w:val="24"/>
          <w:lang w:val="es-ES"/>
        </w:rPr>
        <w:t xml:space="preserve">de una OETC </w:t>
      </w:r>
      <w:r w:rsidRPr="00580F2E">
        <w:rPr>
          <w:rFonts w:ascii="Times New Roman" w:hAnsi="Times New Roman" w:cs="Times New Roman"/>
          <w:sz w:val="24"/>
          <w:szCs w:val="24"/>
          <w:lang w:val="es-ES"/>
        </w:rPr>
        <w:t>de este grupo</w:t>
      </w:r>
      <w:r w:rsidR="0081355E"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ya que no se han definido criterios objetivos para evaluar el desempeño individual de cada OTEC que pertenece a este registro. </w:t>
      </w:r>
      <w:r w:rsidR="00E00405" w:rsidRPr="00580F2E">
        <w:rPr>
          <w:rFonts w:ascii="Times New Roman" w:hAnsi="Times New Roman" w:cs="Times New Roman"/>
          <w:sz w:val="24"/>
          <w:szCs w:val="24"/>
          <w:lang w:val="es-ES"/>
        </w:rPr>
        <w:t>Finalmente, n</w:t>
      </w:r>
      <w:r w:rsidRPr="00580F2E">
        <w:rPr>
          <w:rFonts w:ascii="Times New Roman" w:hAnsi="Times New Roman" w:cs="Times New Roman"/>
          <w:sz w:val="24"/>
          <w:szCs w:val="24"/>
          <w:lang w:val="es-ES"/>
        </w:rPr>
        <w:t>o hay mecanismos que incentiven la entrada de otros actores al Registro en base a ind</w:t>
      </w:r>
      <w:r w:rsidR="00CF0B8F" w:rsidRPr="00580F2E">
        <w:rPr>
          <w:rFonts w:ascii="Times New Roman" w:hAnsi="Times New Roman" w:cs="Times New Roman"/>
          <w:sz w:val="24"/>
          <w:szCs w:val="24"/>
          <w:lang w:val="es-ES"/>
        </w:rPr>
        <w:t>icadores de calidad, como puede producirse a través de</w:t>
      </w:r>
      <w:r w:rsidRPr="00580F2E">
        <w:rPr>
          <w:rFonts w:ascii="Times New Roman" w:hAnsi="Times New Roman" w:cs="Times New Roman"/>
          <w:sz w:val="24"/>
          <w:szCs w:val="24"/>
          <w:lang w:val="es-ES"/>
        </w:rPr>
        <w:t xml:space="preserve"> procesos de licitación. Con todo, la permanencia de las OTEC en dicho grupo </w:t>
      </w:r>
      <w:r w:rsidR="00E54DCA" w:rsidRPr="00580F2E">
        <w:rPr>
          <w:rFonts w:ascii="Times New Roman" w:hAnsi="Times New Roman" w:cs="Times New Roman"/>
          <w:sz w:val="24"/>
          <w:szCs w:val="24"/>
          <w:lang w:val="es-ES"/>
        </w:rPr>
        <w:t xml:space="preserve">no se explica por indicadores claros de </w:t>
      </w:r>
      <w:r w:rsidR="00245AD0" w:rsidRPr="00580F2E">
        <w:rPr>
          <w:rFonts w:ascii="Times New Roman" w:hAnsi="Times New Roman" w:cs="Times New Roman"/>
          <w:sz w:val="24"/>
          <w:szCs w:val="24"/>
          <w:lang w:val="es-ES"/>
        </w:rPr>
        <w:t>eficiencia o impacto sobre capacitados</w:t>
      </w:r>
      <w:r w:rsidR="00E54DCA" w:rsidRPr="00580F2E">
        <w:rPr>
          <w:rFonts w:ascii="Times New Roman" w:hAnsi="Times New Roman" w:cs="Times New Roman"/>
          <w:sz w:val="24"/>
          <w:szCs w:val="24"/>
          <w:lang w:val="es-ES"/>
        </w:rPr>
        <w:t>.</w:t>
      </w:r>
    </w:p>
    <w:p w:rsidR="00E54DCA" w:rsidRPr="00580F2E" w:rsidRDefault="00E54DCA"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Adicional al punto de corte para la selección de beneficiarios, a las OTEC pertenecientes al Registro se les permite seleccionar a sus beneficiarios. La evidencia con que cuenta el equipo BID al respecto</w:t>
      </w:r>
      <w:r w:rsidR="00CF0B8F" w:rsidRPr="00580F2E">
        <w:rPr>
          <w:rStyle w:val="FootnoteReference"/>
          <w:rFonts w:ascii="Times New Roman" w:hAnsi="Times New Roman" w:cs="Times New Roman"/>
          <w:sz w:val="24"/>
          <w:szCs w:val="24"/>
          <w:lang w:val="es-ES"/>
        </w:rPr>
        <w:footnoteReference w:id="17"/>
      </w:r>
      <w:r w:rsidRPr="00580F2E">
        <w:rPr>
          <w:rFonts w:ascii="Times New Roman" w:hAnsi="Times New Roman" w:cs="Times New Roman"/>
          <w:sz w:val="24"/>
          <w:szCs w:val="24"/>
          <w:lang w:val="es-ES"/>
        </w:rPr>
        <w:t xml:space="preserve"> da cuenta de que </w:t>
      </w:r>
      <w:r w:rsidR="00CF0B8F" w:rsidRPr="00580F2E">
        <w:rPr>
          <w:rFonts w:ascii="Times New Roman" w:hAnsi="Times New Roman" w:cs="Times New Roman"/>
          <w:sz w:val="24"/>
          <w:szCs w:val="24"/>
          <w:lang w:val="es-ES"/>
        </w:rPr>
        <w:t xml:space="preserve">las </w:t>
      </w:r>
      <w:r w:rsidRPr="00580F2E">
        <w:rPr>
          <w:rFonts w:ascii="Times New Roman" w:hAnsi="Times New Roman" w:cs="Times New Roman"/>
          <w:sz w:val="24"/>
          <w:szCs w:val="24"/>
          <w:lang w:val="es-ES"/>
        </w:rPr>
        <w:t xml:space="preserve">OTEC priorizan a individuos con bajos recursos, pero con alto grado de </w:t>
      </w:r>
      <w:r w:rsidR="005B5DD5" w:rsidRPr="00580F2E">
        <w:rPr>
          <w:rFonts w:ascii="Times New Roman" w:hAnsi="Times New Roman" w:cs="Times New Roman"/>
          <w:sz w:val="24"/>
          <w:szCs w:val="24"/>
          <w:lang w:val="es-ES"/>
        </w:rPr>
        <w:t>motivación</w:t>
      </w:r>
      <w:r w:rsidRPr="00580F2E">
        <w:rPr>
          <w:rFonts w:ascii="Times New Roman" w:hAnsi="Times New Roman" w:cs="Times New Roman"/>
          <w:sz w:val="24"/>
          <w:szCs w:val="24"/>
          <w:lang w:val="es-ES"/>
        </w:rPr>
        <w:t>.</w:t>
      </w:r>
      <w:r w:rsidR="005B5DD5" w:rsidRPr="00580F2E">
        <w:rPr>
          <w:rStyle w:val="FootnoteReference"/>
          <w:rFonts w:ascii="Times New Roman" w:hAnsi="Times New Roman" w:cs="Times New Roman"/>
          <w:sz w:val="24"/>
          <w:szCs w:val="24"/>
          <w:lang w:val="es-ES"/>
        </w:rPr>
        <w:footnoteReference w:id="18"/>
      </w:r>
      <w:r w:rsidR="005B5DD5" w:rsidRPr="00580F2E">
        <w:rPr>
          <w:rFonts w:ascii="Times New Roman" w:hAnsi="Times New Roman" w:cs="Times New Roman"/>
          <w:sz w:val="24"/>
          <w:szCs w:val="24"/>
          <w:lang w:val="es-ES"/>
        </w:rPr>
        <w:t xml:space="preserve"> </w:t>
      </w:r>
      <w:r w:rsidR="00E00405" w:rsidRPr="00580F2E">
        <w:rPr>
          <w:rFonts w:ascii="Times New Roman" w:hAnsi="Times New Roman" w:cs="Times New Roman"/>
          <w:sz w:val="24"/>
          <w:szCs w:val="24"/>
          <w:lang w:val="es-ES"/>
        </w:rPr>
        <w:t>Para ello, c</w:t>
      </w:r>
      <w:r w:rsidR="005B5DD5" w:rsidRPr="00580F2E">
        <w:rPr>
          <w:rFonts w:ascii="Times New Roman" w:hAnsi="Times New Roman" w:cs="Times New Roman"/>
          <w:sz w:val="24"/>
          <w:szCs w:val="24"/>
          <w:lang w:val="es-ES"/>
        </w:rPr>
        <w:t>uentan con distintos instrumentos además para medir habilidades cognitiva</w:t>
      </w:r>
      <w:r w:rsidR="00CF0B8F" w:rsidRPr="00580F2E">
        <w:rPr>
          <w:rFonts w:ascii="Times New Roman" w:hAnsi="Times New Roman" w:cs="Times New Roman"/>
          <w:sz w:val="24"/>
          <w:szCs w:val="24"/>
          <w:lang w:val="es-ES"/>
        </w:rPr>
        <w:t>s y no cognitivas</w:t>
      </w:r>
      <w:r w:rsidR="005B5DD5" w:rsidRPr="00580F2E">
        <w:rPr>
          <w:rFonts w:ascii="Times New Roman" w:hAnsi="Times New Roman" w:cs="Times New Roman"/>
          <w:sz w:val="24"/>
          <w:szCs w:val="24"/>
          <w:lang w:val="es-ES"/>
        </w:rPr>
        <w:t xml:space="preserve">. La falta de incidencia de SENCE al respecto implica que, </w:t>
      </w:r>
      <w:r w:rsidR="00580F2E" w:rsidRPr="00580F2E">
        <w:rPr>
          <w:rFonts w:ascii="Times New Roman" w:hAnsi="Times New Roman" w:cs="Times New Roman"/>
          <w:sz w:val="24"/>
          <w:szCs w:val="24"/>
          <w:lang w:val="es-ES"/>
        </w:rPr>
        <w:t>aun</w:t>
      </w:r>
      <w:r w:rsidR="005B5DD5" w:rsidRPr="00580F2E">
        <w:rPr>
          <w:rFonts w:ascii="Times New Roman" w:hAnsi="Times New Roman" w:cs="Times New Roman"/>
          <w:sz w:val="24"/>
          <w:szCs w:val="24"/>
          <w:lang w:val="es-ES"/>
        </w:rPr>
        <w:t xml:space="preserve"> cuando no esté escrito, exista el incentivo para que cada OTEC elija a individuos con alto potencial de éxito.</w:t>
      </w:r>
    </w:p>
    <w:p w:rsidR="005B5DD5" w:rsidRPr="00580F2E" w:rsidRDefault="002918A7"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Análisis preliminar</w:t>
      </w:r>
      <w:r w:rsidR="00CF0B8F" w:rsidRPr="00580F2E">
        <w:rPr>
          <w:rFonts w:ascii="Times New Roman" w:hAnsi="Times New Roman" w:cs="Times New Roman"/>
          <w:sz w:val="24"/>
          <w:szCs w:val="24"/>
          <w:lang w:val="es-ES"/>
        </w:rPr>
        <w:t>es realizado</w:t>
      </w:r>
      <w:r w:rsidRPr="00580F2E">
        <w:rPr>
          <w:rFonts w:ascii="Times New Roman" w:hAnsi="Times New Roman" w:cs="Times New Roman"/>
          <w:sz w:val="24"/>
          <w:szCs w:val="24"/>
          <w:lang w:val="es-ES"/>
        </w:rPr>
        <w:t xml:space="preserve">s por el MINTRAB sobre el programa PEJ han mostrado que </w:t>
      </w:r>
      <w:r w:rsidR="00CF0B8F" w:rsidRPr="00580F2E">
        <w:rPr>
          <w:rFonts w:ascii="Times New Roman" w:hAnsi="Times New Roman" w:cs="Times New Roman"/>
          <w:sz w:val="24"/>
          <w:szCs w:val="24"/>
          <w:lang w:val="es-ES"/>
        </w:rPr>
        <w:t xml:space="preserve">sus </w:t>
      </w:r>
      <w:r w:rsidRPr="00580F2E">
        <w:rPr>
          <w:rFonts w:ascii="Times New Roman" w:hAnsi="Times New Roman" w:cs="Times New Roman"/>
          <w:sz w:val="24"/>
          <w:szCs w:val="24"/>
          <w:lang w:val="es-ES"/>
        </w:rPr>
        <w:t xml:space="preserve">beneficiarios </w:t>
      </w:r>
      <w:r w:rsidR="00CF0B8F" w:rsidRPr="00580F2E">
        <w:rPr>
          <w:rFonts w:ascii="Times New Roman" w:hAnsi="Times New Roman" w:cs="Times New Roman"/>
          <w:sz w:val="24"/>
          <w:szCs w:val="24"/>
          <w:lang w:val="es-ES"/>
        </w:rPr>
        <w:t>ob</w:t>
      </w:r>
      <w:r w:rsidRPr="00580F2E">
        <w:rPr>
          <w:rFonts w:ascii="Times New Roman" w:hAnsi="Times New Roman" w:cs="Times New Roman"/>
          <w:sz w:val="24"/>
          <w:szCs w:val="24"/>
          <w:lang w:val="es-ES"/>
        </w:rPr>
        <w:t xml:space="preserve">tienen efectos positivos en términos de salario y empleo. </w:t>
      </w:r>
      <w:r w:rsidR="002F4CEC" w:rsidRPr="00580F2E">
        <w:rPr>
          <w:rFonts w:ascii="Times New Roman" w:hAnsi="Times New Roman" w:cs="Times New Roman"/>
          <w:sz w:val="24"/>
          <w:szCs w:val="24"/>
          <w:lang w:val="es-ES"/>
        </w:rPr>
        <w:t xml:space="preserve">Este análisis se ha construido con registros administrativos sobre evidencia no </w:t>
      </w:r>
      <w:r w:rsidR="002F4CEC" w:rsidRPr="00580F2E">
        <w:rPr>
          <w:rFonts w:ascii="Times New Roman" w:hAnsi="Times New Roman" w:cs="Times New Roman"/>
          <w:sz w:val="24"/>
          <w:szCs w:val="24"/>
          <w:lang w:val="es-ES"/>
        </w:rPr>
        <w:lastRenderedPageBreak/>
        <w:t xml:space="preserve">experimental. </w:t>
      </w:r>
      <w:r w:rsidR="00E00405" w:rsidRPr="00580F2E">
        <w:rPr>
          <w:rFonts w:ascii="Times New Roman" w:hAnsi="Times New Roman" w:cs="Times New Roman"/>
          <w:sz w:val="24"/>
          <w:szCs w:val="24"/>
          <w:lang w:val="es-ES"/>
        </w:rPr>
        <w:t xml:space="preserve">En particular, se ha comprobado que </w:t>
      </w:r>
      <w:r w:rsidR="00DF36EB" w:rsidRPr="00580F2E">
        <w:rPr>
          <w:rFonts w:ascii="Times New Roman" w:hAnsi="Times New Roman" w:cs="Times New Roman"/>
          <w:sz w:val="24"/>
          <w:szCs w:val="24"/>
          <w:lang w:val="es-ES"/>
        </w:rPr>
        <w:t xml:space="preserve">el </w:t>
      </w:r>
      <w:r w:rsidR="00E00405" w:rsidRPr="00580F2E">
        <w:rPr>
          <w:rFonts w:ascii="Times New Roman" w:hAnsi="Times New Roman" w:cs="Times New Roman"/>
          <w:sz w:val="24"/>
          <w:szCs w:val="24"/>
          <w:lang w:val="es-ES"/>
        </w:rPr>
        <w:t xml:space="preserve">programa </w:t>
      </w:r>
      <w:r w:rsidR="00DF36EB" w:rsidRPr="00580F2E">
        <w:rPr>
          <w:rFonts w:ascii="Times New Roman" w:hAnsi="Times New Roman" w:cs="Times New Roman"/>
          <w:sz w:val="24"/>
          <w:szCs w:val="24"/>
          <w:lang w:val="es-ES"/>
        </w:rPr>
        <w:t>genera</w:t>
      </w:r>
      <w:r w:rsidR="00E00405" w:rsidRPr="00580F2E">
        <w:rPr>
          <w:rFonts w:ascii="Times New Roman" w:hAnsi="Times New Roman" w:cs="Times New Roman"/>
          <w:sz w:val="24"/>
          <w:szCs w:val="24"/>
          <w:lang w:val="es-ES"/>
        </w:rPr>
        <w:t xml:space="preserve"> un</w:t>
      </w:r>
      <w:r w:rsidR="00DF36EB" w:rsidRPr="00580F2E">
        <w:rPr>
          <w:rFonts w:ascii="Times New Roman" w:hAnsi="Times New Roman" w:cs="Times New Roman"/>
          <w:sz w:val="24"/>
          <w:szCs w:val="24"/>
          <w:lang w:val="es-ES"/>
        </w:rPr>
        <w:t xml:space="preserve"> incremento entre US$46 a US$50 en las remuneraciones mensuales de los participantes.</w:t>
      </w:r>
    </w:p>
    <w:p w:rsidR="00E00405" w:rsidRPr="00580F2E" w:rsidRDefault="003A0240"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Considerando l</w:t>
      </w:r>
      <w:r w:rsidR="005B5DD5" w:rsidRPr="00580F2E">
        <w:rPr>
          <w:rFonts w:ascii="Times New Roman" w:hAnsi="Times New Roman" w:cs="Times New Roman"/>
          <w:sz w:val="24"/>
          <w:szCs w:val="24"/>
          <w:lang w:val="es-ES"/>
        </w:rPr>
        <w:t xml:space="preserve">os positivos resultados que MINTRAB percibe de este programa –y el análisis sobre FT que dan cuenta de su bajo impacto– </w:t>
      </w:r>
      <w:r w:rsidR="00874CD3" w:rsidRPr="00580F2E">
        <w:rPr>
          <w:rFonts w:ascii="Times New Roman" w:hAnsi="Times New Roman" w:cs="Times New Roman"/>
          <w:sz w:val="24"/>
          <w:szCs w:val="24"/>
          <w:lang w:val="es-ES"/>
        </w:rPr>
        <w:t xml:space="preserve">la administración actual </w:t>
      </w:r>
      <w:r w:rsidRPr="00580F2E">
        <w:rPr>
          <w:rFonts w:ascii="Times New Roman" w:hAnsi="Times New Roman" w:cs="Times New Roman"/>
          <w:sz w:val="24"/>
          <w:szCs w:val="24"/>
          <w:lang w:val="es-ES"/>
        </w:rPr>
        <w:t>h</w:t>
      </w:r>
      <w:r w:rsidR="005B5DD5" w:rsidRPr="00580F2E">
        <w:rPr>
          <w:rFonts w:ascii="Times New Roman" w:hAnsi="Times New Roman" w:cs="Times New Roman"/>
          <w:sz w:val="24"/>
          <w:szCs w:val="24"/>
          <w:lang w:val="es-ES"/>
        </w:rPr>
        <w:t>a decidido escalar este programa</w:t>
      </w:r>
      <w:r w:rsidR="00874CD3" w:rsidRPr="00580F2E">
        <w:rPr>
          <w:rFonts w:ascii="Times New Roman" w:hAnsi="Times New Roman" w:cs="Times New Roman"/>
          <w:sz w:val="24"/>
          <w:szCs w:val="24"/>
          <w:lang w:val="es-ES"/>
        </w:rPr>
        <w:t>, aumentando la cobertura a jóvenes de escasos recursos e incluso a adultos sobre 25 años.</w:t>
      </w:r>
      <w:r w:rsidR="00245AD0" w:rsidRPr="00580F2E">
        <w:rPr>
          <w:rFonts w:ascii="Times New Roman" w:hAnsi="Times New Roman" w:cs="Times New Roman"/>
          <w:sz w:val="24"/>
          <w:szCs w:val="24"/>
          <w:lang w:val="es-ES"/>
        </w:rPr>
        <w:t xml:space="preserve"> Actualmente, se estiman en 6 mil beneficiarios promedio por año. Se desea escalar este programa a 20 mil beneficiarios para el 2012, para luego en años posteriores alcanzar a 50 mil beneficiarios.</w:t>
      </w:r>
      <w:r w:rsidR="005B5DD5" w:rsidRPr="00580F2E">
        <w:rPr>
          <w:rFonts w:ascii="Times New Roman" w:hAnsi="Times New Roman" w:cs="Times New Roman"/>
          <w:sz w:val="24"/>
          <w:szCs w:val="24"/>
          <w:lang w:val="es-ES"/>
        </w:rPr>
        <w:t xml:space="preserve"> </w:t>
      </w:r>
    </w:p>
    <w:p w:rsidR="002F4CEC" w:rsidRPr="00580F2E" w:rsidRDefault="00E00405"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Considerando el hecho de que el programa, tal como funciona en la actualidad, apunta a un grupo muy especial de jóvenes –probablemente con un alto grado de habilidades </w:t>
      </w:r>
      <w:r w:rsidR="00DF36EB" w:rsidRPr="00580F2E">
        <w:rPr>
          <w:rFonts w:ascii="Times New Roman" w:hAnsi="Times New Roman" w:cs="Times New Roman"/>
          <w:sz w:val="24"/>
          <w:szCs w:val="24"/>
          <w:lang w:val="es-ES"/>
        </w:rPr>
        <w:t xml:space="preserve">cognitivas y </w:t>
      </w:r>
      <w:r w:rsidRPr="00580F2E">
        <w:rPr>
          <w:rFonts w:ascii="Times New Roman" w:hAnsi="Times New Roman" w:cs="Times New Roman"/>
          <w:sz w:val="24"/>
          <w:szCs w:val="24"/>
          <w:lang w:val="es-ES"/>
        </w:rPr>
        <w:t xml:space="preserve">no cognitivas </w:t>
      </w:r>
      <w:r w:rsidR="00DF36EB" w:rsidRPr="00580F2E">
        <w:rPr>
          <w:rFonts w:ascii="Times New Roman" w:hAnsi="Times New Roman" w:cs="Times New Roman"/>
          <w:sz w:val="24"/>
          <w:szCs w:val="24"/>
          <w:lang w:val="es-ES"/>
        </w:rPr>
        <w:t xml:space="preserve">dentro del segmento definido por los criterios de focalización– </w:t>
      </w:r>
      <w:r w:rsidRPr="00580F2E">
        <w:rPr>
          <w:rFonts w:ascii="Times New Roman" w:hAnsi="Times New Roman" w:cs="Times New Roman"/>
          <w:sz w:val="24"/>
          <w:szCs w:val="24"/>
          <w:lang w:val="es-ES"/>
        </w:rPr>
        <w:t xml:space="preserve">y las bajas exigencias a las OTEC que proveen de estos servicios, </w:t>
      </w:r>
      <w:r w:rsidR="005B5DD5" w:rsidRPr="00580F2E">
        <w:rPr>
          <w:rFonts w:ascii="Times New Roman" w:hAnsi="Times New Roman" w:cs="Times New Roman"/>
          <w:sz w:val="24"/>
          <w:szCs w:val="24"/>
          <w:lang w:val="es-ES"/>
        </w:rPr>
        <w:t xml:space="preserve">no hay garantías </w:t>
      </w:r>
      <w:r w:rsidRPr="00580F2E">
        <w:rPr>
          <w:rFonts w:ascii="Times New Roman" w:hAnsi="Times New Roman" w:cs="Times New Roman"/>
          <w:sz w:val="24"/>
          <w:szCs w:val="24"/>
          <w:lang w:val="es-ES"/>
        </w:rPr>
        <w:t xml:space="preserve">verificables de </w:t>
      </w:r>
      <w:r w:rsidR="005B5DD5" w:rsidRPr="00580F2E">
        <w:rPr>
          <w:rFonts w:ascii="Times New Roman" w:hAnsi="Times New Roman" w:cs="Times New Roman"/>
          <w:sz w:val="24"/>
          <w:szCs w:val="24"/>
          <w:lang w:val="es-ES"/>
        </w:rPr>
        <w:t xml:space="preserve">que el impacto del programa escalado </w:t>
      </w:r>
      <w:r w:rsidRPr="00580F2E">
        <w:rPr>
          <w:rFonts w:ascii="Times New Roman" w:hAnsi="Times New Roman" w:cs="Times New Roman"/>
          <w:sz w:val="24"/>
          <w:szCs w:val="24"/>
          <w:lang w:val="es-ES"/>
        </w:rPr>
        <w:t xml:space="preserve">a 50 mil beneficiarios </w:t>
      </w:r>
      <w:r w:rsidR="005B5DD5" w:rsidRPr="00580F2E">
        <w:rPr>
          <w:rFonts w:ascii="Times New Roman" w:hAnsi="Times New Roman" w:cs="Times New Roman"/>
          <w:sz w:val="24"/>
          <w:szCs w:val="24"/>
          <w:lang w:val="es-ES"/>
        </w:rPr>
        <w:t>sea positivo</w:t>
      </w:r>
      <w:r w:rsidRPr="00580F2E">
        <w:rPr>
          <w:rFonts w:ascii="Times New Roman" w:hAnsi="Times New Roman" w:cs="Times New Roman"/>
          <w:sz w:val="24"/>
          <w:szCs w:val="24"/>
          <w:lang w:val="es-ES"/>
        </w:rPr>
        <w:t xml:space="preserve">. </w:t>
      </w:r>
    </w:p>
    <w:p w:rsidR="002918A7" w:rsidRPr="00580F2E" w:rsidRDefault="002918A7" w:rsidP="007E075D">
      <w:pPr>
        <w:pStyle w:val="ListParagraph"/>
        <w:spacing w:after="0" w:line="360" w:lineRule="auto"/>
        <w:ind w:left="1224" w:firstLine="709"/>
        <w:rPr>
          <w:rFonts w:ascii="Times New Roman" w:hAnsi="Times New Roman" w:cs="Times New Roman"/>
          <w:lang w:val="es-ES"/>
        </w:rPr>
      </w:pPr>
    </w:p>
    <w:p w:rsidR="002918A7" w:rsidRPr="00580F2E" w:rsidRDefault="002918A7" w:rsidP="007E075D">
      <w:pPr>
        <w:pStyle w:val="ListParagraph"/>
        <w:numPr>
          <w:ilvl w:val="2"/>
          <w:numId w:val="7"/>
        </w:numPr>
        <w:spacing w:after="0" w:line="360" w:lineRule="auto"/>
        <w:ind w:firstLine="709"/>
        <w:rPr>
          <w:rFonts w:ascii="Times New Roman" w:hAnsi="Times New Roman" w:cs="Times New Roman"/>
          <w:i/>
          <w:sz w:val="24"/>
          <w:szCs w:val="24"/>
          <w:lang w:val="es-ES"/>
        </w:rPr>
      </w:pPr>
      <w:r w:rsidRPr="00580F2E">
        <w:rPr>
          <w:rFonts w:ascii="Times New Roman" w:hAnsi="Times New Roman" w:cs="Times New Roman"/>
          <w:i/>
          <w:sz w:val="24"/>
          <w:szCs w:val="24"/>
          <w:lang w:val="es-ES"/>
        </w:rPr>
        <w:t>Aprendices</w:t>
      </w:r>
    </w:p>
    <w:p w:rsidR="007E075D" w:rsidRPr="00580F2E" w:rsidRDefault="007E075D" w:rsidP="007E075D">
      <w:pPr>
        <w:spacing w:after="0" w:line="360" w:lineRule="auto"/>
        <w:ind w:firstLine="709"/>
        <w:jc w:val="both"/>
        <w:rPr>
          <w:rFonts w:ascii="Times New Roman" w:hAnsi="Times New Roman" w:cs="Times New Roman"/>
          <w:sz w:val="24"/>
          <w:szCs w:val="24"/>
          <w:lang w:val="es-ES"/>
        </w:rPr>
      </w:pPr>
    </w:p>
    <w:p w:rsidR="00FE760C" w:rsidRPr="00580F2E" w:rsidRDefault="00874CD3"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En Chile, el programa Aprendices se focaliza en jóvenes entre 15 y 24 años. Consiste en un componente de enseñanza relacionada </w:t>
      </w:r>
      <w:r w:rsidR="00FE760C"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financi</w:t>
      </w:r>
      <w:r w:rsidR="00FE760C" w:rsidRPr="00580F2E">
        <w:rPr>
          <w:rFonts w:ascii="Times New Roman" w:hAnsi="Times New Roman" w:cs="Times New Roman"/>
          <w:sz w:val="24"/>
          <w:szCs w:val="24"/>
          <w:lang w:val="es-ES"/>
        </w:rPr>
        <w:t>ada por un bono de capacitación– y capacitación en la empresa.</w:t>
      </w:r>
      <w:r w:rsidR="00DD1EBC" w:rsidRPr="00580F2E">
        <w:rPr>
          <w:rFonts w:ascii="Times New Roman" w:hAnsi="Times New Roman" w:cs="Times New Roman"/>
          <w:sz w:val="24"/>
          <w:szCs w:val="24"/>
          <w:lang w:val="es-ES"/>
        </w:rPr>
        <w:t xml:space="preserve"> La permanencia del trabajador como Aprendiz se establece formalmente como un tipo de contrato de trabajo (establecido en el Código del Trabajo), en donde se detalla la duración máxima de dicha condición (actualmente en </w:t>
      </w:r>
      <w:r w:rsidR="00E00405" w:rsidRPr="00580F2E">
        <w:rPr>
          <w:rFonts w:ascii="Times New Roman" w:hAnsi="Times New Roman" w:cs="Times New Roman"/>
          <w:sz w:val="24"/>
          <w:szCs w:val="24"/>
          <w:lang w:val="es-ES"/>
        </w:rPr>
        <w:t>12 meses</w:t>
      </w:r>
      <w:r w:rsidR="00DD1EBC" w:rsidRPr="00580F2E">
        <w:rPr>
          <w:rFonts w:ascii="Times New Roman" w:hAnsi="Times New Roman" w:cs="Times New Roman"/>
          <w:sz w:val="24"/>
          <w:szCs w:val="24"/>
          <w:lang w:val="es-ES"/>
        </w:rPr>
        <w:t>).</w:t>
      </w:r>
    </w:p>
    <w:p w:rsidR="00E00405" w:rsidRPr="00580F2E" w:rsidRDefault="00FE760C"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La empresa es la que postula a sus trabajadores para constituir un Aprendiz. En su postulación, se debe detallar el plan de capacitación, que incluye además la designación de un Maestro Aprendiz a cargo de la enseñanza del beneficiario. El joven recibe un sueldo equivalente a 50% del salario mínimo, lo cual se financia con recursos </w:t>
      </w:r>
      <w:r w:rsidR="00E00405" w:rsidRPr="00580F2E">
        <w:rPr>
          <w:rFonts w:ascii="Times New Roman" w:hAnsi="Times New Roman" w:cs="Times New Roman"/>
          <w:sz w:val="24"/>
          <w:szCs w:val="24"/>
          <w:lang w:val="es-ES"/>
        </w:rPr>
        <w:t>públicos</w:t>
      </w:r>
      <w:r w:rsidRPr="00580F2E">
        <w:rPr>
          <w:rFonts w:ascii="Times New Roman" w:hAnsi="Times New Roman" w:cs="Times New Roman"/>
          <w:sz w:val="24"/>
          <w:szCs w:val="24"/>
          <w:lang w:val="es-ES"/>
        </w:rPr>
        <w:t>.</w:t>
      </w:r>
      <w:r w:rsidR="00874CD3"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Los beneficiarios de este programa alcanza</w:t>
      </w:r>
      <w:r w:rsidR="00E00405" w:rsidRPr="00580F2E">
        <w:rPr>
          <w:rFonts w:ascii="Times New Roman" w:hAnsi="Times New Roman" w:cs="Times New Roman"/>
          <w:sz w:val="24"/>
          <w:szCs w:val="24"/>
          <w:lang w:val="es-ES"/>
        </w:rPr>
        <w:t>ron 2.273</w:t>
      </w:r>
      <w:r w:rsidRPr="00580F2E">
        <w:rPr>
          <w:rFonts w:ascii="Times New Roman" w:hAnsi="Times New Roman" w:cs="Times New Roman"/>
          <w:sz w:val="24"/>
          <w:szCs w:val="24"/>
          <w:lang w:val="es-ES"/>
        </w:rPr>
        <w:t xml:space="preserve"> </w:t>
      </w:r>
      <w:r w:rsidR="00E00405" w:rsidRPr="00580F2E">
        <w:rPr>
          <w:rFonts w:ascii="Times New Roman" w:hAnsi="Times New Roman" w:cs="Times New Roman"/>
          <w:sz w:val="24"/>
          <w:szCs w:val="24"/>
          <w:lang w:val="es-ES"/>
        </w:rPr>
        <w:t>en el año 2010</w:t>
      </w:r>
      <w:r w:rsidRPr="00580F2E">
        <w:rPr>
          <w:rFonts w:ascii="Times New Roman" w:hAnsi="Times New Roman" w:cs="Times New Roman"/>
          <w:sz w:val="24"/>
          <w:szCs w:val="24"/>
          <w:lang w:val="es-ES"/>
        </w:rPr>
        <w:t>.</w:t>
      </w:r>
      <w:r w:rsidR="00E00405" w:rsidRPr="00580F2E">
        <w:rPr>
          <w:rFonts w:ascii="Times New Roman" w:hAnsi="Times New Roman" w:cs="Times New Roman"/>
          <w:sz w:val="24"/>
          <w:szCs w:val="24"/>
          <w:lang w:val="es-ES"/>
        </w:rPr>
        <w:t xml:space="preserve"> </w:t>
      </w:r>
    </w:p>
    <w:p w:rsidR="00FE760C" w:rsidRPr="00580F2E" w:rsidRDefault="00245AD0"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Evidencia internacional sustenta la utilización del mecanismo de Aprendices para desarrollar competencia</w:t>
      </w:r>
      <w:r w:rsidR="006F1EBC" w:rsidRPr="00580F2E">
        <w:rPr>
          <w:rFonts w:ascii="Times New Roman" w:hAnsi="Times New Roman" w:cs="Times New Roman"/>
          <w:sz w:val="24"/>
          <w:szCs w:val="24"/>
          <w:lang w:val="es-ES"/>
        </w:rPr>
        <w:t>s</w:t>
      </w:r>
      <w:r w:rsidRPr="00580F2E">
        <w:rPr>
          <w:rFonts w:ascii="Times New Roman" w:hAnsi="Times New Roman" w:cs="Times New Roman"/>
          <w:sz w:val="24"/>
          <w:szCs w:val="24"/>
          <w:lang w:val="es-ES"/>
        </w:rPr>
        <w:t>. En efecto, l</w:t>
      </w:r>
      <w:r w:rsidR="00FE760C" w:rsidRPr="00580F2E">
        <w:rPr>
          <w:rFonts w:ascii="Times New Roman" w:hAnsi="Times New Roman" w:cs="Times New Roman"/>
          <w:sz w:val="24"/>
          <w:szCs w:val="24"/>
          <w:lang w:val="es-ES"/>
        </w:rPr>
        <w:t xml:space="preserve">os programas que consideran capacitación en empresas han tenido un mayor impacto que aquellos programas que consideran sólo </w:t>
      </w:r>
      <w:r w:rsidR="00FE760C" w:rsidRPr="00580F2E">
        <w:rPr>
          <w:rFonts w:ascii="Times New Roman" w:hAnsi="Times New Roman" w:cs="Times New Roman"/>
          <w:sz w:val="24"/>
          <w:szCs w:val="24"/>
          <w:lang w:val="es-ES"/>
        </w:rPr>
        <w:lastRenderedPageBreak/>
        <w:t>capacitación desde salas de clase (</w:t>
      </w:r>
      <w:r w:rsidR="007E075D" w:rsidRPr="00580F2E">
        <w:rPr>
          <w:rFonts w:ascii="Times New Roman" w:hAnsi="Times New Roman" w:cs="Times New Roman"/>
          <w:sz w:val="24"/>
          <w:szCs w:val="24"/>
          <w:lang w:val="es-ES"/>
        </w:rPr>
        <w:t xml:space="preserve">Attanasio, </w:t>
      </w:r>
      <w:r w:rsidR="00FE561F" w:rsidRPr="00580F2E">
        <w:rPr>
          <w:rFonts w:ascii="Times New Roman" w:hAnsi="Times New Roman" w:cs="Times New Roman"/>
          <w:sz w:val="24"/>
          <w:szCs w:val="24"/>
          <w:lang w:val="es-ES"/>
        </w:rPr>
        <w:t>Kugler y Meghir, 2008</w:t>
      </w:r>
      <w:r w:rsidR="00FE760C" w:rsidRPr="00580F2E">
        <w:rPr>
          <w:rFonts w:ascii="Times New Roman" w:hAnsi="Times New Roman" w:cs="Times New Roman"/>
          <w:sz w:val="24"/>
          <w:szCs w:val="24"/>
          <w:lang w:val="es-ES"/>
        </w:rPr>
        <w:t>). Naturalmente, la efectividad del programa dependerá de la capacidad de gestión del mismo</w:t>
      </w:r>
      <w:r w:rsidR="00DF36EB" w:rsidRPr="00580F2E">
        <w:rPr>
          <w:rFonts w:ascii="Times New Roman" w:hAnsi="Times New Roman" w:cs="Times New Roman"/>
          <w:sz w:val="24"/>
          <w:szCs w:val="24"/>
          <w:lang w:val="es-ES"/>
        </w:rPr>
        <w:t>. En el caso de Chile, es sabida</w:t>
      </w:r>
      <w:r w:rsidR="00FE760C" w:rsidRPr="00580F2E">
        <w:rPr>
          <w:rFonts w:ascii="Times New Roman" w:hAnsi="Times New Roman" w:cs="Times New Roman"/>
          <w:sz w:val="24"/>
          <w:szCs w:val="24"/>
          <w:lang w:val="es-ES"/>
        </w:rPr>
        <w:t xml:space="preserve"> la falta de recursos para fiscalizar adecuadamente el funcionamiento de los distintos programas de capacitación.</w:t>
      </w:r>
      <w:r w:rsidR="006F1EBC" w:rsidRPr="00580F2E">
        <w:rPr>
          <w:rFonts w:ascii="Times New Roman" w:hAnsi="Times New Roman" w:cs="Times New Roman"/>
          <w:sz w:val="24"/>
          <w:szCs w:val="24"/>
          <w:lang w:val="es-ES"/>
        </w:rPr>
        <w:t xml:space="preserve"> Por otro lado, el programa en Chile considera también un componente de capacitación en una OTEC.</w:t>
      </w:r>
      <w:r w:rsidR="00FE760C" w:rsidRPr="00580F2E">
        <w:rPr>
          <w:rFonts w:ascii="Times New Roman" w:hAnsi="Times New Roman" w:cs="Times New Roman"/>
          <w:sz w:val="24"/>
          <w:szCs w:val="24"/>
          <w:lang w:val="es-ES"/>
        </w:rPr>
        <w:t xml:space="preserve"> Lamentablemente, no hay evidencia respecto del impacto del programa Aprendices en Chile.</w:t>
      </w:r>
      <w:r w:rsidR="00DD1EBC" w:rsidRPr="00580F2E">
        <w:rPr>
          <w:rFonts w:ascii="Times New Roman" w:hAnsi="Times New Roman" w:cs="Times New Roman"/>
          <w:sz w:val="24"/>
          <w:szCs w:val="24"/>
          <w:lang w:val="es-ES"/>
        </w:rPr>
        <w:t xml:space="preserve"> Actualmente, </w:t>
      </w:r>
      <w:r w:rsidR="00FE561F" w:rsidRPr="00580F2E">
        <w:rPr>
          <w:rFonts w:ascii="Times New Roman" w:hAnsi="Times New Roman" w:cs="Times New Roman"/>
          <w:sz w:val="24"/>
          <w:szCs w:val="24"/>
          <w:lang w:val="es-ES"/>
        </w:rPr>
        <w:t>éste</w:t>
      </w:r>
      <w:r w:rsidR="00DD1EBC" w:rsidRPr="00580F2E">
        <w:rPr>
          <w:rFonts w:ascii="Times New Roman" w:hAnsi="Times New Roman" w:cs="Times New Roman"/>
          <w:sz w:val="24"/>
          <w:szCs w:val="24"/>
          <w:lang w:val="es-ES"/>
        </w:rPr>
        <w:t xml:space="preserve"> se amplió para considerar una línea de mujeres de 25 a 60 años y una línea de hombres entre 50 a 65 años. Tampoco hay evidencia que sustente dicha decisión.</w:t>
      </w:r>
      <w:r w:rsidR="00FE760C" w:rsidRPr="00580F2E">
        <w:rPr>
          <w:rFonts w:ascii="Times New Roman" w:hAnsi="Times New Roman" w:cs="Times New Roman"/>
          <w:sz w:val="24"/>
          <w:szCs w:val="24"/>
          <w:lang w:val="es-ES"/>
        </w:rPr>
        <w:t xml:space="preserve"> </w:t>
      </w:r>
    </w:p>
    <w:p w:rsidR="00874CD3" w:rsidRPr="00580F2E" w:rsidRDefault="00874CD3" w:rsidP="007E075D">
      <w:pPr>
        <w:pStyle w:val="ListParagraph"/>
        <w:spacing w:after="0" w:line="360" w:lineRule="auto"/>
        <w:ind w:left="1224" w:firstLine="709"/>
        <w:rPr>
          <w:rFonts w:ascii="Times New Roman" w:hAnsi="Times New Roman" w:cs="Times New Roman"/>
          <w:lang w:val="es-ES"/>
        </w:rPr>
      </w:pPr>
    </w:p>
    <w:p w:rsidR="002918A7" w:rsidRPr="00580F2E" w:rsidRDefault="002918A7" w:rsidP="007E075D">
      <w:pPr>
        <w:pStyle w:val="ListParagraph"/>
        <w:numPr>
          <w:ilvl w:val="2"/>
          <w:numId w:val="7"/>
        </w:numPr>
        <w:spacing w:after="0" w:line="360" w:lineRule="auto"/>
        <w:ind w:firstLine="709"/>
        <w:rPr>
          <w:rFonts w:ascii="Times New Roman" w:hAnsi="Times New Roman" w:cs="Times New Roman"/>
          <w:i/>
          <w:sz w:val="24"/>
          <w:szCs w:val="24"/>
          <w:lang w:val="es-ES"/>
        </w:rPr>
      </w:pPr>
      <w:r w:rsidRPr="00580F2E">
        <w:rPr>
          <w:rFonts w:ascii="Times New Roman" w:hAnsi="Times New Roman" w:cs="Times New Roman"/>
          <w:sz w:val="24"/>
          <w:szCs w:val="24"/>
          <w:lang w:val="es-ES"/>
        </w:rPr>
        <w:t xml:space="preserve"> </w:t>
      </w:r>
      <w:r w:rsidR="00DD1EBC" w:rsidRPr="00580F2E">
        <w:rPr>
          <w:rFonts w:ascii="Times New Roman" w:hAnsi="Times New Roman" w:cs="Times New Roman"/>
          <w:i/>
          <w:sz w:val="24"/>
          <w:szCs w:val="24"/>
          <w:lang w:val="es-ES"/>
        </w:rPr>
        <w:t>Bonos para Capacitación</w:t>
      </w:r>
    </w:p>
    <w:p w:rsidR="00CC2AE7" w:rsidRPr="00580F2E" w:rsidRDefault="00CC2AE7" w:rsidP="007E075D">
      <w:pPr>
        <w:pStyle w:val="ListParagraph"/>
        <w:spacing w:after="0" w:line="360" w:lineRule="auto"/>
        <w:ind w:left="1224" w:firstLine="709"/>
        <w:rPr>
          <w:rFonts w:ascii="Times New Roman" w:hAnsi="Times New Roman" w:cs="Times New Roman"/>
          <w:i/>
          <w:sz w:val="24"/>
          <w:szCs w:val="24"/>
          <w:lang w:val="es-ES"/>
        </w:rPr>
      </w:pPr>
    </w:p>
    <w:p w:rsidR="00CC2AE7" w:rsidRPr="00580F2E" w:rsidRDefault="002F16F1"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En el año 2011 se implementan los bonos de capacitación, que consisten en subsidios dirigidos directamente al beneficiario de la capacitación. Existen dos líneas; Bono para Trabajador Activo (BTA) y Bono de Empresa y Negocio (BEM).</w:t>
      </w:r>
    </w:p>
    <w:p w:rsidR="00CC2AE7" w:rsidRPr="00580F2E" w:rsidRDefault="002F16F1"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programa de BTA se focaliza en trabajadores </w:t>
      </w:r>
      <w:r w:rsidR="00DF36EB" w:rsidRPr="00580F2E">
        <w:rPr>
          <w:rFonts w:ascii="Times New Roman" w:hAnsi="Times New Roman" w:cs="Times New Roman"/>
          <w:sz w:val="24"/>
          <w:szCs w:val="24"/>
          <w:lang w:val="es-ES"/>
        </w:rPr>
        <w:t>con rentas no superiores a US$1.</w:t>
      </w:r>
      <w:r w:rsidRPr="00580F2E">
        <w:rPr>
          <w:rFonts w:ascii="Times New Roman" w:hAnsi="Times New Roman" w:cs="Times New Roman"/>
          <w:sz w:val="24"/>
          <w:szCs w:val="24"/>
          <w:lang w:val="es-ES"/>
        </w:rPr>
        <w:t>200</w:t>
      </w:r>
      <w:r w:rsidR="00DF36EB" w:rsidRPr="00580F2E">
        <w:rPr>
          <w:rFonts w:ascii="Times New Roman" w:hAnsi="Times New Roman" w:cs="Times New Roman"/>
          <w:sz w:val="24"/>
          <w:szCs w:val="24"/>
          <w:lang w:val="es-ES"/>
        </w:rPr>
        <w:t xml:space="preserve"> por mes,</w:t>
      </w:r>
      <w:r w:rsidRPr="00580F2E">
        <w:rPr>
          <w:rFonts w:ascii="Times New Roman" w:hAnsi="Times New Roman" w:cs="Times New Roman"/>
          <w:sz w:val="24"/>
          <w:szCs w:val="24"/>
          <w:lang w:val="es-ES"/>
        </w:rPr>
        <w:t xml:space="preserve"> un mínimo de un año de experiencia laboral </w:t>
      </w:r>
      <w:r w:rsidR="000F0B7A" w:rsidRPr="00580F2E">
        <w:rPr>
          <w:rFonts w:ascii="Times New Roman" w:hAnsi="Times New Roman" w:cs="Times New Roman"/>
          <w:sz w:val="24"/>
          <w:szCs w:val="24"/>
          <w:lang w:val="es-ES"/>
        </w:rPr>
        <w:t xml:space="preserve">y </w:t>
      </w:r>
      <w:r w:rsidRPr="00580F2E">
        <w:rPr>
          <w:rFonts w:ascii="Times New Roman" w:hAnsi="Times New Roman" w:cs="Times New Roman"/>
          <w:sz w:val="24"/>
          <w:szCs w:val="24"/>
          <w:lang w:val="es-ES"/>
        </w:rPr>
        <w:t xml:space="preserve">con al menos 6 cotizaciones al sistema de previsión en </w:t>
      </w:r>
      <w:r w:rsidR="00DF36EB" w:rsidRPr="00580F2E">
        <w:rPr>
          <w:rFonts w:ascii="Times New Roman" w:hAnsi="Times New Roman" w:cs="Times New Roman"/>
          <w:sz w:val="24"/>
          <w:szCs w:val="24"/>
          <w:lang w:val="es-ES"/>
        </w:rPr>
        <w:t xml:space="preserve">los últimos </w:t>
      </w:r>
      <w:r w:rsidRPr="00580F2E">
        <w:rPr>
          <w:rFonts w:ascii="Times New Roman" w:hAnsi="Times New Roman" w:cs="Times New Roman"/>
          <w:sz w:val="24"/>
          <w:szCs w:val="24"/>
          <w:lang w:val="es-ES"/>
        </w:rPr>
        <w:t>12 meses. En pro</w:t>
      </w:r>
      <w:r w:rsidR="00DF36EB" w:rsidRPr="00580F2E">
        <w:rPr>
          <w:rFonts w:ascii="Times New Roman" w:hAnsi="Times New Roman" w:cs="Times New Roman"/>
          <w:sz w:val="24"/>
          <w:szCs w:val="24"/>
          <w:lang w:val="es-ES"/>
        </w:rPr>
        <w:t>medio, este bono alcanza US$400. Adicional a ello, se considera</w:t>
      </w:r>
      <w:r w:rsidRPr="00580F2E">
        <w:rPr>
          <w:rFonts w:ascii="Times New Roman" w:hAnsi="Times New Roman" w:cs="Times New Roman"/>
          <w:sz w:val="24"/>
          <w:szCs w:val="24"/>
          <w:lang w:val="es-ES"/>
        </w:rPr>
        <w:t xml:space="preserve"> un copago </w:t>
      </w:r>
      <w:r w:rsidR="00DF36EB" w:rsidRPr="00580F2E">
        <w:rPr>
          <w:rFonts w:ascii="Times New Roman" w:hAnsi="Times New Roman" w:cs="Times New Roman"/>
          <w:sz w:val="24"/>
          <w:szCs w:val="24"/>
          <w:lang w:val="es-ES"/>
        </w:rPr>
        <w:t xml:space="preserve">por parte del beneficiario </w:t>
      </w:r>
      <w:r w:rsidRPr="00580F2E">
        <w:rPr>
          <w:rFonts w:ascii="Times New Roman" w:hAnsi="Times New Roman" w:cs="Times New Roman"/>
          <w:sz w:val="24"/>
          <w:szCs w:val="24"/>
          <w:lang w:val="es-ES"/>
        </w:rPr>
        <w:t>de alrededor de 20% del valor total del curso.</w:t>
      </w:r>
      <w:r w:rsidR="00245AD0" w:rsidRPr="00580F2E">
        <w:rPr>
          <w:rFonts w:ascii="Times New Roman" w:hAnsi="Times New Roman" w:cs="Times New Roman"/>
          <w:sz w:val="24"/>
          <w:szCs w:val="24"/>
          <w:lang w:val="es-ES"/>
        </w:rPr>
        <w:t xml:space="preserve"> </w:t>
      </w:r>
      <w:r w:rsidR="007D5252" w:rsidRPr="00580F2E">
        <w:rPr>
          <w:rFonts w:ascii="Times New Roman" w:hAnsi="Times New Roman" w:cs="Times New Roman"/>
          <w:sz w:val="24"/>
          <w:szCs w:val="24"/>
          <w:lang w:val="es-ES"/>
        </w:rPr>
        <w:t xml:space="preserve">Acorde con información de SENCE, a septiembre de 2011 se habían capacitado cerca de 55 mil trabajadores. </w:t>
      </w:r>
      <w:r w:rsidR="000F0B7A" w:rsidRPr="00580F2E">
        <w:rPr>
          <w:rFonts w:ascii="Times New Roman" w:hAnsi="Times New Roman" w:cs="Times New Roman"/>
          <w:sz w:val="24"/>
          <w:szCs w:val="24"/>
          <w:lang w:val="es-ES"/>
        </w:rPr>
        <w:t>No hay evidencia disponible como para aseverar si dichos trabajadores tuvieron resultados satisfactorios en términos de renta o empleabilidad.</w:t>
      </w:r>
    </w:p>
    <w:p w:rsidR="00CC2AE7" w:rsidRPr="00580F2E" w:rsidRDefault="000F0B7A"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El programa BEM tiene como objetivo “…mejorar la competitividad y productividad de micro y pequeñas empresas, a través de una capacitación focalizada”.</w:t>
      </w:r>
      <w:r w:rsidRPr="00580F2E">
        <w:rPr>
          <w:rStyle w:val="FootnoteReference"/>
          <w:rFonts w:ascii="Times New Roman" w:hAnsi="Times New Roman" w:cs="Times New Roman"/>
          <w:sz w:val="24"/>
          <w:szCs w:val="24"/>
          <w:lang w:val="es-ES"/>
        </w:rPr>
        <w:footnoteReference w:id="19"/>
      </w:r>
      <w:r w:rsidRPr="00580F2E">
        <w:rPr>
          <w:rFonts w:ascii="Times New Roman" w:hAnsi="Times New Roman" w:cs="Times New Roman"/>
          <w:sz w:val="24"/>
          <w:szCs w:val="24"/>
          <w:lang w:val="es-ES"/>
        </w:rPr>
        <w:t xml:space="preserve"> Está focalizado en empresas o trabajadores </w:t>
      </w:r>
      <w:r w:rsidR="00DF36EB" w:rsidRPr="00580F2E">
        <w:rPr>
          <w:rFonts w:ascii="Times New Roman" w:hAnsi="Times New Roman" w:cs="Times New Roman"/>
          <w:sz w:val="24"/>
          <w:szCs w:val="24"/>
          <w:lang w:val="es-ES"/>
        </w:rPr>
        <w:t>por</w:t>
      </w:r>
      <w:r w:rsidRPr="00580F2E">
        <w:rPr>
          <w:rFonts w:ascii="Times New Roman" w:hAnsi="Times New Roman" w:cs="Times New Roman"/>
          <w:sz w:val="24"/>
          <w:szCs w:val="24"/>
          <w:lang w:val="es-ES"/>
        </w:rPr>
        <w:t xml:space="preserve"> cuenta propia con ventas inferiores a un millón de dólares al año. A septiembre de 2011, se habían capacitado cerca de 23.000 micro y pequeños empresarios. Tampoco se han conducido estudios que prueben la efectividad del programa en términos del cumplimiento de su objetivo.</w:t>
      </w:r>
    </w:p>
    <w:p w:rsidR="00CC2AE7" w:rsidRPr="00580F2E" w:rsidRDefault="000F0B7A"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Para ambos programas, SENCE gestionó un proceso de licitación para que distintas OTEC puedan ser parte del registro que provea servicios para este programa. El objetivo es considerar a OTEC que sean de mejor calidad, acorde con distintos indicadores </w:t>
      </w:r>
      <w:r w:rsidR="006F1EBC" w:rsidRPr="00580F2E">
        <w:rPr>
          <w:rFonts w:ascii="Times New Roman" w:hAnsi="Times New Roman" w:cs="Times New Roman"/>
          <w:sz w:val="24"/>
          <w:szCs w:val="24"/>
          <w:lang w:val="es-ES"/>
        </w:rPr>
        <w:t>medibles</w:t>
      </w:r>
      <w:r w:rsidRPr="00580F2E">
        <w:rPr>
          <w:rFonts w:ascii="Times New Roman" w:hAnsi="Times New Roman" w:cs="Times New Roman"/>
          <w:sz w:val="24"/>
          <w:szCs w:val="24"/>
          <w:lang w:val="es-ES"/>
        </w:rPr>
        <w:t>.</w:t>
      </w:r>
      <w:r w:rsidR="006F1EBC" w:rsidRPr="00580F2E">
        <w:rPr>
          <w:rFonts w:ascii="Times New Roman" w:hAnsi="Times New Roman" w:cs="Times New Roman"/>
          <w:sz w:val="24"/>
          <w:szCs w:val="24"/>
          <w:lang w:val="es-ES"/>
        </w:rPr>
        <w:t xml:space="preserve"> Hasta el momento,</w:t>
      </w:r>
      <w:r w:rsidRPr="00580F2E">
        <w:rPr>
          <w:rFonts w:ascii="Times New Roman" w:hAnsi="Times New Roman" w:cs="Times New Roman"/>
          <w:sz w:val="24"/>
          <w:szCs w:val="24"/>
          <w:lang w:val="es-ES"/>
        </w:rPr>
        <w:t xml:space="preserve"> </w:t>
      </w:r>
      <w:r w:rsidR="006F1EBC" w:rsidRPr="00580F2E">
        <w:rPr>
          <w:rFonts w:ascii="Times New Roman" w:hAnsi="Times New Roman" w:cs="Times New Roman"/>
          <w:sz w:val="24"/>
          <w:szCs w:val="24"/>
          <w:lang w:val="es-ES"/>
        </w:rPr>
        <w:t>d</w:t>
      </w:r>
      <w:r w:rsidRPr="00580F2E">
        <w:rPr>
          <w:rFonts w:ascii="Times New Roman" w:hAnsi="Times New Roman" w:cs="Times New Roman"/>
          <w:sz w:val="24"/>
          <w:szCs w:val="24"/>
          <w:lang w:val="es-ES"/>
        </w:rPr>
        <w:t>ichos indicadores incluyen experiencia del relator</w:t>
      </w:r>
      <w:r w:rsidR="00DF36EB" w:rsidRPr="00580F2E">
        <w:rPr>
          <w:rFonts w:ascii="Times New Roman" w:hAnsi="Times New Roman" w:cs="Times New Roman"/>
          <w:sz w:val="24"/>
          <w:szCs w:val="24"/>
          <w:lang w:val="es-ES"/>
        </w:rPr>
        <w:t xml:space="preserve"> (profesor a cargo de las clases en los cursos de capacitación)</w:t>
      </w:r>
      <w:r w:rsidRPr="00580F2E">
        <w:rPr>
          <w:rFonts w:ascii="Times New Roman" w:hAnsi="Times New Roman" w:cs="Times New Roman"/>
          <w:sz w:val="24"/>
          <w:szCs w:val="24"/>
          <w:lang w:val="es-ES"/>
        </w:rPr>
        <w:t>, experiencia previa de la OTEC e infraestructura adecuada. No hubo, sin embargo, una evaluación formal respecto de si los indicadores escogidos efectivamente son capaces de predecir buenos resultados sobre la población beneficiaria.</w:t>
      </w:r>
    </w:p>
    <w:p w:rsidR="00FE561F" w:rsidRPr="00580F2E" w:rsidRDefault="00FE561F" w:rsidP="007E075D">
      <w:pPr>
        <w:spacing w:after="0" w:line="360" w:lineRule="auto"/>
        <w:ind w:firstLine="709"/>
        <w:jc w:val="both"/>
        <w:rPr>
          <w:rFonts w:ascii="Times New Roman" w:hAnsi="Times New Roman" w:cs="Times New Roman"/>
          <w:lang w:val="es-ES"/>
        </w:rPr>
      </w:pPr>
    </w:p>
    <w:p w:rsidR="002918A7" w:rsidRPr="00580F2E" w:rsidRDefault="00336F4A" w:rsidP="007E075D">
      <w:pPr>
        <w:pStyle w:val="ListParagraph"/>
        <w:numPr>
          <w:ilvl w:val="2"/>
          <w:numId w:val="7"/>
        </w:numPr>
        <w:spacing w:after="0" w:line="360" w:lineRule="auto"/>
        <w:ind w:firstLine="709"/>
        <w:rPr>
          <w:rFonts w:ascii="Times New Roman" w:hAnsi="Times New Roman" w:cs="Times New Roman"/>
          <w:i/>
          <w:lang w:val="es-ES"/>
        </w:rPr>
      </w:pPr>
      <w:r w:rsidRPr="00580F2E">
        <w:rPr>
          <w:rFonts w:ascii="Times New Roman" w:hAnsi="Times New Roman" w:cs="Times New Roman"/>
          <w:i/>
          <w:lang w:val="es-ES"/>
        </w:rPr>
        <w:t>Otros programas de SENCE</w:t>
      </w:r>
    </w:p>
    <w:p w:rsidR="002918A7" w:rsidRPr="00580F2E" w:rsidRDefault="002918A7" w:rsidP="007E075D">
      <w:pPr>
        <w:pStyle w:val="ListParagraph"/>
        <w:spacing w:after="0" w:line="360" w:lineRule="auto"/>
        <w:ind w:left="360" w:firstLine="709"/>
        <w:rPr>
          <w:rFonts w:ascii="Times New Roman" w:hAnsi="Times New Roman" w:cs="Times New Roman"/>
          <w:lang w:val="es-ES"/>
        </w:rPr>
      </w:pPr>
    </w:p>
    <w:p w:rsidR="000B1713" w:rsidRPr="00580F2E" w:rsidRDefault="000B1713"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Finalmente, se encuentran diversos programas de SENCE que apuntan distintos grupos. Entre ellos, están</w:t>
      </w:r>
      <w:r w:rsidR="006F1EBC" w:rsidRPr="00580F2E">
        <w:rPr>
          <w:rFonts w:ascii="Times New Roman" w:hAnsi="Times New Roman" w:cs="Times New Roman"/>
          <w:sz w:val="24"/>
          <w:szCs w:val="24"/>
          <w:lang w:val="es-ES"/>
        </w:rPr>
        <w:t xml:space="preserve"> </w:t>
      </w:r>
      <w:r w:rsidR="00DF36EB" w:rsidRPr="00580F2E">
        <w:rPr>
          <w:rFonts w:ascii="Times New Roman" w:hAnsi="Times New Roman" w:cs="Times New Roman"/>
          <w:sz w:val="24"/>
          <w:szCs w:val="24"/>
          <w:lang w:val="es-ES"/>
        </w:rPr>
        <w:t xml:space="preserve">el </w:t>
      </w:r>
      <w:r w:rsidR="006F1EBC" w:rsidRPr="00580F2E">
        <w:rPr>
          <w:rFonts w:ascii="Times New Roman" w:hAnsi="Times New Roman" w:cs="Times New Roman"/>
          <w:sz w:val="24"/>
          <w:szCs w:val="24"/>
          <w:lang w:val="es-ES"/>
        </w:rPr>
        <w:t xml:space="preserve">Programa Nacional de Becas, </w:t>
      </w:r>
      <w:r w:rsidR="00DF36EB" w:rsidRPr="00580F2E">
        <w:rPr>
          <w:rFonts w:ascii="Times New Roman" w:hAnsi="Times New Roman" w:cs="Times New Roman"/>
          <w:sz w:val="24"/>
          <w:szCs w:val="24"/>
          <w:lang w:val="es-ES"/>
        </w:rPr>
        <w:t xml:space="preserve">el </w:t>
      </w:r>
      <w:r w:rsidR="006F1EBC" w:rsidRPr="00580F2E">
        <w:rPr>
          <w:rFonts w:ascii="Times New Roman" w:hAnsi="Times New Roman" w:cs="Times New Roman"/>
          <w:sz w:val="24"/>
          <w:szCs w:val="24"/>
          <w:lang w:val="es-ES"/>
        </w:rPr>
        <w:t xml:space="preserve">Pre-contrato de capacitación y </w:t>
      </w:r>
      <w:r w:rsidR="00DF36EB" w:rsidRPr="00580F2E">
        <w:rPr>
          <w:rFonts w:ascii="Times New Roman" w:hAnsi="Times New Roman" w:cs="Times New Roman"/>
          <w:sz w:val="24"/>
          <w:szCs w:val="24"/>
          <w:lang w:val="es-ES"/>
        </w:rPr>
        <w:t>P</w:t>
      </w:r>
      <w:r w:rsidR="006F1EBC" w:rsidRPr="00580F2E">
        <w:rPr>
          <w:rFonts w:ascii="Times New Roman" w:hAnsi="Times New Roman" w:cs="Times New Roman"/>
          <w:sz w:val="24"/>
          <w:szCs w:val="24"/>
          <w:lang w:val="es-ES"/>
        </w:rPr>
        <w:t>ost-contrato</w:t>
      </w:r>
      <w:r w:rsidRPr="00580F2E">
        <w:rPr>
          <w:rFonts w:ascii="Times New Roman" w:hAnsi="Times New Roman" w:cs="Times New Roman"/>
          <w:sz w:val="24"/>
          <w:szCs w:val="24"/>
          <w:lang w:val="es-ES"/>
        </w:rPr>
        <w:t>.</w:t>
      </w:r>
      <w:r w:rsidR="006F1EBC" w:rsidRPr="00580F2E">
        <w:rPr>
          <w:rFonts w:ascii="Times New Roman" w:hAnsi="Times New Roman" w:cs="Times New Roman"/>
          <w:sz w:val="24"/>
          <w:szCs w:val="24"/>
          <w:lang w:val="es-ES"/>
        </w:rPr>
        <w:t xml:space="preserve"> En el primer caso, se trata de un programa que apunta a grupos vulnerables pero que dejó de funcionar en el año 2010. Los pre-contrato, por su lado, </w:t>
      </w:r>
      <w:r w:rsidR="00DF36EB" w:rsidRPr="00580F2E">
        <w:rPr>
          <w:rFonts w:ascii="Times New Roman" w:hAnsi="Times New Roman" w:cs="Times New Roman"/>
          <w:sz w:val="24"/>
          <w:szCs w:val="24"/>
          <w:lang w:val="es-ES"/>
        </w:rPr>
        <w:t>ofrecen</w:t>
      </w:r>
      <w:r w:rsidR="006F1EBC" w:rsidRPr="00580F2E">
        <w:rPr>
          <w:rFonts w:ascii="Times New Roman" w:hAnsi="Times New Roman" w:cs="Times New Roman"/>
          <w:sz w:val="24"/>
          <w:szCs w:val="24"/>
          <w:lang w:val="es-ES"/>
        </w:rPr>
        <w:t xml:space="preserve"> capacitación con cargo a FT, previo a que un trabajador firme el contrato de trabajo. Este programa resulta de gran envergadura (30 mil en un año), aunque no tiene criterios de focalización claros. No hay evidencia alguna respecto de su funcionamiento. Finalmente, el progra</w:t>
      </w:r>
      <w:r w:rsidR="00CF7B07" w:rsidRPr="00580F2E">
        <w:rPr>
          <w:rFonts w:ascii="Times New Roman" w:hAnsi="Times New Roman" w:cs="Times New Roman"/>
          <w:sz w:val="24"/>
          <w:szCs w:val="24"/>
          <w:lang w:val="es-ES"/>
        </w:rPr>
        <w:t>ma de post-contrato corresponde</w:t>
      </w:r>
      <w:r w:rsidR="006F1EBC" w:rsidRPr="00580F2E">
        <w:rPr>
          <w:rFonts w:ascii="Times New Roman" w:hAnsi="Times New Roman" w:cs="Times New Roman"/>
          <w:sz w:val="24"/>
          <w:szCs w:val="24"/>
          <w:lang w:val="es-ES"/>
        </w:rPr>
        <w:t xml:space="preserve"> a capacitaci</w:t>
      </w:r>
      <w:r w:rsidR="00CF7B07" w:rsidRPr="00580F2E">
        <w:rPr>
          <w:rFonts w:ascii="Times New Roman" w:hAnsi="Times New Roman" w:cs="Times New Roman"/>
          <w:sz w:val="24"/>
          <w:szCs w:val="24"/>
          <w:lang w:val="es-ES"/>
        </w:rPr>
        <w:t>ón</w:t>
      </w:r>
      <w:r w:rsidR="006F1EBC" w:rsidRPr="00580F2E">
        <w:rPr>
          <w:rFonts w:ascii="Times New Roman" w:hAnsi="Times New Roman" w:cs="Times New Roman"/>
          <w:sz w:val="24"/>
          <w:szCs w:val="24"/>
          <w:lang w:val="es-ES"/>
        </w:rPr>
        <w:t xml:space="preserve"> en OTEC para trabajadores desvinculados de</w:t>
      </w:r>
      <w:r w:rsidR="00CF7B07" w:rsidRPr="00580F2E">
        <w:rPr>
          <w:rFonts w:ascii="Times New Roman" w:hAnsi="Times New Roman" w:cs="Times New Roman"/>
          <w:sz w:val="24"/>
          <w:szCs w:val="24"/>
          <w:lang w:val="es-ES"/>
        </w:rPr>
        <w:t xml:space="preserve"> empresas que han usado FT. La escala de este último programa es relativamente pequeña (290 individuos para el año 2009). Tampoco hay evaluaciones de impacto.</w:t>
      </w:r>
    </w:p>
    <w:p w:rsidR="000B1713" w:rsidRPr="00580F2E" w:rsidRDefault="000B1713"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La cantidad de programas </w:t>
      </w:r>
      <w:r w:rsidR="00CF7B07" w:rsidRPr="00580F2E">
        <w:rPr>
          <w:rFonts w:ascii="Times New Roman" w:hAnsi="Times New Roman" w:cs="Times New Roman"/>
          <w:sz w:val="24"/>
          <w:szCs w:val="24"/>
          <w:lang w:val="es-ES"/>
        </w:rPr>
        <w:t xml:space="preserve">existente </w:t>
      </w:r>
      <w:r w:rsidRPr="00580F2E">
        <w:rPr>
          <w:rFonts w:ascii="Times New Roman" w:hAnsi="Times New Roman" w:cs="Times New Roman"/>
          <w:sz w:val="24"/>
          <w:szCs w:val="24"/>
          <w:lang w:val="es-ES"/>
        </w:rPr>
        <w:t>–algunos de ellos con objetivos traslapados</w:t>
      </w:r>
      <w:r w:rsidR="00CC2AE7"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lo que </w:t>
      </w:r>
      <w:r w:rsidR="00CC2AE7" w:rsidRPr="00580F2E">
        <w:rPr>
          <w:rFonts w:ascii="Times New Roman" w:hAnsi="Times New Roman" w:cs="Times New Roman"/>
          <w:sz w:val="24"/>
          <w:szCs w:val="24"/>
          <w:lang w:val="es-ES"/>
        </w:rPr>
        <w:t>implica</w:t>
      </w:r>
      <w:r w:rsidRPr="00580F2E">
        <w:rPr>
          <w:rFonts w:ascii="Times New Roman" w:hAnsi="Times New Roman" w:cs="Times New Roman"/>
          <w:sz w:val="24"/>
          <w:szCs w:val="24"/>
          <w:lang w:val="es-ES"/>
        </w:rPr>
        <w:t xml:space="preserve"> </w:t>
      </w:r>
      <w:r w:rsidR="00DF36EB" w:rsidRPr="00580F2E">
        <w:rPr>
          <w:rFonts w:ascii="Times New Roman" w:hAnsi="Times New Roman" w:cs="Times New Roman"/>
          <w:sz w:val="24"/>
          <w:szCs w:val="24"/>
          <w:lang w:val="es-ES"/>
        </w:rPr>
        <w:t>una competencia</w:t>
      </w:r>
      <w:r w:rsidRPr="00580F2E">
        <w:rPr>
          <w:rFonts w:ascii="Times New Roman" w:hAnsi="Times New Roman" w:cs="Times New Roman"/>
          <w:sz w:val="24"/>
          <w:szCs w:val="24"/>
          <w:lang w:val="es-ES"/>
        </w:rPr>
        <w:t xml:space="preserve"> por la misma población objetivo– revela la falta de estrategia de largo plazo en la política pública de capacitación. Por otro lado, se aprecia una falta sistemática de evidencia que provea de directrices claras en la política, fundadas en estudios robustos que indiquen los mejores caminos a seguir. De esta manera, es común que los parámetros que definen los programas cambien año a año, muchas veces careciendo del sustento necesario que proveen evaluaciones experimentales (o incluso no experimentales) a través de procesos transparentes y libre de intereses creados.</w:t>
      </w:r>
    </w:p>
    <w:p w:rsidR="0031578B" w:rsidRPr="00580F2E" w:rsidRDefault="0031578B" w:rsidP="00580F2E">
      <w:pPr>
        <w:pStyle w:val="ListParagraph"/>
        <w:keepNext/>
        <w:numPr>
          <w:ilvl w:val="2"/>
          <w:numId w:val="7"/>
        </w:numPr>
        <w:spacing w:after="0" w:line="360" w:lineRule="auto"/>
        <w:ind w:firstLine="706"/>
        <w:rPr>
          <w:rFonts w:ascii="Times New Roman" w:hAnsi="Times New Roman" w:cs="Times New Roman"/>
          <w:i/>
          <w:lang w:val="es-ES"/>
        </w:rPr>
      </w:pPr>
      <w:r w:rsidRPr="00580F2E">
        <w:rPr>
          <w:rFonts w:ascii="Times New Roman" w:hAnsi="Times New Roman" w:cs="Times New Roman"/>
          <w:i/>
          <w:lang w:val="es-ES"/>
        </w:rPr>
        <w:lastRenderedPageBreak/>
        <w:t>¿Son efectivos los Programas Sociales de SENCE?</w:t>
      </w:r>
    </w:p>
    <w:p w:rsidR="0031578B" w:rsidRPr="00580F2E" w:rsidRDefault="00CF7B07"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Como ya se mencionó, e</w:t>
      </w:r>
      <w:r w:rsidR="0031578B" w:rsidRPr="00580F2E">
        <w:rPr>
          <w:rFonts w:ascii="Times New Roman" w:hAnsi="Times New Roman" w:cs="Times New Roman"/>
          <w:sz w:val="24"/>
          <w:szCs w:val="24"/>
          <w:lang w:val="es-ES"/>
        </w:rPr>
        <w:t>jemplos de evaluaciones rigurosas son pocas. Un caso de excepción lo constituyó el programa Jóvenes Bicentenario</w:t>
      </w:r>
      <w:r w:rsidRPr="00580F2E">
        <w:rPr>
          <w:rFonts w:ascii="Times New Roman" w:hAnsi="Times New Roman" w:cs="Times New Roman"/>
          <w:sz w:val="24"/>
          <w:szCs w:val="24"/>
          <w:lang w:val="es-ES"/>
        </w:rPr>
        <w:t xml:space="preserve"> (programa muy similar a PEJ), </w:t>
      </w:r>
      <w:r w:rsidR="0031578B" w:rsidRPr="00580F2E">
        <w:rPr>
          <w:rFonts w:ascii="Times New Roman" w:hAnsi="Times New Roman" w:cs="Times New Roman"/>
          <w:sz w:val="24"/>
          <w:szCs w:val="24"/>
          <w:lang w:val="es-ES"/>
        </w:rPr>
        <w:t>el cual fue diseñado para ser evaluado con metodologías experimentales. El análisis reveló (PNUD, 2011) que el programa t</w:t>
      </w:r>
      <w:r w:rsidR="00DF36EB" w:rsidRPr="00580F2E">
        <w:rPr>
          <w:rFonts w:ascii="Times New Roman" w:hAnsi="Times New Roman" w:cs="Times New Roman"/>
          <w:sz w:val="24"/>
          <w:szCs w:val="24"/>
          <w:lang w:val="es-ES"/>
        </w:rPr>
        <w:t>iene</w:t>
      </w:r>
      <w:r w:rsidR="0031578B" w:rsidRPr="00580F2E">
        <w:rPr>
          <w:rFonts w:ascii="Times New Roman" w:hAnsi="Times New Roman" w:cs="Times New Roman"/>
          <w:sz w:val="24"/>
          <w:szCs w:val="24"/>
          <w:lang w:val="es-ES"/>
        </w:rPr>
        <w:t xml:space="preserve"> impactos positivos, pero sobre sólo una pequeña porción de la población</w:t>
      </w:r>
      <w:r w:rsidR="00DF36EB" w:rsidRPr="00580F2E">
        <w:rPr>
          <w:rFonts w:ascii="Times New Roman" w:hAnsi="Times New Roman" w:cs="Times New Roman"/>
          <w:sz w:val="24"/>
          <w:szCs w:val="24"/>
          <w:lang w:val="es-ES"/>
        </w:rPr>
        <w:t>; aquella</w:t>
      </w:r>
      <w:r w:rsidR="0031578B" w:rsidRPr="00580F2E">
        <w:rPr>
          <w:rFonts w:ascii="Times New Roman" w:hAnsi="Times New Roman" w:cs="Times New Roman"/>
          <w:sz w:val="24"/>
          <w:szCs w:val="24"/>
          <w:lang w:val="es-ES"/>
        </w:rPr>
        <w:t xml:space="preserve"> que logra terminar todas las etapas del programa. El impacto promedio del programa no es significativo en ninguna dimensión (empleo o salarios). Dicho estudio tuvo una influencia fundamental para decidir la paralización definitiva del programa. Además, proveyó de lecciones importantes para el diseño del resto de</w:t>
      </w:r>
      <w:r w:rsidRPr="00580F2E">
        <w:rPr>
          <w:rFonts w:ascii="Times New Roman" w:hAnsi="Times New Roman" w:cs="Times New Roman"/>
          <w:sz w:val="24"/>
          <w:szCs w:val="24"/>
          <w:lang w:val="es-ES"/>
        </w:rPr>
        <w:t>l sistema</w:t>
      </w:r>
      <w:r w:rsidR="0031578B" w:rsidRPr="00580F2E">
        <w:rPr>
          <w:rFonts w:ascii="Times New Roman" w:hAnsi="Times New Roman" w:cs="Times New Roman"/>
          <w:sz w:val="24"/>
          <w:szCs w:val="24"/>
          <w:lang w:val="es-ES"/>
        </w:rPr>
        <w:t>.</w:t>
      </w:r>
    </w:p>
    <w:p w:rsidR="0031578B" w:rsidRPr="00580F2E" w:rsidRDefault="0031578B"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Gran parte del resto de la evidencia, como lo pudo constatar el equipo BID</w:t>
      </w:r>
      <w:r w:rsidR="00FE561F"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carece de fundamentos metodológicos sólidos. Ante la escaza o nula evidencia, difícilmente se pueda conjugar un diagnóstico robusto de los programas sociales de SENCE. </w:t>
      </w:r>
    </w:p>
    <w:p w:rsidR="00CC2AE7" w:rsidRPr="00580F2E" w:rsidRDefault="00CC2AE7" w:rsidP="007E075D">
      <w:pPr>
        <w:spacing w:after="0" w:line="360" w:lineRule="auto"/>
        <w:ind w:firstLine="709"/>
        <w:jc w:val="both"/>
        <w:rPr>
          <w:rFonts w:ascii="Times New Roman" w:hAnsi="Times New Roman" w:cs="Times New Roman"/>
          <w:sz w:val="24"/>
          <w:szCs w:val="24"/>
          <w:lang w:val="es-ES"/>
        </w:rPr>
      </w:pPr>
    </w:p>
    <w:p w:rsidR="009A0089" w:rsidRPr="00580F2E" w:rsidRDefault="0031578B" w:rsidP="007E075D">
      <w:pPr>
        <w:pStyle w:val="ListParagraph"/>
        <w:numPr>
          <w:ilvl w:val="1"/>
          <w:numId w:val="7"/>
        </w:numPr>
        <w:spacing w:after="0" w:line="360" w:lineRule="auto"/>
        <w:ind w:firstLine="709"/>
        <w:rPr>
          <w:rFonts w:ascii="Times New Roman" w:hAnsi="Times New Roman" w:cs="Times New Roman"/>
          <w:b/>
          <w:lang w:val="es-ES"/>
        </w:rPr>
      </w:pPr>
      <w:r w:rsidRPr="00580F2E">
        <w:rPr>
          <w:rFonts w:ascii="Times New Roman" w:hAnsi="Times New Roman" w:cs="Times New Roman"/>
          <w:b/>
          <w:lang w:val="es-ES"/>
        </w:rPr>
        <w:t>¿Está correctamente focalizado el sistema de capacitación?</w:t>
      </w:r>
    </w:p>
    <w:p w:rsidR="001965E6" w:rsidRPr="00580F2E" w:rsidRDefault="001965E6" w:rsidP="007E075D">
      <w:pPr>
        <w:spacing w:after="0" w:line="360" w:lineRule="auto"/>
        <w:ind w:firstLine="709"/>
        <w:jc w:val="both"/>
        <w:rPr>
          <w:rFonts w:ascii="Times New Roman" w:hAnsi="Times New Roman" w:cs="Times New Roman"/>
          <w:sz w:val="24"/>
          <w:szCs w:val="24"/>
          <w:lang w:val="es-ES"/>
        </w:rPr>
      </w:pPr>
    </w:p>
    <w:p w:rsidR="00100A24" w:rsidRPr="00580F2E" w:rsidRDefault="001965E6"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En secciones anteriores se describieron ciertos grupos con bajo rendimiento en el mercado del trabajo</w:t>
      </w:r>
      <w:r w:rsidR="00100A24" w:rsidRPr="00580F2E">
        <w:rPr>
          <w:rFonts w:ascii="Times New Roman" w:hAnsi="Times New Roman" w:cs="Times New Roman"/>
          <w:sz w:val="24"/>
          <w:szCs w:val="24"/>
          <w:lang w:val="es-ES"/>
        </w:rPr>
        <w:t>: mujeres, jóvenes y adultos con bajo capital humano</w:t>
      </w:r>
      <w:r w:rsidRPr="00580F2E">
        <w:rPr>
          <w:rFonts w:ascii="Times New Roman" w:hAnsi="Times New Roman" w:cs="Times New Roman"/>
          <w:sz w:val="24"/>
          <w:szCs w:val="24"/>
          <w:lang w:val="es-ES"/>
        </w:rPr>
        <w:t xml:space="preserve">. Estos grupos tienen el factor común de un grado bajo de </w:t>
      </w:r>
      <w:r w:rsidR="00100A24" w:rsidRPr="00580F2E">
        <w:rPr>
          <w:rFonts w:ascii="Times New Roman" w:hAnsi="Times New Roman" w:cs="Times New Roman"/>
          <w:sz w:val="24"/>
          <w:szCs w:val="24"/>
          <w:lang w:val="es-ES"/>
        </w:rPr>
        <w:t>escolaridad</w:t>
      </w:r>
      <w:r w:rsidRPr="00580F2E">
        <w:rPr>
          <w:rFonts w:ascii="Times New Roman" w:hAnsi="Times New Roman" w:cs="Times New Roman"/>
          <w:sz w:val="24"/>
          <w:szCs w:val="24"/>
          <w:lang w:val="es-ES"/>
        </w:rPr>
        <w:t xml:space="preserve">, condición que los </w:t>
      </w:r>
      <w:r w:rsidR="003E3C79" w:rsidRPr="00580F2E">
        <w:rPr>
          <w:rFonts w:ascii="Times New Roman" w:hAnsi="Times New Roman" w:cs="Times New Roman"/>
          <w:sz w:val="24"/>
          <w:szCs w:val="24"/>
          <w:lang w:val="es-ES"/>
        </w:rPr>
        <w:t>convierte en</w:t>
      </w:r>
      <w:r w:rsidRPr="00580F2E">
        <w:rPr>
          <w:rFonts w:ascii="Times New Roman" w:hAnsi="Times New Roman" w:cs="Times New Roman"/>
          <w:sz w:val="24"/>
          <w:szCs w:val="24"/>
          <w:lang w:val="es-ES"/>
        </w:rPr>
        <w:t xml:space="preserve"> </w:t>
      </w:r>
      <w:r w:rsidR="003E3C79"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demanda potencial</w:t>
      </w:r>
      <w:r w:rsidR="003E3C79"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de programas de capacitación. Es natural preguntarse si</w:t>
      </w:r>
      <w:r w:rsidR="003E3C79" w:rsidRPr="00580F2E">
        <w:rPr>
          <w:rFonts w:ascii="Times New Roman" w:hAnsi="Times New Roman" w:cs="Times New Roman"/>
          <w:sz w:val="24"/>
          <w:szCs w:val="24"/>
          <w:lang w:val="es-ES"/>
        </w:rPr>
        <w:t xml:space="preserve"> acaso</w:t>
      </w:r>
      <w:r w:rsidRPr="00580F2E">
        <w:rPr>
          <w:rFonts w:ascii="Times New Roman" w:hAnsi="Times New Roman" w:cs="Times New Roman"/>
          <w:sz w:val="24"/>
          <w:szCs w:val="24"/>
          <w:lang w:val="es-ES"/>
        </w:rPr>
        <w:t xml:space="preserve"> la oferta de capacitación </w:t>
      </w:r>
      <w:r w:rsidR="003E3C79" w:rsidRPr="00580F2E">
        <w:rPr>
          <w:rFonts w:ascii="Times New Roman" w:hAnsi="Times New Roman" w:cs="Times New Roman"/>
          <w:sz w:val="24"/>
          <w:szCs w:val="24"/>
          <w:lang w:val="es-ES"/>
        </w:rPr>
        <w:t>gestionada</w:t>
      </w:r>
      <w:r w:rsidRPr="00580F2E">
        <w:rPr>
          <w:rFonts w:ascii="Times New Roman" w:hAnsi="Times New Roman" w:cs="Times New Roman"/>
          <w:sz w:val="24"/>
          <w:szCs w:val="24"/>
          <w:lang w:val="es-ES"/>
        </w:rPr>
        <w:t xml:space="preserve"> por SENCE es capaz de escalar lo suficiente com</w:t>
      </w:r>
      <w:r w:rsidR="00100A24" w:rsidRPr="00580F2E">
        <w:rPr>
          <w:rFonts w:ascii="Times New Roman" w:hAnsi="Times New Roman" w:cs="Times New Roman"/>
          <w:sz w:val="24"/>
          <w:szCs w:val="24"/>
          <w:lang w:val="es-ES"/>
        </w:rPr>
        <w:t xml:space="preserve">o para atender dicha demanda. </w:t>
      </w:r>
    </w:p>
    <w:p w:rsidR="00100A24" w:rsidRPr="00580F2E" w:rsidRDefault="003E3C79" w:rsidP="007E075D">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El Cuadro 5</w:t>
      </w:r>
      <w:r w:rsidR="00100A24" w:rsidRPr="00580F2E">
        <w:rPr>
          <w:rFonts w:ascii="Times New Roman" w:hAnsi="Times New Roman" w:cs="Times New Roman"/>
          <w:sz w:val="24"/>
          <w:szCs w:val="24"/>
          <w:lang w:val="es-ES"/>
        </w:rPr>
        <w:t xml:space="preserve"> calcula una demanda potencial de capacitación te</w:t>
      </w:r>
      <w:r w:rsidRPr="00580F2E">
        <w:rPr>
          <w:rFonts w:ascii="Times New Roman" w:hAnsi="Times New Roman" w:cs="Times New Roman"/>
          <w:sz w:val="24"/>
          <w:szCs w:val="24"/>
          <w:lang w:val="es-ES"/>
        </w:rPr>
        <w:t>ntativa. Muestra la población si</w:t>
      </w:r>
      <w:r w:rsidR="00100A24" w:rsidRPr="00580F2E">
        <w:rPr>
          <w:rFonts w:ascii="Times New Roman" w:hAnsi="Times New Roman" w:cs="Times New Roman"/>
          <w:sz w:val="24"/>
          <w:szCs w:val="24"/>
          <w:lang w:val="es-ES"/>
        </w:rPr>
        <w:t>n educación superior en los tres grupos mencionados. Debemos recordar que, no</w:t>
      </w:r>
      <w:r w:rsidR="00FE561F" w:rsidRPr="00580F2E">
        <w:rPr>
          <w:rFonts w:ascii="Times New Roman" w:hAnsi="Times New Roman" w:cs="Times New Roman"/>
          <w:sz w:val="24"/>
          <w:szCs w:val="24"/>
          <w:lang w:val="es-ES"/>
        </w:rPr>
        <w:t xml:space="preserve"> es de extrañar en estos grupos</w:t>
      </w:r>
      <w:r w:rsidR="00100A24" w:rsidRPr="00580F2E">
        <w:rPr>
          <w:rFonts w:ascii="Times New Roman" w:hAnsi="Times New Roman" w:cs="Times New Roman"/>
          <w:sz w:val="24"/>
          <w:szCs w:val="24"/>
          <w:lang w:val="es-ES"/>
        </w:rPr>
        <w:t xml:space="preserve"> salarios significativamente </w:t>
      </w:r>
      <w:r w:rsidR="00DF36EB" w:rsidRPr="00580F2E">
        <w:rPr>
          <w:rFonts w:ascii="Times New Roman" w:hAnsi="Times New Roman" w:cs="Times New Roman"/>
          <w:sz w:val="24"/>
          <w:szCs w:val="24"/>
          <w:lang w:val="es-ES"/>
        </w:rPr>
        <w:t>menores</w:t>
      </w:r>
      <w:r w:rsidR="00100A24" w:rsidRPr="00580F2E">
        <w:rPr>
          <w:rFonts w:ascii="Times New Roman" w:hAnsi="Times New Roman" w:cs="Times New Roman"/>
          <w:sz w:val="24"/>
          <w:szCs w:val="24"/>
          <w:lang w:val="es-ES"/>
        </w:rPr>
        <w:t xml:space="preserve"> el promedio nacional y tasas de desempleo por sobre 10%. El programa FT no tiene criterios de focalización por población vulnerable, por lo que difícilmente puede ser considerado como un programa destinado a atender dicha población</w:t>
      </w:r>
      <w:r w:rsidRPr="00580F2E">
        <w:rPr>
          <w:rFonts w:ascii="Times New Roman" w:hAnsi="Times New Roman" w:cs="Times New Roman"/>
          <w:sz w:val="24"/>
          <w:szCs w:val="24"/>
          <w:lang w:val="es-ES"/>
        </w:rPr>
        <w:t>, De hecho, se comprobó que usuarios de dicho sistema poseen salarios sobre el promedio</w:t>
      </w:r>
      <w:r w:rsidR="00100A24" w:rsidRPr="00580F2E">
        <w:rPr>
          <w:rFonts w:ascii="Times New Roman" w:hAnsi="Times New Roman" w:cs="Times New Roman"/>
          <w:sz w:val="24"/>
          <w:szCs w:val="24"/>
          <w:lang w:val="es-ES"/>
        </w:rPr>
        <w:t>. Usando los datos de población atendida de programas sociales de SENCE, se comprueba que, en promedio, el sistema de capacitaci</w:t>
      </w:r>
      <w:r w:rsidRPr="00580F2E">
        <w:rPr>
          <w:rFonts w:ascii="Times New Roman" w:hAnsi="Times New Roman" w:cs="Times New Roman"/>
          <w:sz w:val="24"/>
          <w:szCs w:val="24"/>
          <w:lang w:val="es-ES"/>
        </w:rPr>
        <w:t xml:space="preserve">ón estaría </w:t>
      </w:r>
      <w:r w:rsidRPr="00580F2E">
        <w:rPr>
          <w:rFonts w:ascii="Times New Roman" w:hAnsi="Times New Roman" w:cs="Times New Roman"/>
          <w:sz w:val="24"/>
          <w:szCs w:val="24"/>
          <w:lang w:val="es-ES"/>
        </w:rPr>
        <w:lastRenderedPageBreak/>
        <w:t>cubriendo no más de 0.2</w:t>
      </w:r>
      <w:r w:rsidR="00100A24" w:rsidRPr="00580F2E">
        <w:rPr>
          <w:rFonts w:ascii="Times New Roman" w:hAnsi="Times New Roman" w:cs="Times New Roman"/>
          <w:sz w:val="24"/>
          <w:szCs w:val="24"/>
          <w:lang w:val="es-ES"/>
        </w:rPr>
        <w:t>% de estos grupos</w:t>
      </w:r>
      <w:r w:rsidRPr="00580F2E">
        <w:rPr>
          <w:rFonts w:ascii="Times New Roman" w:hAnsi="Times New Roman" w:cs="Times New Roman"/>
          <w:sz w:val="24"/>
          <w:szCs w:val="24"/>
          <w:lang w:val="es-ES"/>
        </w:rPr>
        <w:t>. Por lo tanto, e</w:t>
      </w:r>
      <w:r w:rsidR="00100A24" w:rsidRPr="00580F2E">
        <w:rPr>
          <w:rFonts w:ascii="Times New Roman" w:hAnsi="Times New Roman" w:cs="Times New Roman"/>
          <w:sz w:val="24"/>
          <w:szCs w:val="24"/>
          <w:lang w:val="es-ES"/>
        </w:rPr>
        <w:t xml:space="preserve">s evidente el problema de escala que exhibe el sistema. </w:t>
      </w:r>
    </w:p>
    <w:p w:rsidR="001965E6" w:rsidRPr="00580F2E" w:rsidRDefault="001965E6" w:rsidP="00CC2AE7">
      <w:pPr>
        <w:spacing w:after="0"/>
        <w:jc w:val="both"/>
        <w:rPr>
          <w:rFonts w:ascii="Times New Roman" w:hAnsi="Times New Roman" w:cs="Times New Roman"/>
          <w:sz w:val="24"/>
          <w:szCs w:val="24"/>
          <w:lang w:val="es-ES"/>
        </w:rPr>
      </w:pPr>
    </w:p>
    <w:p w:rsidR="003600BC" w:rsidRPr="00580F2E" w:rsidRDefault="003E3C79" w:rsidP="003600BC">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Cuadro 5</w:t>
      </w:r>
      <w:r w:rsidR="003600BC" w:rsidRPr="00580F2E">
        <w:rPr>
          <w:rFonts w:ascii="Times New Roman" w:hAnsi="Times New Roman" w:cs="Times New Roman"/>
          <w:b/>
          <w:sz w:val="24"/>
          <w:szCs w:val="24"/>
          <w:lang w:val="es-ES"/>
        </w:rPr>
        <w:t>. Demanda potencial atendida por SENCE.</w:t>
      </w:r>
    </w:p>
    <w:tbl>
      <w:tblPr>
        <w:tblW w:w="4440" w:type="dxa"/>
        <w:jc w:val="center"/>
        <w:tblInd w:w="70" w:type="dxa"/>
        <w:tblCellMar>
          <w:left w:w="70" w:type="dxa"/>
          <w:right w:w="70" w:type="dxa"/>
        </w:tblCellMar>
        <w:tblLook w:val="04A0" w:firstRow="1" w:lastRow="0" w:firstColumn="1" w:lastColumn="0" w:noHBand="0" w:noVBand="1"/>
      </w:tblPr>
      <w:tblGrid>
        <w:gridCol w:w="1200"/>
        <w:gridCol w:w="280"/>
        <w:gridCol w:w="1200"/>
        <w:gridCol w:w="280"/>
        <w:gridCol w:w="1480"/>
      </w:tblGrid>
      <w:tr w:rsidR="003600BC" w:rsidRPr="00580F2E" w:rsidTr="003600BC">
        <w:trPr>
          <w:trHeight w:val="570"/>
          <w:jc w:val="center"/>
        </w:trPr>
        <w:tc>
          <w:tcPr>
            <w:tcW w:w="1200" w:type="dxa"/>
            <w:tcBorders>
              <w:top w:val="single" w:sz="4" w:space="0" w:color="auto"/>
              <w:left w:val="nil"/>
              <w:bottom w:val="single" w:sz="4" w:space="0" w:color="auto"/>
              <w:right w:val="nil"/>
            </w:tcBorders>
            <w:shd w:val="clear" w:color="auto" w:fill="auto"/>
            <w:vAlign w:val="center"/>
            <w:hideMark/>
          </w:tcPr>
          <w:p w:rsidR="003600BC" w:rsidRPr="00580F2E" w:rsidRDefault="003600BC" w:rsidP="003600BC">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Grupo</w:t>
            </w:r>
          </w:p>
        </w:tc>
        <w:tc>
          <w:tcPr>
            <w:tcW w:w="280" w:type="dxa"/>
            <w:tcBorders>
              <w:top w:val="single" w:sz="4" w:space="0" w:color="auto"/>
              <w:left w:val="nil"/>
              <w:bottom w:val="nil"/>
              <w:right w:val="nil"/>
            </w:tcBorders>
            <w:shd w:val="clear" w:color="auto" w:fill="auto"/>
            <w:vAlign w:val="center"/>
            <w:hideMark/>
          </w:tcPr>
          <w:p w:rsidR="003600BC" w:rsidRPr="00580F2E" w:rsidRDefault="003600BC" w:rsidP="003600BC">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200" w:type="dxa"/>
            <w:tcBorders>
              <w:top w:val="single" w:sz="4" w:space="0" w:color="auto"/>
              <w:left w:val="nil"/>
              <w:bottom w:val="single" w:sz="4" w:space="0" w:color="auto"/>
              <w:right w:val="nil"/>
            </w:tcBorders>
            <w:shd w:val="clear" w:color="auto" w:fill="auto"/>
            <w:vAlign w:val="center"/>
            <w:hideMark/>
          </w:tcPr>
          <w:p w:rsidR="003600BC" w:rsidRPr="00580F2E" w:rsidRDefault="003600BC" w:rsidP="003600BC">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SENCE</w:t>
            </w:r>
          </w:p>
        </w:tc>
        <w:tc>
          <w:tcPr>
            <w:tcW w:w="280" w:type="dxa"/>
            <w:tcBorders>
              <w:top w:val="single" w:sz="4" w:space="0" w:color="auto"/>
              <w:left w:val="nil"/>
              <w:bottom w:val="nil"/>
              <w:right w:val="nil"/>
            </w:tcBorders>
            <w:shd w:val="clear" w:color="auto" w:fill="auto"/>
            <w:vAlign w:val="center"/>
            <w:hideMark/>
          </w:tcPr>
          <w:p w:rsidR="003600BC" w:rsidRPr="00580F2E" w:rsidRDefault="003600BC" w:rsidP="003600BC">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480" w:type="dxa"/>
            <w:tcBorders>
              <w:top w:val="single" w:sz="4" w:space="0" w:color="auto"/>
              <w:left w:val="nil"/>
              <w:bottom w:val="single" w:sz="4" w:space="0" w:color="auto"/>
              <w:right w:val="nil"/>
            </w:tcBorders>
            <w:shd w:val="clear" w:color="auto" w:fill="auto"/>
            <w:vAlign w:val="center"/>
            <w:hideMark/>
          </w:tcPr>
          <w:p w:rsidR="003600BC" w:rsidRPr="00580F2E" w:rsidRDefault="003600BC" w:rsidP="003600BC">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Demanda atendida (%)</w:t>
            </w:r>
          </w:p>
        </w:tc>
      </w:tr>
      <w:tr w:rsidR="003600BC" w:rsidRPr="00580F2E" w:rsidTr="003600BC">
        <w:trPr>
          <w:trHeight w:val="300"/>
          <w:jc w:val="center"/>
        </w:trPr>
        <w:tc>
          <w:tcPr>
            <w:tcW w:w="120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Jóvenes</w:t>
            </w:r>
          </w:p>
        </w:tc>
        <w:tc>
          <w:tcPr>
            <w:tcW w:w="28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p>
        </w:tc>
        <w:tc>
          <w:tcPr>
            <w:tcW w:w="1200" w:type="dxa"/>
            <w:tcBorders>
              <w:top w:val="nil"/>
              <w:left w:val="nil"/>
              <w:bottom w:val="nil"/>
              <w:right w:val="nil"/>
            </w:tcBorders>
            <w:shd w:val="clear" w:color="auto" w:fill="auto"/>
            <w:noWrap/>
            <w:vAlign w:val="bottom"/>
            <w:hideMark/>
          </w:tcPr>
          <w:p w:rsidR="003600BC" w:rsidRPr="00580F2E" w:rsidRDefault="00DF36EB"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6.</w:t>
            </w:r>
            <w:r w:rsidR="003600BC" w:rsidRPr="00580F2E">
              <w:rPr>
                <w:rFonts w:ascii="Times New Roman" w:eastAsia="Times New Roman" w:hAnsi="Times New Roman" w:cs="Times New Roman"/>
                <w:color w:val="000000"/>
                <w:sz w:val="20"/>
                <w:lang w:val="es-ES" w:eastAsia="es-CL"/>
              </w:rPr>
              <w:t>582</w:t>
            </w:r>
          </w:p>
        </w:tc>
        <w:tc>
          <w:tcPr>
            <w:tcW w:w="28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jc w:val="center"/>
              <w:rPr>
                <w:rFonts w:ascii="Times New Roman" w:eastAsia="Times New Roman" w:hAnsi="Times New Roman" w:cs="Times New Roman"/>
                <w:color w:val="000000"/>
                <w:sz w:val="20"/>
                <w:lang w:val="es-ES" w:eastAsia="es-CL"/>
              </w:rPr>
            </w:pPr>
          </w:p>
        </w:tc>
        <w:tc>
          <w:tcPr>
            <w:tcW w:w="1480" w:type="dxa"/>
            <w:tcBorders>
              <w:top w:val="nil"/>
              <w:left w:val="nil"/>
              <w:bottom w:val="nil"/>
              <w:right w:val="nil"/>
            </w:tcBorders>
            <w:shd w:val="clear" w:color="auto" w:fill="auto"/>
            <w:noWrap/>
            <w:vAlign w:val="bottom"/>
            <w:hideMark/>
          </w:tcPr>
          <w:p w:rsidR="003600BC" w:rsidRPr="00580F2E" w:rsidRDefault="00FE561F" w:rsidP="00DF36EB">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0,5</w:t>
            </w:r>
            <w:r w:rsidR="003600BC" w:rsidRPr="00580F2E">
              <w:rPr>
                <w:rFonts w:ascii="Times New Roman" w:eastAsia="Times New Roman" w:hAnsi="Times New Roman" w:cs="Times New Roman"/>
                <w:color w:val="000000"/>
                <w:sz w:val="20"/>
                <w:lang w:val="es-ES" w:eastAsia="es-CL"/>
              </w:rPr>
              <w:t>1</w:t>
            </w:r>
          </w:p>
        </w:tc>
      </w:tr>
      <w:tr w:rsidR="003600BC" w:rsidRPr="00580F2E" w:rsidTr="003600BC">
        <w:trPr>
          <w:trHeight w:val="300"/>
          <w:jc w:val="center"/>
        </w:trPr>
        <w:tc>
          <w:tcPr>
            <w:tcW w:w="120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Mujeres</w:t>
            </w:r>
          </w:p>
        </w:tc>
        <w:tc>
          <w:tcPr>
            <w:tcW w:w="28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p>
        </w:tc>
        <w:tc>
          <w:tcPr>
            <w:tcW w:w="1200" w:type="dxa"/>
            <w:tcBorders>
              <w:top w:val="nil"/>
              <w:left w:val="nil"/>
              <w:bottom w:val="nil"/>
              <w:right w:val="nil"/>
            </w:tcBorders>
            <w:shd w:val="clear" w:color="auto" w:fill="auto"/>
            <w:noWrap/>
            <w:vAlign w:val="bottom"/>
            <w:hideMark/>
          </w:tcPr>
          <w:p w:rsidR="003600BC" w:rsidRPr="00580F2E" w:rsidRDefault="00DF36EB"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w:t>
            </w:r>
            <w:r w:rsidR="003600BC" w:rsidRPr="00580F2E">
              <w:rPr>
                <w:rFonts w:ascii="Times New Roman" w:eastAsia="Times New Roman" w:hAnsi="Times New Roman" w:cs="Times New Roman"/>
                <w:color w:val="000000"/>
                <w:sz w:val="20"/>
                <w:lang w:val="es-ES" w:eastAsia="es-CL"/>
              </w:rPr>
              <w:t>894</w:t>
            </w:r>
          </w:p>
        </w:tc>
        <w:tc>
          <w:tcPr>
            <w:tcW w:w="280" w:type="dxa"/>
            <w:tcBorders>
              <w:top w:val="nil"/>
              <w:left w:val="nil"/>
              <w:bottom w:val="nil"/>
              <w:right w:val="nil"/>
            </w:tcBorders>
            <w:shd w:val="clear" w:color="auto" w:fill="auto"/>
            <w:noWrap/>
            <w:vAlign w:val="bottom"/>
            <w:hideMark/>
          </w:tcPr>
          <w:p w:rsidR="003600BC" w:rsidRPr="00580F2E" w:rsidRDefault="003600BC" w:rsidP="003600BC">
            <w:pPr>
              <w:spacing w:after="0" w:line="240" w:lineRule="auto"/>
              <w:jc w:val="center"/>
              <w:rPr>
                <w:rFonts w:ascii="Times New Roman" w:eastAsia="Times New Roman" w:hAnsi="Times New Roman" w:cs="Times New Roman"/>
                <w:color w:val="000000"/>
                <w:sz w:val="20"/>
                <w:lang w:val="es-ES" w:eastAsia="es-CL"/>
              </w:rPr>
            </w:pPr>
          </w:p>
        </w:tc>
        <w:tc>
          <w:tcPr>
            <w:tcW w:w="1480" w:type="dxa"/>
            <w:tcBorders>
              <w:top w:val="nil"/>
              <w:left w:val="nil"/>
              <w:bottom w:val="nil"/>
              <w:right w:val="nil"/>
            </w:tcBorders>
            <w:shd w:val="clear" w:color="auto" w:fill="auto"/>
            <w:noWrap/>
            <w:vAlign w:val="bottom"/>
            <w:hideMark/>
          </w:tcPr>
          <w:p w:rsidR="003600BC" w:rsidRPr="00580F2E" w:rsidRDefault="00FE561F"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0,</w:t>
            </w:r>
            <w:r w:rsidR="003600BC" w:rsidRPr="00580F2E">
              <w:rPr>
                <w:rFonts w:ascii="Times New Roman" w:eastAsia="Times New Roman" w:hAnsi="Times New Roman" w:cs="Times New Roman"/>
                <w:color w:val="000000"/>
                <w:sz w:val="20"/>
                <w:lang w:val="es-ES" w:eastAsia="es-CL"/>
              </w:rPr>
              <w:t>20</w:t>
            </w:r>
          </w:p>
        </w:tc>
      </w:tr>
      <w:tr w:rsidR="003600BC" w:rsidRPr="00580F2E" w:rsidTr="003600BC">
        <w:trPr>
          <w:trHeight w:val="300"/>
          <w:jc w:val="center"/>
        </w:trPr>
        <w:tc>
          <w:tcPr>
            <w:tcW w:w="1200" w:type="dxa"/>
            <w:tcBorders>
              <w:top w:val="nil"/>
              <w:left w:val="nil"/>
              <w:bottom w:val="single" w:sz="4" w:space="0" w:color="auto"/>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Adultos</w:t>
            </w:r>
          </w:p>
        </w:tc>
        <w:tc>
          <w:tcPr>
            <w:tcW w:w="280" w:type="dxa"/>
            <w:tcBorders>
              <w:top w:val="nil"/>
              <w:left w:val="nil"/>
              <w:bottom w:val="single" w:sz="4" w:space="0" w:color="auto"/>
              <w:right w:val="nil"/>
            </w:tcBorders>
            <w:shd w:val="clear" w:color="auto" w:fill="auto"/>
            <w:noWrap/>
            <w:vAlign w:val="bottom"/>
            <w:hideMark/>
          </w:tcPr>
          <w:p w:rsidR="003600BC" w:rsidRPr="00580F2E" w:rsidRDefault="003600BC" w:rsidP="003600BC">
            <w:pPr>
              <w:spacing w:after="0" w:line="240" w:lineRule="auto"/>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c>
          <w:tcPr>
            <w:tcW w:w="1200" w:type="dxa"/>
            <w:tcBorders>
              <w:top w:val="nil"/>
              <w:left w:val="nil"/>
              <w:bottom w:val="single" w:sz="4" w:space="0" w:color="auto"/>
              <w:right w:val="nil"/>
            </w:tcBorders>
            <w:shd w:val="clear" w:color="auto" w:fill="auto"/>
            <w:noWrap/>
            <w:vAlign w:val="bottom"/>
            <w:hideMark/>
          </w:tcPr>
          <w:p w:rsidR="003600BC" w:rsidRPr="00580F2E" w:rsidRDefault="00DF36EB"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w:t>
            </w:r>
            <w:r w:rsidR="003600BC" w:rsidRPr="00580F2E">
              <w:rPr>
                <w:rFonts w:ascii="Times New Roman" w:eastAsia="Times New Roman" w:hAnsi="Times New Roman" w:cs="Times New Roman"/>
                <w:color w:val="000000"/>
                <w:sz w:val="20"/>
                <w:lang w:val="es-ES" w:eastAsia="es-CL"/>
              </w:rPr>
              <w:t>894</w:t>
            </w:r>
          </w:p>
        </w:tc>
        <w:tc>
          <w:tcPr>
            <w:tcW w:w="280" w:type="dxa"/>
            <w:tcBorders>
              <w:top w:val="nil"/>
              <w:left w:val="nil"/>
              <w:bottom w:val="single" w:sz="4" w:space="0" w:color="auto"/>
              <w:right w:val="nil"/>
            </w:tcBorders>
            <w:shd w:val="clear" w:color="auto" w:fill="auto"/>
            <w:noWrap/>
            <w:vAlign w:val="bottom"/>
            <w:hideMark/>
          </w:tcPr>
          <w:p w:rsidR="003600BC" w:rsidRPr="00580F2E" w:rsidRDefault="003600BC"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 </w:t>
            </w:r>
          </w:p>
        </w:tc>
        <w:tc>
          <w:tcPr>
            <w:tcW w:w="1480" w:type="dxa"/>
            <w:tcBorders>
              <w:top w:val="nil"/>
              <w:left w:val="nil"/>
              <w:bottom w:val="single" w:sz="4" w:space="0" w:color="auto"/>
              <w:right w:val="nil"/>
            </w:tcBorders>
            <w:shd w:val="clear" w:color="auto" w:fill="auto"/>
            <w:noWrap/>
            <w:vAlign w:val="bottom"/>
            <w:hideMark/>
          </w:tcPr>
          <w:p w:rsidR="003600BC" w:rsidRPr="00580F2E" w:rsidRDefault="00FE561F" w:rsidP="003600BC">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0,</w:t>
            </w:r>
            <w:r w:rsidR="003600BC" w:rsidRPr="00580F2E">
              <w:rPr>
                <w:rFonts w:ascii="Times New Roman" w:eastAsia="Times New Roman" w:hAnsi="Times New Roman" w:cs="Times New Roman"/>
                <w:color w:val="000000"/>
                <w:sz w:val="20"/>
                <w:lang w:val="es-ES" w:eastAsia="es-CL"/>
              </w:rPr>
              <w:t>15</w:t>
            </w:r>
          </w:p>
        </w:tc>
      </w:tr>
    </w:tbl>
    <w:p w:rsidR="00100A24" w:rsidRPr="00580F2E" w:rsidRDefault="003600BC" w:rsidP="003600BC">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a partir de SENCE y CASEN (2009).</w:t>
      </w:r>
    </w:p>
    <w:p w:rsidR="003600BC" w:rsidRPr="00580F2E" w:rsidRDefault="003600BC" w:rsidP="003600BC">
      <w:pPr>
        <w:spacing w:after="0"/>
        <w:rPr>
          <w:rFonts w:ascii="Times New Roman" w:hAnsi="Times New Roman" w:cs="Times New Roman"/>
          <w:sz w:val="16"/>
          <w:szCs w:val="16"/>
          <w:lang w:val="es-ES"/>
        </w:rPr>
      </w:pPr>
      <w:r w:rsidRPr="00580F2E">
        <w:rPr>
          <w:rFonts w:ascii="Times New Roman" w:hAnsi="Times New Roman" w:cs="Times New Roman"/>
          <w:sz w:val="16"/>
          <w:szCs w:val="16"/>
          <w:lang w:val="es-ES"/>
        </w:rPr>
        <w:t>Nota: Se muestra</w:t>
      </w:r>
      <w:r w:rsidR="009B1128" w:rsidRPr="00580F2E">
        <w:rPr>
          <w:rFonts w:ascii="Times New Roman" w:hAnsi="Times New Roman" w:cs="Times New Roman"/>
          <w:sz w:val="16"/>
          <w:szCs w:val="16"/>
          <w:lang w:val="es-ES"/>
        </w:rPr>
        <w:t xml:space="preserve"> población atendida (columna SENCE) de programas de capacitación de SENCE para el año 2010. El programa Bono de Trabajador Activo, por no apuntar especialmente a alguno de estos grupos, se repartieron sus beneficiarios de manera equivalente en las tres categorías. La demanda potencial se calculó a partir de la encuesta CASEN 2009, como el total de individuos con secundaria completa o menos. En el caso de jóvenes, se tomó el tramo etáreo de 18 a 23 años. En el caso de adultos, en cambio, se toma a individuos sobre 29 años pero con secundaria incompleta como nivel de escolaridad tope. La</w:t>
      </w:r>
      <w:r w:rsidR="00DF36EB" w:rsidRPr="00580F2E">
        <w:rPr>
          <w:rFonts w:ascii="Times New Roman" w:hAnsi="Times New Roman" w:cs="Times New Roman"/>
          <w:sz w:val="16"/>
          <w:szCs w:val="16"/>
          <w:lang w:val="es-ES"/>
        </w:rPr>
        <w:t xml:space="preserve"> demanda atendida es igual al c</w:t>
      </w:r>
      <w:r w:rsidR="009B1128" w:rsidRPr="00580F2E">
        <w:rPr>
          <w:rFonts w:ascii="Times New Roman" w:hAnsi="Times New Roman" w:cs="Times New Roman"/>
          <w:sz w:val="16"/>
          <w:szCs w:val="16"/>
          <w:lang w:val="es-ES"/>
        </w:rPr>
        <w:t>ociente entre los beneficiarios SENCE con la demanda potencial.</w:t>
      </w:r>
    </w:p>
    <w:p w:rsidR="000F70EE" w:rsidRPr="00580F2E" w:rsidRDefault="000F70EE" w:rsidP="0031578B">
      <w:pPr>
        <w:spacing w:after="0"/>
        <w:rPr>
          <w:rFonts w:ascii="Times New Roman" w:hAnsi="Times New Roman" w:cs="Times New Roman"/>
          <w:lang w:val="es-ES"/>
        </w:rPr>
      </w:pPr>
    </w:p>
    <w:p w:rsidR="000F70EE" w:rsidRPr="00580F2E" w:rsidRDefault="001965E6" w:rsidP="00FE561F">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Adicionalmente a los problemas de escala del sistema de capacitación, existe</w:t>
      </w:r>
      <w:r w:rsidR="00DF36EB"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dudas fundadas r</w:t>
      </w:r>
      <w:r w:rsidR="00DF36EB" w:rsidRPr="00580F2E">
        <w:rPr>
          <w:rFonts w:ascii="Times New Roman" w:hAnsi="Times New Roman" w:cs="Times New Roman"/>
          <w:sz w:val="24"/>
          <w:szCs w:val="24"/>
          <w:lang w:val="es-ES"/>
        </w:rPr>
        <w:t>especto de los instrumentos par</w:t>
      </w:r>
      <w:r w:rsidRPr="00580F2E">
        <w:rPr>
          <w:rFonts w:ascii="Times New Roman" w:hAnsi="Times New Roman" w:cs="Times New Roman"/>
          <w:sz w:val="24"/>
          <w:szCs w:val="24"/>
          <w:lang w:val="es-ES"/>
        </w:rPr>
        <w:t xml:space="preserve">a la focalización. En Chile, gran parte del sistema de protección social tiene como base para la focalización la </w:t>
      </w:r>
      <w:r w:rsidR="000F70EE" w:rsidRPr="00580F2E">
        <w:rPr>
          <w:rFonts w:ascii="Times New Roman" w:hAnsi="Times New Roman" w:cs="Times New Roman"/>
          <w:sz w:val="24"/>
          <w:szCs w:val="24"/>
          <w:lang w:val="es-ES"/>
        </w:rPr>
        <w:t>FPS</w:t>
      </w:r>
      <w:r w:rsidR="00DC6A24" w:rsidRPr="00580F2E">
        <w:rPr>
          <w:rFonts w:ascii="Times New Roman" w:hAnsi="Times New Roman" w:cs="Times New Roman"/>
          <w:sz w:val="24"/>
          <w:szCs w:val="24"/>
          <w:lang w:val="es-ES"/>
        </w:rPr>
        <w:t>, que se dijo, es</w:t>
      </w:r>
      <w:r w:rsidR="000F70EE" w:rsidRPr="00580F2E">
        <w:rPr>
          <w:rFonts w:ascii="Times New Roman" w:hAnsi="Times New Roman" w:cs="Times New Roman"/>
          <w:sz w:val="24"/>
          <w:szCs w:val="24"/>
          <w:lang w:val="es-ES"/>
        </w:rPr>
        <w:t xml:space="preserve"> una encuesta que intenta estimar un indicador de </w:t>
      </w:r>
      <w:r w:rsidR="008E09A4" w:rsidRPr="00580F2E">
        <w:rPr>
          <w:rFonts w:ascii="Times New Roman" w:hAnsi="Times New Roman" w:cs="Times New Roman"/>
          <w:sz w:val="24"/>
          <w:szCs w:val="24"/>
          <w:lang w:val="es-ES"/>
        </w:rPr>
        <w:t>vulnerabilidad social de las familias</w:t>
      </w:r>
      <w:r w:rsidR="000F70EE" w:rsidRPr="00580F2E">
        <w:rPr>
          <w:rFonts w:ascii="Times New Roman" w:hAnsi="Times New Roman" w:cs="Times New Roman"/>
          <w:sz w:val="24"/>
          <w:szCs w:val="24"/>
          <w:lang w:val="es-ES"/>
        </w:rPr>
        <w:t xml:space="preserve">. </w:t>
      </w:r>
      <w:r w:rsidR="008E09A4" w:rsidRPr="00580F2E">
        <w:rPr>
          <w:rFonts w:ascii="Times New Roman" w:hAnsi="Times New Roman" w:cs="Times New Roman"/>
          <w:sz w:val="24"/>
          <w:szCs w:val="24"/>
          <w:lang w:val="es-ES"/>
        </w:rPr>
        <w:t>El cálculo implica la construcción de tres indicadores por familia: (i) capacidad generadora de ingresos, (ii) ingresos, (iii) índice de necesidades.</w:t>
      </w:r>
      <w:r w:rsidR="00AC104D" w:rsidRPr="00580F2E">
        <w:rPr>
          <w:rFonts w:ascii="Times New Roman" w:hAnsi="Times New Roman" w:cs="Times New Roman"/>
          <w:sz w:val="24"/>
          <w:szCs w:val="24"/>
          <w:lang w:val="es-ES"/>
        </w:rPr>
        <w:t xml:space="preserve"> Los programas sociales de SENCE exigen pertenecer al 40% más vulnerable acorde con los puntos de corte que se establecen sobre la base de la FPS.</w:t>
      </w:r>
    </w:p>
    <w:p w:rsidR="008E09A4" w:rsidRPr="00580F2E" w:rsidRDefault="000F70EE" w:rsidP="00FE561F">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La principal debilidad de este instrumento es la imposibilidad del organismo que lo gestiona (Ministerio de Planificación, MIDEPLAN) de poder validar los datos reportados por parte de las familias. De esta manera, ciertas variables –que se sabe</w:t>
      </w:r>
      <w:r w:rsidR="00DC6A24" w:rsidRPr="00580F2E">
        <w:rPr>
          <w:rFonts w:ascii="Times New Roman" w:hAnsi="Times New Roman" w:cs="Times New Roman"/>
          <w:sz w:val="24"/>
          <w:szCs w:val="24"/>
          <w:lang w:val="es-ES"/>
        </w:rPr>
        <w:t>n</w:t>
      </w:r>
      <w:r w:rsidRPr="00580F2E">
        <w:rPr>
          <w:rFonts w:ascii="Times New Roman" w:hAnsi="Times New Roman" w:cs="Times New Roman"/>
          <w:sz w:val="24"/>
          <w:szCs w:val="24"/>
          <w:lang w:val="es-ES"/>
        </w:rPr>
        <w:t xml:space="preserve"> críticas para el cálculo de puntaje– resultan sub o sobre reportadas, de modo de aumentar la probabilidad de recibir beneficios. Además, hay evidencia de malas prácticas en la aplicación de la FPS en algunos municipios, sin sanciones asociadas. Por otro lado, la actualización de la FPS se realiza de manera voluntaria, de modo que familias que mejoran su situación no tienen incentivos a</w:t>
      </w:r>
      <w:r w:rsidR="008E09A4" w:rsidRPr="00580F2E">
        <w:rPr>
          <w:rFonts w:ascii="Times New Roman" w:hAnsi="Times New Roman" w:cs="Times New Roman"/>
          <w:sz w:val="24"/>
          <w:szCs w:val="24"/>
          <w:lang w:val="es-ES"/>
        </w:rPr>
        <w:t xml:space="preserve"> re-calcular su puntaje.</w:t>
      </w:r>
      <w:r w:rsidR="008E09A4" w:rsidRPr="00580F2E">
        <w:rPr>
          <w:rStyle w:val="FootnoteReference"/>
          <w:rFonts w:ascii="Times New Roman" w:hAnsi="Times New Roman" w:cs="Times New Roman"/>
          <w:sz w:val="24"/>
          <w:szCs w:val="24"/>
          <w:lang w:val="es-ES"/>
        </w:rPr>
        <w:footnoteReference w:id="20"/>
      </w:r>
    </w:p>
    <w:p w:rsidR="008E09A4" w:rsidRPr="00580F2E" w:rsidRDefault="008E09A4" w:rsidP="00FE561F">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Los criterio</w:t>
      </w:r>
      <w:r w:rsidR="003E3C79" w:rsidRPr="00580F2E">
        <w:rPr>
          <w:rFonts w:ascii="Times New Roman" w:hAnsi="Times New Roman" w:cs="Times New Roman"/>
          <w:sz w:val="24"/>
          <w:szCs w:val="24"/>
          <w:lang w:val="es-ES"/>
        </w:rPr>
        <w:t>s</w:t>
      </w:r>
      <w:r w:rsidRPr="00580F2E">
        <w:rPr>
          <w:rFonts w:ascii="Times New Roman" w:hAnsi="Times New Roman" w:cs="Times New Roman"/>
          <w:sz w:val="24"/>
          <w:szCs w:val="24"/>
          <w:lang w:val="es-ES"/>
        </w:rPr>
        <w:t xml:space="preserve"> de focalización que se ocupan se establecen en base a umbrales en este puntaje. A partir de la encuesta CASEN (representativa a nivel nacional), se simula el puntaje FPS y luego se calculan deciles acorde</w:t>
      </w:r>
      <w:r w:rsidR="00DC6A24" w:rsidRPr="00580F2E">
        <w:rPr>
          <w:rFonts w:ascii="Times New Roman" w:hAnsi="Times New Roman" w:cs="Times New Roman"/>
          <w:sz w:val="24"/>
          <w:szCs w:val="24"/>
          <w:lang w:val="es-ES"/>
        </w:rPr>
        <w:t>s</w:t>
      </w:r>
      <w:r w:rsidRPr="00580F2E">
        <w:rPr>
          <w:rFonts w:ascii="Times New Roman" w:hAnsi="Times New Roman" w:cs="Times New Roman"/>
          <w:sz w:val="24"/>
          <w:szCs w:val="24"/>
          <w:lang w:val="es-ES"/>
        </w:rPr>
        <w:t xml:space="preserve"> con el puntaje simulado. Sobre la base de </w:t>
      </w:r>
      <w:r w:rsidRPr="00580F2E">
        <w:rPr>
          <w:rFonts w:ascii="Times New Roman" w:hAnsi="Times New Roman" w:cs="Times New Roman"/>
          <w:sz w:val="24"/>
          <w:szCs w:val="24"/>
          <w:lang w:val="es-ES"/>
        </w:rPr>
        <w:lastRenderedPageBreak/>
        <w:t xml:space="preserve">los puntos de corte de estos deciles se han establecido los criterios para acceder a programas sociales. De esta manera, el punto de corte más común ha sido 11.734 puntos, correspondiente al punto en donde, teóricamente, debiera ubicarse el 40% de la población más </w:t>
      </w:r>
      <w:r w:rsidR="003E3C79" w:rsidRPr="00580F2E">
        <w:rPr>
          <w:rFonts w:ascii="Times New Roman" w:hAnsi="Times New Roman" w:cs="Times New Roman"/>
          <w:sz w:val="24"/>
          <w:szCs w:val="24"/>
          <w:lang w:val="es-ES"/>
        </w:rPr>
        <w:t>vulnerable en Chile. El Cuadro 6</w:t>
      </w:r>
      <w:r w:rsidRPr="00580F2E">
        <w:rPr>
          <w:rFonts w:ascii="Times New Roman" w:hAnsi="Times New Roman" w:cs="Times New Roman"/>
          <w:sz w:val="24"/>
          <w:szCs w:val="24"/>
          <w:lang w:val="es-ES"/>
        </w:rPr>
        <w:t xml:space="preserve"> muestra la distribución de población usando los deciles construidos. Se puede apreciar que 7</w:t>
      </w:r>
      <w:r w:rsidR="00A70B73" w:rsidRPr="00580F2E">
        <w:rPr>
          <w:rFonts w:ascii="Times New Roman" w:hAnsi="Times New Roman" w:cs="Times New Roman"/>
          <w:sz w:val="24"/>
          <w:szCs w:val="24"/>
          <w:lang w:val="es-ES"/>
        </w:rPr>
        <w:t>1</w:t>
      </w:r>
      <w:r w:rsidRPr="00580F2E">
        <w:rPr>
          <w:rFonts w:ascii="Times New Roman" w:hAnsi="Times New Roman" w:cs="Times New Roman"/>
          <w:sz w:val="24"/>
          <w:szCs w:val="24"/>
          <w:lang w:val="es-ES"/>
        </w:rPr>
        <w:t xml:space="preserve">% de </w:t>
      </w:r>
      <w:r w:rsidR="00A70B73" w:rsidRPr="00580F2E">
        <w:rPr>
          <w:rFonts w:ascii="Times New Roman" w:hAnsi="Times New Roman" w:cs="Times New Roman"/>
          <w:sz w:val="24"/>
          <w:szCs w:val="24"/>
          <w:lang w:val="es-ES"/>
        </w:rPr>
        <w:t>los hogares que tiene FPS</w:t>
      </w:r>
      <w:r w:rsidRPr="00580F2E">
        <w:rPr>
          <w:rFonts w:ascii="Times New Roman" w:hAnsi="Times New Roman" w:cs="Times New Roman"/>
          <w:sz w:val="24"/>
          <w:szCs w:val="24"/>
          <w:lang w:val="es-ES"/>
        </w:rPr>
        <w:t xml:space="preserve"> se ubica por debajo de los 11.734 puntos</w:t>
      </w:r>
      <w:r w:rsidR="00A70B73" w:rsidRPr="00580F2E">
        <w:rPr>
          <w:rFonts w:ascii="Times New Roman" w:hAnsi="Times New Roman" w:cs="Times New Roman"/>
          <w:sz w:val="24"/>
          <w:szCs w:val="24"/>
          <w:lang w:val="es-ES"/>
        </w:rPr>
        <w:t xml:space="preserve"> (primeros cuatro deciles)</w:t>
      </w:r>
      <w:r w:rsidR="00DC6A24" w:rsidRPr="00580F2E">
        <w:rPr>
          <w:rFonts w:ascii="Times New Roman" w:hAnsi="Times New Roman" w:cs="Times New Roman"/>
          <w:sz w:val="24"/>
          <w:szCs w:val="24"/>
          <w:lang w:val="es-ES"/>
        </w:rPr>
        <w:t>. Esto</w:t>
      </w:r>
      <w:r w:rsidRPr="00580F2E">
        <w:rPr>
          <w:rFonts w:ascii="Times New Roman" w:hAnsi="Times New Roman" w:cs="Times New Roman"/>
          <w:sz w:val="24"/>
          <w:szCs w:val="24"/>
          <w:lang w:val="es-ES"/>
        </w:rPr>
        <w:t xml:space="preserve"> constituye un indicio de importantes errores de inclusión.</w:t>
      </w:r>
    </w:p>
    <w:p w:rsidR="008E09A4" w:rsidRPr="00580F2E" w:rsidRDefault="008E09A4" w:rsidP="001965E6">
      <w:pPr>
        <w:spacing w:after="0"/>
        <w:jc w:val="both"/>
        <w:rPr>
          <w:rFonts w:ascii="Times New Roman" w:hAnsi="Times New Roman" w:cs="Times New Roman"/>
          <w:sz w:val="24"/>
          <w:szCs w:val="24"/>
          <w:lang w:val="es-ES"/>
        </w:rPr>
      </w:pPr>
    </w:p>
    <w:p w:rsidR="003E3C79" w:rsidRPr="00580F2E" w:rsidRDefault="003E3C79" w:rsidP="00A70B73">
      <w:pPr>
        <w:spacing w:after="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t xml:space="preserve">Cuadro </w:t>
      </w:r>
      <w:r w:rsidR="00A70B73" w:rsidRPr="00580F2E">
        <w:rPr>
          <w:rFonts w:ascii="Times New Roman" w:hAnsi="Times New Roman" w:cs="Times New Roman"/>
          <w:b/>
          <w:sz w:val="24"/>
          <w:szCs w:val="24"/>
          <w:lang w:val="es-ES"/>
        </w:rPr>
        <w:t>6: Deciles FPS y número de hogares</w:t>
      </w:r>
    </w:p>
    <w:tbl>
      <w:tblPr>
        <w:tblW w:w="0" w:type="auto"/>
        <w:jc w:val="center"/>
        <w:tblInd w:w="70" w:type="dxa"/>
        <w:tblCellMar>
          <w:left w:w="70" w:type="dxa"/>
          <w:right w:w="70" w:type="dxa"/>
        </w:tblCellMar>
        <w:tblLook w:val="04A0" w:firstRow="1" w:lastRow="0" w:firstColumn="1" w:lastColumn="0" w:noHBand="0" w:noVBand="1"/>
      </w:tblPr>
      <w:tblGrid>
        <w:gridCol w:w="979"/>
        <w:gridCol w:w="940"/>
        <w:gridCol w:w="440"/>
        <w:gridCol w:w="1335"/>
      </w:tblGrid>
      <w:tr w:rsidR="00DC6A24" w:rsidRPr="00580F2E" w:rsidTr="00DC6A24">
        <w:trPr>
          <w:trHeight w:val="300"/>
          <w:jc w:val="center"/>
        </w:trPr>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Decil FPS</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hogares</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acumulado</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458.993</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29</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29</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II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261.707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46</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III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238.200</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15</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61</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IV</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155.188</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10</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71</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V</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108.187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78</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VI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99.664</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6</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84</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VII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88.516</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6</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90</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VIII</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78.947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5</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95</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IX</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55.637</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4</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98</w:t>
            </w:r>
          </w:p>
        </w:tc>
      </w:tr>
      <w:tr w:rsidR="00DC6A24" w:rsidRPr="00580F2E" w:rsidTr="00DC6A24">
        <w:trPr>
          <w:trHeight w:val="300"/>
          <w:jc w:val="center"/>
        </w:trPr>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X</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26.796</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2</w:t>
            </w:r>
          </w:p>
        </w:tc>
        <w:tc>
          <w:tcPr>
            <w:tcW w:w="0" w:type="auto"/>
            <w:tcBorders>
              <w:top w:val="nil"/>
              <w:left w:val="nil"/>
              <w:bottom w:val="nil"/>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color w:val="000000"/>
                <w:sz w:val="20"/>
                <w:lang w:val="es-ES" w:eastAsia="es-CL"/>
              </w:rPr>
            </w:pPr>
            <w:r w:rsidRPr="00580F2E">
              <w:rPr>
                <w:rFonts w:ascii="Times New Roman" w:eastAsia="Times New Roman" w:hAnsi="Times New Roman" w:cs="Times New Roman"/>
                <w:color w:val="000000"/>
                <w:sz w:val="20"/>
                <w:lang w:val="es-ES" w:eastAsia="es-CL"/>
              </w:rPr>
              <w:t>100</w:t>
            </w:r>
          </w:p>
        </w:tc>
      </w:tr>
      <w:tr w:rsidR="00DC6A24" w:rsidRPr="00580F2E" w:rsidTr="00DC6A24">
        <w:trPr>
          <w:trHeight w:val="300"/>
          <w:jc w:val="center"/>
        </w:trPr>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Total</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1.571.835</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100</w:t>
            </w:r>
          </w:p>
        </w:tc>
        <w:tc>
          <w:tcPr>
            <w:tcW w:w="0" w:type="auto"/>
            <w:tcBorders>
              <w:top w:val="single" w:sz="4" w:space="0" w:color="auto"/>
              <w:left w:val="nil"/>
              <w:bottom w:val="single" w:sz="4" w:space="0" w:color="auto"/>
              <w:right w:val="nil"/>
            </w:tcBorders>
            <w:shd w:val="clear" w:color="auto" w:fill="auto"/>
            <w:noWrap/>
            <w:vAlign w:val="bottom"/>
            <w:hideMark/>
          </w:tcPr>
          <w:p w:rsidR="00DC6A24" w:rsidRPr="00580F2E" w:rsidRDefault="00DC6A24" w:rsidP="00DC6A24">
            <w:pPr>
              <w:spacing w:after="0" w:line="240" w:lineRule="auto"/>
              <w:jc w:val="center"/>
              <w:rPr>
                <w:rFonts w:ascii="Times New Roman" w:eastAsia="Times New Roman" w:hAnsi="Times New Roman" w:cs="Times New Roman"/>
                <w:b/>
                <w:bCs/>
                <w:color w:val="000000"/>
                <w:sz w:val="20"/>
                <w:lang w:val="es-ES" w:eastAsia="es-CL"/>
              </w:rPr>
            </w:pPr>
            <w:r w:rsidRPr="00580F2E">
              <w:rPr>
                <w:rFonts w:ascii="Times New Roman" w:eastAsia="Times New Roman" w:hAnsi="Times New Roman" w:cs="Times New Roman"/>
                <w:b/>
                <w:bCs/>
                <w:color w:val="000000"/>
                <w:sz w:val="20"/>
                <w:lang w:val="es-ES" w:eastAsia="es-CL"/>
              </w:rPr>
              <w:t> </w:t>
            </w:r>
          </w:p>
        </w:tc>
      </w:tr>
    </w:tbl>
    <w:p w:rsidR="00DC6A24" w:rsidRPr="00580F2E" w:rsidRDefault="00DC6A24" w:rsidP="001965E6">
      <w:pPr>
        <w:spacing w:after="0"/>
        <w:jc w:val="both"/>
        <w:rPr>
          <w:rFonts w:ascii="Times New Roman" w:hAnsi="Times New Roman" w:cs="Times New Roman"/>
          <w:sz w:val="16"/>
          <w:szCs w:val="16"/>
          <w:lang w:val="es-ES"/>
        </w:rPr>
      </w:pPr>
    </w:p>
    <w:p w:rsidR="008E09A4" w:rsidRPr="00580F2E" w:rsidRDefault="00A70B73" w:rsidP="001965E6">
      <w:pPr>
        <w:spacing w:after="0"/>
        <w:jc w:val="both"/>
        <w:rPr>
          <w:rFonts w:ascii="Times New Roman" w:hAnsi="Times New Roman" w:cs="Times New Roman"/>
          <w:sz w:val="16"/>
          <w:szCs w:val="16"/>
          <w:lang w:val="es-ES"/>
        </w:rPr>
      </w:pPr>
      <w:r w:rsidRPr="00580F2E">
        <w:rPr>
          <w:rFonts w:ascii="Times New Roman" w:hAnsi="Times New Roman" w:cs="Times New Roman"/>
          <w:sz w:val="16"/>
          <w:szCs w:val="16"/>
          <w:lang w:val="es-ES"/>
        </w:rPr>
        <w:t>Fuente: Elaboración propia a partir de registros administrativos FPS. La base de datos está actualizada al año 2011.</w:t>
      </w:r>
    </w:p>
    <w:p w:rsidR="003E3C79" w:rsidRPr="00580F2E" w:rsidRDefault="003E3C79" w:rsidP="001965E6">
      <w:pPr>
        <w:spacing w:after="0"/>
        <w:jc w:val="both"/>
        <w:rPr>
          <w:rFonts w:ascii="Times New Roman" w:hAnsi="Times New Roman" w:cs="Times New Roman"/>
          <w:sz w:val="24"/>
          <w:szCs w:val="24"/>
          <w:lang w:val="es-ES"/>
        </w:rPr>
      </w:pPr>
    </w:p>
    <w:p w:rsidR="009641FF" w:rsidRPr="00580F2E" w:rsidRDefault="001073A4"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Tal como se señala las conclusiones vertidas por el Comité de Expertos </w:t>
      </w:r>
      <w:r w:rsidR="00A70B73"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que</w:t>
      </w:r>
      <w:r w:rsidR="00A70B73"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en el año 2010 analizó la capacidad de focalización de la FPS</w:t>
      </w:r>
      <w:r w:rsidR="00A70B73" w:rsidRPr="00580F2E">
        <w:rPr>
          <w:rFonts w:ascii="Times New Roman" w:hAnsi="Times New Roman" w:cs="Times New Roman"/>
          <w:sz w:val="24"/>
          <w:szCs w:val="24"/>
          <w:lang w:val="es-ES"/>
        </w:rPr>
        <w:t>–</w:t>
      </w:r>
      <w:r w:rsidRPr="00580F2E">
        <w:rPr>
          <w:rFonts w:ascii="Times New Roman" w:hAnsi="Times New Roman" w:cs="Times New Roman"/>
          <w:sz w:val="24"/>
          <w:szCs w:val="24"/>
          <w:lang w:val="es-ES"/>
        </w:rPr>
        <w:t xml:space="preserve"> </w:t>
      </w:r>
      <w:r w:rsidR="00113FDC" w:rsidRPr="00580F2E">
        <w:rPr>
          <w:rFonts w:ascii="Times New Roman" w:hAnsi="Times New Roman" w:cs="Times New Roman"/>
          <w:sz w:val="24"/>
          <w:szCs w:val="24"/>
          <w:lang w:val="es-ES"/>
        </w:rPr>
        <w:t>dos</w:t>
      </w:r>
      <w:r w:rsidRPr="00580F2E">
        <w:rPr>
          <w:rFonts w:ascii="Times New Roman" w:hAnsi="Times New Roman" w:cs="Times New Roman"/>
          <w:sz w:val="24"/>
          <w:szCs w:val="24"/>
          <w:lang w:val="es-ES"/>
        </w:rPr>
        <w:t xml:space="preserve"> de las variables con evidencia de ser manipuladas son </w:t>
      </w:r>
      <w:r w:rsidR="00113FDC" w:rsidRPr="00580F2E">
        <w:rPr>
          <w:rFonts w:ascii="Times New Roman" w:hAnsi="Times New Roman" w:cs="Times New Roman"/>
          <w:sz w:val="24"/>
          <w:szCs w:val="24"/>
          <w:lang w:val="es-ES"/>
        </w:rPr>
        <w:t>el</w:t>
      </w:r>
      <w:r w:rsidRPr="00580F2E">
        <w:rPr>
          <w:rFonts w:ascii="Times New Roman" w:hAnsi="Times New Roman" w:cs="Times New Roman"/>
          <w:sz w:val="24"/>
          <w:szCs w:val="24"/>
          <w:lang w:val="es-ES"/>
        </w:rPr>
        <w:t xml:space="preserve"> tamaño del hogar y discapacidad (ver también Herrera, Larrañaga y Telias, 2010).</w:t>
      </w:r>
      <w:r w:rsidR="00D8565E" w:rsidRPr="00580F2E">
        <w:rPr>
          <w:rFonts w:ascii="Times New Roman" w:hAnsi="Times New Roman" w:cs="Times New Roman"/>
          <w:sz w:val="24"/>
          <w:szCs w:val="24"/>
          <w:lang w:val="es-ES"/>
        </w:rPr>
        <w:t xml:space="preserve"> </w:t>
      </w:r>
      <w:r w:rsidR="00113FDC" w:rsidRPr="00580F2E">
        <w:rPr>
          <w:rFonts w:ascii="Times New Roman" w:hAnsi="Times New Roman" w:cs="Times New Roman"/>
          <w:sz w:val="24"/>
          <w:szCs w:val="24"/>
          <w:lang w:val="es-ES"/>
        </w:rPr>
        <w:t>En efecto, la tasa promedio de discapacidad en los datos FPS supera en más de dos veces la tasa promedio de individuos en base a encuesta CASEN 2003.</w:t>
      </w:r>
      <w:r w:rsidR="00113FDC" w:rsidRPr="00580F2E">
        <w:rPr>
          <w:rStyle w:val="FootnoteReference"/>
          <w:rFonts w:ascii="Times New Roman" w:hAnsi="Times New Roman" w:cs="Times New Roman"/>
          <w:sz w:val="24"/>
          <w:szCs w:val="24"/>
          <w:lang w:val="es-ES"/>
        </w:rPr>
        <w:footnoteReference w:id="21"/>
      </w:r>
      <w:r w:rsidR="00113FDC" w:rsidRPr="00580F2E">
        <w:rPr>
          <w:rFonts w:ascii="Times New Roman" w:hAnsi="Times New Roman" w:cs="Times New Roman"/>
          <w:sz w:val="24"/>
          <w:szCs w:val="24"/>
          <w:lang w:val="es-ES"/>
        </w:rPr>
        <w:t xml:space="preserve"> Por otro lado, de acuerdo a un estudio elaborado por MIDEPLAN</w:t>
      </w:r>
      <w:r w:rsidR="00FE561F" w:rsidRPr="00580F2E">
        <w:rPr>
          <w:rFonts w:ascii="Times New Roman" w:hAnsi="Times New Roman" w:cs="Times New Roman"/>
          <w:sz w:val="24"/>
          <w:szCs w:val="24"/>
          <w:lang w:val="es-ES"/>
        </w:rPr>
        <w:t xml:space="preserve"> (MIDEPLAN, 2010),</w:t>
      </w:r>
      <w:r w:rsidR="00113FDC" w:rsidRPr="00580F2E">
        <w:rPr>
          <w:rFonts w:ascii="Times New Roman" w:hAnsi="Times New Roman" w:cs="Times New Roman"/>
          <w:sz w:val="24"/>
          <w:szCs w:val="24"/>
          <w:lang w:val="es-ES"/>
        </w:rPr>
        <w:t xml:space="preserve"> 17% de los hogares presentan cambios en sus grupos familiares, o bien se han dividido en dos o más grupos. </w:t>
      </w:r>
      <w:r w:rsidR="002A7354" w:rsidRPr="00580F2E">
        <w:rPr>
          <w:rFonts w:ascii="Times New Roman" w:hAnsi="Times New Roman" w:cs="Times New Roman"/>
          <w:sz w:val="24"/>
          <w:szCs w:val="24"/>
          <w:lang w:val="es-ES"/>
        </w:rPr>
        <w:t>Asimismo, Larrañaga, Herrera y Telias (2010) muestran que el tamaño promedio del hogar de la FPS es considerablemente más pequeño que lo reportado en la encuesta CASEN 2003.</w:t>
      </w:r>
    </w:p>
    <w:p w:rsidR="00113FDC" w:rsidRPr="00580F2E" w:rsidRDefault="00113FDC" w:rsidP="00733694">
      <w:pPr>
        <w:spacing w:after="0" w:line="360" w:lineRule="auto"/>
        <w:ind w:firstLine="709"/>
        <w:jc w:val="both"/>
        <w:rPr>
          <w:rFonts w:ascii="Times New Roman" w:hAnsi="Times New Roman" w:cs="Times New Roman"/>
          <w:sz w:val="24"/>
          <w:szCs w:val="24"/>
          <w:lang w:val="es-ES"/>
        </w:rPr>
      </w:pPr>
    </w:p>
    <w:p w:rsidR="002A7354" w:rsidRPr="00580F2E" w:rsidRDefault="002A7354" w:rsidP="00733694">
      <w:pPr>
        <w:spacing w:after="0" w:line="360" w:lineRule="auto"/>
        <w:ind w:firstLine="709"/>
        <w:jc w:val="both"/>
        <w:rPr>
          <w:rFonts w:ascii="Times New Roman" w:hAnsi="Times New Roman" w:cs="Times New Roman"/>
          <w:sz w:val="24"/>
          <w:szCs w:val="24"/>
          <w:lang w:val="es-ES"/>
        </w:rPr>
      </w:pPr>
    </w:p>
    <w:p w:rsidR="000F70EE" w:rsidRPr="00580F2E" w:rsidRDefault="002A7354"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Por lo tanto, los antecedentes recabados en esta sección apuntan a que el sistema de capacitación no sólo tiene importantes problemas en su capacidad para atender a grupos vulnerables, sino también posee instrumentos con alta probabilidad de cometer errores de inclusión en la focalización.</w:t>
      </w:r>
    </w:p>
    <w:p w:rsidR="001965E6" w:rsidRPr="00580F2E" w:rsidRDefault="001965E6" w:rsidP="00733694">
      <w:pPr>
        <w:spacing w:after="0" w:line="360" w:lineRule="auto"/>
        <w:ind w:firstLine="709"/>
        <w:rPr>
          <w:rFonts w:ascii="Times New Roman" w:hAnsi="Times New Roman" w:cs="Times New Roman"/>
          <w:lang w:val="es-ES"/>
        </w:rPr>
      </w:pPr>
    </w:p>
    <w:p w:rsidR="00336F4A" w:rsidRPr="00580F2E" w:rsidRDefault="00336F4A" w:rsidP="00733694">
      <w:pPr>
        <w:pStyle w:val="ListParagraph"/>
        <w:numPr>
          <w:ilvl w:val="0"/>
          <w:numId w:val="7"/>
        </w:numPr>
        <w:spacing w:after="0" w:line="360" w:lineRule="auto"/>
        <w:ind w:firstLine="709"/>
        <w:rPr>
          <w:rFonts w:ascii="Times New Roman" w:hAnsi="Times New Roman" w:cs="Times New Roman"/>
          <w:b/>
          <w:sz w:val="24"/>
          <w:szCs w:val="24"/>
          <w:lang w:val="es-ES"/>
        </w:rPr>
      </w:pPr>
      <w:r w:rsidRPr="00580F2E">
        <w:rPr>
          <w:rFonts w:ascii="Times New Roman" w:hAnsi="Times New Roman" w:cs="Times New Roman"/>
          <w:b/>
          <w:sz w:val="24"/>
          <w:szCs w:val="24"/>
          <w:lang w:val="es-ES"/>
        </w:rPr>
        <w:t>Conclusiones</w:t>
      </w:r>
    </w:p>
    <w:p w:rsidR="00336F4A" w:rsidRPr="00580F2E" w:rsidRDefault="00336F4A" w:rsidP="00733694">
      <w:pPr>
        <w:pStyle w:val="ListParagraph"/>
        <w:spacing w:after="0" w:line="360" w:lineRule="auto"/>
        <w:ind w:left="360" w:firstLine="709"/>
        <w:rPr>
          <w:rFonts w:ascii="Times New Roman" w:hAnsi="Times New Roman" w:cs="Times New Roman"/>
          <w:b/>
          <w:sz w:val="24"/>
          <w:szCs w:val="24"/>
          <w:lang w:val="es-ES"/>
        </w:rPr>
      </w:pPr>
    </w:p>
    <w:p w:rsidR="00CC2AE7" w:rsidRPr="00580F2E" w:rsidRDefault="00336F4A"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El presente diagnóstico revela una serie de deficiencias del sistema de capacitación en Chile. </w:t>
      </w:r>
      <w:r w:rsidR="00CC2AE7" w:rsidRPr="00580F2E">
        <w:rPr>
          <w:rFonts w:ascii="Times New Roman" w:hAnsi="Times New Roman" w:cs="Times New Roman"/>
          <w:sz w:val="24"/>
          <w:szCs w:val="24"/>
          <w:lang w:val="es-ES"/>
        </w:rPr>
        <w:t>Sin tener la intención de elaborar una lista exhaustiva de puntos a destacar, este estudio se centra en dos elementos fundamentales</w:t>
      </w:r>
      <w:r w:rsidR="00A76101" w:rsidRPr="00580F2E">
        <w:rPr>
          <w:rFonts w:ascii="Times New Roman" w:hAnsi="Times New Roman" w:cs="Times New Roman"/>
          <w:sz w:val="24"/>
          <w:szCs w:val="24"/>
          <w:lang w:val="es-ES"/>
        </w:rPr>
        <w:t xml:space="preserve"> que caracterizan</w:t>
      </w:r>
      <w:r w:rsidR="00CC2AE7" w:rsidRPr="00580F2E">
        <w:rPr>
          <w:rFonts w:ascii="Times New Roman" w:hAnsi="Times New Roman" w:cs="Times New Roman"/>
          <w:sz w:val="24"/>
          <w:szCs w:val="24"/>
          <w:lang w:val="es-ES"/>
        </w:rPr>
        <w:t xml:space="preserve"> </w:t>
      </w:r>
      <w:r w:rsidR="00A76101" w:rsidRPr="00580F2E">
        <w:rPr>
          <w:rFonts w:ascii="Times New Roman" w:hAnsi="Times New Roman" w:cs="Times New Roman"/>
          <w:sz w:val="24"/>
          <w:szCs w:val="24"/>
          <w:lang w:val="es-ES"/>
        </w:rPr>
        <w:t xml:space="preserve">al </w:t>
      </w:r>
      <w:r w:rsidR="00CC2AE7" w:rsidRPr="00580F2E">
        <w:rPr>
          <w:rFonts w:ascii="Times New Roman" w:hAnsi="Times New Roman" w:cs="Times New Roman"/>
          <w:sz w:val="24"/>
          <w:szCs w:val="24"/>
          <w:lang w:val="es-ES"/>
        </w:rPr>
        <w:t>sistema</w:t>
      </w:r>
      <w:r w:rsidRPr="00580F2E">
        <w:rPr>
          <w:rFonts w:ascii="Times New Roman" w:hAnsi="Times New Roman" w:cs="Times New Roman"/>
          <w:sz w:val="24"/>
          <w:szCs w:val="24"/>
          <w:lang w:val="es-ES"/>
        </w:rPr>
        <w:t>.</w:t>
      </w:r>
      <w:r w:rsidR="00CC2AE7" w:rsidRPr="00580F2E">
        <w:rPr>
          <w:rFonts w:ascii="Times New Roman" w:hAnsi="Times New Roman" w:cs="Times New Roman"/>
          <w:sz w:val="24"/>
          <w:szCs w:val="24"/>
          <w:lang w:val="es-ES"/>
        </w:rPr>
        <w:t xml:space="preserve"> </w:t>
      </w:r>
    </w:p>
    <w:p w:rsidR="00336F4A" w:rsidRPr="00580F2E" w:rsidRDefault="00CC2AE7"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En primer lugar, l</w:t>
      </w:r>
      <w:r w:rsidR="00336F4A" w:rsidRPr="00580F2E">
        <w:rPr>
          <w:rFonts w:ascii="Times New Roman" w:hAnsi="Times New Roman" w:cs="Times New Roman"/>
          <w:sz w:val="24"/>
          <w:szCs w:val="24"/>
          <w:lang w:val="es-ES"/>
        </w:rPr>
        <w:t>a plataforma institucional del Sistema de Capacitación en Chile tiene como objetivo cerrar brechas de competencias en trabajadores desaventajados. Dichos trabajadores en Chile se concentran en estratos de baja edad, en mujeres y en ciertos segmentos de adultos con períodos de desempleo prolongados</w:t>
      </w:r>
      <w:r w:rsidR="00A70B73" w:rsidRPr="00580F2E">
        <w:rPr>
          <w:rFonts w:ascii="Times New Roman" w:hAnsi="Times New Roman" w:cs="Times New Roman"/>
          <w:sz w:val="24"/>
          <w:szCs w:val="24"/>
          <w:lang w:val="es-ES"/>
        </w:rPr>
        <w:t xml:space="preserve"> y bajo capital humano</w:t>
      </w:r>
      <w:r w:rsidR="00336F4A" w:rsidRPr="00580F2E">
        <w:rPr>
          <w:rFonts w:ascii="Times New Roman" w:hAnsi="Times New Roman" w:cs="Times New Roman"/>
          <w:sz w:val="24"/>
          <w:szCs w:val="24"/>
          <w:lang w:val="es-ES"/>
        </w:rPr>
        <w:t xml:space="preserve">. No obstante, </w:t>
      </w:r>
      <w:r w:rsidR="00DC6A24" w:rsidRPr="00580F2E">
        <w:rPr>
          <w:rFonts w:ascii="Times New Roman" w:hAnsi="Times New Roman" w:cs="Times New Roman"/>
          <w:sz w:val="24"/>
          <w:szCs w:val="24"/>
          <w:lang w:val="es-ES"/>
        </w:rPr>
        <w:t xml:space="preserve">en la práctica, </w:t>
      </w:r>
      <w:r w:rsidR="00336F4A" w:rsidRPr="00580F2E">
        <w:rPr>
          <w:rFonts w:ascii="Times New Roman" w:hAnsi="Times New Roman" w:cs="Times New Roman"/>
          <w:sz w:val="24"/>
          <w:szCs w:val="24"/>
          <w:lang w:val="es-ES"/>
        </w:rPr>
        <w:t>gran parte del Sistema de Capacitación apunta a trabajadores con stock de capital humano sobre el promedio. En ello influye la alta demanda por FT, programa que subsidia a empresas por inversión en capacitación. El resto de los programas con foc</w:t>
      </w:r>
      <w:r w:rsidR="00A70B73" w:rsidRPr="00580F2E">
        <w:rPr>
          <w:rFonts w:ascii="Times New Roman" w:hAnsi="Times New Roman" w:cs="Times New Roman"/>
          <w:sz w:val="24"/>
          <w:szCs w:val="24"/>
          <w:lang w:val="es-ES"/>
        </w:rPr>
        <w:t>o</w:t>
      </w:r>
      <w:r w:rsidR="00336F4A" w:rsidRPr="00580F2E">
        <w:rPr>
          <w:rFonts w:ascii="Times New Roman" w:hAnsi="Times New Roman" w:cs="Times New Roman"/>
          <w:sz w:val="24"/>
          <w:szCs w:val="24"/>
          <w:lang w:val="es-ES"/>
        </w:rPr>
        <w:t xml:space="preserve"> en grupos vulnerables no alcanzan una escala que pueda atender a la demanda potencial por capacitación.</w:t>
      </w:r>
      <w:r w:rsidR="00A70B73" w:rsidRPr="00580F2E">
        <w:rPr>
          <w:rFonts w:ascii="Times New Roman" w:hAnsi="Times New Roman" w:cs="Times New Roman"/>
          <w:sz w:val="24"/>
          <w:szCs w:val="24"/>
          <w:lang w:val="es-ES"/>
        </w:rPr>
        <w:t xml:space="preserve"> Asimismo, no se poseen los instrumentos adecuados como para pesquisar a grupos con necesidades reales de capacitación.</w:t>
      </w:r>
    </w:p>
    <w:p w:rsidR="00336F4A" w:rsidRPr="00580F2E" w:rsidRDefault="00CC2AE7"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En segundo lugar, a</w:t>
      </w:r>
      <w:r w:rsidR="00336F4A" w:rsidRPr="00580F2E">
        <w:rPr>
          <w:rFonts w:ascii="Times New Roman" w:hAnsi="Times New Roman" w:cs="Times New Roman"/>
          <w:sz w:val="24"/>
          <w:szCs w:val="24"/>
          <w:lang w:val="es-ES"/>
        </w:rPr>
        <w:t xml:space="preserve"> diferencia </w:t>
      </w:r>
      <w:r w:rsidR="00A70B73" w:rsidRPr="00580F2E">
        <w:rPr>
          <w:rFonts w:ascii="Times New Roman" w:hAnsi="Times New Roman" w:cs="Times New Roman"/>
          <w:sz w:val="24"/>
          <w:szCs w:val="24"/>
          <w:lang w:val="es-ES"/>
        </w:rPr>
        <w:t>de</w:t>
      </w:r>
      <w:r w:rsidR="00336F4A" w:rsidRPr="00580F2E">
        <w:rPr>
          <w:rFonts w:ascii="Times New Roman" w:hAnsi="Times New Roman" w:cs="Times New Roman"/>
          <w:sz w:val="24"/>
          <w:szCs w:val="24"/>
          <w:lang w:val="es-ES"/>
        </w:rPr>
        <w:t xml:space="preserve"> otras instancias de adquisición de capital humano, no se conoce con certeza el impacto que tiene el Sistema de Capacitación. Recientemente, una evaluación no experimental con datos administrativos muestra que el programa de mayor cobertura FT –cuyos beneficiarios alcanzan cerca de 80% del total de capacitados– </w:t>
      </w:r>
      <w:r w:rsidR="00A76101" w:rsidRPr="00580F2E">
        <w:rPr>
          <w:rFonts w:ascii="Times New Roman" w:hAnsi="Times New Roman" w:cs="Times New Roman"/>
          <w:sz w:val="24"/>
          <w:szCs w:val="24"/>
          <w:lang w:val="es-ES"/>
        </w:rPr>
        <w:t xml:space="preserve">exhibe </w:t>
      </w:r>
      <w:r w:rsidR="00336F4A" w:rsidRPr="00580F2E">
        <w:rPr>
          <w:rFonts w:ascii="Times New Roman" w:hAnsi="Times New Roman" w:cs="Times New Roman"/>
          <w:sz w:val="24"/>
          <w:szCs w:val="24"/>
          <w:lang w:val="es-ES"/>
        </w:rPr>
        <w:t xml:space="preserve">impactos </w:t>
      </w:r>
      <w:r w:rsidR="00DC6A24" w:rsidRPr="00580F2E">
        <w:rPr>
          <w:rFonts w:ascii="Times New Roman" w:hAnsi="Times New Roman" w:cs="Times New Roman"/>
          <w:sz w:val="24"/>
          <w:szCs w:val="24"/>
          <w:lang w:val="es-ES"/>
        </w:rPr>
        <w:t xml:space="preserve">nulos </w:t>
      </w:r>
      <w:r w:rsidR="00336F4A" w:rsidRPr="00580F2E">
        <w:rPr>
          <w:rFonts w:ascii="Times New Roman" w:hAnsi="Times New Roman" w:cs="Times New Roman"/>
          <w:sz w:val="24"/>
          <w:szCs w:val="24"/>
          <w:lang w:val="es-ES"/>
        </w:rPr>
        <w:t>(o muy cercanos</w:t>
      </w:r>
      <w:r w:rsidR="00DC6A24" w:rsidRPr="00580F2E">
        <w:rPr>
          <w:rFonts w:ascii="Times New Roman" w:hAnsi="Times New Roman" w:cs="Times New Roman"/>
          <w:sz w:val="24"/>
          <w:szCs w:val="24"/>
          <w:lang w:val="es-ES"/>
        </w:rPr>
        <w:t xml:space="preserve"> a 0</w:t>
      </w:r>
      <w:r w:rsidR="00336F4A" w:rsidRPr="00580F2E">
        <w:rPr>
          <w:rFonts w:ascii="Times New Roman" w:hAnsi="Times New Roman" w:cs="Times New Roman"/>
          <w:sz w:val="24"/>
          <w:szCs w:val="24"/>
          <w:lang w:val="es-ES"/>
        </w:rPr>
        <w:t>) sobre sus beneficiarios (Rodríguez y Urzúa, 2011). Del resto de los programas, que apuntan a trabajadores de menor calificac</w:t>
      </w:r>
      <w:r w:rsidRPr="00580F2E">
        <w:rPr>
          <w:rFonts w:ascii="Times New Roman" w:hAnsi="Times New Roman" w:cs="Times New Roman"/>
          <w:sz w:val="24"/>
          <w:szCs w:val="24"/>
          <w:lang w:val="es-ES"/>
        </w:rPr>
        <w:t>ión, no se dispone de evidencia</w:t>
      </w:r>
      <w:r w:rsidR="00A76101" w:rsidRPr="00580F2E">
        <w:rPr>
          <w:rFonts w:ascii="Times New Roman" w:hAnsi="Times New Roman" w:cs="Times New Roman"/>
          <w:sz w:val="24"/>
          <w:szCs w:val="24"/>
          <w:lang w:val="es-ES"/>
        </w:rPr>
        <w:t xml:space="preserve"> rigurosa como para aseverar su eficacia</w:t>
      </w:r>
      <w:r w:rsidRPr="00580F2E">
        <w:rPr>
          <w:rFonts w:ascii="Times New Roman" w:hAnsi="Times New Roman" w:cs="Times New Roman"/>
          <w:sz w:val="24"/>
          <w:szCs w:val="24"/>
          <w:lang w:val="es-ES"/>
        </w:rPr>
        <w:t xml:space="preserve">. </w:t>
      </w:r>
    </w:p>
    <w:p w:rsidR="00336F4A" w:rsidRPr="00580F2E" w:rsidRDefault="00336F4A" w:rsidP="00733694">
      <w:pPr>
        <w:spacing w:after="0" w:line="360" w:lineRule="auto"/>
        <w:ind w:firstLine="709"/>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Adicionalmente, </w:t>
      </w:r>
      <w:r w:rsidR="00733694" w:rsidRPr="00580F2E">
        <w:rPr>
          <w:rFonts w:ascii="Times New Roman" w:hAnsi="Times New Roman" w:cs="Times New Roman"/>
          <w:sz w:val="24"/>
          <w:szCs w:val="24"/>
          <w:lang w:val="es-ES"/>
        </w:rPr>
        <w:t>si bien</w:t>
      </w:r>
      <w:r w:rsidRPr="00580F2E">
        <w:rPr>
          <w:rFonts w:ascii="Times New Roman" w:hAnsi="Times New Roman" w:cs="Times New Roman"/>
          <w:sz w:val="24"/>
          <w:szCs w:val="24"/>
          <w:lang w:val="es-ES"/>
        </w:rPr>
        <w:t xml:space="preserve"> no fue tema central de este informe, ya se evidencian en otros estudios la debilidad de SENCE como organismo rector de las políticas públicas en capacitación (Rucci, 2010). </w:t>
      </w:r>
      <w:r w:rsidR="00F67278" w:rsidRPr="00580F2E">
        <w:rPr>
          <w:rFonts w:ascii="Times New Roman" w:hAnsi="Times New Roman" w:cs="Times New Roman"/>
          <w:sz w:val="24"/>
          <w:szCs w:val="24"/>
          <w:lang w:val="es-ES"/>
        </w:rPr>
        <w:t>Alguno de estos</w:t>
      </w:r>
      <w:r w:rsidR="0091322E" w:rsidRPr="00580F2E">
        <w:rPr>
          <w:rFonts w:ascii="Times New Roman" w:hAnsi="Times New Roman" w:cs="Times New Roman"/>
          <w:sz w:val="24"/>
          <w:szCs w:val="24"/>
          <w:lang w:val="es-ES"/>
        </w:rPr>
        <w:t xml:space="preserve"> factores tienen que ver con </w:t>
      </w:r>
      <w:r w:rsidR="00A70B73" w:rsidRPr="00580F2E">
        <w:rPr>
          <w:rFonts w:ascii="Times New Roman" w:hAnsi="Times New Roman" w:cs="Times New Roman"/>
          <w:sz w:val="24"/>
          <w:szCs w:val="24"/>
          <w:lang w:val="es-ES"/>
        </w:rPr>
        <w:t xml:space="preserve">la falta de </w:t>
      </w:r>
      <w:r w:rsidR="00A70B73" w:rsidRPr="00580F2E">
        <w:rPr>
          <w:rFonts w:ascii="Times New Roman" w:hAnsi="Times New Roman" w:cs="Times New Roman"/>
          <w:sz w:val="24"/>
          <w:szCs w:val="24"/>
          <w:lang w:val="es-ES"/>
        </w:rPr>
        <w:lastRenderedPageBreak/>
        <w:t xml:space="preserve">articulación con otras políticas públicas de largo plazo; </w:t>
      </w:r>
      <w:r w:rsidR="00733694" w:rsidRPr="00580F2E">
        <w:rPr>
          <w:rFonts w:ascii="Times New Roman" w:hAnsi="Times New Roman" w:cs="Times New Roman"/>
          <w:sz w:val="24"/>
          <w:szCs w:val="24"/>
          <w:lang w:val="es-ES"/>
        </w:rPr>
        <w:t>baja</w:t>
      </w:r>
      <w:r w:rsidR="00A70B73" w:rsidRPr="00580F2E">
        <w:rPr>
          <w:rFonts w:ascii="Times New Roman" w:hAnsi="Times New Roman" w:cs="Times New Roman"/>
          <w:sz w:val="24"/>
          <w:szCs w:val="24"/>
          <w:lang w:val="es-ES"/>
        </w:rPr>
        <w:t xml:space="preserve"> </w:t>
      </w:r>
      <w:r w:rsidR="00F67278" w:rsidRPr="00580F2E">
        <w:rPr>
          <w:rFonts w:ascii="Times New Roman" w:hAnsi="Times New Roman" w:cs="Times New Roman"/>
          <w:sz w:val="24"/>
          <w:szCs w:val="24"/>
          <w:lang w:val="es-ES"/>
        </w:rPr>
        <w:t>coordinación</w:t>
      </w:r>
      <w:r w:rsidR="00A70B73" w:rsidRPr="00580F2E">
        <w:rPr>
          <w:rFonts w:ascii="Times New Roman" w:hAnsi="Times New Roman" w:cs="Times New Roman"/>
          <w:sz w:val="24"/>
          <w:szCs w:val="24"/>
          <w:lang w:val="es-ES"/>
        </w:rPr>
        <w:t xml:space="preserve"> con formación técnica superior (CFT)</w:t>
      </w:r>
      <w:r w:rsidR="00F67278" w:rsidRPr="00580F2E">
        <w:rPr>
          <w:rFonts w:ascii="Times New Roman" w:hAnsi="Times New Roman" w:cs="Times New Roman"/>
          <w:sz w:val="24"/>
          <w:szCs w:val="24"/>
          <w:lang w:val="es-ES"/>
        </w:rPr>
        <w:t xml:space="preserve">; </w:t>
      </w:r>
      <w:r w:rsidR="00733694" w:rsidRPr="00580F2E">
        <w:rPr>
          <w:rFonts w:ascii="Times New Roman" w:hAnsi="Times New Roman" w:cs="Times New Roman"/>
          <w:sz w:val="24"/>
          <w:szCs w:val="24"/>
          <w:lang w:val="es-ES"/>
        </w:rPr>
        <w:t>carencia</w:t>
      </w:r>
      <w:r w:rsidR="00F67278" w:rsidRPr="00580F2E">
        <w:rPr>
          <w:rFonts w:ascii="Times New Roman" w:hAnsi="Times New Roman" w:cs="Times New Roman"/>
          <w:sz w:val="24"/>
          <w:szCs w:val="24"/>
          <w:lang w:val="es-ES"/>
        </w:rPr>
        <w:t xml:space="preserve"> de incentivos para que </w:t>
      </w:r>
      <w:r w:rsidR="00DC6A24" w:rsidRPr="00580F2E">
        <w:rPr>
          <w:rFonts w:ascii="Times New Roman" w:hAnsi="Times New Roman" w:cs="Times New Roman"/>
          <w:sz w:val="24"/>
          <w:szCs w:val="24"/>
          <w:lang w:val="es-ES"/>
        </w:rPr>
        <w:t xml:space="preserve">los </w:t>
      </w:r>
      <w:r w:rsidR="00F67278" w:rsidRPr="00580F2E">
        <w:rPr>
          <w:rFonts w:ascii="Times New Roman" w:hAnsi="Times New Roman" w:cs="Times New Roman"/>
          <w:sz w:val="24"/>
          <w:szCs w:val="24"/>
          <w:lang w:val="es-ES"/>
        </w:rPr>
        <w:t xml:space="preserve">proveedores se </w:t>
      </w:r>
      <w:r w:rsidR="00DC6A24" w:rsidRPr="00580F2E">
        <w:rPr>
          <w:rFonts w:ascii="Times New Roman" w:hAnsi="Times New Roman" w:cs="Times New Roman"/>
          <w:sz w:val="24"/>
          <w:szCs w:val="24"/>
          <w:lang w:val="es-ES"/>
        </w:rPr>
        <w:t>alineen</w:t>
      </w:r>
      <w:r w:rsidR="00F67278" w:rsidRPr="00580F2E">
        <w:rPr>
          <w:rFonts w:ascii="Times New Roman" w:hAnsi="Times New Roman" w:cs="Times New Roman"/>
          <w:sz w:val="24"/>
          <w:szCs w:val="24"/>
          <w:lang w:val="es-ES"/>
        </w:rPr>
        <w:t xml:space="preserve"> con objetivos de empleabilidad, entre otros</w:t>
      </w:r>
      <w:r w:rsidR="0091322E" w:rsidRPr="00580F2E">
        <w:rPr>
          <w:rFonts w:ascii="Times New Roman" w:hAnsi="Times New Roman" w:cs="Times New Roman"/>
          <w:sz w:val="24"/>
          <w:szCs w:val="24"/>
          <w:lang w:val="es-ES"/>
        </w:rPr>
        <w:t xml:space="preserve">. </w:t>
      </w:r>
      <w:r w:rsidRPr="00580F2E">
        <w:rPr>
          <w:rFonts w:ascii="Times New Roman" w:hAnsi="Times New Roman" w:cs="Times New Roman"/>
          <w:sz w:val="24"/>
          <w:szCs w:val="24"/>
          <w:lang w:val="es-ES"/>
        </w:rPr>
        <w:t xml:space="preserve">Todos estos elementos sugieren fuertemente </w:t>
      </w:r>
      <w:r w:rsidR="00DC6A24" w:rsidRPr="00580F2E">
        <w:rPr>
          <w:rFonts w:ascii="Times New Roman" w:hAnsi="Times New Roman" w:cs="Times New Roman"/>
          <w:sz w:val="24"/>
          <w:szCs w:val="24"/>
          <w:lang w:val="es-ES"/>
        </w:rPr>
        <w:t xml:space="preserve">la necesidad de </w:t>
      </w:r>
      <w:r w:rsidRPr="00580F2E">
        <w:rPr>
          <w:rFonts w:ascii="Times New Roman" w:hAnsi="Times New Roman" w:cs="Times New Roman"/>
          <w:sz w:val="24"/>
          <w:szCs w:val="24"/>
          <w:lang w:val="es-ES"/>
        </w:rPr>
        <w:t xml:space="preserve">una reforma sustantiva al sistema de capacitación en Chile. </w:t>
      </w:r>
    </w:p>
    <w:p w:rsidR="0062271F" w:rsidRPr="00580F2E" w:rsidRDefault="0062271F">
      <w:pPr>
        <w:spacing w:after="0"/>
        <w:ind w:left="360"/>
        <w:jc w:val="both"/>
        <w:rPr>
          <w:rFonts w:ascii="Times New Roman" w:hAnsi="Times New Roman" w:cs="Times New Roman"/>
          <w:lang w:val="es-ES"/>
        </w:rPr>
      </w:pPr>
    </w:p>
    <w:p w:rsidR="0062271F" w:rsidRPr="00580F2E" w:rsidRDefault="00D847F1">
      <w:pPr>
        <w:spacing w:after="0"/>
        <w:ind w:left="360"/>
        <w:jc w:val="both"/>
        <w:rPr>
          <w:rFonts w:ascii="Times New Roman" w:hAnsi="Times New Roman" w:cs="Times New Roman"/>
          <w:shd w:val="clear" w:color="auto" w:fill="00FFFF"/>
          <w:lang w:val="es-ES"/>
        </w:rPr>
      </w:pPr>
      <w:r w:rsidRPr="00580F2E">
        <w:rPr>
          <w:rFonts w:ascii="Times New Roman" w:hAnsi="Times New Roman" w:cs="Times New Roman"/>
          <w:shd w:val="clear" w:color="auto" w:fill="00FFFF"/>
          <w:lang w:val="es-ES"/>
        </w:rPr>
        <w:t xml:space="preserve"> </w:t>
      </w: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pPr>
        <w:spacing w:after="0"/>
        <w:ind w:left="360"/>
        <w:jc w:val="both"/>
        <w:rPr>
          <w:rFonts w:ascii="Times New Roman" w:hAnsi="Times New Roman" w:cs="Times New Roman"/>
          <w:shd w:val="clear" w:color="auto" w:fill="00FFFF"/>
          <w:lang w:val="es-ES"/>
        </w:rPr>
      </w:pPr>
      <w:bookmarkStart w:id="0" w:name="_GoBack"/>
      <w:bookmarkEnd w:id="0"/>
    </w:p>
    <w:p w:rsidR="00733694" w:rsidRPr="00580F2E" w:rsidRDefault="00733694">
      <w:pPr>
        <w:spacing w:after="0"/>
        <w:ind w:left="360"/>
        <w:jc w:val="both"/>
        <w:rPr>
          <w:rFonts w:ascii="Times New Roman" w:hAnsi="Times New Roman" w:cs="Times New Roman"/>
          <w:shd w:val="clear" w:color="auto" w:fill="00FFFF"/>
          <w:lang w:val="es-ES"/>
        </w:rPr>
      </w:pPr>
    </w:p>
    <w:p w:rsidR="00733694" w:rsidRPr="00580F2E" w:rsidRDefault="00733694" w:rsidP="00733694">
      <w:pPr>
        <w:spacing w:after="0"/>
        <w:ind w:left="360"/>
        <w:jc w:val="center"/>
        <w:rPr>
          <w:rFonts w:ascii="Times New Roman" w:hAnsi="Times New Roman" w:cs="Times New Roman"/>
          <w:b/>
          <w:sz w:val="24"/>
          <w:szCs w:val="24"/>
          <w:lang w:val="es-ES"/>
        </w:rPr>
      </w:pPr>
      <w:r w:rsidRPr="00580F2E">
        <w:rPr>
          <w:rFonts w:ascii="Times New Roman" w:hAnsi="Times New Roman" w:cs="Times New Roman"/>
          <w:b/>
          <w:sz w:val="24"/>
          <w:szCs w:val="24"/>
          <w:lang w:val="es-ES"/>
        </w:rPr>
        <w:lastRenderedPageBreak/>
        <w:t>Referencias</w:t>
      </w:r>
    </w:p>
    <w:p w:rsidR="00733694" w:rsidRPr="00580F2E" w:rsidRDefault="00733694">
      <w:pPr>
        <w:spacing w:after="0"/>
        <w:ind w:left="360"/>
        <w:jc w:val="both"/>
        <w:rPr>
          <w:rFonts w:ascii="Times New Roman" w:hAnsi="Times New Roman" w:cs="Times New Roman"/>
          <w:lang w:val="es-ES"/>
        </w:rPr>
      </w:pP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Attanasio, O., Kugler, A. and C. Meghir (2008). Training Disadvantaged Youth in Latin America: </w:t>
      </w:r>
      <w:proofErr w:type="spellStart"/>
      <w:r w:rsidRPr="00580F2E">
        <w:rPr>
          <w:rFonts w:ascii="Times New Roman" w:hAnsi="Times New Roman" w:cs="Times New Roman"/>
          <w:sz w:val="24"/>
          <w:szCs w:val="24"/>
          <w:lang w:val="es-ES"/>
        </w:rPr>
        <w:t>Evidence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from</w:t>
      </w:r>
      <w:proofErr w:type="spellEnd"/>
      <w:r w:rsidRPr="00580F2E">
        <w:rPr>
          <w:rFonts w:ascii="Times New Roman" w:hAnsi="Times New Roman" w:cs="Times New Roman"/>
          <w:sz w:val="24"/>
          <w:szCs w:val="24"/>
          <w:lang w:val="es-ES"/>
        </w:rPr>
        <w:t xml:space="preserve"> a </w:t>
      </w:r>
      <w:proofErr w:type="spellStart"/>
      <w:r w:rsidRPr="00580F2E">
        <w:rPr>
          <w:rFonts w:ascii="Times New Roman" w:hAnsi="Times New Roman" w:cs="Times New Roman"/>
          <w:sz w:val="24"/>
          <w:szCs w:val="24"/>
          <w:lang w:val="es-ES"/>
        </w:rPr>
        <w:t>Randomized</w:t>
      </w:r>
      <w:proofErr w:type="spellEnd"/>
      <w:r w:rsidRPr="00580F2E">
        <w:rPr>
          <w:rFonts w:ascii="Times New Roman" w:hAnsi="Times New Roman" w:cs="Times New Roman"/>
          <w:sz w:val="24"/>
          <w:szCs w:val="24"/>
          <w:lang w:val="es-ES"/>
        </w:rPr>
        <w:t xml:space="preserve"> Trial. </w:t>
      </w:r>
      <w:r w:rsidRPr="00580F2E">
        <w:rPr>
          <w:rFonts w:ascii="Times New Roman" w:hAnsi="Times New Roman" w:cs="Times New Roman"/>
          <w:sz w:val="24"/>
          <w:szCs w:val="24"/>
          <w:u w:val="single"/>
          <w:lang w:val="es-ES"/>
        </w:rPr>
        <w:t xml:space="preserve">NBER </w:t>
      </w:r>
      <w:proofErr w:type="spellStart"/>
      <w:r w:rsidRPr="00580F2E">
        <w:rPr>
          <w:rFonts w:ascii="Times New Roman" w:hAnsi="Times New Roman" w:cs="Times New Roman"/>
          <w:sz w:val="24"/>
          <w:szCs w:val="24"/>
          <w:u w:val="single"/>
          <w:lang w:val="es-ES"/>
        </w:rPr>
        <w:t>Working</w:t>
      </w:r>
      <w:proofErr w:type="spellEnd"/>
      <w:r w:rsidRPr="00580F2E">
        <w:rPr>
          <w:rFonts w:ascii="Times New Roman" w:hAnsi="Times New Roman" w:cs="Times New Roman"/>
          <w:sz w:val="24"/>
          <w:szCs w:val="24"/>
          <w:u w:val="single"/>
          <w:lang w:val="es-ES"/>
        </w:rPr>
        <w:t xml:space="preserve"> </w:t>
      </w:r>
      <w:proofErr w:type="spellStart"/>
      <w:r w:rsidRPr="00580F2E">
        <w:rPr>
          <w:rFonts w:ascii="Times New Roman" w:hAnsi="Times New Roman" w:cs="Times New Roman"/>
          <w:sz w:val="24"/>
          <w:szCs w:val="24"/>
          <w:u w:val="single"/>
          <w:lang w:val="es-ES"/>
        </w:rPr>
        <w:t>Papers</w:t>
      </w:r>
      <w:proofErr w:type="spellEnd"/>
      <w:r w:rsidRPr="00580F2E">
        <w:rPr>
          <w:rFonts w:ascii="Times New Roman" w:hAnsi="Times New Roman" w:cs="Times New Roman"/>
          <w:sz w:val="24"/>
          <w:szCs w:val="24"/>
          <w:lang w:val="es-ES"/>
        </w:rPr>
        <w:t>, NBER.</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Brunner, J. J. and G. Elacqua (2003). Informe Capital Humano en Chile. </w:t>
      </w:r>
      <w:r w:rsidRPr="00580F2E">
        <w:rPr>
          <w:rFonts w:ascii="Times New Roman" w:hAnsi="Times New Roman" w:cs="Times New Roman"/>
          <w:sz w:val="24"/>
          <w:szCs w:val="24"/>
          <w:u w:val="single"/>
          <w:lang w:val="es-ES"/>
        </w:rPr>
        <w:t xml:space="preserve">Universidad Adolfo </w:t>
      </w:r>
      <w:proofErr w:type="spellStart"/>
      <w:r w:rsidRPr="00580F2E">
        <w:rPr>
          <w:rFonts w:ascii="Times New Roman" w:hAnsi="Times New Roman" w:cs="Times New Roman"/>
          <w:sz w:val="24"/>
          <w:szCs w:val="24"/>
          <w:u w:val="single"/>
          <w:lang w:val="es-ES"/>
        </w:rPr>
        <w:t>Ibañez</w:t>
      </w:r>
      <w:proofErr w:type="spellEnd"/>
      <w:r w:rsidRPr="00580F2E">
        <w:rPr>
          <w:rFonts w:ascii="Times New Roman" w:hAnsi="Times New Roman" w:cs="Times New Roman"/>
          <w:sz w:val="24"/>
          <w:szCs w:val="24"/>
          <w:lang w:val="es-ES"/>
        </w:rPr>
        <w:t>.</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Contreras, D., Bravo, D. and P. Medrano (1999). </w:t>
      </w:r>
      <w:proofErr w:type="spellStart"/>
      <w:r w:rsidRPr="00580F2E">
        <w:rPr>
          <w:rFonts w:ascii="Times New Roman" w:hAnsi="Times New Roman" w:cs="Times New Roman"/>
          <w:sz w:val="24"/>
          <w:szCs w:val="24"/>
          <w:lang w:val="es-ES"/>
        </w:rPr>
        <w:t>Measurement</w:t>
      </w:r>
      <w:proofErr w:type="spellEnd"/>
      <w:r w:rsidRPr="00580F2E">
        <w:rPr>
          <w:rFonts w:ascii="Times New Roman" w:hAnsi="Times New Roman" w:cs="Times New Roman"/>
          <w:sz w:val="24"/>
          <w:szCs w:val="24"/>
          <w:lang w:val="es-ES"/>
        </w:rPr>
        <w:t xml:space="preserve"> Error, </w:t>
      </w:r>
      <w:proofErr w:type="spellStart"/>
      <w:r w:rsidRPr="00580F2E">
        <w:rPr>
          <w:rFonts w:ascii="Times New Roman" w:hAnsi="Times New Roman" w:cs="Times New Roman"/>
          <w:sz w:val="24"/>
          <w:szCs w:val="24"/>
          <w:lang w:val="es-ES"/>
        </w:rPr>
        <w:t>Unobservables</w:t>
      </w:r>
      <w:proofErr w:type="spellEnd"/>
      <w:r w:rsidRPr="00580F2E">
        <w:rPr>
          <w:rFonts w:ascii="Times New Roman" w:hAnsi="Times New Roman" w:cs="Times New Roman"/>
          <w:sz w:val="24"/>
          <w:szCs w:val="24"/>
          <w:lang w:val="es-ES"/>
        </w:rPr>
        <w:t xml:space="preserve">, and </w:t>
      </w:r>
      <w:proofErr w:type="spellStart"/>
      <w:r w:rsidRPr="00580F2E">
        <w:rPr>
          <w:rFonts w:ascii="Times New Roman" w:hAnsi="Times New Roman" w:cs="Times New Roman"/>
          <w:sz w:val="24"/>
          <w:szCs w:val="24"/>
          <w:lang w:val="es-ES"/>
        </w:rPr>
        <w:t>Skill</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Bias</w:t>
      </w:r>
      <w:proofErr w:type="spellEnd"/>
      <w:r w:rsidRPr="00580F2E">
        <w:rPr>
          <w:rFonts w:ascii="Times New Roman" w:hAnsi="Times New Roman" w:cs="Times New Roman"/>
          <w:sz w:val="24"/>
          <w:szCs w:val="24"/>
          <w:lang w:val="es-ES"/>
        </w:rPr>
        <w:t xml:space="preserve"> in </w:t>
      </w:r>
      <w:proofErr w:type="spellStart"/>
      <w:r w:rsidRPr="00580F2E">
        <w:rPr>
          <w:rFonts w:ascii="Times New Roman" w:hAnsi="Times New Roman" w:cs="Times New Roman"/>
          <w:sz w:val="24"/>
          <w:szCs w:val="24"/>
          <w:lang w:val="es-ES"/>
        </w:rPr>
        <w:t>Estimating</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the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Return</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to</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Education</w:t>
      </w:r>
      <w:proofErr w:type="spellEnd"/>
      <w:r w:rsidRPr="00580F2E">
        <w:rPr>
          <w:rFonts w:ascii="Times New Roman" w:hAnsi="Times New Roman" w:cs="Times New Roman"/>
          <w:sz w:val="24"/>
          <w:szCs w:val="24"/>
          <w:lang w:val="es-ES"/>
        </w:rPr>
        <w:t xml:space="preserve"> in Chile. </w:t>
      </w:r>
      <w:proofErr w:type="spellStart"/>
      <w:proofErr w:type="gramStart"/>
      <w:r w:rsidRPr="00580F2E">
        <w:rPr>
          <w:rFonts w:ascii="Times New Roman" w:hAnsi="Times New Roman" w:cs="Times New Roman"/>
          <w:sz w:val="24"/>
          <w:szCs w:val="24"/>
          <w:u w:val="single"/>
          <w:lang w:val="es-ES"/>
        </w:rPr>
        <w:t>mimeo</w:t>
      </w:r>
      <w:proofErr w:type="spellEnd"/>
      <w:proofErr w:type="gramEnd"/>
      <w:r w:rsidRPr="00580F2E">
        <w:rPr>
          <w:rFonts w:ascii="Times New Roman" w:hAnsi="Times New Roman" w:cs="Times New Roman"/>
          <w:sz w:val="24"/>
          <w:szCs w:val="24"/>
          <w:u w:val="single"/>
          <w:lang w:val="es-ES"/>
        </w:rPr>
        <w:t>, Departamento de Economía, Universidad de Chile.</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Contreras, D., Melo, E. and S. Ojeda (2005). "¿Estimando el Retorno a la Educación o a los no Observables?: Evidencia de Datos de Panel." </w:t>
      </w:r>
      <w:r w:rsidRPr="00580F2E">
        <w:rPr>
          <w:rFonts w:ascii="Times New Roman" w:hAnsi="Times New Roman" w:cs="Times New Roman"/>
          <w:sz w:val="24"/>
          <w:szCs w:val="24"/>
          <w:u w:val="single"/>
          <w:lang w:val="es-ES"/>
        </w:rPr>
        <w:t>Estudios de Economía</w:t>
      </w:r>
      <w:r w:rsidRPr="00580F2E">
        <w:rPr>
          <w:rFonts w:ascii="Times New Roman" w:hAnsi="Times New Roman" w:cs="Times New Roman"/>
          <w:sz w:val="24"/>
          <w:szCs w:val="24"/>
          <w:lang w:val="es-ES"/>
        </w:rPr>
        <w:t xml:space="preserve"> </w:t>
      </w:r>
      <w:r w:rsidRPr="00580F2E">
        <w:rPr>
          <w:rFonts w:ascii="Times New Roman" w:hAnsi="Times New Roman" w:cs="Times New Roman"/>
          <w:b/>
          <w:bCs/>
          <w:sz w:val="24"/>
          <w:szCs w:val="24"/>
          <w:lang w:val="es-ES"/>
        </w:rPr>
        <w:t>32</w:t>
      </w:r>
      <w:r w:rsidRPr="00580F2E">
        <w:rPr>
          <w:rFonts w:ascii="Times New Roman" w:hAnsi="Times New Roman" w:cs="Times New Roman"/>
          <w:sz w:val="24"/>
          <w:szCs w:val="24"/>
          <w:lang w:val="es-ES"/>
        </w:rPr>
        <w:t>(2): 187-199.</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Comisión Revisora del Sistema de Capacitación e Intermediación Laboral </w:t>
      </w:r>
      <w:r w:rsidR="0050487A" w:rsidRPr="00580F2E">
        <w:rPr>
          <w:rFonts w:ascii="Times New Roman" w:hAnsi="Times New Roman" w:cs="Times New Roman"/>
          <w:sz w:val="24"/>
          <w:szCs w:val="24"/>
          <w:lang w:val="es-ES"/>
        </w:rPr>
        <w:t>(2011). Informe Final.</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Larrañaga, O., Herrera, </w:t>
      </w:r>
      <w:r w:rsidR="0050487A" w:rsidRPr="00580F2E">
        <w:rPr>
          <w:rFonts w:ascii="Times New Roman" w:hAnsi="Times New Roman" w:cs="Times New Roman"/>
          <w:sz w:val="24"/>
          <w:szCs w:val="24"/>
          <w:lang w:val="es-ES"/>
        </w:rPr>
        <w:t xml:space="preserve">R. and A. Telias </w:t>
      </w:r>
      <w:r w:rsidRPr="00580F2E">
        <w:rPr>
          <w:rFonts w:ascii="Times New Roman" w:hAnsi="Times New Roman" w:cs="Times New Roman"/>
          <w:sz w:val="24"/>
          <w:szCs w:val="24"/>
          <w:lang w:val="es-ES"/>
        </w:rPr>
        <w:t>(2010). La Ficha de Protección Social, División Social de MIDEPLAN.</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MIDEPLAN (2010). Caracterización de los usuarios de la Ficha de Protección Social. , Documento de Trabajo de la División Social de MIDEPLAN.</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Montenegro, C. and C. Pagés (2007). "Job Security and </w:t>
      </w:r>
      <w:proofErr w:type="spellStart"/>
      <w:r w:rsidRPr="00580F2E">
        <w:rPr>
          <w:rFonts w:ascii="Times New Roman" w:hAnsi="Times New Roman" w:cs="Times New Roman"/>
          <w:sz w:val="24"/>
          <w:szCs w:val="24"/>
          <w:lang w:val="es-ES"/>
        </w:rPr>
        <w:t>the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Age-Composition</w:t>
      </w:r>
      <w:proofErr w:type="spellEnd"/>
      <w:r w:rsidRPr="00580F2E">
        <w:rPr>
          <w:rFonts w:ascii="Times New Roman" w:hAnsi="Times New Roman" w:cs="Times New Roman"/>
          <w:sz w:val="24"/>
          <w:szCs w:val="24"/>
          <w:lang w:val="es-ES"/>
        </w:rPr>
        <w:t xml:space="preserve"> of </w:t>
      </w:r>
      <w:proofErr w:type="spellStart"/>
      <w:r w:rsidRPr="00580F2E">
        <w:rPr>
          <w:rFonts w:ascii="Times New Roman" w:hAnsi="Times New Roman" w:cs="Times New Roman"/>
          <w:sz w:val="24"/>
          <w:szCs w:val="24"/>
          <w:lang w:val="es-ES"/>
        </w:rPr>
        <w:t>Employment</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Evidence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from</w:t>
      </w:r>
      <w:proofErr w:type="spellEnd"/>
      <w:r w:rsidRPr="00580F2E">
        <w:rPr>
          <w:rFonts w:ascii="Times New Roman" w:hAnsi="Times New Roman" w:cs="Times New Roman"/>
          <w:sz w:val="24"/>
          <w:szCs w:val="24"/>
          <w:lang w:val="es-ES"/>
        </w:rPr>
        <w:t xml:space="preserve"> Chile." </w:t>
      </w:r>
      <w:r w:rsidRPr="00580F2E">
        <w:rPr>
          <w:rFonts w:ascii="Times New Roman" w:hAnsi="Times New Roman" w:cs="Times New Roman"/>
          <w:sz w:val="24"/>
          <w:szCs w:val="24"/>
          <w:u w:val="single"/>
          <w:lang w:val="es-ES"/>
        </w:rPr>
        <w:t>Estudios de Economía</w:t>
      </w:r>
      <w:r w:rsidRPr="00580F2E">
        <w:rPr>
          <w:rFonts w:ascii="Times New Roman" w:hAnsi="Times New Roman" w:cs="Times New Roman"/>
          <w:sz w:val="24"/>
          <w:szCs w:val="24"/>
          <w:lang w:val="es-ES"/>
        </w:rPr>
        <w:t xml:space="preserve"> </w:t>
      </w:r>
      <w:r w:rsidRPr="00580F2E">
        <w:rPr>
          <w:rFonts w:ascii="Times New Roman" w:hAnsi="Times New Roman" w:cs="Times New Roman"/>
          <w:b/>
          <w:bCs/>
          <w:sz w:val="24"/>
          <w:szCs w:val="24"/>
          <w:lang w:val="es-ES"/>
        </w:rPr>
        <w:t>34</w:t>
      </w:r>
      <w:r w:rsidRPr="00580F2E">
        <w:rPr>
          <w:rFonts w:ascii="Times New Roman" w:hAnsi="Times New Roman" w:cs="Times New Roman"/>
          <w:sz w:val="24"/>
          <w:szCs w:val="24"/>
          <w:lang w:val="es-ES"/>
        </w:rPr>
        <w:t>(2): 109-139.</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Rodríguez, J. and S. Urzúa (2011). </w:t>
      </w:r>
      <w:proofErr w:type="spellStart"/>
      <w:r w:rsidRPr="00580F2E">
        <w:rPr>
          <w:rFonts w:ascii="Times New Roman" w:hAnsi="Times New Roman" w:cs="Times New Roman"/>
          <w:sz w:val="24"/>
          <w:szCs w:val="24"/>
          <w:lang w:val="es-ES"/>
        </w:rPr>
        <w:t>An</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Evaluation</w:t>
      </w:r>
      <w:proofErr w:type="spellEnd"/>
      <w:r w:rsidRPr="00580F2E">
        <w:rPr>
          <w:rFonts w:ascii="Times New Roman" w:hAnsi="Times New Roman" w:cs="Times New Roman"/>
          <w:sz w:val="24"/>
          <w:szCs w:val="24"/>
          <w:lang w:val="es-ES"/>
        </w:rPr>
        <w:t xml:space="preserve"> of Training </w:t>
      </w:r>
      <w:proofErr w:type="spellStart"/>
      <w:r w:rsidRPr="00580F2E">
        <w:rPr>
          <w:rFonts w:ascii="Times New Roman" w:hAnsi="Times New Roman" w:cs="Times New Roman"/>
          <w:sz w:val="24"/>
          <w:szCs w:val="24"/>
          <w:lang w:val="es-ES"/>
        </w:rPr>
        <w:t>Programs</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Financed</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by</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Public</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Funds</w:t>
      </w:r>
      <w:proofErr w:type="spellEnd"/>
      <w:r w:rsidRPr="00580F2E">
        <w:rPr>
          <w:rFonts w:ascii="Times New Roman" w:hAnsi="Times New Roman" w:cs="Times New Roman"/>
          <w:sz w:val="24"/>
          <w:szCs w:val="24"/>
          <w:lang w:val="es-ES"/>
        </w:rPr>
        <w:t xml:space="preserve"> in Chile.</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lastRenderedPageBreak/>
        <w:t xml:space="preserve">Rucci, G. (2010). Chile: Capacitación en el Sistema de Formación Continua Basado en Competencias Laborales. Avances, Desafíos y Recomendaciones de Política, Inter-American Development Bank. </w:t>
      </w:r>
      <w:proofErr w:type="spellStart"/>
      <w:r w:rsidRPr="00580F2E">
        <w:rPr>
          <w:rFonts w:ascii="Times New Roman" w:hAnsi="Times New Roman" w:cs="Times New Roman"/>
          <w:sz w:val="24"/>
          <w:szCs w:val="24"/>
          <w:lang w:val="es-ES"/>
        </w:rPr>
        <w:t>Technical</w:t>
      </w:r>
      <w:proofErr w:type="spellEnd"/>
      <w:r w:rsidRPr="00580F2E">
        <w:rPr>
          <w:rFonts w:ascii="Times New Roman" w:hAnsi="Times New Roman" w:cs="Times New Roman"/>
          <w:sz w:val="24"/>
          <w:szCs w:val="24"/>
          <w:lang w:val="es-ES"/>
        </w:rPr>
        <w:t xml:space="preserve"> Notes N° 155.</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Sapelli, C. (2003). Ecuaciones de </w:t>
      </w:r>
      <w:proofErr w:type="spellStart"/>
      <w:r w:rsidRPr="00580F2E">
        <w:rPr>
          <w:rFonts w:ascii="Times New Roman" w:hAnsi="Times New Roman" w:cs="Times New Roman"/>
          <w:sz w:val="24"/>
          <w:szCs w:val="24"/>
          <w:lang w:val="es-ES"/>
        </w:rPr>
        <w:t>Mincer</w:t>
      </w:r>
      <w:proofErr w:type="spellEnd"/>
      <w:r w:rsidRPr="00580F2E">
        <w:rPr>
          <w:rFonts w:ascii="Times New Roman" w:hAnsi="Times New Roman" w:cs="Times New Roman"/>
          <w:sz w:val="24"/>
          <w:szCs w:val="24"/>
          <w:lang w:val="es-ES"/>
        </w:rPr>
        <w:t xml:space="preserve"> y las Tasas de Retorno a la Educación en Chile: 1990-1998. </w:t>
      </w:r>
      <w:r w:rsidRPr="00580F2E">
        <w:rPr>
          <w:rFonts w:ascii="Times New Roman" w:hAnsi="Times New Roman" w:cs="Times New Roman"/>
          <w:sz w:val="24"/>
          <w:szCs w:val="24"/>
          <w:u w:val="single"/>
          <w:lang w:val="es-ES"/>
        </w:rPr>
        <w:t>Documentos de Trabajo, N° 254</w:t>
      </w:r>
      <w:r w:rsidRPr="00580F2E">
        <w:rPr>
          <w:rFonts w:ascii="Times New Roman" w:hAnsi="Times New Roman" w:cs="Times New Roman"/>
          <w:sz w:val="24"/>
          <w:szCs w:val="24"/>
          <w:lang w:val="es-ES"/>
        </w:rPr>
        <w:t xml:space="preserve">, Instituto de </w:t>
      </w:r>
      <w:proofErr w:type="spellStart"/>
      <w:r w:rsidRPr="00580F2E">
        <w:rPr>
          <w:rFonts w:ascii="Times New Roman" w:hAnsi="Times New Roman" w:cs="Times New Roman"/>
          <w:sz w:val="24"/>
          <w:szCs w:val="24"/>
          <w:lang w:val="es-ES"/>
        </w:rPr>
        <w:t>Economia</w:t>
      </w:r>
      <w:proofErr w:type="spellEnd"/>
      <w:r w:rsidRPr="00580F2E">
        <w:rPr>
          <w:rFonts w:ascii="Times New Roman" w:hAnsi="Times New Roman" w:cs="Times New Roman"/>
          <w:sz w:val="24"/>
          <w:szCs w:val="24"/>
          <w:lang w:val="es-ES"/>
        </w:rPr>
        <w:t>. Pontificia Universidad Católica de Chile.</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50487A"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Comité Ficha Protección Social</w:t>
      </w:r>
      <w:r w:rsidR="00733694" w:rsidRPr="00580F2E">
        <w:rPr>
          <w:rFonts w:ascii="Times New Roman" w:hAnsi="Times New Roman" w:cs="Times New Roman"/>
          <w:sz w:val="24"/>
          <w:szCs w:val="24"/>
          <w:lang w:val="es-ES"/>
        </w:rPr>
        <w:t xml:space="preserve"> (2010). Informe Final Comité</w:t>
      </w:r>
      <w:r w:rsidRPr="00580F2E">
        <w:rPr>
          <w:rFonts w:ascii="Times New Roman" w:hAnsi="Times New Roman" w:cs="Times New Roman"/>
          <w:sz w:val="24"/>
          <w:szCs w:val="24"/>
          <w:lang w:val="es-ES"/>
        </w:rPr>
        <w:t xml:space="preserve"> Expertos Ficha de Pro</w:t>
      </w:r>
      <w:r w:rsidR="00733694" w:rsidRPr="00580F2E">
        <w:rPr>
          <w:rFonts w:ascii="Times New Roman" w:hAnsi="Times New Roman" w:cs="Times New Roman"/>
          <w:sz w:val="24"/>
          <w:szCs w:val="24"/>
          <w:lang w:val="es-ES"/>
        </w:rPr>
        <w:t>t</w:t>
      </w:r>
      <w:r w:rsidRPr="00580F2E">
        <w:rPr>
          <w:rFonts w:ascii="Times New Roman" w:hAnsi="Times New Roman" w:cs="Times New Roman"/>
          <w:sz w:val="24"/>
          <w:szCs w:val="24"/>
          <w:lang w:val="es-ES"/>
        </w:rPr>
        <w:t>e</w:t>
      </w:r>
      <w:r w:rsidR="00733694" w:rsidRPr="00580F2E">
        <w:rPr>
          <w:rFonts w:ascii="Times New Roman" w:hAnsi="Times New Roman" w:cs="Times New Roman"/>
          <w:sz w:val="24"/>
          <w:szCs w:val="24"/>
          <w:lang w:val="es-ES"/>
        </w:rPr>
        <w:t>cción Social.</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Tokman, A. (2010). Radiografía de la Educación </w:t>
      </w:r>
      <w:proofErr w:type="spellStart"/>
      <w:r w:rsidRPr="00580F2E">
        <w:rPr>
          <w:rFonts w:ascii="Times New Roman" w:hAnsi="Times New Roman" w:cs="Times New Roman"/>
          <w:sz w:val="24"/>
          <w:szCs w:val="24"/>
          <w:lang w:val="es-ES"/>
        </w:rPr>
        <w:t>Parvularia</w:t>
      </w:r>
      <w:proofErr w:type="spellEnd"/>
      <w:r w:rsidRPr="00580F2E">
        <w:rPr>
          <w:rFonts w:ascii="Times New Roman" w:hAnsi="Times New Roman" w:cs="Times New Roman"/>
          <w:sz w:val="24"/>
          <w:szCs w:val="24"/>
          <w:lang w:val="es-ES"/>
        </w:rPr>
        <w:t xml:space="preserve"> Chilena: Desafíos y Propuestas. </w:t>
      </w:r>
      <w:proofErr w:type="spellStart"/>
      <w:r w:rsidRPr="00580F2E">
        <w:rPr>
          <w:rFonts w:ascii="Times New Roman" w:hAnsi="Times New Roman" w:cs="Times New Roman"/>
          <w:sz w:val="24"/>
          <w:szCs w:val="24"/>
          <w:u w:val="single"/>
          <w:lang w:val="es-ES"/>
        </w:rPr>
        <w:t>Working</w:t>
      </w:r>
      <w:proofErr w:type="spellEnd"/>
      <w:r w:rsidRPr="00580F2E">
        <w:rPr>
          <w:rFonts w:ascii="Times New Roman" w:hAnsi="Times New Roman" w:cs="Times New Roman"/>
          <w:sz w:val="24"/>
          <w:szCs w:val="24"/>
          <w:u w:val="single"/>
          <w:lang w:val="es-ES"/>
        </w:rPr>
        <w:t xml:space="preserve"> </w:t>
      </w:r>
      <w:proofErr w:type="spellStart"/>
      <w:r w:rsidRPr="00580F2E">
        <w:rPr>
          <w:rFonts w:ascii="Times New Roman" w:hAnsi="Times New Roman" w:cs="Times New Roman"/>
          <w:sz w:val="24"/>
          <w:szCs w:val="24"/>
          <w:u w:val="single"/>
          <w:lang w:val="es-ES"/>
        </w:rPr>
        <w:t>paper</w:t>
      </w:r>
      <w:proofErr w:type="spellEnd"/>
      <w:r w:rsidRPr="00580F2E">
        <w:rPr>
          <w:rFonts w:ascii="Times New Roman" w:hAnsi="Times New Roman" w:cs="Times New Roman"/>
          <w:sz w:val="24"/>
          <w:szCs w:val="24"/>
          <w:lang w:val="es-ES"/>
        </w:rPr>
        <w:t>, Instituto de Políticas Públicas Expansiva UDP.</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Topel, R. and M. Ward (1992). "Job </w:t>
      </w:r>
      <w:proofErr w:type="spellStart"/>
      <w:r w:rsidRPr="00580F2E">
        <w:rPr>
          <w:rFonts w:ascii="Times New Roman" w:hAnsi="Times New Roman" w:cs="Times New Roman"/>
          <w:sz w:val="24"/>
          <w:szCs w:val="24"/>
          <w:lang w:val="es-ES"/>
        </w:rPr>
        <w:t>Mobility</w:t>
      </w:r>
      <w:proofErr w:type="spellEnd"/>
      <w:r w:rsidRPr="00580F2E">
        <w:rPr>
          <w:rFonts w:ascii="Times New Roman" w:hAnsi="Times New Roman" w:cs="Times New Roman"/>
          <w:sz w:val="24"/>
          <w:szCs w:val="24"/>
          <w:lang w:val="es-ES"/>
        </w:rPr>
        <w:t xml:space="preserve"> and </w:t>
      </w:r>
      <w:proofErr w:type="spellStart"/>
      <w:r w:rsidRPr="00580F2E">
        <w:rPr>
          <w:rFonts w:ascii="Times New Roman" w:hAnsi="Times New Roman" w:cs="Times New Roman"/>
          <w:sz w:val="24"/>
          <w:szCs w:val="24"/>
          <w:lang w:val="es-ES"/>
        </w:rPr>
        <w:t>the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Careers</w:t>
      </w:r>
      <w:proofErr w:type="spellEnd"/>
      <w:r w:rsidRPr="00580F2E">
        <w:rPr>
          <w:rFonts w:ascii="Times New Roman" w:hAnsi="Times New Roman" w:cs="Times New Roman"/>
          <w:sz w:val="24"/>
          <w:szCs w:val="24"/>
          <w:lang w:val="es-ES"/>
        </w:rPr>
        <w:t xml:space="preserve"> of Young </w:t>
      </w:r>
      <w:proofErr w:type="spellStart"/>
      <w:r w:rsidRPr="00580F2E">
        <w:rPr>
          <w:rFonts w:ascii="Times New Roman" w:hAnsi="Times New Roman" w:cs="Times New Roman"/>
          <w:sz w:val="24"/>
          <w:szCs w:val="24"/>
          <w:lang w:val="es-ES"/>
        </w:rPr>
        <w:t>Men</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u w:val="single"/>
          <w:lang w:val="es-ES"/>
        </w:rPr>
        <w:t>Quaterly</w:t>
      </w:r>
      <w:proofErr w:type="spellEnd"/>
      <w:r w:rsidRPr="00580F2E">
        <w:rPr>
          <w:rFonts w:ascii="Times New Roman" w:hAnsi="Times New Roman" w:cs="Times New Roman"/>
          <w:sz w:val="24"/>
          <w:szCs w:val="24"/>
          <w:u w:val="single"/>
          <w:lang w:val="es-ES"/>
        </w:rPr>
        <w:t xml:space="preserve"> </w:t>
      </w:r>
      <w:proofErr w:type="spellStart"/>
      <w:r w:rsidRPr="00580F2E">
        <w:rPr>
          <w:rFonts w:ascii="Times New Roman" w:hAnsi="Times New Roman" w:cs="Times New Roman"/>
          <w:sz w:val="24"/>
          <w:szCs w:val="24"/>
          <w:u w:val="single"/>
          <w:lang w:val="es-ES"/>
        </w:rPr>
        <w:t>Journal</w:t>
      </w:r>
      <w:proofErr w:type="spellEnd"/>
      <w:r w:rsidRPr="00580F2E">
        <w:rPr>
          <w:rFonts w:ascii="Times New Roman" w:hAnsi="Times New Roman" w:cs="Times New Roman"/>
          <w:sz w:val="24"/>
          <w:szCs w:val="24"/>
          <w:u w:val="single"/>
          <w:lang w:val="es-ES"/>
        </w:rPr>
        <w:t xml:space="preserve"> of </w:t>
      </w:r>
      <w:proofErr w:type="spellStart"/>
      <w:r w:rsidRPr="00580F2E">
        <w:rPr>
          <w:rFonts w:ascii="Times New Roman" w:hAnsi="Times New Roman" w:cs="Times New Roman"/>
          <w:sz w:val="24"/>
          <w:szCs w:val="24"/>
          <w:u w:val="single"/>
          <w:lang w:val="es-ES"/>
        </w:rPr>
        <w:t>Economics</w:t>
      </w:r>
      <w:proofErr w:type="spellEnd"/>
      <w:r w:rsidRPr="00580F2E">
        <w:rPr>
          <w:rFonts w:ascii="Times New Roman" w:hAnsi="Times New Roman" w:cs="Times New Roman"/>
          <w:sz w:val="24"/>
          <w:szCs w:val="24"/>
          <w:lang w:val="es-ES"/>
        </w:rPr>
        <w:t xml:space="preserve"> </w:t>
      </w:r>
      <w:r w:rsidRPr="00580F2E">
        <w:rPr>
          <w:rFonts w:ascii="Times New Roman" w:hAnsi="Times New Roman" w:cs="Times New Roman"/>
          <w:b/>
          <w:bCs/>
          <w:sz w:val="24"/>
          <w:szCs w:val="24"/>
          <w:lang w:val="es-ES"/>
        </w:rPr>
        <w:t>107</w:t>
      </w:r>
      <w:r w:rsidRPr="00580F2E">
        <w:rPr>
          <w:rFonts w:ascii="Times New Roman" w:hAnsi="Times New Roman" w:cs="Times New Roman"/>
          <w:sz w:val="24"/>
          <w:szCs w:val="24"/>
          <w:lang w:val="es-ES"/>
        </w:rPr>
        <w:t>: 439-79.</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rsidP="0050487A">
      <w:pPr>
        <w:autoSpaceDE w:val="0"/>
        <w:autoSpaceDN w:val="0"/>
        <w:adjustRightInd w:val="0"/>
        <w:spacing w:after="0" w:line="360" w:lineRule="auto"/>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 xml:space="preserve">Urzúa, S. and G. </w:t>
      </w:r>
      <w:proofErr w:type="spellStart"/>
      <w:r w:rsidRPr="00580F2E">
        <w:rPr>
          <w:rFonts w:ascii="Times New Roman" w:hAnsi="Times New Roman" w:cs="Times New Roman"/>
          <w:sz w:val="24"/>
          <w:szCs w:val="24"/>
          <w:lang w:val="es-ES"/>
        </w:rPr>
        <w:t>Veramendi</w:t>
      </w:r>
      <w:proofErr w:type="spellEnd"/>
      <w:r w:rsidRPr="00580F2E">
        <w:rPr>
          <w:rFonts w:ascii="Times New Roman" w:hAnsi="Times New Roman" w:cs="Times New Roman"/>
          <w:sz w:val="24"/>
          <w:szCs w:val="24"/>
          <w:lang w:val="es-ES"/>
        </w:rPr>
        <w:t xml:space="preserve"> (2010). </w:t>
      </w:r>
      <w:proofErr w:type="spellStart"/>
      <w:r w:rsidRPr="00580F2E">
        <w:rPr>
          <w:rFonts w:ascii="Times New Roman" w:hAnsi="Times New Roman" w:cs="Times New Roman"/>
          <w:sz w:val="24"/>
          <w:szCs w:val="24"/>
          <w:lang w:val="es-ES"/>
        </w:rPr>
        <w:t>The</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Impact</w:t>
      </w:r>
      <w:proofErr w:type="spellEnd"/>
      <w:r w:rsidRPr="00580F2E">
        <w:rPr>
          <w:rFonts w:ascii="Times New Roman" w:hAnsi="Times New Roman" w:cs="Times New Roman"/>
          <w:sz w:val="24"/>
          <w:szCs w:val="24"/>
          <w:lang w:val="es-ES"/>
        </w:rPr>
        <w:t xml:space="preserve"> of </w:t>
      </w:r>
      <w:proofErr w:type="spellStart"/>
      <w:r w:rsidRPr="00580F2E">
        <w:rPr>
          <w:rFonts w:ascii="Times New Roman" w:hAnsi="Times New Roman" w:cs="Times New Roman"/>
          <w:sz w:val="24"/>
          <w:szCs w:val="24"/>
          <w:lang w:val="es-ES"/>
        </w:rPr>
        <w:t>Out</w:t>
      </w:r>
      <w:proofErr w:type="spellEnd"/>
      <w:r w:rsidRPr="00580F2E">
        <w:rPr>
          <w:rFonts w:ascii="Times New Roman" w:hAnsi="Times New Roman" w:cs="Times New Roman"/>
          <w:sz w:val="24"/>
          <w:szCs w:val="24"/>
          <w:lang w:val="es-ES"/>
        </w:rPr>
        <w:t xml:space="preserve">-of-Home </w:t>
      </w:r>
      <w:proofErr w:type="spellStart"/>
      <w:r w:rsidRPr="00580F2E">
        <w:rPr>
          <w:rFonts w:ascii="Times New Roman" w:hAnsi="Times New Roman" w:cs="Times New Roman"/>
          <w:sz w:val="24"/>
          <w:szCs w:val="24"/>
          <w:lang w:val="es-ES"/>
        </w:rPr>
        <w:t>Childcare</w:t>
      </w:r>
      <w:proofErr w:type="spellEnd"/>
      <w:r w:rsidRPr="00580F2E">
        <w:rPr>
          <w:rFonts w:ascii="Times New Roman" w:hAnsi="Times New Roman" w:cs="Times New Roman"/>
          <w:sz w:val="24"/>
          <w:szCs w:val="24"/>
          <w:lang w:val="es-ES"/>
        </w:rPr>
        <w:t xml:space="preserve"> Centers </w:t>
      </w:r>
      <w:proofErr w:type="spellStart"/>
      <w:r w:rsidRPr="00580F2E">
        <w:rPr>
          <w:rFonts w:ascii="Times New Roman" w:hAnsi="Times New Roman" w:cs="Times New Roman"/>
          <w:sz w:val="24"/>
          <w:szCs w:val="24"/>
          <w:lang w:val="es-ES"/>
        </w:rPr>
        <w:t>on</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Early</w:t>
      </w:r>
      <w:proofErr w:type="spellEnd"/>
      <w:r w:rsidRPr="00580F2E">
        <w:rPr>
          <w:rFonts w:ascii="Times New Roman" w:hAnsi="Times New Roman" w:cs="Times New Roman"/>
          <w:sz w:val="24"/>
          <w:szCs w:val="24"/>
          <w:lang w:val="es-ES"/>
        </w:rPr>
        <w:t xml:space="preserve"> </w:t>
      </w:r>
      <w:proofErr w:type="spellStart"/>
      <w:r w:rsidRPr="00580F2E">
        <w:rPr>
          <w:rFonts w:ascii="Times New Roman" w:hAnsi="Times New Roman" w:cs="Times New Roman"/>
          <w:sz w:val="24"/>
          <w:szCs w:val="24"/>
          <w:lang w:val="es-ES"/>
        </w:rPr>
        <w:t>Childhood</w:t>
      </w:r>
      <w:proofErr w:type="spellEnd"/>
      <w:r w:rsidRPr="00580F2E">
        <w:rPr>
          <w:rFonts w:ascii="Times New Roman" w:hAnsi="Times New Roman" w:cs="Times New Roman"/>
          <w:sz w:val="24"/>
          <w:szCs w:val="24"/>
          <w:lang w:val="es-ES"/>
        </w:rPr>
        <w:t xml:space="preserve"> Development, Inter-American Development Bank.</w:t>
      </w:r>
    </w:p>
    <w:p w:rsidR="00733694" w:rsidRPr="00580F2E" w:rsidRDefault="00733694" w:rsidP="0050487A">
      <w:pPr>
        <w:autoSpaceDE w:val="0"/>
        <w:autoSpaceDN w:val="0"/>
        <w:adjustRightInd w:val="0"/>
        <w:spacing w:after="0" w:line="360" w:lineRule="auto"/>
        <w:ind w:left="720" w:hanging="720"/>
        <w:jc w:val="both"/>
        <w:rPr>
          <w:rFonts w:ascii="Times New Roman" w:hAnsi="Times New Roman" w:cs="Times New Roman"/>
          <w:sz w:val="24"/>
          <w:szCs w:val="24"/>
          <w:lang w:val="es-ES"/>
        </w:rPr>
      </w:pPr>
      <w:r w:rsidRPr="00580F2E">
        <w:rPr>
          <w:rFonts w:ascii="Times New Roman" w:hAnsi="Times New Roman" w:cs="Times New Roman"/>
          <w:sz w:val="24"/>
          <w:szCs w:val="24"/>
          <w:lang w:val="es-ES"/>
        </w:rPr>
        <w:tab/>
      </w:r>
    </w:p>
    <w:p w:rsidR="00733694" w:rsidRPr="00580F2E" w:rsidRDefault="00733694">
      <w:pPr>
        <w:spacing w:after="0"/>
        <w:ind w:left="360"/>
        <w:jc w:val="both"/>
        <w:rPr>
          <w:rFonts w:ascii="Times New Roman" w:hAnsi="Times New Roman" w:cs="Times New Roman"/>
          <w:lang w:val="es-ES"/>
        </w:rPr>
      </w:pPr>
    </w:p>
    <w:sectPr w:rsidR="00733694" w:rsidRPr="00580F2E" w:rsidSect="00552F10">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5D2" w:rsidRDefault="00A265D2" w:rsidP="001074DD">
      <w:pPr>
        <w:spacing w:after="0" w:line="240" w:lineRule="auto"/>
      </w:pPr>
      <w:r>
        <w:separator/>
      </w:r>
    </w:p>
  </w:endnote>
  <w:endnote w:type="continuationSeparator" w:id="0">
    <w:p w:rsidR="00A265D2" w:rsidRDefault="00A265D2" w:rsidP="00107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8131"/>
      <w:docPartObj>
        <w:docPartGallery w:val="Page Numbers (Bottom of Page)"/>
        <w:docPartUnique/>
      </w:docPartObj>
    </w:sdtPr>
    <w:sdtEndPr/>
    <w:sdtContent>
      <w:p w:rsidR="00F33EBB" w:rsidRDefault="00D64E88">
        <w:pPr>
          <w:pStyle w:val="Footer"/>
          <w:jc w:val="right"/>
        </w:pPr>
        <w:r w:rsidRPr="00CC2AE7">
          <w:rPr>
            <w:rFonts w:ascii="Times New Roman" w:hAnsi="Times New Roman" w:cs="Times New Roman"/>
          </w:rPr>
          <w:fldChar w:fldCharType="begin"/>
        </w:r>
        <w:r w:rsidR="00F33EBB" w:rsidRPr="00CC2AE7">
          <w:rPr>
            <w:rFonts w:ascii="Times New Roman" w:hAnsi="Times New Roman" w:cs="Times New Roman"/>
          </w:rPr>
          <w:instrText xml:space="preserve"> PAGE   \* MERGEFORMAT </w:instrText>
        </w:r>
        <w:r w:rsidRPr="00CC2AE7">
          <w:rPr>
            <w:rFonts w:ascii="Times New Roman" w:hAnsi="Times New Roman" w:cs="Times New Roman"/>
          </w:rPr>
          <w:fldChar w:fldCharType="separate"/>
        </w:r>
        <w:r w:rsidR="00580F2E">
          <w:rPr>
            <w:rFonts w:ascii="Times New Roman" w:hAnsi="Times New Roman" w:cs="Times New Roman"/>
            <w:noProof/>
          </w:rPr>
          <w:t>33</w:t>
        </w:r>
        <w:r w:rsidRPr="00CC2AE7">
          <w:rPr>
            <w:rFonts w:ascii="Times New Roman" w:hAnsi="Times New Roman" w:cs="Times New Roman"/>
          </w:rPr>
          <w:fldChar w:fldCharType="end"/>
        </w:r>
      </w:p>
    </w:sdtContent>
  </w:sdt>
  <w:p w:rsidR="00F33EBB" w:rsidRDefault="00F33E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5D2" w:rsidRDefault="00A265D2" w:rsidP="001074DD">
      <w:pPr>
        <w:spacing w:after="0" w:line="240" w:lineRule="auto"/>
      </w:pPr>
      <w:r>
        <w:separator/>
      </w:r>
    </w:p>
  </w:footnote>
  <w:footnote w:type="continuationSeparator" w:id="0">
    <w:p w:rsidR="00A265D2" w:rsidRDefault="00A265D2" w:rsidP="001074DD">
      <w:pPr>
        <w:spacing w:after="0" w:line="240" w:lineRule="auto"/>
      </w:pPr>
      <w:r>
        <w:continuationSeparator/>
      </w:r>
    </w:p>
  </w:footnote>
  <w:footnote w:id="1">
    <w:p w:rsidR="00C33A5C" w:rsidRPr="00C33A5C" w:rsidRDefault="00C33A5C">
      <w:pPr>
        <w:pStyle w:val="FootnoteText"/>
        <w:rPr>
          <w:rFonts w:ascii="Times New Roman" w:hAnsi="Times New Roman" w:cs="Times New Roman"/>
        </w:rPr>
      </w:pPr>
      <w:r w:rsidRPr="00C33A5C">
        <w:rPr>
          <w:rFonts w:ascii="Times New Roman" w:hAnsi="Times New Roman" w:cs="Times New Roman"/>
        </w:rPr>
        <w:footnoteRef/>
      </w:r>
      <w:r w:rsidRPr="00C33A5C">
        <w:rPr>
          <w:rFonts w:ascii="Times New Roman" w:hAnsi="Times New Roman" w:cs="Times New Roman"/>
        </w:rPr>
        <w:t xml:space="preserve"> Nota </w:t>
      </w:r>
      <w:r>
        <w:rPr>
          <w:rFonts w:ascii="Times New Roman" w:hAnsi="Times New Roman" w:cs="Times New Roman"/>
        </w:rPr>
        <w:t>realiza</w:t>
      </w:r>
      <w:r w:rsidRPr="00C33A5C">
        <w:rPr>
          <w:rFonts w:ascii="Times New Roman" w:hAnsi="Times New Roman" w:cs="Times New Roman"/>
        </w:rPr>
        <w:t xml:space="preserve">da por Jorge Rodríguez (Consultor SCL/LMK), en el marco de la preparación del Programa CH-L1064. </w:t>
      </w:r>
    </w:p>
  </w:footnote>
  <w:footnote w:id="2">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Entendemos el concepto de Sistema de Capacitación simplemente como el conjunto de programas de capacitación. Esta red no forma parte de </w:t>
      </w:r>
      <w:r>
        <w:rPr>
          <w:rFonts w:ascii="Times New Roman" w:hAnsi="Times New Roman" w:cs="Times New Roman"/>
        </w:rPr>
        <w:t xml:space="preserve">la </w:t>
      </w:r>
      <w:r w:rsidRPr="00F34C50">
        <w:rPr>
          <w:rFonts w:ascii="Times New Roman" w:hAnsi="Times New Roman" w:cs="Times New Roman"/>
        </w:rPr>
        <w:t>educación secundaria o terciaria.</w:t>
      </w:r>
    </w:p>
  </w:footnote>
  <w:footnote w:id="3">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Se evidencia, no obstante, una diferencia importante entre el rendimiento (medidos en pruebas PISA) de estudiantes chilenos comparados con resultados de la OECD (</w:t>
      </w:r>
      <w:r w:rsidRPr="00C721D1">
        <w:rPr>
          <w:rFonts w:ascii="Times New Roman" w:hAnsi="Times New Roman" w:cs="Times New Roman"/>
        </w:rPr>
        <w:t>Brunner y Elacqua, 2003</w:t>
      </w:r>
      <w:r w:rsidRPr="00F34C50">
        <w:rPr>
          <w:rFonts w:ascii="Times New Roman" w:hAnsi="Times New Roman" w:cs="Times New Roman"/>
        </w:rPr>
        <w:t xml:space="preserve">). Sin embargo, en los últimos años, se evidencia una tendencia al cierre de </w:t>
      </w:r>
      <w:r>
        <w:rPr>
          <w:rFonts w:ascii="Times New Roman" w:hAnsi="Times New Roman" w:cs="Times New Roman"/>
        </w:rPr>
        <w:t>estas diferencias</w:t>
      </w:r>
      <w:r w:rsidRPr="00F34C50">
        <w:rPr>
          <w:rFonts w:ascii="Times New Roman" w:hAnsi="Times New Roman" w:cs="Times New Roman"/>
        </w:rPr>
        <w:t>.</w:t>
      </w:r>
    </w:p>
  </w:footnote>
  <w:footnote w:id="4">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Recientemente, Urzúa </w:t>
      </w:r>
      <w:r>
        <w:rPr>
          <w:rFonts w:ascii="Times New Roman" w:hAnsi="Times New Roman" w:cs="Times New Roman"/>
        </w:rPr>
        <w:t xml:space="preserve">y Veramendi </w:t>
      </w:r>
      <w:r w:rsidRPr="00F34C50">
        <w:rPr>
          <w:rFonts w:ascii="Times New Roman" w:hAnsi="Times New Roman" w:cs="Times New Roman"/>
        </w:rPr>
        <w:t>(2010) encuentran impactos positivos sobre distintos indicadores de desarrollo para niños matriculados en salas cunas y jardines infantiles.</w:t>
      </w:r>
    </w:p>
  </w:footnote>
  <w:footnote w:id="5">
    <w:p w:rsidR="00F33EBB" w:rsidRPr="00F34C50" w:rsidRDefault="00F33EBB" w:rsidP="00B00D62">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Existe la posibilidad de impartir cursos de capacitación desde Centros de Formación Técnica. El desarrollo de esta instancia no ha sido desarrollada mayormente.</w:t>
      </w:r>
    </w:p>
  </w:footnote>
  <w:footnote w:id="6">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www.sence.cl</w:t>
      </w:r>
    </w:p>
  </w:footnote>
  <w:footnote w:id="7">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En economías como Alemania, las capacitaciones tipo “vocacional” proveen de una alternativa ante carreras de más larga duración, las que están restringidas en la práctica para individuos con mayor stock de habilidades</w:t>
      </w:r>
    </w:p>
  </w:footnote>
  <w:footnote w:id="8">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En Chile existe el Subsidio al Empleo Joven. Evidencia preliminar analizada por la Comisión Revisora del Sistema de Capacitación (comisión que, a pedido del MINTRAB, efectuó una revisión en profundidad sobre la gran mayoría de los programas de capacitación en Chile) apunta a que, precisamente, el Subsidio habría tenido efectos positivos en períodos en donde el desempleo alcanza su valor más alto durante la reciente crisis financiera del año 2009.</w:t>
      </w:r>
    </w:p>
  </w:footnote>
  <w:footnote w:id="9">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Existen programas como Subsidio al Empleo Joven (SEJ) que no contemplan módulos de capacitación. Este tipo de programas lo dejamos afuera de este análisis.</w:t>
      </w:r>
    </w:p>
  </w:footnote>
  <w:footnote w:id="10">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En la práctica, dado que la mayoría de las firmas que financian sus actividades de capacitación son empresas grandes, se habla de este 1% de manera genérica al referirse a los recursos que provee el Estado para capacitación.</w:t>
      </w:r>
    </w:p>
  </w:footnote>
  <w:footnote w:id="11">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Si bien no tenemos evidencia de ello, al menos resulta bastante improbable, en órdenes de magnitud, argumentar que 99% de las OTEC quiebren en cada año y que un número similar vuelva a aparecer en el mercado.</w:t>
      </w:r>
    </w:p>
  </w:footnote>
  <w:footnote w:id="12">
    <w:p w:rsidR="00AD6666" w:rsidRDefault="00AD6666">
      <w:pPr>
        <w:pStyle w:val="FootnoteText"/>
      </w:pPr>
      <w:r>
        <w:rPr>
          <w:rStyle w:val="FootnoteReference"/>
        </w:rPr>
        <w:footnoteRef/>
      </w:r>
      <w:r>
        <w:t xml:space="preserve"> </w:t>
      </w:r>
      <w:r w:rsidRPr="00AD6666">
        <w:t>Esta comisión reunió a diversos expertos en la materia con el objetivo de evaluar la mayor parte de los programas de capacitación</w:t>
      </w:r>
    </w:p>
  </w:footnote>
  <w:footnote w:id="13">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En uno de los ejercicios es posible estimar un impacto de 0,05%, tres años después de haber cursado la capacitación.</w:t>
      </w:r>
    </w:p>
  </w:footnote>
  <w:footnote w:id="14">
    <w:p w:rsidR="007E075D" w:rsidRDefault="007E075D">
      <w:pPr>
        <w:pStyle w:val="FootnoteText"/>
      </w:pPr>
      <w:r>
        <w:rPr>
          <w:rStyle w:val="FootnoteReference"/>
        </w:rPr>
        <w:footnoteRef/>
      </w:r>
      <w:r>
        <w:t xml:space="preserve"> De acuerdo al informe de la Comisión Revisora, 70% de los cursos duran menos de 17 horas. Por otro lado, Rodríguez y Urzúa (2011) encuentran efectos positivos </w:t>
      </w:r>
      <w:proofErr w:type="gramStart"/>
      <w:r>
        <w:t>realizadas</w:t>
      </w:r>
      <w:proofErr w:type="gramEnd"/>
      <w:r>
        <w:t xml:space="preserve"> en OTEC con al menos 1.300 trabajadores. Este tipo de OTEC representa menos de 1% del mercado.</w:t>
      </w:r>
    </w:p>
  </w:footnote>
  <w:footnote w:id="15">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Actualmente se le denomina Formación en Oficios para Jóvenes.</w:t>
      </w:r>
    </w:p>
  </w:footnote>
  <w:footnote w:id="16">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www.sence.cl</w:t>
      </w:r>
    </w:p>
  </w:footnote>
  <w:footnote w:id="17">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El equipo BID tuvo acceso a las herramientas de selección de cada unas de las OTEC del Registro Especial.</w:t>
      </w:r>
    </w:p>
  </w:footnote>
  <w:footnote w:id="18">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Agradecemos al equipo de asesores del MINTRAB por recopilar dicha información.</w:t>
      </w:r>
    </w:p>
  </w:footnote>
  <w:footnote w:id="19">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Extraído de presentación de Claudio Palma, encargado del programa, en septiembre de 2011 en la Comisión Revisora del Sistema de Capacitación e Intermediación Laboral. Dicha presentación está disponible en www.mintrab.gob.cl.</w:t>
      </w:r>
    </w:p>
  </w:footnote>
  <w:footnote w:id="20">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Informe de Comité de Expertos Ficha de Protección Social (2010).</w:t>
      </w:r>
    </w:p>
  </w:footnote>
  <w:footnote w:id="21">
    <w:p w:rsidR="00F33EBB" w:rsidRPr="00F34C50" w:rsidRDefault="00F33EBB" w:rsidP="00F34C50">
      <w:pPr>
        <w:pStyle w:val="FootnoteText"/>
        <w:jc w:val="both"/>
        <w:rPr>
          <w:rFonts w:ascii="Times New Roman" w:hAnsi="Times New Roman" w:cs="Times New Roman"/>
        </w:rPr>
      </w:pPr>
      <w:r w:rsidRPr="00F34C50">
        <w:rPr>
          <w:rStyle w:val="FootnoteReference"/>
          <w:rFonts w:ascii="Times New Roman" w:hAnsi="Times New Roman" w:cs="Times New Roman"/>
        </w:rPr>
        <w:footnoteRef/>
      </w:r>
      <w:r w:rsidRPr="00F34C50">
        <w:rPr>
          <w:rFonts w:ascii="Times New Roman" w:hAnsi="Times New Roman" w:cs="Times New Roman"/>
        </w:rPr>
        <w:t xml:space="preserve"> De acuerdo al Informe de Comité de Expertos de Ficha Protección Social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5DE3"/>
    <w:multiLevelType w:val="hybridMultilevel"/>
    <w:tmpl w:val="E8A83B4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46557B1"/>
    <w:multiLevelType w:val="hybridMultilevel"/>
    <w:tmpl w:val="B4C699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00A564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1724E15"/>
    <w:multiLevelType w:val="hybridMultilevel"/>
    <w:tmpl w:val="8F925A56"/>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2FC85808"/>
    <w:multiLevelType w:val="hybridMultilevel"/>
    <w:tmpl w:val="F8BCC8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39D27A7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9C3DA4"/>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2FE551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B645A6"/>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C2E58A5"/>
    <w:multiLevelType w:val="hybridMultilevel"/>
    <w:tmpl w:val="12A8163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4F1C1C51"/>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5536490"/>
    <w:multiLevelType w:val="hybridMultilevel"/>
    <w:tmpl w:val="70EEBAF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655409BA"/>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F056030"/>
    <w:multiLevelType w:val="hybridMultilevel"/>
    <w:tmpl w:val="BE2E7D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6FB4232C"/>
    <w:multiLevelType w:val="hybridMultilevel"/>
    <w:tmpl w:val="F15623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8"/>
  </w:num>
  <w:num w:numId="2">
    <w:abstractNumId w:val="14"/>
  </w:num>
  <w:num w:numId="3">
    <w:abstractNumId w:val="5"/>
  </w:num>
  <w:num w:numId="4">
    <w:abstractNumId w:val="4"/>
  </w:num>
  <w:num w:numId="5">
    <w:abstractNumId w:val="9"/>
  </w:num>
  <w:num w:numId="6">
    <w:abstractNumId w:val="13"/>
  </w:num>
  <w:num w:numId="7">
    <w:abstractNumId w:val="12"/>
  </w:num>
  <w:num w:numId="8">
    <w:abstractNumId w:val="2"/>
  </w:num>
  <w:num w:numId="9">
    <w:abstractNumId w:val="3"/>
  </w:num>
  <w:num w:numId="10">
    <w:abstractNumId w:val="10"/>
  </w:num>
  <w:num w:numId="11">
    <w:abstractNumId w:val="11"/>
  </w:num>
  <w:num w:numId="12">
    <w:abstractNumId w:val="0"/>
  </w:num>
  <w:num w:numId="13">
    <w:abstractNumId w:val="7"/>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777B"/>
    <w:rsid w:val="00015C7B"/>
    <w:rsid w:val="0002423F"/>
    <w:rsid w:val="000352AE"/>
    <w:rsid w:val="000408E2"/>
    <w:rsid w:val="00043CE3"/>
    <w:rsid w:val="000441E2"/>
    <w:rsid w:val="00065742"/>
    <w:rsid w:val="00075D48"/>
    <w:rsid w:val="000872CD"/>
    <w:rsid w:val="000B1713"/>
    <w:rsid w:val="000C34D2"/>
    <w:rsid w:val="000C59D9"/>
    <w:rsid w:val="000E5959"/>
    <w:rsid w:val="000F0B7A"/>
    <w:rsid w:val="000F70EE"/>
    <w:rsid w:val="00100A24"/>
    <w:rsid w:val="001073A4"/>
    <w:rsid w:val="001074DD"/>
    <w:rsid w:val="00113FDC"/>
    <w:rsid w:val="00132134"/>
    <w:rsid w:val="00163F88"/>
    <w:rsid w:val="00166B23"/>
    <w:rsid w:val="0018055F"/>
    <w:rsid w:val="001842D9"/>
    <w:rsid w:val="00187D7C"/>
    <w:rsid w:val="0019473B"/>
    <w:rsid w:val="001965E6"/>
    <w:rsid w:val="001B5A84"/>
    <w:rsid w:val="001C1B82"/>
    <w:rsid w:val="001C4EA0"/>
    <w:rsid w:val="001E63CD"/>
    <w:rsid w:val="00205FE0"/>
    <w:rsid w:val="00245AD0"/>
    <w:rsid w:val="00253974"/>
    <w:rsid w:val="00275751"/>
    <w:rsid w:val="0028299D"/>
    <w:rsid w:val="002918A7"/>
    <w:rsid w:val="002A7354"/>
    <w:rsid w:val="002E6D64"/>
    <w:rsid w:val="002F16F1"/>
    <w:rsid w:val="002F4CEC"/>
    <w:rsid w:val="0031578B"/>
    <w:rsid w:val="00316C37"/>
    <w:rsid w:val="0032074B"/>
    <w:rsid w:val="00325F7E"/>
    <w:rsid w:val="00336F4A"/>
    <w:rsid w:val="00344F64"/>
    <w:rsid w:val="003600BC"/>
    <w:rsid w:val="0038350B"/>
    <w:rsid w:val="00387B9E"/>
    <w:rsid w:val="003A0240"/>
    <w:rsid w:val="003E3C79"/>
    <w:rsid w:val="00402D7C"/>
    <w:rsid w:val="00426F08"/>
    <w:rsid w:val="004302F8"/>
    <w:rsid w:val="00436663"/>
    <w:rsid w:val="00443822"/>
    <w:rsid w:val="004467E6"/>
    <w:rsid w:val="00461F38"/>
    <w:rsid w:val="00492257"/>
    <w:rsid w:val="004A05AD"/>
    <w:rsid w:val="004A2C2A"/>
    <w:rsid w:val="004D047E"/>
    <w:rsid w:val="004F5BBB"/>
    <w:rsid w:val="0050487A"/>
    <w:rsid w:val="005079DF"/>
    <w:rsid w:val="005156F9"/>
    <w:rsid w:val="00515932"/>
    <w:rsid w:val="00521CED"/>
    <w:rsid w:val="0053620B"/>
    <w:rsid w:val="00552F10"/>
    <w:rsid w:val="0055692B"/>
    <w:rsid w:val="005632F9"/>
    <w:rsid w:val="00580F2E"/>
    <w:rsid w:val="005835D6"/>
    <w:rsid w:val="005946DF"/>
    <w:rsid w:val="0059618E"/>
    <w:rsid w:val="005A0235"/>
    <w:rsid w:val="005A0576"/>
    <w:rsid w:val="005A17C1"/>
    <w:rsid w:val="005A4A7B"/>
    <w:rsid w:val="005B58EB"/>
    <w:rsid w:val="005B5DD5"/>
    <w:rsid w:val="005C4791"/>
    <w:rsid w:val="005D0F13"/>
    <w:rsid w:val="005E3594"/>
    <w:rsid w:val="005F693F"/>
    <w:rsid w:val="0062023A"/>
    <w:rsid w:val="0062271F"/>
    <w:rsid w:val="006457BC"/>
    <w:rsid w:val="00672582"/>
    <w:rsid w:val="0067711D"/>
    <w:rsid w:val="00682F9D"/>
    <w:rsid w:val="006861AF"/>
    <w:rsid w:val="006926E7"/>
    <w:rsid w:val="006A5EE4"/>
    <w:rsid w:val="006A6BBF"/>
    <w:rsid w:val="006C175F"/>
    <w:rsid w:val="006C3711"/>
    <w:rsid w:val="006F1EBC"/>
    <w:rsid w:val="0070656A"/>
    <w:rsid w:val="00733694"/>
    <w:rsid w:val="00741A18"/>
    <w:rsid w:val="00745EEB"/>
    <w:rsid w:val="00747331"/>
    <w:rsid w:val="00763ECB"/>
    <w:rsid w:val="007665F9"/>
    <w:rsid w:val="00784547"/>
    <w:rsid w:val="0079510F"/>
    <w:rsid w:val="007A79F3"/>
    <w:rsid w:val="007B0166"/>
    <w:rsid w:val="007D1DF8"/>
    <w:rsid w:val="007D5252"/>
    <w:rsid w:val="007E075D"/>
    <w:rsid w:val="007E1705"/>
    <w:rsid w:val="007E2CAD"/>
    <w:rsid w:val="007F05E6"/>
    <w:rsid w:val="00804364"/>
    <w:rsid w:val="00811E8A"/>
    <w:rsid w:val="0081355E"/>
    <w:rsid w:val="00830AD1"/>
    <w:rsid w:val="00862EAC"/>
    <w:rsid w:val="00871C74"/>
    <w:rsid w:val="00874CD3"/>
    <w:rsid w:val="008763A0"/>
    <w:rsid w:val="008766BE"/>
    <w:rsid w:val="008B35D4"/>
    <w:rsid w:val="008C20E1"/>
    <w:rsid w:val="008D35F2"/>
    <w:rsid w:val="008E09A4"/>
    <w:rsid w:val="008E1400"/>
    <w:rsid w:val="008E51BF"/>
    <w:rsid w:val="008F2D61"/>
    <w:rsid w:val="0090678C"/>
    <w:rsid w:val="0091322E"/>
    <w:rsid w:val="00936A64"/>
    <w:rsid w:val="00950634"/>
    <w:rsid w:val="00953785"/>
    <w:rsid w:val="00954041"/>
    <w:rsid w:val="009563D7"/>
    <w:rsid w:val="00957B14"/>
    <w:rsid w:val="009641FF"/>
    <w:rsid w:val="00995012"/>
    <w:rsid w:val="00997A33"/>
    <w:rsid w:val="009A0089"/>
    <w:rsid w:val="009B1128"/>
    <w:rsid w:val="009B7637"/>
    <w:rsid w:val="00A03FBE"/>
    <w:rsid w:val="00A06CC7"/>
    <w:rsid w:val="00A0711D"/>
    <w:rsid w:val="00A07476"/>
    <w:rsid w:val="00A10FFF"/>
    <w:rsid w:val="00A1221B"/>
    <w:rsid w:val="00A141C1"/>
    <w:rsid w:val="00A14BA7"/>
    <w:rsid w:val="00A265D2"/>
    <w:rsid w:val="00A37423"/>
    <w:rsid w:val="00A46380"/>
    <w:rsid w:val="00A64034"/>
    <w:rsid w:val="00A6554D"/>
    <w:rsid w:val="00A70B73"/>
    <w:rsid w:val="00A76101"/>
    <w:rsid w:val="00A77138"/>
    <w:rsid w:val="00A96E96"/>
    <w:rsid w:val="00AB706B"/>
    <w:rsid w:val="00AC104D"/>
    <w:rsid w:val="00AD6666"/>
    <w:rsid w:val="00AE60ED"/>
    <w:rsid w:val="00AF4BD5"/>
    <w:rsid w:val="00B00D62"/>
    <w:rsid w:val="00B23098"/>
    <w:rsid w:val="00B24840"/>
    <w:rsid w:val="00B427CA"/>
    <w:rsid w:val="00B46419"/>
    <w:rsid w:val="00B6777B"/>
    <w:rsid w:val="00B67D67"/>
    <w:rsid w:val="00B72033"/>
    <w:rsid w:val="00B74EB1"/>
    <w:rsid w:val="00B77778"/>
    <w:rsid w:val="00B802D6"/>
    <w:rsid w:val="00B906C0"/>
    <w:rsid w:val="00B927F2"/>
    <w:rsid w:val="00B96698"/>
    <w:rsid w:val="00BA09B7"/>
    <w:rsid w:val="00BA2AD6"/>
    <w:rsid w:val="00BC277F"/>
    <w:rsid w:val="00BE25B6"/>
    <w:rsid w:val="00C0654E"/>
    <w:rsid w:val="00C22E68"/>
    <w:rsid w:val="00C33A5C"/>
    <w:rsid w:val="00C34392"/>
    <w:rsid w:val="00C721D1"/>
    <w:rsid w:val="00C83C6E"/>
    <w:rsid w:val="00C92C13"/>
    <w:rsid w:val="00CB57A5"/>
    <w:rsid w:val="00CC2AE7"/>
    <w:rsid w:val="00CF0B8F"/>
    <w:rsid w:val="00CF7B07"/>
    <w:rsid w:val="00D00C26"/>
    <w:rsid w:val="00D204D7"/>
    <w:rsid w:val="00D41481"/>
    <w:rsid w:val="00D64E88"/>
    <w:rsid w:val="00D66088"/>
    <w:rsid w:val="00D74252"/>
    <w:rsid w:val="00D847F1"/>
    <w:rsid w:val="00D8565E"/>
    <w:rsid w:val="00DA04B8"/>
    <w:rsid w:val="00DA08CB"/>
    <w:rsid w:val="00DA4511"/>
    <w:rsid w:val="00DA6A3B"/>
    <w:rsid w:val="00DC2393"/>
    <w:rsid w:val="00DC3860"/>
    <w:rsid w:val="00DC6A24"/>
    <w:rsid w:val="00DD1EBC"/>
    <w:rsid w:val="00DE28DA"/>
    <w:rsid w:val="00DE479F"/>
    <w:rsid w:val="00DF0539"/>
    <w:rsid w:val="00DF36EB"/>
    <w:rsid w:val="00E00405"/>
    <w:rsid w:val="00E21B95"/>
    <w:rsid w:val="00E54DCA"/>
    <w:rsid w:val="00E73452"/>
    <w:rsid w:val="00E80C33"/>
    <w:rsid w:val="00E90BDF"/>
    <w:rsid w:val="00EA4486"/>
    <w:rsid w:val="00EB3797"/>
    <w:rsid w:val="00EB7709"/>
    <w:rsid w:val="00EC4A18"/>
    <w:rsid w:val="00ED19E3"/>
    <w:rsid w:val="00ED61F9"/>
    <w:rsid w:val="00EF28EF"/>
    <w:rsid w:val="00F213C0"/>
    <w:rsid w:val="00F23C5F"/>
    <w:rsid w:val="00F33EBB"/>
    <w:rsid w:val="00F34C50"/>
    <w:rsid w:val="00F351C4"/>
    <w:rsid w:val="00F4635D"/>
    <w:rsid w:val="00F60EE5"/>
    <w:rsid w:val="00F67278"/>
    <w:rsid w:val="00F77567"/>
    <w:rsid w:val="00FA45BD"/>
    <w:rsid w:val="00FD33D7"/>
    <w:rsid w:val="00FD3B89"/>
    <w:rsid w:val="00FE0A05"/>
    <w:rsid w:val="00FE353F"/>
    <w:rsid w:val="00FE380B"/>
    <w:rsid w:val="00FE561F"/>
    <w:rsid w:val="00FE760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77B"/>
  </w:style>
  <w:style w:type="paragraph" w:styleId="Heading1">
    <w:name w:val="heading 1"/>
    <w:basedOn w:val="Normal"/>
    <w:next w:val="Normal"/>
    <w:link w:val="Heading1Char"/>
    <w:uiPriority w:val="9"/>
    <w:qFormat/>
    <w:rsid w:val="000408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77B"/>
    <w:pPr>
      <w:ind w:left="720"/>
      <w:contextualSpacing/>
    </w:pPr>
  </w:style>
  <w:style w:type="character" w:customStyle="1" w:styleId="Heading1Char">
    <w:name w:val="Heading 1 Char"/>
    <w:basedOn w:val="DefaultParagraphFont"/>
    <w:link w:val="Heading1"/>
    <w:uiPriority w:val="9"/>
    <w:rsid w:val="000408E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408E2"/>
    <w:pPr>
      <w:outlineLvl w:val="9"/>
    </w:pPr>
    <w:rPr>
      <w:lang w:val="es-ES"/>
    </w:rPr>
  </w:style>
  <w:style w:type="paragraph" w:styleId="BalloonText">
    <w:name w:val="Balloon Text"/>
    <w:basedOn w:val="Normal"/>
    <w:link w:val="BalloonTextChar"/>
    <w:uiPriority w:val="99"/>
    <w:semiHidden/>
    <w:unhideWhenUsed/>
    <w:rsid w:val="00040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8E2"/>
    <w:rPr>
      <w:rFonts w:ascii="Tahoma" w:hAnsi="Tahoma" w:cs="Tahoma"/>
      <w:sz w:val="16"/>
      <w:szCs w:val="16"/>
    </w:rPr>
  </w:style>
  <w:style w:type="paragraph" w:styleId="FootnoteText">
    <w:name w:val="footnote text"/>
    <w:basedOn w:val="Normal"/>
    <w:link w:val="FootnoteTextChar"/>
    <w:uiPriority w:val="99"/>
    <w:semiHidden/>
    <w:unhideWhenUsed/>
    <w:rsid w:val="001074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74DD"/>
    <w:rPr>
      <w:sz w:val="20"/>
      <w:szCs w:val="20"/>
    </w:rPr>
  </w:style>
  <w:style w:type="character" w:styleId="FootnoteReference">
    <w:name w:val="footnote reference"/>
    <w:basedOn w:val="DefaultParagraphFont"/>
    <w:uiPriority w:val="99"/>
    <w:semiHidden/>
    <w:unhideWhenUsed/>
    <w:rsid w:val="001074DD"/>
    <w:rPr>
      <w:vertAlign w:val="superscript"/>
    </w:rPr>
  </w:style>
  <w:style w:type="table" w:styleId="TableGrid">
    <w:name w:val="Table Grid"/>
    <w:basedOn w:val="TableNormal"/>
    <w:uiPriority w:val="59"/>
    <w:rsid w:val="00DC23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2AE7"/>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CC2AE7"/>
  </w:style>
  <w:style w:type="paragraph" w:styleId="Footer">
    <w:name w:val="footer"/>
    <w:basedOn w:val="Normal"/>
    <w:link w:val="FooterChar"/>
    <w:uiPriority w:val="99"/>
    <w:unhideWhenUsed/>
    <w:rsid w:val="00CC2AE7"/>
    <w:pPr>
      <w:tabs>
        <w:tab w:val="center" w:pos="4419"/>
        <w:tab w:val="right" w:pos="8838"/>
      </w:tabs>
      <w:spacing w:after="0" w:line="240" w:lineRule="auto"/>
    </w:pPr>
  </w:style>
  <w:style w:type="character" w:customStyle="1" w:styleId="FooterChar">
    <w:name w:val="Footer Char"/>
    <w:basedOn w:val="DefaultParagraphFont"/>
    <w:link w:val="Footer"/>
    <w:uiPriority w:val="99"/>
    <w:rsid w:val="00CC2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3637">
      <w:bodyDiv w:val="1"/>
      <w:marLeft w:val="0"/>
      <w:marRight w:val="0"/>
      <w:marTop w:val="0"/>
      <w:marBottom w:val="0"/>
      <w:divBdr>
        <w:top w:val="none" w:sz="0" w:space="0" w:color="auto"/>
        <w:left w:val="none" w:sz="0" w:space="0" w:color="auto"/>
        <w:bottom w:val="none" w:sz="0" w:space="0" w:color="auto"/>
        <w:right w:val="none" w:sz="0" w:space="0" w:color="auto"/>
      </w:divBdr>
    </w:div>
    <w:div w:id="94138267">
      <w:bodyDiv w:val="1"/>
      <w:marLeft w:val="0"/>
      <w:marRight w:val="0"/>
      <w:marTop w:val="0"/>
      <w:marBottom w:val="0"/>
      <w:divBdr>
        <w:top w:val="none" w:sz="0" w:space="0" w:color="auto"/>
        <w:left w:val="none" w:sz="0" w:space="0" w:color="auto"/>
        <w:bottom w:val="none" w:sz="0" w:space="0" w:color="auto"/>
        <w:right w:val="none" w:sz="0" w:space="0" w:color="auto"/>
      </w:divBdr>
    </w:div>
    <w:div w:id="150298263">
      <w:bodyDiv w:val="1"/>
      <w:marLeft w:val="0"/>
      <w:marRight w:val="0"/>
      <w:marTop w:val="0"/>
      <w:marBottom w:val="0"/>
      <w:divBdr>
        <w:top w:val="none" w:sz="0" w:space="0" w:color="auto"/>
        <w:left w:val="none" w:sz="0" w:space="0" w:color="auto"/>
        <w:bottom w:val="none" w:sz="0" w:space="0" w:color="auto"/>
        <w:right w:val="none" w:sz="0" w:space="0" w:color="auto"/>
      </w:divBdr>
    </w:div>
    <w:div w:id="373584875">
      <w:bodyDiv w:val="1"/>
      <w:marLeft w:val="0"/>
      <w:marRight w:val="0"/>
      <w:marTop w:val="0"/>
      <w:marBottom w:val="0"/>
      <w:divBdr>
        <w:top w:val="none" w:sz="0" w:space="0" w:color="auto"/>
        <w:left w:val="none" w:sz="0" w:space="0" w:color="auto"/>
        <w:bottom w:val="none" w:sz="0" w:space="0" w:color="auto"/>
        <w:right w:val="none" w:sz="0" w:space="0" w:color="auto"/>
      </w:divBdr>
    </w:div>
    <w:div w:id="402223076">
      <w:bodyDiv w:val="1"/>
      <w:marLeft w:val="0"/>
      <w:marRight w:val="0"/>
      <w:marTop w:val="0"/>
      <w:marBottom w:val="0"/>
      <w:divBdr>
        <w:top w:val="none" w:sz="0" w:space="0" w:color="auto"/>
        <w:left w:val="none" w:sz="0" w:space="0" w:color="auto"/>
        <w:bottom w:val="none" w:sz="0" w:space="0" w:color="auto"/>
        <w:right w:val="none" w:sz="0" w:space="0" w:color="auto"/>
      </w:divBdr>
    </w:div>
    <w:div w:id="427195099">
      <w:bodyDiv w:val="1"/>
      <w:marLeft w:val="0"/>
      <w:marRight w:val="0"/>
      <w:marTop w:val="0"/>
      <w:marBottom w:val="0"/>
      <w:divBdr>
        <w:top w:val="none" w:sz="0" w:space="0" w:color="auto"/>
        <w:left w:val="none" w:sz="0" w:space="0" w:color="auto"/>
        <w:bottom w:val="none" w:sz="0" w:space="0" w:color="auto"/>
        <w:right w:val="none" w:sz="0" w:space="0" w:color="auto"/>
      </w:divBdr>
    </w:div>
    <w:div w:id="874856189">
      <w:bodyDiv w:val="1"/>
      <w:marLeft w:val="0"/>
      <w:marRight w:val="0"/>
      <w:marTop w:val="0"/>
      <w:marBottom w:val="0"/>
      <w:divBdr>
        <w:top w:val="none" w:sz="0" w:space="0" w:color="auto"/>
        <w:left w:val="none" w:sz="0" w:space="0" w:color="auto"/>
        <w:bottom w:val="none" w:sz="0" w:space="0" w:color="auto"/>
        <w:right w:val="none" w:sz="0" w:space="0" w:color="auto"/>
      </w:divBdr>
    </w:div>
    <w:div w:id="1029452096">
      <w:bodyDiv w:val="1"/>
      <w:marLeft w:val="0"/>
      <w:marRight w:val="0"/>
      <w:marTop w:val="0"/>
      <w:marBottom w:val="0"/>
      <w:divBdr>
        <w:top w:val="none" w:sz="0" w:space="0" w:color="auto"/>
        <w:left w:val="none" w:sz="0" w:space="0" w:color="auto"/>
        <w:bottom w:val="none" w:sz="0" w:space="0" w:color="auto"/>
        <w:right w:val="none" w:sz="0" w:space="0" w:color="auto"/>
      </w:divBdr>
    </w:div>
    <w:div w:id="1193617743">
      <w:bodyDiv w:val="1"/>
      <w:marLeft w:val="0"/>
      <w:marRight w:val="0"/>
      <w:marTop w:val="0"/>
      <w:marBottom w:val="0"/>
      <w:divBdr>
        <w:top w:val="none" w:sz="0" w:space="0" w:color="auto"/>
        <w:left w:val="none" w:sz="0" w:space="0" w:color="auto"/>
        <w:bottom w:val="none" w:sz="0" w:space="0" w:color="auto"/>
        <w:right w:val="none" w:sz="0" w:space="0" w:color="auto"/>
      </w:divBdr>
    </w:div>
    <w:div w:id="1278831389">
      <w:bodyDiv w:val="1"/>
      <w:marLeft w:val="0"/>
      <w:marRight w:val="0"/>
      <w:marTop w:val="0"/>
      <w:marBottom w:val="0"/>
      <w:divBdr>
        <w:top w:val="none" w:sz="0" w:space="0" w:color="auto"/>
        <w:left w:val="none" w:sz="0" w:space="0" w:color="auto"/>
        <w:bottom w:val="none" w:sz="0" w:space="0" w:color="auto"/>
        <w:right w:val="none" w:sz="0" w:space="0" w:color="auto"/>
      </w:divBdr>
    </w:div>
    <w:div w:id="1853453362">
      <w:bodyDiv w:val="1"/>
      <w:marLeft w:val="0"/>
      <w:marRight w:val="0"/>
      <w:marTop w:val="0"/>
      <w:marBottom w:val="0"/>
      <w:divBdr>
        <w:top w:val="none" w:sz="0" w:space="0" w:color="auto"/>
        <w:left w:val="none" w:sz="0" w:space="0" w:color="auto"/>
        <w:bottom w:val="none" w:sz="0" w:space="0" w:color="auto"/>
        <w:right w:val="none" w:sz="0" w:space="0" w:color="auto"/>
      </w:divBdr>
    </w:div>
    <w:div w:id="189045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0FE0F5A5030D4CA9DF31FDD99991D2" ma:contentTypeVersion="0" ma:contentTypeDescription="A content type to manage public (operations) IDB documents" ma:contentTypeScope="" ma:versionID="057c1f8ce35e56f80dcce74f0f5dacda">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36879423</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Rucci, Graciana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CH-L1064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TC-EMP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63BBFED1-F1BA-4AB0-B788-69C6C059A6A5}"/>
</file>

<file path=customXml/itemProps2.xml><?xml version="1.0" encoding="utf-8"?>
<ds:datastoreItem xmlns:ds="http://schemas.openxmlformats.org/officeDocument/2006/customXml" ds:itemID="{D76EB6D4-D1CD-4DC1-9E9E-0B5587459033}"/>
</file>

<file path=customXml/itemProps3.xml><?xml version="1.0" encoding="utf-8"?>
<ds:datastoreItem xmlns:ds="http://schemas.openxmlformats.org/officeDocument/2006/customXml" ds:itemID="{CA2D147B-0D0C-46F8-A168-73364D8F9075}"/>
</file>

<file path=customXml/itemProps4.xml><?xml version="1.0" encoding="utf-8"?>
<ds:datastoreItem xmlns:ds="http://schemas.openxmlformats.org/officeDocument/2006/customXml" ds:itemID="{E4B61B65-94B0-4780-86AD-3FDAAC78EDEB}"/>
</file>

<file path=customXml/itemProps5.xml><?xml version="1.0" encoding="utf-8"?>
<ds:datastoreItem xmlns:ds="http://schemas.openxmlformats.org/officeDocument/2006/customXml" ds:itemID="{3FB0A584-0E54-4C65-A93A-B7EED561E3AF}"/>
</file>

<file path=customXml/itemProps6.xml><?xml version="1.0" encoding="utf-8"?>
<ds:datastoreItem xmlns:ds="http://schemas.openxmlformats.org/officeDocument/2006/customXml" ds:itemID="{D4DD8F1A-7F07-44E4-9C14-9C7B66BF6BB3}"/>
</file>

<file path=docProps/app.xml><?xml version="1.0" encoding="utf-8"?>
<Properties xmlns="http://schemas.openxmlformats.org/officeDocument/2006/extended-properties" xmlns:vt="http://schemas.openxmlformats.org/officeDocument/2006/docPropsVTypes">
  <Template>Normal.dotm</Template>
  <TotalTime>16</TotalTime>
  <Pages>33</Pages>
  <Words>8402</Words>
  <Characters>47895</Characters>
  <Application>Microsoft Office Word</Application>
  <DocSecurity>0</DocSecurity>
  <Lines>399</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diagnóstico al sistema de capacitación en Chile</dc:title>
  <dc:creator>Jorge</dc:creator>
  <cp:lastModifiedBy>Inter-American Development Bank</cp:lastModifiedBy>
  <cp:revision>4</cp:revision>
  <dcterms:created xsi:type="dcterms:W3CDTF">2012-05-24T15:03:00Z</dcterms:created>
  <dcterms:modified xsi:type="dcterms:W3CDTF">2012-05-24T20:06:00Z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0x01010046CF21643EE8D14686A648AA6DAD089200950FE0F5A5030D4CA9DF31FDD99991D2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