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2.xml" ContentType="application/vnd.ms-office.chartcolorstyle+xml"/>
  <Override PartName="/word/theme/theme1.xml" ContentType="application/vnd.openxmlformats-officedocument.theme+xml"/>
  <Override PartName="/word/charts/colors3.xml" ContentType="application/vnd.ms-office.chartcolorstyle+xml"/>
  <Override PartName="/word/charts/chart2.xml" ContentType="application/vnd.openxmlformats-officedocument.drawingml.chart+xml"/>
  <Override PartName="/word/charts/colors1.xml" ContentType="application/vnd.ms-office.chartcolorstyle+xml"/>
  <Override PartName="/word/charts/style2.xml" ContentType="application/vnd.ms-office.chartstyle+xml"/>
  <Override PartName="/word/charts/style1.xml" ContentType="application/vnd.ms-office.chartstyle+xml"/>
  <Override PartName="/word/charts/chart1.xml" ContentType="application/vnd.openxmlformats-officedocument.drawingml.chart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658D60" w14:textId="64041854" w:rsidR="00251511" w:rsidRPr="00B323EA" w:rsidRDefault="00251511" w:rsidP="00B323EA">
      <w:pPr>
        <w:pStyle w:val="Ttulo3"/>
        <w:jc w:val="center"/>
        <w:rPr>
          <w:u w:val="single"/>
          <w:lang w:val="pt-BR"/>
        </w:rPr>
      </w:pPr>
      <w:r w:rsidRPr="00B323EA">
        <w:rPr>
          <w:u w:val="single"/>
          <w:lang w:val="pt-BR"/>
        </w:rPr>
        <w:t>Diagnóstico Municipal</w:t>
      </w:r>
    </w:p>
    <w:p w14:paraId="29F48718" w14:textId="46B63BB4" w:rsidR="0085286A" w:rsidRPr="003B0ED4" w:rsidRDefault="0085286A" w:rsidP="0085286A">
      <w:pPr>
        <w:pStyle w:val="Ttulo3"/>
        <w:rPr>
          <w:rStyle w:val="Ttulo3Char"/>
          <w:lang w:val="pt-BR"/>
        </w:rPr>
      </w:pPr>
      <w:r>
        <w:rPr>
          <w:lang w:val="pt-BR"/>
        </w:rPr>
        <w:t>Introdução</w:t>
      </w:r>
    </w:p>
    <w:p w14:paraId="14EA6BC7" w14:textId="4FC746B0" w:rsidR="00830584" w:rsidRDefault="003B0ED4" w:rsidP="00830584">
      <w:pPr>
        <w:rPr>
          <w:lang w:val="pt-BR"/>
        </w:rPr>
      </w:pPr>
      <w:r w:rsidRPr="003B0ED4">
        <w:rPr>
          <w:szCs w:val="24"/>
          <w:lang w:val="pt-BR"/>
        </w:rPr>
        <w:t xml:space="preserve">O presente documento </w:t>
      </w:r>
      <w:r>
        <w:rPr>
          <w:szCs w:val="24"/>
          <w:lang w:val="pt-BR"/>
        </w:rPr>
        <w:t xml:space="preserve">tem como objetivo </w:t>
      </w:r>
      <w:r w:rsidR="001830FE">
        <w:rPr>
          <w:szCs w:val="24"/>
          <w:lang w:val="pt-BR"/>
        </w:rPr>
        <w:t xml:space="preserve">fornecer informações para </w:t>
      </w:r>
      <w:r w:rsidR="00BD797B">
        <w:rPr>
          <w:szCs w:val="24"/>
          <w:lang w:val="pt-BR"/>
        </w:rPr>
        <w:t xml:space="preserve">o </w:t>
      </w:r>
      <w:r w:rsidR="001830FE">
        <w:rPr>
          <w:szCs w:val="24"/>
          <w:lang w:val="pt-BR"/>
        </w:rPr>
        <w:t xml:space="preserve">embasamento do Programa de Investimento em Gestão de Infraestrutura Pública para Eficiência Municipal (PROGEINFRA) </w:t>
      </w:r>
      <w:r>
        <w:rPr>
          <w:szCs w:val="24"/>
          <w:lang w:val="pt-BR"/>
        </w:rPr>
        <w:t>e complementar as informações fornecidas na Proposta de Desenvolvimento da Operação (POD).</w:t>
      </w:r>
      <w:r w:rsidR="001830FE">
        <w:rPr>
          <w:szCs w:val="24"/>
          <w:lang w:val="pt-BR"/>
        </w:rPr>
        <w:t xml:space="preserve"> </w:t>
      </w:r>
      <w:r w:rsidR="00830584" w:rsidRPr="00702D34">
        <w:rPr>
          <w:lang w:val="pt-BR"/>
        </w:rPr>
        <w:t>A finalidade do programa é a</w:t>
      </w:r>
      <w:r w:rsidR="00830584">
        <w:rPr>
          <w:lang w:val="pt-BR"/>
        </w:rPr>
        <w:t xml:space="preserve">poiar a melhoria da eficiência da infraestrutura e dos serviços públicos municipais, mediante investimentos e soluções inovadoras implementadas por meio de uma Linha de Crédito do Banco do Brasil. O BB será responsável por coordenar, planejar, monitorar e executar as atividades relacionadas aos projetos e ações financiadas com recursos do BID. </w:t>
      </w:r>
    </w:p>
    <w:p w14:paraId="4ABC38C0" w14:textId="4AD84E1B" w:rsidR="00830584" w:rsidRDefault="00830584" w:rsidP="00830584">
      <w:pPr>
        <w:rPr>
          <w:lang w:val="pt-BR"/>
        </w:rPr>
      </w:pPr>
      <w:r>
        <w:rPr>
          <w:lang w:val="pt-BR"/>
        </w:rPr>
        <w:t xml:space="preserve">Municípios brasileiros com população até 500 mil habitantes estarão aptos a acessar </w:t>
      </w:r>
      <w:r w:rsidR="00BD797B">
        <w:rPr>
          <w:lang w:val="pt-BR"/>
        </w:rPr>
        <w:t>um</w:t>
      </w:r>
      <w:r>
        <w:rPr>
          <w:lang w:val="pt-BR"/>
        </w:rPr>
        <w:t xml:space="preserve">a linha de crédito para financiar projetos de investimento de valores até US$7 milhões em eficiência energética, infraestrutura viária e sistemas de abastecimento de água. </w:t>
      </w:r>
      <w:r w:rsidR="00E40A64">
        <w:rPr>
          <w:lang w:val="pt-BR"/>
        </w:rPr>
        <w:t>O recorte dos municípios de pequeno e médio porte se justifica pelo fato</w:t>
      </w:r>
      <w:r w:rsidR="00D004DC">
        <w:rPr>
          <w:lang w:val="pt-BR"/>
        </w:rPr>
        <w:t xml:space="preserve"> de este grupo</w:t>
      </w:r>
      <w:r w:rsidR="00E40A64">
        <w:rPr>
          <w:lang w:val="pt-BR"/>
        </w:rPr>
        <w:t xml:space="preserve"> </w:t>
      </w:r>
      <w:r w:rsidR="00705E28">
        <w:rPr>
          <w:lang w:val="pt-BR"/>
        </w:rPr>
        <w:t>apresentar uma</w:t>
      </w:r>
      <w:r w:rsidR="00D004DC">
        <w:rPr>
          <w:lang w:val="pt-BR"/>
        </w:rPr>
        <w:t xml:space="preserve"> </w:t>
      </w:r>
      <w:r w:rsidR="00705E28">
        <w:rPr>
          <w:lang w:val="pt-BR"/>
        </w:rPr>
        <w:t>carência de recursos financeiros</w:t>
      </w:r>
      <w:r w:rsidR="00122A05">
        <w:rPr>
          <w:lang w:val="pt-BR"/>
        </w:rPr>
        <w:t xml:space="preserve"> próprios</w:t>
      </w:r>
      <w:r w:rsidR="00705E28">
        <w:rPr>
          <w:lang w:val="pt-BR"/>
        </w:rPr>
        <w:t xml:space="preserve"> e uma</w:t>
      </w:r>
      <w:r w:rsidR="00E40A64">
        <w:rPr>
          <w:lang w:val="pt-BR"/>
        </w:rPr>
        <w:t xml:space="preserve"> dificuldade </w:t>
      </w:r>
      <w:r w:rsidR="00705E28">
        <w:rPr>
          <w:lang w:val="pt-BR"/>
        </w:rPr>
        <w:t>no</w:t>
      </w:r>
      <w:r w:rsidR="00E40A64">
        <w:rPr>
          <w:lang w:val="pt-BR"/>
        </w:rPr>
        <w:t xml:space="preserve"> acess</w:t>
      </w:r>
      <w:r w:rsidR="00705E28">
        <w:rPr>
          <w:lang w:val="pt-BR"/>
        </w:rPr>
        <w:t>o à</w:t>
      </w:r>
      <w:r w:rsidR="00E40A64">
        <w:rPr>
          <w:lang w:val="pt-BR"/>
        </w:rPr>
        <w:t xml:space="preserve"> financiamento</w:t>
      </w:r>
      <w:r w:rsidR="00705E28">
        <w:rPr>
          <w:lang w:val="pt-BR"/>
        </w:rPr>
        <w:t xml:space="preserve">. </w:t>
      </w:r>
      <w:r w:rsidR="00122A05">
        <w:rPr>
          <w:lang w:val="pt-BR"/>
        </w:rPr>
        <w:t xml:space="preserve">A situação </w:t>
      </w:r>
      <w:r w:rsidR="00BD797B">
        <w:rPr>
          <w:lang w:val="pt-BR"/>
        </w:rPr>
        <w:t>dessas prefeituras</w:t>
      </w:r>
      <w:r w:rsidR="00122A05">
        <w:rPr>
          <w:lang w:val="pt-BR"/>
        </w:rPr>
        <w:t xml:space="preserve"> se agrava com o cenário de crise enfrentado pelos governos brasileiros e a redução dos repasses federais e estaduais. Assim, o programa pretende reduzir a brecha de crédito no Brasil para modernizar a infraestrutura dos municípios e, consequentemente, aumentar a eficiência e diminuir custos de manutenção.</w:t>
      </w:r>
    </w:p>
    <w:p w14:paraId="59C98796" w14:textId="35004FFF" w:rsidR="00B22625" w:rsidRDefault="00FA2F22" w:rsidP="00830584">
      <w:pPr>
        <w:rPr>
          <w:lang w:val="pt-BR"/>
        </w:rPr>
      </w:pPr>
      <w:r>
        <w:rPr>
          <w:lang w:val="pt-BR"/>
        </w:rPr>
        <w:t xml:space="preserve">O documento </w:t>
      </w:r>
      <w:r w:rsidR="00B323EA">
        <w:rPr>
          <w:lang w:val="pt-BR"/>
        </w:rPr>
        <w:t xml:space="preserve">apresenta </w:t>
      </w:r>
      <w:r>
        <w:rPr>
          <w:lang w:val="pt-BR"/>
        </w:rPr>
        <w:t xml:space="preserve">uma visão geral dos pequenos e médios municípios brasileiros em termos de produtividade e crescimento econômico; situação fiscal e acesso a financiamento; e capacidade de gestão de infraestruturas. Com isso, é possível perceber a situação do país nos últimos anos e uma perspectiva de curto e médio prazos. </w:t>
      </w:r>
    </w:p>
    <w:p w14:paraId="3FEBD7BD" w14:textId="0AF494FB" w:rsidR="009953AA" w:rsidRDefault="003D2C0E" w:rsidP="00830584">
      <w:pPr>
        <w:rPr>
          <w:lang w:val="pt-BR"/>
        </w:rPr>
      </w:pPr>
      <w:r>
        <w:rPr>
          <w:lang w:val="pt-BR"/>
        </w:rPr>
        <w:t xml:space="preserve">Com este </w:t>
      </w:r>
      <w:r w:rsidR="00B323EA">
        <w:rPr>
          <w:lang w:val="pt-BR"/>
        </w:rPr>
        <w:t>trabalho</w:t>
      </w:r>
      <w:r>
        <w:rPr>
          <w:lang w:val="pt-BR"/>
        </w:rPr>
        <w:t xml:space="preserve"> pretende-se demonstrar a importância dos investimentos na melhoria da eficiência de infraestrutura no país. Considerando que os centros urbanos com população até 500.000 habitantes correspondem a mai</w:t>
      </w:r>
      <w:r w:rsidR="00BD797B">
        <w:rPr>
          <w:lang w:val="pt-BR"/>
        </w:rPr>
        <w:t>oria</w:t>
      </w:r>
      <w:r>
        <w:rPr>
          <w:lang w:val="pt-BR"/>
        </w:rPr>
        <w:t xml:space="preserve"> dos municípios brasileiros, é possível gerar um grande impacto na qualidade de vida dos cidadãos com o aumento da produtividade, eficiência e dinamismo da economia municipal. </w:t>
      </w:r>
    </w:p>
    <w:p w14:paraId="35B27303" w14:textId="3EF68583" w:rsidR="00F92397" w:rsidRDefault="00F92397" w:rsidP="0085286A">
      <w:pPr>
        <w:pStyle w:val="Ttulo1"/>
        <w:rPr>
          <w:lang w:val="pt-BR"/>
        </w:rPr>
      </w:pPr>
      <w:r w:rsidRPr="00F92397">
        <w:rPr>
          <w:lang w:val="pt-BR"/>
        </w:rPr>
        <w:t>Uma perspectiva dos municípios brasileiros</w:t>
      </w:r>
    </w:p>
    <w:p w14:paraId="19F2F9EE" w14:textId="3BCA9C96" w:rsidR="00DC3948" w:rsidRDefault="00251511" w:rsidP="00251511">
      <w:pPr>
        <w:rPr>
          <w:lang w:val="pt-BR"/>
        </w:rPr>
      </w:pPr>
      <w:r>
        <w:rPr>
          <w:lang w:val="pt-BR"/>
        </w:rPr>
        <w:t xml:space="preserve">O Brasil é um país de dimensões continentais composto por 5.570 municípios. </w:t>
      </w:r>
      <w:r w:rsidR="00E91276">
        <w:rPr>
          <w:lang w:val="pt-BR"/>
        </w:rPr>
        <w:t xml:space="preserve">Conforme dados do censo demográfico de 2010, levantado pelo IBGE, mais de 90% deles apresentam população abaixo de 500 mil habitantes. A Constituição Federal de 1988 trouxe um aumento nas responsabilidades dos governos locais, porém as prefeituras enfrentam até os dias atuais dificuldades em honrar com eficiência o grande fardo que lhes coube. </w:t>
      </w:r>
      <w:r w:rsidR="00A442D7">
        <w:rPr>
          <w:lang w:val="pt-BR"/>
        </w:rPr>
        <w:t>Os municípios de pequeno e médio porte são os que mais sofrem com as incapacidades e ineficiências na provisão de infraestruturas e serviços aos seus cidadãos.</w:t>
      </w:r>
    </w:p>
    <w:p w14:paraId="66E5F22B" w14:textId="77777777" w:rsidR="00D84F29" w:rsidRDefault="00D84F29" w:rsidP="00251511">
      <w:pPr>
        <w:rPr>
          <w:lang w:val="pt-BR"/>
        </w:rPr>
      </w:pPr>
    </w:p>
    <w:tbl>
      <w:tblPr>
        <w:tblStyle w:val="TabelaSimples4"/>
        <w:tblW w:w="0" w:type="auto"/>
        <w:tblLook w:val="04A0" w:firstRow="1" w:lastRow="0" w:firstColumn="1" w:lastColumn="0" w:noHBand="0" w:noVBand="1"/>
      </w:tblPr>
      <w:tblGrid>
        <w:gridCol w:w="3004"/>
        <w:gridCol w:w="1501"/>
        <w:gridCol w:w="1502"/>
        <w:gridCol w:w="1502"/>
        <w:gridCol w:w="1507"/>
      </w:tblGrid>
      <w:tr w:rsidR="00B63CC8" w:rsidRPr="00B323EA" w14:paraId="5F14CBE1" w14:textId="77777777" w:rsidTr="00B63C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86FC6" w14:textId="3747851D" w:rsidR="00B63CC8" w:rsidRPr="00B63CC8" w:rsidRDefault="00B63CC8" w:rsidP="00B63CC8">
            <w:pPr>
              <w:jc w:val="center"/>
              <w:rPr>
                <w:sz w:val="20"/>
                <w:szCs w:val="20"/>
                <w:lang w:val="pt-BR"/>
              </w:rPr>
            </w:pPr>
            <w:r w:rsidRPr="00B63CC8">
              <w:rPr>
                <w:sz w:val="20"/>
                <w:szCs w:val="20"/>
                <w:lang w:val="pt-BR"/>
              </w:rPr>
              <w:t>População residente e número de municípios, total e respectiva distribuição percentual, segundo as classes de tamanho da população dos municípios - 2010</w:t>
            </w:r>
          </w:p>
        </w:tc>
      </w:tr>
      <w:tr w:rsidR="00B63CC8" w14:paraId="5DE80B5B" w14:textId="77777777" w:rsidTr="00D84F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F5FBF" w14:textId="523E1D02" w:rsidR="00B63CC8" w:rsidRPr="00B63CC8" w:rsidRDefault="00B63CC8" w:rsidP="00B63CC8">
            <w:pPr>
              <w:jc w:val="center"/>
              <w:rPr>
                <w:bCs w:val="0"/>
                <w:sz w:val="20"/>
                <w:szCs w:val="20"/>
                <w:lang w:val="pt-BR"/>
              </w:rPr>
            </w:pPr>
            <w:r>
              <w:rPr>
                <w:b w:val="0"/>
                <w:sz w:val="20"/>
                <w:szCs w:val="20"/>
                <w:lang w:val="pt-BR"/>
              </w:rPr>
              <w:t>Classes de tamanho da população dos municípios (habitantes)</w:t>
            </w:r>
          </w:p>
        </w:tc>
        <w:tc>
          <w:tcPr>
            <w:tcW w:w="3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CCCB" w14:textId="19C3ED6C" w:rsidR="00B63CC8" w:rsidRPr="00B63CC8" w:rsidRDefault="00B63CC8" w:rsidP="00B63C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População residente</w:t>
            </w:r>
          </w:p>
        </w:tc>
        <w:tc>
          <w:tcPr>
            <w:tcW w:w="3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E657C" w14:textId="048B92BE" w:rsidR="00B63CC8" w:rsidRPr="00B63CC8" w:rsidRDefault="00B63CC8" w:rsidP="00B63CC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pt-BR"/>
              </w:rPr>
            </w:pPr>
            <w:r w:rsidRPr="00B63CC8">
              <w:rPr>
                <w:sz w:val="20"/>
                <w:szCs w:val="20"/>
                <w:lang w:val="pt-BR"/>
              </w:rPr>
              <w:t>Número de municípios</w:t>
            </w:r>
          </w:p>
        </w:tc>
      </w:tr>
      <w:tr w:rsidR="00B63CC8" w14:paraId="65B3A865" w14:textId="77777777" w:rsidTr="00D84F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553E" w14:textId="77777777" w:rsidR="00B63CC8" w:rsidRDefault="00B63CC8" w:rsidP="00B63CC8">
            <w:pPr>
              <w:jc w:val="center"/>
              <w:rPr>
                <w:b w:val="0"/>
                <w:sz w:val="20"/>
                <w:szCs w:val="20"/>
                <w:lang w:val="pt-BR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FEFD" w14:textId="77777777" w:rsidR="00B63CC8" w:rsidRDefault="00B63CC8" w:rsidP="00B63C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Total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07C3" w14:textId="41AAD935" w:rsidR="00B63CC8" w:rsidRDefault="00B63CC8" w:rsidP="00B63C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%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2C04D" w14:textId="081E8B79" w:rsidR="00B63CC8" w:rsidRPr="00B63CC8" w:rsidRDefault="00B63CC8" w:rsidP="00B63C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Total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8E52" w14:textId="16D94C0B" w:rsidR="00B63CC8" w:rsidRPr="00B63CC8" w:rsidRDefault="00B63CC8" w:rsidP="00B63CC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pt-BR"/>
              </w:rPr>
            </w:pPr>
            <w:r>
              <w:rPr>
                <w:sz w:val="20"/>
                <w:szCs w:val="20"/>
                <w:lang w:val="pt-BR"/>
              </w:rPr>
              <w:t>%</w:t>
            </w:r>
          </w:p>
        </w:tc>
      </w:tr>
      <w:tr w:rsidR="00D84F29" w14:paraId="229FD711" w14:textId="032B1075" w:rsidTr="00D84F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087C93" w14:textId="5B9CAFAC" w:rsidR="00D84F29" w:rsidRPr="00D84F29" w:rsidRDefault="00D84F29" w:rsidP="00251511">
            <w:pPr>
              <w:rPr>
                <w:sz w:val="20"/>
                <w:szCs w:val="20"/>
                <w:lang w:val="pt-BR"/>
              </w:rPr>
            </w:pPr>
            <w:r w:rsidRPr="00D84F29">
              <w:rPr>
                <w:sz w:val="20"/>
                <w:szCs w:val="20"/>
                <w:lang w:val="pt-BR"/>
              </w:rPr>
              <w:t>Brasil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5F8C00C" w14:textId="49581297" w:rsidR="00D84F29" w:rsidRPr="00D84F29" w:rsidRDefault="00D84F29" w:rsidP="00D84F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val="pt-BR"/>
              </w:rPr>
            </w:pPr>
            <w:r>
              <w:rPr>
                <w:b/>
                <w:bCs/>
                <w:sz w:val="20"/>
                <w:szCs w:val="20"/>
                <w:lang w:val="pt-BR"/>
              </w:rPr>
              <w:t>190.755.799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8009C7A" w14:textId="494C383E" w:rsidR="00D84F29" w:rsidRPr="00D84F29" w:rsidRDefault="00D84F29" w:rsidP="00D84F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val="pt-BR"/>
              </w:rPr>
            </w:pPr>
            <w:r>
              <w:rPr>
                <w:b/>
                <w:bCs/>
                <w:sz w:val="20"/>
                <w:szCs w:val="20"/>
                <w:lang w:val="pt-BR"/>
              </w:rPr>
              <w:t>100.0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949D10" w14:textId="23E0AC0E" w:rsidR="00D84F29" w:rsidRPr="00D84F29" w:rsidRDefault="00D84F29" w:rsidP="00D84F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val="pt-BR"/>
              </w:rPr>
            </w:pPr>
            <w:r>
              <w:rPr>
                <w:b/>
                <w:bCs/>
                <w:sz w:val="20"/>
                <w:szCs w:val="20"/>
                <w:lang w:val="pt-BR"/>
              </w:rPr>
              <w:t>5.565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231ABE" w14:textId="218B38B2" w:rsidR="00D84F29" w:rsidRPr="00D84F29" w:rsidRDefault="00D84F29" w:rsidP="00D84F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0"/>
                <w:szCs w:val="20"/>
                <w:lang w:val="pt-BR"/>
              </w:rPr>
            </w:pPr>
            <w:r>
              <w:rPr>
                <w:b/>
                <w:bCs/>
                <w:sz w:val="20"/>
                <w:szCs w:val="20"/>
                <w:lang w:val="pt-BR"/>
              </w:rPr>
              <w:t>100.0</w:t>
            </w:r>
          </w:p>
        </w:tc>
      </w:tr>
      <w:tr w:rsidR="00D84F29" w14:paraId="4D6428EB" w14:textId="736A0B31" w:rsidTr="00D84F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4" w:type="dxa"/>
            <w:tcBorders>
              <w:left w:val="single" w:sz="4" w:space="0" w:color="auto"/>
              <w:right w:val="single" w:sz="4" w:space="0" w:color="auto"/>
            </w:tcBorders>
          </w:tcPr>
          <w:p w14:paraId="690A5B79" w14:textId="1D9F3A10" w:rsidR="00D84F29" w:rsidRPr="00B63CC8" w:rsidRDefault="00D84F29" w:rsidP="00251511">
            <w:pPr>
              <w:rPr>
                <w:b w:val="0"/>
                <w:sz w:val="20"/>
                <w:szCs w:val="20"/>
                <w:lang w:val="pt-BR"/>
              </w:rPr>
            </w:pPr>
            <w:r>
              <w:rPr>
                <w:b w:val="0"/>
                <w:sz w:val="20"/>
                <w:szCs w:val="20"/>
                <w:lang w:val="pt-BR"/>
              </w:rPr>
              <w:t>Até 5.000</w:t>
            </w:r>
          </w:p>
        </w:tc>
        <w:tc>
          <w:tcPr>
            <w:tcW w:w="1501" w:type="dxa"/>
            <w:tcBorders>
              <w:left w:val="single" w:sz="4" w:space="0" w:color="auto"/>
            </w:tcBorders>
            <w:vAlign w:val="center"/>
          </w:tcPr>
          <w:p w14:paraId="31CA7DCB" w14:textId="60745E50" w:rsidR="00D84F29" w:rsidRPr="00D84F29" w:rsidRDefault="00D84F29" w:rsidP="00D84F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4.374.345</w:t>
            </w:r>
          </w:p>
        </w:tc>
        <w:tc>
          <w:tcPr>
            <w:tcW w:w="1502" w:type="dxa"/>
            <w:tcBorders>
              <w:left w:val="single" w:sz="4" w:space="0" w:color="auto"/>
            </w:tcBorders>
            <w:vAlign w:val="center"/>
          </w:tcPr>
          <w:p w14:paraId="21E9430D" w14:textId="2F6DD207" w:rsidR="00D84F29" w:rsidRPr="00D84F29" w:rsidRDefault="00D84F29" w:rsidP="00D84F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2,3</w:t>
            </w:r>
          </w:p>
        </w:tc>
        <w:tc>
          <w:tcPr>
            <w:tcW w:w="1502" w:type="dxa"/>
            <w:tcBorders>
              <w:left w:val="single" w:sz="4" w:space="0" w:color="auto"/>
            </w:tcBorders>
            <w:vAlign w:val="center"/>
          </w:tcPr>
          <w:p w14:paraId="75F69FE1" w14:textId="6AE4E2B9" w:rsidR="00D84F29" w:rsidRPr="00D84F29" w:rsidRDefault="00D84F29" w:rsidP="00D84F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1.301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C4878" w14:textId="4C5A2C7A" w:rsidR="00D84F29" w:rsidRPr="00D84F29" w:rsidRDefault="00D84F29" w:rsidP="00D84F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23,4</w:t>
            </w:r>
          </w:p>
        </w:tc>
      </w:tr>
      <w:tr w:rsidR="00D84F29" w14:paraId="2A1FEB18" w14:textId="3FED6073" w:rsidTr="00D84F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4" w:type="dxa"/>
            <w:tcBorders>
              <w:left w:val="single" w:sz="4" w:space="0" w:color="auto"/>
              <w:right w:val="single" w:sz="4" w:space="0" w:color="auto"/>
            </w:tcBorders>
          </w:tcPr>
          <w:p w14:paraId="168291CC" w14:textId="38DF636F" w:rsidR="00D84F29" w:rsidRPr="00B63CC8" w:rsidRDefault="00D84F29" w:rsidP="00251511">
            <w:pPr>
              <w:rPr>
                <w:b w:val="0"/>
                <w:sz w:val="20"/>
                <w:szCs w:val="20"/>
                <w:lang w:val="pt-BR"/>
              </w:rPr>
            </w:pPr>
            <w:r>
              <w:rPr>
                <w:b w:val="0"/>
                <w:sz w:val="20"/>
                <w:szCs w:val="20"/>
                <w:lang w:val="pt-BR"/>
              </w:rPr>
              <w:t>De 5.001 até 10.000</w:t>
            </w:r>
          </w:p>
        </w:tc>
        <w:tc>
          <w:tcPr>
            <w:tcW w:w="1501" w:type="dxa"/>
            <w:tcBorders>
              <w:left w:val="single" w:sz="4" w:space="0" w:color="auto"/>
            </w:tcBorders>
            <w:vAlign w:val="center"/>
          </w:tcPr>
          <w:p w14:paraId="2483ECBE" w14:textId="3EE17DAD" w:rsidR="00D84F29" w:rsidRPr="00D84F29" w:rsidRDefault="00D84F29" w:rsidP="00D84F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8.541.935</w:t>
            </w:r>
          </w:p>
        </w:tc>
        <w:tc>
          <w:tcPr>
            <w:tcW w:w="1502" w:type="dxa"/>
            <w:tcBorders>
              <w:left w:val="single" w:sz="4" w:space="0" w:color="auto"/>
            </w:tcBorders>
            <w:vAlign w:val="center"/>
          </w:tcPr>
          <w:p w14:paraId="2BFA30FE" w14:textId="4CB573F6" w:rsidR="00D84F29" w:rsidRPr="00D84F29" w:rsidRDefault="00D84F29" w:rsidP="00D84F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4,5</w:t>
            </w:r>
          </w:p>
        </w:tc>
        <w:tc>
          <w:tcPr>
            <w:tcW w:w="1502" w:type="dxa"/>
            <w:tcBorders>
              <w:left w:val="single" w:sz="4" w:space="0" w:color="auto"/>
            </w:tcBorders>
            <w:vAlign w:val="center"/>
          </w:tcPr>
          <w:p w14:paraId="07E159E6" w14:textId="5AF80571" w:rsidR="00D84F29" w:rsidRPr="00D84F29" w:rsidRDefault="00D84F29" w:rsidP="00D84F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1.212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99FC4A" w14:textId="24FCB629" w:rsidR="00D84F29" w:rsidRPr="00D84F29" w:rsidRDefault="00D84F29" w:rsidP="00D84F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21,8</w:t>
            </w:r>
          </w:p>
        </w:tc>
      </w:tr>
      <w:tr w:rsidR="00D84F29" w14:paraId="576B6594" w14:textId="63C276E1" w:rsidTr="00D84F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4" w:type="dxa"/>
            <w:tcBorders>
              <w:left w:val="single" w:sz="4" w:space="0" w:color="auto"/>
              <w:right w:val="single" w:sz="4" w:space="0" w:color="auto"/>
            </w:tcBorders>
          </w:tcPr>
          <w:p w14:paraId="258AC319" w14:textId="6047FFB2" w:rsidR="00D84F29" w:rsidRPr="00B63CC8" w:rsidRDefault="00D84F29" w:rsidP="00251511">
            <w:pPr>
              <w:rPr>
                <w:b w:val="0"/>
                <w:sz w:val="20"/>
                <w:szCs w:val="20"/>
                <w:lang w:val="pt-BR"/>
              </w:rPr>
            </w:pPr>
            <w:r>
              <w:rPr>
                <w:b w:val="0"/>
                <w:sz w:val="20"/>
                <w:szCs w:val="20"/>
                <w:lang w:val="pt-BR"/>
              </w:rPr>
              <w:t>De 10.001 até 20.000</w:t>
            </w:r>
          </w:p>
        </w:tc>
        <w:tc>
          <w:tcPr>
            <w:tcW w:w="1501" w:type="dxa"/>
            <w:tcBorders>
              <w:left w:val="single" w:sz="4" w:space="0" w:color="auto"/>
            </w:tcBorders>
            <w:vAlign w:val="center"/>
          </w:tcPr>
          <w:p w14:paraId="15FC0D1C" w14:textId="242C7001" w:rsidR="00D84F29" w:rsidRPr="00D84F29" w:rsidRDefault="00D84F29" w:rsidP="00D84F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19.743.967</w:t>
            </w:r>
          </w:p>
        </w:tc>
        <w:tc>
          <w:tcPr>
            <w:tcW w:w="1502" w:type="dxa"/>
            <w:tcBorders>
              <w:left w:val="single" w:sz="4" w:space="0" w:color="auto"/>
            </w:tcBorders>
            <w:vAlign w:val="center"/>
          </w:tcPr>
          <w:p w14:paraId="464BB18D" w14:textId="01F13C66" w:rsidR="00D84F29" w:rsidRPr="00D84F29" w:rsidRDefault="00D84F29" w:rsidP="00D84F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10,4</w:t>
            </w:r>
          </w:p>
        </w:tc>
        <w:tc>
          <w:tcPr>
            <w:tcW w:w="1502" w:type="dxa"/>
            <w:tcBorders>
              <w:left w:val="single" w:sz="4" w:space="0" w:color="auto"/>
            </w:tcBorders>
            <w:vAlign w:val="center"/>
          </w:tcPr>
          <w:p w14:paraId="60EC136C" w14:textId="4513A1BC" w:rsidR="00D84F29" w:rsidRPr="00D84F29" w:rsidRDefault="00D84F29" w:rsidP="00D84F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1.401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79292" w14:textId="12F14BCE" w:rsidR="00D84F29" w:rsidRPr="00D84F29" w:rsidRDefault="00D84F29" w:rsidP="00D84F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25,2</w:t>
            </w:r>
          </w:p>
        </w:tc>
      </w:tr>
      <w:tr w:rsidR="00D84F29" w14:paraId="75EF9442" w14:textId="5F62FE54" w:rsidTr="00D84F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4" w:type="dxa"/>
            <w:tcBorders>
              <w:left w:val="single" w:sz="4" w:space="0" w:color="auto"/>
              <w:right w:val="single" w:sz="4" w:space="0" w:color="auto"/>
            </w:tcBorders>
          </w:tcPr>
          <w:p w14:paraId="4E24D441" w14:textId="61B0AD21" w:rsidR="00D84F29" w:rsidRPr="00B63CC8" w:rsidRDefault="00D84F29" w:rsidP="00251511">
            <w:pPr>
              <w:rPr>
                <w:b w:val="0"/>
                <w:sz w:val="20"/>
                <w:szCs w:val="20"/>
                <w:lang w:val="pt-BR"/>
              </w:rPr>
            </w:pPr>
            <w:r>
              <w:rPr>
                <w:b w:val="0"/>
                <w:sz w:val="20"/>
                <w:szCs w:val="20"/>
                <w:lang w:val="pt-BR"/>
              </w:rPr>
              <w:t>De 20.001 até 50.000</w:t>
            </w:r>
          </w:p>
        </w:tc>
        <w:tc>
          <w:tcPr>
            <w:tcW w:w="1501" w:type="dxa"/>
            <w:tcBorders>
              <w:left w:val="single" w:sz="4" w:space="0" w:color="auto"/>
            </w:tcBorders>
            <w:vAlign w:val="center"/>
          </w:tcPr>
          <w:p w14:paraId="48D7CDE1" w14:textId="05FBFA8C" w:rsidR="00D84F29" w:rsidRPr="00D84F29" w:rsidRDefault="00D84F29" w:rsidP="00D84F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31.344.671</w:t>
            </w:r>
          </w:p>
        </w:tc>
        <w:tc>
          <w:tcPr>
            <w:tcW w:w="1502" w:type="dxa"/>
            <w:tcBorders>
              <w:left w:val="single" w:sz="4" w:space="0" w:color="auto"/>
            </w:tcBorders>
            <w:vAlign w:val="center"/>
          </w:tcPr>
          <w:p w14:paraId="0221E365" w14:textId="71FBC659" w:rsidR="00D84F29" w:rsidRPr="00D84F29" w:rsidRDefault="00D84F29" w:rsidP="00D84F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16,4</w:t>
            </w:r>
          </w:p>
        </w:tc>
        <w:tc>
          <w:tcPr>
            <w:tcW w:w="1502" w:type="dxa"/>
            <w:tcBorders>
              <w:left w:val="single" w:sz="4" w:space="0" w:color="auto"/>
            </w:tcBorders>
            <w:vAlign w:val="center"/>
          </w:tcPr>
          <w:p w14:paraId="4DA4E446" w14:textId="5267228E" w:rsidR="00D84F29" w:rsidRPr="00D84F29" w:rsidRDefault="00D84F29" w:rsidP="00D84F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1.043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C3B5D4" w14:textId="5BD4E6AF" w:rsidR="00D84F29" w:rsidRPr="00D84F29" w:rsidRDefault="00D84F29" w:rsidP="00D84F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18,7</w:t>
            </w:r>
          </w:p>
        </w:tc>
      </w:tr>
      <w:tr w:rsidR="00D84F29" w14:paraId="5BDB880B" w14:textId="58D1172F" w:rsidTr="00D84F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4" w:type="dxa"/>
            <w:tcBorders>
              <w:left w:val="single" w:sz="4" w:space="0" w:color="auto"/>
              <w:right w:val="single" w:sz="4" w:space="0" w:color="auto"/>
            </w:tcBorders>
          </w:tcPr>
          <w:p w14:paraId="4F0A5E96" w14:textId="1F925D76" w:rsidR="00D84F29" w:rsidRDefault="00D84F29" w:rsidP="00251511">
            <w:pPr>
              <w:rPr>
                <w:b w:val="0"/>
                <w:sz w:val="20"/>
                <w:szCs w:val="20"/>
                <w:lang w:val="pt-BR"/>
              </w:rPr>
            </w:pPr>
            <w:r>
              <w:rPr>
                <w:b w:val="0"/>
                <w:sz w:val="20"/>
                <w:szCs w:val="20"/>
                <w:lang w:val="pt-BR"/>
              </w:rPr>
              <w:t>De 50.001 até 100.000</w:t>
            </w:r>
          </w:p>
        </w:tc>
        <w:tc>
          <w:tcPr>
            <w:tcW w:w="1501" w:type="dxa"/>
            <w:tcBorders>
              <w:left w:val="single" w:sz="4" w:space="0" w:color="auto"/>
            </w:tcBorders>
            <w:vAlign w:val="center"/>
          </w:tcPr>
          <w:p w14:paraId="147784A9" w14:textId="12891748" w:rsidR="00D84F29" w:rsidRPr="00D84F29" w:rsidRDefault="00D84F29" w:rsidP="00D84F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22.314.204</w:t>
            </w:r>
          </w:p>
        </w:tc>
        <w:tc>
          <w:tcPr>
            <w:tcW w:w="1502" w:type="dxa"/>
            <w:tcBorders>
              <w:left w:val="single" w:sz="4" w:space="0" w:color="auto"/>
            </w:tcBorders>
            <w:vAlign w:val="center"/>
          </w:tcPr>
          <w:p w14:paraId="28977710" w14:textId="3F58CAC8" w:rsidR="00D84F29" w:rsidRPr="00D84F29" w:rsidRDefault="00D84F29" w:rsidP="00D84F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11,7</w:t>
            </w:r>
          </w:p>
        </w:tc>
        <w:tc>
          <w:tcPr>
            <w:tcW w:w="1502" w:type="dxa"/>
            <w:tcBorders>
              <w:left w:val="single" w:sz="4" w:space="0" w:color="auto"/>
            </w:tcBorders>
            <w:vAlign w:val="center"/>
          </w:tcPr>
          <w:p w14:paraId="465175C1" w14:textId="3E843AC0" w:rsidR="00D84F29" w:rsidRPr="00D84F29" w:rsidRDefault="00D84F29" w:rsidP="00D84F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325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733D4A" w14:textId="1B381240" w:rsidR="00D84F29" w:rsidRPr="00D84F29" w:rsidRDefault="00D84F29" w:rsidP="00D84F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5,8</w:t>
            </w:r>
          </w:p>
        </w:tc>
      </w:tr>
      <w:tr w:rsidR="00D84F29" w14:paraId="3DA566D0" w14:textId="280ED2EA" w:rsidTr="00D84F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4" w:type="dxa"/>
            <w:tcBorders>
              <w:left w:val="single" w:sz="4" w:space="0" w:color="auto"/>
              <w:right w:val="single" w:sz="4" w:space="0" w:color="auto"/>
            </w:tcBorders>
          </w:tcPr>
          <w:p w14:paraId="11427594" w14:textId="02CF902F" w:rsidR="00D84F29" w:rsidRDefault="00D84F29" w:rsidP="00251511">
            <w:pPr>
              <w:rPr>
                <w:b w:val="0"/>
                <w:sz w:val="20"/>
                <w:szCs w:val="20"/>
                <w:lang w:val="pt-BR"/>
              </w:rPr>
            </w:pPr>
            <w:r>
              <w:rPr>
                <w:b w:val="0"/>
                <w:sz w:val="20"/>
                <w:szCs w:val="20"/>
                <w:lang w:val="pt-BR"/>
              </w:rPr>
              <w:t>De 100.001 até 500.000</w:t>
            </w:r>
          </w:p>
        </w:tc>
        <w:tc>
          <w:tcPr>
            <w:tcW w:w="1501" w:type="dxa"/>
            <w:tcBorders>
              <w:left w:val="single" w:sz="4" w:space="0" w:color="auto"/>
            </w:tcBorders>
            <w:vAlign w:val="center"/>
          </w:tcPr>
          <w:p w14:paraId="14D6DE04" w14:textId="18C053F6" w:rsidR="00D84F29" w:rsidRPr="00D84F29" w:rsidRDefault="00D84F29" w:rsidP="00D84F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48.565.171</w:t>
            </w:r>
          </w:p>
        </w:tc>
        <w:tc>
          <w:tcPr>
            <w:tcW w:w="1502" w:type="dxa"/>
            <w:tcBorders>
              <w:left w:val="single" w:sz="4" w:space="0" w:color="auto"/>
            </w:tcBorders>
            <w:vAlign w:val="center"/>
          </w:tcPr>
          <w:p w14:paraId="4B1AA043" w14:textId="29F5DBC8" w:rsidR="00D84F29" w:rsidRPr="00D84F29" w:rsidRDefault="00D84F29" w:rsidP="00D84F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25,5</w:t>
            </w:r>
          </w:p>
        </w:tc>
        <w:tc>
          <w:tcPr>
            <w:tcW w:w="1502" w:type="dxa"/>
            <w:tcBorders>
              <w:left w:val="single" w:sz="4" w:space="0" w:color="auto"/>
            </w:tcBorders>
            <w:vAlign w:val="center"/>
          </w:tcPr>
          <w:p w14:paraId="009B88FB" w14:textId="79551B89" w:rsidR="00D84F29" w:rsidRPr="00D84F29" w:rsidRDefault="00D84F29" w:rsidP="00D84F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245</w:t>
            </w:r>
          </w:p>
        </w:tc>
        <w:tc>
          <w:tcPr>
            <w:tcW w:w="150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BE20B1" w14:textId="1FBA70EC" w:rsidR="00D84F29" w:rsidRPr="00D84F29" w:rsidRDefault="00D84F29" w:rsidP="00D84F2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4,4</w:t>
            </w:r>
          </w:p>
        </w:tc>
      </w:tr>
      <w:tr w:rsidR="00D84F29" w14:paraId="44A55C5E" w14:textId="6C4BF037" w:rsidTr="00D84F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90C9B" w14:textId="530EB0CA" w:rsidR="00D84F29" w:rsidRDefault="00D84F29" w:rsidP="00251511">
            <w:pPr>
              <w:rPr>
                <w:b w:val="0"/>
                <w:sz w:val="20"/>
                <w:szCs w:val="20"/>
                <w:lang w:val="pt-BR"/>
              </w:rPr>
            </w:pPr>
            <w:r>
              <w:rPr>
                <w:b w:val="0"/>
                <w:sz w:val="20"/>
                <w:szCs w:val="20"/>
                <w:lang w:val="pt-BR"/>
              </w:rPr>
              <w:t>Mais de 500.000</w:t>
            </w:r>
          </w:p>
        </w:tc>
        <w:tc>
          <w:tcPr>
            <w:tcW w:w="15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BBEF12C" w14:textId="157B6FB6" w:rsidR="00D84F29" w:rsidRPr="00D84F29" w:rsidRDefault="00D84F29" w:rsidP="00D84F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55.871.506</w:t>
            </w:r>
          </w:p>
        </w:tc>
        <w:tc>
          <w:tcPr>
            <w:tcW w:w="15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2A67803" w14:textId="2F8A8D35" w:rsidR="00D84F29" w:rsidRPr="00D84F29" w:rsidRDefault="00D84F29" w:rsidP="00D84F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29,3</w:t>
            </w:r>
          </w:p>
        </w:tc>
        <w:tc>
          <w:tcPr>
            <w:tcW w:w="150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1D70B45" w14:textId="5568E382" w:rsidR="00D84F29" w:rsidRPr="00D84F29" w:rsidRDefault="00D84F29" w:rsidP="00D84F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38</w:t>
            </w: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B57B5" w14:textId="61CA4547" w:rsidR="00D84F29" w:rsidRPr="00D84F29" w:rsidRDefault="00D84F29" w:rsidP="00D84F2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  <w:lang w:val="pt-BR"/>
              </w:rPr>
            </w:pPr>
            <w:r>
              <w:rPr>
                <w:bCs/>
                <w:sz w:val="20"/>
                <w:szCs w:val="20"/>
                <w:lang w:val="pt-BR"/>
              </w:rPr>
              <w:t>0,7</w:t>
            </w:r>
          </w:p>
        </w:tc>
      </w:tr>
      <w:tr w:rsidR="00D84F29" w14:paraId="1CB29BD6" w14:textId="77777777" w:rsidTr="00D84F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390B1" w14:textId="4AF0B4D0" w:rsidR="00D84F29" w:rsidRPr="00D84F29" w:rsidRDefault="00D84F29" w:rsidP="00D84F29">
            <w:pPr>
              <w:jc w:val="left"/>
              <w:rPr>
                <w:b w:val="0"/>
                <w:bCs w:val="0"/>
                <w:sz w:val="20"/>
                <w:szCs w:val="20"/>
                <w:lang w:val="pt-BR"/>
              </w:rPr>
            </w:pPr>
            <w:r w:rsidRPr="00D84F29">
              <w:rPr>
                <w:b w:val="0"/>
                <w:bCs w:val="0"/>
                <w:sz w:val="20"/>
                <w:szCs w:val="20"/>
                <w:lang w:val="pt-BR"/>
              </w:rPr>
              <w:t>Fonte</w:t>
            </w:r>
            <w:r>
              <w:rPr>
                <w:b w:val="0"/>
                <w:bCs w:val="0"/>
                <w:sz w:val="20"/>
                <w:szCs w:val="20"/>
                <w:lang w:val="pt-BR"/>
              </w:rPr>
              <w:t>: IBGE, Censo Demográfico 2010.</w:t>
            </w:r>
          </w:p>
        </w:tc>
      </w:tr>
    </w:tbl>
    <w:p w14:paraId="407DF91D" w14:textId="77777777" w:rsidR="00D84F29" w:rsidRDefault="00D84F29" w:rsidP="00251511">
      <w:pPr>
        <w:rPr>
          <w:lang w:val="pt-BR"/>
        </w:rPr>
      </w:pPr>
    </w:p>
    <w:p w14:paraId="3ED6A382" w14:textId="5D0C6B51" w:rsidR="00251511" w:rsidRDefault="00A442D7" w:rsidP="00251511">
      <w:pPr>
        <w:rPr>
          <w:lang w:val="pt-BR"/>
        </w:rPr>
      </w:pPr>
      <w:r>
        <w:rPr>
          <w:lang w:val="pt-BR"/>
        </w:rPr>
        <w:t xml:space="preserve">As próximas seções constituem um panorama da situação dos municípios brasileiros em termos </w:t>
      </w:r>
      <w:r w:rsidR="000163DA">
        <w:rPr>
          <w:lang w:val="pt-BR"/>
        </w:rPr>
        <w:t xml:space="preserve">de </w:t>
      </w:r>
      <w:r>
        <w:rPr>
          <w:lang w:val="pt-BR"/>
        </w:rPr>
        <w:t xml:space="preserve">gestão de infraestruturas, situação fiscal e uma perspectiva da produtividade e do crescimento econômico nos últimos anos e no futuro próximo. </w:t>
      </w:r>
      <w:r w:rsidR="002C7F28">
        <w:rPr>
          <w:lang w:val="pt-BR"/>
        </w:rPr>
        <w:t>Com as recentes mudanças no panorama econômico no Brasil, é importante o entendimento geral da situação atual em que se encontra o país.</w:t>
      </w:r>
    </w:p>
    <w:p w14:paraId="4AD10A7F" w14:textId="77777777" w:rsidR="00E53867" w:rsidRPr="007731C4" w:rsidRDefault="00E53867" w:rsidP="00E53867">
      <w:pPr>
        <w:pStyle w:val="Ttulo2"/>
        <w:rPr>
          <w:lang w:val="pt-BR"/>
        </w:rPr>
      </w:pPr>
      <w:r w:rsidRPr="007731C4">
        <w:rPr>
          <w:lang w:val="pt-BR"/>
        </w:rPr>
        <w:t>Produtividade e crescimento econômico</w:t>
      </w:r>
    </w:p>
    <w:p w14:paraId="508C8C24" w14:textId="77777777" w:rsidR="00E53867" w:rsidRPr="003A7323" w:rsidRDefault="00E53867" w:rsidP="00E53867">
      <w:pPr>
        <w:rPr>
          <w:szCs w:val="24"/>
          <w:lang w:val="pt-BR"/>
        </w:rPr>
      </w:pPr>
      <w:r w:rsidRPr="003A7323">
        <w:rPr>
          <w:szCs w:val="24"/>
          <w:lang w:val="pt-BR"/>
        </w:rPr>
        <w:t>Os avanços econômicos e sociais nas últimas décadas na América Latina foram relevantes. Os sucessos econômicos acumulados pelos principais países da região caminharam em paralelo à redução tanto da pobreza quanto, em menor medida, das desigualdades</w:t>
      </w:r>
      <w:r w:rsidRPr="003A7323">
        <w:rPr>
          <w:rStyle w:val="Refdenotaderodap"/>
          <w:szCs w:val="24"/>
          <w:lang w:val="pt-BR"/>
        </w:rPr>
        <w:footnoteReference w:id="1"/>
      </w:r>
      <w:r w:rsidRPr="003A7323">
        <w:rPr>
          <w:szCs w:val="24"/>
          <w:lang w:val="pt-BR"/>
        </w:rPr>
        <w:t xml:space="preserve">. O Brasil teve grande participação nesse desenvolvimento econômico, porém além de </w:t>
      </w:r>
      <w:r>
        <w:rPr>
          <w:szCs w:val="24"/>
          <w:lang w:val="pt-BR"/>
        </w:rPr>
        <w:t xml:space="preserve">ainda </w:t>
      </w:r>
      <w:r w:rsidRPr="003A7323">
        <w:rPr>
          <w:szCs w:val="24"/>
          <w:lang w:val="pt-BR"/>
        </w:rPr>
        <w:t xml:space="preserve">ser um dos países mais desiguais da região teve um grande declínio no crescimento no período pós 2014. </w:t>
      </w:r>
    </w:p>
    <w:p w14:paraId="3AE93165" w14:textId="77777777" w:rsidR="00E53867" w:rsidRPr="003A7323" w:rsidRDefault="00E53867" w:rsidP="00E53867">
      <w:pPr>
        <w:rPr>
          <w:szCs w:val="24"/>
          <w:lang w:val="pt-BR"/>
        </w:rPr>
      </w:pPr>
      <w:r w:rsidRPr="003A7323">
        <w:rPr>
          <w:szCs w:val="24"/>
          <w:lang w:val="pt-BR"/>
        </w:rPr>
        <w:t>Se comparado com outros países da América Latina, o Brasil é o que apresenta as taxas de poupança e investimentos mais baixas (17,6% e 18% do PIB, respectivamente, no período 2003-2012), e o que melhora mais vagarosamente</w:t>
      </w:r>
      <w:r w:rsidRPr="003A7323">
        <w:rPr>
          <w:rStyle w:val="Refdenotaderodap"/>
          <w:szCs w:val="24"/>
          <w:lang w:val="pt-BR"/>
        </w:rPr>
        <w:footnoteReference w:id="2"/>
      </w:r>
      <w:r w:rsidRPr="003A7323">
        <w:rPr>
          <w:szCs w:val="24"/>
          <w:lang w:val="pt-BR"/>
        </w:rPr>
        <w:t xml:space="preserve">. Além disso, os níveis de investimento público caíram nos últimos anos, após um período de expansionismo entre 2005 e 2014, o que tende a agravar ainda mais a atual situação econômica do país. </w:t>
      </w:r>
    </w:p>
    <w:p w14:paraId="1F18D43F" w14:textId="77777777" w:rsidR="00E53867" w:rsidRDefault="00E53867" w:rsidP="00E53867">
      <w:pPr>
        <w:rPr>
          <w:szCs w:val="24"/>
          <w:lang w:val="pt-BR"/>
        </w:rPr>
      </w:pPr>
      <w:r>
        <w:rPr>
          <w:szCs w:val="24"/>
          <w:lang w:val="pt-BR"/>
        </w:rPr>
        <w:t>No que toca ao investimento, p</w:t>
      </w:r>
      <w:r w:rsidRPr="003A7323">
        <w:rPr>
          <w:szCs w:val="24"/>
          <w:lang w:val="pt-BR"/>
        </w:rPr>
        <w:t>aíses que já dispõe de infraestruturas adequadas, podem direcion</w:t>
      </w:r>
      <w:r>
        <w:rPr>
          <w:szCs w:val="24"/>
          <w:lang w:val="pt-BR"/>
        </w:rPr>
        <w:t>á-lo</w:t>
      </w:r>
      <w:r w:rsidRPr="003A7323">
        <w:rPr>
          <w:szCs w:val="24"/>
          <w:lang w:val="pt-BR"/>
        </w:rPr>
        <w:t xml:space="preserve"> para os equipamentos diretamente produtivos. Outros, como é o caso do Brasil, precisam encontrar recursos adicionais para adequar o seu sistema de transporte ou a sua geração de energia, por exemplo. Em um cenário de escassez de recursos, a provisão de infraestruturas fica prejudicada e dependente de inovação no uso eficiente das já existentes. </w:t>
      </w:r>
    </w:p>
    <w:p w14:paraId="16934596" w14:textId="77777777" w:rsidR="00E53867" w:rsidRPr="003A7323" w:rsidRDefault="00E53867" w:rsidP="00E53867">
      <w:pPr>
        <w:rPr>
          <w:szCs w:val="24"/>
          <w:lang w:val="pt-BR"/>
        </w:rPr>
      </w:pPr>
      <w:r>
        <w:rPr>
          <w:szCs w:val="24"/>
          <w:lang w:val="pt-BR"/>
        </w:rPr>
        <w:t>Segundo dados do IPEA (2016), o</w:t>
      </w:r>
      <w:r w:rsidRPr="004430E4">
        <w:rPr>
          <w:szCs w:val="24"/>
          <w:lang w:val="pt-BR"/>
        </w:rPr>
        <w:t>s investimentos privados e públicos em infraestrutura de transportes</w:t>
      </w:r>
      <w:r>
        <w:rPr>
          <w:szCs w:val="24"/>
          <w:lang w:val="pt-BR"/>
        </w:rPr>
        <w:t xml:space="preserve"> no Brasil</w:t>
      </w:r>
      <w:r w:rsidRPr="004430E4">
        <w:rPr>
          <w:szCs w:val="24"/>
          <w:lang w:val="pt-BR"/>
        </w:rPr>
        <w:t xml:space="preserve"> cresceram três vezes e meia entre 2003 e 2010. Passaram de R$ 9,1 bilhões para R$ 31,6 bilhões. Ficaram relativamente estabilizados entre 2010 e 2014, com </w:t>
      </w:r>
      <w:r w:rsidRPr="004430E4">
        <w:rPr>
          <w:szCs w:val="24"/>
          <w:lang w:val="pt-BR"/>
        </w:rPr>
        <w:lastRenderedPageBreak/>
        <w:t>aplicação</w:t>
      </w:r>
      <w:r>
        <w:rPr>
          <w:szCs w:val="24"/>
          <w:lang w:val="pt-BR"/>
        </w:rPr>
        <w:t xml:space="preserve"> </w:t>
      </w:r>
      <w:r w:rsidRPr="004430E4">
        <w:rPr>
          <w:szCs w:val="24"/>
          <w:lang w:val="pt-BR"/>
        </w:rPr>
        <w:t>média anual da ordem de R$ 32,1 bilhões. Porém, foram significativamente reduzidos em 2015, com investimentos</w:t>
      </w:r>
      <w:r>
        <w:rPr>
          <w:szCs w:val="24"/>
          <w:lang w:val="pt-BR"/>
        </w:rPr>
        <w:t xml:space="preserve"> </w:t>
      </w:r>
      <w:r w:rsidRPr="004430E4">
        <w:rPr>
          <w:szCs w:val="24"/>
          <w:lang w:val="pt-BR"/>
        </w:rPr>
        <w:t>totais de R$ 28,2 bilhões. As inversões privadas, em boa medida por exigências dos contratos de concessão, ainda</w:t>
      </w:r>
      <w:r>
        <w:rPr>
          <w:szCs w:val="24"/>
          <w:lang w:val="pt-BR"/>
        </w:rPr>
        <w:t xml:space="preserve"> </w:t>
      </w:r>
      <w:r w:rsidRPr="004430E4">
        <w:rPr>
          <w:szCs w:val="24"/>
          <w:lang w:val="pt-BR"/>
        </w:rPr>
        <w:t>cresceram em 2015 em relação ao ano anterior, passando de R$ 18,0 bilhões para R$ 18,4 bilhões. As dificuldades</w:t>
      </w:r>
      <w:r>
        <w:rPr>
          <w:szCs w:val="24"/>
          <w:lang w:val="pt-BR"/>
        </w:rPr>
        <w:t xml:space="preserve"> </w:t>
      </w:r>
      <w:r w:rsidRPr="004430E4">
        <w:rPr>
          <w:szCs w:val="24"/>
          <w:lang w:val="pt-BR"/>
        </w:rPr>
        <w:t>ocorreram por conta da forte retração dos investimentos públicos federais, que caíram 37,6%, de R$ 15,7 bilhões (2014)</w:t>
      </w:r>
      <w:r>
        <w:rPr>
          <w:szCs w:val="24"/>
          <w:lang w:val="pt-BR"/>
        </w:rPr>
        <w:t xml:space="preserve"> </w:t>
      </w:r>
      <w:r w:rsidRPr="004430E4">
        <w:rPr>
          <w:szCs w:val="24"/>
          <w:lang w:val="pt-BR"/>
        </w:rPr>
        <w:t>para R$ 9,8 bilhões (2015)</w:t>
      </w:r>
      <w:r>
        <w:rPr>
          <w:rStyle w:val="Refdenotaderodap"/>
          <w:szCs w:val="24"/>
          <w:lang w:val="pt-BR"/>
        </w:rPr>
        <w:footnoteReference w:id="3"/>
      </w:r>
      <w:r w:rsidRPr="004430E4">
        <w:rPr>
          <w:szCs w:val="24"/>
          <w:lang w:val="pt-BR"/>
        </w:rPr>
        <w:t xml:space="preserve">. </w:t>
      </w:r>
    </w:p>
    <w:p w14:paraId="2AE15706" w14:textId="4D9578AF" w:rsidR="00E53867" w:rsidRDefault="00E53867" w:rsidP="00E53867">
      <w:pPr>
        <w:rPr>
          <w:szCs w:val="24"/>
          <w:lang w:val="pt-BR"/>
        </w:rPr>
      </w:pPr>
      <w:r>
        <w:rPr>
          <w:szCs w:val="24"/>
          <w:lang w:val="pt-BR"/>
        </w:rPr>
        <w:t>Um fato agravante é que o</w:t>
      </w:r>
      <w:r w:rsidRPr="003A7323">
        <w:rPr>
          <w:szCs w:val="24"/>
          <w:lang w:val="pt-BR"/>
        </w:rPr>
        <w:t xml:space="preserve"> momento de incerteza político-econômico vivido pelo país desestimula a poupança e o investimento, o que afeta seu potencial de crescimento. Os inevitáveis ajustes fiscais tendem a estar associados a cortes desproporcionais nos investimentos públicos, o que cria um viés pró-cíclico na política fiscal que acaba impactando negativamente o crescimento econômico por ocasionar volatilidade, incertezas e descontinuidades nos projetos</w:t>
      </w:r>
      <w:r w:rsidRPr="003A7323">
        <w:rPr>
          <w:rStyle w:val="Refdenotaderodap"/>
          <w:szCs w:val="24"/>
          <w:lang w:val="pt-BR"/>
        </w:rPr>
        <w:footnoteReference w:id="4"/>
      </w:r>
      <w:r w:rsidRPr="003A7323">
        <w:rPr>
          <w:szCs w:val="24"/>
          <w:lang w:val="pt-BR"/>
        </w:rPr>
        <w:t>.</w:t>
      </w:r>
    </w:p>
    <w:p w14:paraId="7A439E26" w14:textId="21F4C2A8" w:rsidR="000570B5" w:rsidRPr="003A7323" w:rsidRDefault="000570B5" w:rsidP="00E53867">
      <w:pPr>
        <w:rPr>
          <w:szCs w:val="24"/>
          <w:lang w:val="pt-BR"/>
        </w:rPr>
      </w:pPr>
      <w:r>
        <w:rPr>
          <w:szCs w:val="24"/>
          <w:lang w:val="pt-BR"/>
        </w:rPr>
        <w:t xml:space="preserve">Considerando que a poupança nacional de um país corresponde a soma da poupança privada (das empresas e das famílias) e da poupança do governo, em um cenário de redução da última, uma grande porcentagem dos investimentos fica à cargo do setor privado. Porém, a destinação desse capital fica à mercê dos interesses particulares, sobrepondo-se, muitas vezes, aos interesses coletivos. </w:t>
      </w:r>
    </w:p>
    <w:p w14:paraId="21D43841" w14:textId="15D29916" w:rsidR="00E53867" w:rsidRPr="003A7323" w:rsidRDefault="00E53867" w:rsidP="00E53867">
      <w:pPr>
        <w:rPr>
          <w:szCs w:val="24"/>
          <w:lang w:val="pt-BR"/>
        </w:rPr>
      </w:pPr>
      <w:r w:rsidRPr="003A7323">
        <w:rPr>
          <w:szCs w:val="24"/>
          <w:lang w:val="pt-BR"/>
        </w:rPr>
        <w:t>Assim, existe uma necessidade latente de impulsionar o investimento</w:t>
      </w:r>
      <w:r w:rsidR="00BC4A70">
        <w:rPr>
          <w:szCs w:val="24"/>
          <w:lang w:val="pt-BR"/>
        </w:rPr>
        <w:t xml:space="preserve"> público</w:t>
      </w:r>
      <w:r w:rsidRPr="003A7323">
        <w:rPr>
          <w:szCs w:val="24"/>
          <w:lang w:val="pt-BR"/>
        </w:rPr>
        <w:t xml:space="preserve"> no Brasil. Com infraestruturas insuficientes, baixa eficiência no fornecimento de energia e água, e uma mobilidade urbana débil, a produtividade e o crescimento econômico andam a passos lentos. A recuperação da confiança no governo e um cenário de otimismo são cruciais para a retomada do desenvolvimento no país.</w:t>
      </w:r>
    </w:p>
    <w:p w14:paraId="657EDC7E" w14:textId="1A947D3E" w:rsidR="00E53867" w:rsidRPr="003A7323" w:rsidRDefault="008523F0" w:rsidP="00E53867">
      <w:pPr>
        <w:rPr>
          <w:szCs w:val="24"/>
          <w:lang w:val="pt-BR"/>
        </w:rPr>
      </w:pPr>
      <w:r>
        <w:rPr>
          <w:szCs w:val="24"/>
          <w:lang w:val="pt-BR"/>
        </w:rPr>
        <w:t>O ponto positivo é que</w:t>
      </w:r>
      <w:r w:rsidR="00E53867" w:rsidRPr="003A7323">
        <w:rPr>
          <w:szCs w:val="24"/>
          <w:lang w:val="pt-BR"/>
        </w:rPr>
        <w:t xml:space="preserve"> o PIB brasileiro voltou a crescer em 2017</w:t>
      </w:r>
      <w:r w:rsidR="000570B5">
        <w:rPr>
          <w:szCs w:val="24"/>
          <w:lang w:val="pt-BR"/>
        </w:rPr>
        <w:t>,</w:t>
      </w:r>
      <w:r w:rsidR="00E53867" w:rsidRPr="003A7323">
        <w:rPr>
          <w:szCs w:val="24"/>
          <w:lang w:val="pt-BR"/>
        </w:rPr>
        <w:t xml:space="preserve"> segundo o IBGE, após forte recuo no período 2015-2016. De acordo com estudo do Banco Credit Suisse, a retomada da economia deveu-se a um conjunto de fatores endógenos e exógenos, entre os quais: mudança de expectativas em relação à orientação de política econômica, forte crescimento da safra agrícola e crescimento global mais expressivo</w:t>
      </w:r>
      <w:r w:rsidR="00E53867" w:rsidRPr="003A7323">
        <w:rPr>
          <w:rStyle w:val="Refdenotaderodap"/>
          <w:szCs w:val="24"/>
          <w:lang w:val="pt-BR"/>
        </w:rPr>
        <w:footnoteReference w:id="5"/>
      </w:r>
      <w:r w:rsidR="00E53867" w:rsidRPr="003A7323">
        <w:rPr>
          <w:szCs w:val="24"/>
          <w:lang w:val="pt-BR"/>
        </w:rPr>
        <w:t xml:space="preserve">.    </w:t>
      </w:r>
    </w:p>
    <w:p w14:paraId="4EDDC788" w14:textId="77777777" w:rsidR="00E53867" w:rsidRPr="003A7323" w:rsidRDefault="00E53867" w:rsidP="00E53867">
      <w:pPr>
        <w:rPr>
          <w:szCs w:val="24"/>
          <w:lang w:val="pt-BR"/>
        </w:rPr>
      </w:pPr>
      <w:r w:rsidRPr="003A7323">
        <w:rPr>
          <w:szCs w:val="24"/>
          <w:lang w:val="pt-BR"/>
        </w:rPr>
        <w:t xml:space="preserve">Ainda segundo mesmo estudo, há previsão de crescimento do PIB para 2018, ainda que tímido, de 2,5%. O crescimento muito acima disso é pouco provável devido a algumas restrições como o baixo consumo do governo, a lenta retomada do crédito e a elevada incerteza eleitoral. A expansão do PIB se dará principalmente pelo crescimento do consumo das famílias. O maior crescimento dos investimentos também contribuirá para a maior expansão doméstica, enquanto o consumo do governo será uma restrição para uma dinâmica ainda mais favorável. </w:t>
      </w:r>
    </w:p>
    <w:p w14:paraId="2D3C8C9E" w14:textId="77777777" w:rsidR="00E53867" w:rsidRPr="003A7323" w:rsidRDefault="00E53867" w:rsidP="00E53867">
      <w:pPr>
        <w:rPr>
          <w:szCs w:val="24"/>
          <w:lang w:val="pt-BR"/>
        </w:rPr>
      </w:pPr>
      <w:r w:rsidRPr="003A7323">
        <w:rPr>
          <w:szCs w:val="24"/>
          <w:lang w:val="pt-BR"/>
        </w:rPr>
        <w:t xml:space="preserve">Nesse sentido, é de extrema importância o apoio aos municípios brasileiros na retomada do investimento em infraestruturas e na melhoria da eficiência. Centros urbanos abaixo de 500 </w:t>
      </w:r>
      <w:r w:rsidRPr="003A7323">
        <w:rPr>
          <w:szCs w:val="24"/>
          <w:lang w:val="pt-BR"/>
        </w:rPr>
        <w:lastRenderedPageBreak/>
        <w:t xml:space="preserve">mil habitantes costumam ter baixa capacidade de tomar empréstimos, mas correspondem a mais de 90% do total dos municípios brasileiros. Em um momento de rediscussão do regime fiscal do país é importante que se leve em consideração a repercussão dos investimentos públicos sobre o crescimento econômico e o desenvolvimento. </w:t>
      </w:r>
    </w:p>
    <w:p w14:paraId="100563B1" w14:textId="77777777" w:rsidR="00E53867" w:rsidRDefault="00E53867" w:rsidP="00E53867">
      <w:pPr>
        <w:pStyle w:val="Ttulo2"/>
        <w:rPr>
          <w:lang w:val="pt-BR"/>
        </w:rPr>
      </w:pPr>
      <w:r w:rsidRPr="003C6B1E">
        <w:rPr>
          <w:lang w:val="pt-BR"/>
        </w:rPr>
        <w:t xml:space="preserve">Situação fiscal e acesso a financiamento </w:t>
      </w:r>
    </w:p>
    <w:p w14:paraId="39CE4502" w14:textId="77777777" w:rsidR="00E53867" w:rsidRDefault="00E53867" w:rsidP="00E53867">
      <w:pPr>
        <w:rPr>
          <w:szCs w:val="24"/>
          <w:lang w:val="pt-BR"/>
        </w:rPr>
      </w:pPr>
      <w:r>
        <w:rPr>
          <w:szCs w:val="24"/>
          <w:lang w:val="pt-BR"/>
        </w:rPr>
        <w:t>A realidade financeira dos municípios brasileiros, como já citado no item anterior, é a de grande dependência de repasses de outras esferas de governo. As receitas próprias são baixas, existindo uma insuficiência das bases tributárias que se somam as deficiências dos sistemas de arrecadação e as desigualdades entre áreas diversamente providas. Porém, no Brasil as despesas dos estados e dos municípios representam 50% dos gastos do Governo Federal</w:t>
      </w:r>
      <w:r>
        <w:rPr>
          <w:rStyle w:val="Refdenotaderodap"/>
          <w:szCs w:val="24"/>
          <w:lang w:val="pt-BR"/>
        </w:rPr>
        <w:footnoteReference w:id="6"/>
      </w:r>
      <w:r>
        <w:rPr>
          <w:szCs w:val="24"/>
          <w:lang w:val="pt-BR"/>
        </w:rPr>
        <w:t xml:space="preserve">. </w:t>
      </w:r>
    </w:p>
    <w:p w14:paraId="393A310C" w14:textId="77777777" w:rsidR="00E53867" w:rsidRPr="006D213B" w:rsidRDefault="00E53867" w:rsidP="00E53867">
      <w:pPr>
        <w:rPr>
          <w:szCs w:val="24"/>
          <w:lang w:val="pt-BR"/>
        </w:rPr>
      </w:pPr>
      <w:r w:rsidRPr="006D213B">
        <w:rPr>
          <w:szCs w:val="24"/>
          <w:lang w:val="pt-BR"/>
        </w:rPr>
        <w:t>Os principais tributos municipais são de base urbana: o IPTU e o ISS. Em geral, apenas os polos urbanos de maior dimensão conseguem realmente cobrar IPTU, uma vez que a sua geração está diretamente relacionada ao nível de urbanização e uma organização institucional mais sofisticada para viabilizar a arrecadação. Alguns municípios pequenos que desenvolvem atividades turísticas são exceção a esta regra. Apenas os 128 municípios com população superior a 200 mil habitantes (2,3% dos municípios brasileiros) conseguem superar a média nacional em termos de receita tributária</w:t>
      </w:r>
      <w:r w:rsidRPr="006D213B">
        <w:rPr>
          <w:rStyle w:val="Refdenotaderodap"/>
          <w:rFonts w:ascii="UniversLTStd" w:hAnsi="UniversLTStd" w:cs="UniversLTStd"/>
          <w:szCs w:val="24"/>
          <w:lang w:val="pt-BR"/>
        </w:rPr>
        <w:footnoteReference w:id="7"/>
      </w:r>
      <w:r w:rsidRPr="006D213B">
        <w:rPr>
          <w:szCs w:val="24"/>
          <w:lang w:val="pt-BR"/>
        </w:rPr>
        <w:t xml:space="preserve">. </w:t>
      </w:r>
    </w:p>
    <w:p w14:paraId="0878729A" w14:textId="77777777" w:rsidR="00E53867" w:rsidRDefault="00E53867" w:rsidP="00E53867">
      <w:pPr>
        <w:rPr>
          <w:szCs w:val="24"/>
          <w:lang w:val="pt-BR"/>
        </w:rPr>
      </w:pPr>
      <w:r w:rsidRPr="006D213B">
        <w:rPr>
          <w:szCs w:val="24"/>
          <w:lang w:val="pt-BR"/>
        </w:rPr>
        <w:t>Portanto, grande parte das receitas dos municípios vem das transferências obrigatórias e voluntárias, tanto dos governos estaduais como do Governo Federal. No ano de 2008 a receita orçamentária dos municípios brasileiros era constituída em média por 16,34% de receitas tributárias, 68,21% de receitas de transferências e 15,45% de outras receitas</w:t>
      </w:r>
      <w:r w:rsidRPr="006D213B">
        <w:rPr>
          <w:rStyle w:val="Refdenotaderodap"/>
          <w:szCs w:val="24"/>
          <w:lang w:val="pt-BR"/>
        </w:rPr>
        <w:footnoteReference w:id="8"/>
      </w:r>
      <w:r w:rsidRPr="006D213B">
        <w:rPr>
          <w:szCs w:val="24"/>
          <w:lang w:val="pt-BR"/>
        </w:rPr>
        <w:t>.</w:t>
      </w:r>
      <w:r>
        <w:rPr>
          <w:szCs w:val="24"/>
          <w:lang w:val="pt-BR"/>
        </w:rPr>
        <w:t xml:space="preserve"> </w:t>
      </w:r>
    </w:p>
    <w:p w14:paraId="0FD13E3D" w14:textId="211E8CCB" w:rsidR="00E53867" w:rsidRDefault="00E53867" w:rsidP="00E53867">
      <w:pPr>
        <w:rPr>
          <w:szCs w:val="24"/>
          <w:lang w:val="pt-BR"/>
        </w:rPr>
      </w:pPr>
      <w:r>
        <w:rPr>
          <w:szCs w:val="24"/>
          <w:lang w:val="pt-BR"/>
        </w:rPr>
        <w:t xml:space="preserve">A situação se agrava ainda mais em um contexto de crise, vivido nos últimos anos pelo país. </w:t>
      </w:r>
      <w:r w:rsidRPr="00B35AA3">
        <w:rPr>
          <w:szCs w:val="24"/>
          <w:lang w:val="pt-BR"/>
        </w:rPr>
        <w:t>Dois anos de queda seguidos do PIB puxaram</w:t>
      </w:r>
      <w:r>
        <w:rPr>
          <w:szCs w:val="24"/>
          <w:lang w:val="pt-BR"/>
        </w:rPr>
        <w:t xml:space="preserve"> </w:t>
      </w:r>
      <w:r w:rsidRPr="00B35AA3">
        <w:rPr>
          <w:szCs w:val="24"/>
          <w:lang w:val="pt-BR"/>
        </w:rPr>
        <w:t>para baixo a arrecadação da União e dos estados</w:t>
      </w:r>
      <w:r>
        <w:rPr>
          <w:szCs w:val="24"/>
          <w:lang w:val="pt-BR"/>
        </w:rPr>
        <w:t xml:space="preserve"> (FNP, 2018)</w:t>
      </w:r>
      <w:r w:rsidRPr="00B35AA3">
        <w:rPr>
          <w:szCs w:val="24"/>
          <w:lang w:val="pt-BR"/>
        </w:rPr>
        <w:t>.</w:t>
      </w:r>
      <w:r>
        <w:rPr>
          <w:szCs w:val="24"/>
          <w:lang w:val="pt-BR"/>
        </w:rPr>
        <w:t xml:space="preserve"> </w:t>
      </w:r>
      <w:r w:rsidRPr="00B35AA3">
        <w:rPr>
          <w:szCs w:val="24"/>
          <w:lang w:val="pt-BR"/>
        </w:rPr>
        <w:t>A conjuntura crítica da economia</w:t>
      </w:r>
      <w:r>
        <w:rPr>
          <w:szCs w:val="24"/>
          <w:lang w:val="pt-BR"/>
        </w:rPr>
        <w:t xml:space="preserve"> </w:t>
      </w:r>
      <w:r w:rsidRPr="00B35AA3">
        <w:rPr>
          <w:szCs w:val="24"/>
          <w:lang w:val="pt-BR"/>
        </w:rPr>
        <w:t>brasileira reduziu os recursos disponíveis</w:t>
      </w:r>
      <w:r>
        <w:rPr>
          <w:szCs w:val="24"/>
          <w:lang w:val="pt-BR"/>
        </w:rPr>
        <w:t xml:space="preserve"> </w:t>
      </w:r>
      <w:r w:rsidRPr="00B35AA3">
        <w:rPr>
          <w:szCs w:val="24"/>
          <w:lang w:val="pt-BR"/>
        </w:rPr>
        <w:t>para o setor público como um todo.</w:t>
      </w:r>
      <w:r>
        <w:rPr>
          <w:szCs w:val="24"/>
          <w:lang w:val="pt-BR"/>
        </w:rPr>
        <w:t xml:space="preserve"> Importantes arrecadações municipais sofreram perdas, sendo as mais significativas nas transferências do ICMS, no ISS e no ITBI, todos impostos muito sensíveis às variações na atividade econômica</w:t>
      </w:r>
      <w:r>
        <w:rPr>
          <w:rStyle w:val="Refdenotaderodap"/>
          <w:szCs w:val="24"/>
          <w:lang w:val="pt-BR"/>
        </w:rPr>
        <w:footnoteReference w:id="9"/>
      </w:r>
      <w:r>
        <w:rPr>
          <w:szCs w:val="24"/>
          <w:lang w:val="pt-BR"/>
        </w:rPr>
        <w:t xml:space="preserve">. </w:t>
      </w:r>
    </w:p>
    <w:p w14:paraId="694D57CA" w14:textId="77777777" w:rsidR="00E53867" w:rsidRDefault="00E53867" w:rsidP="00E53867">
      <w:pPr>
        <w:rPr>
          <w:szCs w:val="24"/>
          <w:lang w:val="pt-BR"/>
        </w:rPr>
      </w:pPr>
      <w:r>
        <w:rPr>
          <w:szCs w:val="24"/>
          <w:lang w:val="pt-BR"/>
        </w:rPr>
        <w:t>Nesse contexto, os municípios se viram obrigados a recorrer a outra fonte de receitas, as receitas de capital</w:t>
      </w:r>
      <w:r>
        <w:rPr>
          <w:rStyle w:val="Refdenotaderodap"/>
          <w:szCs w:val="24"/>
          <w:lang w:val="pt-BR"/>
        </w:rPr>
        <w:footnoteReference w:id="10"/>
      </w:r>
      <w:r>
        <w:rPr>
          <w:szCs w:val="24"/>
          <w:lang w:val="pt-BR"/>
        </w:rPr>
        <w:t xml:space="preserve">. Comparando os anos de 2015 e 2016, essa fonte cresceu 13%, passando de R$ 20,33 bilhões para R$ 22,97 bilhões. Vale ressaltar que as operações de crédito são </w:t>
      </w:r>
      <w:r>
        <w:rPr>
          <w:szCs w:val="24"/>
          <w:lang w:val="pt-BR"/>
        </w:rPr>
        <w:lastRenderedPageBreak/>
        <w:t xml:space="preserve">responsáveis pela maior fatia, </w:t>
      </w:r>
      <w:r w:rsidRPr="00D80DC6">
        <w:rPr>
          <w:szCs w:val="24"/>
          <w:lang w:val="pt-BR"/>
        </w:rPr>
        <w:t>atingi</w:t>
      </w:r>
      <w:r>
        <w:rPr>
          <w:szCs w:val="24"/>
          <w:lang w:val="pt-BR"/>
        </w:rPr>
        <w:t>ndo</w:t>
      </w:r>
      <w:r w:rsidRPr="00D80DC6">
        <w:rPr>
          <w:szCs w:val="24"/>
          <w:lang w:val="pt-BR"/>
        </w:rPr>
        <w:t xml:space="preserve"> R$</w:t>
      </w:r>
      <w:r>
        <w:rPr>
          <w:szCs w:val="24"/>
          <w:lang w:val="pt-BR"/>
        </w:rPr>
        <w:t xml:space="preserve"> </w:t>
      </w:r>
      <w:r w:rsidRPr="00D80DC6">
        <w:rPr>
          <w:szCs w:val="24"/>
          <w:lang w:val="pt-BR"/>
        </w:rPr>
        <w:t>7,19 bilhões, em 2016, valor 17,3% maior que o do</w:t>
      </w:r>
      <w:r>
        <w:rPr>
          <w:szCs w:val="24"/>
          <w:lang w:val="pt-BR"/>
        </w:rPr>
        <w:t xml:space="preserve"> </w:t>
      </w:r>
      <w:r w:rsidRPr="00D80DC6">
        <w:rPr>
          <w:szCs w:val="24"/>
          <w:lang w:val="pt-BR"/>
        </w:rPr>
        <w:t>ano anterior ou R$ 1,06 bilhões a mais</w:t>
      </w:r>
      <w:r>
        <w:rPr>
          <w:rStyle w:val="Refdenotaderodap"/>
          <w:szCs w:val="24"/>
          <w:lang w:val="pt-BR"/>
        </w:rPr>
        <w:footnoteReference w:id="11"/>
      </w:r>
      <w:r w:rsidRPr="00D80DC6">
        <w:rPr>
          <w:szCs w:val="24"/>
          <w:lang w:val="pt-BR"/>
        </w:rPr>
        <w:t>.</w:t>
      </w:r>
      <w:r>
        <w:rPr>
          <w:szCs w:val="24"/>
          <w:lang w:val="pt-BR"/>
        </w:rPr>
        <w:t xml:space="preserve">   </w:t>
      </w:r>
    </w:p>
    <w:p w14:paraId="572DD1F9" w14:textId="77777777" w:rsidR="00E53867" w:rsidRPr="004246A7" w:rsidRDefault="00E53867" w:rsidP="00E53867">
      <w:pPr>
        <w:rPr>
          <w:szCs w:val="24"/>
          <w:lang w:val="pt-BR"/>
        </w:rPr>
      </w:pPr>
      <w:r>
        <w:rPr>
          <w:szCs w:val="24"/>
          <w:lang w:val="pt-BR"/>
        </w:rPr>
        <w:t xml:space="preserve">O fato das operações de crédito terem aumentado nos últimos anos não significa que os valores sejam altos. O acesso dos governos locais ao crédito é, geralmente, muito controlado, no intuito de conter a dívida pública como um todo. Por esse motivo, </w:t>
      </w:r>
      <w:r w:rsidRPr="004246A7">
        <w:rPr>
          <w:szCs w:val="24"/>
          <w:lang w:val="pt-BR"/>
        </w:rPr>
        <w:t>em 2016 as prefeituras brasileiras continuaram bem avaliadas no IFGF Custo da Dívida</w:t>
      </w:r>
      <w:r>
        <w:rPr>
          <w:szCs w:val="24"/>
          <w:lang w:val="pt-BR"/>
        </w:rPr>
        <w:t xml:space="preserve"> </w:t>
      </w:r>
      <w:r w:rsidRPr="00DA40A4">
        <w:rPr>
          <w:szCs w:val="24"/>
          <w:lang w:val="pt-BR"/>
        </w:rPr>
        <w:t>– Índice FIRJAN de Gestão Fiscal –</w:t>
      </w:r>
      <w:r w:rsidRPr="004246A7">
        <w:rPr>
          <w:szCs w:val="24"/>
          <w:lang w:val="pt-BR"/>
        </w:rPr>
        <w:t>, sendo este o melhor dos indicadores acompanhados. Do total de municípios analisados, 3.076 (67,7%) prefeituras receberam Conceito A e 1.101 (24,2%) Conceito B. Fato é que os municípios têm muito pouco acesso à contratação de dívida</w:t>
      </w:r>
      <w:r>
        <w:rPr>
          <w:rStyle w:val="Refdenotaderodap"/>
          <w:szCs w:val="24"/>
          <w:lang w:val="pt-BR"/>
        </w:rPr>
        <w:footnoteReference w:id="12"/>
      </w:r>
      <w:r w:rsidRPr="004246A7">
        <w:rPr>
          <w:szCs w:val="24"/>
          <w:lang w:val="pt-BR"/>
        </w:rPr>
        <w:t>.</w:t>
      </w:r>
    </w:p>
    <w:p w14:paraId="13DD2563" w14:textId="20076D25" w:rsidR="00E53867" w:rsidRDefault="00E53867" w:rsidP="00E53867">
      <w:pPr>
        <w:rPr>
          <w:szCs w:val="24"/>
          <w:lang w:val="pt-BR"/>
        </w:rPr>
      </w:pPr>
      <w:r>
        <w:rPr>
          <w:szCs w:val="24"/>
          <w:lang w:val="pt-BR"/>
        </w:rPr>
        <w:t>Em realidade, as receitas provenientes de operações de crédito estão concentradas em poucos municípios, sendo a maioria acima de 500 mil habitantes</w:t>
      </w:r>
      <w:r w:rsidR="000017CD">
        <w:rPr>
          <w:szCs w:val="24"/>
          <w:lang w:val="pt-BR"/>
        </w:rPr>
        <w:t xml:space="preserve"> (ver </w:t>
      </w:r>
      <w:r w:rsidR="000017CD" w:rsidRPr="000017CD">
        <w:rPr>
          <w:color w:val="FF0000"/>
          <w:szCs w:val="24"/>
          <w:lang w:val="pt-BR"/>
        </w:rPr>
        <w:t>gráfico 1</w:t>
      </w:r>
      <w:r w:rsidR="000017CD">
        <w:rPr>
          <w:szCs w:val="24"/>
          <w:lang w:val="pt-BR"/>
        </w:rPr>
        <w:t>)</w:t>
      </w:r>
      <w:r>
        <w:rPr>
          <w:szCs w:val="24"/>
          <w:lang w:val="pt-BR"/>
        </w:rPr>
        <w:t xml:space="preserve">. </w:t>
      </w:r>
      <w:r w:rsidRPr="00D80DFC">
        <w:rPr>
          <w:szCs w:val="24"/>
          <w:lang w:val="pt-BR"/>
        </w:rPr>
        <w:t>Apenas no Rio de Janeiro, o valor</w:t>
      </w:r>
      <w:r>
        <w:rPr>
          <w:szCs w:val="24"/>
          <w:lang w:val="pt-BR"/>
        </w:rPr>
        <w:t xml:space="preserve"> </w:t>
      </w:r>
      <w:r w:rsidRPr="00D80DFC">
        <w:rPr>
          <w:szCs w:val="24"/>
          <w:lang w:val="pt-BR"/>
        </w:rPr>
        <w:t>de R$ 2,30 bilhões correspondeu a 32% do total</w:t>
      </w:r>
      <w:r>
        <w:rPr>
          <w:szCs w:val="24"/>
          <w:lang w:val="pt-BR"/>
        </w:rPr>
        <w:t xml:space="preserve"> </w:t>
      </w:r>
      <w:r w:rsidRPr="00D80DFC">
        <w:rPr>
          <w:szCs w:val="24"/>
          <w:lang w:val="pt-BR"/>
        </w:rPr>
        <w:t>dessa receit</w:t>
      </w:r>
      <w:r>
        <w:rPr>
          <w:szCs w:val="24"/>
          <w:lang w:val="pt-BR"/>
        </w:rPr>
        <w:t xml:space="preserve">a no país. Outro fato relevante é de que as receitas de capital em 2016 foram responsáveis por 55,7% de todo investimento municipal, sendo as operações de crédito </w:t>
      </w:r>
      <w:r w:rsidRPr="00D80DFC">
        <w:rPr>
          <w:szCs w:val="24"/>
          <w:lang w:val="pt-BR"/>
        </w:rPr>
        <w:t>17%</w:t>
      </w:r>
      <w:r>
        <w:rPr>
          <w:szCs w:val="24"/>
          <w:lang w:val="pt-BR"/>
        </w:rPr>
        <w:t xml:space="preserve"> </w:t>
      </w:r>
      <w:r w:rsidRPr="00D80DFC">
        <w:rPr>
          <w:szCs w:val="24"/>
          <w:lang w:val="pt-BR"/>
        </w:rPr>
        <w:t>d</w:t>
      </w:r>
      <w:r>
        <w:rPr>
          <w:szCs w:val="24"/>
          <w:lang w:val="pt-BR"/>
        </w:rPr>
        <w:t>esse</w:t>
      </w:r>
      <w:r w:rsidRPr="00D80DFC">
        <w:rPr>
          <w:szCs w:val="24"/>
          <w:lang w:val="pt-BR"/>
        </w:rPr>
        <w:t xml:space="preserve"> total</w:t>
      </w:r>
      <w:r>
        <w:rPr>
          <w:rStyle w:val="Refdenotaderodap"/>
          <w:szCs w:val="24"/>
          <w:lang w:val="pt-BR"/>
        </w:rPr>
        <w:footnoteReference w:id="13"/>
      </w:r>
      <w:r>
        <w:rPr>
          <w:szCs w:val="24"/>
          <w:lang w:val="pt-BR"/>
        </w:rPr>
        <w:t>.</w:t>
      </w:r>
    </w:p>
    <w:p w14:paraId="58DA8AAE" w14:textId="435BDABD" w:rsidR="005852C7" w:rsidRDefault="005852C7" w:rsidP="00E53867">
      <w:pPr>
        <w:rPr>
          <w:szCs w:val="24"/>
          <w:lang w:val="pt-BR"/>
        </w:rPr>
      </w:pPr>
      <w:r>
        <w:rPr>
          <w:noProof/>
        </w:rPr>
        <w:drawing>
          <wp:inline distT="0" distB="0" distL="0" distR="0" wp14:anchorId="172619BA" wp14:editId="48ABED69">
            <wp:extent cx="4572000" cy="2743200"/>
            <wp:effectExtent l="0" t="0" r="0" b="0"/>
            <wp:docPr id="6" name="Gráfico 6">
              <a:extLst xmlns:a="http://schemas.openxmlformats.org/drawingml/2006/main">
                <a:ext uri="{FF2B5EF4-FFF2-40B4-BE49-F238E27FC236}">
                  <a16:creationId xmlns:a16="http://schemas.microsoft.com/office/drawing/2014/main" id="{D232D732-9E7B-4BBD-BAD9-BE19941EFA3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5E35F8D" w14:textId="503CDF15" w:rsidR="00755282" w:rsidRPr="00755282" w:rsidRDefault="00755282" w:rsidP="00E53867">
      <w:pPr>
        <w:rPr>
          <w:sz w:val="20"/>
          <w:szCs w:val="20"/>
          <w:lang w:val="pt-BR"/>
        </w:rPr>
      </w:pPr>
      <w:r w:rsidRPr="00755282">
        <w:rPr>
          <w:sz w:val="20"/>
          <w:szCs w:val="20"/>
          <w:lang w:val="pt-BR"/>
        </w:rPr>
        <w:t>Fonte: FNP, 2018.</w:t>
      </w:r>
    </w:p>
    <w:p w14:paraId="0208B6FF" w14:textId="2EE4B11A" w:rsidR="00E53867" w:rsidRDefault="00E53867" w:rsidP="00E53867">
      <w:pPr>
        <w:rPr>
          <w:szCs w:val="24"/>
          <w:lang w:val="pt-BR"/>
        </w:rPr>
      </w:pPr>
      <w:r>
        <w:rPr>
          <w:szCs w:val="24"/>
          <w:lang w:val="pt-BR"/>
        </w:rPr>
        <w:t>Porém, m</w:t>
      </w:r>
      <w:r w:rsidRPr="008D5725">
        <w:rPr>
          <w:szCs w:val="24"/>
          <w:lang w:val="pt-BR"/>
        </w:rPr>
        <w:t xml:space="preserve">esmo tendo recorrido </w:t>
      </w:r>
      <w:r w:rsidRPr="00DA40A4">
        <w:rPr>
          <w:szCs w:val="24"/>
          <w:lang w:val="pt-BR"/>
        </w:rPr>
        <w:t>à</w:t>
      </w:r>
      <w:r w:rsidRPr="008D5725">
        <w:rPr>
          <w:szCs w:val="24"/>
          <w:lang w:val="pt-BR"/>
        </w:rPr>
        <w:t xml:space="preserve">s receitas de capital, os investimentos atingiram o menor nível em mais de dez anos (FIRJAN, 2017). </w:t>
      </w:r>
      <w:r w:rsidRPr="00DA40A4">
        <w:rPr>
          <w:szCs w:val="24"/>
          <w:lang w:val="pt-BR"/>
        </w:rPr>
        <w:t xml:space="preserve">Em 2016, apenas 6,8% do orçamento das cidades foi destinado aos investimentos, o menor percentual desde 2006. Em comparação com ano anterior, os municípios deixaram de investir R$ 7,5 bilhões. Quatro em cada cinco municípios </w:t>
      </w:r>
      <w:r w:rsidRPr="00DA40A4">
        <w:rPr>
          <w:szCs w:val="24"/>
          <w:lang w:val="pt-BR"/>
        </w:rPr>
        <w:lastRenderedPageBreak/>
        <w:t xml:space="preserve">(80,6%) receberam Conceito C ou D no IFGF Investimentos </w:t>
      </w:r>
      <w:r>
        <w:rPr>
          <w:szCs w:val="24"/>
          <w:lang w:val="pt-BR"/>
        </w:rPr>
        <w:t>o que</w:t>
      </w:r>
      <w:r w:rsidRPr="00DA40A4">
        <w:rPr>
          <w:szCs w:val="24"/>
          <w:lang w:val="pt-BR"/>
        </w:rPr>
        <w:t xml:space="preserve"> significa que 3.663 cidades não investiram sequer 12% do orçamento</w:t>
      </w:r>
      <w:r w:rsidRPr="0095370A">
        <w:rPr>
          <w:rStyle w:val="Refdenotaderodap"/>
          <w:lang w:val="pt-BR"/>
        </w:rPr>
        <w:footnoteReference w:id="14"/>
      </w:r>
      <w:r w:rsidRPr="00DA40A4">
        <w:rPr>
          <w:szCs w:val="24"/>
          <w:lang w:val="pt-BR"/>
        </w:rPr>
        <w:t>.</w:t>
      </w:r>
    </w:p>
    <w:p w14:paraId="558B930B" w14:textId="6DE4112A" w:rsidR="00CE6D02" w:rsidRDefault="00CE6D02" w:rsidP="00E53867">
      <w:pPr>
        <w:rPr>
          <w:szCs w:val="24"/>
          <w:lang w:val="pt-BR"/>
        </w:rPr>
      </w:pPr>
      <w:r>
        <w:rPr>
          <w:szCs w:val="24"/>
          <w:lang w:val="pt-BR"/>
        </w:rPr>
        <w:t xml:space="preserve">Fato </w:t>
      </w:r>
      <w:r w:rsidR="002F03E4">
        <w:rPr>
          <w:szCs w:val="24"/>
          <w:lang w:val="pt-BR"/>
        </w:rPr>
        <w:t>que</w:t>
      </w:r>
      <w:r>
        <w:rPr>
          <w:szCs w:val="24"/>
          <w:lang w:val="pt-BR"/>
        </w:rPr>
        <w:t xml:space="preserve"> agrava a baixa taxa de investimentos</w:t>
      </w:r>
      <w:r w:rsidR="002F03E4">
        <w:rPr>
          <w:szCs w:val="24"/>
          <w:lang w:val="pt-BR"/>
        </w:rPr>
        <w:t xml:space="preserve"> em infraestruturas</w:t>
      </w:r>
      <w:r>
        <w:rPr>
          <w:szCs w:val="24"/>
          <w:lang w:val="pt-BR"/>
        </w:rPr>
        <w:t xml:space="preserve"> dos municípios brasileiros é o comprometimento de um grande percentual da receita com saúde, educação e custeio de pessoal. Levantamento elaborado a partir de dados de 2011 disponibilizados pelo IPEA</w:t>
      </w:r>
      <w:r>
        <w:rPr>
          <w:rStyle w:val="Refdenotaderodap"/>
          <w:szCs w:val="24"/>
          <w:lang w:val="pt-BR"/>
        </w:rPr>
        <w:footnoteReference w:id="15"/>
      </w:r>
      <w:r>
        <w:rPr>
          <w:szCs w:val="24"/>
          <w:lang w:val="pt-BR"/>
        </w:rPr>
        <w:t xml:space="preserve"> demonstram que, para os municípios com população até 500 mil habitantes, a média nacional de gastos com saúde é de 24,55% da receita. O número sobe para 29,14% da receita quando se trata de educação. Já a despesa com custeio de pessoal em relação à despesa orçamentária total, para mesmo porte de municípios, é de 66,82%. Dessa forma, </w:t>
      </w:r>
      <w:r w:rsidR="00394906">
        <w:rPr>
          <w:szCs w:val="24"/>
          <w:lang w:val="pt-BR"/>
        </w:rPr>
        <w:t>sobra pouco para o investimento em infraestrutura</w:t>
      </w:r>
      <w:r w:rsidR="007134B4">
        <w:rPr>
          <w:szCs w:val="24"/>
          <w:lang w:val="pt-BR"/>
        </w:rPr>
        <w:t xml:space="preserve"> de transporte, geração de energia e abastecimento de água, por exemplo.</w:t>
      </w:r>
    </w:p>
    <w:p w14:paraId="2360F635" w14:textId="77777777" w:rsidR="00E53867" w:rsidRPr="00CF3310" w:rsidRDefault="00E53867" w:rsidP="00E53867">
      <w:pPr>
        <w:rPr>
          <w:szCs w:val="24"/>
          <w:lang w:val="pt-BR"/>
        </w:rPr>
      </w:pPr>
      <w:r>
        <w:rPr>
          <w:szCs w:val="24"/>
          <w:lang w:val="pt-BR"/>
        </w:rPr>
        <w:t>Ainda assim, o</w:t>
      </w:r>
      <w:r w:rsidRPr="00CF3310">
        <w:rPr>
          <w:szCs w:val="24"/>
          <w:lang w:val="pt-BR"/>
        </w:rPr>
        <w:t xml:space="preserve"> indicador de condições financeiras</w:t>
      </w:r>
      <w:r>
        <w:rPr>
          <w:rStyle w:val="Refdenotaderodap"/>
          <w:szCs w:val="24"/>
          <w:lang w:val="pt-BR"/>
        </w:rPr>
        <w:footnoteReference w:id="16"/>
      </w:r>
      <w:r w:rsidRPr="00CF3310">
        <w:rPr>
          <w:szCs w:val="24"/>
          <w:lang w:val="pt-BR"/>
        </w:rPr>
        <w:t xml:space="preserve"> calculado pelo</w:t>
      </w:r>
      <w:r>
        <w:rPr>
          <w:szCs w:val="24"/>
          <w:lang w:val="pt-BR"/>
        </w:rPr>
        <w:t xml:space="preserve"> Banco Credid Suisse,</w:t>
      </w:r>
      <w:r w:rsidRPr="00CF3310">
        <w:rPr>
          <w:szCs w:val="24"/>
          <w:lang w:val="pt-BR"/>
        </w:rPr>
        <w:t xml:space="preserve"> sugere uma situação mais favorável em 2017, após forte deterioração das condições financeiras entre 2014 e 2016. </w:t>
      </w:r>
      <w:r>
        <w:rPr>
          <w:szCs w:val="24"/>
          <w:lang w:val="pt-BR"/>
        </w:rPr>
        <w:t>De qualquer maneira,</w:t>
      </w:r>
      <w:r w:rsidRPr="00CF3310">
        <w:rPr>
          <w:szCs w:val="24"/>
          <w:lang w:val="pt-BR"/>
        </w:rPr>
        <w:t xml:space="preserve"> uma alta da taxa de investimento</w:t>
      </w:r>
      <w:r>
        <w:rPr>
          <w:szCs w:val="24"/>
          <w:lang w:val="pt-BR"/>
        </w:rPr>
        <w:t xml:space="preserve"> para os anos de 2018 e 2019</w:t>
      </w:r>
      <w:r w:rsidRPr="00CF3310">
        <w:rPr>
          <w:szCs w:val="24"/>
          <w:lang w:val="pt-BR"/>
        </w:rPr>
        <w:t xml:space="preserve"> é improvável,</w:t>
      </w:r>
      <w:r>
        <w:rPr>
          <w:szCs w:val="24"/>
          <w:lang w:val="pt-BR"/>
        </w:rPr>
        <w:t xml:space="preserve"> considerando que</w:t>
      </w:r>
      <w:r w:rsidRPr="00CF3310">
        <w:rPr>
          <w:szCs w:val="24"/>
          <w:lang w:val="pt-BR"/>
        </w:rPr>
        <w:t xml:space="preserve"> o nível de despoupança do governo permanecerá elevado, em função da manutenção do forte desequilíbrio fiscal.</w:t>
      </w:r>
    </w:p>
    <w:p w14:paraId="59D2111E" w14:textId="1F31ABEB" w:rsidR="00E53867" w:rsidRDefault="00E53867" w:rsidP="00E53867">
      <w:pPr>
        <w:autoSpaceDE w:val="0"/>
        <w:autoSpaceDN w:val="0"/>
        <w:adjustRightInd w:val="0"/>
        <w:spacing w:after="0" w:line="240" w:lineRule="auto"/>
        <w:rPr>
          <w:rFonts w:ascii="UniversLTStd" w:hAnsi="UniversLTStd" w:cs="UniversLTStd"/>
          <w:szCs w:val="24"/>
          <w:lang w:val="pt-BR"/>
        </w:rPr>
      </w:pPr>
      <w:r>
        <w:rPr>
          <w:rFonts w:ascii="UniversLTStd" w:hAnsi="UniversLTStd" w:cs="UniversLTStd"/>
          <w:szCs w:val="24"/>
          <w:lang w:val="pt-BR"/>
        </w:rPr>
        <w:t xml:space="preserve">O fato é que a receita total per capita média dos municípios brasileiros é baixa. Existe ainda uma grande discrepância entre as diferentes regiões do país </w:t>
      </w:r>
      <w:r w:rsidRPr="00801ABB">
        <w:rPr>
          <w:rFonts w:ascii="UniversLTStd" w:hAnsi="UniversLTStd" w:cs="UniversLTStd"/>
          <w:color w:val="FF0000"/>
          <w:szCs w:val="24"/>
          <w:lang w:val="pt-BR"/>
        </w:rPr>
        <w:t xml:space="preserve">(ver gráfico </w:t>
      </w:r>
      <w:r w:rsidR="000017CD">
        <w:rPr>
          <w:rFonts w:ascii="UniversLTStd" w:hAnsi="UniversLTStd" w:cs="UniversLTStd"/>
          <w:color w:val="FF0000"/>
          <w:szCs w:val="24"/>
          <w:lang w:val="pt-BR"/>
        </w:rPr>
        <w:t>2</w:t>
      </w:r>
      <w:r w:rsidRPr="00801ABB">
        <w:rPr>
          <w:rFonts w:ascii="UniversLTStd" w:hAnsi="UniversLTStd" w:cs="UniversLTStd"/>
          <w:color w:val="FF0000"/>
          <w:szCs w:val="24"/>
          <w:lang w:val="pt-BR"/>
        </w:rPr>
        <w:t xml:space="preserve">). </w:t>
      </w:r>
      <w:r>
        <w:rPr>
          <w:szCs w:val="24"/>
          <w:lang w:val="pt-BR"/>
        </w:rPr>
        <w:t>Conforme ressaltado pela Frente Nacional do Prefeitos (FNP), h</w:t>
      </w:r>
      <w:r w:rsidRPr="00801ABB">
        <w:rPr>
          <w:szCs w:val="24"/>
          <w:lang w:val="pt-BR"/>
        </w:rPr>
        <w:t>oje a distribuição de recursos entre os municípios</w:t>
      </w:r>
      <w:r>
        <w:rPr>
          <w:szCs w:val="24"/>
          <w:lang w:val="pt-BR"/>
        </w:rPr>
        <w:t xml:space="preserve"> </w:t>
      </w:r>
      <w:r w:rsidRPr="00801ABB">
        <w:rPr>
          <w:szCs w:val="24"/>
          <w:lang w:val="pt-BR"/>
        </w:rPr>
        <w:t>desconsidera a diversidade entre eles e,</w:t>
      </w:r>
      <w:r>
        <w:rPr>
          <w:szCs w:val="24"/>
          <w:lang w:val="pt-BR"/>
        </w:rPr>
        <w:t xml:space="preserve"> </w:t>
      </w:r>
      <w:r w:rsidRPr="00801ABB">
        <w:rPr>
          <w:szCs w:val="24"/>
          <w:lang w:val="pt-BR"/>
        </w:rPr>
        <w:t>assim, aumenta as disparidades e contribui para</w:t>
      </w:r>
      <w:r>
        <w:rPr>
          <w:szCs w:val="24"/>
          <w:lang w:val="pt-BR"/>
        </w:rPr>
        <w:t xml:space="preserve"> </w:t>
      </w:r>
      <w:r w:rsidRPr="00801ABB">
        <w:rPr>
          <w:szCs w:val="24"/>
          <w:lang w:val="pt-BR"/>
        </w:rPr>
        <w:t>a existência de cidades onde reside uma população socioeconomicamente vulnerável e, paradoxalmente, onde o setor público</w:t>
      </w:r>
      <w:r>
        <w:rPr>
          <w:szCs w:val="24"/>
          <w:lang w:val="pt-BR"/>
        </w:rPr>
        <w:t xml:space="preserve"> </w:t>
      </w:r>
      <w:r w:rsidRPr="00801ABB">
        <w:rPr>
          <w:szCs w:val="24"/>
          <w:lang w:val="pt-BR"/>
        </w:rPr>
        <w:t>dispõe de pouco mais da metade da receita per</w:t>
      </w:r>
      <w:r>
        <w:rPr>
          <w:szCs w:val="24"/>
          <w:lang w:val="pt-BR"/>
        </w:rPr>
        <w:t xml:space="preserve"> </w:t>
      </w:r>
      <w:r w:rsidRPr="00801ABB">
        <w:rPr>
          <w:szCs w:val="24"/>
          <w:lang w:val="pt-BR"/>
        </w:rPr>
        <w:t>capita média nacional dos municípios para ofertar</w:t>
      </w:r>
      <w:r>
        <w:rPr>
          <w:szCs w:val="24"/>
          <w:lang w:val="pt-BR"/>
        </w:rPr>
        <w:t xml:space="preserve"> </w:t>
      </w:r>
      <w:r w:rsidRPr="00801ABB">
        <w:rPr>
          <w:szCs w:val="24"/>
          <w:lang w:val="pt-BR"/>
        </w:rPr>
        <w:t>os serviços públicos que essa parcela da população</w:t>
      </w:r>
      <w:r>
        <w:rPr>
          <w:szCs w:val="24"/>
          <w:lang w:val="pt-BR"/>
        </w:rPr>
        <w:t xml:space="preserve"> </w:t>
      </w:r>
      <w:r w:rsidRPr="00801ABB">
        <w:rPr>
          <w:szCs w:val="24"/>
          <w:lang w:val="pt-BR"/>
        </w:rPr>
        <w:t>tanto precisa.</w:t>
      </w:r>
      <w:r>
        <w:rPr>
          <w:rFonts w:ascii="UniversLTStd" w:hAnsi="UniversLTStd" w:cs="UniversLTStd"/>
          <w:szCs w:val="24"/>
          <w:lang w:val="pt-BR"/>
        </w:rPr>
        <w:t xml:space="preserve"> </w:t>
      </w:r>
    </w:p>
    <w:p w14:paraId="209A7D87" w14:textId="012BB67A" w:rsidR="00AD3D42" w:rsidRDefault="00AD3D42" w:rsidP="00E53867">
      <w:pPr>
        <w:autoSpaceDE w:val="0"/>
        <w:autoSpaceDN w:val="0"/>
        <w:adjustRightInd w:val="0"/>
        <w:spacing w:after="0" w:line="240" w:lineRule="auto"/>
        <w:rPr>
          <w:rFonts w:ascii="UniversLTStd" w:hAnsi="UniversLTStd" w:cs="UniversLTStd"/>
          <w:szCs w:val="24"/>
          <w:lang w:val="pt-BR"/>
        </w:rPr>
      </w:pPr>
    </w:p>
    <w:p w14:paraId="6D186346" w14:textId="62534F18" w:rsidR="00D84F29" w:rsidRDefault="009D7C36" w:rsidP="002E0FCD">
      <w:pPr>
        <w:autoSpaceDE w:val="0"/>
        <w:autoSpaceDN w:val="0"/>
        <w:adjustRightInd w:val="0"/>
        <w:spacing w:after="0" w:line="276" w:lineRule="auto"/>
        <w:rPr>
          <w:rFonts w:ascii="UniversLTStd" w:hAnsi="UniversLTStd" w:cs="UniversLTStd"/>
          <w:szCs w:val="24"/>
          <w:lang w:val="pt-BR"/>
        </w:rPr>
      </w:pPr>
      <w:r>
        <w:rPr>
          <w:noProof/>
        </w:rPr>
        <w:lastRenderedPageBreak/>
        <w:drawing>
          <wp:inline distT="0" distB="0" distL="0" distR="0" wp14:anchorId="1FC8359E" wp14:editId="2C3DD13B">
            <wp:extent cx="4048125" cy="2733675"/>
            <wp:effectExtent l="0" t="0" r="9525" b="9525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400CED27-8BF8-49B4-9168-F2C48924983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10E30E0" w14:textId="38C66ED2" w:rsidR="009D7C36" w:rsidRPr="009D7C36" w:rsidRDefault="009D7C36" w:rsidP="00E53867">
      <w:pPr>
        <w:autoSpaceDE w:val="0"/>
        <w:autoSpaceDN w:val="0"/>
        <w:adjustRightInd w:val="0"/>
        <w:spacing w:after="0" w:line="240" w:lineRule="auto"/>
        <w:rPr>
          <w:rFonts w:ascii="UniversLTStd" w:hAnsi="UniversLTStd" w:cs="UniversLTStd"/>
          <w:sz w:val="22"/>
          <w:lang w:val="pt-BR"/>
        </w:rPr>
      </w:pPr>
      <w:r w:rsidRPr="009D7C36">
        <w:rPr>
          <w:rFonts w:ascii="UniversLTStd" w:hAnsi="UniversLTStd" w:cs="UniversLTStd"/>
          <w:sz w:val="22"/>
          <w:lang w:val="pt-BR"/>
        </w:rPr>
        <w:t>Fonte: FNP</w:t>
      </w:r>
      <w:r w:rsidR="00755282">
        <w:rPr>
          <w:rFonts w:ascii="UniversLTStd" w:hAnsi="UniversLTStd" w:cs="UniversLTStd"/>
          <w:sz w:val="22"/>
          <w:lang w:val="pt-BR"/>
        </w:rPr>
        <w:t>, 2018.</w:t>
      </w:r>
    </w:p>
    <w:p w14:paraId="4222C449" w14:textId="77777777" w:rsidR="00E53867" w:rsidRPr="00F92397" w:rsidRDefault="00E53867" w:rsidP="00F92397">
      <w:pPr>
        <w:rPr>
          <w:b/>
          <w:szCs w:val="24"/>
          <w:lang w:val="pt-BR"/>
        </w:rPr>
      </w:pPr>
    </w:p>
    <w:p w14:paraId="196AF003" w14:textId="45225F39" w:rsidR="00F92397" w:rsidRPr="003C6B1E" w:rsidRDefault="00F92397" w:rsidP="0085286A">
      <w:pPr>
        <w:pStyle w:val="Ttulo2"/>
        <w:rPr>
          <w:lang w:val="pt-BR"/>
        </w:rPr>
      </w:pPr>
      <w:r w:rsidRPr="003C6B1E">
        <w:rPr>
          <w:lang w:val="pt-BR"/>
        </w:rPr>
        <w:t>Capacidade de gestão de infraestruturas</w:t>
      </w:r>
    </w:p>
    <w:p w14:paraId="368660AF" w14:textId="77777777" w:rsidR="009816F0" w:rsidRDefault="00B5321F" w:rsidP="00841124">
      <w:pPr>
        <w:rPr>
          <w:szCs w:val="24"/>
          <w:lang w:val="pt-BR"/>
        </w:rPr>
      </w:pPr>
      <w:r>
        <w:rPr>
          <w:szCs w:val="24"/>
          <w:lang w:val="pt-BR"/>
        </w:rPr>
        <w:t xml:space="preserve">A Constituição Federal de 1988, em uma intenção de descentralização federativa, expande a autonomia dos municípios concedendo-lhes poderes administrativos, financeiros e políticos. </w:t>
      </w:r>
      <w:r w:rsidR="009816F0">
        <w:rPr>
          <w:szCs w:val="24"/>
          <w:lang w:val="pt-BR"/>
        </w:rPr>
        <w:t>Assim, foram repassadas aos municípios responsabilidades ligadas ao ordenamento do território, à prestação de serviços e ao desenvolvimento. Questões estas que põem à prova a capacidade dos governos locais de se articularem entre si e com outras esferas de governo</w:t>
      </w:r>
      <w:r w:rsidR="009816F0">
        <w:rPr>
          <w:rStyle w:val="Refdenotaderodap"/>
          <w:szCs w:val="24"/>
          <w:lang w:val="pt-BR"/>
        </w:rPr>
        <w:footnoteReference w:id="17"/>
      </w:r>
      <w:r w:rsidR="009816F0">
        <w:rPr>
          <w:szCs w:val="24"/>
          <w:lang w:val="pt-BR"/>
        </w:rPr>
        <w:t xml:space="preserve">.   </w:t>
      </w:r>
      <w:r>
        <w:rPr>
          <w:szCs w:val="24"/>
          <w:lang w:val="pt-BR"/>
        </w:rPr>
        <w:t xml:space="preserve">  </w:t>
      </w:r>
    </w:p>
    <w:p w14:paraId="5C37D8E3" w14:textId="77777777" w:rsidR="00051717" w:rsidRDefault="009816F0" w:rsidP="00841124">
      <w:pPr>
        <w:rPr>
          <w:szCs w:val="24"/>
          <w:lang w:val="pt-BR"/>
        </w:rPr>
      </w:pPr>
      <w:r>
        <w:rPr>
          <w:szCs w:val="24"/>
          <w:lang w:val="pt-BR"/>
        </w:rPr>
        <w:t>Desde de então, no processo de descentralização</w:t>
      </w:r>
      <w:r w:rsidR="00051717">
        <w:rPr>
          <w:szCs w:val="24"/>
          <w:lang w:val="pt-BR"/>
        </w:rPr>
        <w:t>,</w:t>
      </w:r>
      <w:r>
        <w:rPr>
          <w:szCs w:val="24"/>
          <w:lang w:val="pt-BR"/>
        </w:rPr>
        <w:t xml:space="preserve"> muitos governos locais se modernizaram</w:t>
      </w:r>
      <w:r w:rsidR="00051717">
        <w:rPr>
          <w:szCs w:val="24"/>
          <w:lang w:val="pt-BR"/>
        </w:rPr>
        <w:t xml:space="preserve"> e aprimoraram a gestão municipal. A realidade dos municípios no Brasil é muito heterogênea, mas é perceptível uma mudança geral no funcionamento das prefeituras locais. </w:t>
      </w:r>
      <w:r w:rsidR="00FA587D">
        <w:rPr>
          <w:szCs w:val="24"/>
          <w:lang w:val="pt-BR"/>
        </w:rPr>
        <w:t>Também existe um incentivo</w:t>
      </w:r>
      <w:r w:rsidR="00051717">
        <w:rPr>
          <w:szCs w:val="24"/>
          <w:lang w:val="pt-BR"/>
        </w:rPr>
        <w:t xml:space="preserve"> a</w:t>
      </w:r>
      <w:r w:rsidR="00FA587D">
        <w:rPr>
          <w:szCs w:val="24"/>
          <w:lang w:val="pt-BR"/>
        </w:rPr>
        <w:t xml:space="preserve"> uma</w:t>
      </w:r>
      <w:r w:rsidR="00051717">
        <w:rPr>
          <w:szCs w:val="24"/>
          <w:lang w:val="pt-BR"/>
        </w:rPr>
        <w:t xml:space="preserve"> mudança para uma gestão mais democrática aberta à participação e à fiscalização cidadã.</w:t>
      </w:r>
    </w:p>
    <w:p w14:paraId="658868F6" w14:textId="77777777" w:rsidR="00051717" w:rsidRDefault="00051717" w:rsidP="00841124">
      <w:pPr>
        <w:rPr>
          <w:szCs w:val="24"/>
          <w:lang w:val="pt-BR"/>
        </w:rPr>
      </w:pPr>
      <w:r>
        <w:rPr>
          <w:szCs w:val="24"/>
          <w:lang w:val="pt-BR"/>
        </w:rPr>
        <w:t xml:space="preserve">Um levantamento feito pelo IBGE em 2015 demonstrou que 97,1% dos municípios brasileiros possuem pelo menos uma das seguintes atividades informatizadas: </w:t>
      </w:r>
      <w:r w:rsidRPr="004E6D67">
        <w:rPr>
          <w:rFonts w:ascii="UniversLTStd" w:hAnsi="UniversLTStd" w:cs="UniversLTStd"/>
          <w:szCs w:val="24"/>
          <w:lang w:val="pt-BR"/>
        </w:rPr>
        <w:t>cadastro e/ou banco de dados de saúde, de</w:t>
      </w:r>
      <w:r>
        <w:rPr>
          <w:rFonts w:ascii="UniversLTStd" w:hAnsi="UniversLTStd" w:cs="UniversLTStd"/>
          <w:szCs w:val="24"/>
          <w:lang w:val="pt-BR"/>
        </w:rPr>
        <w:t xml:space="preserve"> </w:t>
      </w:r>
      <w:r w:rsidRPr="004E6D67">
        <w:rPr>
          <w:rFonts w:ascii="UniversLTStd" w:hAnsi="UniversLTStd" w:cs="UniversLTStd"/>
          <w:szCs w:val="24"/>
          <w:lang w:val="pt-BR"/>
        </w:rPr>
        <w:t>educação, de patrimônio e de funcionários, bem como controle da execução orçamentária</w:t>
      </w:r>
      <w:r>
        <w:rPr>
          <w:rFonts w:ascii="UniversLTStd" w:hAnsi="UniversLTStd" w:cs="UniversLTStd"/>
          <w:szCs w:val="24"/>
          <w:lang w:val="pt-BR"/>
        </w:rPr>
        <w:t xml:space="preserve"> </w:t>
      </w:r>
      <w:r w:rsidRPr="004E6D67">
        <w:rPr>
          <w:rFonts w:ascii="UniversLTStd" w:hAnsi="UniversLTStd" w:cs="UniversLTStd"/>
          <w:szCs w:val="24"/>
          <w:lang w:val="pt-BR"/>
        </w:rPr>
        <w:t>e folha de pagamento.</w:t>
      </w:r>
      <w:r>
        <w:rPr>
          <w:rFonts w:ascii="UniversLTStd" w:hAnsi="UniversLTStd" w:cs="UniversLTStd"/>
          <w:szCs w:val="24"/>
          <w:lang w:val="pt-BR"/>
        </w:rPr>
        <w:t xml:space="preserve"> O dado apresenta </w:t>
      </w:r>
      <w:r w:rsidR="00A45005" w:rsidRPr="004E6D67">
        <w:rPr>
          <w:rFonts w:ascii="UniversLTStd" w:hAnsi="UniversLTStd" w:cs="UniversLTStd"/>
          <w:szCs w:val="24"/>
          <w:lang w:val="pt-BR"/>
        </w:rPr>
        <w:t>pouca variação não só entre as classes de tamanho da população</w:t>
      </w:r>
      <w:r w:rsidR="00A45005">
        <w:rPr>
          <w:rFonts w:ascii="UniversLTStd" w:hAnsi="UniversLTStd" w:cs="UniversLTStd"/>
          <w:szCs w:val="24"/>
          <w:lang w:val="pt-BR"/>
        </w:rPr>
        <w:t xml:space="preserve"> </w:t>
      </w:r>
      <w:r w:rsidR="00A45005" w:rsidRPr="004E6D67">
        <w:rPr>
          <w:rFonts w:ascii="UniversLTStd" w:hAnsi="UniversLTStd" w:cs="UniversLTStd"/>
          <w:szCs w:val="24"/>
          <w:lang w:val="pt-BR"/>
        </w:rPr>
        <w:t>dos municípios, como também entre as Grandes Regiões</w:t>
      </w:r>
      <w:r w:rsidR="00A45005">
        <w:rPr>
          <w:rStyle w:val="Refdenotaderodap"/>
          <w:rFonts w:ascii="UniversLTStd" w:hAnsi="UniversLTStd" w:cs="UniversLTStd"/>
          <w:szCs w:val="24"/>
          <w:lang w:val="pt-BR"/>
        </w:rPr>
        <w:footnoteReference w:id="18"/>
      </w:r>
      <w:r w:rsidR="00A45005">
        <w:rPr>
          <w:rFonts w:ascii="UniversLTStd" w:hAnsi="UniversLTStd" w:cs="UniversLTStd"/>
          <w:szCs w:val="24"/>
          <w:lang w:val="pt-BR"/>
        </w:rPr>
        <w:t>.</w:t>
      </w:r>
      <w:r w:rsidR="00A45005">
        <w:rPr>
          <w:szCs w:val="24"/>
          <w:lang w:val="pt-BR"/>
        </w:rPr>
        <w:t xml:space="preserve">   </w:t>
      </w:r>
    </w:p>
    <w:p w14:paraId="3D2F7FCE" w14:textId="77777777" w:rsidR="00FA587D" w:rsidRDefault="00FA587D" w:rsidP="00841124">
      <w:pPr>
        <w:rPr>
          <w:szCs w:val="24"/>
          <w:lang w:val="pt-BR"/>
        </w:rPr>
      </w:pPr>
      <w:r>
        <w:rPr>
          <w:szCs w:val="24"/>
          <w:lang w:val="pt-BR"/>
        </w:rPr>
        <w:t>Porém, apesar dos avanços</w:t>
      </w:r>
      <w:r w:rsidR="00697097">
        <w:rPr>
          <w:szCs w:val="24"/>
          <w:lang w:val="pt-BR"/>
        </w:rPr>
        <w:t xml:space="preserve"> citados</w:t>
      </w:r>
      <w:r>
        <w:rPr>
          <w:szCs w:val="24"/>
          <w:lang w:val="pt-BR"/>
        </w:rPr>
        <w:t>,</w:t>
      </w:r>
      <w:r w:rsidR="002E4CA8">
        <w:rPr>
          <w:szCs w:val="24"/>
          <w:lang w:val="pt-BR"/>
        </w:rPr>
        <w:t xml:space="preserve"> existem alguns percalços para o funcionamento adequado do sistema.</w:t>
      </w:r>
      <w:r>
        <w:rPr>
          <w:szCs w:val="24"/>
          <w:lang w:val="pt-BR"/>
        </w:rPr>
        <w:t xml:space="preserve"> </w:t>
      </w:r>
      <w:r w:rsidR="002E4CA8">
        <w:rPr>
          <w:szCs w:val="24"/>
          <w:lang w:val="pt-BR"/>
        </w:rPr>
        <w:t>A</w:t>
      </w:r>
      <w:r>
        <w:rPr>
          <w:szCs w:val="24"/>
          <w:lang w:val="pt-BR"/>
        </w:rPr>
        <w:t xml:space="preserve"> distância, o isolamento, a carência de recursos financeiros e humanos e os esquemas de corrupção imped</w:t>
      </w:r>
      <w:r w:rsidR="002E4CA8">
        <w:rPr>
          <w:szCs w:val="24"/>
          <w:lang w:val="pt-BR"/>
        </w:rPr>
        <w:t>em</w:t>
      </w:r>
      <w:r>
        <w:rPr>
          <w:szCs w:val="24"/>
          <w:lang w:val="pt-BR"/>
        </w:rPr>
        <w:t xml:space="preserve"> alguns governos locais de atuar com eficiência e de </w:t>
      </w:r>
      <w:r>
        <w:rPr>
          <w:szCs w:val="24"/>
          <w:lang w:val="pt-BR"/>
        </w:rPr>
        <w:lastRenderedPageBreak/>
        <w:t xml:space="preserve">forma democrática. Existe uma ampla discussão sobre a verdadeira autonomia dos municípios principalmente no que toca às questões financeiras. </w:t>
      </w:r>
    </w:p>
    <w:p w14:paraId="6246E4E4" w14:textId="77777777" w:rsidR="0066363E" w:rsidRPr="00FB277B" w:rsidRDefault="00FB277B" w:rsidP="00FB277B">
      <w:pPr>
        <w:rPr>
          <w:szCs w:val="24"/>
          <w:lang w:val="pt-BR"/>
        </w:rPr>
      </w:pPr>
      <w:r>
        <w:rPr>
          <w:szCs w:val="24"/>
          <w:lang w:val="pt-BR"/>
        </w:rPr>
        <w:t>De forma geral, as receitas próprias dos municípios são muito baixas – em média 6,5% da receita orçamentária total. Se considerarmos</w:t>
      </w:r>
      <w:r w:rsidR="0066363E" w:rsidRPr="003A5CE5">
        <w:rPr>
          <w:szCs w:val="24"/>
          <w:lang w:val="pt-BR"/>
        </w:rPr>
        <w:t xml:space="preserve"> as receitas orçamentárias per capita</w:t>
      </w:r>
      <w:r>
        <w:rPr>
          <w:szCs w:val="24"/>
          <w:lang w:val="pt-BR"/>
        </w:rPr>
        <w:t>,</w:t>
      </w:r>
      <w:r w:rsidR="0066363E" w:rsidRPr="003A5CE5">
        <w:rPr>
          <w:szCs w:val="24"/>
          <w:lang w:val="pt-BR"/>
        </w:rPr>
        <w:t xml:space="preserve"> a média </w:t>
      </w:r>
      <w:r w:rsidRPr="003A5CE5">
        <w:rPr>
          <w:szCs w:val="24"/>
          <w:lang w:val="pt-BR"/>
        </w:rPr>
        <w:t>no período 2005-2008</w:t>
      </w:r>
      <w:r>
        <w:rPr>
          <w:szCs w:val="24"/>
          <w:lang w:val="pt-BR"/>
        </w:rPr>
        <w:t xml:space="preserve"> foi de </w:t>
      </w:r>
      <w:r w:rsidR="0066363E" w:rsidRPr="003A5CE5">
        <w:rPr>
          <w:szCs w:val="24"/>
          <w:lang w:val="pt-BR"/>
        </w:rPr>
        <w:t>R$ 1.530</w:t>
      </w:r>
      <w:r w:rsidR="003C6B1E">
        <w:rPr>
          <w:szCs w:val="24"/>
          <w:lang w:val="pt-BR"/>
        </w:rPr>
        <w:t>,00</w:t>
      </w:r>
      <w:r>
        <w:rPr>
          <w:szCs w:val="24"/>
          <w:lang w:val="pt-BR"/>
        </w:rPr>
        <w:t>, valor</w:t>
      </w:r>
      <w:r w:rsidR="0066363E" w:rsidRPr="003A5CE5">
        <w:rPr>
          <w:szCs w:val="24"/>
          <w:lang w:val="pt-BR"/>
        </w:rPr>
        <w:t xml:space="preserve"> insuficiente para fazer frente às necessidades de investimentos municipais em urbanização</w:t>
      </w:r>
      <w:r w:rsidRPr="00FB277B">
        <w:rPr>
          <w:rStyle w:val="Refdenotaderodap"/>
          <w:rFonts w:ascii="UniversLTStd" w:hAnsi="UniversLTStd" w:cs="UniversLTStd"/>
          <w:szCs w:val="24"/>
          <w:lang w:val="pt-BR"/>
        </w:rPr>
        <w:footnoteReference w:id="19"/>
      </w:r>
      <w:r>
        <w:rPr>
          <w:szCs w:val="24"/>
          <w:lang w:val="pt-BR"/>
        </w:rPr>
        <w:t>.</w:t>
      </w:r>
    </w:p>
    <w:p w14:paraId="54C7DD9D" w14:textId="19844E3B" w:rsidR="000321AF" w:rsidRDefault="00DC5A6A" w:rsidP="000B79BF">
      <w:pPr>
        <w:rPr>
          <w:szCs w:val="24"/>
          <w:lang w:val="pt-BR"/>
        </w:rPr>
      </w:pPr>
      <w:r>
        <w:rPr>
          <w:szCs w:val="24"/>
          <w:lang w:val="pt-BR"/>
        </w:rPr>
        <w:t>E</w:t>
      </w:r>
      <w:r w:rsidR="000321AF">
        <w:rPr>
          <w:szCs w:val="24"/>
          <w:lang w:val="pt-BR"/>
        </w:rPr>
        <w:t xml:space="preserve">ntretanto, </w:t>
      </w:r>
      <w:r>
        <w:rPr>
          <w:szCs w:val="24"/>
          <w:lang w:val="pt-BR"/>
        </w:rPr>
        <w:t>em grande parte dos casos</w:t>
      </w:r>
      <w:r w:rsidR="000321AF">
        <w:rPr>
          <w:szCs w:val="24"/>
          <w:lang w:val="pt-BR"/>
        </w:rPr>
        <w:t>, é necessário que as municipalidades comprovem suas capacidades de gestão antes de receberem competências e recursos</w:t>
      </w:r>
      <w:r w:rsidR="00CD3B69">
        <w:rPr>
          <w:szCs w:val="24"/>
          <w:lang w:val="pt-BR"/>
        </w:rPr>
        <w:t xml:space="preserve"> de outras fontes</w:t>
      </w:r>
      <w:r w:rsidR="000321AF">
        <w:rPr>
          <w:szCs w:val="24"/>
          <w:lang w:val="pt-BR"/>
        </w:rPr>
        <w:t xml:space="preserve">. E </w:t>
      </w:r>
      <w:r>
        <w:rPr>
          <w:szCs w:val="24"/>
          <w:lang w:val="pt-BR"/>
        </w:rPr>
        <w:t xml:space="preserve">é </w:t>
      </w:r>
      <w:r w:rsidR="000321AF">
        <w:rPr>
          <w:szCs w:val="24"/>
          <w:lang w:val="pt-BR"/>
        </w:rPr>
        <w:t>aí</w:t>
      </w:r>
      <w:r>
        <w:rPr>
          <w:szCs w:val="24"/>
          <w:lang w:val="pt-BR"/>
        </w:rPr>
        <w:t xml:space="preserve"> que</w:t>
      </w:r>
      <w:r w:rsidR="000321AF">
        <w:rPr>
          <w:szCs w:val="24"/>
          <w:lang w:val="pt-BR"/>
        </w:rPr>
        <w:t xml:space="preserve"> se encontra </w:t>
      </w:r>
      <w:r>
        <w:rPr>
          <w:szCs w:val="24"/>
          <w:lang w:val="pt-BR"/>
        </w:rPr>
        <w:t>um d</w:t>
      </w:r>
      <w:r w:rsidR="000321AF">
        <w:rPr>
          <w:szCs w:val="24"/>
          <w:lang w:val="pt-BR"/>
        </w:rPr>
        <w:t>o</w:t>
      </w:r>
      <w:r>
        <w:rPr>
          <w:szCs w:val="24"/>
          <w:lang w:val="pt-BR"/>
        </w:rPr>
        <w:t>s</w:t>
      </w:r>
      <w:r w:rsidR="000321AF">
        <w:rPr>
          <w:szCs w:val="24"/>
          <w:lang w:val="pt-BR"/>
        </w:rPr>
        <w:t xml:space="preserve"> principa</w:t>
      </w:r>
      <w:r>
        <w:rPr>
          <w:szCs w:val="24"/>
          <w:lang w:val="pt-BR"/>
        </w:rPr>
        <w:t>is</w:t>
      </w:r>
      <w:r w:rsidR="000321AF">
        <w:rPr>
          <w:szCs w:val="24"/>
          <w:lang w:val="pt-BR"/>
        </w:rPr>
        <w:t xml:space="preserve"> entrave</w:t>
      </w:r>
      <w:r>
        <w:rPr>
          <w:szCs w:val="24"/>
          <w:lang w:val="pt-BR"/>
        </w:rPr>
        <w:t>s</w:t>
      </w:r>
      <w:r w:rsidR="000321AF">
        <w:rPr>
          <w:szCs w:val="24"/>
          <w:lang w:val="pt-BR"/>
        </w:rPr>
        <w:t xml:space="preserve"> </w:t>
      </w:r>
      <w:r>
        <w:rPr>
          <w:szCs w:val="24"/>
          <w:lang w:val="pt-BR"/>
        </w:rPr>
        <w:t>a</w:t>
      </w:r>
      <w:r w:rsidR="000321AF">
        <w:rPr>
          <w:szCs w:val="24"/>
          <w:lang w:val="pt-BR"/>
        </w:rPr>
        <w:t xml:space="preserve">o desenvolvimento. Em realidade, o que se observa é que os governos locais são pouco eficientes, excessivamente burocráticos e carentes de recursos financeiros e humanos aptos e competentes. </w:t>
      </w:r>
    </w:p>
    <w:p w14:paraId="128DA143" w14:textId="77777777" w:rsidR="00700140" w:rsidRPr="00700140" w:rsidRDefault="000321AF" w:rsidP="00700140">
      <w:pPr>
        <w:rPr>
          <w:szCs w:val="24"/>
          <w:lang w:val="pt-BR"/>
        </w:rPr>
      </w:pPr>
      <w:r w:rsidRPr="00C1543E">
        <w:rPr>
          <w:szCs w:val="24"/>
          <w:lang w:val="pt-BR"/>
        </w:rPr>
        <w:t>Nesse sentido, pode-se afirmar que a prática</w:t>
      </w:r>
      <w:r>
        <w:rPr>
          <w:szCs w:val="24"/>
          <w:lang w:val="pt-BR"/>
        </w:rPr>
        <w:t xml:space="preserve"> da descentralização tanto pode modernizar os municípios como enfraquecê-los</w:t>
      </w:r>
      <w:r w:rsidRPr="00700140">
        <w:rPr>
          <w:rStyle w:val="Refdenotaderodap"/>
          <w:rFonts w:ascii="UniversLTStd" w:hAnsi="UniversLTStd" w:cs="UniversLTStd"/>
          <w:szCs w:val="24"/>
          <w:lang w:val="pt-BR"/>
        </w:rPr>
        <w:footnoteReference w:id="20"/>
      </w:r>
      <w:r>
        <w:rPr>
          <w:szCs w:val="24"/>
          <w:lang w:val="pt-BR"/>
        </w:rPr>
        <w:t xml:space="preserve">. </w:t>
      </w:r>
      <w:r w:rsidR="00351A10">
        <w:rPr>
          <w:szCs w:val="24"/>
          <w:lang w:val="pt-BR"/>
        </w:rPr>
        <w:t>A falta de capacidade de gestão das prefeituras acaba por</w:t>
      </w:r>
      <w:r w:rsidR="00C21146">
        <w:rPr>
          <w:szCs w:val="24"/>
          <w:lang w:val="pt-BR"/>
        </w:rPr>
        <w:t xml:space="preserve"> </w:t>
      </w:r>
      <w:r w:rsidR="00351A10">
        <w:rPr>
          <w:szCs w:val="24"/>
          <w:lang w:val="pt-BR"/>
        </w:rPr>
        <w:t xml:space="preserve">dispersar as ações e </w:t>
      </w:r>
      <w:r w:rsidR="00C21146">
        <w:rPr>
          <w:szCs w:val="24"/>
          <w:lang w:val="pt-BR"/>
        </w:rPr>
        <w:t xml:space="preserve">subutilizar os </w:t>
      </w:r>
      <w:r w:rsidR="00351A10">
        <w:rPr>
          <w:szCs w:val="24"/>
          <w:lang w:val="pt-BR"/>
        </w:rPr>
        <w:t xml:space="preserve">escassos recursos públicos. </w:t>
      </w:r>
      <w:r w:rsidR="00C21146">
        <w:rPr>
          <w:szCs w:val="24"/>
          <w:lang w:val="pt-BR"/>
        </w:rPr>
        <w:t>Também deve ser levado em consideração o porte dos municípios. Não há dúvida de que os menores apresentam uma capacidade reduzida em termos de pessoal e receita.</w:t>
      </w:r>
      <w:r w:rsidR="00C0521E">
        <w:rPr>
          <w:szCs w:val="24"/>
          <w:lang w:val="pt-BR"/>
        </w:rPr>
        <w:t xml:space="preserve"> </w:t>
      </w:r>
      <w:r w:rsidR="00700140">
        <w:rPr>
          <w:szCs w:val="24"/>
          <w:lang w:val="pt-BR"/>
        </w:rPr>
        <w:t xml:space="preserve">Segundo o Índice FIRJAN de Gestão Fiscal (IFGF 2017) </w:t>
      </w:r>
      <w:r w:rsidR="00700140" w:rsidRPr="00700140">
        <w:rPr>
          <w:szCs w:val="24"/>
          <w:lang w:val="pt-BR"/>
        </w:rPr>
        <w:t>apenas 13 das 4.544 prefeituras avaliadas obtiveram o grau de excelência na gestão dos recursos públicos.</w:t>
      </w:r>
    </w:p>
    <w:p w14:paraId="5E7036EB" w14:textId="77777777" w:rsidR="00C21146" w:rsidRDefault="00C21146" w:rsidP="000B79BF">
      <w:pPr>
        <w:rPr>
          <w:szCs w:val="24"/>
          <w:lang w:val="pt-BR"/>
        </w:rPr>
      </w:pPr>
      <w:r>
        <w:rPr>
          <w:szCs w:val="24"/>
          <w:lang w:val="pt-BR"/>
        </w:rPr>
        <w:t>Os dados revelam um aumento muito significativo dos recursos do Orçamento Geral da União (OGU) repassados para os municípios na área de desenvolvimento urbano</w:t>
      </w:r>
      <w:r w:rsidR="001F4A2A">
        <w:rPr>
          <w:szCs w:val="24"/>
          <w:lang w:val="pt-BR"/>
        </w:rPr>
        <w:t>. E</w:t>
      </w:r>
      <w:r>
        <w:rPr>
          <w:szCs w:val="24"/>
          <w:lang w:val="pt-BR"/>
        </w:rPr>
        <w:t xml:space="preserve">ntre 2001-2004 e 2005-2008 o incremento de transferências orçamentárias do governo federal para os municípios nessa área foi de 751%. </w:t>
      </w:r>
      <w:r w:rsidR="002E4CA8">
        <w:rPr>
          <w:szCs w:val="24"/>
          <w:lang w:val="pt-BR"/>
        </w:rPr>
        <w:t>Todavia</w:t>
      </w:r>
      <w:r w:rsidR="001F4A2A">
        <w:rPr>
          <w:szCs w:val="24"/>
          <w:lang w:val="pt-BR"/>
        </w:rPr>
        <w:t>, o</w:t>
      </w:r>
      <w:r>
        <w:rPr>
          <w:szCs w:val="24"/>
          <w:lang w:val="pt-BR"/>
        </w:rPr>
        <w:t xml:space="preserve">s indicadores apontam uma priorização das áreas de habitação e saneamento e, no segundo período, verifica-se um </w:t>
      </w:r>
      <w:r w:rsidR="001F4A2A">
        <w:rPr>
          <w:szCs w:val="24"/>
          <w:lang w:val="pt-BR"/>
        </w:rPr>
        <w:t>maior investimento</w:t>
      </w:r>
      <w:r>
        <w:rPr>
          <w:szCs w:val="24"/>
          <w:lang w:val="pt-BR"/>
        </w:rPr>
        <w:t xml:space="preserve"> dos recursos </w:t>
      </w:r>
      <w:r w:rsidR="001F4A2A">
        <w:rPr>
          <w:szCs w:val="24"/>
          <w:lang w:val="pt-BR"/>
        </w:rPr>
        <w:t>em</w:t>
      </w:r>
      <w:r>
        <w:rPr>
          <w:szCs w:val="24"/>
          <w:lang w:val="pt-BR"/>
        </w:rPr>
        <w:t xml:space="preserve"> política</w:t>
      </w:r>
      <w:r w:rsidR="001F4A2A">
        <w:rPr>
          <w:szCs w:val="24"/>
          <w:lang w:val="pt-BR"/>
        </w:rPr>
        <w:t>s</w:t>
      </w:r>
      <w:r>
        <w:rPr>
          <w:szCs w:val="24"/>
          <w:lang w:val="pt-BR"/>
        </w:rPr>
        <w:t xml:space="preserve"> </w:t>
      </w:r>
      <w:r w:rsidR="001F4A2A">
        <w:rPr>
          <w:szCs w:val="24"/>
          <w:lang w:val="pt-BR"/>
        </w:rPr>
        <w:t>para</w:t>
      </w:r>
      <w:r>
        <w:rPr>
          <w:szCs w:val="24"/>
          <w:lang w:val="pt-BR"/>
        </w:rPr>
        <w:t xml:space="preserve"> cidades de maior porte</w:t>
      </w:r>
      <w:r w:rsidR="001F4A2A" w:rsidRPr="0066363E">
        <w:rPr>
          <w:rStyle w:val="Refdenotaderodap"/>
        </w:rPr>
        <w:footnoteReference w:id="21"/>
      </w:r>
      <w:r>
        <w:rPr>
          <w:szCs w:val="24"/>
          <w:lang w:val="pt-BR"/>
        </w:rPr>
        <w:t>.</w:t>
      </w:r>
    </w:p>
    <w:p w14:paraId="11F7BC53" w14:textId="44B47A4F" w:rsidR="00071784" w:rsidRPr="00071784" w:rsidRDefault="00071784" w:rsidP="00071784">
      <w:pPr>
        <w:rPr>
          <w:szCs w:val="24"/>
          <w:lang w:val="pt-BR"/>
        </w:rPr>
      </w:pPr>
      <w:r>
        <w:rPr>
          <w:szCs w:val="24"/>
          <w:lang w:val="pt-BR"/>
        </w:rPr>
        <w:t>N</w:t>
      </w:r>
      <w:r w:rsidR="0066363E">
        <w:rPr>
          <w:szCs w:val="24"/>
          <w:lang w:val="pt-BR"/>
        </w:rPr>
        <w:t>o</w:t>
      </w:r>
      <w:r>
        <w:rPr>
          <w:szCs w:val="24"/>
          <w:lang w:val="pt-BR"/>
        </w:rPr>
        <w:t xml:space="preserve"> contexto</w:t>
      </w:r>
      <w:r w:rsidR="0066363E">
        <w:rPr>
          <w:szCs w:val="24"/>
          <w:lang w:val="pt-BR"/>
        </w:rPr>
        <w:t xml:space="preserve"> de baixa capacidade de gestão</w:t>
      </w:r>
      <w:r>
        <w:rPr>
          <w:szCs w:val="24"/>
          <w:lang w:val="pt-BR"/>
        </w:rPr>
        <w:t>, as prefeituras se veem obrigadas a contratar empresas privadas e/ou pessoas para assessor</w:t>
      </w:r>
      <w:r w:rsidR="00E37297">
        <w:rPr>
          <w:szCs w:val="24"/>
          <w:lang w:val="pt-BR"/>
        </w:rPr>
        <w:t>á-las</w:t>
      </w:r>
      <w:r>
        <w:rPr>
          <w:szCs w:val="24"/>
          <w:lang w:val="pt-BR"/>
        </w:rPr>
        <w:t xml:space="preserve"> ou execu</w:t>
      </w:r>
      <w:r w:rsidR="00E37297">
        <w:rPr>
          <w:szCs w:val="24"/>
          <w:lang w:val="pt-BR"/>
        </w:rPr>
        <w:t>tar</w:t>
      </w:r>
      <w:r>
        <w:rPr>
          <w:szCs w:val="24"/>
          <w:lang w:val="pt-BR"/>
        </w:rPr>
        <w:t xml:space="preserve"> direta</w:t>
      </w:r>
      <w:r w:rsidR="00E37297">
        <w:rPr>
          <w:szCs w:val="24"/>
          <w:lang w:val="pt-BR"/>
        </w:rPr>
        <w:t>mente</w:t>
      </w:r>
      <w:r>
        <w:rPr>
          <w:szCs w:val="24"/>
          <w:lang w:val="pt-BR"/>
        </w:rPr>
        <w:t xml:space="preserve"> </w:t>
      </w:r>
      <w:r w:rsidRPr="00071784">
        <w:rPr>
          <w:szCs w:val="24"/>
          <w:lang w:val="pt-BR"/>
        </w:rPr>
        <w:t xml:space="preserve">serviços públicos. Segundo dados obtidos pelo IBGE (2015), a assessoria era contratada em 85,8% dos municípios brasileiros. O serviço de assessoria era mais frequente nos municípios com menor porte populacional, como se verifica no </w:t>
      </w:r>
      <w:r w:rsidR="000017CD">
        <w:rPr>
          <w:color w:val="FF0000"/>
          <w:szCs w:val="24"/>
          <w:lang w:val="pt-BR"/>
        </w:rPr>
        <w:t>g</w:t>
      </w:r>
      <w:r w:rsidRPr="00675353">
        <w:rPr>
          <w:color w:val="FF0000"/>
          <w:szCs w:val="24"/>
          <w:lang w:val="pt-BR"/>
        </w:rPr>
        <w:t xml:space="preserve">ráfico </w:t>
      </w:r>
      <w:r w:rsidR="000017CD">
        <w:rPr>
          <w:color w:val="FF0000"/>
          <w:szCs w:val="24"/>
          <w:lang w:val="pt-BR"/>
        </w:rPr>
        <w:t>4</w:t>
      </w:r>
      <w:r w:rsidRPr="00071784">
        <w:rPr>
          <w:szCs w:val="24"/>
          <w:lang w:val="pt-BR"/>
        </w:rPr>
        <w:t>.</w:t>
      </w:r>
    </w:p>
    <w:p w14:paraId="680085A8" w14:textId="7DFA544D" w:rsidR="00071784" w:rsidRDefault="00071784" w:rsidP="00071784">
      <w:pPr>
        <w:rPr>
          <w:szCs w:val="24"/>
          <w:lang w:val="pt-BR"/>
        </w:rPr>
      </w:pPr>
      <w:r>
        <w:rPr>
          <w:szCs w:val="24"/>
          <w:lang w:val="pt-BR"/>
        </w:rPr>
        <w:t>A pesquisa também aponta que a</w:t>
      </w:r>
      <w:r w:rsidRPr="00071784">
        <w:rPr>
          <w:szCs w:val="24"/>
          <w:lang w:val="pt-BR"/>
        </w:rPr>
        <w:t xml:space="preserve">lém de terceirizar serviços de assessoria, as prefeituras também contratam empresas para desempenhar diretamente atividades de responsabilidade da administração pública municipal, em áreas como: segurança dos prédios da prefeitura, </w:t>
      </w:r>
      <w:r w:rsidRPr="00071784">
        <w:rPr>
          <w:szCs w:val="24"/>
          <w:lang w:val="pt-BR"/>
        </w:rPr>
        <w:lastRenderedPageBreak/>
        <w:t>iluminação pública, limpeza urbana e coleta de resíduos sólidos domiciliar, hospitalar e industrial.</w:t>
      </w:r>
    </w:p>
    <w:p w14:paraId="0780F959" w14:textId="05AAF2AF" w:rsidR="00E75118" w:rsidRDefault="00E75118" w:rsidP="00071784">
      <w:pPr>
        <w:rPr>
          <w:szCs w:val="24"/>
          <w:lang w:val="pt-BR"/>
        </w:rPr>
      </w:pPr>
      <w:r>
        <w:rPr>
          <w:noProof/>
        </w:rPr>
        <w:drawing>
          <wp:inline distT="0" distB="0" distL="0" distR="0" wp14:anchorId="47966842" wp14:editId="5F983310">
            <wp:extent cx="4572000" cy="2743200"/>
            <wp:effectExtent l="0" t="0" r="0" b="0"/>
            <wp:docPr id="7" name="Gráfico 7">
              <a:extLst xmlns:a="http://schemas.openxmlformats.org/drawingml/2006/main">
                <a:ext uri="{FF2B5EF4-FFF2-40B4-BE49-F238E27FC236}">
                  <a16:creationId xmlns:a16="http://schemas.microsoft.com/office/drawing/2014/main" id="{B329A3AF-8E9B-42A3-9C32-01C992FB139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0A2CDED9" w14:textId="4FBCC630" w:rsidR="00E75118" w:rsidRPr="002E0FCD" w:rsidRDefault="00E75118" w:rsidP="00071784">
      <w:pPr>
        <w:rPr>
          <w:sz w:val="20"/>
          <w:szCs w:val="20"/>
          <w:lang w:val="pt-BR"/>
        </w:rPr>
      </w:pPr>
      <w:r w:rsidRPr="002E0FCD">
        <w:rPr>
          <w:sz w:val="20"/>
          <w:szCs w:val="20"/>
          <w:lang w:val="pt-BR"/>
        </w:rPr>
        <w:t>Fonte: IBGE</w:t>
      </w:r>
      <w:r w:rsidR="002E0FCD" w:rsidRPr="002E0FCD">
        <w:rPr>
          <w:sz w:val="20"/>
          <w:szCs w:val="20"/>
          <w:lang w:val="pt-BR"/>
        </w:rPr>
        <w:t>, 2015.</w:t>
      </w:r>
    </w:p>
    <w:p w14:paraId="46FC23C8" w14:textId="29F75799" w:rsidR="009234E6" w:rsidRDefault="009234E6" w:rsidP="000B79BF">
      <w:pPr>
        <w:rPr>
          <w:szCs w:val="24"/>
          <w:lang w:val="pt-BR"/>
        </w:rPr>
      </w:pPr>
      <w:r>
        <w:rPr>
          <w:szCs w:val="24"/>
          <w:lang w:val="pt-BR"/>
        </w:rPr>
        <w:t xml:space="preserve">Nesse sentido, </w:t>
      </w:r>
      <w:r w:rsidR="001A7EF2">
        <w:rPr>
          <w:szCs w:val="24"/>
          <w:lang w:val="pt-BR"/>
        </w:rPr>
        <w:t>diante da incapacidade das prefeituras de gerir tantas responsabilidades, a inovação é fundamental no aumento da eficiência. Com o uso da tecnologia e a padronização de procedimentos de coleta de dados municipais, as prefeituras terão um conhecimento sistematizado dos processos e projetos existentes. Assim, aumentam suas capacidades de fazerem operações de crédito e executá-las, sem ter que contratar ajuda externa.</w:t>
      </w:r>
    </w:p>
    <w:p w14:paraId="374688BA" w14:textId="5EF516A4" w:rsidR="00EC7043" w:rsidRPr="003A7323" w:rsidRDefault="003C6B1E" w:rsidP="00FE7D34">
      <w:pPr>
        <w:rPr>
          <w:szCs w:val="24"/>
          <w:lang w:val="pt-BR"/>
        </w:rPr>
      </w:pPr>
      <w:r>
        <w:rPr>
          <w:szCs w:val="24"/>
          <w:lang w:val="pt-BR"/>
        </w:rPr>
        <w:t xml:space="preserve">Como ressaltado por Ermínia Maricato (2002), não se deve esvaziar o poder local da possibilidade de iniciativas muito importantes e algumas até fundamentais e indispensáveis. O que realmente interessa é relativizar a autonomia do poder local na solução de problemas estruturais. Sendo assim, </w:t>
      </w:r>
      <w:r w:rsidR="004D1714">
        <w:rPr>
          <w:szCs w:val="24"/>
          <w:lang w:val="pt-BR"/>
        </w:rPr>
        <w:t>os municípios brasileiros se fazem carentes não apenas de apoio financeiro para o investimento em infraestruturas, mas também</w:t>
      </w:r>
      <w:r w:rsidR="00E45F80">
        <w:rPr>
          <w:szCs w:val="24"/>
          <w:lang w:val="pt-BR"/>
        </w:rPr>
        <w:t xml:space="preserve"> de</w:t>
      </w:r>
      <w:r w:rsidR="004D1714">
        <w:rPr>
          <w:szCs w:val="24"/>
          <w:lang w:val="pt-BR"/>
        </w:rPr>
        <w:t xml:space="preserve"> </w:t>
      </w:r>
      <w:r w:rsidR="00E45F80">
        <w:rPr>
          <w:szCs w:val="24"/>
          <w:lang w:val="pt-BR"/>
        </w:rPr>
        <w:t>aux</w:t>
      </w:r>
      <w:r w:rsidR="00CD3B69">
        <w:rPr>
          <w:szCs w:val="24"/>
          <w:lang w:val="pt-BR"/>
        </w:rPr>
        <w:t>í</w:t>
      </w:r>
      <w:r w:rsidR="00E45F80">
        <w:rPr>
          <w:szCs w:val="24"/>
          <w:lang w:val="pt-BR"/>
        </w:rPr>
        <w:t xml:space="preserve">lio no fortalecimento das estruturas gerenciais de governo. </w:t>
      </w:r>
      <w:r w:rsidR="002965EA" w:rsidRPr="003A7323">
        <w:rPr>
          <w:szCs w:val="24"/>
          <w:lang w:val="pt-BR"/>
        </w:rPr>
        <w:t xml:space="preserve"> </w:t>
      </w:r>
    </w:p>
    <w:p w14:paraId="2CD080C4" w14:textId="14ABDA2F" w:rsidR="00EB2736" w:rsidRDefault="00EB2736" w:rsidP="00EB2736">
      <w:pPr>
        <w:pStyle w:val="Ttulo3"/>
        <w:rPr>
          <w:lang w:val="pt-BR"/>
        </w:rPr>
      </w:pPr>
      <w:r>
        <w:rPr>
          <w:lang w:val="pt-BR"/>
        </w:rPr>
        <w:t>Conclusão</w:t>
      </w:r>
    </w:p>
    <w:p w14:paraId="19E2348D" w14:textId="30C20AC0" w:rsidR="00FD7E6F" w:rsidRDefault="006C3B05" w:rsidP="00F33C2F">
      <w:pPr>
        <w:rPr>
          <w:lang w:val="pt-BR"/>
        </w:rPr>
      </w:pPr>
      <w:r>
        <w:rPr>
          <w:lang w:val="pt-BR"/>
        </w:rPr>
        <w:t xml:space="preserve">Conforme </w:t>
      </w:r>
      <w:r w:rsidR="00FD7E6F">
        <w:rPr>
          <w:lang w:val="pt-BR"/>
        </w:rPr>
        <w:t>mencionado, na introdução do presente trabalho, a maioria dos municípios brasileiros se encontra na faixa de pequeno e médio porte, ou seja, até 500 mil h</w:t>
      </w:r>
      <w:bookmarkStart w:id="1" w:name="_GoBack"/>
      <w:bookmarkEnd w:id="1"/>
      <w:r w:rsidR="00FD7E6F">
        <w:rPr>
          <w:lang w:val="pt-BR"/>
        </w:rPr>
        <w:t>abitantes. Em termos de produção e crescimento econômico</w:t>
      </w:r>
      <w:r w:rsidR="0089609C">
        <w:rPr>
          <w:lang w:val="pt-BR"/>
        </w:rPr>
        <w:t>,</w:t>
      </w:r>
      <w:r w:rsidR="00FD7E6F">
        <w:rPr>
          <w:lang w:val="pt-BR"/>
        </w:rPr>
        <w:t xml:space="preserve"> o país sofreu uma queda nos últimos anos, principalmente no período pós</w:t>
      </w:r>
      <w:r w:rsidR="00FD7E6F" w:rsidRPr="00FD7E6F">
        <w:rPr>
          <w:color w:val="FF0000"/>
          <w:lang w:val="pt-BR"/>
        </w:rPr>
        <w:t xml:space="preserve"> </w:t>
      </w:r>
      <w:r w:rsidR="00FD7E6F" w:rsidRPr="00663164">
        <w:rPr>
          <w:lang w:val="pt-BR"/>
        </w:rPr>
        <w:t xml:space="preserve">2014, </w:t>
      </w:r>
      <w:r w:rsidR="00FD7E6F">
        <w:rPr>
          <w:lang w:val="pt-BR"/>
        </w:rPr>
        <w:t xml:space="preserve">devido </w:t>
      </w:r>
      <w:r w:rsidR="0089609C">
        <w:rPr>
          <w:lang w:val="pt-BR"/>
        </w:rPr>
        <w:t>à</w:t>
      </w:r>
      <w:r w:rsidR="00FD7E6F">
        <w:rPr>
          <w:lang w:val="pt-BR"/>
        </w:rPr>
        <w:t xml:space="preserve"> crise econômica e política. As perspectivas são de que o país voltará a crescer este ano, porém a passos ainda lentos.</w:t>
      </w:r>
    </w:p>
    <w:p w14:paraId="1FDDEA55" w14:textId="249586AE" w:rsidR="00F33C2F" w:rsidRDefault="00FD7E6F" w:rsidP="00F33C2F">
      <w:pPr>
        <w:rPr>
          <w:lang w:val="pt-BR"/>
        </w:rPr>
      </w:pPr>
      <w:r>
        <w:rPr>
          <w:lang w:val="pt-BR"/>
        </w:rPr>
        <w:t>Dentro do mesmo contexto, a situação fiscal e o acesso à financiamento desses municípios se encontram gravemente prejudicad</w:t>
      </w:r>
      <w:r w:rsidR="0089609C">
        <w:rPr>
          <w:lang w:val="pt-BR"/>
        </w:rPr>
        <w:t>o</w:t>
      </w:r>
      <w:r>
        <w:rPr>
          <w:lang w:val="pt-BR"/>
        </w:rPr>
        <w:t>s, considerando que dependem basicamente de transferências de outra</w:t>
      </w:r>
      <w:r w:rsidR="00953DC0">
        <w:rPr>
          <w:lang w:val="pt-BR"/>
        </w:rPr>
        <w:t>s</w:t>
      </w:r>
      <w:r>
        <w:rPr>
          <w:lang w:val="pt-BR"/>
        </w:rPr>
        <w:t xml:space="preserve"> esferas</w:t>
      </w:r>
      <w:r w:rsidR="00953DC0">
        <w:rPr>
          <w:lang w:val="pt-BR"/>
        </w:rPr>
        <w:t xml:space="preserve"> de governo</w:t>
      </w:r>
      <w:r w:rsidR="004E04F7">
        <w:rPr>
          <w:lang w:val="pt-BR"/>
        </w:rPr>
        <w:t xml:space="preserve"> e da contração de empréstimos</w:t>
      </w:r>
      <w:r w:rsidR="00953DC0">
        <w:rPr>
          <w:lang w:val="pt-BR"/>
        </w:rPr>
        <w:t>. A diminuição d</w:t>
      </w:r>
      <w:r w:rsidR="004E04F7">
        <w:rPr>
          <w:lang w:val="pt-BR"/>
        </w:rPr>
        <w:t>os repasses estaduais e federais</w:t>
      </w:r>
      <w:r w:rsidR="00953DC0">
        <w:rPr>
          <w:lang w:val="pt-BR"/>
        </w:rPr>
        <w:t xml:space="preserve"> nos últimos anos</w:t>
      </w:r>
      <w:r w:rsidR="004E04F7">
        <w:rPr>
          <w:lang w:val="pt-BR"/>
        </w:rPr>
        <w:t xml:space="preserve"> somada à baixa receita própria</w:t>
      </w:r>
      <w:r w:rsidR="00953DC0">
        <w:rPr>
          <w:lang w:val="pt-BR"/>
        </w:rPr>
        <w:t xml:space="preserve"> </w:t>
      </w:r>
      <w:r w:rsidR="004E04F7">
        <w:rPr>
          <w:lang w:val="pt-BR"/>
        </w:rPr>
        <w:t xml:space="preserve">deixou as prefeituras em uma difícil situação para honrar com suas despesas. A principal consequência </w:t>
      </w:r>
      <w:r w:rsidR="004E04F7">
        <w:rPr>
          <w:lang w:val="pt-BR"/>
        </w:rPr>
        <w:lastRenderedPageBreak/>
        <w:t xml:space="preserve">foi a baixa no nível de investimentos em infraestruturas e fornecimento de serviços para população. </w:t>
      </w:r>
    </w:p>
    <w:p w14:paraId="7931DCB0" w14:textId="52346741" w:rsidR="004E04F7" w:rsidRDefault="004E04F7" w:rsidP="00F33C2F">
      <w:pPr>
        <w:rPr>
          <w:lang w:val="pt-BR"/>
        </w:rPr>
      </w:pPr>
      <w:r>
        <w:rPr>
          <w:lang w:val="pt-BR"/>
        </w:rPr>
        <w:t xml:space="preserve">Por fim, diante </w:t>
      </w:r>
      <w:r w:rsidR="00F4639A">
        <w:rPr>
          <w:lang w:val="pt-BR"/>
        </w:rPr>
        <w:t xml:space="preserve">do grande fardo de responsabilidades carregado pelos governos locais no Brasil, </w:t>
      </w:r>
      <w:r w:rsidR="003B024E">
        <w:rPr>
          <w:lang w:val="pt-BR"/>
        </w:rPr>
        <w:t xml:space="preserve">a </w:t>
      </w:r>
      <w:r w:rsidR="00F4639A">
        <w:rPr>
          <w:lang w:val="pt-BR"/>
        </w:rPr>
        <w:t xml:space="preserve">gestão desses entes da federação necessita reforço. A baixa capacidade das prefeituras, especialmente dos municípios de menor porte, prejudica a eficiência do uso dos escassos recursos </w:t>
      </w:r>
      <w:r w:rsidR="00B80DB7">
        <w:rPr>
          <w:lang w:val="pt-BR"/>
        </w:rPr>
        <w:t xml:space="preserve">disponíveis. </w:t>
      </w:r>
      <w:r w:rsidR="004F2165">
        <w:rPr>
          <w:lang w:val="pt-BR"/>
        </w:rPr>
        <w:t>A inovação nesse setor é imprescindível para que se veja uma mudança na forma de gerir os recursos públicos na provisão de serviços de qualidade para a população.</w:t>
      </w:r>
    </w:p>
    <w:p w14:paraId="3759AAA9" w14:textId="5CCF72D2" w:rsidR="004F2165" w:rsidRPr="00F33C2F" w:rsidRDefault="00410D5A" w:rsidP="00F33C2F">
      <w:pPr>
        <w:rPr>
          <w:lang w:val="pt-BR"/>
        </w:rPr>
      </w:pPr>
      <w:r>
        <w:rPr>
          <w:lang w:val="pt-BR"/>
        </w:rPr>
        <w:t xml:space="preserve">Para concluir, a situação atual dos municípios </w:t>
      </w:r>
      <w:r w:rsidR="00756BA2">
        <w:rPr>
          <w:lang w:val="pt-BR"/>
        </w:rPr>
        <w:t xml:space="preserve">de </w:t>
      </w:r>
      <w:r>
        <w:rPr>
          <w:lang w:val="pt-BR"/>
        </w:rPr>
        <w:t xml:space="preserve">até 500 mil habitantes no Brasil demonstra </w:t>
      </w:r>
      <w:r w:rsidR="0089609C">
        <w:rPr>
          <w:lang w:val="pt-BR"/>
        </w:rPr>
        <w:t>a</w:t>
      </w:r>
      <w:r>
        <w:rPr>
          <w:lang w:val="pt-BR"/>
        </w:rPr>
        <w:t xml:space="preserve"> necessi</w:t>
      </w:r>
      <w:r w:rsidR="0089609C">
        <w:rPr>
          <w:lang w:val="pt-BR"/>
        </w:rPr>
        <w:t>dade</w:t>
      </w:r>
      <w:r>
        <w:rPr>
          <w:lang w:val="pt-BR"/>
        </w:rPr>
        <w:t xml:space="preserve"> de apoio </w:t>
      </w:r>
      <w:r w:rsidR="00756BA2">
        <w:rPr>
          <w:lang w:val="pt-BR"/>
        </w:rPr>
        <w:t>para uma melhor gestão das infraestruturas. Sem a facilitação no acesso a financiamentos</w:t>
      </w:r>
      <w:r w:rsidR="0089609C">
        <w:rPr>
          <w:lang w:val="pt-BR"/>
        </w:rPr>
        <w:t>,</w:t>
      </w:r>
      <w:r w:rsidR="00756BA2">
        <w:rPr>
          <w:lang w:val="pt-BR"/>
        </w:rPr>
        <w:t xml:space="preserve"> </w:t>
      </w:r>
      <w:r w:rsidR="00185280">
        <w:rPr>
          <w:lang w:val="pt-BR"/>
        </w:rPr>
        <w:t xml:space="preserve">o </w:t>
      </w:r>
      <w:r w:rsidR="00756BA2">
        <w:rPr>
          <w:lang w:val="pt-BR"/>
        </w:rPr>
        <w:t xml:space="preserve">auxílio na elaboração de projetos e </w:t>
      </w:r>
      <w:r w:rsidR="0089609C">
        <w:rPr>
          <w:lang w:val="pt-BR"/>
        </w:rPr>
        <w:t xml:space="preserve">a </w:t>
      </w:r>
      <w:r w:rsidR="00185280">
        <w:rPr>
          <w:lang w:val="pt-BR"/>
        </w:rPr>
        <w:t xml:space="preserve">melhoria nas </w:t>
      </w:r>
      <w:r w:rsidR="00756BA2">
        <w:rPr>
          <w:lang w:val="pt-BR"/>
        </w:rPr>
        <w:t>capacidade</w:t>
      </w:r>
      <w:r w:rsidR="00185280">
        <w:rPr>
          <w:lang w:val="pt-BR"/>
        </w:rPr>
        <w:t>s</w:t>
      </w:r>
      <w:r w:rsidR="00756BA2">
        <w:rPr>
          <w:lang w:val="pt-BR"/>
        </w:rPr>
        <w:t xml:space="preserve"> de gestão, a provisão de serviços</w:t>
      </w:r>
      <w:r w:rsidR="00185280">
        <w:rPr>
          <w:lang w:val="pt-BR"/>
        </w:rPr>
        <w:t xml:space="preserve"> para os cidadãos</w:t>
      </w:r>
      <w:r w:rsidR="00756BA2">
        <w:rPr>
          <w:lang w:val="pt-BR"/>
        </w:rPr>
        <w:t xml:space="preserve"> continuará </w:t>
      </w:r>
      <w:r w:rsidR="00185280">
        <w:rPr>
          <w:lang w:val="pt-BR"/>
        </w:rPr>
        <w:t xml:space="preserve">ineficiente. </w:t>
      </w:r>
      <w:r w:rsidR="0089609C">
        <w:rPr>
          <w:lang w:val="pt-BR"/>
        </w:rPr>
        <w:t xml:space="preserve">A retomada da produtividade e do crescimento econômico do país depende consideravelmente da recuperação dos níveis de investimento nos centros urbanos brasileiros.  </w:t>
      </w:r>
    </w:p>
    <w:sectPr w:rsidR="004F2165" w:rsidRPr="00F33C2F" w:rsidSect="009639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3CECE" w14:textId="77777777" w:rsidR="00907412" w:rsidRDefault="00907412" w:rsidP="002965EA">
      <w:pPr>
        <w:spacing w:after="0" w:line="240" w:lineRule="auto"/>
      </w:pPr>
      <w:r>
        <w:separator/>
      </w:r>
    </w:p>
  </w:endnote>
  <w:endnote w:type="continuationSeparator" w:id="0">
    <w:p w14:paraId="6160E47F" w14:textId="77777777" w:rsidR="00907412" w:rsidRDefault="00907412" w:rsidP="00296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LT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44BACA" w14:textId="77777777" w:rsidR="00907412" w:rsidRDefault="00907412" w:rsidP="002965EA">
      <w:pPr>
        <w:spacing w:after="0" w:line="240" w:lineRule="auto"/>
      </w:pPr>
      <w:r>
        <w:separator/>
      </w:r>
    </w:p>
  </w:footnote>
  <w:footnote w:type="continuationSeparator" w:id="0">
    <w:p w14:paraId="6E4044CB" w14:textId="77777777" w:rsidR="00907412" w:rsidRDefault="00907412" w:rsidP="002965EA">
      <w:pPr>
        <w:spacing w:after="0" w:line="240" w:lineRule="auto"/>
      </w:pPr>
      <w:r>
        <w:continuationSeparator/>
      </w:r>
    </w:p>
  </w:footnote>
  <w:footnote w:id="1">
    <w:p w14:paraId="4468F09F" w14:textId="4847E200" w:rsidR="00E53867" w:rsidRPr="002965EA" w:rsidRDefault="00E53867" w:rsidP="00E53867">
      <w:pPr>
        <w:pStyle w:val="Textodenotaderodap"/>
        <w:rPr>
          <w:color w:val="FF0000"/>
          <w:lang w:val="pt-BR"/>
        </w:rPr>
      </w:pPr>
      <w:r>
        <w:rPr>
          <w:rStyle w:val="Refdenotaderodap"/>
        </w:rPr>
        <w:footnoteRef/>
      </w:r>
      <w:r w:rsidRPr="002965EA">
        <w:rPr>
          <w:lang w:val="pt-BR"/>
        </w:rPr>
        <w:t xml:space="preserve"> </w:t>
      </w:r>
      <w:bookmarkStart w:id="0" w:name="_Hlk510020511"/>
      <w:r w:rsidR="00F35474" w:rsidRPr="00F35474">
        <w:rPr>
          <w:lang w:val="pt-BR"/>
        </w:rPr>
        <w:t xml:space="preserve">Institut des Amériques, AFD – Agência Francesa de Desenvolvimento. </w:t>
      </w:r>
      <w:r w:rsidRPr="00F35474">
        <w:rPr>
          <w:lang w:val="pt-BR"/>
        </w:rPr>
        <w:t>Os desafios do desenvolvimento na América Latina</w:t>
      </w:r>
      <w:r w:rsidR="00294056" w:rsidRPr="00F35474">
        <w:rPr>
          <w:lang w:val="pt-BR"/>
        </w:rPr>
        <w:t xml:space="preserve">. </w:t>
      </w:r>
      <w:r w:rsidR="00F35474" w:rsidRPr="00F35474">
        <w:rPr>
          <w:lang w:val="pt-BR"/>
        </w:rPr>
        <w:t xml:space="preserve">A Savoir: </w:t>
      </w:r>
      <w:r w:rsidRPr="00F35474">
        <w:rPr>
          <w:lang w:val="pt-BR"/>
        </w:rPr>
        <w:t>2014.</w:t>
      </w:r>
      <w:bookmarkEnd w:id="0"/>
    </w:p>
  </w:footnote>
  <w:footnote w:id="2">
    <w:p w14:paraId="08E3E7F2" w14:textId="77777777" w:rsidR="00E53867" w:rsidRPr="00A76CF3" w:rsidRDefault="00E53867" w:rsidP="00E53867">
      <w:pPr>
        <w:pStyle w:val="Textodenotaderodap"/>
        <w:rPr>
          <w:lang w:val="pt-BR"/>
        </w:rPr>
      </w:pPr>
      <w:r>
        <w:rPr>
          <w:rStyle w:val="Refdenotaderodap"/>
        </w:rPr>
        <w:footnoteRef/>
      </w:r>
      <w:r w:rsidRPr="00D725F1">
        <w:rPr>
          <w:lang w:val="pt-BR"/>
        </w:rPr>
        <w:t xml:space="preserve"> </w:t>
      </w:r>
      <w:r>
        <w:rPr>
          <w:lang w:val="pt-BR"/>
        </w:rPr>
        <w:t>Ibid.</w:t>
      </w:r>
    </w:p>
  </w:footnote>
  <w:footnote w:id="3">
    <w:p w14:paraId="0B979F20" w14:textId="47ED1EE4" w:rsidR="0013561E" w:rsidRPr="00B323EA" w:rsidRDefault="00E53867" w:rsidP="00E53867">
      <w:pPr>
        <w:pStyle w:val="Textodenotaderodap"/>
      </w:pPr>
      <w:r>
        <w:rPr>
          <w:rStyle w:val="Refdenotaderodap"/>
        </w:rPr>
        <w:footnoteRef/>
      </w:r>
      <w:r w:rsidRPr="002326E4">
        <w:rPr>
          <w:lang w:val="pt-BR"/>
        </w:rPr>
        <w:t xml:space="preserve"> </w:t>
      </w:r>
      <w:r w:rsidR="0013561E">
        <w:rPr>
          <w:lang w:val="pt-BR"/>
        </w:rPr>
        <w:t>IPEA</w:t>
      </w:r>
      <w:r w:rsidRPr="00F35474">
        <w:rPr>
          <w:lang w:val="pt-BR"/>
        </w:rPr>
        <w:t>. Reflexões sobre investimentos em infraestrutura de transporte no Brasil</w:t>
      </w:r>
      <w:r w:rsidR="00F35474" w:rsidRPr="00F35474">
        <w:rPr>
          <w:lang w:val="pt-BR"/>
        </w:rPr>
        <w:t xml:space="preserve">. </w:t>
      </w:r>
      <w:r w:rsidRPr="00F35474">
        <w:rPr>
          <w:lang w:val="pt-BR"/>
        </w:rPr>
        <w:t>2016.</w:t>
      </w:r>
      <w:r w:rsidR="0013561E">
        <w:rPr>
          <w:lang w:val="pt-BR"/>
        </w:rPr>
        <w:t xml:space="preserve"> </w:t>
      </w:r>
      <w:hyperlink r:id="rId1" w:history="1">
        <w:r w:rsidR="0013561E" w:rsidRPr="00B323EA">
          <w:rPr>
            <w:rStyle w:val="Hyperlink"/>
          </w:rPr>
          <w:t>http://ipea.gov.br/agencia/images/stories/PDFs/radar/161110_radar_47.pdf</w:t>
        </w:r>
      </w:hyperlink>
      <w:r w:rsidR="0013561E" w:rsidRPr="00B323EA">
        <w:t xml:space="preserve">  </w:t>
      </w:r>
    </w:p>
  </w:footnote>
  <w:footnote w:id="4">
    <w:p w14:paraId="71329FA2" w14:textId="2E94E14B" w:rsidR="0013561E" w:rsidRPr="009234E6" w:rsidRDefault="00E53867" w:rsidP="00E53867">
      <w:pPr>
        <w:pStyle w:val="Textodenotaderodap"/>
      </w:pPr>
      <w:r w:rsidRPr="00F35474">
        <w:rPr>
          <w:rStyle w:val="Refdenotaderodap"/>
        </w:rPr>
        <w:footnoteRef/>
      </w:r>
      <w:r w:rsidRPr="00F35474">
        <w:rPr>
          <w:lang w:val="pt-BR"/>
        </w:rPr>
        <w:t xml:space="preserve"> </w:t>
      </w:r>
      <w:r w:rsidR="00F35474" w:rsidRPr="00F35474">
        <w:rPr>
          <w:lang w:val="pt-BR"/>
        </w:rPr>
        <w:t xml:space="preserve">IPEA. </w:t>
      </w:r>
      <w:r w:rsidRPr="00F35474">
        <w:rPr>
          <w:lang w:val="pt-BR"/>
        </w:rPr>
        <w:t>Investimento Público no Brasil: trajetória e relações com o regime fiscal</w:t>
      </w:r>
      <w:r w:rsidR="00F35474" w:rsidRPr="00F35474">
        <w:rPr>
          <w:lang w:val="pt-BR"/>
        </w:rPr>
        <w:t xml:space="preserve">. </w:t>
      </w:r>
      <w:r w:rsidRPr="009234E6">
        <w:t>2016.</w:t>
      </w:r>
      <w:r w:rsidR="0013561E" w:rsidRPr="009234E6">
        <w:t xml:space="preserve"> </w:t>
      </w:r>
      <w:hyperlink r:id="rId2" w:history="1">
        <w:r w:rsidR="0013561E" w:rsidRPr="009234E6">
          <w:rPr>
            <w:rStyle w:val="Hyperlink"/>
          </w:rPr>
          <w:t>http://repositorio.ipea.gov.br/bitstream/11058/6873/1/TD_2215.PDF</w:t>
        </w:r>
      </w:hyperlink>
      <w:r w:rsidR="0013561E" w:rsidRPr="009234E6">
        <w:t xml:space="preserve">  </w:t>
      </w:r>
    </w:p>
  </w:footnote>
  <w:footnote w:id="5">
    <w:p w14:paraId="2CD21B97" w14:textId="4A710071" w:rsidR="00E53867" w:rsidRPr="00F35474" w:rsidRDefault="00E53867" w:rsidP="00E53867">
      <w:pPr>
        <w:pStyle w:val="Textodenotaderodap"/>
        <w:rPr>
          <w:color w:val="FF0000"/>
          <w:lang w:val="pt-BR"/>
        </w:rPr>
      </w:pPr>
      <w:r>
        <w:rPr>
          <w:rStyle w:val="Refdenotaderodap"/>
        </w:rPr>
        <w:footnoteRef/>
      </w:r>
      <w:r w:rsidRPr="009234E6">
        <w:t xml:space="preserve"> </w:t>
      </w:r>
      <w:r w:rsidR="00F35474" w:rsidRPr="009234E6">
        <w:t xml:space="preserve">Credit Suisse. </w:t>
      </w:r>
      <w:r w:rsidRPr="00F35474">
        <w:rPr>
          <w:lang w:val="pt-BR"/>
        </w:rPr>
        <w:t>Brasil: Cenário melhor, mas ainda incerto para 2018 e 2019</w:t>
      </w:r>
      <w:r w:rsidR="00F35474" w:rsidRPr="00F35474">
        <w:rPr>
          <w:lang w:val="pt-BR"/>
        </w:rPr>
        <w:t xml:space="preserve">. </w:t>
      </w:r>
      <w:r w:rsidR="00705FFE">
        <w:rPr>
          <w:lang w:val="pt-BR"/>
        </w:rPr>
        <w:t xml:space="preserve">11 de dezembro de </w:t>
      </w:r>
      <w:r w:rsidRPr="00F35474">
        <w:rPr>
          <w:lang w:val="pt-BR"/>
        </w:rPr>
        <w:t>2017.</w:t>
      </w:r>
    </w:p>
  </w:footnote>
  <w:footnote w:id="6">
    <w:p w14:paraId="24E69671" w14:textId="6F319124" w:rsidR="00E53867" w:rsidRPr="00DC3948" w:rsidRDefault="00E53867" w:rsidP="00E53867">
      <w:pPr>
        <w:pStyle w:val="Textodenotaderodap"/>
        <w:rPr>
          <w:lang w:val="pt-BR"/>
        </w:rPr>
      </w:pPr>
      <w:r>
        <w:rPr>
          <w:rStyle w:val="Refdenotaderodap"/>
        </w:rPr>
        <w:footnoteRef/>
      </w:r>
      <w:r w:rsidRPr="00DC3948">
        <w:rPr>
          <w:lang w:val="pt-BR"/>
        </w:rPr>
        <w:t xml:space="preserve"> </w:t>
      </w:r>
      <w:r w:rsidR="00F35474" w:rsidRPr="00F35474">
        <w:rPr>
          <w:lang w:val="pt-BR"/>
        </w:rPr>
        <w:t>Institut des Amériques, AFD – Agência Francesa de Desenvolvimento. Os desafios do desenvolvimento na América Latina. A Savoir: 2014.</w:t>
      </w:r>
    </w:p>
  </w:footnote>
  <w:footnote w:id="7">
    <w:p w14:paraId="3D263C66" w14:textId="2B2C6238" w:rsidR="00E53867" w:rsidRPr="009234E6" w:rsidRDefault="00E53867" w:rsidP="0045010F">
      <w:pPr>
        <w:pStyle w:val="Textodenotaderodap"/>
        <w:jc w:val="left"/>
      </w:pPr>
      <w:r>
        <w:rPr>
          <w:rStyle w:val="Refdenotaderodap"/>
        </w:rPr>
        <w:footnoteRef/>
      </w:r>
      <w:r w:rsidRPr="00FA587D">
        <w:rPr>
          <w:lang w:val="pt-BR"/>
        </w:rPr>
        <w:t xml:space="preserve"> </w:t>
      </w:r>
      <w:r w:rsidRPr="00705FFE">
        <w:rPr>
          <w:lang w:val="pt-BR"/>
        </w:rPr>
        <w:t>O Estado das Cidades no Brasil: Relatório 2000-2009.</w:t>
      </w:r>
      <w:r w:rsidR="0045010F">
        <w:rPr>
          <w:lang w:val="pt-BR"/>
        </w:rPr>
        <w:t xml:space="preserve"> </w:t>
      </w:r>
      <w:hyperlink r:id="rId3" w:history="1">
        <w:r w:rsidR="0045010F" w:rsidRPr="009234E6">
          <w:rPr>
            <w:rStyle w:val="Hyperlink"/>
          </w:rPr>
          <w:t>http://www.citiesalliance.org/sites/citiesalliance.org/files/Estado-das-cidades-Brasil-PR-web.pdf</w:t>
        </w:r>
      </w:hyperlink>
    </w:p>
  </w:footnote>
  <w:footnote w:id="8">
    <w:p w14:paraId="7EE7FC9A" w14:textId="77777777" w:rsidR="00E53867" w:rsidRPr="00DC5A6A" w:rsidRDefault="00E53867" w:rsidP="002C6B4D">
      <w:pPr>
        <w:pStyle w:val="Textodenotaderodap"/>
        <w:rPr>
          <w:lang w:val="pt-BR"/>
        </w:rPr>
      </w:pPr>
      <w:r>
        <w:rPr>
          <w:rStyle w:val="Refdenotaderodap"/>
        </w:rPr>
        <w:footnoteRef/>
      </w:r>
      <w:r w:rsidRPr="00DC5A6A">
        <w:rPr>
          <w:lang w:val="pt-BR"/>
        </w:rPr>
        <w:t xml:space="preserve"> </w:t>
      </w:r>
      <w:r>
        <w:rPr>
          <w:lang w:val="pt-BR"/>
        </w:rPr>
        <w:t>Ibid.</w:t>
      </w:r>
    </w:p>
  </w:footnote>
  <w:footnote w:id="9">
    <w:p w14:paraId="24D2A133" w14:textId="2AA09A52" w:rsidR="00E53867" w:rsidRPr="00B323EA" w:rsidRDefault="00E53867" w:rsidP="002C6B4D">
      <w:pPr>
        <w:autoSpaceDE w:val="0"/>
        <w:autoSpaceDN w:val="0"/>
        <w:adjustRightInd w:val="0"/>
        <w:spacing w:after="0" w:line="240" w:lineRule="auto"/>
      </w:pPr>
      <w:r>
        <w:rPr>
          <w:rStyle w:val="Refdenotaderodap"/>
        </w:rPr>
        <w:footnoteRef/>
      </w:r>
      <w:r w:rsidRPr="00B35AA3">
        <w:rPr>
          <w:lang w:val="pt-BR"/>
        </w:rPr>
        <w:t xml:space="preserve"> </w:t>
      </w:r>
      <w:r w:rsidR="00705FFE" w:rsidRPr="00705FFE">
        <w:rPr>
          <w:rFonts w:cstheme="minorHAnsi"/>
          <w:iCs/>
          <w:sz w:val="20"/>
          <w:szCs w:val="20"/>
          <w:lang w:val="pt-BR"/>
        </w:rPr>
        <w:t xml:space="preserve">FNP </w:t>
      </w:r>
      <w:r w:rsidR="00705FFE">
        <w:rPr>
          <w:rFonts w:cstheme="minorHAnsi"/>
          <w:iCs/>
          <w:sz w:val="20"/>
          <w:szCs w:val="20"/>
          <w:lang w:val="pt-BR"/>
        </w:rPr>
        <w:t>–</w:t>
      </w:r>
      <w:r w:rsidR="00705FFE" w:rsidRPr="00705FFE">
        <w:rPr>
          <w:rFonts w:cstheme="minorHAnsi"/>
          <w:iCs/>
          <w:sz w:val="20"/>
          <w:szCs w:val="20"/>
          <w:lang w:val="pt-BR"/>
        </w:rPr>
        <w:t xml:space="preserve"> Fre</w:t>
      </w:r>
      <w:r w:rsidR="00705FFE">
        <w:rPr>
          <w:rFonts w:cstheme="minorHAnsi"/>
          <w:iCs/>
          <w:sz w:val="20"/>
          <w:szCs w:val="20"/>
          <w:lang w:val="pt-BR"/>
        </w:rPr>
        <w:t>nte Nacional d</w:t>
      </w:r>
      <w:r w:rsidR="002C6B4D">
        <w:rPr>
          <w:rFonts w:cstheme="minorHAnsi"/>
          <w:iCs/>
          <w:sz w:val="20"/>
          <w:szCs w:val="20"/>
          <w:lang w:val="pt-BR"/>
        </w:rPr>
        <w:t>e</w:t>
      </w:r>
      <w:r w:rsidR="00705FFE">
        <w:rPr>
          <w:rFonts w:cstheme="minorHAnsi"/>
          <w:iCs/>
          <w:sz w:val="20"/>
          <w:szCs w:val="20"/>
          <w:lang w:val="pt-BR"/>
        </w:rPr>
        <w:t xml:space="preserve"> Prefeitos. </w:t>
      </w:r>
      <w:r w:rsidRPr="00705FFE">
        <w:rPr>
          <w:rFonts w:cstheme="minorHAnsi"/>
          <w:iCs/>
          <w:sz w:val="20"/>
          <w:szCs w:val="20"/>
          <w:lang w:val="pt-BR"/>
        </w:rPr>
        <w:t>Multi Cidades: Finanças dos Municípios do Brasil</w:t>
      </w:r>
      <w:r w:rsidR="00705FFE">
        <w:rPr>
          <w:rFonts w:cstheme="minorHAnsi"/>
          <w:iCs/>
          <w:sz w:val="20"/>
          <w:szCs w:val="20"/>
          <w:lang w:val="pt-BR"/>
        </w:rPr>
        <w:t>.</w:t>
      </w:r>
      <w:r w:rsidR="002C6B4D">
        <w:rPr>
          <w:rFonts w:cstheme="minorHAnsi"/>
          <w:iCs/>
          <w:sz w:val="20"/>
          <w:szCs w:val="20"/>
          <w:lang w:val="pt-BR"/>
        </w:rPr>
        <w:t xml:space="preserve"> </w:t>
      </w:r>
      <w:r w:rsidR="002C6B4D" w:rsidRPr="00705FFE">
        <w:rPr>
          <w:rFonts w:cstheme="minorHAnsi"/>
          <w:iCs/>
          <w:sz w:val="20"/>
          <w:szCs w:val="20"/>
          <w:lang w:val="pt-BR"/>
        </w:rPr>
        <w:t>2018.</w:t>
      </w:r>
      <w:r w:rsidR="002C6B4D">
        <w:rPr>
          <w:rFonts w:cstheme="minorHAnsi"/>
          <w:iCs/>
          <w:sz w:val="20"/>
          <w:szCs w:val="20"/>
          <w:lang w:val="pt-BR"/>
        </w:rPr>
        <w:t xml:space="preserve"> </w:t>
      </w:r>
      <w:r w:rsidR="00705FFE">
        <w:rPr>
          <w:rFonts w:cstheme="minorHAnsi"/>
          <w:iCs/>
          <w:sz w:val="20"/>
          <w:szCs w:val="20"/>
          <w:lang w:val="pt-BR"/>
        </w:rPr>
        <w:t xml:space="preserve"> </w:t>
      </w:r>
      <w:hyperlink r:id="rId4" w:history="1">
        <w:r w:rsidR="002C6B4D" w:rsidRPr="00B323EA">
          <w:rPr>
            <w:rStyle w:val="Hyperlink"/>
            <w:rFonts w:cstheme="minorHAnsi"/>
            <w:iCs/>
            <w:sz w:val="20"/>
            <w:szCs w:val="20"/>
          </w:rPr>
          <w:t>http://multimidia.fnp.org.br/biblioteca/publicacoes/item/683-multi-cidades-ano-13-2018</w:t>
        </w:r>
      </w:hyperlink>
    </w:p>
  </w:footnote>
  <w:footnote w:id="10">
    <w:p w14:paraId="3F7EE1BE" w14:textId="77777777" w:rsidR="00E53867" w:rsidRPr="00B4539C" w:rsidRDefault="00E53867" w:rsidP="002C6B4D">
      <w:pPr>
        <w:autoSpaceDE w:val="0"/>
        <w:autoSpaceDN w:val="0"/>
        <w:adjustRightInd w:val="0"/>
        <w:spacing w:after="0" w:line="240" w:lineRule="auto"/>
        <w:rPr>
          <w:lang w:val="pt-BR"/>
        </w:rPr>
      </w:pPr>
      <w:r>
        <w:rPr>
          <w:rStyle w:val="Refdenotaderodap"/>
        </w:rPr>
        <w:footnoteRef/>
      </w:r>
      <w:r w:rsidRPr="00B4539C">
        <w:rPr>
          <w:lang w:val="pt-BR"/>
        </w:rPr>
        <w:t xml:space="preserve"> </w:t>
      </w:r>
      <w:r w:rsidRPr="00B4539C">
        <w:rPr>
          <w:rFonts w:cstheme="minorHAnsi"/>
          <w:iCs/>
          <w:sz w:val="20"/>
          <w:szCs w:val="20"/>
          <w:lang w:val="pt-BR"/>
        </w:rPr>
        <w:t>Receitas de capital são recursos provenientes de operações de crédito, alienações de bens e das transferências de capital recebidas dos demais níveis de governo e destinadas a financiar as despesas de capital, sendo aplicadas, normalmente, em investimentos</w:t>
      </w:r>
      <w:r>
        <w:rPr>
          <w:rFonts w:cstheme="minorHAnsi"/>
          <w:iCs/>
          <w:sz w:val="20"/>
          <w:szCs w:val="20"/>
          <w:lang w:val="pt-BR"/>
        </w:rPr>
        <w:t xml:space="preserve"> (FNP, 2018).</w:t>
      </w:r>
    </w:p>
  </w:footnote>
  <w:footnote w:id="11">
    <w:p w14:paraId="01A7030E" w14:textId="77777777" w:rsidR="00E53867" w:rsidRPr="00D80DC6" w:rsidRDefault="00E53867" w:rsidP="002C6B4D">
      <w:pPr>
        <w:pStyle w:val="Textodenotaderodap"/>
        <w:rPr>
          <w:lang w:val="pt-BR"/>
        </w:rPr>
      </w:pPr>
      <w:r>
        <w:rPr>
          <w:rStyle w:val="Refdenotaderodap"/>
        </w:rPr>
        <w:footnoteRef/>
      </w:r>
      <w:r w:rsidRPr="00D80DC6">
        <w:rPr>
          <w:lang w:val="pt-BR"/>
        </w:rPr>
        <w:t xml:space="preserve"> </w:t>
      </w:r>
      <w:r>
        <w:rPr>
          <w:lang w:val="pt-BR"/>
        </w:rPr>
        <w:t>Ibid.</w:t>
      </w:r>
    </w:p>
  </w:footnote>
  <w:footnote w:id="12">
    <w:p w14:paraId="7F2CD911" w14:textId="1C313097" w:rsidR="00E53867" w:rsidRPr="00EF186F" w:rsidRDefault="00E53867" w:rsidP="002C6B4D">
      <w:pPr>
        <w:pStyle w:val="Textodenotaderodap"/>
        <w:rPr>
          <w:lang w:val="pt-BR"/>
        </w:rPr>
      </w:pPr>
      <w:r>
        <w:rPr>
          <w:rStyle w:val="Refdenotaderodap"/>
        </w:rPr>
        <w:footnoteRef/>
      </w:r>
      <w:r w:rsidRPr="00EF186F">
        <w:rPr>
          <w:lang w:val="pt-BR"/>
        </w:rPr>
        <w:t xml:space="preserve"> </w:t>
      </w:r>
      <w:r w:rsidRPr="00705FFE">
        <w:rPr>
          <w:lang w:val="pt-BR"/>
        </w:rPr>
        <w:t>IFGF 2017: Índice FIRJAN de Gestão Fiscal</w:t>
      </w:r>
      <w:r w:rsidR="00705FFE">
        <w:rPr>
          <w:lang w:val="pt-BR"/>
        </w:rPr>
        <w:t>.</w:t>
      </w:r>
      <w:r w:rsidRPr="00705FFE">
        <w:rPr>
          <w:lang w:val="pt-BR"/>
        </w:rPr>
        <w:t xml:space="preserve"> </w:t>
      </w:r>
      <w:hyperlink r:id="rId5" w:history="1">
        <w:r w:rsidR="00705FFE" w:rsidRPr="001033C0">
          <w:rPr>
            <w:rStyle w:val="Hyperlink"/>
            <w:lang w:val="pt-BR"/>
          </w:rPr>
          <w:t>http://publicacoes.firjan.org.br/ifgf/2017/files/assets/basic-html/page-22.html</w:t>
        </w:r>
      </w:hyperlink>
    </w:p>
  </w:footnote>
  <w:footnote w:id="13">
    <w:p w14:paraId="76906F17" w14:textId="679AA07F" w:rsidR="00E53867" w:rsidRPr="00B323EA" w:rsidRDefault="00E53867" w:rsidP="0013561E">
      <w:pPr>
        <w:autoSpaceDE w:val="0"/>
        <w:autoSpaceDN w:val="0"/>
        <w:adjustRightInd w:val="0"/>
        <w:spacing w:after="0" w:line="240" w:lineRule="auto"/>
      </w:pPr>
      <w:r>
        <w:rPr>
          <w:rStyle w:val="Refdenotaderodap"/>
        </w:rPr>
        <w:footnoteRef/>
      </w:r>
      <w:r w:rsidRPr="009656B0">
        <w:rPr>
          <w:lang w:val="pt-BR"/>
        </w:rPr>
        <w:t xml:space="preserve"> </w:t>
      </w:r>
      <w:r w:rsidR="00705FFE" w:rsidRPr="00705FFE">
        <w:rPr>
          <w:rFonts w:cstheme="minorHAnsi"/>
          <w:iCs/>
          <w:sz w:val="20"/>
          <w:szCs w:val="20"/>
          <w:lang w:val="pt-BR"/>
        </w:rPr>
        <w:t xml:space="preserve">FNP </w:t>
      </w:r>
      <w:r w:rsidR="00705FFE">
        <w:rPr>
          <w:rFonts w:cstheme="minorHAnsi"/>
          <w:iCs/>
          <w:sz w:val="20"/>
          <w:szCs w:val="20"/>
          <w:lang w:val="pt-BR"/>
        </w:rPr>
        <w:t>–</w:t>
      </w:r>
      <w:r w:rsidR="00705FFE" w:rsidRPr="00705FFE">
        <w:rPr>
          <w:rFonts w:cstheme="minorHAnsi"/>
          <w:iCs/>
          <w:sz w:val="20"/>
          <w:szCs w:val="20"/>
          <w:lang w:val="pt-BR"/>
        </w:rPr>
        <w:t xml:space="preserve"> Fre</w:t>
      </w:r>
      <w:r w:rsidR="00705FFE">
        <w:rPr>
          <w:rFonts w:cstheme="minorHAnsi"/>
          <w:iCs/>
          <w:sz w:val="20"/>
          <w:szCs w:val="20"/>
          <w:lang w:val="pt-BR"/>
        </w:rPr>
        <w:t xml:space="preserve">nte Nacional dos Prefeitos. </w:t>
      </w:r>
      <w:r w:rsidR="00705FFE" w:rsidRPr="00705FFE">
        <w:rPr>
          <w:rFonts w:cstheme="minorHAnsi"/>
          <w:iCs/>
          <w:sz w:val="20"/>
          <w:szCs w:val="20"/>
          <w:lang w:val="pt-BR"/>
        </w:rPr>
        <w:t>Multi Cidades: Finanças dos Municípios do Brasil</w:t>
      </w:r>
      <w:r w:rsidR="00705FFE">
        <w:rPr>
          <w:rFonts w:cstheme="minorHAnsi"/>
          <w:iCs/>
          <w:sz w:val="20"/>
          <w:szCs w:val="20"/>
          <w:lang w:val="pt-BR"/>
        </w:rPr>
        <w:t xml:space="preserve">. </w:t>
      </w:r>
      <w:r w:rsidR="00705FFE" w:rsidRPr="00705FFE">
        <w:rPr>
          <w:rFonts w:cstheme="minorHAnsi"/>
          <w:iCs/>
          <w:sz w:val="20"/>
          <w:szCs w:val="20"/>
          <w:lang w:val="pt-BR"/>
        </w:rPr>
        <w:t>2018.</w:t>
      </w:r>
      <w:r w:rsidR="002C6B4D">
        <w:rPr>
          <w:rFonts w:cstheme="minorHAnsi"/>
          <w:iCs/>
          <w:sz w:val="20"/>
          <w:szCs w:val="20"/>
          <w:lang w:val="pt-BR"/>
        </w:rPr>
        <w:t xml:space="preserve"> </w:t>
      </w:r>
      <w:hyperlink r:id="rId6" w:history="1">
        <w:r w:rsidR="002C6B4D" w:rsidRPr="00B323EA">
          <w:rPr>
            <w:rStyle w:val="Hyperlink"/>
            <w:rFonts w:cstheme="minorHAnsi"/>
            <w:iCs/>
            <w:sz w:val="20"/>
            <w:szCs w:val="20"/>
          </w:rPr>
          <w:t>http://multimidia.fnp.org.br/biblioteca/publicacoes/item/683-multi-cidades-ano-13-2018</w:t>
        </w:r>
      </w:hyperlink>
      <w:r w:rsidR="0013561E" w:rsidRPr="00B323EA">
        <w:rPr>
          <w:rFonts w:cstheme="minorHAnsi"/>
          <w:iCs/>
          <w:sz w:val="20"/>
          <w:szCs w:val="20"/>
        </w:rPr>
        <w:t xml:space="preserve">  </w:t>
      </w:r>
    </w:p>
  </w:footnote>
  <w:footnote w:id="14">
    <w:p w14:paraId="1E02ABC9" w14:textId="7573F4D3" w:rsidR="00E53867" w:rsidRPr="00B323EA" w:rsidRDefault="00E53867" w:rsidP="00E53867">
      <w:pPr>
        <w:autoSpaceDE w:val="0"/>
        <w:autoSpaceDN w:val="0"/>
        <w:adjustRightInd w:val="0"/>
        <w:spacing w:after="0" w:line="240" w:lineRule="auto"/>
      </w:pPr>
      <w:r>
        <w:rPr>
          <w:rStyle w:val="Refdenotaderodap"/>
        </w:rPr>
        <w:footnoteRef/>
      </w:r>
      <w:r w:rsidRPr="00B323EA">
        <w:t xml:space="preserve"> </w:t>
      </w:r>
      <w:r w:rsidRPr="00B323EA">
        <w:rPr>
          <w:sz w:val="20"/>
          <w:szCs w:val="20"/>
        </w:rPr>
        <w:t>IFGF 2017: Índice FIRJAN de Gestão Fiscal</w:t>
      </w:r>
      <w:r w:rsidR="00705FFE" w:rsidRPr="00B323EA">
        <w:rPr>
          <w:sz w:val="20"/>
          <w:szCs w:val="20"/>
        </w:rPr>
        <w:t>.</w:t>
      </w:r>
      <w:r w:rsidRPr="00B323EA">
        <w:rPr>
          <w:sz w:val="20"/>
          <w:szCs w:val="20"/>
        </w:rPr>
        <w:t xml:space="preserve"> </w:t>
      </w:r>
      <w:hyperlink r:id="rId7" w:history="1">
        <w:r w:rsidR="00705FFE" w:rsidRPr="00B323EA">
          <w:rPr>
            <w:rStyle w:val="Hyperlink"/>
            <w:sz w:val="20"/>
            <w:szCs w:val="20"/>
          </w:rPr>
          <w:t>http://publicacoes.firjan.org.br/ifgf/2017/files/assets/basic-html/page-22.html</w:t>
        </w:r>
      </w:hyperlink>
    </w:p>
  </w:footnote>
  <w:footnote w:id="15">
    <w:p w14:paraId="71CBAEF6" w14:textId="5484C468" w:rsidR="00CE6D02" w:rsidRPr="00B323EA" w:rsidRDefault="00CE6D02">
      <w:pPr>
        <w:pStyle w:val="Textodenotaderodap"/>
      </w:pPr>
      <w:r>
        <w:rPr>
          <w:rStyle w:val="Refdenotaderodap"/>
        </w:rPr>
        <w:footnoteRef/>
      </w:r>
      <w:r w:rsidRPr="00B323EA">
        <w:t xml:space="preserve"> </w:t>
      </w:r>
      <w:hyperlink r:id="rId8" w:history="1">
        <w:r w:rsidRPr="00B323EA">
          <w:rPr>
            <w:rStyle w:val="Hyperlink"/>
          </w:rPr>
          <w:t>http://www.deepask.com/</w:t>
        </w:r>
      </w:hyperlink>
      <w:r w:rsidRPr="00B323EA">
        <w:t xml:space="preserve"> </w:t>
      </w:r>
    </w:p>
  </w:footnote>
  <w:footnote w:id="16">
    <w:p w14:paraId="6784FD2F" w14:textId="77777777" w:rsidR="00E53867" w:rsidRPr="00162922" w:rsidRDefault="00E53867" w:rsidP="00E53867">
      <w:pPr>
        <w:pStyle w:val="Textodenotaderodap"/>
        <w:rPr>
          <w:lang w:val="pt-BR"/>
        </w:rPr>
      </w:pPr>
      <w:r>
        <w:rPr>
          <w:rStyle w:val="Refdenotaderodap"/>
        </w:rPr>
        <w:footnoteRef/>
      </w:r>
      <w:r w:rsidRPr="00162922">
        <w:rPr>
          <w:lang w:val="pt-BR"/>
        </w:rPr>
        <w:t xml:space="preserve"> </w:t>
      </w:r>
      <w:r>
        <w:rPr>
          <w:lang w:val="pt-BR"/>
        </w:rPr>
        <w:t xml:space="preserve">O </w:t>
      </w:r>
      <w:r w:rsidRPr="00162922">
        <w:rPr>
          <w:lang w:val="pt-BR"/>
        </w:rPr>
        <w:t>Indicador de condições financeiras (ICF), reúne as seguintes variáveis financeiras: (i) risco país EMBI; (ii) Ibovespa; (iii) índice de preços de garantia de imóveis; (iv) volume de crédito bancário; (v) taxa de câmbio real efetiva; (vi) taxa de juros Selic; e (vii) taxa de juros dos empréstimos bancários</w:t>
      </w:r>
      <w:r>
        <w:rPr>
          <w:lang w:val="pt-BR"/>
        </w:rPr>
        <w:t xml:space="preserve"> (Credit Suisse, 2017).</w:t>
      </w:r>
    </w:p>
  </w:footnote>
  <w:footnote w:id="17">
    <w:p w14:paraId="51571E44" w14:textId="17194FF8" w:rsidR="009816F0" w:rsidRPr="009816F0" w:rsidRDefault="009816F0">
      <w:pPr>
        <w:pStyle w:val="Textodenotaderodap"/>
        <w:rPr>
          <w:lang w:val="pt-BR"/>
        </w:rPr>
      </w:pPr>
      <w:r>
        <w:rPr>
          <w:rStyle w:val="Refdenotaderodap"/>
        </w:rPr>
        <w:footnoteRef/>
      </w:r>
      <w:r w:rsidRPr="009816F0">
        <w:rPr>
          <w:lang w:val="pt-BR"/>
        </w:rPr>
        <w:t xml:space="preserve"> </w:t>
      </w:r>
      <w:r w:rsidR="00705FFE" w:rsidRPr="00F35474">
        <w:rPr>
          <w:lang w:val="pt-BR"/>
        </w:rPr>
        <w:t>Institut des Amériques, AFD – Agência Francesa de Desenvolvimento. Os desafios do desenvolvimento na América Latina. A Savoir: 2014.</w:t>
      </w:r>
    </w:p>
  </w:footnote>
  <w:footnote w:id="18">
    <w:p w14:paraId="296D109D" w14:textId="58231812" w:rsidR="0045010F" w:rsidRPr="0045010F" w:rsidRDefault="00A45005" w:rsidP="002C6B4D">
      <w:pPr>
        <w:pStyle w:val="Textodenotaderodap"/>
        <w:rPr>
          <w:color w:val="FF0000"/>
          <w:lang w:val="pt-BR"/>
        </w:rPr>
      </w:pPr>
      <w:r>
        <w:rPr>
          <w:rStyle w:val="Refdenotaderodap"/>
        </w:rPr>
        <w:footnoteRef/>
      </w:r>
      <w:r w:rsidRPr="00A45005">
        <w:rPr>
          <w:lang w:val="pt-BR"/>
        </w:rPr>
        <w:t xml:space="preserve"> </w:t>
      </w:r>
      <w:r w:rsidR="00705FFE" w:rsidRPr="00705FFE">
        <w:rPr>
          <w:lang w:val="pt-BR"/>
        </w:rPr>
        <w:t xml:space="preserve">IBGE. </w:t>
      </w:r>
      <w:r w:rsidRPr="00705FFE">
        <w:rPr>
          <w:lang w:val="pt-BR"/>
        </w:rPr>
        <w:t>Perfil dos Municípios Brasileiros 2015.</w:t>
      </w:r>
      <w:r>
        <w:rPr>
          <w:color w:val="FF0000"/>
          <w:lang w:val="pt-BR"/>
        </w:rPr>
        <w:t xml:space="preserve"> </w:t>
      </w:r>
    </w:p>
  </w:footnote>
  <w:footnote w:id="19">
    <w:p w14:paraId="21B66C84" w14:textId="24493F0C" w:rsidR="002C6B4D" w:rsidRPr="009234E6" w:rsidRDefault="00FB277B" w:rsidP="0045010F">
      <w:pPr>
        <w:pStyle w:val="Textodenotaderodap"/>
        <w:jc w:val="left"/>
      </w:pPr>
      <w:r>
        <w:rPr>
          <w:rStyle w:val="Refdenotaderodap"/>
        </w:rPr>
        <w:footnoteRef/>
      </w:r>
      <w:r w:rsidRPr="00FB277B">
        <w:rPr>
          <w:lang w:val="pt-BR"/>
        </w:rPr>
        <w:t xml:space="preserve"> </w:t>
      </w:r>
      <w:r w:rsidRPr="00705FFE">
        <w:rPr>
          <w:lang w:val="pt-BR"/>
        </w:rPr>
        <w:t>O Estado das Cidades no Brasil: Relatório 2000-2009.</w:t>
      </w:r>
      <w:r w:rsidR="002C6B4D">
        <w:rPr>
          <w:lang w:val="pt-BR"/>
        </w:rPr>
        <w:t xml:space="preserve"> </w:t>
      </w:r>
      <w:hyperlink r:id="rId9" w:history="1">
        <w:r w:rsidR="0045010F" w:rsidRPr="009234E6">
          <w:rPr>
            <w:rStyle w:val="Hyperlink"/>
          </w:rPr>
          <w:t>http://www.citiesalliance.org/sites/citiesalliance.org/files/Estado-das-cidades-Brasil-PR-web.pdf</w:t>
        </w:r>
      </w:hyperlink>
    </w:p>
    <w:p w14:paraId="2CAE12F4" w14:textId="77777777" w:rsidR="0045010F" w:rsidRPr="009234E6" w:rsidRDefault="0045010F">
      <w:pPr>
        <w:pStyle w:val="Textodenotaderodap"/>
      </w:pPr>
    </w:p>
  </w:footnote>
  <w:footnote w:id="20">
    <w:p w14:paraId="532323B9" w14:textId="264002B6" w:rsidR="000321AF" w:rsidRPr="000321AF" w:rsidRDefault="000321AF" w:rsidP="000321AF">
      <w:pPr>
        <w:pStyle w:val="Textodenotaderodap"/>
        <w:rPr>
          <w:lang w:val="pt-BR"/>
        </w:rPr>
      </w:pPr>
      <w:r>
        <w:rPr>
          <w:rStyle w:val="Refdenotaderodap"/>
        </w:rPr>
        <w:footnoteRef/>
      </w:r>
      <w:r w:rsidRPr="000321AF">
        <w:rPr>
          <w:lang w:val="pt-BR"/>
        </w:rPr>
        <w:t xml:space="preserve"> </w:t>
      </w:r>
      <w:r w:rsidR="00705FFE" w:rsidRPr="00F35474">
        <w:rPr>
          <w:lang w:val="pt-BR"/>
        </w:rPr>
        <w:t>Institut des Amériques, AFD – Agência Francesa de Desenvolvimento. Os desafios do desenvolvimento na América Latina. A Savoir: 2014.</w:t>
      </w:r>
    </w:p>
  </w:footnote>
  <w:footnote w:id="21">
    <w:p w14:paraId="49DC3259" w14:textId="77777777" w:rsidR="0045010F" w:rsidRPr="009234E6" w:rsidRDefault="001F4A2A" w:rsidP="0045010F">
      <w:pPr>
        <w:pStyle w:val="Textodenotaderodap"/>
        <w:jc w:val="left"/>
      </w:pPr>
      <w:r>
        <w:rPr>
          <w:rStyle w:val="Refdenotaderodap"/>
        </w:rPr>
        <w:footnoteRef/>
      </w:r>
      <w:r w:rsidRPr="001F4A2A">
        <w:rPr>
          <w:lang w:val="pt-BR"/>
        </w:rPr>
        <w:t xml:space="preserve"> </w:t>
      </w:r>
      <w:r w:rsidRPr="00705FFE">
        <w:rPr>
          <w:lang w:val="pt-BR"/>
        </w:rPr>
        <w:t>O Estado das Cidades no Brasil: Relatório 2000-2009.</w:t>
      </w:r>
      <w:r w:rsidR="0045010F">
        <w:rPr>
          <w:lang w:val="pt-BR"/>
        </w:rPr>
        <w:t xml:space="preserve"> </w:t>
      </w:r>
      <w:hyperlink r:id="rId10" w:history="1">
        <w:r w:rsidR="0045010F" w:rsidRPr="009234E6">
          <w:rPr>
            <w:rStyle w:val="Hyperlink"/>
          </w:rPr>
          <w:t>http://www.citiesalliance.org/sites/citiesalliance.org/files/Estado-das-cidades-Brasil-PR-web.pdf</w:t>
        </w:r>
      </w:hyperlink>
    </w:p>
    <w:p w14:paraId="061E41A8" w14:textId="37C2DE70" w:rsidR="001F4A2A" w:rsidRPr="009234E6" w:rsidRDefault="001F4A2A">
      <w:pPr>
        <w:pStyle w:val="Textodenotaderodap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2B39"/>
    <w:multiLevelType w:val="hybridMultilevel"/>
    <w:tmpl w:val="23A4D482"/>
    <w:lvl w:ilvl="0" w:tplc="CBE0DA8E">
      <w:start w:val="1"/>
      <w:numFmt w:val="decimal"/>
      <w:pStyle w:val="Ttulo2"/>
      <w:lvlText w:val="1.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C560D"/>
    <w:multiLevelType w:val="hybridMultilevel"/>
    <w:tmpl w:val="8AE2847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9D4ABD"/>
    <w:multiLevelType w:val="hybridMultilevel"/>
    <w:tmpl w:val="BB52C51E"/>
    <w:lvl w:ilvl="0" w:tplc="8342E3E8">
      <w:start w:val="1"/>
      <w:numFmt w:val="decimal"/>
      <w:pStyle w:val="Ttulo1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B28B8"/>
    <w:multiLevelType w:val="multilevel"/>
    <w:tmpl w:val="C63446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BF72E9D"/>
    <w:multiLevelType w:val="multilevel"/>
    <w:tmpl w:val="871239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397"/>
    <w:rsid w:val="000017CD"/>
    <w:rsid w:val="000163DA"/>
    <w:rsid w:val="000321AF"/>
    <w:rsid w:val="00051717"/>
    <w:rsid w:val="000570B5"/>
    <w:rsid w:val="00071784"/>
    <w:rsid w:val="00075D40"/>
    <w:rsid w:val="0009717F"/>
    <w:rsid w:val="000B79BF"/>
    <w:rsid w:val="000E3F9D"/>
    <w:rsid w:val="001147F8"/>
    <w:rsid w:val="00122A05"/>
    <w:rsid w:val="0013561E"/>
    <w:rsid w:val="00162922"/>
    <w:rsid w:val="00165872"/>
    <w:rsid w:val="00167DE9"/>
    <w:rsid w:val="0018094E"/>
    <w:rsid w:val="001830FE"/>
    <w:rsid w:val="00185280"/>
    <w:rsid w:val="001A7EF2"/>
    <w:rsid w:val="001F4A2A"/>
    <w:rsid w:val="00222B88"/>
    <w:rsid w:val="002326E4"/>
    <w:rsid w:val="00234526"/>
    <w:rsid w:val="00251511"/>
    <w:rsid w:val="00264161"/>
    <w:rsid w:val="0029009E"/>
    <w:rsid w:val="00294056"/>
    <w:rsid w:val="002965EA"/>
    <w:rsid w:val="002B2C99"/>
    <w:rsid w:val="002C6B4D"/>
    <w:rsid w:val="002C7F28"/>
    <w:rsid w:val="002E0FCD"/>
    <w:rsid w:val="002E18A4"/>
    <w:rsid w:val="002E4CA8"/>
    <w:rsid w:val="002E5CE2"/>
    <w:rsid w:val="002E7E9B"/>
    <w:rsid w:val="002F03E4"/>
    <w:rsid w:val="00300C0E"/>
    <w:rsid w:val="00313DC4"/>
    <w:rsid w:val="00327B5D"/>
    <w:rsid w:val="00351A10"/>
    <w:rsid w:val="00394906"/>
    <w:rsid w:val="003A7323"/>
    <w:rsid w:val="003B024E"/>
    <w:rsid w:val="003B0ED4"/>
    <w:rsid w:val="003C6B1E"/>
    <w:rsid w:val="003D2C0E"/>
    <w:rsid w:val="003E3C54"/>
    <w:rsid w:val="003E3F3D"/>
    <w:rsid w:val="00407E79"/>
    <w:rsid w:val="00410D5A"/>
    <w:rsid w:val="004246A7"/>
    <w:rsid w:val="0045010F"/>
    <w:rsid w:val="004D1714"/>
    <w:rsid w:val="004E04F7"/>
    <w:rsid w:val="004E1AF1"/>
    <w:rsid w:val="004E22CA"/>
    <w:rsid w:val="004E284F"/>
    <w:rsid w:val="004E50D5"/>
    <w:rsid w:val="004F2165"/>
    <w:rsid w:val="005179A9"/>
    <w:rsid w:val="005852C7"/>
    <w:rsid w:val="005C555E"/>
    <w:rsid w:val="0064674A"/>
    <w:rsid w:val="00663164"/>
    <w:rsid w:val="0066363E"/>
    <w:rsid w:val="00675353"/>
    <w:rsid w:val="00681A24"/>
    <w:rsid w:val="00697097"/>
    <w:rsid w:val="006A24CA"/>
    <w:rsid w:val="006C3B05"/>
    <w:rsid w:val="006D213B"/>
    <w:rsid w:val="006F18A4"/>
    <w:rsid w:val="00700140"/>
    <w:rsid w:val="00705E28"/>
    <w:rsid w:val="00705FFE"/>
    <w:rsid w:val="007134B4"/>
    <w:rsid w:val="00755282"/>
    <w:rsid w:val="00756BA2"/>
    <w:rsid w:val="007731C4"/>
    <w:rsid w:val="007B2BF5"/>
    <w:rsid w:val="00801ABB"/>
    <w:rsid w:val="0082131B"/>
    <w:rsid w:val="0082276D"/>
    <w:rsid w:val="00830584"/>
    <w:rsid w:val="00831884"/>
    <w:rsid w:val="00841124"/>
    <w:rsid w:val="00845E5E"/>
    <w:rsid w:val="008523F0"/>
    <w:rsid w:val="0085286A"/>
    <w:rsid w:val="00860B98"/>
    <w:rsid w:val="00870511"/>
    <w:rsid w:val="00895412"/>
    <w:rsid w:val="0089609C"/>
    <w:rsid w:val="008D5725"/>
    <w:rsid w:val="00907412"/>
    <w:rsid w:val="00921045"/>
    <w:rsid w:val="009234E6"/>
    <w:rsid w:val="00936191"/>
    <w:rsid w:val="0095370A"/>
    <w:rsid w:val="00953DC0"/>
    <w:rsid w:val="0096396D"/>
    <w:rsid w:val="009656B0"/>
    <w:rsid w:val="009816F0"/>
    <w:rsid w:val="00991CF4"/>
    <w:rsid w:val="009953AA"/>
    <w:rsid w:val="009B5577"/>
    <w:rsid w:val="009D3B4B"/>
    <w:rsid w:val="009D7C36"/>
    <w:rsid w:val="00A015D4"/>
    <w:rsid w:val="00A442D7"/>
    <w:rsid w:val="00A45005"/>
    <w:rsid w:val="00A76CF3"/>
    <w:rsid w:val="00AD3D42"/>
    <w:rsid w:val="00AF6868"/>
    <w:rsid w:val="00AF6A06"/>
    <w:rsid w:val="00B2229B"/>
    <w:rsid w:val="00B22625"/>
    <w:rsid w:val="00B24886"/>
    <w:rsid w:val="00B323EA"/>
    <w:rsid w:val="00B35AA3"/>
    <w:rsid w:val="00B4539C"/>
    <w:rsid w:val="00B5041F"/>
    <w:rsid w:val="00B5321F"/>
    <w:rsid w:val="00B61881"/>
    <w:rsid w:val="00B63CC8"/>
    <w:rsid w:val="00B80DB7"/>
    <w:rsid w:val="00B86ED1"/>
    <w:rsid w:val="00BA1194"/>
    <w:rsid w:val="00BC4A70"/>
    <w:rsid w:val="00BD797B"/>
    <w:rsid w:val="00C04B79"/>
    <w:rsid w:val="00C0521E"/>
    <w:rsid w:val="00C06E09"/>
    <w:rsid w:val="00C06EE4"/>
    <w:rsid w:val="00C12429"/>
    <w:rsid w:val="00C1543E"/>
    <w:rsid w:val="00C2067B"/>
    <w:rsid w:val="00C21146"/>
    <w:rsid w:val="00C4107A"/>
    <w:rsid w:val="00CB3200"/>
    <w:rsid w:val="00CD3B69"/>
    <w:rsid w:val="00CE64C7"/>
    <w:rsid w:val="00CE6D02"/>
    <w:rsid w:val="00CF3310"/>
    <w:rsid w:val="00CF45A2"/>
    <w:rsid w:val="00D004DC"/>
    <w:rsid w:val="00D725F1"/>
    <w:rsid w:val="00D80DC6"/>
    <w:rsid w:val="00D80DFC"/>
    <w:rsid w:val="00D84F29"/>
    <w:rsid w:val="00D97DAF"/>
    <w:rsid w:val="00DA0499"/>
    <w:rsid w:val="00DA40A4"/>
    <w:rsid w:val="00DC3948"/>
    <w:rsid w:val="00DC5A6A"/>
    <w:rsid w:val="00DD528A"/>
    <w:rsid w:val="00DE4885"/>
    <w:rsid w:val="00DE5A39"/>
    <w:rsid w:val="00DF7CDA"/>
    <w:rsid w:val="00E11E2E"/>
    <w:rsid w:val="00E20C3A"/>
    <w:rsid w:val="00E36812"/>
    <w:rsid w:val="00E37297"/>
    <w:rsid w:val="00E40A64"/>
    <w:rsid w:val="00E45F80"/>
    <w:rsid w:val="00E53867"/>
    <w:rsid w:val="00E63597"/>
    <w:rsid w:val="00E75118"/>
    <w:rsid w:val="00E91276"/>
    <w:rsid w:val="00EB2736"/>
    <w:rsid w:val="00EC7043"/>
    <w:rsid w:val="00ED29AC"/>
    <w:rsid w:val="00ED55B1"/>
    <w:rsid w:val="00EF0005"/>
    <w:rsid w:val="00EF186F"/>
    <w:rsid w:val="00F238AB"/>
    <w:rsid w:val="00F33C2F"/>
    <w:rsid w:val="00F35474"/>
    <w:rsid w:val="00F4639A"/>
    <w:rsid w:val="00F555D2"/>
    <w:rsid w:val="00F92397"/>
    <w:rsid w:val="00FA2F22"/>
    <w:rsid w:val="00FA587D"/>
    <w:rsid w:val="00FB0D7D"/>
    <w:rsid w:val="00FB277B"/>
    <w:rsid w:val="00FD7E6F"/>
    <w:rsid w:val="00FE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90573"/>
  <w15:chartTrackingRefBased/>
  <w15:docId w15:val="{2EC10900-FCA9-433F-AF80-C0EB059B5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0ED4"/>
    <w:pPr>
      <w:jc w:val="both"/>
    </w:pPr>
    <w:rPr>
      <w:sz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B323EA"/>
    <w:pPr>
      <w:keepNext/>
      <w:keepLines/>
      <w:numPr>
        <w:numId w:val="4"/>
      </w:numPr>
      <w:spacing w:before="400" w:after="400"/>
      <w:outlineLvl w:val="0"/>
    </w:pPr>
    <w:rPr>
      <w:rFonts w:eastAsiaTheme="majorEastAsia" w:cstheme="majorBidi"/>
      <w:b/>
      <w:sz w:val="28"/>
      <w:szCs w:val="32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E36812"/>
    <w:pPr>
      <w:keepNext/>
      <w:keepLines/>
      <w:numPr>
        <w:numId w:val="3"/>
      </w:numPr>
      <w:spacing w:before="240" w:after="240"/>
      <w:ind w:left="357" w:hanging="357"/>
      <w:outlineLvl w:val="1"/>
    </w:pPr>
    <w:rPr>
      <w:rFonts w:eastAsiaTheme="majorEastAsia" w:cstheme="majorBidi"/>
      <w:b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EB2736"/>
    <w:pPr>
      <w:keepNext/>
      <w:keepLines/>
      <w:spacing w:before="400" w:after="240"/>
      <w:outlineLvl w:val="2"/>
    </w:pPr>
    <w:rPr>
      <w:rFonts w:eastAsiaTheme="majorEastAsia" w:cstheme="majorBidi"/>
      <w:b/>
      <w:sz w:val="28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92397"/>
    <w:pPr>
      <w:ind w:left="720"/>
      <w:contextualSpacing/>
    </w:pPr>
    <w:rPr>
      <w:lang w:val="en-GB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965EA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965EA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2965EA"/>
    <w:rPr>
      <w:vertAlign w:val="superscript"/>
    </w:rPr>
  </w:style>
  <w:style w:type="paragraph" w:customStyle="1" w:styleId="textitem">
    <w:name w:val="textitem"/>
    <w:basedOn w:val="Normal"/>
    <w:rsid w:val="00DC3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styleId="Hyperlink">
    <w:name w:val="Hyperlink"/>
    <w:basedOn w:val="Fontepargpadro"/>
    <w:uiPriority w:val="99"/>
    <w:unhideWhenUsed/>
    <w:rsid w:val="008D5725"/>
    <w:rPr>
      <w:color w:val="0563C1" w:themeColor="hyperlink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8D5725"/>
    <w:rPr>
      <w:color w:val="954F72" w:themeColor="followed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3E3F3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3E3F3D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3E3F3D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3E3F3D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3E3F3D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E3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E3F3D"/>
    <w:rPr>
      <w:rFonts w:ascii="Segoe U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234526"/>
    <w:rPr>
      <w:rFonts w:eastAsiaTheme="majorEastAsia" w:cstheme="majorBidi"/>
      <w:b/>
      <w:sz w:val="28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E36812"/>
    <w:rPr>
      <w:rFonts w:eastAsiaTheme="majorEastAsia" w:cstheme="majorBidi"/>
      <w:b/>
      <w:sz w:val="24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EB2736"/>
    <w:rPr>
      <w:rFonts w:eastAsiaTheme="majorEastAsia" w:cstheme="majorBidi"/>
      <w:b/>
      <w:sz w:val="28"/>
      <w:szCs w:val="24"/>
    </w:rPr>
  </w:style>
  <w:style w:type="character" w:styleId="MenoPendente">
    <w:name w:val="Unresolved Mention"/>
    <w:basedOn w:val="Fontepargpadro"/>
    <w:uiPriority w:val="99"/>
    <w:semiHidden/>
    <w:unhideWhenUsed/>
    <w:rsid w:val="00705FFE"/>
    <w:rPr>
      <w:color w:val="808080"/>
      <w:shd w:val="clear" w:color="auto" w:fill="E6E6E6"/>
    </w:rPr>
  </w:style>
  <w:style w:type="table" w:styleId="Tabelacomgrade">
    <w:name w:val="Table Grid"/>
    <w:basedOn w:val="Tabelanormal"/>
    <w:uiPriority w:val="39"/>
    <w:rsid w:val="00B63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mples4">
    <w:name w:val="Plain Table 4"/>
    <w:basedOn w:val="Tabelanormal"/>
    <w:uiPriority w:val="44"/>
    <w:rsid w:val="00B63C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ustomXml" Target="../customXml/item2.xml"/><Relationship Id="rId18" Type="http://schemas.openxmlformats.org/officeDocument/2006/relationships/customXml" Target="../customXml/item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chart" Target="charts/chart3.xml"/><Relationship Id="rId19" Type="http://schemas.openxmlformats.org/officeDocument/2006/relationships/customXml" Target="../customXml/item8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ustomXml" Target="../customXml/item3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epask.com/" TargetMode="External"/><Relationship Id="rId3" Type="http://schemas.openxmlformats.org/officeDocument/2006/relationships/hyperlink" Target="http://www.citiesalliance.org/sites/citiesalliance.org/files/Estado-das-cidades-Brasil-PR-web.pdf" TargetMode="External"/><Relationship Id="rId7" Type="http://schemas.openxmlformats.org/officeDocument/2006/relationships/hyperlink" Target="http://publicacoes.firjan.org.br/ifgf/2017/files/assets/basic-html/page-22.html" TargetMode="External"/><Relationship Id="rId2" Type="http://schemas.openxmlformats.org/officeDocument/2006/relationships/hyperlink" Target="http://repositorio.ipea.gov.br/bitstream/11058/6873/1/TD_2215.PDF" TargetMode="External"/><Relationship Id="rId1" Type="http://schemas.openxmlformats.org/officeDocument/2006/relationships/hyperlink" Target="http://ipea.gov.br/agencia/images/stories/PDFs/radar/161110_radar_47.pdf" TargetMode="External"/><Relationship Id="rId6" Type="http://schemas.openxmlformats.org/officeDocument/2006/relationships/hyperlink" Target="http://multimidia.fnp.org.br/biblioteca/publicacoes/item/683-multi-cidades-ano-13-2018" TargetMode="External"/><Relationship Id="rId5" Type="http://schemas.openxmlformats.org/officeDocument/2006/relationships/hyperlink" Target="http://publicacoes.firjan.org.br/ifgf/2017/files/assets/basic-html/page-22.html" TargetMode="External"/><Relationship Id="rId10" Type="http://schemas.openxmlformats.org/officeDocument/2006/relationships/hyperlink" Target="http://www.citiesalliance.org/sites/citiesalliance.org/files/Estado-das-cidades-Brasil-PR-web.pdf" TargetMode="External"/><Relationship Id="rId4" Type="http://schemas.openxmlformats.org/officeDocument/2006/relationships/hyperlink" Target="http://multimidia.fnp.org.br/biblioteca/publicacoes/item/683-multi-cidades-ano-13-2018" TargetMode="External"/><Relationship Id="rId9" Type="http://schemas.openxmlformats.org/officeDocument/2006/relationships/hyperlink" Target="http://www.citiesalliance.org/sites/citiesalliance.org/files/Estado-das-cidades-Brasil-PR-web.pdf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Pasta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Pasta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Pasta1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pt-BR" sz="1050">
                <a:solidFill>
                  <a:srgbClr val="FF0000"/>
                </a:solidFill>
              </a:rPr>
              <a:t>Gráfico</a:t>
            </a:r>
            <a:r>
              <a:rPr lang="pt-BR" sz="1050" baseline="0">
                <a:solidFill>
                  <a:srgbClr val="FF0000"/>
                </a:solidFill>
              </a:rPr>
              <a:t> 1 </a:t>
            </a:r>
            <a:r>
              <a:rPr lang="pt-BR" sz="1050" baseline="0">
                <a:solidFill>
                  <a:schemeClr val="bg1">
                    <a:lumMod val="50000"/>
                  </a:schemeClr>
                </a:solidFill>
              </a:rPr>
              <a:t>- Participação das principais fontes de recursos nos investimentos por porte populacional - 2016</a:t>
            </a:r>
            <a:endParaRPr lang="pt-BR" sz="1050">
              <a:solidFill>
                <a:schemeClr val="bg1">
                  <a:lumMod val="50000"/>
                </a:schemeClr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pt-BR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Planilha1!$B$24</c:f>
              <c:strCache>
                <c:ptCount val="1"/>
                <c:pt idx="0">
                  <c:v>Investimentos com 
recursos próprios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cat>
            <c:strRef>
              <c:f>Planilha1!$A$25:$A$30</c:f>
              <c:strCache>
                <c:ptCount val="6"/>
                <c:pt idx="0">
                  <c:v>Até 20 mil 
habitantes</c:v>
                </c:pt>
                <c:pt idx="1">
                  <c:v>De 20 mil
até 50 mil hab.</c:v>
                </c:pt>
                <c:pt idx="2">
                  <c:v>De 50 mil
até 100 mil hab.</c:v>
                </c:pt>
                <c:pt idx="3">
                  <c:v>De 100 mil
até 200 mil hab.</c:v>
                </c:pt>
                <c:pt idx="4">
                  <c:v>De 200 mil
até 500 mil hab.</c:v>
                </c:pt>
                <c:pt idx="5">
                  <c:v>Acima de 
500 mil hab.</c:v>
                </c:pt>
              </c:strCache>
            </c:strRef>
          </c:cat>
          <c:val>
            <c:numRef>
              <c:f>Planilha1!$B$25:$B$30</c:f>
              <c:numCache>
                <c:formatCode>0.00%</c:formatCode>
                <c:ptCount val="6"/>
                <c:pt idx="0">
                  <c:v>0.433</c:v>
                </c:pt>
                <c:pt idx="1">
                  <c:v>0.57099999999999995</c:v>
                </c:pt>
                <c:pt idx="2">
                  <c:v>0.44400000000000001</c:v>
                </c:pt>
                <c:pt idx="3">
                  <c:v>0.56999999999999995</c:v>
                </c:pt>
                <c:pt idx="4">
                  <c:v>0.501</c:v>
                </c:pt>
                <c:pt idx="5">
                  <c:v>0.33400000000000002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2B8-4B0B-A2A9-0CDBE42F8F4D}"/>
            </c:ext>
          </c:extLst>
        </c:ser>
        <c:ser>
          <c:idx val="1"/>
          <c:order val="1"/>
          <c:tx>
            <c:strRef>
              <c:f>Planilha1!$C$24</c:f>
              <c:strCache>
                <c:ptCount val="1"/>
                <c:pt idx="0">
                  <c:v>Transferências 
de capital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cat>
            <c:strRef>
              <c:f>Planilha1!$A$25:$A$30</c:f>
              <c:strCache>
                <c:ptCount val="6"/>
                <c:pt idx="0">
                  <c:v>Até 20 mil 
habitantes</c:v>
                </c:pt>
                <c:pt idx="1">
                  <c:v>De 20 mil
até 50 mil hab.</c:v>
                </c:pt>
                <c:pt idx="2">
                  <c:v>De 50 mil
até 100 mil hab.</c:v>
                </c:pt>
                <c:pt idx="3">
                  <c:v>De 100 mil
até 200 mil hab.</c:v>
                </c:pt>
                <c:pt idx="4">
                  <c:v>De 200 mil
até 500 mil hab.</c:v>
                </c:pt>
                <c:pt idx="5">
                  <c:v>Acima de 
500 mil hab.</c:v>
                </c:pt>
              </c:strCache>
            </c:strRef>
          </c:cat>
          <c:val>
            <c:numRef>
              <c:f>Planilha1!$C$25:$C$30</c:f>
              <c:numCache>
                <c:formatCode>0.00%</c:formatCode>
                <c:ptCount val="6"/>
                <c:pt idx="0">
                  <c:v>0.49299999999999999</c:v>
                </c:pt>
                <c:pt idx="1">
                  <c:v>0.34399999999999997</c:v>
                </c:pt>
                <c:pt idx="2">
                  <c:v>0.33800000000000002</c:v>
                </c:pt>
                <c:pt idx="3">
                  <c:v>0.26500000000000001</c:v>
                </c:pt>
                <c:pt idx="4">
                  <c:v>0.20599999999999999</c:v>
                </c:pt>
                <c:pt idx="5">
                  <c:v>0.19400000000000001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2B8-4B0B-A2A9-0CDBE42F8F4D}"/>
            </c:ext>
          </c:extLst>
        </c:ser>
        <c:ser>
          <c:idx val="2"/>
          <c:order val="2"/>
          <c:tx>
            <c:strRef>
              <c:f>Planilha1!$D$24</c:f>
              <c:strCache>
                <c:ptCount val="1"/>
                <c:pt idx="0">
                  <c:v>Operações
de crédito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cat>
            <c:strRef>
              <c:f>Planilha1!$A$25:$A$30</c:f>
              <c:strCache>
                <c:ptCount val="6"/>
                <c:pt idx="0">
                  <c:v>Até 20 mil 
habitantes</c:v>
                </c:pt>
                <c:pt idx="1">
                  <c:v>De 20 mil
até 50 mil hab.</c:v>
                </c:pt>
                <c:pt idx="2">
                  <c:v>De 50 mil
até 100 mil hab.</c:v>
                </c:pt>
                <c:pt idx="3">
                  <c:v>De 100 mil
até 200 mil hab.</c:v>
                </c:pt>
                <c:pt idx="4">
                  <c:v>De 200 mil
até 500 mil hab.</c:v>
                </c:pt>
                <c:pt idx="5">
                  <c:v>Acima de 
500 mil hab.</c:v>
                </c:pt>
              </c:strCache>
            </c:strRef>
          </c:cat>
          <c:val>
            <c:numRef>
              <c:f>Planilha1!$D$25:$D$30</c:f>
              <c:numCache>
                <c:formatCode>0.00%</c:formatCode>
                <c:ptCount val="6"/>
                <c:pt idx="0">
                  <c:v>4.4999999999999998E-2</c:v>
                </c:pt>
                <c:pt idx="1">
                  <c:v>6.2E-2</c:v>
                </c:pt>
                <c:pt idx="2">
                  <c:v>0.109</c:v>
                </c:pt>
                <c:pt idx="3">
                  <c:v>9.4E-2</c:v>
                </c:pt>
                <c:pt idx="4">
                  <c:v>0.17799999999999999</c:v>
                </c:pt>
                <c:pt idx="5">
                  <c:v>0.32700000000000001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92B8-4B0B-A2A9-0CDBE42F8F4D}"/>
            </c:ext>
          </c:extLst>
        </c:ser>
        <c:ser>
          <c:idx val="3"/>
          <c:order val="3"/>
          <c:tx>
            <c:strRef>
              <c:f>Planilha1!$E$24</c:f>
              <c:strCache>
                <c:ptCount val="1"/>
                <c:pt idx="0">
                  <c:v>Outras receitas
de capital</c:v>
                </c:pt>
              </c:strCache>
            </c:strRef>
          </c:tx>
          <c:spPr>
            <a:gradFill rotWithShape="1">
              <a:gsLst>
                <a:gs pos="0">
                  <a:schemeClr val="accent4">
                    <a:satMod val="103000"/>
                    <a:lumMod val="102000"/>
                    <a:tint val="94000"/>
                  </a:schemeClr>
                </a:gs>
                <a:gs pos="50000">
                  <a:schemeClr val="accent4">
                    <a:satMod val="110000"/>
                    <a:lumMod val="100000"/>
                    <a:shade val="100000"/>
                  </a:schemeClr>
                </a:gs>
                <a:gs pos="100000">
                  <a:schemeClr val="accent4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/>
          </c:spPr>
          <c:invertIfNegative val="0"/>
          <c:cat>
            <c:strRef>
              <c:f>Planilha1!$A$25:$A$30</c:f>
              <c:strCache>
                <c:ptCount val="6"/>
                <c:pt idx="0">
                  <c:v>Até 20 mil 
habitantes</c:v>
                </c:pt>
                <c:pt idx="1">
                  <c:v>De 20 mil
até 50 mil hab.</c:v>
                </c:pt>
                <c:pt idx="2">
                  <c:v>De 50 mil
até 100 mil hab.</c:v>
                </c:pt>
                <c:pt idx="3">
                  <c:v>De 100 mil
até 200 mil hab.</c:v>
                </c:pt>
                <c:pt idx="4">
                  <c:v>De 200 mil
até 500 mil hab.</c:v>
                </c:pt>
                <c:pt idx="5">
                  <c:v>Acima de 
500 mil hab.</c:v>
                </c:pt>
              </c:strCache>
            </c:strRef>
          </c:cat>
          <c:val>
            <c:numRef>
              <c:f>Planilha1!$E$25:$E$30</c:f>
              <c:numCache>
                <c:formatCode>0.00%</c:formatCode>
                <c:ptCount val="6"/>
                <c:pt idx="0">
                  <c:v>2.9000000000000001E-2</c:v>
                </c:pt>
                <c:pt idx="1">
                  <c:v>2.3E-2</c:v>
                </c:pt>
                <c:pt idx="2">
                  <c:v>0.108</c:v>
                </c:pt>
                <c:pt idx="3">
                  <c:v>7.0999999999999994E-2</c:v>
                </c:pt>
                <c:pt idx="4">
                  <c:v>0.11600000000000001</c:v>
                </c:pt>
                <c:pt idx="5">
                  <c:v>0.14499999999999999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92B8-4B0B-A2A9-0CDBE42F8F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527262320"/>
        <c:axId val="527266256"/>
      </c:barChart>
      <c:catAx>
        <c:axId val="5272623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527266256"/>
        <c:crosses val="autoZero"/>
        <c:auto val="1"/>
        <c:lblAlgn val="ctr"/>
        <c:lblOffset val="100"/>
        <c:noMultiLvlLbl val="0"/>
      </c:catAx>
      <c:valAx>
        <c:axId val="5272662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5272623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2"/>
              </a:solidFill>
              <a:latin typeface="+mn-lt"/>
              <a:ea typeface="+mn-ea"/>
              <a:cs typeface="+mn-cs"/>
            </a:defRPr>
          </a:pPr>
          <a:endParaRPr lang="pt-BR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600" b="1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t-BR" sz="1050" cap="none">
                <a:solidFill>
                  <a:srgbClr val="FF0000"/>
                </a:solidFill>
                <a:latin typeface="+mn-lt"/>
              </a:rPr>
              <a:t>Gráfico 2 </a:t>
            </a:r>
            <a:r>
              <a:rPr lang="pt-BR" sz="1050" cap="none">
                <a:latin typeface="+mn-lt"/>
              </a:rPr>
              <a:t>- Receita total per capita por região</a:t>
            </a:r>
            <a:r>
              <a:rPr lang="pt-BR" sz="1050" cap="none" baseline="0">
                <a:latin typeface="+mn-lt"/>
              </a:rPr>
              <a:t> - 2016 </a:t>
            </a:r>
            <a:endParaRPr lang="pt-BR" sz="1050" cap="none" baseline="0">
              <a:solidFill>
                <a:srgbClr val="FF0000"/>
              </a:solidFill>
              <a:latin typeface="+mn-lt"/>
            </a:endParaRPr>
          </a:p>
          <a:p>
            <a:pPr algn="ctr">
              <a:defRPr/>
            </a:pPr>
            <a:r>
              <a:rPr lang="pt-BR" sz="1050" cap="none" baseline="0">
                <a:latin typeface="+mn-lt"/>
              </a:rPr>
              <a:t>em R$ - IPCA médio de 2016</a:t>
            </a:r>
          </a:p>
          <a:p>
            <a:pPr algn="ctr">
              <a:defRPr/>
            </a:pPr>
            <a:endParaRPr lang="pt-BR" cap="none">
              <a:latin typeface="+mn-lt"/>
            </a:endParaRPr>
          </a:p>
        </c:rich>
      </c:tx>
      <c:layout>
        <c:manualLayout>
          <c:xMode val="edge"/>
          <c:yMode val="edge"/>
          <c:x val="0.13228222942720394"/>
          <c:y val="4.17101147028154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600" b="1" i="0" u="none" strike="noStrike" kern="1200" cap="all" spc="120" normalizeH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title>
    <c:autoTitleDeleted val="0"/>
    <c:plotArea>
      <c:layout>
        <c:manualLayout>
          <c:layoutTarget val="inner"/>
          <c:xMode val="edge"/>
          <c:yMode val="edge"/>
          <c:x val="3.0555555555555555E-2"/>
          <c:y val="0.36122143268676776"/>
          <c:w val="0.93888888888888888"/>
          <c:h val="0.51749311823826905"/>
        </c:manualLayout>
      </c:layout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clip" horzOverflow="clip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t-BR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Planilha1!$A$4:$A$8</c:f>
              <c:strCache>
                <c:ptCount val="5"/>
                <c:pt idx="0">
                  <c:v>Norte</c:v>
                </c:pt>
                <c:pt idx="1">
                  <c:v>Nordeste</c:v>
                </c:pt>
                <c:pt idx="2">
                  <c:v>Centro Oeste</c:v>
                </c:pt>
                <c:pt idx="3">
                  <c:v>Sudeste</c:v>
                </c:pt>
                <c:pt idx="4">
                  <c:v>Sul</c:v>
                </c:pt>
              </c:strCache>
            </c:strRef>
          </c:cat>
          <c:val>
            <c:numRef>
              <c:f>Planilha1!$B$4:$B$8</c:f>
              <c:numCache>
                <c:formatCode>General</c:formatCode>
                <c:ptCount val="5"/>
                <c:pt idx="0">
                  <c:v>2089.77</c:v>
                </c:pt>
                <c:pt idx="1">
                  <c:v>2144.2399999999998</c:v>
                </c:pt>
                <c:pt idx="2">
                  <c:v>2869.82</c:v>
                </c:pt>
                <c:pt idx="3">
                  <c:v>3071.75</c:v>
                </c:pt>
                <c:pt idx="4">
                  <c:v>3076.86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608-4C97-BB5D-F6DE65406095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444"/>
        <c:overlap val="-90"/>
        <c:axId val="517778744"/>
        <c:axId val="517779072"/>
      </c:barChart>
      <c:catAx>
        <c:axId val="5177787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cap="all" spc="120" normalizeH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517779072"/>
        <c:crosses val="autoZero"/>
        <c:auto val="1"/>
        <c:lblAlgn val="ctr"/>
        <c:lblOffset val="100"/>
        <c:noMultiLvlLbl val="0"/>
      </c:catAx>
      <c:valAx>
        <c:axId val="517779072"/>
        <c:scaling>
          <c:orientation val="minMax"/>
        </c:scaling>
        <c:delete val="1"/>
        <c:axPos val="l"/>
        <c:numFmt formatCode="General" sourceLinked="1"/>
        <c:majorTickMark val="none"/>
        <c:minorTickMark val="none"/>
        <c:tickLblPos val="nextTo"/>
        <c:crossAx val="5177787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lt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t-B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pt-BR" sz="1050" b="1">
                <a:solidFill>
                  <a:srgbClr val="FF0000"/>
                </a:solidFill>
                <a:latin typeface="+mn-lt"/>
              </a:rPr>
              <a:t>Gráfico</a:t>
            </a:r>
            <a:r>
              <a:rPr lang="pt-BR" sz="1050" b="1" baseline="0">
                <a:solidFill>
                  <a:srgbClr val="FF0000"/>
                </a:solidFill>
                <a:latin typeface="+mn-lt"/>
              </a:rPr>
              <a:t> 4 </a:t>
            </a:r>
            <a:r>
              <a:rPr lang="pt-BR" sz="1050" b="1" baseline="0">
                <a:latin typeface="+mn-lt"/>
              </a:rPr>
              <a:t>- Percentual de municípios com contratação de assessoria, segundo classes de tamanho da população dos municípios - Brasil - 2015</a:t>
            </a:r>
            <a:endParaRPr lang="pt-BR" sz="1050" b="1">
              <a:latin typeface="+mn-lt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pt-BR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Planilha1!$A$34:$A$42</c:f>
              <c:strCache>
                <c:ptCount val="9"/>
                <c:pt idx="0">
                  <c:v>Total</c:v>
                </c:pt>
                <c:pt idx="2">
                  <c:v>Até 5.000</c:v>
                </c:pt>
                <c:pt idx="3">
                  <c:v>De 5.001 até 10.000</c:v>
                </c:pt>
                <c:pt idx="4">
                  <c:v>De 10.001 até 20.000</c:v>
                </c:pt>
                <c:pt idx="5">
                  <c:v>De 20.001 até 50.000</c:v>
                </c:pt>
                <c:pt idx="6">
                  <c:v>De 50.001 até 100.000</c:v>
                </c:pt>
                <c:pt idx="7">
                  <c:v>De 100.001 até 500.000</c:v>
                </c:pt>
                <c:pt idx="8">
                  <c:v>Mais de 500.000</c:v>
                </c:pt>
              </c:strCache>
            </c:strRef>
          </c:cat>
          <c:val>
            <c:numRef>
              <c:f>Planilha1!$B$34:$B$42</c:f>
              <c:numCache>
                <c:formatCode>General</c:formatCode>
                <c:ptCount val="9"/>
                <c:pt idx="0">
                  <c:v>85.8</c:v>
                </c:pt>
                <c:pt idx="2">
                  <c:v>88.4</c:v>
                </c:pt>
                <c:pt idx="3">
                  <c:v>88</c:v>
                </c:pt>
                <c:pt idx="4">
                  <c:v>87.4</c:v>
                </c:pt>
                <c:pt idx="5">
                  <c:v>84.5</c:v>
                </c:pt>
                <c:pt idx="6">
                  <c:v>81.599999999999994</c:v>
                </c:pt>
                <c:pt idx="7">
                  <c:v>69.7</c:v>
                </c:pt>
                <c:pt idx="8">
                  <c:v>56.1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D6C-435E-852D-E747008EFC7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527262648"/>
        <c:axId val="527270520"/>
      </c:barChart>
      <c:catAx>
        <c:axId val="52726264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527270520"/>
        <c:crosses val="autoZero"/>
        <c:auto val="1"/>
        <c:lblAlgn val="ctr"/>
        <c:lblOffset val="100"/>
        <c:noMultiLvlLbl val="0"/>
      </c:catAx>
      <c:valAx>
        <c:axId val="52727052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t-BR"/>
          </a:p>
        </c:txPr>
        <c:crossAx val="5272626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pt-B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02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0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800" kern="1200" cap="all" spc="120" normalizeH="0" baseline="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50000"/>
        <a:lumOff val="50000"/>
      </a:schemeClr>
    </cs:fontRef>
    <cs:defRPr sz="800" b="0" i="0" u="none" strike="noStrike" kern="1200" baseline="0"/>
    <cs:bodyPr rot="-5400000" spcFirstLastPara="1" vertOverflow="clip" horzOverflow="clip" vert="horz" wrap="square" lIns="38100" tIns="19050" rIns="38100" bIns="19050" anchor="ctr" anchorCtr="1">
      <a:spAutoFit/>
    </cs:bodyPr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phClr"/>
        </a:solidFill>
        <a:round/>
      </a:ln>
    </cs:spPr>
  </cs:dataPointMarker>
  <cs:dataPointMarkerLayout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15000"/>
            <a:lumOff val="8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spc="12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8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E6CAAFACF47D6C4191ECA3A7342DC04F" ma:contentTypeVersion="1756" ma:contentTypeDescription="A content type to manage public (operations) IDB documents" ma:contentTypeScope="" ma:versionID="0862c9ad9cfe4bdd8fd0d65c3797d46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eb4dfc152fae9044eb54e1cdc75085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R-L1503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IDBDocs_x0020_Number xmlns="cdc7663a-08f0-4737-9e8c-148ce897a09c" xsi:nil="true"/>
    <Division_x0020_or_x0020_Unit xmlns="cdc7663a-08f0-4737-9e8c-148ce897a09c">INE/TSP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Taveras Marte,Alba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TRANSPORT INFRASTRUCTURE</TermName>
          <TermId xmlns="http://schemas.microsoft.com/office/infopath/2007/PartnerControls">302c5209-7a48-49db-8198-938a46f0cd26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Portuguese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Related_x0020_SisCor_x0020_Number xmlns="cdc7663a-08f0-4737-9e8c-148ce897a09c" xsi:nil="true"/>
    <TaxCatchAll xmlns="cdc7663a-08f0-4737-9e8c-148ce897a09c">
      <Value>34</Value>
      <Value>278</Value>
      <Value>30</Value>
      <Value>1</Value>
      <Value>35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BR-L1503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TRANSPORT</TermName>
          <TermId xmlns="http://schemas.microsoft.com/office/infopath/2007/PartnerControls">5a25d1a8-4baf-41a8-9e3b-e167accda6ea</TermId>
        </TermInfo>
      </Terms>
    </nddeef1749674d76abdbe4b239a70bc6>
    <Record_x0020_Number xmlns="cdc7663a-08f0-4737-9e8c-148ce897a09c">R0002219130</Record_x0020_Number>
    <_dlc_DocId xmlns="cdc7663a-08f0-4737-9e8c-148ce897a09c">EZSHARE-1133963158-16</_dlc_DocId>
    <_dlc_DocIdUrl xmlns="cdc7663a-08f0-4737-9e8c-148ce897a09c">
      <Url>https://idbg.sharepoint.com/teams/EZ-BR-LON/BR-L1503/_layouts/15/DocIdRedir.aspx?ID=EZSHARE-1133963158-16</Url>
      <Description>EZSHARE-1133963158-16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8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83678C49-FF09-49E2-80BF-55C7D2CA61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B17EEB-7A60-4F87-A3B0-D8B2ACC12A4C}"/>
</file>

<file path=customXml/itemProps3.xml><?xml version="1.0" encoding="utf-8"?>
<ds:datastoreItem xmlns:ds="http://schemas.openxmlformats.org/officeDocument/2006/customXml" ds:itemID="{B5184B35-F142-4855-B093-D29A46D37DDB}"/>
</file>

<file path=customXml/itemProps4.xml><?xml version="1.0" encoding="utf-8"?>
<ds:datastoreItem xmlns:ds="http://schemas.openxmlformats.org/officeDocument/2006/customXml" ds:itemID="{58174962-C3BC-49B5-8465-B78B4C0519A2}"/>
</file>

<file path=customXml/itemProps5.xml><?xml version="1.0" encoding="utf-8"?>
<ds:datastoreItem xmlns:ds="http://schemas.openxmlformats.org/officeDocument/2006/customXml" ds:itemID="{7EA01DCB-A999-4706-9DA8-99A9FFFD161C}"/>
</file>

<file path=customXml/itemProps6.xml><?xml version="1.0" encoding="utf-8"?>
<ds:datastoreItem xmlns:ds="http://schemas.openxmlformats.org/officeDocument/2006/customXml" ds:itemID="{0A4C4125-7675-4260-A013-1653FD4EC6AB}"/>
</file>

<file path=customXml/itemProps7.xml><?xml version="1.0" encoding="utf-8"?>
<ds:datastoreItem xmlns:ds="http://schemas.openxmlformats.org/officeDocument/2006/customXml" ds:itemID="{0117B12D-CDCD-439E-B42A-471760AECC57}"/>
</file>

<file path=customXml/itemProps8.xml><?xml version="1.0" encoding="utf-8"?>
<ds:datastoreItem xmlns:ds="http://schemas.openxmlformats.org/officeDocument/2006/customXml" ds:itemID="{4F2AB6C5-2DE5-4CED-9663-2F4AE976BC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10</Pages>
  <Words>3362</Words>
  <Characters>18158</Characters>
  <Application>Microsoft Office Word</Application>
  <DocSecurity>0</DocSecurity>
  <Lines>151</Lines>
  <Paragraphs>42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14</cp:revision>
  <dcterms:created xsi:type="dcterms:W3CDTF">2018-04-16T19:39:00Z</dcterms:created>
  <dcterms:modified xsi:type="dcterms:W3CDTF">2018-04-16T20:58:00Z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35;#URBAN TRANSPORT INFRASTRUCTURE|302c5209-7a48-49db-8198-938a46f0cd26</vt:lpwstr>
  </property>
  <property fmtid="{D5CDD505-2E9C-101B-9397-08002B2CF9AE}" pid="7" name="Fund IDB">
    <vt:lpwstr>278;#TBD|d62f6e05-3e80-4abd-9bb4-5f10b4906ff6</vt:lpwstr>
  </property>
  <property fmtid="{D5CDD505-2E9C-101B-9397-08002B2CF9AE}" pid="8" name="Country">
    <vt:lpwstr>30;#Brazil|7deb27ec-6837-4974-9aa8-6cfbac841ef8</vt:lpwstr>
  </property>
  <property fmtid="{D5CDD505-2E9C-101B-9397-08002B2CF9AE}" pid="9" name="Sector IDB">
    <vt:lpwstr>34;#TRANSPORT|5a25d1a8-4baf-41a8-9e3b-e167accda6ea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914895c5-1b9c-4a39-9868-d1cdde38c378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0x0101001A458A224826124E8B45B1D613300CFC00E6CAAFACF47D6C4191ECA3A7342DC04F</vt:lpwstr>
  </property>
</Properties>
</file>