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05BB" w:rsidRPr="007134EC" w:rsidRDefault="00CF05BB">
      <w:pPr>
        <w:rPr>
          <w:rFonts w:ascii="Arial" w:hAnsi="Arial" w:cs="Arial"/>
          <w:sz w:val="22"/>
          <w:szCs w:val="22"/>
        </w:rPr>
      </w:pPr>
      <w:bookmarkStart w:id="0" w:name="_GoBack"/>
      <w:bookmarkEnd w:id="0"/>
    </w:p>
    <w:p w:rsidR="003931F4" w:rsidRPr="007134EC" w:rsidRDefault="003931F4">
      <w:pPr>
        <w:rPr>
          <w:rFonts w:ascii="Arial" w:hAnsi="Arial" w:cs="Arial"/>
          <w:sz w:val="22"/>
          <w:szCs w:val="22"/>
        </w:rPr>
      </w:pPr>
    </w:p>
    <w:p w:rsidR="003931F4" w:rsidRPr="00B530EF" w:rsidRDefault="003931F4" w:rsidP="003931F4">
      <w:pPr>
        <w:jc w:val="center"/>
        <w:rPr>
          <w:rFonts w:ascii="Arial" w:hAnsi="Arial" w:cs="Arial"/>
          <w:b/>
          <w:bCs/>
          <w:smallCaps/>
          <w:sz w:val="22"/>
          <w:szCs w:val="22"/>
          <w:lang w:val="es-ES_tradnl"/>
        </w:rPr>
      </w:pPr>
      <w:r w:rsidRPr="00B530EF">
        <w:rPr>
          <w:rFonts w:ascii="Arial" w:hAnsi="Arial" w:cs="Arial"/>
          <w:b/>
          <w:bCs/>
          <w:smallCaps/>
          <w:sz w:val="22"/>
          <w:szCs w:val="22"/>
          <w:lang w:val="es-ES_tradnl"/>
        </w:rPr>
        <w:t>Documento del Banco Interamericano de Desarrollo</w:t>
      </w:r>
    </w:p>
    <w:p w:rsidR="003931F4" w:rsidRPr="00B530EF" w:rsidRDefault="003931F4" w:rsidP="003931F4">
      <w:pPr>
        <w:rPr>
          <w:rFonts w:ascii="Arial" w:hAnsi="Arial" w:cs="Arial"/>
          <w:smallCaps/>
          <w:sz w:val="22"/>
          <w:szCs w:val="22"/>
          <w:lang w:val="es-ES_tradnl"/>
        </w:rPr>
      </w:pPr>
    </w:p>
    <w:p w:rsidR="003931F4" w:rsidRPr="00B530EF" w:rsidRDefault="003931F4" w:rsidP="003931F4">
      <w:pPr>
        <w:rPr>
          <w:rFonts w:ascii="Arial" w:hAnsi="Arial" w:cs="Arial"/>
          <w:smallCaps/>
          <w:sz w:val="22"/>
          <w:szCs w:val="22"/>
          <w:lang w:val="es-ES_tradnl"/>
        </w:rPr>
      </w:pPr>
    </w:p>
    <w:p w:rsidR="003931F4" w:rsidRPr="00B530EF" w:rsidRDefault="003931F4" w:rsidP="003931F4">
      <w:pPr>
        <w:rPr>
          <w:rFonts w:ascii="Arial" w:hAnsi="Arial" w:cs="Arial"/>
          <w:smallCaps/>
          <w:sz w:val="22"/>
          <w:szCs w:val="22"/>
          <w:lang w:val="es-ES_tradnl"/>
        </w:rPr>
      </w:pPr>
    </w:p>
    <w:p w:rsidR="003931F4" w:rsidRPr="00B530EF" w:rsidRDefault="003931F4" w:rsidP="003931F4">
      <w:pPr>
        <w:rPr>
          <w:rFonts w:ascii="Arial" w:hAnsi="Arial" w:cs="Arial"/>
          <w:smallCaps/>
          <w:sz w:val="22"/>
          <w:szCs w:val="22"/>
          <w:lang w:val="es-ES_tradnl"/>
        </w:rPr>
      </w:pPr>
    </w:p>
    <w:p w:rsidR="003931F4" w:rsidRPr="007134EC" w:rsidRDefault="003931F4" w:rsidP="003931F4">
      <w:pPr>
        <w:jc w:val="center"/>
        <w:rPr>
          <w:rFonts w:ascii="Arial" w:hAnsi="Arial" w:cs="Arial"/>
          <w:smallCaps/>
          <w:sz w:val="22"/>
          <w:szCs w:val="22"/>
        </w:rPr>
      </w:pPr>
      <w:r w:rsidRPr="007134EC">
        <w:rPr>
          <w:rFonts w:ascii="Arial" w:hAnsi="Arial" w:cs="Arial"/>
          <w:smallCaps/>
          <w:noProof/>
          <w:sz w:val="22"/>
          <w:szCs w:val="22"/>
          <w:lang w:eastAsia="pt-BR"/>
        </w:rPr>
        <w:drawing>
          <wp:inline distT="0" distB="0" distL="0" distR="0" wp14:anchorId="3D5FCDD9" wp14:editId="1F68E396">
            <wp:extent cx="2963057" cy="1620595"/>
            <wp:effectExtent l="0" t="0" r="0" b="0"/>
            <wp:docPr id="1"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rsidR="003931F4" w:rsidRPr="007134EC" w:rsidRDefault="003931F4" w:rsidP="003931F4">
      <w:pPr>
        <w:rPr>
          <w:rFonts w:ascii="Arial" w:hAnsi="Arial" w:cs="Arial"/>
          <w:smallCaps/>
          <w:sz w:val="22"/>
          <w:szCs w:val="22"/>
        </w:rPr>
      </w:pPr>
    </w:p>
    <w:p w:rsidR="003931F4" w:rsidRPr="007134EC" w:rsidRDefault="003931F4" w:rsidP="003931F4">
      <w:pPr>
        <w:rPr>
          <w:rFonts w:ascii="Arial" w:hAnsi="Arial" w:cs="Arial"/>
          <w:smallCaps/>
          <w:sz w:val="22"/>
          <w:szCs w:val="22"/>
        </w:rPr>
      </w:pPr>
    </w:p>
    <w:p w:rsidR="003931F4" w:rsidRPr="007134EC" w:rsidRDefault="003931F4" w:rsidP="003931F4">
      <w:pPr>
        <w:jc w:val="center"/>
        <w:rPr>
          <w:rFonts w:ascii="Arial" w:hAnsi="Arial" w:cs="Arial"/>
          <w:b/>
          <w:bCs/>
          <w:smallCaps/>
          <w:sz w:val="22"/>
          <w:szCs w:val="22"/>
        </w:rPr>
      </w:pPr>
      <w:r w:rsidRPr="007134EC">
        <w:rPr>
          <w:rFonts w:ascii="Arial" w:hAnsi="Arial" w:cs="Arial"/>
          <w:b/>
          <w:bCs/>
          <w:smallCaps/>
          <w:sz w:val="22"/>
          <w:szCs w:val="22"/>
        </w:rPr>
        <w:t>BRASIL</w:t>
      </w:r>
    </w:p>
    <w:p w:rsidR="003931F4" w:rsidRPr="007134EC" w:rsidRDefault="003931F4" w:rsidP="003931F4">
      <w:pPr>
        <w:jc w:val="center"/>
        <w:rPr>
          <w:rFonts w:ascii="Arial" w:hAnsi="Arial" w:cs="Arial"/>
          <w:b/>
          <w:bCs/>
          <w:smallCaps/>
          <w:sz w:val="22"/>
          <w:szCs w:val="22"/>
        </w:rPr>
      </w:pPr>
      <w:r w:rsidRPr="007134EC">
        <w:rPr>
          <w:rFonts w:ascii="Arial" w:hAnsi="Arial" w:cs="Arial"/>
          <w:b/>
          <w:bCs/>
          <w:smallCaps/>
          <w:sz w:val="22"/>
          <w:szCs w:val="22"/>
        </w:rPr>
        <w:t>PROGRAMA DE INVERSÃO E GESTÃO EM INFRAESTRUTURA PUBLICA</w:t>
      </w:r>
    </w:p>
    <w:p w:rsidR="003931F4" w:rsidRPr="00B530EF" w:rsidRDefault="003931F4" w:rsidP="003931F4">
      <w:pPr>
        <w:jc w:val="center"/>
        <w:rPr>
          <w:rFonts w:ascii="Arial" w:hAnsi="Arial" w:cs="Arial"/>
          <w:b/>
          <w:bCs/>
          <w:smallCaps/>
          <w:sz w:val="22"/>
          <w:szCs w:val="22"/>
          <w:lang w:val="es-ES_tradnl"/>
        </w:rPr>
      </w:pPr>
      <w:r w:rsidRPr="00B530EF">
        <w:rPr>
          <w:rFonts w:ascii="Arial" w:hAnsi="Arial" w:cs="Arial"/>
          <w:b/>
          <w:bCs/>
          <w:smallCaps/>
          <w:sz w:val="22"/>
          <w:szCs w:val="22"/>
          <w:lang w:val="es-ES_tradnl"/>
        </w:rPr>
        <w:t>PARA EFICIENCIA MUNICIPAL - PROGEINFRA</w:t>
      </w:r>
    </w:p>
    <w:p w:rsidR="003931F4" w:rsidRPr="00B530EF" w:rsidRDefault="003931F4" w:rsidP="003931F4">
      <w:pPr>
        <w:jc w:val="center"/>
        <w:rPr>
          <w:rFonts w:ascii="Arial" w:hAnsi="Arial" w:cs="Arial"/>
          <w:b/>
          <w:bCs/>
          <w:smallCaps/>
          <w:sz w:val="22"/>
          <w:szCs w:val="22"/>
          <w:lang w:val="es-ES_tradnl"/>
        </w:rPr>
      </w:pPr>
    </w:p>
    <w:p w:rsidR="003931F4" w:rsidRPr="00C853B2" w:rsidRDefault="003931F4" w:rsidP="003931F4">
      <w:pPr>
        <w:jc w:val="center"/>
        <w:rPr>
          <w:rFonts w:ascii="Arial" w:hAnsi="Arial" w:cs="Arial"/>
          <w:b/>
          <w:bCs/>
          <w:smallCaps/>
          <w:sz w:val="22"/>
          <w:szCs w:val="22"/>
          <w:lang w:val="es-ES_tradnl"/>
        </w:rPr>
      </w:pPr>
      <w:r w:rsidRPr="00C853B2">
        <w:rPr>
          <w:rFonts w:ascii="Arial" w:hAnsi="Arial" w:cs="Arial"/>
          <w:b/>
          <w:bCs/>
          <w:smallCaps/>
          <w:sz w:val="22"/>
          <w:szCs w:val="22"/>
          <w:lang w:val="es-ES_tradnl"/>
        </w:rPr>
        <w:t>BR-L15</w:t>
      </w:r>
      <w:r w:rsidR="00C15E46" w:rsidRPr="00C853B2">
        <w:rPr>
          <w:rFonts w:ascii="Arial" w:hAnsi="Arial" w:cs="Arial"/>
          <w:b/>
          <w:bCs/>
          <w:smallCaps/>
          <w:sz w:val="22"/>
          <w:szCs w:val="22"/>
          <w:lang w:val="es-ES_tradnl"/>
        </w:rPr>
        <w:t>0</w:t>
      </w:r>
      <w:r w:rsidRPr="00C853B2">
        <w:rPr>
          <w:rFonts w:ascii="Arial" w:hAnsi="Arial" w:cs="Arial"/>
          <w:b/>
          <w:bCs/>
          <w:smallCaps/>
          <w:sz w:val="22"/>
          <w:szCs w:val="22"/>
          <w:lang w:val="es-ES_tradnl"/>
        </w:rPr>
        <w:t>3</w:t>
      </w:r>
    </w:p>
    <w:p w:rsidR="003931F4" w:rsidRPr="00C853B2" w:rsidRDefault="003931F4" w:rsidP="003931F4">
      <w:pPr>
        <w:jc w:val="center"/>
        <w:rPr>
          <w:rFonts w:ascii="Arial" w:hAnsi="Arial" w:cs="Arial"/>
          <w:smallCaps/>
          <w:sz w:val="22"/>
          <w:szCs w:val="22"/>
          <w:lang w:val="es-ES_tradnl"/>
        </w:rPr>
      </w:pPr>
    </w:p>
    <w:p w:rsidR="003931F4" w:rsidRPr="00C853B2" w:rsidRDefault="003931F4" w:rsidP="003931F4">
      <w:pPr>
        <w:jc w:val="center"/>
        <w:rPr>
          <w:rFonts w:ascii="Arial" w:hAnsi="Arial" w:cs="Arial"/>
          <w:smallCaps/>
          <w:sz w:val="22"/>
          <w:szCs w:val="22"/>
          <w:lang w:val="es-ES_tradnl"/>
        </w:rPr>
      </w:pPr>
    </w:p>
    <w:p w:rsidR="003931F4" w:rsidRPr="00C853B2" w:rsidRDefault="003931F4" w:rsidP="003931F4">
      <w:pPr>
        <w:jc w:val="center"/>
        <w:rPr>
          <w:rFonts w:ascii="Arial" w:hAnsi="Arial" w:cs="Arial"/>
          <w:smallCaps/>
          <w:sz w:val="22"/>
          <w:szCs w:val="22"/>
          <w:lang w:val="es-ES_tradnl"/>
        </w:rPr>
      </w:pPr>
    </w:p>
    <w:p w:rsidR="003931F4" w:rsidRPr="00C853B2" w:rsidRDefault="003931F4" w:rsidP="003931F4">
      <w:pPr>
        <w:jc w:val="center"/>
        <w:rPr>
          <w:rFonts w:ascii="Arial" w:hAnsi="Arial" w:cs="Arial"/>
          <w:smallCaps/>
          <w:sz w:val="22"/>
          <w:szCs w:val="22"/>
          <w:lang w:val="es-ES_tradnl"/>
        </w:rPr>
      </w:pPr>
    </w:p>
    <w:p w:rsidR="003931F4" w:rsidRPr="00C853B2" w:rsidRDefault="00C853B2" w:rsidP="003931F4">
      <w:pPr>
        <w:jc w:val="center"/>
        <w:rPr>
          <w:rFonts w:ascii="Arial" w:hAnsi="Arial" w:cs="Arial"/>
          <w:b/>
          <w:bCs/>
          <w:caps/>
          <w:sz w:val="22"/>
          <w:szCs w:val="22"/>
          <w:lang w:val="es-ES_tradnl"/>
        </w:rPr>
      </w:pPr>
      <w:r w:rsidRPr="00C853B2">
        <w:rPr>
          <w:rFonts w:ascii="Arial" w:hAnsi="Arial" w:cs="Arial"/>
          <w:b/>
          <w:bCs/>
          <w:caps/>
          <w:sz w:val="22"/>
          <w:szCs w:val="22"/>
          <w:lang w:val="es-ES_tradnl"/>
        </w:rPr>
        <w:t>RELATORIO</w:t>
      </w:r>
      <w:r w:rsidR="003931F4" w:rsidRPr="00C853B2">
        <w:rPr>
          <w:rFonts w:ascii="Arial" w:hAnsi="Arial" w:cs="Arial"/>
          <w:b/>
          <w:bCs/>
          <w:caps/>
          <w:sz w:val="22"/>
          <w:szCs w:val="22"/>
          <w:lang w:val="es-ES_tradnl"/>
        </w:rPr>
        <w:t xml:space="preserve"> de gestión ambiental y social</w:t>
      </w:r>
    </w:p>
    <w:p w:rsidR="003931F4" w:rsidRPr="00D4030A" w:rsidRDefault="003931F4" w:rsidP="003931F4">
      <w:pPr>
        <w:jc w:val="center"/>
        <w:rPr>
          <w:rFonts w:ascii="Arial" w:hAnsi="Arial" w:cs="Arial"/>
          <w:b/>
          <w:bCs/>
          <w:smallCaps/>
          <w:sz w:val="22"/>
          <w:szCs w:val="22"/>
        </w:rPr>
      </w:pPr>
      <w:r w:rsidRPr="0088314F">
        <w:rPr>
          <w:rFonts w:ascii="Arial" w:hAnsi="Arial" w:cs="Arial"/>
          <w:b/>
          <w:bCs/>
          <w:smallCaps/>
          <w:sz w:val="22"/>
          <w:szCs w:val="22"/>
        </w:rPr>
        <w:t>(</w:t>
      </w:r>
      <w:r w:rsidR="00C853B2" w:rsidRPr="00D4030A">
        <w:rPr>
          <w:rFonts w:ascii="Arial" w:hAnsi="Arial" w:cs="Arial"/>
          <w:b/>
          <w:bCs/>
          <w:smallCaps/>
          <w:sz w:val="22"/>
          <w:szCs w:val="22"/>
        </w:rPr>
        <w:t>R</w:t>
      </w:r>
      <w:r w:rsidRPr="00D4030A">
        <w:rPr>
          <w:rFonts w:ascii="Arial" w:hAnsi="Arial" w:cs="Arial"/>
          <w:b/>
          <w:bCs/>
          <w:smallCaps/>
          <w:sz w:val="22"/>
          <w:szCs w:val="22"/>
        </w:rPr>
        <w:t>GAS)</w:t>
      </w:r>
    </w:p>
    <w:p w:rsidR="003931F4" w:rsidRPr="00D4030A" w:rsidRDefault="003931F4" w:rsidP="003931F4">
      <w:pPr>
        <w:jc w:val="center"/>
        <w:rPr>
          <w:rFonts w:ascii="Arial" w:hAnsi="Arial" w:cs="Arial"/>
          <w:smallCaps/>
          <w:sz w:val="22"/>
          <w:szCs w:val="22"/>
        </w:rPr>
      </w:pPr>
    </w:p>
    <w:p w:rsidR="003931F4" w:rsidRPr="007134EC" w:rsidRDefault="00C420FF" w:rsidP="003931F4">
      <w:pPr>
        <w:jc w:val="center"/>
        <w:rPr>
          <w:rFonts w:ascii="Arial" w:hAnsi="Arial" w:cs="Arial"/>
          <w:smallCaps/>
          <w:sz w:val="22"/>
          <w:szCs w:val="22"/>
        </w:rPr>
      </w:pPr>
      <w:r>
        <w:rPr>
          <w:rFonts w:ascii="Arial" w:hAnsi="Arial" w:cs="Arial"/>
          <w:smallCaps/>
          <w:sz w:val="22"/>
          <w:szCs w:val="22"/>
        </w:rPr>
        <w:t>25</w:t>
      </w:r>
      <w:r w:rsidRPr="007134EC">
        <w:rPr>
          <w:rFonts w:ascii="Arial" w:hAnsi="Arial" w:cs="Arial"/>
          <w:smallCaps/>
          <w:sz w:val="22"/>
          <w:szCs w:val="22"/>
        </w:rPr>
        <w:t xml:space="preserve"> </w:t>
      </w:r>
      <w:r w:rsidR="003931F4" w:rsidRPr="007134EC">
        <w:rPr>
          <w:rFonts w:ascii="Arial" w:hAnsi="Arial" w:cs="Arial"/>
          <w:smallCaps/>
          <w:sz w:val="22"/>
          <w:szCs w:val="22"/>
        </w:rPr>
        <w:t xml:space="preserve">DE </w:t>
      </w:r>
      <w:r>
        <w:rPr>
          <w:rFonts w:ascii="Arial" w:hAnsi="Arial" w:cs="Arial"/>
          <w:smallCaps/>
          <w:sz w:val="22"/>
          <w:szCs w:val="22"/>
        </w:rPr>
        <w:t>Outubro</w:t>
      </w:r>
      <w:r w:rsidRPr="007134EC">
        <w:rPr>
          <w:rFonts w:ascii="Arial" w:hAnsi="Arial" w:cs="Arial"/>
          <w:smallCaps/>
          <w:sz w:val="22"/>
          <w:szCs w:val="22"/>
        </w:rPr>
        <w:t xml:space="preserve"> </w:t>
      </w:r>
      <w:r w:rsidR="003931F4" w:rsidRPr="007134EC">
        <w:rPr>
          <w:rFonts w:ascii="Arial" w:hAnsi="Arial" w:cs="Arial"/>
          <w:smallCaps/>
          <w:sz w:val="22"/>
          <w:szCs w:val="22"/>
        </w:rPr>
        <w:t>DE 2018</w:t>
      </w:r>
    </w:p>
    <w:p w:rsidR="003931F4" w:rsidRPr="007134EC" w:rsidRDefault="003931F4" w:rsidP="003931F4">
      <w:pPr>
        <w:jc w:val="center"/>
        <w:rPr>
          <w:rFonts w:ascii="Arial" w:hAnsi="Arial" w:cs="Arial"/>
          <w:smallCaps/>
          <w:sz w:val="22"/>
          <w:szCs w:val="22"/>
        </w:rPr>
      </w:pPr>
    </w:p>
    <w:p w:rsidR="003931F4" w:rsidRPr="007134EC" w:rsidRDefault="003931F4" w:rsidP="003931F4">
      <w:pPr>
        <w:jc w:val="center"/>
        <w:rPr>
          <w:rFonts w:ascii="Arial" w:hAnsi="Arial" w:cs="Arial"/>
          <w:smallCaps/>
          <w:sz w:val="22"/>
          <w:szCs w:val="22"/>
        </w:rPr>
      </w:pPr>
    </w:p>
    <w:p w:rsidR="003931F4" w:rsidRPr="007134EC" w:rsidRDefault="003931F4" w:rsidP="003931F4">
      <w:pPr>
        <w:jc w:val="center"/>
        <w:rPr>
          <w:rFonts w:ascii="Arial" w:hAnsi="Arial" w:cs="Arial"/>
          <w:smallCaps/>
          <w:sz w:val="22"/>
          <w:szCs w:val="22"/>
        </w:rPr>
      </w:pPr>
    </w:p>
    <w:p w:rsidR="003931F4" w:rsidRPr="007134EC" w:rsidRDefault="003931F4" w:rsidP="003931F4">
      <w:pPr>
        <w:jc w:val="center"/>
        <w:rPr>
          <w:rFonts w:ascii="Arial" w:hAnsi="Arial" w:cs="Arial"/>
          <w:smallCaps/>
          <w:sz w:val="22"/>
          <w:szCs w:val="22"/>
        </w:rPr>
      </w:pPr>
    </w:p>
    <w:p w:rsidR="003931F4" w:rsidRPr="007134EC" w:rsidRDefault="003931F4" w:rsidP="003931F4">
      <w:pPr>
        <w:jc w:val="center"/>
        <w:rPr>
          <w:rFonts w:ascii="Arial" w:hAnsi="Arial" w:cs="Arial"/>
          <w:smallCaps/>
          <w:sz w:val="22"/>
          <w:szCs w:val="22"/>
        </w:rPr>
      </w:pPr>
    </w:p>
    <w:p w:rsidR="003931F4" w:rsidRPr="007134EC" w:rsidRDefault="003931F4" w:rsidP="003931F4">
      <w:pPr>
        <w:jc w:val="center"/>
        <w:rPr>
          <w:rFonts w:ascii="Arial" w:hAnsi="Arial" w:cs="Arial"/>
          <w:smallCaps/>
          <w:sz w:val="22"/>
          <w:szCs w:val="22"/>
        </w:rPr>
      </w:pPr>
    </w:p>
    <w:p w:rsidR="003931F4" w:rsidRPr="007134EC" w:rsidRDefault="003931F4" w:rsidP="003931F4">
      <w:pPr>
        <w:jc w:val="center"/>
        <w:rPr>
          <w:rFonts w:ascii="Arial" w:hAnsi="Arial" w:cs="Arial"/>
          <w:smallCaps/>
          <w:sz w:val="22"/>
          <w:szCs w:val="22"/>
        </w:rPr>
      </w:pPr>
    </w:p>
    <w:p w:rsidR="003931F4" w:rsidRPr="007134EC" w:rsidRDefault="003931F4" w:rsidP="003931F4">
      <w:pPr>
        <w:jc w:val="center"/>
        <w:rPr>
          <w:rFonts w:ascii="Arial" w:hAnsi="Arial" w:cs="Arial"/>
          <w:smallCaps/>
          <w:sz w:val="22"/>
          <w:szCs w:val="22"/>
        </w:rPr>
      </w:pPr>
    </w:p>
    <w:p w:rsidR="003931F4" w:rsidRPr="007134EC" w:rsidRDefault="003931F4" w:rsidP="003931F4">
      <w:pPr>
        <w:pBdr>
          <w:top w:val="single" w:sz="4" w:space="1" w:color="auto"/>
          <w:left w:val="single" w:sz="4" w:space="4" w:color="auto"/>
          <w:bottom w:val="single" w:sz="4" w:space="1" w:color="auto"/>
          <w:right w:val="single" w:sz="4" w:space="4" w:color="auto"/>
        </w:pBdr>
        <w:jc w:val="center"/>
        <w:rPr>
          <w:rFonts w:ascii="Arial" w:hAnsi="Arial" w:cs="Arial"/>
          <w:sz w:val="22"/>
          <w:szCs w:val="22"/>
        </w:rPr>
      </w:pPr>
      <w:r w:rsidRPr="007134EC">
        <w:rPr>
          <w:rFonts w:ascii="Arial" w:hAnsi="Arial" w:cs="Arial"/>
          <w:sz w:val="22"/>
          <w:szCs w:val="22"/>
        </w:rPr>
        <w:t xml:space="preserve">Este documento foi preparado por: </w:t>
      </w:r>
      <w:r w:rsidR="004C392F" w:rsidRPr="007134EC">
        <w:rPr>
          <w:rFonts w:ascii="Arial" w:hAnsi="Arial" w:cs="Arial"/>
          <w:sz w:val="22"/>
          <w:szCs w:val="22"/>
        </w:rPr>
        <w:t>Zachary Hurwitz e Santiago Olmos (VPS/ESG) e Kari</w:t>
      </w:r>
      <w:r w:rsidR="00407D28">
        <w:rPr>
          <w:rFonts w:ascii="Arial" w:hAnsi="Arial" w:cs="Arial"/>
          <w:sz w:val="22"/>
          <w:szCs w:val="22"/>
        </w:rPr>
        <w:t>s</w:t>
      </w:r>
      <w:r w:rsidR="004C392F" w:rsidRPr="007134EC">
        <w:rPr>
          <w:rFonts w:ascii="Arial" w:hAnsi="Arial" w:cs="Arial"/>
          <w:sz w:val="22"/>
          <w:szCs w:val="22"/>
        </w:rPr>
        <w:t xml:space="preserve">a </w:t>
      </w:r>
      <w:r w:rsidR="004155A7" w:rsidRPr="007134EC">
        <w:rPr>
          <w:rFonts w:ascii="Arial" w:hAnsi="Arial" w:cs="Arial"/>
          <w:sz w:val="22"/>
          <w:szCs w:val="22"/>
        </w:rPr>
        <w:t xml:space="preserve">Ribeiro </w:t>
      </w:r>
      <w:r w:rsidR="009E6EFD" w:rsidRPr="007134EC">
        <w:rPr>
          <w:rFonts w:ascii="Arial" w:hAnsi="Arial" w:cs="Arial"/>
          <w:sz w:val="22"/>
          <w:szCs w:val="22"/>
        </w:rPr>
        <w:t>(</w:t>
      </w:r>
      <w:r w:rsidRPr="007134EC">
        <w:rPr>
          <w:rFonts w:ascii="Arial" w:hAnsi="Arial" w:cs="Arial"/>
          <w:sz w:val="22"/>
          <w:szCs w:val="22"/>
        </w:rPr>
        <w:t>TSP/CBR</w:t>
      </w:r>
      <w:r w:rsidR="009E6EFD" w:rsidRPr="007134EC">
        <w:rPr>
          <w:rFonts w:ascii="Arial" w:hAnsi="Arial" w:cs="Arial"/>
          <w:sz w:val="22"/>
          <w:szCs w:val="22"/>
        </w:rPr>
        <w:t>)</w:t>
      </w:r>
    </w:p>
    <w:p w:rsidR="003931F4" w:rsidRPr="007134EC" w:rsidRDefault="003931F4" w:rsidP="003931F4">
      <w:pPr>
        <w:rPr>
          <w:rFonts w:ascii="Arial" w:hAnsi="Arial" w:cs="Arial"/>
          <w:sz w:val="22"/>
          <w:szCs w:val="22"/>
        </w:rPr>
      </w:pPr>
    </w:p>
    <w:p w:rsidR="003931F4" w:rsidRPr="007134EC" w:rsidRDefault="003931F4" w:rsidP="003931F4">
      <w:pPr>
        <w:rPr>
          <w:rFonts w:ascii="Arial" w:hAnsi="Arial" w:cs="Arial"/>
          <w:sz w:val="22"/>
          <w:szCs w:val="22"/>
        </w:rPr>
      </w:pPr>
    </w:p>
    <w:p w:rsidR="003931F4" w:rsidRPr="007134EC" w:rsidRDefault="003931F4" w:rsidP="003931F4">
      <w:pPr>
        <w:rPr>
          <w:rFonts w:ascii="Arial" w:hAnsi="Arial" w:cs="Arial"/>
          <w:sz w:val="22"/>
          <w:szCs w:val="22"/>
        </w:rPr>
      </w:pPr>
    </w:p>
    <w:p w:rsidR="003931F4" w:rsidRPr="007134EC" w:rsidRDefault="003931F4">
      <w:pPr>
        <w:spacing w:after="200" w:line="276" w:lineRule="auto"/>
        <w:rPr>
          <w:rFonts w:ascii="Arial" w:hAnsi="Arial" w:cs="Arial"/>
          <w:sz w:val="22"/>
          <w:szCs w:val="22"/>
        </w:rPr>
      </w:pPr>
      <w:r w:rsidRPr="007134EC">
        <w:rPr>
          <w:rFonts w:ascii="Arial" w:hAnsi="Arial" w:cs="Arial"/>
          <w:sz w:val="22"/>
          <w:szCs w:val="22"/>
        </w:rPr>
        <w:br w:type="page"/>
      </w:r>
    </w:p>
    <w:tbl>
      <w:tblPr>
        <w:tblW w:w="9990"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5760"/>
      </w:tblGrid>
      <w:tr w:rsidR="003931F4" w:rsidRPr="00C04EC9" w:rsidTr="001A4928">
        <w:trPr>
          <w:trHeight w:val="42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rsidR="003931F4" w:rsidRPr="00686DD3" w:rsidRDefault="00AB754A" w:rsidP="003931F4">
            <w:pPr>
              <w:jc w:val="center"/>
              <w:rPr>
                <w:rFonts w:ascii="Arial" w:eastAsia="Times New Roman" w:hAnsi="Arial" w:cs="Arial"/>
                <w:b/>
                <w:bCs/>
                <w:sz w:val="22"/>
                <w:szCs w:val="22"/>
                <w:lang w:val="es-ES_tradnl"/>
              </w:rPr>
            </w:pPr>
            <w:r w:rsidRPr="00686DD3">
              <w:rPr>
                <w:rFonts w:ascii="Arial" w:eastAsia="Times New Roman" w:hAnsi="Arial" w:cs="Arial"/>
                <w:b/>
                <w:bCs/>
                <w:sz w:val="22"/>
                <w:szCs w:val="22"/>
                <w:lang w:val="es-ES_tradnl"/>
              </w:rPr>
              <w:lastRenderedPageBreak/>
              <w:t>RELATORIO</w:t>
            </w:r>
            <w:r w:rsidR="003931F4" w:rsidRPr="00686DD3">
              <w:rPr>
                <w:rFonts w:ascii="Arial" w:eastAsia="Times New Roman" w:hAnsi="Arial" w:cs="Arial"/>
                <w:b/>
                <w:bCs/>
                <w:sz w:val="22"/>
                <w:szCs w:val="22"/>
                <w:lang w:val="es-ES_tradnl"/>
              </w:rPr>
              <w:t xml:space="preserve"> DE GESTIÓN AMBIENTAL Y SOCIAL (</w:t>
            </w:r>
            <w:r w:rsidR="001E341B" w:rsidRPr="00686DD3">
              <w:rPr>
                <w:rFonts w:ascii="Arial" w:eastAsia="Times New Roman" w:hAnsi="Arial" w:cs="Arial"/>
                <w:b/>
                <w:bCs/>
                <w:sz w:val="22"/>
                <w:szCs w:val="22"/>
                <w:lang w:val="es-ES_tradnl"/>
              </w:rPr>
              <w:t>R</w:t>
            </w:r>
            <w:r w:rsidR="003931F4" w:rsidRPr="00686DD3">
              <w:rPr>
                <w:rFonts w:ascii="Arial" w:eastAsia="Times New Roman" w:hAnsi="Arial" w:cs="Arial"/>
                <w:b/>
                <w:bCs/>
                <w:sz w:val="22"/>
                <w:szCs w:val="22"/>
                <w:lang w:val="es-ES_tradnl"/>
              </w:rPr>
              <w:t>GAS)</w:t>
            </w:r>
          </w:p>
        </w:tc>
      </w:tr>
      <w:tr w:rsidR="003931F4" w:rsidRPr="007134EC" w:rsidTr="001A4928">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3931F4" w:rsidRPr="007134EC" w:rsidRDefault="0057551A" w:rsidP="003931F4">
            <w:pPr>
              <w:rPr>
                <w:rFonts w:ascii="Arial" w:eastAsia="Times New Roman" w:hAnsi="Arial" w:cs="Arial"/>
                <w:b/>
                <w:bCs/>
                <w:sz w:val="22"/>
                <w:szCs w:val="22"/>
              </w:rPr>
            </w:pPr>
            <w:r w:rsidRPr="007134EC">
              <w:rPr>
                <w:rFonts w:ascii="Arial" w:eastAsia="Times New Roman" w:hAnsi="Arial" w:cs="Arial"/>
                <w:b/>
                <w:bCs/>
                <w:sz w:val="22"/>
                <w:szCs w:val="22"/>
              </w:rPr>
              <w:t>Nome da Operação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3931F4" w:rsidRPr="007134EC" w:rsidRDefault="003931F4" w:rsidP="003931F4">
            <w:pPr>
              <w:rPr>
                <w:rFonts w:ascii="Arial" w:eastAsia="Times New Roman" w:hAnsi="Arial" w:cs="Arial"/>
                <w:sz w:val="22"/>
                <w:szCs w:val="22"/>
              </w:rPr>
            </w:pPr>
            <w:r w:rsidRPr="007134EC">
              <w:rPr>
                <w:rFonts w:ascii="Arial" w:eastAsia="Times New Roman" w:hAnsi="Arial" w:cs="Arial"/>
                <w:sz w:val="22"/>
                <w:szCs w:val="22"/>
              </w:rPr>
              <w:t>Programa de inversão e gestão em infraestrutura pública</w:t>
            </w:r>
          </w:p>
          <w:p w:rsidR="003931F4" w:rsidRPr="007134EC" w:rsidRDefault="003931F4" w:rsidP="003931F4">
            <w:pPr>
              <w:rPr>
                <w:rFonts w:ascii="Arial" w:eastAsia="Times New Roman" w:hAnsi="Arial" w:cs="Arial"/>
                <w:sz w:val="22"/>
                <w:szCs w:val="22"/>
              </w:rPr>
            </w:pPr>
            <w:r w:rsidRPr="007134EC">
              <w:rPr>
                <w:rFonts w:ascii="Arial" w:eastAsia="Times New Roman" w:hAnsi="Arial" w:cs="Arial"/>
                <w:sz w:val="22"/>
                <w:szCs w:val="22"/>
              </w:rPr>
              <w:t xml:space="preserve">para </w:t>
            </w:r>
            <w:r w:rsidR="000E2936" w:rsidRPr="007134EC">
              <w:rPr>
                <w:rFonts w:ascii="Arial" w:eastAsia="Times New Roman" w:hAnsi="Arial" w:cs="Arial"/>
                <w:sz w:val="22"/>
                <w:szCs w:val="22"/>
              </w:rPr>
              <w:t>eficiência</w:t>
            </w:r>
            <w:r w:rsidRPr="007134EC">
              <w:rPr>
                <w:rFonts w:ascii="Arial" w:eastAsia="Times New Roman" w:hAnsi="Arial" w:cs="Arial"/>
                <w:sz w:val="22"/>
                <w:szCs w:val="22"/>
              </w:rPr>
              <w:t xml:space="preserve"> municipal - PROGEINFRA</w:t>
            </w:r>
          </w:p>
        </w:tc>
      </w:tr>
      <w:tr w:rsidR="003931F4" w:rsidRPr="007134EC" w:rsidTr="008615F9">
        <w:trPr>
          <w:trHeight w:val="231"/>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3931F4" w:rsidRPr="007134EC" w:rsidRDefault="003931F4" w:rsidP="003931F4">
            <w:pPr>
              <w:rPr>
                <w:rFonts w:ascii="Arial" w:eastAsia="Times New Roman" w:hAnsi="Arial" w:cs="Arial"/>
                <w:b/>
                <w:bCs/>
                <w:sz w:val="22"/>
                <w:szCs w:val="22"/>
              </w:rPr>
            </w:pPr>
            <w:r w:rsidRPr="007134EC">
              <w:rPr>
                <w:rFonts w:ascii="Arial" w:eastAsia="Times New Roman" w:hAnsi="Arial" w:cs="Arial"/>
                <w:b/>
                <w:bCs/>
                <w:sz w:val="22"/>
                <w:szCs w:val="22"/>
              </w:rPr>
              <w:t xml:space="preserve">Número </w:t>
            </w:r>
            <w:r w:rsidR="0074426A" w:rsidRPr="007134EC">
              <w:rPr>
                <w:rFonts w:ascii="Arial" w:eastAsia="Times New Roman" w:hAnsi="Arial" w:cs="Arial"/>
                <w:b/>
                <w:bCs/>
                <w:sz w:val="22"/>
                <w:szCs w:val="22"/>
              </w:rPr>
              <w:t>da Operação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3931F4" w:rsidRPr="007134EC" w:rsidRDefault="003931F4" w:rsidP="003931F4">
            <w:pPr>
              <w:rPr>
                <w:rFonts w:ascii="Arial" w:eastAsia="Times New Roman" w:hAnsi="Arial" w:cs="Arial"/>
                <w:sz w:val="22"/>
                <w:szCs w:val="22"/>
              </w:rPr>
            </w:pPr>
            <w:r w:rsidRPr="007134EC">
              <w:rPr>
                <w:rFonts w:ascii="Arial" w:eastAsia="Times New Roman" w:hAnsi="Arial" w:cs="Arial"/>
                <w:sz w:val="22"/>
                <w:szCs w:val="22"/>
              </w:rPr>
              <w:t>BR-L15</w:t>
            </w:r>
            <w:r w:rsidR="000E2936" w:rsidRPr="007134EC">
              <w:rPr>
                <w:rFonts w:ascii="Arial" w:eastAsia="Times New Roman" w:hAnsi="Arial" w:cs="Arial"/>
                <w:sz w:val="22"/>
                <w:szCs w:val="22"/>
              </w:rPr>
              <w:t>0</w:t>
            </w:r>
            <w:r w:rsidRPr="007134EC">
              <w:rPr>
                <w:rFonts w:ascii="Arial" w:eastAsia="Times New Roman" w:hAnsi="Arial" w:cs="Arial"/>
                <w:sz w:val="22"/>
                <w:szCs w:val="22"/>
              </w:rPr>
              <w:t>3</w:t>
            </w:r>
          </w:p>
        </w:tc>
      </w:tr>
      <w:tr w:rsidR="003931F4" w:rsidRPr="007134EC" w:rsidTr="008615F9">
        <w:trPr>
          <w:trHeight w:val="294"/>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tcPr>
          <w:p w:rsidR="003931F4" w:rsidRPr="007134EC" w:rsidRDefault="003931F4" w:rsidP="003931F4">
            <w:pPr>
              <w:rPr>
                <w:rFonts w:ascii="Arial" w:eastAsia="Times New Roman" w:hAnsi="Arial" w:cs="Arial"/>
                <w:sz w:val="22"/>
                <w:szCs w:val="22"/>
              </w:rPr>
            </w:pPr>
            <w:r w:rsidRPr="007134EC">
              <w:rPr>
                <w:rFonts w:ascii="Arial" w:eastAsia="Times New Roman" w:hAnsi="Arial" w:cs="Arial"/>
                <w:b/>
                <w:bCs/>
                <w:sz w:val="22"/>
                <w:szCs w:val="22"/>
              </w:rPr>
              <w:t xml:space="preserve">1. </w:t>
            </w:r>
            <w:r w:rsidR="009A3561" w:rsidRPr="007134EC">
              <w:rPr>
                <w:rFonts w:ascii="Arial" w:eastAsia="Times New Roman" w:hAnsi="Arial" w:cs="Arial"/>
                <w:b/>
                <w:bCs/>
                <w:sz w:val="22"/>
                <w:szCs w:val="22"/>
              </w:rPr>
              <w:t>Detalhes da</w:t>
            </w:r>
            <w:r w:rsidRPr="007134EC">
              <w:rPr>
                <w:rFonts w:ascii="Arial" w:eastAsia="Times New Roman" w:hAnsi="Arial" w:cs="Arial"/>
                <w:b/>
                <w:bCs/>
                <w:sz w:val="22"/>
                <w:szCs w:val="22"/>
              </w:rPr>
              <w:t xml:space="preserve"> </w:t>
            </w:r>
            <w:r w:rsidR="009A3561" w:rsidRPr="007134EC">
              <w:rPr>
                <w:rFonts w:ascii="Arial" w:eastAsia="Times New Roman" w:hAnsi="Arial" w:cs="Arial"/>
                <w:b/>
                <w:bCs/>
                <w:sz w:val="22"/>
                <w:szCs w:val="22"/>
              </w:rPr>
              <w:t>Operação</w:t>
            </w:r>
          </w:p>
        </w:tc>
      </w:tr>
      <w:tr w:rsidR="003931F4" w:rsidRPr="007134EC" w:rsidTr="001A4928">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rsidR="003931F4" w:rsidRPr="007134EC" w:rsidRDefault="003931F4" w:rsidP="003931F4">
            <w:pPr>
              <w:rPr>
                <w:rFonts w:ascii="Arial" w:eastAsia="Times New Roman" w:hAnsi="Arial" w:cs="Arial"/>
                <w:b/>
                <w:bCs/>
                <w:sz w:val="22"/>
                <w:szCs w:val="22"/>
              </w:rPr>
            </w:pPr>
            <w:r w:rsidRPr="007134EC">
              <w:rPr>
                <w:rFonts w:ascii="Arial" w:eastAsia="Times New Roman" w:hAnsi="Arial" w:cs="Arial"/>
                <w:b/>
                <w:bCs/>
                <w:sz w:val="22"/>
                <w:szCs w:val="22"/>
              </w:rPr>
              <w:t xml:space="preserve">Setor </w:t>
            </w:r>
            <w:r w:rsidR="00A34727" w:rsidRPr="007134EC">
              <w:rPr>
                <w:rFonts w:ascii="Arial" w:eastAsia="Times New Roman" w:hAnsi="Arial" w:cs="Arial"/>
                <w:b/>
                <w:bCs/>
                <w:sz w:val="22"/>
                <w:szCs w:val="22"/>
              </w:rPr>
              <w:t>do</w:t>
            </w:r>
            <w:r w:rsidRPr="007134EC">
              <w:rPr>
                <w:rFonts w:ascii="Arial" w:eastAsia="Times New Roman" w:hAnsi="Arial" w:cs="Arial"/>
                <w:b/>
                <w:bCs/>
                <w:sz w:val="22"/>
                <w:szCs w:val="22"/>
              </w:rPr>
              <w:t xml:space="preserve"> BID</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rsidR="003931F4" w:rsidRPr="007134EC" w:rsidRDefault="004C1441" w:rsidP="003931F4">
            <w:pPr>
              <w:rPr>
                <w:rFonts w:ascii="Arial" w:eastAsia="Times New Roman" w:hAnsi="Arial" w:cs="Arial"/>
                <w:sz w:val="22"/>
                <w:szCs w:val="22"/>
              </w:rPr>
            </w:pPr>
            <w:r w:rsidRPr="007134EC">
              <w:rPr>
                <w:rFonts w:ascii="Arial" w:eastAsia="Times New Roman" w:hAnsi="Arial" w:cs="Arial"/>
                <w:sz w:val="22"/>
                <w:szCs w:val="22"/>
              </w:rPr>
              <w:t>Transporte</w:t>
            </w:r>
          </w:p>
        </w:tc>
      </w:tr>
      <w:tr w:rsidR="003931F4" w:rsidRPr="007134EC" w:rsidTr="001A4928">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rsidR="003931F4" w:rsidRPr="007134EC" w:rsidRDefault="003931F4" w:rsidP="003931F4">
            <w:pPr>
              <w:rPr>
                <w:rFonts w:ascii="Arial" w:eastAsia="Times New Roman" w:hAnsi="Arial" w:cs="Arial"/>
                <w:b/>
                <w:bCs/>
                <w:sz w:val="22"/>
                <w:szCs w:val="22"/>
              </w:rPr>
            </w:pPr>
            <w:r w:rsidRPr="007134EC">
              <w:rPr>
                <w:rFonts w:ascii="Arial" w:eastAsia="Times New Roman" w:hAnsi="Arial" w:cs="Arial"/>
                <w:b/>
                <w:bCs/>
                <w:sz w:val="22"/>
                <w:szCs w:val="22"/>
              </w:rPr>
              <w:t xml:space="preserve">Tipo de </w:t>
            </w:r>
            <w:r w:rsidR="00A34727" w:rsidRPr="007134EC">
              <w:rPr>
                <w:rFonts w:ascii="Arial" w:eastAsia="Times New Roman" w:hAnsi="Arial" w:cs="Arial"/>
                <w:b/>
                <w:bCs/>
                <w:sz w:val="22"/>
                <w:szCs w:val="22"/>
              </w:rPr>
              <w:t>Operação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hideMark/>
          </w:tcPr>
          <w:p w:rsidR="003931F4" w:rsidRPr="007134EC" w:rsidRDefault="00771CB7" w:rsidP="003931F4">
            <w:pPr>
              <w:rPr>
                <w:rFonts w:ascii="Arial" w:eastAsia="Times New Roman" w:hAnsi="Arial" w:cs="Arial"/>
                <w:sz w:val="22"/>
                <w:szCs w:val="22"/>
              </w:rPr>
            </w:pPr>
            <w:r w:rsidRPr="007134EC">
              <w:rPr>
                <w:rFonts w:ascii="Arial" w:eastAsia="Times New Roman" w:hAnsi="Arial" w:cs="Arial"/>
                <w:sz w:val="22"/>
                <w:szCs w:val="22"/>
              </w:rPr>
              <w:t>Programa de Crédito Global</w:t>
            </w:r>
          </w:p>
        </w:tc>
      </w:tr>
      <w:tr w:rsidR="003931F4" w:rsidRPr="007134EC" w:rsidTr="001A4928">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3931F4" w:rsidRPr="007134EC" w:rsidRDefault="00A34727" w:rsidP="003931F4">
            <w:pPr>
              <w:rPr>
                <w:rFonts w:ascii="Arial" w:eastAsia="Times New Roman" w:hAnsi="Arial" w:cs="Arial"/>
                <w:b/>
                <w:bCs/>
                <w:sz w:val="22"/>
                <w:szCs w:val="22"/>
              </w:rPr>
            </w:pPr>
            <w:r w:rsidRPr="007134EC">
              <w:rPr>
                <w:rFonts w:ascii="Arial" w:eastAsia="Times New Roman" w:hAnsi="Arial" w:cs="Arial"/>
                <w:b/>
                <w:bCs/>
                <w:sz w:val="22"/>
                <w:szCs w:val="22"/>
              </w:rPr>
              <w:t>Classificação</w:t>
            </w:r>
            <w:r w:rsidR="003931F4" w:rsidRPr="007134EC">
              <w:rPr>
                <w:rFonts w:ascii="Arial" w:eastAsia="Times New Roman" w:hAnsi="Arial" w:cs="Arial"/>
                <w:b/>
                <w:bCs/>
                <w:sz w:val="22"/>
                <w:szCs w:val="22"/>
              </w:rPr>
              <w:t xml:space="preserve"> de Impacto</w:t>
            </w:r>
            <w:r w:rsidR="003931F4" w:rsidRPr="007134EC">
              <w:rPr>
                <w:rFonts w:ascii="Arial" w:eastAsia="Times New Roman" w:hAnsi="Arial" w:cs="Arial"/>
                <w:b/>
                <w:bCs/>
                <w:sz w:val="22"/>
                <w:szCs w:val="22"/>
                <w:vertAlign w:val="superscript"/>
              </w:rPr>
              <w:footnoteReference w:id="1"/>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3931F4" w:rsidRPr="007134EC" w:rsidRDefault="0093580D" w:rsidP="003931F4">
            <w:pPr>
              <w:rPr>
                <w:rFonts w:ascii="Arial" w:eastAsia="Times New Roman" w:hAnsi="Arial" w:cs="Arial"/>
                <w:sz w:val="22"/>
                <w:szCs w:val="22"/>
              </w:rPr>
            </w:pPr>
            <w:r w:rsidRPr="007134EC">
              <w:rPr>
                <w:rFonts w:ascii="Arial" w:eastAsia="Times New Roman" w:hAnsi="Arial" w:cs="Arial"/>
                <w:sz w:val="22"/>
                <w:szCs w:val="22"/>
              </w:rPr>
              <w:t>B-13 (</w:t>
            </w:r>
            <w:r w:rsidR="003931F4" w:rsidRPr="007134EC">
              <w:rPr>
                <w:rFonts w:ascii="Arial" w:eastAsia="Times New Roman" w:hAnsi="Arial" w:cs="Arial"/>
                <w:sz w:val="22"/>
                <w:szCs w:val="22"/>
              </w:rPr>
              <w:t>FI-2</w:t>
            </w:r>
            <w:r w:rsidRPr="007134EC">
              <w:rPr>
                <w:rFonts w:ascii="Arial" w:eastAsia="Times New Roman" w:hAnsi="Arial" w:cs="Arial"/>
                <w:sz w:val="22"/>
                <w:szCs w:val="22"/>
              </w:rPr>
              <w:t>)</w:t>
            </w:r>
          </w:p>
        </w:tc>
      </w:tr>
      <w:tr w:rsidR="003931F4" w:rsidRPr="007134EC" w:rsidTr="001A4928">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3931F4" w:rsidRPr="007134EC" w:rsidRDefault="003931F4" w:rsidP="003931F4">
            <w:pPr>
              <w:rPr>
                <w:rFonts w:ascii="Arial" w:eastAsia="Times New Roman" w:hAnsi="Arial" w:cs="Arial"/>
                <w:b/>
                <w:bCs/>
                <w:sz w:val="22"/>
                <w:szCs w:val="22"/>
              </w:rPr>
            </w:pPr>
            <w:r w:rsidRPr="007134EC">
              <w:rPr>
                <w:rFonts w:ascii="Arial" w:eastAsia="Times New Roman" w:hAnsi="Arial" w:cs="Arial"/>
                <w:b/>
                <w:bCs/>
                <w:sz w:val="22"/>
                <w:szCs w:val="22"/>
              </w:rPr>
              <w:t xml:space="preserve">Indicador de </w:t>
            </w:r>
            <w:r w:rsidR="00A34727" w:rsidRPr="007134EC">
              <w:rPr>
                <w:rFonts w:ascii="Arial" w:eastAsia="Times New Roman" w:hAnsi="Arial" w:cs="Arial"/>
                <w:b/>
                <w:bCs/>
                <w:sz w:val="22"/>
                <w:szCs w:val="22"/>
              </w:rPr>
              <w:t>Risco</w:t>
            </w:r>
            <w:r w:rsidRPr="007134EC">
              <w:rPr>
                <w:rFonts w:ascii="Arial" w:eastAsia="Times New Roman" w:hAnsi="Arial" w:cs="Arial"/>
                <w:b/>
                <w:bCs/>
                <w:sz w:val="22"/>
                <w:szCs w:val="22"/>
              </w:rPr>
              <w:t xml:space="preserve"> Ambiental </w:t>
            </w:r>
            <w:r w:rsidR="00A34727" w:rsidRPr="007134EC">
              <w:rPr>
                <w:rFonts w:ascii="Arial" w:eastAsia="Times New Roman" w:hAnsi="Arial" w:cs="Arial"/>
                <w:b/>
                <w:bCs/>
                <w:sz w:val="22"/>
                <w:szCs w:val="22"/>
              </w:rPr>
              <w:t xml:space="preserve">e </w:t>
            </w:r>
            <w:r w:rsidRPr="007134EC">
              <w:rPr>
                <w:rFonts w:ascii="Arial" w:eastAsia="Times New Roman" w:hAnsi="Arial" w:cs="Arial"/>
                <w:b/>
                <w:bCs/>
                <w:sz w:val="22"/>
                <w:szCs w:val="22"/>
              </w:rPr>
              <w:t>Social</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3931F4" w:rsidRPr="007134EC" w:rsidRDefault="00425825" w:rsidP="003931F4">
            <w:pPr>
              <w:rPr>
                <w:rFonts w:ascii="Arial" w:eastAsia="Times New Roman" w:hAnsi="Arial" w:cs="Arial"/>
                <w:sz w:val="22"/>
                <w:szCs w:val="22"/>
              </w:rPr>
            </w:pPr>
            <w:r w:rsidRPr="007134EC">
              <w:rPr>
                <w:rFonts w:ascii="Arial" w:eastAsia="Times New Roman" w:hAnsi="Arial" w:cs="Arial"/>
                <w:sz w:val="22"/>
                <w:szCs w:val="22"/>
              </w:rPr>
              <w:t>Baixo</w:t>
            </w:r>
          </w:p>
        </w:tc>
      </w:tr>
      <w:tr w:rsidR="003931F4" w:rsidRPr="007134EC" w:rsidTr="001A4928">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3931F4" w:rsidRPr="007134EC" w:rsidDel="007813EB" w:rsidRDefault="003931F4" w:rsidP="003931F4">
            <w:pPr>
              <w:rPr>
                <w:rFonts w:ascii="Arial" w:eastAsia="Times New Roman" w:hAnsi="Arial" w:cs="Arial"/>
                <w:b/>
                <w:bCs/>
                <w:sz w:val="22"/>
                <w:szCs w:val="22"/>
              </w:rPr>
            </w:pPr>
            <w:r w:rsidRPr="007134EC">
              <w:rPr>
                <w:rFonts w:ascii="Arial" w:eastAsia="Times New Roman" w:hAnsi="Arial" w:cs="Arial"/>
                <w:b/>
                <w:bCs/>
                <w:sz w:val="22"/>
                <w:szCs w:val="22"/>
              </w:rPr>
              <w:t xml:space="preserve">Indicador del </w:t>
            </w:r>
            <w:r w:rsidR="00DB76CF" w:rsidRPr="007134EC">
              <w:rPr>
                <w:rFonts w:ascii="Arial" w:eastAsia="Times New Roman" w:hAnsi="Arial" w:cs="Arial"/>
                <w:b/>
                <w:bCs/>
                <w:sz w:val="22"/>
                <w:szCs w:val="22"/>
              </w:rPr>
              <w:t>Risco</w:t>
            </w:r>
            <w:r w:rsidRPr="007134EC">
              <w:rPr>
                <w:rFonts w:ascii="Arial" w:eastAsia="Times New Roman" w:hAnsi="Arial" w:cs="Arial"/>
                <w:b/>
                <w:bCs/>
                <w:sz w:val="22"/>
                <w:szCs w:val="22"/>
              </w:rPr>
              <w:t xml:space="preserve"> de Desastres</w:t>
            </w:r>
            <w:r w:rsidRPr="007134EC">
              <w:rPr>
                <w:rFonts w:ascii="Arial" w:eastAsia="Times New Roman" w:hAnsi="Arial" w:cs="Arial"/>
                <w:b/>
                <w:bCs/>
                <w:sz w:val="22"/>
                <w:szCs w:val="22"/>
                <w:vertAlign w:val="superscript"/>
              </w:rPr>
              <w:footnoteReference w:id="2"/>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3931F4" w:rsidRPr="007134EC" w:rsidRDefault="00873691" w:rsidP="003931F4">
            <w:pPr>
              <w:rPr>
                <w:rFonts w:ascii="Arial" w:eastAsia="Times New Roman" w:hAnsi="Arial" w:cs="Arial"/>
                <w:sz w:val="22"/>
                <w:szCs w:val="22"/>
              </w:rPr>
            </w:pPr>
            <w:r w:rsidRPr="007134EC">
              <w:rPr>
                <w:rFonts w:ascii="Arial" w:eastAsia="Times New Roman" w:hAnsi="Arial" w:cs="Arial"/>
                <w:sz w:val="22"/>
                <w:szCs w:val="22"/>
              </w:rPr>
              <w:t>Bai</w:t>
            </w:r>
            <w:r w:rsidR="00A310E0" w:rsidRPr="007134EC">
              <w:rPr>
                <w:rFonts w:ascii="Arial" w:eastAsia="Times New Roman" w:hAnsi="Arial" w:cs="Arial"/>
                <w:sz w:val="22"/>
                <w:szCs w:val="22"/>
              </w:rPr>
              <w:t>xo</w:t>
            </w:r>
          </w:p>
        </w:tc>
      </w:tr>
      <w:tr w:rsidR="003931F4" w:rsidRPr="007134EC" w:rsidTr="001A4928">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3931F4" w:rsidRPr="007134EC" w:rsidRDefault="00B00C81" w:rsidP="003931F4">
            <w:pPr>
              <w:rPr>
                <w:rFonts w:ascii="Arial" w:eastAsia="Times New Roman" w:hAnsi="Arial" w:cs="Arial"/>
                <w:b/>
                <w:bCs/>
                <w:sz w:val="22"/>
                <w:szCs w:val="22"/>
              </w:rPr>
            </w:pPr>
            <w:r w:rsidRPr="007134EC">
              <w:rPr>
                <w:rFonts w:ascii="Arial" w:eastAsia="Times New Roman" w:hAnsi="Arial" w:cs="Arial"/>
                <w:b/>
                <w:bCs/>
                <w:sz w:val="22"/>
                <w:szCs w:val="22"/>
              </w:rPr>
              <w:t>Mutuário</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3931F4" w:rsidRPr="007134EC" w:rsidRDefault="00A310E0" w:rsidP="003931F4">
            <w:pPr>
              <w:rPr>
                <w:rFonts w:ascii="Arial" w:eastAsia="Times New Roman" w:hAnsi="Arial" w:cs="Arial"/>
                <w:sz w:val="22"/>
                <w:szCs w:val="22"/>
              </w:rPr>
            </w:pPr>
            <w:r w:rsidRPr="007134EC">
              <w:rPr>
                <w:rFonts w:ascii="Arial" w:eastAsia="Times New Roman" w:hAnsi="Arial" w:cs="Arial"/>
                <w:sz w:val="22"/>
                <w:szCs w:val="22"/>
              </w:rPr>
              <w:t>Banco do Brasil S.A</w:t>
            </w:r>
            <w:r w:rsidR="00442AE0" w:rsidRPr="007134EC">
              <w:rPr>
                <w:rFonts w:ascii="Arial" w:eastAsia="Times New Roman" w:hAnsi="Arial" w:cs="Arial"/>
                <w:sz w:val="22"/>
                <w:szCs w:val="22"/>
              </w:rPr>
              <w:t>.</w:t>
            </w:r>
          </w:p>
        </w:tc>
      </w:tr>
      <w:tr w:rsidR="003931F4" w:rsidRPr="007134EC" w:rsidTr="001A4928">
        <w:trPr>
          <w:trHeight w:val="21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3931F4" w:rsidRPr="007134EC" w:rsidRDefault="002F46B6" w:rsidP="003931F4">
            <w:pPr>
              <w:rPr>
                <w:rFonts w:ascii="Arial" w:eastAsia="Times New Roman" w:hAnsi="Arial" w:cs="Arial"/>
                <w:b/>
                <w:bCs/>
                <w:sz w:val="22"/>
                <w:szCs w:val="22"/>
              </w:rPr>
            </w:pPr>
            <w:r w:rsidRPr="007134EC">
              <w:rPr>
                <w:rFonts w:ascii="Arial" w:eastAsia="Times New Roman" w:hAnsi="Arial" w:cs="Arial"/>
                <w:b/>
                <w:bCs/>
                <w:sz w:val="22"/>
                <w:szCs w:val="22"/>
              </w:rPr>
              <w:t>Agência</w:t>
            </w:r>
            <w:r w:rsidR="003931F4" w:rsidRPr="007134EC">
              <w:rPr>
                <w:rFonts w:ascii="Arial" w:eastAsia="Times New Roman" w:hAnsi="Arial" w:cs="Arial"/>
                <w:b/>
                <w:bCs/>
                <w:sz w:val="22"/>
                <w:szCs w:val="22"/>
              </w:rPr>
              <w:t xml:space="preserve"> E</w:t>
            </w:r>
            <w:r w:rsidR="00DB76CF" w:rsidRPr="007134EC">
              <w:rPr>
                <w:rFonts w:ascii="Arial" w:eastAsia="Times New Roman" w:hAnsi="Arial" w:cs="Arial"/>
                <w:b/>
                <w:bCs/>
                <w:sz w:val="22"/>
                <w:szCs w:val="22"/>
              </w:rPr>
              <w:t>x</w:t>
            </w:r>
            <w:r w:rsidR="003931F4" w:rsidRPr="007134EC">
              <w:rPr>
                <w:rFonts w:ascii="Arial" w:eastAsia="Times New Roman" w:hAnsi="Arial" w:cs="Arial"/>
                <w:b/>
                <w:bCs/>
                <w:sz w:val="22"/>
                <w:szCs w:val="22"/>
              </w:rPr>
              <w:t>ecutor</w:t>
            </w:r>
            <w:r w:rsidR="00AD799A" w:rsidRPr="007134EC">
              <w:rPr>
                <w:rFonts w:ascii="Arial" w:eastAsia="Times New Roman" w:hAnsi="Arial" w:cs="Arial"/>
                <w:b/>
                <w:bCs/>
                <w:sz w:val="22"/>
                <w:szCs w:val="22"/>
              </w:rPr>
              <w:t>a</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3931F4" w:rsidRPr="007134EC" w:rsidRDefault="00DB76CF" w:rsidP="003931F4">
            <w:pPr>
              <w:rPr>
                <w:rFonts w:ascii="Arial" w:eastAsia="Times New Roman" w:hAnsi="Arial" w:cs="Arial"/>
                <w:sz w:val="22"/>
                <w:szCs w:val="22"/>
              </w:rPr>
            </w:pPr>
            <w:r w:rsidRPr="007134EC">
              <w:rPr>
                <w:rFonts w:ascii="Arial" w:eastAsia="Times New Roman" w:hAnsi="Arial" w:cs="Arial"/>
                <w:sz w:val="22"/>
                <w:szCs w:val="22"/>
              </w:rPr>
              <w:t>Vários</w:t>
            </w:r>
          </w:p>
        </w:tc>
      </w:tr>
      <w:tr w:rsidR="003931F4" w:rsidRPr="007134EC" w:rsidTr="001A4928">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3931F4" w:rsidRPr="007134EC" w:rsidRDefault="00DB76CF" w:rsidP="003931F4">
            <w:pPr>
              <w:rPr>
                <w:rFonts w:ascii="Arial" w:eastAsia="Times New Roman" w:hAnsi="Arial" w:cs="Arial"/>
                <w:b/>
                <w:bCs/>
                <w:sz w:val="22"/>
                <w:szCs w:val="22"/>
              </w:rPr>
            </w:pPr>
            <w:r w:rsidRPr="007134EC">
              <w:rPr>
                <w:rFonts w:ascii="Arial" w:eastAsia="Times New Roman" w:hAnsi="Arial" w:cs="Arial"/>
                <w:b/>
                <w:bCs/>
                <w:sz w:val="22"/>
                <w:szCs w:val="22"/>
              </w:rPr>
              <w:t>Empréstimo</w:t>
            </w:r>
            <w:r w:rsidR="003931F4" w:rsidRPr="007134EC">
              <w:rPr>
                <w:rFonts w:ascii="Arial" w:eastAsia="Times New Roman" w:hAnsi="Arial" w:cs="Arial"/>
                <w:b/>
                <w:bCs/>
                <w:sz w:val="22"/>
                <w:szCs w:val="22"/>
              </w:rPr>
              <w:t xml:space="preserve"> BID US$</w:t>
            </w:r>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3931F4" w:rsidRPr="007134EC" w:rsidRDefault="00E6677A" w:rsidP="003931F4">
            <w:pPr>
              <w:rPr>
                <w:rFonts w:ascii="Arial" w:eastAsia="Times New Roman" w:hAnsi="Arial" w:cs="Arial"/>
                <w:sz w:val="22"/>
                <w:szCs w:val="22"/>
              </w:rPr>
            </w:pPr>
            <w:r w:rsidRPr="007134EC">
              <w:rPr>
                <w:rFonts w:ascii="Arial" w:eastAsia="Times New Roman" w:hAnsi="Arial" w:cs="Arial"/>
                <w:sz w:val="22"/>
                <w:szCs w:val="22"/>
              </w:rPr>
              <w:t>600.000.000</w:t>
            </w:r>
          </w:p>
        </w:tc>
      </w:tr>
      <w:tr w:rsidR="003931F4" w:rsidRPr="00C04EC9" w:rsidTr="001A4928">
        <w:trPr>
          <w:trHeight w:val="236"/>
        </w:trPr>
        <w:tc>
          <w:tcPr>
            <w:tcW w:w="423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3931F4" w:rsidRPr="007134EC" w:rsidRDefault="00B00C81" w:rsidP="003931F4">
            <w:pPr>
              <w:rPr>
                <w:rFonts w:ascii="Arial" w:eastAsia="Times New Roman" w:hAnsi="Arial" w:cs="Arial"/>
                <w:b/>
                <w:bCs/>
                <w:sz w:val="22"/>
                <w:szCs w:val="22"/>
              </w:rPr>
            </w:pPr>
            <w:proofErr w:type="gramStart"/>
            <w:r w:rsidRPr="007134EC">
              <w:rPr>
                <w:rFonts w:ascii="Arial" w:eastAsia="Times New Roman" w:hAnsi="Arial" w:cs="Arial"/>
                <w:b/>
                <w:bCs/>
                <w:sz w:val="22"/>
                <w:szCs w:val="22"/>
              </w:rPr>
              <w:t>Políticas/Diretrizes Pertinentes</w:t>
            </w:r>
            <w:proofErr w:type="gramEnd"/>
          </w:p>
        </w:tc>
        <w:tc>
          <w:tcPr>
            <w:tcW w:w="576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3931F4" w:rsidRPr="00ED7A4B" w:rsidRDefault="004809E8" w:rsidP="003931F4">
            <w:pPr>
              <w:rPr>
                <w:rFonts w:ascii="Arial" w:eastAsia="Times New Roman" w:hAnsi="Arial" w:cs="Arial"/>
                <w:iCs/>
                <w:sz w:val="22"/>
                <w:szCs w:val="22"/>
                <w:lang w:val="en-US"/>
              </w:rPr>
            </w:pPr>
            <w:r w:rsidRPr="00ED7A4B">
              <w:rPr>
                <w:rFonts w:ascii="Arial" w:eastAsia="Times New Roman" w:hAnsi="Arial" w:cs="Arial"/>
                <w:iCs/>
                <w:sz w:val="22"/>
                <w:szCs w:val="22"/>
                <w:lang w:val="en-US"/>
              </w:rPr>
              <w:t xml:space="preserve">OP-102; </w:t>
            </w:r>
            <w:r w:rsidR="00B00C81" w:rsidRPr="00ED7A4B">
              <w:rPr>
                <w:rFonts w:ascii="Arial" w:eastAsia="Times New Roman" w:hAnsi="Arial" w:cs="Arial"/>
                <w:iCs/>
                <w:sz w:val="22"/>
                <w:szCs w:val="22"/>
                <w:lang w:val="en-US"/>
              </w:rPr>
              <w:t xml:space="preserve">OP-703 </w:t>
            </w:r>
            <w:r w:rsidR="000B63DD" w:rsidRPr="00ED7A4B">
              <w:rPr>
                <w:rFonts w:ascii="Arial" w:eastAsia="Times New Roman" w:hAnsi="Arial" w:cs="Arial"/>
                <w:iCs/>
                <w:sz w:val="22"/>
                <w:szCs w:val="22"/>
                <w:lang w:val="en-US"/>
              </w:rPr>
              <w:t xml:space="preserve">(B.2, </w:t>
            </w:r>
            <w:r w:rsidR="00C94384" w:rsidRPr="00ED7A4B">
              <w:rPr>
                <w:rFonts w:ascii="Arial" w:eastAsia="Times New Roman" w:hAnsi="Arial" w:cs="Arial"/>
                <w:iCs/>
                <w:sz w:val="22"/>
                <w:szCs w:val="22"/>
                <w:lang w:val="en-US"/>
              </w:rPr>
              <w:t xml:space="preserve">B.4, B.7, </w:t>
            </w:r>
            <w:r w:rsidR="00B00C81" w:rsidRPr="00ED7A4B">
              <w:rPr>
                <w:rFonts w:ascii="Arial" w:eastAsia="Times New Roman" w:hAnsi="Arial" w:cs="Arial"/>
                <w:iCs/>
                <w:sz w:val="22"/>
                <w:szCs w:val="22"/>
                <w:lang w:val="en-US"/>
              </w:rPr>
              <w:t xml:space="preserve">B.10, </w:t>
            </w:r>
            <w:r w:rsidR="00EE67FB" w:rsidRPr="00ED7A4B">
              <w:rPr>
                <w:rFonts w:ascii="Arial" w:eastAsia="Times New Roman" w:hAnsi="Arial" w:cs="Arial"/>
                <w:iCs/>
                <w:sz w:val="22"/>
                <w:szCs w:val="22"/>
                <w:lang w:val="en-US"/>
              </w:rPr>
              <w:t xml:space="preserve">B.11, </w:t>
            </w:r>
            <w:r w:rsidR="00B00C81" w:rsidRPr="00ED7A4B">
              <w:rPr>
                <w:rFonts w:ascii="Arial" w:eastAsia="Times New Roman" w:hAnsi="Arial" w:cs="Arial"/>
                <w:iCs/>
                <w:sz w:val="22"/>
                <w:szCs w:val="22"/>
                <w:lang w:val="en-US"/>
              </w:rPr>
              <w:t>B.13)</w:t>
            </w:r>
            <w:r w:rsidR="00FA65D5" w:rsidRPr="00ED7A4B">
              <w:rPr>
                <w:rFonts w:ascii="Arial" w:eastAsia="Times New Roman" w:hAnsi="Arial" w:cs="Arial"/>
                <w:iCs/>
                <w:sz w:val="22"/>
                <w:szCs w:val="22"/>
                <w:lang w:val="en-US"/>
              </w:rPr>
              <w:t>, OP-761</w:t>
            </w:r>
            <w:r w:rsidRPr="00ED7A4B">
              <w:rPr>
                <w:rFonts w:ascii="Arial" w:eastAsia="Times New Roman" w:hAnsi="Arial" w:cs="Arial"/>
                <w:iCs/>
                <w:sz w:val="22"/>
                <w:szCs w:val="22"/>
                <w:lang w:val="en-US"/>
              </w:rPr>
              <w:t>.</w:t>
            </w:r>
          </w:p>
        </w:tc>
      </w:tr>
      <w:tr w:rsidR="003931F4" w:rsidRPr="007134EC" w:rsidTr="001A4928">
        <w:trPr>
          <w:trHeight w:val="429"/>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rsidR="003931F4" w:rsidRPr="007134EC" w:rsidRDefault="003931F4" w:rsidP="003931F4">
            <w:pPr>
              <w:rPr>
                <w:rFonts w:ascii="Arial" w:eastAsia="Times New Roman" w:hAnsi="Arial" w:cs="Arial"/>
                <w:b/>
                <w:bCs/>
                <w:sz w:val="22"/>
                <w:szCs w:val="22"/>
              </w:rPr>
            </w:pPr>
            <w:r w:rsidRPr="007134EC">
              <w:rPr>
                <w:rFonts w:ascii="Arial" w:eastAsia="Times New Roman" w:hAnsi="Arial" w:cs="Arial"/>
                <w:b/>
                <w:bCs/>
                <w:sz w:val="22"/>
                <w:szCs w:val="22"/>
              </w:rPr>
              <w:t xml:space="preserve">2. Resume </w:t>
            </w:r>
            <w:r w:rsidR="002D5F01" w:rsidRPr="007134EC">
              <w:rPr>
                <w:rFonts w:ascii="Arial" w:eastAsia="Times New Roman" w:hAnsi="Arial" w:cs="Arial"/>
                <w:b/>
                <w:bCs/>
                <w:sz w:val="22"/>
                <w:szCs w:val="22"/>
              </w:rPr>
              <w:t>Executivo</w:t>
            </w:r>
          </w:p>
        </w:tc>
      </w:tr>
      <w:tr w:rsidR="003931F4" w:rsidRPr="0059399D" w:rsidTr="001A4928">
        <w:trPr>
          <w:trHeight w:val="870"/>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rsidR="00BF4756" w:rsidRPr="00BF4756" w:rsidRDefault="00BF4756" w:rsidP="00A06839">
            <w:pPr>
              <w:ind w:right="165"/>
              <w:jc w:val="both"/>
              <w:rPr>
                <w:rFonts w:ascii="Arial" w:eastAsia="Times New Roman" w:hAnsi="Arial" w:cs="Arial"/>
                <w:sz w:val="22"/>
                <w:szCs w:val="22"/>
              </w:rPr>
            </w:pPr>
          </w:p>
          <w:p w:rsidR="0030368C" w:rsidRDefault="0030368C" w:rsidP="0030368C">
            <w:pPr>
              <w:ind w:right="165"/>
              <w:jc w:val="both"/>
              <w:rPr>
                <w:rFonts w:ascii="Arial" w:eastAsia="Times New Roman" w:hAnsi="Arial" w:cs="Arial"/>
                <w:sz w:val="22"/>
                <w:szCs w:val="22"/>
              </w:rPr>
            </w:pPr>
            <w:r w:rsidRPr="00B707BC">
              <w:rPr>
                <w:rFonts w:ascii="Arial" w:eastAsia="Times New Roman" w:hAnsi="Arial" w:cs="Arial"/>
                <w:sz w:val="22"/>
                <w:szCs w:val="22"/>
              </w:rPr>
              <w:t>De acordo com a Política de Meio Ambiente e Observância de Salvaguardas (OP-703), o programa é classificado como uma operação B-13</w:t>
            </w:r>
            <w:r>
              <w:rPr>
                <w:rFonts w:ascii="Arial" w:eastAsia="Times New Roman" w:hAnsi="Arial" w:cs="Arial"/>
                <w:sz w:val="22"/>
                <w:szCs w:val="22"/>
              </w:rPr>
              <w:t xml:space="preserve"> (FI-II, risco moderado)</w:t>
            </w:r>
            <w:r w:rsidRPr="00B707BC">
              <w:rPr>
                <w:rFonts w:ascii="Arial" w:eastAsia="Times New Roman" w:hAnsi="Arial" w:cs="Arial"/>
                <w:sz w:val="22"/>
                <w:szCs w:val="22"/>
              </w:rPr>
              <w:t xml:space="preserve">; portanto, a classificação </w:t>
            </w:r>
            <w:proofErr w:type="spellStart"/>
            <w:r w:rsidRPr="00B707BC">
              <w:rPr>
                <w:rFonts w:ascii="Arial" w:eastAsia="Times New Roman" w:hAnsi="Arial" w:cs="Arial"/>
                <w:sz w:val="22"/>
                <w:szCs w:val="22"/>
              </w:rPr>
              <w:t>ex</w:t>
            </w:r>
            <w:proofErr w:type="spellEnd"/>
            <w:r w:rsidRPr="00B707BC">
              <w:rPr>
                <w:rFonts w:ascii="Arial" w:eastAsia="Times New Roman" w:hAnsi="Arial" w:cs="Arial"/>
                <w:sz w:val="22"/>
                <w:szCs w:val="22"/>
              </w:rPr>
              <w:t xml:space="preserve"> ante dos impactos e riscos do programa não é possível. Dado que os investimentos elegíveis para financiamento ao abrigo do programa estão limitados a pavimentação e reabilitação de estradas existentes, aquisição e instalação de sistemas de máquinas, equipamentos e gestão, o programa não gera reassentamento físico ou econômico, os impactos sobre os povos indígenas ou comunidades tradicionais, nem impactos de construção associados a grandes obras civis.</w:t>
            </w:r>
            <w:r>
              <w:rPr>
                <w:rFonts w:ascii="Arial" w:eastAsia="Times New Roman" w:hAnsi="Arial" w:cs="Arial"/>
                <w:sz w:val="22"/>
                <w:szCs w:val="22"/>
              </w:rPr>
              <w:t xml:space="preserve"> </w:t>
            </w:r>
            <w:r w:rsidRPr="00B722B5">
              <w:rPr>
                <w:rFonts w:ascii="Arial" w:eastAsia="Times New Roman" w:hAnsi="Arial" w:cs="Arial"/>
                <w:sz w:val="22"/>
                <w:szCs w:val="22"/>
              </w:rPr>
              <w:t>Pela natureza limitada das intervenções a serem financiadas, o Risco de Desastres Naturais Tipo 1 e Tipo 2 foram classificados em “Baixo.”</w:t>
            </w:r>
          </w:p>
          <w:p w:rsidR="0030368C" w:rsidRPr="00B707BC" w:rsidRDefault="0030368C" w:rsidP="0030368C">
            <w:pPr>
              <w:ind w:right="165"/>
              <w:jc w:val="both"/>
              <w:rPr>
                <w:rFonts w:ascii="Arial" w:eastAsia="Times New Roman" w:hAnsi="Arial" w:cs="Arial"/>
                <w:sz w:val="22"/>
                <w:szCs w:val="22"/>
              </w:rPr>
            </w:pPr>
          </w:p>
          <w:p w:rsidR="0030368C" w:rsidRDefault="0030368C" w:rsidP="0030368C">
            <w:pPr>
              <w:ind w:right="165"/>
              <w:jc w:val="both"/>
              <w:rPr>
                <w:rFonts w:ascii="Arial" w:eastAsia="Times New Roman" w:hAnsi="Arial" w:cs="Arial"/>
                <w:sz w:val="22"/>
                <w:szCs w:val="22"/>
              </w:rPr>
            </w:pPr>
            <w:r w:rsidRPr="00B707BC">
              <w:rPr>
                <w:rFonts w:ascii="Arial" w:eastAsia="Times New Roman" w:hAnsi="Arial" w:cs="Arial"/>
                <w:sz w:val="22"/>
                <w:szCs w:val="22"/>
              </w:rPr>
              <w:t xml:space="preserve">Espera-se que o programa tenha impactos ambientais e sociais gerenciáveis, que serão abordados por meio do </w:t>
            </w:r>
            <w:r>
              <w:rPr>
                <w:rFonts w:ascii="Arial" w:eastAsia="Times New Roman" w:hAnsi="Arial" w:cs="Arial"/>
                <w:sz w:val="22"/>
                <w:szCs w:val="22"/>
              </w:rPr>
              <w:t xml:space="preserve">Sistema de Gestão Ambiental e Social descrito neste </w:t>
            </w:r>
            <w:r w:rsidRPr="00B707BC">
              <w:rPr>
                <w:rFonts w:ascii="Arial" w:eastAsia="Times New Roman" w:hAnsi="Arial" w:cs="Arial"/>
                <w:sz w:val="22"/>
                <w:szCs w:val="22"/>
              </w:rPr>
              <w:t>Relatório de Gestão Socioambiental (IGAS). Os possíveis riscos ambientais e sociais do programa são: (i) impactos associados à aquisição, manuseio e descarte de materiais perigosos; e (</w:t>
            </w:r>
            <w:proofErr w:type="spellStart"/>
            <w:r w:rsidRPr="00B707BC">
              <w:rPr>
                <w:rFonts w:ascii="Arial" w:eastAsia="Times New Roman" w:hAnsi="Arial" w:cs="Arial"/>
                <w:sz w:val="22"/>
                <w:szCs w:val="22"/>
              </w:rPr>
              <w:t>ii</w:t>
            </w:r>
            <w:proofErr w:type="spellEnd"/>
            <w:r w:rsidRPr="00B707BC">
              <w:rPr>
                <w:rFonts w:ascii="Arial" w:eastAsia="Times New Roman" w:hAnsi="Arial" w:cs="Arial"/>
                <w:sz w:val="22"/>
                <w:szCs w:val="22"/>
              </w:rPr>
              <w:t xml:space="preserve">) contaminação por emissões de gases, líquidos e sólidos. Esses impactos serão locais, temporários e mitigáveis ​​por meio da adoção de um Protocolo de Gerenciamento de Resíduos incluído no </w:t>
            </w:r>
            <w:r>
              <w:rPr>
                <w:rFonts w:ascii="Arial" w:eastAsia="Times New Roman" w:hAnsi="Arial" w:cs="Arial"/>
                <w:sz w:val="22"/>
                <w:szCs w:val="22"/>
              </w:rPr>
              <w:t>RCP</w:t>
            </w:r>
            <w:r w:rsidRPr="00B707BC">
              <w:rPr>
                <w:rFonts w:ascii="Arial" w:eastAsia="Times New Roman" w:hAnsi="Arial" w:cs="Arial"/>
                <w:sz w:val="22"/>
                <w:szCs w:val="22"/>
              </w:rPr>
              <w:t xml:space="preserve"> como parte do Sistema de Gestão Ambiental e Social. Além disso, o mutuário deve garantir que cada investimento cumpra a legislação local e, se necessário, conte com uma licença de instalação concedida pela entidade ambiental e social relevante.</w:t>
            </w:r>
          </w:p>
          <w:p w:rsidR="0030368C" w:rsidRPr="00B707BC" w:rsidRDefault="0030368C" w:rsidP="0030368C">
            <w:pPr>
              <w:ind w:right="165"/>
              <w:jc w:val="both"/>
              <w:rPr>
                <w:rFonts w:ascii="Arial" w:eastAsia="Times New Roman" w:hAnsi="Arial" w:cs="Arial"/>
                <w:sz w:val="22"/>
                <w:szCs w:val="22"/>
              </w:rPr>
            </w:pPr>
          </w:p>
          <w:p w:rsidR="0030368C" w:rsidRDefault="0030368C" w:rsidP="0030368C">
            <w:pPr>
              <w:ind w:right="165"/>
              <w:jc w:val="both"/>
              <w:rPr>
                <w:rFonts w:ascii="Arial" w:eastAsia="Times New Roman" w:hAnsi="Arial" w:cs="Arial"/>
                <w:sz w:val="22"/>
                <w:szCs w:val="22"/>
              </w:rPr>
            </w:pPr>
            <w:r w:rsidRPr="00B707BC">
              <w:rPr>
                <w:rFonts w:ascii="Arial" w:eastAsia="Times New Roman" w:hAnsi="Arial" w:cs="Arial"/>
                <w:sz w:val="22"/>
                <w:szCs w:val="22"/>
              </w:rPr>
              <w:t xml:space="preserve">O </w:t>
            </w:r>
            <w:r>
              <w:rPr>
                <w:rFonts w:ascii="Arial" w:eastAsia="Times New Roman" w:hAnsi="Arial" w:cs="Arial"/>
                <w:sz w:val="22"/>
                <w:szCs w:val="22"/>
              </w:rPr>
              <w:t>RCP</w:t>
            </w:r>
            <w:r w:rsidRPr="00B707BC">
              <w:rPr>
                <w:rFonts w:ascii="Arial" w:eastAsia="Times New Roman" w:hAnsi="Arial" w:cs="Arial"/>
                <w:sz w:val="22"/>
                <w:szCs w:val="22"/>
              </w:rPr>
              <w:t xml:space="preserve"> do programa incluirá os seguintes aspectos socioambientais que serão observados durante o período de desembolso, incluindo: (i) critérios de elegibilidade municipal; (</w:t>
            </w:r>
            <w:proofErr w:type="spellStart"/>
            <w:r w:rsidRPr="00B707BC">
              <w:rPr>
                <w:rFonts w:ascii="Arial" w:eastAsia="Times New Roman" w:hAnsi="Arial" w:cs="Arial"/>
                <w:sz w:val="22"/>
                <w:szCs w:val="22"/>
              </w:rPr>
              <w:t>ii</w:t>
            </w:r>
            <w:proofErr w:type="spellEnd"/>
            <w:r w:rsidRPr="00B707BC">
              <w:rPr>
                <w:rFonts w:ascii="Arial" w:eastAsia="Times New Roman" w:hAnsi="Arial" w:cs="Arial"/>
                <w:sz w:val="22"/>
                <w:szCs w:val="22"/>
              </w:rPr>
              <w:t>) critérios de elegibilidade ambiental, social, de saúde e segurança para as intervenções do programa; e (</w:t>
            </w:r>
            <w:proofErr w:type="spellStart"/>
            <w:r w:rsidRPr="00B707BC">
              <w:rPr>
                <w:rFonts w:ascii="Arial" w:eastAsia="Times New Roman" w:hAnsi="Arial" w:cs="Arial"/>
                <w:sz w:val="22"/>
                <w:szCs w:val="22"/>
              </w:rPr>
              <w:t>iii</w:t>
            </w:r>
            <w:proofErr w:type="spellEnd"/>
            <w:r w:rsidRPr="00B707BC">
              <w:rPr>
                <w:rFonts w:ascii="Arial" w:eastAsia="Times New Roman" w:hAnsi="Arial" w:cs="Arial"/>
                <w:sz w:val="22"/>
                <w:szCs w:val="22"/>
              </w:rPr>
              <w:t xml:space="preserve">) o Protocolo de Gerenciamento de Resíduos, que </w:t>
            </w:r>
            <w:r>
              <w:rPr>
                <w:rFonts w:ascii="Arial" w:eastAsia="Times New Roman" w:hAnsi="Arial" w:cs="Arial"/>
                <w:sz w:val="22"/>
                <w:szCs w:val="22"/>
              </w:rPr>
              <w:t>estará</w:t>
            </w:r>
            <w:r w:rsidRPr="00B707BC">
              <w:rPr>
                <w:rFonts w:ascii="Arial" w:eastAsia="Times New Roman" w:hAnsi="Arial" w:cs="Arial"/>
                <w:sz w:val="22"/>
                <w:szCs w:val="22"/>
              </w:rPr>
              <w:t xml:space="preserve"> em conformidade com a legislação brasileira. Além disso, o mutuário não pode exercer qualquer das seguintes atividades relacionadas com a operação e seus subprojetos: (i) </w:t>
            </w:r>
            <w:r>
              <w:rPr>
                <w:rFonts w:ascii="Arial" w:eastAsia="Times New Roman" w:hAnsi="Arial" w:cs="Arial"/>
                <w:sz w:val="22"/>
                <w:szCs w:val="22"/>
              </w:rPr>
              <w:t>desapropriação</w:t>
            </w:r>
            <w:r w:rsidRPr="00B707BC">
              <w:rPr>
                <w:rFonts w:ascii="Arial" w:eastAsia="Times New Roman" w:hAnsi="Arial" w:cs="Arial"/>
                <w:sz w:val="22"/>
                <w:szCs w:val="22"/>
              </w:rPr>
              <w:t xml:space="preserve">, </w:t>
            </w:r>
            <w:r>
              <w:rPr>
                <w:rFonts w:ascii="Arial" w:eastAsia="Times New Roman" w:hAnsi="Arial" w:cs="Arial"/>
                <w:sz w:val="22"/>
                <w:szCs w:val="22"/>
              </w:rPr>
              <w:t>aquisição,</w:t>
            </w:r>
            <w:r w:rsidRPr="00B707BC">
              <w:rPr>
                <w:rFonts w:ascii="Arial" w:eastAsia="Times New Roman" w:hAnsi="Arial" w:cs="Arial"/>
                <w:sz w:val="22"/>
                <w:szCs w:val="22"/>
              </w:rPr>
              <w:t xml:space="preserve"> ou </w:t>
            </w:r>
            <w:r>
              <w:rPr>
                <w:rFonts w:ascii="Arial" w:eastAsia="Times New Roman" w:hAnsi="Arial" w:cs="Arial"/>
                <w:sz w:val="22"/>
                <w:szCs w:val="22"/>
              </w:rPr>
              <w:t>arrendamento</w:t>
            </w:r>
            <w:r w:rsidRPr="00B707BC">
              <w:rPr>
                <w:rFonts w:ascii="Arial" w:eastAsia="Times New Roman" w:hAnsi="Arial" w:cs="Arial"/>
                <w:sz w:val="22"/>
                <w:szCs w:val="22"/>
              </w:rPr>
              <w:t xml:space="preserve"> de bens imóveis ou melhorias; (</w:t>
            </w:r>
            <w:proofErr w:type="spellStart"/>
            <w:r w:rsidRPr="00B707BC">
              <w:rPr>
                <w:rFonts w:ascii="Arial" w:eastAsia="Times New Roman" w:hAnsi="Arial" w:cs="Arial"/>
                <w:sz w:val="22"/>
                <w:szCs w:val="22"/>
              </w:rPr>
              <w:t>ii</w:t>
            </w:r>
            <w:proofErr w:type="spellEnd"/>
            <w:r w:rsidRPr="00B707BC">
              <w:rPr>
                <w:rFonts w:ascii="Arial" w:eastAsia="Times New Roman" w:hAnsi="Arial" w:cs="Arial"/>
                <w:sz w:val="22"/>
                <w:szCs w:val="22"/>
              </w:rPr>
              <w:t>) projetos que necessitem de reassentamento de famílias e atividades econômicas; (</w:t>
            </w:r>
            <w:proofErr w:type="spellStart"/>
            <w:r w:rsidRPr="00B707BC">
              <w:rPr>
                <w:rFonts w:ascii="Arial" w:eastAsia="Times New Roman" w:hAnsi="Arial" w:cs="Arial"/>
                <w:sz w:val="22"/>
                <w:szCs w:val="22"/>
              </w:rPr>
              <w:t>iii</w:t>
            </w:r>
            <w:proofErr w:type="spellEnd"/>
            <w:r w:rsidRPr="00B707BC">
              <w:rPr>
                <w:rFonts w:ascii="Arial" w:eastAsia="Times New Roman" w:hAnsi="Arial" w:cs="Arial"/>
                <w:sz w:val="22"/>
                <w:szCs w:val="22"/>
              </w:rPr>
              <w:t>) projetos em território</w:t>
            </w:r>
            <w:r>
              <w:rPr>
                <w:rFonts w:ascii="Arial" w:eastAsia="Times New Roman" w:hAnsi="Arial" w:cs="Arial"/>
                <w:sz w:val="22"/>
                <w:szCs w:val="22"/>
              </w:rPr>
              <w:t>s o terras</w:t>
            </w:r>
            <w:r w:rsidRPr="00B707BC">
              <w:rPr>
                <w:rFonts w:ascii="Arial" w:eastAsia="Times New Roman" w:hAnsi="Arial" w:cs="Arial"/>
                <w:sz w:val="22"/>
                <w:szCs w:val="22"/>
              </w:rPr>
              <w:t xml:space="preserve"> indígena</w:t>
            </w:r>
            <w:r>
              <w:rPr>
                <w:rFonts w:ascii="Arial" w:eastAsia="Times New Roman" w:hAnsi="Arial" w:cs="Arial"/>
                <w:sz w:val="22"/>
                <w:szCs w:val="22"/>
              </w:rPr>
              <w:t>s</w:t>
            </w:r>
            <w:r w:rsidRPr="00B707BC">
              <w:rPr>
                <w:rFonts w:ascii="Arial" w:eastAsia="Times New Roman" w:hAnsi="Arial" w:cs="Arial"/>
                <w:sz w:val="22"/>
                <w:szCs w:val="22"/>
              </w:rPr>
              <w:t>; (</w:t>
            </w:r>
            <w:proofErr w:type="spellStart"/>
            <w:r w:rsidRPr="00B707BC">
              <w:rPr>
                <w:rFonts w:ascii="Arial" w:eastAsia="Times New Roman" w:hAnsi="Arial" w:cs="Arial"/>
                <w:sz w:val="22"/>
                <w:szCs w:val="22"/>
              </w:rPr>
              <w:t>iv</w:t>
            </w:r>
            <w:proofErr w:type="spellEnd"/>
            <w:r w:rsidRPr="00B707BC">
              <w:rPr>
                <w:rFonts w:ascii="Arial" w:eastAsia="Times New Roman" w:hAnsi="Arial" w:cs="Arial"/>
                <w:sz w:val="22"/>
                <w:szCs w:val="22"/>
              </w:rPr>
              <w:t>) empreendimentos que impliquem impactos ambientais potenciais que requerem um Estudo de Impacto Ambiental (EIA / RIMA); e (v) manutenção de estradas pavimentadas com serviços como "operação buraco" ou similar, quando não há aumento de benefícios económicos futuros ou gerando aumento significativo na vida útil do bem</w:t>
            </w:r>
            <w:r>
              <w:rPr>
                <w:rFonts w:ascii="Arial" w:eastAsia="Times New Roman" w:hAnsi="Arial" w:cs="Arial"/>
                <w:sz w:val="22"/>
                <w:szCs w:val="22"/>
              </w:rPr>
              <w:t>.</w:t>
            </w:r>
          </w:p>
          <w:p w:rsidR="00B707BC" w:rsidRPr="0059399D" w:rsidRDefault="00B707BC" w:rsidP="00B707BC">
            <w:pPr>
              <w:ind w:right="165"/>
              <w:jc w:val="both"/>
              <w:rPr>
                <w:rFonts w:ascii="Arial" w:eastAsia="Times New Roman" w:hAnsi="Arial" w:cs="Arial"/>
                <w:sz w:val="22"/>
                <w:szCs w:val="22"/>
              </w:rPr>
            </w:pPr>
          </w:p>
          <w:p w:rsidR="006D5E30" w:rsidRPr="0059399D" w:rsidRDefault="006D5E30" w:rsidP="0065439D">
            <w:pPr>
              <w:rPr>
                <w:rFonts w:ascii="Arial" w:eastAsia="Times New Roman" w:hAnsi="Arial" w:cs="Arial"/>
                <w:sz w:val="22"/>
                <w:szCs w:val="22"/>
              </w:rPr>
            </w:pPr>
          </w:p>
        </w:tc>
      </w:tr>
      <w:tr w:rsidR="003931F4" w:rsidRPr="007134EC" w:rsidTr="001A4928">
        <w:trPr>
          <w:trHeight w:val="411"/>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rsidR="003931F4" w:rsidRPr="007134EC" w:rsidRDefault="003931F4" w:rsidP="003931F4">
            <w:pPr>
              <w:rPr>
                <w:rFonts w:ascii="Arial" w:eastAsia="Times New Roman" w:hAnsi="Arial" w:cs="Arial"/>
                <w:b/>
                <w:bCs/>
                <w:sz w:val="22"/>
                <w:szCs w:val="22"/>
              </w:rPr>
            </w:pPr>
            <w:r w:rsidRPr="007134EC">
              <w:rPr>
                <w:rFonts w:ascii="Arial" w:eastAsia="Times New Roman" w:hAnsi="Arial" w:cs="Arial"/>
                <w:b/>
                <w:bCs/>
                <w:sz w:val="22"/>
                <w:szCs w:val="22"/>
              </w:rPr>
              <w:t xml:space="preserve">3. </w:t>
            </w:r>
            <w:r w:rsidR="000B796E" w:rsidRPr="007134EC">
              <w:rPr>
                <w:rFonts w:ascii="Arial" w:eastAsia="Times New Roman" w:hAnsi="Arial" w:cs="Arial"/>
                <w:b/>
                <w:bCs/>
                <w:sz w:val="22"/>
                <w:szCs w:val="22"/>
              </w:rPr>
              <w:t>Descrição</w:t>
            </w:r>
            <w:r w:rsidRPr="007134EC">
              <w:rPr>
                <w:rFonts w:ascii="Arial" w:eastAsia="Times New Roman" w:hAnsi="Arial" w:cs="Arial"/>
                <w:b/>
                <w:bCs/>
                <w:sz w:val="22"/>
                <w:szCs w:val="22"/>
              </w:rPr>
              <w:t xml:space="preserve"> </w:t>
            </w:r>
            <w:r w:rsidR="000B796E" w:rsidRPr="007134EC">
              <w:rPr>
                <w:rFonts w:ascii="Arial" w:eastAsia="Times New Roman" w:hAnsi="Arial" w:cs="Arial"/>
                <w:b/>
                <w:bCs/>
                <w:sz w:val="22"/>
                <w:szCs w:val="22"/>
              </w:rPr>
              <w:t>da Operação</w:t>
            </w: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rsidR="00B831B4" w:rsidRPr="007134EC" w:rsidRDefault="003931F4" w:rsidP="00C62E4D">
            <w:pPr>
              <w:ind w:right="165"/>
              <w:jc w:val="both"/>
              <w:rPr>
                <w:rFonts w:ascii="Arial" w:eastAsia="Times New Roman" w:hAnsi="Arial" w:cs="Arial"/>
                <w:sz w:val="22"/>
                <w:szCs w:val="22"/>
              </w:rPr>
            </w:pPr>
            <w:r w:rsidRPr="007134EC">
              <w:rPr>
                <w:rFonts w:ascii="Arial" w:hAnsi="Arial" w:cs="Arial"/>
                <w:sz w:val="22"/>
                <w:szCs w:val="22"/>
              </w:rPr>
              <w:lastRenderedPageBreak/>
              <w:t xml:space="preserve">O Programa </w:t>
            </w:r>
            <w:r w:rsidR="00890D22" w:rsidRPr="007134EC">
              <w:rPr>
                <w:rFonts w:ascii="Arial" w:hAnsi="Arial" w:cs="Arial"/>
                <w:sz w:val="22"/>
                <w:szCs w:val="22"/>
              </w:rPr>
              <w:t xml:space="preserve">Eficiência Municipal </w:t>
            </w:r>
            <w:r w:rsidRPr="007134EC">
              <w:rPr>
                <w:rFonts w:ascii="Arial" w:hAnsi="Arial" w:cs="Arial"/>
                <w:sz w:val="22"/>
                <w:szCs w:val="22"/>
              </w:rPr>
              <w:t xml:space="preserve">busca apoiar a eficiência e melhora operacional de serviços públicos por meio de eficiência e incremento do uso de soluções inovadoras de infraestrutura sustentáveis. </w:t>
            </w:r>
            <w:r w:rsidR="00C62E4D" w:rsidRPr="007134EC">
              <w:rPr>
                <w:rFonts w:ascii="Arial" w:eastAsia="Times New Roman" w:hAnsi="Arial" w:cs="Arial"/>
                <w:sz w:val="22"/>
                <w:szCs w:val="22"/>
              </w:rPr>
              <w:t xml:space="preserve">O objetivo principal do Programa é a melhoria da eficiência na prestação de serviços públicos em municípios brasileiros, por meio do financiamento de investimentos em infraestrutura, contribuindo para o desenvolvimento socioeconômico e propiciando melhoria da qualidade de vida da população, além de viabilizar recursos para a implementação de políticas públicas sustentáveis ambientalmente. </w:t>
            </w:r>
          </w:p>
          <w:p w:rsidR="00B831B4" w:rsidRPr="007134EC" w:rsidRDefault="00B831B4" w:rsidP="00C62E4D">
            <w:pPr>
              <w:ind w:right="165"/>
              <w:jc w:val="both"/>
              <w:rPr>
                <w:rFonts w:ascii="Arial" w:eastAsia="Times New Roman" w:hAnsi="Arial" w:cs="Arial"/>
                <w:sz w:val="22"/>
                <w:szCs w:val="22"/>
              </w:rPr>
            </w:pPr>
          </w:p>
          <w:p w:rsidR="00C62E4D" w:rsidRPr="007134EC" w:rsidRDefault="00B831B4" w:rsidP="00C62E4D">
            <w:pPr>
              <w:ind w:right="165"/>
              <w:jc w:val="both"/>
              <w:rPr>
                <w:rFonts w:ascii="Arial" w:eastAsia="Times New Roman" w:hAnsi="Arial" w:cs="Arial"/>
                <w:sz w:val="22"/>
                <w:szCs w:val="22"/>
              </w:rPr>
            </w:pPr>
            <w:r w:rsidRPr="007134EC">
              <w:rPr>
                <w:rFonts w:ascii="Arial" w:eastAsia="Times New Roman" w:hAnsi="Arial" w:cs="Arial"/>
                <w:sz w:val="22"/>
                <w:szCs w:val="22"/>
              </w:rPr>
              <w:t>Os investimentos serão destinados a instituições da administração municipal em 3 setores: (i) eficiência energética; (</w:t>
            </w:r>
            <w:proofErr w:type="spellStart"/>
            <w:r w:rsidRPr="007134EC">
              <w:rPr>
                <w:rFonts w:ascii="Arial" w:eastAsia="Times New Roman" w:hAnsi="Arial" w:cs="Arial"/>
                <w:sz w:val="22"/>
                <w:szCs w:val="22"/>
              </w:rPr>
              <w:t>ii</w:t>
            </w:r>
            <w:proofErr w:type="spellEnd"/>
            <w:r w:rsidRPr="007134EC">
              <w:rPr>
                <w:rFonts w:ascii="Arial" w:eastAsia="Times New Roman" w:hAnsi="Arial" w:cs="Arial"/>
                <w:sz w:val="22"/>
                <w:szCs w:val="22"/>
              </w:rPr>
              <w:t xml:space="preserve">) Transporte e Mobilidade Urbana; </w:t>
            </w:r>
            <w:r w:rsidR="00E775CC" w:rsidRPr="007134EC">
              <w:rPr>
                <w:rFonts w:ascii="Arial" w:eastAsia="Times New Roman" w:hAnsi="Arial" w:cs="Arial"/>
                <w:sz w:val="22"/>
                <w:szCs w:val="22"/>
              </w:rPr>
              <w:t xml:space="preserve">e </w:t>
            </w:r>
            <w:r w:rsidRPr="007134EC">
              <w:rPr>
                <w:rFonts w:ascii="Arial" w:eastAsia="Times New Roman" w:hAnsi="Arial" w:cs="Arial"/>
                <w:sz w:val="22"/>
                <w:szCs w:val="22"/>
              </w:rPr>
              <w:t>(</w:t>
            </w:r>
            <w:proofErr w:type="spellStart"/>
            <w:r w:rsidRPr="007134EC">
              <w:rPr>
                <w:rFonts w:ascii="Arial" w:eastAsia="Times New Roman" w:hAnsi="Arial" w:cs="Arial"/>
                <w:sz w:val="22"/>
                <w:szCs w:val="22"/>
              </w:rPr>
              <w:t>iii</w:t>
            </w:r>
            <w:proofErr w:type="spellEnd"/>
            <w:r w:rsidRPr="007134EC">
              <w:rPr>
                <w:rFonts w:ascii="Arial" w:eastAsia="Times New Roman" w:hAnsi="Arial" w:cs="Arial"/>
                <w:sz w:val="22"/>
                <w:szCs w:val="22"/>
              </w:rPr>
              <w:t>) Água e Saneamento.</w:t>
            </w:r>
            <w:r w:rsidR="00BD03B8" w:rsidRPr="007134EC">
              <w:rPr>
                <w:rFonts w:ascii="Arial" w:eastAsia="Times New Roman" w:hAnsi="Arial" w:cs="Arial"/>
                <w:sz w:val="22"/>
                <w:szCs w:val="22"/>
              </w:rPr>
              <w:t xml:space="preserve"> </w:t>
            </w:r>
            <w:r w:rsidR="00C62E4D" w:rsidRPr="007134EC">
              <w:rPr>
                <w:rFonts w:ascii="Arial" w:eastAsia="Times New Roman" w:hAnsi="Arial" w:cs="Arial"/>
                <w:sz w:val="22"/>
                <w:szCs w:val="22"/>
              </w:rPr>
              <w:t>O período de execução é de 05 anos e são elegíveis ao Programa municípios com população inferior a 500.000 pessoas. Os valores de repasse na operação de credito estã</w:t>
            </w:r>
            <w:r w:rsidRPr="007134EC">
              <w:rPr>
                <w:rFonts w:ascii="Arial" w:eastAsia="Times New Roman" w:hAnsi="Arial" w:cs="Arial"/>
                <w:sz w:val="22"/>
                <w:szCs w:val="22"/>
              </w:rPr>
              <w:t>o</w:t>
            </w:r>
            <w:r w:rsidR="00C62E4D" w:rsidRPr="007134EC">
              <w:rPr>
                <w:rFonts w:ascii="Arial" w:eastAsia="Times New Roman" w:hAnsi="Arial" w:cs="Arial"/>
                <w:sz w:val="22"/>
                <w:szCs w:val="22"/>
              </w:rPr>
              <w:t xml:space="preserve"> identificados de acordo ao porte populacional de cada município, a saber:</w:t>
            </w:r>
          </w:p>
          <w:p w:rsidR="00C62E4D" w:rsidRPr="007134EC" w:rsidRDefault="00C62E4D" w:rsidP="00C62E4D">
            <w:pPr>
              <w:ind w:right="165"/>
              <w:jc w:val="both"/>
              <w:rPr>
                <w:rFonts w:ascii="Arial" w:eastAsia="Times New Roman" w:hAnsi="Arial" w:cs="Arial"/>
                <w:sz w:val="22"/>
                <w:szCs w:val="22"/>
              </w:rPr>
            </w:pPr>
          </w:p>
          <w:tbl>
            <w:tblPr>
              <w:tblW w:w="808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3402"/>
              <w:gridCol w:w="3686"/>
            </w:tblGrid>
            <w:tr w:rsidR="00B831B4" w:rsidRPr="007134EC" w:rsidTr="001D171A">
              <w:tc>
                <w:tcPr>
                  <w:tcW w:w="992" w:type="dxa"/>
                  <w:shd w:val="clear" w:color="auto" w:fill="auto"/>
                </w:tcPr>
                <w:p w:rsidR="00B831B4" w:rsidRPr="007134EC" w:rsidRDefault="00B831B4" w:rsidP="001D171A">
                  <w:pPr>
                    <w:tabs>
                      <w:tab w:val="left" w:pos="-720"/>
                    </w:tabs>
                    <w:suppressAutoHyphens/>
                    <w:ind w:right="-5"/>
                    <w:rPr>
                      <w:rFonts w:ascii="Arial" w:hAnsi="Arial" w:cs="Arial"/>
                      <w:color w:val="000000"/>
                      <w:position w:val="-24"/>
                    </w:rPr>
                  </w:pPr>
                  <w:r w:rsidRPr="007134EC">
                    <w:rPr>
                      <w:rFonts w:ascii="Arial" w:hAnsi="Arial" w:cs="Arial"/>
                      <w:color w:val="000000"/>
                      <w:position w:val="-24"/>
                    </w:rPr>
                    <w:t>Nível</w:t>
                  </w:r>
                </w:p>
              </w:tc>
              <w:tc>
                <w:tcPr>
                  <w:tcW w:w="3402" w:type="dxa"/>
                  <w:shd w:val="clear" w:color="auto" w:fill="auto"/>
                </w:tcPr>
                <w:p w:rsidR="00B831B4" w:rsidRPr="007134EC" w:rsidRDefault="00B831B4" w:rsidP="001D171A">
                  <w:pPr>
                    <w:tabs>
                      <w:tab w:val="left" w:pos="-720"/>
                    </w:tabs>
                    <w:suppressAutoHyphens/>
                    <w:ind w:right="-5"/>
                    <w:rPr>
                      <w:rFonts w:ascii="Arial" w:hAnsi="Arial" w:cs="Arial"/>
                      <w:color w:val="000000"/>
                      <w:position w:val="-24"/>
                    </w:rPr>
                  </w:pPr>
                  <w:r w:rsidRPr="007134EC">
                    <w:rPr>
                      <w:rFonts w:ascii="Arial" w:hAnsi="Arial" w:cs="Arial"/>
                      <w:color w:val="000000"/>
                      <w:position w:val="-24"/>
                    </w:rPr>
                    <w:t>População</w:t>
                  </w:r>
                </w:p>
              </w:tc>
              <w:tc>
                <w:tcPr>
                  <w:tcW w:w="3686" w:type="dxa"/>
                  <w:shd w:val="clear" w:color="auto" w:fill="auto"/>
                </w:tcPr>
                <w:p w:rsidR="00B831B4" w:rsidRPr="007134EC" w:rsidRDefault="00B831B4" w:rsidP="00B831B4">
                  <w:pPr>
                    <w:tabs>
                      <w:tab w:val="left" w:pos="-720"/>
                    </w:tabs>
                    <w:suppressAutoHyphens/>
                    <w:ind w:right="-5"/>
                    <w:rPr>
                      <w:rFonts w:ascii="Arial" w:hAnsi="Arial" w:cs="Arial"/>
                      <w:color w:val="000000"/>
                      <w:position w:val="-24"/>
                    </w:rPr>
                  </w:pPr>
                  <w:r w:rsidRPr="007134EC">
                    <w:rPr>
                      <w:rFonts w:ascii="Arial" w:hAnsi="Arial" w:cs="Arial"/>
                      <w:color w:val="000000"/>
                      <w:position w:val="-24"/>
                    </w:rPr>
                    <w:t xml:space="preserve">Teto máximo do empréstimo </w:t>
                  </w:r>
                </w:p>
              </w:tc>
            </w:tr>
            <w:tr w:rsidR="00B831B4" w:rsidRPr="007134EC" w:rsidTr="00B831B4">
              <w:tc>
                <w:tcPr>
                  <w:tcW w:w="992" w:type="dxa"/>
                  <w:shd w:val="clear" w:color="auto" w:fill="auto"/>
                  <w:vAlign w:val="center"/>
                </w:tcPr>
                <w:p w:rsidR="00B831B4" w:rsidRPr="007134EC" w:rsidRDefault="00B831B4" w:rsidP="00B831B4">
                  <w:pPr>
                    <w:tabs>
                      <w:tab w:val="left" w:pos="-720"/>
                    </w:tabs>
                    <w:suppressAutoHyphens/>
                    <w:ind w:right="-5"/>
                    <w:jc w:val="center"/>
                    <w:rPr>
                      <w:rFonts w:ascii="Arial" w:hAnsi="Arial" w:cs="Arial"/>
                      <w:color w:val="000000"/>
                      <w:position w:val="-24"/>
                    </w:rPr>
                  </w:pPr>
                  <w:r w:rsidRPr="007134EC">
                    <w:rPr>
                      <w:rFonts w:ascii="Arial" w:hAnsi="Arial" w:cs="Arial"/>
                      <w:color w:val="000000"/>
                      <w:position w:val="-24"/>
                    </w:rPr>
                    <w:t>1</w:t>
                  </w:r>
                </w:p>
              </w:tc>
              <w:tc>
                <w:tcPr>
                  <w:tcW w:w="3402" w:type="dxa"/>
                  <w:shd w:val="clear" w:color="auto" w:fill="auto"/>
                </w:tcPr>
                <w:p w:rsidR="00B831B4" w:rsidRPr="007134EC" w:rsidRDefault="00B831B4" w:rsidP="001D171A">
                  <w:pPr>
                    <w:tabs>
                      <w:tab w:val="left" w:pos="-720"/>
                    </w:tabs>
                    <w:suppressAutoHyphens/>
                    <w:ind w:right="-5"/>
                    <w:rPr>
                      <w:rFonts w:ascii="Arial" w:hAnsi="Arial" w:cs="Arial"/>
                      <w:color w:val="000000"/>
                      <w:position w:val="-24"/>
                    </w:rPr>
                  </w:pPr>
                  <w:r w:rsidRPr="007134EC">
                    <w:rPr>
                      <w:rFonts w:ascii="Arial" w:hAnsi="Arial" w:cs="Arial"/>
                      <w:color w:val="000000"/>
                      <w:position w:val="-24"/>
                    </w:rPr>
                    <w:t>Menos de 20 mil habitantes</w:t>
                  </w:r>
                </w:p>
              </w:tc>
              <w:tc>
                <w:tcPr>
                  <w:tcW w:w="3686" w:type="dxa"/>
                  <w:shd w:val="clear" w:color="auto" w:fill="auto"/>
                </w:tcPr>
                <w:p w:rsidR="00B831B4" w:rsidRPr="007134EC" w:rsidRDefault="00B831B4" w:rsidP="001D171A">
                  <w:pPr>
                    <w:tabs>
                      <w:tab w:val="left" w:pos="-720"/>
                    </w:tabs>
                    <w:suppressAutoHyphens/>
                    <w:ind w:right="-5"/>
                    <w:rPr>
                      <w:rFonts w:ascii="Arial" w:hAnsi="Arial" w:cs="Arial"/>
                      <w:color w:val="000000"/>
                      <w:position w:val="-24"/>
                    </w:rPr>
                  </w:pPr>
                  <w:r w:rsidRPr="007134EC">
                    <w:rPr>
                      <w:rFonts w:ascii="Arial" w:hAnsi="Arial" w:cs="Arial"/>
                      <w:color w:val="000000"/>
                      <w:position w:val="-24"/>
                    </w:rPr>
                    <w:t>US$    500.000</w:t>
                  </w:r>
                </w:p>
              </w:tc>
            </w:tr>
            <w:tr w:rsidR="00B831B4" w:rsidRPr="007134EC" w:rsidTr="00B831B4">
              <w:tc>
                <w:tcPr>
                  <w:tcW w:w="992" w:type="dxa"/>
                  <w:shd w:val="clear" w:color="auto" w:fill="auto"/>
                  <w:vAlign w:val="center"/>
                </w:tcPr>
                <w:p w:rsidR="00B831B4" w:rsidRPr="007134EC" w:rsidRDefault="00B831B4" w:rsidP="00B831B4">
                  <w:pPr>
                    <w:tabs>
                      <w:tab w:val="left" w:pos="-720"/>
                    </w:tabs>
                    <w:suppressAutoHyphens/>
                    <w:ind w:right="-5"/>
                    <w:jc w:val="center"/>
                    <w:rPr>
                      <w:rFonts w:ascii="Arial" w:hAnsi="Arial" w:cs="Arial"/>
                      <w:color w:val="000000"/>
                      <w:position w:val="-24"/>
                    </w:rPr>
                  </w:pPr>
                  <w:r w:rsidRPr="007134EC">
                    <w:rPr>
                      <w:rFonts w:ascii="Arial" w:hAnsi="Arial" w:cs="Arial"/>
                      <w:color w:val="000000"/>
                      <w:position w:val="-24"/>
                    </w:rPr>
                    <w:t>2</w:t>
                  </w:r>
                </w:p>
              </w:tc>
              <w:tc>
                <w:tcPr>
                  <w:tcW w:w="3402" w:type="dxa"/>
                  <w:shd w:val="clear" w:color="auto" w:fill="auto"/>
                </w:tcPr>
                <w:p w:rsidR="00B831B4" w:rsidRPr="007134EC" w:rsidRDefault="00B831B4" w:rsidP="00B831B4">
                  <w:pPr>
                    <w:tabs>
                      <w:tab w:val="left" w:pos="-720"/>
                    </w:tabs>
                    <w:suppressAutoHyphens/>
                    <w:ind w:right="-5"/>
                    <w:rPr>
                      <w:rFonts w:ascii="Arial" w:hAnsi="Arial" w:cs="Arial"/>
                      <w:color w:val="000000"/>
                      <w:position w:val="-24"/>
                    </w:rPr>
                  </w:pPr>
                  <w:r w:rsidRPr="007134EC">
                    <w:rPr>
                      <w:rFonts w:ascii="Arial" w:hAnsi="Arial" w:cs="Arial"/>
                      <w:color w:val="000000"/>
                      <w:position w:val="-24"/>
                    </w:rPr>
                    <w:t>Entre 20 mil e 50 mil habitantes</w:t>
                  </w:r>
                </w:p>
              </w:tc>
              <w:tc>
                <w:tcPr>
                  <w:tcW w:w="3686" w:type="dxa"/>
                  <w:shd w:val="clear" w:color="auto" w:fill="auto"/>
                </w:tcPr>
                <w:p w:rsidR="00B831B4" w:rsidRPr="007134EC" w:rsidRDefault="00B831B4" w:rsidP="001D171A">
                  <w:pPr>
                    <w:tabs>
                      <w:tab w:val="left" w:pos="-720"/>
                    </w:tabs>
                    <w:suppressAutoHyphens/>
                    <w:ind w:right="-5"/>
                    <w:rPr>
                      <w:rFonts w:ascii="Arial" w:hAnsi="Arial" w:cs="Arial"/>
                      <w:color w:val="000000"/>
                      <w:position w:val="-24"/>
                    </w:rPr>
                  </w:pPr>
                  <w:r w:rsidRPr="007134EC">
                    <w:rPr>
                      <w:rFonts w:ascii="Arial" w:hAnsi="Arial" w:cs="Arial"/>
                      <w:color w:val="000000"/>
                      <w:position w:val="-24"/>
                    </w:rPr>
                    <w:t>US$ 2.500.000</w:t>
                  </w:r>
                </w:p>
              </w:tc>
            </w:tr>
            <w:tr w:rsidR="00B831B4" w:rsidRPr="007134EC" w:rsidTr="00B831B4">
              <w:tc>
                <w:tcPr>
                  <w:tcW w:w="992" w:type="dxa"/>
                  <w:shd w:val="clear" w:color="auto" w:fill="auto"/>
                  <w:vAlign w:val="center"/>
                </w:tcPr>
                <w:p w:rsidR="00B831B4" w:rsidRPr="007134EC" w:rsidRDefault="00B831B4" w:rsidP="00B831B4">
                  <w:pPr>
                    <w:tabs>
                      <w:tab w:val="left" w:pos="-720"/>
                    </w:tabs>
                    <w:suppressAutoHyphens/>
                    <w:ind w:right="-5"/>
                    <w:jc w:val="center"/>
                    <w:rPr>
                      <w:rFonts w:ascii="Arial" w:hAnsi="Arial" w:cs="Arial"/>
                      <w:color w:val="000000"/>
                      <w:position w:val="-24"/>
                    </w:rPr>
                  </w:pPr>
                  <w:r w:rsidRPr="007134EC">
                    <w:rPr>
                      <w:rFonts w:ascii="Arial" w:hAnsi="Arial" w:cs="Arial"/>
                      <w:color w:val="000000"/>
                      <w:position w:val="-24"/>
                    </w:rPr>
                    <w:t>3</w:t>
                  </w:r>
                </w:p>
              </w:tc>
              <w:tc>
                <w:tcPr>
                  <w:tcW w:w="3402" w:type="dxa"/>
                  <w:shd w:val="clear" w:color="auto" w:fill="auto"/>
                </w:tcPr>
                <w:p w:rsidR="00B831B4" w:rsidRPr="007134EC" w:rsidRDefault="00B831B4" w:rsidP="00B831B4">
                  <w:pPr>
                    <w:tabs>
                      <w:tab w:val="left" w:pos="-720"/>
                    </w:tabs>
                    <w:suppressAutoHyphens/>
                    <w:ind w:right="-5"/>
                    <w:rPr>
                      <w:rFonts w:ascii="Arial" w:hAnsi="Arial" w:cs="Arial"/>
                      <w:color w:val="000000"/>
                      <w:position w:val="-24"/>
                    </w:rPr>
                  </w:pPr>
                  <w:r w:rsidRPr="007134EC">
                    <w:rPr>
                      <w:rFonts w:ascii="Arial" w:hAnsi="Arial" w:cs="Arial"/>
                      <w:color w:val="000000"/>
                      <w:position w:val="-24"/>
                    </w:rPr>
                    <w:t>Entre 50 mil e 500 mil habitantes</w:t>
                  </w:r>
                </w:p>
              </w:tc>
              <w:tc>
                <w:tcPr>
                  <w:tcW w:w="3686" w:type="dxa"/>
                  <w:shd w:val="clear" w:color="auto" w:fill="auto"/>
                </w:tcPr>
                <w:p w:rsidR="00B831B4" w:rsidRPr="007134EC" w:rsidRDefault="00B831B4" w:rsidP="001D171A">
                  <w:pPr>
                    <w:tabs>
                      <w:tab w:val="left" w:pos="-720"/>
                    </w:tabs>
                    <w:suppressAutoHyphens/>
                    <w:ind w:right="-5"/>
                    <w:rPr>
                      <w:rFonts w:ascii="Arial" w:hAnsi="Arial" w:cs="Arial"/>
                      <w:color w:val="000000"/>
                      <w:position w:val="-24"/>
                    </w:rPr>
                  </w:pPr>
                  <w:r w:rsidRPr="007134EC">
                    <w:rPr>
                      <w:rFonts w:ascii="Arial" w:hAnsi="Arial" w:cs="Arial"/>
                      <w:color w:val="000000"/>
                      <w:position w:val="-24"/>
                    </w:rPr>
                    <w:t>US$ 7.000.000</w:t>
                  </w:r>
                </w:p>
              </w:tc>
            </w:tr>
          </w:tbl>
          <w:p w:rsidR="00C62E4D" w:rsidRPr="007134EC" w:rsidRDefault="00C62E4D" w:rsidP="00C62E4D">
            <w:pPr>
              <w:ind w:right="165"/>
              <w:jc w:val="both"/>
              <w:rPr>
                <w:rFonts w:ascii="Arial" w:eastAsia="Times New Roman" w:hAnsi="Arial" w:cs="Arial"/>
                <w:sz w:val="22"/>
                <w:szCs w:val="22"/>
              </w:rPr>
            </w:pPr>
          </w:p>
          <w:p w:rsidR="00C62E4D" w:rsidRPr="007134EC" w:rsidRDefault="00C62E4D" w:rsidP="003931F4">
            <w:pPr>
              <w:ind w:right="165"/>
              <w:jc w:val="both"/>
              <w:rPr>
                <w:rFonts w:ascii="Arial" w:eastAsia="Times New Roman" w:hAnsi="Arial" w:cs="Arial"/>
                <w:sz w:val="22"/>
                <w:szCs w:val="22"/>
              </w:rPr>
            </w:pPr>
            <w:r w:rsidRPr="007134EC">
              <w:rPr>
                <w:rFonts w:ascii="Arial" w:eastAsia="Times New Roman" w:hAnsi="Arial" w:cs="Arial"/>
                <w:sz w:val="22"/>
                <w:szCs w:val="22"/>
              </w:rPr>
              <w:t>Os principais beneficiários são os governos municipais, que contarão com mais recursos para implantar suas políticas públicas e toda a população municipal, ao contar com melhores serviços públicos.</w:t>
            </w:r>
          </w:p>
          <w:p w:rsidR="00C62E4D" w:rsidRPr="007134EC" w:rsidRDefault="00C62E4D" w:rsidP="003931F4">
            <w:pPr>
              <w:ind w:right="165"/>
              <w:jc w:val="both"/>
              <w:rPr>
                <w:rFonts w:ascii="Arial" w:eastAsia="Times New Roman" w:hAnsi="Arial" w:cs="Arial"/>
                <w:sz w:val="22"/>
                <w:szCs w:val="22"/>
              </w:rPr>
            </w:pPr>
          </w:p>
          <w:p w:rsidR="003931F4" w:rsidRDefault="00E57B3F" w:rsidP="003931F4">
            <w:pPr>
              <w:ind w:right="165"/>
              <w:jc w:val="both"/>
              <w:rPr>
                <w:rFonts w:ascii="Arial" w:eastAsia="Times New Roman" w:hAnsi="Arial" w:cs="Arial"/>
                <w:sz w:val="22"/>
                <w:szCs w:val="22"/>
              </w:rPr>
            </w:pPr>
            <w:r>
              <w:rPr>
                <w:rFonts w:ascii="Arial" w:eastAsia="Times New Roman" w:hAnsi="Arial" w:cs="Arial"/>
                <w:sz w:val="22"/>
                <w:szCs w:val="22"/>
              </w:rPr>
              <w:t>O Programa também contempla o fortalecimento institucional do Banco do Brasil</w:t>
            </w:r>
            <w:r w:rsidR="00CC5511">
              <w:rPr>
                <w:rFonts w:ascii="Arial" w:eastAsia="Times New Roman" w:hAnsi="Arial" w:cs="Arial"/>
                <w:sz w:val="22"/>
                <w:szCs w:val="22"/>
              </w:rPr>
              <w:t xml:space="preserve">, o </w:t>
            </w:r>
            <w:r w:rsidR="00CD27DC" w:rsidRPr="007134EC">
              <w:rPr>
                <w:rFonts w:ascii="Arial" w:eastAsia="Times New Roman" w:hAnsi="Arial" w:cs="Arial"/>
                <w:sz w:val="22"/>
                <w:szCs w:val="22"/>
              </w:rPr>
              <w:t>incremento de metodologias de elaboração e seguimento de indicadores para o planejamento estratégico municipal; e capacitação do corpo técnico e disponibilização de recursos para a elaboração de planos e projetos</w:t>
            </w:r>
            <w:r w:rsidR="00B40277">
              <w:rPr>
                <w:rFonts w:ascii="Arial" w:eastAsia="Times New Roman" w:hAnsi="Arial" w:cs="Arial"/>
                <w:sz w:val="22"/>
                <w:szCs w:val="22"/>
              </w:rPr>
              <w:t>.</w:t>
            </w:r>
          </w:p>
          <w:p w:rsidR="00937B46" w:rsidRDefault="00937B46" w:rsidP="003931F4">
            <w:pPr>
              <w:ind w:right="165"/>
              <w:jc w:val="both"/>
              <w:rPr>
                <w:rFonts w:ascii="Arial" w:eastAsia="Times New Roman" w:hAnsi="Arial" w:cs="Arial"/>
                <w:sz w:val="22"/>
                <w:szCs w:val="22"/>
              </w:rPr>
            </w:pPr>
          </w:p>
          <w:p w:rsidR="00937B46" w:rsidRPr="007134EC" w:rsidRDefault="00937B46" w:rsidP="003931F4">
            <w:pPr>
              <w:ind w:right="165"/>
              <w:jc w:val="both"/>
              <w:rPr>
                <w:rFonts w:ascii="Arial" w:eastAsia="Times New Roman" w:hAnsi="Arial" w:cs="Arial"/>
                <w:sz w:val="22"/>
                <w:szCs w:val="22"/>
              </w:rPr>
            </w:pPr>
            <w:r>
              <w:rPr>
                <w:rFonts w:ascii="Arial" w:eastAsia="Times New Roman" w:hAnsi="Arial" w:cs="Arial"/>
                <w:sz w:val="22"/>
                <w:szCs w:val="22"/>
              </w:rPr>
              <w:t xml:space="preserve">Devido que o escopo do Programa inclui municípios em todo o Brasil, o contexto ambiental e social da Operação é variável, incluindo </w:t>
            </w:r>
            <w:r w:rsidR="00FE275E">
              <w:rPr>
                <w:rFonts w:ascii="Arial" w:eastAsia="Times New Roman" w:hAnsi="Arial" w:cs="Arial"/>
                <w:sz w:val="22"/>
                <w:szCs w:val="22"/>
              </w:rPr>
              <w:t>tantas áreas urbanas</w:t>
            </w:r>
            <w:r>
              <w:rPr>
                <w:rFonts w:ascii="Arial" w:eastAsia="Times New Roman" w:hAnsi="Arial" w:cs="Arial"/>
                <w:sz w:val="22"/>
                <w:szCs w:val="22"/>
              </w:rPr>
              <w:t xml:space="preserve">, </w:t>
            </w:r>
            <w:proofErr w:type="spellStart"/>
            <w:r w:rsidR="002331B2">
              <w:rPr>
                <w:rFonts w:ascii="Arial" w:eastAsia="Times New Roman" w:hAnsi="Arial" w:cs="Arial"/>
                <w:sz w:val="22"/>
                <w:szCs w:val="22"/>
              </w:rPr>
              <w:t>semi-urbanas</w:t>
            </w:r>
            <w:proofErr w:type="spellEnd"/>
            <w:r w:rsidR="002331B2">
              <w:rPr>
                <w:rFonts w:ascii="Arial" w:eastAsia="Times New Roman" w:hAnsi="Arial" w:cs="Arial"/>
                <w:sz w:val="22"/>
                <w:szCs w:val="22"/>
              </w:rPr>
              <w:t xml:space="preserve"> e rurais</w:t>
            </w:r>
            <w:r>
              <w:rPr>
                <w:rFonts w:ascii="Arial" w:eastAsia="Times New Roman" w:hAnsi="Arial" w:cs="Arial"/>
                <w:sz w:val="22"/>
                <w:szCs w:val="22"/>
              </w:rPr>
              <w:t xml:space="preserve">. </w:t>
            </w:r>
            <w:r w:rsidR="00991BBC">
              <w:rPr>
                <w:rFonts w:ascii="Arial" w:eastAsia="Times New Roman" w:hAnsi="Arial" w:cs="Arial"/>
                <w:sz w:val="22"/>
                <w:szCs w:val="22"/>
              </w:rPr>
              <w:t xml:space="preserve">Os critérios de elegibilidade estabelecem que </w:t>
            </w:r>
            <w:r w:rsidR="00D87D27">
              <w:rPr>
                <w:rFonts w:ascii="Arial" w:eastAsia="Times New Roman" w:hAnsi="Arial" w:cs="Arial"/>
                <w:sz w:val="22"/>
                <w:szCs w:val="22"/>
              </w:rPr>
              <w:t xml:space="preserve">são excluídas </w:t>
            </w:r>
            <w:r w:rsidR="00991BBC">
              <w:rPr>
                <w:rFonts w:ascii="Arial" w:eastAsia="Times New Roman" w:hAnsi="Arial" w:cs="Arial"/>
                <w:sz w:val="22"/>
                <w:szCs w:val="22"/>
              </w:rPr>
              <w:t xml:space="preserve">atividades que implicam em impactos em áreas protegidas e terras indígenas. </w:t>
            </w:r>
          </w:p>
          <w:p w:rsidR="003931F4" w:rsidRPr="007134EC" w:rsidRDefault="003931F4" w:rsidP="00AD264A">
            <w:pPr>
              <w:ind w:right="165"/>
              <w:jc w:val="both"/>
              <w:rPr>
                <w:rFonts w:ascii="Arial" w:eastAsia="Times New Roman" w:hAnsi="Arial" w:cs="Arial"/>
                <w:sz w:val="22"/>
                <w:szCs w:val="22"/>
              </w:rPr>
            </w:pPr>
          </w:p>
        </w:tc>
      </w:tr>
      <w:tr w:rsidR="003931F4" w:rsidRPr="007134EC" w:rsidTr="001A4928">
        <w:trPr>
          <w:trHeight w:val="40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rsidR="003931F4" w:rsidRPr="007134EC" w:rsidRDefault="003931F4" w:rsidP="00367FE5">
            <w:pPr>
              <w:rPr>
                <w:rFonts w:ascii="Arial" w:eastAsia="Times New Roman" w:hAnsi="Arial" w:cs="Arial"/>
                <w:b/>
                <w:bCs/>
                <w:sz w:val="22"/>
                <w:szCs w:val="22"/>
              </w:rPr>
            </w:pPr>
            <w:r w:rsidRPr="007134EC">
              <w:rPr>
                <w:rFonts w:ascii="Arial" w:eastAsia="Times New Roman" w:hAnsi="Arial" w:cs="Arial"/>
                <w:b/>
                <w:bCs/>
                <w:sz w:val="22"/>
                <w:szCs w:val="22"/>
              </w:rPr>
              <w:t>4. Impactos, R</w:t>
            </w:r>
            <w:r w:rsidR="00367FE5" w:rsidRPr="007134EC">
              <w:rPr>
                <w:rFonts w:ascii="Arial" w:eastAsia="Times New Roman" w:hAnsi="Arial" w:cs="Arial"/>
                <w:b/>
                <w:bCs/>
                <w:sz w:val="22"/>
                <w:szCs w:val="22"/>
              </w:rPr>
              <w:t xml:space="preserve">iscos e </w:t>
            </w:r>
            <w:r w:rsidRPr="007134EC">
              <w:rPr>
                <w:rFonts w:ascii="Arial" w:eastAsia="Times New Roman" w:hAnsi="Arial" w:cs="Arial"/>
                <w:b/>
                <w:bCs/>
                <w:sz w:val="22"/>
                <w:szCs w:val="22"/>
              </w:rPr>
              <w:t>Medidas de Mitiga</w:t>
            </w:r>
            <w:r w:rsidR="00367FE5" w:rsidRPr="007134EC">
              <w:rPr>
                <w:rFonts w:ascii="Arial" w:eastAsia="Times New Roman" w:hAnsi="Arial" w:cs="Arial"/>
                <w:b/>
                <w:bCs/>
                <w:sz w:val="22"/>
                <w:szCs w:val="22"/>
              </w:rPr>
              <w:t>ção</w:t>
            </w: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rsidR="003931F4" w:rsidRPr="007134EC" w:rsidRDefault="003931F4" w:rsidP="003931F4">
            <w:pPr>
              <w:ind w:right="165"/>
              <w:rPr>
                <w:rFonts w:ascii="Arial" w:eastAsia="Times New Roman" w:hAnsi="Arial" w:cs="Arial"/>
                <w:b/>
                <w:bCs/>
                <w:sz w:val="22"/>
                <w:szCs w:val="22"/>
              </w:rPr>
            </w:pPr>
            <w:r w:rsidRPr="007134EC">
              <w:rPr>
                <w:rFonts w:ascii="Arial" w:eastAsia="Times New Roman" w:hAnsi="Arial" w:cs="Arial"/>
                <w:b/>
                <w:bCs/>
                <w:sz w:val="22"/>
                <w:szCs w:val="22"/>
              </w:rPr>
              <w:t xml:space="preserve">Requisitos de </w:t>
            </w:r>
            <w:r w:rsidR="009A0691" w:rsidRPr="007134EC">
              <w:rPr>
                <w:rFonts w:ascii="Arial" w:eastAsia="Times New Roman" w:hAnsi="Arial" w:cs="Arial"/>
                <w:b/>
                <w:bCs/>
                <w:sz w:val="22"/>
                <w:szCs w:val="22"/>
              </w:rPr>
              <w:t>Avaliação</w:t>
            </w:r>
            <w:r w:rsidRPr="007134EC">
              <w:rPr>
                <w:rFonts w:ascii="Arial" w:eastAsia="Times New Roman" w:hAnsi="Arial" w:cs="Arial"/>
                <w:b/>
                <w:bCs/>
                <w:sz w:val="22"/>
                <w:szCs w:val="22"/>
                <w:vertAlign w:val="superscript"/>
              </w:rPr>
              <w:footnoteReference w:id="3"/>
            </w:r>
            <w:r w:rsidRPr="007134EC">
              <w:rPr>
                <w:rFonts w:ascii="Arial" w:eastAsia="Times New Roman" w:hAnsi="Arial" w:cs="Arial"/>
                <w:b/>
                <w:bCs/>
                <w:sz w:val="22"/>
                <w:szCs w:val="22"/>
              </w:rPr>
              <w:t xml:space="preserve"> </w:t>
            </w:r>
          </w:p>
          <w:p w:rsidR="003931F4" w:rsidRPr="007134EC" w:rsidRDefault="00BB5DA0" w:rsidP="007B46BC">
            <w:pPr>
              <w:ind w:right="165"/>
              <w:rPr>
                <w:rFonts w:ascii="Arial" w:eastAsia="Times New Roman" w:hAnsi="Arial" w:cs="Arial"/>
                <w:sz w:val="22"/>
                <w:szCs w:val="22"/>
              </w:rPr>
            </w:pPr>
            <w:r w:rsidRPr="00BB5DA0">
              <w:rPr>
                <w:rFonts w:ascii="Arial" w:eastAsia="Times New Roman" w:hAnsi="Arial" w:cs="Arial"/>
                <w:sz w:val="22"/>
                <w:szCs w:val="22"/>
              </w:rPr>
              <w:t xml:space="preserve">OP-703 (Política Ambiental e </w:t>
            </w:r>
            <w:r w:rsidR="00E7431F" w:rsidRPr="00114778">
              <w:rPr>
                <w:rFonts w:ascii="Arial" w:eastAsia="Times New Roman" w:hAnsi="Arial" w:cs="Arial"/>
                <w:sz w:val="22"/>
                <w:szCs w:val="22"/>
              </w:rPr>
              <w:t>Conformidade com Salvaguardas</w:t>
            </w:r>
            <w:r w:rsidRPr="00BB5DA0">
              <w:rPr>
                <w:rFonts w:ascii="Arial" w:eastAsia="Times New Roman" w:hAnsi="Arial" w:cs="Arial"/>
                <w:sz w:val="22"/>
                <w:szCs w:val="22"/>
              </w:rPr>
              <w:t>): B.3 (Pré-avaliação e Classificação), B.4 (Outros Fatores de Risco), B.5 (Requisitos de Avaliação e Planos Ambientais) e requisitos de Avaliação OP -710 (Política Operacional sobre Reassentamento Involuntário), OP-765 (Política Operacional sobre Povos Indígenas), OP-761 (Política Operacional sobre Igualdade de Gênero no Desenvolvimento) e OP-704 (Política de Gerenciamento de Riscos de Desastres Naturais) de ser aplicável.</w:t>
            </w: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C61BC5" w:rsidRPr="007134EC" w:rsidRDefault="00C61BC5" w:rsidP="00C61BC5">
            <w:pPr>
              <w:ind w:right="165"/>
              <w:contextualSpacing/>
              <w:jc w:val="both"/>
              <w:rPr>
                <w:rFonts w:ascii="Arial" w:eastAsia="Times New Roman" w:hAnsi="Arial" w:cs="Arial"/>
                <w:sz w:val="22"/>
                <w:szCs w:val="22"/>
                <w:shd w:val="clear" w:color="auto" w:fill="FFFFFF"/>
              </w:rPr>
            </w:pPr>
            <w:r w:rsidRPr="007134EC">
              <w:rPr>
                <w:rFonts w:ascii="Arial" w:eastAsia="Times New Roman" w:hAnsi="Arial" w:cs="Arial"/>
                <w:sz w:val="22"/>
                <w:szCs w:val="22"/>
                <w:shd w:val="clear" w:color="auto" w:fill="FFFFFF"/>
              </w:rPr>
              <w:t xml:space="preserve">A </w:t>
            </w:r>
            <w:r w:rsidR="00DE7017">
              <w:rPr>
                <w:rFonts w:ascii="Arial" w:eastAsia="Times New Roman" w:hAnsi="Arial" w:cs="Arial"/>
                <w:sz w:val="22"/>
                <w:szCs w:val="22"/>
                <w:shd w:val="clear" w:color="auto" w:fill="FFFFFF"/>
              </w:rPr>
              <w:t xml:space="preserve">Devida </w:t>
            </w:r>
            <w:r w:rsidR="00B530EF">
              <w:rPr>
                <w:rFonts w:ascii="Arial" w:eastAsia="Times New Roman" w:hAnsi="Arial" w:cs="Arial"/>
                <w:sz w:val="22"/>
                <w:szCs w:val="22"/>
                <w:shd w:val="clear" w:color="auto" w:fill="FFFFFF"/>
              </w:rPr>
              <w:t>Diligência</w:t>
            </w:r>
            <w:r w:rsidRPr="007134EC">
              <w:rPr>
                <w:rFonts w:ascii="Arial" w:eastAsia="Times New Roman" w:hAnsi="Arial" w:cs="Arial"/>
                <w:sz w:val="22"/>
                <w:szCs w:val="22"/>
                <w:shd w:val="clear" w:color="auto" w:fill="FFFFFF"/>
              </w:rPr>
              <w:t xml:space="preserve"> para o Programa </w:t>
            </w:r>
            <w:r w:rsidR="00DE7017">
              <w:rPr>
                <w:rFonts w:ascii="Arial" w:eastAsia="Times New Roman" w:hAnsi="Arial" w:cs="Arial"/>
                <w:sz w:val="22"/>
                <w:szCs w:val="22"/>
                <w:shd w:val="clear" w:color="auto" w:fill="FFFFFF"/>
              </w:rPr>
              <w:t>confirmou</w:t>
            </w:r>
            <w:r w:rsidRPr="007134EC">
              <w:rPr>
                <w:rFonts w:ascii="Arial" w:eastAsia="Times New Roman" w:hAnsi="Arial" w:cs="Arial"/>
                <w:sz w:val="22"/>
                <w:szCs w:val="22"/>
                <w:shd w:val="clear" w:color="auto" w:fill="FFFFFF"/>
              </w:rPr>
              <w:t xml:space="preserve"> </w:t>
            </w:r>
            <w:r w:rsidR="00E1602D" w:rsidRPr="007134EC">
              <w:rPr>
                <w:rFonts w:ascii="Arial" w:eastAsia="Times New Roman" w:hAnsi="Arial" w:cs="Arial"/>
                <w:sz w:val="22"/>
                <w:szCs w:val="22"/>
                <w:shd w:val="clear" w:color="auto" w:fill="FFFFFF"/>
              </w:rPr>
              <w:t xml:space="preserve">alguns </w:t>
            </w:r>
            <w:r w:rsidRPr="007134EC">
              <w:rPr>
                <w:rFonts w:ascii="Arial" w:eastAsia="Times New Roman" w:hAnsi="Arial" w:cs="Arial"/>
                <w:sz w:val="22"/>
                <w:szCs w:val="22"/>
                <w:shd w:val="clear" w:color="auto" w:fill="FFFFFF"/>
              </w:rPr>
              <w:t>potenciais riscos e impactos de menor magnitude e incidência, como se aponta a seguir. Considerando que os investimentos a financiar se limitam à aquisição de máquinas e equipamentos e sua instalação, e porque não são elegíveis investimentos que contemplem atividades construtivas e que gerem impactos ou risco que requeiram a realização de EIA/RIMA, os impactos serão de caráter local, temporário e mitigáveis por meio da aplicação de práticas da boa engenharia, bem como por ações especificas</w:t>
            </w:r>
            <w:r w:rsidR="00E1602D" w:rsidRPr="007134EC">
              <w:rPr>
                <w:rFonts w:ascii="Arial" w:eastAsia="Times New Roman" w:hAnsi="Arial" w:cs="Arial"/>
                <w:sz w:val="22"/>
                <w:szCs w:val="22"/>
                <w:shd w:val="clear" w:color="auto" w:fill="FFFFFF"/>
              </w:rPr>
              <w:t>, como segue</w:t>
            </w:r>
            <w:r w:rsidRPr="007134EC">
              <w:rPr>
                <w:rFonts w:ascii="Arial" w:eastAsia="Times New Roman" w:hAnsi="Arial" w:cs="Arial"/>
                <w:sz w:val="22"/>
                <w:szCs w:val="22"/>
                <w:shd w:val="clear" w:color="auto" w:fill="FFFFFF"/>
              </w:rPr>
              <w:t xml:space="preserve">. </w:t>
            </w:r>
          </w:p>
          <w:p w:rsidR="00C61BC5" w:rsidRPr="007134EC" w:rsidRDefault="00C61BC5" w:rsidP="00C61BC5">
            <w:pPr>
              <w:ind w:right="165"/>
              <w:contextualSpacing/>
              <w:jc w:val="both"/>
              <w:rPr>
                <w:rFonts w:ascii="Arial" w:eastAsia="Times New Roman" w:hAnsi="Arial" w:cs="Arial"/>
                <w:sz w:val="22"/>
                <w:szCs w:val="22"/>
                <w:shd w:val="clear" w:color="auto" w:fill="FFFFFF"/>
              </w:rPr>
            </w:pPr>
          </w:p>
          <w:p w:rsidR="00C61BC5" w:rsidRPr="007134EC" w:rsidRDefault="00C61BC5" w:rsidP="00C61BC5">
            <w:pPr>
              <w:ind w:right="165"/>
              <w:contextualSpacing/>
              <w:jc w:val="both"/>
              <w:rPr>
                <w:rFonts w:ascii="Arial" w:eastAsia="Times New Roman" w:hAnsi="Arial" w:cs="Arial"/>
                <w:sz w:val="22"/>
                <w:szCs w:val="22"/>
                <w:shd w:val="clear" w:color="auto" w:fill="FFFFFF"/>
              </w:rPr>
            </w:pPr>
            <w:r w:rsidRPr="007134EC">
              <w:rPr>
                <w:rFonts w:ascii="Arial" w:eastAsia="Times New Roman" w:hAnsi="Arial" w:cs="Arial"/>
                <w:sz w:val="22"/>
                <w:szCs w:val="22"/>
                <w:shd w:val="clear" w:color="auto" w:fill="FFFFFF"/>
              </w:rPr>
              <w:t>Em sua maioria os possíveis impactos estarão relacionados à gestão de resíduos como (i) metal, vidro, plástico, equipamentos eletrônicos e pneus; (</w:t>
            </w:r>
            <w:proofErr w:type="spellStart"/>
            <w:r w:rsidRPr="007134EC">
              <w:rPr>
                <w:rFonts w:ascii="Arial" w:eastAsia="Times New Roman" w:hAnsi="Arial" w:cs="Arial"/>
                <w:sz w:val="22"/>
                <w:szCs w:val="22"/>
                <w:shd w:val="clear" w:color="auto" w:fill="FFFFFF"/>
              </w:rPr>
              <w:t>ii</w:t>
            </w:r>
            <w:proofErr w:type="spellEnd"/>
            <w:r w:rsidRPr="007134EC">
              <w:rPr>
                <w:rFonts w:ascii="Arial" w:eastAsia="Times New Roman" w:hAnsi="Arial" w:cs="Arial"/>
                <w:sz w:val="22"/>
                <w:szCs w:val="22"/>
                <w:shd w:val="clear" w:color="auto" w:fill="FFFFFF"/>
              </w:rPr>
              <w:t xml:space="preserve">) resíduos perigosos como gases de refrigeração que podem afetas a camada de ozônio (CFC, </w:t>
            </w:r>
            <w:r w:rsidR="00994EB4" w:rsidRPr="007134EC">
              <w:rPr>
                <w:rFonts w:ascii="Arial" w:eastAsia="Times New Roman" w:hAnsi="Arial" w:cs="Arial"/>
                <w:sz w:val="22"/>
                <w:szCs w:val="22"/>
                <w:shd w:val="clear" w:color="auto" w:fill="FFFFFF"/>
              </w:rPr>
              <w:t>HCFC e outros</w:t>
            </w:r>
            <w:r w:rsidRPr="007134EC">
              <w:rPr>
                <w:rFonts w:ascii="Arial" w:eastAsia="Times New Roman" w:hAnsi="Arial" w:cs="Arial"/>
                <w:sz w:val="22"/>
                <w:szCs w:val="22"/>
                <w:shd w:val="clear" w:color="auto" w:fill="FFFFFF"/>
              </w:rPr>
              <w:t xml:space="preserve">) e vapor de mercúrio contido nas lâmpadas fluorescentes e metais pesados e ácidos associados a baterias veiculares; </w:t>
            </w:r>
            <w:r w:rsidRPr="007134EC">
              <w:rPr>
                <w:rFonts w:ascii="Arial" w:eastAsia="Times New Roman" w:hAnsi="Arial" w:cs="Arial"/>
                <w:sz w:val="22"/>
                <w:szCs w:val="22"/>
                <w:shd w:val="clear" w:color="auto" w:fill="FFFFFF"/>
              </w:rPr>
              <w:lastRenderedPageBreak/>
              <w:t>(</w:t>
            </w:r>
            <w:proofErr w:type="spellStart"/>
            <w:r w:rsidRPr="007134EC">
              <w:rPr>
                <w:rFonts w:ascii="Arial" w:eastAsia="Times New Roman" w:hAnsi="Arial" w:cs="Arial"/>
                <w:sz w:val="22"/>
                <w:szCs w:val="22"/>
                <w:shd w:val="clear" w:color="auto" w:fill="FFFFFF"/>
              </w:rPr>
              <w:t>iii</w:t>
            </w:r>
            <w:proofErr w:type="spellEnd"/>
            <w:r w:rsidRPr="007134EC">
              <w:rPr>
                <w:rFonts w:ascii="Arial" w:eastAsia="Times New Roman" w:hAnsi="Arial" w:cs="Arial"/>
                <w:sz w:val="22"/>
                <w:szCs w:val="22"/>
                <w:shd w:val="clear" w:color="auto" w:fill="FFFFFF"/>
              </w:rPr>
              <w:t xml:space="preserve">) resíduos líquidos como gasolina, óleo lubrificante e seu descarte, que podem contaminar o solo e recursos hídricos. </w:t>
            </w:r>
          </w:p>
          <w:p w:rsidR="00C61BC5" w:rsidRPr="007134EC" w:rsidRDefault="00C61BC5" w:rsidP="00C61BC5">
            <w:pPr>
              <w:ind w:right="165"/>
              <w:contextualSpacing/>
              <w:jc w:val="both"/>
              <w:rPr>
                <w:rFonts w:ascii="Arial" w:eastAsia="Times New Roman" w:hAnsi="Arial" w:cs="Arial"/>
                <w:sz w:val="22"/>
                <w:szCs w:val="22"/>
                <w:shd w:val="clear" w:color="auto" w:fill="FFFFFF"/>
              </w:rPr>
            </w:pPr>
          </w:p>
          <w:p w:rsidR="00C61BC5" w:rsidRDefault="00C61BC5" w:rsidP="00C61BC5">
            <w:pPr>
              <w:ind w:right="165"/>
              <w:contextualSpacing/>
              <w:jc w:val="both"/>
              <w:rPr>
                <w:rFonts w:ascii="Arial" w:eastAsia="Times New Roman" w:hAnsi="Arial" w:cs="Arial"/>
                <w:sz w:val="22"/>
                <w:szCs w:val="22"/>
                <w:shd w:val="clear" w:color="auto" w:fill="FFFFFF"/>
              </w:rPr>
            </w:pPr>
            <w:r w:rsidRPr="007134EC">
              <w:rPr>
                <w:rFonts w:ascii="Arial" w:eastAsia="Times New Roman" w:hAnsi="Arial" w:cs="Arial"/>
                <w:sz w:val="22"/>
                <w:szCs w:val="22"/>
                <w:shd w:val="clear" w:color="auto" w:fill="FFFFFF"/>
              </w:rPr>
              <w:t>Os possíveis riscos ambientais e sociais do Programa se limitam a: (i) riscos ocupacionais devido ao vazamento e possibilidade de incêndio durante o manuseio, armazenamento e transporte de resíduos; (</w:t>
            </w:r>
            <w:proofErr w:type="spellStart"/>
            <w:r w:rsidRPr="007134EC">
              <w:rPr>
                <w:rFonts w:ascii="Arial" w:eastAsia="Times New Roman" w:hAnsi="Arial" w:cs="Arial"/>
                <w:sz w:val="22"/>
                <w:szCs w:val="22"/>
                <w:shd w:val="clear" w:color="auto" w:fill="FFFFFF"/>
              </w:rPr>
              <w:t>ii</w:t>
            </w:r>
            <w:proofErr w:type="spellEnd"/>
            <w:r w:rsidRPr="007134EC">
              <w:rPr>
                <w:rFonts w:ascii="Arial" w:eastAsia="Times New Roman" w:hAnsi="Arial" w:cs="Arial"/>
                <w:sz w:val="22"/>
                <w:szCs w:val="22"/>
                <w:shd w:val="clear" w:color="auto" w:fill="FFFFFF"/>
              </w:rPr>
              <w:t>) risco de vazamento durante o transporte desses resíduos na ocorrência de desastre natural como inundações.</w:t>
            </w:r>
          </w:p>
          <w:p w:rsidR="00FF3279" w:rsidRDefault="00FF3279" w:rsidP="00C61BC5">
            <w:pPr>
              <w:ind w:right="165"/>
              <w:contextualSpacing/>
              <w:jc w:val="both"/>
              <w:rPr>
                <w:rFonts w:ascii="Arial" w:eastAsia="Times New Roman" w:hAnsi="Arial" w:cs="Arial"/>
                <w:sz w:val="22"/>
                <w:szCs w:val="22"/>
                <w:shd w:val="clear" w:color="auto" w:fill="FFFFFF"/>
              </w:rPr>
            </w:pPr>
          </w:p>
          <w:p w:rsidR="00FF3279" w:rsidRPr="0070586A" w:rsidRDefault="00FF3279" w:rsidP="0070586A">
            <w:pPr>
              <w:rPr>
                <w:rFonts w:ascii="Arial" w:eastAsia="Times New Roman" w:hAnsi="Arial" w:cs="Arial"/>
                <w:sz w:val="22"/>
                <w:szCs w:val="22"/>
              </w:rPr>
            </w:pPr>
            <w:r w:rsidRPr="00515376">
              <w:rPr>
                <w:rFonts w:ascii="Arial" w:eastAsia="Times New Roman" w:hAnsi="Arial" w:cs="Arial"/>
                <w:sz w:val="22"/>
                <w:szCs w:val="22"/>
              </w:rPr>
              <w:t>O Banco do Brasil e o BID acordaram que a gestão ambiental e social do Programa será liderada pelo Banco do Brasil em conformidade com as leis nacionais</w:t>
            </w:r>
            <w:r>
              <w:rPr>
                <w:rFonts w:ascii="Arial" w:eastAsia="Times New Roman" w:hAnsi="Arial" w:cs="Arial"/>
                <w:sz w:val="22"/>
                <w:szCs w:val="22"/>
              </w:rPr>
              <w:t xml:space="preserve">, estaduais, e municipais do </w:t>
            </w:r>
            <w:r w:rsidRPr="00515376">
              <w:rPr>
                <w:rFonts w:ascii="Arial" w:eastAsia="Times New Roman" w:hAnsi="Arial" w:cs="Arial"/>
                <w:sz w:val="22"/>
                <w:szCs w:val="22"/>
              </w:rPr>
              <w:t xml:space="preserve">Brasil e com as </w:t>
            </w:r>
            <w:r>
              <w:rPr>
                <w:rFonts w:ascii="Arial" w:eastAsia="Times New Roman" w:hAnsi="Arial" w:cs="Arial"/>
                <w:sz w:val="22"/>
                <w:szCs w:val="22"/>
              </w:rPr>
              <w:t>P</w:t>
            </w:r>
            <w:r w:rsidRPr="00515376">
              <w:rPr>
                <w:rFonts w:ascii="Arial" w:eastAsia="Times New Roman" w:hAnsi="Arial" w:cs="Arial"/>
                <w:sz w:val="22"/>
                <w:szCs w:val="22"/>
              </w:rPr>
              <w:t xml:space="preserve">olíticas de </w:t>
            </w:r>
            <w:r>
              <w:rPr>
                <w:rFonts w:ascii="Arial" w:eastAsia="Times New Roman" w:hAnsi="Arial" w:cs="Arial"/>
                <w:sz w:val="22"/>
                <w:szCs w:val="22"/>
              </w:rPr>
              <w:t>S</w:t>
            </w:r>
            <w:r w:rsidRPr="00515376">
              <w:rPr>
                <w:rFonts w:ascii="Arial" w:eastAsia="Times New Roman" w:hAnsi="Arial" w:cs="Arial"/>
                <w:sz w:val="22"/>
                <w:szCs w:val="22"/>
              </w:rPr>
              <w:t xml:space="preserve">alvaguardas do BID. Um Analise de Brechas entre o </w:t>
            </w:r>
            <w:r w:rsidRPr="007134EC">
              <w:rPr>
                <w:rFonts w:ascii="Arial" w:eastAsia="Times New Roman" w:hAnsi="Arial" w:cs="Arial"/>
                <w:sz w:val="22"/>
                <w:szCs w:val="22"/>
              </w:rPr>
              <w:t xml:space="preserve">Sistema de Avaliação de Riscos Ambientais e Sociais (SARAS) </w:t>
            </w:r>
            <w:r w:rsidRPr="00515376">
              <w:rPr>
                <w:rFonts w:ascii="Arial" w:eastAsia="Times New Roman" w:hAnsi="Arial" w:cs="Arial"/>
                <w:sz w:val="22"/>
                <w:szCs w:val="22"/>
              </w:rPr>
              <w:t xml:space="preserve">do Banco do Brasil e as Políticas de Salvaguardas do BID demostrou um alto grau de </w:t>
            </w:r>
            <w:r>
              <w:rPr>
                <w:rFonts w:ascii="Arial" w:eastAsia="Times New Roman" w:hAnsi="Arial" w:cs="Arial"/>
                <w:sz w:val="22"/>
                <w:szCs w:val="22"/>
              </w:rPr>
              <w:t>alinhamento</w:t>
            </w:r>
            <w:r w:rsidRPr="00515376">
              <w:rPr>
                <w:rFonts w:ascii="Arial" w:eastAsia="Times New Roman" w:hAnsi="Arial" w:cs="Arial"/>
                <w:sz w:val="22"/>
                <w:szCs w:val="22"/>
              </w:rPr>
              <w:t xml:space="preserve"> sobretudo quando relacionado com as atividades a serem financiadas pelo Programa</w:t>
            </w:r>
            <w:r>
              <w:rPr>
                <w:rFonts w:ascii="Arial" w:eastAsia="Times New Roman" w:hAnsi="Arial" w:cs="Arial"/>
                <w:sz w:val="22"/>
                <w:szCs w:val="22"/>
              </w:rPr>
              <w:t>, salvo em relação à Politica OP-703 (B.10 e B.11) no que diz respeito a gestão de resíduos</w:t>
            </w:r>
            <w:r w:rsidRPr="00515376">
              <w:rPr>
                <w:rFonts w:ascii="Arial" w:eastAsia="Times New Roman" w:hAnsi="Arial" w:cs="Arial"/>
                <w:sz w:val="22"/>
                <w:szCs w:val="22"/>
              </w:rPr>
              <w:t xml:space="preserve">. O </w:t>
            </w:r>
            <w:r>
              <w:rPr>
                <w:rFonts w:ascii="Arial" w:eastAsia="Times New Roman" w:hAnsi="Arial" w:cs="Arial"/>
                <w:sz w:val="22"/>
                <w:szCs w:val="22"/>
              </w:rPr>
              <w:t>SARAS</w:t>
            </w:r>
            <w:r w:rsidRPr="00515376">
              <w:rPr>
                <w:rFonts w:ascii="Arial" w:eastAsia="Times New Roman" w:hAnsi="Arial" w:cs="Arial"/>
                <w:sz w:val="22"/>
                <w:szCs w:val="22"/>
              </w:rPr>
              <w:t xml:space="preserve"> do Banco do Brasil servirá como o </w:t>
            </w:r>
            <w:r>
              <w:rPr>
                <w:rFonts w:ascii="Arial" w:eastAsia="Times New Roman" w:hAnsi="Arial" w:cs="Arial"/>
                <w:sz w:val="22"/>
                <w:szCs w:val="22"/>
              </w:rPr>
              <w:t>Sistema de Gestão Ambiental e Social (</w:t>
            </w:r>
            <w:r w:rsidRPr="00515376">
              <w:rPr>
                <w:rFonts w:ascii="Arial" w:eastAsia="Times New Roman" w:hAnsi="Arial" w:cs="Arial"/>
                <w:sz w:val="22"/>
                <w:szCs w:val="22"/>
              </w:rPr>
              <w:t>SGAS</w:t>
            </w:r>
            <w:r>
              <w:rPr>
                <w:rFonts w:ascii="Arial" w:eastAsia="Times New Roman" w:hAnsi="Arial" w:cs="Arial"/>
                <w:sz w:val="22"/>
                <w:szCs w:val="22"/>
              </w:rPr>
              <w:t>)</w:t>
            </w:r>
            <w:r w:rsidRPr="00515376">
              <w:rPr>
                <w:rFonts w:ascii="Arial" w:eastAsia="Times New Roman" w:hAnsi="Arial" w:cs="Arial"/>
                <w:sz w:val="22"/>
                <w:szCs w:val="22"/>
              </w:rPr>
              <w:t xml:space="preserve"> para a presente Operação. </w:t>
            </w:r>
            <w:r>
              <w:rPr>
                <w:rFonts w:ascii="Arial" w:eastAsia="Times New Roman" w:hAnsi="Arial" w:cs="Arial"/>
                <w:sz w:val="22"/>
                <w:szCs w:val="22"/>
              </w:rPr>
              <w:t>A i</w:t>
            </w:r>
            <w:r w:rsidRPr="00515376">
              <w:rPr>
                <w:rFonts w:ascii="Arial" w:eastAsia="Times New Roman" w:hAnsi="Arial" w:cs="Arial"/>
                <w:sz w:val="22"/>
                <w:szCs w:val="22"/>
              </w:rPr>
              <w:t xml:space="preserve">mplementação do </w:t>
            </w:r>
            <w:r>
              <w:rPr>
                <w:rFonts w:ascii="Arial" w:eastAsia="Times New Roman" w:hAnsi="Arial" w:cs="Arial"/>
                <w:sz w:val="22"/>
                <w:szCs w:val="22"/>
              </w:rPr>
              <w:t>SARAS</w:t>
            </w:r>
            <w:r w:rsidRPr="00515376">
              <w:rPr>
                <w:rFonts w:ascii="Arial" w:eastAsia="Times New Roman" w:hAnsi="Arial" w:cs="Arial"/>
                <w:sz w:val="22"/>
                <w:szCs w:val="22"/>
              </w:rPr>
              <w:t xml:space="preserve"> do Banco do Brasil, e </w:t>
            </w:r>
            <w:r>
              <w:rPr>
                <w:rFonts w:ascii="Arial" w:eastAsia="Times New Roman" w:hAnsi="Arial" w:cs="Arial"/>
                <w:sz w:val="22"/>
                <w:szCs w:val="22"/>
              </w:rPr>
              <w:t xml:space="preserve">a </w:t>
            </w:r>
            <w:r w:rsidRPr="00515376">
              <w:rPr>
                <w:rFonts w:ascii="Arial" w:eastAsia="Times New Roman" w:hAnsi="Arial" w:cs="Arial"/>
                <w:sz w:val="22"/>
                <w:szCs w:val="22"/>
              </w:rPr>
              <w:t>implementação d</w:t>
            </w:r>
            <w:r>
              <w:rPr>
                <w:rFonts w:ascii="Arial" w:eastAsia="Times New Roman" w:hAnsi="Arial" w:cs="Arial"/>
                <w:sz w:val="22"/>
                <w:szCs w:val="22"/>
              </w:rPr>
              <w:t xml:space="preserve">o </w:t>
            </w:r>
            <w:r w:rsidRPr="00515376">
              <w:rPr>
                <w:rFonts w:ascii="Arial" w:eastAsia="Times New Roman" w:hAnsi="Arial" w:cs="Arial"/>
                <w:sz w:val="22"/>
                <w:szCs w:val="22"/>
              </w:rPr>
              <w:t xml:space="preserve">Protocolo de Gestão de Resíduos </w:t>
            </w:r>
            <w:r>
              <w:rPr>
                <w:rFonts w:ascii="Arial" w:eastAsia="Times New Roman" w:hAnsi="Arial" w:cs="Arial"/>
                <w:sz w:val="22"/>
                <w:szCs w:val="22"/>
              </w:rPr>
              <w:t xml:space="preserve">que foi </w:t>
            </w:r>
            <w:r w:rsidRPr="00515376">
              <w:rPr>
                <w:rFonts w:ascii="Arial" w:eastAsia="Times New Roman" w:hAnsi="Arial" w:cs="Arial"/>
                <w:sz w:val="22"/>
                <w:szCs w:val="22"/>
              </w:rPr>
              <w:t xml:space="preserve">desenvolvido para o Programa, assegurarão a conformidade com as Políticas de Salvaguardas durante a vida do empréstimo. </w:t>
            </w:r>
          </w:p>
          <w:p w:rsidR="00C61BC5" w:rsidRPr="007134EC" w:rsidRDefault="00C61BC5" w:rsidP="00C61BC5">
            <w:pPr>
              <w:ind w:right="165"/>
              <w:contextualSpacing/>
              <w:jc w:val="both"/>
              <w:rPr>
                <w:rFonts w:ascii="Arial" w:eastAsia="Times New Roman" w:hAnsi="Arial" w:cs="Arial"/>
                <w:sz w:val="22"/>
                <w:szCs w:val="22"/>
                <w:shd w:val="clear" w:color="auto" w:fill="FFFFFF"/>
              </w:rPr>
            </w:pPr>
          </w:p>
          <w:p w:rsidR="00D31F08" w:rsidRPr="007134EC" w:rsidRDefault="00360D46" w:rsidP="00EF225D">
            <w:pPr>
              <w:ind w:right="165"/>
              <w:contextualSpacing/>
              <w:jc w:val="both"/>
              <w:rPr>
                <w:rFonts w:ascii="Arial" w:eastAsia="Times New Roman" w:hAnsi="Arial" w:cs="Arial"/>
                <w:sz w:val="22"/>
                <w:szCs w:val="22"/>
                <w:shd w:val="clear" w:color="auto" w:fill="FFFFFF"/>
              </w:rPr>
            </w:pPr>
            <w:r w:rsidRPr="007134EC">
              <w:rPr>
                <w:rFonts w:ascii="Arial" w:eastAsia="Times New Roman" w:hAnsi="Arial" w:cs="Arial"/>
                <w:sz w:val="22"/>
                <w:szCs w:val="22"/>
                <w:shd w:val="clear" w:color="auto" w:fill="FFFFFF"/>
              </w:rPr>
              <w:t>Em 2005 o</w:t>
            </w:r>
            <w:r w:rsidR="00EF225D" w:rsidRPr="007134EC">
              <w:rPr>
                <w:rFonts w:ascii="Arial" w:eastAsia="Times New Roman" w:hAnsi="Arial" w:cs="Arial"/>
                <w:sz w:val="22"/>
                <w:szCs w:val="22"/>
                <w:shd w:val="clear" w:color="auto" w:fill="FFFFFF"/>
              </w:rPr>
              <w:t xml:space="preserve"> Banco do Brasil implantou</w:t>
            </w:r>
            <w:r w:rsidRPr="007134EC">
              <w:rPr>
                <w:rFonts w:ascii="Arial" w:eastAsia="Times New Roman" w:hAnsi="Arial" w:cs="Arial"/>
                <w:sz w:val="22"/>
                <w:szCs w:val="22"/>
                <w:shd w:val="clear" w:color="auto" w:fill="FFFFFF"/>
              </w:rPr>
              <w:t xml:space="preserve"> o</w:t>
            </w:r>
            <w:r w:rsidR="00EF225D" w:rsidRPr="007134EC">
              <w:rPr>
                <w:rFonts w:ascii="Arial" w:hAnsi="Arial" w:cs="Arial"/>
                <w:sz w:val="22"/>
                <w:szCs w:val="22"/>
              </w:rPr>
              <w:t xml:space="preserve"> </w:t>
            </w:r>
            <w:r w:rsidR="00EF225D" w:rsidRPr="007134EC">
              <w:rPr>
                <w:rFonts w:ascii="Arial" w:eastAsia="Times New Roman" w:hAnsi="Arial" w:cs="Arial"/>
                <w:sz w:val="22"/>
                <w:szCs w:val="22"/>
                <w:shd w:val="clear" w:color="auto" w:fill="FFFFFF"/>
              </w:rPr>
              <w:t>Sistema de Avaliação de Riscos Ambientais e Sociais (SARAS), resultado de sua adesão aos Princípios do Equador</w:t>
            </w:r>
            <w:r w:rsidRPr="007134EC">
              <w:rPr>
                <w:rFonts w:ascii="Arial" w:eastAsia="Times New Roman" w:hAnsi="Arial" w:cs="Arial"/>
                <w:sz w:val="22"/>
                <w:szCs w:val="22"/>
                <w:shd w:val="clear" w:color="auto" w:fill="FFFFFF"/>
              </w:rPr>
              <w:t>, que possui um</w:t>
            </w:r>
            <w:r w:rsidR="00EF225D" w:rsidRPr="007134EC">
              <w:rPr>
                <w:rFonts w:ascii="Arial" w:eastAsia="Times New Roman" w:hAnsi="Arial" w:cs="Arial"/>
                <w:sz w:val="22"/>
                <w:szCs w:val="22"/>
                <w:shd w:val="clear" w:color="auto" w:fill="FFFFFF"/>
              </w:rPr>
              <w:t xml:space="preserve"> </w:t>
            </w:r>
            <w:r w:rsidRPr="007134EC">
              <w:rPr>
                <w:rFonts w:ascii="Arial" w:eastAsia="Times New Roman" w:hAnsi="Arial" w:cs="Arial"/>
                <w:sz w:val="22"/>
                <w:szCs w:val="22"/>
                <w:shd w:val="clear" w:color="auto" w:fill="FFFFFF"/>
              </w:rPr>
              <w:t xml:space="preserve">conjunto de critérios socioambientais referenciado pelos Padrões de Desempenho da </w:t>
            </w:r>
            <w:proofErr w:type="spellStart"/>
            <w:r w:rsidRPr="007134EC">
              <w:rPr>
                <w:rFonts w:ascii="Arial" w:eastAsia="Times New Roman" w:hAnsi="Arial" w:cs="Arial"/>
                <w:i/>
                <w:sz w:val="22"/>
                <w:szCs w:val="22"/>
                <w:shd w:val="clear" w:color="auto" w:fill="FFFFFF"/>
              </w:rPr>
              <w:t>International</w:t>
            </w:r>
            <w:proofErr w:type="spellEnd"/>
            <w:r w:rsidRPr="007134EC">
              <w:rPr>
                <w:rFonts w:ascii="Arial" w:eastAsia="Times New Roman" w:hAnsi="Arial" w:cs="Arial"/>
                <w:i/>
                <w:sz w:val="22"/>
                <w:szCs w:val="22"/>
                <w:shd w:val="clear" w:color="auto" w:fill="FFFFFF"/>
              </w:rPr>
              <w:t xml:space="preserve"> Finance Corporation </w:t>
            </w:r>
            <w:r w:rsidRPr="007134EC">
              <w:rPr>
                <w:rFonts w:ascii="Arial" w:eastAsia="Times New Roman" w:hAnsi="Arial" w:cs="Arial"/>
                <w:sz w:val="22"/>
                <w:szCs w:val="22"/>
                <w:shd w:val="clear" w:color="auto" w:fill="FFFFFF"/>
              </w:rPr>
              <w:t xml:space="preserve">para avaliação de projetos e investimentos. </w:t>
            </w:r>
            <w:r w:rsidR="00D31F08" w:rsidRPr="007134EC">
              <w:rPr>
                <w:rFonts w:ascii="Arial" w:eastAsia="Times New Roman" w:hAnsi="Arial" w:cs="Arial"/>
                <w:sz w:val="22"/>
                <w:szCs w:val="22"/>
                <w:shd w:val="clear" w:color="auto" w:fill="FFFFFF"/>
              </w:rPr>
              <w:t>O BB também é signatário dos Princípios de Investimento Responsável (PRI) e participa do Programa brasileiro de controle de gases de efeito estufa (</w:t>
            </w:r>
            <w:r w:rsidR="00D31F08" w:rsidRPr="007134EC">
              <w:rPr>
                <w:rFonts w:ascii="Arial" w:eastAsia="Times New Roman" w:hAnsi="Arial" w:cs="Arial"/>
                <w:i/>
                <w:sz w:val="22"/>
                <w:szCs w:val="22"/>
                <w:shd w:val="clear" w:color="auto" w:fill="FFFFFF"/>
              </w:rPr>
              <w:t xml:space="preserve">GHG </w:t>
            </w:r>
            <w:proofErr w:type="spellStart"/>
            <w:r w:rsidR="00D31F08" w:rsidRPr="007134EC">
              <w:rPr>
                <w:rFonts w:ascii="Arial" w:eastAsia="Times New Roman" w:hAnsi="Arial" w:cs="Arial"/>
                <w:i/>
                <w:sz w:val="22"/>
                <w:szCs w:val="22"/>
                <w:shd w:val="clear" w:color="auto" w:fill="FFFFFF"/>
              </w:rPr>
              <w:t>Protocol</w:t>
            </w:r>
            <w:proofErr w:type="spellEnd"/>
            <w:r w:rsidR="00D31F08" w:rsidRPr="007134EC">
              <w:rPr>
                <w:rFonts w:ascii="Arial" w:eastAsia="Times New Roman" w:hAnsi="Arial" w:cs="Arial"/>
                <w:sz w:val="22"/>
                <w:szCs w:val="22"/>
                <w:shd w:val="clear" w:color="auto" w:fill="FFFFFF"/>
              </w:rPr>
              <w:t>).</w:t>
            </w:r>
          </w:p>
          <w:p w:rsidR="00AF7061" w:rsidRPr="007134EC" w:rsidRDefault="00AF7061" w:rsidP="00EF225D">
            <w:pPr>
              <w:ind w:right="165"/>
              <w:contextualSpacing/>
              <w:jc w:val="both"/>
              <w:rPr>
                <w:rFonts w:ascii="Arial" w:eastAsia="Times New Roman" w:hAnsi="Arial" w:cs="Arial"/>
                <w:sz w:val="22"/>
                <w:szCs w:val="22"/>
                <w:shd w:val="clear" w:color="auto" w:fill="FFFFFF"/>
              </w:rPr>
            </w:pPr>
          </w:p>
          <w:p w:rsidR="00BA35AA" w:rsidRDefault="00360D46" w:rsidP="00BA35AA">
            <w:pPr>
              <w:ind w:right="165"/>
              <w:contextualSpacing/>
              <w:jc w:val="both"/>
              <w:rPr>
                <w:rFonts w:ascii="Arial" w:eastAsia="Helvetica" w:hAnsi="Arial" w:cs="Arial"/>
                <w:sz w:val="22"/>
                <w:szCs w:val="22"/>
              </w:rPr>
            </w:pPr>
            <w:r w:rsidRPr="007134EC">
              <w:rPr>
                <w:rFonts w:ascii="Arial" w:eastAsia="Times New Roman" w:hAnsi="Arial" w:cs="Arial"/>
                <w:sz w:val="22"/>
                <w:szCs w:val="22"/>
                <w:shd w:val="clear" w:color="auto" w:fill="FFFFFF"/>
              </w:rPr>
              <w:t xml:space="preserve">Da aplicação do SARAS resulta uma avaliação de risco socioambiental, </w:t>
            </w:r>
            <w:r w:rsidR="00D31F08" w:rsidRPr="007134EC">
              <w:rPr>
                <w:rFonts w:ascii="Arial" w:eastAsia="Times New Roman" w:hAnsi="Arial" w:cs="Arial"/>
                <w:sz w:val="22"/>
                <w:szCs w:val="22"/>
                <w:shd w:val="clear" w:color="auto" w:fill="FFFFFF"/>
              </w:rPr>
              <w:t xml:space="preserve">incrementada </w:t>
            </w:r>
            <w:r w:rsidRPr="007134EC">
              <w:rPr>
                <w:rFonts w:ascii="Arial" w:eastAsia="Times New Roman" w:hAnsi="Arial" w:cs="Arial"/>
                <w:sz w:val="22"/>
                <w:szCs w:val="22"/>
                <w:shd w:val="clear" w:color="auto" w:fill="FFFFFF"/>
              </w:rPr>
              <w:t xml:space="preserve">a partir de 2015, com a aprovação de uma Política de Responsabilidade Socioambiental, </w:t>
            </w:r>
            <w:r w:rsidRPr="007134EC">
              <w:rPr>
                <w:rFonts w:ascii="Arial" w:eastAsia="Helvetica" w:hAnsi="Arial" w:cs="Arial"/>
                <w:sz w:val="22"/>
                <w:szCs w:val="22"/>
              </w:rPr>
              <w:t>reforçando seu compromisso com a gestão de riscos socioambientais.</w:t>
            </w:r>
            <w:r w:rsidR="00BA35AA" w:rsidRPr="007134EC">
              <w:rPr>
                <w:rFonts w:ascii="Arial" w:eastAsia="Helvetica" w:hAnsi="Arial" w:cs="Arial"/>
                <w:sz w:val="22"/>
                <w:szCs w:val="22"/>
              </w:rPr>
              <w:t xml:space="preserve"> Essa Política compreende os seguintes temas: Governança; Ética; Gestão de riscos socioambientais; Atuaçã</w:t>
            </w:r>
            <w:r w:rsidR="00C61BC5" w:rsidRPr="007134EC">
              <w:rPr>
                <w:rFonts w:ascii="Arial" w:eastAsia="Helvetica" w:hAnsi="Arial" w:cs="Arial"/>
                <w:sz w:val="22"/>
                <w:szCs w:val="22"/>
              </w:rPr>
              <w:t>o junto a públicos de interesse;</w:t>
            </w:r>
            <w:r w:rsidR="00BA35AA" w:rsidRPr="007134EC">
              <w:rPr>
                <w:rFonts w:ascii="Arial" w:eastAsia="Helvetica" w:hAnsi="Arial" w:cs="Arial"/>
                <w:sz w:val="22"/>
                <w:szCs w:val="22"/>
              </w:rPr>
              <w:t xml:space="preserve"> Promoção de desenvolvimento sustentável; e Aproveitamento de oportunidades relacionadas à sustentabilidade.</w:t>
            </w:r>
          </w:p>
          <w:p w:rsidR="004E6887" w:rsidRDefault="004E6887" w:rsidP="00BA35AA">
            <w:pPr>
              <w:ind w:right="165"/>
              <w:contextualSpacing/>
              <w:jc w:val="both"/>
              <w:rPr>
                <w:rFonts w:ascii="Arial" w:eastAsia="Helvetica" w:hAnsi="Arial" w:cs="Arial"/>
                <w:sz w:val="22"/>
                <w:szCs w:val="22"/>
              </w:rPr>
            </w:pPr>
          </w:p>
          <w:p w:rsidR="004E6887" w:rsidRPr="004E6887" w:rsidRDefault="004E6887" w:rsidP="00BA35AA">
            <w:pPr>
              <w:ind w:right="165"/>
              <w:contextualSpacing/>
              <w:jc w:val="both"/>
              <w:rPr>
                <w:rFonts w:ascii="Arial" w:eastAsia="Times New Roman" w:hAnsi="Arial" w:cs="Arial"/>
                <w:sz w:val="22"/>
                <w:szCs w:val="22"/>
              </w:rPr>
            </w:pPr>
            <w:r w:rsidRPr="007134EC">
              <w:rPr>
                <w:rFonts w:ascii="Arial" w:eastAsia="Times New Roman" w:hAnsi="Arial" w:cs="Arial"/>
                <w:sz w:val="22"/>
                <w:szCs w:val="22"/>
              </w:rPr>
              <w:t xml:space="preserve">Ademais, o Banco do Brasil conta com uma </w:t>
            </w:r>
            <w:r w:rsidR="00B530EF" w:rsidRPr="007134EC">
              <w:rPr>
                <w:rFonts w:ascii="Arial" w:eastAsia="Times New Roman" w:hAnsi="Arial" w:cs="Arial"/>
                <w:sz w:val="22"/>
                <w:szCs w:val="22"/>
              </w:rPr>
              <w:t>Gerência</w:t>
            </w:r>
            <w:r w:rsidRPr="007134EC">
              <w:rPr>
                <w:rFonts w:ascii="Arial" w:eastAsia="Times New Roman" w:hAnsi="Arial" w:cs="Arial"/>
                <w:sz w:val="22"/>
                <w:szCs w:val="22"/>
              </w:rPr>
              <w:t xml:space="preserve"> de Inovação e Responsabilidade Socioambiental (GIRS) vinculada à área de Estratégia e Organização, que responde diretamente à Presidência do BB. Essa gerência é responsável pelas diretrizes de sustentabilidade ambiental e social do BB.  </w:t>
            </w:r>
          </w:p>
          <w:p w:rsidR="00C61BC5" w:rsidRPr="007134EC" w:rsidRDefault="00C61BC5" w:rsidP="00EF225D">
            <w:pPr>
              <w:ind w:right="165"/>
              <w:contextualSpacing/>
              <w:jc w:val="both"/>
              <w:rPr>
                <w:rFonts w:ascii="Arial" w:eastAsia="Times New Roman" w:hAnsi="Arial" w:cs="Arial"/>
                <w:sz w:val="22"/>
                <w:szCs w:val="22"/>
              </w:rPr>
            </w:pPr>
          </w:p>
          <w:p w:rsidR="00C61BC5" w:rsidRDefault="00C61BC5" w:rsidP="00EF225D">
            <w:pPr>
              <w:ind w:right="165"/>
              <w:contextualSpacing/>
              <w:jc w:val="both"/>
              <w:rPr>
                <w:rFonts w:ascii="Arial" w:eastAsia="Times New Roman" w:hAnsi="Arial" w:cs="Arial"/>
                <w:sz w:val="22"/>
                <w:szCs w:val="22"/>
              </w:rPr>
            </w:pPr>
            <w:r w:rsidRPr="007134EC">
              <w:rPr>
                <w:rFonts w:ascii="Arial" w:eastAsia="Times New Roman" w:hAnsi="Arial" w:cs="Arial"/>
                <w:sz w:val="22"/>
                <w:szCs w:val="22"/>
              </w:rPr>
              <w:t xml:space="preserve">Para operações de credito de grande porte e tipologia específica o BB realiza </w:t>
            </w:r>
            <w:r w:rsidR="00B530EF" w:rsidRPr="007134EC">
              <w:rPr>
                <w:rFonts w:ascii="Arial" w:eastAsia="Times New Roman" w:hAnsi="Arial" w:cs="Arial"/>
                <w:sz w:val="22"/>
                <w:szCs w:val="22"/>
              </w:rPr>
              <w:t>diligência</w:t>
            </w:r>
            <w:r w:rsidRPr="007134EC">
              <w:rPr>
                <w:rFonts w:ascii="Arial" w:eastAsia="Times New Roman" w:hAnsi="Arial" w:cs="Arial"/>
                <w:sz w:val="22"/>
                <w:szCs w:val="22"/>
              </w:rPr>
              <w:t xml:space="preserve"> ambiental e social completa, de acordo às especificações da GIRS. Para operações de pequeno porte e com a tipologia de intervenção como as que integram o presente Programa, não há necessidade de análises adicionais àquelas que as intervenções devem cumprir no processo de licenciamento ambiental.  Atividades de pequeno porte, de manutenção de infraestrutura ou aquisição de equipamentos usualmente só recebem Licença Prévia e de Instalação, e ao final da instalação, ocorre a emissão de Licença de Operação.</w:t>
            </w:r>
          </w:p>
          <w:p w:rsidR="008107FF" w:rsidRDefault="008107FF" w:rsidP="00EF225D">
            <w:pPr>
              <w:ind w:right="165"/>
              <w:contextualSpacing/>
              <w:jc w:val="both"/>
              <w:rPr>
                <w:rFonts w:ascii="Arial" w:eastAsia="Times New Roman" w:hAnsi="Arial" w:cs="Arial"/>
                <w:sz w:val="22"/>
                <w:szCs w:val="22"/>
              </w:rPr>
            </w:pPr>
          </w:p>
          <w:p w:rsidR="008107FF" w:rsidRPr="009A6F3A" w:rsidRDefault="008107FF" w:rsidP="00EF225D">
            <w:pPr>
              <w:ind w:right="165"/>
              <w:contextualSpacing/>
              <w:jc w:val="both"/>
              <w:rPr>
                <w:rFonts w:ascii="Arial" w:eastAsia="Times New Roman" w:hAnsi="Arial" w:cs="Arial"/>
                <w:sz w:val="22"/>
                <w:szCs w:val="22"/>
              </w:rPr>
            </w:pPr>
            <w:r>
              <w:rPr>
                <w:rFonts w:ascii="Arial" w:eastAsia="Helvetica" w:hAnsi="Arial" w:cs="Arial"/>
                <w:sz w:val="22"/>
                <w:szCs w:val="22"/>
              </w:rPr>
              <w:t>Para assegurar o cumprimento da Operação com a Política OP-703 (B.</w:t>
            </w:r>
            <w:r w:rsidR="007E7ECA">
              <w:rPr>
                <w:rFonts w:ascii="Arial" w:eastAsia="Helvetica" w:hAnsi="Arial" w:cs="Arial"/>
                <w:sz w:val="22"/>
                <w:szCs w:val="22"/>
              </w:rPr>
              <w:t>2, B.4</w:t>
            </w:r>
            <w:r>
              <w:rPr>
                <w:rFonts w:ascii="Arial" w:eastAsia="Helvetica" w:hAnsi="Arial" w:cs="Arial"/>
                <w:sz w:val="22"/>
                <w:szCs w:val="22"/>
              </w:rPr>
              <w:t>) durante a vida do empréstimo, o Banco do Brasil deveria</w:t>
            </w:r>
            <w:r w:rsidR="009A6F3A">
              <w:rPr>
                <w:rFonts w:ascii="Arial" w:eastAsia="Helvetica" w:hAnsi="Arial" w:cs="Arial"/>
                <w:sz w:val="22"/>
                <w:szCs w:val="22"/>
              </w:rPr>
              <w:t xml:space="preserve"> implementar os procedimentos aplicáveis de seu SARAS, </w:t>
            </w:r>
            <w:r w:rsidR="00E17AAC">
              <w:rPr>
                <w:rFonts w:ascii="Arial" w:eastAsia="Helvetica" w:hAnsi="Arial" w:cs="Arial"/>
                <w:sz w:val="22"/>
                <w:szCs w:val="22"/>
              </w:rPr>
              <w:t xml:space="preserve">apresentando as </w:t>
            </w:r>
            <w:r w:rsidR="00E17AAC" w:rsidRPr="007134EC">
              <w:rPr>
                <w:rFonts w:ascii="Arial" w:hAnsi="Arial" w:cs="Arial"/>
                <w:sz w:val="22"/>
                <w:szCs w:val="22"/>
              </w:rPr>
              <w:t>licenças ambientais pertinentes</w:t>
            </w:r>
            <w:r w:rsidR="00E17AAC">
              <w:rPr>
                <w:rFonts w:ascii="Arial" w:hAnsi="Arial" w:cs="Arial"/>
                <w:sz w:val="22"/>
                <w:szCs w:val="22"/>
              </w:rPr>
              <w:t xml:space="preserve"> (</w:t>
            </w:r>
            <w:r w:rsidR="00E17AAC" w:rsidRPr="007134EC">
              <w:rPr>
                <w:rFonts w:ascii="Arial" w:hAnsi="Arial" w:cs="Arial"/>
                <w:sz w:val="22"/>
                <w:szCs w:val="22"/>
              </w:rPr>
              <w:t>Licença Previa/ LP e Licença de Instalação/LI</w:t>
            </w:r>
            <w:r w:rsidR="00E17AAC">
              <w:rPr>
                <w:rFonts w:ascii="Arial" w:hAnsi="Arial" w:cs="Arial"/>
                <w:sz w:val="22"/>
                <w:szCs w:val="22"/>
              </w:rPr>
              <w:t xml:space="preserve">), </w:t>
            </w:r>
            <w:r w:rsidR="009A6F3A">
              <w:rPr>
                <w:rFonts w:ascii="Arial" w:eastAsia="Helvetica" w:hAnsi="Arial" w:cs="Arial"/>
                <w:sz w:val="22"/>
                <w:szCs w:val="22"/>
              </w:rPr>
              <w:t>al</w:t>
            </w:r>
            <w:r w:rsidR="009A6F3A" w:rsidRPr="009A6F3A">
              <w:rPr>
                <w:rFonts w:ascii="Arial" w:eastAsia="Helvetica" w:hAnsi="Arial" w:cs="Arial"/>
                <w:sz w:val="22"/>
                <w:szCs w:val="22"/>
              </w:rPr>
              <w:t>é</w:t>
            </w:r>
            <w:r w:rsidR="009A6F3A">
              <w:rPr>
                <w:rFonts w:ascii="Arial" w:eastAsia="Helvetica" w:hAnsi="Arial" w:cs="Arial"/>
                <w:sz w:val="22"/>
                <w:szCs w:val="22"/>
              </w:rPr>
              <w:t xml:space="preserve">m </w:t>
            </w:r>
            <w:r w:rsidR="00315C12">
              <w:rPr>
                <w:rFonts w:ascii="Arial" w:eastAsia="Helvetica" w:hAnsi="Arial" w:cs="Arial"/>
                <w:sz w:val="22"/>
                <w:szCs w:val="22"/>
              </w:rPr>
              <w:t>de implementar as</w:t>
            </w:r>
            <w:r w:rsidR="009A6F3A">
              <w:rPr>
                <w:rFonts w:ascii="Arial" w:eastAsia="Helvetica" w:hAnsi="Arial" w:cs="Arial"/>
                <w:sz w:val="22"/>
                <w:szCs w:val="22"/>
              </w:rPr>
              <w:t xml:space="preserve"> ações </w:t>
            </w:r>
            <w:r w:rsidR="0074110C">
              <w:rPr>
                <w:rFonts w:ascii="Arial" w:eastAsia="Helvetica" w:hAnsi="Arial" w:cs="Arial"/>
                <w:sz w:val="22"/>
                <w:szCs w:val="22"/>
              </w:rPr>
              <w:t xml:space="preserve">definidas no Regulamento </w:t>
            </w:r>
            <w:r w:rsidR="00676A19">
              <w:rPr>
                <w:rFonts w:ascii="Arial" w:eastAsia="Helvetica" w:hAnsi="Arial" w:cs="Arial"/>
                <w:sz w:val="22"/>
                <w:szCs w:val="22"/>
              </w:rPr>
              <w:t>Operacional</w:t>
            </w:r>
            <w:r w:rsidR="0074110C">
              <w:rPr>
                <w:rFonts w:ascii="Arial" w:eastAsia="Helvetica" w:hAnsi="Arial" w:cs="Arial"/>
                <w:sz w:val="22"/>
                <w:szCs w:val="22"/>
              </w:rPr>
              <w:t xml:space="preserve"> do Programa.</w:t>
            </w:r>
          </w:p>
          <w:p w:rsidR="003931F4" w:rsidRPr="007134EC" w:rsidRDefault="003931F4" w:rsidP="00365851">
            <w:pPr>
              <w:ind w:right="165"/>
              <w:contextualSpacing/>
              <w:jc w:val="both"/>
              <w:rPr>
                <w:rFonts w:ascii="Arial" w:eastAsia="Times New Roman" w:hAnsi="Arial" w:cs="Arial"/>
                <w:sz w:val="22"/>
                <w:szCs w:val="22"/>
              </w:rPr>
            </w:pPr>
          </w:p>
        </w:tc>
      </w:tr>
      <w:tr w:rsidR="00F21B69" w:rsidRPr="007134EC" w:rsidTr="007E33BF">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rsidR="00F21B69" w:rsidRPr="007134EC" w:rsidRDefault="00F21B69" w:rsidP="007E33BF">
            <w:pPr>
              <w:ind w:right="165"/>
              <w:jc w:val="both"/>
              <w:rPr>
                <w:rFonts w:ascii="Arial" w:eastAsia="Times New Roman" w:hAnsi="Arial" w:cs="Arial"/>
                <w:b/>
                <w:bCs/>
                <w:sz w:val="22"/>
                <w:szCs w:val="22"/>
              </w:rPr>
            </w:pPr>
            <w:r w:rsidRPr="007134EC">
              <w:rPr>
                <w:rFonts w:ascii="Arial" w:eastAsia="Times New Roman" w:hAnsi="Arial" w:cs="Arial"/>
                <w:b/>
                <w:bCs/>
                <w:sz w:val="22"/>
                <w:szCs w:val="22"/>
              </w:rPr>
              <w:lastRenderedPageBreak/>
              <w:t>Consultas</w:t>
            </w:r>
          </w:p>
          <w:p w:rsidR="00F21B69" w:rsidRPr="007134EC" w:rsidRDefault="002B4A39" w:rsidP="007E33BF">
            <w:pPr>
              <w:ind w:right="165"/>
              <w:jc w:val="both"/>
              <w:rPr>
                <w:rFonts w:ascii="Arial" w:eastAsia="Times New Roman" w:hAnsi="Arial" w:cs="Arial"/>
                <w:sz w:val="22"/>
                <w:szCs w:val="22"/>
              </w:rPr>
            </w:pPr>
            <w:r w:rsidRPr="002B4A39">
              <w:rPr>
                <w:rFonts w:ascii="Arial" w:eastAsia="Times New Roman" w:hAnsi="Arial" w:cs="Arial"/>
                <w:sz w:val="22"/>
                <w:szCs w:val="22"/>
              </w:rPr>
              <w:t xml:space="preserve">OP-703 (Política Ambiental e </w:t>
            </w:r>
            <w:r w:rsidR="00E7431F" w:rsidRPr="00114778">
              <w:rPr>
                <w:rFonts w:ascii="Arial" w:eastAsia="Times New Roman" w:hAnsi="Arial" w:cs="Arial"/>
                <w:sz w:val="22"/>
                <w:szCs w:val="22"/>
              </w:rPr>
              <w:t>Conformidade com Salvaguardas</w:t>
            </w:r>
            <w:r w:rsidRPr="002B4A39">
              <w:rPr>
                <w:rFonts w:ascii="Arial" w:eastAsia="Times New Roman" w:hAnsi="Arial" w:cs="Arial"/>
                <w:sz w:val="22"/>
                <w:szCs w:val="22"/>
              </w:rPr>
              <w:t>): B.6 (Consultas); e Requisitos de Consulta do OP-710 (Política Operacional sobre Reassentamento Involuntário), OP-765 (Política Operacional sobre Povos Indígenas), OP-761 (Política Operacional sobre Igualdade de Gênero no Desenvolvimento) e OP-704 (</w:t>
            </w:r>
            <w:r w:rsidR="00534412" w:rsidRPr="00BB5DA0">
              <w:rPr>
                <w:rFonts w:ascii="Arial" w:eastAsia="Times New Roman" w:hAnsi="Arial" w:cs="Arial"/>
                <w:sz w:val="22"/>
                <w:szCs w:val="22"/>
              </w:rPr>
              <w:t>Política de Gerenciamento de Riscos de Desastres Naturais</w:t>
            </w:r>
            <w:r w:rsidRPr="002B4A39">
              <w:rPr>
                <w:rFonts w:ascii="Arial" w:eastAsia="Times New Roman" w:hAnsi="Arial" w:cs="Arial"/>
                <w:sz w:val="22"/>
                <w:szCs w:val="22"/>
              </w:rPr>
              <w:t>), se aplicável.</w:t>
            </w:r>
          </w:p>
        </w:tc>
      </w:tr>
      <w:tr w:rsidR="00F21B69" w:rsidRPr="007134EC" w:rsidTr="00F21B69">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tcMar>
              <w:top w:w="15" w:type="dxa"/>
              <w:left w:w="105" w:type="dxa"/>
              <w:bottom w:w="15" w:type="dxa"/>
              <w:right w:w="105" w:type="dxa"/>
            </w:tcMar>
            <w:vAlign w:val="center"/>
          </w:tcPr>
          <w:p w:rsidR="00B05507" w:rsidRPr="007134EC" w:rsidRDefault="00D60C60" w:rsidP="007E33BF">
            <w:pPr>
              <w:ind w:right="165"/>
              <w:contextualSpacing/>
              <w:jc w:val="both"/>
              <w:rPr>
                <w:rFonts w:ascii="Arial" w:eastAsia="Times New Roman" w:hAnsi="Arial" w:cs="Arial"/>
                <w:sz w:val="22"/>
                <w:szCs w:val="22"/>
              </w:rPr>
            </w:pPr>
            <w:r w:rsidRPr="007134EC">
              <w:rPr>
                <w:rFonts w:ascii="Arial" w:eastAsia="Times New Roman" w:hAnsi="Arial" w:cs="Arial"/>
                <w:sz w:val="22"/>
                <w:szCs w:val="22"/>
              </w:rPr>
              <w:t xml:space="preserve">Os Programas de Crédito Global financiados pelo BID não requerem de consultas públicas durante </w:t>
            </w:r>
            <w:r w:rsidR="001E1C1E" w:rsidRPr="007134EC">
              <w:rPr>
                <w:rFonts w:ascii="Arial" w:eastAsia="Times New Roman" w:hAnsi="Arial" w:cs="Arial"/>
                <w:sz w:val="22"/>
                <w:szCs w:val="22"/>
              </w:rPr>
              <w:t>su</w:t>
            </w:r>
            <w:r w:rsidRPr="007134EC">
              <w:rPr>
                <w:rFonts w:ascii="Arial" w:eastAsia="Times New Roman" w:hAnsi="Arial" w:cs="Arial"/>
                <w:sz w:val="22"/>
                <w:szCs w:val="22"/>
              </w:rPr>
              <w:t xml:space="preserve">a preparação. </w:t>
            </w:r>
            <w:r w:rsidR="00365851">
              <w:rPr>
                <w:rFonts w:ascii="Arial" w:eastAsia="Times New Roman" w:hAnsi="Arial" w:cs="Arial"/>
                <w:sz w:val="22"/>
                <w:szCs w:val="22"/>
              </w:rPr>
              <w:t>Na sua vez</w:t>
            </w:r>
            <w:r w:rsidR="00411BFF" w:rsidRPr="007134EC">
              <w:rPr>
                <w:rFonts w:ascii="Arial" w:eastAsia="Times New Roman" w:hAnsi="Arial" w:cs="Arial"/>
                <w:sz w:val="22"/>
                <w:szCs w:val="22"/>
              </w:rPr>
              <w:t xml:space="preserve">, </w:t>
            </w:r>
            <w:r w:rsidR="00B05507">
              <w:rPr>
                <w:rFonts w:ascii="Arial" w:eastAsia="Times New Roman" w:hAnsi="Arial" w:cs="Arial"/>
                <w:sz w:val="22"/>
                <w:szCs w:val="22"/>
              </w:rPr>
              <w:t>o</w:t>
            </w:r>
            <w:r w:rsidR="00B05507" w:rsidRPr="00B05507">
              <w:rPr>
                <w:rFonts w:ascii="Arial" w:eastAsia="Times New Roman" w:hAnsi="Arial" w:cs="Arial"/>
                <w:sz w:val="22"/>
                <w:szCs w:val="22"/>
              </w:rPr>
              <w:t xml:space="preserve"> Programa vem complementar outro já em andamento – Programa Eficiência Municipal onde o BB também atua como gestor, amplamente divulgado. Essa </w:t>
            </w:r>
            <w:r w:rsidR="00B05507" w:rsidRPr="00B05507">
              <w:rPr>
                <w:rFonts w:ascii="Arial" w:eastAsia="Times New Roman" w:hAnsi="Arial" w:cs="Arial"/>
                <w:sz w:val="22"/>
                <w:szCs w:val="22"/>
              </w:rPr>
              <w:lastRenderedPageBreak/>
              <w:t>experiência, o tipo e porte das atividades que serão financiadas pelo Programa, assim como a capilaridade da alocação de recursos (cerca de mil municípios) não aponta a necessidade de consultas públicas</w:t>
            </w:r>
            <w:r w:rsidR="003D4C37" w:rsidRPr="007134EC">
              <w:rPr>
                <w:rFonts w:ascii="Arial" w:eastAsia="Times New Roman" w:hAnsi="Arial" w:cs="Arial"/>
                <w:sz w:val="22"/>
                <w:szCs w:val="22"/>
              </w:rPr>
              <w:t>.</w:t>
            </w:r>
            <w:r w:rsidR="00006BE1" w:rsidRPr="007134EC">
              <w:rPr>
                <w:rFonts w:ascii="Arial" w:eastAsia="Times New Roman" w:hAnsi="Arial" w:cs="Arial"/>
                <w:sz w:val="22"/>
                <w:szCs w:val="22"/>
              </w:rPr>
              <w:t xml:space="preserve"> </w:t>
            </w:r>
            <w:r w:rsidR="005F0064" w:rsidRPr="007134EC">
              <w:rPr>
                <w:rFonts w:ascii="Arial" w:eastAsia="Times New Roman" w:hAnsi="Arial" w:cs="Arial"/>
                <w:sz w:val="22"/>
                <w:szCs w:val="22"/>
              </w:rPr>
              <w:t xml:space="preserve">Assim, a política não foi ativada. </w:t>
            </w:r>
          </w:p>
          <w:p w:rsidR="00091F4C" w:rsidRPr="007134EC" w:rsidRDefault="00091F4C" w:rsidP="007E33BF">
            <w:pPr>
              <w:ind w:right="165"/>
              <w:contextualSpacing/>
              <w:jc w:val="both"/>
              <w:rPr>
                <w:rFonts w:ascii="Arial" w:eastAsia="Times New Roman" w:hAnsi="Arial" w:cs="Arial"/>
                <w:sz w:val="22"/>
                <w:szCs w:val="22"/>
              </w:rPr>
            </w:pPr>
          </w:p>
        </w:tc>
      </w:tr>
      <w:tr w:rsidR="00F21B69" w:rsidRPr="007134EC" w:rsidTr="007E33BF">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rsidR="00F21B69" w:rsidRPr="007134EC" w:rsidRDefault="00F21B69" w:rsidP="007E33BF">
            <w:pPr>
              <w:ind w:right="165"/>
              <w:jc w:val="both"/>
              <w:rPr>
                <w:rFonts w:ascii="Arial" w:eastAsia="Times New Roman" w:hAnsi="Arial" w:cs="Arial"/>
                <w:b/>
                <w:bCs/>
                <w:sz w:val="22"/>
                <w:szCs w:val="22"/>
              </w:rPr>
            </w:pPr>
            <w:r w:rsidRPr="007134EC">
              <w:rPr>
                <w:rFonts w:ascii="Arial" w:eastAsia="Times New Roman" w:hAnsi="Arial" w:cs="Arial"/>
                <w:b/>
                <w:bCs/>
                <w:sz w:val="22"/>
                <w:szCs w:val="22"/>
              </w:rPr>
              <w:lastRenderedPageBreak/>
              <w:t>Divulgação de Informações</w:t>
            </w:r>
          </w:p>
          <w:p w:rsidR="002E5759" w:rsidRPr="002E5759" w:rsidRDefault="002E5759" w:rsidP="002E5759">
            <w:pPr>
              <w:ind w:right="165"/>
              <w:jc w:val="both"/>
              <w:rPr>
                <w:rFonts w:ascii="Arial" w:eastAsia="Times New Roman" w:hAnsi="Arial" w:cs="Arial"/>
                <w:sz w:val="22"/>
                <w:szCs w:val="22"/>
              </w:rPr>
            </w:pPr>
            <w:r w:rsidRPr="002E5759">
              <w:rPr>
                <w:rFonts w:ascii="Arial" w:eastAsia="Times New Roman" w:hAnsi="Arial" w:cs="Arial"/>
                <w:sz w:val="22"/>
                <w:szCs w:val="22"/>
              </w:rPr>
              <w:t xml:space="preserve">OP-703 (Política Ambiental e </w:t>
            </w:r>
            <w:r w:rsidR="00E7431F" w:rsidRPr="00114778">
              <w:rPr>
                <w:rFonts w:ascii="Arial" w:eastAsia="Times New Roman" w:hAnsi="Arial" w:cs="Arial"/>
                <w:sz w:val="22"/>
                <w:szCs w:val="22"/>
              </w:rPr>
              <w:t>Conformidade com Salvaguardas</w:t>
            </w:r>
            <w:r w:rsidRPr="002E5759">
              <w:rPr>
                <w:rFonts w:ascii="Arial" w:eastAsia="Times New Roman" w:hAnsi="Arial" w:cs="Arial"/>
                <w:sz w:val="22"/>
                <w:szCs w:val="22"/>
              </w:rPr>
              <w:t>): B.5 (Requisitos de Avaliação e Planos Ambientais) e Requisitos de Divulgação de Informação do OP-710 (Política Operacional sobre Reassentamento Involuntário), OP-765 (Política Operacional sobre Povos Indígenas), OP-761 (Política Operacional sobre Igualdade de Gênero no Desenvolvimento) e OP-704 (Política de Gerenciamento de Riscos de Desastres Naturais), se aplicável;</w:t>
            </w:r>
          </w:p>
          <w:p w:rsidR="00F21B69" w:rsidRPr="007134EC" w:rsidRDefault="002E5759" w:rsidP="002E5759">
            <w:pPr>
              <w:ind w:right="165"/>
              <w:jc w:val="both"/>
              <w:rPr>
                <w:rFonts w:ascii="Arial" w:eastAsia="Times New Roman" w:hAnsi="Arial" w:cs="Arial"/>
                <w:b/>
                <w:sz w:val="22"/>
                <w:szCs w:val="22"/>
              </w:rPr>
            </w:pPr>
            <w:r w:rsidRPr="002E5759">
              <w:rPr>
                <w:rFonts w:ascii="Arial" w:eastAsia="Times New Roman" w:hAnsi="Arial" w:cs="Arial"/>
                <w:sz w:val="22"/>
                <w:szCs w:val="22"/>
              </w:rPr>
              <w:t xml:space="preserve">OP-102 (Política de </w:t>
            </w:r>
            <w:r w:rsidR="006B2C8F">
              <w:rPr>
                <w:rFonts w:ascii="Arial" w:eastAsia="Times New Roman" w:hAnsi="Arial" w:cs="Arial"/>
                <w:sz w:val="22"/>
                <w:szCs w:val="22"/>
              </w:rPr>
              <w:t>A</w:t>
            </w:r>
            <w:r w:rsidRPr="002E5759">
              <w:rPr>
                <w:rFonts w:ascii="Arial" w:eastAsia="Times New Roman" w:hAnsi="Arial" w:cs="Arial"/>
                <w:sz w:val="22"/>
                <w:szCs w:val="22"/>
              </w:rPr>
              <w:t xml:space="preserve">cesso à </w:t>
            </w:r>
            <w:r w:rsidR="006B2C8F">
              <w:rPr>
                <w:rFonts w:ascii="Arial" w:eastAsia="Times New Roman" w:hAnsi="Arial" w:cs="Arial"/>
                <w:sz w:val="22"/>
                <w:szCs w:val="22"/>
              </w:rPr>
              <w:t>I</w:t>
            </w:r>
            <w:r w:rsidRPr="002E5759">
              <w:rPr>
                <w:rFonts w:ascii="Arial" w:eastAsia="Times New Roman" w:hAnsi="Arial" w:cs="Arial"/>
                <w:sz w:val="22"/>
                <w:szCs w:val="22"/>
              </w:rPr>
              <w:t>nformação)</w:t>
            </w:r>
            <w:r w:rsidR="00025C8F">
              <w:rPr>
                <w:rFonts w:ascii="Arial" w:eastAsia="Times New Roman" w:hAnsi="Arial" w:cs="Arial"/>
                <w:sz w:val="22"/>
                <w:szCs w:val="22"/>
              </w:rPr>
              <w:t xml:space="preserve"> </w:t>
            </w: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3931F4" w:rsidRDefault="001F35D5" w:rsidP="00F56049">
            <w:pPr>
              <w:ind w:right="165"/>
              <w:jc w:val="both"/>
              <w:rPr>
                <w:rFonts w:ascii="Arial" w:eastAsia="Times New Roman" w:hAnsi="Arial" w:cs="Arial"/>
                <w:sz w:val="22"/>
                <w:szCs w:val="22"/>
              </w:rPr>
            </w:pPr>
            <w:r w:rsidRPr="007134EC">
              <w:rPr>
                <w:rFonts w:ascii="Arial" w:eastAsia="Times New Roman" w:hAnsi="Arial" w:cs="Arial"/>
                <w:sz w:val="22"/>
                <w:szCs w:val="22"/>
              </w:rPr>
              <w:t xml:space="preserve">O Banco do Brasil e o BID procederão à divulgação dos documentos de análise e </w:t>
            </w:r>
            <w:proofErr w:type="gramStart"/>
            <w:r w:rsidRPr="007134EC">
              <w:rPr>
                <w:rFonts w:ascii="Arial" w:eastAsia="Times New Roman" w:hAnsi="Arial" w:cs="Arial"/>
                <w:sz w:val="22"/>
                <w:szCs w:val="22"/>
              </w:rPr>
              <w:t>referencia</w:t>
            </w:r>
            <w:proofErr w:type="gramEnd"/>
            <w:r w:rsidRPr="007134EC">
              <w:rPr>
                <w:rFonts w:ascii="Arial" w:eastAsia="Times New Roman" w:hAnsi="Arial" w:cs="Arial"/>
                <w:sz w:val="22"/>
                <w:szCs w:val="22"/>
              </w:rPr>
              <w:t xml:space="preserve"> socioambiental que foram elaborados na etapa de preparação do Programa. São eles: (i) análise do Sistema de Avaliação de Riscos Ambientais e Sociais (SARAS) do Banco do Brasil; (</w:t>
            </w:r>
            <w:proofErr w:type="spellStart"/>
            <w:r w:rsidRPr="007134EC">
              <w:rPr>
                <w:rFonts w:ascii="Arial" w:eastAsia="Times New Roman" w:hAnsi="Arial" w:cs="Arial"/>
                <w:sz w:val="22"/>
                <w:szCs w:val="22"/>
              </w:rPr>
              <w:t>ii</w:t>
            </w:r>
            <w:proofErr w:type="spellEnd"/>
            <w:r w:rsidRPr="007134EC">
              <w:rPr>
                <w:rFonts w:ascii="Arial" w:eastAsia="Times New Roman" w:hAnsi="Arial" w:cs="Arial"/>
                <w:sz w:val="22"/>
                <w:szCs w:val="22"/>
              </w:rPr>
              <w:t>) Análise de brechas existentes entre a legislação brasileira em meio ambiente, recursos naturais, saúde, higiene e segurança do trabalhador, divulgação pública e licenciamento ambiental, em comparação às políticas operacionais do BID; (</w:t>
            </w:r>
            <w:proofErr w:type="spellStart"/>
            <w:r w:rsidRPr="007134EC">
              <w:rPr>
                <w:rFonts w:ascii="Arial" w:eastAsia="Times New Roman" w:hAnsi="Arial" w:cs="Arial"/>
                <w:sz w:val="22"/>
                <w:szCs w:val="22"/>
              </w:rPr>
              <w:t>iii</w:t>
            </w:r>
            <w:proofErr w:type="spellEnd"/>
            <w:r w:rsidRPr="007134EC">
              <w:rPr>
                <w:rFonts w:ascii="Arial" w:eastAsia="Times New Roman" w:hAnsi="Arial" w:cs="Arial"/>
                <w:sz w:val="22"/>
                <w:szCs w:val="22"/>
              </w:rPr>
              <w:t xml:space="preserve">) este </w:t>
            </w:r>
            <w:proofErr w:type="spellStart"/>
            <w:r w:rsidR="00C853B2">
              <w:rPr>
                <w:rFonts w:ascii="Arial" w:eastAsia="Times New Roman" w:hAnsi="Arial" w:cs="Arial"/>
                <w:sz w:val="22"/>
                <w:szCs w:val="22"/>
              </w:rPr>
              <w:t>Relatorio</w:t>
            </w:r>
            <w:proofErr w:type="spellEnd"/>
            <w:r w:rsidRPr="007134EC">
              <w:rPr>
                <w:rFonts w:ascii="Arial" w:eastAsia="Times New Roman" w:hAnsi="Arial" w:cs="Arial"/>
                <w:sz w:val="22"/>
                <w:szCs w:val="22"/>
              </w:rPr>
              <w:t xml:space="preserve"> de </w:t>
            </w:r>
            <w:r w:rsidR="00F56049" w:rsidRPr="007134EC">
              <w:rPr>
                <w:rFonts w:ascii="Arial" w:eastAsia="Times New Roman" w:hAnsi="Arial" w:cs="Arial"/>
                <w:sz w:val="22"/>
                <w:szCs w:val="22"/>
              </w:rPr>
              <w:t>G</w:t>
            </w:r>
            <w:r w:rsidRPr="007134EC">
              <w:rPr>
                <w:rFonts w:ascii="Arial" w:eastAsia="Times New Roman" w:hAnsi="Arial" w:cs="Arial"/>
                <w:sz w:val="22"/>
                <w:szCs w:val="22"/>
              </w:rPr>
              <w:t xml:space="preserve">estão </w:t>
            </w:r>
            <w:r w:rsidR="00F56049" w:rsidRPr="007134EC">
              <w:rPr>
                <w:rFonts w:ascii="Arial" w:eastAsia="Times New Roman" w:hAnsi="Arial" w:cs="Arial"/>
                <w:sz w:val="22"/>
                <w:szCs w:val="22"/>
              </w:rPr>
              <w:t>Ambiental e S</w:t>
            </w:r>
            <w:r w:rsidRPr="007134EC">
              <w:rPr>
                <w:rFonts w:ascii="Arial" w:eastAsia="Times New Roman" w:hAnsi="Arial" w:cs="Arial"/>
                <w:sz w:val="22"/>
                <w:szCs w:val="22"/>
              </w:rPr>
              <w:t>ocial (</w:t>
            </w:r>
            <w:r w:rsidR="00C853B2">
              <w:rPr>
                <w:rFonts w:ascii="Arial" w:eastAsia="Times New Roman" w:hAnsi="Arial" w:cs="Arial"/>
                <w:sz w:val="22"/>
                <w:szCs w:val="22"/>
              </w:rPr>
              <w:t>R</w:t>
            </w:r>
            <w:r w:rsidRPr="007134EC">
              <w:rPr>
                <w:rFonts w:ascii="Arial" w:eastAsia="Times New Roman" w:hAnsi="Arial" w:cs="Arial"/>
                <w:sz w:val="22"/>
                <w:szCs w:val="22"/>
              </w:rPr>
              <w:t>GAS)</w:t>
            </w:r>
            <w:r w:rsidR="00D12945" w:rsidRPr="007134EC">
              <w:rPr>
                <w:rFonts w:ascii="Arial" w:eastAsia="Times New Roman" w:hAnsi="Arial" w:cs="Arial"/>
                <w:sz w:val="22"/>
                <w:szCs w:val="22"/>
              </w:rPr>
              <w:t>.</w:t>
            </w:r>
            <w:r w:rsidR="003009FF">
              <w:rPr>
                <w:rFonts w:ascii="Arial" w:eastAsia="Times New Roman" w:hAnsi="Arial" w:cs="Arial"/>
                <w:sz w:val="22"/>
                <w:szCs w:val="22"/>
              </w:rPr>
              <w:t xml:space="preserve"> A </w:t>
            </w:r>
            <w:r w:rsidR="003009FF">
              <w:rPr>
                <w:rFonts w:ascii="Arial" w:eastAsia="Helvetica" w:hAnsi="Arial" w:cs="Arial"/>
                <w:sz w:val="22"/>
                <w:szCs w:val="22"/>
              </w:rPr>
              <w:t xml:space="preserve">publicação das </w:t>
            </w:r>
            <w:r w:rsidR="003009FF" w:rsidRPr="007134EC">
              <w:rPr>
                <w:rFonts w:ascii="Arial" w:hAnsi="Arial" w:cs="Arial"/>
                <w:sz w:val="22"/>
                <w:szCs w:val="22"/>
              </w:rPr>
              <w:t xml:space="preserve">licenças ambientais pertinentes </w:t>
            </w:r>
            <w:r w:rsidR="003009FF">
              <w:rPr>
                <w:rFonts w:ascii="Arial" w:hAnsi="Arial" w:cs="Arial"/>
                <w:sz w:val="22"/>
                <w:szCs w:val="22"/>
              </w:rPr>
              <w:t>(</w:t>
            </w:r>
            <w:r w:rsidR="003009FF" w:rsidRPr="007134EC">
              <w:rPr>
                <w:rFonts w:ascii="Arial" w:hAnsi="Arial" w:cs="Arial"/>
                <w:sz w:val="22"/>
                <w:szCs w:val="22"/>
              </w:rPr>
              <w:t>Licença Previa/ LP e Licença de Instalação/LI</w:t>
            </w:r>
            <w:r w:rsidR="003009FF">
              <w:rPr>
                <w:rFonts w:ascii="Arial" w:hAnsi="Arial" w:cs="Arial"/>
                <w:sz w:val="22"/>
                <w:szCs w:val="22"/>
              </w:rPr>
              <w:t>) corresponde ao organismo federal, estadual, ou municipal responsável por emitir elas.</w:t>
            </w:r>
          </w:p>
          <w:p w:rsidR="0019266C" w:rsidRPr="007134EC" w:rsidRDefault="0019266C" w:rsidP="003009FF">
            <w:pPr>
              <w:ind w:right="165"/>
              <w:jc w:val="both"/>
              <w:rPr>
                <w:rFonts w:ascii="Arial" w:eastAsia="Times New Roman" w:hAnsi="Arial" w:cs="Arial"/>
                <w:sz w:val="22"/>
                <w:szCs w:val="22"/>
              </w:rPr>
            </w:pP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rsidR="003931F4" w:rsidRPr="007134EC" w:rsidRDefault="003931F4" w:rsidP="0019266C">
            <w:pPr>
              <w:ind w:right="165"/>
              <w:jc w:val="both"/>
              <w:rPr>
                <w:rFonts w:ascii="Arial" w:eastAsia="Times New Roman" w:hAnsi="Arial" w:cs="Arial"/>
                <w:b/>
                <w:bCs/>
                <w:sz w:val="22"/>
                <w:szCs w:val="22"/>
              </w:rPr>
            </w:pPr>
            <w:r w:rsidRPr="007134EC">
              <w:rPr>
                <w:rFonts w:ascii="Arial" w:eastAsia="Times New Roman" w:hAnsi="Arial" w:cs="Arial"/>
                <w:b/>
                <w:bCs/>
                <w:sz w:val="22"/>
                <w:szCs w:val="22"/>
              </w:rPr>
              <w:t xml:space="preserve">Impactos </w:t>
            </w:r>
            <w:r w:rsidR="0019266C" w:rsidRPr="007134EC">
              <w:rPr>
                <w:rFonts w:ascii="Arial" w:eastAsia="Times New Roman" w:hAnsi="Arial" w:cs="Arial"/>
                <w:b/>
                <w:bCs/>
                <w:sz w:val="22"/>
                <w:szCs w:val="22"/>
              </w:rPr>
              <w:t>e Riscos Ambientais e Sociais e Medidas de Mitigação</w:t>
            </w:r>
          </w:p>
          <w:p w:rsidR="00883924" w:rsidRPr="00883924" w:rsidRDefault="00883924" w:rsidP="00883924">
            <w:pPr>
              <w:ind w:right="165"/>
              <w:jc w:val="both"/>
              <w:rPr>
                <w:rFonts w:ascii="Arial" w:eastAsia="Times New Roman" w:hAnsi="Arial" w:cs="Arial"/>
                <w:sz w:val="22"/>
                <w:szCs w:val="22"/>
              </w:rPr>
            </w:pPr>
            <w:r w:rsidRPr="00883924">
              <w:rPr>
                <w:rFonts w:ascii="Arial" w:eastAsia="Times New Roman" w:hAnsi="Arial" w:cs="Arial"/>
                <w:sz w:val="22"/>
                <w:szCs w:val="22"/>
              </w:rPr>
              <w:t xml:space="preserve">OP-703 (Política Ambiental e </w:t>
            </w:r>
            <w:r w:rsidR="00E7431F" w:rsidRPr="00114778">
              <w:rPr>
                <w:rFonts w:ascii="Arial" w:eastAsia="Times New Roman" w:hAnsi="Arial" w:cs="Arial"/>
                <w:sz w:val="22"/>
                <w:szCs w:val="22"/>
              </w:rPr>
              <w:t>Conformidade com Salvaguardas</w:t>
            </w:r>
            <w:r w:rsidRPr="00883924">
              <w:rPr>
                <w:rFonts w:ascii="Arial" w:eastAsia="Times New Roman" w:hAnsi="Arial" w:cs="Arial"/>
                <w:sz w:val="22"/>
                <w:szCs w:val="22"/>
              </w:rPr>
              <w:t>): B.5 (Requisitos de Avaliação e Planos Ambientais), B.8 (Impactos Transfronteiriços), B.9 (Habitats Naturais e Sítios Culturais), B.10 (Materiais Perigoso</w:t>
            </w:r>
            <w:r w:rsidR="00111694">
              <w:rPr>
                <w:rFonts w:ascii="Arial" w:eastAsia="Times New Roman" w:hAnsi="Arial" w:cs="Arial"/>
                <w:sz w:val="22"/>
                <w:szCs w:val="22"/>
              </w:rPr>
              <w:t>s</w:t>
            </w:r>
            <w:r w:rsidRPr="00883924">
              <w:rPr>
                <w:rFonts w:ascii="Arial" w:eastAsia="Times New Roman" w:hAnsi="Arial" w:cs="Arial"/>
                <w:sz w:val="22"/>
                <w:szCs w:val="22"/>
              </w:rPr>
              <w:t>), B.11 (Prevenção e Redução da Poluição), e B.12 (Projetos em Construção)</w:t>
            </w:r>
          </w:p>
          <w:p w:rsidR="00883924" w:rsidRPr="00883924" w:rsidRDefault="00883924" w:rsidP="00883924">
            <w:pPr>
              <w:ind w:right="165"/>
              <w:jc w:val="both"/>
              <w:rPr>
                <w:rFonts w:ascii="Arial" w:eastAsia="Times New Roman" w:hAnsi="Arial" w:cs="Arial"/>
                <w:sz w:val="22"/>
                <w:szCs w:val="22"/>
              </w:rPr>
            </w:pPr>
            <w:r w:rsidRPr="00883924">
              <w:rPr>
                <w:rFonts w:ascii="Arial" w:eastAsia="Times New Roman" w:hAnsi="Arial" w:cs="Arial"/>
                <w:sz w:val="22"/>
                <w:szCs w:val="22"/>
              </w:rPr>
              <w:t>OP-710 (Política Operacional sobre Reassentamento Involuntário)</w:t>
            </w:r>
          </w:p>
          <w:p w:rsidR="00883924" w:rsidRPr="00883924" w:rsidRDefault="00883924" w:rsidP="00883924">
            <w:pPr>
              <w:ind w:right="165"/>
              <w:jc w:val="both"/>
              <w:rPr>
                <w:rFonts w:ascii="Arial" w:eastAsia="Times New Roman" w:hAnsi="Arial" w:cs="Arial"/>
                <w:sz w:val="22"/>
                <w:szCs w:val="22"/>
              </w:rPr>
            </w:pPr>
            <w:r w:rsidRPr="00883924">
              <w:rPr>
                <w:rFonts w:ascii="Arial" w:eastAsia="Times New Roman" w:hAnsi="Arial" w:cs="Arial"/>
                <w:sz w:val="22"/>
                <w:szCs w:val="22"/>
              </w:rPr>
              <w:t>OP-765 (Política Operacional sobre Povos Indígenas)</w:t>
            </w:r>
          </w:p>
          <w:p w:rsidR="00883924" w:rsidRPr="00883924" w:rsidRDefault="00883924" w:rsidP="00883924">
            <w:pPr>
              <w:ind w:right="165"/>
              <w:jc w:val="both"/>
              <w:rPr>
                <w:rFonts w:ascii="Arial" w:eastAsia="Times New Roman" w:hAnsi="Arial" w:cs="Arial"/>
                <w:sz w:val="22"/>
                <w:szCs w:val="22"/>
              </w:rPr>
            </w:pPr>
            <w:r w:rsidRPr="00883924">
              <w:rPr>
                <w:rFonts w:ascii="Arial" w:eastAsia="Times New Roman" w:hAnsi="Arial" w:cs="Arial"/>
                <w:sz w:val="22"/>
                <w:szCs w:val="22"/>
              </w:rPr>
              <w:t>OP-704 (Política de Gerenciamento de Riscos de Desastres Naturais)</w:t>
            </w:r>
          </w:p>
          <w:p w:rsidR="00A34111" w:rsidRPr="007134EC" w:rsidRDefault="00883924" w:rsidP="00883924">
            <w:pPr>
              <w:ind w:right="165"/>
              <w:jc w:val="both"/>
              <w:rPr>
                <w:rFonts w:ascii="Arial" w:eastAsia="Times New Roman" w:hAnsi="Arial" w:cs="Arial"/>
                <w:b/>
                <w:bCs/>
                <w:sz w:val="22"/>
                <w:szCs w:val="22"/>
              </w:rPr>
            </w:pPr>
            <w:r w:rsidRPr="00883924">
              <w:rPr>
                <w:rFonts w:ascii="Arial" w:eastAsia="Times New Roman" w:hAnsi="Arial" w:cs="Arial"/>
                <w:sz w:val="22"/>
                <w:szCs w:val="22"/>
              </w:rPr>
              <w:t>OP-761 (Política Operacional sobre Igualdade de Gênero no Desenvolvimento)</w:t>
            </w: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E1602D" w:rsidRPr="007134EC" w:rsidRDefault="00E1602D" w:rsidP="00E1602D">
            <w:pPr>
              <w:ind w:right="165"/>
              <w:contextualSpacing/>
              <w:jc w:val="both"/>
              <w:rPr>
                <w:rFonts w:ascii="Arial" w:eastAsia="Times New Roman" w:hAnsi="Arial" w:cs="Arial"/>
                <w:sz w:val="22"/>
                <w:szCs w:val="22"/>
              </w:rPr>
            </w:pPr>
            <w:r w:rsidRPr="007134EC">
              <w:rPr>
                <w:rFonts w:ascii="Arial" w:eastAsia="Times New Roman" w:hAnsi="Arial" w:cs="Arial"/>
                <w:sz w:val="22"/>
                <w:szCs w:val="22"/>
              </w:rPr>
              <w:t xml:space="preserve">Como já identificado neste relatório, os impactos identificados referem-se à gestão de resíduos resultantes da troca de equipamentos de iluminação, refrigeração, máquinas e equipamentos. São impactos de pequena magnitude, temporários e que podem ser evitados ou mitigados com a aplicação das leis trabalhistas de saúde e segurança do trabalhador e com a aplicação do protocolo de gestão de resíduos </w:t>
            </w:r>
            <w:r w:rsidR="00B85BC5" w:rsidRPr="007134EC">
              <w:rPr>
                <w:rFonts w:ascii="Arial" w:eastAsia="Times New Roman" w:hAnsi="Arial" w:cs="Arial"/>
                <w:sz w:val="22"/>
                <w:szCs w:val="22"/>
              </w:rPr>
              <w:t xml:space="preserve">indicado pela </w:t>
            </w:r>
            <w:r w:rsidR="00956559" w:rsidRPr="007134EC">
              <w:rPr>
                <w:rFonts w:ascii="Arial" w:eastAsia="Times New Roman" w:hAnsi="Arial" w:cs="Arial"/>
                <w:sz w:val="22"/>
                <w:szCs w:val="22"/>
              </w:rPr>
              <w:t>análise</w:t>
            </w:r>
            <w:r w:rsidR="00B85BC5" w:rsidRPr="007134EC">
              <w:rPr>
                <w:rFonts w:ascii="Arial" w:eastAsia="Times New Roman" w:hAnsi="Arial" w:cs="Arial"/>
                <w:sz w:val="22"/>
                <w:szCs w:val="22"/>
              </w:rPr>
              <w:t xml:space="preserve"> ambiental do Programa. </w:t>
            </w:r>
          </w:p>
          <w:p w:rsidR="00141D52" w:rsidRPr="007134EC" w:rsidRDefault="00141D52" w:rsidP="00E1602D">
            <w:pPr>
              <w:ind w:right="165"/>
              <w:contextualSpacing/>
              <w:jc w:val="both"/>
              <w:rPr>
                <w:rFonts w:ascii="Arial" w:eastAsia="Times New Roman" w:hAnsi="Arial" w:cs="Arial"/>
                <w:sz w:val="22"/>
                <w:szCs w:val="22"/>
              </w:rPr>
            </w:pPr>
          </w:p>
          <w:p w:rsidR="00CA4C68" w:rsidRDefault="00141D52" w:rsidP="00CA4C68">
            <w:pPr>
              <w:ind w:right="165"/>
              <w:jc w:val="both"/>
              <w:rPr>
                <w:rFonts w:ascii="Arial" w:eastAsia="Helvetica" w:hAnsi="Arial" w:cs="Arial"/>
                <w:sz w:val="22"/>
                <w:szCs w:val="22"/>
              </w:rPr>
            </w:pPr>
            <w:r w:rsidRPr="00CA4C68">
              <w:rPr>
                <w:rFonts w:ascii="Arial" w:eastAsia="Times New Roman" w:hAnsi="Arial" w:cs="Arial"/>
                <w:sz w:val="22"/>
                <w:szCs w:val="22"/>
              </w:rPr>
              <w:t>A probabilidade de ocorrência desses impactos é pequena, mas deve ser tratada com as medidas propostas no Protocolo</w:t>
            </w:r>
            <w:r w:rsidR="009C2B54" w:rsidRPr="00CA4C68">
              <w:rPr>
                <w:rFonts w:ascii="Arial" w:eastAsia="Times New Roman" w:hAnsi="Arial" w:cs="Arial"/>
                <w:sz w:val="22"/>
                <w:szCs w:val="22"/>
              </w:rPr>
              <w:t xml:space="preserve"> de Gestão Integrada de Resíduos</w:t>
            </w:r>
            <w:r w:rsidR="00E47913" w:rsidRPr="00CA4C68">
              <w:rPr>
                <w:rFonts w:ascii="Arial" w:eastAsia="Times New Roman" w:hAnsi="Arial" w:cs="Arial"/>
                <w:sz w:val="22"/>
                <w:szCs w:val="22"/>
              </w:rPr>
              <w:t xml:space="preserve"> criado para o Programa</w:t>
            </w:r>
            <w:r w:rsidRPr="00CA4C68">
              <w:rPr>
                <w:rFonts w:ascii="Arial" w:eastAsia="Times New Roman" w:hAnsi="Arial" w:cs="Arial"/>
                <w:sz w:val="22"/>
                <w:szCs w:val="22"/>
              </w:rPr>
              <w:t xml:space="preserve">. </w:t>
            </w:r>
            <w:r w:rsidR="00CA4C68" w:rsidRPr="00CA4C68">
              <w:rPr>
                <w:rFonts w:ascii="Arial" w:eastAsia="Helvetica" w:hAnsi="Arial" w:cs="Arial"/>
                <w:sz w:val="22"/>
                <w:szCs w:val="22"/>
              </w:rPr>
              <w:t>De forma a endereçar os riscos associados à geração de resíduos durante a aquisição de máquinas e equipamentos, a diretriz estabelecida é que as operações para substituição de máquinas e equipamentos existentes estejam condicionadas ao atendimento das recomendações apontadas no Protocolo de Gestão de Resíduos. A partir desta condição, o município se comprometerá a adotar medidas de mitigação efetivas para reaproveitamento e disposição correta dos resíduos gerados.</w:t>
            </w:r>
          </w:p>
          <w:p w:rsidR="00CA4C68" w:rsidRPr="00CA4C68" w:rsidRDefault="00CA4C68" w:rsidP="00CA4C68">
            <w:pPr>
              <w:ind w:right="165"/>
              <w:jc w:val="both"/>
              <w:rPr>
                <w:rFonts w:ascii="Arial" w:eastAsia="Helvetica" w:hAnsi="Arial" w:cs="Arial"/>
                <w:sz w:val="22"/>
                <w:szCs w:val="22"/>
              </w:rPr>
            </w:pPr>
          </w:p>
          <w:p w:rsidR="00CD3994" w:rsidRPr="007134EC" w:rsidRDefault="00141D52" w:rsidP="00141D52">
            <w:pPr>
              <w:ind w:right="165"/>
              <w:contextualSpacing/>
              <w:jc w:val="both"/>
              <w:rPr>
                <w:rFonts w:ascii="Arial" w:eastAsia="Times New Roman" w:hAnsi="Arial" w:cs="Arial"/>
                <w:sz w:val="22"/>
                <w:szCs w:val="22"/>
              </w:rPr>
            </w:pPr>
            <w:r w:rsidRPr="007134EC">
              <w:rPr>
                <w:rFonts w:ascii="Arial" w:eastAsia="Times New Roman" w:hAnsi="Arial" w:cs="Arial"/>
                <w:sz w:val="22"/>
                <w:szCs w:val="22"/>
              </w:rPr>
              <w:t>O objetivo do Protocolo é orientar os clientes do Programa Eficiência Municipal do BB, apoiado pelo BID, para que adotem as melhores práticas na gestão dos resíduos gerados. O atendimento às melhores práticas tem como base a Lei 12.305/2010 (Política Nacional de Resíduos Sólidos), Resoluções CONAMA 267/2000; 340/2003 e as Normas Brasileiras NBR 10.004/2004 e 15.833/2010, além das salvaguardas socioambientais do BID (OP-703) e guias setoriais para boas práticas de gestão de resíduos.</w:t>
            </w:r>
            <w:r w:rsidR="009A0691" w:rsidRPr="007134EC">
              <w:rPr>
                <w:rFonts w:ascii="Arial" w:eastAsia="Times New Roman" w:hAnsi="Arial" w:cs="Arial"/>
                <w:sz w:val="22"/>
                <w:szCs w:val="22"/>
              </w:rPr>
              <w:t xml:space="preserve"> </w:t>
            </w:r>
          </w:p>
          <w:p w:rsidR="00CD3994" w:rsidRPr="007134EC" w:rsidRDefault="00CD3994" w:rsidP="00141D52">
            <w:pPr>
              <w:ind w:right="165"/>
              <w:contextualSpacing/>
              <w:jc w:val="both"/>
              <w:rPr>
                <w:rFonts w:ascii="Arial" w:eastAsia="Times New Roman" w:hAnsi="Arial" w:cs="Arial"/>
                <w:sz w:val="22"/>
                <w:szCs w:val="22"/>
              </w:rPr>
            </w:pPr>
          </w:p>
          <w:p w:rsidR="00CD3994" w:rsidRPr="007134EC" w:rsidRDefault="00CA54B7" w:rsidP="00141D52">
            <w:pPr>
              <w:ind w:right="165"/>
              <w:contextualSpacing/>
              <w:jc w:val="both"/>
              <w:rPr>
                <w:rFonts w:ascii="Arial" w:eastAsia="Times New Roman" w:hAnsi="Arial" w:cs="Arial"/>
                <w:sz w:val="22"/>
                <w:szCs w:val="22"/>
              </w:rPr>
            </w:pPr>
            <w:r>
              <w:rPr>
                <w:rFonts w:ascii="Arial" w:eastAsia="Times New Roman" w:hAnsi="Arial" w:cs="Arial"/>
                <w:sz w:val="22"/>
                <w:szCs w:val="22"/>
              </w:rPr>
              <w:t xml:space="preserve">Para assegurar o cumprimento com as </w:t>
            </w:r>
            <w:r w:rsidR="002634E8">
              <w:rPr>
                <w:rFonts w:ascii="Arial" w:eastAsia="Times New Roman" w:hAnsi="Arial" w:cs="Arial"/>
                <w:sz w:val="22"/>
                <w:szCs w:val="22"/>
              </w:rPr>
              <w:t>Políticas</w:t>
            </w:r>
            <w:r>
              <w:rPr>
                <w:rFonts w:ascii="Arial" w:eastAsia="Times New Roman" w:hAnsi="Arial" w:cs="Arial"/>
                <w:sz w:val="22"/>
                <w:szCs w:val="22"/>
              </w:rPr>
              <w:t xml:space="preserve"> de Salvaguardas do BID durante a vida do empréstimo, o BB deveria implementar o Protocolo de </w:t>
            </w:r>
            <w:r w:rsidR="002634E8">
              <w:rPr>
                <w:rFonts w:ascii="Arial" w:eastAsia="Times New Roman" w:hAnsi="Arial" w:cs="Arial"/>
                <w:sz w:val="22"/>
                <w:szCs w:val="22"/>
              </w:rPr>
              <w:t>Gestão</w:t>
            </w:r>
            <w:r>
              <w:rPr>
                <w:rFonts w:ascii="Arial" w:eastAsia="Times New Roman" w:hAnsi="Arial" w:cs="Arial"/>
                <w:sz w:val="22"/>
                <w:szCs w:val="22"/>
              </w:rPr>
              <w:t xml:space="preserve"> de </w:t>
            </w:r>
            <w:r w:rsidR="002634E8">
              <w:rPr>
                <w:rFonts w:ascii="Arial" w:eastAsia="Times New Roman" w:hAnsi="Arial" w:cs="Arial"/>
                <w:sz w:val="22"/>
                <w:szCs w:val="22"/>
              </w:rPr>
              <w:t>Resíduos</w:t>
            </w:r>
            <w:r>
              <w:rPr>
                <w:rFonts w:ascii="Arial" w:eastAsia="Times New Roman" w:hAnsi="Arial" w:cs="Arial"/>
                <w:sz w:val="22"/>
                <w:szCs w:val="22"/>
              </w:rPr>
              <w:t xml:space="preserve">, cujas </w:t>
            </w:r>
            <w:r w:rsidR="00CD3994" w:rsidRPr="007134EC">
              <w:rPr>
                <w:rFonts w:ascii="Arial" w:eastAsia="Times New Roman" w:hAnsi="Arial" w:cs="Arial"/>
                <w:sz w:val="22"/>
                <w:szCs w:val="22"/>
              </w:rPr>
              <w:t>diretrizes e recomendações</w:t>
            </w:r>
            <w:r w:rsidR="00124A2C">
              <w:rPr>
                <w:rFonts w:ascii="Arial" w:eastAsia="Times New Roman" w:hAnsi="Arial" w:cs="Arial"/>
                <w:sz w:val="22"/>
                <w:szCs w:val="22"/>
              </w:rPr>
              <w:t xml:space="preserve"> estão identificadas a seguir</w:t>
            </w:r>
            <w:r w:rsidR="00CD3994" w:rsidRPr="007134EC">
              <w:rPr>
                <w:rFonts w:ascii="Arial" w:eastAsia="Times New Roman" w:hAnsi="Arial" w:cs="Arial"/>
                <w:sz w:val="22"/>
                <w:szCs w:val="22"/>
              </w:rPr>
              <w:t xml:space="preserve">: </w:t>
            </w:r>
          </w:p>
          <w:p w:rsidR="00CD3994" w:rsidRPr="007134EC" w:rsidRDefault="00A9655B" w:rsidP="00F05342">
            <w:pPr>
              <w:pStyle w:val="ListParagraph"/>
              <w:numPr>
                <w:ilvl w:val="0"/>
                <w:numId w:val="18"/>
              </w:numPr>
              <w:ind w:right="165"/>
              <w:jc w:val="both"/>
              <w:rPr>
                <w:rFonts w:ascii="Arial" w:eastAsia="Times New Roman" w:hAnsi="Arial" w:cs="Arial"/>
                <w:sz w:val="22"/>
                <w:szCs w:val="22"/>
              </w:rPr>
            </w:pPr>
            <w:r>
              <w:rPr>
                <w:rFonts w:ascii="Arial" w:eastAsia="Times New Roman" w:hAnsi="Arial" w:cs="Arial"/>
                <w:sz w:val="22"/>
                <w:szCs w:val="22"/>
              </w:rPr>
              <w:t>As</w:t>
            </w:r>
            <w:r w:rsidR="00CD3994" w:rsidRPr="007134EC">
              <w:rPr>
                <w:rFonts w:ascii="Arial" w:eastAsia="Times New Roman" w:hAnsi="Arial" w:cs="Arial"/>
                <w:sz w:val="22"/>
                <w:szCs w:val="22"/>
              </w:rPr>
              <w:t xml:space="preserve"> empresas prestadoras de serviços contratadas pelo Município</w:t>
            </w:r>
            <w:r>
              <w:rPr>
                <w:rFonts w:ascii="Arial" w:eastAsia="Times New Roman" w:hAnsi="Arial" w:cs="Arial"/>
                <w:sz w:val="22"/>
                <w:szCs w:val="22"/>
              </w:rPr>
              <w:t xml:space="preserve"> </w:t>
            </w:r>
            <w:r w:rsidR="00F05342" w:rsidRPr="007134EC">
              <w:rPr>
                <w:rFonts w:ascii="Arial" w:eastAsia="Times New Roman" w:hAnsi="Arial" w:cs="Arial"/>
                <w:sz w:val="22"/>
                <w:szCs w:val="22"/>
              </w:rPr>
              <w:t xml:space="preserve">deverão contar com as autorizações, permissões, licenças e qualificações correspondentes para o tratamento do tipo de resíduo e/ou materiais/equipamentos que lhe tenha sido transferido, concedidas pelas autoridades governamentais competentes, em especial as seguintes: Alvará de </w:t>
            </w:r>
            <w:r w:rsidR="00F05342" w:rsidRPr="007134EC">
              <w:rPr>
                <w:rFonts w:ascii="Arial" w:eastAsia="Times New Roman" w:hAnsi="Arial" w:cs="Arial"/>
                <w:sz w:val="22"/>
                <w:szCs w:val="22"/>
              </w:rPr>
              <w:lastRenderedPageBreak/>
              <w:t>funcionamento, Licença de Operação (LO ambiental), Registro no Cadastro Técnico Federal do Instituto Brasileiro do Meio Ambiente e dos Recursos Naturais Renováveis (IBAMA</w:t>
            </w:r>
            <w:r w:rsidR="00967E58" w:rsidRPr="007134EC">
              <w:rPr>
                <w:rFonts w:ascii="Arial" w:eastAsia="Times New Roman" w:hAnsi="Arial" w:cs="Arial"/>
                <w:sz w:val="22"/>
                <w:szCs w:val="22"/>
              </w:rPr>
              <w:t>).</w:t>
            </w:r>
          </w:p>
          <w:p w:rsidR="00F05342" w:rsidRDefault="00967E58" w:rsidP="00F05342">
            <w:pPr>
              <w:pStyle w:val="ListParagraph"/>
              <w:numPr>
                <w:ilvl w:val="0"/>
                <w:numId w:val="18"/>
              </w:numPr>
              <w:ind w:right="165"/>
              <w:jc w:val="both"/>
              <w:rPr>
                <w:rFonts w:ascii="Arial" w:eastAsia="Times New Roman" w:hAnsi="Arial" w:cs="Arial"/>
                <w:sz w:val="22"/>
                <w:szCs w:val="22"/>
              </w:rPr>
            </w:pPr>
            <w:r w:rsidRPr="007134EC">
              <w:rPr>
                <w:rFonts w:ascii="Arial" w:eastAsia="Times New Roman" w:hAnsi="Arial" w:cs="Arial"/>
                <w:sz w:val="22"/>
                <w:szCs w:val="22"/>
              </w:rPr>
              <w:t xml:space="preserve">Os municípios beneficiários no âmbito desta operação </w:t>
            </w:r>
            <w:r w:rsidR="00064A91">
              <w:rPr>
                <w:rFonts w:ascii="Arial" w:eastAsia="Times New Roman" w:hAnsi="Arial" w:cs="Arial"/>
                <w:sz w:val="22"/>
                <w:szCs w:val="22"/>
              </w:rPr>
              <w:t>deveriam</w:t>
            </w:r>
            <w:r w:rsidRPr="007134EC">
              <w:rPr>
                <w:rFonts w:ascii="Arial" w:eastAsia="Times New Roman" w:hAnsi="Arial" w:cs="Arial"/>
                <w:sz w:val="22"/>
                <w:szCs w:val="22"/>
              </w:rPr>
              <w:t xml:space="preserve"> a cumprir integralmente com todas as recomendações dispostas na legislação nacional (Política Nacional de Resíduos Sólidos), descritas no Protocolo com a especificação de tratamento para cada tipo de resíduo: pneus, lâmpadas, pilhas e baterias automotivas, fluidos de refrigeração, eletroeletrônicos e combustíveis líquidos.</w:t>
            </w:r>
            <w:r w:rsidR="00232267" w:rsidRPr="007134EC">
              <w:rPr>
                <w:rFonts w:ascii="Arial" w:eastAsia="Times New Roman" w:hAnsi="Arial" w:cs="Arial"/>
                <w:sz w:val="22"/>
                <w:szCs w:val="22"/>
              </w:rPr>
              <w:t xml:space="preserve"> </w:t>
            </w:r>
          </w:p>
          <w:p w:rsidR="00AF7313" w:rsidRPr="00AF7313" w:rsidRDefault="00AF7313" w:rsidP="00AF7313">
            <w:pPr>
              <w:ind w:left="360" w:right="165"/>
              <w:jc w:val="both"/>
              <w:rPr>
                <w:rFonts w:ascii="Arial" w:eastAsia="Times New Roman" w:hAnsi="Arial" w:cs="Arial"/>
                <w:sz w:val="22"/>
                <w:szCs w:val="22"/>
              </w:rPr>
            </w:pPr>
          </w:p>
          <w:p w:rsidR="000A0BF3" w:rsidRDefault="009A0691" w:rsidP="00141D52">
            <w:pPr>
              <w:ind w:right="165"/>
              <w:contextualSpacing/>
              <w:jc w:val="both"/>
              <w:rPr>
                <w:rFonts w:ascii="Arial" w:eastAsia="Times New Roman" w:hAnsi="Arial" w:cs="Arial"/>
                <w:sz w:val="22"/>
                <w:szCs w:val="22"/>
              </w:rPr>
            </w:pPr>
            <w:r w:rsidRPr="007134EC">
              <w:rPr>
                <w:rFonts w:ascii="Arial" w:eastAsia="Times New Roman" w:hAnsi="Arial" w:cs="Arial"/>
                <w:sz w:val="22"/>
                <w:szCs w:val="22"/>
              </w:rPr>
              <w:t xml:space="preserve">A versão final do Protocolo integrará o Regulamento </w:t>
            </w:r>
            <w:r w:rsidR="00407D28">
              <w:rPr>
                <w:rFonts w:ascii="Arial" w:eastAsia="Times New Roman" w:hAnsi="Arial" w:cs="Arial"/>
                <w:sz w:val="22"/>
                <w:szCs w:val="22"/>
              </w:rPr>
              <w:t>Credito</w:t>
            </w:r>
            <w:r w:rsidRPr="007134EC">
              <w:rPr>
                <w:rFonts w:ascii="Arial" w:eastAsia="Times New Roman" w:hAnsi="Arial" w:cs="Arial"/>
                <w:sz w:val="22"/>
                <w:szCs w:val="22"/>
              </w:rPr>
              <w:t xml:space="preserve"> do Programa, R</w:t>
            </w:r>
            <w:r w:rsidR="00407D28">
              <w:rPr>
                <w:rFonts w:ascii="Arial" w:eastAsia="Times New Roman" w:hAnsi="Arial" w:cs="Arial"/>
                <w:sz w:val="22"/>
                <w:szCs w:val="22"/>
              </w:rPr>
              <w:t>C</w:t>
            </w:r>
            <w:r w:rsidRPr="007134EC">
              <w:rPr>
                <w:rFonts w:ascii="Arial" w:eastAsia="Times New Roman" w:hAnsi="Arial" w:cs="Arial"/>
                <w:sz w:val="22"/>
                <w:szCs w:val="22"/>
              </w:rPr>
              <w:t>P.</w:t>
            </w:r>
          </w:p>
          <w:p w:rsidR="009A464A" w:rsidRPr="000007EA" w:rsidRDefault="009A464A" w:rsidP="000007EA">
            <w:pPr>
              <w:rPr>
                <w:rFonts w:ascii="Arial" w:eastAsia="Helvetica" w:hAnsi="Arial" w:cs="Arial"/>
                <w:sz w:val="22"/>
                <w:szCs w:val="22"/>
              </w:rPr>
            </w:pPr>
          </w:p>
          <w:p w:rsidR="009A464A" w:rsidRPr="009A464A" w:rsidRDefault="009A464A" w:rsidP="009A464A">
            <w:pPr>
              <w:ind w:right="165"/>
              <w:jc w:val="both"/>
              <w:rPr>
                <w:rFonts w:ascii="Arial" w:eastAsia="Helvetica" w:hAnsi="Arial" w:cs="Arial"/>
                <w:sz w:val="22"/>
                <w:szCs w:val="22"/>
              </w:rPr>
            </w:pPr>
            <w:r>
              <w:rPr>
                <w:rFonts w:ascii="Arial" w:eastAsia="Helvetica" w:hAnsi="Arial" w:cs="Arial"/>
                <w:sz w:val="22"/>
                <w:szCs w:val="22"/>
              </w:rPr>
              <w:t xml:space="preserve">Para assegurar o cumprimento da </w:t>
            </w:r>
            <w:r w:rsidR="001E0721">
              <w:rPr>
                <w:rFonts w:ascii="Arial" w:eastAsia="Helvetica" w:hAnsi="Arial" w:cs="Arial"/>
                <w:sz w:val="22"/>
                <w:szCs w:val="22"/>
              </w:rPr>
              <w:t>Operação</w:t>
            </w:r>
            <w:r>
              <w:rPr>
                <w:rFonts w:ascii="Arial" w:eastAsia="Helvetica" w:hAnsi="Arial" w:cs="Arial"/>
                <w:sz w:val="22"/>
                <w:szCs w:val="22"/>
              </w:rPr>
              <w:t xml:space="preserve"> com a Política OP-703 (B.10 e B.11) durante a vida do empréstimo, o Banco do Brasil deveria </w:t>
            </w:r>
            <w:r w:rsidR="001A039B">
              <w:rPr>
                <w:rFonts w:ascii="Arial" w:eastAsia="Helvetica" w:hAnsi="Arial" w:cs="Arial"/>
                <w:sz w:val="22"/>
                <w:szCs w:val="22"/>
              </w:rPr>
              <w:t xml:space="preserve">implementar os procedimentos descritos no Regulamento Operacional </w:t>
            </w:r>
            <w:r w:rsidR="001E0721">
              <w:rPr>
                <w:rFonts w:ascii="Arial" w:eastAsia="Helvetica" w:hAnsi="Arial" w:cs="Arial"/>
                <w:sz w:val="22"/>
                <w:szCs w:val="22"/>
              </w:rPr>
              <w:t>para o Programa, sobretudo assegurar que as agencias executoras executem os procedimentos do Protocolo de Gestão de Resíduos</w:t>
            </w:r>
            <w:r w:rsidR="006B5660">
              <w:rPr>
                <w:rFonts w:ascii="Arial" w:eastAsia="Helvetica" w:hAnsi="Arial" w:cs="Arial"/>
                <w:sz w:val="22"/>
                <w:szCs w:val="22"/>
              </w:rPr>
              <w:t xml:space="preserve"> em cada subprojeto. </w:t>
            </w:r>
          </w:p>
          <w:p w:rsidR="003931F4" w:rsidRPr="007134EC" w:rsidRDefault="003931F4" w:rsidP="009A0691">
            <w:pPr>
              <w:contextualSpacing/>
              <w:rPr>
                <w:rFonts w:ascii="Arial" w:eastAsia="Times New Roman" w:hAnsi="Arial" w:cs="Arial"/>
                <w:sz w:val="22"/>
                <w:szCs w:val="22"/>
              </w:rPr>
            </w:pP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rsidR="003931F4" w:rsidRPr="007134EC" w:rsidRDefault="003931F4" w:rsidP="003931F4">
            <w:pPr>
              <w:ind w:right="165"/>
              <w:jc w:val="both"/>
              <w:rPr>
                <w:rFonts w:ascii="Arial" w:eastAsia="Times New Roman" w:hAnsi="Arial" w:cs="Arial"/>
                <w:b/>
                <w:bCs/>
                <w:sz w:val="22"/>
                <w:szCs w:val="22"/>
              </w:rPr>
            </w:pPr>
            <w:r w:rsidRPr="007134EC">
              <w:rPr>
                <w:rFonts w:ascii="Arial" w:eastAsia="Times New Roman" w:hAnsi="Arial" w:cs="Arial"/>
                <w:b/>
                <w:bCs/>
                <w:sz w:val="22"/>
                <w:szCs w:val="22"/>
              </w:rPr>
              <w:lastRenderedPageBreak/>
              <w:t xml:space="preserve">Instrumentos </w:t>
            </w:r>
            <w:r w:rsidR="00232267" w:rsidRPr="007134EC">
              <w:rPr>
                <w:rFonts w:ascii="Arial" w:eastAsia="Times New Roman" w:hAnsi="Arial" w:cs="Arial"/>
                <w:b/>
                <w:bCs/>
                <w:sz w:val="22"/>
                <w:szCs w:val="22"/>
              </w:rPr>
              <w:t>Flexíveis</w:t>
            </w:r>
            <w:r w:rsidRPr="007134EC">
              <w:rPr>
                <w:rFonts w:ascii="Arial" w:eastAsia="Times New Roman" w:hAnsi="Arial" w:cs="Arial"/>
                <w:b/>
                <w:bCs/>
                <w:sz w:val="22"/>
                <w:szCs w:val="22"/>
              </w:rPr>
              <w:t xml:space="preserve"> de </w:t>
            </w:r>
            <w:r w:rsidR="00232267" w:rsidRPr="007134EC">
              <w:rPr>
                <w:rFonts w:ascii="Arial" w:eastAsia="Times New Roman" w:hAnsi="Arial" w:cs="Arial"/>
                <w:b/>
                <w:bCs/>
                <w:sz w:val="22"/>
                <w:szCs w:val="22"/>
              </w:rPr>
              <w:t>Empréstimo</w:t>
            </w:r>
            <w:r w:rsidRPr="007134EC">
              <w:rPr>
                <w:rFonts w:ascii="Arial" w:eastAsia="Times New Roman" w:hAnsi="Arial" w:cs="Arial"/>
                <w:b/>
                <w:bCs/>
                <w:sz w:val="22"/>
                <w:szCs w:val="22"/>
              </w:rPr>
              <w:t xml:space="preserve"> </w:t>
            </w:r>
          </w:p>
          <w:p w:rsidR="003931F4" w:rsidRPr="007134EC" w:rsidRDefault="00114778" w:rsidP="003931F4">
            <w:pPr>
              <w:ind w:right="165"/>
              <w:jc w:val="both"/>
              <w:rPr>
                <w:rFonts w:ascii="Arial" w:eastAsia="Times New Roman" w:hAnsi="Arial" w:cs="Arial"/>
                <w:sz w:val="22"/>
                <w:szCs w:val="22"/>
              </w:rPr>
            </w:pPr>
            <w:r w:rsidRPr="00114778">
              <w:rPr>
                <w:rFonts w:ascii="Arial" w:eastAsia="Times New Roman" w:hAnsi="Arial" w:cs="Arial"/>
                <w:sz w:val="22"/>
                <w:szCs w:val="22"/>
              </w:rPr>
              <w:t>OP-703 (Política Ambiental e Conformidade com Salvaguardas): B.13 (Empréstimos de Política e Instrumentos de Empréstimos Flexíveis)</w:t>
            </w: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232267" w:rsidRDefault="00232267" w:rsidP="00232267">
            <w:pPr>
              <w:ind w:right="165"/>
              <w:contextualSpacing/>
              <w:jc w:val="both"/>
              <w:rPr>
                <w:rFonts w:ascii="Arial" w:eastAsia="Times New Roman" w:hAnsi="Arial" w:cs="Arial"/>
                <w:sz w:val="22"/>
                <w:szCs w:val="22"/>
                <w:shd w:val="clear" w:color="auto" w:fill="FFFFFF"/>
              </w:rPr>
            </w:pPr>
            <w:r w:rsidRPr="007134EC">
              <w:rPr>
                <w:rFonts w:ascii="Arial" w:eastAsia="Times New Roman" w:hAnsi="Arial" w:cs="Arial"/>
                <w:sz w:val="22"/>
                <w:szCs w:val="22"/>
                <w:shd w:val="clear" w:color="auto" w:fill="FFFFFF"/>
              </w:rPr>
              <w:t>A capacidade de gestão ambiental do BB está amplamente compro</w:t>
            </w:r>
            <w:r w:rsidR="00662411" w:rsidRPr="007134EC">
              <w:rPr>
                <w:rFonts w:ascii="Arial" w:eastAsia="Times New Roman" w:hAnsi="Arial" w:cs="Arial"/>
                <w:sz w:val="22"/>
                <w:szCs w:val="22"/>
                <w:shd w:val="clear" w:color="auto" w:fill="FFFFFF"/>
              </w:rPr>
              <w:t>v</w:t>
            </w:r>
            <w:r w:rsidRPr="007134EC">
              <w:rPr>
                <w:rFonts w:ascii="Arial" w:eastAsia="Times New Roman" w:hAnsi="Arial" w:cs="Arial"/>
                <w:sz w:val="22"/>
                <w:szCs w:val="22"/>
                <w:shd w:val="clear" w:color="auto" w:fill="FFFFFF"/>
              </w:rPr>
              <w:t>ada no desenvolvimento de sua car</w:t>
            </w:r>
            <w:r w:rsidR="00662411" w:rsidRPr="007134EC">
              <w:rPr>
                <w:rFonts w:ascii="Arial" w:eastAsia="Times New Roman" w:hAnsi="Arial" w:cs="Arial"/>
                <w:sz w:val="22"/>
                <w:szCs w:val="22"/>
                <w:shd w:val="clear" w:color="auto" w:fill="FFFFFF"/>
              </w:rPr>
              <w:t xml:space="preserve">teira </w:t>
            </w:r>
            <w:r w:rsidRPr="007134EC">
              <w:rPr>
                <w:rFonts w:ascii="Arial" w:eastAsia="Times New Roman" w:hAnsi="Arial" w:cs="Arial"/>
                <w:sz w:val="22"/>
                <w:szCs w:val="22"/>
                <w:shd w:val="clear" w:color="auto" w:fill="FFFFFF"/>
              </w:rPr>
              <w:t>de crédi</w:t>
            </w:r>
            <w:r w:rsidR="00662411" w:rsidRPr="007134EC">
              <w:rPr>
                <w:rFonts w:ascii="Arial" w:eastAsia="Times New Roman" w:hAnsi="Arial" w:cs="Arial"/>
                <w:sz w:val="22"/>
                <w:szCs w:val="22"/>
                <w:shd w:val="clear" w:color="auto" w:fill="FFFFFF"/>
              </w:rPr>
              <w:t>t</w:t>
            </w:r>
            <w:r w:rsidRPr="007134EC">
              <w:rPr>
                <w:rFonts w:ascii="Arial" w:eastAsia="Times New Roman" w:hAnsi="Arial" w:cs="Arial"/>
                <w:sz w:val="22"/>
                <w:szCs w:val="22"/>
                <w:shd w:val="clear" w:color="auto" w:fill="FFFFFF"/>
              </w:rPr>
              <w:t xml:space="preserve">o para o setor público e privado. </w:t>
            </w:r>
          </w:p>
          <w:p w:rsidR="000007EA" w:rsidRDefault="000007EA" w:rsidP="00232267">
            <w:pPr>
              <w:ind w:right="165"/>
              <w:contextualSpacing/>
              <w:jc w:val="both"/>
              <w:rPr>
                <w:rFonts w:ascii="Arial" w:eastAsia="Times New Roman" w:hAnsi="Arial" w:cs="Arial"/>
                <w:sz w:val="22"/>
                <w:szCs w:val="22"/>
                <w:shd w:val="clear" w:color="auto" w:fill="FFFFFF"/>
              </w:rPr>
            </w:pPr>
          </w:p>
          <w:p w:rsidR="000007EA" w:rsidRPr="007134EC" w:rsidRDefault="000007EA" w:rsidP="000007EA">
            <w:pPr>
              <w:ind w:right="165"/>
              <w:contextualSpacing/>
              <w:jc w:val="both"/>
              <w:rPr>
                <w:rFonts w:ascii="Arial" w:eastAsia="Helvetica" w:hAnsi="Arial" w:cs="Arial"/>
                <w:sz w:val="22"/>
                <w:szCs w:val="22"/>
              </w:rPr>
            </w:pPr>
            <w:r w:rsidRPr="007134EC">
              <w:rPr>
                <w:rFonts w:ascii="Arial" w:eastAsia="Helvetica" w:hAnsi="Arial" w:cs="Arial"/>
                <w:sz w:val="22"/>
                <w:szCs w:val="22"/>
              </w:rPr>
              <w:t xml:space="preserve">A composição do SARAS </w:t>
            </w:r>
            <w:r>
              <w:rPr>
                <w:rFonts w:ascii="Arial" w:eastAsia="Helvetica" w:hAnsi="Arial" w:cs="Arial"/>
                <w:sz w:val="22"/>
                <w:szCs w:val="22"/>
              </w:rPr>
              <w:t xml:space="preserve">do Banco do Brasil </w:t>
            </w:r>
            <w:r w:rsidRPr="007134EC">
              <w:rPr>
                <w:rFonts w:ascii="Arial" w:eastAsia="Helvetica" w:hAnsi="Arial" w:cs="Arial"/>
                <w:sz w:val="22"/>
                <w:szCs w:val="22"/>
              </w:rPr>
              <w:t>abarca os seguintes componentes: Política de Responsabilidade Socioambiental (PRSA), Diretrizes de Sustentabilidade Banco do Brasil para o Crédito, Política Específica de Crédito e Risco de Crédito, Diretrizes Socioambientais para Assuntos Polêmicos (atividades não atendidas, restritas e lista de alerta), Unidade de Desenvolvimento Sustentável, Política Unificada de Gestão de Riscos (que inclui risco socioambiental). Para verificar a aplicabilidade desse sistema e seu atendimento às políticas operativas do BID, o Banco contratou análise do SARAS, cujas conclusões estão identificadas a seguir:</w:t>
            </w:r>
          </w:p>
          <w:p w:rsidR="000007EA" w:rsidRPr="007134EC" w:rsidRDefault="000007EA" w:rsidP="000007EA">
            <w:pPr>
              <w:pStyle w:val="ListParagraph"/>
              <w:numPr>
                <w:ilvl w:val="0"/>
                <w:numId w:val="13"/>
              </w:numPr>
              <w:ind w:right="165"/>
              <w:jc w:val="both"/>
              <w:rPr>
                <w:rFonts w:ascii="Arial" w:eastAsia="Helvetica" w:hAnsi="Arial" w:cs="Arial"/>
                <w:sz w:val="22"/>
                <w:szCs w:val="22"/>
              </w:rPr>
            </w:pPr>
            <w:r w:rsidRPr="007134EC">
              <w:rPr>
                <w:rFonts w:ascii="Arial" w:eastAsia="Helvetica" w:hAnsi="Arial" w:cs="Arial"/>
                <w:sz w:val="22"/>
                <w:szCs w:val="22"/>
              </w:rPr>
              <w:t>O Banco do Brasil possui ferramentas adequadas para gerenciamento de riscos socioambientais em sua carteira de crédito, tais como listas de restrição, sistema de categorização, processos para monitoramento de riscos e apoio de consultorias especializadas. Esse sistema de verificação completa se aplica a operações de crédito de grande porte. Dado que as operações de crédito contidas no Programa são limitadas pelo tamanho dos municípios (de pequeno e médio porte populacional) e do investimento (limitado de acordo ao porte dos munícipios), o BB observa o cumprimento do licenciamento ambiental para cada operação de credito (LP, LI e LO).</w:t>
            </w:r>
          </w:p>
          <w:p w:rsidR="000007EA" w:rsidRPr="007134EC" w:rsidRDefault="000007EA" w:rsidP="000007EA">
            <w:pPr>
              <w:ind w:right="165"/>
              <w:jc w:val="both"/>
              <w:rPr>
                <w:rFonts w:ascii="Arial" w:eastAsia="Helvetica" w:hAnsi="Arial" w:cs="Arial"/>
                <w:sz w:val="22"/>
                <w:szCs w:val="22"/>
              </w:rPr>
            </w:pPr>
          </w:p>
          <w:p w:rsidR="000007EA" w:rsidRDefault="000007EA" w:rsidP="000007EA">
            <w:pPr>
              <w:pStyle w:val="ListParagraph"/>
              <w:numPr>
                <w:ilvl w:val="0"/>
                <w:numId w:val="13"/>
              </w:numPr>
              <w:ind w:right="165"/>
              <w:jc w:val="both"/>
              <w:rPr>
                <w:rFonts w:ascii="Arial" w:eastAsia="Helvetica" w:hAnsi="Arial" w:cs="Arial"/>
                <w:sz w:val="22"/>
                <w:szCs w:val="22"/>
              </w:rPr>
            </w:pPr>
            <w:r w:rsidRPr="007134EC">
              <w:rPr>
                <w:rFonts w:ascii="Arial" w:eastAsia="Helvetica" w:hAnsi="Arial" w:cs="Arial"/>
                <w:sz w:val="22"/>
                <w:szCs w:val="22"/>
              </w:rPr>
              <w:t>A adoção de medidas mitigadoras de impactos ambientais previstas no Protocolo de Gestão de Resíduos garante que os projetos elegíveis atendam às salvaguardas socioambientais do BID</w:t>
            </w:r>
            <w:r>
              <w:rPr>
                <w:rFonts w:ascii="Arial" w:eastAsia="Helvetica" w:hAnsi="Arial" w:cs="Arial"/>
                <w:sz w:val="22"/>
                <w:szCs w:val="22"/>
              </w:rPr>
              <w:t>.</w:t>
            </w:r>
          </w:p>
          <w:p w:rsidR="00662411" w:rsidRPr="007134EC" w:rsidRDefault="00662411" w:rsidP="00754CCF">
            <w:pPr>
              <w:ind w:right="165"/>
              <w:contextualSpacing/>
              <w:jc w:val="both"/>
              <w:rPr>
                <w:rFonts w:ascii="Arial" w:eastAsia="Times New Roman" w:hAnsi="Arial" w:cs="Arial"/>
                <w:sz w:val="22"/>
                <w:szCs w:val="22"/>
              </w:rPr>
            </w:pPr>
          </w:p>
          <w:p w:rsidR="00D12945" w:rsidRPr="007134EC" w:rsidRDefault="00754CCF" w:rsidP="00754CCF">
            <w:pPr>
              <w:ind w:right="165"/>
              <w:contextualSpacing/>
              <w:jc w:val="both"/>
              <w:rPr>
                <w:rFonts w:ascii="Arial" w:eastAsia="Times New Roman" w:hAnsi="Arial" w:cs="Arial"/>
                <w:sz w:val="22"/>
                <w:szCs w:val="22"/>
              </w:rPr>
            </w:pPr>
            <w:r w:rsidRPr="007134EC">
              <w:rPr>
                <w:rFonts w:ascii="Arial" w:eastAsia="Times New Roman" w:hAnsi="Arial" w:cs="Arial"/>
                <w:sz w:val="22"/>
                <w:szCs w:val="22"/>
              </w:rPr>
              <w:t xml:space="preserve">Os contratos de crédito </w:t>
            </w:r>
            <w:r w:rsidR="00D12945" w:rsidRPr="007134EC">
              <w:rPr>
                <w:rFonts w:ascii="Arial" w:eastAsia="Times New Roman" w:hAnsi="Arial" w:cs="Arial"/>
                <w:sz w:val="22"/>
                <w:szCs w:val="22"/>
              </w:rPr>
              <w:t xml:space="preserve">do BB </w:t>
            </w:r>
            <w:r w:rsidRPr="007134EC">
              <w:rPr>
                <w:rFonts w:ascii="Arial" w:eastAsia="Times New Roman" w:hAnsi="Arial" w:cs="Arial"/>
                <w:sz w:val="22"/>
                <w:szCs w:val="22"/>
              </w:rPr>
              <w:t xml:space="preserve">trazem cláusulas de vencimento antecipado em caso de descumprimento de legislação relativa ao licenciamento ambiental, </w:t>
            </w:r>
            <w:r w:rsidR="00662411" w:rsidRPr="007134EC">
              <w:rPr>
                <w:rFonts w:ascii="Arial" w:eastAsia="Times New Roman" w:hAnsi="Arial" w:cs="Arial"/>
                <w:sz w:val="22"/>
                <w:szCs w:val="22"/>
              </w:rPr>
              <w:t xml:space="preserve">ao bioma Amazônia, </w:t>
            </w:r>
            <w:r w:rsidRPr="007134EC">
              <w:rPr>
                <w:rFonts w:ascii="Arial" w:eastAsia="Times New Roman" w:hAnsi="Arial" w:cs="Arial"/>
                <w:sz w:val="22"/>
                <w:szCs w:val="22"/>
              </w:rPr>
              <w:t xml:space="preserve">crimes contra a natureza, direitos trabalhistas, </w:t>
            </w:r>
            <w:r w:rsidR="00493A49" w:rsidRPr="007134EC">
              <w:rPr>
                <w:rFonts w:ascii="Arial" w:eastAsia="Times New Roman" w:hAnsi="Arial" w:cs="Arial"/>
                <w:sz w:val="22"/>
                <w:szCs w:val="22"/>
              </w:rPr>
              <w:t>discriminações</w:t>
            </w:r>
            <w:r w:rsidRPr="007134EC">
              <w:rPr>
                <w:rFonts w:ascii="Arial" w:eastAsia="Times New Roman" w:hAnsi="Arial" w:cs="Arial"/>
                <w:sz w:val="22"/>
                <w:szCs w:val="22"/>
              </w:rPr>
              <w:t xml:space="preserve"> de raça ou gênero, assédios moral e sexual, proveito criminoso da prostituição ou imóvel localizado em áreas de patrimônio arqueológico ou de povos e comunidades tradicionais. </w:t>
            </w:r>
          </w:p>
          <w:p w:rsidR="00D12945" w:rsidRPr="007134EC" w:rsidRDefault="00D12945" w:rsidP="00754CCF">
            <w:pPr>
              <w:ind w:right="165"/>
              <w:contextualSpacing/>
              <w:jc w:val="both"/>
              <w:rPr>
                <w:rFonts w:ascii="Arial" w:eastAsia="Times New Roman" w:hAnsi="Arial" w:cs="Arial"/>
                <w:sz w:val="22"/>
                <w:szCs w:val="22"/>
              </w:rPr>
            </w:pPr>
          </w:p>
          <w:p w:rsidR="000550B5" w:rsidRPr="007134EC" w:rsidRDefault="00754CCF" w:rsidP="00754CCF">
            <w:pPr>
              <w:ind w:right="165"/>
              <w:contextualSpacing/>
              <w:jc w:val="both"/>
              <w:rPr>
                <w:rFonts w:ascii="Arial" w:eastAsia="Times New Roman" w:hAnsi="Arial" w:cs="Arial"/>
                <w:sz w:val="22"/>
                <w:szCs w:val="22"/>
              </w:rPr>
            </w:pPr>
            <w:r w:rsidRPr="007134EC">
              <w:rPr>
                <w:rFonts w:ascii="Arial" w:eastAsia="Times New Roman" w:hAnsi="Arial" w:cs="Arial"/>
                <w:sz w:val="22"/>
                <w:szCs w:val="22"/>
              </w:rPr>
              <w:t>Além disso, para projetos enquadrados nos Princípios do Equador e de significativo risco de natureza socioambiental, o BB inclui condicionantes socioambientais nos contratos, e realiza monitoramento periódico quando à observância destas condicionantes, cujo descumprimento pode implicar em vencimento antecipado da operação</w:t>
            </w:r>
            <w:r w:rsidR="00D12945" w:rsidRPr="007134EC">
              <w:rPr>
                <w:rFonts w:ascii="Arial" w:eastAsia="Times New Roman" w:hAnsi="Arial" w:cs="Arial"/>
                <w:sz w:val="22"/>
                <w:szCs w:val="22"/>
              </w:rPr>
              <w:t>.</w:t>
            </w:r>
          </w:p>
          <w:p w:rsidR="00662411" w:rsidRPr="007134EC" w:rsidRDefault="00662411" w:rsidP="00754CCF">
            <w:pPr>
              <w:ind w:right="165"/>
              <w:contextualSpacing/>
              <w:jc w:val="both"/>
              <w:rPr>
                <w:rFonts w:ascii="Arial" w:eastAsia="Times New Roman" w:hAnsi="Arial" w:cs="Arial"/>
                <w:sz w:val="22"/>
                <w:szCs w:val="22"/>
              </w:rPr>
            </w:pPr>
          </w:p>
          <w:p w:rsidR="003931F4" w:rsidRDefault="00662411" w:rsidP="00662411">
            <w:pPr>
              <w:ind w:right="165"/>
              <w:contextualSpacing/>
              <w:jc w:val="both"/>
              <w:rPr>
                <w:rFonts w:ascii="Arial" w:eastAsia="Times New Roman" w:hAnsi="Arial" w:cs="Arial"/>
                <w:sz w:val="22"/>
                <w:szCs w:val="22"/>
                <w:shd w:val="clear" w:color="auto" w:fill="FFFFFF"/>
              </w:rPr>
            </w:pPr>
            <w:r w:rsidRPr="007134EC">
              <w:rPr>
                <w:rFonts w:ascii="Arial" w:eastAsia="Times New Roman" w:hAnsi="Arial" w:cs="Arial"/>
                <w:sz w:val="22"/>
                <w:szCs w:val="22"/>
                <w:shd w:val="clear" w:color="auto" w:fill="FFFFFF"/>
              </w:rPr>
              <w:t xml:space="preserve">Os impactos esperados no programa são de pequena magnitude e temporários, estando relacionados à gestão adequada de resíduos. Para tanto, ademais de contar com a supervisão de contrato do BB, o BID </w:t>
            </w:r>
            <w:r w:rsidR="00F82751" w:rsidRPr="007134EC">
              <w:rPr>
                <w:rFonts w:ascii="Arial" w:eastAsia="Times New Roman" w:hAnsi="Arial" w:cs="Arial"/>
                <w:sz w:val="22"/>
                <w:szCs w:val="22"/>
                <w:shd w:val="clear" w:color="auto" w:fill="FFFFFF"/>
              </w:rPr>
              <w:t>elabora</w:t>
            </w:r>
            <w:r w:rsidR="00F82751">
              <w:rPr>
                <w:rFonts w:ascii="Arial" w:eastAsia="Times New Roman" w:hAnsi="Arial" w:cs="Arial"/>
                <w:sz w:val="22"/>
                <w:szCs w:val="22"/>
                <w:shd w:val="clear" w:color="auto" w:fill="FFFFFF"/>
              </w:rPr>
              <w:t>rá</w:t>
            </w:r>
            <w:r w:rsidRPr="007134EC">
              <w:rPr>
                <w:rFonts w:ascii="Arial" w:eastAsia="Times New Roman" w:hAnsi="Arial" w:cs="Arial"/>
                <w:sz w:val="22"/>
                <w:szCs w:val="22"/>
                <w:shd w:val="clear" w:color="auto" w:fill="FFFFFF"/>
              </w:rPr>
              <w:t xml:space="preserve"> um Regulamento Operacional que estabelece a elegibilidade de municípios e projetos, bem como as atividades que integram esses projetos. Fica estabelecido que nenhum projeto categoria A pode ser incluído no Programa.</w:t>
            </w:r>
          </w:p>
          <w:p w:rsidR="00FB623F" w:rsidRDefault="00FB623F" w:rsidP="00662411">
            <w:pPr>
              <w:ind w:right="165"/>
              <w:contextualSpacing/>
              <w:jc w:val="both"/>
              <w:rPr>
                <w:rFonts w:ascii="Arial" w:eastAsia="Times New Roman" w:hAnsi="Arial" w:cs="Arial"/>
                <w:sz w:val="22"/>
                <w:szCs w:val="22"/>
                <w:shd w:val="clear" w:color="auto" w:fill="FFFFFF"/>
              </w:rPr>
            </w:pPr>
          </w:p>
          <w:p w:rsidR="00FB623F" w:rsidRDefault="00FB623F" w:rsidP="00662411">
            <w:pPr>
              <w:ind w:right="165"/>
              <w:contextualSpacing/>
              <w:jc w:val="both"/>
              <w:rPr>
                <w:rFonts w:ascii="Arial" w:eastAsia="Times New Roman" w:hAnsi="Arial" w:cs="Arial"/>
                <w:sz w:val="22"/>
                <w:szCs w:val="22"/>
                <w:shd w:val="clear" w:color="auto" w:fill="FFFFFF"/>
              </w:rPr>
            </w:pPr>
            <w:r>
              <w:rPr>
                <w:rFonts w:ascii="Arial" w:eastAsia="Helvetica" w:hAnsi="Arial" w:cs="Arial"/>
                <w:sz w:val="22"/>
                <w:szCs w:val="22"/>
              </w:rPr>
              <w:lastRenderedPageBreak/>
              <w:t>Para assegurar o cumprimento da Operação com a Política OP-703 (B.1</w:t>
            </w:r>
            <w:r w:rsidR="0036349B">
              <w:rPr>
                <w:rFonts w:ascii="Arial" w:eastAsia="Helvetica" w:hAnsi="Arial" w:cs="Arial"/>
                <w:sz w:val="22"/>
                <w:szCs w:val="22"/>
              </w:rPr>
              <w:t>3</w:t>
            </w:r>
            <w:r>
              <w:rPr>
                <w:rFonts w:ascii="Arial" w:eastAsia="Helvetica" w:hAnsi="Arial" w:cs="Arial"/>
                <w:sz w:val="22"/>
                <w:szCs w:val="22"/>
              </w:rPr>
              <w:t>) durante a vida do empréstimo, o Banco do Brasil deveria</w:t>
            </w:r>
            <w:r w:rsidR="00290745">
              <w:rPr>
                <w:rFonts w:ascii="Arial" w:eastAsia="Helvetica" w:hAnsi="Arial" w:cs="Arial"/>
                <w:sz w:val="22"/>
                <w:szCs w:val="22"/>
              </w:rPr>
              <w:t xml:space="preserve"> implementar se</w:t>
            </w:r>
            <w:r w:rsidR="006E43C9">
              <w:rPr>
                <w:rFonts w:ascii="Arial" w:eastAsia="Helvetica" w:hAnsi="Arial" w:cs="Arial"/>
                <w:sz w:val="22"/>
                <w:szCs w:val="22"/>
              </w:rPr>
              <w:t xml:space="preserve">u SARAS, além dos procedimentos descritos no Protocolo de </w:t>
            </w:r>
            <w:r w:rsidR="004C2388">
              <w:rPr>
                <w:rFonts w:ascii="Arial" w:eastAsia="Helvetica" w:hAnsi="Arial" w:cs="Arial"/>
                <w:sz w:val="22"/>
                <w:szCs w:val="22"/>
              </w:rPr>
              <w:t>Gestão</w:t>
            </w:r>
            <w:r w:rsidR="006E43C9">
              <w:rPr>
                <w:rFonts w:ascii="Arial" w:eastAsia="Helvetica" w:hAnsi="Arial" w:cs="Arial"/>
                <w:sz w:val="22"/>
                <w:szCs w:val="22"/>
              </w:rPr>
              <w:t xml:space="preserve"> de </w:t>
            </w:r>
            <w:r w:rsidR="00B16E92">
              <w:rPr>
                <w:rFonts w:ascii="Arial" w:eastAsia="Helvetica" w:hAnsi="Arial" w:cs="Arial"/>
                <w:sz w:val="22"/>
                <w:szCs w:val="22"/>
              </w:rPr>
              <w:t>Resíduos</w:t>
            </w:r>
            <w:r w:rsidR="006E43C9">
              <w:rPr>
                <w:rFonts w:ascii="Arial" w:eastAsia="Helvetica" w:hAnsi="Arial" w:cs="Arial"/>
                <w:sz w:val="22"/>
                <w:szCs w:val="22"/>
              </w:rPr>
              <w:t xml:space="preserve"> e no Regulamento Operacional do Pro</w:t>
            </w:r>
            <w:r w:rsidR="00002066">
              <w:rPr>
                <w:rFonts w:ascii="Arial" w:eastAsia="Helvetica" w:hAnsi="Arial" w:cs="Arial"/>
                <w:sz w:val="22"/>
                <w:szCs w:val="22"/>
              </w:rPr>
              <w:t>grama.</w:t>
            </w:r>
          </w:p>
          <w:p w:rsidR="00AF7313" w:rsidRPr="007134EC" w:rsidRDefault="00AF7313" w:rsidP="00662411">
            <w:pPr>
              <w:ind w:right="165"/>
              <w:contextualSpacing/>
              <w:jc w:val="both"/>
              <w:rPr>
                <w:rFonts w:ascii="Arial" w:eastAsia="Times New Roman" w:hAnsi="Arial" w:cs="Arial"/>
                <w:sz w:val="22"/>
                <w:szCs w:val="22"/>
              </w:rPr>
            </w:pP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rsidR="003931F4" w:rsidRPr="007134EC" w:rsidRDefault="003931F4" w:rsidP="003931F4">
            <w:pPr>
              <w:ind w:right="165"/>
              <w:jc w:val="both"/>
              <w:rPr>
                <w:rFonts w:ascii="Arial" w:eastAsia="Times New Roman" w:hAnsi="Arial" w:cs="Arial"/>
                <w:b/>
                <w:bCs/>
                <w:sz w:val="22"/>
                <w:szCs w:val="22"/>
              </w:rPr>
            </w:pPr>
            <w:r w:rsidRPr="007134EC">
              <w:rPr>
                <w:rFonts w:ascii="Arial" w:eastAsia="Times New Roman" w:hAnsi="Arial" w:cs="Arial"/>
                <w:b/>
                <w:bCs/>
                <w:sz w:val="22"/>
                <w:szCs w:val="22"/>
              </w:rPr>
              <w:lastRenderedPageBreak/>
              <w:t xml:space="preserve">Modo de Vida </w:t>
            </w:r>
            <w:r w:rsidR="00662411" w:rsidRPr="007134EC">
              <w:rPr>
                <w:rFonts w:ascii="Arial" w:eastAsia="Times New Roman" w:hAnsi="Arial" w:cs="Arial"/>
                <w:b/>
                <w:bCs/>
                <w:sz w:val="22"/>
                <w:szCs w:val="22"/>
              </w:rPr>
              <w:t>e</w:t>
            </w:r>
            <w:r w:rsidRPr="007134EC">
              <w:rPr>
                <w:rFonts w:ascii="Arial" w:eastAsia="Times New Roman" w:hAnsi="Arial" w:cs="Arial"/>
                <w:b/>
                <w:bCs/>
                <w:sz w:val="22"/>
                <w:szCs w:val="22"/>
              </w:rPr>
              <w:t xml:space="preserve"> Rea</w:t>
            </w:r>
            <w:r w:rsidR="00662411" w:rsidRPr="007134EC">
              <w:rPr>
                <w:rFonts w:ascii="Arial" w:eastAsia="Times New Roman" w:hAnsi="Arial" w:cs="Arial"/>
                <w:b/>
                <w:bCs/>
                <w:sz w:val="22"/>
                <w:szCs w:val="22"/>
              </w:rPr>
              <w:t>s</w:t>
            </w:r>
            <w:r w:rsidRPr="007134EC">
              <w:rPr>
                <w:rFonts w:ascii="Arial" w:eastAsia="Times New Roman" w:hAnsi="Arial" w:cs="Arial"/>
                <w:b/>
                <w:bCs/>
                <w:sz w:val="22"/>
                <w:szCs w:val="22"/>
              </w:rPr>
              <w:t>sentamento</w:t>
            </w:r>
          </w:p>
          <w:p w:rsidR="003931F4" w:rsidRPr="007134EC" w:rsidRDefault="003931F4" w:rsidP="00662411">
            <w:pPr>
              <w:ind w:right="165"/>
              <w:jc w:val="both"/>
              <w:rPr>
                <w:rFonts w:ascii="Arial" w:eastAsia="Times New Roman" w:hAnsi="Arial" w:cs="Arial"/>
                <w:sz w:val="22"/>
                <w:szCs w:val="22"/>
              </w:rPr>
            </w:pPr>
            <w:r w:rsidRPr="007134EC">
              <w:rPr>
                <w:rFonts w:ascii="Arial" w:eastAsia="Times New Roman" w:hAnsi="Arial" w:cs="Arial"/>
                <w:sz w:val="22"/>
                <w:szCs w:val="22"/>
              </w:rPr>
              <w:t>OP-710 (Política Opera</w:t>
            </w:r>
            <w:r w:rsidR="00662411" w:rsidRPr="007134EC">
              <w:rPr>
                <w:rFonts w:ascii="Arial" w:eastAsia="Times New Roman" w:hAnsi="Arial" w:cs="Arial"/>
                <w:sz w:val="22"/>
                <w:szCs w:val="22"/>
              </w:rPr>
              <w:t>cional de</w:t>
            </w:r>
            <w:r w:rsidRPr="007134EC">
              <w:rPr>
                <w:rFonts w:ascii="Arial" w:eastAsia="Times New Roman" w:hAnsi="Arial" w:cs="Arial"/>
                <w:sz w:val="22"/>
                <w:szCs w:val="22"/>
              </w:rPr>
              <w:t xml:space="preserve"> Reas</w:t>
            </w:r>
            <w:r w:rsidR="00662411" w:rsidRPr="007134EC">
              <w:rPr>
                <w:rFonts w:ascii="Arial" w:eastAsia="Times New Roman" w:hAnsi="Arial" w:cs="Arial"/>
                <w:sz w:val="22"/>
                <w:szCs w:val="22"/>
              </w:rPr>
              <w:t>sentam</w:t>
            </w:r>
            <w:r w:rsidRPr="007134EC">
              <w:rPr>
                <w:rFonts w:ascii="Arial" w:eastAsia="Times New Roman" w:hAnsi="Arial" w:cs="Arial"/>
                <w:sz w:val="22"/>
                <w:szCs w:val="22"/>
              </w:rPr>
              <w:t>ento Involunt</w:t>
            </w:r>
            <w:r w:rsidR="00662411" w:rsidRPr="007134EC">
              <w:rPr>
                <w:rFonts w:ascii="Arial" w:eastAsia="Times New Roman" w:hAnsi="Arial" w:cs="Arial"/>
                <w:sz w:val="22"/>
                <w:szCs w:val="22"/>
              </w:rPr>
              <w:t>á</w:t>
            </w:r>
            <w:r w:rsidRPr="007134EC">
              <w:rPr>
                <w:rFonts w:ascii="Arial" w:eastAsia="Times New Roman" w:hAnsi="Arial" w:cs="Arial"/>
                <w:sz w:val="22"/>
                <w:szCs w:val="22"/>
              </w:rPr>
              <w:t>rio)</w:t>
            </w: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457ECE" w:rsidRPr="007134EC" w:rsidRDefault="00457ECE" w:rsidP="003931F4">
            <w:pPr>
              <w:ind w:right="165"/>
              <w:jc w:val="both"/>
              <w:rPr>
                <w:rFonts w:ascii="Arial" w:eastAsia="Times New Roman" w:hAnsi="Arial" w:cs="Arial"/>
                <w:sz w:val="22"/>
                <w:szCs w:val="22"/>
                <w:shd w:val="clear" w:color="auto" w:fill="FFFFFF"/>
              </w:rPr>
            </w:pPr>
            <w:r w:rsidRPr="007134EC">
              <w:rPr>
                <w:rFonts w:ascii="Arial" w:eastAsia="Times New Roman" w:hAnsi="Arial" w:cs="Arial"/>
                <w:sz w:val="22"/>
                <w:szCs w:val="22"/>
                <w:shd w:val="clear" w:color="auto" w:fill="FFFFFF"/>
              </w:rPr>
              <w:t xml:space="preserve">Os critérios de elegibilidade estabelecidos para as intervenções prevista no Programa não permitem a inclusão de projetos e atividades que impliquem em reassentamento de famílias e atividades econômicas. </w:t>
            </w:r>
            <w:r w:rsidR="00197D2D" w:rsidRPr="007134EC">
              <w:rPr>
                <w:rFonts w:ascii="Arial" w:eastAsia="Times New Roman" w:hAnsi="Arial" w:cs="Arial"/>
                <w:sz w:val="22"/>
                <w:szCs w:val="22"/>
              </w:rPr>
              <w:t>Assim, a política não foi ativada.</w:t>
            </w:r>
          </w:p>
          <w:p w:rsidR="003931F4" w:rsidRPr="007134EC" w:rsidRDefault="003931F4" w:rsidP="003931F4">
            <w:pPr>
              <w:ind w:right="165"/>
              <w:jc w:val="both"/>
              <w:rPr>
                <w:rFonts w:ascii="Arial" w:eastAsia="Times New Roman" w:hAnsi="Arial" w:cs="Arial"/>
                <w:sz w:val="22"/>
                <w:szCs w:val="22"/>
              </w:rPr>
            </w:pP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rsidR="003931F4" w:rsidRPr="007134EC" w:rsidRDefault="003931F4" w:rsidP="003931F4">
            <w:pPr>
              <w:ind w:right="165"/>
              <w:jc w:val="both"/>
              <w:rPr>
                <w:rFonts w:ascii="Arial" w:eastAsia="Times New Roman" w:hAnsi="Arial" w:cs="Arial"/>
                <w:b/>
                <w:bCs/>
                <w:sz w:val="22"/>
                <w:szCs w:val="22"/>
              </w:rPr>
            </w:pPr>
            <w:r w:rsidRPr="007134EC">
              <w:rPr>
                <w:rFonts w:ascii="Arial" w:eastAsia="Times New Roman" w:hAnsi="Arial" w:cs="Arial"/>
                <w:b/>
                <w:bCs/>
                <w:sz w:val="22"/>
                <w:szCs w:val="22"/>
              </w:rPr>
              <w:t>P</w:t>
            </w:r>
            <w:r w:rsidR="00662411" w:rsidRPr="007134EC">
              <w:rPr>
                <w:rFonts w:ascii="Arial" w:eastAsia="Times New Roman" w:hAnsi="Arial" w:cs="Arial"/>
                <w:b/>
                <w:bCs/>
                <w:sz w:val="22"/>
                <w:szCs w:val="22"/>
              </w:rPr>
              <w:t xml:space="preserve">ovos </w:t>
            </w:r>
            <w:r w:rsidRPr="007134EC">
              <w:rPr>
                <w:rFonts w:ascii="Arial" w:eastAsia="Times New Roman" w:hAnsi="Arial" w:cs="Arial"/>
                <w:b/>
                <w:bCs/>
                <w:sz w:val="22"/>
                <w:szCs w:val="22"/>
              </w:rPr>
              <w:t>Indígenas</w:t>
            </w:r>
          </w:p>
          <w:p w:rsidR="003931F4" w:rsidRPr="007134EC" w:rsidRDefault="003931F4" w:rsidP="00662411">
            <w:pPr>
              <w:ind w:right="165"/>
              <w:jc w:val="both"/>
              <w:rPr>
                <w:rFonts w:ascii="Arial" w:eastAsia="Times New Roman" w:hAnsi="Arial" w:cs="Arial"/>
                <w:sz w:val="22"/>
                <w:szCs w:val="22"/>
              </w:rPr>
            </w:pPr>
            <w:r w:rsidRPr="007134EC">
              <w:rPr>
                <w:rFonts w:ascii="Arial" w:eastAsia="Times New Roman" w:hAnsi="Arial" w:cs="Arial"/>
                <w:sz w:val="22"/>
                <w:szCs w:val="22"/>
              </w:rPr>
              <w:t>OP-765 (Política Operativa sobre P</w:t>
            </w:r>
            <w:r w:rsidR="00662411" w:rsidRPr="007134EC">
              <w:rPr>
                <w:rFonts w:ascii="Arial" w:eastAsia="Times New Roman" w:hAnsi="Arial" w:cs="Arial"/>
                <w:sz w:val="22"/>
                <w:szCs w:val="22"/>
              </w:rPr>
              <w:t xml:space="preserve">ovos </w:t>
            </w:r>
            <w:r w:rsidRPr="007134EC">
              <w:rPr>
                <w:rFonts w:ascii="Arial" w:eastAsia="Times New Roman" w:hAnsi="Arial" w:cs="Arial"/>
                <w:sz w:val="22"/>
                <w:szCs w:val="22"/>
              </w:rPr>
              <w:t>Indígenas)</w:t>
            </w: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vAlign w:val="center"/>
          </w:tcPr>
          <w:p w:rsidR="003931F4" w:rsidRDefault="00457ECE" w:rsidP="00457ECE">
            <w:pPr>
              <w:ind w:right="165"/>
              <w:contextualSpacing/>
              <w:jc w:val="both"/>
              <w:rPr>
                <w:rFonts w:ascii="Arial" w:eastAsia="Times New Roman" w:hAnsi="Arial" w:cs="Arial"/>
                <w:sz w:val="22"/>
                <w:szCs w:val="22"/>
              </w:rPr>
            </w:pPr>
            <w:r w:rsidRPr="007134EC">
              <w:rPr>
                <w:rFonts w:ascii="Arial" w:eastAsia="Times New Roman" w:hAnsi="Arial" w:cs="Arial"/>
                <w:sz w:val="22"/>
                <w:szCs w:val="22"/>
                <w:shd w:val="clear" w:color="auto" w:fill="FFFFFF"/>
              </w:rPr>
              <w:t>Os critérios de elegibilidade estabelecidos para as intervenções prevista no Programa não permitem a implantação em terras ou territórios de povos indígenas.</w:t>
            </w:r>
            <w:r w:rsidR="00197D2D" w:rsidRPr="007134EC">
              <w:rPr>
                <w:rFonts w:ascii="Arial" w:eastAsia="Times New Roman" w:hAnsi="Arial" w:cs="Arial"/>
                <w:sz w:val="22"/>
                <w:szCs w:val="22"/>
                <w:shd w:val="clear" w:color="auto" w:fill="FFFFFF"/>
              </w:rPr>
              <w:t xml:space="preserve"> </w:t>
            </w:r>
            <w:r w:rsidR="00197D2D" w:rsidRPr="007134EC">
              <w:rPr>
                <w:rFonts w:ascii="Arial" w:eastAsia="Times New Roman" w:hAnsi="Arial" w:cs="Arial"/>
                <w:sz w:val="22"/>
                <w:szCs w:val="22"/>
              </w:rPr>
              <w:t>Assim, a política não foi ativada.</w:t>
            </w:r>
          </w:p>
          <w:p w:rsidR="003931F4" w:rsidRPr="007134EC" w:rsidRDefault="003931F4" w:rsidP="00167FBA">
            <w:pPr>
              <w:ind w:right="165"/>
              <w:contextualSpacing/>
              <w:jc w:val="both"/>
              <w:rPr>
                <w:rFonts w:ascii="Arial" w:eastAsia="Times New Roman" w:hAnsi="Arial" w:cs="Arial"/>
                <w:sz w:val="22"/>
                <w:szCs w:val="22"/>
                <w:shd w:val="clear" w:color="auto" w:fill="FFFFFF"/>
              </w:rPr>
            </w:pP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vAlign w:val="center"/>
          </w:tcPr>
          <w:p w:rsidR="003931F4" w:rsidRPr="007134EC" w:rsidRDefault="003931F4" w:rsidP="003931F4">
            <w:pPr>
              <w:ind w:right="165"/>
              <w:jc w:val="both"/>
              <w:rPr>
                <w:rFonts w:ascii="Arial" w:eastAsia="Times New Roman" w:hAnsi="Arial" w:cs="Arial"/>
                <w:b/>
                <w:bCs/>
                <w:sz w:val="22"/>
                <w:szCs w:val="22"/>
              </w:rPr>
            </w:pPr>
            <w:r w:rsidRPr="007134EC">
              <w:rPr>
                <w:rFonts w:ascii="Arial" w:eastAsia="Times New Roman" w:hAnsi="Arial" w:cs="Arial"/>
                <w:b/>
                <w:bCs/>
                <w:sz w:val="22"/>
                <w:szCs w:val="22"/>
              </w:rPr>
              <w:t>Igualdad</w:t>
            </w:r>
            <w:r w:rsidR="00482DA2" w:rsidRPr="007134EC">
              <w:rPr>
                <w:rFonts w:ascii="Arial" w:eastAsia="Times New Roman" w:hAnsi="Arial" w:cs="Arial"/>
                <w:b/>
                <w:bCs/>
                <w:sz w:val="22"/>
                <w:szCs w:val="22"/>
              </w:rPr>
              <w:t>e</w:t>
            </w:r>
            <w:r w:rsidRPr="007134EC">
              <w:rPr>
                <w:rFonts w:ascii="Arial" w:eastAsia="Times New Roman" w:hAnsi="Arial" w:cs="Arial"/>
                <w:b/>
                <w:bCs/>
                <w:sz w:val="22"/>
                <w:szCs w:val="22"/>
              </w:rPr>
              <w:t xml:space="preserve"> de Género</w:t>
            </w:r>
            <w:r w:rsidRPr="007134EC">
              <w:rPr>
                <w:rFonts w:ascii="Arial" w:eastAsia="Times New Roman" w:hAnsi="Arial" w:cs="Arial"/>
                <w:b/>
                <w:bCs/>
                <w:sz w:val="22"/>
                <w:szCs w:val="22"/>
                <w:shd w:val="clear" w:color="auto" w:fill="FFFFFF"/>
              </w:rPr>
              <w:t xml:space="preserve"> </w:t>
            </w:r>
          </w:p>
          <w:p w:rsidR="003931F4" w:rsidRPr="007134EC" w:rsidRDefault="003931F4" w:rsidP="003931F4">
            <w:pPr>
              <w:ind w:right="165"/>
              <w:jc w:val="both"/>
              <w:rPr>
                <w:rFonts w:ascii="Arial" w:eastAsia="Times New Roman" w:hAnsi="Arial" w:cs="Arial"/>
                <w:sz w:val="22"/>
                <w:szCs w:val="22"/>
              </w:rPr>
            </w:pPr>
            <w:r w:rsidRPr="007134EC">
              <w:rPr>
                <w:rFonts w:ascii="Arial" w:eastAsia="Times New Roman" w:hAnsi="Arial" w:cs="Arial"/>
                <w:sz w:val="22"/>
                <w:szCs w:val="22"/>
              </w:rPr>
              <w:t>OP-761 (Política Operativa sobre Igualdad</w:t>
            </w:r>
            <w:r w:rsidR="00090943" w:rsidRPr="007134EC">
              <w:rPr>
                <w:rFonts w:ascii="Arial" w:eastAsia="Times New Roman" w:hAnsi="Arial" w:cs="Arial"/>
                <w:sz w:val="22"/>
                <w:szCs w:val="22"/>
              </w:rPr>
              <w:t>e</w:t>
            </w:r>
            <w:r w:rsidRPr="007134EC">
              <w:rPr>
                <w:rFonts w:ascii="Arial" w:eastAsia="Times New Roman" w:hAnsi="Arial" w:cs="Arial"/>
                <w:sz w:val="22"/>
                <w:szCs w:val="22"/>
              </w:rPr>
              <w:t xml:space="preserve"> de </w:t>
            </w:r>
            <w:r w:rsidR="00A42880" w:rsidRPr="00EF4886">
              <w:rPr>
                <w:rFonts w:ascii="Arial" w:eastAsia="Times New Roman" w:hAnsi="Arial" w:cs="Arial"/>
                <w:sz w:val="22"/>
                <w:szCs w:val="22"/>
              </w:rPr>
              <w:t xml:space="preserve">Gênero </w:t>
            </w:r>
            <w:r w:rsidR="001A5118">
              <w:rPr>
                <w:rFonts w:ascii="Arial" w:eastAsia="Times New Roman" w:hAnsi="Arial" w:cs="Arial"/>
                <w:sz w:val="22"/>
                <w:szCs w:val="22"/>
              </w:rPr>
              <w:t>no Desenvolvimento</w:t>
            </w:r>
            <w:r w:rsidRPr="007134EC">
              <w:rPr>
                <w:rFonts w:ascii="Arial" w:eastAsia="Times New Roman" w:hAnsi="Arial" w:cs="Arial"/>
                <w:sz w:val="22"/>
                <w:szCs w:val="22"/>
              </w:rPr>
              <w:t>)</w:t>
            </w: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D12945" w:rsidRPr="00B530EF" w:rsidRDefault="00C45151" w:rsidP="00A16EA6">
            <w:pPr>
              <w:ind w:right="165"/>
              <w:jc w:val="both"/>
              <w:rPr>
                <w:rFonts w:ascii="Arial" w:eastAsia="Times New Roman" w:hAnsi="Arial" w:cs="Arial"/>
                <w:sz w:val="22"/>
                <w:szCs w:val="22"/>
                <w:shd w:val="clear" w:color="auto" w:fill="FFFFFF"/>
              </w:rPr>
            </w:pPr>
            <w:r w:rsidRPr="00B530EF">
              <w:rPr>
                <w:rFonts w:ascii="Arial" w:eastAsia="Times New Roman" w:hAnsi="Arial" w:cs="Arial"/>
                <w:sz w:val="22"/>
                <w:szCs w:val="22"/>
                <w:shd w:val="clear" w:color="auto" w:fill="FFFFFF"/>
              </w:rPr>
              <w:t>O</w:t>
            </w:r>
            <w:r w:rsidR="00D12945" w:rsidRPr="00B530EF">
              <w:rPr>
                <w:rFonts w:ascii="Arial" w:eastAsia="Times New Roman" w:hAnsi="Arial" w:cs="Arial"/>
                <w:sz w:val="22"/>
                <w:szCs w:val="22"/>
                <w:shd w:val="clear" w:color="auto" w:fill="FFFFFF"/>
              </w:rPr>
              <w:t xml:space="preserve"> Banco do Brasil vem atuando com </w:t>
            </w:r>
            <w:r w:rsidR="00786BA9" w:rsidRPr="00B530EF">
              <w:rPr>
                <w:rFonts w:ascii="Arial" w:eastAsia="Times New Roman" w:hAnsi="Arial" w:cs="Arial"/>
                <w:sz w:val="22"/>
                <w:szCs w:val="22"/>
                <w:shd w:val="clear" w:color="auto" w:fill="FFFFFF"/>
              </w:rPr>
              <w:t>políticas</w:t>
            </w:r>
            <w:r w:rsidR="00D12945" w:rsidRPr="00B530EF">
              <w:rPr>
                <w:rFonts w:ascii="Arial" w:eastAsia="Times New Roman" w:hAnsi="Arial" w:cs="Arial"/>
                <w:sz w:val="22"/>
                <w:szCs w:val="22"/>
                <w:shd w:val="clear" w:color="auto" w:fill="FFFFFF"/>
              </w:rPr>
              <w:t xml:space="preserve"> e ações direcionadas para o equilíbrio não só na equidade para compor seu quadro de funcionários, mas também para a necessidade de incremento da participação das mulheres em cargos de liderança. O BB instituiu o Programa Pro-Equidade de Gênero e Raça em consonância com o Plano Nacional de Políticas para as Mulheres (PNPM)</w:t>
            </w:r>
            <w:r w:rsidR="005B3381" w:rsidRPr="00B530EF">
              <w:rPr>
                <w:rFonts w:ascii="Arial" w:eastAsia="Times New Roman" w:hAnsi="Arial" w:cs="Arial"/>
                <w:sz w:val="22"/>
                <w:szCs w:val="22"/>
                <w:shd w:val="clear" w:color="auto" w:fill="FFFFFF"/>
              </w:rPr>
              <w:t xml:space="preserve">, </w:t>
            </w:r>
            <w:r w:rsidR="005B3381" w:rsidRPr="00B530EF">
              <w:rPr>
                <w:rFonts w:ascii="Arial" w:eastAsia="Times New Roman" w:hAnsi="Arial" w:cs="Arial"/>
                <w:sz w:val="22"/>
                <w:szCs w:val="22"/>
              </w:rPr>
              <w:t>vigente desde 2003.</w:t>
            </w:r>
          </w:p>
          <w:p w:rsidR="005B3381" w:rsidRPr="00B530EF" w:rsidRDefault="005B3381" w:rsidP="005B3381">
            <w:pPr>
              <w:ind w:right="165"/>
              <w:contextualSpacing/>
              <w:jc w:val="both"/>
              <w:rPr>
                <w:rFonts w:ascii="Arial" w:eastAsia="Times New Roman" w:hAnsi="Arial" w:cs="Arial"/>
                <w:sz w:val="22"/>
                <w:szCs w:val="22"/>
              </w:rPr>
            </w:pPr>
          </w:p>
          <w:p w:rsidR="005B3381" w:rsidRPr="00B530EF" w:rsidRDefault="005B3381" w:rsidP="005B3381">
            <w:pPr>
              <w:ind w:right="165"/>
              <w:contextualSpacing/>
              <w:jc w:val="both"/>
              <w:rPr>
                <w:rFonts w:ascii="Arial" w:eastAsia="Times New Roman" w:hAnsi="Arial" w:cs="Arial"/>
                <w:sz w:val="22"/>
                <w:szCs w:val="22"/>
              </w:rPr>
            </w:pPr>
            <w:r w:rsidRPr="00B530EF">
              <w:rPr>
                <w:rFonts w:ascii="Arial" w:eastAsia="Times New Roman" w:hAnsi="Arial" w:cs="Arial"/>
                <w:sz w:val="22"/>
                <w:szCs w:val="22"/>
              </w:rPr>
              <w:t>Nessa iniciativa são incentivadas as unidades gestoras que trabalham com a melhor distribuição de gênero na ocupação de funções gerenciais. Outra linha de ação trabalha diretamente os funcionários que são pais e mães, promovendo capacitação para um melhor equilíbrio das funções dentro da família e no espaço de trabalho.</w:t>
            </w:r>
          </w:p>
          <w:p w:rsidR="00D12945" w:rsidRPr="00B530EF" w:rsidRDefault="00D12945" w:rsidP="00A16EA6">
            <w:pPr>
              <w:ind w:right="165"/>
              <w:jc w:val="both"/>
              <w:rPr>
                <w:rFonts w:ascii="Arial" w:eastAsia="Times New Roman" w:hAnsi="Arial" w:cs="Arial"/>
                <w:sz w:val="22"/>
                <w:szCs w:val="22"/>
                <w:shd w:val="clear" w:color="auto" w:fill="FFFFFF"/>
              </w:rPr>
            </w:pPr>
          </w:p>
          <w:p w:rsidR="006F26B8" w:rsidRPr="00B530EF" w:rsidRDefault="00A16EA6" w:rsidP="006F26B8">
            <w:pPr>
              <w:ind w:right="165"/>
              <w:jc w:val="both"/>
              <w:rPr>
                <w:rFonts w:ascii="Arial" w:eastAsia="Times New Roman" w:hAnsi="Arial" w:cs="Arial"/>
                <w:sz w:val="22"/>
                <w:szCs w:val="22"/>
                <w:shd w:val="clear" w:color="auto" w:fill="FFFFFF"/>
              </w:rPr>
            </w:pPr>
            <w:r w:rsidRPr="00B530EF">
              <w:rPr>
                <w:rFonts w:ascii="Arial" w:eastAsia="Times New Roman" w:hAnsi="Arial" w:cs="Arial"/>
                <w:sz w:val="22"/>
                <w:szCs w:val="22"/>
                <w:shd w:val="clear" w:color="auto" w:fill="FFFFFF"/>
              </w:rPr>
              <w:t xml:space="preserve">Buscando incrementar a aplicação da política de igualdade de gêneros já </w:t>
            </w:r>
            <w:r w:rsidR="00D12945" w:rsidRPr="00B530EF">
              <w:rPr>
                <w:rFonts w:ascii="Arial" w:eastAsia="Times New Roman" w:hAnsi="Arial" w:cs="Arial"/>
                <w:sz w:val="22"/>
                <w:szCs w:val="22"/>
                <w:shd w:val="clear" w:color="auto" w:fill="FFFFFF"/>
              </w:rPr>
              <w:t>existente no BB</w:t>
            </w:r>
            <w:r w:rsidRPr="00B530EF">
              <w:rPr>
                <w:rFonts w:ascii="Arial" w:eastAsia="Times New Roman" w:hAnsi="Arial" w:cs="Arial"/>
                <w:sz w:val="22"/>
                <w:szCs w:val="22"/>
                <w:shd w:val="clear" w:color="auto" w:fill="FFFFFF"/>
              </w:rPr>
              <w:t>, estão previstas ações adicionais a serem financiadas pelo Programa. No intuito de contribuir para o incremento da estratégia de gênero estabelecida no BB, o Programa BR-L1503 apoiará ações de capacitação específica para mulheres, a fim de melhorar o equilíbrio entre os gêneros na ocupação de funções gerenciais e de tomada de decisão. São ações como o incremento da participação das mulheres por meio da realização de fórum de lideranças voltado a melhorar o equilíbrio entre gêneros na ocupação de postos gerenciais e de tomada de decisão. O Regulamento Operacional definirá a tipologia e detalhamento dessas ações a serem financiadas pelo Programa.</w:t>
            </w:r>
          </w:p>
          <w:p w:rsidR="00140975" w:rsidRPr="00B530EF" w:rsidRDefault="00140975" w:rsidP="006F26B8">
            <w:pPr>
              <w:ind w:right="165"/>
              <w:jc w:val="both"/>
              <w:rPr>
                <w:rFonts w:ascii="Arial" w:eastAsia="Times New Roman" w:hAnsi="Arial" w:cs="Arial"/>
                <w:sz w:val="22"/>
                <w:szCs w:val="22"/>
                <w:shd w:val="clear" w:color="auto" w:fill="FFFFFF"/>
              </w:rPr>
            </w:pPr>
          </w:p>
          <w:p w:rsidR="00140975" w:rsidRPr="00B530EF" w:rsidRDefault="00140975" w:rsidP="006F26B8">
            <w:pPr>
              <w:ind w:right="165"/>
              <w:jc w:val="both"/>
              <w:rPr>
                <w:rFonts w:ascii="Arial" w:eastAsia="Times New Roman" w:hAnsi="Arial" w:cs="Arial"/>
                <w:sz w:val="22"/>
                <w:szCs w:val="22"/>
                <w:shd w:val="clear" w:color="auto" w:fill="FFFFFF"/>
              </w:rPr>
            </w:pPr>
            <w:r w:rsidRPr="00B530EF">
              <w:rPr>
                <w:rFonts w:ascii="Arial" w:eastAsia="Helvetica" w:hAnsi="Arial" w:cs="Arial"/>
                <w:sz w:val="22"/>
                <w:szCs w:val="22"/>
              </w:rPr>
              <w:t>Para assegurar o cumprimento da Operação com a Política OP-7</w:t>
            </w:r>
            <w:r w:rsidR="00C330BC" w:rsidRPr="00B530EF">
              <w:rPr>
                <w:rFonts w:ascii="Arial" w:eastAsia="Helvetica" w:hAnsi="Arial" w:cs="Arial"/>
                <w:sz w:val="22"/>
                <w:szCs w:val="22"/>
              </w:rPr>
              <w:t>61</w:t>
            </w:r>
            <w:r w:rsidRPr="00B530EF">
              <w:rPr>
                <w:rFonts w:ascii="Arial" w:eastAsia="Helvetica" w:hAnsi="Arial" w:cs="Arial"/>
                <w:sz w:val="22"/>
                <w:szCs w:val="22"/>
              </w:rPr>
              <w:t xml:space="preserve"> durante a vida do empréstimo, o Banco do Brasil deveria</w:t>
            </w:r>
            <w:r w:rsidR="00795F74" w:rsidRPr="00B530EF">
              <w:rPr>
                <w:rFonts w:ascii="Arial" w:eastAsia="Helvetica" w:hAnsi="Arial" w:cs="Arial"/>
                <w:sz w:val="22"/>
                <w:szCs w:val="22"/>
              </w:rPr>
              <w:t xml:space="preserve"> implementar as </w:t>
            </w:r>
            <w:r w:rsidR="0048451F" w:rsidRPr="00B530EF">
              <w:rPr>
                <w:rFonts w:ascii="Arial" w:eastAsia="Helvetica" w:hAnsi="Arial" w:cs="Arial"/>
                <w:sz w:val="22"/>
                <w:szCs w:val="22"/>
              </w:rPr>
              <w:t>ações</w:t>
            </w:r>
            <w:r w:rsidR="00795F74" w:rsidRPr="00B530EF">
              <w:rPr>
                <w:rFonts w:ascii="Arial" w:eastAsia="Helvetica" w:hAnsi="Arial" w:cs="Arial"/>
                <w:sz w:val="22"/>
                <w:szCs w:val="22"/>
              </w:rPr>
              <w:t xml:space="preserve"> descritas no Regulamento Operacional.</w:t>
            </w:r>
          </w:p>
          <w:p w:rsidR="006F26B8" w:rsidRPr="001E63B5" w:rsidRDefault="006F26B8" w:rsidP="006F26B8">
            <w:pPr>
              <w:ind w:right="165"/>
              <w:jc w:val="both"/>
              <w:rPr>
                <w:rFonts w:ascii="Arial" w:eastAsia="Times New Roman" w:hAnsi="Arial" w:cs="Arial"/>
                <w:sz w:val="22"/>
                <w:szCs w:val="22"/>
                <w:highlight w:val="yellow"/>
                <w:shd w:val="clear" w:color="auto" w:fill="FFFFFF"/>
              </w:rPr>
            </w:pP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rsidR="003931F4" w:rsidRPr="007134EC" w:rsidRDefault="003931F4" w:rsidP="003931F4">
            <w:pPr>
              <w:ind w:right="165"/>
              <w:jc w:val="both"/>
              <w:rPr>
                <w:rFonts w:ascii="Arial" w:eastAsia="Times New Roman" w:hAnsi="Arial" w:cs="Arial"/>
                <w:b/>
                <w:bCs/>
                <w:sz w:val="22"/>
                <w:szCs w:val="22"/>
              </w:rPr>
            </w:pPr>
            <w:r w:rsidRPr="007134EC">
              <w:rPr>
                <w:rFonts w:ascii="Arial" w:eastAsia="Times New Roman" w:hAnsi="Arial" w:cs="Arial"/>
                <w:b/>
                <w:bCs/>
                <w:sz w:val="22"/>
                <w:szCs w:val="22"/>
              </w:rPr>
              <w:t>Gest</w:t>
            </w:r>
            <w:r w:rsidR="00571E42" w:rsidRPr="007134EC">
              <w:rPr>
                <w:rFonts w:ascii="Arial" w:eastAsia="Times New Roman" w:hAnsi="Arial" w:cs="Arial"/>
                <w:b/>
                <w:bCs/>
                <w:sz w:val="22"/>
                <w:szCs w:val="22"/>
              </w:rPr>
              <w:t>ão de Risco de Desastres</w:t>
            </w:r>
            <w:r w:rsidRPr="007134EC">
              <w:rPr>
                <w:rFonts w:ascii="Arial" w:eastAsia="Times New Roman" w:hAnsi="Arial" w:cs="Arial"/>
                <w:b/>
                <w:bCs/>
                <w:sz w:val="22"/>
                <w:szCs w:val="22"/>
                <w:shd w:val="clear" w:color="auto" w:fill="FFFFFF"/>
              </w:rPr>
              <w:t xml:space="preserve"> </w:t>
            </w:r>
          </w:p>
          <w:p w:rsidR="003931F4" w:rsidRPr="007134EC" w:rsidRDefault="003931F4" w:rsidP="00571E42">
            <w:pPr>
              <w:ind w:right="165"/>
              <w:jc w:val="both"/>
              <w:rPr>
                <w:rFonts w:ascii="Arial" w:eastAsia="Times New Roman" w:hAnsi="Arial" w:cs="Arial"/>
                <w:sz w:val="22"/>
                <w:szCs w:val="22"/>
              </w:rPr>
            </w:pPr>
            <w:r w:rsidRPr="007134EC">
              <w:rPr>
                <w:rFonts w:ascii="Arial" w:eastAsia="Times New Roman" w:hAnsi="Arial" w:cs="Arial"/>
                <w:sz w:val="22"/>
                <w:szCs w:val="22"/>
              </w:rPr>
              <w:t>OP-704 (Política de Gest</w:t>
            </w:r>
            <w:r w:rsidR="00571E42" w:rsidRPr="007134EC">
              <w:rPr>
                <w:rFonts w:ascii="Arial" w:eastAsia="Times New Roman" w:hAnsi="Arial" w:cs="Arial"/>
                <w:sz w:val="22"/>
                <w:szCs w:val="22"/>
              </w:rPr>
              <w:t>ão de Risco de Desastres Naturais</w:t>
            </w:r>
            <w:r w:rsidRPr="007134EC">
              <w:rPr>
                <w:rFonts w:ascii="Arial" w:eastAsia="Times New Roman" w:hAnsi="Arial" w:cs="Arial"/>
                <w:sz w:val="22"/>
                <w:szCs w:val="22"/>
              </w:rPr>
              <w:t>)</w:t>
            </w: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EF1DC7" w:rsidRDefault="00572A99" w:rsidP="00873691">
            <w:pPr>
              <w:ind w:right="165"/>
              <w:contextualSpacing/>
              <w:jc w:val="both"/>
              <w:rPr>
                <w:rFonts w:ascii="Arial" w:eastAsia="Times New Roman" w:hAnsi="Arial" w:cs="Arial"/>
                <w:sz w:val="22"/>
                <w:szCs w:val="22"/>
                <w:shd w:val="clear" w:color="auto" w:fill="FFFFFF"/>
              </w:rPr>
            </w:pPr>
            <w:r w:rsidRPr="007134EC">
              <w:rPr>
                <w:rFonts w:ascii="Arial" w:eastAsia="Times New Roman" w:hAnsi="Arial" w:cs="Arial"/>
                <w:sz w:val="22"/>
                <w:szCs w:val="22"/>
                <w:shd w:val="clear" w:color="auto" w:fill="FFFFFF"/>
              </w:rPr>
              <w:t xml:space="preserve">No Brasil podem ocorrer fenômenos associados à ocorrência de desastres naturais como cheias e deslizamentos. </w:t>
            </w:r>
            <w:r w:rsidR="00EF1DC7" w:rsidRPr="007134EC">
              <w:rPr>
                <w:rFonts w:ascii="Arial" w:eastAsia="Times New Roman" w:hAnsi="Arial" w:cs="Arial"/>
                <w:sz w:val="22"/>
                <w:szCs w:val="22"/>
              </w:rPr>
              <w:t xml:space="preserve">Quanto à eventualidade de ocorrência de </w:t>
            </w:r>
            <w:r w:rsidR="00C16439">
              <w:rPr>
                <w:rFonts w:ascii="Arial" w:eastAsia="Times New Roman" w:hAnsi="Arial" w:cs="Arial"/>
                <w:sz w:val="22"/>
                <w:szCs w:val="22"/>
              </w:rPr>
              <w:t xml:space="preserve">esses </w:t>
            </w:r>
            <w:r w:rsidR="00EF1DC7" w:rsidRPr="007134EC">
              <w:rPr>
                <w:rFonts w:ascii="Arial" w:eastAsia="Times New Roman" w:hAnsi="Arial" w:cs="Arial"/>
                <w:sz w:val="22"/>
                <w:szCs w:val="22"/>
              </w:rPr>
              <w:t>desastres naturais, a Lei Federal n</w:t>
            </w:r>
            <w:r w:rsidR="00EF1DC7" w:rsidRPr="007134EC">
              <w:rPr>
                <w:rFonts w:ascii="Arial" w:eastAsia="Times New Roman" w:hAnsi="Arial" w:cs="Arial"/>
                <w:sz w:val="22"/>
                <w:szCs w:val="22"/>
                <w:vertAlign w:val="superscript"/>
              </w:rPr>
              <w:t>o</w:t>
            </w:r>
            <w:r w:rsidR="00EF1DC7" w:rsidRPr="007134EC">
              <w:rPr>
                <w:rFonts w:ascii="Arial" w:eastAsia="Times New Roman" w:hAnsi="Arial" w:cs="Arial"/>
                <w:sz w:val="22"/>
                <w:szCs w:val="22"/>
              </w:rPr>
              <w:t>12.608 de 2012 criou o sistema de informações e monitoramento de desastres com diretrizes que estão alinhadas com o BID, tais como: (i) a prioridade às ações preventivas relacionadas à minimização de desastres; (</w:t>
            </w:r>
            <w:proofErr w:type="spellStart"/>
            <w:r w:rsidR="00EF1DC7" w:rsidRPr="007134EC">
              <w:rPr>
                <w:rFonts w:ascii="Arial" w:eastAsia="Times New Roman" w:hAnsi="Arial" w:cs="Arial"/>
                <w:sz w:val="22"/>
                <w:szCs w:val="22"/>
              </w:rPr>
              <w:t>ii</w:t>
            </w:r>
            <w:proofErr w:type="spellEnd"/>
            <w:r w:rsidR="00EF1DC7" w:rsidRPr="007134EC">
              <w:rPr>
                <w:rFonts w:ascii="Arial" w:eastAsia="Times New Roman" w:hAnsi="Arial" w:cs="Arial"/>
                <w:sz w:val="22"/>
                <w:szCs w:val="22"/>
              </w:rPr>
              <w:t>) planejamento com base em pesquisas e estudos sobre áreas de risco e incidência de desastres no território nacional; e (</w:t>
            </w:r>
            <w:proofErr w:type="spellStart"/>
            <w:r w:rsidR="00EF1DC7" w:rsidRPr="007134EC">
              <w:rPr>
                <w:rFonts w:ascii="Arial" w:eastAsia="Times New Roman" w:hAnsi="Arial" w:cs="Arial"/>
                <w:sz w:val="22"/>
                <w:szCs w:val="22"/>
              </w:rPr>
              <w:t>iii</w:t>
            </w:r>
            <w:proofErr w:type="spellEnd"/>
            <w:r w:rsidR="00EF1DC7" w:rsidRPr="007134EC">
              <w:rPr>
                <w:rFonts w:ascii="Arial" w:eastAsia="Times New Roman" w:hAnsi="Arial" w:cs="Arial"/>
                <w:sz w:val="22"/>
                <w:szCs w:val="22"/>
              </w:rPr>
              <w:t xml:space="preserve">) participação da sociedade civil. A legislação relacionada à prevenção de desastres foca na responsabilidade do governo em identificar áreas de vulnerabilidade e reduzir exposição a riscos. Os eventos de maior ocorrência em território nacional são inundações e deslizamentos, causados por fortes chuvas. É improvável que alguma ação prevista na lista de atividades elegíveis possa ser vinculada a esses eventos. Todavia, caso isso ocorra, a instancia responsável por coordenar as ações necessárias é a Defesa Civil, que está implantada em nível federal, estadual e municipal. </w:t>
            </w:r>
            <w:r w:rsidR="00EF1DC7" w:rsidRPr="007134EC">
              <w:rPr>
                <w:rFonts w:ascii="Arial" w:eastAsia="Times New Roman" w:hAnsi="Arial" w:cs="Arial"/>
                <w:sz w:val="22"/>
                <w:szCs w:val="22"/>
                <w:shd w:val="clear" w:color="auto" w:fill="FFFFFF"/>
              </w:rPr>
              <w:t xml:space="preserve">Os serviços de Defesa Civil têm utilizado ferramentas de comunicação modernas para alerta de eventual desastre, como: alerta sonoro; e, grupos estabelecidos em aplicativo próprio por área de abrangência, que utilizam </w:t>
            </w:r>
            <w:proofErr w:type="spellStart"/>
            <w:r w:rsidR="00EF1DC7" w:rsidRPr="007134EC">
              <w:rPr>
                <w:rFonts w:ascii="Arial" w:eastAsia="Times New Roman" w:hAnsi="Arial" w:cs="Arial"/>
                <w:sz w:val="22"/>
                <w:szCs w:val="22"/>
                <w:shd w:val="clear" w:color="auto" w:fill="FFFFFF"/>
              </w:rPr>
              <w:t>W</w:t>
            </w:r>
            <w:r w:rsidR="00EF1DC7" w:rsidRPr="007134EC">
              <w:rPr>
                <w:rFonts w:ascii="Arial" w:eastAsia="Times New Roman" w:hAnsi="Arial" w:cs="Arial"/>
                <w:i/>
                <w:sz w:val="22"/>
                <w:szCs w:val="22"/>
                <w:shd w:val="clear" w:color="auto" w:fill="FFFFFF"/>
              </w:rPr>
              <w:t>hatsapp</w:t>
            </w:r>
            <w:proofErr w:type="spellEnd"/>
            <w:r w:rsidR="00EF1DC7" w:rsidRPr="007134EC">
              <w:rPr>
                <w:rFonts w:ascii="Arial" w:eastAsia="Times New Roman" w:hAnsi="Arial" w:cs="Arial"/>
                <w:i/>
                <w:sz w:val="22"/>
                <w:szCs w:val="22"/>
                <w:shd w:val="clear" w:color="auto" w:fill="FFFFFF"/>
              </w:rPr>
              <w:t xml:space="preserve"> </w:t>
            </w:r>
            <w:r w:rsidR="00EF1DC7" w:rsidRPr="007134EC">
              <w:rPr>
                <w:rFonts w:ascii="Arial" w:eastAsia="Times New Roman" w:hAnsi="Arial" w:cs="Arial"/>
                <w:sz w:val="22"/>
                <w:szCs w:val="22"/>
                <w:shd w:val="clear" w:color="auto" w:fill="FFFFFF"/>
              </w:rPr>
              <w:t xml:space="preserve">ou SMS como veículo de alerta.  </w:t>
            </w:r>
          </w:p>
          <w:p w:rsidR="00DF4DE9" w:rsidRDefault="00DF4DE9" w:rsidP="00873691">
            <w:pPr>
              <w:ind w:right="165"/>
              <w:contextualSpacing/>
              <w:jc w:val="both"/>
              <w:rPr>
                <w:rFonts w:ascii="Arial" w:eastAsia="Times New Roman" w:hAnsi="Arial" w:cs="Arial"/>
                <w:sz w:val="22"/>
                <w:szCs w:val="22"/>
                <w:shd w:val="clear" w:color="auto" w:fill="FFFFFF"/>
              </w:rPr>
            </w:pPr>
          </w:p>
          <w:p w:rsidR="00DF4DE9" w:rsidRPr="00D835D2" w:rsidRDefault="00DF4DE9" w:rsidP="00873691">
            <w:pPr>
              <w:ind w:right="165"/>
              <w:contextualSpacing/>
              <w:jc w:val="both"/>
              <w:rPr>
                <w:rFonts w:ascii="Arial" w:eastAsia="Times New Roman" w:hAnsi="Arial" w:cs="Arial"/>
                <w:sz w:val="22"/>
                <w:szCs w:val="22"/>
                <w:shd w:val="clear" w:color="auto" w:fill="FFFFFF"/>
              </w:rPr>
            </w:pPr>
            <w:r>
              <w:rPr>
                <w:rFonts w:ascii="Arial" w:eastAsia="Times New Roman" w:hAnsi="Arial" w:cs="Arial"/>
                <w:sz w:val="22"/>
                <w:szCs w:val="22"/>
                <w:shd w:val="clear" w:color="auto" w:fill="FFFFFF"/>
              </w:rPr>
              <w:lastRenderedPageBreak/>
              <w:t xml:space="preserve">No </w:t>
            </w:r>
            <w:r w:rsidR="00AA7215">
              <w:rPr>
                <w:rFonts w:ascii="Arial" w:eastAsia="Times New Roman" w:hAnsi="Arial" w:cs="Arial"/>
                <w:sz w:val="22"/>
                <w:szCs w:val="22"/>
                <w:shd w:val="clear" w:color="auto" w:fill="FFFFFF"/>
              </w:rPr>
              <w:t>P</w:t>
            </w:r>
            <w:r>
              <w:rPr>
                <w:rFonts w:ascii="Arial" w:eastAsia="Times New Roman" w:hAnsi="Arial" w:cs="Arial"/>
                <w:sz w:val="22"/>
                <w:szCs w:val="22"/>
                <w:shd w:val="clear" w:color="auto" w:fill="FFFFFF"/>
              </w:rPr>
              <w:t xml:space="preserve">rograma, existe um risco </w:t>
            </w:r>
            <w:r w:rsidRPr="007134EC">
              <w:rPr>
                <w:rFonts w:ascii="Arial" w:eastAsia="Times New Roman" w:hAnsi="Arial" w:cs="Arial"/>
                <w:sz w:val="22"/>
                <w:szCs w:val="22"/>
                <w:shd w:val="clear" w:color="auto" w:fill="FFFFFF"/>
              </w:rPr>
              <w:t xml:space="preserve">de vazamento durante o transporte </w:t>
            </w:r>
            <w:r>
              <w:rPr>
                <w:rFonts w:ascii="Arial" w:eastAsia="Times New Roman" w:hAnsi="Arial" w:cs="Arial"/>
                <w:sz w:val="22"/>
                <w:szCs w:val="22"/>
                <w:shd w:val="clear" w:color="auto" w:fill="FFFFFF"/>
              </w:rPr>
              <w:t>de</w:t>
            </w:r>
            <w:r w:rsidRPr="007134EC">
              <w:rPr>
                <w:rFonts w:ascii="Arial" w:eastAsia="Times New Roman" w:hAnsi="Arial" w:cs="Arial"/>
                <w:sz w:val="22"/>
                <w:szCs w:val="22"/>
                <w:shd w:val="clear" w:color="auto" w:fill="FFFFFF"/>
              </w:rPr>
              <w:t xml:space="preserve"> resíduos </w:t>
            </w:r>
            <w:r>
              <w:rPr>
                <w:rFonts w:ascii="Arial" w:eastAsia="Times New Roman" w:hAnsi="Arial" w:cs="Arial"/>
                <w:sz w:val="22"/>
                <w:szCs w:val="22"/>
                <w:shd w:val="clear" w:color="auto" w:fill="FFFFFF"/>
              </w:rPr>
              <w:t xml:space="preserve">perigosos </w:t>
            </w:r>
            <w:r w:rsidRPr="007134EC">
              <w:rPr>
                <w:rFonts w:ascii="Arial" w:eastAsia="Times New Roman" w:hAnsi="Arial" w:cs="Arial"/>
                <w:sz w:val="22"/>
                <w:szCs w:val="22"/>
                <w:shd w:val="clear" w:color="auto" w:fill="FFFFFF"/>
              </w:rPr>
              <w:t>na ocorrência de desastre natural como inundações.</w:t>
            </w:r>
            <w:r>
              <w:rPr>
                <w:rFonts w:ascii="Arial" w:eastAsia="Times New Roman" w:hAnsi="Arial" w:cs="Arial"/>
                <w:sz w:val="22"/>
                <w:szCs w:val="22"/>
                <w:shd w:val="clear" w:color="auto" w:fill="FFFFFF"/>
              </w:rPr>
              <w:t xml:space="preserve"> Mesmo assim, devido ao escopo </w:t>
            </w:r>
            <w:r w:rsidR="00022AD9">
              <w:rPr>
                <w:rFonts w:ascii="Arial" w:eastAsia="Times New Roman" w:hAnsi="Arial" w:cs="Arial"/>
                <w:sz w:val="22"/>
                <w:szCs w:val="22"/>
                <w:shd w:val="clear" w:color="auto" w:fill="FFFFFF"/>
              </w:rPr>
              <w:t xml:space="preserve">limitado </w:t>
            </w:r>
            <w:r>
              <w:rPr>
                <w:rFonts w:ascii="Arial" w:eastAsia="Times New Roman" w:hAnsi="Arial" w:cs="Arial"/>
                <w:sz w:val="22"/>
                <w:szCs w:val="22"/>
                <w:shd w:val="clear" w:color="auto" w:fill="FFFFFF"/>
              </w:rPr>
              <w:t>d</w:t>
            </w:r>
            <w:r w:rsidR="00CA2192">
              <w:rPr>
                <w:rFonts w:ascii="Arial" w:eastAsia="Times New Roman" w:hAnsi="Arial" w:cs="Arial"/>
                <w:sz w:val="22"/>
                <w:szCs w:val="22"/>
                <w:shd w:val="clear" w:color="auto" w:fill="FFFFFF"/>
              </w:rPr>
              <w:t>as</w:t>
            </w:r>
            <w:r>
              <w:rPr>
                <w:rFonts w:ascii="Arial" w:eastAsia="Times New Roman" w:hAnsi="Arial" w:cs="Arial"/>
                <w:sz w:val="22"/>
                <w:szCs w:val="22"/>
                <w:shd w:val="clear" w:color="auto" w:fill="FFFFFF"/>
              </w:rPr>
              <w:t xml:space="preserve"> intervenções financiadas pelo Programa, a </w:t>
            </w:r>
            <w:r w:rsidRPr="007134EC">
              <w:rPr>
                <w:rFonts w:ascii="Arial" w:eastAsia="Times New Roman" w:hAnsi="Arial" w:cs="Arial"/>
                <w:sz w:val="22"/>
                <w:szCs w:val="22"/>
                <w:shd w:val="clear" w:color="auto" w:fill="FFFFFF"/>
              </w:rPr>
              <w:t xml:space="preserve">classificação </w:t>
            </w:r>
            <w:r>
              <w:rPr>
                <w:rFonts w:ascii="Arial" w:eastAsia="Times New Roman" w:hAnsi="Arial" w:cs="Arial"/>
                <w:sz w:val="22"/>
                <w:szCs w:val="22"/>
                <w:shd w:val="clear" w:color="auto" w:fill="FFFFFF"/>
              </w:rPr>
              <w:t xml:space="preserve">de Risco de Desastres </w:t>
            </w:r>
            <w:r w:rsidRPr="007134EC">
              <w:rPr>
                <w:rFonts w:ascii="Arial" w:eastAsia="Times New Roman" w:hAnsi="Arial" w:cs="Arial"/>
                <w:sz w:val="22"/>
                <w:szCs w:val="22"/>
                <w:shd w:val="clear" w:color="auto" w:fill="FFFFFF"/>
              </w:rPr>
              <w:t xml:space="preserve">do Programa </w:t>
            </w:r>
            <w:r>
              <w:rPr>
                <w:rFonts w:ascii="Arial" w:eastAsia="Times New Roman" w:hAnsi="Arial" w:cs="Arial"/>
                <w:sz w:val="22"/>
                <w:szCs w:val="22"/>
                <w:shd w:val="clear" w:color="auto" w:fill="FFFFFF"/>
              </w:rPr>
              <w:t>é “</w:t>
            </w:r>
            <w:r w:rsidRPr="001C57B8">
              <w:rPr>
                <w:rFonts w:ascii="Arial" w:eastAsia="Times New Roman" w:hAnsi="Arial" w:cs="Arial"/>
                <w:sz w:val="22"/>
                <w:szCs w:val="22"/>
                <w:shd w:val="clear" w:color="auto" w:fill="FFFFFF"/>
              </w:rPr>
              <w:t>baixo</w:t>
            </w:r>
            <w:r>
              <w:rPr>
                <w:rFonts w:ascii="Arial" w:eastAsia="Times New Roman" w:hAnsi="Arial" w:cs="Arial"/>
                <w:sz w:val="22"/>
                <w:szCs w:val="22"/>
                <w:shd w:val="clear" w:color="auto" w:fill="FFFFFF"/>
              </w:rPr>
              <w:t>”. A</w:t>
            </w:r>
            <w:r w:rsidRPr="007134EC">
              <w:rPr>
                <w:rFonts w:ascii="Arial" w:eastAsia="Times New Roman" w:hAnsi="Arial" w:cs="Arial"/>
                <w:sz w:val="22"/>
                <w:szCs w:val="22"/>
                <w:shd w:val="clear" w:color="auto" w:fill="FFFFFF"/>
              </w:rPr>
              <w:t xml:space="preserve">ssim, </w:t>
            </w:r>
            <w:r w:rsidRPr="007134EC">
              <w:rPr>
                <w:rFonts w:ascii="Arial" w:eastAsia="Times New Roman" w:hAnsi="Arial" w:cs="Arial"/>
                <w:sz w:val="22"/>
                <w:szCs w:val="22"/>
              </w:rPr>
              <w:t>a política não foi ativada</w:t>
            </w:r>
            <w:r>
              <w:rPr>
                <w:rFonts w:ascii="Arial" w:eastAsia="Times New Roman" w:hAnsi="Arial" w:cs="Arial"/>
                <w:sz w:val="22"/>
                <w:szCs w:val="22"/>
              </w:rPr>
              <w:t>.</w:t>
            </w:r>
            <w:r>
              <w:rPr>
                <w:rFonts w:ascii="Arial" w:eastAsia="Times New Roman" w:hAnsi="Arial" w:cs="Arial"/>
                <w:sz w:val="22"/>
                <w:szCs w:val="22"/>
                <w:shd w:val="clear" w:color="auto" w:fill="FFFFFF"/>
              </w:rPr>
              <w:t xml:space="preserve">  </w:t>
            </w:r>
          </w:p>
          <w:p w:rsidR="003931F4" w:rsidRPr="007134EC" w:rsidRDefault="003931F4" w:rsidP="000164A8">
            <w:pPr>
              <w:ind w:left="720" w:right="165"/>
              <w:contextualSpacing/>
              <w:jc w:val="both"/>
              <w:rPr>
                <w:rFonts w:ascii="Arial" w:eastAsia="Times New Roman" w:hAnsi="Arial" w:cs="Arial"/>
                <w:sz w:val="22"/>
                <w:szCs w:val="22"/>
              </w:rPr>
            </w:pPr>
          </w:p>
        </w:tc>
      </w:tr>
      <w:tr w:rsidR="003931F4" w:rsidRPr="007134EC" w:rsidDel="00A11ACD"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C6D9F1" w:themeFill="text2" w:themeFillTint="33"/>
            <w:tcMar>
              <w:top w:w="15" w:type="dxa"/>
              <w:left w:w="105" w:type="dxa"/>
              <w:bottom w:w="15" w:type="dxa"/>
              <w:right w:w="105" w:type="dxa"/>
            </w:tcMar>
          </w:tcPr>
          <w:p w:rsidR="003931F4" w:rsidRPr="007134EC" w:rsidRDefault="00813862" w:rsidP="003931F4">
            <w:pPr>
              <w:ind w:right="165"/>
              <w:jc w:val="both"/>
              <w:rPr>
                <w:rFonts w:ascii="Arial" w:eastAsia="Times New Roman" w:hAnsi="Arial" w:cs="Arial"/>
                <w:b/>
                <w:bCs/>
                <w:sz w:val="22"/>
                <w:szCs w:val="22"/>
              </w:rPr>
            </w:pPr>
            <w:r w:rsidRPr="007134EC">
              <w:rPr>
                <w:rFonts w:ascii="Arial" w:eastAsia="Times New Roman" w:hAnsi="Arial" w:cs="Arial"/>
                <w:b/>
                <w:bCs/>
                <w:sz w:val="22"/>
                <w:szCs w:val="22"/>
              </w:rPr>
              <w:lastRenderedPageBreak/>
              <w:t>Supervisão</w:t>
            </w:r>
          </w:p>
          <w:p w:rsidR="00EF4886" w:rsidRPr="00EF4886" w:rsidRDefault="00EF4886" w:rsidP="00EF4886">
            <w:pPr>
              <w:ind w:right="165"/>
              <w:jc w:val="both"/>
              <w:rPr>
                <w:rFonts w:ascii="Arial" w:eastAsia="Times New Roman" w:hAnsi="Arial" w:cs="Arial"/>
                <w:sz w:val="22"/>
                <w:szCs w:val="22"/>
              </w:rPr>
            </w:pPr>
            <w:r w:rsidRPr="00EF4886">
              <w:rPr>
                <w:rFonts w:ascii="Arial" w:eastAsia="Times New Roman" w:hAnsi="Arial" w:cs="Arial"/>
                <w:sz w:val="22"/>
                <w:szCs w:val="22"/>
              </w:rPr>
              <w:t>OP-703 (Política Ambiental e Conformidade com Salvaguardas): B.5 (Requisitos de Avaliação e Planos Ambientais) e B.7 (Supervisão e Conformidade)</w:t>
            </w:r>
          </w:p>
          <w:p w:rsidR="00EF4886" w:rsidRPr="00EF4886" w:rsidRDefault="00EF4886" w:rsidP="00EF4886">
            <w:pPr>
              <w:ind w:right="165"/>
              <w:jc w:val="both"/>
              <w:rPr>
                <w:rFonts w:ascii="Arial" w:eastAsia="Times New Roman" w:hAnsi="Arial" w:cs="Arial"/>
                <w:sz w:val="22"/>
                <w:szCs w:val="22"/>
              </w:rPr>
            </w:pPr>
            <w:r w:rsidRPr="00EF4886">
              <w:rPr>
                <w:rFonts w:ascii="Arial" w:eastAsia="Times New Roman" w:hAnsi="Arial" w:cs="Arial"/>
                <w:sz w:val="22"/>
                <w:szCs w:val="22"/>
              </w:rPr>
              <w:t>OP-710 (Política Operacional sobre Reassentamento Involuntário)</w:t>
            </w:r>
          </w:p>
          <w:p w:rsidR="00EF4886" w:rsidRPr="00EF4886" w:rsidRDefault="00EF4886" w:rsidP="00EF4886">
            <w:pPr>
              <w:ind w:right="165"/>
              <w:jc w:val="both"/>
              <w:rPr>
                <w:rFonts w:ascii="Arial" w:eastAsia="Times New Roman" w:hAnsi="Arial" w:cs="Arial"/>
                <w:sz w:val="22"/>
                <w:szCs w:val="22"/>
              </w:rPr>
            </w:pPr>
            <w:r w:rsidRPr="00EF4886">
              <w:rPr>
                <w:rFonts w:ascii="Arial" w:eastAsia="Times New Roman" w:hAnsi="Arial" w:cs="Arial"/>
                <w:sz w:val="22"/>
                <w:szCs w:val="22"/>
              </w:rPr>
              <w:t>OP-765 (Política Operacional sobre Povos Indígenas)</w:t>
            </w:r>
          </w:p>
          <w:p w:rsidR="00EF4886" w:rsidRPr="00EF4886" w:rsidRDefault="00EF4886" w:rsidP="00EF4886">
            <w:pPr>
              <w:ind w:right="165"/>
              <w:jc w:val="both"/>
              <w:rPr>
                <w:rFonts w:ascii="Arial" w:eastAsia="Times New Roman" w:hAnsi="Arial" w:cs="Arial"/>
                <w:sz w:val="22"/>
                <w:szCs w:val="22"/>
              </w:rPr>
            </w:pPr>
            <w:r w:rsidRPr="00EF4886">
              <w:rPr>
                <w:rFonts w:ascii="Arial" w:eastAsia="Times New Roman" w:hAnsi="Arial" w:cs="Arial"/>
                <w:sz w:val="22"/>
                <w:szCs w:val="22"/>
              </w:rPr>
              <w:t>OP-704 (Política de Gerenciamento de Riscos de Desastres Naturais)</w:t>
            </w:r>
          </w:p>
          <w:p w:rsidR="003931F4" w:rsidRPr="007134EC" w:rsidRDefault="00EF4886" w:rsidP="00EF4886">
            <w:pPr>
              <w:ind w:right="165"/>
              <w:jc w:val="both"/>
              <w:rPr>
                <w:rFonts w:ascii="Arial" w:eastAsia="Times New Roman" w:hAnsi="Arial" w:cs="Arial"/>
                <w:sz w:val="22"/>
                <w:szCs w:val="22"/>
                <w:highlight w:val="yellow"/>
              </w:rPr>
            </w:pPr>
            <w:r w:rsidRPr="00EF4886">
              <w:rPr>
                <w:rFonts w:ascii="Arial" w:eastAsia="Times New Roman" w:hAnsi="Arial" w:cs="Arial"/>
                <w:sz w:val="22"/>
                <w:szCs w:val="22"/>
              </w:rPr>
              <w:t>OP-761 (Política Operacional sobre Igualdade de Gênero no Desenvolvimento)</w:t>
            </w:r>
          </w:p>
        </w:tc>
      </w:tr>
      <w:tr w:rsidR="003931F4" w:rsidRPr="007134EC" w:rsidDel="00A11ACD"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312E96" w:rsidRDefault="005F3D9B" w:rsidP="00A17594">
            <w:pPr>
              <w:ind w:right="165"/>
              <w:contextualSpacing/>
              <w:jc w:val="both"/>
              <w:rPr>
                <w:rFonts w:ascii="Arial" w:eastAsia="Times New Roman" w:hAnsi="Arial" w:cs="Arial"/>
                <w:sz w:val="22"/>
                <w:szCs w:val="22"/>
                <w:shd w:val="clear" w:color="auto" w:fill="FFFFFF"/>
              </w:rPr>
            </w:pPr>
            <w:r w:rsidRPr="007134EC">
              <w:rPr>
                <w:rFonts w:ascii="Arial" w:eastAsia="Times New Roman" w:hAnsi="Arial" w:cs="Arial"/>
                <w:sz w:val="22"/>
                <w:szCs w:val="22"/>
                <w:shd w:val="clear" w:color="auto" w:fill="FFFFFF"/>
              </w:rPr>
              <w:t xml:space="preserve">O Banco do Brasil e o BID definirão o formato, periodicidade e </w:t>
            </w:r>
            <w:r w:rsidR="003F4460" w:rsidRPr="007134EC">
              <w:rPr>
                <w:rFonts w:ascii="Arial" w:eastAsia="Times New Roman" w:hAnsi="Arial" w:cs="Arial"/>
                <w:sz w:val="22"/>
                <w:szCs w:val="22"/>
                <w:shd w:val="clear" w:color="auto" w:fill="FFFFFF"/>
              </w:rPr>
              <w:t>conteúdo</w:t>
            </w:r>
            <w:r w:rsidRPr="007134EC">
              <w:rPr>
                <w:rFonts w:ascii="Arial" w:eastAsia="Times New Roman" w:hAnsi="Arial" w:cs="Arial"/>
                <w:sz w:val="22"/>
                <w:szCs w:val="22"/>
                <w:shd w:val="clear" w:color="auto" w:fill="FFFFFF"/>
              </w:rPr>
              <w:t xml:space="preserve"> dos relatórios de monitoramento a serem produzidos durante a execução do Programa, com especial atenção para a aplicação do protocolo de gestão de resíduos.   </w:t>
            </w:r>
          </w:p>
          <w:p w:rsidR="00B81CBF" w:rsidRDefault="00B81CBF" w:rsidP="00A17594">
            <w:pPr>
              <w:ind w:right="165"/>
              <w:contextualSpacing/>
              <w:jc w:val="both"/>
              <w:rPr>
                <w:rFonts w:ascii="Arial" w:eastAsia="Times New Roman" w:hAnsi="Arial" w:cs="Arial"/>
                <w:sz w:val="22"/>
                <w:szCs w:val="22"/>
                <w:shd w:val="clear" w:color="auto" w:fill="FFFFFF"/>
              </w:rPr>
            </w:pPr>
          </w:p>
          <w:p w:rsidR="00B81CBF" w:rsidRPr="007134EC" w:rsidRDefault="00B81CBF" w:rsidP="00A17594">
            <w:pPr>
              <w:ind w:right="165"/>
              <w:contextualSpacing/>
              <w:jc w:val="both"/>
              <w:rPr>
                <w:rFonts w:ascii="Arial" w:eastAsia="Times New Roman" w:hAnsi="Arial" w:cs="Arial"/>
                <w:sz w:val="22"/>
                <w:szCs w:val="22"/>
                <w:shd w:val="clear" w:color="auto" w:fill="FFFFFF"/>
              </w:rPr>
            </w:pPr>
            <w:r>
              <w:rPr>
                <w:rFonts w:ascii="Arial" w:eastAsia="Helvetica" w:hAnsi="Arial" w:cs="Arial"/>
                <w:sz w:val="22"/>
                <w:szCs w:val="22"/>
              </w:rPr>
              <w:t>Para assegurar o cumprimento da Operação com a Política OP-703 (B.</w:t>
            </w:r>
            <w:r w:rsidR="00E57258">
              <w:rPr>
                <w:rFonts w:ascii="Arial" w:eastAsia="Helvetica" w:hAnsi="Arial" w:cs="Arial"/>
                <w:sz w:val="22"/>
                <w:szCs w:val="22"/>
              </w:rPr>
              <w:t>7</w:t>
            </w:r>
            <w:r>
              <w:rPr>
                <w:rFonts w:ascii="Arial" w:eastAsia="Helvetica" w:hAnsi="Arial" w:cs="Arial"/>
                <w:sz w:val="22"/>
                <w:szCs w:val="22"/>
              </w:rPr>
              <w:t>) durante a vida do empréstimo, o Banco do Brasil deveria</w:t>
            </w:r>
            <w:r w:rsidR="00CB6474">
              <w:rPr>
                <w:rFonts w:ascii="Arial" w:eastAsia="Helvetica" w:hAnsi="Arial" w:cs="Arial"/>
                <w:sz w:val="22"/>
                <w:szCs w:val="22"/>
              </w:rPr>
              <w:t xml:space="preserve"> implementar as </w:t>
            </w:r>
            <w:r w:rsidR="00A8706A">
              <w:rPr>
                <w:rFonts w:ascii="Arial" w:eastAsia="Helvetica" w:hAnsi="Arial" w:cs="Arial"/>
                <w:sz w:val="22"/>
                <w:szCs w:val="22"/>
              </w:rPr>
              <w:t>ações</w:t>
            </w:r>
            <w:r w:rsidR="00CB6474">
              <w:rPr>
                <w:rFonts w:ascii="Arial" w:eastAsia="Helvetica" w:hAnsi="Arial" w:cs="Arial"/>
                <w:sz w:val="22"/>
                <w:szCs w:val="22"/>
              </w:rPr>
              <w:t xml:space="preserve"> de supervisão e monitoramento descritas no Regulamento Operacional. </w:t>
            </w:r>
          </w:p>
          <w:p w:rsidR="003931F4" w:rsidRPr="007134EC" w:rsidDel="00A11ACD" w:rsidRDefault="003931F4" w:rsidP="00F73841">
            <w:pPr>
              <w:ind w:right="165"/>
              <w:contextualSpacing/>
              <w:jc w:val="both"/>
              <w:rPr>
                <w:rFonts w:ascii="Arial" w:eastAsia="Times New Roman" w:hAnsi="Arial" w:cs="Arial"/>
                <w:sz w:val="22"/>
                <w:szCs w:val="22"/>
                <w:shd w:val="clear" w:color="auto" w:fill="FFFFFF"/>
              </w:rPr>
            </w:pPr>
          </w:p>
        </w:tc>
      </w:tr>
      <w:tr w:rsidR="003931F4" w:rsidRPr="007134EC" w:rsidTr="001A4928">
        <w:trPr>
          <w:trHeight w:val="402"/>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rsidR="003931F4" w:rsidRPr="007134EC" w:rsidRDefault="003931F4" w:rsidP="00F73841">
            <w:pPr>
              <w:rPr>
                <w:rFonts w:ascii="Arial" w:eastAsia="Times New Roman" w:hAnsi="Arial" w:cs="Arial"/>
                <w:b/>
                <w:bCs/>
                <w:sz w:val="22"/>
                <w:szCs w:val="22"/>
              </w:rPr>
            </w:pPr>
            <w:r w:rsidRPr="007134EC">
              <w:rPr>
                <w:rFonts w:ascii="Arial" w:eastAsia="Times New Roman" w:hAnsi="Arial" w:cs="Arial"/>
                <w:b/>
                <w:bCs/>
                <w:sz w:val="22"/>
                <w:szCs w:val="22"/>
              </w:rPr>
              <w:t>5. Requisitos Ambienta</w:t>
            </w:r>
            <w:r w:rsidR="00F73841" w:rsidRPr="007134EC">
              <w:rPr>
                <w:rFonts w:ascii="Arial" w:eastAsia="Times New Roman" w:hAnsi="Arial" w:cs="Arial"/>
                <w:b/>
                <w:bCs/>
                <w:sz w:val="22"/>
                <w:szCs w:val="22"/>
              </w:rPr>
              <w:t xml:space="preserve">is e </w:t>
            </w:r>
            <w:r w:rsidRPr="007134EC">
              <w:rPr>
                <w:rFonts w:ascii="Arial" w:eastAsia="Times New Roman" w:hAnsi="Arial" w:cs="Arial"/>
                <w:b/>
                <w:bCs/>
                <w:sz w:val="22"/>
                <w:szCs w:val="22"/>
              </w:rPr>
              <w:t>Socia</w:t>
            </w:r>
            <w:r w:rsidR="00F73841" w:rsidRPr="007134EC">
              <w:rPr>
                <w:rFonts w:ascii="Arial" w:eastAsia="Times New Roman" w:hAnsi="Arial" w:cs="Arial"/>
                <w:b/>
                <w:bCs/>
                <w:sz w:val="22"/>
                <w:szCs w:val="22"/>
              </w:rPr>
              <w:t>i</w:t>
            </w:r>
            <w:r w:rsidRPr="007134EC">
              <w:rPr>
                <w:rFonts w:ascii="Arial" w:eastAsia="Times New Roman" w:hAnsi="Arial" w:cs="Arial"/>
                <w:b/>
                <w:bCs/>
                <w:sz w:val="22"/>
                <w:szCs w:val="22"/>
              </w:rPr>
              <w:t>s</w:t>
            </w: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rsidR="00BC01A2" w:rsidRPr="007134EC" w:rsidRDefault="00BC01A2" w:rsidP="00AA3CC8">
            <w:pPr>
              <w:ind w:right="165"/>
              <w:jc w:val="both"/>
              <w:rPr>
                <w:rFonts w:ascii="Arial" w:eastAsia="Times New Roman" w:hAnsi="Arial" w:cs="Arial"/>
                <w:i/>
                <w:iCs/>
                <w:sz w:val="22"/>
                <w:szCs w:val="22"/>
                <w:shd w:val="clear" w:color="auto" w:fill="FFFFFF"/>
              </w:rPr>
            </w:pPr>
            <w:r w:rsidRPr="007134EC">
              <w:rPr>
                <w:rFonts w:ascii="Arial" w:eastAsia="Times New Roman" w:hAnsi="Arial" w:cs="Arial"/>
                <w:i/>
                <w:iCs/>
                <w:sz w:val="22"/>
                <w:szCs w:val="22"/>
                <w:shd w:val="clear" w:color="auto" w:fill="FFFFFF"/>
              </w:rPr>
              <w:t xml:space="preserve">Com o objetivo de </w:t>
            </w:r>
            <w:r w:rsidR="00261A5E" w:rsidRPr="007134EC">
              <w:rPr>
                <w:rFonts w:ascii="Arial" w:eastAsia="Times New Roman" w:hAnsi="Arial" w:cs="Arial"/>
                <w:i/>
                <w:iCs/>
                <w:sz w:val="22"/>
                <w:szCs w:val="22"/>
                <w:shd w:val="clear" w:color="auto" w:fill="FFFFFF"/>
              </w:rPr>
              <w:t xml:space="preserve">atender aos </w:t>
            </w:r>
            <w:r w:rsidRPr="007134EC">
              <w:rPr>
                <w:rFonts w:ascii="Arial" w:eastAsia="Times New Roman" w:hAnsi="Arial" w:cs="Arial"/>
                <w:i/>
                <w:iCs/>
                <w:sz w:val="22"/>
                <w:szCs w:val="22"/>
                <w:shd w:val="clear" w:color="auto" w:fill="FFFFFF"/>
              </w:rPr>
              <w:t xml:space="preserve">requisitos das Políticas de Salvaguardas Ambientais e Sociais do BID, o Banco do Brasil cumprirá </w:t>
            </w:r>
            <w:r w:rsidR="003931F4" w:rsidRPr="007134EC">
              <w:rPr>
                <w:rFonts w:ascii="Arial" w:eastAsia="Times New Roman" w:hAnsi="Arial" w:cs="Arial"/>
                <w:i/>
                <w:iCs/>
                <w:sz w:val="22"/>
                <w:szCs w:val="22"/>
                <w:shd w:val="clear" w:color="auto" w:fill="FFFFFF"/>
              </w:rPr>
              <w:t>co</w:t>
            </w:r>
            <w:r w:rsidRPr="007134EC">
              <w:rPr>
                <w:rFonts w:ascii="Arial" w:eastAsia="Times New Roman" w:hAnsi="Arial" w:cs="Arial"/>
                <w:i/>
                <w:iCs/>
                <w:sz w:val="22"/>
                <w:szCs w:val="22"/>
                <w:shd w:val="clear" w:color="auto" w:fill="FFFFFF"/>
              </w:rPr>
              <w:t>m</w:t>
            </w:r>
            <w:r w:rsidR="003931F4" w:rsidRPr="007134EC">
              <w:rPr>
                <w:rFonts w:ascii="Arial" w:eastAsia="Times New Roman" w:hAnsi="Arial" w:cs="Arial"/>
                <w:i/>
                <w:iCs/>
                <w:sz w:val="22"/>
                <w:szCs w:val="22"/>
                <w:shd w:val="clear" w:color="auto" w:fill="FFFFFF"/>
              </w:rPr>
              <w:t xml:space="preserve"> </w:t>
            </w:r>
            <w:r w:rsidRPr="007134EC">
              <w:rPr>
                <w:rFonts w:ascii="Arial" w:eastAsia="Times New Roman" w:hAnsi="Arial" w:cs="Arial"/>
                <w:i/>
                <w:iCs/>
                <w:sz w:val="22"/>
                <w:szCs w:val="22"/>
                <w:shd w:val="clear" w:color="auto" w:fill="FFFFFF"/>
              </w:rPr>
              <w:t xml:space="preserve">todos os termos contratuais e condições ambientais, sociais de saúde e segurança incluídos no Anexo B. Esses termos e condições só podem ser modificados </w:t>
            </w:r>
            <w:r w:rsidR="00261A5E" w:rsidRPr="007134EC">
              <w:rPr>
                <w:rFonts w:ascii="Arial" w:eastAsia="Times New Roman" w:hAnsi="Arial" w:cs="Arial"/>
                <w:i/>
                <w:iCs/>
                <w:sz w:val="22"/>
                <w:szCs w:val="22"/>
                <w:shd w:val="clear" w:color="auto" w:fill="FFFFFF"/>
              </w:rPr>
              <w:t xml:space="preserve">com a expressa aprovação do BID e não objeção de ESG. </w:t>
            </w:r>
          </w:p>
          <w:p w:rsidR="00AA3CC8" w:rsidRPr="007134EC" w:rsidRDefault="00AA3CC8" w:rsidP="00AA3CC8">
            <w:pPr>
              <w:ind w:right="165"/>
              <w:jc w:val="both"/>
              <w:rPr>
                <w:rFonts w:ascii="Arial" w:eastAsia="Times New Roman" w:hAnsi="Arial" w:cs="Arial"/>
                <w:iCs/>
                <w:sz w:val="22"/>
                <w:szCs w:val="22"/>
                <w:shd w:val="clear" w:color="auto" w:fill="FFFFFF"/>
              </w:rPr>
            </w:pPr>
          </w:p>
          <w:p w:rsidR="00261A5E" w:rsidRPr="007134EC" w:rsidRDefault="00D872AE" w:rsidP="00AA3CC8">
            <w:pPr>
              <w:ind w:right="165"/>
              <w:jc w:val="both"/>
              <w:rPr>
                <w:rFonts w:ascii="Arial" w:eastAsia="Times New Roman" w:hAnsi="Arial" w:cs="Arial"/>
                <w:iCs/>
                <w:sz w:val="22"/>
                <w:szCs w:val="22"/>
                <w:shd w:val="clear" w:color="auto" w:fill="FFFFFF"/>
              </w:rPr>
            </w:pPr>
            <w:r w:rsidRPr="007134EC">
              <w:rPr>
                <w:rFonts w:ascii="Arial" w:eastAsia="Times New Roman" w:hAnsi="Arial" w:cs="Arial"/>
                <w:iCs/>
                <w:sz w:val="22"/>
                <w:szCs w:val="22"/>
                <w:shd w:val="clear" w:color="auto" w:fill="FFFFFF"/>
              </w:rPr>
              <w:t xml:space="preserve">Como parte da rotina de execução de projetos financiados pelo BID a Equipe do Projeto realiza visitas de supervisão e estabelece os requisitos de acompanhamento que devem ser apresentados. No caso do Programa estima-se que a elaboração dos relatórios semestrais previstos em contrato contenha uma seção de acompanhamento socioambiental especificando o cumprimento do protocolo de gestão de resíduos e demais diretrizes contidas no </w:t>
            </w:r>
            <w:r w:rsidR="00407D28">
              <w:rPr>
                <w:rFonts w:ascii="Arial" w:eastAsia="Times New Roman" w:hAnsi="Arial" w:cs="Arial"/>
                <w:iCs/>
                <w:sz w:val="22"/>
                <w:szCs w:val="22"/>
                <w:shd w:val="clear" w:color="auto" w:fill="FFFFFF"/>
              </w:rPr>
              <w:t>RCP</w:t>
            </w:r>
            <w:r w:rsidRPr="007134EC">
              <w:rPr>
                <w:rFonts w:ascii="Arial" w:eastAsia="Times New Roman" w:hAnsi="Arial" w:cs="Arial"/>
                <w:iCs/>
                <w:sz w:val="22"/>
                <w:szCs w:val="22"/>
                <w:shd w:val="clear" w:color="auto" w:fill="FFFFFF"/>
              </w:rPr>
              <w:t>.</w:t>
            </w:r>
          </w:p>
          <w:p w:rsidR="00D872AE" w:rsidRPr="007134EC" w:rsidRDefault="00D872AE" w:rsidP="003931F4">
            <w:pPr>
              <w:ind w:left="360" w:right="165"/>
              <w:jc w:val="both"/>
              <w:rPr>
                <w:rFonts w:ascii="Arial" w:eastAsia="Times New Roman" w:hAnsi="Arial" w:cs="Arial"/>
                <w:iCs/>
                <w:sz w:val="22"/>
                <w:szCs w:val="22"/>
                <w:shd w:val="clear" w:color="auto" w:fill="FFFFFF"/>
              </w:rPr>
            </w:pPr>
          </w:p>
          <w:p w:rsidR="003931F4" w:rsidRPr="007134EC" w:rsidRDefault="00261A5E" w:rsidP="00AA3CC8">
            <w:pPr>
              <w:ind w:right="165"/>
              <w:jc w:val="both"/>
              <w:rPr>
                <w:rFonts w:ascii="Arial" w:eastAsia="Times New Roman" w:hAnsi="Arial" w:cs="Arial"/>
                <w:sz w:val="22"/>
                <w:szCs w:val="22"/>
                <w:shd w:val="clear" w:color="auto" w:fill="FFFFFF"/>
              </w:rPr>
            </w:pPr>
            <w:r w:rsidRPr="007134EC">
              <w:rPr>
                <w:rFonts w:ascii="Arial" w:eastAsia="Times New Roman" w:hAnsi="Arial" w:cs="Arial"/>
                <w:iCs/>
                <w:sz w:val="22"/>
                <w:szCs w:val="22"/>
                <w:shd w:val="clear" w:color="auto" w:fill="FFFFFF"/>
              </w:rPr>
              <w:t xml:space="preserve">As diretrizes de elegibilidade de atividades, a apresentação do licenciamento ambiental, e rotinas de supervisão e monitoramento estão contidas no </w:t>
            </w:r>
            <w:r w:rsidR="00407D28">
              <w:rPr>
                <w:rFonts w:ascii="Arial" w:eastAsia="Times New Roman" w:hAnsi="Arial" w:cs="Arial"/>
                <w:iCs/>
                <w:sz w:val="22"/>
                <w:szCs w:val="22"/>
                <w:shd w:val="clear" w:color="auto" w:fill="FFFFFF"/>
              </w:rPr>
              <w:t>RCP</w:t>
            </w:r>
            <w:r w:rsidRPr="007134EC">
              <w:rPr>
                <w:rFonts w:ascii="Arial" w:eastAsia="Times New Roman" w:hAnsi="Arial" w:cs="Arial"/>
                <w:iCs/>
                <w:sz w:val="22"/>
                <w:szCs w:val="22"/>
                <w:shd w:val="clear" w:color="auto" w:fill="FFFFFF"/>
              </w:rPr>
              <w:t xml:space="preserve">, que incluiu um protocolo de gestão de resíduos como a ferramenta </w:t>
            </w:r>
            <w:r w:rsidR="00B530EF" w:rsidRPr="007134EC">
              <w:rPr>
                <w:rFonts w:ascii="Arial" w:eastAsia="Times New Roman" w:hAnsi="Arial" w:cs="Arial"/>
                <w:iCs/>
                <w:sz w:val="22"/>
                <w:szCs w:val="22"/>
                <w:shd w:val="clear" w:color="auto" w:fill="FFFFFF"/>
              </w:rPr>
              <w:t>específica</w:t>
            </w:r>
            <w:r w:rsidRPr="007134EC">
              <w:rPr>
                <w:rFonts w:ascii="Arial" w:eastAsia="Times New Roman" w:hAnsi="Arial" w:cs="Arial"/>
                <w:iCs/>
                <w:sz w:val="22"/>
                <w:szCs w:val="22"/>
                <w:shd w:val="clear" w:color="auto" w:fill="FFFFFF"/>
              </w:rPr>
              <w:t xml:space="preserve"> para controle dos impactos potenciais do manuseio, transporte armazenamento e descarte de resíduos perigosos. </w:t>
            </w:r>
          </w:p>
          <w:p w:rsidR="003931F4" w:rsidRPr="007134EC" w:rsidRDefault="003931F4" w:rsidP="003931F4">
            <w:pPr>
              <w:ind w:left="360" w:right="165"/>
              <w:jc w:val="both"/>
              <w:rPr>
                <w:rFonts w:ascii="Arial" w:eastAsia="Times New Roman" w:hAnsi="Arial" w:cs="Arial"/>
                <w:sz w:val="22"/>
                <w:szCs w:val="22"/>
              </w:rPr>
            </w:pPr>
          </w:p>
        </w:tc>
      </w:tr>
      <w:tr w:rsidR="003931F4" w:rsidRPr="007134EC" w:rsidTr="001A4928">
        <w:trPr>
          <w:trHeight w:val="429"/>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hideMark/>
          </w:tcPr>
          <w:p w:rsidR="003931F4" w:rsidRPr="007134EC" w:rsidRDefault="003931F4" w:rsidP="003931F4">
            <w:pPr>
              <w:rPr>
                <w:rFonts w:ascii="Arial" w:eastAsia="Times New Roman" w:hAnsi="Arial" w:cs="Arial"/>
                <w:b/>
                <w:bCs/>
                <w:sz w:val="22"/>
                <w:szCs w:val="22"/>
              </w:rPr>
            </w:pPr>
            <w:r w:rsidRPr="007134EC">
              <w:rPr>
                <w:rFonts w:ascii="Arial" w:eastAsia="Times New Roman" w:hAnsi="Arial" w:cs="Arial"/>
                <w:b/>
                <w:bCs/>
                <w:sz w:val="22"/>
                <w:szCs w:val="22"/>
              </w:rPr>
              <w:t>6. Resume de Cump</w:t>
            </w:r>
            <w:r w:rsidR="003F4460" w:rsidRPr="007134EC">
              <w:rPr>
                <w:rFonts w:ascii="Arial" w:eastAsia="Times New Roman" w:hAnsi="Arial" w:cs="Arial"/>
                <w:b/>
                <w:bCs/>
                <w:sz w:val="22"/>
                <w:szCs w:val="22"/>
              </w:rPr>
              <w:t>r</w:t>
            </w:r>
            <w:r w:rsidRPr="007134EC">
              <w:rPr>
                <w:rFonts w:ascii="Arial" w:eastAsia="Times New Roman" w:hAnsi="Arial" w:cs="Arial"/>
                <w:b/>
                <w:bCs/>
                <w:sz w:val="22"/>
                <w:szCs w:val="22"/>
              </w:rPr>
              <w:t>imento co</w:t>
            </w:r>
            <w:r w:rsidR="003F4460" w:rsidRPr="007134EC">
              <w:rPr>
                <w:rFonts w:ascii="Arial" w:eastAsia="Times New Roman" w:hAnsi="Arial" w:cs="Arial"/>
                <w:b/>
                <w:bCs/>
                <w:sz w:val="22"/>
                <w:szCs w:val="22"/>
              </w:rPr>
              <w:t>m</w:t>
            </w:r>
            <w:r w:rsidRPr="007134EC">
              <w:rPr>
                <w:rFonts w:ascii="Arial" w:eastAsia="Times New Roman" w:hAnsi="Arial" w:cs="Arial"/>
                <w:b/>
                <w:bCs/>
                <w:sz w:val="22"/>
                <w:szCs w:val="22"/>
              </w:rPr>
              <w:t xml:space="preserve"> Políticas de Salvaguardas </w:t>
            </w:r>
            <w:r w:rsidR="003F4460" w:rsidRPr="007134EC">
              <w:rPr>
                <w:rFonts w:ascii="Arial" w:eastAsia="Times New Roman" w:hAnsi="Arial" w:cs="Arial"/>
                <w:b/>
                <w:bCs/>
                <w:sz w:val="22"/>
                <w:szCs w:val="22"/>
              </w:rPr>
              <w:t>do</w:t>
            </w:r>
            <w:r w:rsidRPr="007134EC">
              <w:rPr>
                <w:rFonts w:ascii="Arial" w:eastAsia="Times New Roman" w:hAnsi="Arial" w:cs="Arial"/>
                <w:b/>
                <w:bCs/>
                <w:sz w:val="22"/>
                <w:szCs w:val="22"/>
              </w:rPr>
              <w:t xml:space="preserve"> BID </w:t>
            </w:r>
          </w:p>
        </w:tc>
      </w:tr>
      <w:tr w:rsidR="003931F4" w:rsidRPr="007134EC" w:rsidTr="001A4928">
        <w:trPr>
          <w:trHeight w:val="236"/>
        </w:trPr>
        <w:tc>
          <w:tcPr>
            <w:tcW w:w="999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hideMark/>
          </w:tcPr>
          <w:p w:rsidR="003931F4" w:rsidRPr="007134EC" w:rsidRDefault="004F4868" w:rsidP="003931F4">
            <w:pPr>
              <w:jc w:val="both"/>
              <w:rPr>
                <w:rFonts w:ascii="Arial" w:eastAsia="Times New Roman" w:hAnsi="Arial" w:cs="Arial"/>
                <w:sz w:val="22"/>
                <w:szCs w:val="22"/>
              </w:rPr>
            </w:pPr>
            <w:r w:rsidRPr="007134EC">
              <w:rPr>
                <w:rFonts w:ascii="Arial" w:eastAsia="Times New Roman" w:hAnsi="Arial" w:cs="Arial"/>
                <w:sz w:val="22"/>
                <w:szCs w:val="22"/>
              </w:rPr>
              <w:t>Apresentado em Quadro a seguir</w:t>
            </w:r>
          </w:p>
        </w:tc>
      </w:tr>
    </w:tbl>
    <w:p w:rsidR="00606A55" w:rsidRPr="007134EC" w:rsidRDefault="00606A55">
      <w:pPr>
        <w:rPr>
          <w:rFonts w:ascii="Arial" w:hAnsi="Arial" w:cs="Arial"/>
          <w:sz w:val="22"/>
          <w:szCs w:val="22"/>
        </w:rPr>
      </w:pPr>
    </w:p>
    <w:p w:rsidR="00606A55" w:rsidRPr="007134EC" w:rsidRDefault="00606A55">
      <w:pPr>
        <w:spacing w:after="200" w:line="276" w:lineRule="auto"/>
        <w:rPr>
          <w:rFonts w:ascii="Arial" w:hAnsi="Arial" w:cs="Arial"/>
          <w:sz w:val="22"/>
          <w:szCs w:val="22"/>
        </w:rPr>
      </w:pPr>
      <w:r w:rsidRPr="007134EC">
        <w:rPr>
          <w:rFonts w:ascii="Arial" w:hAnsi="Arial" w:cs="Arial"/>
          <w:sz w:val="22"/>
          <w:szCs w:val="22"/>
        </w:rPr>
        <w:br w:type="page"/>
      </w:r>
    </w:p>
    <w:p w:rsidR="00846FA2" w:rsidRPr="007134EC" w:rsidRDefault="00846FA2">
      <w:pPr>
        <w:rPr>
          <w:rFonts w:ascii="Arial" w:hAnsi="Arial" w:cs="Arial"/>
          <w:sz w:val="22"/>
          <w:szCs w:val="22"/>
        </w:rPr>
        <w:sectPr w:rsidR="00846FA2" w:rsidRPr="007134EC" w:rsidSect="00846FA2">
          <w:pgSz w:w="11906" w:h="16838"/>
          <w:pgMar w:top="720" w:right="720" w:bottom="720" w:left="720" w:header="709" w:footer="709" w:gutter="0"/>
          <w:cols w:space="708"/>
          <w:docGrid w:linePitch="360"/>
        </w:sectPr>
      </w:pPr>
    </w:p>
    <w:p w:rsidR="003931F4" w:rsidRPr="007134EC" w:rsidRDefault="003931F4">
      <w:pPr>
        <w:rPr>
          <w:rFonts w:ascii="Arial" w:hAnsi="Arial" w:cs="Arial"/>
          <w:sz w:val="22"/>
          <w:szCs w:val="22"/>
        </w:rPr>
      </w:pPr>
    </w:p>
    <w:p w:rsidR="00606A55" w:rsidRPr="007134EC" w:rsidRDefault="00C16B5B" w:rsidP="004C75F4">
      <w:pPr>
        <w:jc w:val="center"/>
        <w:rPr>
          <w:rFonts w:ascii="Arial" w:hAnsi="Arial" w:cs="Arial"/>
          <w:b/>
          <w:sz w:val="22"/>
          <w:szCs w:val="22"/>
        </w:rPr>
      </w:pPr>
      <w:r w:rsidRPr="007134EC">
        <w:rPr>
          <w:rFonts w:ascii="Arial" w:hAnsi="Arial" w:cs="Arial"/>
          <w:b/>
          <w:sz w:val="22"/>
          <w:szCs w:val="22"/>
        </w:rPr>
        <w:t>Anexo A: Resum</w:t>
      </w:r>
      <w:r w:rsidR="00495753" w:rsidRPr="007134EC">
        <w:rPr>
          <w:rFonts w:ascii="Arial" w:hAnsi="Arial" w:cs="Arial"/>
          <w:b/>
          <w:sz w:val="22"/>
          <w:szCs w:val="22"/>
        </w:rPr>
        <w:t xml:space="preserve">o </w:t>
      </w:r>
      <w:r w:rsidRPr="007134EC">
        <w:rPr>
          <w:rFonts w:ascii="Arial" w:hAnsi="Arial" w:cs="Arial"/>
          <w:b/>
          <w:sz w:val="22"/>
          <w:szCs w:val="22"/>
        </w:rPr>
        <w:t>de Cump</w:t>
      </w:r>
      <w:r w:rsidR="00495753" w:rsidRPr="007134EC">
        <w:rPr>
          <w:rFonts w:ascii="Arial" w:hAnsi="Arial" w:cs="Arial"/>
          <w:b/>
          <w:sz w:val="22"/>
          <w:szCs w:val="22"/>
        </w:rPr>
        <w:t>rimento com as</w:t>
      </w:r>
      <w:r w:rsidRPr="007134EC">
        <w:rPr>
          <w:rFonts w:ascii="Arial" w:hAnsi="Arial" w:cs="Arial"/>
          <w:b/>
          <w:sz w:val="22"/>
          <w:szCs w:val="22"/>
        </w:rPr>
        <w:t xml:space="preserve"> Políticas </w:t>
      </w:r>
      <w:r w:rsidR="00495753" w:rsidRPr="007134EC">
        <w:rPr>
          <w:rFonts w:ascii="Arial" w:hAnsi="Arial" w:cs="Arial"/>
          <w:b/>
          <w:sz w:val="22"/>
          <w:szCs w:val="22"/>
        </w:rPr>
        <w:t xml:space="preserve">Operativas do </w:t>
      </w:r>
      <w:r w:rsidRPr="007134EC">
        <w:rPr>
          <w:rFonts w:ascii="Arial" w:hAnsi="Arial" w:cs="Arial"/>
          <w:b/>
          <w:sz w:val="22"/>
          <w:szCs w:val="22"/>
        </w:rPr>
        <w:t>BID</w:t>
      </w:r>
    </w:p>
    <w:p w:rsidR="00C16B5B" w:rsidRPr="007134EC" w:rsidRDefault="00C16B5B">
      <w:pPr>
        <w:rPr>
          <w:rFonts w:ascii="Arial" w:hAnsi="Arial" w:cs="Arial"/>
          <w:sz w:val="22"/>
          <w:szCs w:val="22"/>
        </w:rPr>
      </w:pPr>
    </w:p>
    <w:tbl>
      <w:tblPr>
        <w:tblW w:w="13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160"/>
        <w:gridCol w:w="4320"/>
        <w:gridCol w:w="4410"/>
      </w:tblGrid>
      <w:tr w:rsidR="00606A55" w:rsidRPr="007134EC" w:rsidTr="0072303E">
        <w:trPr>
          <w:trHeight w:val="323"/>
        </w:trPr>
        <w:tc>
          <w:tcPr>
            <w:tcW w:w="2790" w:type="dxa"/>
            <w:shd w:val="clear" w:color="auto" w:fill="95B3D7" w:themeFill="accent1" w:themeFillTint="99"/>
            <w:vAlign w:val="center"/>
          </w:tcPr>
          <w:p w:rsidR="00606A55" w:rsidRPr="007134EC" w:rsidRDefault="00606A55" w:rsidP="00606A55">
            <w:pPr>
              <w:rPr>
                <w:rFonts w:ascii="Arial" w:hAnsi="Arial" w:cs="Arial"/>
                <w:b/>
                <w:sz w:val="22"/>
                <w:szCs w:val="22"/>
              </w:rPr>
            </w:pPr>
            <w:r w:rsidRPr="007134EC">
              <w:rPr>
                <w:rFonts w:ascii="Arial" w:hAnsi="Arial" w:cs="Arial"/>
                <w:b/>
                <w:sz w:val="22"/>
                <w:szCs w:val="22"/>
              </w:rPr>
              <w:t>Políticas / Diretrizes</w:t>
            </w:r>
          </w:p>
        </w:tc>
        <w:tc>
          <w:tcPr>
            <w:tcW w:w="2160" w:type="dxa"/>
            <w:shd w:val="clear" w:color="auto" w:fill="95B3D7" w:themeFill="accent1" w:themeFillTint="99"/>
            <w:vAlign w:val="center"/>
          </w:tcPr>
          <w:p w:rsidR="00606A55" w:rsidRPr="007134EC" w:rsidRDefault="00606A55" w:rsidP="00606A55">
            <w:pPr>
              <w:rPr>
                <w:rFonts w:ascii="Arial" w:hAnsi="Arial" w:cs="Arial"/>
                <w:b/>
                <w:sz w:val="22"/>
                <w:szCs w:val="22"/>
              </w:rPr>
            </w:pPr>
            <w:r w:rsidRPr="007134EC">
              <w:rPr>
                <w:rFonts w:ascii="Arial" w:hAnsi="Arial" w:cs="Arial"/>
                <w:b/>
                <w:sz w:val="22"/>
                <w:szCs w:val="22"/>
              </w:rPr>
              <w:t>Aspectos Pertinentes de Políticas/</w:t>
            </w:r>
          </w:p>
          <w:p w:rsidR="00606A55" w:rsidRPr="007134EC" w:rsidRDefault="00606A55" w:rsidP="00606A55">
            <w:pPr>
              <w:rPr>
                <w:rFonts w:ascii="Arial" w:hAnsi="Arial" w:cs="Arial"/>
                <w:b/>
                <w:sz w:val="22"/>
                <w:szCs w:val="22"/>
              </w:rPr>
            </w:pPr>
            <w:r w:rsidRPr="007134EC">
              <w:rPr>
                <w:rFonts w:ascii="Arial" w:hAnsi="Arial" w:cs="Arial"/>
                <w:b/>
                <w:sz w:val="22"/>
                <w:szCs w:val="22"/>
              </w:rPr>
              <w:t>Diretrizes</w:t>
            </w:r>
          </w:p>
        </w:tc>
        <w:tc>
          <w:tcPr>
            <w:tcW w:w="4320" w:type="dxa"/>
            <w:shd w:val="clear" w:color="auto" w:fill="95B3D7" w:themeFill="accent1" w:themeFillTint="99"/>
            <w:vAlign w:val="center"/>
          </w:tcPr>
          <w:p w:rsidR="00606A55" w:rsidRPr="007134EC" w:rsidRDefault="00606A55" w:rsidP="00606A55">
            <w:pPr>
              <w:rPr>
                <w:rFonts w:ascii="Arial" w:hAnsi="Arial" w:cs="Arial"/>
                <w:b/>
                <w:sz w:val="22"/>
                <w:szCs w:val="22"/>
              </w:rPr>
            </w:pPr>
          </w:p>
          <w:p w:rsidR="00606A55" w:rsidRPr="007134EC" w:rsidRDefault="00606A55" w:rsidP="00606A55">
            <w:pPr>
              <w:rPr>
                <w:rFonts w:ascii="Arial" w:hAnsi="Arial" w:cs="Arial"/>
                <w:b/>
                <w:sz w:val="22"/>
                <w:szCs w:val="22"/>
              </w:rPr>
            </w:pPr>
            <w:r w:rsidRPr="007134EC">
              <w:rPr>
                <w:rFonts w:ascii="Arial" w:hAnsi="Arial" w:cs="Arial"/>
                <w:b/>
                <w:sz w:val="22"/>
                <w:szCs w:val="22"/>
              </w:rPr>
              <w:t>Estado de Cumprimento de Requisitos de Políticas/Diretrizes e Justificativa</w:t>
            </w:r>
          </w:p>
          <w:p w:rsidR="0072303E" w:rsidRPr="007134EC" w:rsidRDefault="0072303E" w:rsidP="00606A55">
            <w:pPr>
              <w:rPr>
                <w:rFonts w:ascii="Arial" w:hAnsi="Arial" w:cs="Arial"/>
                <w:b/>
                <w:sz w:val="22"/>
                <w:szCs w:val="22"/>
              </w:rPr>
            </w:pPr>
          </w:p>
        </w:tc>
        <w:tc>
          <w:tcPr>
            <w:tcW w:w="4410" w:type="dxa"/>
            <w:shd w:val="clear" w:color="auto" w:fill="95B3D7" w:themeFill="accent1" w:themeFillTint="99"/>
            <w:vAlign w:val="center"/>
          </w:tcPr>
          <w:p w:rsidR="00606A55" w:rsidRPr="007134EC" w:rsidRDefault="00606A55" w:rsidP="00606A55">
            <w:pPr>
              <w:rPr>
                <w:rFonts w:ascii="Arial" w:hAnsi="Arial" w:cs="Arial"/>
                <w:b/>
                <w:sz w:val="22"/>
                <w:szCs w:val="22"/>
              </w:rPr>
            </w:pPr>
            <w:r w:rsidRPr="007134EC">
              <w:rPr>
                <w:rFonts w:ascii="Arial" w:hAnsi="Arial" w:cs="Arial"/>
                <w:b/>
                <w:sz w:val="22"/>
                <w:szCs w:val="22"/>
              </w:rPr>
              <w:t>Requisitos/Ações/ Planos</w:t>
            </w:r>
          </w:p>
        </w:tc>
      </w:tr>
      <w:tr w:rsidR="00606A55" w:rsidRPr="007134EC" w:rsidTr="0072303E">
        <w:trPr>
          <w:trHeight w:val="323"/>
        </w:trPr>
        <w:tc>
          <w:tcPr>
            <w:tcW w:w="13680" w:type="dxa"/>
            <w:gridSpan w:val="4"/>
            <w:shd w:val="clear" w:color="auto" w:fill="D9D9D9" w:themeFill="background1" w:themeFillShade="D9"/>
            <w:vAlign w:val="center"/>
          </w:tcPr>
          <w:p w:rsidR="00606A55" w:rsidRPr="007134EC" w:rsidRDefault="00606A55" w:rsidP="00606A55">
            <w:pPr>
              <w:rPr>
                <w:rFonts w:ascii="Arial" w:hAnsi="Arial" w:cs="Arial"/>
                <w:b/>
                <w:sz w:val="22"/>
                <w:szCs w:val="22"/>
              </w:rPr>
            </w:pPr>
            <w:r w:rsidRPr="007134EC">
              <w:rPr>
                <w:rFonts w:ascii="Arial" w:hAnsi="Arial" w:cs="Arial"/>
                <w:b/>
                <w:sz w:val="22"/>
                <w:szCs w:val="22"/>
              </w:rPr>
              <w:t>OP-703 Política de Meio Ambiente e Cumprimento de Salvaguardas</w:t>
            </w:r>
          </w:p>
        </w:tc>
      </w:tr>
      <w:tr w:rsidR="00606A55" w:rsidRPr="007134EC" w:rsidTr="0072303E">
        <w:trPr>
          <w:trHeight w:val="323"/>
        </w:trPr>
        <w:tc>
          <w:tcPr>
            <w:tcW w:w="2790" w:type="dxa"/>
            <w:shd w:val="clear" w:color="auto" w:fill="D9D9D9" w:themeFill="background1" w:themeFillShade="D9"/>
            <w:vAlign w:val="center"/>
          </w:tcPr>
          <w:p w:rsidR="00606A55" w:rsidRPr="007134EC" w:rsidRDefault="00606A55" w:rsidP="00606A55">
            <w:pPr>
              <w:rPr>
                <w:rFonts w:ascii="Arial" w:hAnsi="Arial" w:cs="Arial"/>
                <w:sz w:val="22"/>
                <w:szCs w:val="22"/>
              </w:rPr>
            </w:pPr>
            <w:r w:rsidRPr="007134EC">
              <w:rPr>
                <w:rFonts w:ascii="Arial" w:hAnsi="Arial" w:cs="Arial"/>
                <w:sz w:val="22"/>
                <w:szCs w:val="22"/>
              </w:rPr>
              <w:t>B.2 Legislação e Regulação Nacionais</w:t>
            </w:r>
          </w:p>
        </w:tc>
        <w:tc>
          <w:tcPr>
            <w:tcW w:w="2160" w:type="dxa"/>
            <w:vAlign w:val="center"/>
          </w:tcPr>
          <w:p w:rsidR="00606A55" w:rsidRPr="007134EC" w:rsidRDefault="00495753" w:rsidP="00606A55">
            <w:pPr>
              <w:rPr>
                <w:rFonts w:ascii="Arial" w:hAnsi="Arial" w:cs="Arial"/>
                <w:sz w:val="22"/>
                <w:szCs w:val="22"/>
              </w:rPr>
            </w:pPr>
            <w:r w:rsidRPr="007134EC">
              <w:rPr>
                <w:rFonts w:ascii="Arial" w:hAnsi="Arial" w:cs="Arial"/>
                <w:sz w:val="22"/>
                <w:szCs w:val="22"/>
              </w:rPr>
              <w:t xml:space="preserve">Obtenção de licenças e autorizações </w:t>
            </w:r>
          </w:p>
        </w:tc>
        <w:tc>
          <w:tcPr>
            <w:tcW w:w="4320" w:type="dxa"/>
          </w:tcPr>
          <w:p w:rsidR="00606A55" w:rsidRPr="007134EC" w:rsidRDefault="00103780" w:rsidP="00495753">
            <w:pPr>
              <w:rPr>
                <w:rFonts w:ascii="Arial" w:hAnsi="Arial" w:cs="Arial"/>
                <w:sz w:val="22"/>
                <w:szCs w:val="22"/>
              </w:rPr>
            </w:pPr>
            <w:r w:rsidRPr="007134EC">
              <w:rPr>
                <w:rFonts w:ascii="Arial" w:hAnsi="Arial" w:cs="Arial"/>
                <w:sz w:val="22"/>
                <w:szCs w:val="22"/>
              </w:rPr>
              <w:t>O</w:t>
            </w:r>
            <w:r w:rsidR="00495753" w:rsidRPr="007134EC">
              <w:rPr>
                <w:rFonts w:ascii="Arial" w:hAnsi="Arial" w:cs="Arial"/>
                <w:sz w:val="22"/>
                <w:szCs w:val="22"/>
              </w:rPr>
              <w:t xml:space="preserve">s projetos cumprem com Política Nacional de Meio Ambiente </w:t>
            </w:r>
            <w:r w:rsidRPr="007134EC">
              <w:rPr>
                <w:rFonts w:ascii="Arial" w:hAnsi="Arial" w:cs="Arial"/>
                <w:sz w:val="22"/>
                <w:szCs w:val="22"/>
              </w:rPr>
              <w:t>obtendo o licenciamento ambiental prévio à operação de crédito</w:t>
            </w:r>
          </w:p>
        </w:tc>
        <w:tc>
          <w:tcPr>
            <w:tcW w:w="4410" w:type="dxa"/>
          </w:tcPr>
          <w:p w:rsidR="00606A55" w:rsidRPr="007134EC" w:rsidRDefault="004C75F4" w:rsidP="004C75F4">
            <w:pPr>
              <w:rPr>
                <w:rFonts w:ascii="Arial" w:hAnsi="Arial" w:cs="Arial"/>
                <w:sz w:val="22"/>
                <w:szCs w:val="22"/>
              </w:rPr>
            </w:pPr>
            <w:r w:rsidRPr="007134EC">
              <w:rPr>
                <w:rFonts w:ascii="Arial" w:hAnsi="Arial" w:cs="Arial"/>
                <w:sz w:val="22"/>
                <w:szCs w:val="22"/>
              </w:rPr>
              <w:t>Apresentação das licenças ambientais pertinentes _ Licença Previa/ LP e Licença de Instalação/LI</w:t>
            </w:r>
            <w:r w:rsidR="00B4449B">
              <w:rPr>
                <w:rFonts w:ascii="Arial" w:hAnsi="Arial" w:cs="Arial"/>
                <w:sz w:val="22"/>
                <w:szCs w:val="22"/>
              </w:rPr>
              <w:t>.</w:t>
            </w:r>
          </w:p>
        </w:tc>
      </w:tr>
      <w:tr w:rsidR="00892812" w:rsidRPr="007134EC" w:rsidTr="007E33BF">
        <w:trPr>
          <w:trHeight w:val="323"/>
        </w:trPr>
        <w:tc>
          <w:tcPr>
            <w:tcW w:w="2790" w:type="dxa"/>
            <w:shd w:val="clear" w:color="auto" w:fill="D9D9D9" w:themeFill="background1" w:themeFillShade="D9"/>
            <w:vAlign w:val="center"/>
          </w:tcPr>
          <w:p w:rsidR="00892812" w:rsidRPr="007134EC" w:rsidRDefault="00892812" w:rsidP="00892812">
            <w:pPr>
              <w:rPr>
                <w:rFonts w:ascii="Arial" w:hAnsi="Arial" w:cs="Arial"/>
                <w:sz w:val="22"/>
                <w:szCs w:val="22"/>
              </w:rPr>
            </w:pPr>
            <w:r w:rsidRPr="007134EC">
              <w:rPr>
                <w:rFonts w:ascii="Arial" w:hAnsi="Arial" w:cs="Arial"/>
                <w:sz w:val="22"/>
                <w:szCs w:val="22"/>
              </w:rPr>
              <w:t>B.3 Pré-avaliação e Classificação</w:t>
            </w:r>
          </w:p>
        </w:tc>
        <w:tc>
          <w:tcPr>
            <w:tcW w:w="2160" w:type="dxa"/>
            <w:vAlign w:val="center"/>
          </w:tcPr>
          <w:p w:rsidR="00892812" w:rsidRPr="007134EC" w:rsidRDefault="00892812" w:rsidP="00892812">
            <w:pPr>
              <w:rPr>
                <w:rFonts w:ascii="Arial" w:hAnsi="Arial" w:cs="Arial"/>
                <w:sz w:val="22"/>
                <w:szCs w:val="22"/>
              </w:rPr>
            </w:pPr>
            <w:r w:rsidRPr="007134EC">
              <w:rPr>
                <w:rFonts w:ascii="Arial" w:hAnsi="Arial" w:cs="Arial"/>
                <w:sz w:val="22"/>
                <w:szCs w:val="22"/>
              </w:rPr>
              <w:t>Não aplicável (política irrelevante)</w:t>
            </w:r>
          </w:p>
        </w:tc>
        <w:tc>
          <w:tcPr>
            <w:tcW w:w="4320" w:type="dxa"/>
            <w:vAlign w:val="center"/>
          </w:tcPr>
          <w:p w:rsidR="00892812" w:rsidRPr="007134EC" w:rsidRDefault="00892812" w:rsidP="00892812">
            <w:pPr>
              <w:rPr>
                <w:rFonts w:ascii="Arial" w:hAnsi="Arial" w:cs="Arial"/>
                <w:sz w:val="22"/>
                <w:szCs w:val="22"/>
              </w:rPr>
            </w:pPr>
            <w:r w:rsidRPr="007134EC">
              <w:rPr>
                <w:rFonts w:ascii="Arial" w:hAnsi="Arial" w:cs="Arial"/>
                <w:sz w:val="22"/>
                <w:szCs w:val="22"/>
              </w:rPr>
              <w:t>Não aplicável (política irrelevante)</w:t>
            </w:r>
          </w:p>
        </w:tc>
        <w:tc>
          <w:tcPr>
            <w:tcW w:w="4410" w:type="dxa"/>
            <w:vAlign w:val="center"/>
          </w:tcPr>
          <w:p w:rsidR="00892812" w:rsidRPr="007134EC" w:rsidRDefault="00892812" w:rsidP="00892812">
            <w:pPr>
              <w:rPr>
                <w:rFonts w:ascii="Arial" w:hAnsi="Arial" w:cs="Arial"/>
                <w:sz w:val="22"/>
                <w:szCs w:val="22"/>
              </w:rPr>
            </w:pPr>
            <w:r w:rsidRPr="007134EC">
              <w:rPr>
                <w:rFonts w:ascii="Arial" w:hAnsi="Arial" w:cs="Arial"/>
                <w:sz w:val="22"/>
                <w:szCs w:val="22"/>
              </w:rPr>
              <w:t>Não aplicável (política irrelevante)</w:t>
            </w:r>
          </w:p>
        </w:tc>
      </w:tr>
      <w:tr w:rsidR="00892812" w:rsidRPr="007134EC" w:rsidTr="0072303E">
        <w:trPr>
          <w:trHeight w:val="323"/>
        </w:trPr>
        <w:tc>
          <w:tcPr>
            <w:tcW w:w="2790" w:type="dxa"/>
            <w:shd w:val="clear" w:color="auto" w:fill="D9D9D9" w:themeFill="background1" w:themeFillShade="D9"/>
            <w:vAlign w:val="center"/>
          </w:tcPr>
          <w:p w:rsidR="00892812" w:rsidRPr="007134EC" w:rsidRDefault="00892812" w:rsidP="00892812">
            <w:pPr>
              <w:rPr>
                <w:rFonts w:ascii="Arial" w:hAnsi="Arial" w:cs="Arial"/>
                <w:sz w:val="22"/>
                <w:szCs w:val="22"/>
              </w:rPr>
            </w:pPr>
            <w:r w:rsidRPr="007134EC">
              <w:rPr>
                <w:rFonts w:ascii="Arial" w:hAnsi="Arial" w:cs="Arial"/>
                <w:sz w:val="22"/>
                <w:szCs w:val="22"/>
              </w:rPr>
              <w:t>B.4 Outros Fatores de Risco</w:t>
            </w:r>
          </w:p>
        </w:tc>
        <w:tc>
          <w:tcPr>
            <w:tcW w:w="2160" w:type="dxa"/>
            <w:vAlign w:val="center"/>
          </w:tcPr>
          <w:p w:rsidR="00892812" w:rsidRPr="007134EC" w:rsidRDefault="00892812" w:rsidP="00892812">
            <w:pPr>
              <w:rPr>
                <w:rFonts w:ascii="Arial" w:hAnsi="Arial" w:cs="Arial"/>
                <w:sz w:val="22"/>
                <w:szCs w:val="22"/>
              </w:rPr>
            </w:pPr>
            <w:r w:rsidRPr="007134EC">
              <w:rPr>
                <w:rFonts w:ascii="Arial" w:hAnsi="Arial" w:cs="Arial"/>
                <w:sz w:val="22"/>
                <w:szCs w:val="22"/>
              </w:rPr>
              <w:t>Capacidade Institucional</w:t>
            </w:r>
          </w:p>
        </w:tc>
        <w:tc>
          <w:tcPr>
            <w:tcW w:w="4320" w:type="dxa"/>
          </w:tcPr>
          <w:p w:rsidR="00892812" w:rsidRPr="007134EC" w:rsidRDefault="00892812" w:rsidP="00892812">
            <w:pPr>
              <w:rPr>
                <w:rFonts w:ascii="Arial" w:hAnsi="Arial" w:cs="Arial"/>
                <w:sz w:val="22"/>
                <w:szCs w:val="22"/>
              </w:rPr>
            </w:pPr>
            <w:r w:rsidRPr="007134EC">
              <w:rPr>
                <w:rFonts w:ascii="Arial" w:hAnsi="Arial" w:cs="Arial"/>
                <w:sz w:val="22"/>
                <w:szCs w:val="22"/>
              </w:rPr>
              <w:t>O Banco do Brasil apresenta solidez institucional e capacidade operativa para cumprir com as políticas aplicáveis ao Programa</w:t>
            </w:r>
          </w:p>
        </w:tc>
        <w:tc>
          <w:tcPr>
            <w:tcW w:w="4410" w:type="dxa"/>
          </w:tcPr>
          <w:p w:rsidR="00892812" w:rsidRPr="007134EC" w:rsidRDefault="00407D28" w:rsidP="00892812">
            <w:pPr>
              <w:rPr>
                <w:rFonts w:ascii="Arial" w:hAnsi="Arial" w:cs="Arial"/>
                <w:sz w:val="22"/>
                <w:szCs w:val="22"/>
              </w:rPr>
            </w:pPr>
            <w:r>
              <w:rPr>
                <w:rFonts w:ascii="Arial" w:hAnsi="Arial" w:cs="Arial"/>
                <w:sz w:val="22"/>
                <w:szCs w:val="22"/>
              </w:rPr>
              <w:t>RCP</w:t>
            </w:r>
            <w:r w:rsidR="00892812" w:rsidRPr="007134EC">
              <w:rPr>
                <w:rFonts w:ascii="Arial" w:hAnsi="Arial" w:cs="Arial"/>
                <w:sz w:val="22"/>
                <w:szCs w:val="22"/>
              </w:rPr>
              <w:t xml:space="preserve"> do Programa incluirá eventuais diretrizes especificas. </w:t>
            </w:r>
          </w:p>
        </w:tc>
      </w:tr>
      <w:tr w:rsidR="00F563CC" w:rsidRPr="007134EC" w:rsidTr="007E33BF">
        <w:trPr>
          <w:trHeight w:val="323"/>
        </w:trPr>
        <w:tc>
          <w:tcPr>
            <w:tcW w:w="2790" w:type="dxa"/>
            <w:shd w:val="clear" w:color="auto" w:fill="D9D9D9" w:themeFill="background1" w:themeFillShade="D9"/>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B.5 Requisitos de Avaliação e Planos Ambientais</w:t>
            </w:r>
          </w:p>
        </w:tc>
        <w:tc>
          <w:tcPr>
            <w:tcW w:w="216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32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41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r>
      <w:tr w:rsidR="00F563CC" w:rsidRPr="007134EC" w:rsidTr="007E33BF">
        <w:trPr>
          <w:trHeight w:val="323"/>
        </w:trPr>
        <w:tc>
          <w:tcPr>
            <w:tcW w:w="2790" w:type="dxa"/>
            <w:shd w:val="clear" w:color="auto" w:fill="D9D9D9" w:themeFill="background1" w:themeFillShade="D9"/>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B.5 Requisitos de Avaliação e Planos Sociais</w:t>
            </w:r>
          </w:p>
        </w:tc>
        <w:tc>
          <w:tcPr>
            <w:tcW w:w="216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32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41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r>
      <w:tr w:rsidR="00F563CC" w:rsidRPr="007134EC" w:rsidTr="007E33BF">
        <w:trPr>
          <w:trHeight w:val="323"/>
        </w:trPr>
        <w:tc>
          <w:tcPr>
            <w:tcW w:w="2790" w:type="dxa"/>
            <w:shd w:val="clear" w:color="auto" w:fill="D9D9D9" w:themeFill="background1" w:themeFillShade="D9"/>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B.6 Consultas (incluindo consultas com mulheres, indígenas e minorias afetadas)</w:t>
            </w:r>
          </w:p>
        </w:tc>
        <w:tc>
          <w:tcPr>
            <w:tcW w:w="216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32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41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r>
      <w:tr w:rsidR="00892812" w:rsidRPr="007134EC" w:rsidTr="0072303E">
        <w:trPr>
          <w:trHeight w:val="323"/>
        </w:trPr>
        <w:tc>
          <w:tcPr>
            <w:tcW w:w="2790" w:type="dxa"/>
            <w:shd w:val="clear" w:color="auto" w:fill="D9D9D9" w:themeFill="background1" w:themeFillShade="D9"/>
            <w:vAlign w:val="center"/>
          </w:tcPr>
          <w:p w:rsidR="00892812" w:rsidRPr="007134EC" w:rsidRDefault="00892812" w:rsidP="00892812">
            <w:pPr>
              <w:rPr>
                <w:rFonts w:ascii="Arial" w:hAnsi="Arial" w:cs="Arial"/>
                <w:sz w:val="22"/>
                <w:szCs w:val="22"/>
              </w:rPr>
            </w:pPr>
            <w:r w:rsidRPr="007134EC">
              <w:rPr>
                <w:rFonts w:ascii="Arial" w:hAnsi="Arial" w:cs="Arial"/>
                <w:sz w:val="22"/>
                <w:szCs w:val="22"/>
              </w:rPr>
              <w:t>B.7 Supervisão e Cumprimento</w:t>
            </w:r>
          </w:p>
        </w:tc>
        <w:tc>
          <w:tcPr>
            <w:tcW w:w="2160" w:type="dxa"/>
            <w:vAlign w:val="center"/>
          </w:tcPr>
          <w:p w:rsidR="00892812" w:rsidRPr="007134EC" w:rsidRDefault="00892812" w:rsidP="00892812">
            <w:pPr>
              <w:rPr>
                <w:rFonts w:ascii="Arial" w:hAnsi="Arial" w:cs="Arial"/>
                <w:sz w:val="22"/>
                <w:szCs w:val="22"/>
              </w:rPr>
            </w:pPr>
            <w:r w:rsidRPr="007134EC">
              <w:rPr>
                <w:rFonts w:ascii="Arial" w:hAnsi="Arial" w:cs="Arial"/>
                <w:sz w:val="22"/>
                <w:szCs w:val="22"/>
              </w:rPr>
              <w:t>Supervisão e monitoramento do Programa</w:t>
            </w:r>
          </w:p>
        </w:tc>
        <w:tc>
          <w:tcPr>
            <w:tcW w:w="4320" w:type="dxa"/>
          </w:tcPr>
          <w:p w:rsidR="00892812" w:rsidRPr="007134EC" w:rsidRDefault="00892812" w:rsidP="00892812">
            <w:pPr>
              <w:rPr>
                <w:rFonts w:ascii="Arial" w:hAnsi="Arial" w:cs="Arial"/>
                <w:sz w:val="22"/>
                <w:szCs w:val="22"/>
              </w:rPr>
            </w:pPr>
            <w:r w:rsidRPr="007134EC">
              <w:rPr>
                <w:rFonts w:ascii="Arial" w:hAnsi="Arial" w:cs="Arial"/>
                <w:sz w:val="22"/>
                <w:szCs w:val="22"/>
              </w:rPr>
              <w:t>Necessidade de monitoramento periódico para assegurar o cumprimento das políticas aplicáveis</w:t>
            </w:r>
          </w:p>
        </w:tc>
        <w:tc>
          <w:tcPr>
            <w:tcW w:w="4410" w:type="dxa"/>
          </w:tcPr>
          <w:p w:rsidR="00892812" w:rsidRPr="007134EC" w:rsidRDefault="00892812" w:rsidP="00892812">
            <w:pPr>
              <w:rPr>
                <w:rFonts w:ascii="Arial" w:hAnsi="Arial" w:cs="Arial"/>
                <w:sz w:val="22"/>
                <w:szCs w:val="22"/>
              </w:rPr>
            </w:pPr>
            <w:r w:rsidRPr="007134EC">
              <w:rPr>
                <w:rFonts w:ascii="Arial" w:hAnsi="Arial" w:cs="Arial"/>
                <w:sz w:val="22"/>
                <w:szCs w:val="22"/>
              </w:rPr>
              <w:t xml:space="preserve">O Banco do Brasil e o BID estabelecerão os procedimentos de </w:t>
            </w:r>
            <w:r w:rsidR="00B2296C">
              <w:rPr>
                <w:rFonts w:ascii="Arial" w:hAnsi="Arial" w:cs="Arial"/>
                <w:sz w:val="22"/>
                <w:szCs w:val="22"/>
              </w:rPr>
              <w:t xml:space="preserve">supervisão e </w:t>
            </w:r>
            <w:r w:rsidRPr="007134EC">
              <w:rPr>
                <w:rFonts w:ascii="Arial" w:hAnsi="Arial" w:cs="Arial"/>
                <w:sz w:val="22"/>
                <w:szCs w:val="22"/>
              </w:rPr>
              <w:t>monitoramento no R</w:t>
            </w:r>
            <w:r w:rsidR="00407D28">
              <w:rPr>
                <w:rFonts w:ascii="Arial" w:hAnsi="Arial" w:cs="Arial"/>
                <w:sz w:val="22"/>
                <w:szCs w:val="22"/>
              </w:rPr>
              <w:t>CP</w:t>
            </w:r>
            <w:r w:rsidRPr="007134EC">
              <w:rPr>
                <w:rFonts w:ascii="Arial" w:hAnsi="Arial" w:cs="Arial"/>
                <w:sz w:val="22"/>
                <w:szCs w:val="22"/>
              </w:rPr>
              <w:t xml:space="preserve"> para a execução do Programa.</w:t>
            </w:r>
          </w:p>
        </w:tc>
      </w:tr>
      <w:tr w:rsidR="00F563CC" w:rsidRPr="007134EC" w:rsidTr="007E33BF">
        <w:trPr>
          <w:trHeight w:val="323"/>
        </w:trPr>
        <w:tc>
          <w:tcPr>
            <w:tcW w:w="2790" w:type="dxa"/>
            <w:shd w:val="clear" w:color="auto" w:fill="D9D9D9" w:themeFill="background1" w:themeFillShade="D9"/>
            <w:vAlign w:val="center"/>
          </w:tcPr>
          <w:p w:rsidR="00F563CC" w:rsidRPr="007134EC" w:rsidDel="00641735" w:rsidRDefault="00F563CC" w:rsidP="00F563CC">
            <w:pPr>
              <w:rPr>
                <w:rFonts w:ascii="Arial" w:hAnsi="Arial" w:cs="Arial"/>
                <w:sz w:val="22"/>
                <w:szCs w:val="22"/>
              </w:rPr>
            </w:pPr>
            <w:r w:rsidRPr="007134EC">
              <w:rPr>
                <w:rFonts w:ascii="Arial" w:hAnsi="Arial" w:cs="Arial"/>
                <w:sz w:val="22"/>
                <w:szCs w:val="22"/>
              </w:rPr>
              <w:t>B.8 Impactos Transfronteiriços</w:t>
            </w:r>
          </w:p>
        </w:tc>
        <w:tc>
          <w:tcPr>
            <w:tcW w:w="216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32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41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r>
      <w:tr w:rsidR="00F563CC" w:rsidRPr="007134EC" w:rsidTr="007E33BF">
        <w:trPr>
          <w:trHeight w:val="323"/>
        </w:trPr>
        <w:tc>
          <w:tcPr>
            <w:tcW w:w="2790" w:type="dxa"/>
            <w:shd w:val="clear" w:color="auto" w:fill="D9D9D9" w:themeFill="background1" w:themeFillShade="D9"/>
            <w:vAlign w:val="center"/>
          </w:tcPr>
          <w:p w:rsidR="00F563CC" w:rsidRPr="007134EC" w:rsidDel="00641735" w:rsidRDefault="00F563CC" w:rsidP="00F563CC">
            <w:pPr>
              <w:rPr>
                <w:rFonts w:ascii="Arial" w:hAnsi="Arial" w:cs="Arial"/>
                <w:sz w:val="22"/>
                <w:szCs w:val="22"/>
              </w:rPr>
            </w:pPr>
            <w:r w:rsidRPr="007134EC">
              <w:rPr>
                <w:rFonts w:ascii="Arial" w:hAnsi="Arial" w:cs="Arial"/>
                <w:sz w:val="22"/>
                <w:szCs w:val="22"/>
              </w:rPr>
              <w:t>B.9 Hábitats Naturais</w:t>
            </w:r>
          </w:p>
        </w:tc>
        <w:tc>
          <w:tcPr>
            <w:tcW w:w="216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320" w:type="dxa"/>
          </w:tcPr>
          <w:p w:rsidR="00F563CC" w:rsidRPr="007134EC" w:rsidRDefault="00F563CC" w:rsidP="00F563CC">
            <w:pPr>
              <w:rPr>
                <w:rFonts w:ascii="Arial" w:hAnsi="Arial" w:cs="Arial"/>
                <w:sz w:val="22"/>
                <w:szCs w:val="22"/>
              </w:rPr>
            </w:pPr>
            <w:r w:rsidRPr="007134EC">
              <w:rPr>
                <w:rFonts w:ascii="Arial" w:hAnsi="Arial" w:cs="Arial"/>
                <w:sz w:val="22"/>
                <w:szCs w:val="22"/>
              </w:rPr>
              <w:t>Os critérios de elegibilidade dos municípios e projetos a contratar excluem atividades que ativem B.9</w:t>
            </w:r>
          </w:p>
        </w:tc>
        <w:tc>
          <w:tcPr>
            <w:tcW w:w="441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r>
      <w:tr w:rsidR="00F563CC" w:rsidRPr="007134EC" w:rsidTr="007E33BF">
        <w:trPr>
          <w:trHeight w:val="323"/>
        </w:trPr>
        <w:tc>
          <w:tcPr>
            <w:tcW w:w="2790" w:type="dxa"/>
            <w:shd w:val="clear" w:color="auto" w:fill="D9D9D9" w:themeFill="background1" w:themeFillShade="D9"/>
            <w:vAlign w:val="center"/>
          </w:tcPr>
          <w:p w:rsidR="00F563CC" w:rsidRPr="007134EC" w:rsidDel="00641735" w:rsidRDefault="00F563CC" w:rsidP="00F563CC">
            <w:pPr>
              <w:rPr>
                <w:rFonts w:ascii="Arial" w:hAnsi="Arial" w:cs="Arial"/>
                <w:sz w:val="22"/>
                <w:szCs w:val="22"/>
              </w:rPr>
            </w:pPr>
            <w:r w:rsidRPr="007134EC">
              <w:rPr>
                <w:rFonts w:ascii="Arial" w:hAnsi="Arial" w:cs="Arial"/>
                <w:sz w:val="22"/>
                <w:szCs w:val="22"/>
              </w:rPr>
              <w:t>B.9 Espécies Invasoras</w:t>
            </w:r>
          </w:p>
        </w:tc>
        <w:tc>
          <w:tcPr>
            <w:tcW w:w="216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320" w:type="dxa"/>
          </w:tcPr>
          <w:p w:rsidR="00F563CC" w:rsidRPr="007134EC" w:rsidRDefault="00F563CC" w:rsidP="00F563CC">
            <w:pPr>
              <w:rPr>
                <w:rFonts w:ascii="Arial" w:hAnsi="Arial" w:cs="Arial"/>
                <w:sz w:val="22"/>
                <w:szCs w:val="22"/>
              </w:rPr>
            </w:pPr>
            <w:r w:rsidRPr="007134EC">
              <w:rPr>
                <w:rFonts w:ascii="Arial" w:hAnsi="Arial" w:cs="Arial"/>
                <w:sz w:val="22"/>
                <w:szCs w:val="22"/>
              </w:rPr>
              <w:t>Os critérios de elegibilidade dos municípios e projetos a contratar excluem atividades que ativem B.9</w:t>
            </w:r>
          </w:p>
        </w:tc>
        <w:tc>
          <w:tcPr>
            <w:tcW w:w="441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r>
      <w:tr w:rsidR="00DC2F73" w:rsidRPr="007134EC" w:rsidTr="007E33BF">
        <w:trPr>
          <w:trHeight w:val="323"/>
        </w:trPr>
        <w:tc>
          <w:tcPr>
            <w:tcW w:w="2790" w:type="dxa"/>
            <w:shd w:val="clear" w:color="auto" w:fill="D9D9D9" w:themeFill="background1" w:themeFillShade="D9"/>
            <w:vAlign w:val="center"/>
          </w:tcPr>
          <w:p w:rsidR="00DC2F73" w:rsidRPr="007134EC" w:rsidDel="00641735" w:rsidRDefault="00DC2F73" w:rsidP="00DC2F73">
            <w:pPr>
              <w:rPr>
                <w:rFonts w:ascii="Arial" w:hAnsi="Arial" w:cs="Arial"/>
                <w:sz w:val="22"/>
                <w:szCs w:val="22"/>
              </w:rPr>
            </w:pPr>
            <w:r w:rsidRPr="007134EC">
              <w:rPr>
                <w:rFonts w:ascii="Arial" w:hAnsi="Arial" w:cs="Arial"/>
                <w:sz w:val="22"/>
                <w:szCs w:val="22"/>
              </w:rPr>
              <w:lastRenderedPageBreak/>
              <w:t>B.9 Sítios Culturais</w:t>
            </w:r>
          </w:p>
        </w:tc>
        <w:tc>
          <w:tcPr>
            <w:tcW w:w="2160" w:type="dxa"/>
            <w:vAlign w:val="center"/>
          </w:tcPr>
          <w:p w:rsidR="00DC2F73" w:rsidRPr="007134EC" w:rsidRDefault="00DC2F73" w:rsidP="00DC2F73">
            <w:pPr>
              <w:rPr>
                <w:rFonts w:ascii="Arial" w:hAnsi="Arial" w:cs="Arial"/>
                <w:sz w:val="22"/>
                <w:szCs w:val="22"/>
              </w:rPr>
            </w:pPr>
            <w:r w:rsidRPr="007134EC">
              <w:rPr>
                <w:rFonts w:ascii="Arial" w:hAnsi="Arial" w:cs="Arial"/>
                <w:sz w:val="22"/>
                <w:szCs w:val="22"/>
              </w:rPr>
              <w:t>Não aplicável (política irrelevante)</w:t>
            </w:r>
          </w:p>
        </w:tc>
        <w:tc>
          <w:tcPr>
            <w:tcW w:w="4320" w:type="dxa"/>
          </w:tcPr>
          <w:p w:rsidR="00DC2F73" w:rsidRPr="007134EC" w:rsidRDefault="00DC2F73" w:rsidP="00DC2F73">
            <w:pPr>
              <w:rPr>
                <w:rFonts w:ascii="Arial" w:hAnsi="Arial" w:cs="Arial"/>
                <w:sz w:val="22"/>
                <w:szCs w:val="22"/>
              </w:rPr>
            </w:pPr>
            <w:r w:rsidRPr="007134EC">
              <w:rPr>
                <w:rFonts w:ascii="Arial" w:hAnsi="Arial" w:cs="Arial"/>
                <w:sz w:val="22"/>
                <w:szCs w:val="22"/>
              </w:rPr>
              <w:t>Os critérios de elegibilidade dos municípios e projetos a contratar excluem atividades que ativem B.9</w:t>
            </w:r>
          </w:p>
        </w:tc>
        <w:tc>
          <w:tcPr>
            <w:tcW w:w="4410" w:type="dxa"/>
            <w:vAlign w:val="center"/>
          </w:tcPr>
          <w:p w:rsidR="00DC2F73" w:rsidRPr="007134EC" w:rsidRDefault="00DC2F73" w:rsidP="00DC2F73">
            <w:pPr>
              <w:rPr>
                <w:rFonts w:ascii="Arial" w:hAnsi="Arial" w:cs="Arial"/>
                <w:sz w:val="22"/>
                <w:szCs w:val="22"/>
              </w:rPr>
            </w:pPr>
            <w:r w:rsidRPr="007134EC">
              <w:rPr>
                <w:rFonts w:ascii="Arial" w:hAnsi="Arial" w:cs="Arial"/>
                <w:sz w:val="22"/>
                <w:szCs w:val="22"/>
              </w:rPr>
              <w:t>Não aplicável (política irrelevante)</w:t>
            </w:r>
          </w:p>
        </w:tc>
      </w:tr>
      <w:tr w:rsidR="00892812" w:rsidRPr="007134EC" w:rsidTr="0072303E">
        <w:trPr>
          <w:trHeight w:val="323"/>
        </w:trPr>
        <w:tc>
          <w:tcPr>
            <w:tcW w:w="2790" w:type="dxa"/>
            <w:shd w:val="clear" w:color="auto" w:fill="D9D9D9" w:themeFill="background1" w:themeFillShade="D9"/>
            <w:vAlign w:val="center"/>
          </w:tcPr>
          <w:p w:rsidR="00892812" w:rsidRPr="007134EC" w:rsidDel="00641735" w:rsidRDefault="00892812" w:rsidP="00892812">
            <w:pPr>
              <w:rPr>
                <w:rFonts w:ascii="Arial" w:hAnsi="Arial" w:cs="Arial"/>
                <w:sz w:val="22"/>
                <w:szCs w:val="22"/>
              </w:rPr>
            </w:pPr>
            <w:r w:rsidRPr="007134EC">
              <w:rPr>
                <w:rFonts w:ascii="Arial" w:hAnsi="Arial" w:cs="Arial"/>
                <w:sz w:val="22"/>
                <w:szCs w:val="22"/>
              </w:rPr>
              <w:t>B.10 Materiais Perigosos</w:t>
            </w:r>
          </w:p>
        </w:tc>
        <w:tc>
          <w:tcPr>
            <w:tcW w:w="2160" w:type="dxa"/>
            <w:vAlign w:val="center"/>
          </w:tcPr>
          <w:p w:rsidR="00892812" w:rsidRPr="007134EC" w:rsidRDefault="00892812" w:rsidP="00892812">
            <w:pPr>
              <w:rPr>
                <w:rFonts w:ascii="Arial" w:hAnsi="Arial" w:cs="Arial"/>
                <w:sz w:val="22"/>
                <w:szCs w:val="22"/>
              </w:rPr>
            </w:pPr>
            <w:r w:rsidRPr="007134EC">
              <w:rPr>
                <w:rFonts w:ascii="Arial" w:hAnsi="Arial" w:cs="Arial"/>
                <w:sz w:val="22"/>
                <w:szCs w:val="22"/>
              </w:rPr>
              <w:t>Evitar impactos associados à aquisição, manuseio e descarte de materiais perigosos</w:t>
            </w:r>
          </w:p>
        </w:tc>
        <w:tc>
          <w:tcPr>
            <w:tcW w:w="4320" w:type="dxa"/>
          </w:tcPr>
          <w:p w:rsidR="00892812" w:rsidRPr="007134EC" w:rsidRDefault="00892812" w:rsidP="00892812">
            <w:pPr>
              <w:rPr>
                <w:rFonts w:ascii="Arial" w:hAnsi="Arial" w:cs="Arial"/>
                <w:sz w:val="22"/>
                <w:szCs w:val="22"/>
              </w:rPr>
            </w:pPr>
            <w:r w:rsidRPr="007134EC">
              <w:rPr>
                <w:rFonts w:ascii="Arial" w:hAnsi="Arial" w:cs="Arial"/>
                <w:sz w:val="22"/>
                <w:szCs w:val="22"/>
              </w:rPr>
              <w:t xml:space="preserve">O Programa financiará atividades de melhoria de sistemas de iluminação e aquisição de veículos. Esses equipamentos têm resíduos perigosos de lâmpadas fluorescentes (vapor de mercúrio) e de pilhas e baterias (metais pesados e ácidos). </w:t>
            </w:r>
          </w:p>
          <w:p w:rsidR="00892812" w:rsidRPr="007134EC" w:rsidRDefault="00892812" w:rsidP="00892812">
            <w:pPr>
              <w:rPr>
                <w:rFonts w:ascii="Arial" w:hAnsi="Arial" w:cs="Arial"/>
                <w:sz w:val="22"/>
                <w:szCs w:val="22"/>
              </w:rPr>
            </w:pPr>
          </w:p>
          <w:p w:rsidR="00892812" w:rsidRPr="007134EC" w:rsidRDefault="00892812" w:rsidP="00892812">
            <w:pPr>
              <w:rPr>
                <w:rFonts w:ascii="Arial" w:hAnsi="Arial" w:cs="Arial"/>
                <w:sz w:val="22"/>
                <w:szCs w:val="22"/>
              </w:rPr>
            </w:pPr>
            <w:r w:rsidRPr="007134EC">
              <w:rPr>
                <w:rFonts w:ascii="Arial" w:hAnsi="Arial" w:cs="Arial"/>
                <w:sz w:val="22"/>
                <w:szCs w:val="22"/>
              </w:rPr>
              <w:t>A Política Nacional de Resíduos Sólidos (PNRS, 2010) demanda que os operadores de resíduos perigosos elaborem plano de gerenciamento de resíduos sólidos perigosos (PNRS, Art. 39). Prevê que os fabricantes, importadores, distribuidores e comerciantes de pilhas e baterias; lâmpadas fluorescentes, de vapor de sódio e mercúrio e de luz mista; produtos eletrônicos e seus componentes; e de pneus e óleos lubrificantes estruturem e programem sistemas de logística reversa, mediante retorno dos produtos após uso pelo consumidor, de maneira independente do serviço público de limpeza urbana.</w:t>
            </w:r>
          </w:p>
        </w:tc>
        <w:tc>
          <w:tcPr>
            <w:tcW w:w="4410" w:type="dxa"/>
          </w:tcPr>
          <w:p w:rsidR="00892812" w:rsidRPr="007134EC" w:rsidRDefault="00892812" w:rsidP="00892812">
            <w:pPr>
              <w:rPr>
                <w:rFonts w:ascii="Arial" w:hAnsi="Arial" w:cs="Arial"/>
                <w:sz w:val="22"/>
                <w:szCs w:val="22"/>
              </w:rPr>
            </w:pPr>
          </w:p>
          <w:p w:rsidR="009942B5" w:rsidRPr="007134EC" w:rsidRDefault="009942B5" w:rsidP="00892812">
            <w:pPr>
              <w:rPr>
                <w:rFonts w:ascii="Arial" w:hAnsi="Arial" w:cs="Arial"/>
                <w:sz w:val="22"/>
                <w:szCs w:val="22"/>
              </w:rPr>
            </w:pPr>
          </w:p>
          <w:p w:rsidR="009942B5" w:rsidRPr="007134EC" w:rsidRDefault="009942B5" w:rsidP="00892812">
            <w:pPr>
              <w:rPr>
                <w:rFonts w:ascii="Arial" w:hAnsi="Arial" w:cs="Arial"/>
                <w:sz w:val="22"/>
                <w:szCs w:val="22"/>
              </w:rPr>
            </w:pPr>
          </w:p>
          <w:p w:rsidR="009942B5" w:rsidRPr="007134EC" w:rsidRDefault="009942B5" w:rsidP="00892812">
            <w:pPr>
              <w:rPr>
                <w:rFonts w:ascii="Arial" w:hAnsi="Arial" w:cs="Arial"/>
                <w:sz w:val="22"/>
                <w:szCs w:val="22"/>
              </w:rPr>
            </w:pPr>
          </w:p>
          <w:p w:rsidR="009942B5" w:rsidRPr="007134EC" w:rsidRDefault="009942B5" w:rsidP="00892812">
            <w:pPr>
              <w:rPr>
                <w:rFonts w:ascii="Arial" w:hAnsi="Arial" w:cs="Arial"/>
                <w:sz w:val="22"/>
                <w:szCs w:val="22"/>
              </w:rPr>
            </w:pPr>
          </w:p>
          <w:p w:rsidR="009942B5" w:rsidRPr="007134EC" w:rsidRDefault="009942B5" w:rsidP="00892812">
            <w:pPr>
              <w:rPr>
                <w:rFonts w:ascii="Arial" w:hAnsi="Arial" w:cs="Arial"/>
                <w:sz w:val="22"/>
                <w:szCs w:val="22"/>
              </w:rPr>
            </w:pPr>
          </w:p>
          <w:p w:rsidR="009942B5" w:rsidRPr="007134EC" w:rsidRDefault="009942B5" w:rsidP="00892812">
            <w:pPr>
              <w:rPr>
                <w:rFonts w:ascii="Arial" w:hAnsi="Arial" w:cs="Arial"/>
                <w:sz w:val="22"/>
                <w:szCs w:val="22"/>
              </w:rPr>
            </w:pPr>
          </w:p>
          <w:p w:rsidR="009942B5" w:rsidRPr="007134EC" w:rsidRDefault="009942B5" w:rsidP="00892812">
            <w:pPr>
              <w:rPr>
                <w:rFonts w:ascii="Arial" w:hAnsi="Arial" w:cs="Arial"/>
                <w:sz w:val="22"/>
                <w:szCs w:val="22"/>
              </w:rPr>
            </w:pPr>
          </w:p>
          <w:p w:rsidR="00892812" w:rsidRPr="007134EC" w:rsidRDefault="00892812" w:rsidP="00892812">
            <w:pPr>
              <w:rPr>
                <w:rFonts w:ascii="Arial" w:hAnsi="Arial" w:cs="Arial"/>
                <w:sz w:val="22"/>
                <w:szCs w:val="22"/>
              </w:rPr>
            </w:pPr>
            <w:r w:rsidRPr="007134EC">
              <w:rPr>
                <w:rFonts w:ascii="Arial" w:hAnsi="Arial" w:cs="Arial"/>
                <w:sz w:val="22"/>
                <w:szCs w:val="22"/>
              </w:rPr>
              <w:t>Cumprir o disposto no Plano Municipal de Gestão de Resíduos previsto na PNRS</w:t>
            </w:r>
            <w:r w:rsidR="00440E5F" w:rsidRPr="007134EC">
              <w:rPr>
                <w:rFonts w:ascii="Arial" w:hAnsi="Arial" w:cs="Arial"/>
                <w:sz w:val="22"/>
                <w:szCs w:val="22"/>
              </w:rPr>
              <w:t>.</w:t>
            </w:r>
          </w:p>
          <w:p w:rsidR="00187892" w:rsidRPr="007134EC" w:rsidRDefault="00187892" w:rsidP="00892812">
            <w:pPr>
              <w:rPr>
                <w:rFonts w:ascii="Arial" w:hAnsi="Arial" w:cs="Arial"/>
                <w:sz w:val="22"/>
                <w:szCs w:val="22"/>
              </w:rPr>
            </w:pPr>
          </w:p>
          <w:p w:rsidR="00892812" w:rsidRPr="007134EC" w:rsidRDefault="00892812" w:rsidP="00892812">
            <w:pPr>
              <w:rPr>
                <w:rFonts w:ascii="Arial" w:hAnsi="Arial" w:cs="Arial"/>
                <w:sz w:val="22"/>
                <w:szCs w:val="22"/>
              </w:rPr>
            </w:pPr>
            <w:r w:rsidRPr="007134EC">
              <w:rPr>
                <w:rFonts w:ascii="Arial" w:hAnsi="Arial" w:cs="Arial"/>
                <w:sz w:val="22"/>
                <w:szCs w:val="22"/>
              </w:rPr>
              <w:t>Cumprir com Protocolo de Gestão de Resíduos incluído no R</w:t>
            </w:r>
            <w:r w:rsidR="00407D28">
              <w:rPr>
                <w:rFonts w:ascii="Arial" w:hAnsi="Arial" w:cs="Arial"/>
                <w:sz w:val="22"/>
                <w:szCs w:val="22"/>
              </w:rPr>
              <w:t>C</w:t>
            </w:r>
            <w:r w:rsidRPr="007134EC">
              <w:rPr>
                <w:rFonts w:ascii="Arial" w:hAnsi="Arial" w:cs="Arial"/>
                <w:sz w:val="22"/>
                <w:szCs w:val="22"/>
              </w:rPr>
              <w:t xml:space="preserve">P do Programa. </w:t>
            </w:r>
          </w:p>
        </w:tc>
      </w:tr>
      <w:tr w:rsidR="00892812" w:rsidRPr="007134EC" w:rsidTr="0072303E">
        <w:trPr>
          <w:trHeight w:val="323"/>
        </w:trPr>
        <w:tc>
          <w:tcPr>
            <w:tcW w:w="2790" w:type="dxa"/>
            <w:shd w:val="clear" w:color="auto" w:fill="D9D9D9" w:themeFill="background1" w:themeFillShade="D9"/>
            <w:vAlign w:val="center"/>
          </w:tcPr>
          <w:p w:rsidR="00892812" w:rsidRPr="007134EC" w:rsidDel="00641735" w:rsidRDefault="00892812" w:rsidP="00892812">
            <w:pPr>
              <w:rPr>
                <w:rFonts w:ascii="Arial" w:hAnsi="Arial" w:cs="Arial"/>
                <w:sz w:val="22"/>
                <w:szCs w:val="22"/>
              </w:rPr>
            </w:pPr>
            <w:r w:rsidRPr="007134EC">
              <w:rPr>
                <w:rFonts w:ascii="Arial" w:hAnsi="Arial" w:cs="Arial"/>
                <w:sz w:val="22"/>
                <w:szCs w:val="22"/>
              </w:rPr>
              <w:t>B.11 Prevenção e Redução da Contaminação (incluindo Gases de Efeito Estufa)</w:t>
            </w:r>
          </w:p>
        </w:tc>
        <w:tc>
          <w:tcPr>
            <w:tcW w:w="2160" w:type="dxa"/>
            <w:vAlign w:val="center"/>
          </w:tcPr>
          <w:p w:rsidR="00892812" w:rsidRPr="007134EC" w:rsidRDefault="00892812" w:rsidP="00892812">
            <w:pPr>
              <w:rPr>
                <w:rFonts w:ascii="Arial" w:hAnsi="Arial" w:cs="Arial"/>
                <w:sz w:val="22"/>
                <w:szCs w:val="22"/>
              </w:rPr>
            </w:pPr>
            <w:r w:rsidRPr="007134EC">
              <w:rPr>
                <w:rFonts w:ascii="Arial" w:hAnsi="Arial" w:cs="Arial"/>
                <w:sz w:val="22"/>
                <w:szCs w:val="22"/>
              </w:rPr>
              <w:t xml:space="preserve">Reduzir ou eliminar emissões gasosas e liquidas e de resíduos sólidos </w:t>
            </w:r>
          </w:p>
        </w:tc>
        <w:tc>
          <w:tcPr>
            <w:tcW w:w="4320" w:type="dxa"/>
          </w:tcPr>
          <w:p w:rsidR="00892812" w:rsidRPr="007134EC" w:rsidRDefault="00892812" w:rsidP="00892812">
            <w:pPr>
              <w:rPr>
                <w:rFonts w:ascii="Arial" w:hAnsi="Arial" w:cs="Arial"/>
                <w:sz w:val="22"/>
                <w:szCs w:val="22"/>
              </w:rPr>
            </w:pPr>
          </w:p>
          <w:p w:rsidR="00892812" w:rsidRPr="007134EC" w:rsidRDefault="00892812" w:rsidP="00892812">
            <w:pPr>
              <w:rPr>
                <w:rFonts w:ascii="Arial" w:hAnsi="Arial" w:cs="Arial"/>
                <w:sz w:val="22"/>
                <w:szCs w:val="22"/>
              </w:rPr>
            </w:pPr>
            <w:r w:rsidRPr="007134EC">
              <w:rPr>
                <w:rFonts w:ascii="Arial" w:hAnsi="Arial" w:cs="Arial"/>
                <w:sz w:val="22"/>
                <w:szCs w:val="22"/>
              </w:rPr>
              <w:t xml:space="preserve">As operações do Programa incluem substituição de equipamentos de refrigeração. Em relação aos gases utilizados neste tipo de equipamentos que possuem potencial de destruir a Camada de Ozônio (CFC e HCFC); A legislação brasileira proíbe, em todo território nacional, a utilização dessas </w:t>
            </w:r>
            <w:proofErr w:type="gramStart"/>
            <w:r w:rsidRPr="007134EC">
              <w:rPr>
                <w:rFonts w:ascii="Arial" w:hAnsi="Arial" w:cs="Arial"/>
                <w:sz w:val="22"/>
                <w:szCs w:val="22"/>
              </w:rPr>
              <w:t>substancias</w:t>
            </w:r>
            <w:proofErr w:type="gramEnd"/>
            <w:r w:rsidRPr="007134EC">
              <w:rPr>
                <w:rFonts w:ascii="Arial" w:hAnsi="Arial" w:cs="Arial"/>
                <w:sz w:val="22"/>
                <w:szCs w:val="22"/>
              </w:rPr>
              <w:t xml:space="preserve"> em sistemas, equipamentos, instalações e produtos novos, nacionais ou importados. (Resolução CONAMA 267/2000)</w:t>
            </w:r>
          </w:p>
          <w:p w:rsidR="00892812" w:rsidRPr="007134EC" w:rsidRDefault="00892812" w:rsidP="00892812">
            <w:pPr>
              <w:rPr>
                <w:rFonts w:ascii="Arial" w:hAnsi="Arial" w:cs="Arial"/>
                <w:sz w:val="22"/>
                <w:szCs w:val="22"/>
              </w:rPr>
            </w:pPr>
          </w:p>
        </w:tc>
        <w:tc>
          <w:tcPr>
            <w:tcW w:w="4410" w:type="dxa"/>
          </w:tcPr>
          <w:p w:rsidR="00892812" w:rsidRPr="007134EC" w:rsidRDefault="00892812" w:rsidP="00892812">
            <w:pPr>
              <w:rPr>
                <w:rFonts w:ascii="Arial" w:hAnsi="Arial" w:cs="Arial"/>
                <w:sz w:val="22"/>
                <w:szCs w:val="22"/>
              </w:rPr>
            </w:pPr>
            <w:r w:rsidRPr="007134EC">
              <w:rPr>
                <w:rFonts w:ascii="Arial" w:hAnsi="Arial" w:cs="Arial"/>
                <w:sz w:val="22"/>
                <w:szCs w:val="22"/>
              </w:rPr>
              <w:lastRenderedPageBreak/>
              <w:t xml:space="preserve">Observar a aplicação da Resolução CONAMA 267/2000: a legislação brasileira proíbe, em todo território nacional, a utilização dessas </w:t>
            </w:r>
            <w:proofErr w:type="gramStart"/>
            <w:r w:rsidRPr="007134EC">
              <w:rPr>
                <w:rFonts w:ascii="Arial" w:hAnsi="Arial" w:cs="Arial"/>
                <w:sz w:val="22"/>
                <w:szCs w:val="22"/>
              </w:rPr>
              <w:t>substancias</w:t>
            </w:r>
            <w:proofErr w:type="gramEnd"/>
            <w:r w:rsidRPr="007134EC">
              <w:rPr>
                <w:rFonts w:ascii="Arial" w:hAnsi="Arial" w:cs="Arial"/>
                <w:sz w:val="22"/>
                <w:szCs w:val="22"/>
              </w:rPr>
              <w:t xml:space="preserve"> em sistemas, equipamentos, instalações e produtos novos, nacionais ou importados;</w:t>
            </w:r>
          </w:p>
          <w:p w:rsidR="00892812" w:rsidRPr="007134EC" w:rsidRDefault="00892812" w:rsidP="00892812">
            <w:pPr>
              <w:rPr>
                <w:rFonts w:ascii="Arial" w:hAnsi="Arial" w:cs="Arial"/>
                <w:sz w:val="22"/>
                <w:szCs w:val="22"/>
              </w:rPr>
            </w:pPr>
          </w:p>
          <w:p w:rsidR="00892812" w:rsidRPr="007134EC" w:rsidRDefault="00892812" w:rsidP="00892812">
            <w:pPr>
              <w:rPr>
                <w:rFonts w:ascii="Arial" w:hAnsi="Arial" w:cs="Arial"/>
                <w:sz w:val="22"/>
                <w:szCs w:val="22"/>
              </w:rPr>
            </w:pPr>
            <w:r w:rsidRPr="007134EC">
              <w:rPr>
                <w:rFonts w:ascii="Arial" w:hAnsi="Arial" w:cs="Arial"/>
                <w:sz w:val="22"/>
                <w:szCs w:val="22"/>
              </w:rPr>
              <w:t>Cumprir com o Protocolo de Gestão de Resíduos incluído no R</w:t>
            </w:r>
            <w:r w:rsidR="00407D28">
              <w:rPr>
                <w:rFonts w:ascii="Arial" w:hAnsi="Arial" w:cs="Arial"/>
                <w:sz w:val="22"/>
                <w:szCs w:val="22"/>
              </w:rPr>
              <w:t>C</w:t>
            </w:r>
            <w:r w:rsidRPr="007134EC">
              <w:rPr>
                <w:rFonts w:ascii="Arial" w:hAnsi="Arial" w:cs="Arial"/>
                <w:sz w:val="22"/>
                <w:szCs w:val="22"/>
              </w:rPr>
              <w:t>P do Programa</w:t>
            </w:r>
          </w:p>
        </w:tc>
      </w:tr>
      <w:tr w:rsidR="00F563CC" w:rsidRPr="007134EC" w:rsidTr="007E33BF">
        <w:trPr>
          <w:trHeight w:val="323"/>
        </w:trPr>
        <w:tc>
          <w:tcPr>
            <w:tcW w:w="2790" w:type="dxa"/>
            <w:shd w:val="clear" w:color="auto" w:fill="D9D9D9" w:themeFill="background1" w:themeFillShade="D9"/>
            <w:vAlign w:val="center"/>
          </w:tcPr>
          <w:p w:rsidR="00F563CC" w:rsidRPr="007134EC" w:rsidDel="00641735" w:rsidRDefault="00F563CC" w:rsidP="00F563CC">
            <w:pPr>
              <w:rPr>
                <w:rFonts w:ascii="Arial" w:hAnsi="Arial" w:cs="Arial"/>
                <w:sz w:val="22"/>
                <w:szCs w:val="22"/>
              </w:rPr>
            </w:pPr>
            <w:r w:rsidRPr="007134EC">
              <w:rPr>
                <w:rFonts w:ascii="Arial" w:hAnsi="Arial" w:cs="Arial"/>
                <w:sz w:val="22"/>
                <w:szCs w:val="22"/>
              </w:rPr>
              <w:t xml:space="preserve">B.12 Projetos em construção </w:t>
            </w:r>
          </w:p>
        </w:tc>
        <w:tc>
          <w:tcPr>
            <w:tcW w:w="216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32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41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r>
      <w:tr w:rsidR="001B7C8B" w:rsidRPr="007134EC" w:rsidTr="0072303E">
        <w:trPr>
          <w:trHeight w:val="323"/>
        </w:trPr>
        <w:tc>
          <w:tcPr>
            <w:tcW w:w="2790" w:type="dxa"/>
            <w:shd w:val="clear" w:color="auto" w:fill="D9D9D9" w:themeFill="background1" w:themeFillShade="D9"/>
            <w:vAlign w:val="center"/>
          </w:tcPr>
          <w:p w:rsidR="001B7C8B" w:rsidRPr="007134EC" w:rsidDel="00641735" w:rsidRDefault="001B7C8B" w:rsidP="001B7C8B">
            <w:pPr>
              <w:rPr>
                <w:rFonts w:ascii="Arial" w:hAnsi="Arial" w:cs="Arial"/>
                <w:sz w:val="22"/>
                <w:szCs w:val="22"/>
              </w:rPr>
            </w:pPr>
            <w:r w:rsidRPr="007134EC">
              <w:rPr>
                <w:rFonts w:ascii="Arial" w:hAnsi="Arial" w:cs="Arial"/>
                <w:sz w:val="22"/>
                <w:szCs w:val="22"/>
              </w:rPr>
              <w:t xml:space="preserve">B.13 Empréstimo de Política e Instrumentos Flexíveis de empréstimo </w:t>
            </w:r>
          </w:p>
        </w:tc>
        <w:tc>
          <w:tcPr>
            <w:tcW w:w="2160" w:type="dxa"/>
            <w:vAlign w:val="center"/>
          </w:tcPr>
          <w:p w:rsidR="001B7C8B" w:rsidRPr="007134EC" w:rsidRDefault="001B7C8B" w:rsidP="001B7C8B">
            <w:pPr>
              <w:rPr>
                <w:rFonts w:ascii="Arial" w:hAnsi="Arial" w:cs="Arial"/>
                <w:sz w:val="22"/>
                <w:szCs w:val="22"/>
              </w:rPr>
            </w:pPr>
            <w:r w:rsidRPr="007134EC">
              <w:rPr>
                <w:rFonts w:ascii="Arial" w:hAnsi="Arial" w:cs="Arial"/>
                <w:sz w:val="22"/>
                <w:szCs w:val="22"/>
              </w:rPr>
              <w:t xml:space="preserve">Implantação de sistema de gestão ambiental (SGA) </w:t>
            </w:r>
          </w:p>
        </w:tc>
        <w:tc>
          <w:tcPr>
            <w:tcW w:w="4320" w:type="dxa"/>
          </w:tcPr>
          <w:p w:rsidR="001B7C8B" w:rsidRPr="008A37BB" w:rsidRDefault="001B7C8B" w:rsidP="001B7C8B">
            <w:pPr>
              <w:rPr>
                <w:rFonts w:ascii="Arial" w:hAnsi="Arial" w:cs="Arial"/>
                <w:sz w:val="22"/>
                <w:szCs w:val="22"/>
              </w:rPr>
            </w:pPr>
            <w:r w:rsidRPr="007134EC">
              <w:rPr>
                <w:rFonts w:ascii="Arial" w:hAnsi="Arial" w:cs="Arial"/>
                <w:sz w:val="22"/>
                <w:szCs w:val="22"/>
              </w:rPr>
              <w:t xml:space="preserve">O Banco do Brasil é signatário dos Princípios do Equador e conta com </w:t>
            </w:r>
            <w:proofErr w:type="gramStart"/>
            <w:r w:rsidRPr="007134EC">
              <w:rPr>
                <w:rFonts w:ascii="Arial" w:hAnsi="Arial" w:cs="Arial"/>
                <w:sz w:val="22"/>
                <w:szCs w:val="22"/>
              </w:rPr>
              <w:t>Gerencia</w:t>
            </w:r>
            <w:proofErr w:type="gramEnd"/>
            <w:r w:rsidRPr="007134EC">
              <w:rPr>
                <w:rFonts w:ascii="Arial" w:hAnsi="Arial" w:cs="Arial"/>
                <w:sz w:val="22"/>
                <w:szCs w:val="22"/>
              </w:rPr>
              <w:t xml:space="preserve"> de Inovação e Responsabilidade Socioambiental que desenvolveu diretrizes para gestão social e ambiental de projetos.  Dado o teto máximo estabelecido para o credito de recursos para munícipios de pequeno e médio porte, </w:t>
            </w:r>
            <w:r w:rsidR="008A37BB">
              <w:rPr>
                <w:rFonts w:ascii="Arial" w:hAnsi="Arial" w:cs="Arial"/>
                <w:sz w:val="22"/>
                <w:szCs w:val="22"/>
              </w:rPr>
              <w:t xml:space="preserve">e devido </w:t>
            </w:r>
            <w:r w:rsidR="00E81A73">
              <w:rPr>
                <w:rFonts w:ascii="Arial" w:hAnsi="Arial" w:cs="Arial"/>
                <w:sz w:val="22"/>
                <w:szCs w:val="22"/>
              </w:rPr>
              <w:t xml:space="preserve">aos critérios de elegibilidade e </w:t>
            </w:r>
            <w:r w:rsidR="008A37BB">
              <w:rPr>
                <w:rFonts w:ascii="Arial" w:hAnsi="Arial" w:cs="Arial"/>
                <w:sz w:val="22"/>
                <w:szCs w:val="22"/>
              </w:rPr>
              <w:t xml:space="preserve">ao escopo limitado das atividades a serem financiadas, </w:t>
            </w:r>
            <w:r w:rsidR="001F0912">
              <w:rPr>
                <w:rFonts w:ascii="Arial" w:hAnsi="Arial" w:cs="Arial"/>
                <w:sz w:val="22"/>
                <w:szCs w:val="22"/>
              </w:rPr>
              <w:t xml:space="preserve">o SARAS do Banco do Brasil será utilizado como o Sistema de </w:t>
            </w:r>
            <w:r w:rsidR="00482182">
              <w:rPr>
                <w:rFonts w:ascii="Arial" w:hAnsi="Arial" w:cs="Arial"/>
                <w:sz w:val="22"/>
                <w:szCs w:val="22"/>
              </w:rPr>
              <w:t>Gestão</w:t>
            </w:r>
            <w:r w:rsidR="001F0912">
              <w:rPr>
                <w:rFonts w:ascii="Arial" w:hAnsi="Arial" w:cs="Arial"/>
                <w:sz w:val="22"/>
                <w:szCs w:val="22"/>
              </w:rPr>
              <w:t xml:space="preserve"> Ambiental e Social (SGAS) do Programa.</w:t>
            </w:r>
            <w:r w:rsidR="008A37BB">
              <w:rPr>
                <w:rFonts w:ascii="Arial" w:hAnsi="Arial" w:cs="Arial"/>
                <w:sz w:val="22"/>
                <w:szCs w:val="22"/>
              </w:rPr>
              <w:t xml:space="preserve"> </w:t>
            </w:r>
          </w:p>
        </w:tc>
        <w:tc>
          <w:tcPr>
            <w:tcW w:w="4410" w:type="dxa"/>
          </w:tcPr>
          <w:p w:rsidR="001B7C8B" w:rsidRPr="007134EC" w:rsidRDefault="001B7C8B" w:rsidP="001B7C8B">
            <w:pPr>
              <w:rPr>
                <w:rFonts w:ascii="Arial" w:hAnsi="Arial" w:cs="Arial"/>
                <w:sz w:val="22"/>
                <w:szCs w:val="22"/>
              </w:rPr>
            </w:pPr>
            <w:r w:rsidRPr="007134EC">
              <w:rPr>
                <w:rFonts w:ascii="Arial" w:hAnsi="Arial" w:cs="Arial"/>
                <w:sz w:val="22"/>
                <w:szCs w:val="22"/>
              </w:rPr>
              <w:t xml:space="preserve">Foi realizada uma análise das possíveis brechas existentes entre o Sistema de Gestão Socioambiental do Banco do Brasil e as </w:t>
            </w:r>
            <w:r w:rsidR="00187892" w:rsidRPr="007134EC">
              <w:rPr>
                <w:rFonts w:ascii="Arial" w:hAnsi="Arial" w:cs="Arial"/>
                <w:sz w:val="22"/>
                <w:szCs w:val="22"/>
              </w:rPr>
              <w:t>políticas</w:t>
            </w:r>
            <w:r w:rsidRPr="007134EC">
              <w:rPr>
                <w:rFonts w:ascii="Arial" w:hAnsi="Arial" w:cs="Arial"/>
                <w:sz w:val="22"/>
                <w:szCs w:val="22"/>
              </w:rPr>
              <w:t xml:space="preserve"> do BID, com resultados satisfatórios. Em atendimento a essa análise de brechas, o Regulamento </w:t>
            </w:r>
            <w:r w:rsidR="00407D28">
              <w:rPr>
                <w:rFonts w:ascii="Arial" w:hAnsi="Arial" w:cs="Arial"/>
                <w:sz w:val="22"/>
                <w:szCs w:val="22"/>
              </w:rPr>
              <w:t>Credito</w:t>
            </w:r>
            <w:r w:rsidRPr="007134EC">
              <w:rPr>
                <w:rFonts w:ascii="Arial" w:hAnsi="Arial" w:cs="Arial"/>
                <w:sz w:val="22"/>
                <w:szCs w:val="22"/>
              </w:rPr>
              <w:t xml:space="preserve"> (R</w:t>
            </w:r>
            <w:r w:rsidR="00407D28">
              <w:rPr>
                <w:rFonts w:ascii="Arial" w:hAnsi="Arial" w:cs="Arial"/>
                <w:sz w:val="22"/>
                <w:szCs w:val="22"/>
              </w:rPr>
              <w:t>C</w:t>
            </w:r>
            <w:r w:rsidRPr="007134EC">
              <w:rPr>
                <w:rFonts w:ascii="Arial" w:hAnsi="Arial" w:cs="Arial"/>
                <w:sz w:val="22"/>
                <w:szCs w:val="22"/>
              </w:rPr>
              <w:t>P) inclui um protocolo de gestão de resíduos tal como previsto em B.11</w:t>
            </w:r>
            <w:r w:rsidR="00943FCA">
              <w:rPr>
                <w:rFonts w:ascii="Arial" w:hAnsi="Arial" w:cs="Arial"/>
                <w:sz w:val="22"/>
                <w:szCs w:val="22"/>
              </w:rPr>
              <w:t xml:space="preserve">. </w:t>
            </w:r>
            <w:r w:rsidR="005E4302">
              <w:rPr>
                <w:rFonts w:ascii="Arial" w:hAnsi="Arial" w:cs="Arial"/>
                <w:sz w:val="22"/>
                <w:szCs w:val="22"/>
              </w:rPr>
              <w:t xml:space="preserve">O Banco do Brasil deveria implementar os procedimentos pertinentes de seu SARAS, e assegurar a </w:t>
            </w:r>
            <w:r w:rsidR="00444E9C">
              <w:rPr>
                <w:rFonts w:ascii="Arial" w:hAnsi="Arial" w:cs="Arial"/>
                <w:sz w:val="22"/>
                <w:szCs w:val="22"/>
              </w:rPr>
              <w:t>implementação</w:t>
            </w:r>
            <w:r w:rsidR="005E4302">
              <w:rPr>
                <w:rFonts w:ascii="Arial" w:hAnsi="Arial" w:cs="Arial"/>
                <w:sz w:val="22"/>
                <w:szCs w:val="22"/>
              </w:rPr>
              <w:t xml:space="preserve"> dos procedimentos do Protocolo de </w:t>
            </w:r>
            <w:r w:rsidR="00444E9C">
              <w:rPr>
                <w:rFonts w:ascii="Arial" w:hAnsi="Arial" w:cs="Arial"/>
                <w:sz w:val="22"/>
                <w:szCs w:val="22"/>
              </w:rPr>
              <w:t>Gestão</w:t>
            </w:r>
            <w:r w:rsidR="005E4302">
              <w:rPr>
                <w:rFonts w:ascii="Arial" w:hAnsi="Arial" w:cs="Arial"/>
                <w:sz w:val="22"/>
                <w:szCs w:val="22"/>
              </w:rPr>
              <w:t xml:space="preserve"> de </w:t>
            </w:r>
            <w:r w:rsidR="00444E9C">
              <w:rPr>
                <w:rFonts w:ascii="Arial" w:hAnsi="Arial" w:cs="Arial"/>
                <w:sz w:val="22"/>
                <w:szCs w:val="22"/>
              </w:rPr>
              <w:t>Resíduos</w:t>
            </w:r>
            <w:r w:rsidR="005E4302">
              <w:rPr>
                <w:rFonts w:ascii="Arial" w:hAnsi="Arial" w:cs="Arial"/>
                <w:sz w:val="22"/>
                <w:szCs w:val="22"/>
              </w:rPr>
              <w:t>.</w:t>
            </w:r>
          </w:p>
        </w:tc>
      </w:tr>
      <w:tr w:rsidR="00F563CC" w:rsidRPr="007134EC" w:rsidTr="007E33BF">
        <w:trPr>
          <w:trHeight w:val="323"/>
        </w:trPr>
        <w:tc>
          <w:tcPr>
            <w:tcW w:w="2790" w:type="dxa"/>
            <w:shd w:val="clear" w:color="auto" w:fill="D9D9D9" w:themeFill="background1" w:themeFillShade="D9"/>
            <w:vAlign w:val="center"/>
          </w:tcPr>
          <w:p w:rsidR="00F563CC" w:rsidRPr="007134EC" w:rsidDel="00641735" w:rsidRDefault="00F563CC" w:rsidP="00F563CC">
            <w:pPr>
              <w:rPr>
                <w:rFonts w:ascii="Arial" w:hAnsi="Arial" w:cs="Arial"/>
                <w:sz w:val="22"/>
                <w:szCs w:val="22"/>
              </w:rPr>
            </w:pPr>
            <w:r w:rsidRPr="007134EC">
              <w:rPr>
                <w:rFonts w:ascii="Arial" w:hAnsi="Arial" w:cs="Arial"/>
                <w:sz w:val="22"/>
                <w:szCs w:val="22"/>
              </w:rPr>
              <w:t>B.14 Empréstimos Multifase ou Repetidos</w:t>
            </w:r>
          </w:p>
        </w:tc>
        <w:tc>
          <w:tcPr>
            <w:tcW w:w="216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32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41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r>
      <w:tr w:rsidR="00F563CC" w:rsidRPr="007134EC" w:rsidTr="007E33BF">
        <w:trPr>
          <w:trHeight w:val="323"/>
        </w:trPr>
        <w:tc>
          <w:tcPr>
            <w:tcW w:w="2790" w:type="dxa"/>
            <w:shd w:val="clear" w:color="auto" w:fill="D9D9D9" w:themeFill="background1" w:themeFillShade="D9"/>
            <w:vAlign w:val="center"/>
          </w:tcPr>
          <w:p w:rsidR="00F563CC" w:rsidRPr="007134EC" w:rsidDel="00641735" w:rsidRDefault="00F563CC" w:rsidP="00F563CC">
            <w:pPr>
              <w:rPr>
                <w:rFonts w:ascii="Arial" w:hAnsi="Arial" w:cs="Arial"/>
                <w:sz w:val="22"/>
                <w:szCs w:val="22"/>
              </w:rPr>
            </w:pPr>
            <w:r w:rsidRPr="007134EC">
              <w:rPr>
                <w:rFonts w:ascii="Arial" w:hAnsi="Arial" w:cs="Arial"/>
                <w:sz w:val="22"/>
                <w:szCs w:val="22"/>
              </w:rPr>
              <w:t>B.15 Operações de Co-Financiamento</w:t>
            </w:r>
          </w:p>
        </w:tc>
        <w:tc>
          <w:tcPr>
            <w:tcW w:w="216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32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41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r>
      <w:tr w:rsidR="00F563CC" w:rsidRPr="007134EC" w:rsidTr="007E33BF">
        <w:trPr>
          <w:trHeight w:val="323"/>
        </w:trPr>
        <w:tc>
          <w:tcPr>
            <w:tcW w:w="2790" w:type="dxa"/>
            <w:shd w:val="clear" w:color="auto" w:fill="D9D9D9" w:themeFill="background1" w:themeFillShade="D9"/>
            <w:vAlign w:val="center"/>
          </w:tcPr>
          <w:p w:rsidR="00F563CC" w:rsidRPr="007134EC" w:rsidDel="00641735" w:rsidRDefault="00F563CC" w:rsidP="00F563CC">
            <w:pPr>
              <w:rPr>
                <w:rFonts w:ascii="Arial" w:hAnsi="Arial" w:cs="Arial"/>
                <w:sz w:val="22"/>
                <w:szCs w:val="22"/>
              </w:rPr>
            </w:pPr>
            <w:r w:rsidRPr="007134EC">
              <w:rPr>
                <w:rFonts w:ascii="Arial" w:hAnsi="Arial" w:cs="Arial"/>
                <w:sz w:val="22"/>
                <w:szCs w:val="22"/>
              </w:rPr>
              <w:t>B.16 Sistemas Nacionais</w:t>
            </w:r>
          </w:p>
        </w:tc>
        <w:tc>
          <w:tcPr>
            <w:tcW w:w="216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32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c>
          <w:tcPr>
            <w:tcW w:w="4410" w:type="dxa"/>
            <w:vAlign w:val="center"/>
          </w:tcPr>
          <w:p w:rsidR="00F563CC" w:rsidRPr="007134EC" w:rsidRDefault="00F563CC" w:rsidP="00F563CC">
            <w:pPr>
              <w:rPr>
                <w:rFonts w:ascii="Arial" w:hAnsi="Arial" w:cs="Arial"/>
                <w:sz w:val="22"/>
                <w:szCs w:val="22"/>
              </w:rPr>
            </w:pPr>
            <w:r w:rsidRPr="007134EC">
              <w:rPr>
                <w:rFonts w:ascii="Arial" w:hAnsi="Arial" w:cs="Arial"/>
                <w:sz w:val="22"/>
                <w:szCs w:val="22"/>
              </w:rPr>
              <w:t>Não aplicável (política irrelevante)</w:t>
            </w:r>
          </w:p>
        </w:tc>
      </w:tr>
      <w:tr w:rsidR="006C1385" w:rsidRPr="007134EC" w:rsidTr="007E33BF">
        <w:trPr>
          <w:trHeight w:val="323"/>
        </w:trPr>
        <w:tc>
          <w:tcPr>
            <w:tcW w:w="2790" w:type="dxa"/>
            <w:shd w:val="clear" w:color="auto" w:fill="D9D9D9" w:themeFill="background1" w:themeFillShade="D9"/>
            <w:vAlign w:val="center"/>
          </w:tcPr>
          <w:p w:rsidR="006C1385" w:rsidRPr="007134EC" w:rsidDel="00641735" w:rsidRDefault="006C1385" w:rsidP="006C1385">
            <w:pPr>
              <w:rPr>
                <w:rFonts w:ascii="Arial" w:hAnsi="Arial" w:cs="Arial"/>
                <w:sz w:val="22"/>
                <w:szCs w:val="22"/>
              </w:rPr>
            </w:pPr>
            <w:r w:rsidRPr="007134EC">
              <w:rPr>
                <w:rFonts w:ascii="Arial" w:hAnsi="Arial" w:cs="Arial"/>
                <w:sz w:val="22"/>
                <w:szCs w:val="22"/>
              </w:rPr>
              <w:t>B.17 Aquisições</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41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r>
      <w:tr w:rsidR="006C1385" w:rsidRPr="007134EC" w:rsidTr="0072303E">
        <w:trPr>
          <w:trHeight w:val="323"/>
        </w:trPr>
        <w:tc>
          <w:tcPr>
            <w:tcW w:w="13680" w:type="dxa"/>
            <w:gridSpan w:val="4"/>
            <w:shd w:val="clear" w:color="auto" w:fill="D9D9D9" w:themeFill="background1" w:themeFillShade="D9"/>
            <w:vAlign w:val="center"/>
          </w:tcPr>
          <w:p w:rsidR="006C1385" w:rsidRPr="007134EC" w:rsidRDefault="006C1385" w:rsidP="006C1385">
            <w:pPr>
              <w:rPr>
                <w:rFonts w:ascii="Arial" w:hAnsi="Arial" w:cs="Arial"/>
                <w:b/>
                <w:sz w:val="22"/>
                <w:szCs w:val="22"/>
              </w:rPr>
            </w:pPr>
            <w:r w:rsidRPr="007134EC">
              <w:rPr>
                <w:rFonts w:ascii="Arial" w:hAnsi="Arial" w:cs="Arial"/>
                <w:b/>
                <w:sz w:val="22"/>
                <w:szCs w:val="22"/>
              </w:rPr>
              <w:t>OP-704 Política de Gestão de Risco de Desastres Naturais</w:t>
            </w:r>
          </w:p>
        </w:tc>
      </w:tr>
      <w:tr w:rsidR="006C1385" w:rsidRPr="007134EC" w:rsidTr="0072303E">
        <w:trPr>
          <w:trHeight w:val="323"/>
        </w:trPr>
        <w:tc>
          <w:tcPr>
            <w:tcW w:w="2790" w:type="dxa"/>
            <w:shd w:val="clear" w:color="auto" w:fill="D9D9D9" w:themeFill="background1" w:themeFillShade="D9"/>
            <w:vAlign w:val="center"/>
          </w:tcPr>
          <w:p w:rsidR="006C1385" w:rsidRPr="007134EC" w:rsidDel="00641735" w:rsidRDefault="006C1385" w:rsidP="006C1385">
            <w:pPr>
              <w:rPr>
                <w:rFonts w:ascii="Arial" w:hAnsi="Arial" w:cs="Arial"/>
                <w:sz w:val="22"/>
                <w:szCs w:val="22"/>
              </w:rPr>
            </w:pPr>
            <w:r w:rsidRPr="007134EC">
              <w:rPr>
                <w:rFonts w:ascii="Arial" w:hAnsi="Arial" w:cs="Arial"/>
                <w:sz w:val="22"/>
                <w:szCs w:val="22"/>
              </w:rPr>
              <w:t>A.2 Análise e gestão de cenários de risco tipo 2.</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tcPr>
          <w:p w:rsidR="006C1385" w:rsidRPr="007134EC" w:rsidRDefault="006C1385" w:rsidP="006C1385">
            <w:pPr>
              <w:rPr>
                <w:rFonts w:ascii="Arial" w:hAnsi="Arial" w:cs="Arial"/>
                <w:sz w:val="22"/>
                <w:szCs w:val="22"/>
              </w:rPr>
            </w:pPr>
            <w:r w:rsidRPr="007134EC">
              <w:rPr>
                <w:rFonts w:ascii="Arial" w:hAnsi="Arial" w:cs="Arial"/>
                <w:sz w:val="22"/>
                <w:szCs w:val="22"/>
              </w:rPr>
              <w:t>As operações de credito do Programa não têm potencial ou tipologia para gerar cenário de risco tipo 2.</w:t>
            </w:r>
          </w:p>
        </w:tc>
        <w:tc>
          <w:tcPr>
            <w:tcW w:w="441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r>
      <w:tr w:rsidR="00B13A91" w:rsidRPr="007134EC" w:rsidTr="0072303E">
        <w:trPr>
          <w:trHeight w:val="323"/>
        </w:trPr>
        <w:tc>
          <w:tcPr>
            <w:tcW w:w="2790" w:type="dxa"/>
            <w:shd w:val="clear" w:color="auto" w:fill="D9D9D9" w:themeFill="background1" w:themeFillShade="D9"/>
            <w:vAlign w:val="center"/>
          </w:tcPr>
          <w:p w:rsidR="00B13A91" w:rsidRPr="007134EC" w:rsidDel="00641735" w:rsidRDefault="00B13A91" w:rsidP="00B13A91">
            <w:pPr>
              <w:rPr>
                <w:rFonts w:ascii="Arial" w:hAnsi="Arial" w:cs="Arial"/>
                <w:sz w:val="22"/>
                <w:szCs w:val="22"/>
              </w:rPr>
            </w:pPr>
            <w:r w:rsidRPr="007134EC">
              <w:rPr>
                <w:rFonts w:ascii="Arial" w:hAnsi="Arial" w:cs="Arial"/>
                <w:sz w:val="22"/>
                <w:szCs w:val="22"/>
              </w:rPr>
              <w:t xml:space="preserve">A.2 Gestão de </w:t>
            </w:r>
            <w:proofErr w:type="gramStart"/>
            <w:r w:rsidRPr="007134EC">
              <w:rPr>
                <w:rFonts w:ascii="Arial" w:hAnsi="Arial" w:cs="Arial"/>
                <w:sz w:val="22"/>
                <w:szCs w:val="22"/>
              </w:rPr>
              <w:t>contingencia</w:t>
            </w:r>
            <w:proofErr w:type="gramEnd"/>
            <w:r w:rsidRPr="007134EC">
              <w:rPr>
                <w:rFonts w:ascii="Arial" w:hAnsi="Arial" w:cs="Arial"/>
                <w:sz w:val="22"/>
                <w:szCs w:val="22"/>
              </w:rPr>
              <w:t xml:space="preserve"> (Plano de resposta a emergências, plano de segurança e saúde da população, plano de higiene e saúde ocupacional).</w:t>
            </w:r>
          </w:p>
        </w:tc>
        <w:tc>
          <w:tcPr>
            <w:tcW w:w="2160" w:type="dxa"/>
            <w:vAlign w:val="center"/>
          </w:tcPr>
          <w:p w:rsidR="00B13A91" w:rsidRPr="007134EC" w:rsidRDefault="00B13A91" w:rsidP="00B13A91">
            <w:pPr>
              <w:rPr>
                <w:rFonts w:ascii="Arial" w:hAnsi="Arial" w:cs="Arial"/>
                <w:sz w:val="22"/>
                <w:szCs w:val="22"/>
              </w:rPr>
            </w:pPr>
            <w:r w:rsidRPr="007134EC">
              <w:rPr>
                <w:rFonts w:ascii="Arial" w:hAnsi="Arial" w:cs="Arial"/>
                <w:sz w:val="22"/>
                <w:szCs w:val="22"/>
              </w:rPr>
              <w:t>Não aplicável (política irrelevante)</w:t>
            </w:r>
          </w:p>
        </w:tc>
        <w:tc>
          <w:tcPr>
            <w:tcW w:w="4320" w:type="dxa"/>
          </w:tcPr>
          <w:p w:rsidR="00B13A91" w:rsidRPr="007134EC" w:rsidRDefault="00B13A91" w:rsidP="00B13A91">
            <w:pPr>
              <w:rPr>
                <w:rFonts w:ascii="Arial" w:hAnsi="Arial" w:cs="Arial"/>
                <w:sz w:val="22"/>
                <w:szCs w:val="22"/>
              </w:rPr>
            </w:pPr>
            <w:r w:rsidRPr="007134EC">
              <w:rPr>
                <w:rFonts w:ascii="Arial" w:hAnsi="Arial" w:cs="Arial"/>
                <w:sz w:val="22"/>
                <w:szCs w:val="22"/>
              </w:rPr>
              <w:t xml:space="preserve">As operações do Programa são de melhoria de infraestrutura em geral – iluminação pública, melhoria de vias e mobilidade e apoio a estruturas existentes de abastecimento de água. Para essas ações não se faz necessário criar plano específico de apoio à implantação das ações; o Ministério do Trabalho estabelece as diretrizes e ações obrigatórias para saúde, higiene e segurança do trabalhador. Eventos de </w:t>
            </w:r>
            <w:r w:rsidRPr="007134EC">
              <w:rPr>
                <w:rFonts w:ascii="Arial" w:hAnsi="Arial" w:cs="Arial"/>
                <w:sz w:val="22"/>
                <w:szCs w:val="22"/>
              </w:rPr>
              <w:lastRenderedPageBreak/>
              <w:t>cheias ou deslizamentos podem acontecer sem relação de causa e efeito com as atividades do Programa. Nesses casos é acionada a Defesa Civil local e, em casos mais graves, o Estado e a União apoiam com recursos humanos e materiais.</w:t>
            </w:r>
          </w:p>
        </w:tc>
        <w:tc>
          <w:tcPr>
            <w:tcW w:w="4410" w:type="dxa"/>
            <w:vAlign w:val="center"/>
          </w:tcPr>
          <w:p w:rsidR="00B13A91" w:rsidRPr="007134EC" w:rsidRDefault="00B13A91" w:rsidP="00B13A91">
            <w:pPr>
              <w:rPr>
                <w:rFonts w:ascii="Arial" w:hAnsi="Arial" w:cs="Arial"/>
                <w:sz w:val="22"/>
                <w:szCs w:val="22"/>
              </w:rPr>
            </w:pPr>
            <w:r w:rsidRPr="007134EC">
              <w:rPr>
                <w:rFonts w:ascii="Arial" w:hAnsi="Arial" w:cs="Arial"/>
                <w:sz w:val="22"/>
                <w:szCs w:val="22"/>
              </w:rPr>
              <w:lastRenderedPageBreak/>
              <w:t>Não aplicável (política irrelevante)</w:t>
            </w:r>
          </w:p>
        </w:tc>
      </w:tr>
      <w:tr w:rsidR="006C1385" w:rsidRPr="007134EC" w:rsidTr="0072303E">
        <w:trPr>
          <w:trHeight w:val="323"/>
        </w:trPr>
        <w:tc>
          <w:tcPr>
            <w:tcW w:w="13680" w:type="dxa"/>
            <w:gridSpan w:val="4"/>
            <w:shd w:val="clear" w:color="auto" w:fill="D9D9D9" w:themeFill="background1" w:themeFillShade="D9"/>
            <w:vAlign w:val="center"/>
          </w:tcPr>
          <w:p w:rsidR="006C1385" w:rsidRPr="007134EC" w:rsidRDefault="006C1385" w:rsidP="006C1385">
            <w:pPr>
              <w:rPr>
                <w:rFonts w:ascii="Arial" w:hAnsi="Arial" w:cs="Arial"/>
                <w:b/>
                <w:sz w:val="22"/>
                <w:szCs w:val="22"/>
              </w:rPr>
            </w:pPr>
            <w:r w:rsidRPr="007134EC">
              <w:rPr>
                <w:rFonts w:ascii="Arial" w:hAnsi="Arial" w:cs="Arial"/>
                <w:b/>
                <w:sz w:val="22"/>
                <w:szCs w:val="22"/>
              </w:rPr>
              <w:t>OP-710 Política de Reassentamento Involuntário</w:t>
            </w:r>
          </w:p>
        </w:tc>
      </w:tr>
      <w:tr w:rsidR="006C1385" w:rsidRPr="007134EC" w:rsidTr="007E33BF">
        <w:trPr>
          <w:trHeight w:val="323"/>
        </w:trPr>
        <w:tc>
          <w:tcPr>
            <w:tcW w:w="2790" w:type="dxa"/>
            <w:shd w:val="clear" w:color="auto" w:fill="D9D9D9" w:themeFill="background1" w:themeFillShade="D9"/>
            <w:vAlign w:val="center"/>
          </w:tcPr>
          <w:p w:rsidR="006C1385" w:rsidRPr="007134EC" w:rsidDel="00641735" w:rsidRDefault="006C1385" w:rsidP="006C1385">
            <w:pPr>
              <w:rPr>
                <w:rFonts w:ascii="Arial" w:hAnsi="Arial" w:cs="Arial"/>
                <w:sz w:val="22"/>
                <w:szCs w:val="22"/>
              </w:rPr>
            </w:pPr>
            <w:r w:rsidRPr="007134EC">
              <w:rPr>
                <w:rFonts w:ascii="Arial" w:hAnsi="Arial" w:cs="Arial"/>
                <w:sz w:val="22"/>
                <w:szCs w:val="22"/>
              </w:rPr>
              <w:t>Minimização do reassentamento</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val="restart"/>
          </w:tcPr>
          <w:p w:rsidR="006C1385" w:rsidRPr="007134EC" w:rsidRDefault="006C1385" w:rsidP="006C1385">
            <w:pPr>
              <w:rPr>
                <w:rFonts w:ascii="Arial" w:hAnsi="Arial" w:cs="Arial"/>
                <w:sz w:val="22"/>
                <w:szCs w:val="22"/>
              </w:rPr>
            </w:pPr>
          </w:p>
          <w:p w:rsidR="006C1385" w:rsidRPr="007134EC" w:rsidRDefault="006C1385" w:rsidP="006C1385">
            <w:pPr>
              <w:rPr>
                <w:rFonts w:ascii="Arial" w:hAnsi="Arial" w:cs="Arial"/>
                <w:sz w:val="22"/>
                <w:szCs w:val="22"/>
              </w:rPr>
            </w:pPr>
          </w:p>
          <w:p w:rsidR="006C1385" w:rsidRPr="007134EC" w:rsidRDefault="006C1385" w:rsidP="006C1385">
            <w:pPr>
              <w:rPr>
                <w:rFonts w:ascii="Arial" w:hAnsi="Arial" w:cs="Arial"/>
                <w:sz w:val="22"/>
                <w:szCs w:val="22"/>
              </w:rPr>
            </w:pPr>
          </w:p>
          <w:p w:rsidR="006C1385" w:rsidRPr="007134EC" w:rsidRDefault="006C1385" w:rsidP="006C1385">
            <w:pPr>
              <w:rPr>
                <w:rFonts w:ascii="Arial" w:hAnsi="Arial" w:cs="Arial"/>
                <w:sz w:val="22"/>
                <w:szCs w:val="22"/>
              </w:rPr>
            </w:pPr>
          </w:p>
          <w:p w:rsidR="00187892" w:rsidRPr="007134EC" w:rsidRDefault="00187892" w:rsidP="006C1385">
            <w:pPr>
              <w:rPr>
                <w:rFonts w:ascii="Arial" w:hAnsi="Arial" w:cs="Arial"/>
                <w:sz w:val="22"/>
                <w:szCs w:val="22"/>
              </w:rPr>
            </w:pPr>
          </w:p>
          <w:p w:rsidR="00187892" w:rsidRPr="007134EC" w:rsidRDefault="00187892" w:rsidP="006C1385">
            <w:pPr>
              <w:rPr>
                <w:rFonts w:ascii="Arial" w:hAnsi="Arial" w:cs="Arial"/>
                <w:sz w:val="22"/>
                <w:szCs w:val="22"/>
              </w:rPr>
            </w:pPr>
          </w:p>
          <w:p w:rsidR="00187892" w:rsidRPr="007134EC" w:rsidRDefault="00187892" w:rsidP="006C1385">
            <w:pPr>
              <w:rPr>
                <w:rFonts w:ascii="Arial" w:hAnsi="Arial" w:cs="Arial"/>
                <w:sz w:val="22"/>
                <w:szCs w:val="22"/>
              </w:rPr>
            </w:pPr>
          </w:p>
          <w:p w:rsidR="006C1385" w:rsidRPr="007134EC" w:rsidRDefault="006C1385" w:rsidP="006C1385">
            <w:pPr>
              <w:rPr>
                <w:rFonts w:ascii="Arial" w:hAnsi="Arial" w:cs="Arial"/>
                <w:sz w:val="22"/>
                <w:szCs w:val="22"/>
              </w:rPr>
            </w:pPr>
            <w:r w:rsidRPr="007134EC">
              <w:rPr>
                <w:rFonts w:ascii="Arial" w:hAnsi="Arial" w:cs="Arial"/>
                <w:sz w:val="22"/>
                <w:szCs w:val="22"/>
              </w:rPr>
              <w:t>Os critérios de elegibilidade dos municípios e projetos a contratar excluem atividades que impliquem em reassentamento de famílias e atividades econômicas.</w:t>
            </w:r>
          </w:p>
        </w:tc>
        <w:tc>
          <w:tcPr>
            <w:tcW w:w="4410" w:type="dxa"/>
            <w:vMerge w:val="restart"/>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r>
      <w:tr w:rsidR="006C1385" w:rsidRPr="007134EC" w:rsidTr="0072303E">
        <w:trPr>
          <w:trHeight w:val="323"/>
        </w:trPr>
        <w:tc>
          <w:tcPr>
            <w:tcW w:w="2790" w:type="dxa"/>
            <w:shd w:val="clear" w:color="auto" w:fill="D9D9D9" w:themeFill="background1" w:themeFillShade="D9"/>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Consultas do Plano de Reassentamento</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tcPr>
          <w:p w:rsidR="006C1385" w:rsidRPr="007134EC" w:rsidRDefault="006C1385" w:rsidP="006C1385">
            <w:pPr>
              <w:rPr>
                <w:rFonts w:ascii="Arial" w:hAnsi="Arial" w:cs="Arial"/>
                <w:sz w:val="22"/>
                <w:szCs w:val="22"/>
              </w:rPr>
            </w:pPr>
          </w:p>
        </w:tc>
        <w:tc>
          <w:tcPr>
            <w:tcW w:w="4410" w:type="dxa"/>
            <w:vMerge/>
          </w:tcPr>
          <w:p w:rsidR="006C1385" w:rsidRPr="007134EC" w:rsidRDefault="006C1385" w:rsidP="006C1385">
            <w:pPr>
              <w:rPr>
                <w:rFonts w:ascii="Arial" w:hAnsi="Arial" w:cs="Arial"/>
                <w:sz w:val="22"/>
                <w:szCs w:val="22"/>
              </w:rPr>
            </w:pPr>
          </w:p>
        </w:tc>
      </w:tr>
      <w:tr w:rsidR="006C1385" w:rsidRPr="007134EC" w:rsidTr="0072303E">
        <w:trPr>
          <w:trHeight w:val="323"/>
        </w:trPr>
        <w:tc>
          <w:tcPr>
            <w:tcW w:w="2790" w:type="dxa"/>
            <w:shd w:val="clear" w:color="auto" w:fill="D9D9D9" w:themeFill="background1" w:themeFillShade="D9"/>
            <w:vAlign w:val="center"/>
          </w:tcPr>
          <w:p w:rsidR="006C1385" w:rsidRPr="007134EC" w:rsidDel="00641735" w:rsidRDefault="006C1385" w:rsidP="006C1385">
            <w:pPr>
              <w:rPr>
                <w:rFonts w:ascii="Arial" w:hAnsi="Arial" w:cs="Arial"/>
                <w:sz w:val="22"/>
                <w:szCs w:val="22"/>
              </w:rPr>
            </w:pPr>
            <w:r w:rsidRPr="007134EC">
              <w:rPr>
                <w:rFonts w:ascii="Arial" w:hAnsi="Arial" w:cs="Arial"/>
                <w:sz w:val="22"/>
                <w:szCs w:val="22"/>
              </w:rPr>
              <w:t>Análise do Risco de empobrecimento</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tcPr>
          <w:p w:rsidR="006C1385" w:rsidRPr="007134EC" w:rsidRDefault="006C1385" w:rsidP="006C1385">
            <w:pPr>
              <w:rPr>
                <w:rFonts w:ascii="Arial" w:hAnsi="Arial" w:cs="Arial"/>
                <w:sz w:val="22"/>
                <w:szCs w:val="22"/>
              </w:rPr>
            </w:pPr>
          </w:p>
        </w:tc>
        <w:tc>
          <w:tcPr>
            <w:tcW w:w="4410" w:type="dxa"/>
            <w:vMerge/>
          </w:tcPr>
          <w:p w:rsidR="006C1385" w:rsidRPr="007134EC" w:rsidRDefault="006C1385" w:rsidP="006C1385">
            <w:pPr>
              <w:rPr>
                <w:rFonts w:ascii="Arial" w:hAnsi="Arial" w:cs="Arial"/>
                <w:sz w:val="22"/>
                <w:szCs w:val="22"/>
              </w:rPr>
            </w:pPr>
          </w:p>
        </w:tc>
      </w:tr>
      <w:tr w:rsidR="006C1385" w:rsidRPr="007134EC" w:rsidTr="0072303E">
        <w:trPr>
          <w:trHeight w:val="323"/>
        </w:trPr>
        <w:tc>
          <w:tcPr>
            <w:tcW w:w="2790" w:type="dxa"/>
            <w:shd w:val="clear" w:color="auto" w:fill="D9D9D9" w:themeFill="background1" w:themeFillShade="D9"/>
            <w:vAlign w:val="center"/>
          </w:tcPr>
          <w:p w:rsidR="006C1385" w:rsidRPr="007134EC" w:rsidDel="00641735" w:rsidRDefault="006C1385" w:rsidP="006C1385">
            <w:pPr>
              <w:rPr>
                <w:rFonts w:ascii="Arial" w:hAnsi="Arial" w:cs="Arial"/>
                <w:sz w:val="22"/>
                <w:szCs w:val="22"/>
              </w:rPr>
            </w:pPr>
            <w:r w:rsidRPr="007134EC">
              <w:rPr>
                <w:rFonts w:ascii="Arial" w:hAnsi="Arial" w:cs="Arial"/>
                <w:sz w:val="22"/>
                <w:szCs w:val="22"/>
              </w:rPr>
              <w:t>Requerimento para o Plano de Reassentamento ou Marco de Reassentamento</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tcPr>
          <w:p w:rsidR="006C1385" w:rsidRPr="007134EC" w:rsidRDefault="006C1385" w:rsidP="006C1385">
            <w:pPr>
              <w:rPr>
                <w:rFonts w:ascii="Arial" w:hAnsi="Arial" w:cs="Arial"/>
                <w:sz w:val="22"/>
                <w:szCs w:val="22"/>
              </w:rPr>
            </w:pPr>
          </w:p>
        </w:tc>
        <w:tc>
          <w:tcPr>
            <w:tcW w:w="4410" w:type="dxa"/>
            <w:vMerge/>
          </w:tcPr>
          <w:p w:rsidR="006C1385" w:rsidRPr="007134EC" w:rsidRDefault="006C1385" w:rsidP="006C1385">
            <w:pPr>
              <w:rPr>
                <w:rFonts w:ascii="Arial" w:hAnsi="Arial" w:cs="Arial"/>
                <w:sz w:val="22"/>
                <w:szCs w:val="22"/>
              </w:rPr>
            </w:pPr>
          </w:p>
        </w:tc>
      </w:tr>
      <w:tr w:rsidR="006C1385" w:rsidRPr="007134EC" w:rsidTr="0072303E">
        <w:trPr>
          <w:trHeight w:val="323"/>
        </w:trPr>
        <w:tc>
          <w:tcPr>
            <w:tcW w:w="2790" w:type="dxa"/>
            <w:shd w:val="clear" w:color="auto" w:fill="D9D9D9" w:themeFill="background1" w:themeFillShade="D9"/>
            <w:vAlign w:val="center"/>
          </w:tcPr>
          <w:p w:rsidR="006C1385" w:rsidRPr="007134EC" w:rsidDel="00641735" w:rsidRDefault="006C1385" w:rsidP="006C1385">
            <w:pPr>
              <w:rPr>
                <w:rFonts w:ascii="Arial" w:hAnsi="Arial" w:cs="Arial"/>
                <w:sz w:val="22"/>
                <w:szCs w:val="22"/>
              </w:rPr>
            </w:pPr>
            <w:r w:rsidRPr="007134EC">
              <w:rPr>
                <w:rFonts w:ascii="Arial" w:hAnsi="Arial" w:cs="Arial"/>
                <w:sz w:val="22"/>
                <w:szCs w:val="22"/>
              </w:rPr>
              <w:t>Requerimento de Programa de Restauração de Modo de Vida</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tcPr>
          <w:p w:rsidR="006C1385" w:rsidRPr="007134EC" w:rsidRDefault="006C1385" w:rsidP="006C1385">
            <w:pPr>
              <w:rPr>
                <w:rFonts w:ascii="Arial" w:hAnsi="Arial" w:cs="Arial"/>
                <w:sz w:val="22"/>
                <w:szCs w:val="22"/>
              </w:rPr>
            </w:pPr>
          </w:p>
        </w:tc>
        <w:tc>
          <w:tcPr>
            <w:tcW w:w="4410" w:type="dxa"/>
            <w:vMerge/>
          </w:tcPr>
          <w:p w:rsidR="006C1385" w:rsidRPr="007134EC" w:rsidRDefault="006C1385" w:rsidP="006C1385">
            <w:pPr>
              <w:rPr>
                <w:rFonts w:ascii="Arial" w:hAnsi="Arial" w:cs="Arial"/>
                <w:sz w:val="22"/>
                <w:szCs w:val="22"/>
              </w:rPr>
            </w:pPr>
          </w:p>
        </w:tc>
      </w:tr>
      <w:tr w:rsidR="006C1385" w:rsidRPr="007134EC" w:rsidTr="0072303E">
        <w:trPr>
          <w:trHeight w:val="323"/>
        </w:trPr>
        <w:tc>
          <w:tcPr>
            <w:tcW w:w="2790" w:type="dxa"/>
            <w:shd w:val="clear" w:color="auto" w:fill="D9D9D9" w:themeFill="background1" w:themeFillShade="D9"/>
            <w:vAlign w:val="center"/>
          </w:tcPr>
          <w:p w:rsidR="006C1385" w:rsidRPr="007134EC" w:rsidDel="00641735" w:rsidRDefault="006C1385" w:rsidP="006C1385">
            <w:pPr>
              <w:rPr>
                <w:rFonts w:ascii="Arial" w:hAnsi="Arial" w:cs="Arial"/>
                <w:sz w:val="22"/>
                <w:szCs w:val="22"/>
              </w:rPr>
            </w:pPr>
            <w:r w:rsidRPr="007134EC">
              <w:rPr>
                <w:rFonts w:ascii="Arial" w:hAnsi="Arial" w:cs="Arial"/>
                <w:sz w:val="22"/>
                <w:szCs w:val="22"/>
              </w:rPr>
              <w:t>Obtenção de Consentimento (Povos Indígenas e outras minorias étnicas rurais)</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tcPr>
          <w:p w:rsidR="006C1385" w:rsidRPr="007134EC" w:rsidRDefault="006C1385" w:rsidP="006C1385">
            <w:pPr>
              <w:rPr>
                <w:rFonts w:ascii="Arial" w:hAnsi="Arial" w:cs="Arial"/>
                <w:sz w:val="22"/>
                <w:szCs w:val="22"/>
              </w:rPr>
            </w:pPr>
          </w:p>
        </w:tc>
        <w:tc>
          <w:tcPr>
            <w:tcW w:w="4410" w:type="dxa"/>
            <w:vMerge/>
          </w:tcPr>
          <w:p w:rsidR="006C1385" w:rsidRPr="007134EC" w:rsidRDefault="006C1385" w:rsidP="006C1385">
            <w:pPr>
              <w:rPr>
                <w:rFonts w:ascii="Arial" w:hAnsi="Arial" w:cs="Arial"/>
                <w:sz w:val="22"/>
                <w:szCs w:val="22"/>
              </w:rPr>
            </w:pPr>
          </w:p>
        </w:tc>
      </w:tr>
      <w:tr w:rsidR="006C1385" w:rsidRPr="007134EC" w:rsidTr="0072303E">
        <w:trPr>
          <w:trHeight w:val="323"/>
        </w:trPr>
        <w:tc>
          <w:tcPr>
            <w:tcW w:w="13680" w:type="dxa"/>
            <w:gridSpan w:val="4"/>
            <w:shd w:val="clear" w:color="auto" w:fill="D9D9D9" w:themeFill="background1" w:themeFillShade="D9"/>
            <w:vAlign w:val="center"/>
          </w:tcPr>
          <w:p w:rsidR="006C1385" w:rsidRPr="007134EC" w:rsidRDefault="006C1385" w:rsidP="006C1385">
            <w:pPr>
              <w:rPr>
                <w:rFonts w:ascii="Arial" w:hAnsi="Arial" w:cs="Arial"/>
                <w:b/>
                <w:sz w:val="22"/>
                <w:szCs w:val="22"/>
              </w:rPr>
            </w:pPr>
            <w:r w:rsidRPr="007134EC">
              <w:rPr>
                <w:rFonts w:ascii="Arial" w:hAnsi="Arial" w:cs="Arial"/>
                <w:b/>
                <w:sz w:val="22"/>
                <w:szCs w:val="22"/>
              </w:rPr>
              <w:t>OP-765 Política sobre Povos Indígenas</w:t>
            </w:r>
          </w:p>
        </w:tc>
      </w:tr>
      <w:tr w:rsidR="006C1385" w:rsidRPr="007134EC" w:rsidTr="007E33BF">
        <w:trPr>
          <w:trHeight w:val="323"/>
        </w:trPr>
        <w:tc>
          <w:tcPr>
            <w:tcW w:w="2790" w:type="dxa"/>
            <w:shd w:val="clear" w:color="auto" w:fill="D9D9D9" w:themeFill="background1" w:themeFillShade="D9"/>
            <w:vAlign w:val="center"/>
          </w:tcPr>
          <w:p w:rsidR="006C1385" w:rsidRPr="007134EC" w:rsidDel="00641735" w:rsidRDefault="006C1385" w:rsidP="006C1385">
            <w:pPr>
              <w:rPr>
                <w:rFonts w:ascii="Arial" w:hAnsi="Arial" w:cs="Arial"/>
                <w:sz w:val="22"/>
                <w:szCs w:val="22"/>
              </w:rPr>
            </w:pPr>
            <w:r w:rsidRPr="007134EC">
              <w:rPr>
                <w:rFonts w:ascii="Arial" w:hAnsi="Arial" w:cs="Arial"/>
                <w:sz w:val="22"/>
                <w:szCs w:val="22"/>
              </w:rPr>
              <w:t>Requerimento de Avaliação Sociocultural</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val="restart"/>
          </w:tcPr>
          <w:p w:rsidR="006C1385" w:rsidRPr="007134EC" w:rsidRDefault="006C1385" w:rsidP="006C1385">
            <w:pPr>
              <w:rPr>
                <w:rFonts w:ascii="Arial" w:hAnsi="Arial" w:cs="Arial"/>
                <w:sz w:val="22"/>
                <w:szCs w:val="22"/>
              </w:rPr>
            </w:pPr>
          </w:p>
          <w:p w:rsidR="006C1385" w:rsidRPr="007134EC" w:rsidRDefault="006C1385" w:rsidP="006C1385">
            <w:pPr>
              <w:rPr>
                <w:rFonts w:ascii="Arial" w:hAnsi="Arial" w:cs="Arial"/>
                <w:sz w:val="22"/>
                <w:szCs w:val="22"/>
              </w:rPr>
            </w:pPr>
          </w:p>
          <w:p w:rsidR="006C1385" w:rsidRPr="007134EC" w:rsidRDefault="006C1385" w:rsidP="006C1385">
            <w:pPr>
              <w:rPr>
                <w:rFonts w:ascii="Arial" w:hAnsi="Arial" w:cs="Arial"/>
                <w:sz w:val="22"/>
                <w:szCs w:val="22"/>
              </w:rPr>
            </w:pPr>
          </w:p>
          <w:p w:rsidR="006C1385" w:rsidRPr="007134EC" w:rsidRDefault="006C1385" w:rsidP="006C1385">
            <w:pPr>
              <w:rPr>
                <w:rFonts w:ascii="Arial" w:hAnsi="Arial" w:cs="Arial"/>
                <w:sz w:val="22"/>
                <w:szCs w:val="22"/>
              </w:rPr>
            </w:pPr>
          </w:p>
          <w:p w:rsidR="006C1385" w:rsidRPr="007134EC" w:rsidRDefault="006C1385" w:rsidP="006C1385">
            <w:pPr>
              <w:rPr>
                <w:rFonts w:ascii="Arial" w:hAnsi="Arial" w:cs="Arial"/>
                <w:sz w:val="22"/>
                <w:szCs w:val="22"/>
              </w:rPr>
            </w:pPr>
          </w:p>
          <w:p w:rsidR="006C1385" w:rsidRPr="007134EC" w:rsidRDefault="006C1385" w:rsidP="006C1385">
            <w:pPr>
              <w:rPr>
                <w:rFonts w:ascii="Arial" w:hAnsi="Arial" w:cs="Arial"/>
                <w:sz w:val="22"/>
                <w:szCs w:val="22"/>
              </w:rPr>
            </w:pPr>
            <w:r w:rsidRPr="007134EC">
              <w:rPr>
                <w:rFonts w:ascii="Arial" w:hAnsi="Arial" w:cs="Arial"/>
                <w:sz w:val="22"/>
                <w:szCs w:val="22"/>
              </w:rPr>
              <w:t>Os critérios de elegibilidade dos municípios e projetos a contratar excluem a implantação de atividades em territórios ou terras indígenas</w:t>
            </w:r>
          </w:p>
        </w:tc>
        <w:tc>
          <w:tcPr>
            <w:tcW w:w="4410" w:type="dxa"/>
            <w:vMerge w:val="restart"/>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r>
      <w:tr w:rsidR="006C1385" w:rsidRPr="007134EC" w:rsidTr="0072303E">
        <w:trPr>
          <w:trHeight w:val="323"/>
        </w:trPr>
        <w:tc>
          <w:tcPr>
            <w:tcW w:w="2790" w:type="dxa"/>
            <w:shd w:val="clear" w:color="auto" w:fill="D9D9D9" w:themeFill="background1" w:themeFillShade="D9"/>
            <w:vAlign w:val="center"/>
          </w:tcPr>
          <w:p w:rsidR="006C1385" w:rsidRPr="007134EC" w:rsidDel="00641735" w:rsidRDefault="006C1385" w:rsidP="006C1385">
            <w:pPr>
              <w:rPr>
                <w:rFonts w:ascii="Arial" w:hAnsi="Arial" w:cs="Arial"/>
                <w:sz w:val="22"/>
                <w:szCs w:val="22"/>
              </w:rPr>
            </w:pPr>
            <w:r w:rsidRPr="007134EC">
              <w:rPr>
                <w:rFonts w:ascii="Arial" w:hAnsi="Arial" w:cs="Arial"/>
                <w:sz w:val="22"/>
                <w:szCs w:val="22"/>
              </w:rPr>
              <w:t>Negociações de boa fé e documentação adequada</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tcPr>
          <w:p w:rsidR="006C1385" w:rsidRPr="007134EC" w:rsidRDefault="006C1385" w:rsidP="006C1385">
            <w:pPr>
              <w:rPr>
                <w:rFonts w:ascii="Arial" w:hAnsi="Arial" w:cs="Arial"/>
                <w:sz w:val="22"/>
                <w:szCs w:val="22"/>
              </w:rPr>
            </w:pPr>
          </w:p>
        </w:tc>
        <w:tc>
          <w:tcPr>
            <w:tcW w:w="4410" w:type="dxa"/>
            <w:vMerge/>
          </w:tcPr>
          <w:p w:rsidR="006C1385" w:rsidRPr="007134EC" w:rsidRDefault="006C1385" w:rsidP="006C1385">
            <w:pPr>
              <w:rPr>
                <w:rFonts w:ascii="Arial" w:hAnsi="Arial" w:cs="Arial"/>
                <w:sz w:val="22"/>
                <w:szCs w:val="22"/>
              </w:rPr>
            </w:pPr>
          </w:p>
        </w:tc>
      </w:tr>
      <w:tr w:rsidR="006C1385" w:rsidRPr="007134EC" w:rsidTr="0072303E">
        <w:trPr>
          <w:trHeight w:val="323"/>
        </w:trPr>
        <w:tc>
          <w:tcPr>
            <w:tcW w:w="2790" w:type="dxa"/>
            <w:shd w:val="clear" w:color="auto" w:fill="D9D9D9" w:themeFill="background1" w:themeFillShade="D9"/>
            <w:vAlign w:val="center"/>
          </w:tcPr>
          <w:p w:rsidR="006C1385" w:rsidRPr="007134EC" w:rsidDel="00641735" w:rsidRDefault="006C1385" w:rsidP="006C1385">
            <w:pPr>
              <w:rPr>
                <w:rFonts w:ascii="Arial" w:hAnsi="Arial" w:cs="Arial"/>
                <w:sz w:val="22"/>
                <w:szCs w:val="22"/>
              </w:rPr>
            </w:pPr>
            <w:r w:rsidRPr="007134EC">
              <w:rPr>
                <w:rFonts w:ascii="Arial" w:hAnsi="Arial" w:cs="Arial"/>
                <w:sz w:val="22"/>
                <w:szCs w:val="22"/>
              </w:rPr>
              <w:t>Acordos com Povos Indígenas Afetados</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tcPr>
          <w:p w:rsidR="006C1385" w:rsidRPr="007134EC" w:rsidRDefault="006C1385" w:rsidP="006C1385">
            <w:pPr>
              <w:rPr>
                <w:rFonts w:ascii="Arial" w:hAnsi="Arial" w:cs="Arial"/>
                <w:sz w:val="22"/>
                <w:szCs w:val="22"/>
              </w:rPr>
            </w:pPr>
          </w:p>
        </w:tc>
        <w:tc>
          <w:tcPr>
            <w:tcW w:w="4410" w:type="dxa"/>
            <w:vMerge/>
          </w:tcPr>
          <w:p w:rsidR="006C1385" w:rsidRPr="007134EC" w:rsidRDefault="006C1385" w:rsidP="006C1385">
            <w:pPr>
              <w:rPr>
                <w:rFonts w:ascii="Arial" w:hAnsi="Arial" w:cs="Arial"/>
                <w:sz w:val="22"/>
                <w:szCs w:val="22"/>
              </w:rPr>
            </w:pPr>
          </w:p>
        </w:tc>
      </w:tr>
      <w:tr w:rsidR="006C1385" w:rsidRPr="007134EC" w:rsidTr="0072303E">
        <w:trPr>
          <w:trHeight w:val="323"/>
        </w:trPr>
        <w:tc>
          <w:tcPr>
            <w:tcW w:w="2790" w:type="dxa"/>
            <w:shd w:val="clear" w:color="auto" w:fill="D9D9D9" w:themeFill="background1" w:themeFillShade="D9"/>
            <w:vAlign w:val="center"/>
          </w:tcPr>
          <w:p w:rsidR="006C1385" w:rsidRPr="007134EC" w:rsidDel="00641735" w:rsidRDefault="006C1385" w:rsidP="006C1385">
            <w:pPr>
              <w:rPr>
                <w:rFonts w:ascii="Arial" w:hAnsi="Arial" w:cs="Arial"/>
                <w:sz w:val="22"/>
                <w:szCs w:val="22"/>
              </w:rPr>
            </w:pPr>
            <w:r w:rsidRPr="007134EC">
              <w:rPr>
                <w:rFonts w:ascii="Arial" w:hAnsi="Arial" w:cs="Arial"/>
                <w:sz w:val="22"/>
                <w:szCs w:val="22"/>
              </w:rPr>
              <w:t>Requerimento de Plano ou Marco de Compensação e desenvolvimento de Povos Indígenas</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tcPr>
          <w:p w:rsidR="006C1385" w:rsidRPr="007134EC" w:rsidRDefault="006C1385" w:rsidP="006C1385">
            <w:pPr>
              <w:rPr>
                <w:rFonts w:ascii="Arial" w:hAnsi="Arial" w:cs="Arial"/>
                <w:sz w:val="22"/>
                <w:szCs w:val="22"/>
              </w:rPr>
            </w:pPr>
          </w:p>
        </w:tc>
        <w:tc>
          <w:tcPr>
            <w:tcW w:w="4410" w:type="dxa"/>
            <w:vMerge/>
          </w:tcPr>
          <w:p w:rsidR="006C1385" w:rsidRPr="007134EC" w:rsidRDefault="006C1385" w:rsidP="006C1385">
            <w:pPr>
              <w:rPr>
                <w:rFonts w:ascii="Arial" w:hAnsi="Arial" w:cs="Arial"/>
                <w:sz w:val="22"/>
                <w:szCs w:val="22"/>
              </w:rPr>
            </w:pPr>
          </w:p>
        </w:tc>
      </w:tr>
      <w:tr w:rsidR="006C1385" w:rsidRPr="007134EC" w:rsidTr="0072303E">
        <w:trPr>
          <w:trHeight w:val="323"/>
        </w:trPr>
        <w:tc>
          <w:tcPr>
            <w:tcW w:w="2790" w:type="dxa"/>
            <w:shd w:val="clear" w:color="auto" w:fill="D9D9D9" w:themeFill="background1" w:themeFillShade="D9"/>
            <w:vAlign w:val="center"/>
          </w:tcPr>
          <w:p w:rsidR="006C1385" w:rsidRPr="007134EC" w:rsidRDefault="006C1385" w:rsidP="006C1385">
            <w:pPr>
              <w:rPr>
                <w:rFonts w:ascii="Arial" w:hAnsi="Arial" w:cs="Arial"/>
                <w:sz w:val="22"/>
                <w:szCs w:val="22"/>
              </w:rPr>
            </w:pPr>
            <w:r w:rsidRPr="007134EC">
              <w:rPr>
                <w:rFonts w:ascii="Arial" w:hAnsi="Arial" w:cs="Arial"/>
                <w:sz w:val="22"/>
                <w:szCs w:val="22"/>
              </w:rPr>
              <w:lastRenderedPageBreak/>
              <w:t>Questões relacionadas a discriminação</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tcPr>
          <w:p w:rsidR="006C1385" w:rsidRPr="007134EC" w:rsidRDefault="006C1385" w:rsidP="006C1385">
            <w:pPr>
              <w:rPr>
                <w:rFonts w:ascii="Arial" w:hAnsi="Arial" w:cs="Arial"/>
                <w:sz w:val="22"/>
                <w:szCs w:val="22"/>
              </w:rPr>
            </w:pPr>
          </w:p>
        </w:tc>
        <w:tc>
          <w:tcPr>
            <w:tcW w:w="4410" w:type="dxa"/>
            <w:vMerge/>
          </w:tcPr>
          <w:p w:rsidR="006C1385" w:rsidRPr="007134EC" w:rsidRDefault="006C1385" w:rsidP="006C1385">
            <w:pPr>
              <w:rPr>
                <w:rFonts w:ascii="Arial" w:hAnsi="Arial" w:cs="Arial"/>
                <w:sz w:val="22"/>
                <w:szCs w:val="22"/>
              </w:rPr>
            </w:pPr>
          </w:p>
        </w:tc>
      </w:tr>
      <w:tr w:rsidR="006C1385" w:rsidRPr="007134EC" w:rsidTr="0072303E">
        <w:trPr>
          <w:trHeight w:val="323"/>
        </w:trPr>
        <w:tc>
          <w:tcPr>
            <w:tcW w:w="2790" w:type="dxa"/>
            <w:shd w:val="clear" w:color="auto" w:fill="D9D9D9" w:themeFill="background1" w:themeFillShade="D9"/>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 xml:space="preserve">Impactos </w:t>
            </w:r>
            <w:proofErr w:type="spellStart"/>
            <w:r w:rsidRPr="007134EC">
              <w:rPr>
                <w:rFonts w:ascii="Arial" w:hAnsi="Arial" w:cs="Arial"/>
                <w:sz w:val="22"/>
                <w:szCs w:val="22"/>
              </w:rPr>
              <w:t>Transfronterizos</w:t>
            </w:r>
            <w:proofErr w:type="spellEnd"/>
            <w:r w:rsidRPr="007134EC">
              <w:rPr>
                <w:rFonts w:ascii="Arial" w:hAnsi="Arial" w:cs="Arial"/>
                <w:sz w:val="22"/>
                <w:szCs w:val="22"/>
              </w:rPr>
              <w:t xml:space="preserve"> </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tcPr>
          <w:p w:rsidR="006C1385" w:rsidRPr="007134EC" w:rsidRDefault="006C1385" w:rsidP="006C1385">
            <w:pPr>
              <w:rPr>
                <w:rFonts w:ascii="Arial" w:hAnsi="Arial" w:cs="Arial"/>
                <w:sz w:val="22"/>
                <w:szCs w:val="22"/>
              </w:rPr>
            </w:pPr>
          </w:p>
        </w:tc>
        <w:tc>
          <w:tcPr>
            <w:tcW w:w="4410" w:type="dxa"/>
            <w:vMerge/>
          </w:tcPr>
          <w:p w:rsidR="006C1385" w:rsidRPr="007134EC" w:rsidRDefault="006C1385" w:rsidP="006C1385">
            <w:pPr>
              <w:rPr>
                <w:rFonts w:ascii="Arial" w:hAnsi="Arial" w:cs="Arial"/>
                <w:sz w:val="22"/>
                <w:szCs w:val="22"/>
              </w:rPr>
            </w:pPr>
          </w:p>
        </w:tc>
      </w:tr>
      <w:tr w:rsidR="006C1385" w:rsidRPr="007134EC" w:rsidTr="0072303E">
        <w:trPr>
          <w:trHeight w:val="323"/>
        </w:trPr>
        <w:tc>
          <w:tcPr>
            <w:tcW w:w="2790" w:type="dxa"/>
            <w:shd w:val="clear" w:color="auto" w:fill="D9D9D9" w:themeFill="background1" w:themeFillShade="D9"/>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Impactos sobre Povos Indígenas isolados</w:t>
            </w:r>
          </w:p>
        </w:tc>
        <w:tc>
          <w:tcPr>
            <w:tcW w:w="2160" w:type="dxa"/>
            <w:vAlign w:val="center"/>
          </w:tcPr>
          <w:p w:rsidR="006C1385" w:rsidRPr="007134EC" w:rsidRDefault="006C1385" w:rsidP="006C1385">
            <w:pPr>
              <w:rPr>
                <w:rFonts w:ascii="Arial" w:hAnsi="Arial" w:cs="Arial"/>
                <w:sz w:val="22"/>
                <w:szCs w:val="22"/>
              </w:rPr>
            </w:pPr>
            <w:r w:rsidRPr="007134EC">
              <w:rPr>
                <w:rFonts w:ascii="Arial" w:hAnsi="Arial" w:cs="Arial"/>
                <w:sz w:val="22"/>
                <w:szCs w:val="22"/>
              </w:rPr>
              <w:t>Não aplicável (política irrelevante)</w:t>
            </w:r>
          </w:p>
        </w:tc>
        <w:tc>
          <w:tcPr>
            <w:tcW w:w="4320" w:type="dxa"/>
            <w:vMerge/>
          </w:tcPr>
          <w:p w:rsidR="006C1385" w:rsidRPr="007134EC" w:rsidRDefault="006C1385" w:rsidP="006C1385">
            <w:pPr>
              <w:rPr>
                <w:rFonts w:ascii="Arial" w:hAnsi="Arial" w:cs="Arial"/>
                <w:sz w:val="22"/>
                <w:szCs w:val="22"/>
              </w:rPr>
            </w:pPr>
          </w:p>
        </w:tc>
        <w:tc>
          <w:tcPr>
            <w:tcW w:w="4410" w:type="dxa"/>
            <w:vMerge/>
          </w:tcPr>
          <w:p w:rsidR="006C1385" w:rsidRPr="007134EC" w:rsidRDefault="006C1385" w:rsidP="006C1385">
            <w:pPr>
              <w:rPr>
                <w:rFonts w:ascii="Arial" w:hAnsi="Arial" w:cs="Arial"/>
                <w:sz w:val="22"/>
                <w:szCs w:val="22"/>
              </w:rPr>
            </w:pPr>
          </w:p>
        </w:tc>
      </w:tr>
      <w:tr w:rsidR="006C1385" w:rsidRPr="007134EC" w:rsidTr="0072303E">
        <w:trPr>
          <w:trHeight w:val="323"/>
        </w:trPr>
        <w:tc>
          <w:tcPr>
            <w:tcW w:w="13680" w:type="dxa"/>
            <w:gridSpan w:val="4"/>
            <w:shd w:val="clear" w:color="auto" w:fill="D9D9D9" w:themeFill="background1" w:themeFillShade="D9"/>
            <w:vAlign w:val="center"/>
          </w:tcPr>
          <w:p w:rsidR="006C1385" w:rsidRPr="007134EC" w:rsidRDefault="006C1385" w:rsidP="006C1385">
            <w:pPr>
              <w:rPr>
                <w:rFonts w:ascii="Arial" w:hAnsi="Arial" w:cs="Arial"/>
                <w:b/>
                <w:sz w:val="22"/>
                <w:szCs w:val="22"/>
              </w:rPr>
            </w:pPr>
            <w:r w:rsidRPr="007134EC">
              <w:rPr>
                <w:rFonts w:ascii="Arial" w:hAnsi="Arial" w:cs="Arial"/>
                <w:b/>
                <w:sz w:val="22"/>
                <w:szCs w:val="22"/>
              </w:rPr>
              <w:t>OP-761 Política Operativa sobre Igualdade de Gênero e Desenvolvimento</w:t>
            </w:r>
          </w:p>
        </w:tc>
      </w:tr>
      <w:tr w:rsidR="0008474F" w:rsidRPr="007134EC" w:rsidTr="0072303E">
        <w:trPr>
          <w:trHeight w:val="323"/>
        </w:trPr>
        <w:tc>
          <w:tcPr>
            <w:tcW w:w="2790" w:type="dxa"/>
            <w:shd w:val="clear" w:color="auto" w:fill="D9D9D9" w:themeFill="background1" w:themeFillShade="D9"/>
            <w:vAlign w:val="center"/>
          </w:tcPr>
          <w:p w:rsidR="0008474F" w:rsidRPr="007134EC" w:rsidDel="00641735" w:rsidRDefault="0008474F" w:rsidP="0008474F">
            <w:pPr>
              <w:rPr>
                <w:rFonts w:ascii="Arial" w:hAnsi="Arial" w:cs="Arial"/>
                <w:sz w:val="22"/>
                <w:szCs w:val="22"/>
              </w:rPr>
            </w:pPr>
            <w:r w:rsidRPr="007134EC">
              <w:rPr>
                <w:rFonts w:ascii="Arial" w:hAnsi="Arial" w:cs="Arial"/>
                <w:sz w:val="22"/>
                <w:szCs w:val="22"/>
              </w:rPr>
              <w:t>Consulta e participação efetiva de homens e mulheres</w:t>
            </w:r>
          </w:p>
        </w:tc>
        <w:tc>
          <w:tcPr>
            <w:tcW w:w="2160" w:type="dxa"/>
            <w:vAlign w:val="center"/>
          </w:tcPr>
          <w:p w:rsidR="0008474F" w:rsidRPr="007134EC" w:rsidRDefault="0008474F" w:rsidP="0008474F">
            <w:pPr>
              <w:rPr>
                <w:rFonts w:ascii="Arial" w:hAnsi="Arial" w:cs="Arial"/>
                <w:sz w:val="22"/>
                <w:szCs w:val="22"/>
              </w:rPr>
            </w:pPr>
            <w:r w:rsidRPr="007134EC">
              <w:rPr>
                <w:rFonts w:ascii="Arial" w:hAnsi="Arial" w:cs="Arial"/>
                <w:sz w:val="22"/>
                <w:szCs w:val="22"/>
              </w:rPr>
              <w:t>Não aplicável (política irrelevante)</w:t>
            </w:r>
          </w:p>
        </w:tc>
        <w:tc>
          <w:tcPr>
            <w:tcW w:w="4320" w:type="dxa"/>
          </w:tcPr>
          <w:p w:rsidR="0008474F" w:rsidRDefault="0008474F" w:rsidP="0008474F">
            <w:pPr>
              <w:rPr>
                <w:rFonts w:ascii="Arial" w:hAnsi="Arial" w:cs="Arial"/>
                <w:sz w:val="22"/>
                <w:szCs w:val="22"/>
              </w:rPr>
            </w:pPr>
            <w:r w:rsidRPr="007134EC">
              <w:rPr>
                <w:rFonts w:ascii="Arial" w:hAnsi="Arial" w:cs="Arial"/>
                <w:sz w:val="22"/>
                <w:szCs w:val="22"/>
              </w:rPr>
              <w:t xml:space="preserve">A Constituição Federal Brasileira garante a igualdade de direitos e obrigações de homens e mulheres (Constituição Federal Brasileira, Capítulo I, Art. 5º). Não haverá consulta específica para as operações do Programa, mas sim, para ações de Fortalecimento Institucional em complemento à política de gênero do Banco do Brasil. </w:t>
            </w:r>
          </w:p>
          <w:p w:rsidR="001E11C8" w:rsidRPr="007134EC" w:rsidRDefault="001E11C8" w:rsidP="0008474F">
            <w:pPr>
              <w:rPr>
                <w:rFonts w:ascii="Arial" w:hAnsi="Arial" w:cs="Arial"/>
                <w:sz w:val="22"/>
                <w:szCs w:val="22"/>
              </w:rPr>
            </w:pPr>
          </w:p>
          <w:p w:rsidR="0008474F" w:rsidRPr="007134EC" w:rsidRDefault="0008474F" w:rsidP="0008474F">
            <w:pPr>
              <w:rPr>
                <w:rFonts w:ascii="Arial" w:hAnsi="Arial" w:cs="Arial"/>
                <w:sz w:val="22"/>
                <w:szCs w:val="22"/>
              </w:rPr>
            </w:pPr>
            <w:r w:rsidRPr="007134EC">
              <w:rPr>
                <w:rFonts w:ascii="Arial" w:hAnsi="Arial" w:cs="Arial"/>
                <w:sz w:val="22"/>
                <w:szCs w:val="22"/>
              </w:rPr>
              <w:t>O BB instituiu o Programa Pro-Equidade de Gênero e Raça em consonância com o Plano Nacional de Políticas para as Mulheres (PNPM), instituído em 2003. São tratados temas como a presença das mulheres em cargos gerenciais e de liderança, o tratamento igualitário para pais e mães no atendimento dos filhos e atenção à família.</w:t>
            </w:r>
          </w:p>
        </w:tc>
        <w:tc>
          <w:tcPr>
            <w:tcW w:w="4410" w:type="dxa"/>
          </w:tcPr>
          <w:p w:rsidR="001E11C8" w:rsidRPr="001E11C8" w:rsidRDefault="0008474F" w:rsidP="001E11C8">
            <w:pPr>
              <w:rPr>
                <w:rFonts w:ascii="Arial" w:hAnsi="Arial" w:cs="Arial"/>
                <w:sz w:val="22"/>
                <w:szCs w:val="22"/>
              </w:rPr>
            </w:pPr>
            <w:r w:rsidRPr="00B530EF">
              <w:rPr>
                <w:rFonts w:ascii="Arial" w:hAnsi="Arial" w:cs="Arial"/>
                <w:sz w:val="22"/>
                <w:szCs w:val="22"/>
              </w:rPr>
              <w:t xml:space="preserve">Como parte do Componente 2– Fortalecimento Institucional, o BID apoiará ações de promoção e igualdade de gênero com a contratação de atividades de capacitação em liderança, fórum de discussão para mulheres, atividades a serem detalhadas em Termos de </w:t>
            </w:r>
            <w:r w:rsidR="0050744A" w:rsidRPr="00B530EF">
              <w:rPr>
                <w:rFonts w:ascii="Arial" w:hAnsi="Arial" w:cs="Arial"/>
                <w:sz w:val="22"/>
                <w:szCs w:val="22"/>
              </w:rPr>
              <w:t>Referência</w:t>
            </w:r>
            <w:r w:rsidRPr="00B530EF">
              <w:rPr>
                <w:rFonts w:ascii="Arial" w:hAnsi="Arial" w:cs="Arial"/>
                <w:sz w:val="22"/>
                <w:szCs w:val="22"/>
              </w:rPr>
              <w:t xml:space="preserve"> para contratação especializada.</w:t>
            </w:r>
            <w:r w:rsidR="001E11C8" w:rsidRPr="00B530EF">
              <w:rPr>
                <w:rFonts w:ascii="Arial" w:hAnsi="Arial" w:cs="Arial"/>
                <w:sz w:val="22"/>
                <w:szCs w:val="22"/>
              </w:rPr>
              <w:t xml:space="preserve"> Para assegurar o cumprimento da Operação com a Política OP-761 durante a vida do empréstimo, o Banco do Brasil deveria implementar as ações descritas no Regulamento Operacional.</w:t>
            </w:r>
          </w:p>
          <w:p w:rsidR="0008474F" w:rsidRPr="007134EC" w:rsidRDefault="0008474F" w:rsidP="0008474F">
            <w:pPr>
              <w:rPr>
                <w:rFonts w:ascii="Arial" w:hAnsi="Arial" w:cs="Arial"/>
                <w:sz w:val="22"/>
                <w:szCs w:val="22"/>
              </w:rPr>
            </w:pPr>
          </w:p>
        </w:tc>
      </w:tr>
      <w:tr w:rsidR="0008474F" w:rsidRPr="007134EC" w:rsidTr="007E33BF">
        <w:trPr>
          <w:trHeight w:val="323"/>
        </w:trPr>
        <w:tc>
          <w:tcPr>
            <w:tcW w:w="2790" w:type="dxa"/>
            <w:shd w:val="clear" w:color="auto" w:fill="D9D9D9" w:themeFill="background1" w:themeFillShade="D9"/>
            <w:vAlign w:val="center"/>
          </w:tcPr>
          <w:p w:rsidR="0008474F" w:rsidRPr="007134EC" w:rsidDel="00641735" w:rsidRDefault="0008474F" w:rsidP="0008474F">
            <w:pPr>
              <w:rPr>
                <w:rFonts w:ascii="Arial" w:hAnsi="Arial" w:cs="Arial"/>
                <w:sz w:val="22"/>
                <w:szCs w:val="22"/>
              </w:rPr>
            </w:pPr>
            <w:r w:rsidRPr="007134EC">
              <w:rPr>
                <w:rFonts w:ascii="Arial" w:hAnsi="Arial" w:cs="Arial"/>
                <w:sz w:val="22"/>
                <w:szCs w:val="22"/>
              </w:rPr>
              <w:t>Aplicação de análise de risco e salvaguardas.</w:t>
            </w:r>
          </w:p>
        </w:tc>
        <w:tc>
          <w:tcPr>
            <w:tcW w:w="2160" w:type="dxa"/>
            <w:vAlign w:val="center"/>
          </w:tcPr>
          <w:p w:rsidR="0008474F" w:rsidRPr="007134EC" w:rsidRDefault="0008474F" w:rsidP="0008474F">
            <w:pPr>
              <w:rPr>
                <w:rFonts w:ascii="Arial" w:hAnsi="Arial" w:cs="Arial"/>
                <w:sz w:val="22"/>
                <w:szCs w:val="22"/>
              </w:rPr>
            </w:pPr>
            <w:r w:rsidRPr="007134EC">
              <w:rPr>
                <w:rFonts w:ascii="Arial" w:hAnsi="Arial" w:cs="Arial"/>
                <w:sz w:val="22"/>
                <w:szCs w:val="22"/>
              </w:rPr>
              <w:t>Não aplicável (política irrelevante)</w:t>
            </w:r>
          </w:p>
        </w:tc>
        <w:tc>
          <w:tcPr>
            <w:tcW w:w="4320" w:type="dxa"/>
            <w:vAlign w:val="center"/>
          </w:tcPr>
          <w:p w:rsidR="0008474F" w:rsidRPr="007134EC" w:rsidRDefault="0008474F" w:rsidP="0008474F">
            <w:pPr>
              <w:rPr>
                <w:rFonts w:ascii="Arial" w:hAnsi="Arial" w:cs="Arial"/>
                <w:sz w:val="22"/>
                <w:szCs w:val="22"/>
              </w:rPr>
            </w:pPr>
            <w:r w:rsidRPr="007134EC">
              <w:rPr>
                <w:rFonts w:ascii="Arial" w:hAnsi="Arial" w:cs="Arial"/>
                <w:sz w:val="22"/>
                <w:szCs w:val="22"/>
              </w:rPr>
              <w:t>Não aplicável (política irrelevante)</w:t>
            </w:r>
          </w:p>
        </w:tc>
        <w:tc>
          <w:tcPr>
            <w:tcW w:w="4410" w:type="dxa"/>
            <w:vAlign w:val="center"/>
          </w:tcPr>
          <w:p w:rsidR="0008474F" w:rsidRPr="007134EC" w:rsidRDefault="0008474F" w:rsidP="0008474F">
            <w:pPr>
              <w:rPr>
                <w:rFonts w:ascii="Arial" w:hAnsi="Arial" w:cs="Arial"/>
                <w:sz w:val="22"/>
                <w:szCs w:val="22"/>
              </w:rPr>
            </w:pPr>
            <w:r w:rsidRPr="007134EC">
              <w:rPr>
                <w:rFonts w:ascii="Arial" w:hAnsi="Arial" w:cs="Arial"/>
                <w:sz w:val="22"/>
                <w:szCs w:val="22"/>
              </w:rPr>
              <w:t>Não aplicável (política irrelevante)</w:t>
            </w:r>
          </w:p>
        </w:tc>
      </w:tr>
      <w:tr w:rsidR="0008474F" w:rsidRPr="007134EC" w:rsidTr="0072303E">
        <w:trPr>
          <w:trHeight w:val="323"/>
        </w:trPr>
        <w:tc>
          <w:tcPr>
            <w:tcW w:w="13680" w:type="dxa"/>
            <w:gridSpan w:val="4"/>
            <w:shd w:val="clear" w:color="auto" w:fill="D9D9D9" w:themeFill="background1" w:themeFillShade="D9"/>
            <w:vAlign w:val="center"/>
          </w:tcPr>
          <w:p w:rsidR="0008474F" w:rsidRPr="007134EC" w:rsidRDefault="0008474F" w:rsidP="0008474F">
            <w:pPr>
              <w:rPr>
                <w:rFonts w:ascii="Arial" w:hAnsi="Arial" w:cs="Arial"/>
                <w:b/>
                <w:sz w:val="22"/>
                <w:szCs w:val="22"/>
              </w:rPr>
            </w:pPr>
            <w:r w:rsidRPr="007134EC">
              <w:rPr>
                <w:rFonts w:ascii="Arial" w:hAnsi="Arial" w:cs="Arial"/>
                <w:b/>
                <w:sz w:val="22"/>
                <w:szCs w:val="22"/>
              </w:rPr>
              <w:t>OP-102 Política de Acesso a Informação</w:t>
            </w:r>
          </w:p>
        </w:tc>
      </w:tr>
      <w:tr w:rsidR="00666EA7" w:rsidRPr="007134EC" w:rsidTr="007E33BF">
        <w:trPr>
          <w:trHeight w:val="323"/>
        </w:trPr>
        <w:tc>
          <w:tcPr>
            <w:tcW w:w="2790" w:type="dxa"/>
            <w:shd w:val="clear" w:color="auto" w:fill="D9D9D9" w:themeFill="background1" w:themeFillShade="D9"/>
            <w:vAlign w:val="center"/>
          </w:tcPr>
          <w:p w:rsidR="00666EA7" w:rsidRPr="007134EC" w:rsidDel="00641735" w:rsidRDefault="00666EA7" w:rsidP="00666EA7">
            <w:pPr>
              <w:rPr>
                <w:rFonts w:ascii="Arial" w:hAnsi="Arial" w:cs="Arial"/>
                <w:sz w:val="22"/>
                <w:szCs w:val="22"/>
              </w:rPr>
            </w:pPr>
            <w:r w:rsidRPr="007134EC">
              <w:rPr>
                <w:rFonts w:ascii="Arial" w:hAnsi="Arial" w:cs="Arial"/>
                <w:sz w:val="22"/>
                <w:szCs w:val="22"/>
              </w:rPr>
              <w:t>Divulgação de Avaliações Ambientais e Sociais antes da Missão de Análise, QRR, OPC e envio dos documentos ao Diretório</w:t>
            </w:r>
          </w:p>
        </w:tc>
        <w:tc>
          <w:tcPr>
            <w:tcW w:w="2160" w:type="dxa"/>
            <w:vAlign w:val="center"/>
          </w:tcPr>
          <w:p w:rsidR="00666EA7" w:rsidRPr="007134EC" w:rsidRDefault="00666EA7" w:rsidP="00666EA7">
            <w:pPr>
              <w:rPr>
                <w:rFonts w:ascii="Arial" w:hAnsi="Arial" w:cs="Arial"/>
                <w:sz w:val="22"/>
                <w:szCs w:val="22"/>
              </w:rPr>
            </w:pPr>
            <w:r w:rsidRPr="007134EC">
              <w:rPr>
                <w:rFonts w:ascii="Arial" w:hAnsi="Arial" w:cs="Arial"/>
                <w:sz w:val="22"/>
                <w:szCs w:val="22"/>
              </w:rPr>
              <w:t>Não aplicável (política irrelevante)</w:t>
            </w:r>
          </w:p>
        </w:tc>
        <w:tc>
          <w:tcPr>
            <w:tcW w:w="4320" w:type="dxa"/>
            <w:vAlign w:val="center"/>
          </w:tcPr>
          <w:p w:rsidR="00666EA7" w:rsidRPr="007134EC" w:rsidRDefault="00666EA7" w:rsidP="00666EA7">
            <w:pPr>
              <w:rPr>
                <w:rFonts w:ascii="Arial" w:hAnsi="Arial" w:cs="Arial"/>
                <w:sz w:val="22"/>
                <w:szCs w:val="22"/>
              </w:rPr>
            </w:pPr>
            <w:r w:rsidRPr="007134EC">
              <w:rPr>
                <w:rFonts w:ascii="Arial" w:hAnsi="Arial" w:cs="Arial"/>
                <w:sz w:val="22"/>
                <w:szCs w:val="22"/>
              </w:rPr>
              <w:t>Não aplicável (política irrelevante)</w:t>
            </w:r>
          </w:p>
        </w:tc>
        <w:tc>
          <w:tcPr>
            <w:tcW w:w="4410" w:type="dxa"/>
            <w:vAlign w:val="center"/>
          </w:tcPr>
          <w:p w:rsidR="00666EA7" w:rsidRPr="007134EC" w:rsidRDefault="00666EA7" w:rsidP="00666EA7">
            <w:pPr>
              <w:rPr>
                <w:rFonts w:ascii="Arial" w:hAnsi="Arial" w:cs="Arial"/>
                <w:sz w:val="22"/>
                <w:szCs w:val="22"/>
              </w:rPr>
            </w:pPr>
            <w:r w:rsidRPr="007134EC">
              <w:rPr>
                <w:rFonts w:ascii="Arial" w:hAnsi="Arial" w:cs="Arial"/>
                <w:sz w:val="22"/>
                <w:szCs w:val="22"/>
              </w:rPr>
              <w:t>Não aplicável (política irrelevante)</w:t>
            </w:r>
          </w:p>
        </w:tc>
      </w:tr>
      <w:tr w:rsidR="00666EA7" w:rsidRPr="007134EC" w:rsidTr="0072303E">
        <w:trPr>
          <w:trHeight w:val="323"/>
        </w:trPr>
        <w:tc>
          <w:tcPr>
            <w:tcW w:w="2790" w:type="dxa"/>
            <w:shd w:val="clear" w:color="auto" w:fill="D9D9D9" w:themeFill="background1" w:themeFillShade="D9"/>
            <w:vAlign w:val="center"/>
          </w:tcPr>
          <w:p w:rsidR="00666EA7" w:rsidRPr="007134EC" w:rsidDel="00641735" w:rsidRDefault="00666EA7" w:rsidP="00666EA7">
            <w:pPr>
              <w:rPr>
                <w:rFonts w:ascii="Arial" w:hAnsi="Arial" w:cs="Arial"/>
                <w:sz w:val="22"/>
                <w:szCs w:val="22"/>
              </w:rPr>
            </w:pPr>
            <w:r w:rsidRPr="007134EC">
              <w:rPr>
                <w:rFonts w:ascii="Arial" w:hAnsi="Arial" w:cs="Arial"/>
                <w:sz w:val="22"/>
                <w:szCs w:val="22"/>
              </w:rPr>
              <w:t>Diretrizes de Divulgação de documentos ambientais e sociais durante a execução do Projeto</w:t>
            </w:r>
          </w:p>
        </w:tc>
        <w:tc>
          <w:tcPr>
            <w:tcW w:w="2160" w:type="dxa"/>
            <w:vAlign w:val="center"/>
          </w:tcPr>
          <w:p w:rsidR="00666EA7" w:rsidRPr="007134EC" w:rsidRDefault="00666EA7" w:rsidP="00666EA7">
            <w:pPr>
              <w:rPr>
                <w:rFonts w:ascii="Arial" w:hAnsi="Arial" w:cs="Arial"/>
                <w:sz w:val="22"/>
                <w:szCs w:val="22"/>
              </w:rPr>
            </w:pPr>
            <w:r w:rsidRPr="007134EC">
              <w:rPr>
                <w:rFonts w:ascii="Arial" w:hAnsi="Arial" w:cs="Arial"/>
                <w:sz w:val="22"/>
                <w:szCs w:val="22"/>
              </w:rPr>
              <w:t>Publicação do Gap/Analise, Análise SARAS, R</w:t>
            </w:r>
            <w:r w:rsidR="00407D28">
              <w:rPr>
                <w:rFonts w:ascii="Arial" w:hAnsi="Arial" w:cs="Arial"/>
                <w:sz w:val="22"/>
                <w:szCs w:val="22"/>
              </w:rPr>
              <w:t>C</w:t>
            </w:r>
            <w:r w:rsidRPr="007134EC">
              <w:rPr>
                <w:rFonts w:ascii="Arial" w:hAnsi="Arial" w:cs="Arial"/>
                <w:sz w:val="22"/>
                <w:szCs w:val="22"/>
              </w:rPr>
              <w:t xml:space="preserve">P e </w:t>
            </w:r>
            <w:r w:rsidR="00C853B2">
              <w:rPr>
                <w:rFonts w:ascii="Arial" w:hAnsi="Arial" w:cs="Arial"/>
                <w:sz w:val="22"/>
                <w:szCs w:val="22"/>
              </w:rPr>
              <w:t>R</w:t>
            </w:r>
            <w:r w:rsidRPr="007134EC">
              <w:rPr>
                <w:rFonts w:ascii="Arial" w:hAnsi="Arial" w:cs="Arial"/>
                <w:sz w:val="22"/>
                <w:szCs w:val="22"/>
              </w:rPr>
              <w:t xml:space="preserve">GAS </w:t>
            </w:r>
          </w:p>
        </w:tc>
        <w:tc>
          <w:tcPr>
            <w:tcW w:w="4320" w:type="dxa"/>
          </w:tcPr>
          <w:p w:rsidR="00666EA7" w:rsidRPr="007134EC" w:rsidRDefault="00666EA7" w:rsidP="00666EA7">
            <w:pPr>
              <w:rPr>
                <w:rFonts w:ascii="Arial" w:hAnsi="Arial" w:cs="Arial"/>
                <w:sz w:val="22"/>
                <w:szCs w:val="22"/>
              </w:rPr>
            </w:pPr>
            <w:r w:rsidRPr="007134EC">
              <w:rPr>
                <w:rFonts w:ascii="Arial" w:hAnsi="Arial" w:cs="Arial"/>
                <w:sz w:val="22"/>
                <w:szCs w:val="22"/>
              </w:rPr>
              <w:t>Cumprimento das diretrizes da política operativa, resguardados os pontos identificados como sigilosos.</w:t>
            </w:r>
          </w:p>
        </w:tc>
        <w:tc>
          <w:tcPr>
            <w:tcW w:w="4410" w:type="dxa"/>
          </w:tcPr>
          <w:p w:rsidR="00666EA7" w:rsidRPr="007134EC" w:rsidRDefault="00666EA7" w:rsidP="00666EA7">
            <w:pPr>
              <w:rPr>
                <w:rFonts w:ascii="Arial" w:hAnsi="Arial" w:cs="Arial"/>
                <w:sz w:val="22"/>
                <w:szCs w:val="22"/>
              </w:rPr>
            </w:pPr>
            <w:r w:rsidRPr="007134EC">
              <w:rPr>
                <w:rFonts w:ascii="Arial" w:hAnsi="Arial" w:cs="Arial"/>
                <w:sz w:val="22"/>
                <w:szCs w:val="22"/>
              </w:rPr>
              <w:t>O BID e o Banco do Brasil publicarão os documentos socioambientais e de análise institucional durante a preparação e implantação do Programa</w:t>
            </w:r>
            <w:r w:rsidR="00DA0CA7">
              <w:rPr>
                <w:rFonts w:ascii="Arial" w:hAnsi="Arial" w:cs="Arial"/>
                <w:sz w:val="22"/>
                <w:szCs w:val="22"/>
              </w:rPr>
              <w:t>. A publicação das licencias pertinentes (LP</w:t>
            </w:r>
            <w:r w:rsidR="00A91115">
              <w:rPr>
                <w:rFonts w:ascii="Arial" w:hAnsi="Arial" w:cs="Arial"/>
                <w:sz w:val="22"/>
                <w:szCs w:val="22"/>
              </w:rPr>
              <w:t xml:space="preserve"> ou LI</w:t>
            </w:r>
            <w:r w:rsidR="00DA0CA7">
              <w:rPr>
                <w:rFonts w:ascii="Arial" w:hAnsi="Arial" w:cs="Arial"/>
                <w:sz w:val="22"/>
                <w:szCs w:val="22"/>
              </w:rPr>
              <w:t xml:space="preserve">) </w:t>
            </w:r>
            <w:r w:rsidR="00DA0CA7">
              <w:rPr>
                <w:rFonts w:ascii="Arial" w:hAnsi="Arial" w:cs="Arial"/>
                <w:sz w:val="22"/>
                <w:szCs w:val="22"/>
              </w:rPr>
              <w:lastRenderedPageBreak/>
              <w:t>corresponde ao organismo federal, estadual, ou municipal responsável por emitir elas.</w:t>
            </w:r>
          </w:p>
        </w:tc>
      </w:tr>
    </w:tbl>
    <w:p w:rsidR="00606A55" w:rsidRPr="007134EC" w:rsidRDefault="00606A55">
      <w:pPr>
        <w:rPr>
          <w:rFonts w:ascii="Arial" w:hAnsi="Arial" w:cs="Arial"/>
          <w:sz w:val="22"/>
          <w:szCs w:val="22"/>
        </w:rPr>
      </w:pPr>
    </w:p>
    <w:p w:rsidR="00C16B5B" w:rsidRPr="007134EC" w:rsidRDefault="00C16B5B">
      <w:pPr>
        <w:spacing w:after="200" w:line="276" w:lineRule="auto"/>
        <w:rPr>
          <w:rFonts w:ascii="Arial" w:hAnsi="Arial" w:cs="Arial"/>
          <w:sz w:val="22"/>
          <w:szCs w:val="22"/>
        </w:rPr>
      </w:pPr>
      <w:r w:rsidRPr="007134EC">
        <w:rPr>
          <w:rFonts w:ascii="Arial" w:hAnsi="Arial" w:cs="Arial"/>
          <w:sz w:val="22"/>
          <w:szCs w:val="22"/>
        </w:rPr>
        <w:br w:type="page"/>
      </w:r>
    </w:p>
    <w:p w:rsidR="00846FA2" w:rsidRPr="007134EC" w:rsidRDefault="00846FA2">
      <w:pPr>
        <w:rPr>
          <w:rFonts w:ascii="Arial" w:hAnsi="Arial" w:cs="Arial"/>
          <w:sz w:val="22"/>
          <w:szCs w:val="22"/>
        </w:rPr>
        <w:sectPr w:rsidR="00846FA2" w:rsidRPr="007134EC" w:rsidSect="00846FA2">
          <w:pgSz w:w="16838" w:h="11906" w:orient="landscape"/>
          <w:pgMar w:top="720" w:right="720" w:bottom="720" w:left="720" w:header="709" w:footer="709" w:gutter="0"/>
          <w:cols w:space="708"/>
          <w:docGrid w:linePitch="360"/>
        </w:sectPr>
      </w:pPr>
    </w:p>
    <w:p w:rsidR="00C16B5B" w:rsidRPr="007134EC" w:rsidRDefault="00C16B5B">
      <w:pPr>
        <w:rPr>
          <w:rFonts w:ascii="Arial" w:hAnsi="Arial" w:cs="Arial"/>
          <w:sz w:val="22"/>
          <w:szCs w:val="22"/>
        </w:rPr>
      </w:pPr>
    </w:p>
    <w:p w:rsidR="00C16B5B" w:rsidRPr="007134EC" w:rsidRDefault="00C16B5B">
      <w:pPr>
        <w:rPr>
          <w:rFonts w:ascii="Arial" w:hAnsi="Arial" w:cs="Arial"/>
          <w:b/>
          <w:sz w:val="22"/>
          <w:szCs w:val="22"/>
        </w:rPr>
      </w:pPr>
      <w:r w:rsidRPr="007134EC">
        <w:rPr>
          <w:rFonts w:ascii="Arial" w:hAnsi="Arial" w:cs="Arial"/>
          <w:b/>
          <w:sz w:val="22"/>
          <w:szCs w:val="22"/>
        </w:rPr>
        <w:t>Anexo B. Requisitos Lega</w:t>
      </w:r>
      <w:r w:rsidR="0077205A" w:rsidRPr="007134EC">
        <w:rPr>
          <w:rFonts w:ascii="Arial" w:hAnsi="Arial" w:cs="Arial"/>
          <w:b/>
          <w:sz w:val="22"/>
          <w:szCs w:val="22"/>
        </w:rPr>
        <w:t>is para os temas ambientais</w:t>
      </w:r>
      <w:r w:rsidR="005E4AA2" w:rsidRPr="007134EC">
        <w:rPr>
          <w:rFonts w:ascii="Arial" w:hAnsi="Arial" w:cs="Arial"/>
          <w:b/>
          <w:sz w:val="22"/>
          <w:szCs w:val="22"/>
        </w:rPr>
        <w:t>,</w:t>
      </w:r>
      <w:r w:rsidR="0077205A" w:rsidRPr="007134EC">
        <w:rPr>
          <w:rFonts w:ascii="Arial" w:hAnsi="Arial" w:cs="Arial"/>
          <w:b/>
          <w:sz w:val="22"/>
          <w:szCs w:val="22"/>
        </w:rPr>
        <w:t xml:space="preserve"> sociais</w:t>
      </w:r>
      <w:r w:rsidR="005E4AA2" w:rsidRPr="007134EC">
        <w:rPr>
          <w:rFonts w:ascii="Arial" w:hAnsi="Arial" w:cs="Arial"/>
          <w:b/>
          <w:sz w:val="22"/>
          <w:szCs w:val="22"/>
        </w:rPr>
        <w:t>,</w:t>
      </w:r>
      <w:r w:rsidR="0077205A" w:rsidRPr="007134EC">
        <w:rPr>
          <w:rFonts w:ascii="Arial" w:hAnsi="Arial" w:cs="Arial"/>
          <w:b/>
          <w:sz w:val="22"/>
          <w:szCs w:val="22"/>
        </w:rPr>
        <w:t xml:space="preserve"> de saúde e segurança</w:t>
      </w:r>
    </w:p>
    <w:p w:rsidR="00846FA2" w:rsidRPr="007134EC" w:rsidRDefault="00846FA2">
      <w:pPr>
        <w:rPr>
          <w:rFonts w:ascii="Arial" w:hAnsi="Arial" w:cs="Arial"/>
          <w:sz w:val="22"/>
          <w:szCs w:val="22"/>
        </w:rPr>
      </w:pPr>
    </w:p>
    <w:tbl>
      <w:tblPr>
        <w:tblW w:w="999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990"/>
      </w:tblGrid>
      <w:tr w:rsidR="00846FA2" w:rsidRPr="007134EC" w:rsidTr="00BB3A7A">
        <w:trPr>
          <w:trHeight w:val="429"/>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95B3D7" w:themeFill="accent1" w:themeFillTint="99"/>
            <w:tcMar>
              <w:top w:w="15" w:type="dxa"/>
              <w:left w:w="105" w:type="dxa"/>
              <w:bottom w:w="15" w:type="dxa"/>
              <w:right w:w="105" w:type="dxa"/>
            </w:tcMar>
            <w:vAlign w:val="center"/>
          </w:tcPr>
          <w:p w:rsidR="00846FA2" w:rsidRPr="007134EC" w:rsidDel="003F2F0C" w:rsidRDefault="00846FA2" w:rsidP="00846FA2">
            <w:pPr>
              <w:spacing w:before="120" w:after="120"/>
              <w:rPr>
                <w:rFonts w:ascii="Arial" w:hAnsi="Arial" w:cs="Arial"/>
                <w:b/>
                <w:bCs/>
                <w:sz w:val="22"/>
                <w:szCs w:val="22"/>
              </w:rPr>
            </w:pPr>
            <w:r w:rsidRPr="007134EC">
              <w:rPr>
                <w:rFonts w:ascii="Arial" w:hAnsi="Arial" w:cs="Arial"/>
                <w:b/>
                <w:bCs/>
                <w:sz w:val="22"/>
                <w:szCs w:val="22"/>
              </w:rPr>
              <w:t>Se</w:t>
            </w:r>
            <w:r w:rsidR="00067436" w:rsidRPr="007134EC">
              <w:rPr>
                <w:rFonts w:ascii="Arial" w:hAnsi="Arial" w:cs="Arial"/>
                <w:b/>
                <w:bCs/>
                <w:sz w:val="22"/>
                <w:szCs w:val="22"/>
              </w:rPr>
              <w:t xml:space="preserve">ção </w:t>
            </w:r>
            <w:r w:rsidRPr="007134EC">
              <w:rPr>
                <w:rFonts w:ascii="Arial" w:hAnsi="Arial" w:cs="Arial"/>
                <w:b/>
                <w:bCs/>
                <w:sz w:val="22"/>
                <w:szCs w:val="22"/>
              </w:rPr>
              <w:t>II. Obras Múltipl</w:t>
            </w:r>
            <w:r w:rsidR="001D171A" w:rsidRPr="007134EC">
              <w:rPr>
                <w:rFonts w:ascii="Arial" w:hAnsi="Arial" w:cs="Arial"/>
                <w:b/>
                <w:bCs/>
                <w:sz w:val="22"/>
                <w:szCs w:val="22"/>
              </w:rPr>
              <w:t>a</w:t>
            </w:r>
            <w:r w:rsidRPr="007134EC">
              <w:rPr>
                <w:rFonts w:ascii="Arial" w:hAnsi="Arial" w:cs="Arial"/>
                <w:b/>
                <w:bCs/>
                <w:sz w:val="22"/>
                <w:szCs w:val="22"/>
              </w:rPr>
              <w:t>s e Intermedia</w:t>
            </w:r>
            <w:r w:rsidR="001D171A" w:rsidRPr="007134EC">
              <w:rPr>
                <w:rFonts w:ascii="Arial" w:hAnsi="Arial" w:cs="Arial"/>
                <w:b/>
                <w:bCs/>
                <w:sz w:val="22"/>
                <w:szCs w:val="22"/>
              </w:rPr>
              <w:t>ção Financ</w:t>
            </w:r>
            <w:r w:rsidRPr="007134EC">
              <w:rPr>
                <w:rFonts w:ascii="Arial" w:hAnsi="Arial" w:cs="Arial"/>
                <w:b/>
                <w:bCs/>
                <w:sz w:val="22"/>
                <w:szCs w:val="22"/>
              </w:rPr>
              <w:t>e</w:t>
            </w:r>
            <w:r w:rsidR="001D171A" w:rsidRPr="007134EC">
              <w:rPr>
                <w:rFonts w:ascii="Arial" w:hAnsi="Arial" w:cs="Arial"/>
                <w:b/>
                <w:bCs/>
                <w:sz w:val="22"/>
                <w:szCs w:val="22"/>
              </w:rPr>
              <w:t>i</w:t>
            </w:r>
            <w:r w:rsidRPr="007134EC">
              <w:rPr>
                <w:rFonts w:ascii="Arial" w:hAnsi="Arial" w:cs="Arial"/>
                <w:b/>
                <w:bCs/>
                <w:sz w:val="22"/>
                <w:szCs w:val="22"/>
              </w:rPr>
              <w:t>ra:</w:t>
            </w:r>
          </w:p>
        </w:tc>
      </w:tr>
      <w:tr w:rsidR="00846FA2" w:rsidRPr="007134EC" w:rsidTr="00BB3A7A">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846FA2" w:rsidRPr="007134EC" w:rsidRDefault="00846FA2" w:rsidP="001D171A">
            <w:pPr>
              <w:spacing w:before="120" w:after="120"/>
              <w:rPr>
                <w:rFonts w:ascii="Arial" w:eastAsia="Times New Roman" w:hAnsi="Arial" w:cs="Arial"/>
                <w:b/>
                <w:bCs/>
                <w:color w:val="0070C0"/>
              </w:rPr>
            </w:pPr>
            <w:r w:rsidRPr="007134EC">
              <w:rPr>
                <w:rFonts w:ascii="Arial" w:eastAsia="Times New Roman" w:hAnsi="Arial" w:cs="Arial"/>
                <w:b/>
                <w:bCs/>
                <w:color w:val="0070C0"/>
                <w:sz w:val="20"/>
                <w:szCs w:val="20"/>
              </w:rPr>
              <w:t>A. Condicione</w:t>
            </w:r>
            <w:r w:rsidR="00D1446A" w:rsidRPr="007134EC">
              <w:rPr>
                <w:rFonts w:ascii="Arial" w:eastAsia="Times New Roman" w:hAnsi="Arial" w:cs="Arial"/>
                <w:b/>
                <w:bCs/>
                <w:color w:val="0070C0"/>
                <w:sz w:val="20"/>
                <w:szCs w:val="20"/>
              </w:rPr>
              <w:t xml:space="preserve">s </w:t>
            </w:r>
            <w:r w:rsidR="00100AB9" w:rsidRPr="007134EC">
              <w:rPr>
                <w:rFonts w:ascii="Arial" w:eastAsia="Times New Roman" w:hAnsi="Arial" w:cs="Arial"/>
                <w:b/>
                <w:bCs/>
                <w:color w:val="0070C0"/>
                <w:sz w:val="20"/>
                <w:szCs w:val="20"/>
              </w:rPr>
              <w:t xml:space="preserve">Ambientais, Sociais, de </w:t>
            </w:r>
            <w:r w:rsidR="00B0468B" w:rsidRPr="007134EC">
              <w:rPr>
                <w:rFonts w:ascii="Arial" w:eastAsia="Times New Roman" w:hAnsi="Arial" w:cs="Arial"/>
                <w:b/>
                <w:bCs/>
                <w:color w:val="0070C0"/>
                <w:sz w:val="20"/>
                <w:szCs w:val="20"/>
              </w:rPr>
              <w:t>Saúde</w:t>
            </w:r>
            <w:r w:rsidR="00100AB9" w:rsidRPr="007134EC">
              <w:rPr>
                <w:rFonts w:ascii="Arial" w:eastAsia="Times New Roman" w:hAnsi="Arial" w:cs="Arial"/>
                <w:b/>
                <w:bCs/>
                <w:color w:val="0070C0"/>
                <w:sz w:val="20"/>
                <w:szCs w:val="20"/>
              </w:rPr>
              <w:t>, e de Seguridade (</w:t>
            </w:r>
            <w:r w:rsidR="00D1446A" w:rsidRPr="007134EC">
              <w:rPr>
                <w:rFonts w:ascii="Arial" w:eastAsia="Times New Roman" w:hAnsi="Arial" w:cs="Arial"/>
                <w:b/>
                <w:bCs/>
                <w:color w:val="0070C0"/>
                <w:sz w:val="20"/>
                <w:szCs w:val="20"/>
              </w:rPr>
              <w:t>ESHS</w:t>
            </w:r>
            <w:r w:rsidR="00100AB9" w:rsidRPr="007134EC">
              <w:rPr>
                <w:rFonts w:ascii="Arial" w:eastAsia="Times New Roman" w:hAnsi="Arial" w:cs="Arial"/>
                <w:b/>
                <w:bCs/>
                <w:color w:val="0070C0"/>
                <w:sz w:val="20"/>
                <w:szCs w:val="20"/>
              </w:rPr>
              <w:t>)</w:t>
            </w:r>
            <w:r w:rsidR="00D1446A" w:rsidRPr="007134EC">
              <w:rPr>
                <w:rFonts w:ascii="Arial" w:eastAsia="Times New Roman" w:hAnsi="Arial" w:cs="Arial"/>
                <w:b/>
                <w:bCs/>
                <w:color w:val="0070C0"/>
                <w:sz w:val="20"/>
                <w:szCs w:val="20"/>
              </w:rPr>
              <w:t xml:space="preserve"> d</w:t>
            </w:r>
            <w:r w:rsidR="001D171A" w:rsidRPr="007134EC">
              <w:rPr>
                <w:rFonts w:ascii="Arial" w:eastAsia="Times New Roman" w:hAnsi="Arial" w:cs="Arial"/>
                <w:b/>
                <w:bCs/>
                <w:color w:val="0070C0"/>
                <w:sz w:val="20"/>
                <w:szCs w:val="20"/>
              </w:rPr>
              <w:t xml:space="preserve">o </w:t>
            </w:r>
            <w:r w:rsidR="00D1446A" w:rsidRPr="007134EC">
              <w:rPr>
                <w:rFonts w:ascii="Arial" w:eastAsia="Times New Roman" w:hAnsi="Arial" w:cs="Arial"/>
                <w:b/>
                <w:bCs/>
                <w:color w:val="0070C0"/>
                <w:sz w:val="20"/>
                <w:szCs w:val="20"/>
              </w:rPr>
              <w:t>Ac</w:t>
            </w:r>
            <w:r w:rsidR="001D171A" w:rsidRPr="007134EC">
              <w:rPr>
                <w:rFonts w:ascii="Arial" w:eastAsia="Times New Roman" w:hAnsi="Arial" w:cs="Arial"/>
                <w:b/>
                <w:bCs/>
                <w:color w:val="0070C0"/>
                <w:sz w:val="20"/>
                <w:szCs w:val="20"/>
              </w:rPr>
              <w:t>o</w:t>
            </w:r>
            <w:r w:rsidR="00D1446A" w:rsidRPr="007134EC">
              <w:rPr>
                <w:rFonts w:ascii="Arial" w:eastAsia="Times New Roman" w:hAnsi="Arial" w:cs="Arial"/>
                <w:b/>
                <w:bCs/>
                <w:color w:val="0070C0"/>
                <w:sz w:val="20"/>
                <w:szCs w:val="20"/>
              </w:rPr>
              <w:t xml:space="preserve">rdo de </w:t>
            </w:r>
            <w:r w:rsidR="001D171A" w:rsidRPr="007134EC">
              <w:rPr>
                <w:rFonts w:ascii="Arial" w:eastAsia="Times New Roman" w:hAnsi="Arial" w:cs="Arial"/>
                <w:b/>
                <w:bCs/>
                <w:color w:val="0070C0"/>
                <w:sz w:val="20"/>
                <w:szCs w:val="20"/>
              </w:rPr>
              <w:t>Emp</w:t>
            </w:r>
            <w:r w:rsidR="00D1446A" w:rsidRPr="007134EC">
              <w:rPr>
                <w:rFonts w:ascii="Arial" w:eastAsia="Times New Roman" w:hAnsi="Arial" w:cs="Arial"/>
                <w:b/>
                <w:bCs/>
                <w:color w:val="0070C0"/>
                <w:sz w:val="20"/>
                <w:szCs w:val="20"/>
              </w:rPr>
              <w:t>rést</w:t>
            </w:r>
            <w:r w:rsidR="001D171A" w:rsidRPr="007134EC">
              <w:rPr>
                <w:rFonts w:ascii="Arial" w:eastAsia="Times New Roman" w:hAnsi="Arial" w:cs="Arial"/>
                <w:b/>
                <w:bCs/>
                <w:color w:val="0070C0"/>
                <w:sz w:val="20"/>
                <w:szCs w:val="20"/>
              </w:rPr>
              <w:t>i</w:t>
            </w:r>
            <w:r w:rsidR="00D1446A" w:rsidRPr="007134EC">
              <w:rPr>
                <w:rFonts w:ascii="Arial" w:eastAsia="Times New Roman" w:hAnsi="Arial" w:cs="Arial"/>
                <w:b/>
                <w:bCs/>
                <w:color w:val="0070C0"/>
                <w:sz w:val="20"/>
                <w:szCs w:val="20"/>
              </w:rPr>
              <w:t>mo</w:t>
            </w:r>
          </w:p>
        </w:tc>
      </w:tr>
      <w:tr w:rsidR="00846FA2" w:rsidRPr="007134EC" w:rsidTr="00BB3A7A">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846FA2" w:rsidRPr="007134EC" w:rsidRDefault="001D171A" w:rsidP="00846FA2">
            <w:pPr>
              <w:spacing w:before="120" w:after="120"/>
              <w:rPr>
                <w:rFonts w:ascii="Arial" w:eastAsia="Times New Roman" w:hAnsi="Arial" w:cs="Arial"/>
                <w:sz w:val="20"/>
                <w:szCs w:val="20"/>
              </w:rPr>
            </w:pPr>
            <w:r w:rsidRPr="007134EC">
              <w:rPr>
                <w:rFonts w:ascii="Arial" w:eastAsia="Times New Roman" w:hAnsi="Arial" w:cs="Arial"/>
                <w:b/>
                <w:bCs/>
                <w:color w:val="0070C0"/>
                <w:sz w:val="20"/>
                <w:szCs w:val="20"/>
              </w:rPr>
              <w:t xml:space="preserve">1.  </w:t>
            </w:r>
            <w:r w:rsidR="00AF2F59">
              <w:rPr>
                <w:rFonts w:ascii="Arial" w:eastAsia="Times New Roman" w:hAnsi="Arial" w:cs="Arial"/>
                <w:b/>
                <w:bCs/>
                <w:color w:val="0070C0"/>
                <w:sz w:val="20"/>
                <w:szCs w:val="20"/>
              </w:rPr>
              <w:t xml:space="preserve">Condições prévias ao </w:t>
            </w:r>
            <w:r w:rsidR="00846FA2" w:rsidRPr="007134EC">
              <w:rPr>
                <w:rFonts w:ascii="Arial" w:eastAsia="Times New Roman" w:hAnsi="Arial" w:cs="Arial"/>
                <w:b/>
                <w:bCs/>
                <w:color w:val="0070C0"/>
                <w:sz w:val="20"/>
                <w:szCs w:val="20"/>
              </w:rPr>
              <w:t>Prime</w:t>
            </w:r>
            <w:r w:rsidRPr="007134EC">
              <w:rPr>
                <w:rFonts w:ascii="Arial" w:eastAsia="Times New Roman" w:hAnsi="Arial" w:cs="Arial"/>
                <w:b/>
                <w:bCs/>
                <w:color w:val="0070C0"/>
                <w:sz w:val="20"/>
                <w:szCs w:val="20"/>
              </w:rPr>
              <w:t>iro Desembolso do Empréstimo</w:t>
            </w:r>
            <w:r w:rsidR="00846FA2" w:rsidRPr="007134EC">
              <w:rPr>
                <w:rFonts w:ascii="Arial" w:eastAsia="Times New Roman" w:hAnsi="Arial" w:cs="Arial"/>
                <w:b/>
                <w:bCs/>
                <w:color w:val="0070C0"/>
                <w:sz w:val="20"/>
                <w:szCs w:val="20"/>
              </w:rPr>
              <w:t xml:space="preserve">. </w:t>
            </w:r>
          </w:p>
          <w:p w:rsidR="00846FA2" w:rsidRPr="007134EC" w:rsidRDefault="0084511F" w:rsidP="00B15690">
            <w:pPr>
              <w:spacing w:before="120" w:after="120"/>
              <w:jc w:val="both"/>
              <w:rPr>
                <w:rFonts w:ascii="Arial" w:eastAsia="Times New Roman" w:hAnsi="Arial" w:cs="Arial"/>
                <w:b/>
                <w:bCs/>
                <w:color w:val="0070C0"/>
              </w:rPr>
            </w:pPr>
            <w:r w:rsidRPr="007134EC">
              <w:rPr>
                <w:rFonts w:ascii="Arial" w:eastAsia="Times New Roman" w:hAnsi="Arial" w:cs="Arial"/>
                <w:sz w:val="20"/>
                <w:szCs w:val="20"/>
                <w:lang w:eastAsia="it-IT"/>
              </w:rPr>
              <w:t>O</w:t>
            </w:r>
            <w:r w:rsidR="00D1446A" w:rsidRPr="007134EC">
              <w:rPr>
                <w:rFonts w:ascii="Arial" w:eastAsia="Times New Roman" w:hAnsi="Arial" w:cs="Arial"/>
                <w:sz w:val="20"/>
                <w:szCs w:val="20"/>
                <w:lang w:eastAsia="it-IT"/>
              </w:rPr>
              <w:t xml:space="preserve"> B</w:t>
            </w:r>
            <w:r w:rsidRPr="007134EC">
              <w:rPr>
                <w:rFonts w:ascii="Arial" w:eastAsia="Times New Roman" w:hAnsi="Arial" w:cs="Arial"/>
                <w:sz w:val="20"/>
                <w:szCs w:val="20"/>
                <w:lang w:eastAsia="it-IT"/>
              </w:rPr>
              <w:t xml:space="preserve">anco do Brasil </w:t>
            </w:r>
            <w:r w:rsidR="00AF2F59">
              <w:rPr>
                <w:rFonts w:ascii="Arial" w:eastAsia="Times New Roman" w:hAnsi="Arial" w:cs="Arial"/>
                <w:sz w:val="20"/>
                <w:szCs w:val="20"/>
                <w:lang w:eastAsia="it-IT"/>
              </w:rPr>
              <w:t xml:space="preserve">deverá </w:t>
            </w:r>
            <w:r w:rsidRPr="007134EC">
              <w:rPr>
                <w:rFonts w:ascii="Arial" w:eastAsia="Times New Roman" w:hAnsi="Arial" w:cs="Arial"/>
                <w:sz w:val="20"/>
                <w:szCs w:val="20"/>
                <w:lang w:eastAsia="it-IT"/>
              </w:rPr>
              <w:t>apresentar evidê</w:t>
            </w:r>
            <w:r w:rsidR="00D1446A" w:rsidRPr="007134EC">
              <w:rPr>
                <w:rFonts w:ascii="Arial" w:eastAsia="Times New Roman" w:hAnsi="Arial" w:cs="Arial"/>
                <w:sz w:val="20"/>
                <w:szCs w:val="20"/>
                <w:lang w:eastAsia="it-IT"/>
              </w:rPr>
              <w:t>ncia d</w:t>
            </w:r>
            <w:r w:rsidRPr="007134EC">
              <w:rPr>
                <w:rFonts w:ascii="Arial" w:eastAsia="Times New Roman" w:hAnsi="Arial" w:cs="Arial"/>
                <w:sz w:val="20"/>
                <w:szCs w:val="20"/>
                <w:lang w:eastAsia="it-IT"/>
              </w:rPr>
              <w:t>e implantação d</w:t>
            </w:r>
            <w:r w:rsidR="00D1446A" w:rsidRPr="007134EC">
              <w:rPr>
                <w:rFonts w:ascii="Arial" w:eastAsia="Times New Roman" w:hAnsi="Arial" w:cs="Arial"/>
                <w:sz w:val="20"/>
                <w:szCs w:val="20"/>
                <w:lang w:eastAsia="it-IT"/>
              </w:rPr>
              <w:t xml:space="preserve">as condições de gestão específicas para operar as diretrizes e </w:t>
            </w:r>
            <w:r w:rsidR="009D7779" w:rsidRPr="007134EC">
              <w:rPr>
                <w:rFonts w:ascii="Arial" w:eastAsia="Times New Roman" w:hAnsi="Arial" w:cs="Arial"/>
                <w:sz w:val="20"/>
                <w:szCs w:val="20"/>
                <w:lang w:eastAsia="it-IT"/>
              </w:rPr>
              <w:t>conteúdo</w:t>
            </w:r>
            <w:r w:rsidR="00D1446A" w:rsidRPr="007134EC">
              <w:rPr>
                <w:rFonts w:ascii="Arial" w:eastAsia="Times New Roman" w:hAnsi="Arial" w:cs="Arial"/>
                <w:sz w:val="20"/>
                <w:szCs w:val="20"/>
                <w:lang w:eastAsia="it-IT"/>
              </w:rPr>
              <w:t xml:space="preserve"> do Regulamento </w:t>
            </w:r>
            <w:r w:rsidR="00AF2F59">
              <w:rPr>
                <w:rFonts w:ascii="Arial" w:eastAsia="Times New Roman" w:hAnsi="Arial" w:cs="Arial"/>
                <w:sz w:val="20"/>
                <w:szCs w:val="20"/>
                <w:lang w:eastAsia="it-IT"/>
              </w:rPr>
              <w:t xml:space="preserve">de Crédito </w:t>
            </w:r>
            <w:r w:rsidR="00D1446A" w:rsidRPr="007134EC">
              <w:rPr>
                <w:rFonts w:ascii="Arial" w:eastAsia="Times New Roman" w:hAnsi="Arial" w:cs="Arial"/>
                <w:sz w:val="20"/>
                <w:szCs w:val="20"/>
                <w:lang w:eastAsia="it-IT"/>
              </w:rPr>
              <w:t>do Programa</w:t>
            </w:r>
            <w:r w:rsidR="00AF2F59">
              <w:rPr>
                <w:rFonts w:ascii="Arial" w:eastAsia="Times New Roman" w:hAnsi="Arial" w:cs="Arial"/>
                <w:sz w:val="20"/>
                <w:szCs w:val="20"/>
                <w:lang w:eastAsia="it-IT"/>
              </w:rPr>
              <w:t xml:space="preserve"> (RCP)</w:t>
            </w:r>
            <w:r w:rsidR="00D1446A" w:rsidRPr="007134EC">
              <w:rPr>
                <w:rFonts w:ascii="Arial" w:eastAsia="Times New Roman" w:hAnsi="Arial" w:cs="Arial"/>
                <w:sz w:val="20"/>
                <w:szCs w:val="20"/>
                <w:lang w:eastAsia="it-IT"/>
              </w:rPr>
              <w:t>, que inclui os temas de ESHS pertinentes ao Programa</w:t>
            </w:r>
            <w:r w:rsidR="001D171A" w:rsidRPr="007134EC">
              <w:rPr>
                <w:rFonts w:ascii="Arial" w:eastAsia="Times New Roman" w:hAnsi="Arial" w:cs="Arial"/>
                <w:sz w:val="20"/>
                <w:szCs w:val="20"/>
                <w:lang w:eastAsia="it-IT"/>
              </w:rPr>
              <w:t xml:space="preserve">, em especial a gestão de </w:t>
            </w:r>
            <w:r w:rsidR="00067436" w:rsidRPr="007134EC">
              <w:rPr>
                <w:rFonts w:ascii="Arial" w:eastAsia="Times New Roman" w:hAnsi="Arial" w:cs="Arial"/>
                <w:sz w:val="20"/>
                <w:szCs w:val="20"/>
                <w:lang w:eastAsia="it-IT"/>
              </w:rPr>
              <w:t>resíduos</w:t>
            </w:r>
            <w:r w:rsidR="00D1446A" w:rsidRPr="007134EC">
              <w:rPr>
                <w:rFonts w:ascii="Arial" w:eastAsia="Times New Roman" w:hAnsi="Arial" w:cs="Arial"/>
                <w:color w:val="0070C0"/>
                <w:sz w:val="20"/>
                <w:szCs w:val="20"/>
                <w:lang w:eastAsia="it-IT"/>
              </w:rPr>
              <w:t xml:space="preserve">. </w:t>
            </w:r>
            <w:r w:rsidR="0085363D" w:rsidRPr="007134EC">
              <w:rPr>
                <w:rFonts w:ascii="Arial" w:eastAsia="Times New Roman" w:hAnsi="Arial" w:cs="Arial"/>
                <w:sz w:val="20"/>
                <w:szCs w:val="20"/>
                <w:lang w:eastAsia="it-IT"/>
              </w:rPr>
              <w:t>Apresentará</w:t>
            </w:r>
            <w:r w:rsidRPr="007134EC">
              <w:rPr>
                <w:rFonts w:ascii="Arial" w:eastAsia="Times New Roman" w:hAnsi="Arial" w:cs="Arial"/>
                <w:sz w:val="20"/>
                <w:szCs w:val="20"/>
                <w:lang w:eastAsia="it-IT"/>
              </w:rPr>
              <w:t xml:space="preserve"> evidê</w:t>
            </w:r>
            <w:r w:rsidR="00D1446A" w:rsidRPr="007134EC">
              <w:rPr>
                <w:rFonts w:ascii="Arial" w:eastAsia="Times New Roman" w:hAnsi="Arial" w:cs="Arial"/>
                <w:sz w:val="20"/>
                <w:szCs w:val="20"/>
                <w:lang w:eastAsia="it-IT"/>
              </w:rPr>
              <w:t>ncia de que o R</w:t>
            </w:r>
            <w:r w:rsidR="00D4701C">
              <w:rPr>
                <w:rFonts w:ascii="Arial" w:eastAsia="Times New Roman" w:hAnsi="Arial" w:cs="Arial"/>
                <w:sz w:val="20"/>
                <w:szCs w:val="20"/>
                <w:lang w:eastAsia="it-IT"/>
              </w:rPr>
              <w:t>C</w:t>
            </w:r>
            <w:r w:rsidR="00D1446A" w:rsidRPr="007134EC">
              <w:rPr>
                <w:rFonts w:ascii="Arial" w:eastAsia="Times New Roman" w:hAnsi="Arial" w:cs="Arial"/>
                <w:sz w:val="20"/>
                <w:szCs w:val="20"/>
                <w:lang w:eastAsia="it-IT"/>
              </w:rPr>
              <w:t>P acordado com o BID se encontra em vigência, incluindo os temas de ESHS</w:t>
            </w:r>
            <w:r w:rsidR="00D1446A" w:rsidRPr="007134EC">
              <w:rPr>
                <w:rFonts w:ascii="Arial" w:eastAsia="Times New Roman" w:hAnsi="Arial" w:cs="Arial"/>
                <w:color w:val="0070C0"/>
                <w:sz w:val="20"/>
                <w:szCs w:val="20"/>
                <w:lang w:eastAsia="it-IT"/>
              </w:rPr>
              <w:t>.</w:t>
            </w:r>
          </w:p>
        </w:tc>
      </w:tr>
      <w:tr w:rsidR="00846FA2" w:rsidRPr="006546A6" w:rsidTr="00BB3A7A">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846FA2" w:rsidRPr="007134EC" w:rsidRDefault="00846FA2" w:rsidP="00846FA2">
            <w:pPr>
              <w:spacing w:before="120" w:after="120"/>
              <w:rPr>
                <w:rFonts w:ascii="Arial" w:eastAsia="Times New Roman" w:hAnsi="Arial" w:cs="Arial"/>
                <w:b/>
                <w:bCs/>
                <w:color w:val="0070C0"/>
                <w:sz w:val="20"/>
                <w:szCs w:val="20"/>
              </w:rPr>
            </w:pPr>
            <w:r w:rsidRPr="007134EC">
              <w:rPr>
                <w:rFonts w:ascii="Arial" w:eastAsia="Times New Roman" w:hAnsi="Arial" w:cs="Arial"/>
                <w:b/>
                <w:bCs/>
                <w:color w:val="0070C0"/>
                <w:sz w:val="20"/>
                <w:szCs w:val="20"/>
              </w:rPr>
              <w:t>2. Condi</w:t>
            </w:r>
            <w:r w:rsidR="001D171A" w:rsidRPr="007134EC">
              <w:rPr>
                <w:rFonts w:ascii="Arial" w:eastAsia="Times New Roman" w:hAnsi="Arial" w:cs="Arial"/>
                <w:b/>
                <w:bCs/>
                <w:color w:val="0070C0"/>
                <w:sz w:val="20"/>
                <w:szCs w:val="20"/>
              </w:rPr>
              <w:t xml:space="preserve">ções </w:t>
            </w:r>
            <w:r w:rsidR="00AF2F59">
              <w:rPr>
                <w:rFonts w:ascii="Arial" w:eastAsia="Times New Roman" w:hAnsi="Arial" w:cs="Arial"/>
                <w:b/>
                <w:bCs/>
                <w:color w:val="0070C0"/>
                <w:sz w:val="20"/>
                <w:szCs w:val="20"/>
              </w:rPr>
              <w:t xml:space="preserve">Especiais </w:t>
            </w:r>
            <w:r w:rsidR="001D171A" w:rsidRPr="007134EC">
              <w:rPr>
                <w:rFonts w:ascii="Arial" w:eastAsia="Times New Roman" w:hAnsi="Arial" w:cs="Arial"/>
                <w:b/>
                <w:bCs/>
                <w:color w:val="0070C0"/>
                <w:sz w:val="20"/>
                <w:szCs w:val="20"/>
              </w:rPr>
              <w:t>de Execução a serem cumpridas durante</w:t>
            </w:r>
            <w:r w:rsidR="00930FE9">
              <w:rPr>
                <w:rFonts w:ascii="Arial" w:eastAsia="Times New Roman" w:hAnsi="Arial" w:cs="Arial"/>
                <w:b/>
                <w:bCs/>
                <w:color w:val="0070C0"/>
                <w:sz w:val="20"/>
                <w:szCs w:val="20"/>
              </w:rPr>
              <w:t xml:space="preserve"> </w:t>
            </w:r>
            <w:r w:rsidR="00AF2F59">
              <w:rPr>
                <w:rFonts w:ascii="Arial" w:eastAsia="Times New Roman" w:hAnsi="Arial" w:cs="Arial"/>
                <w:b/>
                <w:bCs/>
                <w:color w:val="0070C0"/>
                <w:sz w:val="20"/>
                <w:szCs w:val="20"/>
              </w:rPr>
              <w:t>o prazo de desembolsos do Programa</w:t>
            </w:r>
            <w:r w:rsidRPr="007134EC">
              <w:rPr>
                <w:rFonts w:ascii="Arial" w:eastAsia="Times New Roman" w:hAnsi="Arial" w:cs="Arial"/>
                <w:b/>
                <w:bCs/>
                <w:color w:val="0070C0"/>
                <w:sz w:val="20"/>
                <w:szCs w:val="20"/>
              </w:rPr>
              <w:t xml:space="preserve">.  </w:t>
            </w:r>
          </w:p>
          <w:p w:rsidR="00B15690" w:rsidRPr="007134EC" w:rsidRDefault="00316776" w:rsidP="00007A93">
            <w:pPr>
              <w:spacing w:before="120" w:after="120"/>
              <w:jc w:val="both"/>
              <w:rPr>
                <w:rFonts w:ascii="Arial" w:eastAsia="Times New Roman" w:hAnsi="Arial" w:cs="Arial"/>
                <w:sz w:val="20"/>
                <w:szCs w:val="20"/>
              </w:rPr>
            </w:pPr>
            <w:r w:rsidRPr="007134EC">
              <w:rPr>
                <w:rFonts w:ascii="Arial" w:eastAsia="Times New Roman" w:hAnsi="Arial" w:cs="Arial"/>
                <w:sz w:val="20"/>
                <w:szCs w:val="20"/>
              </w:rPr>
              <w:t xml:space="preserve">a) </w:t>
            </w:r>
            <w:r w:rsidR="0084511F" w:rsidRPr="007134EC">
              <w:rPr>
                <w:rFonts w:ascii="Arial" w:eastAsia="Times New Roman" w:hAnsi="Arial" w:cs="Arial"/>
                <w:sz w:val="20"/>
                <w:szCs w:val="20"/>
              </w:rPr>
              <w:t>O R</w:t>
            </w:r>
            <w:r w:rsidR="00D4701C">
              <w:rPr>
                <w:rFonts w:ascii="Arial" w:eastAsia="Times New Roman" w:hAnsi="Arial" w:cs="Arial"/>
                <w:sz w:val="20"/>
                <w:szCs w:val="20"/>
              </w:rPr>
              <w:t>C</w:t>
            </w:r>
            <w:r w:rsidR="0084511F" w:rsidRPr="007134EC">
              <w:rPr>
                <w:rFonts w:ascii="Arial" w:eastAsia="Times New Roman" w:hAnsi="Arial" w:cs="Arial"/>
                <w:sz w:val="20"/>
                <w:szCs w:val="20"/>
              </w:rPr>
              <w:t xml:space="preserve">P do Programa contém as condicionantes de ESHS a serem observadas durante </w:t>
            </w:r>
            <w:r w:rsidR="00AF2F59">
              <w:rPr>
                <w:rFonts w:ascii="Arial" w:eastAsia="Times New Roman" w:hAnsi="Arial" w:cs="Arial"/>
                <w:sz w:val="20"/>
                <w:szCs w:val="20"/>
              </w:rPr>
              <w:t xml:space="preserve">o prazo de desembolsos </w:t>
            </w:r>
            <w:r w:rsidR="0084511F" w:rsidRPr="007134EC">
              <w:rPr>
                <w:rFonts w:ascii="Arial" w:eastAsia="Times New Roman" w:hAnsi="Arial" w:cs="Arial"/>
                <w:sz w:val="20"/>
                <w:szCs w:val="20"/>
              </w:rPr>
              <w:t xml:space="preserve">do </w:t>
            </w:r>
            <w:r w:rsidR="00AF2F59">
              <w:rPr>
                <w:rFonts w:ascii="Arial" w:eastAsia="Times New Roman" w:hAnsi="Arial" w:cs="Arial"/>
                <w:sz w:val="20"/>
                <w:szCs w:val="20"/>
              </w:rPr>
              <w:t>P</w:t>
            </w:r>
            <w:r w:rsidR="0084511F" w:rsidRPr="007134EC">
              <w:rPr>
                <w:rFonts w:ascii="Arial" w:eastAsia="Times New Roman" w:hAnsi="Arial" w:cs="Arial"/>
                <w:sz w:val="20"/>
                <w:szCs w:val="20"/>
              </w:rPr>
              <w:t>rograma, incluindo (i) critérios de elegibilidade de municípios; (</w:t>
            </w:r>
            <w:proofErr w:type="spellStart"/>
            <w:r w:rsidR="0084511F" w:rsidRPr="007134EC">
              <w:rPr>
                <w:rFonts w:ascii="Arial" w:eastAsia="Times New Roman" w:hAnsi="Arial" w:cs="Arial"/>
                <w:sz w:val="20"/>
                <w:szCs w:val="20"/>
              </w:rPr>
              <w:t>ii</w:t>
            </w:r>
            <w:proofErr w:type="spellEnd"/>
            <w:r w:rsidR="0084511F" w:rsidRPr="007134EC">
              <w:rPr>
                <w:rFonts w:ascii="Arial" w:eastAsia="Times New Roman" w:hAnsi="Arial" w:cs="Arial"/>
                <w:sz w:val="20"/>
                <w:szCs w:val="20"/>
              </w:rPr>
              <w:t xml:space="preserve">) critérios de elegibilidade </w:t>
            </w:r>
            <w:r w:rsidR="00F74915" w:rsidRPr="007134EC">
              <w:rPr>
                <w:rFonts w:ascii="Arial" w:eastAsia="Times New Roman" w:hAnsi="Arial" w:cs="Arial"/>
                <w:sz w:val="20"/>
                <w:szCs w:val="20"/>
              </w:rPr>
              <w:t xml:space="preserve">ambientais, sociais, de saúde e de seguridade </w:t>
            </w:r>
            <w:r w:rsidR="0084511F" w:rsidRPr="007134EC">
              <w:rPr>
                <w:rFonts w:ascii="Arial" w:eastAsia="Times New Roman" w:hAnsi="Arial" w:cs="Arial"/>
                <w:sz w:val="20"/>
                <w:szCs w:val="20"/>
              </w:rPr>
              <w:t>para as intervenções do Programa;</w:t>
            </w:r>
            <w:r w:rsidR="007D627A" w:rsidRPr="007134EC">
              <w:rPr>
                <w:rFonts w:ascii="Arial" w:eastAsia="Times New Roman" w:hAnsi="Arial" w:cs="Arial"/>
                <w:sz w:val="20"/>
                <w:szCs w:val="20"/>
              </w:rPr>
              <w:t xml:space="preserve"> e</w:t>
            </w:r>
            <w:r w:rsidR="0084511F" w:rsidRPr="007134EC">
              <w:rPr>
                <w:rFonts w:ascii="Arial" w:eastAsia="Times New Roman" w:hAnsi="Arial" w:cs="Arial"/>
                <w:sz w:val="20"/>
                <w:szCs w:val="20"/>
              </w:rPr>
              <w:t xml:space="preserve"> (</w:t>
            </w:r>
            <w:proofErr w:type="spellStart"/>
            <w:r w:rsidR="0084511F" w:rsidRPr="007134EC">
              <w:rPr>
                <w:rFonts w:ascii="Arial" w:eastAsia="Times New Roman" w:hAnsi="Arial" w:cs="Arial"/>
                <w:sz w:val="20"/>
                <w:szCs w:val="20"/>
              </w:rPr>
              <w:t>iii</w:t>
            </w:r>
            <w:proofErr w:type="spellEnd"/>
            <w:r w:rsidR="0084511F" w:rsidRPr="007134EC">
              <w:rPr>
                <w:rFonts w:ascii="Arial" w:eastAsia="Times New Roman" w:hAnsi="Arial" w:cs="Arial"/>
                <w:sz w:val="20"/>
                <w:szCs w:val="20"/>
              </w:rPr>
              <w:t xml:space="preserve">) </w:t>
            </w:r>
            <w:r w:rsidR="00CC4292" w:rsidRPr="007134EC">
              <w:rPr>
                <w:rFonts w:ascii="Arial" w:eastAsia="Times New Roman" w:hAnsi="Arial" w:cs="Arial"/>
                <w:sz w:val="20"/>
                <w:szCs w:val="20"/>
              </w:rPr>
              <w:t xml:space="preserve">protocolo de gestão de resíduos sólidos. </w:t>
            </w:r>
          </w:p>
          <w:p w:rsidR="00D22E48" w:rsidRPr="007134EC" w:rsidRDefault="00316776" w:rsidP="00007A93">
            <w:pPr>
              <w:spacing w:before="120" w:after="120"/>
              <w:jc w:val="both"/>
              <w:rPr>
                <w:rFonts w:ascii="Arial" w:eastAsia="Times New Roman" w:hAnsi="Arial" w:cs="Arial"/>
                <w:sz w:val="20"/>
                <w:szCs w:val="20"/>
              </w:rPr>
            </w:pPr>
            <w:r w:rsidRPr="007134EC">
              <w:rPr>
                <w:rFonts w:ascii="Arial" w:eastAsia="Times New Roman" w:hAnsi="Arial" w:cs="Arial"/>
                <w:sz w:val="20"/>
                <w:szCs w:val="20"/>
              </w:rPr>
              <w:t xml:space="preserve">b) </w:t>
            </w:r>
            <w:r w:rsidR="00CC4292" w:rsidRPr="007134EC">
              <w:rPr>
                <w:rFonts w:ascii="Arial" w:eastAsia="Times New Roman" w:hAnsi="Arial" w:cs="Arial"/>
                <w:sz w:val="20"/>
                <w:szCs w:val="20"/>
              </w:rPr>
              <w:t>Aprovadas as condições de cumprimento e seguimento de temas de ESHS, toda mudança substancial nessas disposições contidas no R</w:t>
            </w:r>
            <w:r w:rsidR="00D4701C">
              <w:rPr>
                <w:rFonts w:ascii="Arial" w:eastAsia="Times New Roman" w:hAnsi="Arial" w:cs="Arial"/>
                <w:sz w:val="20"/>
                <w:szCs w:val="20"/>
              </w:rPr>
              <w:t>C</w:t>
            </w:r>
            <w:r w:rsidR="00CC4292" w:rsidRPr="007134EC">
              <w:rPr>
                <w:rFonts w:ascii="Arial" w:eastAsia="Times New Roman" w:hAnsi="Arial" w:cs="Arial"/>
                <w:sz w:val="20"/>
                <w:szCs w:val="20"/>
              </w:rPr>
              <w:t xml:space="preserve">P deverá ser enviada por escrito ao BID para </w:t>
            </w:r>
            <w:r w:rsidR="00D42F58" w:rsidRPr="007134EC">
              <w:rPr>
                <w:rFonts w:ascii="Arial" w:eastAsia="Times New Roman" w:hAnsi="Arial" w:cs="Arial"/>
                <w:sz w:val="20"/>
                <w:szCs w:val="20"/>
              </w:rPr>
              <w:t>análise</w:t>
            </w:r>
            <w:r w:rsidR="00CC4292" w:rsidRPr="007134EC">
              <w:rPr>
                <w:rFonts w:ascii="Arial" w:eastAsia="Times New Roman" w:hAnsi="Arial" w:cs="Arial"/>
                <w:sz w:val="20"/>
                <w:szCs w:val="20"/>
              </w:rPr>
              <w:t xml:space="preserve"> de sua consistência</w:t>
            </w:r>
            <w:r w:rsidR="00997E76" w:rsidRPr="007134EC">
              <w:rPr>
                <w:rFonts w:ascii="Arial" w:eastAsia="Times New Roman" w:hAnsi="Arial" w:cs="Arial"/>
                <w:sz w:val="20"/>
                <w:szCs w:val="20"/>
              </w:rPr>
              <w:t xml:space="preserve"> com as </w:t>
            </w:r>
            <w:r w:rsidR="00D42F58" w:rsidRPr="007134EC">
              <w:rPr>
                <w:rFonts w:ascii="Arial" w:eastAsia="Times New Roman" w:hAnsi="Arial" w:cs="Arial"/>
                <w:sz w:val="20"/>
                <w:szCs w:val="20"/>
              </w:rPr>
              <w:t>políticas</w:t>
            </w:r>
            <w:r w:rsidR="00997E76" w:rsidRPr="007134EC">
              <w:rPr>
                <w:rFonts w:ascii="Arial" w:eastAsia="Times New Roman" w:hAnsi="Arial" w:cs="Arial"/>
                <w:sz w:val="20"/>
                <w:szCs w:val="20"/>
              </w:rPr>
              <w:t xml:space="preserve"> do BID e </w:t>
            </w:r>
            <w:r w:rsidR="00D22E48" w:rsidRPr="007134EC">
              <w:rPr>
                <w:rFonts w:ascii="Arial" w:eastAsia="Times New Roman" w:hAnsi="Arial" w:cs="Arial"/>
                <w:sz w:val="20"/>
                <w:szCs w:val="20"/>
              </w:rPr>
              <w:t>não objeção.</w:t>
            </w:r>
          </w:p>
          <w:p w:rsidR="00316776" w:rsidRPr="00B530EF" w:rsidRDefault="00316776" w:rsidP="00316776">
            <w:pPr>
              <w:pStyle w:val="CommentText"/>
              <w:spacing w:before="120" w:after="120"/>
              <w:rPr>
                <w:rFonts w:ascii="Arial" w:hAnsi="Arial" w:cs="Arial"/>
                <w:i/>
                <w:iCs/>
                <w:lang w:val="pt-BR"/>
              </w:rPr>
            </w:pPr>
            <w:r w:rsidRPr="00B530EF">
              <w:rPr>
                <w:rFonts w:ascii="Arial" w:hAnsi="Arial" w:cs="Arial"/>
                <w:lang w:val="pt-BR"/>
              </w:rPr>
              <w:t xml:space="preserve">c) </w:t>
            </w:r>
            <w:r w:rsidR="00C46037" w:rsidRPr="00B530EF">
              <w:rPr>
                <w:rFonts w:ascii="Arial" w:hAnsi="Arial" w:cs="Arial"/>
                <w:lang w:val="pt-BR"/>
              </w:rPr>
              <w:t>O</w:t>
            </w:r>
            <w:r w:rsidR="004E1A93" w:rsidRPr="00B530EF">
              <w:rPr>
                <w:rFonts w:ascii="Arial" w:hAnsi="Arial" w:cs="Arial"/>
                <w:lang w:val="pt-BR"/>
              </w:rPr>
              <w:t xml:space="preserve"> </w:t>
            </w:r>
            <w:r w:rsidR="00C46037" w:rsidRPr="00B530EF">
              <w:rPr>
                <w:rFonts w:ascii="Arial" w:hAnsi="Arial" w:cs="Arial"/>
                <w:lang w:val="pt-BR"/>
              </w:rPr>
              <w:t>Mutuário</w:t>
            </w:r>
            <w:r w:rsidRPr="00B530EF">
              <w:rPr>
                <w:rFonts w:ascii="Arial" w:hAnsi="Arial" w:cs="Arial"/>
                <w:lang w:val="pt-BR"/>
              </w:rPr>
              <w:t xml:space="preserve"> n</w:t>
            </w:r>
            <w:r w:rsidR="00B530EF" w:rsidRPr="00B530EF">
              <w:rPr>
                <w:rFonts w:ascii="Arial" w:hAnsi="Arial" w:cs="Arial"/>
                <w:lang w:val="pt-BR"/>
              </w:rPr>
              <w:t>ã</w:t>
            </w:r>
            <w:r w:rsidRPr="00B530EF">
              <w:rPr>
                <w:rFonts w:ascii="Arial" w:hAnsi="Arial" w:cs="Arial"/>
                <w:lang w:val="pt-BR"/>
              </w:rPr>
              <w:t>o pod</w:t>
            </w:r>
            <w:r w:rsidR="00C46037" w:rsidRPr="00B530EF">
              <w:rPr>
                <w:rFonts w:ascii="Arial" w:hAnsi="Arial" w:cs="Arial"/>
                <w:lang w:val="pt-BR"/>
              </w:rPr>
              <w:t>erá</w:t>
            </w:r>
            <w:r w:rsidRPr="00B530EF">
              <w:rPr>
                <w:rFonts w:ascii="Arial" w:hAnsi="Arial" w:cs="Arial"/>
                <w:lang w:val="pt-BR"/>
              </w:rPr>
              <w:t xml:space="preserve">, </w:t>
            </w:r>
            <w:r w:rsidR="00C46037" w:rsidRPr="00B530EF">
              <w:rPr>
                <w:rFonts w:ascii="Arial" w:hAnsi="Arial" w:cs="Arial"/>
                <w:lang w:val="pt-BR"/>
              </w:rPr>
              <w:t>sem</w:t>
            </w:r>
            <w:r w:rsidRPr="00B530EF">
              <w:rPr>
                <w:rFonts w:ascii="Arial" w:hAnsi="Arial" w:cs="Arial"/>
                <w:lang w:val="pt-BR"/>
              </w:rPr>
              <w:t xml:space="preserve"> </w:t>
            </w:r>
            <w:r w:rsidR="00AF2F59">
              <w:rPr>
                <w:rFonts w:ascii="Arial" w:hAnsi="Arial" w:cs="Arial"/>
                <w:lang w:val="pt-BR"/>
              </w:rPr>
              <w:t xml:space="preserve">o </w:t>
            </w:r>
            <w:r w:rsidR="0013330D" w:rsidRPr="00B530EF">
              <w:rPr>
                <w:rFonts w:ascii="Arial" w:hAnsi="Arial" w:cs="Arial"/>
                <w:lang w:val="pt-BR"/>
              </w:rPr>
              <w:t>prévio</w:t>
            </w:r>
            <w:r w:rsidRPr="00B530EF">
              <w:rPr>
                <w:rFonts w:ascii="Arial" w:hAnsi="Arial" w:cs="Arial"/>
                <w:lang w:val="pt-BR"/>
              </w:rPr>
              <w:t xml:space="preserve"> consentimento escrito </w:t>
            </w:r>
            <w:r w:rsidR="00C46037" w:rsidRPr="00B530EF">
              <w:rPr>
                <w:rFonts w:ascii="Arial" w:hAnsi="Arial" w:cs="Arial"/>
                <w:lang w:val="pt-BR"/>
              </w:rPr>
              <w:t>do</w:t>
            </w:r>
            <w:r w:rsidRPr="00B530EF">
              <w:rPr>
                <w:rFonts w:ascii="Arial" w:hAnsi="Arial" w:cs="Arial"/>
                <w:lang w:val="pt-BR"/>
              </w:rPr>
              <w:t xml:space="preserve"> Banco, </w:t>
            </w:r>
            <w:r w:rsidR="00AF2F59">
              <w:rPr>
                <w:rFonts w:ascii="Arial" w:hAnsi="Arial" w:cs="Arial"/>
                <w:lang w:val="pt-BR"/>
              </w:rPr>
              <w:t xml:space="preserve">realizar </w:t>
            </w:r>
            <w:r w:rsidR="00C46037" w:rsidRPr="00B530EF">
              <w:rPr>
                <w:rFonts w:ascii="Arial" w:hAnsi="Arial" w:cs="Arial"/>
                <w:lang w:val="pt-BR"/>
              </w:rPr>
              <w:t>nenhuma</w:t>
            </w:r>
            <w:r w:rsidRPr="00B530EF">
              <w:rPr>
                <w:rFonts w:ascii="Arial" w:hAnsi="Arial" w:cs="Arial"/>
                <w:lang w:val="pt-BR"/>
              </w:rPr>
              <w:t xml:space="preserve"> das s</w:t>
            </w:r>
            <w:r w:rsidR="00C46037" w:rsidRPr="00B530EF">
              <w:rPr>
                <w:rFonts w:ascii="Arial" w:hAnsi="Arial" w:cs="Arial"/>
                <w:lang w:val="pt-BR"/>
              </w:rPr>
              <w:t>e</w:t>
            </w:r>
            <w:r w:rsidRPr="00B530EF">
              <w:rPr>
                <w:rFonts w:ascii="Arial" w:hAnsi="Arial" w:cs="Arial"/>
                <w:lang w:val="pt-BR"/>
              </w:rPr>
              <w:t>guintes atividades e</w:t>
            </w:r>
            <w:r w:rsidR="00C46037" w:rsidRPr="00B530EF">
              <w:rPr>
                <w:rFonts w:ascii="Arial" w:hAnsi="Arial" w:cs="Arial"/>
                <w:lang w:val="pt-BR"/>
              </w:rPr>
              <w:t xml:space="preserve">m relação </w:t>
            </w:r>
            <w:r w:rsidR="00240D85" w:rsidRPr="00B530EF">
              <w:rPr>
                <w:rFonts w:ascii="Arial" w:hAnsi="Arial" w:cs="Arial"/>
                <w:lang w:val="pt-BR"/>
              </w:rPr>
              <w:t>a</w:t>
            </w:r>
            <w:r w:rsidR="00AF2F59">
              <w:rPr>
                <w:rFonts w:ascii="Arial" w:hAnsi="Arial" w:cs="Arial"/>
                <w:lang w:val="pt-BR"/>
              </w:rPr>
              <w:t>o</w:t>
            </w:r>
            <w:r w:rsidRPr="00B530EF">
              <w:rPr>
                <w:rFonts w:ascii="Arial" w:hAnsi="Arial" w:cs="Arial"/>
                <w:lang w:val="pt-BR"/>
              </w:rPr>
              <w:t xml:space="preserve"> </w:t>
            </w:r>
            <w:r w:rsidR="00AF2F59">
              <w:rPr>
                <w:rFonts w:ascii="Arial" w:hAnsi="Arial" w:cs="Arial"/>
                <w:lang w:val="pt-BR"/>
              </w:rPr>
              <w:t>Programa</w:t>
            </w:r>
            <w:r w:rsidRPr="00B530EF">
              <w:rPr>
                <w:rFonts w:ascii="Arial" w:hAnsi="Arial" w:cs="Arial"/>
                <w:lang w:val="pt-BR"/>
              </w:rPr>
              <w:t xml:space="preserve"> </w:t>
            </w:r>
            <w:r w:rsidR="00C46037" w:rsidRPr="00B530EF">
              <w:rPr>
                <w:rFonts w:ascii="Arial" w:hAnsi="Arial" w:cs="Arial"/>
                <w:lang w:val="pt-BR"/>
              </w:rPr>
              <w:t xml:space="preserve">e </w:t>
            </w:r>
            <w:r w:rsidRPr="00B530EF">
              <w:rPr>
                <w:rFonts w:ascii="Arial" w:hAnsi="Arial" w:cs="Arial"/>
                <w:lang w:val="pt-BR"/>
              </w:rPr>
              <w:t>s</w:t>
            </w:r>
            <w:r w:rsidR="00C46037" w:rsidRPr="00B530EF">
              <w:rPr>
                <w:rFonts w:ascii="Arial" w:hAnsi="Arial" w:cs="Arial"/>
                <w:lang w:val="pt-BR"/>
              </w:rPr>
              <w:t>eu</w:t>
            </w:r>
            <w:r w:rsidRPr="00B530EF">
              <w:rPr>
                <w:rFonts w:ascii="Arial" w:hAnsi="Arial" w:cs="Arial"/>
                <w:lang w:val="pt-BR"/>
              </w:rPr>
              <w:t>s correspondentes Subpro</w:t>
            </w:r>
            <w:r w:rsidR="00C46037" w:rsidRPr="00B530EF">
              <w:rPr>
                <w:rFonts w:ascii="Arial" w:hAnsi="Arial" w:cs="Arial"/>
                <w:lang w:val="pt-BR"/>
              </w:rPr>
              <w:t>j</w:t>
            </w:r>
            <w:r w:rsidRPr="00B530EF">
              <w:rPr>
                <w:rFonts w:ascii="Arial" w:hAnsi="Arial" w:cs="Arial"/>
                <w:lang w:val="pt-BR"/>
              </w:rPr>
              <w:t>etos:</w:t>
            </w:r>
          </w:p>
          <w:p w:rsidR="0084511F" w:rsidRPr="007134EC" w:rsidRDefault="000A5625" w:rsidP="0084511F">
            <w:pPr>
              <w:numPr>
                <w:ilvl w:val="0"/>
                <w:numId w:val="17"/>
              </w:numPr>
              <w:spacing w:before="120" w:after="120"/>
              <w:jc w:val="both"/>
              <w:rPr>
                <w:rFonts w:ascii="Arial" w:eastAsia="Times New Roman" w:hAnsi="Arial" w:cs="Arial"/>
                <w:sz w:val="20"/>
                <w:szCs w:val="20"/>
                <w:lang w:eastAsia="it-IT"/>
              </w:rPr>
            </w:pPr>
            <w:r w:rsidRPr="007134EC">
              <w:rPr>
                <w:rFonts w:ascii="Arial" w:eastAsia="Times New Roman" w:hAnsi="Arial" w:cs="Arial"/>
                <w:sz w:val="20"/>
                <w:szCs w:val="20"/>
                <w:lang w:eastAsia="it-IT"/>
              </w:rPr>
              <w:t xml:space="preserve"> - </w:t>
            </w:r>
            <w:r w:rsidR="0084511F" w:rsidRPr="007134EC">
              <w:rPr>
                <w:rFonts w:ascii="Arial" w:eastAsia="Times New Roman" w:hAnsi="Arial" w:cs="Arial"/>
                <w:sz w:val="20"/>
                <w:szCs w:val="20"/>
                <w:lang w:eastAsia="it-IT"/>
              </w:rPr>
              <w:t>Desapropriação, aquisição ou arrendamento de bens imóveis e benfeitorias;</w:t>
            </w:r>
          </w:p>
          <w:p w:rsidR="0084511F" w:rsidRPr="007134EC" w:rsidRDefault="000A5625" w:rsidP="0084511F">
            <w:pPr>
              <w:numPr>
                <w:ilvl w:val="0"/>
                <w:numId w:val="17"/>
              </w:numPr>
              <w:spacing w:before="120" w:after="120"/>
              <w:jc w:val="both"/>
              <w:rPr>
                <w:rFonts w:ascii="Arial" w:eastAsia="Times New Roman" w:hAnsi="Arial" w:cs="Arial"/>
                <w:sz w:val="20"/>
                <w:szCs w:val="20"/>
                <w:lang w:eastAsia="it-IT"/>
              </w:rPr>
            </w:pPr>
            <w:r w:rsidRPr="007134EC">
              <w:rPr>
                <w:rFonts w:ascii="Arial" w:eastAsia="Times New Roman" w:hAnsi="Arial" w:cs="Arial"/>
                <w:sz w:val="20"/>
                <w:szCs w:val="20"/>
                <w:lang w:eastAsia="it-IT"/>
              </w:rPr>
              <w:t xml:space="preserve"> - </w:t>
            </w:r>
            <w:r w:rsidR="0084511F" w:rsidRPr="007134EC">
              <w:rPr>
                <w:rFonts w:ascii="Arial" w:eastAsia="Times New Roman" w:hAnsi="Arial" w:cs="Arial"/>
                <w:sz w:val="20"/>
                <w:szCs w:val="20"/>
                <w:lang w:eastAsia="it-IT"/>
              </w:rPr>
              <w:t>Projetos com necessidade de reassentamento de famílias e atividades econômicas;</w:t>
            </w:r>
          </w:p>
          <w:p w:rsidR="000A5625" w:rsidRPr="007134EC" w:rsidRDefault="000A5625" w:rsidP="0084511F">
            <w:pPr>
              <w:numPr>
                <w:ilvl w:val="0"/>
                <w:numId w:val="17"/>
              </w:numPr>
              <w:spacing w:before="120" w:after="120"/>
              <w:jc w:val="both"/>
              <w:rPr>
                <w:rFonts w:ascii="Arial" w:eastAsia="Times New Roman" w:hAnsi="Arial" w:cs="Arial"/>
                <w:sz w:val="20"/>
                <w:szCs w:val="20"/>
                <w:lang w:eastAsia="it-IT"/>
              </w:rPr>
            </w:pPr>
            <w:r w:rsidRPr="007134EC">
              <w:rPr>
                <w:rFonts w:ascii="Arial" w:eastAsia="Times New Roman" w:hAnsi="Arial" w:cs="Arial"/>
                <w:sz w:val="20"/>
                <w:szCs w:val="20"/>
                <w:lang w:eastAsia="it-IT"/>
              </w:rPr>
              <w:t xml:space="preserve"> - Projetos em território ou terras indígenas;</w:t>
            </w:r>
          </w:p>
          <w:p w:rsidR="000A5625" w:rsidRPr="007134EC" w:rsidRDefault="000A5625" w:rsidP="000A5625">
            <w:pPr>
              <w:spacing w:before="120" w:after="120"/>
              <w:jc w:val="both"/>
              <w:rPr>
                <w:rFonts w:ascii="Arial" w:eastAsia="Times New Roman" w:hAnsi="Arial" w:cs="Arial"/>
                <w:sz w:val="20"/>
                <w:szCs w:val="20"/>
                <w:lang w:eastAsia="it-IT"/>
              </w:rPr>
            </w:pPr>
            <w:r w:rsidRPr="007134EC">
              <w:rPr>
                <w:rFonts w:ascii="Arial" w:eastAsia="Times New Roman" w:hAnsi="Arial" w:cs="Arial"/>
                <w:sz w:val="20"/>
                <w:szCs w:val="20"/>
                <w:lang w:eastAsia="it-IT"/>
              </w:rPr>
              <w:t xml:space="preserve"> - Empreendimentos que impliquem potenciais impactos ambientais </w:t>
            </w:r>
            <w:r w:rsidR="0088314F">
              <w:rPr>
                <w:rFonts w:ascii="Arial" w:eastAsia="Times New Roman" w:hAnsi="Arial" w:cs="Arial"/>
                <w:sz w:val="20"/>
                <w:szCs w:val="20"/>
                <w:lang w:eastAsia="it-IT"/>
              </w:rPr>
              <w:t>que requerem</w:t>
            </w:r>
            <w:r w:rsidRPr="007134EC">
              <w:rPr>
                <w:rFonts w:ascii="Arial" w:eastAsia="Times New Roman" w:hAnsi="Arial" w:cs="Arial"/>
                <w:sz w:val="20"/>
                <w:szCs w:val="20"/>
                <w:lang w:eastAsia="it-IT"/>
              </w:rPr>
              <w:t xml:space="preserve"> Estudo de Impacto Ambiental – EIA/RIMA</w:t>
            </w:r>
          </w:p>
          <w:p w:rsidR="00846FA2" w:rsidRPr="007134EC" w:rsidRDefault="000A5625" w:rsidP="00D22E48">
            <w:pPr>
              <w:numPr>
                <w:ilvl w:val="0"/>
                <w:numId w:val="17"/>
              </w:numPr>
              <w:spacing w:before="120" w:after="120"/>
              <w:jc w:val="both"/>
              <w:rPr>
                <w:rFonts w:ascii="Arial" w:eastAsia="Times New Roman" w:hAnsi="Arial" w:cs="Arial"/>
                <w:b/>
                <w:bCs/>
                <w:color w:val="0070C0"/>
              </w:rPr>
            </w:pPr>
            <w:r w:rsidRPr="007134EC">
              <w:rPr>
                <w:rFonts w:ascii="Arial" w:eastAsia="Times New Roman" w:hAnsi="Arial" w:cs="Arial"/>
                <w:sz w:val="20"/>
                <w:szCs w:val="20"/>
                <w:lang w:eastAsia="it-IT"/>
              </w:rPr>
              <w:t xml:space="preserve"> - M</w:t>
            </w:r>
            <w:r w:rsidR="0084511F" w:rsidRPr="007134EC">
              <w:rPr>
                <w:rFonts w:ascii="Arial" w:eastAsia="Times New Roman" w:hAnsi="Arial" w:cs="Arial"/>
                <w:sz w:val="20"/>
                <w:szCs w:val="20"/>
                <w:lang w:eastAsia="it-IT"/>
              </w:rPr>
              <w:t>anutenção de vias públicas pavimentadas em serviços do tipo "operação tapa buraco" ou similar, quando não houver acréscimo dos benefícios econômicos futuros e nem geração de incremento significativo na vida útil do bem.</w:t>
            </w:r>
            <w:r w:rsidR="00D22E48" w:rsidRPr="007134EC">
              <w:rPr>
                <w:rFonts w:ascii="Arial" w:eastAsia="Times New Roman" w:hAnsi="Arial" w:cs="Arial"/>
                <w:color w:val="000000" w:themeColor="text1"/>
                <w:sz w:val="20"/>
                <w:szCs w:val="20"/>
              </w:rPr>
              <w:t xml:space="preserve"> </w:t>
            </w:r>
          </w:p>
          <w:p w:rsidR="00A035AB" w:rsidRPr="006546A6" w:rsidRDefault="006546A6" w:rsidP="003E3828">
            <w:pPr>
              <w:spacing w:before="120" w:after="120"/>
              <w:rPr>
                <w:rFonts w:ascii="Arial" w:eastAsia="Times New Roman" w:hAnsi="Arial" w:cs="Arial"/>
                <w:sz w:val="20"/>
                <w:szCs w:val="20"/>
              </w:rPr>
            </w:pPr>
            <w:r w:rsidRPr="006546A6">
              <w:rPr>
                <w:rFonts w:ascii="Arial" w:eastAsia="Times New Roman" w:hAnsi="Arial" w:cs="Arial"/>
                <w:sz w:val="20"/>
                <w:szCs w:val="20"/>
              </w:rPr>
              <w:t xml:space="preserve">d) A utilização dos recursos do </w:t>
            </w:r>
            <w:r w:rsidR="00AF2F59">
              <w:rPr>
                <w:rFonts w:ascii="Arial" w:eastAsia="Times New Roman" w:hAnsi="Arial" w:cs="Arial"/>
                <w:sz w:val="20"/>
                <w:szCs w:val="20"/>
              </w:rPr>
              <w:t xml:space="preserve">empréstimo </w:t>
            </w:r>
            <w:r w:rsidRPr="006546A6">
              <w:rPr>
                <w:rFonts w:ascii="Arial" w:eastAsia="Times New Roman" w:hAnsi="Arial" w:cs="Arial"/>
                <w:sz w:val="20"/>
                <w:szCs w:val="20"/>
              </w:rPr>
              <w:t xml:space="preserve">estará sujeita ao cumprimento das disposições ESHS do </w:t>
            </w:r>
            <w:r w:rsidR="00AF2F59">
              <w:rPr>
                <w:rFonts w:ascii="Arial" w:eastAsia="Times New Roman" w:hAnsi="Arial" w:cs="Arial"/>
                <w:sz w:val="20"/>
                <w:szCs w:val="20"/>
              </w:rPr>
              <w:t xml:space="preserve">Contrato de </w:t>
            </w:r>
            <w:r w:rsidRPr="006546A6">
              <w:rPr>
                <w:rFonts w:ascii="Arial" w:eastAsia="Times New Roman" w:hAnsi="Arial" w:cs="Arial"/>
                <w:sz w:val="20"/>
                <w:szCs w:val="20"/>
              </w:rPr>
              <w:t>Empréstimo, de conformidade</w:t>
            </w:r>
            <w:r>
              <w:rPr>
                <w:rFonts w:ascii="Arial" w:eastAsia="Times New Roman" w:hAnsi="Arial" w:cs="Arial"/>
                <w:sz w:val="20"/>
                <w:szCs w:val="20"/>
              </w:rPr>
              <w:t xml:space="preserve"> com a </w:t>
            </w:r>
            <w:r w:rsidRPr="006546A6">
              <w:rPr>
                <w:rFonts w:ascii="Arial" w:eastAsia="Times New Roman" w:hAnsi="Arial" w:cs="Arial"/>
                <w:sz w:val="20"/>
                <w:szCs w:val="20"/>
              </w:rPr>
              <w:t xml:space="preserve">Cláusula 3.04 </w:t>
            </w:r>
            <w:r w:rsidR="00AF2F59">
              <w:rPr>
                <w:rFonts w:ascii="Arial" w:eastAsia="Times New Roman" w:hAnsi="Arial" w:cs="Arial"/>
                <w:sz w:val="20"/>
                <w:szCs w:val="20"/>
              </w:rPr>
              <w:t>das Normas Gerais do Contrato de Empréstimo</w:t>
            </w:r>
            <w:r w:rsidRPr="006546A6">
              <w:rPr>
                <w:rFonts w:ascii="Arial" w:eastAsia="Times New Roman" w:hAnsi="Arial" w:cs="Arial"/>
                <w:sz w:val="20"/>
                <w:szCs w:val="20"/>
              </w:rPr>
              <w:t>.</w:t>
            </w:r>
          </w:p>
        </w:tc>
      </w:tr>
      <w:tr w:rsidR="00846FA2" w:rsidRPr="004D0079" w:rsidTr="00BB3A7A">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846FA2" w:rsidRPr="007134EC" w:rsidRDefault="00846FA2" w:rsidP="00846FA2">
            <w:pPr>
              <w:spacing w:before="120" w:after="120"/>
              <w:rPr>
                <w:rFonts w:ascii="Arial" w:eastAsia="Times New Roman" w:hAnsi="Arial" w:cs="Arial"/>
                <w:b/>
                <w:bCs/>
                <w:color w:val="0070C0"/>
                <w:sz w:val="20"/>
                <w:szCs w:val="20"/>
              </w:rPr>
            </w:pPr>
            <w:r w:rsidRPr="007134EC">
              <w:rPr>
                <w:rFonts w:ascii="Arial" w:eastAsia="Times New Roman" w:hAnsi="Arial" w:cs="Arial"/>
                <w:b/>
                <w:bCs/>
                <w:color w:val="0070C0"/>
                <w:sz w:val="20"/>
                <w:szCs w:val="20"/>
              </w:rPr>
              <w:t>3. Monitor</w:t>
            </w:r>
            <w:r w:rsidR="00D22E48" w:rsidRPr="007134EC">
              <w:rPr>
                <w:rFonts w:ascii="Arial" w:eastAsia="Times New Roman" w:hAnsi="Arial" w:cs="Arial"/>
                <w:b/>
                <w:bCs/>
                <w:color w:val="0070C0"/>
                <w:sz w:val="20"/>
                <w:szCs w:val="20"/>
              </w:rPr>
              <w:t>amento e Supervisão</w:t>
            </w:r>
            <w:r w:rsidRPr="007134EC">
              <w:rPr>
                <w:rFonts w:ascii="Arial" w:eastAsia="Times New Roman" w:hAnsi="Arial" w:cs="Arial"/>
                <w:b/>
                <w:bCs/>
                <w:color w:val="0070C0"/>
                <w:sz w:val="20"/>
                <w:szCs w:val="20"/>
              </w:rPr>
              <w:t>.</w:t>
            </w:r>
          </w:p>
          <w:p w:rsidR="001234B2" w:rsidRPr="004D0079" w:rsidRDefault="001234B2" w:rsidP="001234B2">
            <w:pPr>
              <w:spacing w:before="120" w:after="120"/>
              <w:rPr>
                <w:rFonts w:ascii="Arial" w:eastAsia="Times New Roman" w:hAnsi="Arial" w:cs="Arial"/>
                <w:sz w:val="20"/>
                <w:szCs w:val="20"/>
              </w:rPr>
            </w:pPr>
            <w:r w:rsidRPr="00B530EF">
              <w:rPr>
                <w:rFonts w:ascii="Arial" w:eastAsia="Times New Roman" w:hAnsi="Arial" w:cs="Arial"/>
                <w:sz w:val="20"/>
                <w:szCs w:val="20"/>
              </w:rPr>
              <w:t xml:space="preserve">a) </w:t>
            </w:r>
            <w:r w:rsidR="004D0079" w:rsidRPr="00B530EF">
              <w:rPr>
                <w:rFonts w:ascii="Arial" w:eastAsia="Times New Roman" w:hAnsi="Arial" w:cs="Arial"/>
                <w:sz w:val="20"/>
                <w:szCs w:val="20"/>
              </w:rPr>
              <w:t xml:space="preserve">Para efeitos de monitoramento e supervisão </w:t>
            </w:r>
            <w:r w:rsidR="00AF2F59">
              <w:rPr>
                <w:rFonts w:ascii="Arial" w:eastAsia="Times New Roman" w:hAnsi="Arial" w:cs="Arial"/>
                <w:sz w:val="20"/>
                <w:szCs w:val="20"/>
              </w:rPr>
              <w:t>do cumprimento</w:t>
            </w:r>
            <w:r w:rsidR="004D0079" w:rsidRPr="00B530EF">
              <w:rPr>
                <w:rFonts w:ascii="Arial" w:eastAsia="Times New Roman" w:hAnsi="Arial" w:cs="Arial"/>
                <w:sz w:val="20"/>
                <w:szCs w:val="20"/>
              </w:rPr>
              <w:t xml:space="preserve"> </w:t>
            </w:r>
            <w:r w:rsidR="00AF2F59">
              <w:rPr>
                <w:rFonts w:ascii="Arial" w:eastAsia="Times New Roman" w:hAnsi="Arial" w:cs="Arial"/>
                <w:sz w:val="20"/>
                <w:szCs w:val="20"/>
              </w:rPr>
              <w:t>das</w:t>
            </w:r>
            <w:r w:rsidR="004D0079">
              <w:rPr>
                <w:rFonts w:ascii="Arial" w:eastAsia="Times New Roman" w:hAnsi="Arial" w:cs="Arial"/>
                <w:sz w:val="20"/>
                <w:szCs w:val="20"/>
              </w:rPr>
              <w:t xml:space="preserve"> condicionantes </w:t>
            </w:r>
            <w:r w:rsidR="004D0079" w:rsidRPr="00B530EF">
              <w:rPr>
                <w:rFonts w:ascii="Arial" w:eastAsia="Times New Roman" w:hAnsi="Arial" w:cs="Arial"/>
                <w:sz w:val="20"/>
                <w:szCs w:val="20"/>
              </w:rPr>
              <w:t>ESHS, são aplicáveis os seguintes requisitos:</w:t>
            </w:r>
          </w:p>
          <w:p w:rsidR="001234B2" w:rsidRPr="00B530EF" w:rsidRDefault="001234B2" w:rsidP="001234B2">
            <w:pPr>
              <w:pStyle w:val="ListParagraph"/>
              <w:spacing w:before="120" w:after="120"/>
              <w:ind w:left="686"/>
              <w:rPr>
                <w:rFonts w:ascii="Arial" w:hAnsi="Arial" w:cs="Arial"/>
                <w:sz w:val="20"/>
                <w:szCs w:val="20"/>
              </w:rPr>
            </w:pPr>
            <w:r w:rsidRPr="00B530EF">
              <w:rPr>
                <w:rFonts w:ascii="Arial" w:hAnsi="Arial" w:cs="Arial"/>
                <w:sz w:val="20"/>
                <w:szCs w:val="20"/>
              </w:rPr>
              <w:t xml:space="preserve">i) </w:t>
            </w:r>
            <w:r w:rsidR="004D0079" w:rsidRPr="00B530EF">
              <w:rPr>
                <w:rFonts w:ascii="Arial" w:hAnsi="Arial" w:cs="Arial"/>
                <w:sz w:val="20"/>
                <w:szCs w:val="20"/>
              </w:rPr>
              <w:t>O Mutuário deve preparar e apresentar, para satisfação do Banco, um Relatório de Conformidade</w:t>
            </w:r>
            <w:r w:rsidR="004D0079">
              <w:rPr>
                <w:rFonts w:ascii="Arial" w:hAnsi="Arial" w:cs="Arial"/>
                <w:sz w:val="20"/>
                <w:szCs w:val="20"/>
              </w:rPr>
              <w:t xml:space="preserve"> Ambiental e Social</w:t>
            </w:r>
            <w:r w:rsidR="004D0079" w:rsidRPr="00B530EF">
              <w:rPr>
                <w:rFonts w:ascii="Arial" w:hAnsi="Arial" w:cs="Arial"/>
                <w:sz w:val="20"/>
                <w:szCs w:val="20"/>
              </w:rPr>
              <w:t xml:space="preserve"> (</w:t>
            </w:r>
            <w:r w:rsidR="004D0079">
              <w:rPr>
                <w:rFonts w:ascii="Arial" w:hAnsi="Arial" w:cs="Arial"/>
                <w:sz w:val="20"/>
                <w:szCs w:val="20"/>
              </w:rPr>
              <w:t>RCAS</w:t>
            </w:r>
            <w:r w:rsidR="004D0079" w:rsidRPr="00B530EF">
              <w:rPr>
                <w:rFonts w:ascii="Arial" w:hAnsi="Arial" w:cs="Arial"/>
                <w:sz w:val="20"/>
                <w:szCs w:val="20"/>
              </w:rPr>
              <w:t>), de forma e conteúdo concordados com o Banco, como parte do relatório de progresso semestral.</w:t>
            </w:r>
          </w:p>
          <w:p w:rsidR="001234B2" w:rsidRPr="00B530EF" w:rsidRDefault="001234B2" w:rsidP="001234B2">
            <w:pPr>
              <w:pStyle w:val="ListParagraph"/>
              <w:spacing w:before="120" w:after="120"/>
              <w:ind w:left="686"/>
              <w:rPr>
                <w:rFonts w:ascii="Arial" w:hAnsi="Arial" w:cs="Arial"/>
                <w:sz w:val="20"/>
                <w:szCs w:val="20"/>
              </w:rPr>
            </w:pPr>
          </w:p>
          <w:p w:rsidR="00846FA2" w:rsidRPr="00B530EF" w:rsidRDefault="001234B2" w:rsidP="00007A93">
            <w:pPr>
              <w:pStyle w:val="ListParagraph"/>
              <w:spacing w:before="120" w:after="120"/>
              <w:ind w:left="686"/>
              <w:jc w:val="both"/>
              <w:rPr>
                <w:rFonts w:ascii="Arial" w:hAnsi="Arial" w:cs="Arial"/>
                <w:sz w:val="20"/>
                <w:szCs w:val="20"/>
              </w:rPr>
            </w:pPr>
            <w:proofErr w:type="spellStart"/>
            <w:r w:rsidRPr="00B530EF">
              <w:rPr>
                <w:rFonts w:ascii="Arial" w:hAnsi="Arial" w:cs="Arial"/>
                <w:iCs/>
                <w:sz w:val="20"/>
                <w:szCs w:val="20"/>
              </w:rPr>
              <w:t>ii</w:t>
            </w:r>
            <w:proofErr w:type="spellEnd"/>
            <w:r w:rsidRPr="00B530EF">
              <w:rPr>
                <w:rFonts w:ascii="Arial" w:eastAsia="Times New Roman" w:hAnsi="Arial" w:cs="Arial"/>
                <w:sz w:val="20"/>
                <w:szCs w:val="20"/>
              </w:rPr>
              <w:t xml:space="preserve">) </w:t>
            </w:r>
            <w:r w:rsidR="003000B6" w:rsidRPr="00B530EF">
              <w:rPr>
                <w:rFonts w:ascii="Arial" w:eastAsia="Times New Roman" w:hAnsi="Arial" w:cs="Arial"/>
                <w:sz w:val="20"/>
                <w:szCs w:val="20"/>
              </w:rPr>
              <w:t>O Mutu</w:t>
            </w:r>
            <w:r w:rsidR="00AF2F59">
              <w:rPr>
                <w:rFonts w:ascii="Arial" w:eastAsia="Times New Roman" w:hAnsi="Arial" w:cs="Arial"/>
                <w:sz w:val="20"/>
                <w:szCs w:val="20"/>
              </w:rPr>
              <w:t>á</w:t>
            </w:r>
            <w:r w:rsidR="003000B6" w:rsidRPr="00B530EF">
              <w:rPr>
                <w:rFonts w:ascii="Arial" w:eastAsia="Times New Roman" w:hAnsi="Arial" w:cs="Arial"/>
                <w:sz w:val="20"/>
                <w:szCs w:val="20"/>
              </w:rPr>
              <w:t xml:space="preserve">rio </w:t>
            </w:r>
            <w:r w:rsidR="00AF2F59">
              <w:rPr>
                <w:rFonts w:ascii="Arial" w:eastAsia="Times New Roman" w:hAnsi="Arial" w:cs="Arial"/>
                <w:sz w:val="20"/>
                <w:szCs w:val="20"/>
              </w:rPr>
              <w:t xml:space="preserve">deverá </w:t>
            </w:r>
            <w:r w:rsidR="003000B6" w:rsidRPr="00B530EF">
              <w:rPr>
                <w:rFonts w:ascii="Arial" w:eastAsia="Times New Roman" w:hAnsi="Arial" w:cs="Arial"/>
                <w:sz w:val="20"/>
                <w:szCs w:val="20"/>
              </w:rPr>
              <w:t xml:space="preserve">cooperar plenamente com o Banco, ou </w:t>
            </w:r>
            <w:r w:rsidR="00AF2F59">
              <w:rPr>
                <w:rFonts w:ascii="Arial" w:eastAsia="Times New Roman" w:hAnsi="Arial" w:cs="Arial"/>
                <w:sz w:val="20"/>
                <w:szCs w:val="20"/>
              </w:rPr>
              <w:t xml:space="preserve">com </w:t>
            </w:r>
            <w:r w:rsidR="003000B6" w:rsidRPr="00B530EF">
              <w:rPr>
                <w:rFonts w:ascii="Arial" w:eastAsia="Times New Roman" w:hAnsi="Arial" w:cs="Arial"/>
                <w:sz w:val="20"/>
                <w:szCs w:val="20"/>
              </w:rPr>
              <w:t>um Consultor ESHS representando</w:t>
            </w:r>
            <w:r w:rsidR="002A3ABD">
              <w:rPr>
                <w:rFonts w:ascii="Arial" w:eastAsia="Times New Roman" w:hAnsi="Arial" w:cs="Arial"/>
                <w:sz w:val="20"/>
                <w:szCs w:val="20"/>
              </w:rPr>
              <w:t xml:space="preserve"> o BID</w:t>
            </w:r>
            <w:r w:rsidR="003000B6" w:rsidRPr="00B530EF">
              <w:rPr>
                <w:rFonts w:ascii="Arial" w:eastAsia="Times New Roman" w:hAnsi="Arial" w:cs="Arial"/>
                <w:sz w:val="20"/>
                <w:szCs w:val="20"/>
              </w:rPr>
              <w:t>, para realizar a supervisão d</w:t>
            </w:r>
            <w:r w:rsidR="00AF2F59">
              <w:rPr>
                <w:rFonts w:ascii="Arial" w:eastAsia="Times New Roman" w:hAnsi="Arial" w:cs="Arial"/>
                <w:sz w:val="20"/>
                <w:szCs w:val="20"/>
              </w:rPr>
              <w:t>o</w:t>
            </w:r>
            <w:r w:rsidR="003000B6" w:rsidRPr="00B530EF">
              <w:rPr>
                <w:rFonts w:ascii="Arial" w:eastAsia="Times New Roman" w:hAnsi="Arial" w:cs="Arial"/>
                <w:sz w:val="20"/>
                <w:szCs w:val="20"/>
              </w:rPr>
              <w:t xml:space="preserve"> </w:t>
            </w:r>
            <w:r w:rsidR="00AF2F59">
              <w:rPr>
                <w:rFonts w:ascii="Arial" w:eastAsia="Times New Roman" w:hAnsi="Arial" w:cs="Arial"/>
                <w:sz w:val="20"/>
                <w:szCs w:val="20"/>
              </w:rPr>
              <w:t>Programa</w:t>
            </w:r>
            <w:r w:rsidR="003000B6" w:rsidRPr="00B530EF">
              <w:rPr>
                <w:rFonts w:ascii="Arial" w:eastAsia="Times New Roman" w:hAnsi="Arial" w:cs="Arial"/>
                <w:sz w:val="20"/>
                <w:szCs w:val="20"/>
              </w:rPr>
              <w:t xml:space="preserve"> e preparar relatórios de monitoramento para (i) verificar o cumprimento da implementação dos requisitos ESHS para </w:t>
            </w:r>
            <w:r w:rsidR="00AF2F59">
              <w:rPr>
                <w:rFonts w:ascii="Arial" w:eastAsia="Times New Roman" w:hAnsi="Arial" w:cs="Arial"/>
                <w:sz w:val="20"/>
                <w:szCs w:val="20"/>
              </w:rPr>
              <w:t>o Programa</w:t>
            </w:r>
            <w:r w:rsidR="003000B6" w:rsidRPr="00B530EF">
              <w:rPr>
                <w:rFonts w:ascii="Arial" w:eastAsia="Times New Roman" w:hAnsi="Arial" w:cs="Arial"/>
                <w:sz w:val="20"/>
                <w:szCs w:val="20"/>
              </w:rPr>
              <w:t xml:space="preserve"> e (</w:t>
            </w:r>
            <w:proofErr w:type="spellStart"/>
            <w:r w:rsidR="003000B6" w:rsidRPr="00B530EF">
              <w:rPr>
                <w:rFonts w:ascii="Arial" w:eastAsia="Times New Roman" w:hAnsi="Arial" w:cs="Arial"/>
                <w:sz w:val="20"/>
                <w:szCs w:val="20"/>
              </w:rPr>
              <w:t>ii</w:t>
            </w:r>
            <w:proofErr w:type="spellEnd"/>
            <w:r w:rsidR="003000B6" w:rsidRPr="00B530EF">
              <w:rPr>
                <w:rFonts w:ascii="Arial" w:eastAsia="Times New Roman" w:hAnsi="Arial" w:cs="Arial"/>
                <w:sz w:val="20"/>
                <w:szCs w:val="20"/>
              </w:rPr>
              <w:t xml:space="preserve">) abordar qualquer impacto ou obrigação ESHS que não tenha sido adequadamente mitigada ou compensada; Para este fim, o Mutuário permitirá e colaborará com o Banco e todos os Consultores ESHS, incluindo exigindo e facilitando o acesso a documentação e </w:t>
            </w:r>
            <w:r w:rsidR="00EE7BAA">
              <w:rPr>
                <w:rFonts w:ascii="Arial" w:eastAsia="Times New Roman" w:hAnsi="Arial" w:cs="Arial"/>
                <w:sz w:val="20"/>
                <w:szCs w:val="20"/>
              </w:rPr>
              <w:t>lugares</w:t>
            </w:r>
            <w:r w:rsidR="003000B6" w:rsidRPr="00B530EF">
              <w:rPr>
                <w:rFonts w:ascii="Arial" w:eastAsia="Times New Roman" w:hAnsi="Arial" w:cs="Arial"/>
                <w:sz w:val="20"/>
                <w:szCs w:val="20"/>
              </w:rPr>
              <w:t xml:space="preserve"> dos Subprojetos.</w:t>
            </w:r>
          </w:p>
        </w:tc>
      </w:tr>
      <w:tr w:rsidR="00846FA2" w:rsidRPr="00464789" w:rsidTr="00BB3A7A">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846FA2" w:rsidRPr="00007A93" w:rsidRDefault="00846FA2" w:rsidP="00846FA2">
            <w:pPr>
              <w:spacing w:before="120" w:after="120"/>
              <w:rPr>
                <w:rFonts w:ascii="Arial" w:eastAsia="Times New Roman" w:hAnsi="Arial" w:cs="Arial"/>
                <w:b/>
                <w:bCs/>
                <w:color w:val="0070C0"/>
                <w:sz w:val="20"/>
                <w:szCs w:val="20"/>
              </w:rPr>
            </w:pPr>
            <w:r w:rsidRPr="00007A93">
              <w:rPr>
                <w:rFonts w:ascii="Arial" w:eastAsia="Times New Roman" w:hAnsi="Arial" w:cs="Arial"/>
                <w:b/>
                <w:bCs/>
                <w:color w:val="0070C0"/>
                <w:sz w:val="20"/>
                <w:szCs w:val="20"/>
              </w:rPr>
              <w:t xml:space="preserve">B. </w:t>
            </w:r>
            <w:r w:rsidR="009F6EEA" w:rsidRPr="00007A93">
              <w:rPr>
                <w:rFonts w:ascii="Arial" w:eastAsia="Times New Roman" w:hAnsi="Arial" w:cs="Arial"/>
                <w:b/>
                <w:bCs/>
                <w:color w:val="0070C0"/>
                <w:sz w:val="20"/>
                <w:szCs w:val="20"/>
              </w:rPr>
              <w:t>Condições</w:t>
            </w:r>
            <w:r w:rsidRPr="00007A93">
              <w:rPr>
                <w:rFonts w:ascii="Arial" w:eastAsia="Times New Roman" w:hAnsi="Arial" w:cs="Arial"/>
                <w:b/>
                <w:bCs/>
                <w:color w:val="0070C0"/>
                <w:sz w:val="20"/>
                <w:szCs w:val="20"/>
              </w:rPr>
              <w:t xml:space="preserve"> ESHS</w:t>
            </w:r>
            <w:r w:rsidR="00B22D50">
              <w:rPr>
                <w:rFonts w:ascii="Arial" w:eastAsia="Times New Roman" w:hAnsi="Arial" w:cs="Arial"/>
                <w:b/>
                <w:bCs/>
                <w:color w:val="0070C0"/>
                <w:sz w:val="20"/>
                <w:szCs w:val="20"/>
              </w:rPr>
              <w:t xml:space="preserve"> </w:t>
            </w:r>
            <w:r w:rsidR="009F6EEA" w:rsidRPr="00007A93">
              <w:rPr>
                <w:rFonts w:ascii="Arial" w:eastAsia="Times New Roman" w:hAnsi="Arial" w:cs="Arial"/>
                <w:b/>
                <w:bCs/>
                <w:color w:val="0070C0"/>
                <w:sz w:val="20"/>
                <w:szCs w:val="20"/>
              </w:rPr>
              <w:t>do RCP</w:t>
            </w:r>
            <w:r w:rsidRPr="00007A93">
              <w:rPr>
                <w:rFonts w:ascii="Arial" w:eastAsia="Times New Roman" w:hAnsi="Arial" w:cs="Arial"/>
                <w:b/>
                <w:bCs/>
                <w:color w:val="0070C0"/>
                <w:sz w:val="20"/>
                <w:szCs w:val="20"/>
              </w:rPr>
              <w:t>.</w:t>
            </w:r>
          </w:p>
          <w:p w:rsidR="00846FA2" w:rsidRPr="00B530EF" w:rsidRDefault="0026131A" w:rsidP="00D05B3B">
            <w:pPr>
              <w:spacing w:before="120" w:after="120"/>
              <w:jc w:val="both"/>
              <w:rPr>
                <w:rFonts w:ascii="Arial" w:eastAsia="Times New Roman" w:hAnsi="Arial" w:cs="Arial"/>
                <w:sz w:val="20"/>
                <w:szCs w:val="20"/>
                <w:lang w:eastAsia="it-IT"/>
              </w:rPr>
            </w:pPr>
            <w:r w:rsidRPr="00B530EF">
              <w:rPr>
                <w:rFonts w:ascii="Arial" w:eastAsia="Times New Roman" w:hAnsi="Arial" w:cs="Arial"/>
                <w:sz w:val="20"/>
                <w:szCs w:val="20"/>
                <w:lang w:eastAsia="it-IT"/>
              </w:rPr>
              <w:t xml:space="preserve">Se exige </w:t>
            </w:r>
            <w:r w:rsidR="009F6EEA">
              <w:rPr>
                <w:rFonts w:ascii="Arial" w:eastAsia="Times New Roman" w:hAnsi="Arial" w:cs="Arial"/>
                <w:sz w:val="20"/>
                <w:szCs w:val="20"/>
                <w:lang w:eastAsia="it-IT"/>
              </w:rPr>
              <w:t>o cumprimento d</w:t>
            </w:r>
            <w:r w:rsidR="00E8232F" w:rsidRPr="00B530EF">
              <w:rPr>
                <w:rFonts w:ascii="Arial" w:eastAsia="Times New Roman" w:hAnsi="Arial" w:cs="Arial"/>
                <w:sz w:val="20"/>
                <w:szCs w:val="20"/>
                <w:lang w:eastAsia="it-IT"/>
              </w:rPr>
              <w:t xml:space="preserve">as seguintes condicionantes ESHS, a </w:t>
            </w:r>
            <w:r w:rsidR="00464789" w:rsidRPr="00F725A0">
              <w:rPr>
                <w:rFonts w:ascii="Arial" w:eastAsia="Times New Roman" w:hAnsi="Arial" w:cs="Arial"/>
                <w:sz w:val="20"/>
                <w:szCs w:val="20"/>
                <w:lang w:eastAsia="it-IT"/>
              </w:rPr>
              <w:t>satisfação</w:t>
            </w:r>
            <w:r w:rsidR="00E8232F" w:rsidRPr="00B530EF">
              <w:rPr>
                <w:rFonts w:ascii="Arial" w:eastAsia="Times New Roman" w:hAnsi="Arial" w:cs="Arial"/>
                <w:sz w:val="20"/>
                <w:szCs w:val="20"/>
                <w:lang w:eastAsia="it-IT"/>
              </w:rPr>
              <w:t xml:space="preserve"> do BID, que na sua vez </w:t>
            </w:r>
            <w:r w:rsidR="00464789" w:rsidRPr="00F725A0">
              <w:rPr>
                <w:rFonts w:ascii="Arial" w:eastAsia="Times New Roman" w:hAnsi="Arial" w:cs="Arial"/>
                <w:sz w:val="20"/>
                <w:szCs w:val="20"/>
                <w:lang w:eastAsia="it-IT"/>
              </w:rPr>
              <w:t>formarão</w:t>
            </w:r>
            <w:r w:rsidR="00E8232F" w:rsidRPr="00B530EF">
              <w:rPr>
                <w:rFonts w:ascii="Arial" w:eastAsia="Times New Roman" w:hAnsi="Arial" w:cs="Arial"/>
                <w:sz w:val="20"/>
                <w:szCs w:val="20"/>
                <w:lang w:eastAsia="it-IT"/>
              </w:rPr>
              <w:t xml:space="preserve"> </w:t>
            </w:r>
            <w:r w:rsidR="00464789" w:rsidRPr="00B530EF">
              <w:rPr>
                <w:rFonts w:ascii="Arial" w:eastAsia="Times New Roman" w:hAnsi="Arial" w:cs="Arial"/>
                <w:sz w:val="20"/>
                <w:szCs w:val="20"/>
                <w:lang w:eastAsia="it-IT"/>
              </w:rPr>
              <w:t>parte do</w:t>
            </w:r>
            <w:r w:rsidR="00B22D50">
              <w:rPr>
                <w:rFonts w:ascii="Arial" w:eastAsia="Times New Roman" w:hAnsi="Arial" w:cs="Arial"/>
                <w:sz w:val="20"/>
                <w:szCs w:val="20"/>
                <w:lang w:eastAsia="it-IT"/>
              </w:rPr>
              <w:t xml:space="preserve"> </w:t>
            </w:r>
            <w:r w:rsidR="009F6EEA">
              <w:rPr>
                <w:rFonts w:ascii="Arial" w:eastAsia="Times New Roman" w:hAnsi="Arial" w:cs="Arial"/>
                <w:sz w:val="20"/>
                <w:szCs w:val="20"/>
                <w:lang w:eastAsia="it-IT"/>
              </w:rPr>
              <w:t>RCP</w:t>
            </w:r>
            <w:r w:rsidR="00464789" w:rsidRPr="00F725A0">
              <w:rPr>
                <w:rFonts w:ascii="Arial" w:eastAsia="Times New Roman" w:hAnsi="Arial" w:cs="Arial"/>
                <w:sz w:val="20"/>
                <w:szCs w:val="20"/>
                <w:lang w:eastAsia="it-IT"/>
              </w:rPr>
              <w:t>, com o fim de cumprir com as Políticas de Salvaguardas ESHS do BID.</w:t>
            </w:r>
            <w:r w:rsidRPr="00B530EF">
              <w:rPr>
                <w:rFonts w:ascii="Arial" w:eastAsia="Times New Roman" w:hAnsi="Arial" w:cs="Arial"/>
                <w:sz w:val="20"/>
                <w:szCs w:val="20"/>
                <w:lang w:eastAsia="it-IT"/>
              </w:rPr>
              <w:t xml:space="preserve"> </w:t>
            </w:r>
          </w:p>
        </w:tc>
      </w:tr>
      <w:tr w:rsidR="00846FA2" w:rsidRPr="00935703" w:rsidTr="00BB3A7A">
        <w:trPr>
          <w:trHeight w:val="236"/>
        </w:trPr>
        <w:tc>
          <w:tcPr>
            <w:tcW w:w="9990"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15" w:type="dxa"/>
              <w:left w:w="105" w:type="dxa"/>
              <w:bottom w:w="15" w:type="dxa"/>
              <w:right w:w="105" w:type="dxa"/>
            </w:tcMar>
          </w:tcPr>
          <w:p w:rsidR="007A7DF1" w:rsidRPr="00B530EF" w:rsidRDefault="009F6EEA" w:rsidP="00007A93">
            <w:pPr>
              <w:spacing w:before="120" w:after="120"/>
              <w:jc w:val="both"/>
              <w:rPr>
                <w:rFonts w:ascii="Arial" w:eastAsia="Times New Roman" w:hAnsi="Arial" w:cs="Arial"/>
                <w:b/>
                <w:bCs/>
                <w:sz w:val="20"/>
                <w:szCs w:val="20"/>
              </w:rPr>
            </w:pPr>
            <w:r>
              <w:rPr>
                <w:rFonts w:ascii="Arial" w:eastAsia="Times New Roman" w:hAnsi="Arial" w:cs="Arial"/>
                <w:sz w:val="20"/>
                <w:szCs w:val="20"/>
              </w:rPr>
              <w:t>B</w:t>
            </w:r>
            <w:r w:rsidR="007A7DF1" w:rsidRPr="00B530EF">
              <w:rPr>
                <w:rFonts w:ascii="Arial" w:eastAsia="Times New Roman" w:hAnsi="Arial" w:cs="Arial"/>
                <w:sz w:val="20"/>
                <w:szCs w:val="20"/>
              </w:rPr>
              <w:t xml:space="preserve">.01: Definição: SGAS para o Projeto e </w:t>
            </w:r>
            <w:proofErr w:type="spellStart"/>
            <w:r w:rsidR="007A7DF1" w:rsidRPr="00B530EF">
              <w:rPr>
                <w:rFonts w:ascii="Arial" w:eastAsia="Times New Roman" w:hAnsi="Arial" w:cs="Arial"/>
                <w:sz w:val="20"/>
                <w:szCs w:val="20"/>
              </w:rPr>
              <w:t>Sub-projetos</w:t>
            </w:r>
            <w:proofErr w:type="spellEnd"/>
            <w:r w:rsidR="007A7DF1" w:rsidRPr="00B530EF">
              <w:rPr>
                <w:rFonts w:ascii="Arial" w:eastAsia="Times New Roman" w:hAnsi="Arial" w:cs="Arial"/>
                <w:sz w:val="20"/>
                <w:szCs w:val="20"/>
              </w:rPr>
              <w:t>/</w:t>
            </w:r>
            <w:proofErr w:type="spellStart"/>
            <w:r w:rsidR="007A7DF1" w:rsidRPr="00B530EF">
              <w:rPr>
                <w:rFonts w:ascii="Arial" w:eastAsia="Times New Roman" w:hAnsi="Arial" w:cs="Arial"/>
                <w:sz w:val="20"/>
                <w:szCs w:val="20"/>
              </w:rPr>
              <w:t>Sub-empréstimos</w:t>
            </w:r>
            <w:proofErr w:type="spellEnd"/>
            <w:r w:rsidR="007A7DF1" w:rsidRPr="00B530EF">
              <w:rPr>
                <w:rFonts w:ascii="Arial" w:eastAsia="Times New Roman" w:hAnsi="Arial" w:cs="Arial"/>
                <w:sz w:val="20"/>
                <w:szCs w:val="20"/>
              </w:rPr>
              <w:t xml:space="preserve"> se refere a um conjunto de sistemas e compromissos ambientais, sociais, de saúde, e de seguridade (ESHS) que inclui os seguintes elementos: (i) compromissos de políticas, (</w:t>
            </w:r>
            <w:proofErr w:type="spellStart"/>
            <w:r w:rsidR="007A7DF1" w:rsidRPr="00B530EF">
              <w:rPr>
                <w:rFonts w:ascii="Arial" w:eastAsia="Times New Roman" w:hAnsi="Arial" w:cs="Arial"/>
                <w:sz w:val="20"/>
                <w:szCs w:val="20"/>
              </w:rPr>
              <w:t>ii</w:t>
            </w:r>
            <w:proofErr w:type="spellEnd"/>
            <w:r w:rsidR="007A7DF1" w:rsidRPr="00B530EF">
              <w:rPr>
                <w:rFonts w:ascii="Arial" w:eastAsia="Times New Roman" w:hAnsi="Arial" w:cs="Arial"/>
                <w:sz w:val="20"/>
                <w:szCs w:val="20"/>
              </w:rPr>
              <w:t xml:space="preserve">) procedimentos para a classificação, avaliação, </w:t>
            </w:r>
            <w:r w:rsidRPr="00B530EF">
              <w:rPr>
                <w:rFonts w:ascii="Arial" w:eastAsia="Times New Roman" w:hAnsi="Arial" w:cs="Arial"/>
                <w:sz w:val="20"/>
                <w:szCs w:val="20"/>
              </w:rPr>
              <w:t>gestão</w:t>
            </w:r>
            <w:r w:rsidR="007A7DF1" w:rsidRPr="00B530EF">
              <w:rPr>
                <w:rFonts w:ascii="Arial" w:eastAsia="Times New Roman" w:hAnsi="Arial" w:cs="Arial"/>
                <w:sz w:val="20"/>
                <w:szCs w:val="20"/>
              </w:rPr>
              <w:t xml:space="preserve">, e monitoramento dos aspectos ambientais e sociais dos </w:t>
            </w:r>
            <w:proofErr w:type="spellStart"/>
            <w:r w:rsidR="007A7DF1" w:rsidRPr="00B530EF">
              <w:rPr>
                <w:rFonts w:ascii="Arial" w:eastAsia="Times New Roman" w:hAnsi="Arial" w:cs="Arial"/>
                <w:sz w:val="20"/>
                <w:szCs w:val="20"/>
              </w:rPr>
              <w:t>Sub-projetos</w:t>
            </w:r>
            <w:proofErr w:type="spellEnd"/>
            <w:r w:rsidR="007A7DF1" w:rsidRPr="00B530EF">
              <w:rPr>
                <w:rFonts w:ascii="Arial" w:eastAsia="Times New Roman" w:hAnsi="Arial" w:cs="Arial"/>
                <w:sz w:val="20"/>
                <w:szCs w:val="20"/>
              </w:rPr>
              <w:t xml:space="preserve"> (</w:t>
            </w:r>
            <w:proofErr w:type="spellStart"/>
            <w:r w:rsidR="007A7DF1" w:rsidRPr="00B530EF">
              <w:rPr>
                <w:rFonts w:ascii="Arial" w:eastAsia="Times New Roman" w:hAnsi="Arial" w:cs="Arial"/>
                <w:sz w:val="20"/>
                <w:szCs w:val="20"/>
              </w:rPr>
              <w:t>iii</w:t>
            </w:r>
            <w:proofErr w:type="spellEnd"/>
            <w:r w:rsidR="007A7DF1" w:rsidRPr="00B530EF">
              <w:rPr>
                <w:rFonts w:ascii="Arial" w:eastAsia="Times New Roman" w:hAnsi="Arial" w:cs="Arial"/>
                <w:sz w:val="20"/>
                <w:szCs w:val="20"/>
              </w:rPr>
              <w:t>) normas de cumprimento ESHS, (</w:t>
            </w:r>
            <w:proofErr w:type="spellStart"/>
            <w:r w:rsidR="007A7DF1" w:rsidRPr="00B530EF">
              <w:rPr>
                <w:rFonts w:ascii="Arial" w:eastAsia="Times New Roman" w:hAnsi="Arial" w:cs="Arial"/>
                <w:sz w:val="20"/>
                <w:szCs w:val="20"/>
              </w:rPr>
              <w:t>iv</w:t>
            </w:r>
            <w:proofErr w:type="spellEnd"/>
            <w:r w:rsidR="007A7DF1" w:rsidRPr="00B530EF">
              <w:rPr>
                <w:rFonts w:ascii="Arial" w:eastAsia="Times New Roman" w:hAnsi="Arial" w:cs="Arial"/>
                <w:sz w:val="20"/>
                <w:szCs w:val="20"/>
              </w:rPr>
              <w:t>)</w:t>
            </w:r>
            <w:r w:rsidR="00B22D50">
              <w:rPr>
                <w:rFonts w:ascii="Arial" w:eastAsia="Times New Roman" w:hAnsi="Arial" w:cs="Arial"/>
                <w:sz w:val="20"/>
                <w:szCs w:val="20"/>
              </w:rPr>
              <w:t xml:space="preserve"> </w:t>
            </w:r>
            <w:r>
              <w:rPr>
                <w:rFonts w:ascii="Arial" w:eastAsia="Times New Roman" w:hAnsi="Arial" w:cs="Arial"/>
                <w:sz w:val="20"/>
                <w:szCs w:val="20"/>
              </w:rPr>
              <w:t>funções</w:t>
            </w:r>
            <w:r w:rsidR="007A7DF1" w:rsidRPr="00B530EF">
              <w:rPr>
                <w:rFonts w:ascii="Arial" w:eastAsia="Times New Roman" w:hAnsi="Arial" w:cs="Arial"/>
                <w:sz w:val="20"/>
                <w:szCs w:val="20"/>
              </w:rPr>
              <w:t xml:space="preserve">, </w:t>
            </w:r>
            <w:r w:rsidR="007A7DF1" w:rsidRPr="00B530EF">
              <w:rPr>
                <w:rFonts w:ascii="Arial" w:eastAsia="Times New Roman" w:hAnsi="Arial" w:cs="Arial"/>
                <w:sz w:val="20"/>
                <w:szCs w:val="20"/>
              </w:rPr>
              <w:lastRenderedPageBreak/>
              <w:t>responsabilidades e recursos para a gestão ESHS, (v) capacitação e desenvolvimento de capacidades, (vi) relatórios e documentação, e (</w:t>
            </w:r>
            <w:proofErr w:type="spellStart"/>
            <w:r w:rsidR="007A7DF1" w:rsidRPr="00B530EF">
              <w:rPr>
                <w:rFonts w:ascii="Arial" w:eastAsia="Times New Roman" w:hAnsi="Arial" w:cs="Arial"/>
                <w:sz w:val="20"/>
                <w:szCs w:val="20"/>
              </w:rPr>
              <w:t>vii</w:t>
            </w:r>
            <w:proofErr w:type="spellEnd"/>
            <w:r w:rsidR="007A7DF1" w:rsidRPr="00B530EF">
              <w:rPr>
                <w:rFonts w:ascii="Arial" w:eastAsia="Times New Roman" w:hAnsi="Arial" w:cs="Arial"/>
                <w:sz w:val="20"/>
                <w:szCs w:val="20"/>
              </w:rPr>
              <w:t>) um procedimento de melhoras continuas.</w:t>
            </w:r>
          </w:p>
          <w:p w:rsidR="005623B5" w:rsidRPr="00B530EF" w:rsidRDefault="009F6EEA" w:rsidP="00007A93">
            <w:pPr>
              <w:spacing w:before="120" w:after="120"/>
              <w:jc w:val="both"/>
              <w:rPr>
                <w:rFonts w:ascii="Arial" w:eastAsia="Times New Roman" w:hAnsi="Arial" w:cs="Arial"/>
                <w:sz w:val="20"/>
                <w:szCs w:val="20"/>
              </w:rPr>
            </w:pPr>
            <w:r>
              <w:rPr>
                <w:rFonts w:ascii="Arial" w:eastAsia="Times New Roman" w:hAnsi="Arial" w:cs="Arial"/>
                <w:sz w:val="20"/>
                <w:szCs w:val="20"/>
              </w:rPr>
              <w:t>B</w:t>
            </w:r>
            <w:r w:rsidR="005623B5" w:rsidRPr="00B530EF">
              <w:rPr>
                <w:rFonts w:ascii="Arial" w:eastAsia="Times New Roman" w:hAnsi="Arial" w:cs="Arial"/>
                <w:sz w:val="20"/>
                <w:szCs w:val="20"/>
              </w:rPr>
              <w:t xml:space="preserve">.02: SGAS: Para </w:t>
            </w:r>
            <w:r>
              <w:rPr>
                <w:rFonts w:ascii="Arial" w:eastAsia="Times New Roman" w:hAnsi="Arial" w:cs="Arial"/>
                <w:sz w:val="20"/>
                <w:szCs w:val="20"/>
              </w:rPr>
              <w:t>o Programa</w:t>
            </w:r>
            <w:r w:rsidR="005623B5" w:rsidRPr="00B530EF">
              <w:rPr>
                <w:rFonts w:ascii="Arial" w:eastAsia="Times New Roman" w:hAnsi="Arial" w:cs="Arial"/>
                <w:sz w:val="20"/>
                <w:szCs w:val="20"/>
              </w:rPr>
              <w:t xml:space="preserve">, o SGAS </w:t>
            </w:r>
            <w:r w:rsidR="0074484F" w:rsidRPr="00B530EF">
              <w:rPr>
                <w:rFonts w:ascii="Arial" w:eastAsia="Times New Roman" w:hAnsi="Arial" w:cs="Arial"/>
                <w:sz w:val="20"/>
                <w:szCs w:val="20"/>
              </w:rPr>
              <w:t>deverá</w:t>
            </w:r>
            <w:r w:rsidR="005623B5" w:rsidRPr="00B530EF">
              <w:rPr>
                <w:rFonts w:ascii="Arial" w:eastAsia="Times New Roman" w:hAnsi="Arial" w:cs="Arial"/>
                <w:sz w:val="20"/>
                <w:szCs w:val="20"/>
              </w:rPr>
              <w:t xml:space="preserve"> incluir os </w:t>
            </w:r>
            <w:r w:rsidR="0074484F" w:rsidRPr="00B530EF">
              <w:rPr>
                <w:rFonts w:ascii="Arial" w:eastAsia="Times New Roman" w:hAnsi="Arial" w:cs="Arial"/>
                <w:sz w:val="20"/>
                <w:szCs w:val="20"/>
              </w:rPr>
              <w:t>seguintes</w:t>
            </w:r>
            <w:r w:rsidR="005623B5" w:rsidRPr="00B530EF">
              <w:rPr>
                <w:rFonts w:ascii="Arial" w:eastAsia="Times New Roman" w:hAnsi="Arial" w:cs="Arial"/>
                <w:sz w:val="20"/>
                <w:szCs w:val="20"/>
              </w:rPr>
              <w:t xml:space="preserve"> elementos y compromissos: </w:t>
            </w:r>
          </w:p>
          <w:p w:rsidR="0088261C" w:rsidRPr="00C47BCE" w:rsidRDefault="0088261C" w:rsidP="00007A93">
            <w:pPr>
              <w:spacing w:before="120" w:after="120"/>
              <w:jc w:val="both"/>
              <w:rPr>
                <w:rFonts w:ascii="Arial" w:eastAsia="Times New Roman" w:hAnsi="Arial" w:cs="Arial"/>
                <w:sz w:val="20"/>
                <w:szCs w:val="20"/>
              </w:rPr>
            </w:pPr>
            <w:r w:rsidRPr="00B530EF">
              <w:rPr>
                <w:rFonts w:ascii="Arial" w:eastAsia="Times New Roman" w:hAnsi="Arial" w:cs="Arial"/>
                <w:sz w:val="20"/>
                <w:szCs w:val="20"/>
              </w:rPr>
              <w:t xml:space="preserve">a) No que refere ao desenho, construção, operação, </w:t>
            </w:r>
            <w:r w:rsidR="009F6EEA">
              <w:rPr>
                <w:rFonts w:ascii="Arial" w:eastAsia="Times New Roman" w:hAnsi="Arial" w:cs="Arial"/>
                <w:sz w:val="20"/>
                <w:szCs w:val="20"/>
              </w:rPr>
              <w:t xml:space="preserve">manutenção </w:t>
            </w:r>
            <w:r w:rsidRPr="00B530EF">
              <w:rPr>
                <w:rFonts w:ascii="Arial" w:eastAsia="Times New Roman" w:hAnsi="Arial" w:cs="Arial"/>
                <w:sz w:val="20"/>
                <w:szCs w:val="20"/>
              </w:rPr>
              <w:t xml:space="preserve">e monitoramento de cada </w:t>
            </w:r>
            <w:proofErr w:type="spellStart"/>
            <w:r w:rsidRPr="00B530EF">
              <w:rPr>
                <w:rFonts w:ascii="Arial" w:eastAsia="Times New Roman" w:hAnsi="Arial" w:cs="Arial"/>
                <w:sz w:val="20"/>
                <w:szCs w:val="20"/>
              </w:rPr>
              <w:t>Sub-projeto</w:t>
            </w:r>
            <w:proofErr w:type="spellEnd"/>
            <w:r w:rsidRPr="00B530EF">
              <w:rPr>
                <w:rFonts w:ascii="Arial" w:eastAsia="Times New Roman" w:hAnsi="Arial" w:cs="Arial"/>
                <w:sz w:val="20"/>
                <w:szCs w:val="20"/>
              </w:rPr>
              <w:t xml:space="preserve">, atividade de Projeto </w:t>
            </w:r>
            <w:r w:rsidR="00B22D50">
              <w:rPr>
                <w:rFonts w:ascii="Arial" w:eastAsia="Times New Roman" w:hAnsi="Arial" w:cs="Arial"/>
                <w:sz w:val="20"/>
                <w:szCs w:val="20"/>
              </w:rPr>
              <w:t>e</w:t>
            </w:r>
            <w:r w:rsidRPr="00B530EF">
              <w:rPr>
                <w:rFonts w:ascii="Arial" w:eastAsia="Times New Roman" w:hAnsi="Arial" w:cs="Arial"/>
                <w:sz w:val="20"/>
                <w:szCs w:val="20"/>
              </w:rPr>
              <w:t xml:space="preserve"> </w:t>
            </w:r>
            <w:proofErr w:type="spellStart"/>
            <w:r w:rsidRPr="00B530EF">
              <w:rPr>
                <w:rFonts w:ascii="Arial" w:eastAsia="Times New Roman" w:hAnsi="Arial" w:cs="Arial"/>
                <w:sz w:val="20"/>
                <w:szCs w:val="20"/>
              </w:rPr>
              <w:t>Sub-projeto</w:t>
            </w:r>
            <w:proofErr w:type="spellEnd"/>
            <w:r w:rsidRPr="00B530EF">
              <w:rPr>
                <w:rFonts w:ascii="Arial" w:eastAsia="Times New Roman" w:hAnsi="Arial" w:cs="Arial"/>
                <w:sz w:val="20"/>
                <w:szCs w:val="20"/>
              </w:rPr>
              <w:t xml:space="preserve">, o Mutuário se compromete a cumprir e garantir que cada </w:t>
            </w:r>
            <w:proofErr w:type="spellStart"/>
            <w:r w:rsidRPr="00B530EF">
              <w:rPr>
                <w:rFonts w:ascii="Arial" w:eastAsia="Times New Roman" w:hAnsi="Arial" w:cs="Arial"/>
                <w:sz w:val="20"/>
                <w:szCs w:val="20"/>
              </w:rPr>
              <w:t>Sub-mutuário</w:t>
            </w:r>
            <w:proofErr w:type="spellEnd"/>
            <w:r w:rsidRPr="00B530EF">
              <w:rPr>
                <w:rFonts w:ascii="Arial" w:eastAsia="Times New Roman" w:hAnsi="Arial" w:cs="Arial"/>
                <w:sz w:val="20"/>
                <w:szCs w:val="20"/>
              </w:rPr>
              <w:t xml:space="preserve"> e outr</w:t>
            </w:r>
            <w:r w:rsidR="00B22D50">
              <w:rPr>
                <w:rFonts w:ascii="Arial" w:eastAsia="Times New Roman" w:hAnsi="Arial" w:cs="Arial"/>
                <w:sz w:val="20"/>
                <w:szCs w:val="20"/>
              </w:rPr>
              <w:t>o</w:t>
            </w:r>
            <w:r w:rsidRPr="00B530EF">
              <w:rPr>
                <w:rFonts w:ascii="Arial" w:eastAsia="Times New Roman" w:hAnsi="Arial" w:cs="Arial"/>
                <w:sz w:val="20"/>
                <w:szCs w:val="20"/>
              </w:rPr>
              <w:t xml:space="preserve">s </w:t>
            </w:r>
            <w:proofErr w:type="spellStart"/>
            <w:r w:rsidRPr="00B530EF">
              <w:rPr>
                <w:rFonts w:ascii="Arial" w:eastAsia="Times New Roman" w:hAnsi="Arial" w:cs="Arial"/>
                <w:sz w:val="20"/>
                <w:szCs w:val="20"/>
              </w:rPr>
              <w:t>sub-contratistas</w:t>
            </w:r>
            <w:proofErr w:type="spellEnd"/>
            <w:r w:rsidRPr="00B530EF">
              <w:rPr>
                <w:rFonts w:ascii="Arial" w:eastAsia="Times New Roman" w:hAnsi="Arial" w:cs="Arial"/>
                <w:sz w:val="20"/>
                <w:szCs w:val="20"/>
              </w:rPr>
              <w:t xml:space="preserve"> que realizam atividades relacionadas ao Programa, cumpram com: (i) as Políticas de Salvaguardas ESHS do Banco, assim como suas respetivas diretrizes de implementação, incluindo</w:t>
            </w:r>
            <w:r w:rsidRPr="00C47BCE">
              <w:t xml:space="preserve"> </w:t>
            </w:r>
            <w:r w:rsidRPr="00B530EF">
              <w:rPr>
                <w:rFonts w:ascii="Arial" w:eastAsia="Times New Roman" w:hAnsi="Arial" w:cs="Arial"/>
                <w:sz w:val="20"/>
                <w:szCs w:val="20"/>
              </w:rPr>
              <w:t xml:space="preserve">a Política de Acesso a </w:t>
            </w:r>
            <w:r w:rsidR="00B22D50" w:rsidRPr="00B530EF">
              <w:rPr>
                <w:rFonts w:ascii="Arial" w:eastAsia="Times New Roman" w:hAnsi="Arial" w:cs="Arial"/>
                <w:sz w:val="20"/>
                <w:szCs w:val="20"/>
              </w:rPr>
              <w:t>Informações</w:t>
            </w:r>
            <w:r w:rsidRPr="00B530EF">
              <w:rPr>
                <w:rFonts w:ascii="Arial" w:eastAsia="Times New Roman" w:hAnsi="Arial" w:cs="Arial"/>
                <w:sz w:val="20"/>
                <w:szCs w:val="20"/>
              </w:rPr>
              <w:t xml:space="preserve"> (OP-102), a Política de Meio Ambiente e Conformidade com Salvaguardas (OP-703), </w:t>
            </w:r>
            <w:r w:rsidR="00B530EF" w:rsidRPr="00B530EF">
              <w:rPr>
                <w:rFonts w:ascii="Arial" w:eastAsia="Times New Roman" w:hAnsi="Arial" w:cs="Arial"/>
                <w:sz w:val="20"/>
                <w:szCs w:val="20"/>
              </w:rPr>
              <w:t>e</w:t>
            </w:r>
            <w:r w:rsidRPr="00B530EF">
              <w:rPr>
                <w:rFonts w:ascii="Arial" w:eastAsia="Times New Roman" w:hAnsi="Arial" w:cs="Arial"/>
                <w:sz w:val="20"/>
                <w:szCs w:val="20"/>
              </w:rPr>
              <w:t xml:space="preserve"> a Política Operacional sobre Igualdade do Género no Desenvolvimento (OP-761), (</w:t>
            </w:r>
            <w:proofErr w:type="spellStart"/>
            <w:r w:rsidRPr="00B530EF">
              <w:rPr>
                <w:rFonts w:ascii="Arial" w:eastAsia="Times New Roman" w:hAnsi="Arial" w:cs="Arial"/>
                <w:sz w:val="20"/>
                <w:szCs w:val="20"/>
              </w:rPr>
              <w:t>ii</w:t>
            </w:r>
            <w:proofErr w:type="spellEnd"/>
            <w:r w:rsidRPr="00B530EF">
              <w:rPr>
                <w:rFonts w:ascii="Arial" w:eastAsia="Times New Roman" w:hAnsi="Arial" w:cs="Arial"/>
                <w:sz w:val="20"/>
                <w:szCs w:val="20"/>
              </w:rPr>
              <w:t xml:space="preserve">) os requerimentos ESHS estabelecidos pela legislação nacional </w:t>
            </w:r>
            <w:r w:rsidR="00B22D50">
              <w:rPr>
                <w:rFonts w:ascii="Arial" w:eastAsia="Times New Roman" w:hAnsi="Arial" w:cs="Arial"/>
                <w:sz w:val="20"/>
                <w:szCs w:val="20"/>
              </w:rPr>
              <w:t xml:space="preserve">vigente </w:t>
            </w:r>
            <w:r w:rsidRPr="00B530EF">
              <w:rPr>
                <w:rFonts w:ascii="Arial" w:eastAsia="Times New Roman" w:hAnsi="Arial" w:cs="Arial"/>
                <w:sz w:val="20"/>
                <w:szCs w:val="20"/>
              </w:rPr>
              <w:t>do Brasil; (</w:t>
            </w:r>
            <w:proofErr w:type="spellStart"/>
            <w:r w:rsidRPr="00B530EF">
              <w:rPr>
                <w:rFonts w:ascii="Arial" w:eastAsia="Times New Roman" w:hAnsi="Arial" w:cs="Arial"/>
                <w:sz w:val="20"/>
                <w:szCs w:val="20"/>
              </w:rPr>
              <w:t>iii</w:t>
            </w:r>
            <w:proofErr w:type="spellEnd"/>
            <w:r w:rsidRPr="00B530EF">
              <w:rPr>
                <w:rFonts w:ascii="Arial" w:eastAsia="Times New Roman" w:hAnsi="Arial" w:cs="Arial"/>
                <w:sz w:val="20"/>
                <w:szCs w:val="20"/>
              </w:rPr>
              <w:t>) os requerimentos ESHS estabelecidos pelo RGAS, e toda atualização acordada com o Banco; (</w:t>
            </w:r>
            <w:proofErr w:type="spellStart"/>
            <w:r w:rsidRPr="00B530EF">
              <w:rPr>
                <w:rFonts w:ascii="Arial" w:eastAsia="Times New Roman" w:hAnsi="Arial" w:cs="Arial"/>
                <w:sz w:val="20"/>
                <w:szCs w:val="20"/>
              </w:rPr>
              <w:t>iv</w:t>
            </w:r>
            <w:proofErr w:type="spellEnd"/>
            <w:r w:rsidRPr="00B530EF">
              <w:rPr>
                <w:rFonts w:ascii="Arial" w:eastAsia="Times New Roman" w:hAnsi="Arial" w:cs="Arial"/>
                <w:sz w:val="20"/>
                <w:szCs w:val="20"/>
              </w:rPr>
              <w:t>) todo plano ESHS específico, incluindo Planos de Ação Corretivos (PAC); e (v) o Protocolo de Gestão de Resíduos elaborado para o Programa (em diante, os “requisitos ambientais e sociais” ou “requerimentos ESHS”).</w:t>
            </w:r>
          </w:p>
          <w:p w:rsidR="00F87028" w:rsidRPr="00935703" w:rsidRDefault="00F87028" w:rsidP="00F87028">
            <w:pPr>
              <w:pStyle w:val="CommentText"/>
              <w:spacing w:before="120" w:after="120"/>
              <w:rPr>
                <w:rFonts w:ascii="Arial" w:hAnsi="Arial" w:cs="Arial"/>
                <w:lang w:val="pt-BR"/>
              </w:rPr>
            </w:pPr>
            <w:r w:rsidRPr="00B530EF">
              <w:rPr>
                <w:rFonts w:ascii="Arial" w:hAnsi="Arial" w:cs="Arial"/>
                <w:lang w:val="pt-BR"/>
              </w:rPr>
              <w:t>b) Não</w:t>
            </w:r>
            <w:r w:rsidR="00B22D50">
              <w:rPr>
                <w:rFonts w:ascii="Arial" w:hAnsi="Arial" w:cs="Arial"/>
                <w:lang w:val="pt-BR"/>
              </w:rPr>
              <w:t xml:space="preserve"> </w:t>
            </w:r>
            <w:r w:rsidR="009F6EEA">
              <w:rPr>
                <w:rFonts w:ascii="Arial" w:hAnsi="Arial" w:cs="Arial"/>
                <w:lang w:val="pt-BR"/>
              </w:rPr>
              <w:t>realizar</w:t>
            </w:r>
            <w:r w:rsidRPr="00B530EF">
              <w:rPr>
                <w:rFonts w:ascii="Arial" w:hAnsi="Arial" w:cs="Arial"/>
                <w:lang w:val="pt-BR"/>
              </w:rPr>
              <w:t xml:space="preserve">, sem prévio consentimento escrito do Banco,  atividade nenhuma relacionada com </w:t>
            </w:r>
            <w:r w:rsidR="009F6EEA">
              <w:rPr>
                <w:rFonts w:ascii="Arial" w:hAnsi="Arial" w:cs="Arial"/>
                <w:lang w:val="pt-BR"/>
              </w:rPr>
              <w:t>o Programa</w:t>
            </w:r>
            <w:r w:rsidRPr="00B530EF">
              <w:rPr>
                <w:rFonts w:ascii="Arial" w:hAnsi="Arial" w:cs="Arial"/>
                <w:lang w:val="pt-BR"/>
              </w:rPr>
              <w:t xml:space="preserve"> ou qualquer de seus </w:t>
            </w:r>
            <w:proofErr w:type="spellStart"/>
            <w:r w:rsidRPr="00B530EF">
              <w:rPr>
                <w:rFonts w:ascii="Arial" w:hAnsi="Arial" w:cs="Arial"/>
                <w:lang w:val="pt-BR"/>
              </w:rPr>
              <w:t>Sub-projetos</w:t>
            </w:r>
            <w:proofErr w:type="spellEnd"/>
            <w:r w:rsidRPr="00B530EF">
              <w:rPr>
                <w:rFonts w:ascii="Arial" w:hAnsi="Arial" w:cs="Arial"/>
                <w:lang w:val="pt-BR"/>
              </w:rPr>
              <w:t xml:space="preserve"> que: (i) possa </w:t>
            </w:r>
            <w:r w:rsidR="009F6EEA">
              <w:rPr>
                <w:rFonts w:ascii="Arial" w:hAnsi="Arial" w:cs="Arial"/>
                <w:lang w:val="pt-BR"/>
              </w:rPr>
              <w:t xml:space="preserve">acarretar </w:t>
            </w:r>
            <w:r w:rsidRPr="00B530EF">
              <w:rPr>
                <w:rFonts w:ascii="Arial" w:hAnsi="Arial" w:cs="Arial"/>
                <w:lang w:val="pt-BR"/>
              </w:rPr>
              <w:t>impactos adversos significativos sobre povos indígenas, suas terras, territórios, ou propriedade intelectual; (</w:t>
            </w:r>
            <w:proofErr w:type="spellStart"/>
            <w:r w:rsidRPr="00B530EF">
              <w:rPr>
                <w:rFonts w:ascii="Arial" w:hAnsi="Arial" w:cs="Arial"/>
                <w:lang w:val="pt-BR"/>
              </w:rPr>
              <w:t>ii</w:t>
            </w:r>
            <w:proofErr w:type="spellEnd"/>
            <w:r w:rsidRPr="00B530EF">
              <w:rPr>
                <w:rFonts w:ascii="Arial" w:hAnsi="Arial" w:cs="Arial"/>
                <w:lang w:val="pt-BR"/>
              </w:rPr>
              <w:t xml:space="preserve">) </w:t>
            </w:r>
            <w:r w:rsidR="009F6EEA">
              <w:rPr>
                <w:rFonts w:ascii="Arial" w:hAnsi="Arial" w:cs="Arial"/>
                <w:lang w:val="pt-BR"/>
              </w:rPr>
              <w:t xml:space="preserve">resulte </w:t>
            </w:r>
            <w:r w:rsidRPr="00B530EF">
              <w:rPr>
                <w:rFonts w:ascii="Arial" w:hAnsi="Arial" w:cs="Arial"/>
                <w:lang w:val="pt-BR"/>
              </w:rPr>
              <w:t>no reassentamento involuntário ou desapropriação de atividades de subsistência de grupos vulneráveis; (</w:t>
            </w:r>
            <w:proofErr w:type="spellStart"/>
            <w:r w:rsidRPr="00B530EF">
              <w:rPr>
                <w:rFonts w:ascii="Arial" w:hAnsi="Arial" w:cs="Arial"/>
                <w:lang w:val="pt-BR"/>
              </w:rPr>
              <w:t>iii</w:t>
            </w:r>
            <w:proofErr w:type="spellEnd"/>
            <w:r w:rsidRPr="00B530EF">
              <w:rPr>
                <w:rFonts w:ascii="Arial" w:hAnsi="Arial" w:cs="Arial"/>
                <w:lang w:val="pt-BR"/>
              </w:rPr>
              <w:t>) afete recursos da biodiversidade crítica ou recursos culturais</w:t>
            </w:r>
            <w:r w:rsidR="009F6EEA">
              <w:rPr>
                <w:rFonts w:ascii="Arial" w:hAnsi="Arial" w:cs="Arial"/>
                <w:lang w:val="pt-BR"/>
              </w:rPr>
              <w:t>;</w:t>
            </w:r>
            <w:r w:rsidRPr="00B530EF">
              <w:rPr>
                <w:rFonts w:ascii="Arial" w:hAnsi="Arial" w:cs="Arial"/>
                <w:lang w:val="pt-BR"/>
              </w:rPr>
              <w:t xml:space="preserve"> o</w:t>
            </w:r>
            <w:r w:rsidR="009F6EEA">
              <w:rPr>
                <w:rFonts w:ascii="Arial" w:hAnsi="Arial" w:cs="Arial"/>
                <w:lang w:val="pt-BR"/>
              </w:rPr>
              <w:t>u</w:t>
            </w:r>
            <w:r w:rsidRPr="00B530EF">
              <w:rPr>
                <w:rFonts w:ascii="Arial" w:hAnsi="Arial" w:cs="Arial"/>
                <w:lang w:val="pt-BR"/>
              </w:rPr>
              <w:t xml:space="preserve"> (</w:t>
            </w:r>
            <w:proofErr w:type="spellStart"/>
            <w:r w:rsidRPr="00B530EF">
              <w:rPr>
                <w:rFonts w:ascii="Arial" w:hAnsi="Arial" w:cs="Arial"/>
                <w:lang w:val="pt-BR"/>
              </w:rPr>
              <w:t>iv</w:t>
            </w:r>
            <w:proofErr w:type="spellEnd"/>
            <w:r w:rsidRPr="00B530EF">
              <w:rPr>
                <w:rFonts w:ascii="Arial" w:hAnsi="Arial" w:cs="Arial"/>
                <w:lang w:val="pt-BR"/>
              </w:rPr>
              <w:t xml:space="preserve">) </w:t>
            </w:r>
            <w:r w:rsidR="009F6EEA">
              <w:rPr>
                <w:rFonts w:ascii="Arial" w:hAnsi="Arial" w:cs="Arial"/>
                <w:lang w:val="pt-BR"/>
              </w:rPr>
              <w:t xml:space="preserve">caracterize </w:t>
            </w:r>
            <w:r w:rsidRPr="00B530EF">
              <w:rPr>
                <w:rFonts w:ascii="Arial" w:hAnsi="Arial" w:cs="Arial"/>
                <w:lang w:val="pt-BR"/>
              </w:rPr>
              <w:t xml:space="preserve">o Programa </w:t>
            </w:r>
            <w:r w:rsidR="009F6EEA">
              <w:rPr>
                <w:rFonts w:ascii="Arial" w:hAnsi="Arial" w:cs="Arial"/>
                <w:lang w:val="pt-BR"/>
              </w:rPr>
              <w:t>como</w:t>
            </w:r>
            <w:r w:rsidRPr="00B530EF">
              <w:rPr>
                <w:rFonts w:ascii="Arial" w:hAnsi="Arial" w:cs="Arial"/>
                <w:lang w:val="pt-BR"/>
              </w:rPr>
              <w:t xml:space="preserve"> B.13 Categoria FI-I (alto risco)</w:t>
            </w:r>
            <w:r w:rsidR="009F6EEA">
              <w:rPr>
                <w:rFonts w:ascii="Arial" w:hAnsi="Arial" w:cs="Arial"/>
                <w:lang w:val="pt-BR"/>
              </w:rPr>
              <w:t xml:space="preserve"> segundo as </w:t>
            </w:r>
            <w:r w:rsidR="009F6EEA" w:rsidRPr="00F725A0">
              <w:rPr>
                <w:rFonts w:ascii="Arial" w:hAnsi="Arial" w:cs="Arial"/>
              </w:rPr>
              <w:t>Políticas de Salvaguardas ESHS do BID</w:t>
            </w:r>
            <w:r w:rsidRPr="00C47BCE">
              <w:rPr>
                <w:rFonts w:ascii="Arial" w:hAnsi="Arial" w:cs="Arial"/>
                <w:lang w:val="pt-BR"/>
              </w:rPr>
              <w:t>.</w:t>
            </w:r>
          </w:p>
          <w:p w:rsidR="001D49B6" w:rsidRPr="00C47BCE" w:rsidRDefault="001D49B6" w:rsidP="00007A93">
            <w:pPr>
              <w:spacing w:before="120" w:after="120"/>
              <w:jc w:val="both"/>
              <w:rPr>
                <w:rFonts w:ascii="Arial" w:hAnsi="Arial" w:cs="Arial"/>
                <w:sz w:val="20"/>
                <w:szCs w:val="20"/>
              </w:rPr>
            </w:pPr>
            <w:r w:rsidRPr="00B530EF">
              <w:rPr>
                <w:rFonts w:ascii="Arial" w:eastAsia="Times New Roman" w:hAnsi="Arial" w:cs="Arial"/>
                <w:sz w:val="20"/>
                <w:szCs w:val="20"/>
              </w:rPr>
              <w:t xml:space="preserve">c) Toda mudança substancial às disposições ESHS, Planos ESHS ou MO-RC que </w:t>
            </w:r>
            <w:r w:rsidR="00736751">
              <w:rPr>
                <w:rFonts w:ascii="Arial" w:eastAsia="Times New Roman" w:hAnsi="Arial" w:cs="Arial"/>
                <w:sz w:val="20"/>
                <w:szCs w:val="20"/>
              </w:rPr>
              <w:t xml:space="preserve">o Mutuário </w:t>
            </w:r>
            <w:r w:rsidRPr="00B530EF">
              <w:rPr>
                <w:rFonts w:ascii="Arial" w:eastAsia="Times New Roman" w:hAnsi="Arial" w:cs="Arial"/>
                <w:sz w:val="20"/>
                <w:szCs w:val="20"/>
              </w:rPr>
              <w:t xml:space="preserve">realize deverá ser </w:t>
            </w:r>
            <w:r w:rsidR="00736751">
              <w:rPr>
                <w:rFonts w:ascii="Arial" w:eastAsia="Times New Roman" w:hAnsi="Arial" w:cs="Arial"/>
                <w:sz w:val="20"/>
                <w:szCs w:val="20"/>
              </w:rPr>
              <w:t xml:space="preserve">formalizada </w:t>
            </w:r>
            <w:r w:rsidRPr="00B530EF">
              <w:rPr>
                <w:rFonts w:ascii="Arial" w:eastAsia="Times New Roman" w:hAnsi="Arial" w:cs="Arial"/>
                <w:sz w:val="20"/>
                <w:szCs w:val="20"/>
              </w:rPr>
              <w:t>por escrito e aprovad</w:t>
            </w:r>
            <w:r w:rsidR="00736751">
              <w:rPr>
                <w:rFonts w:ascii="Arial" w:eastAsia="Times New Roman" w:hAnsi="Arial" w:cs="Arial"/>
                <w:sz w:val="20"/>
                <w:szCs w:val="20"/>
              </w:rPr>
              <w:t>a</w:t>
            </w:r>
            <w:r w:rsidRPr="00B530EF">
              <w:rPr>
                <w:rFonts w:ascii="Arial" w:eastAsia="Times New Roman" w:hAnsi="Arial" w:cs="Arial"/>
                <w:sz w:val="20"/>
                <w:szCs w:val="20"/>
              </w:rPr>
              <w:t xml:space="preserve"> pelo Banco de maneira consistente com as políticas de salvaguardas ambientais e sociais do Banco. </w:t>
            </w:r>
          </w:p>
          <w:p w:rsidR="00846FA2" w:rsidRPr="00E85066" w:rsidRDefault="00C47BCE" w:rsidP="00007A93">
            <w:pPr>
              <w:tabs>
                <w:tab w:val="left" w:pos="6872"/>
              </w:tabs>
              <w:spacing w:before="120" w:after="120"/>
              <w:jc w:val="both"/>
              <w:rPr>
                <w:rFonts w:ascii="Arial" w:eastAsia="Times New Roman" w:hAnsi="Arial" w:cs="Arial"/>
                <w:color w:val="0070C0"/>
                <w:sz w:val="20"/>
                <w:szCs w:val="20"/>
              </w:rPr>
            </w:pPr>
            <w:r w:rsidRPr="00B530EF">
              <w:rPr>
                <w:rFonts w:ascii="Arial" w:eastAsia="Times New Roman" w:hAnsi="Arial" w:cs="Arial"/>
                <w:sz w:val="20"/>
                <w:szCs w:val="20"/>
              </w:rPr>
              <w:t xml:space="preserve">d) No que diz respeito aos </w:t>
            </w:r>
            <w:proofErr w:type="spellStart"/>
            <w:r w:rsidRPr="00B530EF">
              <w:rPr>
                <w:rFonts w:ascii="Arial" w:eastAsia="Times New Roman" w:hAnsi="Arial" w:cs="Arial"/>
                <w:sz w:val="20"/>
                <w:szCs w:val="20"/>
              </w:rPr>
              <w:t>Sub-projetos</w:t>
            </w:r>
            <w:proofErr w:type="spellEnd"/>
            <w:r w:rsidR="00B22D50">
              <w:rPr>
                <w:rFonts w:ascii="Arial" w:eastAsia="Times New Roman" w:hAnsi="Arial" w:cs="Arial"/>
                <w:sz w:val="20"/>
                <w:szCs w:val="20"/>
              </w:rPr>
              <w:t>,</w:t>
            </w:r>
            <w:r w:rsidRPr="00B530EF">
              <w:rPr>
                <w:rFonts w:ascii="Arial" w:eastAsia="Times New Roman" w:hAnsi="Arial" w:cs="Arial"/>
                <w:sz w:val="20"/>
                <w:szCs w:val="20"/>
              </w:rPr>
              <w:t xml:space="preserve"> o Mutuário deverá notificar o Banco </w:t>
            </w:r>
            <w:r w:rsidR="00B22D50">
              <w:rPr>
                <w:rFonts w:ascii="Arial" w:eastAsia="Times New Roman" w:hAnsi="Arial" w:cs="Arial"/>
                <w:sz w:val="20"/>
                <w:szCs w:val="20"/>
              </w:rPr>
              <w:t xml:space="preserve">por </w:t>
            </w:r>
            <w:r w:rsidRPr="00B530EF">
              <w:rPr>
                <w:rFonts w:ascii="Arial" w:eastAsia="Times New Roman" w:hAnsi="Arial" w:cs="Arial"/>
                <w:sz w:val="20"/>
                <w:szCs w:val="20"/>
              </w:rPr>
              <w:t xml:space="preserve">escrito </w:t>
            </w:r>
            <w:r w:rsidR="00B22D50">
              <w:rPr>
                <w:rFonts w:ascii="Arial" w:eastAsia="Times New Roman" w:hAnsi="Arial" w:cs="Arial"/>
                <w:sz w:val="20"/>
                <w:szCs w:val="20"/>
              </w:rPr>
              <w:t>dentro de</w:t>
            </w:r>
            <w:r w:rsidR="00B22D50" w:rsidRPr="00B530EF">
              <w:rPr>
                <w:rFonts w:ascii="Arial" w:eastAsia="Times New Roman" w:hAnsi="Arial" w:cs="Arial"/>
                <w:sz w:val="20"/>
                <w:szCs w:val="20"/>
              </w:rPr>
              <w:t xml:space="preserve"> </w:t>
            </w:r>
            <w:r w:rsidRPr="00B530EF">
              <w:rPr>
                <w:rFonts w:ascii="Arial" w:eastAsia="Times New Roman" w:hAnsi="Arial" w:cs="Arial"/>
                <w:sz w:val="20"/>
                <w:szCs w:val="20"/>
              </w:rPr>
              <w:t xml:space="preserve">prazo não </w:t>
            </w:r>
            <w:r w:rsidR="00736751">
              <w:rPr>
                <w:rFonts w:ascii="Arial" w:eastAsia="Times New Roman" w:hAnsi="Arial" w:cs="Arial"/>
                <w:sz w:val="20"/>
                <w:szCs w:val="20"/>
              </w:rPr>
              <w:t xml:space="preserve">superior </w:t>
            </w:r>
            <w:r w:rsidRPr="00B530EF">
              <w:rPr>
                <w:rFonts w:ascii="Arial" w:eastAsia="Times New Roman" w:hAnsi="Arial" w:cs="Arial"/>
                <w:sz w:val="20"/>
                <w:szCs w:val="20"/>
              </w:rPr>
              <w:t>a dez (10) dias</w:t>
            </w:r>
            <w:r w:rsidR="00B22D50">
              <w:rPr>
                <w:rFonts w:ascii="Arial" w:eastAsia="Times New Roman" w:hAnsi="Arial" w:cs="Arial"/>
                <w:sz w:val="20"/>
                <w:szCs w:val="20"/>
              </w:rPr>
              <w:t>,</w:t>
            </w:r>
            <w:r w:rsidRPr="00B530EF">
              <w:rPr>
                <w:rFonts w:ascii="Arial" w:eastAsia="Times New Roman" w:hAnsi="Arial" w:cs="Arial"/>
                <w:sz w:val="20"/>
                <w:szCs w:val="20"/>
              </w:rPr>
              <w:t xml:space="preserve"> </w:t>
            </w:r>
            <w:r w:rsidR="00736751">
              <w:rPr>
                <w:rFonts w:ascii="Arial" w:eastAsia="Times New Roman" w:hAnsi="Arial" w:cs="Arial"/>
                <w:sz w:val="20"/>
                <w:szCs w:val="20"/>
              </w:rPr>
              <w:t xml:space="preserve">em virtude de </w:t>
            </w:r>
            <w:r w:rsidRPr="00B530EF">
              <w:rPr>
                <w:rFonts w:ascii="Arial" w:eastAsia="Times New Roman" w:hAnsi="Arial" w:cs="Arial"/>
                <w:sz w:val="20"/>
                <w:szCs w:val="20"/>
              </w:rPr>
              <w:t xml:space="preserve">qualquer (1) </w:t>
            </w:r>
            <w:r w:rsidR="00736751">
              <w:rPr>
                <w:rFonts w:ascii="Arial" w:eastAsia="Times New Roman" w:hAnsi="Arial" w:cs="Arial"/>
                <w:sz w:val="20"/>
                <w:szCs w:val="20"/>
              </w:rPr>
              <w:t xml:space="preserve">descumprimento </w:t>
            </w:r>
            <w:r w:rsidRPr="00B530EF">
              <w:rPr>
                <w:rFonts w:ascii="Arial" w:eastAsia="Times New Roman" w:hAnsi="Arial" w:cs="Arial"/>
                <w:sz w:val="20"/>
                <w:szCs w:val="20"/>
              </w:rPr>
              <w:t xml:space="preserve">material potencial ou real com os requerimentos ambientais ou sociais; (2) acidente, incidente ou outro evento significativo, </w:t>
            </w:r>
            <w:r w:rsidRPr="00B530EF">
              <w:rPr>
                <w:rFonts w:ascii="Arial" w:hAnsi="Arial" w:cs="Arial"/>
                <w:iCs/>
                <w:sz w:val="20"/>
                <w:szCs w:val="20"/>
              </w:rPr>
              <w:t>por exemplo, derrames, incêndios</w:t>
            </w:r>
            <w:r w:rsidRPr="00736751">
              <w:rPr>
                <w:rFonts w:ascii="Arial" w:hAnsi="Arial" w:cs="Arial"/>
                <w:iCs/>
                <w:sz w:val="20"/>
                <w:szCs w:val="20"/>
              </w:rPr>
              <w:t xml:space="preserve">, </w:t>
            </w:r>
            <w:r w:rsidR="00736751" w:rsidRPr="00C04EC9">
              <w:rPr>
                <w:rFonts w:ascii="Arial" w:hAnsi="Arial" w:cs="Arial"/>
                <w:iCs/>
                <w:sz w:val="20"/>
                <w:szCs w:val="20"/>
              </w:rPr>
              <w:t xml:space="preserve">despejos </w:t>
            </w:r>
            <w:r w:rsidRPr="00736751">
              <w:rPr>
                <w:rFonts w:ascii="Arial" w:hAnsi="Arial" w:cs="Arial"/>
                <w:iCs/>
                <w:sz w:val="20"/>
                <w:szCs w:val="20"/>
              </w:rPr>
              <w:t xml:space="preserve">de sustâncias </w:t>
            </w:r>
            <w:r w:rsidR="00736751" w:rsidRPr="00096DFC">
              <w:rPr>
                <w:rFonts w:ascii="Arial" w:hAnsi="Arial" w:cs="Arial"/>
                <w:iCs/>
                <w:sz w:val="20"/>
                <w:szCs w:val="20"/>
              </w:rPr>
              <w:t>perigosas</w:t>
            </w:r>
            <w:r w:rsidRPr="00C36390">
              <w:rPr>
                <w:rFonts w:ascii="Arial" w:hAnsi="Arial" w:cs="Arial"/>
                <w:iCs/>
                <w:sz w:val="20"/>
                <w:szCs w:val="20"/>
              </w:rPr>
              <w:t>,</w:t>
            </w:r>
            <w:r w:rsidRPr="00C36390">
              <w:rPr>
                <w:rFonts w:ascii="Arial" w:eastAsia="Times New Roman" w:hAnsi="Arial" w:cs="Arial"/>
                <w:sz w:val="20"/>
                <w:szCs w:val="20"/>
              </w:rPr>
              <w:t xml:space="preserve"> relacionado aos aspectos ESHS; (3) conflito social atual o</w:t>
            </w:r>
            <w:r w:rsidR="00736751" w:rsidRPr="00736751">
              <w:rPr>
                <w:rFonts w:ascii="Arial" w:eastAsia="Times New Roman" w:hAnsi="Arial" w:cs="Arial"/>
                <w:sz w:val="20"/>
                <w:szCs w:val="20"/>
              </w:rPr>
              <w:t>u</w:t>
            </w:r>
            <w:r w:rsidRPr="00736751">
              <w:rPr>
                <w:rFonts w:ascii="Arial" w:eastAsia="Times New Roman" w:hAnsi="Arial" w:cs="Arial"/>
                <w:sz w:val="20"/>
                <w:szCs w:val="20"/>
              </w:rPr>
              <w:t xml:space="preserve"> iminente; (4) ação</w:t>
            </w:r>
            <w:r w:rsidRPr="00B530EF">
              <w:rPr>
                <w:rFonts w:ascii="Arial" w:eastAsia="Times New Roman" w:hAnsi="Arial" w:cs="Arial"/>
                <w:sz w:val="20"/>
                <w:szCs w:val="20"/>
              </w:rPr>
              <w:t xml:space="preserve"> ESHS normativa, </w:t>
            </w:r>
            <w:r w:rsidRPr="00C47BCE">
              <w:rPr>
                <w:rFonts w:ascii="Arial" w:eastAsia="Times New Roman" w:hAnsi="Arial" w:cs="Arial"/>
                <w:iCs/>
                <w:sz w:val="20"/>
                <w:szCs w:val="20"/>
              </w:rPr>
              <w:t xml:space="preserve">por </w:t>
            </w:r>
            <w:r w:rsidRPr="00935703">
              <w:rPr>
                <w:rFonts w:ascii="Arial" w:eastAsia="Times New Roman" w:hAnsi="Arial" w:cs="Arial"/>
                <w:iCs/>
                <w:sz w:val="20"/>
                <w:szCs w:val="20"/>
              </w:rPr>
              <w:t xml:space="preserve">exemplo, </w:t>
            </w:r>
            <w:r w:rsidRPr="00B530EF">
              <w:rPr>
                <w:rFonts w:ascii="Arial" w:hAnsi="Arial" w:cs="Arial"/>
                <w:iCs/>
                <w:sz w:val="20"/>
                <w:szCs w:val="20"/>
              </w:rPr>
              <w:t xml:space="preserve">qualquer inspeção governamental e relatórios e ações regulatórios, mudanças significativas, </w:t>
            </w:r>
            <w:r w:rsidR="00736751">
              <w:rPr>
                <w:rFonts w:ascii="Arial" w:hAnsi="Arial" w:cs="Arial"/>
                <w:iCs/>
                <w:sz w:val="20"/>
                <w:szCs w:val="20"/>
              </w:rPr>
              <w:t xml:space="preserve">reclamações </w:t>
            </w:r>
            <w:r w:rsidRPr="00B530EF">
              <w:rPr>
                <w:rFonts w:ascii="Arial" w:hAnsi="Arial" w:cs="Arial"/>
                <w:iCs/>
                <w:sz w:val="20"/>
                <w:szCs w:val="20"/>
              </w:rPr>
              <w:t>judiciais e/ou arbitrais, etc.</w:t>
            </w:r>
            <w:r w:rsidRPr="00B530EF">
              <w:rPr>
                <w:rFonts w:ascii="Arial" w:eastAsia="Times New Roman" w:hAnsi="Arial" w:cs="Arial"/>
                <w:sz w:val="20"/>
                <w:szCs w:val="20"/>
              </w:rPr>
              <w:t>; ou (5) risco de impacto ambiental ou social adicional identificado, que possa afetar os aspectos ambientais e sociais do Programa</w:t>
            </w:r>
            <w:r w:rsidRPr="00B530EF">
              <w:rPr>
                <w:rFonts w:ascii="Arial" w:hAnsi="Arial" w:cs="Arial"/>
                <w:sz w:val="20"/>
                <w:szCs w:val="20"/>
              </w:rPr>
              <w:t>;</w:t>
            </w:r>
            <w:r w:rsidRPr="00B530EF">
              <w:rPr>
                <w:rFonts w:ascii="Arial" w:eastAsia="Times New Roman" w:hAnsi="Arial" w:cs="Arial"/>
                <w:sz w:val="20"/>
                <w:szCs w:val="20"/>
              </w:rPr>
              <w:t xml:space="preserve"> em cada caso, a notificação deverá incluir ações implementadas ou propostas em relação a tais eventos.</w:t>
            </w:r>
          </w:p>
        </w:tc>
      </w:tr>
    </w:tbl>
    <w:p w:rsidR="00846FA2" w:rsidRPr="00935703" w:rsidRDefault="00846FA2">
      <w:pPr>
        <w:rPr>
          <w:rFonts w:ascii="Arial" w:hAnsi="Arial" w:cs="Arial"/>
          <w:sz w:val="22"/>
          <w:szCs w:val="22"/>
        </w:rPr>
      </w:pPr>
    </w:p>
    <w:sectPr w:rsidR="00846FA2" w:rsidRPr="00935703" w:rsidSect="00846FA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B4CA1" w:rsidRDefault="009B4CA1" w:rsidP="003931F4">
      <w:r>
        <w:separator/>
      </w:r>
    </w:p>
  </w:endnote>
  <w:endnote w:type="continuationSeparator" w:id="0">
    <w:p w:rsidR="009B4CA1" w:rsidRDefault="009B4CA1" w:rsidP="00393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B4CA1" w:rsidRDefault="009B4CA1" w:rsidP="003931F4">
      <w:r>
        <w:separator/>
      </w:r>
    </w:p>
  </w:footnote>
  <w:footnote w:type="continuationSeparator" w:id="0">
    <w:p w:rsidR="009B4CA1" w:rsidRDefault="009B4CA1" w:rsidP="003931F4">
      <w:r>
        <w:continuationSeparator/>
      </w:r>
    </w:p>
  </w:footnote>
  <w:footnote w:id="1">
    <w:p w:rsidR="00930FE9" w:rsidRPr="00440DB8" w:rsidRDefault="00930FE9" w:rsidP="003931F4">
      <w:pPr>
        <w:pStyle w:val="FootnoteText"/>
        <w:rPr>
          <w:sz w:val="18"/>
          <w:szCs w:val="18"/>
          <w:lang w:val="es-ES"/>
        </w:rPr>
      </w:pPr>
      <w:r w:rsidRPr="001B11C3">
        <w:rPr>
          <w:rStyle w:val="FootnoteReference"/>
          <w:sz w:val="18"/>
          <w:szCs w:val="18"/>
        </w:rPr>
        <w:footnoteRef/>
      </w:r>
      <w:r w:rsidRPr="00440DB8">
        <w:rPr>
          <w:sz w:val="18"/>
          <w:szCs w:val="18"/>
          <w:lang w:val="es-ES"/>
        </w:rPr>
        <w:t xml:space="preserve"> Si la clasificación es B.13, </w:t>
      </w:r>
      <w:r>
        <w:rPr>
          <w:sz w:val="18"/>
          <w:szCs w:val="18"/>
          <w:lang w:val="es-ES"/>
        </w:rPr>
        <w:t xml:space="preserve">favor indicar el nivel de riesgo </w:t>
      </w:r>
      <w:r w:rsidRPr="00440DB8">
        <w:rPr>
          <w:sz w:val="18"/>
          <w:szCs w:val="18"/>
          <w:lang w:val="es-ES"/>
        </w:rPr>
        <w:t>(FI1, FI2, o FI3).</w:t>
      </w:r>
    </w:p>
  </w:footnote>
  <w:footnote w:id="2">
    <w:p w:rsidR="00930FE9" w:rsidRPr="00392BB2" w:rsidRDefault="00930FE9" w:rsidP="003931F4">
      <w:pPr>
        <w:pStyle w:val="FootnoteText"/>
        <w:rPr>
          <w:sz w:val="18"/>
          <w:szCs w:val="18"/>
          <w:lang w:val="es-ES"/>
        </w:rPr>
      </w:pPr>
      <w:r w:rsidRPr="00392BB2">
        <w:rPr>
          <w:rStyle w:val="FootnoteReference"/>
          <w:sz w:val="18"/>
          <w:szCs w:val="18"/>
        </w:rPr>
        <w:footnoteRef/>
      </w:r>
      <w:r w:rsidRPr="018E30B1">
        <w:rPr>
          <w:sz w:val="18"/>
          <w:szCs w:val="18"/>
          <w:lang w:val="es-ES"/>
        </w:rPr>
        <w:t xml:space="preserve"> La Clasificación de Riesgo de Desastres se aplica al Escenario de Riesgo Tipo 1 (cuando es probable que el proyecto esté expuesto a riesgos naturales debido a su ubicación geográfica).</w:t>
      </w:r>
    </w:p>
  </w:footnote>
  <w:footnote w:id="3">
    <w:p w:rsidR="00930FE9" w:rsidRPr="00440DB8" w:rsidRDefault="00930FE9" w:rsidP="003931F4">
      <w:pPr>
        <w:pStyle w:val="FootnoteText"/>
        <w:rPr>
          <w:sz w:val="18"/>
          <w:szCs w:val="18"/>
          <w:lang w:val="es-ES"/>
        </w:rPr>
      </w:pPr>
      <w:r w:rsidRPr="00686DDF">
        <w:rPr>
          <w:rStyle w:val="FootnoteReference"/>
          <w:sz w:val="18"/>
          <w:szCs w:val="18"/>
        </w:rPr>
        <w:footnoteRef/>
      </w:r>
      <w:r w:rsidRPr="00440DB8">
        <w:rPr>
          <w:sz w:val="18"/>
          <w:szCs w:val="18"/>
          <w:lang w:val="es-ES"/>
        </w:rPr>
        <w:t xml:space="preserve"> Si se trata de B</w:t>
      </w:r>
      <w:r>
        <w:rPr>
          <w:sz w:val="18"/>
          <w:szCs w:val="18"/>
          <w:lang w:val="es-ES"/>
        </w:rPr>
        <w:t>.</w:t>
      </w:r>
      <w:r w:rsidRPr="00440DB8">
        <w:rPr>
          <w:sz w:val="18"/>
          <w:szCs w:val="18"/>
          <w:lang w:val="es-ES"/>
        </w:rPr>
        <w:t>14 (Préstamos Multifase o Repetidos), se ruega incluir la evaluaci</w:t>
      </w:r>
      <w:r>
        <w:rPr>
          <w:sz w:val="18"/>
          <w:szCs w:val="18"/>
          <w:lang w:val="es-ES"/>
        </w:rPr>
        <w:t>ón/auditoría necesaria.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A1669"/>
    <w:multiLevelType w:val="hybridMultilevel"/>
    <w:tmpl w:val="B068F84E"/>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1480F"/>
    <w:multiLevelType w:val="hybridMultilevel"/>
    <w:tmpl w:val="60C4D548"/>
    <w:lvl w:ilvl="0" w:tplc="15BC4AD6">
      <w:start w:val="1"/>
      <w:numFmt w:val="lowerLetter"/>
      <w:lvlText w:val="%1)"/>
      <w:lvlJc w:val="left"/>
      <w:pPr>
        <w:ind w:left="368" w:hanging="360"/>
      </w:pPr>
      <w:rPr>
        <w:rFonts w:hint="default"/>
        <w:color w:val="0070C0"/>
      </w:rPr>
    </w:lvl>
    <w:lvl w:ilvl="1" w:tplc="04090019" w:tentative="1">
      <w:start w:val="1"/>
      <w:numFmt w:val="lowerLetter"/>
      <w:lvlText w:val="%2."/>
      <w:lvlJc w:val="left"/>
      <w:pPr>
        <w:ind w:left="1088" w:hanging="360"/>
      </w:pPr>
    </w:lvl>
    <w:lvl w:ilvl="2" w:tplc="0409001B" w:tentative="1">
      <w:start w:val="1"/>
      <w:numFmt w:val="lowerRoman"/>
      <w:lvlText w:val="%3."/>
      <w:lvlJc w:val="right"/>
      <w:pPr>
        <w:ind w:left="1808" w:hanging="180"/>
      </w:pPr>
    </w:lvl>
    <w:lvl w:ilvl="3" w:tplc="0409000F" w:tentative="1">
      <w:start w:val="1"/>
      <w:numFmt w:val="decimal"/>
      <w:lvlText w:val="%4."/>
      <w:lvlJc w:val="left"/>
      <w:pPr>
        <w:ind w:left="2528" w:hanging="360"/>
      </w:pPr>
    </w:lvl>
    <w:lvl w:ilvl="4" w:tplc="04090019" w:tentative="1">
      <w:start w:val="1"/>
      <w:numFmt w:val="lowerLetter"/>
      <w:lvlText w:val="%5."/>
      <w:lvlJc w:val="left"/>
      <w:pPr>
        <w:ind w:left="3248" w:hanging="360"/>
      </w:pPr>
    </w:lvl>
    <w:lvl w:ilvl="5" w:tplc="0409001B" w:tentative="1">
      <w:start w:val="1"/>
      <w:numFmt w:val="lowerRoman"/>
      <w:lvlText w:val="%6."/>
      <w:lvlJc w:val="right"/>
      <w:pPr>
        <w:ind w:left="3968" w:hanging="180"/>
      </w:pPr>
    </w:lvl>
    <w:lvl w:ilvl="6" w:tplc="0409000F" w:tentative="1">
      <w:start w:val="1"/>
      <w:numFmt w:val="decimal"/>
      <w:lvlText w:val="%7."/>
      <w:lvlJc w:val="left"/>
      <w:pPr>
        <w:ind w:left="4688" w:hanging="360"/>
      </w:pPr>
    </w:lvl>
    <w:lvl w:ilvl="7" w:tplc="04090019" w:tentative="1">
      <w:start w:val="1"/>
      <w:numFmt w:val="lowerLetter"/>
      <w:lvlText w:val="%8."/>
      <w:lvlJc w:val="left"/>
      <w:pPr>
        <w:ind w:left="5408" w:hanging="360"/>
      </w:pPr>
    </w:lvl>
    <w:lvl w:ilvl="8" w:tplc="0409001B" w:tentative="1">
      <w:start w:val="1"/>
      <w:numFmt w:val="lowerRoman"/>
      <w:lvlText w:val="%9."/>
      <w:lvlJc w:val="right"/>
      <w:pPr>
        <w:ind w:left="6128" w:hanging="180"/>
      </w:pPr>
    </w:lvl>
  </w:abstractNum>
  <w:abstractNum w:abstractNumId="2"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3A2963"/>
    <w:multiLevelType w:val="hybridMultilevel"/>
    <w:tmpl w:val="694E2C84"/>
    <w:lvl w:ilvl="0" w:tplc="B8F2C064">
      <w:start w:val="1"/>
      <w:numFmt w:val="bullet"/>
      <w:lvlText w:val=""/>
      <w:lvlJc w:val="left"/>
      <w:pPr>
        <w:ind w:left="720" w:hanging="360"/>
      </w:pPr>
      <w:rPr>
        <w:rFonts w:ascii="Symbol" w:hAnsi="Symbol" w:hint="default"/>
        <w:lang w:val="es-AR"/>
      </w:rPr>
    </w:lvl>
    <w:lvl w:ilvl="1" w:tplc="32A8D7F4">
      <w:start w:val="1"/>
      <w:numFmt w:val="bullet"/>
      <w:lvlText w:val="o"/>
      <w:lvlJc w:val="left"/>
      <w:pPr>
        <w:ind w:left="1440" w:hanging="360"/>
      </w:pPr>
      <w:rPr>
        <w:rFonts w:ascii="Courier New" w:hAnsi="Courier New" w:cs="Courier New"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FB4AD8"/>
    <w:multiLevelType w:val="hybridMultilevel"/>
    <w:tmpl w:val="98127300"/>
    <w:lvl w:ilvl="0" w:tplc="394C96E6">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255F5A"/>
    <w:multiLevelType w:val="hybridMultilevel"/>
    <w:tmpl w:val="4AEA7B8A"/>
    <w:lvl w:ilvl="0" w:tplc="BC6041DC">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C267B0"/>
    <w:multiLevelType w:val="hybridMultilevel"/>
    <w:tmpl w:val="39D4E17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D2818C3"/>
    <w:multiLevelType w:val="hybridMultilevel"/>
    <w:tmpl w:val="A5C647F4"/>
    <w:lvl w:ilvl="0" w:tplc="DA604654">
      <w:start w:val="1"/>
      <w:numFmt w:val="bullet"/>
      <w:lvlText w:val=""/>
      <w:lvlJc w:val="left"/>
      <w:pPr>
        <w:ind w:left="780" w:hanging="360"/>
      </w:pPr>
      <w:rPr>
        <w:rFonts w:ascii="Symbol" w:hAnsi="Symbol" w:hint="default"/>
        <w:lang w:val="es-AR"/>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 w15:restartNumberingAfterBreak="0">
    <w:nsid w:val="3174612C"/>
    <w:multiLevelType w:val="hybridMultilevel"/>
    <w:tmpl w:val="D56E97B0"/>
    <w:lvl w:ilvl="0" w:tplc="CFB03B20">
      <w:start w:val="1"/>
      <w:numFmt w:val="lowerRoman"/>
      <w:lvlText w:val="(%1)"/>
      <w:lvlJc w:val="left"/>
      <w:pPr>
        <w:ind w:left="1800" w:hanging="720"/>
      </w:pPr>
      <w:rPr>
        <w:rFonts w:hint="default"/>
        <w:lang w:val="es-AR"/>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37BD0DA5"/>
    <w:multiLevelType w:val="hybridMultilevel"/>
    <w:tmpl w:val="7A4E89DA"/>
    <w:lvl w:ilvl="0" w:tplc="048E199A">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2D574D"/>
    <w:multiLevelType w:val="hybridMultilevel"/>
    <w:tmpl w:val="CB922518"/>
    <w:lvl w:ilvl="0" w:tplc="7A1AB20E">
      <w:start w:val="1"/>
      <w:numFmt w:val="lowerRoman"/>
      <w:lvlText w:val="%1)"/>
      <w:lvlJc w:val="left"/>
      <w:pPr>
        <w:ind w:left="2160" w:hanging="720"/>
      </w:pPr>
      <w:rPr>
        <w:rFonts w:eastAsia="Times New Roman" w:hint="default"/>
        <w:lang w:val="es-AR"/>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14773EA"/>
    <w:multiLevelType w:val="hybridMultilevel"/>
    <w:tmpl w:val="6F660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AA7F30"/>
    <w:multiLevelType w:val="hybridMultilevel"/>
    <w:tmpl w:val="211A3296"/>
    <w:lvl w:ilvl="0" w:tplc="019286D4">
      <w:start w:val="1"/>
      <w:numFmt w:val="bullet"/>
      <w:lvlText w:val=""/>
      <w:lvlJc w:val="left"/>
      <w:pPr>
        <w:ind w:left="360" w:hanging="360"/>
      </w:pPr>
      <w:rPr>
        <w:rFonts w:ascii="Symbol" w:hAnsi="Symbol" w:hint="default"/>
        <w:sz w:val="24"/>
        <w:lang w:val="es-AR"/>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4DD523E3"/>
    <w:multiLevelType w:val="hybridMultilevel"/>
    <w:tmpl w:val="FB020008"/>
    <w:lvl w:ilvl="0" w:tplc="0416000B">
      <w:start w:val="1"/>
      <w:numFmt w:val="bullet"/>
      <w:lvlText w:val=""/>
      <w:lvlJc w:val="left"/>
      <w:pPr>
        <w:ind w:left="0" w:hanging="360"/>
      </w:pPr>
      <w:rPr>
        <w:rFonts w:ascii="Wingdings" w:hAnsi="Wingdings" w:hint="default"/>
      </w:rPr>
    </w:lvl>
    <w:lvl w:ilvl="1" w:tplc="04160003">
      <w:start w:val="1"/>
      <w:numFmt w:val="bullet"/>
      <w:lvlText w:val="o"/>
      <w:lvlJc w:val="left"/>
      <w:pPr>
        <w:ind w:left="720" w:hanging="360"/>
      </w:pPr>
      <w:rPr>
        <w:rFonts w:ascii="Courier New" w:hAnsi="Courier New" w:cs="Courier New" w:hint="default"/>
      </w:rPr>
    </w:lvl>
    <w:lvl w:ilvl="2" w:tplc="04160005">
      <w:start w:val="1"/>
      <w:numFmt w:val="bullet"/>
      <w:lvlText w:val=""/>
      <w:lvlJc w:val="left"/>
      <w:pPr>
        <w:ind w:left="1440" w:hanging="360"/>
      </w:pPr>
      <w:rPr>
        <w:rFonts w:ascii="Wingdings" w:hAnsi="Wingdings" w:hint="default"/>
      </w:rPr>
    </w:lvl>
    <w:lvl w:ilvl="3" w:tplc="0416000D">
      <w:start w:val="1"/>
      <w:numFmt w:val="bullet"/>
      <w:lvlText w:val=""/>
      <w:lvlJc w:val="left"/>
      <w:pPr>
        <w:ind w:left="2160" w:hanging="360"/>
      </w:pPr>
      <w:rPr>
        <w:rFonts w:ascii="Wingdings" w:hAnsi="Wingdings" w:hint="default"/>
      </w:rPr>
    </w:lvl>
    <w:lvl w:ilvl="4" w:tplc="04160003" w:tentative="1">
      <w:start w:val="1"/>
      <w:numFmt w:val="bullet"/>
      <w:lvlText w:val="o"/>
      <w:lvlJc w:val="left"/>
      <w:pPr>
        <w:ind w:left="2880" w:hanging="360"/>
      </w:pPr>
      <w:rPr>
        <w:rFonts w:ascii="Courier New" w:hAnsi="Courier New" w:cs="Courier New" w:hint="default"/>
      </w:rPr>
    </w:lvl>
    <w:lvl w:ilvl="5" w:tplc="04160005" w:tentative="1">
      <w:start w:val="1"/>
      <w:numFmt w:val="bullet"/>
      <w:lvlText w:val=""/>
      <w:lvlJc w:val="left"/>
      <w:pPr>
        <w:ind w:left="3600" w:hanging="360"/>
      </w:pPr>
      <w:rPr>
        <w:rFonts w:ascii="Wingdings" w:hAnsi="Wingdings" w:hint="default"/>
      </w:rPr>
    </w:lvl>
    <w:lvl w:ilvl="6" w:tplc="04160001" w:tentative="1">
      <w:start w:val="1"/>
      <w:numFmt w:val="bullet"/>
      <w:lvlText w:val=""/>
      <w:lvlJc w:val="left"/>
      <w:pPr>
        <w:ind w:left="4320" w:hanging="360"/>
      </w:pPr>
      <w:rPr>
        <w:rFonts w:ascii="Symbol" w:hAnsi="Symbol" w:hint="default"/>
      </w:rPr>
    </w:lvl>
    <w:lvl w:ilvl="7" w:tplc="04160003" w:tentative="1">
      <w:start w:val="1"/>
      <w:numFmt w:val="bullet"/>
      <w:lvlText w:val="o"/>
      <w:lvlJc w:val="left"/>
      <w:pPr>
        <w:ind w:left="5040" w:hanging="360"/>
      </w:pPr>
      <w:rPr>
        <w:rFonts w:ascii="Courier New" w:hAnsi="Courier New" w:cs="Courier New" w:hint="default"/>
      </w:rPr>
    </w:lvl>
    <w:lvl w:ilvl="8" w:tplc="04160005" w:tentative="1">
      <w:start w:val="1"/>
      <w:numFmt w:val="bullet"/>
      <w:lvlText w:val=""/>
      <w:lvlJc w:val="left"/>
      <w:pPr>
        <w:ind w:left="5760" w:hanging="360"/>
      </w:pPr>
      <w:rPr>
        <w:rFonts w:ascii="Wingdings" w:hAnsi="Wingdings" w:hint="default"/>
      </w:rPr>
    </w:lvl>
  </w:abstractNum>
  <w:abstractNum w:abstractNumId="15" w15:restartNumberingAfterBreak="0">
    <w:nsid w:val="61651B92"/>
    <w:multiLevelType w:val="hybridMultilevel"/>
    <w:tmpl w:val="DE8E947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68392AF0"/>
    <w:multiLevelType w:val="hybridMultilevel"/>
    <w:tmpl w:val="BE6E1148"/>
    <w:lvl w:ilvl="0" w:tplc="3D204898">
      <w:start w:val="1"/>
      <w:numFmt w:val="bullet"/>
      <w:lvlText w:val=""/>
      <w:lvlJc w:val="left"/>
      <w:pPr>
        <w:ind w:left="720" w:hanging="360"/>
      </w:pPr>
      <w:rPr>
        <w:rFonts w:ascii="Symbol" w:hAnsi="Symbol" w:hint="default"/>
        <w:lang w:val="es-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4E2C0C"/>
    <w:multiLevelType w:val="hybridMultilevel"/>
    <w:tmpl w:val="5D74A1B4"/>
    <w:lvl w:ilvl="0" w:tplc="A3D8357C">
      <w:start w:val="9"/>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2"/>
  </w:num>
  <w:num w:numId="2">
    <w:abstractNumId w:val="8"/>
  </w:num>
  <w:num w:numId="3">
    <w:abstractNumId w:val="16"/>
  </w:num>
  <w:num w:numId="4">
    <w:abstractNumId w:val="5"/>
  </w:num>
  <w:num w:numId="5">
    <w:abstractNumId w:val="10"/>
  </w:num>
  <w:num w:numId="6">
    <w:abstractNumId w:val="3"/>
  </w:num>
  <w:num w:numId="7">
    <w:abstractNumId w:val="9"/>
  </w:num>
  <w:num w:numId="8">
    <w:abstractNumId w:val="2"/>
  </w:num>
  <w:num w:numId="9">
    <w:abstractNumId w:val="4"/>
  </w:num>
  <w:num w:numId="10">
    <w:abstractNumId w:val="0"/>
  </w:num>
  <w:num w:numId="11">
    <w:abstractNumId w:val="13"/>
  </w:num>
  <w:num w:numId="12">
    <w:abstractNumId w:val="6"/>
  </w:num>
  <w:num w:numId="13">
    <w:abstractNumId w:val="15"/>
  </w:num>
  <w:num w:numId="14">
    <w:abstractNumId w:val="11"/>
  </w:num>
  <w:num w:numId="15">
    <w:abstractNumId w:val="1"/>
  </w:num>
  <w:num w:numId="16">
    <w:abstractNumId w:val="17"/>
  </w:num>
  <w:num w:numId="17">
    <w:abstractNumId w:val="1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1F4"/>
    <w:rsid w:val="000007EA"/>
    <w:rsid w:val="00002066"/>
    <w:rsid w:val="00006BE1"/>
    <w:rsid w:val="00007A93"/>
    <w:rsid w:val="000164A8"/>
    <w:rsid w:val="00022AD9"/>
    <w:rsid w:val="000249BD"/>
    <w:rsid w:val="0002580E"/>
    <w:rsid w:val="00025C8F"/>
    <w:rsid w:val="000265C7"/>
    <w:rsid w:val="000423A5"/>
    <w:rsid w:val="0004376E"/>
    <w:rsid w:val="00044AC8"/>
    <w:rsid w:val="00046619"/>
    <w:rsid w:val="0004715E"/>
    <w:rsid w:val="00051A0B"/>
    <w:rsid w:val="000550B5"/>
    <w:rsid w:val="000612B5"/>
    <w:rsid w:val="00064A91"/>
    <w:rsid w:val="00067436"/>
    <w:rsid w:val="00074618"/>
    <w:rsid w:val="00074B98"/>
    <w:rsid w:val="00083C1C"/>
    <w:rsid w:val="0008474F"/>
    <w:rsid w:val="00090943"/>
    <w:rsid w:val="00090FCC"/>
    <w:rsid w:val="00091F4C"/>
    <w:rsid w:val="0009233C"/>
    <w:rsid w:val="00096DFC"/>
    <w:rsid w:val="000A0BF3"/>
    <w:rsid w:val="000A12AE"/>
    <w:rsid w:val="000A4376"/>
    <w:rsid w:val="000A4E3B"/>
    <w:rsid w:val="000A5625"/>
    <w:rsid w:val="000A591D"/>
    <w:rsid w:val="000B2660"/>
    <w:rsid w:val="000B3AE7"/>
    <w:rsid w:val="000B63DD"/>
    <w:rsid w:val="000B796E"/>
    <w:rsid w:val="000C38FE"/>
    <w:rsid w:val="000D2AC6"/>
    <w:rsid w:val="000E0FE4"/>
    <w:rsid w:val="000E2936"/>
    <w:rsid w:val="00100AB9"/>
    <w:rsid w:val="00100FCA"/>
    <w:rsid w:val="00103780"/>
    <w:rsid w:val="00111694"/>
    <w:rsid w:val="00114778"/>
    <w:rsid w:val="001234B2"/>
    <w:rsid w:val="00124A2C"/>
    <w:rsid w:val="0013330D"/>
    <w:rsid w:val="00140975"/>
    <w:rsid w:val="00141D52"/>
    <w:rsid w:val="00151337"/>
    <w:rsid w:val="00153350"/>
    <w:rsid w:val="0015499C"/>
    <w:rsid w:val="0015688A"/>
    <w:rsid w:val="00157CCD"/>
    <w:rsid w:val="00167FBA"/>
    <w:rsid w:val="0018542C"/>
    <w:rsid w:val="00186563"/>
    <w:rsid w:val="00187892"/>
    <w:rsid w:val="001901CF"/>
    <w:rsid w:val="0019266C"/>
    <w:rsid w:val="00193D46"/>
    <w:rsid w:val="00197D2D"/>
    <w:rsid w:val="001A039B"/>
    <w:rsid w:val="001A4928"/>
    <w:rsid w:val="001A5118"/>
    <w:rsid w:val="001B18A1"/>
    <w:rsid w:val="001B2699"/>
    <w:rsid w:val="001B5316"/>
    <w:rsid w:val="001B5CB3"/>
    <w:rsid w:val="001B667F"/>
    <w:rsid w:val="001B6734"/>
    <w:rsid w:val="001B7179"/>
    <w:rsid w:val="001B7285"/>
    <w:rsid w:val="001B7C8B"/>
    <w:rsid w:val="001C57B8"/>
    <w:rsid w:val="001D171A"/>
    <w:rsid w:val="001D49B6"/>
    <w:rsid w:val="001E0721"/>
    <w:rsid w:val="001E11C8"/>
    <w:rsid w:val="001E13B8"/>
    <w:rsid w:val="001E1C1E"/>
    <w:rsid w:val="001E341B"/>
    <w:rsid w:val="001E63B5"/>
    <w:rsid w:val="001F0912"/>
    <w:rsid w:val="001F35D5"/>
    <w:rsid w:val="001F5E1F"/>
    <w:rsid w:val="00222BA6"/>
    <w:rsid w:val="00222E43"/>
    <w:rsid w:val="00225FB7"/>
    <w:rsid w:val="00232267"/>
    <w:rsid w:val="00232770"/>
    <w:rsid w:val="002331B2"/>
    <w:rsid w:val="00233DEF"/>
    <w:rsid w:val="00235F07"/>
    <w:rsid w:val="00240D85"/>
    <w:rsid w:val="00253398"/>
    <w:rsid w:val="0026131A"/>
    <w:rsid w:val="00261A5E"/>
    <w:rsid w:val="002634E8"/>
    <w:rsid w:val="00263D7F"/>
    <w:rsid w:val="00265AE7"/>
    <w:rsid w:val="0026612A"/>
    <w:rsid w:val="00271FE1"/>
    <w:rsid w:val="00276310"/>
    <w:rsid w:val="002773D4"/>
    <w:rsid w:val="00290745"/>
    <w:rsid w:val="00293364"/>
    <w:rsid w:val="00296FC7"/>
    <w:rsid w:val="002A1794"/>
    <w:rsid w:val="002A225C"/>
    <w:rsid w:val="002A3ABD"/>
    <w:rsid w:val="002B4A39"/>
    <w:rsid w:val="002C1981"/>
    <w:rsid w:val="002C224A"/>
    <w:rsid w:val="002C4E6C"/>
    <w:rsid w:val="002D2B34"/>
    <w:rsid w:val="002D5F01"/>
    <w:rsid w:val="002E191D"/>
    <w:rsid w:val="002E5759"/>
    <w:rsid w:val="002F46B6"/>
    <w:rsid w:val="002F4C99"/>
    <w:rsid w:val="002F77F0"/>
    <w:rsid w:val="003000B6"/>
    <w:rsid w:val="003009FF"/>
    <w:rsid w:val="0030368C"/>
    <w:rsid w:val="00310D6B"/>
    <w:rsid w:val="00312E96"/>
    <w:rsid w:val="00315C12"/>
    <w:rsid w:val="00316776"/>
    <w:rsid w:val="003168F0"/>
    <w:rsid w:val="003209B6"/>
    <w:rsid w:val="003238B9"/>
    <w:rsid w:val="00325278"/>
    <w:rsid w:val="0032740B"/>
    <w:rsid w:val="0034084A"/>
    <w:rsid w:val="003432CB"/>
    <w:rsid w:val="00351A8D"/>
    <w:rsid w:val="00360D46"/>
    <w:rsid w:val="0036349B"/>
    <w:rsid w:val="00363779"/>
    <w:rsid w:val="003639C7"/>
    <w:rsid w:val="00365851"/>
    <w:rsid w:val="00367FE5"/>
    <w:rsid w:val="0037171F"/>
    <w:rsid w:val="00373F84"/>
    <w:rsid w:val="00376DCD"/>
    <w:rsid w:val="00381575"/>
    <w:rsid w:val="00385B2F"/>
    <w:rsid w:val="0038604D"/>
    <w:rsid w:val="003931F4"/>
    <w:rsid w:val="0039647D"/>
    <w:rsid w:val="003A565C"/>
    <w:rsid w:val="003B02F9"/>
    <w:rsid w:val="003B2165"/>
    <w:rsid w:val="003B357D"/>
    <w:rsid w:val="003C2384"/>
    <w:rsid w:val="003C5C4C"/>
    <w:rsid w:val="003D075A"/>
    <w:rsid w:val="003D1489"/>
    <w:rsid w:val="003D4C37"/>
    <w:rsid w:val="003E0F8E"/>
    <w:rsid w:val="003E2D56"/>
    <w:rsid w:val="003E3828"/>
    <w:rsid w:val="003F4460"/>
    <w:rsid w:val="003F7812"/>
    <w:rsid w:val="0040210C"/>
    <w:rsid w:val="00403A20"/>
    <w:rsid w:val="00407D28"/>
    <w:rsid w:val="00411BFF"/>
    <w:rsid w:val="0041240C"/>
    <w:rsid w:val="00414C84"/>
    <w:rsid w:val="004155A7"/>
    <w:rsid w:val="00424167"/>
    <w:rsid w:val="00425825"/>
    <w:rsid w:val="00435020"/>
    <w:rsid w:val="00440E5F"/>
    <w:rsid w:val="00442AE0"/>
    <w:rsid w:val="00444E9C"/>
    <w:rsid w:val="00452645"/>
    <w:rsid w:val="004565F7"/>
    <w:rsid w:val="00457ECE"/>
    <w:rsid w:val="004604D1"/>
    <w:rsid w:val="00464789"/>
    <w:rsid w:val="00473F01"/>
    <w:rsid w:val="004777FA"/>
    <w:rsid w:val="004809E8"/>
    <w:rsid w:val="00481279"/>
    <w:rsid w:val="00482182"/>
    <w:rsid w:val="00482DA2"/>
    <w:rsid w:val="0048451F"/>
    <w:rsid w:val="00493A49"/>
    <w:rsid w:val="00493FDB"/>
    <w:rsid w:val="00495753"/>
    <w:rsid w:val="00496543"/>
    <w:rsid w:val="00497079"/>
    <w:rsid w:val="004A2825"/>
    <w:rsid w:val="004A62EA"/>
    <w:rsid w:val="004B11DE"/>
    <w:rsid w:val="004B29FF"/>
    <w:rsid w:val="004C1441"/>
    <w:rsid w:val="004C2388"/>
    <w:rsid w:val="004C392F"/>
    <w:rsid w:val="004C75F4"/>
    <w:rsid w:val="004D0079"/>
    <w:rsid w:val="004D471B"/>
    <w:rsid w:val="004E1A93"/>
    <w:rsid w:val="004E6887"/>
    <w:rsid w:val="004E7A3D"/>
    <w:rsid w:val="004F041B"/>
    <w:rsid w:val="004F0FC7"/>
    <w:rsid w:val="004F4868"/>
    <w:rsid w:val="004F540E"/>
    <w:rsid w:val="00504112"/>
    <w:rsid w:val="00505AFB"/>
    <w:rsid w:val="0050744A"/>
    <w:rsid w:val="00507FD6"/>
    <w:rsid w:val="00515376"/>
    <w:rsid w:val="00533F26"/>
    <w:rsid w:val="00534412"/>
    <w:rsid w:val="00542769"/>
    <w:rsid w:val="00550ED9"/>
    <w:rsid w:val="00553D29"/>
    <w:rsid w:val="005569A6"/>
    <w:rsid w:val="005623B5"/>
    <w:rsid w:val="00565AFA"/>
    <w:rsid w:val="00566A86"/>
    <w:rsid w:val="00566E28"/>
    <w:rsid w:val="00570B0C"/>
    <w:rsid w:val="00571E42"/>
    <w:rsid w:val="00572A99"/>
    <w:rsid w:val="0057551A"/>
    <w:rsid w:val="00575ACB"/>
    <w:rsid w:val="0057755A"/>
    <w:rsid w:val="00581DF2"/>
    <w:rsid w:val="00583D3C"/>
    <w:rsid w:val="00584F0C"/>
    <w:rsid w:val="0059399D"/>
    <w:rsid w:val="00596143"/>
    <w:rsid w:val="005A0755"/>
    <w:rsid w:val="005A236E"/>
    <w:rsid w:val="005A3688"/>
    <w:rsid w:val="005A7904"/>
    <w:rsid w:val="005B3381"/>
    <w:rsid w:val="005C2C7A"/>
    <w:rsid w:val="005C3E04"/>
    <w:rsid w:val="005C74AF"/>
    <w:rsid w:val="005D4B60"/>
    <w:rsid w:val="005D698D"/>
    <w:rsid w:val="005D71F7"/>
    <w:rsid w:val="005E4302"/>
    <w:rsid w:val="005E4AA2"/>
    <w:rsid w:val="005E63B7"/>
    <w:rsid w:val="005F0064"/>
    <w:rsid w:val="005F2780"/>
    <w:rsid w:val="005F3D9B"/>
    <w:rsid w:val="005F694D"/>
    <w:rsid w:val="005F7E84"/>
    <w:rsid w:val="00606A55"/>
    <w:rsid w:val="00610C39"/>
    <w:rsid w:val="00614250"/>
    <w:rsid w:val="0061732B"/>
    <w:rsid w:val="00627429"/>
    <w:rsid w:val="00631D7C"/>
    <w:rsid w:val="00632B68"/>
    <w:rsid w:val="006350D1"/>
    <w:rsid w:val="00641BDB"/>
    <w:rsid w:val="00645EDA"/>
    <w:rsid w:val="006531E0"/>
    <w:rsid w:val="006542E4"/>
    <w:rsid w:val="0065439D"/>
    <w:rsid w:val="006546A6"/>
    <w:rsid w:val="00655F83"/>
    <w:rsid w:val="00662411"/>
    <w:rsid w:val="006667D1"/>
    <w:rsid w:val="00666EA7"/>
    <w:rsid w:val="00675471"/>
    <w:rsid w:val="00675A87"/>
    <w:rsid w:val="006765E3"/>
    <w:rsid w:val="00676A19"/>
    <w:rsid w:val="006816F4"/>
    <w:rsid w:val="00686DD3"/>
    <w:rsid w:val="00691F0D"/>
    <w:rsid w:val="00692E41"/>
    <w:rsid w:val="006A4F64"/>
    <w:rsid w:val="006B2C8F"/>
    <w:rsid w:val="006B370F"/>
    <w:rsid w:val="006B48BA"/>
    <w:rsid w:val="006B5660"/>
    <w:rsid w:val="006C1385"/>
    <w:rsid w:val="006C237A"/>
    <w:rsid w:val="006D09D4"/>
    <w:rsid w:val="006D2A95"/>
    <w:rsid w:val="006D4519"/>
    <w:rsid w:val="006D5E30"/>
    <w:rsid w:val="006E170E"/>
    <w:rsid w:val="006E43C9"/>
    <w:rsid w:val="006E6115"/>
    <w:rsid w:val="006F26B8"/>
    <w:rsid w:val="0070165B"/>
    <w:rsid w:val="00701C79"/>
    <w:rsid w:val="0070586A"/>
    <w:rsid w:val="00710A6C"/>
    <w:rsid w:val="00713311"/>
    <w:rsid w:val="007134EC"/>
    <w:rsid w:val="00714933"/>
    <w:rsid w:val="0071794E"/>
    <w:rsid w:val="0072303E"/>
    <w:rsid w:val="007250FB"/>
    <w:rsid w:val="00725BB4"/>
    <w:rsid w:val="007278E0"/>
    <w:rsid w:val="007310FA"/>
    <w:rsid w:val="00735DFA"/>
    <w:rsid w:val="00736751"/>
    <w:rsid w:val="0074110C"/>
    <w:rsid w:val="0074219D"/>
    <w:rsid w:val="0074426A"/>
    <w:rsid w:val="0074484F"/>
    <w:rsid w:val="00754CCF"/>
    <w:rsid w:val="007566CC"/>
    <w:rsid w:val="00771CB7"/>
    <w:rsid w:val="0077205A"/>
    <w:rsid w:val="007726A8"/>
    <w:rsid w:val="00772F0B"/>
    <w:rsid w:val="0078221E"/>
    <w:rsid w:val="0078265C"/>
    <w:rsid w:val="00786BA9"/>
    <w:rsid w:val="00787981"/>
    <w:rsid w:val="00791488"/>
    <w:rsid w:val="007918BF"/>
    <w:rsid w:val="00795673"/>
    <w:rsid w:val="00795F74"/>
    <w:rsid w:val="007A3405"/>
    <w:rsid w:val="007A454C"/>
    <w:rsid w:val="007A769B"/>
    <w:rsid w:val="007A7DF1"/>
    <w:rsid w:val="007B46BC"/>
    <w:rsid w:val="007B6BCE"/>
    <w:rsid w:val="007C541C"/>
    <w:rsid w:val="007D2D52"/>
    <w:rsid w:val="007D441A"/>
    <w:rsid w:val="007D627A"/>
    <w:rsid w:val="007E2633"/>
    <w:rsid w:val="007E33BF"/>
    <w:rsid w:val="007E463B"/>
    <w:rsid w:val="007E7ECA"/>
    <w:rsid w:val="007F10D4"/>
    <w:rsid w:val="007F3BA9"/>
    <w:rsid w:val="008107FF"/>
    <w:rsid w:val="00811883"/>
    <w:rsid w:val="008131B6"/>
    <w:rsid w:val="00813862"/>
    <w:rsid w:val="0081478B"/>
    <w:rsid w:val="008244E2"/>
    <w:rsid w:val="0083034A"/>
    <w:rsid w:val="00833633"/>
    <w:rsid w:val="0084511F"/>
    <w:rsid w:val="00846645"/>
    <w:rsid w:val="00846FA2"/>
    <w:rsid w:val="0085363D"/>
    <w:rsid w:val="008615F9"/>
    <w:rsid w:val="00861E3A"/>
    <w:rsid w:val="00862521"/>
    <w:rsid w:val="00864D82"/>
    <w:rsid w:val="00873691"/>
    <w:rsid w:val="00881BCC"/>
    <w:rsid w:val="0088261C"/>
    <w:rsid w:val="0088314F"/>
    <w:rsid w:val="00883924"/>
    <w:rsid w:val="00890D22"/>
    <w:rsid w:val="00892812"/>
    <w:rsid w:val="008A37BB"/>
    <w:rsid w:val="008B570D"/>
    <w:rsid w:val="008C382E"/>
    <w:rsid w:val="008D224E"/>
    <w:rsid w:val="008D33F0"/>
    <w:rsid w:val="008D3A5F"/>
    <w:rsid w:val="008E46E7"/>
    <w:rsid w:val="008F12A6"/>
    <w:rsid w:val="009024D7"/>
    <w:rsid w:val="0091262B"/>
    <w:rsid w:val="0091684C"/>
    <w:rsid w:val="00920A43"/>
    <w:rsid w:val="0092288D"/>
    <w:rsid w:val="00930036"/>
    <w:rsid w:val="00930FE9"/>
    <w:rsid w:val="00931179"/>
    <w:rsid w:val="00935703"/>
    <w:rsid w:val="0093580D"/>
    <w:rsid w:val="00936997"/>
    <w:rsid w:val="00937B46"/>
    <w:rsid w:val="00943FCA"/>
    <w:rsid w:val="009476AE"/>
    <w:rsid w:val="009563FD"/>
    <w:rsid w:val="00956559"/>
    <w:rsid w:val="00967E58"/>
    <w:rsid w:val="00970389"/>
    <w:rsid w:val="00971B4D"/>
    <w:rsid w:val="00972DAA"/>
    <w:rsid w:val="00981BBD"/>
    <w:rsid w:val="00982C72"/>
    <w:rsid w:val="00991BBC"/>
    <w:rsid w:val="009942B5"/>
    <w:rsid w:val="009944DB"/>
    <w:rsid w:val="00994EB4"/>
    <w:rsid w:val="00997E76"/>
    <w:rsid w:val="009A0691"/>
    <w:rsid w:val="009A3561"/>
    <w:rsid w:val="009A464A"/>
    <w:rsid w:val="009A4940"/>
    <w:rsid w:val="009A6F3A"/>
    <w:rsid w:val="009B3E5A"/>
    <w:rsid w:val="009B4CA1"/>
    <w:rsid w:val="009C2B54"/>
    <w:rsid w:val="009C3129"/>
    <w:rsid w:val="009D0B2B"/>
    <w:rsid w:val="009D1687"/>
    <w:rsid w:val="009D7779"/>
    <w:rsid w:val="009D7E82"/>
    <w:rsid w:val="009E215D"/>
    <w:rsid w:val="009E6EFD"/>
    <w:rsid w:val="009F6BC8"/>
    <w:rsid w:val="009F6EEA"/>
    <w:rsid w:val="009F7505"/>
    <w:rsid w:val="009F7813"/>
    <w:rsid w:val="00A035AB"/>
    <w:rsid w:val="00A054E8"/>
    <w:rsid w:val="00A06839"/>
    <w:rsid w:val="00A106CE"/>
    <w:rsid w:val="00A16E1D"/>
    <w:rsid w:val="00A16EA6"/>
    <w:rsid w:val="00A17594"/>
    <w:rsid w:val="00A24D16"/>
    <w:rsid w:val="00A27C81"/>
    <w:rsid w:val="00A310E0"/>
    <w:rsid w:val="00A34111"/>
    <w:rsid w:val="00A34727"/>
    <w:rsid w:val="00A42880"/>
    <w:rsid w:val="00A55B1F"/>
    <w:rsid w:val="00A6396B"/>
    <w:rsid w:val="00A736DD"/>
    <w:rsid w:val="00A76501"/>
    <w:rsid w:val="00A83659"/>
    <w:rsid w:val="00A85476"/>
    <w:rsid w:val="00A86CDC"/>
    <w:rsid w:val="00A8706A"/>
    <w:rsid w:val="00A91089"/>
    <w:rsid w:val="00A91115"/>
    <w:rsid w:val="00A92831"/>
    <w:rsid w:val="00A9655B"/>
    <w:rsid w:val="00AA2A2E"/>
    <w:rsid w:val="00AA3CC8"/>
    <w:rsid w:val="00AA5F08"/>
    <w:rsid w:val="00AA7215"/>
    <w:rsid w:val="00AB02B1"/>
    <w:rsid w:val="00AB7120"/>
    <w:rsid w:val="00AB754A"/>
    <w:rsid w:val="00AC61AC"/>
    <w:rsid w:val="00AD112A"/>
    <w:rsid w:val="00AD264A"/>
    <w:rsid w:val="00AD799A"/>
    <w:rsid w:val="00AE506A"/>
    <w:rsid w:val="00AF2F59"/>
    <w:rsid w:val="00AF43F2"/>
    <w:rsid w:val="00AF6FC4"/>
    <w:rsid w:val="00AF7061"/>
    <w:rsid w:val="00AF7313"/>
    <w:rsid w:val="00B00BD5"/>
    <w:rsid w:val="00B00C81"/>
    <w:rsid w:val="00B03FB7"/>
    <w:rsid w:val="00B0468B"/>
    <w:rsid w:val="00B05507"/>
    <w:rsid w:val="00B06990"/>
    <w:rsid w:val="00B13A91"/>
    <w:rsid w:val="00B15690"/>
    <w:rsid w:val="00B16E92"/>
    <w:rsid w:val="00B20551"/>
    <w:rsid w:val="00B2296C"/>
    <w:rsid w:val="00B22D50"/>
    <w:rsid w:val="00B23204"/>
    <w:rsid w:val="00B37711"/>
    <w:rsid w:val="00B40277"/>
    <w:rsid w:val="00B44296"/>
    <w:rsid w:val="00B4449B"/>
    <w:rsid w:val="00B46105"/>
    <w:rsid w:val="00B47583"/>
    <w:rsid w:val="00B47DCC"/>
    <w:rsid w:val="00B530EF"/>
    <w:rsid w:val="00B53EFD"/>
    <w:rsid w:val="00B63BFF"/>
    <w:rsid w:val="00B707BC"/>
    <w:rsid w:val="00B70850"/>
    <w:rsid w:val="00B71310"/>
    <w:rsid w:val="00B722B5"/>
    <w:rsid w:val="00B81CBF"/>
    <w:rsid w:val="00B831B4"/>
    <w:rsid w:val="00B839BA"/>
    <w:rsid w:val="00B853BB"/>
    <w:rsid w:val="00B85BC5"/>
    <w:rsid w:val="00B92A52"/>
    <w:rsid w:val="00B9617D"/>
    <w:rsid w:val="00BA028D"/>
    <w:rsid w:val="00BA35AA"/>
    <w:rsid w:val="00BA377B"/>
    <w:rsid w:val="00BA5A20"/>
    <w:rsid w:val="00BB3A7A"/>
    <w:rsid w:val="00BB5DA0"/>
    <w:rsid w:val="00BC01A2"/>
    <w:rsid w:val="00BD03B8"/>
    <w:rsid w:val="00BD120A"/>
    <w:rsid w:val="00BD53E5"/>
    <w:rsid w:val="00BD5888"/>
    <w:rsid w:val="00BD5FDC"/>
    <w:rsid w:val="00BE098E"/>
    <w:rsid w:val="00BE57A4"/>
    <w:rsid w:val="00BF2162"/>
    <w:rsid w:val="00BF4756"/>
    <w:rsid w:val="00C0358B"/>
    <w:rsid w:val="00C04EC9"/>
    <w:rsid w:val="00C04F01"/>
    <w:rsid w:val="00C106C3"/>
    <w:rsid w:val="00C11018"/>
    <w:rsid w:val="00C12AA1"/>
    <w:rsid w:val="00C15E46"/>
    <w:rsid w:val="00C16439"/>
    <w:rsid w:val="00C16B5B"/>
    <w:rsid w:val="00C254A9"/>
    <w:rsid w:val="00C27017"/>
    <w:rsid w:val="00C27A2B"/>
    <w:rsid w:val="00C31E05"/>
    <w:rsid w:val="00C330BC"/>
    <w:rsid w:val="00C36390"/>
    <w:rsid w:val="00C420FF"/>
    <w:rsid w:val="00C4429D"/>
    <w:rsid w:val="00C44373"/>
    <w:rsid w:val="00C45151"/>
    <w:rsid w:val="00C452B9"/>
    <w:rsid w:val="00C46037"/>
    <w:rsid w:val="00C47BCE"/>
    <w:rsid w:val="00C50858"/>
    <w:rsid w:val="00C54F32"/>
    <w:rsid w:val="00C555E9"/>
    <w:rsid w:val="00C606D3"/>
    <w:rsid w:val="00C61AA5"/>
    <w:rsid w:val="00C61BC5"/>
    <w:rsid w:val="00C62E4D"/>
    <w:rsid w:val="00C80F92"/>
    <w:rsid w:val="00C8150D"/>
    <w:rsid w:val="00C853B2"/>
    <w:rsid w:val="00C91D93"/>
    <w:rsid w:val="00C94384"/>
    <w:rsid w:val="00C97793"/>
    <w:rsid w:val="00CA2192"/>
    <w:rsid w:val="00CA4C68"/>
    <w:rsid w:val="00CA54B7"/>
    <w:rsid w:val="00CA670A"/>
    <w:rsid w:val="00CB3E50"/>
    <w:rsid w:val="00CB6474"/>
    <w:rsid w:val="00CC1819"/>
    <w:rsid w:val="00CC3590"/>
    <w:rsid w:val="00CC37F9"/>
    <w:rsid w:val="00CC4292"/>
    <w:rsid w:val="00CC5511"/>
    <w:rsid w:val="00CC748F"/>
    <w:rsid w:val="00CD24D4"/>
    <w:rsid w:val="00CD27DC"/>
    <w:rsid w:val="00CD3994"/>
    <w:rsid w:val="00CF05BB"/>
    <w:rsid w:val="00CF09FE"/>
    <w:rsid w:val="00D007E9"/>
    <w:rsid w:val="00D01670"/>
    <w:rsid w:val="00D01AC2"/>
    <w:rsid w:val="00D05B3B"/>
    <w:rsid w:val="00D06BA7"/>
    <w:rsid w:val="00D06F52"/>
    <w:rsid w:val="00D12945"/>
    <w:rsid w:val="00D1446A"/>
    <w:rsid w:val="00D22E48"/>
    <w:rsid w:val="00D31F08"/>
    <w:rsid w:val="00D357AD"/>
    <w:rsid w:val="00D4030A"/>
    <w:rsid w:val="00D42F58"/>
    <w:rsid w:val="00D46548"/>
    <w:rsid w:val="00D4701C"/>
    <w:rsid w:val="00D5269C"/>
    <w:rsid w:val="00D60791"/>
    <w:rsid w:val="00D60C60"/>
    <w:rsid w:val="00D633C9"/>
    <w:rsid w:val="00D67257"/>
    <w:rsid w:val="00D67CFE"/>
    <w:rsid w:val="00D835D2"/>
    <w:rsid w:val="00D8675E"/>
    <w:rsid w:val="00D872AE"/>
    <w:rsid w:val="00D87D27"/>
    <w:rsid w:val="00D972E5"/>
    <w:rsid w:val="00DA0CA7"/>
    <w:rsid w:val="00DA13AB"/>
    <w:rsid w:val="00DA171C"/>
    <w:rsid w:val="00DA4CE2"/>
    <w:rsid w:val="00DA5676"/>
    <w:rsid w:val="00DB19D3"/>
    <w:rsid w:val="00DB76CF"/>
    <w:rsid w:val="00DC2F73"/>
    <w:rsid w:val="00DC5E86"/>
    <w:rsid w:val="00DC76B9"/>
    <w:rsid w:val="00DE14EC"/>
    <w:rsid w:val="00DE3175"/>
    <w:rsid w:val="00DE51C0"/>
    <w:rsid w:val="00DE7017"/>
    <w:rsid w:val="00DE7165"/>
    <w:rsid w:val="00DE7FCF"/>
    <w:rsid w:val="00DF35C4"/>
    <w:rsid w:val="00DF4DE9"/>
    <w:rsid w:val="00E10EEA"/>
    <w:rsid w:val="00E1226E"/>
    <w:rsid w:val="00E1602D"/>
    <w:rsid w:val="00E16D18"/>
    <w:rsid w:val="00E17AAC"/>
    <w:rsid w:val="00E3662C"/>
    <w:rsid w:val="00E410E1"/>
    <w:rsid w:val="00E47913"/>
    <w:rsid w:val="00E57258"/>
    <w:rsid w:val="00E57B3F"/>
    <w:rsid w:val="00E57C06"/>
    <w:rsid w:val="00E6600C"/>
    <w:rsid w:val="00E6677A"/>
    <w:rsid w:val="00E71823"/>
    <w:rsid w:val="00E72615"/>
    <w:rsid w:val="00E72F42"/>
    <w:rsid w:val="00E7431F"/>
    <w:rsid w:val="00E749FC"/>
    <w:rsid w:val="00E775CC"/>
    <w:rsid w:val="00E8126E"/>
    <w:rsid w:val="00E81A73"/>
    <w:rsid w:val="00E8232F"/>
    <w:rsid w:val="00E824DE"/>
    <w:rsid w:val="00E85066"/>
    <w:rsid w:val="00E858AD"/>
    <w:rsid w:val="00E941A8"/>
    <w:rsid w:val="00E95BD2"/>
    <w:rsid w:val="00E975BE"/>
    <w:rsid w:val="00EA198F"/>
    <w:rsid w:val="00EA219D"/>
    <w:rsid w:val="00EA5909"/>
    <w:rsid w:val="00EB00AD"/>
    <w:rsid w:val="00EB3823"/>
    <w:rsid w:val="00EB6F0A"/>
    <w:rsid w:val="00EC58D1"/>
    <w:rsid w:val="00EC7634"/>
    <w:rsid w:val="00ED0DB7"/>
    <w:rsid w:val="00ED7A4B"/>
    <w:rsid w:val="00EE67FB"/>
    <w:rsid w:val="00EE7BAA"/>
    <w:rsid w:val="00EF1DC7"/>
    <w:rsid w:val="00EF225D"/>
    <w:rsid w:val="00EF3EA6"/>
    <w:rsid w:val="00EF4886"/>
    <w:rsid w:val="00EF6832"/>
    <w:rsid w:val="00F004F6"/>
    <w:rsid w:val="00F01C0A"/>
    <w:rsid w:val="00F045CC"/>
    <w:rsid w:val="00F05342"/>
    <w:rsid w:val="00F06CF8"/>
    <w:rsid w:val="00F15157"/>
    <w:rsid w:val="00F17F22"/>
    <w:rsid w:val="00F21B69"/>
    <w:rsid w:val="00F27734"/>
    <w:rsid w:val="00F40ED2"/>
    <w:rsid w:val="00F43CBF"/>
    <w:rsid w:val="00F50E76"/>
    <w:rsid w:val="00F50EF2"/>
    <w:rsid w:val="00F52472"/>
    <w:rsid w:val="00F56049"/>
    <w:rsid w:val="00F563CC"/>
    <w:rsid w:val="00F574D4"/>
    <w:rsid w:val="00F60E86"/>
    <w:rsid w:val="00F638BF"/>
    <w:rsid w:val="00F678D5"/>
    <w:rsid w:val="00F725A0"/>
    <w:rsid w:val="00F73841"/>
    <w:rsid w:val="00F74915"/>
    <w:rsid w:val="00F82751"/>
    <w:rsid w:val="00F833A3"/>
    <w:rsid w:val="00F87028"/>
    <w:rsid w:val="00F8764F"/>
    <w:rsid w:val="00F96AE4"/>
    <w:rsid w:val="00FA107C"/>
    <w:rsid w:val="00FA6037"/>
    <w:rsid w:val="00FA65D5"/>
    <w:rsid w:val="00FB5AF6"/>
    <w:rsid w:val="00FB623F"/>
    <w:rsid w:val="00FC149C"/>
    <w:rsid w:val="00FC290B"/>
    <w:rsid w:val="00FC3ED5"/>
    <w:rsid w:val="00FD2278"/>
    <w:rsid w:val="00FD74A4"/>
    <w:rsid w:val="00FE275E"/>
    <w:rsid w:val="00FE3B09"/>
    <w:rsid w:val="00FF2BAF"/>
    <w:rsid w:val="00FF3279"/>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C68F9A-700A-4D7D-9D4C-76EBA724F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31F4"/>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31F4"/>
    <w:rPr>
      <w:rFonts w:ascii="Tahoma" w:hAnsi="Tahoma" w:cs="Tahoma"/>
      <w:sz w:val="16"/>
      <w:szCs w:val="16"/>
    </w:rPr>
  </w:style>
  <w:style w:type="character" w:customStyle="1" w:styleId="BalloonTextChar">
    <w:name w:val="Balloon Text Char"/>
    <w:basedOn w:val="DefaultParagraphFont"/>
    <w:link w:val="BalloonText"/>
    <w:uiPriority w:val="99"/>
    <w:semiHidden/>
    <w:rsid w:val="003931F4"/>
    <w:rPr>
      <w:rFonts w:ascii="Tahoma" w:eastAsiaTheme="minorEastAsia" w:hAnsi="Tahoma" w:cs="Tahoma"/>
      <w:sz w:val="16"/>
      <w:szCs w:val="16"/>
    </w:rPr>
  </w:style>
  <w:style w:type="paragraph" w:styleId="FootnoteText">
    <w:name w:val="footnote text"/>
    <w:aliases w:val="Car,footnote text1,single space,F,Style 25,newfootnotetext,fn,Char Char,ft,footnote"/>
    <w:basedOn w:val="Normal"/>
    <w:link w:val="FootnoteTextChar"/>
    <w:uiPriority w:val="99"/>
    <w:unhideWhenUsed/>
    <w:rsid w:val="003931F4"/>
    <w:rPr>
      <w:sz w:val="20"/>
      <w:szCs w:val="20"/>
    </w:rPr>
  </w:style>
  <w:style w:type="character" w:customStyle="1" w:styleId="FootnoteTextChar">
    <w:name w:val="Footnote Text Char"/>
    <w:aliases w:val="Car Char,footnote text1 Char,single space Char,F Char,Style 25 Char,newfootnotetext Char,fn Char,Char Char Char,ft Char,footnote Char"/>
    <w:basedOn w:val="DefaultParagraphFont"/>
    <w:link w:val="FootnoteText"/>
    <w:uiPriority w:val="99"/>
    <w:rsid w:val="003931F4"/>
    <w:rPr>
      <w:rFonts w:eastAsiaTheme="minorEastAsia"/>
      <w:sz w:val="20"/>
      <w:szCs w:val="20"/>
    </w:rPr>
  </w:style>
  <w:style w:type="character" w:styleId="FootnoteReference">
    <w:name w:val="footnote reference"/>
    <w:aliases w:val="Style 24"/>
    <w:basedOn w:val="DefaultParagraphFont"/>
    <w:unhideWhenUsed/>
    <w:rsid w:val="003931F4"/>
    <w:rPr>
      <w:vertAlign w:val="superscript"/>
    </w:rPr>
  </w:style>
  <w:style w:type="paragraph" w:styleId="ListParagraph">
    <w:name w:val="List Paragraph"/>
    <w:basedOn w:val="Normal"/>
    <w:uiPriority w:val="34"/>
    <w:qFormat/>
    <w:rsid w:val="00424167"/>
    <w:pPr>
      <w:ind w:left="720"/>
      <w:contextualSpacing/>
    </w:pPr>
  </w:style>
  <w:style w:type="paragraph" w:styleId="CommentText">
    <w:name w:val="annotation text"/>
    <w:basedOn w:val="Normal"/>
    <w:link w:val="CommentTextChar"/>
    <w:rsid w:val="00A035AB"/>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A035AB"/>
    <w:rPr>
      <w:rFonts w:ascii="Times New Roman" w:eastAsia="Times New Roman" w:hAnsi="Times New Roman" w:cs="Times New Roman"/>
      <w:sz w:val="20"/>
      <w:szCs w:val="20"/>
      <w:lang w:val="it-IT" w:eastAsia="it-IT"/>
    </w:rPr>
  </w:style>
  <w:style w:type="character" w:customStyle="1" w:styleId="hps">
    <w:name w:val="hps"/>
    <w:basedOn w:val="DefaultParagraphFont"/>
    <w:rsid w:val="00A035AB"/>
  </w:style>
  <w:style w:type="character" w:styleId="CommentReference">
    <w:name w:val="annotation reference"/>
    <w:basedOn w:val="DefaultParagraphFont"/>
    <w:uiPriority w:val="99"/>
    <w:semiHidden/>
    <w:unhideWhenUsed/>
    <w:rsid w:val="00507FD6"/>
    <w:rPr>
      <w:sz w:val="16"/>
      <w:szCs w:val="16"/>
    </w:rPr>
  </w:style>
  <w:style w:type="paragraph" w:styleId="CommentSubject">
    <w:name w:val="annotation subject"/>
    <w:basedOn w:val="CommentText"/>
    <w:next w:val="CommentText"/>
    <w:link w:val="CommentSubjectChar"/>
    <w:uiPriority w:val="99"/>
    <w:semiHidden/>
    <w:unhideWhenUsed/>
    <w:rsid w:val="00507FD6"/>
    <w:pPr>
      <w:jc w:val="left"/>
    </w:pPr>
    <w:rPr>
      <w:rFonts w:asciiTheme="minorHAnsi" w:eastAsiaTheme="minorEastAsia" w:hAnsiTheme="minorHAnsi" w:cstheme="minorBidi"/>
      <w:b/>
      <w:bCs/>
      <w:lang w:val="pt-BR" w:eastAsia="en-US"/>
    </w:rPr>
  </w:style>
  <w:style w:type="character" w:customStyle="1" w:styleId="CommentSubjectChar">
    <w:name w:val="Comment Subject Char"/>
    <w:basedOn w:val="CommentTextChar"/>
    <w:link w:val="CommentSubject"/>
    <w:uiPriority w:val="99"/>
    <w:semiHidden/>
    <w:rsid w:val="00507FD6"/>
    <w:rPr>
      <w:rFonts w:ascii="Times New Roman" w:eastAsiaTheme="minorEastAsia" w:hAnsi="Times New Roman" w:cs="Times New Roman"/>
      <w:b/>
      <w:bCs/>
      <w:sz w:val="20"/>
      <w:szCs w:val="20"/>
      <w:lang w:val="it-IT" w:eastAsia="it-IT"/>
    </w:rPr>
  </w:style>
  <w:style w:type="paragraph" w:styleId="Revision">
    <w:name w:val="Revision"/>
    <w:hidden/>
    <w:uiPriority w:val="99"/>
    <w:semiHidden/>
    <w:rsid w:val="00935703"/>
    <w:pPr>
      <w:spacing w:after="0"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19" Type="http://schemas.openxmlformats.org/officeDocument/2006/relationships/customXml" Target="../customXml/item10.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733CCADFF9B9794089D40211BFEC1D52" ma:contentTypeVersion="1599" ma:contentTypeDescription="The base project type from which other project content types inherit their information." ma:contentTypeScope="" ma:versionID="694542a6a8f2bd08c365cefb570d06e9">
  <xsd:schema xmlns:xsd="http://www.w3.org/2001/XMLSchema" xmlns:xs="http://www.w3.org/2001/XMLSchema" xmlns:p="http://schemas.microsoft.com/office/2006/metadata/properties" xmlns:ns2="cdc7663a-08f0-4737-9e8c-148ce897a09c" targetNamespace="http://schemas.microsoft.com/office/2006/metadata/properties" ma:root="true" ma:fieldsID="4d35317af2349fd34726d54b08c8b77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0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R0002239974</Record_x0020_Number>
    <Key_x0020_Document xmlns="cdc7663a-08f0-4737-9e8c-148ce897a09c">false</Key_x0020_Document>
    <Division_x0020_or_x0020_Unit xmlns="cdc7663a-08f0-4737-9e8c-148ce897a09c">INE/TSP</Division_x0020_or_x0020_Unit>
    <Document_x0020_Author xmlns="cdc7663a-08f0-4737-9e8c-148ce897a09c">Taveras Marte,Alba</Document_x0020_Author>
    <_dlc_DocId xmlns="cdc7663a-08f0-4737-9e8c-148ce897a09c">EZSHARE-1133963158-42</_dlc_DocId>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Operation_x0020_Type xmlns="cdc7663a-08f0-4737-9e8c-148ce897a09c">Loan Operation</Operation_x0020_Type>
    <TaxCatchAll xmlns="cdc7663a-08f0-4737-9e8c-148ce897a09c">
      <Value>34</Value>
      <Value>278</Value>
      <Value>30</Value>
      <Value>1</Value>
      <Value>35</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BR-L1503</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TRANSPORT INFRASTRUCTURE</TermName>
          <TermId xmlns="http://schemas.microsoft.com/office/infopath/2007/PartnerControls">302c5209-7a48-49db-8198-938a46f0cd26</TermId>
        </TermInfo>
      </Terms>
    </b2ec7cfb18674cb8803df6b262e8b107>
    <Document_x0020_Language_x0020_IDB xmlns="cdc7663a-08f0-4737-9e8c-148ce897a09c">Spanish</Document_x0020_Language_x0020_IDB>
    <_dlc_DocIdUrl xmlns="cdc7663a-08f0-4737-9e8c-148ce897a09c">
      <Url>https://idbg.sharepoint.com/teams/EZ-BR-LON/BR-L1503/_layouts/15/DocIdRedir.aspx?ID=EZSHARE-1133963158-42</Url>
      <Description>EZSHARE-1133963158-42</Description>
    </_dlc_DocIdUrl>
    <Phase xmlns="cdc7663a-08f0-4737-9e8c-148ce897a09c" xsi:nil="tru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733CCADFF9B9794089D40211BFEC1D52" ma:contentTypeVersion="1628" ma:contentTypeDescription="The base project type from which other project content types inherit their information." ma:contentTypeScope="" ma:versionID="17171ba2c94d492134b122e842f6ee8f">
  <xsd:schema xmlns:xsd="http://www.w3.org/2001/XMLSchema" xmlns:xs="http://www.w3.org/2001/XMLSchema" xmlns:p="http://schemas.microsoft.com/office/2006/metadata/properties" xmlns:ns2="cdc7663a-08f0-4737-9e8c-148ce897a09c" targetNamespace="http://schemas.microsoft.com/office/2006/metadata/properties" ma:root="true" ma:fieldsID="4d35317af2349fd34726d54b08c8b77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0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6CAAFACF47D6C4191ECA3A7342DC04F" ma:contentTypeVersion="1754" ma:contentTypeDescription="A content type to manage public (operations) IDB documents" ma:contentTypeScope="" ma:versionID="7172796de49055e42c15e68b509505cc">
  <xsd:schema xmlns:xsd="http://www.w3.org/2001/XMLSchema" xmlns:xs="http://www.w3.org/2001/XMLSchema" xmlns:p="http://schemas.microsoft.com/office/2006/metadata/properties" xmlns:ns2="cdc7663a-08f0-4737-9e8c-148ce897a09c" targetNamespace="http://schemas.microsoft.com/office/2006/metadata/properties" ma:root="true" ma:fieldsID="feb4dfc152fae9044eb54e1cdc7508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631040-8208-4A6E-B8EA-44B46205B765}">
  <ds:schemaRefs>
    <ds:schemaRef ds:uri="http://schemas.openxmlformats.org/officeDocument/2006/bibliography"/>
  </ds:schemaRefs>
</ds:datastoreItem>
</file>

<file path=customXml/itemProps10.xml><?xml version="1.0" encoding="utf-8"?>
<ds:datastoreItem xmlns:ds="http://schemas.openxmlformats.org/officeDocument/2006/customXml" ds:itemID="{5BAF99AE-CD0E-4B33-85C4-98A86F48FDD1}"/>
</file>

<file path=customXml/itemProps2.xml><?xml version="1.0" encoding="utf-8"?>
<ds:datastoreItem xmlns:ds="http://schemas.openxmlformats.org/officeDocument/2006/customXml" ds:itemID="{95E6F093-9742-48B7-B74C-53CAA3849612}"/>
</file>

<file path=customXml/itemProps3.xml><?xml version="1.0" encoding="utf-8"?>
<ds:datastoreItem xmlns:ds="http://schemas.openxmlformats.org/officeDocument/2006/customXml" ds:itemID="{5B88ECB2-EF38-421D-BB5C-6ACB6F66AAE8}"/>
</file>

<file path=customXml/itemProps4.xml><?xml version="1.0" encoding="utf-8"?>
<ds:datastoreItem xmlns:ds="http://schemas.openxmlformats.org/officeDocument/2006/customXml" ds:itemID="{332F0935-5B6A-4A7D-A0BA-78A364BA5970}"/>
</file>

<file path=customXml/itemProps5.xml><?xml version="1.0" encoding="utf-8"?>
<ds:datastoreItem xmlns:ds="http://schemas.openxmlformats.org/officeDocument/2006/customXml" ds:itemID="{6020930F-5816-4EC0-9329-E5606E66C20C}"/>
</file>

<file path=customXml/itemProps6.xml><?xml version="1.0" encoding="utf-8"?>
<ds:datastoreItem xmlns:ds="http://schemas.openxmlformats.org/officeDocument/2006/customXml" ds:itemID="{F99944C6-60CC-417F-9768-D0887BC8088C}"/>
</file>

<file path=customXml/itemProps7.xml><?xml version="1.0" encoding="utf-8"?>
<ds:datastoreItem xmlns:ds="http://schemas.openxmlformats.org/officeDocument/2006/customXml" ds:itemID="{DE9B018F-AA84-4CA8-99A7-DA715E582222}"/>
</file>

<file path=customXml/itemProps8.xml><?xml version="1.0" encoding="utf-8"?>
<ds:datastoreItem xmlns:ds="http://schemas.openxmlformats.org/officeDocument/2006/customXml" ds:itemID="{DD7212EB-238E-430A-8223-5E6AA8807E06}"/>
</file>

<file path=customXml/itemProps9.xml><?xml version="1.0" encoding="utf-8"?>
<ds:datastoreItem xmlns:ds="http://schemas.openxmlformats.org/officeDocument/2006/customXml" ds:itemID="{232FF8A9-9E99-4DCE-A7D0-8546CD50AAD8}"/>
</file>

<file path=docProps/app.xml><?xml version="1.0" encoding="utf-8"?>
<Properties xmlns="http://schemas.openxmlformats.org/officeDocument/2006/extended-properties" xmlns:vt="http://schemas.openxmlformats.org/officeDocument/2006/docPropsVTypes">
  <Template>Normal.dotm</Template>
  <TotalTime>20</TotalTime>
  <Pages>16</Pages>
  <Words>6570</Words>
  <Characters>37453</Characters>
  <Application>Microsoft Office Word</Application>
  <DocSecurity>0</DocSecurity>
  <Lines>312</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Marisa</dc:creator>
  <cp:keywords/>
  <cp:lastModifiedBy>Cocha, Agustina</cp:lastModifiedBy>
  <cp:revision>28</cp:revision>
  <cp:lastPrinted>2018-05-29T16:24:00Z</cp:lastPrinted>
  <dcterms:created xsi:type="dcterms:W3CDTF">2018-05-31T15:16:00Z</dcterms:created>
  <dcterms:modified xsi:type="dcterms:W3CDTF">2018-10-25T18:25:00Z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35;#URBAN TRANSPORT INFRASTRUCTURE|302c5209-7a48-49db-8198-938a46f0cd26</vt:lpwstr>
  </property>
  <property fmtid="{D5CDD505-2E9C-101B-9397-08002B2CF9AE}" pid="7" name="Country">
    <vt:lpwstr>30;#Brazil|7deb27ec-6837-4974-9aa8-6cfbac841ef8</vt:lpwstr>
  </property>
  <property fmtid="{D5CDD505-2E9C-101B-9397-08002B2CF9AE}" pid="8" name="Fund IDB">
    <vt:lpwstr>278;#TBD|d62f6e05-3e80-4abd-9bb4-5f10b4906ff6</vt:lpwstr>
  </property>
  <property fmtid="{D5CDD505-2E9C-101B-9397-08002B2CF9AE}" pid="9" name="_dlc_DocIdItemGuid">
    <vt:lpwstr>05b419ad-dcec-45aa-bc50-b9b94884c103</vt:lpwstr>
  </property>
  <property fmtid="{D5CDD505-2E9C-101B-9397-08002B2CF9AE}" pid="10" name="Sector IDB">
    <vt:lpwstr>34;#TRANSPORT|5a25d1a8-4baf-41a8-9e3b-e167accda6ea</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0x0101001A458A224826124E8B45B1D613300CFC00E6CAAFACF47D6C4191ECA3A7342DC04F</vt:lpwstr>
  </property>
</Properties>
</file>