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A2D10" w14:textId="77777777" w:rsidR="007116B2" w:rsidRPr="007E69D8" w:rsidRDefault="007116B2" w:rsidP="007116B2">
      <w:pPr>
        <w:pStyle w:val="SubSubPar"/>
        <w:numPr>
          <w:ilvl w:val="0"/>
          <w:numId w:val="0"/>
        </w:numPr>
        <w:spacing w:after="0"/>
        <w:jc w:val="center"/>
        <w:rPr>
          <w:rFonts w:ascii="Arial" w:hAnsi="Arial" w:cs="Arial"/>
          <w:smallCaps/>
          <w:sz w:val="22"/>
          <w:szCs w:val="22"/>
          <w:lang w:val="es-ES_tradnl"/>
        </w:rPr>
      </w:pPr>
      <w:bookmarkStart w:id="0" w:name="_Toc388249744"/>
      <w:bookmarkStart w:id="1" w:name="_Hlk36292361"/>
      <w:r w:rsidRPr="007E69D8">
        <w:rPr>
          <w:rFonts w:ascii="Arial" w:hAnsi="Arial" w:cs="Arial"/>
          <w:smallCaps/>
          <w:sz w:val="22"/>
          <w:szCs w:val="22"/>
          <w:lang w:val="es-ES_tradnl"/>
        </w:rPr>
        <w:t>Documento del Banco Interamericano De Desarrollo</w:t>
      </w:r>
      <w:bookmarkEnd w:id="0"/>
    </w:p>
    <w:p w14:paraId="716F8AF0" w14:textId="77777777" w:rsidR="007116B2" w:rsidRPr="007E69D8" w:rsidRDefault="007116B2" w:rsidP="007116B2">
      <w:pPr>
        <w:spacing w:before="120" w:after="120" w:line="240" w:lineRule="auto"/>
        <w:jc w:val="center"/>
        <w:rPr>
          <w:rFonts w:ascii="Arial" w:hAnsi="Arial" w:cs="Arial"/>
          <w:lang w:val="es-ES_tradnl"/>
        </w:rPr>
      </w:pPr>
    </w:p>
    <w:p w14:paraId="5F320801" w14:textId="77777777" w:rsidR="007116B2" w:rsidRPr="007E69D8" w:rsidRDefault="007116B2" w:rsidP="007116B2">
      <w:pPr>
        <w:spacing w:before="120" w:after="120" w:line="240" w:lineRule="auto"/>
        <w:jc w:val="center"/>
        <w:rPr>
          <w:rFonts w:ascii="Arial" w:hAnsi="Arial" w:cs="Arial"/>
          <w:lang w:val="es-ES_tradnl"/>
        </w:rPr>
      </w:pPr>
    </w:p>
    <w:p w14:paraId="1D6A0115" w14:textId="77777777" w:rsidR="007116B2" w:rsidRPr="007E69D8" w:rsidRDefault="007116B2" w:rsidP="007116B2">
      <w:pPr>
        <w:spacing w:before="120" w:after="120" w:line="240" w:lineRule="auto"/>
        <w:jc w:val="center"/>
        <w:rPr>
          <w:rFonts w:ascii="Arial" w:hAnsi="Arial" w:cs="Arial"/>
          <w:lang w:val="es-ES_tradnl"/>
        </w:rPr>
      </w:pPr>
    </w:p>
    <w:p w14:paraId="06B839A1" w14:textId="77777777" w:rsidR="007116B2" w:rsidRPr="007E69D8" w:rsidRDefault="007116B2" w:rsidP="007116B2">
      <w:pPr>
        <w:spacing w:before="120" w:after="120" w:line="240" w:lineRule="auto"/>
        <w:jc w:val="center"/>
        <w:rPr>
          <w:rFonts w:ascii="Arial" w:hAnsi="Arial" w:cs="Arial"/>
          <w:lang w:val="es-ES_tradnl"/>
        </w:rPr>
      </w:pPr>
    </w:p>
    <w:p w14:paraId="64879566" w14:textId="341063F9" w:rsidR="007116B2" w:rsidRPr="007E69D8" w:rsidRDefault="00E8061E" w:rsidP="007116B2">
      <w:pPr>
        <w:tabs>
          <w:tab w:val="left" w:pos="1440"/>
          <w:tab w:val="left" w:pos="3060"/>
        </w:tabs>
        <w:jc w:val="center"/>
        <w:rPr>
          <w:rFonts w:ascii="Arial" w:hAnsi="Arial" w:cs="Arial"/>
          <w:b/>
          <w:smallCaps/>
          <w:sz w:val="28"/>
          <w:szCs w:val="28"/>
          <w:lang w:val="es-ES_tradnl"/>
        </w:rPr>
      </w:pPr>
      <w:r w:rsidRPr="007E69D8">
        <w:rPr>
          <w:rFonts w:ascii="Arial" w:hAnsi="Arial" w:cs="Arial"/>
          <w:b/>
          <w:smallCaps/>
          <w:sz w:val="28"/>
          <w:szCs w:val="28"/>
          <w:lang w:val="es-ES_tradnl"/>
        </w:rPr>
        <w:t>Ecuador</w:t>
      </w:r>
    </w:p>
    <w:p w14:paraId="407B67EF" w14:textId="77777777" w:rsidR="007116B2" w:rsidRPr="007E69D8" w:rsidRDefault="007116B2" w:rsidP="007116B2">
      <w:pPr>
        <w:tabs>
          <w:tab w:val="left" w:pos="1440"/>
          <w:tab w:val="left" w:pos="3060"/>
        </w:tabs>
        <w:jc w:val="center"/>
        <w:rPr>
          <w:rFonts w:ascii="Arial" w:hAnsi="Arial" w:cs="Arial"/>
          <w:smallCaps/>
          <w:lang w:val="es-ES_tradnl"/>
        </w:rPr>
      </w:pPr>
    </w:p>
    <w:p w14:paraId="594F1BA8" w14:textId="77777777" w:rsidR="007116B2" w:rsidRPr="007E69D8" w:rsidRDefault="007116B2" w:rsidP="007116B2">
      <w:pPr>
        <w:tabs>
          <w:tab w:val="left" w:pos="1440"/>
          <w:tab w:val="left" w:pos="3060"/>
        </w:tabs>
        <w:jc w:val="center"/>
        <w:rPr>
          <w:rFonts w:ascii="Arial" w:hAnsi="Arial" w:cs="Arial"/>
          <w:smallCaps/>
          <w:lang w:val="es-ES_tradnl"/>
        </w:rPr>
      </w:pPr>
    </w:p>
    <w:p w14:paraId="4AE4E215" w14:textId="77777777" w:rsidR="007116B2" w:rsidRPr="007E69D8" w:rsidRDefault="007116B2" w:rsidP="007116B2">
      <w:pPr>
        <w:tabs>
          <w:tab w:val="left" w:pos="1440"/>
          <w:tab w:val="left" w:pos="3060"/>
        </w:tabs>
        <w:jc w:val="center"/>
        <w:rPr>
          <w:rFonts w:ascii="Arial" w:hAnsi="Arial" w:cs="Arial"/>
          <w:smallCaps/>
          <w:lang w:val="es-ES_tradnl"/>
        </w:rPr>
      </w:pPr>
    </w:p>
    <w:p w14:paraId="49C2289A" w14:textId="77777777" w:rsidR="007116B2" w:rsidRPr="007E69D8" w:rsidRDefault="007116B2" w:rsidP="007116B2">
      <w:pPr>
        <w:tabs>
          <w:tab w:val="left" w:pos="1440"/>
          <w:tab w:val="left" w:pos="3060"/>
        </w:tabs>
        <w:jc w:val="center"/>
        <w:rPr>
          <w:rFonts w:ascii="Arial" w:hAnsi="Arial" w:cs="Arial"/>
          <w:smallCaps/>
          <w:lang w:val="es-ES_tradnl"/>
        </w:rPr>
      </w:pPr>
    </w:p>
    <w:p w14:paraId="389C8824" w14:textId="77777777" w:rsidR="007116B2" w:rsidRPr="007E69D8" w:rsidRDefault="007116B2" w:rsidP="007116B2">
      <w:pPr>
        <w:tabs>
          <w:tab w:val="left" w:pos="1440"/>
          <w:tab w:val="left" w:pos="3060"/>
        </w:tabs>
        <w:jc w:val="center"/>
        <w:rPr>
          <w:rFonts w:ascii="Arial" w:hAnsi="Arial" w:cs="Arial"/>
          <w:smallCaps/>
          <w:lang w:val="es-ES_tradnl"/>
        </w:rPr>
      </w:pPr>
    </w:p>
    <w:p w14:paraId="681FB201" w14:textId="77777777" w:rsidR="007116B2" w:rsidRPr="007E69D8" w:rsidRDefault="007116B2" w:rsidP="007116B2">
      <w:pPr>
        <w:tabs>
          <w:tab w:val="left" w:pos="1440"/>
          <w:tab w:val="left" w:pos="3060"/>
        </w:tabs>
        <w:jc w:val="center"/>
        <w:rPr>
          <w:rFonts w:ascii="Arial" w:hAnsi="Arial" w:cs="Arial"/>
          <w:smallCaps/>
          <w:lang w:val="es-ES_tradnl"/>
        </w:rPr>
      </w:pPr>
    </w:p>
    <w:p w14:paraId="22FCC3E8" w14:textId="2691EA74" w:rsidR="007116B2" w:rsidRPr="007E69D8" w:rsidRDefault="007116B2" w:rsidP="007116B2">
      <w:pPr>
        <w:pStyle w:val="Newpage"/>
        <w:rPr>
          <w:rFonts w:ascii="Arial" w:hAnsi="Arial" w:cs="Arial"/>
          <w:sz w:val="28"/>
          <w:szCs w:val="28"/>
          <w:lang w:val="es-ES_tradnl"/>
        </w:rPr>
      </w:pPr>
      <w:r w:rsidRPr="007E69D8">
        <w:rPr>
          <w:rFonts w:ascii="Arial" w:hAnsi="Arial" w:cs="Arial"/>
          <w:sz w:val="28"/>
          <w:szCs w:val="28"/>
          <w:lang w:val="es-ES_tradnl"/>
        </w:rPr>
        <w:t xml:space="preserve">Programa </w:t>
      </w:r>
      <w:r w:rsidR="00C52729" w:rsidRPr="007E69D8">
        <w:rPr>
          <w:rFonts w:ascii="Arial" w:hAnsi="Arial" w:cs="Arial"/>
          <w:sz w:val="28"/>
          <w:szCs w:val="28"/>
          <w:lang w:val="es-ES_tradnl"/>
        </w:rPr>
        <w:t>Global de Crédito para la Defensa del Tejido Productivo y el Empleo</w:t>
      </w:r>
    </w:p>
    <w:p w14:paraId="55F45234" w14:textId="77777777" w:rsidR="007116B2" w:rsidRPr="007E69D8" w:rsidRDefault="007116B2" w:rsidP="007116B2">
      <w:pPr>
        <w:pStyle w:val="Newpage"/>
        <w:rPr>
          <w:rFonts w:ascii="Arial" w:hAnsi="Arial" w:cs="Arial"/>
          <w:b w:val="0"/>
          <w:caps/>
          <w:smallCaps w:val="0"/>
          <w:sz w:val="22"/>
          <w:szCs w:val="22"/>
          <w:lang w:val="es-ES_tradnl"/>
        </w:rPr>
      </w:pPr>
    </w:p>
    <w:p w14:paraId="19027434" w14:textId="77777777" w:rsidR="007116B2" w:rsidRPr="007E69D8" w:rsidRDefault="007116B2" w:rsidP="007116B2">
      <w:pPr>
        <w:pStyle w:val="Newpage"/>
        <w:rPr>
          <w:rFonts w:ascii="Arial" w:hAnsi="Arial" w:cs="Arial"/>
          <w:b w:val="0"/>
          <w:caps/>
          <w:smallCaps w:val="0"/>
          <w:sz w:val="22"/>
          <w:szCs w:val="22"/>
          <w:lang w:val="es-ES_tradnl"/>
        </w:rPr>
      </w:pPr>
    </w:p>
    <w:p w14:paraId="0E30A42B" w14:textId="6873AB5A" w:rsidR="007116B2" w:rsidRPr="007E69D8" w:rsidRDefault="00B32AAC" w:rsidP="007116B2">
      <w:pPr>
        <w:tabs>
          <w:tab w:val="left" w:pos="1440"/>
          <w:tab w:val="left" w:pos="3060"/>
        </w:tabs>
        <w:jc w:val="center"/>
        <w:rPr>
          <w:rFonts w:ascii="Arial" w:hAnsi="Arial" w:cs="Arial"/>
          <w:b/>
          <w:smallCaps/>
          <w:lang w:val="es-ES_tradnl"/>
        </w:rPr>
      </w:pPr>
      <w:r w:rsidRPr="007E69D8">
        <w:rPr>
          <w:rFonts w:ascii="Arial" w:hAnsi="Arial" w:cs="Arial"/>
          <w:b/>
          <w:smallCaps/>
          <w:lang w:val="es-ES_tradnl"/>
        </w:rPr>
        <w:t>EC-L126</w:t>
      </w:r>
      <w:r w:rsidR="00A85009" w:rsidRPr="007E69D8">
        <w:rPr>
          <w:rFonts w:ascii="Arial" w:hAnsi="Arial" w:cs="Arial"/>
          <w:b/>
          <w:smallCaps/>
          <w:lang w:val="es-ES_tradnl"/>
        </w:rPr>
        <w:t>9</w:t>
      </w:r>
    </w:p>
    <w:p w14:paraId="7B16BEB7" w14:textId="77777777" w:rsidR="007116B2" w:rsidRPr="007E69D8" w:rsidRDefault="007116B2" w:rsidP="007116B2">
      <w:pPr>
        <w:jc w:val="center"/>
        <w:outlineLvl w:val="0"/>
        <w:rPr>
          <w:rFonts w:ascii="Arial" w:hAnsi="Arial" w:cs="Arial"/>
          <w:b/>
          <w:bCs/>
          <w:smallCaps/>
          <w:sz w:val="24"/>
          <w:szCs w:val="24"/>
          <w:lang w:val="es-ES_tradnl"/>
        </w:rPr>
      </w:pPr>
    </w:p>
    <w:p w14:paraId="329F5C0E" w14:textId="77777777" w:rsidR="007116B2" w:rsidRPr="007E69D8" w:rsidRDefault="007116B2" w:rsidP="007116B2">
      <w:pPr>
        <w:tabs>
          <w:tab w:val="left" w:pos="1440"/>
          <w:tab w:val="left" w:pos="3060"/>
        </w:tabs>
        <w:jc w:val="center"/>
        <w:outlineLvl w:val="0"/>
        <w:rPr>
          <w:rFonts w:ascii="Arial" w:hAnsi="Arial" w:cs="Arial"/>
          <w:b/>
          <w:smallCaps/>
          <w:sz w:val="24"/>
          <w:lang w:val="es-ES_tradnl"/>
        </w:rPr>
      </w:pPr>
    </w:p>
    <w:p w14:paraId="269B5C61" w14:textId="77777777" w:rsidR="007116B2" w:rsidRPr="007E69D8" w:rsidRDefault="007116B2" w:rsidP="007116B2">
      <w:pPr>
        <w:tabs>
          <w:tab w:val="left" w:pos="1440"/>
          <w:tab w:val="left" w:pos="3060"/>
        </w:tabs>
        <w:jc w:val="center"/>
        <w:outlineLvl w:val="0"/>
        <w:rPr>
          <w:rFonts w:ascii="Arial" w:hAnsi="Arial" w:cs="Arial"/>
          <w:b/>
          <w:smallCaps/>
          <w:sz w:val="24"/>
          <w:lang w:val="es-ES_tradnl"/>
        </w:rPr>
      </w:pPr>
      <w:r w:rsidRPr="007E69D8">
        <w:rPr>
          <w:rFonts w:ascii="Arial" w:hAnsi="Arial" w:cs="Arial"/>
          <w:b/>
          <w:smallCaps/>
          <w:sz w:val="24"/>
          <w:lang w:val="es-ES_tradnl"/>
        </w:rPr>
        <w:t>Plan de Monitoreo y Evaluación</w:t>
      </w:r>
    </w:p>
    <w:p w14:paraId="3133C02B" w14:textId="77777777" w:rsidR="007116B2" w:rsidRPr="007E69D8" w:rsidRDefault="007116B2" w:rsidP="007116B2">
      <w:pPr>
        <w:spacing w:after="100" w:afterAutospacing="1" w:line="240" w:lineRule="auto"/>
        <w:jc w:val="center"/>
        <w:rPr>
          <w:rFonts w:ascii="Arial" w:hAnsi="Arial" w:cs="Arial"/>
          <w:b/>
          <w:lang w:val="es-ES_tradnl"/>
        </w:rPr>
      </w:pPr>
    </w:p>
    <w:p w14:paraId="295FFDAD" w14:textId="77777777" w:rsidR="007116B2" w:rsidRPr="007E69D8" w:rsidRDefault="007116B2" w:rsidP="007116B2">
      <w:pPr>
        <w:pStyle w:val="TOC3"/>
        <w:rPr>
          <w:rFonts w:ascii="Arial" w:hAnsi="Arial" w:cs="Arial"/>
          <w:sz w:val="22"/>
          <w:lang w:val="es-ES_tradnl"/>
        </w:rPr>
      </w:pPr>
    </w:p>
    <w:p w14:paraId="62939755" w14:textId="77777777" w:rsidR="007116B2" w:rsidRPr="007E69D8" w:rsidRDefault="007116B2" w:rsidP="007116B2">
      <w:pPr>
        <w:rPr>
          <w:rFonts w:ascii="Arial" w:hAnsi="Arial" w:cs="Arial"/>
          <w:lang w:val="es-ES_tradnl"/>
        </w:rPr>
      </w:pPr>
    </w:p>
    <w:p w14:paraId="53218EA4" w14:textId="503E56CB" w:rsidR="007116B2" w:rsidRPr="007E69D8" w:rsidRDefault="007116B2" w:rsidP="007116B2">
      <w:pPr>
        <w:rPr>
          <w:rFonts w:ascii="Arial" w:hAnsi="Arial" w:cs="Arial"/>
          <w:b/>
          <w:lang w:val="es-ES_tradnl"/>
        </w:rPr>
      </w:pPr>
    </w:p>
    <w:p w14:paraId="4969FF98" w14:textId="05DECF21" w:rsidR="007116B2" w:rsidRPr="007E69D8" w:rsidRDefault="007116B2" w:rsidP="007116B2">
      <w:pPr>
        <w:rPr>
          <w:rFonts w:ascii="Arial" w:hAnsi="Arial" w:cs="Arial"/>
          <w:b/>
          <w:lang w:val="es-ES_tradnl"/>
        </w:rPr>
      </w:pPr>
    </w:p>
    <w:p w14:paraId="027F5825" w14:textId="02949C3E" w:rsidR="007116B2" w:rsidRPr="007E69D8" w:rsidRDefault="003D0547" w:rsidP="007116B2">
      <w:pPr>
        <w:rPr>
          <w:rFonts w:ascii="Arial" w:hAnsi="Arial" w:cs="Arial"/>
          <w:b/>
          <w:lang w:val="es-ES_tradnl"/>
        </w:rPr>
      </w:pPr>
      <w:r w:rsidRPr="007E69D8">
        <w:rPr>
          <w:rFonts w:ascii="Arial" w:hAnsi="Arial" w:cs="Arial"/>
          <w:noProof/>
          <w:lang w:val="es-ES_tradnl" w:eastAsia="es-ES"/>
        </w:rPr>
        <mc:AlternateContent>
          <mc:Choice Requires="wps">
            <w:drawing>
              <wp:anchor distT="0" distB="0" distL="114300" distR="114300" simplePos="0" relativeHeight="251658240" behindDoc="0" locked="0" layoutInCell="1" allowOverlap="1" wp14:anchorId="321CF101" wp14:editId="16EB649C">
                <wp:simplePos x="0" y="0"/>
                <wp:positionH relativeFrom="column">
                  <wp:posOffset>-141332</wp:posOffset>
                </wp:positionH>
                <wp:positionV relativeFrom="paragraph">
                  <wp:posOffset>389708</wp:posOffset>
                </wp:positionV>
                <wp:extent cx="5734050" cy="277586"/>
                <wp:effectExtent l="0" t="0" r="19050" b="273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77586"/>
                        </a:xfrm>
                        <a:prstGeom prst="rect">
                          <a:avLst/>
                        </a:prstGeom>
                        <a:solidFill>
                          <a:srgbClr val="FFFFFF"/>
                        </a:solidFill>
                        <a:ln w="9525">
                          <a:solidFill>
                            <a:srgbClr val="000000"/>
                          </a:solidFill>
                          <a:miter lim="800000"/>
                          <a:headEnd/>
                          <a:tailEnd/>
                        </a:ln>
                      </wps:spPr>
                      <wps:txbx>
                        <w:txbxContent>
                          <w:p w14:paraId="5D017DC1" w14:textId="3E1C0A54" w:rsidR="00200846" w:rsidRPr="00486549" w:rsidRDefault="00200846" w:rsidP="007116B2">
                            <w:pPr>
                              <w:spacing w:after="0" w:line="240" w:lineRule="auto"/>
                              <w:jc w:val="both"/>
                              <w:rPr>
                                <w:rFonts w:ascii="Arial" w:hAnsi="Arial" w:cs="Arial"/>
                                <w:sz w:val="20"/>
                                <w:lang w:val="es-ES_tradnl"/>
                              </w:rPr>
                            </w:pPr>
                            <w:bookmarkStart w:id="2" w:name="_Hlk20177833"/>
                            <w:r w:rsidRPr="00F9341C">
                              <w:rPr>
                                <w:rFonts w:ascii="Arial" w:hAnsi="Arial" w:cs="Arial"/>
                                <w:szCs w:val="24"/>
                                <w:lang w:val="es-419"/>
                              </w:rPr>
                              <w:t>Este documento fue preparado por</w:t>
                            </w:r>
                            <w:r>
                              <w:rPr>
                                <w:rFonts w:ascii="Arial" w:hAnsi="Arial" w:cs="Arial"/>
                                <w:szCs w:val="24"/>
                                <w:lang w:val="es-419"/>
                              </w:rPr>
                              <w:t>: Sebastián Vargas</w:t>
                            </w:r>
                            <w:bookmarkStart w:id="3" w:name="_Hlk17983986"/>
                            <w:r>
                              <w:rPr>
                                <w:rFonts w:ascii="Arial" w:hAnsi="Arial" w:cs="Arial"/>
                                <w:szCs w:val="24"/>
                                <w:lang w:val="es-419"/>
                              </w:rPr>
                              <w:t xml:space="preserve"> (IFD/CMF)</w:t>
                            </w:r>
                            <w:r w:rsidRPr="00F9341C">
                              <w:rPr>
                                <w:rFonts w:ascii="Arial" w:hAnsi="Arial" w:cs="Arial"/>
                                <w:szCs w:val="24"/>
                                <w:lang w:val="es-419"/>
                              </w:rPr>
                              <w:t xml:space="preserve">  </w:t>
                            </w:r>
                            <w:bookmarkEnd w:id="2"/>
                            <w:bookmarkEnd w:id="3"/>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1CF101" id="_x0000_t202" coordsize="21600,21600" o:spt="202" path="m,l,21600r21600,l21600,xe">
                <v:stroke joinstyle="miter"/>
                <v:path gradientshapeok="t" o:connecttype="rect"/>
              </v:shapetype>
              <v:shape id="Text Box 1" o:spid="_x0000_s1026" type="#_x0000_t202" style="position:absolute;margin-left:-11.15pt;margin-top:30.7pt;width:451.5pt;height:2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">
                <v:textbox>
                  <w:txbxContent>
                    <w:p w14:paraId="5D017DC1" w14:textId="3E1C0A54" w:rsidR="00200846" w:rsidRPr="00486549" w:rsidRDefault="00200846" w:rsidP="007116B2">
                      <w:pPr>
                        <w:spacing w:after="0" w:line="240" w:lineRule="auto"/>
                        <w:jc w:val="both"/>
                        <w:rPr>
                          <w:rFonts w:ascii="Arial" w:hAnsi="Arial" w:cs="Arial"/>
                          <w:sz w:val="20"/>
                          <w:lang w:val="es-ES_tradnl"/>
                        </w:rPr>
                      </w:pPr>
                      <w:bookmarkStart w:id="4" w:name="_Hlk20177833"/>
                      <w:r w:rsidRPr="00F9341C">
                        <w:rPr>
                          <w:rFonts w:ascii="Arial" w:hAnsi="Arial" w:cs="Arial"/>
                          <w:szCs w:val="24"/>
                          <w:lang w:val="es-419"/>
                        </w:rPr>
                        <w:t>Este documento fue preparado por</w:t>
                      </w:r>
                      <w:r>
                        <w:rPr>
                          <w:rFonts w:ascii="Arial" w:hAnsi="Arial" w:cs="Arial"/>
                          <w:szCs w:val="24"/>
                          <w:lang w:val="es-419"/>
                        </w:rPr>
                        <w:t>: Sebastián Vargas</w:t>
                      </w:r>
                      <w:bookmarkStart w:id="5" w:name="_Hlk17983986"/>
                      <w:r>
                        <w:rPr>
                          <w:rFonts w:ascii="Arial" w:hAnsi="Arial" w:cs="Arial"/>
                          <w:szCs w:val="24"/>
                          <w:lang w:val="es-419"/>
                        </w:rPr>
                        <w:t xml:space="preserve"> (IFD/CMF)</w:t>
                      </w:r>
                      <w:r w:rsidRPr="00F9341C">
                        <w:rPr>
                          <w:rFonts w:ascii="Arial" w:hAnsi="Arial" w:cs="Arial"/>
                          <w:szCs w:val="24"/>
                          <w:lang w:val="es-419"/>
                        </w:rPr>
                        <w:t xml:space="preserve">  </w:t>
                      </w:r>
                      <w:bookmarkEnd w:id="4"/>
                      <w:bookmarkEnd w:id="5"/>
                    </w:p>
                  </w:txbxContent>
                </v:textbox>
              </v:shape>
            </w:pict>
          </mc:Fallback>
        </mc:AlternateContent>
      </w:r>
    </w:p>
    <w:p w14:paraId="6A652276" w14:textId="77777777" w:rsidR="007116B2" w:rsidRPr="007E69D8" w:rsidRDefault="007116B2" w:rsidP="007116B2">
      <w:pPr>
        <w:rPr>
          <w:rFonts w:ascii="Arial" w:hAnsi="Arial" w:cs="Arial"/>
          <w:b/>
          <w:lang w:val="es-ES_tradnl"/>
        </w:rPr>
        <w:sectPr w:rsidR="007116B2" w:rsidRPr="007E69D8" w:rsidSect="00454CB5">
          <w:footerReference w:type="default" r:id="rId12"/>
          <w:pgSz w:w="12240" w:h="15840"/>
          <w:pgMar w:top="1440" w:right="1800" w:bottom="1440" w:left="1800" w:header="720" w:footer="720" w:gutter="0"/>
          <w:cols w:space="720"/>
          <w:titlePg/>
          <w:docGrid w:linePitch="360"/>
        </w:sectPr>
      </w:pPr>
    </w:p>
    <w:p w14:paraId="44E7EA5A" w14:textId="77777777" w:rsidR="007116B2" w:rsidRPr="007E69D8" w:rsidRDefault="007116B2" w:rsidP="007116B2">
      <w:pPr>
        <w:jc w:val="center"/>
        <w:rPr>
          <w:rFonts w:ascii="Arial" w:hAnsi="Arial" w:cs="Arial"/>
          <w:b/>
          <w:bCs/>
          <w:smallCaps/>
          <w:spacing w:val="5"/>
          <w:lang w:val="es-ES_tradnl"/>
        </w:rPr>
      </w:pPr>
      <w:r w:rsidRPr="007E69D8">
        <w:rPr>
          <w:rStyle w:val="BookTitle"/>
          <w:rFonts w:ascii="Arial" w:hAnsi="Arial" w:cs="Arial"/>
          <w:lang w:val="es-ES_tradnl"/>
        </w:rPr>
        <w:lastRenderedPageBreak/>
        <w:t>CONTENIDO</w:t>
      </w:r>
    </w:p>
    <w:p w14:paraId="2A422807" w14:textId="2A5C4902" w:rsidR="00190E2F" w:rsidRPr="007E69D8" w:rsidRDefault="007116B2">
      <w:pPr>
        <w:pStyle w:val="TOC1"/>
        <w:rPr>
          <w:rFonts w:ascii="Arial" w:hAnsi="Arial" w:cs="Arial"/>
          <w:b w:val="0"/>
          <w:smallCaps w:val="0"/>
          <w:sz w:val="22"/>
          <w:lang w:val="es-ES_tradnl" w:eastAsia="en-US"/>
        </w:rPr>
      </w:pPr>
      <w:r w:rsidRPr="007E69D8">
        <w:rPr>
          <w:rFonts w:ascii="Arial" w:hAnsi="Arial" w:cs="Arial"/>
          <w:b w:val="0"/>
          <w:noProof w:val="0"/>
          <w:sz w:val="22"/>
          <w:lang w:val="es-ES_tradnl"/>
        </w:rPr>
        <w:fldChar w:fldCharType="begin"/>
      </w:r>
      <w:r w:rsidRPr="007E69D8">
        <w:rPr>
          <w:rFonts w:ascii="Arial" w:hAnsi="Arial" w:cs="Arial"/>
          <w:b w:val="0"/>
          <w:noProof w:val="0"/>
          <w:sz w:val="22"/>
          <w:lang w:val="es-ES_tradnl"/>
        </w:rPr>
        <w:instrText xml:space="preserve"> TOC \f \t "Chapter,1,FirstHeading,2,SecHeading,3" </w:instrText>
      </w:r>
      <w:r w:rsidRPr="007E69D8">
        <w:rPr>
          <w:rFonts w:ascii="Arial" w:hAnsi="Arial" w:cs="Arial"/>
          <w:b w:val="0"/>
          <w:noProof w:val="0"/>
          <w:sz w:val="22"/>
          <w:lang w:val="es-ES_tradnl"/>
        </w:rPr>
        <w:fldChar w:fldCharType="separate"/>
      </w:r>
      <w:r w:rsidR="00190E2F" w:rsidRPr="007E69D8">
        <w:rPr>
          <w:rFonts w:ascii="Arial" w:hAnsi="Arial" w:cs="Arial"/>
          <w:sz w:val="22"/>
          <w:lang w:val="es-ES_tradnl"/>
        </w:rPr>
        <w:t>I.</w:t>
      </w:r>
      <w:r w:rsidR="00190E2F" w:rsidRPr="007E69D8">
        <w:rPr>
          <w:rFonts w:ascii="Arial" w:hAnsi="Arial" w:cs="Arial"/>
          <w:b w:val="0"/>
          <w:smallCaps w:val="0"/>
          <w:sz w:val="22"/>
          <w:lang w:val="es-ES_tradnl" w:eastAsia="en-US"/>
        </w:rPr>
        <w:tab/>
      </w:r>
      <w:r w:rsidR="00190E2F" w:rsidRPr="007E69D8">
        <w:rPr>
          <w:rFonts w:ascii="Arial" w:hAnsi="Arial" w:cs="Arial"/>
          <w:sz w:val="22"/>
          <w:lang w:val="es-ES_tradnl"/>
        </w:rPr>
        <w:t>Introducción</w:t>
      </w:r>
      <w:r w:rsidR="00190E2F" w:rsidRPr="007E69D8">
        <w:rPr>
          <w:rFonts w:ascii="Arial" w:hAnsi="Arial" w:cs="Arial"/>
          <w:sz w:val="22"/>
          <w:lang w:val="es-ES_tradnl"/>
        </w:rPr>
        <w:tab/>
      </w:r>
      <w:r w:rsidR="00190E2F" w:rsidRPr="007E69D8">
        <w:rPr>
          <w:rFonts w:ascii="Arial" w:hAnsi="Arial" w:cs="Arial"/>
          <w:sz w:val="22"/>
          <w:lang w:val="es-ES_tradnl"/>
        </w:rPr>
        <w:fldChar w:fldCharType="begin"/>
      </w:r>
      <w:r w:rsidR="00190E2F" w:rsidRPr="007E69D8">
        <w:rPr>
          <w:rFonts w:ascii="Arial" w:hAnsi="Arial" w:cs="Arial"/>
          <w:sz w:val="22"/>
          <w:lang w:val="es-ES_tradnl"/>
        </w:rPr>
        <w:instrText xml:space="preserve"> PAGEREF _Toc36307318 \h </w:instrText>
      </w:r>
      <w:r w:rsidR="00190E2F" w:rsidRPr="007E69D8">
        <w:rPr>
          <w:rFonts w:ascii="Arial" w:hAnsi="Arial" w:cs="Arial"/>
          <w:sz w:val="22"/>
          <w:lang w:val="es-ES_tradnl"/>
        </w:rPr>
      </w:r>
      <w:r w:rsidR="00190E2F" w:rsidRPr="007E69D8">
        <w:rPr>
          <w:rFonts w:ascii="Arial" w:hAnsi="Arial" w:cs="Arial"/>
          <w:sz w:val="22"/>
          <w:lang w:val="es-ES_tradnl"/>
        </w:rPr>
        <w:fldChar w:fldCharType="separate"/>
      </w:r>
      <w:r w:rsidR="00CF3F83">
        <w:rPr>
          <w:rFonts w:ascii="Arial" w:hAnsi="Arial" w:cs="Arial"/>
          <w:sz w:val="22"/>
          <w:lang w:val="es-ES_tradnl"/>
        </w:rPr>
        <w:t>1</w:t>
      </w:r>
      <w:r w:rsidR="00190E2F" w:rsidRPr="007E69D8">
        <w:rPr>
          <w:rFonts w:ascii="Arial" w:hAnsi="Arial" w:cs="Arial"/>
          <w:sz w:val="22"/>
          <w:lang w:val="es-ES_tradnl"/>
        </w:rPr>
        <w:fldChar w:fldCharType="end"/>
      </w:r>
    </w:p>
    <w:p w14:paraId="47066B4F" w14:textId="3DE1EB9B" w:rsidR="00190E2F" w:rsidRPr="007E69D8" w:rsidRDefault="00190E2F">
      <w:pPr>
        <w:pStyle w:val="TOC1"/>
        <w:rPr>
          <w:rFonts w:ascii="Arial" w:hAnsi="Arial" w:cs="Arial"/>
          <w:b w:val="0"/>
          <w:smallCaps w:val="0"/>
          <w:sz w:val="22"/>
          <w:lang w:val="es-ES_tradnl" w:eastAsia="en-US"/>
        </w:rPr>
      </w:pPr>
      <w:r w:rsidRPr="007E69D8">
        <w:rPr>
          <w:rFonts w:ascii="Arial" w:hAnsi="Arial" w:cs="Arial"/>
          <w:sz w:val="22"/>
          <w:lang w:val="es-ES_tradnl"/>
        </w:rPr>
        <w:t>II.</w:t>
      </w:r>
      <w:r w:rsidRPr="007E69D8">
        <w:rPr>
          <w:rFonts w:ascii="Arial" w:hAnsi="Arial" w:cs="Arial"/>
          <w:b w:val="0"/>
          <w:smallCaps w:val="0"/>
          <w:sz w:val="22"/>
          <w:lang w:val="es-ES_tradnl" w:eastAsia="en-US"/>
        </w:rPr>
        <w:tab/>
      </w:r>
      <w:r w:rsidRPr="007E69D8">
        <w:rPr>
          <w:rFonts w:ascii="Arial" w:hAnsi="Arial" w:cs="Arial"/>
          <w:sz w:val="22"/>
          <w:lang w:val="es-ES_tradnl"/>
        </w:rPr>
        <w:t>Monitoreo</w:t>
      </w:r>
      <w:r w:rsidRPr="007E69D8">
        <w:rPr>
          <w:rFonts w:ascii="Arial" w:hAnsi="Arial" w:cs="Arial"/>
          <w:sz w:val="22"/>
          <w:lang w:val="es-ES_tradnl"/>
        </w:rPr>
        <w:tab/>
      </w:r>
      <w:r w:rsidRPr="007E69D8">
        <w:rPr>
          <w:rFonts w:ascii="Arial" w:hAnsi="Arial" w:cs="Arial"/>
          <w:sz w:val="22"/>
          <w:lang w:val="es-ES_tradnl"/>
        </w:rPr>
        <w:fldChar w:fldCharType="begin"/>
      </w:r>
      <w:r w:rsidRPr="007E69D8">
        <w:rPr>
          <w:rFonts w:ascii="Arial" w:hAnsi="Arial" w:cs="Arial"/>
          <w:sz w:val="22"/>
          <w:lang w:val="es-ES_tradnl"/>
        </w:rPr>
        <w:instrText xml:space="preserve"> PAGEREF _Toc36307319 \h </w:instrText>
      </w:r>
      <w:r w:rsidRPr="007E69D8">
        <w:rPr>
          <w:rFonts w:ascii="Arial" w:hAnsi="Arial" w:cs="Arial"/>
          <w:sz w:val="22"/>
          <w:lang w:val="es-ES_tradnl"/>
        </w:rPr>
      </w:r>
      <w:r w:rsidRPr="007E69D8">
        <w:rPr>
          <w:rFonts w:ascii="Arial" w:hAnsi="Arial" w:cs="Arial"/>
          <w:sz w:val="22"/>
          <w:lang w:val="es-ES_tradnl"/>
        </w:rPr>
        <w:fldChar w:fldCharType="separate"/>
      </w:r>
      <w:r w:rsidR="00CF3F83">
        <w:rPr>
          <w:rFonts w:ascii="Arial" w:hAnsi="Arial" w:cs="Arial"/>
          <w:sz w:val="22"/>
          <w:lang w:val="es-ES_tradnl"/>
        </w:rPr>
        <w:t>4</w:t>
      </w:r>
      <w:r w:rsidRPr="007E69D8">
        <w:rPr>
          <w:rFonts w:ascii="Arial" w:hAnsi="Arial" w:cs="Arial"/>
          <w:sz w:val="22"/>
          <w:lang w:val="es-ES_tradnl"/>
        </w:rPr>
        <w:fldChar w:fldCharType="end"/>
      </w:r>
    </w:p>
    <w:p w14:paraId="5C4F9C93" w14:textId="3B816DCA" w:rsidR="00190E2F" w:rsidRPr="007E69D8" w:rsidRDefault="00190E2F">
      <w:pPr>
        <w:pStyle w:val="TOC3"/>
        <w:rPr>
          <w:rFonts w:ascii="Arial" w:hAnsi="Arial" w:cs="Arial"/>
          <w:noProof/>
          <w:sz w:val="22"/>
          <w:lang w:val="es-ES_tradnl" w:eastAsia="en-US"/>
        </w:rPr>
      </w:pPr>
      <w:r w:rsidRPr="007E69D8">
        <w:rPr>
          <w:rFonts w:ascii="Arial" w:hAnsi="Arial" w:cs="Arial"/>
          <w:noProof/>
          <w:sz w:val="22"/>
          <w:lang w:val="es-ES_tradnl"/>
        </w:rPr>
        <w:t>1.</w:t>
      </w:r>
      <w:r w:rsidRPr="007E69D8">
        <w:rPr>
          <w:rFonts w:ascii="Arial" w:hAnsi="Arial" w:cs="Arial"/>
          <w:noProof/>
          <w:sz w:val="22"/>
          <w:lang w:val="es-ES_tradnl" w:eastAsia="en-US"/>
        </w:rPr>
        <w:tab/>
      </w:r>
      <w:r w:rsidRPr="007E69D8">
        <w:rPr>
          <w:rFonts w:ascii="Arial" w:hAnsi="Arial" w:cs="Arial"/>
          <w:noProof/>
          <w:sz w:val="22"/>
          <w:lang w:val="es-ES_tradnl"/>
        </w:rPr>
        <w:t>Indicadores</w:t>
      </w:r>
      <w:r w:rsidRPr="007E69D8">
        <w:rPr>
          <w:rFonts w:ascii="Arial" w:hAnsi="Arial" w:cs="Arial"/>
          <w:noProof/>
          <w:sz w:val="22"/>
          <w:lang w:val="es-ES_tradnl"/>
        </w:rPr>
        <w:tab/>
      </w:r>
      <w:r w:rsidRPr="007E69D8">
        <w:rPr>
          <w:rFonts w:ascii="Arial" w:hAnsi="Arial" w:cs="Arial"/>
          <w:noProof/>
          <w:sz w:val="22"/>
          <w:lang w:val="es-ES_tradnl"/>
        </w:rPr>
        <w:fldChar w:fldCharType="begin"/>
      </w:r>
      <w:r w:rsidRPr="007E69D8">
        <w:rPr>
          <w:rFonts w:ascii="Arial" w:hAnsi="Arial" w:cs="Arial"/>
          <w:noProof/>
          <w:sz w:val="22"/>
          <w:lang w:val="es-ES_tradnl"/>
        </w:rPr>
        <w:instrText xml:space="preserve"> PAGEREF _Toc36307320 \h </w:instrText>
      </w:r>
      <w:r w:rsidRPr="007E69D8">
        <w:rPr>
          <w:rFonts w:ascii="Arial" w:hAnsi="Arial" w:cs="Arial"/>
          <w:noProof/>
          <w:sz w:val="22"/>
          <w:lang w:val="es-ES_tradnl"/>
        </w:rPr>
      </w:r>
      <w:r w:rsidRPr="007E69D8">
        <w:rPr>
          <w:rFonts w:ascii="Arial" w:hAnsi="Arial" w:cs="Arial"/>
          <w:noProof/>
          <w:sz w:val="22"/>
          <w:lang w:val="es-ES_tradnl"/>
        </w:rPr>
        <w:fldChar w:fldCharType="separate"/>
      </w:r>
      <w:r w:rsidR="00CF3F83">
        <w:rPr>
          <w:rFonts w:ascii="Arial" w:hAnsi="Arial" w:cs="Arial"/>
          <w:noProof/>
          <w:sz w:val="22"/>
          <w:lang w:val="es-ES_tradnl"/>
        </w:rPr>
        <w:t>4</w:t>
      </w:r>
      <w:r w:rsidRPr="007E69D8">
        <w:rPr>
          <w:rFonts w:ascii="Arial" w:hAnsi="Arial" w:cs="Arial"/>
          <w:noProof/>
          <w:sz w:val="22"/>
          <w:lang w:val="es-ES_tradnl"/>
        </w:rPr>
        <w:fldChar w:fldCharType="end"/>
      </w:r>
    </w:p>
    <w:p w14:paraId="75369C4D" w14:textId="4ED1C89D" w:rsidR="00190E2F" w:rsidRPr="007E69D8" w:rsidRDefault="00190E2F">
      <w:pPr>
        <w:pStyle w:val="TOC3"/>
        <w:rPr>
          <w:rFonts w:ascii="Arial" w:hAnsi="Arial" w:cs="Arial"/>
          <w:noProof/>
          <w:sz w:val="22"/>
          <w:lang w:val="es-ES_tradnl" w:eastAsia="en-US"/>
        </w:rPr>
      </w:pPr>
      <w:r w:rsidRPr="007E69D8">
        <w:rPr>
          <w:rFonts w:ascii="Arial" w:hAnsi="Arial" w:cs="Arial"/>
          <w:noProof/>
          <w:sz w:val="22"/>
          <w:lang w:val="es-ES_tradnl"/>
        </w:rPr>
        <w:t>2.</w:t>
      </w:r>
      <w:r w:rsidRPr="007E69D8">
        <w:rPr>
          <w:rFonts w:ascii="Arial" w:hAnsi="Arial" w:cs="Arial"/>
          <w:noProof/>
          <w:sz w:val="22"/>
          <w:lang w:val="es-ES_tradnl" w:eastAsia="en-US"/>
        </w:rPr>
        <w:tab/>
      </w:r>
      <w:r w:rsidRPr="007E69D8">
        <w:rPr>
          <w:rFonts w:ascii="Arial" w:hAnsi="Arial" w:cs="Arial"/>
          <w:noProof/>
          <w:sz w:val="22"/>
          <w:lang w:val="es-ES_tradnl"/>
        </w:rPr>
        <w:t>Recolección de Información e Instrumentos</w:t>
      </w:r>
      <w:r w:rsidRPr="007E69D8">
        <w:rPr>
          <w:rFonts w:ascii="Arial" w:hAnsi="Arial" w:cs="Arial"/>
          <w:noProof/>
          <w:sz w:val="22"/>
          <w:lang w:val="es-ES_tradnl"/>
        </w:rPr>
        <w:tab/>
      </w:r>
      <w:r w:rsidRPr="007E69D8">
        <w:rPr>
          <w:rFonts w:ascii="Arial" w:hAnsi="Arial" w:cs="Arial"/>
          <w:noProof/>
          <w:sz w:val="22"/>
          <w:lang w:val="es-ES_tradnl"/>
        </w:rPr>
        <w:fldChar w:fldCharType="begin"/>
      </w:r>
      <w:r w:rsidRPr="007E69D8">
        <w:rPr>
          <w:rFonts w:ascii="Arial" w:hAnsi="Arial" w:cs="Arial"/>
          <w:noProof/>
          <w:sz w:val="22"/>
          <w:lang w:val="es-ES_tradnl"/>
        </w:rPr>
        <w:instrText xml:space="preserve"> PAGEREF _Toc36307321 \h </w:instrText>
      </w:r>
      <w:r w:rsidRPr="007E69D8">
        <w:rPr>
          <w:rFonts w:ascii="Arial" w:hAnsi="Arial" w:cs="Arial"/>
          <w:noProof/>
          <w:sz w:val="22"/>
          <w:lang w:val="es-ES_tradnl"/>
        </w:rPr>
      </w:r>
      <w:r w:rsidRPr="007E69D8">
        <w:rPr>
          <w:rFonts w:ascii="Arial" w:hAnsi="Arial" w:cs="Arial"/>
          <w:noProof/>
          <w:sz w:val="22"/>
          <w:lang w:val="es-ES_tradnl"/>
        </w:rPr>
        <w:fldChar w:fldCharType="separate"/>
      </w:r>
      <w:r w:rsidR="00CF3F83">
        <w:rPr>
          <w:rFonts w:ascii="Arial" w:hAnsi="Arial" w:cs="Arial"/>
          <w:noProof/>
          <w:sz w:val="22"/>
          <w:lang w:val="es-ES_tradnl"/>
        </w:rPr>
        <w:t>9</w:t>
      </w:r>
      <w:r w:rsidRPr="007E69D8">
        <w:rPr>
          <w:rFonts w:ascii="Arial" w:hAnsi="Arial" w:cs="Arial"/>
          <w:noProof/>
          <w:sz w:val="22"/>
          <w:lang w:val="es-ES_tradnl"/>
        </w:rPr>
        <w:fldChar w:fldCharType="end"/>
      </w:r>
    </w:p>
    <w:p w14:paraId="4B171B33" w14:textId="6109FE3C" w:rsidR="00190E2F" w:rsidRPr="007E69D8" w:rsidRDefault="00190E2F">
      <w:pPr>
        <w:pStyle w:val="TOC3"/>
        <w:rPr>
          <w:rFonts w:ascii="Arial" w:hAnsi="Arial" w:cs="Arial"/>
          <w:noProof/>
          <w:sz w:val="22"/>
          <w:lang w:val="es-ES_tradnl" w:eastAsia="en-US"/>
        </w:rPr>
      </w:pPr>
      <w:r w:rsidRPr="007E69D8">
        <w:rPr>
          <w:rFonts w:ascii="Arial" w:hAnsi="Arial" w:cs="Arial"/>
          <w:noProof/>
          <w:sz w:val="22"/>
          <w:lang w:val="es-ES_tradnl"/>
        </w:rPr>
        <w:t>3.</w:t>
      </w:r>
      <w:r w:rsidRPr="007E69D8">
        <w:rPr>
          <w:rFonts w:ascii="Arial" w:hAnsi="Arial" w:cs="Arial"/>
          <w:noProof/>
          <w:sz w:val="22"/>
          <w:lang w:val="es-ES_tradnl" w:eastAsia="en-US"/>
        </w:rPr>
        <w:tab/>
      </w:r>
      <w:r w:rsidRPr="007E69D8">
        <w:rPr>
          <w:rFonts w:ascii="Arial" w:hAnsi="Arial" w:cs="Arial"/>
          <w:noProof/>
          <w:sz w:val="22"/>
          <w:lang w:val="es-ES_tradnl"/>
        </w:rPr>
        <w:t>Presentación de Informes</w:t>
      </w:r>
      <w:r w:rsidRPr="007E69D8">
        <w:rPr>
          <w:rFonts w:ascii="Arial" w:hAnsi="Arial" w:cs="Arial"/>
          <w:noProof/>
          <w:sz w:val="22"/>
          <w:lang w:val="es-ES_tradnl"/>
        </w:rPr>
        <w:tab/>
      </w:r>
      <w:r w:rsidRPr="007E69D8">
        <w:rPr>
          <w:rFonts w:ascii="Arial" w:hAnsi="Arial" w:cs="Arial"/>
          <w:noProof/>
          <w:sz w:val="22"/>
          <w:lang w:val="es-ES_tradnl"/>
        </w:rPr>
        <w:fldChar w:fldCharType="begin"/>
      </w:r>
      <w:r w:rsidRPr="007E69D8">
        <w:rPr>
          <w:rFonts w:ascii="Arial" w:hAnsi="Arial" w:cs="Arial"/>
          <w:noProof/>
          <w:sz w:val="22"/>
          <w:lang w:val="es-ES_tradnl"/>
        </w:rPr>
        <w:instrText xml:space="preserve"> PAGEREF _Toc36307322 \h </w:instrText>
      </w:r>
      <w:r w:rsidRPr="007E69D8">
        <w:rPr>
          <w:rFonts w:ascii="Arial" w:hAnsi="Arial" w:cs="Arial"/>
          <w:noProof/>
          <w:sz w:val="22"/>
          <w:lang w:val="es-ES_tradnl"/>
        </w:rPr>
      </w:r>
      <w:r w:rsidRPr="007E69D8">
        <w:rPr>
          <w:rFonts w:ascii="Arial" w:hAnsi="Arial" w:cs="Arial"/>
          <w:noProof/>
          <w:sz w:val="22"/>
          <w:lang w:val="es-ES_tradnl"/>
        </w:rPr>
        <w:fldChar w:fldCharType="separate"/>
      </w:r>
      <w:r w:rsidR="00CF3F83">
        <w:rPr>
          <w:rFonts w:ascii="Arial" w:hAnsi="Arial" w:cs="Arial"/>
          <w:noProof/>
          <w:sz w:val="22"/>
          <w:lang w:val="es-ES_tradnl"/>
        </w:rPr>
        <w:t>9</w:t>
      </w:r>
      <w:r w:rsidRPr="007E69D8">
        <w:rPr>
          <w:rFonts w:ascii="Arial" w:hAnsi="Arial" w:cs="Arial"/>
          <w:noProof/>
          <w:sz w:val="22"/>
          <w:lang w:val="es-ES_tradnl"/>
        </w:rPr>
        <w:fldChar w:fldCharType="end"/>
      </w:r>
    </w:p>
    <w:p w14:paraId="507B5CA7" w14:textId="576B1D69" w:rsidR="00190E2F" w:rsidRPr="007E69D8" w:rsidRDefault="00190E2F">
      <w:pPr>
        <w:pStyle w:val="TOC3"/>
        <w:rPr>
          <w:rFonts w:ascii="Arial" w:hAnsi="Arial" w:cs="Arial"/>
          <w:noProof/>
          <w:sz w:val="22"/>
          <w:lang w:val="es-ES_tradnl" w:eastAsia="en-US"/>
        </w:rPr>
      </w:pPr>
      <w:r w:rsidRPr="007E69D8">
        <w:rPr>
          <w:rFonts w:ascii="Arial" w:hAnsi="Arial" w:cs="Arial"/>
          <w:noProof/>
          <w:sz w:val="22"/>
          <w:lang w:val="es-ES_tradnl"/>
        </w:rPr>
        <w:t>4.</w:t>
      </w:r>
      <w:r w:rsidRPr="007E69D8">
        <w:rPr>
          <w:rFonts w:ascii="Arial" w:hAnsi="Arial" w:cs="Arial"/>
          <w:noProof/>
          <w:sz w:val="22"/>
          <w:lang w:val="es-ES_tradnl" w:eastAsia="en-US"/>
        </w:rPr>
        <w:tab/>
      </w:r>
      <w:r w:rsidRPr="007E69D8">
        <w:rPr>
          <w:rFonts w:ascii="Arial" w:hAnsi="Arial" w:cs="Arial"/>
          <w:noProof/>
          <w:sz w:val="22"/>
          <w:lang w:val="es-ES_tradnl"/>
        </w:rPr>
        <w:t>Coordinación del Monitoreo, Plan de Trabajo y Presupuesto</w:t>
      </w:r>
      <w:r w:rsidRPr="007E69D8">
        <w:rPr>
          <w:rFonts w:ascii="Arial" w:hAnsi="Arial" w:cs="Arial"/>
          <w:noProof/>
          <w:sz w:val="22"/>
          <w:lang w:val="es-ES_tradnl"/>
        </w:rPr>
        <w:tab/>
      </w:r>
      <w:r w:rsidRPr="007E69D8">
        <w:rPr>
          <w:rFonts w:ascii="Arial" w:hAnsi="Arial" w:cs="Arial"/>
          <w:noProof/>
          <w:sz w:val="22"/>
          <w:lang w:val="es-ES_tradnl"/>
        </w:rPr>
        <w:fldChar w:fldCharType="begin"/>
      </w:r>
      <w:r w:rsidRPr="007E69D8">
        <w:rPr>
          <w:rFonts w:ascii="Arial" w:hAnsi="Arial" w:cs="Arial"/>
          <w:noProof/>
          <w:sz w:val="22"/>
          <w:lang w:val="es-ES_tradnl"/>
        </w:rPr>
        <w:instrText xml:space="preserve"> PAGEREF _Toc36307323 \h </w:instrText>
      </w:r>
      <w:r w:rsidRPr="007E69D8">
        <w:rPr>
          <w:rFonts w:ascii="Arial" w:hAnsi="Arial" w:cs="Arial"/>
          <w:noProof/>
          <w:sz w:val="22"/>
          <w:lang w:val="es-ES_tradnl"/>
        </w:rPr>
      </w:r>
      <w:r w:rsidRPr="007E69D8">
        <w:rPr>
          <w:rFonts w:ascii="Arial" w:hAnsi="Arial" w:cs="Arial"/>
          <w:noProof/>
          <w:sz w:val="22"/>
          <w:lang w:val="es-ES_tradnl"/>
        </w:rPr>
        <w:fldChar w:fldCharType="separate"/>
      </w:r>
      <w:r w:rsidR="00CF3F83">
        <w:rPr>
          <w:rFonts w:ascii="Arial" w:hAnsi="Arial" w:cs="Arial"/>
          <w:noProof/>
          <w:sz w:val="22"/>
          <w:lang w:val="es-ES_tradnl"/>
        </w:rPr>
        <w:t>10</w:t>
      </w:r>
      <w:r w:rsidRPr="007E69D8">
        <w:rPr>
          <w:rFonts w:ascii="Arial" w:hAnsi="Arial" w:cs="Arial"/>
          <w:noProof/>
          <w:sz w:val="22"/>
          <w:lang w:val="es-ES_tradnl"/>
        </w:rPr>
        <w:fldChar w:fldCharType="end"/>
      </w:r>
    </w:p>
    <w:p w14:paraId="279E4671" w14:textId="43542846" w:rsidR="00190E2F" w:rsidRPr="007E69D8" w:rsidRDefault="00190E2F">
      <w:pPr>
        <w:pStyle w:val="TOC1"/>
        <w:rPr>
          <w:rFonts w:ascii="Arial" w:hAnsi="Arial" w:cs="Arial"/>
          <w:b w:val="0"/>
          <w:smallCaps w:val="0"/>
          <w:sz w:val="22"/>
          <w:lang w:val="es-ES_tradnl" w:eastAsia="en-US"/>
        </w:rPr>
      </w:pPr>
      <w:r w:rsidRPr="007E69D8">
        <w:rPr>
          <w:rFonts w:ascii="Arial" w:hAnsi="Arial" w:cs="Arial"/>
          <w:sz w:val="22"/>
          <w:lang w:val="es-ES_tradnl"/>
        </w:rPr>
        <w:t>III.</w:t>
      </w:r>
      <w:r w:rsidRPr="007E69D8">
        <w:rPr>
          <w:rFonts w:ascii="Arial" w:hAnsi="Arial" w:cs="Arial"/>
          <w:b w:val="0"/>
          <w:smallCaps w:val="0"/>
          <w:sz w:val="22"/>
          <w:lang w:val="es-ES_tradnl" w:eastAsia="en-US"/>
        </w:rPr>
        <w:tab/>
      </w:r>
      <w:r w:rsidRPr="007E69D8">
        <w:rPr>
          <w:rFonts w:ascii="Arial" w:hAnsi="Arial" w:cs="Arial"/>
          <w:sz w:val="22"/>
          <w:lang w:val="es-ES_tradnl"/>
        </w:rPr>
        <w:t>Evaluación</w:t>
      </w:r>
      <w:r w:rsidRPr="007E69D8">
        <w:rPr>
          <w:rFonts w:ascii="Arial" w:hAnsi="Arial" w:cs="Arial"/>
          <w:sz w:val="22"/>
          <w:lang w:val="es-ES_tradnl"/>
        </w:rPr>
        <w:tab/>
      </w:r>
      <w:r w:rsidRPr="007E69D8">
        <w:rPr>
          <w:rFonts w:ascii="Arial" w:hAnsi="Arial" w:cs="Arial"/>
          <w:sz w:val="22"/>
          <w:lang w:val="es-ES_tradnl"/>
        </w:rPr>
        <w:fldChar w:fldCharType="begin"/>
      </w:r>
      <w:r w:rsidRPr="007E69D8">
        <w:rPr>
          <w:rFonts w:ascii="Arial" w:hAnsi="Arial" w:cs="Arial"/>
          <w:sz w:val="22"/>
          <w:lang w:val="es-ES_tradnl"/>
        </w:rPr>
        <w:instrText xml:space="preserve"> PAGEREF _Toc36307324 \h </w:instrText>
      </w:r>
      <w:r w:rsidRPr="007E69D8">
        <w:rPr>
          <w:rFonts w:ascii="Arial" w:hAnsi="Arial" w:cs="Arial"/>
          <w:sz w:val="22"/>
          <w:lang w:val="es-ES_tradnl"/>
        </w:rPr>
      </w:r>
      <w:r w:rsidRPr="007E69D8">
        <w:rPr>
          <w:rFonts w:ascii="Arial" w:hAnsi="Arial" w:cs="Arial"/>
          <w:sz w:val="22"/>
          <w:lang w:val="es-ES_tradnl"/>
        </w:rPr>
        <w:fldChar w:fldCharType="separate"/>
      </w:r>
      <w:r w:rsidR="00CF3F83">
        <w:rPr>
          <w:rFonts w:ascii="Arial" w:hAnsi="Arial" w:cs="Arial"/>
          <w:sz w:val="22"/>
          <w:lang w:val="es-ES_tradnl"/>
        </w:rPr>
        <w:t>11</w:t>
      </w:r>
      <w:r w:rsidRPr="007E69D8">
        <w:rPr>
          <w:rFonts w:ascii="Arial" w:hAnsi="Arial" w:cs="Arial"/>
          <w:sz w:val="22"/>
          <w:lang w:val="es-ES_tradnl"/>
        </w:rPr>
        <w:fldChar w:fldCharType="end"/>
      </w:r>
    </w:p>
    <w:p w14:paraId="4E2C68EB" w14:textId="7E01135F" w:rsidR="007116B2" w:rsidRPr="007E69D8" w:rsidRDefault="007116B2" w:rsidP="007116B2">
      <w:pPr>
        <w:pStyle w:val="TOC3"/>
        <w:rPr>
          <w:rFonts w:ascii="Arial" w:hAnsi="Arial" w:cs="Arial"/>
          <w:sz w:val="22"/>
          <w:lang w:val="es-ES_tradnl"/>
        </w:rPr>
      </w:pPr>
      <w:r w:rsidRPr="007E69D8">
        <w:rPr>
          <w:rFonts w:ascii="Arial" w:hAnsi="Arial" w:cs="Arial"/>
          <w:sz w:val="22"/>
          <w:lang w:val="es-ES_tradnl"/>
        </w:rPr>
        <w:fldChar w:fldCharType="end"/>
      </w:r>
    </w:p>
    <w:p w14:paraId="18C1DBAF" w14:textId="77777777" w:rsidR="007116B2" w:rsidRPr="007E69D8" w:rsidRDefault="007116B2" w:rsidP="007116B2">
      <w:pPr>
        <w:rPr>
          <w:rFonts w:ascii="Arial" w:hAnsi="Arial" w:cs="Arial"/>
          <w:lang w:val="es-ES_tradnl"/>
        </w:rPr>
      </w:pPr>
    </w:p>
    <w:p w14:paraId="60159A05" w14:textId="77777777" w:rsidR="007116B2" w:rsidRPr="007E69D8" w:rsidRDefault="007116B2" w:rsidP="007116B2">
      <w:pPr>
        <w:rPr>
          <w:rFonts w:ascii="Arial" w:hAnsi="Arial" w:cs="Arial"/>
          <w:lang w:val="es-ES_tradnl"/>
        </w:rPr>
      </w:pPr>
    </w:p>
    <w:p w14:paraId="37C29CAA" w14:textId="77777777" w:rsidR="007116B2" w:rsidRPr="007E69D8" w:rsidRDefault="007116B2" w:rsidP="007116B2">
      <w:pPr>
        <w:rPr>
          <w:rFonts w:ascii="Arial" w:hAnsi="Arial" w:cs="Arial"/>
          <w:lang w:val="es-ES_tradnl"/>
        </w:rPr>
        <w:sectPr w:rsidR="007116B2" w:rsidRPr="007E69D8" w:rsidSect="00454CB5">
          <w:footerReference w:type="default" r:id="rId13"/>
          <w:pgSz w:w="12240" w:h="15840"/>
          <w:pgMar w:top="1440" w:right="1800" w:bottom="1440" w:left="1800" w:header="720" w:footer="720" w:gutter="0"/>
          <w:pgNumType w:start="0"/>
          <w:cols w:space="720"/>
          <w:titlePg/>
          <w:docGrid w:linePitch="360"/>
        </w:sectPr>
      </w:pPr>
      <w:r w:rsidRPr="007E69D8">
        <w:rPr>
          <w:rFonts w:ascii="Arial" w:hAnsi="Arial" w:cs="Arial"/>
          <w:lang w:val="es-ES_tradnl"/>
        </w:rPr>
        <w:br w:type="page"/>
      </w:r>
    </w:p>
    <w:p w14:paraId="40010059" w14:textId="77777777" w:rsidR="007116B2" w:rsidRPr="007E69D8" w:rsidRDefault="007116B2" w:rsidP="007116B2">
      <w:pPr>
        <w:pStyle w:val="Chapter"/>
        <w:spacing w:before="0"/>
        <w:rPr>
          <w:rFonts w:ascii="Arial" w:hAnsi="Arial" w:cs="Arial"/>
          <w:sz w:val="22"/>
          <w:szCs w:val="22"/>
          <w:lang w:val="es-ES_tradnl"/>
        </w:rPr>
      </w:pPr>
      <w:bookmarkStart w:id="4" w:name="_Toc352756751"/>
      <w:bookmarkStart w:id="5" w:name="_Toc36307318"/>
      <w:r w:rsidRPr="007E69D8">
        <w:rPr>
          <w:rFonts w:ascii="Arial" w:hAnsi="Arial" w:cs="Arial"/>
          <w:sz w:val="22"/>
          <w:szCs w:val="22"/>
          <w:lang w:val="es-ES_tradnl"/>
        </w:rPr>
        <w:lastRenderedPageBreak/>
        <w:t>Introducción</w:t>
      </w:r>
      <w:bookmarkEnd w:id="4"/>
      <w:bookmarkEnd w:id="5"/>
      <w:r w:rsidRPr="007E69D8">
        <w:rPr>
          <w:rFonts w:ascii="Arial" w:hAnsi="Arial" w:cs="Arial"/>
          <w:sz w:val="22"/>
          <w:szCs w:val="22"/>
          <w:lang w:val="es-ES_tradnl"/>
        </w:rPr>
        <w:t xml:space="preserve"> </w:t>
      </w:r>
    </w:p>
    <w:p w14:paraId="6C7A5A8C" w14:textId="4B971426" w:rsidR="00B32AAC" w:rsidRPr="007E69D8" w:rsidRDefault="00B32AAC" w:rsidP="00B32AAC">
      <w:pPr>
        <w:pStyle w:val="Paragraph"/>
        <w:numPr>
          <w:ilvl w:val="1"/>
          <w:numId w:val="4"/>
        </w:numPr>
        <w:ind w:left="630" w:hanging="630"/>
        <w:rPr>
          <w:rFonts w:ascii="Arial" w:hAnsi="Arial" w:cs="Arial"/>
          <w:sz w:val="22"/>
          <w:szCs w:val="22"/>
          <w:lang w:val="es-ES_tradnl"/>
        </w:rPr>
      </w:pPr>
      <w:r w:rsidRPr="007E69D8">
        <w:rPr>
          <w:rFonts w:ascii="Arial" w:hAnsi="Arial" w:cs="Arial"/>
          <w:b/>
          <w:bCs/>
          <w:sz w:val="22"/>
          <w:szCs w:val="22"/>
          <w:lang w:val="es-ES_tradnl"/>
        </w:rPr>
        <w:t>Antecedentes de la intervención.</w:t>
      </w:r>
      <w:r w:rsidRPr="007E69D8">
        <w:rPr>
          <w:rFonts w:ascii="Arial" w:hAnsi="Arial" w:cs="Arial"/>
          <w:sz w:val="22"/>
          <w:szCs w:val="22"/>
          <w:lang w:val="es-ES_tradnl"/>
        </w:rPr>
        <w:t xml:space="preserve"> El 11 de marzo de 2020, la Organización Mundial de la Salud (OMS) caracterizó como una pandemia a la enfermedad </w:t>
      </w:r>
      <w:r w:rsidRPr="00CF3F83">
        <w:rPr>
          <w:rFonts w:ascii="Arial" w:hAnsi="Arial" w:cs="Arial"/>
          <w:sz w:val="22"/>
          <w:szCs w:val="22"/>
          <w:lang w:val="es-PE"/>
        </w:rPr>
        <w:t xml:space="preserve">COVID-19, causada por el virus que afecta las vías respiratorias, novel-Coronavirus o nCoV2019. </w:t>
      </w:r>
      <w:r w:rsidR="00B203FF" w:rsidRPr="00CF3F83">
        <w:rPr>
          <w:rFonts w:ascii="Arial" w:hAnsi="Arial" w:cs="Arial"/>
          <w:spacing w:val="-3"/>
          <w:sz w:val="22"/>
          <w:szCs w:val="22"/>
          <w:lang w:val="es-PE"/>
        </w:rPr>
        <w:t>A la fecha de 8 de abril de 2020, según la OMS se registran más de 1,3 millones de casos confirmados en 212 países, que han resultado en cerca de 80 mil muertes; y en concreto para Ecuador son 3.747 casos confirmados (en América Latina y el Caribe (ALC), solamente por detrás de Brasil con 12.056, y de Chile con 5.116) y 191 muertes (en ALC, solamente por detrás de Brasil con 553)</w:t>
      </w:r>
      <w:r w:rsidR="00B203FF" w:rsidRPr="00CF3F83">
        <w:rPr>
          <w:rFonts w:ascii="Arial" w:hAnsi="Arial" w:cs="Arial"/>
          <w:spacing w:val="-3"/>
          <w:sz w:val="22"/>
          <w:szCs w:val="22"/>
          <w:vertAlign w:val="superscript"/>
          <w:lang w:val="es-PE"/>
        </w:rPr>
        <w:footnoteReference w:id="2"/>
      </w:r>
      <w:r w:rsidR="00B203FF" w:rsidRPr="00CF3F83">
        <w:rPr>
          <w:rFonts w:ascii="Arial" w:hAnsi="Arial" w:cs="Arial"/>
          <w:spacing w:val="-3"/>
          <w:sz w:val="22"/>
          <w:szCs w:val="22"/>
          <w:lang w:val="es-PE"/>
        </w:rPr>
        <w:t>. Además, según la OMS, el país se encuentra en el nivel 3 de 5 en cuanto a su nivel de preparación y capacidad para manejar eventos de salud pública</w:t>
      </w:r>
      <w:r w:rsidR="00B203FF" w:rsidRPr="00CF3F83">
        <w:rPr>
          <w:rStyle w:val="FootnoteReference"/>
          <w:rFonts w:ascii="Arial" w:hAnsi="Arial" w:cs="Arial"/>
          <w:spacing w:val="-3"/>
          <w:sz w:val="22"/>
          <w:szCs w:val="22"/>
          <w:lang w:val="es-PE"/>
        </w:rPr>
        <w:footnoteReference w:id="3"/>
      </w:r>
      <w:r w:rsidR="00B203FF" w:rsidRPr="00CF3F83">
        <w:rPr>
          <w:rFonts w:ascii="Arial" w:hAnsi="Arial" w:cs="Arial"/>
          <w:spacing w:val="-3"/>
          <w:sz w:val="22"/>
          <w:szCs w:val="22"/>
          <w:lang w:val="es-PE"/>
        </w:rPr>
        <w:t xml:space="preserve">. </w:t>
      </w:r>
      <w:r w:rsidR="007D1771">
        <w:rPr>
          <w:rFonts w:ascii="Arial" w:hAnsi="Arial" w:cs="Arial"/>
          <w:spacing w:val="-3"/>
          <w:sz w:val="22"/>
          <w:szCs w:val="22"/>
          <w:lang w:val="es-PE"/>
        </w:rPr>
        <w:t xml:space="preserve"> A la fecha 8 de abril de</w:t>
      </w:r>
      <w:r w:rsidR="000E264A">
        <w:rPr>
          <w:rFonts w:ascii="Arial" w:hAnsi="Arial" w:cs="Arial"/>
          <w:spacing w:val="-3"/>
          <w:sz w:val="22"/>
          <w:szCs w:val="22"/>
          <w:lang w:val="es-PE"/>
        </w:rPr>
        <w:t> </w:t>
      </w:r>
      <w:r w:rsidR="007D1771">
        <w:rPr>
          <w:rFonts w:ascii="Arial" w:hAnsi="Arial" w:cs="Arial"/>
          <w:spacing w:val="-3"/>
          <w:sz w:val="22"/>
          <w:szCs w:val="22"/>
          <w:lang w:val="es-PE"/>
        </w:rPr>
        <w:t>2020,</w:t>
      </w:r>
      <w:r w:rsidR="00B203FF" w:rsidRPr="00CF3F83">
        <w:rPr>
          <w:rFonts w:ascii="Arial" w:hAnsi="Arial" w:cs="Arial"/>
          <w:spacing w:val="-3"/>
          <w:sz w:val="22"/>
          <w:szCs w:val="22"/>
          <w:lang w:val="es-PE"/>
        </w:rPr>
        <w:t xml:space="preserve"> se han reportado más de 41 mil casos confirmados de COVID-19, en todos los países de la región de ALC, y 1.632 fallecidos.</w:t>
      </w:r>
      <w:r w:rsidR="00B203FF" w:rsidRPr="00CF3F83">
        <w:rPr>
          <w:rFonts w:ascii="Arial" w:hAnsi="Arial" w:cs="Arial"/>
          <w:spacing w:val="-3"/>
          <w:sz w:val="22"/>
          <w:szCs w:val="22"/>
          <w:vertAlign w:val="superscript"/>
          <w:lang w:val="es-PE"/>
        </w:rPr>
        <w:footnoteReference w:id="4"/>
      </w:r>
      <w:r w:rsidR="00B203FF" w:rsidRPr="00CF3F83">
        <w:rPr>
          <w:rFonts w:ascii="Arial" w:hAnsi="Arial" w:cs="Arial"/>
          <w:spacing w:val="-3"/>
          <w:sz w:val="22"/>
          <w:szCs w:val="22"/>
          <w:lang w:val="es-PE"/>
        </w:rPr>
        <w:t xml:space="preserve"> Desafortunadamente, se espera que el número de casos, el número de muertes y el número de países afectados siga aumentando.</w:t>
      </w:r>
      <w:r w:rsidRPr="00CF3F83">
        <w:rPr>
          <w:rFonts w:ascii="Arial" w:hAnsi="Arial" w:cs="Arial"/>
          <w:sz w:val="22"/>
          <w:szCs w:val="22"/>
          <w:lang w:val="es-PE"/>
        </w:rPr>
        <w:t xml:space="preserve"> </w:t>
      </w:r>
    </w:p>
    <w:p w14:paraId="2CF09C81" w14:textId="38021BFE" w:rsidR="00B32AAC" w:rsidRPr="007E69D8" w:rsidRDefault="00B32AAC" w:rsidP="00B32AAC">
      <w:pPr>
        <w:pStyle w:val="Paragraph"/>
        <w:numPr>
          <w:ilvl w:val="1"/>
          <w:numId w:val="4"/>
        </w:numPr>
        <w:ind w:left="630" w:hanging="630"/>
        <w:rPr>
          <w:rFonts w:ascii="Arial" w:hAnsi="Arial" w:cs="Arial"/>
          <w:sz w:val="22"/>
          <w:szCs w:val="22"/>
          <w:lang w:val="es-ES_tradnl"/>
        </w:rPr>
      </w:pPr>
      <w:r w:rsidRPr="007E69D8">
        <w:rPr>
          <w:rFonts w:ascii="Arial" w:hAnsi="Arial" w:cs="Arial"/>
          <w:sz w:val="22"/>
          <w:szCs w:val="22"/>
          <w:lang w:val="es-ES_tradnl"/>
        </w:rPr>
        <w:t>Con impactos económicos esperados en distintos canales, esta intervención se centra en la problemática del financiamiento a las Micro, Pequeña y Mediana Empresa (</w:t>
      </w:r>
      <w:r w:rsidR="002D1E3A" w:rsidRPr="007E69D8">
        <w:rPr>
          <w:rFonts w:ascii="Arial" w:hAnsi="Arial" w:cs="Arial"/>
          <w:sz w:val="22"/>
          <w:szCs w:val="22"/>
          <w:lang w:val="es-ES_tradnl"/>
        </w:rPr>
        <w:t>MIPE</w:t>
      </w:r>
      <w:r w:rsidRPr="007E69D8">
        <w:rPr>
          <w:rFonts w:ascii="Arial" w:hAnsi="Arial" w:cs="Arial"/>
          <w:sz w:val="22"/>
          <w:szCs w:val="22"/>
          <w:lang w:val="es-ES_tradnl"/>
        </w:rPr>
        <w:t>) para su supervivencia como sostén del empleo en Ecuador. El desafío, para defender el tejido productivo de Ecuador durante el periodo de recesión asociado a la crisis del COVID</w:t>
      </w:r>
      <w:r w:rsidR="000B094C" w:rsidRPr="007E69D8">
        <w:rPr>
          <w:rFonts w:ascii="Arial" w:hAnsi="Arial" w:cs="Arial"/>
          <w:sz w:val="22"/>
          <w:szCs w:val="22"/>
          <w:lang w:val="es-ES_tradnl"/>
        </w:rPr>
        <w:t>˗</w:t>
      </w:r>
      <w:r w:rsidRPr="007E69D8">
        <w:rPr>
          <w:rFonts w:ascii="Arial" w:hAnsi="Arial" w:cs="Arial"/>
          <w:sz w:val="22"/>
          <w:szCs w:val="22"/>
          <w:lang w:val="es-ES_tradnl"/>
        </w:rPr>
        <w:t xml:space="preserve">19, es mantener operando al mayor número posible de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que eran viables antes de la crisis. </w:t>
      </w:r>
    </w:p>
    <w:p w14:paraId="25B0CD38" w14:textId="7E173407" w:rsidR="00B32AAC" w:rsidRPr="007E69D8" w:rsidRDefault="007D1771" w:rsidP="00B32AAC">
      <w:pPr>
        <w:pStyle w:val="Paragraph"/>
        <w:numPr>
          <w:ilvl w:val="1"/>
          <w:numId w:val="4"/>
        </w:numPr>
        <w:ind w:left="630" w:hanging="630"/>
        <w:rPr>
          <w:rFonts w:ascii="Arial" w:hAnsi="Arial" w:cs="Arial"/>
          <w:sz w:val="22"/>
          <w:szCs w:val="22"/>
          <w:lang w:val="es-ES_tradnl"/>
        </w:rPr>
      </w:pPr>
      <w:r w:rsidRPr="007D1771">
        <w:rPr>
          <w:rFonts w:ascii="Arial" w:hAnsi="Arial" w:cs="Arial"/>
          <w:b/>
          <w:bCs/>
          <w:sz w:val="22"/>
          <w:szCs w:val="22"/>
          <w:lang w:val="es-ES_tradnl"/>
        </w:rPr>
        <w:t>Limitaciones actuales de acceso a financiamiento de las Micro, Pequeñas y Medianas Empresas (MiPyME) en</w:t>
      </w:r>
      <w:r w:rsidRPr="007D1771">
        <w:rPr>
          <w:rFonts w:ascii="Arial" w:hAnsi="Arial" w:cs="Arial"/>
          <w:sz w:val="22"/>
          <w:szCs w:val="22"/>
          <w:lang w:val="es-ES_tradnl"/>
        </w:rPr>
        <w:t xml:space="preserve"> </w:t>
      </w:r>
      <w:r w:rsidRPr="007D1771">
        <w:rPr>
          <w:rFonts w:ascii="Arial" w:hAnsi="Arial" w:cs="Arial"/>
          <w:b/>
          <w:bCs/>
          <w:sz w:val="22"/>
          <w:szCs w:val="22"/>
          <w:lang w:val="es-ES_tradnl"/>
        </w:rPr>
        <w:t>Ecuador.</w:t>
      </w:r>
      <w:r w:rsidRPr="007D1771">
        <w:rPr>
          <w:rFonts w:ascii="Arial" w:hAnsi="Arial" w:cs="Arial"/>
          <w:b/>
          <w:bCs/>
          <w:sz w:val="22"/>
          <w:szCs w:val="22"/>
          <w:vertAlign w:val="superscript"/>
          <w:lang w:val="es-ES_tradnl"/>
        </w:rPr>
        <w:footnoteReference w:id="5"/>
      </w:r>
      <w:r w:rsidRPr="007D1771">
        <w:rPr>
          <w:rFonts w:ascii="Arial" w:hAnsi="Arial" w:cs="Arial"/>
          <w:sz w:val="22"/>
          <w:szCs w:val="22"/>
          <w:lang w:val="es-ES_tradnl"/>
        </w:rPr>
        <w:t xml:space="preserve"> En Ecuador, las MiPyME representan más del 99% de las empresas (895 mil sobre 899 mil empresas) y dan trabajo a más del 60% de los empleados (1,82 millones sobre 3 millones de empleados), que representan el 45% de la masa salarial (US$12 mil millones sobre US$26 mil millones) aunque solamente representan el 28% del total de ventas (US$47 mil millones sobre US$169 mil millones). El subconjunto de las Micro y Pequeñas Empresas (MIPE) es particularmente relevante dentro de la MiPyME en Ecuador, ya que representan el 98% de las empresas (880 mil sobre 899 mil empresas) y dan trabajo a más del 43% de los empleados (1,3 millones sobre 3 millones de empleados), que representan el 27% de la masa salarial (US$7 mil millones sobre US$26 mil millones) aunque solamente representan el 12% del total de ventas (US$20 mil millones sobre US$169 mil millones)</w:t>
      </w:r>
      <w:r w:rsidRPr="007D1771">
        <w:rPr>
          <w:rFonts w:ascii="Arial" w:hAnsi="Arial" w:cs="Arial"/>
          <w:sz w:val="22"/>
          <w:szCs w:val="22"/>
          <w:vertAlign w:val="superscript"/>
          <w:lang w:val="es-ES_tradnl"/>
        </w:rPr>
        <w:footnoteReference w:id="6"/>
      </w:r>
      <w:r w:rsidRPr="007D1771">
        <w:rPr>
          <w:rFonts w:ascii="Arial" w:hAnsi="Arial" w:cs="Arial"/>
          <w:sz w:val="22"/>
          <w:szCs w:val="22"/>
          <w:vertAlign w:val="superscript"/>
          <w:lang w:val="es-ES_tradnl"/>
        </w:rPr>
        <w:t>, </w:t>
      </w:r>
      <w:r w:rsidRPr="007D1771">
        <w:rPr>
          <w:rFonts w:ascii="Arial" w:hAnsi="Arial" w:cs="Arial"/>
          <w:sz w:val="22"/>
          <w:szCs w:val="22"/>
          <w:vertAlign w:val="superscript"/>
          <w:lang w:val="es-ES_tradnl"/>
        </w:rPr>
        <w:footnoteReference w:id="7"/>
      </w:r>
      <w:r w:rsidRPr="007D1771">
        <w:rPr>
          <w:rFonts w:ascii="Arial" w:hAnsi="Arial" w:cs="Arial"/>
          <w:sz w:val="22"/>
          <w:szCs w:val="22"/>
          <w:vertAlign w:val="superscript"/>
          <w:lang w:val="es-ES_tradnl"/>
        </w:rPr>
        <w:t>, </w:t>
      </w:r>
      <w:r w:rsidRPr="007D1771">
        <w:rPr>
          <w:rFonts w:ascii="Arial" w:hAnsi="Arial" w:cs="Arial"/>
          <w:sz w:val="22"/>
          <w:szCs w:val="22"/>
          <w:vertAlign w:val="superscript"/>
          <w:lang w:val="es-ES_tradnl"/>
        </w:rPr>
        <w:footnoteReference w:id="8"/>
      </w:r>
      <w:r w:rsidR="00B32AAC" w:rsidRPr="007E69D8">
        <w:rPr>
          <w:rFonts w:ascii="Arial" w:hAnsi="Arial" w:cs="Arial"/>
          <w:sz w:val="22"/>
          <w:szCs w:val="22"/>
          <w:lang w:val="es-ES_tradnl"/>
        </w:rPr>
        <w:t xml:space="preserve">. </w:t>
      </w:r>
    </w:p>
    <w:p w14:paraId="0ABD9458" w14:textId="37759638" w:rsidR="00B32AAC" w:rsidRPr="007E69D8" w:rsidRDefault="00B32AAC" w:rsidP="00B32AAC">
      <w:pPr>
        <w:pStyle w:val="Paragraph"/>
        <w:numPr>
          <w:ilvl w:val="1"/>
          <w:numId w:val="4"/>
        </w:numPr>
        <w:ind w:left="630" w:hanging="630"/>
        <w:rPr>
          <w:rFonts w:ascii="Arial" w:eastAsia="Arial" w:hAnsi="Arial" w:cs="Arial"/>
          <w:sz w:val="22"/>
          <w:szCs w:val="22"/>
          <w:lang w:val="es-ES_tradnl"/>
        </w:rPr>
      </w:pPr>
      <w:r w:rsidRPr="007E69D8">
        <w:rPr>
          <w:rFonts w:ascii="Arial" w:hAnsi="Arial" w:cs="Arial"/>
          <w:b/>
          <w:bCs/>
          <w:sz w:val="22"/>
          <w:szCs w:val="22"/>
          <w:lang w:val="es-ES_tradnl"/>
        </w:rPr>
        <w:t>Acceso al financiamiento</w:t>
      </w:r>
      <w:r w:rsidRPr="007E69D8">
        <w:rPr>
          <w:rFonts w:ascii="Arial" w:hAnsi="Arial" w:cs="Arial"/>
          <w:sz w:val="22"/>
          <w:szCs w:val="22"/>
          <w:lang w:val="es-ES_tradnl"/>
        </w:rPr>
        <w:t>.</w:t>
      </w:r>
      <w:r w:rsidRPr="007E69D8">
        <w:rPr>
          <w:rFonts w:ascii="Arial" w:eastAsia="Arial" w:hAnsi="Arial" w:cs="Arial"/>
          <w:sz w:val="22"/>
          <w:szCs w:val="22"/>
          <w:lang w:val="es-ES_tradnl"/>
        </w:rPr>
        <w:t xml:space="preserve"> A diferencia de la crisis financiera de 2007, la naturaleza del problema de la crisis del COVID-19 no es tanto de liquidez del sistema financiero, sino de gran incremento de percepción del riesgo de crédito de sector </w:t>
      </w:r>
      <w:r w:rsidR="002D1E3A" w:rsidRPr="007E69D8">
        <w:rPr>
          <w:rFonts w:ascii="Arial" w:eastAsia="Arial" w:hAnsi="Arial" w:cs="Arial"/>
          <w:sz w:val="22"/>
          <w:szCs w:val="22"/>
          <w:lang w:val="es-ES_tradnl"/>
        </w:rPr>
        <w:t>MIPE</w:t>
      </w:r>
      <w:r w:rsidRPr="007E69D8">
        <w:rPr>
          <w:rFonts w:ascii="Arial" w:eastAsia="Arial" w:hAnsi="Arial" w:cs="Arial"/>
          <w:sz w:val="22"/>
          <w:szCs w:val="22"/>
          <w:lang w:val="es-ES_tradnl"/>
        </w:rPr>
        <w:t xml:space="preserve"> y consecuente falta de apetito a continuar prestando en las condiciones de incertidumbre actuales. La demanda de microcréditos experimentó crecimientos interanuales muy importantes en 2017 (35,6%) y 2018 (26,9%), que se suavizó notablemente en 2019 (6,6%); bajo el supuesto de que en 2020 se mantuviera el crecimiento suave de 2019, la demanda adicional sería de US$200 millones</w:t>
      </w:r>
      <w:r w:rsidRPr="007E69D8">
        <w:rPr>
          <w:rStyle w:val="FootnoteReference"/>
          <w:rFonts w:ascii="Arial" w:eastAsia="Arial" w:hAnsi="Arial" w:cs="Arial"/>
          <w:sz w:val="22"/>
          <w:szCs w:val="22"/>
          <w:lang w:val="es-ES_tradnl"/>
        </w:rPr>
        <w:footnoteReference w:id="9"/>
      </w:r>
      <w:r w:rsidRPr="007E69D8">
        <w:rPr>
          <w:rFonts w:ascii="Arial" w:eastAsia="Arial" w:hAnsi="Arial" w:cs="Arial"/>
          <w:sz w:val="22"/>
          <w:szCs w:val="22"/>
          <w:lang w:val="es-ES_tradnl"/>
        </w:rPr>
        <w:t>.</w:t>
      </w:r>
    </w:p>
    <w:p w14:paraId="25F0B3E2" w14:textId="7298A6B6" w:rsidR="00B32AAC" w:rsidRPr="007E69D8" w:rsidRDefault="00B32AAC" w:rsidP="00B32AAC">
      <w:pPr>
        <w:pStyle w:val="Paragraph"/>
        <w:numPr>
          <w:ilvl w:val="1"/>
          <w:numId w:val="4"/>
        </w:numPr>
        <w:ind w:left="630" w:hanging="630"/>
        <w:rPr>
          <w:rFonts w:ascii="Arial" w:hAnsi="Arial" w:cs="Arial"/>
          <w:sz w:val="22"/>
          <w:szCs w:val="22"/>
          <w:lang w:val="es-ES_tradnl"/>
        </w:rPr>
      </w:pPr>
      <w:r w:rsidRPr="007E69D8">
        <w:rPr>
          <w:rFonts w:ascii="Arial" w:hAnsi="Arial" w:cs="Arial"/>
          <w:sz w:val="22"/>
          <w:szCs w:val="22"/>
          <w:lang w:val="es-ES_tradnl"/>
        </w:rPr>
        <w:lastRenderedPageBreak/>
        <w:t xml:space="preserve">En estas circunstancias, los Bancos Públicos de Desarrollo (BPD) pueden tener un rol decisivo para dar respuesta a las limitaciones actuales de acceso a financiamiento de las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ya que están en una situación única para ejecutar políticas públicas financieras de </w:t>
      </w:r>
      <w:proofErr w:type="spellStart"/>
      <w:r w:rsidRPr="007E69D8">
        <w:rPr>
          <w:rFonts w:ascii="Arial" w:hAnsi="Arial" w:cs="Arial"/>
          <w:i/>
          <w:iCs/>
          <w:sz w:val="22"/>
          <w:szCs w:val="22"/>
          <w:lang w:val="es-ES_tradnl"/>
        </w:rPr>
        <w:t>crowding</w:t>
      </w:r>
      <w:proofErr w:type="spellEnd"/>
      <w:r w:rsidRPr="007E69D8">
        <w:rPr>
          <w:rFonts w:ascii="Arial" w:hAnsi="Arial" w:cs="Arial"/>
          <w:i/>
          <w:iCs/>
          <w:sz w:val="22"/>
          <w:szCs w:val="22"/>
          <w:lang w:val="es-ES_tradnl"/>
        </w:rPr>
        <w:t>-in</w:t>
      </w:r>
      <w:r w:rsidRPr="007E69D8">
        <w:rPr>
          <w:rFonts w:ascii="Arial" w:hAnsi="Arial" w:cs="Arial"/>
          <w:sz w:val="22"/>
          <w:szCs w:val="22"/>
          <w:lang w:val="es-ES_tradnl"/>
        </w:rPr>
        <w:t xml:space="preserve"> a través de líneas de crédito a </w:t>
      </w:r>
      <w:r w:rsidR="000B094C" w:rsidRPr="007E69D8">
        <w:rPr>
          <w:rFonts w:ascii="Arial" w:hAnsi="Arial" w:cs="Arial"/>
          <w:sz w:val="22"/>
          <w:szCs w:val="22"/>
          <w:lang w:val="es-ES_tradnl"/>
        </w:rPr>
        <w:t>I</w:t>
      </w:r>
      <w:r w:rsidRPr="007E69D8">
        <w:rPr>
          <w:rFonts w:ascii="Arial" w:hAnsi="Arial" w:cs="Arial"/>
          <w:sz w:val="22"/>
          <w:szCs w:val="22"/>
          <w:lang w:val="es-ES_tradnl"/>
        </w:rPr>
        <w:t xml:space="preserve">nstituciones </w:t>
      </w:r>
      <w:r w:rsidR="000B094C" w:rsidRPr="007E69D8">
        <w:rPr>
          <w:rFonts w:ascii="Arial" w:hAnsi="Arial" w:cs="Arial"/>
          <w:sz w:val="22"/>
          <w:szCs w:val="22"/>
          <w:lang w:val="es-ES_tradnl"/>
        </w:rPr>
        <w:t>F</w:t>
      </w:r>
      <w:r w:rsidRPr="007E69D8">
        <w:rPr>
          <w:rFonts w:ascii="Arial" w:hAnsi="Arial" w:cs="Arial"/>
          <w:sz w:val="22"/>
          <w:szCs w:val="22"/>
          <w:lang w:val="es-ES_tradnl"/>
        </w:rPr>
        <w:t xml:space="preserve">inancieras </w:t>
      </w:r>
      <w:r w:rsidR="000B094C" w:rsidRPr="007E69D8">
        <w:rPr>
          <w:rFonts w:ascii="Arial" w:hAnsi="Arial" w:cs="Arial"/>
          <w:sz w:val="22"/>
          <w:szCs w:val="22"/>
          <w:lang w:val="es-ES_tradnl"/>
        </w:rPr>
        <w:t>I</w:t>
      </w:r>
      <w:r w:rsidRPr="007E69D8">
        <w:rPr>
          <w:rFonts w:ascii="Arial" w:hAnsi="Arial" w:cs="Arial"/>
          <w:sz w:val="22"/>
          <w:szCs w:val="22"/>
          <w:lang w:val="es-ES_tradnl"/>
        </w:rPr>
        <w:t>ntermediarias (IFI) y facilidades de garantías para reducir riesgo de crédito y estimular oferta de crédito comercial a la M</w:t>
      </w:r>
      <w:r w:rsidR="00CF3F83">
        <w:rPr>
          <w:rFonts w:ascii="Arial" w:hAnsi="Arial" w:cs="Arial"/>
          <w:sz w:val="22"/>
          <w:szCs w:val="22"/>
          <w:lang w:val="es-ES_tradnl"/>
        </w:rPr>
        <w:t>iPyME</w:t>
      </w:r>
      <w:r w:rsidRPr="007E69D8">
        <w:rPr>
          <w:rFonts w:ascii="Arial" w:hAnsi="Arial" w:cs="Arial"/>
          <w:sz w:val="22"/>
          <w:szCs w:val="22"/>
          <w:lang w:val="es-ES_tradnl"/>
        </w:rPr>
        <w:t xml:space="preserve">. </w:t>
      </w:r>
    </w:p>
    <w:p w14:paraId="1E31BC9F" w14:textId="7DECCB98" w:rsidR="00B32AAC" w:rsidRPr="007E69D8" w:rsidRDefault="00B32AAC" w:rsidP="00B32AAC">
      <w:pPr>
        <w:pStyle w:val="Paragraph"/>
        <w:numPr>
          <w:ilvl w:val="1"/>
          <w:numId w:val="4"/>
        </w:numPr>
        <w:ind w:left="630" w:hanging="630"/>
        <w:rPr>
          <w:rFonts w:ascii="Arial" w:hAnsi="Arial" w:cs="Arial"/>
          <w:sz w:val="22"/>
          <w:szCs w:val="22"/>
          <w:lang w:val="es-ES_tradnl"/>
        </w:rPr>
      </w:pPr>
      <w:r w:rsidRPr="007E69D8">
        <w:rPr>
          <w:rFonts w:ascii="Arial" w:hAnsi="Arial" w:cs="Arial"/>
          <w:sz w:val="22"/>
          <w:szCs w:val="22"/>
          <w:lang w:val="es-ES_tradnl"/>
        </w:rPr>
        <w:t xml:space="preserve">En Ecuador, las IFI que tienen particular importancia para facilitar el acceso a financiación a las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reciben el nombre de Organizaciones del Sistema Financiero Popular y Solidario (OSFPS), según la Ley Orgánica de Economía Popular y Solidaria (LOEPS), dónde se recoge que la Constitución señala que el sector financiero popular y solidario se compondrá de cooperativas de ahorro y crédito (CAC), entidades asociativas o solidarias, cajas y bancos comunales, cajas de ahorro, y que el sector estará sujeto a regulación. En la actualidad existen 557 OSFPS, de las cuales 535 son CAC. </w:t>
      </w:r>
      <w:bookmarkStart w:id="6" w:name="_Hlk38900338"/>
      <w:r w:rsidR="00892DE7" w:rsidRPr="00892DE7">
        <w:rPr>
          <w:rFonts w:ascii="Arial" w:hAnsi="Arial" w:cs="Arial"/>
          <w:sz w:val="22"/>
          <w:szCs w:val="22"/>
          <w:lang w:val="es-ES_tradnl"/>
        </w:rPr>
        <w:t>Entre las funciones de las OSFPS destaca la de proveer crédito a las MiPyME y, muy en particular, a las MIPE. Por ejemplo, en 2019 las OSFPS proveyeron el 52% del total del microcrédito prestado. Las CAC aglutinan asimismo alrededor de 7,7 millones de MiPyME socias que han realizado certificados de aportación</w:t>
      </w:r>
      <w:bookmarkEnd w:id="6"/>
      <w:r w:rsidRPr="007E69D8">
        <w:rPr>
          <w:rFonts w:ascii="Arial" w:hAnsi="Arial" w:cs="Arial"/>
          <w:sz w:val="22"/>
          <w:szCs w:val="22"/>
          <w:lang w:val="es-ES_tradnl"/>
        </w:rPr>
        <w:t>. Además, existen fondos de garantías tales como el Fondo de Garantía para la Economía Popular y Solidaria (FOGEPS), que ha permitido la inclusión financiera de más de 18.000 familias en todo el territorio ecuatoriano, garantizando operaciones de crédito por más de US$93 millones dólares a través de 83</w:t>
      </w:r>
      <w:r w:rsidR="00050622">
        <w:rPr>
          <w:rFonts w:ascii="Arial" w:hAnsi="Arial" w:cs="Arial"/>
          <w:sz w:val="22"/>
          <w:szCs w:val="22"/>
          <w:lang w:val="es-ES_tradnl"/>
        </w:rPr>
        <w:t> </w:t>
      </w:r>
      <w:r w:rsidRPr="007E69D8">
        <w:rPr>
          <w:rFonts w:ascii="Arial" w:hAnsi="Arial" w:cs="Arial"/>
          <w:sz w:val="22"/>
          <w:szCs w:val="22"/>
          <w:lang w:val="es-ES_tradnl"/>
        </w:rPr>
        <w:t>OSFPS.</w:t>
      </w:r>
    </w:p>
    <w:p w14:paraId="751DD93B" w14:textId="34C0F867" w:rsidR="00B32AAC" w:rsidRPr="007E69D8" w:rsidRDefault="00B32AAC" w:rsidP="00B32AAC">
      <w:pPr>
        <w:pStyle w:val="Paragraph"/>
        <w:numPr>
          <w:ilvl w:val="1"/>
          <w:numId w:val="4"/>
        </w:numPr>
        <w:ind w:left="630" w:hanging="630"/>
        <w:rPr>
          <w:rFonts w:ascii="Arial" w:hAnsi="Arial" w:cs="Arial"/>
          <w:sz w:val="22"/>
          <w:szCs w:val="22"/>
          <w:lang w:val="es-ES_tradnl"/>
        </w:rPr>
      </w:pPr>
      <w:r w:rsidRPr="007E69D8">
        <w:rPr>
          <w:rFonts w:ascii="Arial" w:hAnsi="Arial" w:cs="Arial"/>
          <w:sz w:val="22"/>
          <w:szCs w:val="22"/>
          <w:lang w:val="es-ES_tradnl"/>
        </w:rPr>
        <w:t xml:space="preserve">Como se evidencia anteriormente, el sector financiero de Ecuador sufre una serie de limitaciones para aportar todo el financiamiento que la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va a necesitar durante esta crisis a corto plazo, para asegurar la supervivencia inmediata de las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La intervención propuesta se centra en apoyar mecanismos financieros para estimular la oferta de liquidez de corto plazo de los intermediarios financieros a las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a través de un Programa Global de Crédito. El programa busca aminorar las restricciones de acceso a crédito que enfrentan las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afectadas por la crisis del COVID-19 para apoyar su supervivencia y la preservación de su empleo, lo que a su vez minimizará la carga sobre los sistemas de protección social y mejorará la velocidad de recuperación económica una vez superada la emergencia sanitaria</w:t>
      </w:r>
    </w:p>
    <w:p w14:paraId="1523927D" w14:textId="77C393E9" w:rsidR="00B32AAC" w:rsidRPr="007E69D8" w:rsidRDefault="00B32AAC" w:rsidP="00B32AAC">
      <w:pPr>
        <w:pStyle w:val="Paragraph"/>
        <w:numPr>
          <w:ilvl w:val="1"/>
          <w:numId w:val="4"/>
        </w:numPr>
        <w:ind w:left="630" w:hanging="630"/>
        <w:rPr>
          <w:rFonts w:ascii="Arial" w:hAnsi="Arial" w:cs="Arial"/>
          <w:sz w:val="22"/>
          <w:szCs w:val="22"/>
          <w:lang w:val="es-ES_tradnl"/>
        </w:rPr>
      </w:pPr>
      <w:r w:rsidRPr="007E69D8">
        <w:rPr>
          <w:rFonts w:ascii="Arial" w:hAnsi="Arial" w:cs="Arial"/>
          <w:b/>
          <w:bCs/>
          <w:sz w:val="22"/>
          <w:szCs w:val="22"/>
          <w:lang w:val="es-ES_tradnl"/>
        </w:rPr>
        <w:t>Objetivos del programa</w:t>
      </w:r>
      <w:r w:rsidRPr="007E69D8">
        <w:rPr>
          <w:rFonts w:ascii="Arial" w:hAnsi="Arial" w:cs="Arial"/>
          <w:sz w:val="22"/>
          <w:szCs w:val="22"/>
          <w:lang w:val="es-ES_tradnl"/>
        </w:rPr>
        <w:t xml:space="preserve">. </w:t>
      </w:r>
      <w:r w:rsidR="00F73042" w:rsidRPr="007E69D8">
        <w:rPr>
          <w:rFonts w:ascii="Arial" w:hAnsi="Arial" w:cs="Arial"/>
          <w:sz w:val="22"/>
          <w:szCs w:val="22"/>
          <w:lang w:val="es-ES_tradnl"/>
        </w:rPr>
        <w:t>El objetivo general de este proyecto es apoyar la sostenibilidad frente a la crisis del COVID-19, de las MIPE como sostén del empleo en Ecuador. El objetivo específico es: apoyar la sostenibilidad financiera de corto plazo de las MIPE.</w:t>
      </w:r>
      <w:r w:rsidRPr="007E69D8">
        <w:rPr>
          <w:rFonts w:ascii="Arial" w:hAnsi="Arial" w:cs="Arial"/>
          <w:sz w:val="22"/>
          <w:szCs w:val="22"/>
          <w:lang w:val="es-ES_tradnl"/>
        </w:rPr>
        <w:t xml:space="preserve"> </w:t>
      </w:r>
    </w:p>
    <w:p w14:paraId="5BC7BAF8" w14:textId="46D8AA2A" w:rsidR="00B32AAC" w:rsidRPr="007E69D8" w:rsidRDefault="00B32AAC" w:rsidP="000B094C">
      <w:pPr>
        <w:pStyle w:val="Paragraph"/>
        <w:numPr>
          <w:ilvl w:val="1"/>
          <w:numId w:val="4"/>
        </w:numPr>
        <w:ind w:left="630" w:hanging="630"/>
        <w:rPr>
          <w:rFonts w:ascii="Arial" w:hAnsi="Arial" w:cs="Arial"/>
          <w:sz w:val="22"/>
          <w:szCs w:val="22"/>
          <w:lang w:val="es-ES_tradnl"/>
        </w:rPr>
      </w:pPr>
      <w:r w:rsidRPr="007E69D8">
        <w:rPr>
          <w:rFonts w:ascii="Arial" w:hAnsi="Arial" w:cs="Arial"/>
          <w:b/>
          <w:bCs/>
          <w:sz w:val="22"/>
          <w:szCs w:val="22"/>
          <w:lang w:val="es-ES_tradnl"/>
        </w:rPr>
        <w:t>Componentes.</w:t>
      </w:r>
      <w:r w:rsidRPr="007E69D8">
        <w:rPr>
          <w:rFonts w:ascii="Arial" w:hAnsi="Arial" w:cs="Arial"/>
          <w:sz w:val="22"/>
          <w:szCs w:val="22"/>
          <w:lang w:val="es-ES_tradnl"/>
        </w:rPr>
        <w:t xml:space="preserve"> Esta intervención se estructura en un préstamo organizado en un único componente.</w:t>
      </w:r>
    </w:p>
    <w:p w14:paraId="185CA166" w14:textId="49553C18" w:rsidR="00B32AAC" w:rsidRPr="007E69D8" w:rsidRDefault="00B32AAC" w:rsidP="000B094C">
      <w:pPr>
        <w:pStyle w:val="Paragraph"/>
        <w:numPr>
          <w:ilvl w:val="1"/>
          <w:numId w:val="4"/>
        </w:numPr>
        <w:ind w:left="630" w:hanging="630"/>
        <w:rPr>
          <w:rFonts w:ascii="Arial" w:hAnsi="Arial" w:cs="Arial"/>
          <w:sz w:val="22"/>
          <w:szCs w:val="22"/>
          <w:lang w:val="es-ES_tradnl"/>
        </w:rPr>
      </w:pPr>
      <w:bookmarkStart w:id="7" w:name="_Hlk35459355"/>
      <w:r w:rsidRPr="007E69D8">
        <w:rPr>
          <w:rFonts w:ascii="Arial" w:hAnsi="Arial" w:cs="Arial"/>
          <w:b/>
          <w:bCs/>
          <w:sz w:val="22"/>
          <w:szCs w:val="22"/>
          <w:lang w:val="es-ES_tradnl"/>
        </w:rPr>
        <w:t xml:space="preserve">Componente </w:t>
      </w:r>
      <w:r w:rsidR="00B203FF">
        <w:rPr>
          <w:rFonts w:ascii="Arial" w:hAnsi="Arial" w:cs="Arial"/>
          <w:b/>
          <w:bCs/>
          <w:sz w:val="22"/>
          <w:szCs w:val="22"/>
          <w:lang w:val="es-ES_tradnl"/>
        </w:rPr>
        <w:t>Único</w:t>
      </w:r>
      <w:r w:rsidRPr="007E69D8">
        <w:rPr>
          <w:rFonts w:ascii="Arial" w:hAnsi="Arial" w:cs="Arial"/>
          <w:b/>
          <w:bCs/>
          <w:sz w:val="22"/>
          <w:szCs w:val="22"/>
          <w:lang w:val="es-ES_tradnl"/>
        </w:rPr>
        <w:t xml:space="preserve">. Apoyo a la mejora de las capacidades financieras a corto plazo </w:t>
      </w:r>
      <w:r w:rsidR="00892DE7">
        <w:rPr>
          <w:rFonts w:ascii="Arial" w:hAnsi="Arial" w:cs="Arial"/>
          <w:b/>
          <w:bCs/>
          <w:sz w:val="22"/>
          <w:szCs w:val="22"/>
          <w:lang w:val="es-ES_tradnl"/>
        </w:rPr>
        <w:t xml:space="preserve">de las MIPE </w:t>
      </w:r>
      <w:r w:rsidRPr="007E69D8">
        <w:rPr>
          <w:rFonts w:ascii="Arial" w:hAnsi="Arial" w:cs="Arial"/>
          <w:b/>
          <w:bCs/>
          <w:sz w:val="22"/>
          <w:szCs w:val="22"/>
          <w:lang w:val="es-ES_tradnl"/>
        </w:rPr>
        <w:t>(US$</w:t>
      </w:r>
      <w:r w:rsidR="00B203FF">
        <w:rPr>
          <w:rFonts w:ascii="Arial" w:hAnsi="Arial" w:cs="Arial"/>
          <w:b/>
          <w:sz w:val="22"/>
          <w:szCs w:val="22"/>
          <w:lang w:val="es-ES_tradnl"/>
        </w:rPr>
        <w:t>93</w:t>
      </w:r>
      <w:r w:rsidR="00754A0C">
        <w:rPr>
          <w:rFonts w:ascii="Arial" w:hAnsi="Arial" w:cs="Arial"/>
          <w:b/>
          <w:sz w:val="22"/>
          <w:szCs w:val="22"/>
          <w:lang w:val="es-ES_tradnl"/>
        </w:rPr>
        <w:t>,8</w:t>
      </w:r>
      <w:r w:rsidRPr="007E69D8">
        <w:rPr>
          <w:rFonts w:ascii="Arial" w:hAnsi="Arial" w:cs="Arial"/>
          <w:b/>
          <w:bCs/>
          <w:sz w:val="22"/>
          <w:szCs w:val="22"/>
          <w:lang w:val="es-ES_tradnl"/>
        </w:rPr>
        <w:t xml:space="preserve"> millones). </w:t>
      </w:r>
      <w:r w:rsidRPr="007E69D8">
        <w:rPr>
          <w:rFonts w:ascii="Arial" w:hAnsi="Arial" w:cs="Arial"/>
          <w:sz w:val="22"/>
          <w:szCs w:val="22"/>
          <w:lang w:val="es-ES_tradnl"/>
        </w:rPr>
        <w:t xml:space="preserve">Los recursos de este componente van destinados a contribuir a que las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afectadas por la crisis superen problemas temporales de liquidez y puedan dar continuidad a su operación. Este componente contempla mecanismos para proveer liquidez a las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como: líneas de anticipo, redescuento y/o garantías para obtener financiamiento de capital de trabajo. </w:t>
      </w:r>
    </w:p>
    <w:p w14:paraId="34A88FB6" w14:textId="004B859A" w:rsidR="00B32AAC" w:rsidRPr="007E69D8" w:rsidRDefault="00B32AAC" w:rsidP="00B32AAC">
      <w:pPr>
        <w:pStyle w:val="ListParagraph"/>
        <w:numPr>
          <w:ilvl w:val="2"/>
          <w:numId w:val="8"/>
        </w:numPr>
        <w:spacing w:before="120" w:after="120"/>
        <w:ind w:left="1440"/>
        <w:contextualSpacing w:val="0"/>
        <w:jc w:val="both"/>
        <w:rPr>
          <w:rFonts w:ascii="Arial" w:hAnsi="Arial" w:cs="Arial"/>
          <w:b/>
          <w:bCs/>
          <w:sz w:val="22"/>
          <w:szCs w:val="22"/>
        </w:rPr>
      </w:pPr>
      <w:r w:rsidRPr="007E69D8">
        <w:rPr>
          <w:rFonts w:ascii="Arial" w:hAnsi="Arial" w:cs="Arial"/>
          <w:b/>
          <w:bCs/>
          <w:sz w:val="22"/>
          <w:szCs w:val="22"/>
        </w:rPr>
        <w:t>Subcomponente 1.</w:t>
      </w:r>
      <w:r w:rsidRPr="007E69D8">
        <w:rPr>
          <w:rFonts w:ascii="Arial" w:hAnsi="Arial" w:cs="Arial"/>
          <w:sz w:val="22"/>
          <w:szCs w:val="22"/>
        </w:rPr>
        <w:t xml:space="preserve"> </w:t>
      </w:r>
      <w:r w:rsidRPr="007E69D8">
        <w:rPr>
          <w:rFonts w:ascii="Arial" w:hAnsi="Arial" w:cs="Arial"/>
          <w:b/>
          <w:bCs/>
          <w:sz w:val="22"/>
          <w:szCs w:val="22"/>
        </w:rPr>
        <w:t>Programa de Apoyo a las Finanzas Populares y Solidarias a nivel nacional (US$</w:t>
      </w:r>
      <w:r w:rsidR="00B203FF">
        <w:rPr>
          <w:rFonts w:ascii="Arial" w:hAnsi="Arial" w:cs="Arial"/>
          <w:b/>
          <w:bCs/>
          <w:sz w:val="22"/>
          <w:szCs w:val="22"/>
        </w:rPr>
        <w:t>8</w:t>
      </w:r>
      <w:r w:rsidRPr="007E69D8">
        <w:rPr>
          <w:rFonts w:ascii="Arial" w:hAnsi="Arial" w:cs="Arial"/>
          <w:b/>
          <w:bCs/>
          <w:sz w:val="22"/>
          <w:szCs w:val="22"/>
        </w:rPr>
        <w:t>5 millones).</w:t>
      </w:r>
      <w:r w:rsidRPr="007E69D8">
        <w:rPr>
          <w:rFonts w:ascii="Arial" w:hAnsi="Arial" w:cs="Arial"/>
          <w:sz w:val="22"/>
          <w:szCs w:val="22"/>
        </w:rPr>
        <w:t xml:space="preserve"> </w:t>
      </w:r>
      <w:r w:rsidR="00892DE7" w:rsidRPr="00892DE7">
        <w:rPr>
          <w:rFonts w:ascii="Arial" w:hAnsi="Arial" w:cs="Arial"/>
          <w:sz w:val="22"/>
          <w:szCs w:val="22"/>
          <w:lang w:val="en-GB"/>
        </w:rPr>
        <w:t xml:space="preserve">Este </w:t>
      </w:r>
      <w:proofErr w:type="spellStart"/>
      <w:r w:rsidR="00892DE7" w:rsidRPr="00892DE7">
        <w:rPr>
          <w:rFonts w:ascii="Arial" w:hAnsi="Arial" w:cs="Arial"/>
          <w:sz w:val="22"/>
          <w:szCs w:val="22"/>
          <w:lang w:val="en-GB"/>
        </w:rPr>
        <w:t>subcomponente</w:t>
      </w:r>
      <w:proofErr w:type="spellEnd"/>
      <w:r w:rsidR="00892DE7" w:rsidRPr="00892DE7">
        <w:rPr>
          <w:rFonts w:ascii="Arial" w:hAnsi="Arial" w:cs="Arial"/>
          <w:sz w:val="22"/>
          <w:szCs w:val="22"/>
          <w:lang w:val="en-GB"/>
        </w:rPr>
        <w:t xml:space="preserve"> se </w:t>
      </w:r>
      <w:proofErr w:type="spellStart"/>
      <w:r w:rsidR="00892DE7" w:rsidRPr="00892DE7">
        <w:rPr>
          <w:rFonts w:ascii="Arial" w:hAnsi="Arial" w:cs="Arial"/>
          <w:sz w:val="22"/>
          <w:szCs w:val="22"/>
          <w:lang w:val="en-GB"/>
        </w:rPr>
        <w:t>ejecutará</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lastRenderedPageBreak/>
        <w:t>otorgando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préstamos</w:t>
      </w:r>
      <w:proofErr w:type="spellEnd"/>
      <w:r w:rsidR="00892DE7" w:rsidRPr="00892DE7">
        <w:rPr>
          <w:rFonts w:ascii="Arial" w:hAnsi="Arial" w:cs="Arial"/>
          <w:sz w:val="22"/>
          <w:szCs w:val="22"/>
          <w:lang w:val="en-GB"/>
        </w:rPr>
        <w:t xml:space="preserve"> bajo </w:t>
      </w:r>
      <w:proofErr w:type="spellStart"/>
      <w:r w:rsidR="00892DE7" w:rsidRPr="00892DE7">
        <w:rPr>
          <w:rFonts w:ascii="Arial" w:hAnsi="Arial" w:cs="Arial"/>
          <w:sz w:val="22"/>
          <w:szCs w:val="22"/>
          <w:lang w:val="en-GB"/>
        </w:rPr>
        <w:t>líneas</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anticipo</w:t>
      </w:r>
      <w:proofErr w:type="spellEnd"/>
      <w:r w:rsidR="00892DE7" w:rsidRPr="00892DE7">
        <w:rPr>
          <w:rFonts w:ascii="Arial" w:hAnsi="Arial" w:cs="Arial"/>
          <w:sz w:val="22"/>
          <w:szCs w:val="22"/>
          <w:lang w:val="en-GB"/>
        </w:rPr>
        <w:t xml:space="preserve"> o </w:t>
      </w:r>
      <w:proofErr w:type="spellStart"/>
      <w:r w:rsidR="00892DE7" w:rsidRPr="00892DE7">
        <w:rPr>
          <w:rFonts w:ascii="Arial" w:hAnsi="Arial" w:cs="Arial"/>
          <w:sz w:val="22"/>
          <w:szCs w:val="22"/>
          <w:lang w:val="en-GB"/>
        </w:rPr>
        <w:t>redescuento</w:t>
      </w:r>
      <w:proofErr w:type="spellEnd"/>
      <w:r w:rsidR="00892DE7" w:rsidRPr="00892DE7">
        <w:rPr>
          <w:rFonts w:ascii="Arial" w:hAnsi="Arial" w:cs="Arial"/>
          <w:sz w:val="22"/>
          <w:szCs w:val="22"/>
          <w:vertAlign w:val="superscript"/>
          <w:lang w:val="en-GB"/>
        </w:rPr>
        <w:footnoteReference w:id="10"/>
      </w:r>
      <w:r w:rsidR="00892DE7" w:rsidRPr="00892DE7">
        <w:rPr>
          <w:rFonts w:ascii="Arial" w:hAnsi="Arial" w:cs="Arial"/>
          <w:sz w:val="22"/>
          <w:szCs w:val="22"/>
          <w:lang w:val="en-GB"/>
        </w:rPr>
        <w:t xml:space="preserve"> a las OSFPS </w:t>
      </w:r>
      <w:proofErr w:type="spellStart"/>
      <w:r w:rsidR="00892DE7" w:rsidRPr="00892DE7">
        <w:rPr>
          <w:rFonts w:ascii="Arial" w:hAnsi="Arial" w:cs="Arial"/>
          <w:sz w:val="22"/>
          <w:szCs w:val="22"/>
          <w:lang w:val="en-GB"/>
        </w:rPr>
        <w:t>elegibles</w:t>
      </w:r>
      <w:proofErr w:type="spellEnd"/>
      <w:r w:rsidR="00892DE7" w:rsidRPr="00892DE7">
        <w:rPr>
          <w:rFonts w:ascii="Arial" w:hAnsi="Arial" w:cs="Arial"/>
          <w:sz w:val="22"/>
          <w:szCs w:val="22"/>
          <w:lang w:val="en-GB"/>
        </w:rPr>
        <w:t xml:space="preserve"> (¶</w:t>
      </w:r>
      <w:r w:rsidR="00892DE7">
        <w:rPr>
          <w:rFonts w:ascii="Arial" w:hAnsi="Arial" w:cs="Arial"/>
          <w:sz w:val="22"/>
          <w:szCs w:val="22"/>
          <w:lang w:val="en-GB"/>
        </w:rPr>
        <w:t xml:space="preserve">3.5 del document de </w:t>
      </w:r>
      <w:proofErr w:type="spellStart"/>
      <w:r w:rsidR="00892DE7">
        <w:rPr>
          <w:rFonts w:ascii="Arial" w:hAnsi="Arial" w:cs="Arial"/>
          <w:sz w:val="22"/>
          <w:szCs w:val="22"/>
          <w:lang w:val="en-GB"/>
        </w:rPr>
        <w:t>préstamo</w:t>
      </w:r>
      <w:proofErr w:type="spellEnd"/>
      <w:r w:rsidR="00892DE7" w:rsidRPr="00892DE7">
        <w:rPr>
          <w:rFonts w:ascii="Arial" w:hAnsi="Arial" w:cs="Arial"/>
          <w:sz w:val="22"/>
          <w:szCs w:val="22"/>
          <w:lang w:val="en-GB"/>
        </w:rPr>
        <w:t xml:space="preserve">) para que a </w:t>
      </w:r>
      <w:proofErr w:type="spellStart"/>
      <w:r w:rsidR="00892DE7" w:rsidRPr="00892DE7">
        <w:rPr>
          <w:rFonts w:ascii="Arial" w:hAnsi="Arial" w:cs="Arial"/>
          <w:sz w:val="22"/>
          <w:szCs w:val="22"/>
          <w:lang w:val="en-GB"/>
        </w:rPr>
        <w:t>su</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vez</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provean</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liquidez</w:t>
      </w:r>
      <w:proofErr w:type="spellEnd"/>
      <w:r w:rsidR="00892DE7" w:rsidRPr="00892DE7">
        <w:rPr>
          <w:rFonts w:ascii="Arial" w:hAnsi="Arial" w:cs="Arial"/>
          <w:sz w:val="22"/>
          <w:szCs w:val="22"/>
          <w:lang w:val="en-GB"/>
        </w:rPr>
        <w:t xml:space="preserve"> a las MIPE </w:t>
      </w:r>
      <w:proofErr w:type="spellStart"/>
      <w:r w:rsidR="00892DE7" w:rsidRPr="00892DE7">
        <w:rPr>
          <w:rFonts w:ascii="Arial" w:hAnsi="Arial" w:cs="Arial"/>
          <w:sz w:val="22"/>
          <w:szCs w:val="22"/>
          <w:lang w:val="en-GB"/>
        </w:rPr>
        <w:t>elegibles</w:t>
      </w:r>
      <w:proofErr w:type="spellEnd"/>
      <w:r w:rsidR="00892DE7" w:rsidRPr="00892DE7">
        <w:rPr>
          <w:rFonts w:ascii="Arial" w:hAnsi="Arial" w:cs="Arial"/>
          <w:sz w:val="22"/>
          <w:szCs w:val="22"/>
          <w:lang w:val="en-GB"/>
        </w:rPr>
        <w:t xml:space="preserve"> (¶</w:t>
      </w:r>
      <w:r w:rsidR="00892DE7">
        <w:rPr>
          <w:rFonts w:ascii="Arial" w:hAnsi="Arial" w:cs="Arial"/>
          <w:sz w:val="22"/>
          <w:szCs w:val="22"/>
          <w:lang w:val="en-GB"/>
        </w:rPr>
        <w:t xml:space="preserve">3.6 del </w:t>
      </w:r>
      <w:proofErr w:type="spellStart"/>
      <w:r w:rsidR="00892DE7">
        <w:rPr>
          <w:rFonts w:ascii="Arial" w:hAnsi="Arial" w:cs="Arial"/>
          <w:sz w:val="22"/>
          <w:szCs w:val="22"/>
          <w:lang w:val="en-GB"/>
        </w:rPr>
        <w:t>document</w:t>
      </w:r>
      <w:r w:rsidR="000E264A">
        <w:rPr>
          <w:rFonts w:ascii="Arial" w:hAnsi="Arial" w:cs="Arial"/>
          <w:sz w:val="22"/>
          <w:szCs w:val="22"/>
          <w:lang w:val="en-GB"/>
        </w:rPr>
        <w:t>o</w:t>
      </w:r>
      <w:bookmarkStart w:id="8" w:name="_GoBack"/>
      <w:bookmarkEnd w:id="8"/>
      <w:proofErr w:type="spellEnd"/>
      <w:r w:rsidR="00892DE7">
        <w:rPr>
          <w:rFonts w:ascii="Arial" w:hAnsi="Arial" w:cs="Arial"/>
          <w:sz w:val="22"/>
          <w:szCs w:val="22"/>
          <w:lang w:val="en-GB"/>
        </w:rPr>
        <w:t xml:space="preserve"> de </w:t>
      </w:r>
      <w:proofErr w:type="spellStart"/>
      <w:r w:rsidR="00892DE7">
        <w:rPr>
          <w:rFonts w:ascii="Arial" w:hAnsi="Arial" w:cs="Arial"/>
          <w:sz w:val="22"/>
          <w:szCs w:val="22"/>
          <w:lang w:val="en-GB"/>
        </w:rPr>
        <w:t>préstamo</w:t>
      </w:r>
      <w:proofErr w:type="spellEnd"/>
      <w:r w:rsidR="00892DE7" w:rsidRPr="00892DE7">
        <w:rPr>
          <w:rFonts w:ascii="Arial" w:hAnsi="Arial" w:cs="Arial"/>
          <w:sz w:val="22"/>
          <w:szCs w:val="22"/>
          <w:lang w:val="en-GB"/>
        </w:rPr>
        <w:t xml:space="preserve">). </w:t>
      </w:r>
      <w:bookmarkStart w:id="9" w:name="_Hlk36680765"/>
      <w:r w:rsidR="00892DE7" w:rsidRPr="00892DE7">
        <w:rPr>
          <w:rFonts w:ascii="Arial" w:hAnsi="Arial" w:cs="Arial"/>
          <w:sz w:val="22"/>
          <w:szCs w:val="22"/>
          <w:lang w:val="en-GB"/>
        </w:rPr>
        <w:t xml:space="preserve">El </w:t>
      </w:r>
      <w:proofErr w:type="spellStart"/>
      <w:r w:rsidR="00892DE7" w:rsidRPr="00892DE7">
        <w:rPr>
          <w:rFonts w:ascii="Arial" w:hAnsi="Arial" w:cs="Arial"/>
          <w:sz w:val="22"/>
          <w:szCs w:val="22"/>
          <w:lang w:val="en-GB"/>
        </w:rPr>
        <w:t>subcomponente</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incluirá</w:t>
      </w:r>
      <w:proofErr w:type="spellEnd"/>
      <w:r w:rsidR="00892DE7" w:rsidRPr="00892DE7">
        <w:rPr>
          <w:rFonts w:ascii="Arial" w:hAnsi="Arial" w:cs="Arial"/>
          <w:sz w:val="22"/>
          <w:szCs w:val="22"/>
          <w:lang w:val="en-GB"/>
        </w:rPr>
        <w:t xml:space="preserve"> dos </w:t>
      </w:r>
      <w:proofErr w:type="spellStart"/>
      <w:r w:rsidR="00892DE7" w:rsidRPr="00892DE7">
        <w:rPr>
          <w:rFonts w:ascii="Arial" w:hAnsi="Arial" w:cs="Arial"/>
          <w:sz w:val="22"/>
          <w:szCs w:val="22"/>
          <w:lang w:val="en-GB"/>
        </w:rPr>
        <w:t>actividades</w:t>
      </w:r>
      <w:proofErr w:type="spellEnd"/>
      <w:r w:rsidR="00892DE7" w:rsidRPr="00892DE7">
        <w:rPr>
          <w:rFonts w:ascii="Arial" w:hAnsi="Arial" w:cs="Arial"/>
          <w:sz w:val="22"/>
          <w:szCs w:val="22"/>
          <w:lang w:val="en-GB"/>
        </w:rPr>
        <w:t xml:space="preserve"> para </w:t>
      </w:r>
      <w:proofErr w:type="spellStart"/>
      <w:r w:rsidR="00892DE7" w:rsidRPr="00892DE7">
        <w:rPr>
          <w:rFonts w:ascii="Arial" w:hAnsi="Arial" w:cs="Arial"/>
          <w:sz w:val="22"/>
          <w:szCs w:val="22"/>
          <w:lang w:val="en-GB"/>
        </w:rPr>
        <w:t>promover</w:t>
      </w:r>
      <w:proofErr w:type="spellEnd"/>
      <w:r w:rsidR="00892DE7" w:rsidRPr="00892DE7">
        <w:rPr>
          <w:rFonts w:ascii="Arial" w:hAnsi="Arial" w:cs="Arial"/>
          <w:sz w:val="22"/>
          <w:szCs w:val="22"/>
          <w:lang w:val="en-GB"/>
        </w:rPr>
        <w:t xml:space="preserve"> la </w:t>
      </w:r>
      <w:proofErr w:type="spellStart"/>
      <w:r w:rsidR="00892DE7" w:rsidRPr="00892DE7">
        <w:rPr>
          <w:rFonts w:ascii="Arial" w:hAnsi="Arial" w:cs="Arial"/>
          <w:sz w:val="22"/>
          <w:szCs w:val="22"/>
          <w:lang w:val="en-GB"/>
        </w:rPr>
        <w:t>igualdad</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género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en</w:t>
      </w:r>
      <w:proofErr w:type="spellEnd"/>
      <w:r w:rsidR="00892DE7" w:rsidRPr="00892DE7">
        <w:rPr>
          <w:rFonts w:ascii="Arial" w:hAnsi="Arial" w:cs="Arial"/>
          <w:sz w:val="22"/>
          <w:szCs w:val="22"/>
          <w:lang w:val="en-GB"/>
        </w:rPr>
        <w:t xml:space="preserve"> el </w:t>
      </w:r>
      <w:proofErr w:type="spellStart"/>
      <w:r w:rsidR="00892DE7" w:rsidRPr="00892DE7">
        <w:rPr>
          <w:rFonts w:ascii="Arial" w:hAnsi="Arial" w:cs="Arial"/>
          <w:sz w:val="22"/>
          <w:szCs w:val="22"/>
          <w:lang w:val="en-GB"/>
        </w:rPr>
        <w:t>acceso</w:t>
      </w:r>
      <w:proofErr w:type="spellEnd"/>
      <w:r w:rsidR="00892DE7" w:rsidRPr="00892DE7">
        <w:rPr>
          <w:rFonts w:ascii="Arial" w:hAnsi="Arial" w:cs="Arial"/>
          <w:sz w:val="22"/>
          <w:szCs w:val="22"/>
          <w:lang w:val="en-GB"/>
        </w:rPr>
        <w:t xml:space="preserve"> a </w:t>
      </w:r>
      <w:proofErr w:type="spellStart"/>
      <w:r w:rsidR="00892DE7" w:rsidRPr="00892DE7">
        <w:rPr>
          <w:rFonts w:ascii="Arial" w:hAnsi="Arial" w:cs="Arial"/>
          <w:sz w:val="22"/>
          <w:szCs w:val="22"/>
          <w:lang w:val="en-GB"/>
        </w:rPr>
        <w:t>financiamiento</w:t>
      </w:r>
      <w:proofErr w:type="spellEnd"/>
      <w:r w:rsidR="00892DE7" w:rsidRPr="00892DE7">
        <w:rPr>
          <w:rFonts w:ascii="Arial" w:hAnsi="Arial" w:cs="Arial"/>
          <w:sz w:val="22"/>
          <w:szCs w:val="22"/>
          <w:lang w:val="en-GB"/>
        </w:rPr>
        <w:t xml:space="preserve"> </w:t>
      </w:r>
      <w:bookmarkStart w:id="10" w:name="_Hlk36854221"/>
      <w:r w:rsidR="00892DE7" w:rsidRPr="00892DE7">
        <w:rPr>
          <w:rFonts w:ascii="Arial" w:hAnsi="Arial" w:cs="Arial"/>
          <w:sz w:val="22"/>
          <w:szCs w:val="22"/>
          <w:lang w:val="en-GB"/>
        </w:rPr>
        <w:t xml:space="preserve">para </w:t>
      </w:r>
      <w:proofErr w:type="spellStart"/>
      <w:r w:rsidR="00892DE7" w:rsidRPr="00892DE7">
        <w:rPr>
          <w:rFonts w:ascii="Arial" w:hAnsi="Arial" w:cs="Arial"/>
          <w:sz w:val="22"/>
          <w:szCs w:val="22"/>
          <w:lang w:val="en-GB"/>
        </w:rPr>
        <w:t>superar</w:t>
      </w:r>
      <w:proofErr w:type="spellEnd"/>
      <w:r w:rsidR="00892DE7" w:rsidRPr="00892DE7">
        <w:rPr>
          <w:rFonts w:ascii="Arial" w:hAnsi="Arial" w:cs="Arial"/>
          <w:sz w:val="22"/>
          <w:szCs w:val="22"/>
          <w:lang w:val="en-GB"/>
        </w:rPr>
        <w:t xml:space="preserve"> las </w:t>
      </w:r>
      <w:proofErr w:type="spellStart"/>
      <w:r w:rsidR="00892DE7" w:rsidRPr="00892DE7">
        <w:rPr>
          <w:rFonts w:ascii="Arial" w:hAnsi="Arial" w:cs="Arial"/>
          <w:sz w:val="22"/>
          <w:szCs w:val="22"/>
          <w:lang w:val="en-GB"/>
        </w:rPr>
        <w:t>necesidades</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corto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plazo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en</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aquellas</w:t>
      </w:r>
      <w:proofErr w:type="spellEnd"/>
      <w:r w:rsidR="00892DE7" w:rsidRPr="00892DE7">
        <w:rPr>
          <w:rFonts w:ascii="Arial" w:hAnsi="Arial" w:cs="Arial"/>
          <w:sz w:val="22"/>
          <w:szCs w:val="22"/>
          <w:lang w:val="en-GB"/>
        </w:rPr>
        <w:t xml:space="preserve"> MIPE </w:t>
      </w:r>
      <w:proofErr w:type="spellStart"/>
      <w:r w:rsidR="00892DE7" w:rsidRPr="00892DE7">
        <w:rPr>
          <w:rFonts w:ascii="Arial" w:hAnsi="Arial" w:cs="Arial"/>
          <w:sz w:val="22"/>
          <w:szCs w:val="22"/>
          <w:lang w:val="en-GB"/>
        </w:rPr>
        <w:t>definidas</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como</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mujeres</w:t>
      </w:r>
      <w:proofErr w:type="spellEnd"/>
      <w:r w:rsidR="00892DE7" w:rsidRPr="00892DE7">
        <w:rPr>
          <w:rFonts w:ascii="Arial" w:hAnsi="Arial" w:cs="Arial"/>
          <w:sz w:val="22"/>
          <w:szCs w:val="22"/>
          <w:lang w:val="en-GB"/>
        </w:rPr>
        <w:t xml:space="preserve"> con el fin de </w:t>
      </w:r>
      <w:proofErr w:type="spellStart"/>
      <w:r w:rsidR="00892DE7" w:rsidRPr="00892DE7">
        <w:rPr>
          <w:rFonts w:ascii="Arial" w:hAnsi="Arial" w:cs="Arial"/>
          <w:sz w:val="22"/>
          <w:szCs w:val="22"/>
          <w:lang w:val="en-GB"/>
        </w:rPr>
        <w:t>atenuar</w:t>
      </w:r>
      <w:proofErr w:type="spellEnd"/>
      <w:r w:rsidR="00892DE7" w:rsidRPr="00892DE7">
        <w:rPr>
          <w:rFonts w:ascii="Arial" w:hAnsi="Arial" w:cs="Arial"/>
          <w:sz w:val="22"/>
          <w:szCs w:val="22"/>
          <w:lang w:val="en-GB"/>
        </w:rPr>
        <w:t xml:space="preserve"> el </w:t>
      </w:r>
      <w:proofErr w:type="spellStart"/>
      <w:r w:rsidR="00892DE7" w:rsidRPr="00892DE7">
        <w:rPr>
          <w:rFonts w:ascii="Arial" w:hAnsi="Arial" w:cs="Arial"/>
          <w:sz w:val="22"/>
          <w:szCs w:val="22"/>
          <w:lang w:val="en-GB"/>
        </w:rPr>
        <w:t>posible</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ensanchamiento</w:t>
      </w:r>
      <w:proofErr w:type="spellEnd"/>
      <w:r w:rsidR="00892DE7" w:rsidRPr="00892DE7">
        <w:rPr>
          <w:rFonts w:ascii="Arial" w:hAnsi="Arial" w:cs="Arial"/>
          <w:sz w:val="22"/>
          <w:szCs w:val="22"/>
          <w:lang w:val="en-GB"/>
        </w:rPr>
        <w:t xml:space="preserve"> de la </w:t>
      </w:r>
      <w:proofErr w:type="spellStart"/>
      <w:r w:rsidR="00892DE7" w:rsidRPr="00892DE7">
        <w:rPr>
          <w:rFonts w:ascii="Arial" w:hAnsi="Arial" w:cs="Arial"/>
          <w:sz w:val="22"/>
          <w:szCs w:val="22"/>
          <w:lang w:val="en-GB"/>
        </w:rPr>
        <w:t>brecha</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género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como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consecuencia</w:t>
      </w:r>
      <w:proofErr w:type="spellEnd"/>
      <w:r w:rsidR="00892DE7" w:rsidRPr="00892DE7">
        <w:rPr>
          <w:rFonts w:ascii="Arial" w:hAnsi="Arial" w:cs="Arial"/>
          <w:sz w:val="22"/>
          <w:szCs w:val="22"/>
          <w:lang w:val="en-GB"/>
        </w:rPr>
        <w:t xml:space="preserve"> de la crisis del COVID-19</w:t>
      </w:r>
      <w:bookmarkEnd w:id="9"/>
      <w:bookmarkEnd w:id="10"/>
      <w:r w:rsidR="00892DE7" w:rsidRPr="00892DE7">
        <w:rPr>
          <w:rFonts w:ascii="Arial" w:hAnsi="Arial" w:cs="Arial"/>
          <w:sz w:val="22"/>
          <w:szCs w:val="22"/>
          <w:lang w:val="en-GB"/>
        </w:rPr>
        <w:t>: (i) </w:t>
      </w:r>
      <w:proofErr w:type="spellStart"/>
      <w:r w:rsidR="00892DE7" w:rsidRPr="00892DE7">
        <w:rPr>
          <w:rFonts w:ascii="Arial" w:hAnsi="Arial" w:cs="Arial"/>
          <w:sz w:val="22"/>
          <w:szCs w:val="22"/>
          <w:lang w:val="en-GB"/>
        </w:rPr>
        <w:t>elaboración</w:t>
      </w:r>
      <w:proofErr w:type="spellEnd"/>
      <w:r w:rsidR="00892DE7" w:rsidRPr="00892DE7">
        <w:rPr>
          <w:rFonts w:ascii="Arial" w:hAnsi="Arial" w:cs="Arial"/>
          <w:sz w:val="22"/>
          <w:szCs w:val="22"/>
          <w:lang w:val="en-GB"/>
        </w:rPr>
        <w:t xml:space="preserve"> de directrices para el </w:t>
      </w:r>
      <w:proofErr w:type="spellStart"/>
      <w:r w:rsidR="00892DE7" w:rsidRPr="00892DE7">
        <w:rPr>
          <w:rFonts w:ascii="Arial" w:hAnsi="Arial" w:cs="Arial"/>
          <w:sz w:val="22"/>
          <w:szCs w:val="22"/>
          <w:lang w:val="en-GB"/>
        </w:rPr>
        <w:t>proceso</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otorgamiento</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crédito</w:t>
      </w:r>
      <w:proofErr w:type="spellEnd"/>
      <w:r w:rsidR="00892DE7" w:rsidRPr="00892DE7">
        <w:rPr>
          <w:rFonts w:ascii="Arial" w:hAnsi="Arial" w:cs="Arial"/>
          <w:sz w:val="22"/>
          <w:szCs w:val="22"/>
          <w:lang w:val="en-GB"/>
        </w:rPr>
        <w:t xml:space="preserve"> a MIPE </w:t>
      </w:r>
      <w:proofErr w:type="spellStart"/>
      <w:r w:rsidR="00892DE7" w:rsidRPr="00892DE7">
        <w:rPr>
          <w:rFonts w:ascii="Arial" w:hAnsi="Arial" w:cs="Arial"/>
          <w:sz w:val="22"/>
          <w:szCs w:val="22"/>
          <w:lang w:val="en-GB"/>
        </w:rPr>
        <w:t>especificando</w:t>
      </w:r>
      <w:proofErr w:type="spellEnd"/>
      <w:r w:rsidR="00892DE7" w:rsidRPr="00892DE7">
        <w:rPr>
          <w:rFonts w:ascii="Arial" w:hAnsi="Arial" w:cs="Arial"/>
          <w:sz w:val="22"/>
          <w:szCs w:val="22"/>
          <w:lang w:val="en-GB"/>
        </w:rPr>
        <w:t xml:space="preserve"> la </w:t>
      </w:r>
      <w:proofErr w:type="spellStart"/>
      <w:r w:rsidR="00892DE7" w:rsidRPr="00892DE7">
        <w:rPr>
          <w:rFonts w:ascii="Arial" w:hAnsi="Arial" w:cs="Arial"/>
          <w:sz w:val="22"/>
          <w:szCs w:val="22"/>
          <w:lang w:val="en-GB"/>
        </w:rPr>
        <w:t>obligatoriedad</w:t>
      </w:r>
      <w:proofErr w:type="spellEnd"/>
      <w:r w:rsidR="00892DE7" w:rsidRPr="00892DE7">
        <w:rPr>
          <w:rFonts w:ascii="Arial" w:hAnsi="Arial" w:cs="Arial"/>
          <w:sz w:val="22"/>
          <w:szCs w:val="22"/>
          <w:lang w:val="en-GB"/>
        </w:rPr>
        <w:t xml:space="preserve"> de no </w:t>
      </w:r>
      <w:proofErr w:type="spellStart"/>
      <w:r w:rsidR="00892DE7" w:rsidRPr="00892DE7">
        <w:rPr>
          <w:rFonts w:ascii="Arial" w:hAnsi="Arial" w:cs="Arial"/>
          <w:sz w:val="22"/>
          <w:szCs w:val="22"/>
          <w:lang w:val="en-GB"/>
        </w:rPr>
        <w:t>discriminar</w:t>
      </w:r>
      <w:proofErr w:type="spellEnd"/>
      <w:r w:rsidR="00892DE7" w:rsidRPr="00892DE7">
        <w:rPr>
          <w:rFonts w:ascii="Arial" w:hAnsi="Arial" w:cs="Arial"/>
          <w:sz w:val="22"/>
          <w:szCs w:val="22"/>
          <w:lang w:val="en-GB"/>
        </w:rPr>
        <w:t xml:space="preserve"> por </w:t>
      </w:r>
      <w:proofErr w:type="spellStart"/>
      <w:r w:rsidR="00892DE7" w:rsidRPr="00892DE7">
        <w:rPr>
          <w:rFonts w:ascii="Arial" w:hAnsi="Arial" w:cs="Arial"/>
          <w:sz w:val="22"/>
          <w:szCs w:val="22"/>
          <w:lang w:val="en-GB"/>
        </w:rPr>
        <w:t>género</w:t>
      </w:r>
      <w:proofErr w:type="spellEnd"/>
      <w:r w:rsidR="00892DE7" w:rsidRPr="00892DE7">
        <w:rPr>
          <w:rFonts w:ascii="Arial" w:hAnsi="Arial" w:cs="Arial"/>
          <w:sz w:val="22"/>
          <w:szCs w:val="22"/>
          <w:lang w:val="en-GB"/>
        </w:rPr>
        <w:t xml:space="preserve">, las </w:t>
      </w:r>
      <w:proofErr w:type="spellStart"/>
      <w:r w:rsidR="00892DE7" w:rsidRPr="00892DE7">
        <w:rPr>
          <w:rFonts w:ascii="Arial" w:hAnsi="Arial" w:cs="Arial"/>
          <w:sz w:val="22"/>
          <w:szCs w:val="22"/>
          <w:lang w:val="en-GB"/>
        </w:rPr>
        <w:t>cuales</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formarán</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parte</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integrante</w:t>
      </w:r>
      <w:proofErr w:type="spellEnd"/>
      <w:r w:rsidR="00892DE7" w:rsidRPr="00892DE7">
        <w:rPr>
          <w:rFonts w:ascii="Arial" w:hAnsi="Arial" w:cs="Arial"/>
          <w:sz w:val="22"/>
          <w:szCs w:val="22"/>
          <w:lang w:val="en-GB"/>
        </w:rPr>
        <w:t xml:space="preserve"> del </w:t>
      </w:r>
      <w:proofErr w:type="spellStart"/>
      <w:r w:rsidR="00892DE7" w:rsidRPr="00892DE7">
        <w:rPr>
          <w:rFonts w:ascii="Arial" w:hAnsi="Arial" w:cs="Arial"/>
          <w:sz w:val="22"/>
          <w:szCs w:val="22"/>
          <w:lang w:val="en-GB"/>
        </w:rPr>
        <w:t>contrato</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préstamo</w:t>
      </w:r>
      <w:proofErr w:type="spellEnd"/>
      <w:r w:rsidR="00892DE7" w:rsidRPr="00892DE7">
        <w:rPr>
          <w:rFonts w:ascii="Arial" w:hAnsi="Arial" w:cs="Arial"/>
          <w:sz w:val="22"/>
          <w:szCs w:val="22"/>
          <w:lang w:val="en-GB"/>
        </w:rPr>
        <w:t xml:space="preserve"> a las OSFPS </w:t>
      </w:r>
      <w:proofErr w:type="spellStart"/>
      <w:r w:rsidR="00892DE7" w:rsidRPr="00892DE7">
        <w:rPr>
          <w:rFonts w:ascii="Arial" w:hAnsi="Arial" w:cs="Arial"/>
          <w:sz w:val="22"/>
          <w:szCs w:val="22"/>
          <w:lang w:val="en-GB"/>
        </w:rPr>
        <w:t>elegibles</w:t>
      </w:r>
      <w:proofErr w:type="spellEnd"/>
      <w:r w:rsidR="00892DE7" w:rsidRPr="00892DE7">
        <w:rPr>
          <w:rFonts w:ascii="Arial" w:hAnsi="Arial" w:cs="Arial"/>
          <w:sz w:val="22"/>
          <w:szCs w:val="22"/>
          <w:lang w:val="en-GB"/>
        </w:rPr>
        <w:t xml:space="preserve">; y (ii) </w:t>
      </w:r>
      <w:proofErr w:type="spellStart"/>
      <w:r w:rsidR="00892DE7" w:rsidRPr="00892DE7">
        <w:rPr>
          <w:rFonts w:ascii="Arial" w:hAnsi="Arial" w:cs="Arial"/>
          <w:sz w:val="22"/>
          <w:szCs w:val="22"/>
          <w:lang w:val="en-GB"/>
        </w:rPr>
        <w:t>monitoreo</w:t>
      </w:r>
      <w:proofErr w:type="spellEnd"/>
      <w:r w:rsidR="00892DE7" w:rsidRPr="00892DE7">
        <w:rPr>
          <w:rFonts w:ascii="Arial" w:hAnsi="Arial" w:cs="Arial"/>
          <w:sz w:val="22"/>
          <w:szCs w:val="22"/>
          <w:lang w:val="en-GB"/>
        </w:rPr>
        <w:t xml:space="preserve"> de la </w:t>
      </w:r>
      <w:proofErr w:type="spellStart"/>
      <w:r w:rsidR="00892DE7" w:rsidRPr="00892DE7">
        <w:rPr>
          <w:rFonts w:ascii="Arial" w:hAnsi="Arial" w:cs="Arial"/>
          <w:sz w:val="22"/>
          <w:szCs w:val="22"/>
          <w:lang w:val="en-GB"/>
        </w:rPr>
        <w:t>evolución</w:t>
      </w:r>
      <w:proofErr w:type="spellEnd"/>
      <w:r w:rsidR="00892DE7" w:rsidRPr="00892DE7">
        <w:rPr>
          <w:rFonts w:ascii="Arial" w:hAnsi="Arial" w:cs="Arial"/>
          <w:sz w:val="22"/>
          <w:szCs w:val="22"/>
          <w:lang w:val="en-GB"/>
        </w:rPr>
        <w:t xml:space="preserve"> de la </w:t>
      </w:r>
      <w:proofErr w:type="spellStart"/>
      <w:r w:rsidR="00892DE7" w:rsidRPr="00892DE7">
        <w:rPr>
          <w:rFonts w:ascii="Arial" w:hAnsi="Arial" w:cs="Arial"/>
          <w:sz w:val="22"/>
          <w:szCs w:val="22"/>
          <w:lang w:val="en-GB"/>
        </w:rPr>
        <w:t>cartera</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créditos</w:t>
      </w:r>
      <w:proofErr w:type="spellEnd"/>
      <w:r w:rsidR="00892DE7" w:rsidRPr="00892DE7">
        <w:rPr>
          <w:rFonts w:ascii="Arial" w:hAnsi="Arial" w:cs="Arial"/>
          <w:sz w:val="22"/>
          <w:szCs w:val="22"/>
          <w:lang w:val="en-GB"/>
        </w:rPr>
        <w:t xml:space="preserve"> y, </w:t>
      </w:r>
      <w:proofErr w:type="spellStart"/>
      <w:r w:rsidR="00892DE7" w:rsidRPr="00892DE7">
        <w:rPr>
          <w:rFonts w:ascii="Arial" w:hAnsi="Arial" w:cs="Arial"/>
          <w:sz w:val="22"/>
          <w:szCs w:val="22"/>
          <w:lang w:val="en-GB"/>
        </w:rPr>
        <w:t>si</w:t>
      </w:r>
      <w:proofErr w:type="spellEnd"/>
      <w:r w:rsidR="00892DE7" w:rsidRPr="00892DE7">
        <w:rPr>
          <w:rFonts w:ascii="Arial" w:hAnsi="Arial" w:cs="Arial"/>
          <w:sz w:val="22"/>
          <w:szCs w:val="22"/>
          <w:lang w:val="en-GB"/>
        </w:rPr>
        <w:t xml:space="preserve"> se </w:t>
      </w:r>
      <w:proofErr w:type="spellStart"/>
      <w:r w:rsidR="00892DE7" w:rsidRPr="00892DE7">
        <w:rPr>
          <w:rFonts w:ascii="Arial" w:hAnsi="Arial" w:cs="Arial"/>
          <w:sz w:val="22"/>
          <w:szCs w:val="22"/>
          <w:lang w:val="en-GB"/>
        </w:rPr>
        <w:t>observan</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desviaciones</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significativas</w:t>
      </w:r>
      <w:proofErr w:type="spellEnd"/>
      <w:r w:rsidR="00892DE7" w:rsidRPr="00892DE7">
        <w:rPr>
          <w:rFonts w:ascii="Arial" w:hAnsi="Arial" w:cs="Arial"/>
          <w:sz w:val="22"/>
          <w:szCs w:val="22"/>
          <w:lang w:val="en-GB"/>
        </w:rPr>
        <w:t xml:space="preserve">, se </w:t>
      </w:r>
      <w:proofErr w:type="spellStart"/>
      <w:r w:rsidR="00892DE7" w:rsidRPr="00892DE7">
        <w:rPr>
          <w:rFonts w:ascii="Arial" w:hAnsi="Arial" w:cs="Arial"/>
          <w:sz w:val="22"/>
          <w:szCs w:val="22"/>
          <w:lang w:val="en-GB"/>
        </w:rPr>
        <w:t>tomarán</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medidas</w:t>
      </w:r>
      <w:proofErr w:type="spellEnd"/>
      <w:r w:rsidR="00892DE7" w:rsidRPr="00892DE7">
        <w:rPr>
          <w:rFonts w:ascii="Arial" w:hAnsi="Arial" w:cs="Arial"/>
          <w:sz w:val="22"/>
          <w:szCs w:val="22"/>
          <w:lang w:val="en-GB"/>
        </w:rPr>
        <w:t xml:space="preserve"> para </w:t>
      </w:r>
      <w:proofErr w:type="spellStart"/>
      <w:r w:rsidR="00892DE7" w:rsidRPr="00892DE7">
        <w:rPr>
          <w:rFonts w:ascii="Arial" w:hAnsi="Arial" w:cs="Arial"/>
          <w:sz w:val="22"/>
          <w:szCs w:val="22"/>
          <w:lang w:val="en-GB"/>
        </w:rPr>
        <w:t>corregir</w:t>
      </w:r>
      <w:proofErr w:type="spellEnd"/>
      <w:r w:rsidR="00892DE7" w:rsidRPr="00892DE7">
        <w:rPr>
          <w:rFonts w:ascii="Arial" w:hAnsi="Arial" w:cs="Arial"/>
          <w:sz w:val="22"/>
          <w:szCs w:val="22"/>
          <w:lang w:val="en-GB"/>
        </w:rPr>
        <w:t xml:space="preserve"> la </w:t>
      </w:r>
      <w:proofErr w:type="spellStart"/>
      <w:r w:rsidR="00892DE7" w:rsidRPr="00892DE7">
        <w:rPr>
          <w:rFonts w:ascii="Arial" w:hAnsi="Arial" w:cs="Arial"/>
          <w:sz w:val="22"/>
          <w:szCs w:val="22"/>
          <w:lang w:val="en-GB"/>
        </w:rPr>
        <w:t>desviación</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según</w:t>
      </w:r>
      <w:proofErr w:type="spellEnd"/>
      <w:r w:rsidR="00892DE7" w:rsidRPr="00892DE7">
        <w:rPr>
          <w:rFonts w:ascii="Arial" w:hAnsi="Arial" w:cs="Arial"/>
          <w:sz w:val="22"/>
          <w:szCs w:val="22"/>
          <w:lang w:val="en-GB"/>
        </w:rPr>
        <w:t xml:space="preserve"> se </w:t>
      </w:r>
      <w:proofErr w:type="spellStart"/>
      <w:r w:rsidR="00892DE7" w:rsidRPr="00892DE7">
        <w:rPr>
          <w:rFonts w:ascii="Arial" w:hAnsi="Arial" w:cs="Arial"/>
          <w:sz w:val="22"/>
          <w:szCs w:val="22"/>
          <w:lang w:val="en-GB"/>
        </w:rPr>
        <w:t>establezca</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en</w:t>
      </w:r>
      <w:proofErr w:type="spellEnd"/>
      <w:r w:rsidR="00892DE7" w:rsidRPr="00892DE7">
        <w:rPr>
          <w:rFonts w:ascii="Arial" w:hAnsi="Arial" w:cs="Arial"/>
          <w:sz w:val="22"/>
          <w:szCs w:val="22"/>
          <w:lang w:val="en-GB"/>
        </w:rPr>
        <w:t xml:space="preserve"> el </w:t>
      </w:r>
      <w:hyperlink r:id="rId14" w:history="1">
        <w:r w:rsidR="00892DE7" w:rsidRPr="00892DE7">
          <w:rPr>
            <w:rStyle w:val="Hyperlink"/>
            <w:rFonts w:ascii="Arial" w:hAnsi="Arial" w:cs="Arial"/>
            <w:sz w:val="22"/>
            <w:szCs w:val="22"/>
            <w:lang w:val="en-GB"/>
          </w:rPr>
          <w:t>RC</w:t>
        </w:r>
      </w:hyperlink>
      <w:r w:rsidR="00892DE7" w:rsidRPr="00892DE7">
        <w:rPr>
          <w:rFonts w:ascii="Arial" w:hAnsi="Arial" w:cs="Arial"/>
          <w:sz w:val="22"/>
          <w:szCs w:val="22"/>
          <w:lang w:val="en-GB"/>
        </w:rPr>
        <w:t xml:space="preserve"> (¶</w:t>
      </w:r>
      <w:r w:rsidR="00892DE7">
        <w:rPr>
          <w:rFonts w:ascii="Arial" w:hAnsi="Arial" w:cs="Arial"/>
          <w:sz w:val="22"/>
          <w:szCs w:val="22"/>
          <w:lang w:val="en-GB"/>
        </w:rPr>
        <w:t>3.7</w:t>
      </w:r>
      <w:r w:rsidR="00892DE7">
        <w:rPr>
          <w:rFonts w:ascii="Arial" w:hAnsi="Arial" w:cs="Arial"/>
          <w:sz w:val="22"/>
          <w:szCs w:val="22"/>
          <w:lang w:val="es-ES"/>
        </w:rPr>
        <w:t xml:space="preserve"> del documento de préstamo</w:t>
      </w:r>
      <w:r w:rsidR="00892DE7" w:rsidRPr="00892DE7">
        <w:rPr>
          <w:rFonts w:ascii="Arial" w:hAnsi="Arial" w:cs="Arial"/>
          <w:sz w:val="22"/>
          <w:szCs w:val="22"/>
          <w:lang w:val="en-GB"/>
        </w:rPr>
        <w:t xml:space="preserve">), para </w:t>
      </w:r>
      <w:proofErr w:type="spellStart"/>
      <w:r w:rsidR="00892DE7" w:rsidRPr="00892DE7">
        <w:rPr>
          <w:rFonts w:ascii="Arial" w:hAnsi="Arial" w:cs="Arial"/>
          <w:sz w:val="22"/>
          <w:szCs w:val="22"/>
          <w:lang w:val="en-GB"/>
        </w:rPr>
        <w:t>garantizar</w:t>
      </w:r>
      <w:proofErr w:type="spellEnd"/>
      <w:r w:rsidR="00892DE7" w:rsidRPr="00892DE7">
        <w:rPr>
          <w:rFonts w:ascii="Arial" w:hAnsi="Arial" w:cs="Arial"/>
          <w:sz w:val="22"/>
          <w:szCs w:val="22"/>
          <w:lang w:val="en-GB"/>
        </w:rPr>
        <w:t xml:space="preserve"> que no se </w:t>
      </w:r>
      <w:proofErr w:type="spellStart"/>
      <w:r w:rsidR="00892DE7" w:rsidRPr="00892DE7">
        <w:rPr>
          <w:rFonts w:ascii="Arial" w:hAnsi="Arial" w:cs="Arial"/>
          <w:sz w:val="22"/>
          <w:szCs w:val="22"/>
          <w:lang w:val="en-GB"/>
        </w:rPr>
        <w:t>ensancha</w:t>
      </w:r>
      <w:proofErr w:type="spellEnd"/>
      <w:r w:rsidR="00892DE7" w:rsidRPr="00892DE7">
        <w:rPr>
          <w:rFonts w:ascii="Arial" w:hAnsi="Arial" w:cs="Arial"/>
          <w:sz w:val="22"/>
          <w:szCs w:val="22"/>
          <w:lang w:val="en-GB"/>
        </w:rPr>
        <w:t xml:space="preserve"> la </w:t>
      </w:r>
      <w:proofErr w:type="spellStart"/>
      <w:r w:rsidR="00892DE7" w:rsidRPr="00892DE7">
        <w:rPr>
          <w:rFonts w:ascii="Arial" w:hAnsi="Arial" w:cs="Arial"/>
          <w:sz w:val="22"/>
          <w:szCs w:val="22"/>
          <w:lang w:val="en-GB"/>
        </w:rPr>
        <w:t>brecha</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género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en</w:t>
      </w:r>
      <w:proofErr w:type="spellEnd"/>
      <w:r w:rsidR="00892DE7" w:rsidRPr="00892DE7">
        <w:rPr>
          <w:rFonts w:ascii="Arial" w:hAnsi="Arial" w:cs="Arial"/>
          <w:sz w:val="22"/>
          <w:szCs w:val="22"/>
          <w:lang w:val="en-GB"/>
        </w:rPr>
        <w:t xml:space="preserve"> el </w:t>
      </w:r>
      <w:proofErr w:type="spellStart"/>
      <w:r w:rsidR="00892DE7" w:rsidRPr="00892DE7">
        <w:rPr>
          <w:rFonts w:ascii="Arial" w:hAnsi="Arial" w:cs="Arial"/>
          <w:sz w:val="22"/>
          <w:szCs w:val="22"/>
          <w:lang w:val="en-GB"/>
        </w:rPr>
        <w:t>número</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operaciones</w:t>
      </w:r>
      <w:proofErr w:type="spellEnd"/>
      <w:r w:rsidR="00892DE7" w:rsidRPr="00892DE7">
        <w:rPr>
          <w:rFonts w:ascii="Arial" w:hAnsi="Arial" w:cs="Arial"/>
          <w:sz w:val="22"/>
          <w:szCs w:val="22"/>
          <w:lang w:val="en-GB"/>
        </w:rPr>
        <w:t>.</w:t>
      </w:r>
      <w:r w:rsidR="00892DE7" w:rsidRPr="00892DE7">
        <w:rPr>
          <w:rFonts w:ascii="Arial" w:hAnsi="Arial" w:cs="Arial"/>
          <w:b/>
          <w:bCs/>
          <w:sz w:val="22"/>
          <w:szCs w:val="22"/>
          <w:lang w:val="en-GB"/>
        </w:rPr>
        <w:t xml:space="preserve"> </w:t>
      </w:r>
      <w:proofErr w:type="spellStart"/>
      <w:r w:rsidR="00892DE7" w:rsidRPr="00892DE7">
        <w:rPr>
          <w:rFonts w:ascii="Arial" w:hAnsi="Arial" w:cs="Arial"/>
          <w:sz w:val="22"/>
          <w:szCs w:val="22"/>
          <w:lang w:val="en-GB"/>
        </w:rPr>
        <w:t>En</w:t>
      </w:r>
      <w:proofErr w:type="spellEnd"/>
      <w:r w:rsidR="00892DE7" w:rsidRPr="00892DE7">
        <w:rPr>
          <w:rFonts w:ascii="Arial" w:hAnsi="Arial" w:cs="Arial"/>
          <w:sz w:val="22"/>
          <w:szCs w:val="22"/>
          <w:lang w:val="en-GB"/>
        </w:rPr>
        <w:t xml:space="preserve"> </w:t>
      </w:r>
      <w:proofErr w:type="gramStart"/>
      <w:r w:rsidR="00892DE7" w:rsidRPr="00892DE7">
        <w:rPr>
          <w:rFonts w:ascii="Arial" w:hAnsi="Arial" w:cs="Arial"/>
          <w:sz w:val="22"/>
          <w:szCs w:val="22"/>
          <w:lang w:val="en-GB"/>
        </w:rPr>
        <w:t>particular se</w:t>
      </w:r>
      <w:proofErr w:type="gram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establecerá</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como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objetivo</w:t>
      </w:r>
      <w:proofErr w:type="spellEnd"/>
      <w:r w:rsidR="00892DE7" w:rsidRPr="00892DE7">
        <w:rPr>
          <w:rFonts w:ascii="Arial" w:hAnsi="Arial" w:cs="Arial"/>
          <w:sz w:val="22"/>
          <w:szCs w:val="22"/>
          <w:lang w:val="en-GB"/>
        </w:rPr>
        <w:t xml:space="preserve"> un </w:t>
      </w:r>
      <w:proofErr w:type="spellStart"/>
      <w:r w:rsidR="00892DE7" w:rsidRPr="00892DE7">
        <w:rPr>
          <w:rFonts w:ascii="Arial" w:hAnsi="Arial" w:cs="Arial"/>
          <w:sz w:val="22"/>
          <w:szCs w:val="22"/>
          <w:lang w:val="en-GB"/>
        </w:rPr>
        <w:t>número</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paritario</w:t>
      </w:r>
      <w:proofErr w:type="spellEnd"/>
      <w:r w:rsidR="00892DE7" w:rsidRPr="00892DE7">
        <w:rPr>
          <w:rFonts w:ascii="Arial" w:hAnsi="Arial" w:cs="Arial"/>
          <w:sz w:val="22"/>
          <w:szCs w:val="22"/>
          <w:lang w:val="en-GB"/>
        </w:rPr>
        <w:t xml:space="preserve"> de </w:t>
      </w:r>
      <w:proofErr w:type="spellStart"/>
      <w:r w:rsidR="00892DE7" w:rsidRPr="00892DE7">
        <w:rPr>
          <w:rFonts w:ascii="Arial" w:hAnsi="Arial" w:cs="Arial"/>
          <w:sz w:val="22"/>
          <w:szCs w:val="22"/>
          <w:lang w:val="en-GB"/>
        </w:rPr>
        <w:t>operaciones</w:t>
      </w:r>
      <w:proofErr w:type="spellEnd"/>
      <w:r w:rsidR="00892DE7" w:rsidRPr="00892DE7">
        <w:rPr>
          <w:rFonts w:ascii="Arial" w:hAnsi="Arial" w:cs="Arial"/>
          <w:sz w:val="22"/>
          <w:szCs w:val="22"/>
          <w:lang w:val="en-GB"/>
        </w:rPr>
        <w:t xml:space="preserve"> para hombres y </w:t>
      </w:r>
      <w:proofErr w:type="spellStart"/>
      <w:r w:rsidR="00892DE7" w:rsidRPr="00892DE7">
        <w:rPr>
          <w:rFonts w:ascii="Arial" w:hAnsi="Arial" w:cs="Arial"/>
          <w:sz w:val="22"/>
          <w:szCs w:val="22"/>
          <w:lang w:val="en-GB"/>
        </w:rPr>
        <w:t>mujeres</w:t>
      </w:r>
      <w:proofErr w:type="spellEnd"/>
      <w:r w:rsidR="00892DE7" w:rsidRPr="00892DE7">
        <w:rPr>
          <w:rFonts w:ascii="Arial" w:hAnsi="Arial" w:cs="Arial"/>
          <w:sz w:val="22"/>
          <w:szCs w:val="22"/>
          <w:lang w:val="en-GB"/>
        </w:rPr>
        <w:t xml:space="preserve">. El </w:t>
      </w:r>
      <w:proofErr w:type="spellStart"/>
      <w:r w:rsidR="00892DE7" w:rsidRPr="00892DE7">
        <w:rPr>
          <w:rFonts w:ascii="Arial" w:hAnsi="Arial" w:cs="Arial"/>
          <w:sz w:val="22"/>
          <w:szCs w:val="22"/>
          <w:lang w:val="en-GB"/>
        </w:rPr>
        <w:t>costo</w:t>
      </w:r>
      <w:proofErr w:type="spellEnd"/>
      <w:r w:rsidR="00892DE7" w:rsidRPr="00892DE7">
        <w:rPr>
          <w:rFonts w:ascii="Arial" w:hAnsi="Arial" w:cs="Arial"/>
          <w:sz w:val="22"/>
          <w:szCs w:val="22"/>
          <w:lang w:val="en-GB"/>
        </w:rPr>
        <w:t xml:space="preserve"> de las </w:t>
      </w:r>
      <w:proofErr w:type="spellStart"/>
      <w:r w:rsidR="00892DE7" w:rsidRPr="00892DE7">
        <w:rPr>
          <w:rFonts w:ascii="Arial" w:hAnsi="Arial" w:cs="Arial"/>
          <w:sz w:val="22"/>
          <w:szCs w:val="22"/>
          <w:lang w:val="en-GB"/>
        </w:rPr>
        <w:t>auditorías</w:t>
      </w:r>
      <w:proofErr w:type="spellEnd"/>
      <w:r w:rsidR="00892DE7" w:rsidRPr="00892DE7">
        <w:rPr>
          <w:rFonts w:ascii="Arial" w:hAnsi="Arial" w:cs="Arial"/>
          <w:sz w:val="22"/>
          <w:szCs w:val="22"/>
          <w:lang w:val="en-GB"/>
        </w:rPr>
        <w:t xml:space="preserve"> se </w:t>
      </w:r>
      <w:proofErr w:type="spellStart"/>
      <w:r w:rsidR="00892DE7" w:rsidRPr="00892DE7">
        <w:rPr>
          <w:rFonts w:ascii="Arial" w:hAnsi="Arial" w:cs="Arial"/>
          <w:sz w:val="22"/>
          <w:szCs w:val="22"/>
          <w:lang w:val="en-GB"/>
        </w:rPr>
        <w:t>podrá</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financiar</w:t>
      </w:r>
      <w:proofErr w:type="spellEnd"/>
      <w:r w:rsidR="00892DE7" w:rsidRPr="00892DE7">
        <w:rPr>
          <w:rFonts w:ascii="Arial" w:hAnsi="Arial" w:cs="Arial"/>
          <w:sz w:val="22"/>
          <w:szCs w:val="22"/>
          <w:lang w:val="en-GB"/>
        </w:rPr>
        <w:t xml:space="preserve"> bajo </w:t>
      </w:r>
      <w:proofErr w:type="spellStart"/>
      <w:r w:rsidR="00892DE7" w:rsidRPr="00892DE7">
        <w:rPr>
          <w:rFonts w:ascii="Arial" w:hAnsi="Arial" w:cs="Arial"/>
          <w:sz w:val="22"/>
          <w:szCs w:val="22"/>
          <w:lang w:val="en-GB"/>
        </w:rPr>
        <w:t>este</w:t>
      </w:r>
      <w:proofErr w:type="spellEnd"/>
      <w:r w:rsidR="00892DE7" w:rsidRPr="00892DE7">
        <w:rPr>
          <w:rFonts w:ascii="Arial" w:hAnsi="Arial" w:cs="Arial"/>
          <w:sz w:val="22"/>
          <w:szCs w:val="22"/>
          <w:lang w:val="en-GB"/>
        </w:rPr>
        <w:t xml:space="preserve"> </w:t>
      </w:r>
      <w:proofErr w:type="spellStart"/>
      <w:r w:rsidR="00892DE7" w:rsidRPr="00892DE7">
        <w:rPr>
          <w:rFonts w:ascii="Arial" w:hAnsi="Arial" w:cs="Arial"/>
          <w:sz w:val="22"/>
          <w:szCs w:val="22"/>
          <w:lang w:val="en-GB"/>
        </w:rPr>
        <w:t>subcomponente</w:t>
      </w:r>
      <w:proofErr w:type="spellEnd"/>
      <w:r w:rsidR="00AA5EB8" w:rsidRPr="005A6E7B">
        <w:rPr>
          <w:rFonts w:ascii="Arial" w:hAnsi="Arial" w:cs="Arial"/>
          <w:sz w:val="22"/>
          <w:szCs w:val="22"/>
          <w:lang w:val="es-ES"/>
        </w:rPr>
        <w:t>.</w:t>
      </w:r>
      <w:bookmarkEnd w:id="7"/>
    </w:p>
    <w:p w14:paraId="55208629" w14:textId="3CDBD94B" w:rsidR="00B32AAC" w:rsidRPr="007E69D8" w:rsidRDefault="00B32AAC" w:rsidP="00A27A85">
      <w:pPr>
        <w:pStyle w:val="Paragraph"/>
        <w:numPr>
          <w:ilvl w:val="2"/>
          <w:numId w:val="21"/>
        </w:numPr>
        <w:ind w:left="1440"/>
        <w:rPr>
          <w:rFonts w:ascii="Arial" w:hAnsi="Arial" w:cs="Arial"/>
          <w:sz w:val="22"/>
          <w:szCs w:val="22"/>
          <w:lang w:val="es-ES_tradnl"/>
        </w:rPr>
      </w:pPr>
      <w:r w:rsidRPr="007E69D8">
        <w:rPr>
          <w:rFonts w:ascii="Arial" w:hAnsi="Arial" w:cs="Arial"/>
          <w:b/>
          <w:bCs/>
          <w:sz w:val="22"/>
          <w:szCs w:val="22"/>
          <w:lang w:val="es-ES_tradnl"/>
        </w:rPr>
        <w:t xml:space="preserve">Subcomponente </w:t>
      </w:r>
      <w:r w:rsidR="0030685B">
        <w:rPr>
          <w:rFonts w:ascii="Arial" w:hAnsi="Arial" w:cs="Arial"/>
          <w:b/>
          <w:bCs/>
          <w:sz w:val="22"/>
          <w:szCs w:val="22"/>
          <w:lang w:val="es-ES_tradnl"/>
        </w:rPr>
        <w:t>2</w:t>
      </w:r>
      <w:r w:rsidRPr="007E69D8">
        <w:rPr>
          <w:rFonts w:ascii="Arial" w:hAnsi="Arial" w:cs="Arial"/>
          <w:b/>
          <w:bCs/>
          <w:sz w:val="22"/>
          <w:szCs w:val="22"/>
          <w:lang w:val="es-ES_tradnl"/>
        </w:rPr>
        <w:t>. Fortalecimiento del Fondo de Garantía para la Economía Popular y Solidaria</w:t>
      </w:r>
      <w:r w:rsidR="002173AE" w:rsidRPr="007E69D8">
        <w:rPr>
          <w:rFonts w:ascii="Arial" w:hAnsi="Arial" w:cs="Arial"/>
          <w:b/>
          <w:bCs/>
          <w:sz w:val="22"/>
          <w:szCs w:val="22"/>
          <w:lang w:val="es-ES_tradnl"/>
        </w:rPr>
        <w:t xml:space="preserve"> (US$</w:t>
      </w:r>
      <w:r w:rsidR="00B203FF">
        <w:rPr>
          <w:rFonts w:ascii="Arial" w:hAnsi="Arial" w:cs="Arial"/>
          <w:b/>
          <w:bCs/>
          <w:sz w:val="22"/>
          <w:szCs w:val="22"/>
          <w:lang w:val="es-ES_tradnl"/>
        </w:rPr>
        <w:t>8,</w:t>
      </w:r>
      <w:r w:rsidR="00952EAD">
        <w:rPr>
          <w:rFonts w:ascii="Arial" w:hAnsi="Arial" w:cs="Arial"/>
          <w:b/>
          <w:bCs/>
          <w:sz w:val="22"/>
          <w:szCs w:val="22"/>
          <w:lang w:val="es-ES_tradnl"/>
        </w:rPr>
        <w:t>8</w:t>
      </w:r>
      <w:r w:rsidR="002173AE" w:rsidRPr="007E69D8">
        <w:rPr>
          <w:rFonts w:ascii="Arial" w:hAnsi="Arial" w:cs="Arial"/>
          <w:b/>
          <w:bCs/>
          <w:sz w:val="22"/>
          <w:szCs w:val="22"/>
          <w:lang w:val="es-ES_tradnl"/>
        </w:rPr>
        <w:t xml:space="preserve"> millones).</w:t>
      </w:r>
      <w:r w:rsidRPr="007E69D8">
        <w:rPr>
          <w:rFonts w:ascii="Arial" w:hAnsi="Arial" w:cs="Arial"/>
          <w:sz w:val="22"/>
          <w:szCs w:val="22"/>
          <w:lang w:val="es-ES_tradnl"/>
        </w:rPr>
        <w:t xml:space="preserve"> </w:t>
      </w:r>
      <w:r w:rsidR="00AA5EB8" w:rsidRPr="00AA5EB8">
        <w:rPr>
          <w:rFonts w:ascii="Arial" w:hAnsi="Arial" w:cs="Arial"/>
          <w:bCs/>
          <w:sz w:val="22"/>
          <w:szCs w:val="22"/>
          <w:lang w:val="es-ES_tradnl"/>
        </w:rPr>
        <w:t xml:space="preserve">El FOGEPS es un fondo administrado por la CONAFIPS, que se constituye como una herramienta de inclusión a los grupos vulnerables o de atención </w:t>
      </w:r>
      <w:r w:rsidR="00AA5EB8" w:rsidRPr="00AA5EB8">
        <w:rPr>
          <w:rFonts w:ascii="Arial" w:hAnsi="Arial" w:cs="Arial"/>
          <w:sz w:val="22"/>
          <w:szCs w:val="22"/>
          <w:lang w:val="es-ES_tradnl"/>
        </w:rPr>
        <w:t>prioritaria</w:t>
      </w:r>
      <w:r w:rsidR="00AA5EB8" w:rsidRPr="00AA5EB8">
        <w:rPr>
          <w:rFonts w:ascii="Arial" w:hAnsi="Arial" w:cs="Arial"/>
          <w:bCs/>
          <w:sz w:val="22"/>
          <w:szCs w:val="22"/>
          <w:lang w:val="es-ES_tradnl"/>
        </w:rPr>
        <w:t xml:space="preserve"> que no han podido acceder tradicionalmente a financiamiento crediticio por la falta de un colateral o garantía en su operación crediticia. Este subcomponente facilitará al FOGEPS nuevos recursos que aporten a la expansión del servicio a todo el territorio nacional ecuatoriano a través de las OSFPS para que provean garantías en beneficio de las MIPE elegibles. Para una adecuada administración de riesgos, las MIPE financiadas por las OSFPS, a través de créditos de la CONAFIPS, no podrán ser beneficiadas a su vez por una garantía del FOGEPS.</w:t>
      </w:r>
    </w:p>
    <w:p w14:paraId="017720F7" w14:textId="592BEE68" w:rsidR="007116B2" w:rsidRPr="007E69D8" w:rsidRDefault="00F8529B" w:rsidP="000B094C">
      <w:pPr>
        <w:pStyle w:val="Paragraph"/>
        <w:numPr>
          <w:ilvl w:val="1"/>
          <w:numId w:val="4"/>
        </w:numPr>
        <w:ind w:left="630" w:hanging="630"/>
        <w:rPr>
          <w:rFonts w:ascii="Arial" w:hAnsi="Arial" w:cs="Arial"/>
          <w:sz w:val="22"/>
          <w:szCs w:val="22"/>
          <w:lang w:val="es-ES_tradnl"/>
        </w:rPr>
      </w:pPr>
      <w:r w:rsidRPr="007E69D8">
        <w:rPr>
          <w:rFonts w:ascii="Arial" w:hAnsi="Arial" w:cs="Arial"/>
          <w:sz w:val="22"/>
          <w:szCs w:val="22"/>
          <w:lang w:val="es-ES_tradnl"/>
        </w:rPr>
        <w:t xml:space="preserve">El programa busca beneficiar a una población de </w:t>
      </w:r>
      <w:r w:rsidR="00B203FF">
        <w:rPr>
          <w:rFonts w:ascii="Arial" w:hAnsi="Arial" w:cs="Arial"/>
          <w:sz w:val="22"/>
          <w:szCs w:val="22"/>
          <w:lang w:val="es-ES_tradnl"/>
        </w:rPr>
        <w:t>28.</w:t>
      </w:r>
      <w:r w:rsidR="00952EAD">
        <w:rPr>
          <w:rFonts w:ascii="Arial" w:hAnsi="Arial" w:cs="Arial"/>
          <w:sz w:val="22"/>
          <w:szCs w:val="22"/>
          <w:lang w:val="es-ES_tradnl"/>
        </w:rPr>
        <w:t>729</w:t>
      </w:r>
      <w:r w:rsidRPr="007E69D8">
        <w:rPr>
          <w:rFonts w:ascii="Arial" w:hAnsi="Arial" w:cs="Arial"/>
          <w:sz w:val="22"/>
          <w:szCs w:val="22"/>
          <w:lang w:val="es-ES_tradnl"/>
        </w:rPr>
        <w:t xml:space="preserve"> </w:t>
      </w:r>
      <w:r w:rsidR="002D1E3A" w:rsidRPr="007E69D8">
        <w:rPr>
          <w:rFonts w:ascii="Arial" w:hAnsi="Arial" w:cs="Arial"/>
          <w:sz w:val="22"/>
          <w:szCs w:val="22"/>
          <w:lang w:val="es-ES_tradnl"/>
        </w:rPr>
        <w:t>MIPE</w:t>
      </w:r>
      <w:r w:rsidRPr="007E69D8">
        <w:rPr>
          <w:rFonts w:ascii="Arial" w:hAnsi="Arial" w:cs="Arial"/>
          <w:sz w:val="22"/>
          <w:szCs w:val="22"/>
          <w:lang w:val="es-ES_tradnl"/>
        </w:rPr>
        <w:t xml:space="preserve"> en los sectores considerados como prioritarios en el programa.</w:t>
      </w:r>
    </w:p>
    <w:bookmarkEnd w:id="1"/>
    <w:p w14:paraId="523853E9" w14:textId="78E15231" w:rsidR="007116B2" w:rsidRPr="007E69D8" w:rsidRDefault="00892DE7" w:rsidP="000B094C">
      <w:pPr>
        <w:pStyle w:val="Paragraph"/>
        <w:numPr>
          <w:ilvl w:val="1"/>
          <w:numId w:val="4"/>
        </w:numPr>
        <w:ind w:left="630" w:hanging="630"/>
        <w:rPr>
          <w:rFonts w:ascii="Arial" w:hAnsi="Arial" w:cs="Arial"/>
          <w:sz w:val="22"/>
          <w:szCs w:val="22"/>
          <w:lang w:val="es-ES_tradnl"/>
        </w:rPr>
      </w:pPr>
      <w:r>
        <w:rPr>
          <w:rFonts w:ascii="Arial" w:hAnsi="Arial" w:cs="Arial"/>
          <w:b/>
          <w:bCs/>
          <w:sz w:val="22"/>
          <w:szCs w:val="22"/>
          <w:lang w:val="es-ES_tradnl"/>
        </w:rPr>
        <w:t xml:space="preserve">Prestatario y </w:t>
      </w:r>
      <w:r w:rsidR="00F8529B" w:rsidRPr="007E69D8">
        <w:rPr>
          <w:rFonts w:ascii="Arial" w:hAnsi="Arial" w:cs="Arial"/>
          <w:b/>
          <w:bCs/>
          <w:sz w:val="22"/>
          <w:szCs w:val="22"/>
          <w:lang w:val="es-ES_tradnl"/>
        </w:rPr>
        <w:t xml:space="preserve">Organismo </w:t>
      </w:r>
      <w:r>
        <w:rPr>
          <w:rFonts w:ascii="Arial" w:hAnsi="Arial" w:cs="Arial"/>
          <w:b/>
          <w:bCs/>
          <w:sz w:val="22"/>
          <w:szCs w:val="22"/>
          <w:lang w:val="es-ES_tradnl"/>
        </w:rPr>
        <w:t>E</w:t>
      </w:r>
      <w:r w:rsidRPr="007E69D8">
        <w:rPr>
          <w:rFonts w:ascii="Arial" w:hAnsi="Arial" w:cs="Arial"/>
          <w:b/>
          <w:bCs/>
          <w:sz w:val="22"/>
          <w:szCs w:val="22"/>
          <w:lang w:val="es-ES_tradnl"/>
        </w:rPr>
        <w:t>jecutor</w:t>
      </w:r>
      <w:r>
        <w:rPr>
          <w:rFonts w:ascii="Arial" w:hAnsi="Arial" w:cs="Arial"/>
          <w:b/>
          <w:bCs/>
          <w:sz w:val="22"/>
          <w:szCs w:val="22"/>
          <w:lang w:val="es-ES_tradnl"/>
        </w:rPr>
        <w:t xml:space="preserve"> (OE).</w:t>
      </w:r>
      <w:r w:rsidR="00F8529B" w:rsidRPr="007E69D8">
        <w:rPr>
          <w:rFonts w:ascii="Arial" w:hAnsi="Arial" w:cs="Arial"/>
          <w:sz w:val="22"/>
          <w:szCs w:val="22"/>
          <w:lang w:val="es-ES_tradnl"/>
        </w:rPr>
        <w:t xml:space="preserve"> El </w:t>
      </w:r>
      <w:r>
        <w:rPr>
          <w:rFonts w:ascii="Arial" w:hAnsi="Arial" w:cs="Arial"/>
          <w:sz w:val="22"/>
          <w:szCs w:val="22"/>
          <w:lang w:val="es-ES_tradnl"/>
        </w:rPr>
        <w:t>Prestatario y OE</w:t>
      </w:r>
      <w:r w:rsidR="00F27BCF" w:rsidRPr="007E69D8">
        <w:rPr>
          <w:rFonts w:ascii="Arial" w:hAnsi="Arial" w:cs="Arial"/>
          <w:sz w:val="22"/>
          <w:szCs w:val="22"/>
          <w:lang w:val="es-ES_tradnl"/>
        </w:rPr>
        <w:t xml:space="preserve"> </w:t>
      </w:r>
      <w:r w:rsidR="00F8529B" w:rsidRPr="007E69D8">
        <w:rPr>
          <w:rFonts w:ascii="Arial" w:hAnsi="Arial" w:cs="Arial"/>
          <w:sz w:val="22"/>
          <w:szCs w:val="22"/>
          <w:lang w:val="es-ES_tradnl"/>
        </w:rPr>
        <w:t xml:space="preserve">de este programa es </w:t>
      </w:r>
      <w:r w:rsidR="00A27A85" w:rsidRPr="007E69D8">
        <w:rPr>
          <w:rFonts w:ascii="Arial" w:hAnsi="Arial" w:cs="Arial"/>
          <w:sz w:val="22"/>
          <w:szCs w:val="22"/>
          <w:lang w:val="es-ES_tradnl"/>
        </w:rPr>
        <w:t xml:space="preserve">la Corporación Nacional de Finanzas Populares y Solidarias </w:t>
      </w:r>
      <w:r w:rsidR="00F8529B" w:rsidRPr="007E69D8">
        <w:rPr>
          <w:rFonts w:ascii="Arial" w:hAnsi="Arial" w:cs="Arial"/>
          <w:sz w:val="22"/>
          <w:szCs w:val="22"/>
          <w:lang w:val="es-ES_tradnl"/>
        </w:rPr>
        <w:t>[</w:t>
      </w:r>
      <w:r w:rsidR="00A27A85" w:rsidRPr="007E69D8">
        <w:rPr>
          <w:rFonts w:ascii="Arial" w:hAnsi="Arial" w:cs="Arial"/>
          <w:sz w:val="22"/>
          <w:szCs w:val="22"/>
          <w:lang w:val="es-ES_tradnl"/>
        </w:rPr>
        <w:t>CONAFIPS</w:t>
      </w:r>
      <w:r w:rsidR="00F8529B" w:rsidRPr="007E69D8">
        <w:rPr>
          <w:rFonts w:ascii="Arial" w:hAnsi="Arial" w:cs="Arial"/>
          <w:sz w:val="22"/>
          <w:szCs w:val="22"/>
          <w:lang w:val="es-ES_tradnl"/>
        </w:rPr>
        <w:t xml:space="preserve">]. </w:t>
      </w:r>
      <w:r w:rsidR="00A27A85" w:rsidRPr="007E69D8">
        <w:rPr>
          <w:rFonts w:ascii="Arial" w:hAnsi="Arial" w:cs="Arial"/>
          <w:sz w:val="22"/>
          <w:szCs w:val="22"/>
          <w:lang w:val="es-ES_tradnl"/>
        </w:rPr>
        <w:t xml:space="preserve">La CONAFIPS se creó en 2011 en la LOEPS como entidad financiera de derecho público con personalidad jurídica, patrimonio propio y </w:t>
      </w:r>
      <w:r w:rsidR="003B2CE0" w:rsidRPr="007E69D8">
        <w:rPr>
          <w:rFonts w:ascii="Arial" w:hAnsi="Arial" w:cs="Arial"/>
          <w:sz w:val="22"/>
          <w:szCs w:val="22"/>
          <w:lang w:val="es-ES_tradnl"/>
        </w:rPr>
        <w:t>a</w:t>
      </w:r>
      <w:r w:rsidR="00A27A85" w:rsidRPr="007E69D8">
        <w:rPr>
          <w:rFonts w:ascii="Arial" w:hAnsi="Arial" w:cs="Arial"/>
          <w:sz w:val="22"/>
          <w:szCs w:val="22"/>
          <w:lang w:val="es-ES_tradnl"/>
        </w:rPr>
        <w:t>utonomía administrativa, técnica y financiera sujeta a las regulaciones que emita la JPRMF</w:t>
      </w:r>
      <w:r w:rsidR="00A27A85" w:rsidRPr="007E69D8">
        <w:rPr>
          <w:rStyle w:val="FootnoteReference"/>
          <w:rFonts w:ascii="Arial" w:hAnsi="Arial" w:cs="Arial"/>
          <w:sz w:val="22"/>
          <w:szCs w:val="22"/>
          <w:lang w:val="es-ES_tradnl"/>
        </w:rPr>
        <w:footnoteReference w:id="11"/>
      </w:r>
      <w:r w:rsidR="002173AE" w:rsidRPr="007E69D8">
        <w:rPr>
          <w:rFonts w:ascii="Arial" w:hAnsi="Arial" w:cs="Arial"/>
          <w:sz w:val="22"/>
          <w:szCs w:val="22"/>
          <w:lang w:val="es-ES_tradnl"/>
        </w:rPr>
        <w:t>.</w:t>
      </w:r>
      <w:r w:rsidR="00A27A85" w:rsidRPr="007E69D8">
        <w:rPr>
          <w:rFonts w:ascii="Arial" w:hAnsi="Arial" w:cs="Arial"/>
          <w:sz w:val="22"/>
          <w:szCs w:val="22"/>
          <w:lang w:val="es-ES_tradnl"/>
        </w:rPr>
        <w:t xml:space="preserve"> La CONAFIPS opera como banca de segundo piso que, con calificación crediticia “A-</w:t>
      </w:r>
      <w:r w:rsidR="007E69D8">
        <w:rPr>
          <w:rFonts w:ascii="Arial" w:hAnsi="Arial" w:cs="Arial"/>
          <w:sz w:val="22"/>
          <w:szCs w:val="22"/>
          <w:lang w:val="es-ES_tradnl"/>
        </w:rPr>
        <w:t>”</w:t>
      </w:r>
      <w:r w:rsidR="00A27A85" w:rsidRPr="007E69D8">
        <w:rPr>
          <w:rStyle w:val="FootnoteReference"/>
          <w:rFonts w:ascii="Arial" w:hAnsi="Arial" w:cs="Arial"/>
          <w:sz w:val="22"/>
          <w:szCs w:val="22"/>
          <w:lang w:val="es-ES_tradnl"/>
        </w:rPr>
        <w:footnoteReference w:id="12"/>
      </w:r>
      <w:r w:rsidR="00A27A85" w:rsidRPr="007E69D8">
        <w:rPr>
          <w:rFonts w:ascii="Arial" w:hAnsi="Arial" w:cs="Arial"/>
          <w:sz w:val="22"/>
          <w:szCs w:val="22"/>
          <w:lang w:val="es-ES_tradnl"/>
        </w:rPr>
        <w:t xml:space="preserve">, se alimenta de capital con instituciones financieras internacionales similares al BID para ofrecer créditos, garantías, fortalecimiento y transferencia tecnológica a las OSFPS con el fin de fortalecer su capacidad de generar créditos para sus </w:t>
      </w:r>
      <w:r w:rsidR="002D1E3A" w:rsidRPr="007E69D8">
        <w:rPr>
          <w:rFonts w:ascii="Arial" w:hAnsi="Arial" w:cs="Arial"/>
          <w:sz w:val="22"/>
          <w:szCs w:val="22"/>
          <w:lang w:val="es-ES_tradnl"/>
        </w:rPr>
        <w:t>MIPE</w:t>
      </w:r>
      <w:r w:rsidR="00A27A85" w:rsidRPr="007E69D8">
        <w:rPr>
          <w:rFonts w:ascii="Arial" w:hAnsi="Arial" w:cs="Arial"/>
          <w:sz w:val="22"/>
          <w:szCs w:val="22"/>
          <w:lang w:val="es-ES_tradnl"/>
        </w:rPr>
        <w:t xml:space="preserve"> socias.</w:t>
      </w:r>
      <w:r w:rsidR="00F40584" w:rsidRPr="007E69D8">
        <w:rPr>
          <w:rFonts w:ascii="Arial" w:hAnsi="Arial" w:cs="Arial"/>
          <w:sz w:val="22"/>
          <w:szCs w:val="22"/>
          <w:lang w:val="es-ES_tradnl"/>
        </w:rPr>
        <w:t xml:space="preserve"> </w:t>
      </w:r>
      <w:r w:rsidR="00F40584" w:rsidRPr="007E69D8">
        <w:rPr>
          <w:rFonts w:ascii="Arial" w:eastAsia="Arial" w:hAnsi="Arial" w:cs="Arial"/>
          <w:sz w:val="22"/>
          <w:szCs w:val="22"/>
          <w:lang w:val="es-ES_tradnl"/>
        </w:rPr>
        <w:t xml:space="preserve">El OE será el responsable del mantenimiento de los sistemas de recopilación de datos y seguimiento y evaluación de todos los componentes, sobre la base del cual preparará los informes y datos que remitirán al Banco. Para efectos de la evaluación, el OE recopilará, almacenará y mantendrá consigo toda la información, indicadores y parámetros, incluyendo los planes anuales, y la evaluación final, necesarios </w:t>
      </w:r>
      <w:r w:rsidR="00F40584" w:rsidRPr="007E69D8">
        <w:rPr>
          <w:rFonts w:ascii="Arial" w:eastAsia="Arial" w:hAnsi="Arial" w:cs="Arial"/>
          <w:sz w:val="22"/>
          <w:szCs w:val="22"/>
          <w:lang w:val="es-ES_tradnl"/>
        </w:rPr>
        <w:lastRenderedPageBreak/>
        <w:t>para la elaboración del Informe de Terminación de Proyecto (PCR</w:t>
      </w:r>
      <w:r w:rsidR="00F27BCF" w:rsidRPr="007E69D8">
        <w:rPr>
          <w:rFonts w:ascii="Arial" w:eastAsia="Arial" w:hAnsi="Arial" w:cs="Arial"/>
          <w:sz w:val="22"/>
          <w:szCs w:val="22"/>
          <w:lang w:val="es-ES_tradnl"/>
        </w:rPr>
        <w:t>, por sus siglas en inglés</w:t>
      </w:r>
      <w:r w:rsidR="00F40584" w:rsidRPr="007E69D8">
        <w:rPr>
          <w:rFonts w:ascii="Arial" w:eastAsia="Arial" w:hAnsi="Arial" w:cs="Arial"/>
          <w:sz w:val="22"/>
          <w:szCs w:val="22"/>
          <w:lang w:val="es-ES_tradnl"/>
        </w:rPr>
        <w:t>).</w:t>
      </w:r>
    </w:p>
    <w:p w14:paraId="55F7E39E" w14:textId="77777777" w:rsidR="007116B2" w:rsidRPr="007E69D8" w:rsidRDefault="007116B2" w:rsidP="000B094C">
      <w:pPr>
        <w:pStyle w:val="Paragraph"/>
        <w:numPr>
          <w:ilvl w:val="1"/>
          <w:numId w:val="4"/>
        </w:numPr>
        <w:ind w:left="630" w:hanging="630"/>
        <w:rPr>
          <w:rFonts w:ascii="Arial" w:hAnsi="Arial" w:cs="Arial"/>
          <w:sz w:val="22"/>
          <w:szCs w:val="22"/>
          <w:lang w:val="es-ES_tradnl"/>
        </w:rPr>
      </w:pPr>
      <w:r w:rsidRPr="007E69D8">
        <w:rPr>
          <w:rFonts w:ascii="Arial" w:hAnsi="Arial" w:cs="Arial"/>
          <w:sz w:val="22"/>
          <w:szCs w:val="22"/>
          <w:lang w:val="es-ES_tradnl"/>
        </w:rPr>
        <w:t xml:space="preserve">Como parte de la ejecución del programa, se han identificado los siguientes instrumentos de monitoreo y evaluación: </w:t>
      </w:r>
    </w:p>
    <w:p w14:paraId="21E3FEC4" w14:textId="77777777" w:rsidR="007116B2" w:rsidRPr="007E69D8" w:rsidRDefault="007116B2" w:rsidP="007116B2">
      <w:pPr>
        <w:pStyle w:val="subpar"/>
        <w:tabs>
          <w:tab w:val="num" w:pos="1440"/>
        </w:tabs>
        <w:spacing w:before="60" w:after="60"/>
        <w:ind w:left="1440" w:hanging="450"/>
        <w:rPr>
          <w:rFonts w:ascii="Arial" w:hAnsi="Arial" w:cs="Arial"/>
          <w:sz w:val="22"/>
          <w:szCs w:val="22"/>
          <w:lang w:val="es-ES_tradnl"/>
        </w:rPr>
      </w:pPr>
      <w:r w:rsidRPr="007E69D8">
        <w:rPr>
          <w:rFonts w:ascii="Arial" w:hAnsi="Arial" w:cs="Arial"/>
          <w:sz w:val="22"/>
          <w:szCs w:val="22"/>
          <w:lang w:val="es-ES_tradnl"/>
        </w:rPr>
        <w:t xml:space="preserve">Informes semestrales de seguimiento del programa en el que el OE informa al Banco el progreso en la ejecución de las actividades programadas, incluyendo el cumplimiento de objetivos previamente acordados para los indicadores de producto y resultado que se describen en la matriz de resultados que se adjunta al programa propuesto (descritos en el Cuadro 1); </w:t>
      </w:r>
    </w:p>
    <w:p w14:paraId="42B15AED" w14:textId="77777777" w:rsidR="007116B2" w:rsidRPr="007E69D8" w:rsidRDefault="007116B2" w:rsidP="007116B2">
      <w:pPr>
        <w:pStyle w:val="subpar"/>
        <w:tabs>
          <w:tab w:val="num" w:pos="1440"/>
        </w:tabs>
        <w:spacing w:before="60" w:after="60"/>
        <w:ind w:left="1440" w:hanging="450"/>
        <w:rPr>
          <w:rFonts w:ascii="Arial" w:hAnsi="Arial" w:cs="Arial"/>
          <w:sz w:val="22"/>
          <w:szCs w:val="22"/>
          <w:lang w:val="es-ES_tradnl"/>
        </w:rPr>
      </w:pPr>
      <w:r w:rsidRPr="007E69D8">
        <w:rPr>
          <w:rFonts w:ascii="Arial" w:hAnsi="Arial" w:cs="Arial"/>
          <w:sz w:val="22"/>
          <w:szCs w:val="22"/>
          <w:lang w:val="es-ES_tradnl"/>
        </w:rPr>
        <w:t>Auditorías financieras anuales del programa;</w:t>
      </w:r>
    </w:p>
    <w:p w14:paraId="28FA1901" w14:textId="77777777" w:rsidR="007116B2" w:rsidRPr="007E69D8" w:rsidRDefault="007116B2" w:rsidP="007116B2">
      <w:pPr>
        <w:pStyle w:val="subpar"/>
        <w:tabs>
          <w:tab w:val="num" w:pos="1440"/>
        </w:tabs>
        <w:spacing w:before="60" w:after="60"/>
        <w:ind w:left="1440" w:hanging="450"/>
        <w:rPr>
          <w:rFonts w:ascii="Arial" w:hAnsi="Arial" w:cs="Arial"/>
          <w:sz w:val="22"/>
          <w:szCs w:val="22"/>
          <w:lang w:val="es-ES_tradnl"/>
        </w:rPr>
      </w:pPr>
      <w:r w:rsidRPr="007E69D8">
        <w:rPr>
          <w:rFonts w:ascii="Arial" w:hAnsi="Arial" w:cs="Arial"/>
          <w:sz w:val="22"/>
          <w:szCs w:val="22"/>
          <w:lang w:val="es-ES_tradnl"/>
        </w:rPr>
        <w:t xml:space="preserve">Evaluaciones de cumplimiento de Sostenibilidad y Salvaguardas Ambientales (ESG, por sus siglas en inglés); y </w:t>
      </w:r>
    </w:p>
    <w:p w14:paraId="0AD074CC" w14:textId="77777777" w:rsidR="00B203FF" w:rsidRDefault="00B203FF" w:rsidP="007116B2">
      <w:pPr>
        <w:pStyle w:val="subpar"/>
        <w:tabs>
          <w:tab w:val="num" w:pos="1440"/>
        </w:tabs>
        <w:spacing w:before="60" w:after="60"/>
        <w:ind w:left="1440" w:hanging="450"/>
        <w:rPr>
          <w:rFonts w:ascii="Arial" w:hAnsi="Arial" w:cs="Arial"/>
          <w:sz w:val="22"/>
          <w:szCs w:val="22"/>
          <w:lang w:val="es-ES_tradnl"/>
        </w:rPr>
      </w:pPr>
      <w:r>
        <w:rPr>
          <w:rFonts w:ascii="Arial" w:hAnsi="Arial" w:cs="Arial"/>
          <w:sz w:val="22"/>
          <w:szCs w:val="22"/>
          <w:lang w:val="es-ES_tradnl"/>
        </w:rPr>
        <w:t>Análisis reflexivo</w:t>
      </w:r>
    </w:p>
    <w:p w14:paraId="1D9E0C37" w14:textId="316A51F0" w:rsidR="007116B2" w:rsidRPr="007E69D8" w:rsidRDefault="00B203FF">
      <w:pPr>
        <w:pStyle w:val="subpar"/>
        <w:tabs>
          <w:tab w:val="num" w:pos="1440"/>
        </w:tabs>
        <w:spacing w:before="60" w:after="60"/>
        <w:ind w:left="1440" w:hanging="450"/>
        <w:rPr>
          <w:rFonts w:ascii="Arial" w:hAnsi="Arial" w:cs="Arial"/>
          <w:sz w:val="22"/>
          <w:szCs w:val="22"/>
          <w:lang w:val="es-ES_tradnl"/>
        </w:rPr>
      </w:pPr>
      <w:r>
        <w:rPr>
          <w:rFonts w:ascii="Arial" w:hAnsi="Arial" w:cs="Arial"/>
          <w:sz w:val="22"/>
          <w:szCs w:val="22"/>
          <w:lang w:val="es-ES_tradnl"/>
        </w:rPr>
        <w:t>Análisis cualitativo.</w:t>
      </w:r>
      <w:r w:rsidR="007116B2" w:rsidRPr="007E69D8">
        <w:rPr>
          <w:rFonts w:ascii="Arial" w:hAnsi="Arial" w:cs="Arial"/>
          <w:sz w:val="22"/>
          <w:szCs w:val="22"/>
          <w:lang w:val="es-ES_tradnl"/>
        </w:rPr>
        <w:t xml:space="preserve"> </w:t>
      </w:r>
    </w:p>
    <w:p w14:paraId="3AD7BF47" w14:textId="5DE0E86A" w:rsidR="00F8529B" w:rsidRPr="007E69D8" w:rsidRDefault="00F40584" w:rsidP="000B094C">
      <w:pPr>
        <w:pStyle w:val="Paragraph"/>
        <w:numPr>
          <w:ilvl w:val="1"/>
          <w:numId w:val="4"/>
        </w:numPr>
        <w:ind w:left="630" w:hanging="630"/>
        <w:rPr>
          <w:rFonts w:ascii="Arial" w:hAnsi="Arial" w:cs="Arial"/>
          <w:sz w:val="22"/>
          <w:szCs w:val="22"/>
          <w:lang w:val="es-ES_tradnl"/>
        </w:rPr>
      </w:pPr>
      <w:r w:rsidRPr="007E69D8">
        <w:rPr>
          <w:rFonts w:ascii="Arial" w:hAnsi="Arial" w:cs="Arial"/>
          <w:b/>
          <w:bCs/>
          <w:sz w:val="22"/>
          <w:szCs w:val="22"/>
          <w:lang w:val="es-ES_tradnl"/>
        </w:rPr>
        <w:t>Costos de administración, evaluación y auditoría</w:t>
      </w:r>
      <w:r w:rsidRPr="007E69D8">
        <w:rPr>
          <w:rFonts w:ascii="Arial" w:hAnsi="Arial" w:cs="Arial"/>
          <w:sz w:val="22"/>
          <w:szCs w:val="22"/>
          <w:lang w:val="es-ES_tradnl"/>
        </w:rPr>
        <w:t xml:space="preserve">. </w:t>
      </w:r>
      <w:r w:rsidR="000A496F" w:rsidRPr="007E69D8">
        <w:rPr>
          <w:rFonts w:ascii="Arial" w:hAnsi="Arial" w:cs="Arial"/>
          <w:sz w:val="22"/>
          <w:szCs w:val="22"/>
          <w:lang w:val="es-ES_tradnl"/>
        </w:rPr>
        <w:t>Los costos estimados de administración, evaluación y auditoría se encuentran detallados en el Cuadro 2</w:t>
      </w:r>
      <w:r w:rsidRPr="007E69D8">
        <w:rPr>
          <w:rFonts w:ascii="Arial" w:hAnsi="Arial" w:cs="Arial"/>
          <w:sz w:val="22"/>
          <w:szCs w:val="22"/>
          <w:lang w:val="es-ES_tradnl"/>
        </w:rPr>
        <w:t xml:space="preserve">. En general: </w:t>
      </w:r>
      <w:r w:rsidR="007116B2" w:rsidRPr="007E69D8">
        <w:rPr>
          <w:rFonts w:ascii="Arial" w:hAnsi="Arial" w:cs="Arial"/>
          <w:sz w:val="22"/>
          <w:szCs w:val="22"/>
          <w:lang w:val="es-ES_tradnl"/>
        </w:rPr>
        <w:t>Los recursos del programa para apoyar la administración, promoción, monitoreo y evaluación de impacto del programa estarán a cargo de</w:t>
      </w:r>
      <w:r w:rsidR="00F8529B" w:rsidRPr="007E69D8">
        <w:rPr>
          <w:rFonts w:ascii="Arial" w:hAnsi="Arial" w:cs="Arial"/>
          <w:sz w:val="22"/>
          <w:szCs w:val="22"/>
          <w:lang w:val="es-ES_tradnl"/>
        </w:rPr>
        <w:t>l Organismo Ejecutor.</w:t>
      </w:r>
    </w:p>
    <w:p w14:paraId="03FE8F1D" w14:textId="5AFB1AA7" w:rsidR="00F40584" w:rsidRPr="007E69D8" w:rsidRDefault="00F40584" w:rsidP="000B094C">
      <w:pPr>
        <w:pStyle w:val="Paragraph"/>
        <w:numPr>
          <w:ilvl w:val="1"/>
          <w:numId w:val="4"/>
        </w:numPr>
        <w:ind w:left="630" w:hanging="630"/>
        <w:rPr>
          <w:rFonts w:ascii="Arial" w:hAnsi="Arial" w:cs="Arial"/>
          <w:sz w:val="22"/>
          <w:szCs w:val="22"/>
          <w:lang w:val="es-ES_tradnl"/>
        </w:rPr>
      </w:pPr>
      <w:r w:rsidRPr="007E69D8">
        <w:rPr>
          <w:rFonts w:ascii="Arial" w:hAnsi="Arial" w:cs="Arial"/>
          <w:color w:val="000000"/>
          <w:sz w:val="22"/>
          <w:szCs w:val="22"/>
          <w:lang w:val="es-ES_tradnl"/>
        </w:rPr>
        <w:t>El presente document</w:t>
      </w:r>
      <w:r w:rsidR="002D707E" w:rsidRPr="007E69D8">
        <w:rPr>
          <w:rFonts w:ascii="Arial" w:hAnsi="Arial" w:cs="Arial"/>
          <w:color w:val="000000"/>
          <w:sz w:val="22"/>
          <w:szCs w:val="22"/>
          <w:lang w:val="es-ES_tradnl"/>
        </w:rPr>
        <w:t>o</w:t>
      </w:r>
      <w:r w:rsidRPr="007E69D8">
        <w:rPr>
          <w:rFonts w:ascii="Arial" w:hAnsi="Arial" w:cs="Arial"/>
          <w:color w:val="000000"/>
          <w:sz w:val="22"/>
          <w:szCs w:val="22"/>
          <w:lang w:val="es-ES_tradnl"/>
        </w:rPr>
        <w:t xml:space="preserve"> presenta el plan de monitoreo y evaluación del </w:t>
      </w:r>
      <w:r w:rsidR="003B2CE0" w:rsidRPr="007E69D8">
        <w:rPr>
          <w:rFonts w:ascii="Arial" w:hAnsi="Arial" w:cs="Arial"/>
          <w:color w:val="000000"/>
          <w:sz w:val="22"/>
          <w:szCs w:val="22"/>
          <w:lang w:val="es-ES_tradnl"/>
        </w:rPr>
        <w:t>p</w:t>
      </w:r>
      <w:r w:rsidRPr="007E69D8">
        <w:rPr>
          <w:rFonts w:ascii="Arial" w:hAnsi="Arial" w:cs="Arial"/>
          <w:color w:val="000000"/>
          <w:sz w:val="22"/>
          <w:szCs w:val="22"/>
          <w:lang w:val="es-ES_tradnl"/>
        </w:rPr>
        <w:t xml:space="preserve">rograma y cuenta con dos secciones, además de esta sección introductoria. La sección II se refiere al monitoreo del programa, indicando los compromisos de información y reporte necesarios para el seguimiento </w:t>
      </w:r>
      <w:proofErr w:type="gramStart"/>
      <w:r w:rsidRPr="007E69D8">
        <w:rPr>
          <w:rFonts w:ascii="Arial" w:hAnsi="Arial" w:cs="Arial"/>
          <w:color w:val="000000"/>
          <w:sz w:val="22"/>
          <w:szCs w:val="22"/>
          <w:lang w:val="es-ES_tradnl"/>
        </w:rPr>
        <w:t>del mismo</w:t>
      </w:r>
      <w:proofErr w:type="gramEnd"/>
      <w:r w:rsidR="008521B3" w:rsidRPr="007E69D8">
        <w:rPr>
          <w:rFonts w:ascii="Arial" w:hAnsi="Arial" w:cs="Arial"/>
          <w:color w:val="000000"/>
          <w:sz w:val="22"/>
          <w:szCs w:val="22"/>
          <w:lang w:val="es-ES_tradnl"/>
        </w:rPr>
        <w:t xml:space="preserve"> y los </w:t>
      </w:r>
      <w:r w:rsidR="008521B3" w:rsidRPr="007E69D8">
        <w:rPr>
          <w:rFonts w:ascii="Arial" w:hAnsi="Arial" w:cs="Arial"/>
          <w:sz w:val="22"/>
          <w:szCs w:val="22"/>
          <w:lang w:val="es-ES_tradnl"/>
        </w:rPr>
        <w:t>recursos</w:t>
      </w:r>
      <w:r w:rsidR="008521B3" w:rsidRPr="007E69D8">
        <w:rPr>
          <w:rFonts w:ascii="Arial" w:hAnsi="Arial" w:cs="Arial"/>
          <w:color w:val="000000"/>
          <w:sz w:val="22"/>
          <w:szCs w:val="22"/>
          <w:lang w:val="es-ES_tradnl"/>
        </w:rPr>
        <w:t xml:space="preserve"> estimados a tales efectos</w:t>
      </w:r>
      <w:r w:rsidRPr="007E69D8">
        <w:rPr>
          <w:rFonts w:ascii="Arial" w:hAnsi="Arial" w:cs="Arial"/>
          <w:color w:val="000000"/>
          <w:sz w:val="22"/>
          <w:szCs w:val="22"/>
          <w:lang w:val="es-ES_tradnl"/>
        </w:rPr>
        <w:t xml:space="preserve">. La sección III presenta la estrategia de evaluación del </w:t>
      </w:r>
      <w:r w:rsidR="006806AF" w:rsidRPr="007E69D8">
        <w:rPr>
          <w:rFonts w:ascii="Arial" w:hAnsi="Arial" w:cs="Arial"/>
          <w:color w:val="000000"/>
          <w:sz w:val="22"/>
          <w:szCs w:val="22"/>
          <w:lang w:val="es-ES_tradnl"/>
        </w:rPr>
        <w:t>p</w:t>
      </w:r>
      <w:r w:rsidRPr="007E69D8">
        <w:rPr>
          <w:rFonts w:ascii="Arial" w:hAnsi="Arial" w:cs="Arial"/>
          <w:color w:val="000000"/>
          <w:sz w:val="22"/>
          <w:szCs w:val="22"/>
          <w:lang w:val="es-ES_tradnl"/>
        </w:rPr>
        <w:t>rograma</w:t>
      </w:r>
      <w:r w:rsidR="008521B3" w:rsidRPr="007E69D8">
        <w:rPr>
          <w:rFonts w:ascii="Arial" w:hAnsi="Arial" w:cs="Arial"/>
          <w:color w:val="000000"/>
          <w:sz w:val="22"/>
          <w:szCs w:val="22"/>
          <w:lang w:val="es-ES_tradnl"/>
        </w:rPr>
        <w:t xml:space="preserve"> y el cronograma y presupuesto de </w:t>
      </w:r>
      <w:proofErr w:type="gramStart"/>
      <w:r w:rsidR="008521B3" w:rsidRPr="007E69D8">
        <w:rPr>
          <w:rFonts w:ascii="Arial" w:hAnsi="Arial" w:cs="Arial"/>
          <w:color w:val="000000"/>
          <w:sz w:val="22"/>
          <w:szCs w:val="22"/>
          <w:lang w:val="es-ES_tradnl"/>
        </w:rPr>
        <w:t>la misma</w:t>
      </w:r>
      <w:proofErr w:type="gramEnd"/>
      <w:r w:rsidRPr="007E69D8">
        <w:rPr>
          <w:rFonts w:ascii="Arial" w:hAnsi="Arial" w:cs="Arial"/>
          <w:color w:val="000000"/>
          <w:sz w:val="22"/>
          <w:szCs w:val="22"/>
          <w:lang w:val="es-ES_tradnl"/>
        </w:rPr>
        <w:t xml:space="preserve">. </w:t>
      </w:r>
    </w:p>
    <w:p w14:paraId="0DB06960" w14:textId="77777777" w:rsidR="007116B2" w:rsidRPr="007E69D8" w:rsidRDefault="007116B2" w:rsidP="007116B2">
      <w:pPr>
        <w:pStyle w:val="Chapter"/>
        <w:rPr>
          <w:rFonts w:ascii="Arial" w:hAnsi="Arial" w:cs="Arial"/>
          <w:sz w:val="22"/>
          <w:szCs w:val="22"/>
          <w:lang w:val="es-ES_tradnl"/>
        </w:rPr>
      </w:pPr>
      <w:bookmarkStart w:id="11" w:name="_Toc36307319"/>
      <w:bookmarkStart w:id="12" w:name="_Toc352756752"/>
      <w:r w:rsidRPr="007E69D8">
        <w:rPr>
          <w:rFonts w:ascii="Arial" w:hAnsi="Arial" w:cs="Arial"/>
          <w:sz w:val="22"/>
          <w:szCs w:val="22"/>
          <w:lang w:val="es-ES_tradnl"/>
        </w:rPr>
        <w:t>Monitoreo</w:t>
      </w:r>
      <w:bookmarkEnd w:id="11"/>
    </w:p>
    <w:p w14:paraId="43C747F0" w14:textId="56CA4E24"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 xml:space="preserve">El objetivo de esta sección es describir el proceso de seguimiento que se aplicará a lo largo de la ejecución del programa para garantizar su correcto desarrollo y adecuada utilización de los recursos. </w:t>
      </w:r>
      <w:r w:rsidR="00F27BCF" w:rsidRPr="007E69D8">
        <w:rPr>
          <w:rFonts w:ascii="Arial" w:hAnsi="Arial" w:cs="Arial"/>
          <w:sz w:val="22"/>
          <w:szCs w:val="22"/>
          <w:lang w:val="es-ES_tradnl"/>
        </w:rPr>
        <w:t>El OE</w:t>
      </w:r>
      <w:r w:rsidRPr="007E69D8">
        <w:rPr>
          <w:rFonts w:ascii="Arial" w:hAnsi="Arial" w:cs="Arial"/>
          <w:sz w:val="22"/>
          <w:szCs w:val="22"/>
          <w:lang w:val="es-ES_tradnl"/>
        </w:rPr>
        <w:t xml:space="preserve"> el responsable de realizar el monitoreo del programa. </w:t>
      </w:r>
    </w:p>
    <w:p w14:paraId="4F1FA7A4" w14:textId="77777777" w:rsidR="007116B2" w:rsidRPr="007E69D8" w:rsidRDefault="007116B2" w:rsidP="007116B2">
      <w:pPr>
        <w:pStyle w:val="SecHeading"/>
        <w:tabs>
          <w:tab w:val="clear" w:pos="5400"/>
          <w:tab w:val="num" w:pos="1260"/>
        </w:tabs>
        <w:ind w:hanging="4680"/>
        <w:rPr>
          <w:rFonts w:ascii="Arial" w:hAnsi="Arial" w:cs="Arial"/>
          <w:color w:val="auto"/>
          <w:sz w:val="22"/>
          <w:szCs w:val="22"/>
        </w:rPr>
      </w:pPr>
      <w:bookmarkStart w:id="13" w:name="_Toc352756753"/>
      <w:bookmarkStart w:id="14" w:name="_Toc36307320"/>
      <w:r w:rsidRPr="007E69D8">
        <w:rPr>
          <w:rFonts w:ascii="Arial" w:hAnsi="Arial" w:cs="Arial"/>
          <w:color w:val="auto"/>
          <w:sz w:val="22"/>
          <w:szCs w:val="22"/>
        </w:rPr>
        <w:t>Indicadores</w:t>
      </w:r>
      <w:bookmarkEnd w:id="13"/>
      <w:bookmarkEnd w:id="14"/>
      <w:r w:rsidRPr="007E69D8">
        <w:rPr>
          <w:rFonts w:ascii="Arial" w:hAnsi="Arial" w:cs="Arial"/>
          <w:color w:val="auto"/>
          <w:sz w:val="22"/>
          <w:szCs w:val="22"/>
        </w:rPr>
        <w:t xml:space="preserve"> </w:t>
      </w:r>
    </w:p>
    <w:p w14:paraId="0C6F162C" w14:textId="77777777"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Los indicadores que serán monitoreados y registrados en el Informe de Seguimiento del Proyecto (PMR</w:t>
      </w:r>
      <w:r w:rsidRPr="007E69D8">
        <w:rPr>
          <w:rFonts w:ascii="Arial" w:hAnsi="Arial" w:cs="Arial"/>
          <w:sz w:val="22"/>
          <w:szCs w:val="22"/>
          <w:vertAlign w:val="superscript"/>
          <w:lang w:val="es-ES_tradnl"/>
        </w:rPr>
        <w:footnoteReference w:id="13"/>
      </w:r>
      <w:r w:rsidRPr="007E69D8">
        <w:rPr>
          <w:rFonts w:ascii="Arial" w:hAnsi="Arial" w:cs="Arial"/>
          <w:sz w:val="22"/>
          <w:szCs w:val="22"/>
          <w:lang w:val="es-ES_tradnl"/>
        </w:rPr>
        <w:t>) se encuentran descritos en la Matriz de Resultados del Programa</w:t>
      </w:r>
      <w:r w:rsidRPr="007E69D8">
        <w:rPr>
          <w:rFonts w:ascii="Arial" w:hAnsi="Arial" w:cs="Arial"/>
          <w:sz w:val="22"/>
          <w:szCs w:val="22"/>
          <w:vertAlign w:val="superscript"/>
          <w:lang w:val="es-ES_tradnl"/>
        </w:rPr>
        <w:footnoteReference w:id="14"/>
      </w:r>
      <w:r w:rsidRPr="007E69D8">
        <w:rPr>
          <w:rFonts w:ascii="Arial" w:hAnsi="Arial" w:cs="Arial"/>
          <w:sz w:val="22"/>
          <w:szCs w:val="22"/>
          <w:lang w:val="es-ES_tradnl"/>
        </w:rPr>
        <w:t xml:space="preserve"> acordada con el OE.</w:t>
      </w:r>
    </w:p>
    <w:p w14:paraId="1CB2566D" w14:textId="56D64106"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 xml:space="preserve">El monitoreo tendrá una frecuencia semestral y será actualizado en el Informe de Monitoreo y en el PMR del </w:t>
      </w:r>
      <w:r w:rsidR="00CF3F83">
        <w:rPr>
          <w:rFonts w:ascii="Arial" w:hAnsi="Arial" w:cs="Arial"/>
          <w:sz w:val="22"/>
          <w:szCs w:val="22"/>
          <w:lang w:val="es-ES_tradnl"/>
        </w:rPr>
        <w:t>p</w:t>
      </w:r>
      <w:r w:rsidRPr="007E69D8">
        <w:rPr>
          <w:rFonts w:ascii="Arial" w:hAnsi="Arial" w:cs="Arial"/>
          <w:sz w:val="22"/>
          <w:szCs w:val="22"/>
          <w:lang w:val="es-ES_tradnl"/>
        </w:rPr>
        <w:t>rograma. El Cuadro 1 muestra los indicadores que recibirán seguimiento y la frecuencia de medición.</w:t>
      </w:r>
      <w:r w:rsidR="00F27BCF" w:rsidRPr="007E69D8">
        <w:rPr>
          <w:rFonts w:ascii="Arial" w:hAnsi="Arial" w:cs="Arial"/>
          <w:sz w:val="22"/>
          <w:szCs w:val="22"/>
          <w:lang w:val="es-ES_tradnl"/>
        </w:rPr>
        <w:t xml:space="preserve"> </w:t>
      </w:r>
    </w:p>
    <w:p w14:paraId="32055AE4" w14:textId="77777777" w:rsidR="00892DE7" w:rsidRDefault="00892DE7" w:rsidP="007116B2">
      <w:pPr>
        <w:pStyle w:val="Default"/>
        <w:spacing w:before="120" w:after="120"/>
        <w:jc w:val="center"/>
        <w:rPr>
          <w:rFonts w:ascii="Arial" w:hAnsi="Arial" w:cs="Arial"/>
          <w:b/>
          <w:color w:val="auto"/>
          <w:sz w:val="22"/>
          <w:szCs w:val="22"/>
          <w:lang w:val="es-ES_tradnl"/>
        </w:rPr>
      </w:pPr>
    </w:p>
    <w:p w14:paraId="531FCAD2" w14:textId="77777777" w:rsidR="00892DE7" w:rsidRDefault="00892DE7" w:rsidP="007116B2">
      <w:pPr>
        <w:pStyle w:val="Default"/>
        <w:spacing w:before="120" w:after="120"/>
        <w:jc w:val="center"/>
        <w:rPr>
          <w:rFonts w:ascii="Arial" w:hAnsi="Arial" w:cs="Arial"/>
          <w:b/>
          <w:color w:val="auto"/>
          <w:sz w:val="22"/>
          <w:szCs w:val="22"/>
          <w:lang w:val="es-ES_tradnl"/>
        </w:rPr>
      </w:pPr>
    </w:p>
    <w:p w14:paraId="02F5EA91" w14:textId="77777777" w:rsidR="00892DE7" w:rsidRDefault="00892DE7" w:rsidP="007116B2">
      <w:pPr>
        <w:pStyle w:val="Default"/>
        <w:spacing w:before="120" w:after="120"/>
        <w:jc w:val="center"/>
        <w:rPr>
          <w:rFonts w:ascii="Arial" w:hAnsi="Arial" w:cs="Arial"/>
          <w:b/>
          <w:color w:val="auto"/>
          <w:sz w:val="22"/>
          <w:szCs w:val="22"/>
          <w:lang w:val="es-ES_tradnl"/>
        </w:rPr>
      </w:pPr>
    </w:p>
    <w:p w14:paraId="08B405E0" w14:textId="77777777" w:rsidR="00892DE7" w:rsidRDefault="00892DE7" w:rsidP="007116B2">
      <w:pPr>
        <w:pStyle w:val="Default"/>
        <w:spacing w:before="120" w:after="120"/>
        <w:jc w:val="center"/>
        <w:rPr>
          <w:rFonts w:ascii="Arial" w:hAnsi="Arial" w:cs="Arial"/>
          <w:b/>
          <w:color w:val="auto"/>
          <w:sz w:val="22"/>
          <w:szCs w:val="22"/>
          <w:lang w:val="es-ES_tradnl"/>
        </w:rPr>
      </w:pPr>
    </w:p>
    <w:p w14:paraId="00AA4F2B" w14:textId="2F34692F" w:rsidR="007116B2" w:rsidRPr="007E69D8" w:rsidRDefault="00614B51" w:rsidP="007116B2">
      <w:pPr>
        <w:pStyle w:val="Default"/>
        <w:spacing w:before="120" w:after="120"/>
        <w:jc w:val="center"/>
        <w:rPr>
          <w:rFonts w:ascii="Arial" w:hAnsi="Arial" w:cs="Arial"/>
          <w:b/>
          <w:color w:val="auto"/>
          <w:sz w:val="22"/>
          <w:szCs w:val="22"/>
          <w:lang w:val="es-ES_tradnl"/>
        </w:rPr>
      </w:pPr>
      <w:r w:rsidRPr="007E69D8">
        <w:rPr>
          <w:rFonts w:ascii="Arial" w:hAnsi="Arial" w:cs="Arial"/>
          <w:b/>
          <w:color w:val="auto"/>
          <w:sz w:val="22"/>
          <w:szCs w:val="22"/>
          <w:lang w:val="es-ES_tradnl"/>
        </w:rPr>
        <w:lastRenderedPageBreak/>
        <w:t>Cuadro</w:t>
      </w:r>
      <w:r w:rsidR="007116B2" w:rsidRPr="007E69D8">
        <w:rPr>
          <w:rFonts w:ascii="Arial" w:hAnsi="Arial" w:cs="Arial"/>
          <w:b/>
          <w:color w:val="auto"/>
          <w:sz w:val="22"/>
          <w:szCs w:val="22"/>
          <w:lang w:val="es-ES_tradnl"/>
        </w:rPr>
        <w:t xml:space="preserve"> 1. Indicadores de Monitoreo</w:t>
      </w:r>
    </w:p>
    <w:tbl>
      <w:tblPr>
        <w:tblW w:w="8813" w:type="dxa"/>
        <w:jc w:val="center"/>
        <w:tblCellMar>
          <w:left w:w="70" w:type="dxa"/>
          <w:right w:w="70" w:type="dxa"/>
        </w:tblCellMar>
        <w:tblLook w:val="04A0" w:firstRow="1" w:lastRow="0" w:firstColumn="1" w:lastColumn="0" w:noHBand="0" w:noVBand="1"/>
      </w:tblPr>
      <w:tblGrid>
        <w:gridCol w:w="2094"/>
        <w:gridCol w:w="1552"/>
        <w:gridCol w:w="1542"/>
        <w:gridCol w:w="3625"/>
      </w:tblGrid>
      <w:tr w:rsidR="007116B2" w:rsidRPr="007E69D8" w14:paraId="5379DDA4" w14:textId="77777777" w:rsidTr="003D0547">
        <w:trPr>
          <w:trHeight w:val="734"/>
          <w:tblHeader/>
          <w:jc w:val="center"/>
        </w:trPr>
        <w:tc>
          <w:tcPr>
            <w:tcW w:w="209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0ABE79C" w14:textId="77777777" w:rsidR="007116B2" w:rsidRPr="007E69D8" w:rsidRDefault="007116B2" w:rsidP="00454CB5">
            <w:pPr>
              <w:spacing w:after="0" w:line="240" w:lineRule="auto"/>
              <w:jc w:val="center"/>
              <w:rPr>
                <w:rFonts w:ascii="Arial" w:eastAsia="Times New Roman" w:hAnsi="Arial" w:cs="Arial"/>
                <w:b/>
                <w:bCs/>
                <w:color w:val="000000"/>
                <w:sz w:val="20"/>
                <w:szCs w:val="18"/>
                <w:lang w:val="es-ES_tradnl" w:eastAsia="es-ES"/>
              </w:rPr>
            </w:pPr>
            <w:r w:rsidRPr="007E69D8">
              <w:rPr>
                <w:rFonts w:ascii="Arial" w:eastAsia="Times New Roman" w:hAnsi="Arial" w:cs="Arial"/>
                <w:b/>
                <w:bCs/>
                <w:color w:val="000000"/>
                <w:sz w:val="20"/>
                <w:szCs w:val="18"/>
                <w:lang w:val="es-ES_tradnl" w:eastAsia="es-ES"/>
              </w:rPr>
              <w:t>Indicador</w:t>
            </w:r>
          </w:p>
        </w:tc>
        <w:tc>
          <w:tcPr>
            <w:tcW w:w="155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DE10DFB" w14:textId="77777777" w:rsidR="007116B2" w:rsidRPr="007E69D8" w:rsidRDefault="007116B2" w:rsidP="00454CB5">
            <w:pPr>
              <w:spacing w:after="0" w:line="240" w:lineRule="auto"/>
              <w:jc w:val="center"/>
              <w:rPr>
                <w:rFonts w:ascii="Arial" w:eastAsia="Times New Roman" w:hAnsi="Arial" w:cs="Arial"/>
                <w:b/>
                <w:color w:val="000000"/>
                <w:sz w:val="20"/>
                <w:szCs w:val="18"/>
                <w:lang w:val="es-ES_tradnl" w:eastAsia="es-ES"/>
              </w:rPr>
            </w:pPr>
            <w:r w:rsidRPr="007E69D8">
              <w:rPr>
                <w:rFonts w:ascii="Arial" w:eastAsia="Times New Roman" w:hAnsi="Arial" w:cs="Arial"/>
                <w:b/>
                <w:color w:val="000000"/>
                <w:sz w:val="20"/>
                <w:szCs w:val="18"/>
                <w:lang w:val="es-ES_tradnl" w:eastAsia="es-ES"/>
              </w:rPr>
              <w:t>Unidad de Medida</w:t>
            </w:r>
          </w:p>
        </w:tc>
        <w:tc>
          <w:tcPr>
            <w:tcW w:w="154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DE2585F" w14:textId="77777777" w:rsidR="007116B2" w:rsidRPr="007E69D8" w:rsidRDefault="007116B2" w:rsidP="00454CB5">
            <w:pPr>
              <w:spacing w:after="0" w:line="240" w:lineRule="auto"/>
              <w:jc w:val="center"/>
              <w:rPr>
                <w:rFonts w:ascii="Arial" w:eastAsia="Times New Roman" w:hAnsi="Arial" w:cs="Arial"/>
                <w:b/>
                <w:color w:val="000000"/>
                <w:sz w:val="20"/>
                <w:szCs w:val="18"/>
                <w:lang w:val="es-ES_tradnl" w:eastAsia="es-ES"/>
              </w:rPr>
            </w:pPr>
            <w:r w:rsidRPr="007E69D8">
              <w:rPr>
                <w:rFonts w:ascii="Arial" w:eastAsia="Times New Roman" w:hAnsi="Arial" w:cs="Arial"/>
                <w:b/>
                <w:color w:val="000000"/>
                <w:sz w:val="20"/>
                <w:szCs w:val="18"/>
                <w:lang w:val="es-ES_tradnl" w:eastAsia="es-ES"/>
              </w:rPr>
              <w:t>Medio de Verificación</w:t>
            </w:r>
          </w:p>
        </w:tc>
        <w:tc>
          <w:tcPr>
            <w:tcW w:w="362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F651240" w14:textId="77777777" w:rsidR="007116B2" w:rsidRPr="007E69D8" w:rsidRDefault="007116B2" w:rsidP="00454CB5">
            <w:pPr>
              <w:spacing w:after="0" w:line="240" w:lineRule="auto"/>
              <w:jc w:val="center"/>
              <w:rPr>
                <w:rFonts w:ascii="Arial" w:eastAsia="Times New Roman" w:hAnsi="Arial" w:cs="Arial"/>
                <w:b/>
                <w:color w:val="000000"/>
                <w:sz w:val="20"/>
                <w:szCs w:val="18"/>
                <w:lang w:val="es-ES_tradnl" w:eastAsia="es-ES"/>
              </w:rPr>
            </w:pPr>
            <w:r w:rsidRPr="007E69D8">
              <w:rPr>
                <w:rFonts w:ascii="Arial" w:eastAsia="Times New Roman" w:hAnsi="Arial" w:cs="Arial"/>
                <w:b/>
                <w:color w:val="000000"/>
                <w:sz w:val="20"/>
                <w:szCs w:val="18"/>
                <w:lang w:val="es-ES_tradnl" w:eastAsia="es-ES"/>
              </w:rPr>
              <w:t>Comentarios</w:t>
            </w:r>
          </w:p>
        </w:tc>
      </w:tr>
      <w:tr w:rsidR="00F27BCF" w:rsidRPr="007E69D8" w14:paraId="51E8AB41" w14:textId="77777777" w:rsidTr="00D31FFA">
        <w:trPr>
          <w:trHeight w:val="320"/>
          <w:jc w:val="center"/>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74D60773" w14:textId="063C247C" w:rsidR="00F27BCF" w:rsidRPr="007E69D8" w:rsidRDefault="00F27BCF" w:rsidP="00583FF5">
            <w:pPr>
              <w:spacing w:after="0" w:line="240" w:lineRule="auto"/>
              <w:jc w:val="center"/>
              <w:rPr>
                <w:rFonts w:ascii="Arial" w:eastAsia="Times New Roman" w:hAnsi="Arial" w:cs="Arial"/>
                <w:b/>
                <w:bCs/>
                <w:color w:val="000000"/>
                <w:sz w:val="18"/>
                <w:szCs w:val="18"/>
                <w:lang w:val="es-ES_tradnl" w:eastAsia="es-ES"/>
              </w:rPr>
            </w:pPr>
            <w:r w:rsidRPr="007E69D8">
              <w:rPr>
                <w:rFonts w:ascii="Arial" w:eastAsia="Times New Roman" w:hAnsi="Arial" w:cs="Arial"/>
                <w:b/>
                <w:bCs/>
                <w:color w:val="000000"/>
                <w:sz w:val="18"/>
                <w:szCs w:val="18"/>
                <w:lang w:val="es-ES_tradnl" w:eastAsia="es-ES"/>
              </w:rPr>
              <w:t>Indicadores de Impacto</w:t>
            </w:r>
          </w:p>
        </w:tc>
      </w:tr>
      <w:tr w:rsidR="00F27BCF" w:rsidRPr="00754A0C" w14:paraId="7B02EB45"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5FECCC7" w14:textId="2B2C8088" w:rsidR="00F27BCF" w:rsidRPr="007E69D8" w:rsidRDefault="00F27BCF" w:rsidP="00583FF5">
            <w:pPr>
              <w:spacing w:after="0" w:line="240" w:lineRule="auto"/>
              <w:jc w:val="both"/>
              <w:rPr>
                <w:rFonts w:ascii="Arial" w:eastAsia="Times New Roman" w:hAnsi="Arial" w:cs="Arial"/>
                <w:b/>
                <w:bCs/>
                <w:color w:val="000000"/>
                <w:sz w:val="18"/>
                <w:szCs w:val="18"/>
                <w:u w:val="single"/>
                <w:lang w:val="es-ES_tradnl" w:eastAsia="es-ES"/>
              </w:rPr>
            </w:pPr>
            <w:r w:rsidRPr="007E69D8">
              <w:rPr>
                <w:rFonts w:ascii="Arial" w:eastAsia="Times New Roman" w:hAnsi="Arial" w:cs="Arial"/>
                <w:b/>
                <w:bCs/>
                <w:color w:val="000000"/>
                <w:sz w:val="18"/>
                <w:szCs w:val="18"/>
                <w:u w:val="single"/>
                <w:lang w:val="es-ES_tradnl" w:eastAsia="es-ES"/>
              </w:rPr>
              <w:t xml:space="preserve">Objetivo general: Apoyar la sostenibilidad frente a la crisis del covid-19 de las </w:t>
            </w:r>
            <w:r w:rsidR="002D1E3A" w:rsidRPr="007E69D8">
              <w:rPr>
                <w:rFonts w:ascii="Arial" w:eastAsia="Times New Roman" w:hAnsi="Arial" w:cs="Arial"/>
                <w:b/>
                <w:bCs/>
                <w:color w:val="000000"/>
                <w:sz w:val="18"/>
                <w:szCs w:val="18"/>
                <w:u w:val="single"/>
                <w:lang w:val="es-ES_tradnl" w:eastAsia="es-ES"/>
              </w:rPr>
              <w:t>MIPE</w:t>
            </w:r>
            <w:r w:rsidRPr="007E69D8">
              <w:rPr>
                <w:rFonts w:ascii="Arial" w:eastAsia="Times New Roman" w:hAnsi="Arial" w:cs="Arial"/>
                <w:b/>
                <w:bCs/>
                <w:color w:val="000000"/>
                <w:sz w:val="18"/>
                <w:szCs w:val="18"/>
                <w:u w:val="single"/>
                <w:lang w:val="es-ES_tradnl" w:eastAsia="es-ES"/>
              </w:rPr>
              <w:t xml:space="preserve">  </w:t>
            </w:r>
          </w:p>
        </w:tc>
      </w:tr>
      <w:tr w:rsidR="003D0547" w:rsidRPr="00754A0C" w14:paraId="07258B26" w14:textId="77777777" w:rsidTr="00917CE0">
        <w:trPr>
          <w:trHeight w:val="1320"/>
          <w:jc w:val="center"/>
        </w:trPr>
        <w:tc>
          <w:tcPr>
            <w:tcW w:w="2094" w:type="dxa"/>
            <w:tcBorders>
              <w:top w:val="single" w:sz="8" w:space="0" w:color="000000"/>
              <w:left w:val="single" w:sz="8" w:space="0" w:color="000000"/>
              <w:bottom w:val="nil"/>
              <w:right w:val="single" w:sz="8" w:space="0" w:color="000000"/>
            </w:tcBorders>
            <w:shd w:val="clear" w:color="auto" w:fill="auto"/>
            <w:hideMark/>
          </w:tcPr>
          <w:p w14:paraId="3356591B" w14:textId="695ECE76" w:rsidR="003D0547" w:rsidRPr="007E69D8" w:rsidRDefault="003D0547" w:rsidP="003D0547">
            <w:pPr>
              <w:spacing w:after="0" w:line="240" w:lineRule="auto"/>
              <w:rPr>
                <w:rFonts w:ascii="Arial" w:eastAsia="Times New Roman" w:hAnsi="Arial" w:cs="Arial"/>
                <w:b/>
                <w:bCs/>
                <w:color w:val="000000"/>
                <w:sz w:val="18"/>
                <w:szCs w:val="18"/>
                <w:lang w:val="es-ES_tradnl" w:eastAsia="es-ES"/>
              </w:rPr>
            </w:pPr>
            <w:r w:rsidRPr="007E69D8">
              <w:rPr>
                <w:rFonts w:ascii="Arial" w:hAnsi="Arial" w:cs="Arial"/>
                <w:sz w:val="18"/>
                <w:szCs w:val="18"/>
                <w:lang w:val="es-ES_tradnl"/>
              </w:rPr>
              <w:t>Porcentaje del empleo en micro y pequeñas empresas sobre el total de empleo en el país</w:t>
            </w:r>
          </w:p>
        </w:tc>
        <w:tc>
          <w:tcPr>
            <w:tcW w:w="1552" w:type="dxa"/>
            <w:tcBorders>
              <w:top w:val="single" w:sz="8" w:space="0" w:color="000000"/>
              <w:left w:val="nil"/>
              <w:bottom w:val="nil"/>
              <w:right w:val="single" w:sz="8" w:space="0" w:color="000000"/>
            </w:tcBorders>
            <w:shd w:val="clear" w:color="auto" w:fill="auto"/>
            <w:hideMark/>
          </w:tcPr>
          <w:p w14:paraId="12A532A2" w14:textId="0050FE21" w:rsidR="003D0547" w:rsidRPr="007E69D8" w:rsidRDefault="003D0547" w:rsidP="003D0547">
            <w:pPr>
              <w:spacing w:after="0" w:line="240" w:lineRule="auto"/>
              <w:jc w:val="center"/>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w:t>
            </w:r>
          </w:p>
        </w:tc>
        <w:tc>
          <w:tcPr>
            <w:tcW w:w="1542" w:type="dxa"/>
            <w:tcBorders>
              <w:top w:val="single" w:sz="8" w:space="0" w:color="000000"/>
              <w:left w:val="nil"/>
              <w:bottom w:val="nil"/>
              <w:right w:val="single" w:sz="8" w:space="0" w:color="000000"/>
            </w:tcBorders>
            <w:shd w:val="clear" w:color="auto" w:fill="auto"/>
            <w:hideMark/>
          </w:tcPr>
          <w:p w14:paraId="669431D0" w14:textId="25DA87D3" w:rsidR="003D0547" w:rsidRPr="007E69D8" w:rsidRDefault="003D0547" w:rsidP="003D0547">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INEC: Directorio de Empresas y Establecimientos</w:t>
            </w:r>
          </w:p>
        </w:tc>
        <w:tc>
          <w:tcPr>
            <w:tcW w:w="3625" w:type="dxa"/>
            <w:tcBorders>
              <w:top w:val="single" w:sz="8" w:space="0" w:color="000000"/>
              <w:left w:val="nil"/>
              <w:bottom w:val="nil"/>
              <w:right w:val="single" w:sz="8" w:space="0" w:color="000000"/>
            </w:tcBorders>
            <w:shd w:val="clear" w:color="auto" w:fill="auto"/>
            <w:hideMark/>
          </w:tcPr>
          <w:p w14:paraId="4176BADA" w14:textId="77777777" w:rsidR="003D0547" w:rsidRPr="007E69D8" w:rsidRDefault="003D0547" w:rsidP="00917CE0">
            <w:pPr>
              <w:spacing w:after="0" w:line="240" w:lineRule="auto"/>
              <w:rPr>
                <w:rFonts w:ascii="Arial" w:hAnsi="Arial" w:cs="Arial"/>
                <w:sz w:val="18"/>
                <w:szCs w:val="18"/>
                <w:lang w:val="es-ES_tradnl"/>
              </w:rPr>
            </w:pPr>
            <w:r w:rsidRPr="007E69D8">
              <w:rPr>
                <w:rFonts w:ascii="Arial" w:hAnsi="Arial" w:cs="Arial"/>
                <w:sz w:val="18"/>
                <w:szCs w:val="18"/>
                <w:lang w:val="es-ES_tradnl"/>
              </w:rPr>
              <w:t>Es de esperar que el programa contribuya a mantener la participación del sector de micro y pequeñas empresas sobre el total de trabajadores del país</w:t>
            </w:r>
            <w:r w:rsidR="001D0318" w:rsidRPr="007E69D8">
              <w:rPr>
                <w:rFonts w:ascii="Arial" w:hAnsi="Arial" w:cs="Arial"/>
                <w:sz w:val="18"/>
                <w:szCs w:val="18"/>
                <w:lang w:val="es-ES_tradnl"/>
              </w:rPr>
              <w:t xml:space="preserve"> al contribuir a la preservación del empleo en las MIPE beneficiadas</w:t>
            </w:r>
            <w:r w:rsidRPr="007E69D8">
              <w:rPr>
                <w:rFonts w:ascii="Arial" w:hAnsi="Arial" w:cs="Arial"/>
                <w:sz w:val="18"/>
                <w:szCs w:val="18"/>
                <w:lang w:val="es-ES_tradnl"/>
              </w:rPr>
              <w:t>. La línea de base corresponde a la última medición del Directorio de Empresas y Establecimientos publicado en 2019 con datos del 2018.</w:t>
            </w:r>
            <w:r w:rsidR="008575E8" w:rsidRPr="007E69D8">
              <w:rPr>
                <w:rFonts w:ascii="Arial" w:hAnsi="Arial" w:cs="Arial"/>
                <w:sz w:val="18"/>
                <w:szCs w:val="18"/>
                <w:lang w:val="es-ES_tradnl"/>
              </w:rPr>
              <w:t xml:space="preserve"> </w:t>
            </w:r>
            <w:r w:rsidR="00735E18" w:rsidRPr="007E69D8">
              <w:rPr>
                <w:rFonts w:ascii="Arial" w:hAnsi="Arial" w:cs="Arial"/>
                <w:sz w:val="18"/>
                <w:szCs w:val="18"/>
                <w:lang w:val="es-ES_tradnl"/>
              </w:rPr>
              <w:t>De aquí se observa que las microempresas representan el 24.6% y las pequeñas empresas el 18.63%. La suma de ambos porcentajes da la línea de base de este indicador.</w:t>
            </w:r>
          </w:p>
          <w:p w14:paraId="1169543A" w14:textId="77777777" w:rsidR="001D0318" w:rsidRPr="007E69D8" w:rsidRDefault="001D0318" w:rsidP="00917CE0">
            <w:pPr>
              <w:spacing w:after="0" w:line="240" w:lineRule="auto"/>
              <w:rPr>
                <w:rFonts w:ascii="Arial" w:hAnsi="Arial" w:cs="Arial"/>
                <w:color w:val="000000"/>
                <w:sz w:val="18"/>
                <w:szCs w:val="18"/>
                <w:lang w:val="es-ES_tradnl"/>
              </w:rPr>
            </w:pPr>
          </w:p>
          <w:p w14:paraId="5E47E4E8" w14:textId="59A18244" w:rsidR="001D0318" w:rsidRPr="007E69D8" w:rsidRDefault="004975BF" w:rsidP="00917CE0">
            <w:pPr>
              <w:spacing w:after="0" w:line="240" w:lineRule="auto"/>
              <w:rPr>
                <w:rFonts w:ascii="Arial" w:eastAsia="Times New Roman" w:hAnsi="Arial" w:cs="Arial"/>
                <w:color w:val="000000"/>
                <w:sz w:val="18"/>
                <w:szCs w:val="18"/>
                <w:lang w:val="es-ES_tradnl" w:eastAsia="es-ES"/>
              </w:rPr>
            </w:pPr>
            <w:r w:rsidRPr="007E69D8">
              <w:rPr>
                <w:rFonts w:ascii="Arial" w:hAnsi="Arial" w:cs="Arial"/>
                <w:b/>
                <w:bCs/>
                <w:color w:val="000000"/>
                <w:sz w:val="18"/>
                <w:szCs w:val="18"/>
                <w:lang w:val="es-ES_tradnl"/>
              </w:rPr>
              <w:t>Hito:</w:t>
            </w:r>
            <w:r w:rsidRPr="007E69D8">
              <w:rPr>
                <w:rFonts w:ascii="Arial" w:hAnsi="Arial" w:cs="Arial"/>
                <w:b/>
                <w:bCs/>
                <w:i/>
                <w:iCs/>
                <w:color w:val="000000"/>
                <w:sz w:val="18"/>
                <w:szCs w:val="18"/>
                <w:lang w:val="es-ES_tradnl"/>
              </w:rPr>
              <w:t xml:space="preserve"> </w:t>
            </w:r>
            <w:r w:rsidRPr="007E69D8">
              <w:rPr>
                <w:rFonts w:ascii="Arial" w:hAnsi="Arial" w:cs="Arial"/>
                <w:i/>
                <w:iCs/>
                <w:color w:val="000000"/>
                <w:sz w:val="18"/>
                <w:szCs w:val="18"/>
                <w:lang w:val="es-ES_tradnl"/>
              </w:rPr>
              <w:t>Durante la ejecución del programa se hará seguimiento a la distribución sectorial de los beneficiarios.</w:t>
            </w:r>
          </w:p>
        </w:tc>
      </w:tr>
      <w:tr w:rsidR="007116B2" w:rsidRPr="007E69D8" w14:paraId="6E0B1DE6" w14:textId="77777777" w:rsidTr="00D31FFA">
        <w:trPr>
          <w:trHeight w:val="320"/>
          <w:jc w:val="center"/>
        </w:trPr>
        <w:tc>
          <w:tcPr>
            <w:tcW w:w="8813"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0538C5DB" w14:textId="77777777" w:rsidR="007116B2" w:rsidRPr="007E69D8" w:rsidRDefault="007116B2" w:rsidP="00454CB5">
            <w:pPr>
              <w:spacing w:after="0" w:line="240" w:lineRule="auto"/>
              <w:jc w:val="center"/>
              <w:rPr>
                <w:rFonts w:ascii="Arial" w:eastAsia="Times New Roman" w:hAnsi="Arial" w:cs="Arial"/>
                <w:b/>
                <w:bCs/>
                <w:color w:val="000000"/>
                <w:sz w:val="18"/>
                <w:szCs w:val="18"/>
                <w:lang w:val="es-ES_tradnl" w:eastAsia="es-ES"/>
              </w:rPr>
            </w:pPr>
            <w:r w:rsidRPr="007E69D8">
              <w:rPr>
                <w:rFonts w:ascii="Arial" w:eastAsia="Times New Roman" w:hAnsi="Arial" w:cs="Arial"/>
                <w:b/>
                <w:bCs/>
                <w:color w:val="000000"/>
                <w:sz w:val="18"/>
                <w:szCs w:val="18"/>
                <w:lang w:val="es-ES_tradnl" w:eastAsia="es-ES"/>
              </w:rPr>
              <w:t>Indicadores de Resultado</w:t>
            </w:r>
          </w:p>
        </w:tc>
      </w:tr>
      <w:tr w:rsidR="007116B2" w:rsidRPr="00754A0C" w14:paraId="4465ED89"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B86FB5D" w14:textId="654B9BD9" w:rsidR="007116B2" w:rsidRPr="007E69D8" w:rsidRDefault="0072599C" w:rsidP="00454CB5">
            <w:pPr>
              <w:spacing w:after="0" w:line="240" w:lineRule="auto"/>
              <w:jc w:val="both"/>
              <w:rPr>
                <w:rFonts w:ascii="Arial" w:eastAsia="Times New Roman" w:hAnsi="Arial" w:cs="Arial"/>
                <w:b/>
                <w:bCs/>
                <w:color w:val="000000"/>
                <w:sz w:val="18"/>
                <w:szCs w:val="18"/>
                <w:u w:val="single"/>
                <w:lang w:val="es-ES_tradnl" w:eastAsia="es-ES"/>
              </w:rPr>
            </w:pPr>
            <w:r w:rsidRPr="007E69D8">
              <w:rPr>
                <w:rFonts w:ascii="Arial" w:eastAsia="Times New Roman" w:hAnsi="Arial" w:cs="Arial"/>
                <w:b/>
                <w:bCs/>
                <w:color w:val="000000"/>
                <w:sz w:val="18"/>
                <w:szCs w:val="18"/>
                <w:u w:val="single"/>
                <w:lang w:val="es-ES_tradnl" w:eastAsia="es-ES"/>
              </w:rPr>
              <w:t>Objetivo específico 1</w:t>
            </w:r>
            <w:r w:rsidR="007116B2" w:rsidRPr="007E69D8">
              <w:rPr>
                <w:rFonts w:ascii="Arial" w:eastAsia="Times New Roman" w:hAnsi="Arial" w:cs="Arial"/>
                <w:b/>
                <w:bCs/>
                <w:color w:val="000000"/>
                <w:sz w:val="18"/>
                <w:szCs w:val="18"/>
                <w:u w:val="single"/>
                <w:lang w:val="es-ES_tradnl" w:eastAsia="es-ES"/>
              </w:rPr>
              <w:t>: A</w:t>
            </w:r>
            <w:r w:rsidRPr="007E69D8">
              <w:rPr>
                <w:rFonts w:ascii="Arial" w:eastAsia="Times New Roman" w:hAnsi="Arial" w:cs="Arial"/>
                <w:b/>
                <w:bCs/>
                <w:color w:val="000000"/>
                <w:sz w:val="18"/>
                <w:szCs w:val="18"/>
                <w:u w:val="single"/>
                <w:lang w:val="es-ES_tradnl" w:eastAsia="es-ES"/>
              </w:rPr>
              <w:t xml:space="preserve">poyar la sostenibilidad financiera de corto plazo de las </w:t>
            </w:r>
            <w:r w:rsidR="002D1E3A" w:rsidRPr="007E69D8">
              <w:rPr>
                <w:rFonts w:ascii="Arial" w:eastAsia="Times New Roman" w:hAnsi="Arial" w:cs="Arial"/>
                <w:b/>
                <w:bCs/>
                <w:color w:val="000000"/>
                <w:sz w:val="18"/>
                <w:szCs w:val="18"/>
                <w:u w:val="single"/>
                <w:lang w:val="es-ES_tradnl" w:eastAsia="es-ES"/>
              </w:rPr>
              <w:t>MIPE</w:t>
            </w:r>
            <w:r w:rsidR="007116B2" w:rsidRPr="007E69D8">
              <w:rPr>
                <w:rFonts w:ascii="Arial" w:eastAsia="Times New Roman" w:hAnsi="Arial" w:cs="Arial"/>
                <w:b/>
                <w:bCs/>
                <w:color w:val="000000"/>
                <w:sz w:val="18"/>
                <w:szCs w:val="18"/>
                <w:u w:val="single"/>
                <w:lang w:val="es-ES_tradnl" w:eastAsia="es-ES"/>
              </w:rPr>
              <w:t xml:space="preserve"> </w:t>
            </w:r>
          </w:p>
        </w:tc>
      </w:tr>
      <w:tr w:rsidR="00670063" w:rsidRPr="00754A0C" w14:paraId="53F9F2FA" w14:textId="77777777" w:rsidTr="00917CE0">
        <w:trPr>
          <w:trHeight w:val="1760"/>
          <w:jc w:val="center"/>
        </w:trPr>
        <w:tc>
          <w:tcPr>
            <w:tcW w:w="2094" w:type="dxa"/>
            <w:tcBorders>
              <w:top w:val="nil"/>
              <w:left w:val="single" w:sz="8" w:space="0" w:color="000000"/>
              <w:bottom w:val="single" w:sz="8" w:space="0" w:color="000000"/>
              <w:right w:val="single" w:sz="8" w:space="0" w:color="000000"/>
            </w:tcBorders>
            <w:shd w:val="clear" w:color="auto" w:fill="auto"/>
          </w:tcPr>
          <w:p w14:paraId="155676F1" w14:textId="20A6C7C0" w:rsidR="00670063" w:rsidRPr="007E69D8" w:rsidRDefault="00670063" w:rsidP="00670063">
            <w:pPr>
              <w:spacing w:after="0" w:line="240" w:lineRule="auto"/>
              <w:rPr>
                <w:rFonts w:ascii="Arial" w:eastAsia="Times New Roman" w:hAnsi="Arial" w:cs="Arial"/>
                <w:b/>
                <w:bCs/>
                <w:color w:val="000000"/>
                <w:sz w:val="18"/>
                <w:szCs w:val="18"/>
                <w:lang w:val="es-ES_tradnl" w:eastAsia="es-ES"/>
              </w:rPr>
            </w:pPr>
            <w:r w:rsidRPr="007E69D8">
              <w:rPr>
                <w:rFonts w:ascii="Arial" w:hAnsi="Arial" w:cs="Arial"/>
                <w:b/>
                <w:bCs/>
                <w:sz w:val="18"/>
                <w:szCs w:val="18"/>
                <w:lang w:val="es-ES_tradnl"/>
              </w:rPr>
              <w:t xml:space="preserve">Indicador 1. </w:t>
            </w:r>
            <w:r w:rsidRPr="007E69D8">
              <w:rPr>
                <w:rFonts w:ascii="Arial" w:hAnsi="Arial" w:cs="Arial"/>
                <w:sz w:val="18"/>
                <w:szCs w:val="18"/>
                <w:lang w:val="es-ES_tradnl"/>
              </w:rPr>
              <w:t xml:space="preserve">Tasa de mora relativa, a los 6 meses de comenzar el programa, en la cartera relevante de financiamiento o garantía de capital de trabajo frente a la tasa de mora de la banca </w:t>
            </w:r>
            <w:r w:rsidR="00AB2006" w:rsidRPr="007E69D8">
              <w:rPr>
                <w:rFonts w:ascii="Arial" w:hAnsi="Arial" w:cs="Arial"/>
                <w:sz w:val="18"/>
                <w:szCs w:val="18"/>
                <w:lang w:val="es-ES_tradnl"/>
              </w:rPr>
              <w:t>pública</w:t>
            </w:r>
            <w:r w:rsidRPr="007E69D8">
              <w:rPr>
                <w:rFonts w:ascii="Arial" w:hAnsi="Arial" w:cs="Arial"/>
                <w:sz w:val="18"/>
                <w:szCs w:val="18"/>
                <w:lang w:val="es-ES_tradnl"/>
              </w:rPr>
              <w:t>.</w:t>
            </w:r>
          </w:p>
        </w:tc>
        <w:tc>
          <w:tcPr>
            <w:tcW w:w="1552" w:type="dxa"/>
            <w:tcBorders>
              <w:top w:val="nil"/>
              <w:left w:val="nil"/>
              <w:bottom w:val="single" w:sz="8" w:space="0" w:color="000000"/>
              <w:right w:val="single" w:sz="8" w:space="0" w:color="000000"/>
            </w:tcBorders>
            <w:shd w:val="clear" w:color="auto" w:fill="auto"/>
          </w:tcPr>
          <w:p w14:paraId="311DAAAF" w14:textId="10E7496C" w:rsidR="00670063" w:rsidRPr="007E69D8" w:rsidRDefault="00670063" w:rsidP="00670063">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w:t>
            </w:r>
          </w:p>
        </w:tc>
        <w:tc>
          <w:tcPr>
            <w:tcW w:w="1542" w:type="dxa"/>
            <w:tcBorders>
              <w:top w:val="nil"/>
              <w:left w:val="nil"/>
              <w:bottom w:val="single" w:sz="8" w:space="0" w:color="000000"/>
              <w:right w:val="single" w:sz="8" w:space="0" w:color="000000"/>
            </w:tcBorders>
            <w:shd w:val="clear" w:color="auto" w:fill="auto"/>
          </w:tcPr>
          <w:p w14:paraId="5A29B8B7" w14:textId="7AB85E22" w:rsidR="00670063" w:rsidRPr="007E69D8" w:rsidRDefault="00670063" w:rsidP="00670063">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del programa recolectada por CONAFIPS y Superintendencia de Bancos</w:t>
            </w:r>
          </w:p>
        </w:tc>
        <w:tc>
          <w:tcPr>
            <w:tcW w:w="3625" w:type="dxa"/>
            <w:tcBorders>
              <w:top w:val="nil"/>
              <w:left w:val="nil"/>
              <w:bottom w:val="single" w:sz="8" w:space="0" w:color="000000"/>
              <w:right w:val="single" w:sz="8" w:space="0" w:color="000000"/>
            </w:tcBorders>
            <w:shd w:val="clear" w:color="auto" w:fill="auto"/>
          </w:tcPr>
          <w:p w14:paraId="778C2D41" w14:textId="77777777" w:rsidR="00670063" w:rsidRPr="007E69D8" w:rsidRDefault="00670063" w:rsidP="00917CE0">
            <w:pPr>
              <w:spacing w:before="20" w:after="120" w:line="240" w:lineRule="auto"/>
              <w:rPr>
                <w:rFonts w:ascii="Arial" w:hAnsi="Arial" w:cs="Arial"/>
                <w:sz w:val="18"/>
                <w:szCs w:val="18"/>
                <w:lang w:val="es-ES_tradnl"/>
              </w:rPr>
            </w:pPr>
            <w:r w:rsidRPr="007E69D8">
              <w:rPr>
                <w:rFonts w:ascii="Arial" w:hAnsi="Arial" w:cs="Arial"/>
                <w:sz w:val="18"/>
                <w:szCs w:val="18"/>
                <w:lang w:val="es-ES_tradnl"/>
              </w:rPr>
              <w:t>Este indicador se calcula dividiendo la tasa de mora de la cartera de microcrédito de las cooperativas beneficiadas sobre la tasa de mora de la cartera de microcrédito de la banca pública. La meta final se calculará promediando la tasa de mora de las cooperativas, 6 meses después de recibir fondos del programa, y dividiendo sobre la tasa de mora de la banca pública en ese momento.</w:t>
            </w:r>
          </w:p>
          <w:p w14:paraId="57B11AB6" w14:textId="29A189D3" w:rsidR="00670063" w:rsidRPr="007E69D8" w:rsidRDefault="001D0318" w:rsidP="00917CE0">
            <w:pPr>
              <w:spacing w:before="20" w:after="120" w:line="240" w:lineRule="auto"/>
              <w:rPr>
                <w:rFonts w:ascii="Arial" w:hAnsi="Arial" w:cs="Arial"/>
                <w:sz w:val="18"/>
                <w:szCs w:val="18"/>
                <w:lang w:val="es-ES_tradnl"/>
              </w:rPr>
            </w:pPr>
            <w:r w:rsidRPr="007E69D8">
              <w:rPr>
                <w:rFonts w:ascii="Arial" w:hAnsi="Arial" w:cs="Arial"/>
                <w:sz w:val="18"/>
                <w:szCs w:val="18"/>
                <w:lang w:val="es-ES_tradnl"/>
              </w:rPr>
              <w:t>Proyecciones más recientes estiman que el PIB ecuatoriano se contraerá entre 2,7% y 6.5% en 2020</w:t>
            </w:r>
            <w:r w:rsidRPr="007E69D8">
              <w:rPr>
                <w:rStyle w:val="FootnoteReference"/>
                <w:rFonts w:ascii="Arial" w:hAnsi="Arial" w:cs="Arial"/>
                <w:sz w:val="18"/>
                <w:szCs w:val="18"/>
                <w:lang w:val="es-ES_tradnl"/>
              </w:rPr>
              <w:footnoteReference w:id="15"/>
            </w:r>
            <w:r w:rsidRPr="007E69D8">
              <w:rPr>
                <w:rFonts w:ascii="Arial" w:hAnsi="Arial" w:cs="Arial"/>
                <w:sz w:val="18"/>
                <w:szCs w:val="18"/>
                <w:lang w:val="es-ES_tradnl"/>
              </w:rPr>
              <w:t xml:space="preserve"> como consecuencia de la crisis. En base a experiencias previas en países de Sudamérica de efectos de crisis financieras y económicas en las cuales hubo un impacto negativo sobre la demanda interna y, por tanto, sobre los ingresos de los micro y pequeños empresarios</w:t>
            </w:r>
            <w:r w:rsidRPr="007E69D8">
              <w:rPr>
                <w:rStyle w:val="FootnoteReference"/>
                <w:rFonts w:ascii="Arial" w:hAnsi="Arial" w:cs="Arial"/>
                <w:sz w:val="18"/>
                <w:szCs w:val="18"/>
                <w:lang w:val="es-ES_tradnl"/>
              </w:rPr>
              <w:footnoteReference w:id="16"/>
            </w:r>
            <w:r w:rsidRPr="007E69D8">
              <w:rPr>
                <w:rFonts w:ascii="Arial" w:hAnsi="Arial" w:cs="Arial"/>
                <w:sz w:val="18"/>
                <w:szCs w:val="18"/>
                <w:lang w:val="es-ES_tradnl"/>
              </w:rPr>
              <w:t>. Es de esperar, por tanto, que la presente crisis del COVID-19 impacte negativamente la morosidad</w:t>
            </w:r>
            <w:r w:rsidR="00670063" w:rsidRPr="007E69D8">
              <w:rPr>
                <w:rFonts w:ascii="Arial" w:hAnsi="Arial" w:cs="Arial"/>
                <w:sz w:val="18"/>
                <w:szCs w:val="18"/>
                <w:lang w:val="es-ES_tradnl"/>
              </w:rPr>
              <w:t xml:space="preserve"> </w:t>
            </w:r>
            <w:r w:rsidRPr="007E69D8">
              <w:rPr>
                <w:rFonts w:ascii="Arial" w:hAnsi="Arial" w:cs="Arial"/>
                <w:sz w:val="18"/>
                <w:szCs w:val="18"/>
                <w:lang w:val="es-ES_tradnl"/>
              </w:rPr>
              <w:t xml:space="preserve">las MIPE. Dado que no se espera distinciones particulares entre MIPE beneficiadas por CONAFIPS y aquellas beneficiadas por la banca pública, se espera que </w:t>
            </w:r>
            <w:r w:rsidR="007E69D8" w:rsidRPr="007E69D8">
              <w:rPr>
                <w:rFonts w:ascii="Arial" w:hAnsi="Arial" w:cs="Arial"/>
                <w:sz w:val="18"/>
                <w:szCs w:val="18"/>
                <w:lang w:val="es-ES_tradnl"/>
              </w:rPr>
              <w:t>la ratio</w:t>
            </w:r>
            <w:r w:rsidRPr="007E69D8">
              <w:rPr>
                <w:rFonts w:ascii="Arial" w:hAnsi="Arial" w:cs="Arial"/>
                <w:sz w:val="18"/>
                <w:szCs w:val="18"/>
                <w:lang w:val="es-ES_tradnl"/>
              </w:rPr>
              <w:t xml:space="preserve"> de </w:t>
            </w:r>
            <w:r w:rsidRPr="007E69D8">
              <w:rPr>
                <w:rFonts w:ascii="Arial" w:hAnsi="Arial" w:cs="Arial"/>
                <w:sz w:val="18"/>
                <w:szCs w:val="18"/>
                <w:lang w:val="es-ES_tradnl"/>
              </w:rPr>
              <w:lastRenderedPageBreak/>
              <w:t>moras se mantenga igual durante la vida de la operación.</w:t>
            </w:r>
            <w:r w:rsidRPr="007E69D8" w:rsidDel="00D42E39">
              <w:rPr>
                <w:rFonts w:ascii="Arial" w:hAnsi="Arial" w:cs="Arial"/>
                <w:sz w:val="18"/>
                <w:szCs w:val="18"/>
                <w:lang w:val="es-ES_tradnl"/>
              </w:rPr>
              <w:t xml:space="preserve"> </w:t>
            </w:r>
            <w:r w:rsidRPr="007E69D8">
              <w:rPr>
                <w:rFonts w:ascii="Arial" w:hAnsi="Arial" w:cs="Arial"/>
                <w:sz w:val="18"/>
                <w:szCs w:val="18"/>
                <w:lang w:val="es-ES_tradnl"/>
              </w:rPr>
              <w:t xml:space="preserve">No obstante, vale resaltar que un escenario optimista consistiría en una reducción de </w:t>
            </w:r>
            <w:r w:rsidR="007E69D8" w:rsidRPr="007E69D8">
              <w:rPr>
                <w:rFonts w:ascii="Arial" w:hAnsi="Arial" w:cs="Arial"/>
                <w:sz w:val="18"/>
                <w:szCs w:val="18"/>
                <w:lang w:val="es-ES_tradnl"/>
              </w:rPr>
              <w:t>esta ratio</w:t>
            </w:r>
            <w:r w:rsidRPr="007E69D8">
              <w:rPr>
                <w:rFonts w:ascii="Arial" w:hAnsi="Arial" w:cs="Arial"/>
                <w:sz w:val="18"/>
                <w:szCs w:val="18"/>
                <w:lang w:val="es-ES_tradnl"/>
              </w:rPr>
              <w:t xml:space="preserve"> a fines del programa.</w:t>
            </w:r>
          </w:p>
          <w:p w14:paraId="0DA026B7" w14:textId="5FAAB143" w:rsidR="00670063" w:rsidRPr="007E69D8" w:rsidRDefault="00735E18" w:rsidP="00917CE0">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 xml:space="preserve">La línea de base se calculó dividiendo la tasa de mora promedio de las carteras de microcrédito de las cooperativas en Ecuador, igual a 7.67% sobre la tasa de </w:t>
            </w:r>
            <w:r w:rsidR="00422862" w:rsidRPr="007E69D8">
              <w:rPr>
                <w:rFonts w:ascii="Arial" w:eastAsia="Times New Roman" w:hAnsi="Arial" w:cs="Arial"/>
                <w:color w:val="000000"/>
                <w:sz w:val="18"/>
                <w:szCs w:val="18"/>
                <w:lang w:val="es-ES_tradnl" w:eastAsia="es-ES"/>
              </w:rPr>
              <w:t>mora de la cartera de microcrédito de la banca pública, igual a 10.57% [Superintendencia de Bancos, información a febrero 2020]</w:t>
            </w:r>
            <w:r w:rsidR="00064E73" w:rsidRPr="007E69D8">
              <w:rPr>
                <w:rFonts w:ascii="Arial" w:eastAsia="Times New Roman" w:hAnsi="Arial" w:cs="Arial"/>
                <w:color w:val="000000"/>
                <w:sz w:val="18"/>
                <w:szCs w:val="18"/>
                <w:lang w:val="es-ES_tradnl" w:eastAsia="es-ES"/>
              </w:rPr>
              <w:t>.</w:t>
            </w:r>
          </w:p>
        </w:tc>
      </w:tr>
      <w:tr w:rsidR="00670063" w:rsidRPr="00754A0C" w14:paraId="6A3B5830" w14:textId="77777777" w:rsidTr="00917CE0">
        <w:trPr>
          <w:trHeight w:val="2100"/>
          <w:jc w:val="center"/>
        </w:trPr>
        <w:tc>
          <w:tcPr>
            <w:tcW w:w="2094" w:type="dxa"/>
            <w:tcBorders>
              <w:top w:val="single" w:sz="8" w:space="0" w:color="000000"/>
              <w:left w:val="single" w:sz="8" w:space="0" w:color="000000"/>
              <w:bottom w:val="nil"/>
              <w:right w:val="single" w:sz="8" w:space="0" w:color="000000"/>
            </w:tcBorders>
            <w:shd w:val="clear" w:color="auto" w:fill="auto"/>
          </w:tcPr>
          <w:p w14:paraId="12531766" w14:textId="212000AF" w:rsidR="00670063" w:rsidRPr="007E69D8" w:rsidRDefault="00670063" w:rsidP="00670063">
            <w:pPr>
              <w:spacing w:after="0" w:line="240" w:lineRule="auto"/>
              <w:rPr>
                <w:rFonts w:ascii="Arial" w:eastAsia="Times New Roman" w:hAnsi="Arial" w:cs="Arial"/>
                <w:b/>
                <w:bCs/>
                <w:color w:val="000000"/>
                <w:sz w:val="18"/>
                <w:szCs w:val="18"/>
                <w:lang w:val="es-ES_tradnl" w:eastAsia="es-ES"/>
              </w:rPr>
            </w:pPr>
            <w:r w:rsidRPr="007E69D8">
              <w:rPr>
                <w:rFonts w:ascii="Arial" w:hAnsi="Arial" w:cs="Arial"/>
                <w:b/>
                <w:bCs/>
                <w:sz w:val="18"/>
                <w:szCs w:val="18"/>
                <w:lang w:val="es-ES_tradnl"/>
              </w:rPr>
              <w:lastRenderedPageBreak/>
              <w:t xml:space="preserve">Indicador 2. </w:t>
            </w:r>
            <w:r w:rsidRPr="007E69D8">
              <w:rPr>
                <w:rFonts w:ascii="Arial" w:hAnsi="Arial" w:cs="Arial"/>
                <w:sz w:val="18"/>
                <w:szCs w:val="18"/>
                <w:lang w:val="es-ES_tradnl"/>
              </w:rPr>
              <w:t xml:space="preserve">Tasa de mora relativa, a los 12 meses de comenzar el programa, en la cartera relevante de financiamiento o garantía de capital de trabajo frente a la tasa de mora de la banca </w:t>
            </w:r>
            <w:r w:rsidR="00AB2006" w:rsidRPr="007E69D8">
              <w:rPr>
                <w:rFonts w:ascii="Arial" w:hAnsi="Arial" w:cs="Arial"/>
                <w:sz w:val="18"/>
                <w:szCs w:val="18"/>
                <w:lang w:val="es-ES_tradnl"/>
              </w:rPr>
              <w:t>pública</w:t>
            </w:r>
            <w:r w:rsidRPr="007E69D8">
              <w:rPr>
                <w:rFonts w:ascii="Arial" w:hAnsi="Arial" w:cs="Arial"/>
                <w:sz w:val="18"/>
                <w:szCs w:val="18"/>
                <w:lang w:val="es-ES_tradnl"/>
              </w:rPr>
              <w:t>.</w:t>
            </w:r>
          </w:p>
        </w:tc>
        <w:tc>
          <w:tcPr>
            <w:tcW w:w="1552" w:type="dxa"/>
            <w:tcBorders>
              <w:top w:val="single" w:sz="8" w:space="0" w:color="000000"/>
              <w:left w:val="nil"/>
              <w:bottom w:val="nil"/>
              <w:right w:val="single" w:sz="8" w:space="0" w:color="000000"/>
            </w:tcBorders>
            <w:shd w:val="clear" w:color="auto" w:fill="auto"/>
          </w:tcPr>
          <w:p w14:paraId="18B54E3E" w14:textId="3B429FB4" w:rsidR="00670063" w:rsidRPr="007E69D8" w:rsidRDefault="00670063" w:rsidP="00670063">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w:t>
            </w:r>
          </w:p>
        </w:tc>
        <w:tc>
          <w:tcPr>
            <w:tcW w:w="1542" w:type="dxa"/>
            <w:tcBorders>
              <w:top w:val="single" w:sz="8" w:space="0" w:color="000000"/>
              <w:left w:val="nil"/>
              <w:bottom w:val="nil"/>
              <w:right w:val="single" w:sz="8" w:space="0" w:color="000000"/>
            </w:tcBorders>
            <w:shd w:val="clear" w:color="auto" w:fill="auto"/>
          </w:tcPr>
          <w:p w14:paraId="7E875E1C" w14:textId="3789E0A5" w:rsidR="00670063" w:rsidRPr="007E69D8" w:rsidRDefault="00670063" w:rsidP="00670063">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del programa recolectada por CONAFIPS y Superintendencia de Bancos</w:t>
            </w:r>
          </w:p>
        </w:tc>
        <w:tc>
          <w:tcPr>
            <w:tcW w:w="3625" w:type="dxa"/>
            <w:tcBorders>
              <w:top w:val="single" w:sz="8" w:space="0" w:color="000000"/>
              <w:left w:val="nil"/>
              <w:bottom w:val="nil"/>
              <w:right w:val="single" w:sz="8" w:space="0" w:color="000000"/>
            </w:tcBorders>
            <w:shd w:val="clear" w:color="auto" w:fill="auto"/>
          </w:tcPr>
          <w:p w14:paraId="4AE869D4" w14:textId="77777777" w:rsidR="00670063" w:rsidRPr="007E69D8" w:rsidRDefault="00670063" w:rsidP="00917CE0">
            <w:pPr>
              <w:spacing w:before="20" w:after="120" w:line="240" w:lineRule="auto"/>
              <w:rPr>
                <w:rFonts w:ascii="Arial" w:hAnsi="Arial" w:cs="Arial"/>
                <w:sz w:val="18"/>
                <w:szCs w:val="18"/>
                <w:lang w:val="es-ES_tradnl"/>
              </w:rPr>
            </w:pPr>
            <w:r w:rsidRPr="007E69D8">
              <w:rPr>
                <w:rFonts w:ascii="Arial" w:hAnsi="Arial" w:cs="Arial"/>
                <w:sz w:val="18"/>
                <w:szCs w:val="18"/>
                <w:lang w:val="es-ES_tradnl"/>
              </w:rPr>
              <w:t>Este indicador se calcula dividiendo la tasa de mora de la cartera de microcrédito de las cooperativas beneficiadas sobre la tasa de mora de la cartera de microcrédito de la banca pública. La meta final se calculará promediando la tasa de mora de las cooperativas, 12 meses después de recibir fondos del programa, y dividiendo sobre la tasa de mora de la banca pública en ese momento.</w:t>
            </w:r>
          </w:p>
          <w:p w14:paraId="36D3EF49" w14:textId="1644A634" w:rsidR="001D0318" w:rsidRPr="007E69D8" w:rsidRDefault="001D0318" w:rsidP="00917CE0">
            <w:pPr>
              <w:spacing w:before="20" w:after="120" w:line="240" w:lineRule="auto"/>
              <w:rPr>
                <w:rFonts w:ascii="Arial" w:hAnsi="Arial" w:cs="Arial"/>
                <w:sz w:val="18"/>
                <w:szCs w:val="18"/>
                <w:lang w:val="es-ES_tradnl"/>
              </w:rPr>
            </w:pPr>
            <w:r w:rsidRPr="007E69D8">
              <w:rPr>
                <w:rFonts w:ascii="Arial" w:hAnsi="Arial" w:cs="Arial"/>
                <w:sz w:val="18"/>
                <w:szCs w:val="18"/>
                <w:lang w:val="es-ES_tradnl"/>
              </w:rPr>
              <w:t xml:space="preserve"> Proyecciones más recientes estiman que el PIB ecuatoriano se contraerá entre 2,7% y 6.5% en 2020</w:t>
            </w:r>
            <w:r w:rsidRPr="007E69D8">
              <w:rPr>
                <w:rStyle w:val="FootnoteReference"/>
                <w:rFonts w:ascii="Arial" w:hAnsi="Arial" w:cs="Arial"/>
                <w:sz w:val="18"/>
                <w:szCs w:val="18"/>
                <w:lang w:val="es-ES_tradnl"/>
              </w:rPr>
              <w:footnoteReference w:id="17"/>
            </w:r>
            <w:r w:rsidRPr="007E69D8">
              <w:rPr>
                <w:rFonts w:ascii="Arial" w:hAnsi="Arial" w:cs="Arial"/>
                <w:sz w:val="18"/>
                <w:szCs w:val="18"/>
                <w:lang w:val="es-ES_tradnl"/>
              </w:rPr>
              <w:t xml:space="preserve"> como consecuencia de la crisis. En base a experiencias previas en países de Sudamérica de efectos de crisis financieras y económicas en las cuales hubo un impacto negativo sobre la demanda interna y, por tanto, sobre los ingresos de los micro y pequeños empresarios</w:t>
            </w:r>
            <w:r w:rsidRPr="007E69D8">
              <w:rPr>
                <w:rStyle w:val="FootnoteReference"/>
                <w:rFonts w:ascii="Arial" w:hAnsi="Arial" w:cs="Arial"/>
                <w:sz w:val="18"/>
                <w:szCs w:val="18"/>
                <w:lang w:val="es-ES_tradnl"/>
              </w:rPr>
              <w:footnoteReference w:id="18"/>
            </w:r>
            <w:r w:rsidRPr="007E69D8">
              <w:rPr>
                <w:rFonts w:ascii="Arial" w:hAnsi="Arial" w:cs="Arial"/>
                <w:sz w:val="18"/>
                <w:szCs w:val="18"/>
                <w:lang w:val="es-ES_tradnl"/>
              </w:rPr>
              <w:t xml:space="preserve">. Es de esperar, por tanto, que la presente crisis del COVID-19 impacte negativamente la morosidad las MIPE. Dado que no se espera distinciones particulares entre MIPE beneficiadas por CONAFIPS y aquellas beneficiadas por la banca pública, se espera que </w:t>
            </w:r>
            <w:r w:rsidR="007E69D8" w:rsidRPr="007E69D8">
              <w:rPr>
                <w:rFonts w:ascii="Arial" w:hAnsi="Arial" w:cs="Arial"/>
                <w:sz w:val="18"/>
                <w:szCs w:val="18"/>
                <w:lang w:val="es-ES_tradnl"/>
              </w:rPr>
              <w:t>la ratio</w:t>
            </w:r>
            <w:r w:rsidRPr="007E69D8">
              <w:rPr>
                <w:rFonts w:ascii="Arial" w:hAnsi="Arial" w:cs="Arial"/>
                <w:sz w:val="18"/>
                <w:szCs w:val="18"/>
                <w:lang w:val="es-ES_tradnl"/>
              </w:rPr>
              <w:t xml:space="preserve"> de moras se mantenga igual durante la vida de la operación.</w:t>
            </w:r>
            <w:r w:rsidRPr="007E69D8" w:rsidDel="00D42E39">
              <w:rPr>
                <w:rFonts w:ascii="Arial" w:hAnsi="Arial" w:cs="Arial"/>
                <w:sz w:val="18"/>
                <w:szCs w:val="18"/>
                <w:lang w:val="es-ES_tradnl"/>
              </w:rPr>
              <w:t xml:space="preserve"> </w:t>
            </w:r>
            <w:r w:rsidRPr="007E69D8">
              <w:rPr>
                <w:rFonts w:ascii="Arial" w:hAnsi="Arial" w:cs="Arial"/>
                <w:sz w:val="18"/>
                <w:szCs w:val="18"/>
                <w:lang w:val="es-ES_tradnl"/>
              </w:rPr>
              <w:t xml:space="preserve">No obstante, vale resaltar que un escenario optimista consistiría en una reducción de </w:t>
            </w:r>
            <w:r w:rsidR="007E69D8" w:rsidRPr="007E69D8">
              <w:rPr>
                <w:rFonts w:ascii="Arial" w:hAnsi="Arial" w:cs="Arial"/>
                <w:sz w:val="18"/>
                <w:szCs w:val="18"/>
                <w:lang w:val="es-ES_tradnl"/>
              </w:rPr>
              <w:t>esta ratio</w:t>
            </w:r>
            <w:r w:rsidRPr="007E69D8">
              <w:rPr>
                <w:rFonts w:ascii="Arial" w:hAnsi="Arial" w:cs="Arial"/>
                <w:sz w:val="18"/>
                <w:szCs w:val="18"/>
                <w:lang w:val="es-ES_tradnl"/>
              </w:rPr>
              <w:t xml:space="preserve"> a fines del programa.</w:t>
            </w:r>
          </w:p>
          <w:p w14:paraId="5130C8F3" w14:textId="7B8F95A3" w:rsidR="00670063" w:rsidRPr="007E69D8" w:rsidRDefault="00670063" w:rsidP="00917CE0">
            <w:pPr>
              <w:spacing w:before="20" w:after="120" w:line="240" w:lineRule="auto"/>
              <w:rPr>
                <w:rFonts w:ascii="Arial" w:hAnsi="Arial" w:cs="Arial"/>
                <w:sz w:val="18"/>
                <w:szCs w:val="18"/>
                <w:lang w:val="es-ES_tradnl"/>
              </w:rPr>
            </w:pPr>
          </w:p>
          <w:p w14:paraId="3E72702E" w14:textId="47466675" w:rsidR="00064E73" w:rsidRPr="007E69D8" w:rsidRDefault="00064E73" w:rsidP="00917CE0">
            <w:pPr>
              <w:spacing w:before="20" w:after="120" w:line="240" w:lineRule="auto"/>
              <w:rPr>
                <w:rFonts w:ascii="Arial" w:hAnsi="Arial" w:cs="Arial"/>
                <w:sz w:val="18"/>
                <w:szCs w:val="18"/>
                <w:lang w:val="es-ES_tradnl"/>
              </w:rPr>
            </w:pPr>
            <w:r w:rsidRPr="007E69D8">
              <w:rPr>
                <w:rFonts w:ascii="Arial" w:eastAsia="Times New Roman" w:hAnsi="Arial" w:cs="Arial"/>
                <w:color w:val="000000"/>
                <w:sz w:val="18"/>
                <w:szCs w:val="18"/>
                <w:lang w:val="es-ES_tradnl" w:eastAsia="es-ES"/>
              </w:rPr>
              <w:t xml:space="preserve">La línea de base se calculó dividiendo la tasa de mora promedio de las carteras de microcrédito de las cooperativas en Ecuador, igual a 7.67% sobre la tasa de mora de la cartera de microcrédito de la banca pública, igual a 10.57% </w:t>
            </w:r>
            <w:r w:rsidRPr="007E69D8">
              <w:rPr>
                <w:rFonts w:ascii="Arial" w:eastAsia="Times New Roman" w:hAnsi="Arial" w:cs="Arial"/>
                <w:color w:val="000000"/>
                <w:sz w:val="18"/>
                <w:szCs w:val="18"/>
                <w:lang w:val="es-ES_tradnl" w:eastAsia="es-ES"/>
              </w:rPr>
              <w:lastRenderedPageBreak/>
              <w:t>[Superintendencia de Bancos, información a febrero 2020].</w:t>
            </w:r>
          </w:p>
          <w:p w14:paraId="2A326437" w14:textId="37C14281" w:rsidR="00670063" w:rsidRPr="007E69D8" w:rsidRDefault="00670063" w:rsidP="00917CE0">
            <w:pPr>
              <w:spacing w:after="0" w:line="240" w:lineRule="auto"/>
              <w:rPr>
                <w:rFonts w:ascii="Arial" w:eastAsia="Times New Roman" w:hAnsi="Arial" w:cs="Arial"/>
                <w:color w:val="000000"/>
                <w:sz w:val="18"/>
                <w:szCs w:val="18"/>
                <w:lang w:val="es-ES_tradnl" w:eastAsia="es-ES"/>
              </w:rPr>
            </w:pPr>
          </w:p>
        </w:tc>
      </w:tr>
      <w:tr w:rsidR="00670063" w:rsidRPr="00754A0C" w14:paraId="436A3BC2" w14:textId="77777777" w:rsidTr="00917CE0">
        <w:trPr>
          <w:trHeight w:val="1123"/>
          <w:jc w:val="center"/>
        </w:trPr>
        <w:tc>
          <w:tcPr>
            <w:tcW w:w="2094" w:type="dxa"/>
            <w:tcBorders>
              <w:top w:val="single" w:sz="8" w:space="0" w:color="000000"/>
              <w:left w:val="single" w:sz="8" w:space="0" w:color="000000"/>
              <w:bottom w:val="nil"/>
              <w:right w:val="single" w:sz="8" w:space="0" w:color="000000"/>
            </w:tcBorders>
            <w:shd w:val="clear" w:color="auto" w:fill="auto"/>
          </w:tcPr>
          <w:p w14:paraId="3BD08BC2" w14:textId="44F305CA" w:rsidR="00670063" w:rsidRPr="007E69D8" w:rsidRDefault="00670063" w:rsidP="00670063">
            <w:pPr>
              <w:spacing w:after="0" w:line="240" w:lineRule="auto"/>
              <w:rPr>
                <w:rFonts w:ascii="Arial" w:eastAsia="Times New Roman" w:hAnsi="Arial" w:cs="Arial"/>
                <w:b/>
                <w:bCs/>
                <w:color w:val="000000"/>
                <w:sz w:val="18"/>
                <w:szCs w:val="18"/>
                <w:lang w:val="es-ES_tradnl" w:eastAsia="es-ES"/>
              </w:rPr>
            </w:pPr>
            <w:r w:rsidRPr="007E69D8">
              <w:rPr>
                <w:rFonts w:ascii="Arial" w:hAnsi="Arial" w:cs="Arial"/>
                <w:b/>
                <w:bCs/>
                <w:sz w:val="18"/>
                <w:szCs w:val="18"/>
                <w:lang w:val="es-ES_tradnl"/>
              </w:rPr>
              <w:lastRenderedPageBreak/>
              <w:t>Indicador 3:</w:t>
            </w:r>
            <w:r w:rsidRPr="007E69D8">
              <w:rPr>
                <w:rFonts w:ascii="Arial" w:hAnsi="Arial" w:cs="Arial"/>
                <w:sz w:val="18"/>
                <w:szCs w:val="18"/>
                <w:lang w:val="es-ES_tradnl"/>
              </w:rPr>
              <w:t xml:space="preserve"> </w:t>
            </w:r>
            <w:r w:rsidRPr="007E69D8">
              <w:rPr>
                <w:lang w:val="es-ES_tradnl"/>
              </w:rPr>
              <w:t xml:space="preserve"> </w:t>
            </w:r>
            <w:r w:rsidRPr="007E69D8">
              <w:rPr>
                <w:rFonts w:ascii="Arial" w:hAnsi="Arial" w:cs="Arial"/>
                <w:sz w:val="18"/>
                <w:szCs w:val="18"/>
                <w:lang w:val="es-ES_tradnl"/>
              </w:rPr>
              <w:t>Monto total de la cartera relevante para el financiamiento de corto plazo alcanzado gracias al apoyo del programa.</w:t>
            </w:r>
          </w:p>
        </w:tc>
        <w:tc>
          <w:tcPr>
            <w:tcW w:w="1552" w:type="dxa"/>
            <w:tcBorders>
              <w:top w:val="single" w:sz="8" w:space="0" w:color="000000"/>
              <w:left w:val="nil"/>
              <w:bottom w:val="nil"/>
              <w:right w:val="single" w:sz="8" w:space="0" w:color="000000"/>
            </w:tcBorders>
            <w:shd w:val="clear" w:color="auto" w:fill="auto"/>
          </w:tcPr>
          <w:p w14:paraId="4A8E653F" w14:textId="6E3A5B6C" w:rsidR="00670063" w:rsidRPr="007E69D8" w:rsidRDefault="00670063" w:rsidP="00670063">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US$ mill</w:t>
            </w:r>
            <w:r w:rsidR="00737915" w:rsidRPr="007E69D8">
              <w:rPr>
                <w:rFonts w:ascii="Arial" w:hAnsi="Arial" w:cs="Arial"/>
                <w:sz w:val="18"/>
                <w:szCs w:val="18"/>
                <w:lang w:val="es-ES_tradnl"/>
              </w:rPr>
              <w:t>o</w:t>
            </w:r>
            <w:r w:rsidRPr="007E69D8">
              <w:rPr>
                <w:rFonts w:ascii="Arial" w:hAnsi="Arial" w:cs="Arial"/>
                <w:sz w:val="18"/>
                <w:szCs w:val="18"/>
                <w:lang w:val="es-ES_tradnl"/>
              </w:rPr>
              <w:t>n</w:t>
            </w:r>
            <w:r w:rsidR="00737915" w:rsidRPr="007E69D8">
              <w:rPr>
                <w:rFonts w:ascii="Arial" w:hAnsi="Arial" w:cs="Arial"/>
                <w:sz w:val="18"/>
                <w:szCs w:val="18"/>
                <w:lang w:val="es-ES_tradnl"/>
              </w:rPr>
              <w:t>es</w:t>
            </w:r>
          </w:p>
        </w:tc>
        <w:tc>
          <w:tcPr>
            <w:tcW w:w="1542" w:type="dxa"/>
            <w:tcBorders>
              <w:top w:val="single" w:sz="8" w:space="0" w:color="000000"/>
              <w:left w:val="nil"/>
              <w:bottom w:val="nil"/>
              <w:right w:val="single" w:sz="8" w:space="0" w:color="000000"/>
            </w:tcBorders>
            <w:shd w:val="clear" w:color="auto" w:fill="auto"/>
          </w:tcPr>
          <w:p w14:paraId="53CEFE92" w14:textId="6BAAA841" w:rsidR="00670063" w:rsidRPr="007E69D8" w:rsidRDefault="00670063" w:rsidP="00670063">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del programa recolectada por CONAFIPS</w:t>
            </w:r>
          </w:p>
        </w:tc>
        <w:tc>
          <w:tcPr>
            <w:tcW w:w="3625" w:type="dxa"/>
            <w:tcBorders>
              <w:top w:val="single" w:sz="8" w:space="0" w:color="000000"/>
              <w:left w:val="nil"/>
              <w:bottom w:val="nil"/>
              <w:right w:val="single" w:sz="8" w:space="0" w:color="000000"/>
            </w:tcBorders>
            <w:shd w:val="clear" w:color="auto" w:fill="auto"/>
          </w:tcPr>
          <w:p w14:paraId="24B65280" w14:textId="1FE38C81" w:rsidR="00670063" w:rsidRPr="007E69D8" w:rsidRDefault="00670063" w:rsidP="00917CE0">
            <w:pPr>
              <w:spacing w:line="240" w:lineRule="auto"/>
              <w:rPr>
                <w:rFonts w:ascii="Arial" w:hAnsi="Arial" w:cs="Arial"/>
                <w:sz w:val="18"/>
                <w:szCs w:val="18"/>
                <w:lang w:val="es-ES_tradnl"/>
              </w:rPr>
            </w:pPr>
            <w:r w:rsidRPr="007E69D8">
              <w:rPr>
                <w:rFonts w:ascii="Arial" w:hAnsi="Arial" w:cs="Arial"/>
                <w:sz w:val="18"/>
                <w:szCs w:val="18"/>
                <w:lang w:val="es-ES_tradnl"/>
              </w:rPr>
              <w:t xml:space="preserve">La línea de base corresponde a la </w:t>
            </w:r>
            <w:r w:rsidRPr="00C60B61">
              <w:rPr>
                <w:rFonts w:ascii="Arial" w:hAnsi="Arial" w:cs="Arial"/>
                <w:i/>
                <w:iCs/>
                <w:sz w:val="18"/>
                <w:szCs w:val="18"/>
                <w:lang w:val="es-ES_tradnl"/>
              </w:rPr>
              <w:t>cartera</w:t>
            </w:r>
            <w:r w:rsidRPr="007E69D8">
              <w:rPr>
                <w:rFonts w:ascii="Arial" w:hAnsi="Arial" w:cs="Arial"/>
                <w:sz w:val="18"/>
                <w:szCs w:val="18"/>
                <w:lang w:val="es-ES_tradnl"/>
              </w:rPr>
              <w:t xml:space="preserve"> de CONAFIPS a diciembre de 2019. Se considera esta cartera como relevante ya que atiende al mismo conjunto de sectores que se espera se incluyan en la operación, dado su carácter multisectorial.</w:t>
            </w:r>
          </w:p>
          <w:p w14:paraId="6389B900" w14:textId="5F86536A" w:rsidR="00200846" w:rsidRPr="007E69D8" w:rsidRDefault="00200846" w:rsidP="00917CE0">
            <w:pPr>
              <w:spacing w:line="240" w:lineRule="auto"/>
              <w:rPr>
                <w:rFonts w:ascii="Arial" w:hAnsi="Arial" w:cs="Arial"/>
                <w:sz w:val="18"/>
                <w:szCs w:val="18"/>
                <w:lang w:val="es-ES_tradnl"/>
              </w:rPr>
            </w:pPr>
            <w:r w:rsidRPr="007E69D8">
              <w:rPr>
                <w:rFonts w:ascii="Arial" w:hAnsi="Arial" w:cs="Arial"/>
                <w:sz w:val="18"/>
                <w:szCs w:val="18"/>
                <w:lang w:val="es-ES_tradnl"/>
              </w:rPr>
              <w:t>La meta corresponde al saldo de cartera</w:t>
            </w:r>
            <w:r w:rsidR="00C17804">
              <w:rPr>
                <w:rFonts w:ascii="Arial" w:hAnsi="Arial" w:cs="Arial"/>
                <w:sz w:val="18"/>
                <w:szCs w:val="18"/>
                <w:lang w:val="es-ES_tradnl"/>
              </w:rPr>
              <w:t xml:space="preserve"> de microcrédito</w:t>
            </w:r>
            <w:r w:rsidRPr="007E69D8">
              <w:rPr>
                <w:rFonts w:ascii="Arial" w:hAnsi="Arial" w:cs="Arial"/>
                <w:sz w:val="18"/>
                <w:szCs w:val="18"/>
                <w:lang w:val="es-ES_tradnl"/>
              </w:rPr>
              <w:t xml:space="preserve"> esperado para final del programa en base a información de fondeo de CONAFIPS. La contribución de la operación es vital para conseguir dicha meta, particularmente en el contexto de la crisis.</w:t>
            </w:r>
          </w:p>
          <w:p w14:paraId="7791F69E" w14:textId="74C1146D" w:rsidR="00200846" w:rsidRPr="007E69D8" w:rsidRDefault="00200846" w:rsidP="00917CE0">
            <w:pPr>
              <w:spacing w:line="240" w:lineRule="auto"/>
              <w:rPr>
                <w:rFonts w:ascii="Arial" w:hAnsi="Arial" w:cs="Arial"/>
                <w:sz w:val="18"/>
                <w:szCs w:val="18"/>
                <w:lang w:val="es-ES_tradnl"/>
              </w:rPr>
            </w:pPr>
            <w:r w:rsidRPr="007E69D8">
              <w:rPr>
                <w:rFonts w:ascii="Arial" w:hAnsi="Arial" w:cs="Arial"/>
                <w:sz w:val="18"/>
                <w:szCs w:val="18"/>
                <w:lang w:val="es-ES_tradnl"/>
              </w:rPr>
              <w:t xml:space="preserve">En </w:t>
            </w:r>
            <w:r w:rsidR="007E69D8" w:rsidRPr="007E69D8">
              <w:rPr>
                <w:rFonts w:ascii="Arial" w:hAnsi="Arial" w:cs="Arial"/>
                <w:sz w:val="18"/>
                <w:szCs w:val="18"/>
                <w:lang w:val="es-ES_tradnl"/>
              </w:rPr>
              <w:t xml:space="preserve">efecto, </w:t>
            </w:r>
            <w:r w:rsidR="00C17804" w:rsidRPr="00C17804">
              <w:rPr>
                <w:rFonts w:ascii="Arial" w:hAnsi="Arial" w:cs="Arial"/>
                <w:sz w:val="18"/>
                <w:szCs w:val="18"/>
                <w:lang w:val="es-ES_tradnl"/>
              </w:rPr>
              <w:t xml:space="preserve">CONAFIPS espera incrementar sus </w:t>
            </w:r>
            <w:r w:rsidR="00C17804" w:rsidRPr="00C60B61">
              <w:rPr>
                <w:rFonts w:ascii="Arial" w:hAnsi="Arial" w:cs="Arial"/>
                <w:i/>
                <w:iCs/>
                <w:sz w:val="18"/>
                <w:szCs w:val="18"/>
                <w:lang w:val="es-ES_tradnl"/>
              </w:rPr>
              <w:t>colocaciones</w:t>
            </w:r>
            <w:r w:rsidR="00C17804" w:rsidRPr="00C17804">
              <w:rPr>
                <w:rFonts w:ascii="Arial" w:hAnsi="Arial" w:cs="Arial"/>
                <w:sz w:val="18"/>
                <w:szCs w:val="18"/>
                <w:lang w:val="es-ES_tradnl"/>
              </w:rPr>
              <w:t xml:space="preserve"> de créditos destinados a MIPE de US$175,4 millones a US$223,7</w:t>
            </w:r>
            <w:r w:rsidR="00917CE0">
              <w:rPr>
                <w:rFonts w:ascii="Arial" w:hAnsi="Arial" w:cs="Arial"/>
                <w:sz w:val="18"/>
                <w:szCs w:val="18"/>
                <w:lang w:val="es-ES_tradnl"/>
              </w:rPr>
              <w:t> </w:t>
            </w:r>
            <w:r w:rsidR="00C17804" w:rsidRPr="00C17804">
              <w:rPr>
                <w:rFonts w:ascii="Arial" w:hAnsi="Arial" w:cs="Arial"/>
                <w:sz w:val="18"/>
                <w:szCs w:val="18"/>
                <w:lang w:val="es-ES_tradnl"/>
              </w:rPr>
              <w:t xml:space="preserve">millones. Estos objetivos de crecimiento son sin embargo contingentes a que CONAFIPS obtenga el financiamiento para estas nuevas colocaciones. Como las recuperaciones de crédito únicamente cubren una parte de sus necesidades de financiamiento, CONAFIPS requiere de apoyo público o financiamiento de multilaterales para incrementar sus colocaciones. Dadas las limitaciones fiscales del país, agravadas por la crisis, el aporte del programa es clave para evitar una caída e incrementar las colocaciones. En particular, el programa representará aproximadamente 41,9% del monto de colocaciones previstas, mientras que se espera que 58,1% provenga de las recuperaciones de préstamos. Esta situación llevará a que el valor de </w:t>
            </w:r>
            <w:r w:rsidR="00C17804" w:rsidRPr="00C60B61">
              <w:rPr>
                <w:rFonts w:ascii="Arial" w:hAnsi="Arial" w:cs="Arial"/>
                <w:i/>
                <w:iCs/>
                <w:sz w:val="18"/>
                <w:szCs w:val="18"/>
                <w:lang w:val="es-ES_tradnl"/>
              </w:rPr>
              <w:t>cartera</w:t>
            </w:r>
            <w:r w:rsidR="00C17804" w:rsidRPr="00C17804">
              <w:rPr>
                <w:rFonts w:ascii="Arial" w:hAnsi="Arial" w:cs="Arial"/>
                <w:sz w:val="18"/>
                <w:szCs w:val="18"/>
                <w:lang w:val="es-ES_tradnl"/>
              </w:rPr>
              <w:t xml:space="preserve"> de microcrédito crezca de US$ 237,1 millones en 2019 a US$ 271,3 millones a finales del programa. Esto resalta la gran importancia de la presente operación para poder mantener los objetivos de colocación de la institución.</w:t>
            </w:r>
          </w:p>
          <w:p w14:paraId="47091B54" w14:textId="434E250E" w:rsidR="00670063" w:rsidRPr="007E69D8" w:rsidRDefault="000D682A" w:rsidP="00917CE0">
            <w:pPr>
              <w:spacing w:line="240" w:lineRule="auto"/>
              <w:rPr>
                <w:rFonts w:ascii="Arial" w:eastAsia="Times New Roman" w:hAnsi="Arial" w:cs="Arial"/>
                <w:color w:val="000000"/>
                <w:sz w:val="18"/>
                <w:szCs w:val="18"/>
                <w:lang w:val="es-ES_tradnl" w:eastAsia="es-ES"/>
              </w:rPr>
            </w:pPr>
            <w:r>
              <w:rPr>
                <w:rFonts w:ascii="Arial" w:hAnsi="Arial" w:cs="Arial"/>
                <w:sz w:val="18"/>
                <w:szCs w:val="18"/>
                <w:lang w:val="es-ES_tradnl"/>
              </w:rPr>
              <w:t xml:space="preserve">Se espera </w:t>
            </w:r>
            <w:r w:rsidR="00F47B87">
              <w:rPr>
                <w:rFonts w:ascii="Arial" w:hAnsi="Arial" w:cs="Arial"/>
                <w:sz w:val="18"/>
                <w:szCs w:val="18"/>
                <w:lang w:val="es-ES_tradnl"/>
              </w:rPr>
              <w:t>que,</w:t>
            </w:r>
            <w:r>
              <w:rPr>
                <w:rFonts w:ascii="Arial" w:hAnsi="Arial" w:cs="Arial"/>
                <w:sz w:val="18"/>
                <w:szCs w:val="18"/>
                <w:lang w:val="es-ES_tradnl"/>
              </w:rPr>
              <w:t xml:space="preserve"> a finales del programa, el monto de la nueva cartera se mantenga en los niveles </w:t>
            </w:r>
            <w:r w:rsidR="000B443F">
              <w:rPr>
                <w:rFonts w:ascii="Arial" w:hAnsi="Arial" w:cs="Arial"/>
                <w:sz w:val="18"/>
                <w:szCs w:val="18"/>
                <w:lang w:val="es-ES_tradnl"/>
              </w:rPr>
              <w:t>que se espera alcanzar a finales de 2020</w:t>
            </w:r>
            <w:r w:rsidR="00C17804">
              <w:rPr>
                <w:rFonts w:ascii="Arial" w:hAnsi="Arial" w:cs="Arial"/>
                <w:sz w:val="18"/>
                <w:szCs w:val="18"/>
                <w:lang w:val="es-ES_tradnl"/>
              </w:rPr>
              <w:t xml:space="preserve"> (US$271,3 millones)</w:t>
            </w:r>
            <w:r w:rsidR="000B443F">
              <w:rPr>
                <w:rFonts w:ascii="Arial" w:hAnsi="Arial" w:cs="Arial"/>
                <w:sz w:val="18"/>
                <w:szCs w:val="18"/>
                <w:lang w:val="es-ES_tradnl"/>
              </w:rPr>
              <w:t xml:space="preserve">, </w:t>
            </w:r>
            <w:r>
              <w:rPr>
                <w:rFonts w:ascii="Arial" w:hAnsi="Arial" w:cs="Arial"/>
                <w:sz w:val="18"/>
                <w:szCs w:val="18"/>
                <w:lang w:val="es-ES_tradnl"/>
              </w:rPr>
              <w:t>en vista de</w:t>
            </w:r>
            <w:r w:rsidR="00C17804">
              <w:rPr>
                <w:rFonts w:ascii="Arial" w:hAnsi="Arial" w:cs="Arial"/>
                <w:sz w:val="18"/>
                <w:szCs w:val="18"/>
                <w:lang w:val="es-ES_tradnl"/>
              </w:rPr>
              <w:t xml:space="preserve"> </w:t>
            </w:r>
            <w:r>
              <w:rPr>
                <w:rFonts w:ascii="Arial" w:hAnsi="Arial" w:cs="Arial"/>
                <w:sz w:val="18"/>
                <w:szCs w:val="18"/>
                <w:lang w:val="es-ES_tradnl"/>
              </w:rPr>
              <w:lastRenderedPageBreak/>
              <w:t>l</w:t>
            </w:r>
            <w:r w:rsidR="00C17804">
              <w:rPr>
                <w:rFonts w:ascii="Arial" w:hAnsi="Arial" w:cs="Arial"/>
                <w:sz w:val="18"/>
                <w:szCs w:val="18"/>
                <w:lang w:val="es-ES_tradnl"/>
              </w:rPr>
              <w:t>a</w:t>
            </w:r>
            <w:r>
              <w:rPr>
                <w:rFonts w:ascii="Arial" w:hAnsi="Arial" w:cs="Arial"/>
                <w:sz w:val="18"/>
                <w:szCs w:val="18"/>
                <w:lang w:val="es-ES_tradnl"/>
              </w:rPr>
              <w:t xml:space="preserve"> desaceleración posterior esperada por la crisis del COVID-19</w:t>
            </w:r>
            <w:r w:rsidR="00F47B87">
              <w:rPr>
                <w:rStyle w:val="FootnoteReference"/>
                <w:rFonts w:ascii="Arial" w:hAnsi="Arial" w:cs="Arial"/>
                <w:sz w:val="18"/>
                <w:szCs w:val="18"/>
                <w:lang w:val="es-ES_tradnl"/>
              </w:rPr>
              <w:footnoteReference w:id="19"/>
            </w:r>
            <w:r w:rsidR="00C17804">
              <w:rPr>
                <w:rFonts w:ascii="Arial" w:hAnsi="Arial" w:cs="Arial"/>
                <w:sz w:val="18"/>
                <w:szCs w:val="18"/>
                <w:lang w:val="es-ES_tradnl"/>
              </w:rPr>
              <w:t xml:space="preserve"> y de las probables restricciones de financiamiento de CONAFIPS antes mencionadas</w:t>
            </w:r>
            <w:r>
              <w:rPr>
                <w:rFonts w:ascii="Arial" w:hAnsi="Arial" w:cs="Arial"/>
                <w:sz w:val="18"/>
                <w:szCs w:val="18"/>
                <w:lang w:val="es-ES_tradnl"/>
              </w:rPr>
              <w:t xml:space="preserve">. </w:t>
            </w:r>
            <w:r w:rsidR="00D42E39" w:rsidRPr="007E69D8">
              <w:rPr>
                <w:rFonts w:ascii="Arial" w:hAnsi="Arial" w:cs="Arial"/>
                <w:sz w:val="18"/>
                <w:szCs w:val="18"/>
                <w:lang w:val="es-ES_tradnl"/>
              </w:rPr>
              <w:t xml:space="preserve"> </w:t>
            </w:r>
          </w:p>
        </w:tc>
      </w:tr>
      <w:tr w:rsidR="00670063" w:rsidRPr="007E69D8" w14:paraId="33A5F6B7" w14:textId="77777777" w:rsidTr="00917CE0">
        <w:trPr>
          <w:trHeight w:val="2100"/>
          <w:jc w:val="center"/>
        </w:trPr>
        <w:tc>
          <w:tcPr>
            <w:tcW w:w="2094" w:type="dxa"/>
            <w:tcBorders>
              <w:top w:val="single" w:sz="8" w:space="0" w:color="000000"/>
              <w:left w:val="single" w:sz="8" w:space="0" w:color="000000"/>
              <w:bottom w:val="nil"/>
              <w:right w:val="single" w:sz="8" w:space="0" w:color="000000"/>
            </w:tcBorders>
            <w:shd w:val="clear" w:color="auto" w:fill="auto"/>
          </w:tcPr>
          <w:p w14:paraId="7EC2A601" w14:textId="292728E4" w:rsidR="00670063" w:rsidRPr="007E69D8" w:rsidRDefault="00670063" w:rsidP="00670063">
            <w:pPr>
              <w:spacing w:after="0" w:line="240" w:lineRule="auto"/>
              <w:rPr>
                <w:rFonts w:ascii="Arial" w:hAnsi="Arial" w:cs="Arial"/>
                <w:b/>
                <w:bCs/>
                <w:sz w:val="18"/>
                <w:szCs w:val="18"/>
                <w:lang w:val="es-ES_tradnl"/>
              </w:rPr>
            </w:pPr>
            <w:r w:rsidRPr="007E69D8">
              <w:rPr>
                <w:rFonts w:ascii="Arial" w:hAnsi="Arial" w:cs="Arial"/>
                <w:b/>
                <w:bCs/>
                <w:sz w:val="18"/>
                <w:szCs w:val="18"/>
                <w:lang w:val="es-ES_tradnl"/>
              </w:rPr>
              <w:lastRenderedPageBreak/>
              <w:t>Indicador 4:</w:t>
            </w:r>
            <w:r w:rsidRPr="007E69D8">
              <w:rPr>
                <w:rFonts w:ascii="Arial" w:hAnsi="Arial" w:cs="Arial"/>
                <w:sz w:val="18"/>
                <w:szCs w:val="18"/>
                <w:lang w:val="es-ES_tradnl"/>
              </w:rPr>
              <w:t xml:space="preserve"> </w:t>
            </w:r>
            <w:bookmarkStart w:id="15" w:name="_Hlk36731477"/>
            <w:r w:rsidRPr="007E69D8">
              <w:rPr>
                <w:lang w:val="es-ES_tradnl"/>
              </w:rPr>
              <w:t xml:space="preserve"> </w:t>
            </w:r>
            <w:r w:rsidRPr="007E69D8">
              <w:rPr>
                <w:rFonts w:ascii="Arial" w:hAnsi="Arial" w:cs="Arial"/>
                <w:sz w:val="18"/>
                <w:szCs w:val="18"/>
                <w:lang w:val="es-ES_tradnl"/>
              </w:rPr>
              <w:t>Proporción del número de créditos de corto plazo a micro y pequeñas empresas lideradas por mujeres en la cartera de CONAFIPS</w:t>
            </w:r>
            <w:bookmarkEnd w:id="15"/>
            <w:r w:rsidRPr="007E69D8">
              <w:rPr>
                <w:rFonts w:ascii="Arial" w:hAnsi="Arial" w:cs="Arial"/>
                <w:sz w:val="18"/>
                <w:szCs w:val="18"/>
                <w:lang w:val="es-ES_tradnl"/>
              </w:rPr>
              <w:t xml:space="preserve">. </w:t>
            </w:r>
          </w:p>
        </w:tc>
        <w:tc>
          <w:tcPr>
            <w:tcW w:w="1552" w:type="dxa"/>
            <w:tcBorders>
              <w:top w:val="single" w:sz="8" w:space="0" w:color="000000"/>
              <w:left w:val="nil"/>
              <w:bottom w:val="nil"/>
              <w:right w:val="single" w:sz="8" w:space="0" w:color="000000"/>
            </w:tcBorders>
            <w:shd w:val="clear" w:color="auto" w:fill="auto"/>
          </w:tcPr>
          <w:p w14:paraId="0C67837B" w14:textId="5609CB54" w:rsidR="00670063" w:rsidRPr="007E69D8" w:rsidRDefault="00670063" w:rsidP="00670063">
            <w:pPr>
              <w:spacing w:after="0" w:line="240" w:lineRule="auto"/>
              <w:jc w:val="center"/>
              <w:rPr>
                <w:rFonts w:ascii="Arial" w:hAnsi="Arial" w:cs="Arial"/>
                <w:sz w:val="18"/>
                <w:szCs w:val="18"/>
                <w:lang w:val="es-ES_tradnl"/>
              </w:rPr>
            </w:pPr>
            <w:r w:rsidRPr="007E69D8">
              <w:rPr>
                <w:rFonts w:ascii="Arial" w:hAnsi="Arial" w:cs="Arial"/>
                <w:sz w:val="18"/>
                <w:szCs w:val="18"/>
                <w:lang w:val="es-ES_tradnl"/>
              </w:rPr>
              <w:t>%</w:t>
            </w:r>
          </w:p>
        </w:tc>
        <w:tc>
          <w:tcPr>
            <w:tcW w:w="1542" w:type="dxa"/>
            <w:tcBorders>
              <w:top w:val="single" w:sz="8" w:space="0" w:color="000000"/>
              <w:left w:val="nil"/>
              <w:bottom w:val="nil"/>
              <w:right w:val="single" w:sz="8" w:space="0" w:color="000000"/>
            </w:tcBorders>
            <w:shd w:val="clear" w:color="auto" w:fill="auto"/>
          </w:tcPr>
          <w:p w14:paraId="7A2BB6C2" w14:textId="3FC2CE6A" w:rsidR="00670063" w:rsidRPr="007E69D8" w:rsidRDefault="00670063" w:rsidP="00670063">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del programa recolectada por CONAFIPS</w:t>
            </w:r>
          </w:p>
        </w:tc>
        <w:tc>
          <w:tcPr>
            <w:tcW w:w="3625" w:type="dxa"/>
            <w:tcBorders>
              <w:top w:val="single" w:sz="8" w:space="0" w:color="000000"/>
              <w:left w:val="nil"/>
              <w:bottom w:val="nil"/>
              <w:right w:val="single" w:sz="8" w:space="0" w:color="000000"/>
            </w:tcBorders>
            <w:shd w:val="clear" w:color="auto" w:fill="auto"/>
          </w:tcPr>
          <w:p w14:paraId="700FDD0E" w14:textId="77777777" w:rsidR="00670063" w:rsidRDefault="00670063" w:rsidP="00917CE0">
            <w:pPr>
              <w:spacing w:line="240" w:lineRule="auto"/>
              <w:rPr>
                <w:rFonts w:ascii="Arial" w:hAnsi="Arial" w:cs="Arial"/>
                <w:sz w:val="18"/>
                <w:szCs w:val="18"/>
                <w:lang w:val="es-ES_tradnl"/>
              </w:rPr>
            </w:pPr>
            <w:r w:rsidRPr="007E69D8">
              <w:rPr>
                <w:rFonts w:ascii="Arial" w:hAnsi="Arial" w:cs="Arial"/>
                <w:sz w:val="18"/>
                <w:szCs w:val="18"/>
                <w:lang w:val="es-ES_tradnl"/>
              </w:rPr>
              <w:t>La línea de base corresponde al porcentaje de créditos a mujeres en la cartera de CONAFIPS, e</w:t>
            </w:r>
            <w:r w:rsidR="00AE780F" w:rsidRPr="007E69D8">
              <w:rPr>
                <w:rFonts w:ascii="Arial" w:hAnsi="Arial" w:cs="Arial"/>
                <w:sz w:val="18"/>
                <w:szCs w:val="18"/>
                <w:lang w:val="es-ES_tradnl"/>
              </w:rPr>
              <w:t>n</w:t>
            </w:r>
            <w:r w:rsidRPr="007E69D8">
              <w:rPr>
                <w:rFonts w:ascii="Arial" w:hAnsi="Arial" w:cs="Arial"/>
                <w:sz w:val="18"/>
                <w:szCs w:val="18"/>
                <w:lang w:val="es-ES_tradnl"/>
              </w:rPr>
              <w:t xml:space="preserve"> términos de número de operaciones. Se considera que la cartera de CONAFIPS en su totalidad es la cartera relevante dado que el programa atenderá al beneficiario tipo de la institución. No se espera que cambien los criterios actuales de asignación de crédito, por lo que la meta debería ser que el nivel inicial se mantenga.</w:t>
            </w:r>
          </w:p>
          <w:p w14:paraId="7A0F2FB4" w14:textId="7C126DF5" w:rsidR="00917CE0" w:rsidRPr="007E69D8" w:rsidRDefault="00917CE0" w:rsidP="00917CE0">
            <w:pPr>
              <w:spacing w:line="240" w:lineRule="auto"/>
              <w:rPr>
                <w:rFonts w:ascii="Arial" w:hAnsi="Arial" w:cs="Arial"/>
                <w:sz w:val="18"/>
                <w:szCs w:val="18"/>
                <w:lang w:val="es-ES_tradnl" w:eastAsia="zh-CN"/>
              </w:rPr>
            </w:pPr>
            <w:r>
              <w:rPr>
                <w:rFonts w:ascii="Arial" w:hAnsi="Arial" w:cs="Arial"/>
                <w:sz w:val="18"/>
                <w:szCs w:val="18"/>
                <w:lang w:val="es-ES_tradnl"/>
              </w:rPr>
              <w:t xml:space="preserve">Indicador </w:t>
            </w:r>
            <w:proofErr w:type="spellStart"/>
            <w:r w:rsidRPr="00917CE0">
              <w:rPr>
                <w:rFonts w:ascii="Arial" w:hAnsi="Arial" w:cs="Arial"/>
                <w:i/>
                <w:iCs/>
                <w:sz w:val="18"/>
                <w:szCs w:val="18"/>
                <w:lang w:val="es-ES_tradnl"/>
              </w:rPr>
              <w:t>pro-gender</w:t>
            </w:r>
            <w:proofErr w:type="spellEnd"/>
            <w:r>
              <w:rPr>
                <w:rFonts w:ascii="Arial" w:hAnsi="Arial" w:cs="Arial"/>
                <w:sz w:val="18"/>
                <w:szCs w:val="18"/>
                <w:lang w:val="es-ES_tradnl"/>
              </w:rPr>
              <w:t>.</w:t>
            </w:r>
          </w:p>
        </w:tc>
      </w:tr>
      <w:tr w:rsidR="00E938EC" w:rsidRPr="007E69D8" w14:paraId="50537562"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CFC263A" w14:textId="77777777" w:rsidR="00E938EC" w:rsidRPr="007E69D8" w:rsidRDefault="00E938EC" w:rsidP="00E938EC">
            <w:pPr>
              <w:spacing w:after="0" w:line="240" w:lineRule="auto"/>
              <w:jc w:val="center"/>
              <w:rPr>
                <w:rFonts w:ascii="Arial" w:eastAsia="Times New Roman" w:hAnsi="Arial" w:cs="Arial"/>
                <w:b/>
                <w:bCs/>
                <w:color w:val="000000"/>
                <w:sz w:val="18"/>
                <w:szCs w:val="18"/>
                <w:lang w:val="es-ES_tradnl" w:eastAsia="es-ES"/>
              </w:rPr>
            </w:pPr>
            <w:r w:rsidRPr="007E69D8">
              <w:rPr>
                <w:rFonts w:ascii="Arial" w:eastAsia="Times New Roman" w:hAnsi="Arial" w:cs="Arial"/>
                <w:b/>
                <w:bCs/>
                <w:color w:val="000000"/>
                <w:sz w:val="18"/>
                <w:szCs w:val="18"/>
                <w:lang w:val="es-ES_tradnl" w:eastAsia="es-ES"/>
              </w:rPr>
              <w:t>Indicadores de Producto</w:t>
            </w:r>
          </w:p>
        </w:tc>
      </w:tr>
      <w:tr w:rsidR="00E938EC" w:rsidRPr="00754A0C" w14:paraId="03458F45" w14:textId="77777777" w:rsidTr="00D31FFA">
        <w:trPr>
          <w:trHeight w:val="320"/>
          <w:jc w:val="center"/>
        </w:trPr>
        <w:tc>
          <w:tcPr>
            <w:tcW w:w="8813"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CCB032D" w14:textId="329F7C84" w:rsidR="00E938EC" w:rsidRPr="007E69D8" w:rsidRDefault="00E938EC" w:rsidP="00E938EC">
            <w:pPr>
              <w:spacing w:after="0" w:line="240" w:lineRule="auto"/>
              <w:jc w:val="both"/>
              <w:rPr>
                <w:rFonts w:ascii="Arial" w:eastAsia="Times New Roman" w:hAnsi="Arial" w:cs="Arial"/>
                <w:b/>
                <w:bCs/>
                <w:color w:val="000000"/>
                <w:sz w:val="18"/>
                <w:szCs w:val="18"/>
                <w:u w:val="single"/>
                <w:lang w:val="es-ES_tradnl" w:eastAsia="es-ES"/>
              </w:rPr>
            </w:pPr>
            <w:r w:rsidRPr="007E69D8">
              <w:rPr>
                <w:rFonts w:ascii="Arial" w:eastAsia="Times New Roman" w:hAnsi="Arial" w:cs="Arial"/>
                <w:b/>
                <w:bCs/>
                <w:color w:val="000000"/>
                <w:sz w:val="18"/>
                <w:szCs w:val="18"/>
                <w:u w:val="single"/>
                <w:lang w:val="es-ES_tradnl" w:eastAsia="es-ES"/>
              </w:rPr>
              <w:t xml:space="preserve">Componente </w:t>
            </w:r>
            <w:r w:rsidR="00892DE7">
              <w:rPr>
                <w:rFonts w:ascii="Arial" w:eastAsia="Times New Roman" w:hAnsi="Arial" w:cs="Arial"/>
                <w:b/>
                <w:bCs/>
                <w:color w:val="000000"/>
                <w:sz w:val="18"/>
                <w:szCs w:val="18"/>
                <w:u w:val="single"/>
                <w:lang w:val="es-ES_tradnl" w:eastAsia="es-ES"/>
              </w:rPr>
              <w:t>Único</w:t>
            </w:r>
            <w:r w:rsidRPr="007E69D8">
              <w:rPr>
                <w:rFonts w:ascii="Arial" w:eastAsia="Times New Roman" w:hAnsi="Arial" w:cs="Arial"/>
                <w:b/>
                <w:bCs/>
                <w:color w:val="000000"/>
                <w:sz w:val="18"/>
                <w:szCs w:val="18"/>
                <w:u w:val="single"/>
                <w:lang w:val="es-ES_tradnl" w:eastAsia="es-ES"/>
              </w:rPr>
              <w:t xml:space="preserve">: </w:t>
            </w:r>
            <w:bookmarkStart w:id="16" w:name="_Hlk36295470"/>
            <w:r w:rsidRPr="007E69D8">
              <w:rPr>
                <w:rFonts w:ascii="Arial" w:hAnsi="Arial" w:cs="Arial"/>
                <w:b/>
                <w:sz w:val="18"/>
                <w:szCs w:val="18"/>
                <w:u w:val="single"/>
                <w:lang w:val="es-ES_tradnl" w:eastAsia="zh-CN"/>
              </w:rPr>
              <w:t xml:space="preserve">Apoyo a la mejora de las capacidades financieras a corto plazo </w:t>
            </w:r>
            <w:bookmarkEnd w:id="16"/>
            <w:r w:rsidR="00892DE7">
              <w:rPr>
                <w:rFonts w:ascii="Arial" w:hAnsi="Arial" w:cs="Arial"/>
                <w:b/>
                <w:sz w:val="18"/>
                <w:szCs w:val="18"/>
                <w:u w:val="single"/>
                <w:lang w:val="es-ES_tradnl" w:eastAsia="zh-CN"/>
              </w:rPr>
              <w:t xml:space="preserve">de las MIPE </w:t>
            </w:r>
            <w:r w:rsidRPr="007E69D8">
              <w:rPr>
                <w:rFonts w:ascii="Arial" w:hAnsi="Arial" w:cs="Arial"/>
                <w:b/>
                <w:smallCaps/>
                <w:sz w:val="18"/>
                <w:szCs w:val="18"/>
                <w:u w:val="single"/>
                <w:lang w:val="es-ES_tradnl"/>
              </w:rPr>
              <w:t>(US$</w:t>
            </w:r>
            <w:r w:rsidR="00AB5014">
              <w:rPr>
                <w:rFonts w:ascii="Arial" w:hAnsi="Arial" w:cs="Arial"/>
                <w:b/>
                <w:smallCaps/>
                <w:sz w:val="18"/>
                <w:szCs w:val="18"/>
                <w:u w:val="single"/>
                <w:lang w:val="es-ES_tradnl"/>
              </w:rPr>
              <w:t>93,</w:t>
            </w:r>
            <w:r w:rsidR="00892DE7">
              <w:rPr>
                <w:rFonts w:ascii="Arial" w:hAnsi="Arial" w:cs="Arial"/>
                <w:b/>
                <w:smallCaps/>
                <w:sz w:val="18"/>
                <w:szCs w:val="18"/>
                <w:u w:val="single"/>
                <w:lang w:val="es-ES_tradnl"/>
              </w:rPr>
              <w:t xml:space="preserve">8 </w:t>
            </w:r>
            <w:r w:rsidR="00AA5EB8">
              <w:rPr>
                <w:rFonts w:asciiTheme="minorEastAsia" w:hAnsiTheme="minorEastAsia" w:cs="Arial"/>
                <w:b/>
                <w:sz w:val="18"/>
                <w:szCs w:val="18"/>
                <w:u w:val="single"/>
                <w:lang w:val="es-ES_tradnl"/>
              </w:rPr>
              <w:t>millones</w:t>
            </w:r>
            <w:r w:rsidR="00AB5014">
              <w:rPr>
                <w:rFonts w:ascii="Arial" w:hAnsi="Arial" w:cs="Arial"/>
                <w:b/>
                <w:smallCaps/>
                <w:sz w:val="18"/>
                <w:szCs w:val="18"/>
                <w:u w:val="single"/>
                <w:lang w:val="es-ES_tradnl"/>
              </w:rPr>
              <w:t>)</w:t>
            </w:r>
          </w:p>
        </w:tc>
      </w:tr>
      <w:tr w:rsidR="003D0547" w:rsidRPr="00754A0C" w14:paraId="6AB21307" w14:textId="77777777" w:rsidTr="00917CE0">
        <w:trPr>
          <w:trHeight w:val="2077"/>
          <w:jc w:val="center"/>
        </w:trPr>
        <w:tc>
          <w:tcPr>
            <w:tcW w:w="2094" w:type="dxa"/>
            <w:tcBorders>
              <w:top w:val="nil"/>
              <w:left w:val="single" w:sz="8" w:space="0" w:color="000000"/>
              <w:bottom w:val="single" w:sz="8" w:space="0" w:color="000000"/>
              <w:right w:val="single" w:sz="8" w:space="0" w:color="000000"/>
            </w:tcBorders>
            <w:shd w:val="clear" w:color="auto" w:fill="auto"/>
            <w:hideMark/>
          </w:tcPr>
          <w:p w14:paraId="52B675A9" w14:textId="308B57F9" w:rsidR="003D0547" w:rsidRPr="007E69D8" w:rsidRDefault="003D0547" w:rsidP="003D0547">
            <w:pPr>
              <w:spacing w:after="0" w:line="240" w:lineRule="auto"/>
              <w:rPr>
                <w:rFonts w:ascii="Arial" w:eastAsia="Times New Roman" w:hAnsi="Arial" w:cs="Arial"/>
                <w:b/>
                <w:bCs/>
                <w:color w:val="000000"/>
                <w:sz w:val="18"/>
                <w:szCs w:val="18"/>
                <w:lang w:val="es-ES_tradnl" w:eastAsia="es-ES"/>
              </w:rPr>
            </w:pPr>
            <w:r w:rsidRPr="007E69D8">
              <w:rPr>
                <w:rFonts w:ascii="Arial" w:hAnsi="Arial" w:cs="Arial"/>
                <w:b/>
                <w:sz w:val="18"/>
                <w:szCs w:val="18"/>
                <w:lang w:val="es-ES_tradnl"/>
              </w:rPr>
              <w:t>Producto 1:</w:t>
            </w:r>
            <w:r w:rsidRPr="007E69D8">
              <w:rPr>
                <w:rFonts w:ascii="Arial" w:hAnsi="Arial" w:cs="Arial"/>
                <w:sz w:val="18"/>
                <w:szCs w:val="18"/>
                <w:lang w:val="es-ES_tradnl"/>
              </w:rPr>
              <w:t xml:space="preserve"> Monto otorgado para el financiamiento de capital de trabajo para </w:t>
            </w:r>
            <w:r w:rsidR="002D1E3A" w:rsidRPr="007E69D8">
              <w:rPr>
                <w:rFonts w:ascii="Arial" w:hAnsi="Arial" w:cs="Arial"/>
                <w:sz w:val="18"/>
                <w:szCs w:val="18"/>
                <w:lang w:val="es-ES_tradnl"/>
              </w:rPr>
              <w:t>MIPE</w:t>
            </w:r>
            <w:r w:rsidR="00900A4C" w:rsidRPr="007E69D8">
              <w:rPr>
                <w:rFonts w:ascii="Arial" w:hAnsi="Arial" w:cs="Arial"/>
                <w:sz w:val="18"/>
                <w:szCs w:val="18"/>
                <w:lang w:val="es-ES_tradnl"/>
              </w:rPr>
              <w:t xml:space="preserve"> por</w:t>
            </w:r>
            <w:r w:rsidRPr="007E69D8">
              <w:rPr>
                <w:rFonts w:ascii="Arial" w:hAnsi="Arial" w:cs="Arial"/>
                <w:sz w:val="18"/>
                <w:szCs w:val="18"/>
                <w:lang w:val="es-ES_tradnl"/>
              </w:rPr>
              <w:t xml:space="preserve"> el programa.</w:t>
            </w:r>
          </w:p>
        </w:tc>
        <w:tc>
          <w:tcPr>
            <w:tcW w:w="1552" w:type="dxa"/>
            <w:tcBorders>
              <w:top w:val="nil"/>
              <w:left w:val="nil"/>
              <w:bottom w:val="single" w:sz="8" w:space="0" w:color="000000"/>
              <w:right w:val="single" w:sz="8" w:space="0" w:color="000000"/>
            </w:tcBorders>
            <w:shd w:val="clear" w:color="auto" w:fill="auto"/>
            <w:hideMark/>
          </w:tcPr>
          <w:p w14:paraId="3CCCC011" w14:textId="28C87141" w:rsidR="003D0547" w:rsidRPr="007E69D8" w:rsidRDefault="003D0547" w:rsidP="003D0547">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US$ millones</w:t>
            </w:r>
          </w:p>
        </w:tc>
        <w:tc>
          <w:tcPr>
            <w:tcW w:w="1542" w:type="dxa"/>
            <w:tcBorders>
              <w:top w:val="nil"/>
              <w:left w:val="nil"/>
              <w:bottom w:val="single" w:sz="8" w:space="0" w:color="000000"/>
              <w:right w:val="single" w:sz="8" w:space="0" w:color="000000"/>
            </w:tcBorders>
            <w:shd w:val="clear" w:color="auto" w:fill="auto"/>
          </w:tcPr>
          <w:p w14:paraId="15F126B1" w14:textId="25EC98BA" w:rsidR="003D0547" w:rsidRPr="007E69D8" w:rsidRDefault="003D0547" w:rsidP="003D0547">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procesada por CONAFIPS.</w:t>
            </w:r>
          </w:p>
        </w:tc>
        <w:tc>
          <w:tcPr>
            <w:tcW w:w="3625" w:type="dxa"/>
            <w:tcBorders>
              <w:top w:val="nil"/>
              <w:left w:val="nil"/>
              <w:bottom w:val="single" w:sz="8" w:space="0" w:color="000000"/>
              <w:right w:val="single" w:sz="8" w:space="0" w:color="000000"/>
            </w:tcBorders>
            <w:shd w:val="clear" w:color="auto" w:fill="auto"/>
          </w:tcPr>
          <w:p w14:paraId="5F6617F6" w14:textId="77777777" w:rsidR="003D0547" w:rsidRPr="007E69D8" w:rsidRDefault="003D0547" w:rsidP="003D0547">
            <w:pPr>
              <w:spacing w:after="0" w:line="240" w:lineRule="auto"/>
              <w:rPr>
                <w:rFonts w:ascii="Arial" w:eastAsia="Times New Roman" w:hAnsi="Arial" w:cs="Arial"/>
                <w:color w:val="000000"/>
                <w:sz w:val="18"/>
                <w:szCs w:val="18"/>
                <w:lang w:val="es-ES_tradnl" w:eastAsia="es-ES"/>
              </w:rPr>
            </w:pPr>
          </w:p>
        </w:tc>
      </w:tr>
      <w:tr w:rsidR="003D0547" w:rsidRPr="007E69D8" w14:paraId="2B686345" w14:textId="77777777" w:rsidTr="00917CE0">
        <w:trPr>
          <w:trHeight w:val="2077"/>
          <w:jc w:val="center"/>
        </w:trPr>
        <w:tc>
          <w:tcPr>
            <w:tcW w:w="2094" w:type="dxa"/>
            <w:tcBorders>
              <w:top w:val="nil"/>
              <w:left w:val="single" w:sz="8" w:space="0" w:color="000000"/>
              <w:bottom w:val="single" w:sz="8" w:space="0" w:color="000000"/>
              <w:right w:val="single" w:sz="8" w:space="0" w:color="000000"/>
            </w:tcBorders>
            <w:shd w:val="clear" w:color="auto" w:fill="auto"/>
          </w:tcPr>
          <w:p w14:paraId="26021720" w14:textId="6CBAB961" w:rsidR="003D0547" w:rsidRPr="007E69D8" w:rsidRDefault="003D0547" w:rsidP="003D0547">
            <w:pPr>
              <w:spacing w:after="0" w:line="240" w:lineRule="auto"/>
              <w:ind w:left="193"/>
              <w:rPr>
                <w:rFonts w:ascii="Arial" w:hAnsi="Arial" w:cs="Arial"/>
                <w:b/>
                <w:sz w:val="18"/>
                <w:szCs w:val="18"/>
                <w:lang w:val="es-ES_tradnl"/>
              </w:rPr>
            </w:pPr>
            <w:r w:rsidRPr="007E69D8">
              <w:rPr>
                <w:rFonts w:ascii="Arial" w:hAnsi="Arial" w:cs="Arial"/>
                <w:b/>
                <w:sz w:val="18"/>
                <w:szCs w:val="18"/>
                <w:lang w:val="es-ES_tradnl"/>
              </w:rPr>
              <w:t>Hito 1:</w:t>
            </w:r>
            <w:r w:rsidRPr="007E69D8">
              <w:rPr>
                <w:rFonts w:ascii="Arial" w:hAnsi="Arial" w:cs="Arial"/>
                <w:sz w:val="18"/>
                <w:szCs w:val="18"/>
                <w:lang w:val="es-ES_tradnl"/>
              </w:rPr>
              <w:t xml:space="preserve"> Número de operaciones otorgadas para el financiamiento de capital de trabajo para </w:t>
            </w:r>
            <w:r w:rsidR="002D1E3A" w:rsidRPr="007E69D8">
              <w:rPr>
                <w:rFonts w:ascii="Arial" w:hAnsi="Arial" w:cs="Arial"/>
                <w:sz w:val="18"/>
                <w:szCs w:val="18"/>
                <w:lang w:val="es-ES_tradnl"/>
              </w:rPr>
              <w:t>MIPE</w:t>
            </w:r>
            <w:r w:rsidRPr="007E69D8">
              <w:rPr>
                <w:rFonts w:ascii="Arial" w:hAnsi="Arial" w:cs="Arial"/>
                <w:sz w:val="18"/>
                <w:szCs w:val="18"/>
                <w:lang w:val="es-ES_tradnl"/>
              </w:rPr>
              <w:t xml:space="preserve"> lideradas por mujeres en por el programa.</w:t>
            </w:r>
          </w:p>
        </w:tc>
        <w:tc>
          <w:tcPr>
            <w:tcW w:w="1552" w:type="dxa"/>
            <w:tcBorders>
              <w:top w:val="nil"/>
              <w:left w:val="nil"/>
              <w:bottom w:val="single" w:sz="8" w:space="0" w:color="000000"/>
              <w:right w:val="single" w:sz="8" w:space="0" w:color="000000"/>
            </w:tcBorders>
            <w:shd w:val="clear" w:color="auto" w:fill="auto"/>
          </w:tcPr>
          <w:p w14:paraId="393DF992" w14:textId="036F0B99" w:rsidR="003D0547" w:rsidRPr="007E69D8" w:rsidRDefault="003D0547" w:rsidP="003D0547">
            <w:pPr>
              <w:spacing w:after="0" w:line="240" w:lineRule="auto"/>
              <w:jc w:val="center"/>
              <w:rPr>
                <w:rFonts w:ascii="Arial" w:hAnsi="Arial" w:cs="Arial"/>
                <w:sz w:val="18"/>
                <w:szCs w:val="18"/>
                <w:lang w:val="es-ES_tradnl"/>
              </w:rPr>
            </w:pPr>
            <w:r w:rsidRPr="007E69D8">
              <w:rPr>
                <w:rFonts w:ascii="Arial" w:hAnsi="Arial" w:cs="Arial"/>
                <w:sz w:val="18"/>
                <w:szCs w:val="18"/>
                <w:lang w:val="es-ES_tradnl"/>
              </w:rPr>
              <w:t>Nro. de operaciones</w:t>
            </w:r>
          </w:p>
        </w:tc>
        <w:tc>
          <w:tcPr>
            <w:tcW w:w="1542" w:type="dxa"/>
            <w:tcBorders>
              <w:top w:val="nil"/>
              <w:left w:val="nil"/>
              <w:bottom w:val="single" w:sz="8" w:space="0" w:color="000000"/>
              <w:right w:val="single" w:sz="8" w:space="0" w:color="000000"/>
            </w:tcBorders>
            <w:shd w:val="clear" w:color="auto" w:fill="auto"/>
          </w:tcPr>
          <w:p w14:paraId="199C32CE" w14:textId="684EDAB2" w:rsidR="003D0547" w:rsidRPr="007E69D8" w:rsidRDefault="003D0547" w:rsidP="003D0547">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procesada por CONAFIPS.</w:t>
            </w:r>
          </w:p>
        </w:tc>
        <w:tc>
          <w:tcPr>
            <w:tcW w:w="3625" w:type="dxa"/>
            <w:tcBorders>
              <w:top w:val="nil"/>
              <w:left w:val="nil"/>
              <w:bottom w:val="single" w:sz="8" w:space="0" w:color="000000"/>
              <w:right w:val="single" w:sz="8" w:space="0" w:color="000000"/>
            </w:tcBorders>
            <w:shd w:val="clear" w:color="auto" w:fill="auto"/>
          </w:tcPr>
          <w:p w14:paraId="1855B75F" w14:textId="5C8BBD3B" w:rsidR="003D0547" w:rsidRPr="007E69D8" w:rsidRDefault="00917CE0" w:rsidP="003D0547">
            <w:pPr>
              <w:spacing w:after="0" w:line="240" w:lineRule="auto"/>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ES_tradnl" w:eastAsia="es-ES"/>
              </w:rPr>
              <w:t xml:space="preserve">Indicador </w:t>
            </w:r>
            <w:proofErr w:type="spellStart"/>
            <w:r w:rsidRPr="00917CE0">
              <w:rPr>
                <w:rFonts w:ascii="Arial" w:eastAsia="Times New Roman" w:hAnsi="Arial" w:cs="Arial"/>
                <w:i/>
                <w:iCs/>
                <w:color w:val="000000"/>
                <w:sz w:val="18"/>
                <w:szCs w:val="18"/>
                <w:lang w:val="es-ES_tradnl" w:eastAsia="es-ES"/>
              </w:rPr>
              <w:t>pro-gender</w:t>
            </w:r>
            <w:proofErr w:type="spellEnd"/>
            <w:r>
              <w:rPr>
                <w:rFonts w:ascii="Arial" w:eastAsia="Times New Roman" w:hAnsi="Arial" w:cs="Arial"/>
                <w:color w:val="000000"/>
                <w:sz w:val="18"/>
                <w:szCs w:val="18"/>
                <w:lang w:val="es-ES_tradnl" w:eastAsia="es-ES"/>
              </w:rPr>
              <w:t>.</w:t>
            </w:r>
          </w:p>
        </w:tc>
      </w:tr>
      <w:tr w:rsidR="003D0547" w:rsidRPr="00754A0C" w14:paraId="5B037BE9" w14:textId="77777777" w:rsidTr="00917CE0">
        <w:trPr>
          <w:trHeight w:val="2077"/>
          <w:jc w:val="center"/>
        </w:trPr>
        <w:tc>
          <w:tcPr>
            <w:tcW w:w="2094" w:type="dxa"/>
            <w:tcBorders>
              <w:top w:val="nil"/>
              <w:left w:val="single" w:sz="8" w:space="0" w:color="000000"/>
              <w:bottom w:val="single" w:sz="8" w:space="0" w:color="000000"/>
              <w:right w:val="single" w:sz="8" w:space="0" w:color="000000"/>
            </w:tcBorders>
            <w:shd w:val="clear" w:color="auto" w:fill="auto"/>
          </w:tcPr>
          <w:p w14:paraId="4C90EB81" w14:textId="5266BAD8" w:rsidR="003D0547" w:rsidRPr="007E69D8" w:rsidRDefault="003D0547" w:rsidP="003D0547">
            <w:pPr>
              <w:spacing w:after="0" w:line="240" w:lineRule="auto"/>
              <w:rPr>
                <w:rFonts w:ascii="Arial" w:eastAsia="Times New Roman" w:hAnsi="Arial" w:cs="Arial"/>
                <w:b/>
                <w:bCs/>
                <w:color w:val="000000"/>
                <w:sz w:val="18"/>
                <w:szCs w:val="18"/>
                <w:lang w:val="es-ES_tradnl" w:eastAsia="es-ES"/>
              </w:rPr>
            </w:pPr>
            <w:r w:rsidRPr="007E69D8">
              <w:rPr>
                <w:rFonts w:ascii="Arial" w:hAnsi="Arial" w:cs="Arial"/>
                <w:b/>
                <w:sz w:val="18"/>
                <w:szCs w:val="18"/>
                <w:lang w:val="es-ES_tradnl"/>
              </w:rPr>
              <w:lastRenderedPageBreak/>
              <w:t>Producto 2:</w:t>
            </w:r>
            <w:r w:rsidRPr="007E69D8">
              <w:rPr>
                <w:rFonts w:ascii="Arial" w:hAnsi="Arial" w:cs="Arial"/>
                <w:sz w:val="18"/>
                <w:szCs w:val="18"/>
                <w:lang w:val="es-ES_tradnl"/>
              </w:rPr>
              <w:t xml:space="preserve"> Monto garantizado para el financiamiento de capital de trabajo de </w:t>
            </w:r>
            <w:r w:rsidR="002D1E3A" w:rsidRPr="007E69D8">
              <w:rPr>
                <w:rFonts w:ascii="Arial" w:hAnsi="Arial" w:cs="Arial"/>
                <w:sz w:val="18"/>
                <w:szCs w:val="18"/>
                <w:lang w:val="es-ES_tradnl"/>
              </w:rPr>
              <w:t>MIPE</w:t>
            </w:r>
            <w:r w:rsidRPr="007E69D8">
              <w:rPr>
                <w:rFonts w:ascii="Arial" w:hAnsi="Arial" w:cs="Arial"/>
                <w:sz w:val="18"/>
                <w:szCs w:val="18"/>
                <w:lang w:val="es-ES_tradnl"/>
              </w:rPr>
              <w:t xml:space="preserve"> por el programa.</w:t>
            </w:r>
          </w:p>
        </w:tc>
        <w:tc>
          <w:tcPr>
            <w:tcW w:w="1552" w:type="dxa"/>
            <w:tcBorders>
              <w:top w:val="nil"/>
              <w:left w:val="nil"/>
              <w:bottom w:val="single" w:sz="8" w:space="0" w:color="000000"/>
              <w:right w:val="single" w:sz="8" w:space="0" w:color="000000"/>
            </w:tcBorders>
            <w:shd w:val="clear" w:color="auto" w:fill="auto"/>
          </w:tcPr>
          <w:p w14:paraId="6EA78648" w14:textId="31439DC6" w:rsidR="003D0547" w:rsidRPr="007E69D8" w:rsidRDefault="003D0547" w:rsidP="003D0547">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US$</w:t>
            </w:r>
          </w:p>
        </w:tc>
        <w:tc>
          <w:tcPr>
            <w:tcW w:w="1542" w:type="dxa"/>
            <w:tcBorders>
              <w:top w:val="nil"/>
              <w:left w:val="nil"/>
              <w:bottom w:val="single" w:sz="8" w:space="0" w:color="000000"/>
              <w:right w:val="single" w:sz="8" w:space="0" w:color="000000"/>
            </w:tcBorders>
            <w:shd w:val="clear" w:color="auto" w:fill="auto"/>
          </w:tcPr>
          <w:p w14:paraId="2BD770DE" w14:textId="16216BE2" w:rsidR="003D0547" w:rsidRPr="007E69D8" w:rsidRDefault="003D0547" w:rsidP="003D0547">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procesada por el OE.</w:t>
            </w:r>
          </w:p>
        </w:tc>
        <w:tc>
          <w:tcPr>
            <w:tcW w:w="3625" w:type="dxa"/>
            <w:tcBorders>
              <w:top w:val="nil"/>
              <w:left w:val="nil"/>
              <w:bottom w:val="single" w:sz="8" w:space="0" w:color="000000"/>
              <w:right w:val="single" w:sz="8" w:space="0" w:color="000000"/>
            </w:tcBorders>
            <w:shd w:val="clear" w:color="auto" w:fill="auto"/>
          </w:tcPr>
          <w:p w14:paraId="0311C01B" w14:textId="77777777" w:rsidR="003D0547" w:rsidRPr="007E69D8" w:rsidRDefault="003D0547" w:rsidP="003D0547">
            <w:pPr>
              <w:spacing w:after="0" w:line="240" w:lineRule="auto"/>
              <w:rPr>
                <w:rFonts w:ascii="Arial" w:eastAsia="Times New Roman" w:hAnsi="Arial" w:cs="Arial"/>
                <w:color w:val="000000"/>
                <w:sz w:val="18"/>
                <w:szCs w:val="18"/>
                <w:lang w:val="es-ES_tradnl" w:eastAsia="es-ES"/>
              </w:rPr>
            </w:pPr>
          </w:p>
        </w:tc>
      </w:tr>
      <w:tr w:rsidR="003D0547" w:rsidRPr="007E69D8" w14:paraId="783AD30B" w14:textId="77777777" w:rsidTr="00917CE0">
        <w:trPr>
          <w:trHeight w:val="2077"/>
          <w:jc w:val="center"/>
        </w:trPr>
        <w:tc>
          <w:tcPr>
            <w:tcW w:w="2094" w:type="dxa"/>
            <w:tcBorders>
              <w:top w:val="nil"/>
              <w:left w:val="single" w:sz="8" w:space="0" w:color="000000"/>
              <w:bottom w:val="single" w:sz="8" w:space="0" w:color="000000"/>
              <w:right w:val="single" w:sz="8" w:space="0" w:color="000000"/>
            </w:tcBorders>
            <w:shd w:val="clear" w:color="auto" w:fill="auto"/>
          </w:tcPr>
          <w:p w14:paraId="2FB58B04" w14:textId="4A1ACD01" w:rsidR="003D0547" w:rsidRPr="007E69D8" w:rsidRDefault="003D0547" w:rsidP="003D0547">
            <w:pPr>
              <w:spacing w:after="0" w:line="240" w:lineRule="auto"/>
              <w:ind w:left="193"/>
              <w:rPr>
                <w:rFonts w:ascii="Arial" w:eastAsia="Times New Roman" w:hAnsi="Arial" w:cs="Arial"/>
                <w:b/>
                <w:bCs/>
                <w:color w:val="000000"/>
                <w:sz w:val="18"/>
                <w:szCs w:val="18"/>
                <w:lang w:val="es-ES_tradnl" w:eastAsia="es-ES"/>
              </w:rPr>
            </w:pPr>
            <w:r w:rsidRPr="007E69D8">
              <w:rPr>
                <w:rFonts w:ascii="Arial" w:hAnsi="Arial" w:cs="Arial"/>
                <w:b/>
                <w:sz w:val="18"/>
                <w:szCs w:val="18"/>
                <w:lang w:val="es-ES_tradnl"/>
              </w:rPr>
              <w:t>Hito 2:</w:t>
            </w:r>
            <w:r w:rsidRPr="007E69D8">
              <w:rPr>
                <w:rFonts w:ascii="Arial" w:hAnsi="Arial" w:cs="Arial"/>
                <w:sz w:val="18"/>
                <w:szCs w:val="18"/>
                <w:lang w:val="es-ES_tradnl"/>
              </w:rPr>
              <w:t xml:space="preserve"> Número de operaciones garantizadas para el financiamiento de capital de trabajo de </w:t>
            </w:r>
            <w:r w:rsidR="002D1E3A" w:rsidRPr="007E69D8">
              <w:rPr>
                <w:rFonts w:ascii="Arial" w:hAnsi="Arial" w:cs="Arial"/>
                <w:sz w:val="18"/>
                <w:szCs w:val="18"/>
                <w:lang w:val="es-ES_tradnl"/>
              </w:rPr>
              <w:t>MIPE</w:t>
            </w:r>
            <w:r w:rsidRPr="007E69D8">
              <w:rPr>
                <w:rFonts w:ascii="Arial" w:hAnsi="Arial" w:cs="Arial"/>
                <w:sz w:val="18"/>
                <w:szCs w:val="18"/>
                <w:lang w:val="es-ES_tradnl"/>
              </w:rPr>
              <w:t xml:space="preserve"> lideradas por mujeres por el programa.</w:t>
            </w:r>
          </w:p>
        </w:tc>
        <w:tc>
          <w:tcPr>
            <w:tcW w:w="1552" w:type="dxa"/>
            <w:tcBorders>
              <w:top w:val="nil"/>
              <w:left w:val="nil"/>
              <w:bottom w:val="single" w:sz="8" w:space="0" w:color="000000"/>
              <w:right w:val="single" w:sz="8" w:space="0" w:color="000000"/>
            </w:tcBorders>
            <w:shd w:val="clear" w:color="auto" w:fill="auto"/>
          </w:tcPr>
          <w:p w14:paraId="62A2DC1D" w14:textId="0CEC2386" w:rsidR="003D0547" w:rsidRPr="007E69D8" w:rsidRDefault="003D0547" w:rsidP="003D0547">
            <w:pPr>
              <w:spacing w:after="0" w:line="240" w:lineRule="auto"/>
              <w:jc w:val="center"/>
              <w:rPr>
                <w:rFonts w:ascii="Arial" w:eastAsia="Times New Roman" w:hAnsi="Arial" w:cs="Arial"/>
                <w:color w:val="000000"/>
                <w:sz w:val="18"/>
                <w:szCs w:val="18"/>
                <w:lang w:val="es-ES_tradnl" w:eastAsia="es-ES"/>
              </w:rPr>
            </w:pPr>
            <w:r w:rsidRPr="007E69D8">
              <w:rPr>
                <w:rFonts w:ascii="Arial" w:hAnsi="Arial" w:cs="Arial"/>
                <w:sz w:val="18"/>
                <w:szCs w:val="18"/>
                <w:lang w:val="es-ES_tradnl"/>
              </w:rPr>
              <w:t>Nro. de operaciones</w:t>
            </w:r>
          </w:p>
        </w:tc>
        <w:tc>
          <w:tcPr>
            <w:tcW w:w="1542" w:type="dxa"/>
            <w:tcBorders>
              <w:top w:val="nil"/>
              <w:left w:val="nil"/>
              <w:bottom w:val="single" w:sz="8" w:space="0" w:color="000000"/>
              <w:right w:val="single" w:sz="8" w:space="0" w:color="000000"/>
            </w:tcBorders>
            <w:shd w:val="clear" w:color="auto" w:fill="auto"/>
          </w:tcPr>
          <w:p w14:paraId="1CE31F33" w14:textId="3B46E16B" w:rsidR="003D0547" w:rsidRPr="007E69D8" w:rsidRDefault="003D0547" w:rsidP="003D0547">
            <w:pPr>
              <w:spacing w:after="0" w:line="240" w:lineRule="auto"/>
              <w:rPr>
                <w:rFonts w:ascii="Arial" w:eastAsia="Times New Roman" w:hAnsi="Arial" w:cs="Arial"/>
                <w:color w:val="000000"/>
                <w:sz w:val="18"/>
                <w:szCs w:val="18"/>
                <w:lang w:val="es-ES_tradnl" w:eastAsia="es-ES"/>
              </w:rPr>
            </w:pPr>
            <w:r w:rsidRPr="007E69D8">
              <w:rPr>
                <w:rFonts w:ascii="Arial" w:eastAsia="Times New Roman" w:hAnsi="Arial" w:cs="Arial"/>
                <w:color w:val="000000"/>
                <w:sz w:val="18"/>
                <w:szCs w:val="18"/>
                <w:lang w:val="es-ES_tradnl" w:eastAsia="es-ES"/>
              </w:rPr>
              <w:t>Información de seguimiento y monitoreo procesada por el OE.</w:t>
            </w:r>
          </w:p>
        </w:tc>
        <w:tc>
          <w:tcPr>
            <w:tcW w:w="3625" w:type="dxa"/>
            <w:tcBorders>
              <w:top w:val="nil"/>
              <w:left w:val="nil"/>
              <w:bottom w:val="single" w:sz="8" w:space="0" w:color="000000"/>
              <w:right w:val="single" w:sz="8" w:space="0" w:color="000000"/>
            </w:tcBorders>
            <w:shd w:val="clear" w:color="auto" w:fill="auto"/>
          </w:tcPr>
          <w:p w14:paraId="5030B920" w14:textId="5D907370" w:rsidR="003D0547" w:rsidRPr="007E69D8" w:rsidRDefault="00917CE0" w:rsidP="003D0547">
            <w:pPr>
              <w:spacing w:after="0" w:line="240" w:lineRule="auto"/>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ES_tradnl" w:eastAsia="es-ES"/>
              </w:rPr>
              <w:t xml:space="preserve">Indicador </w:t>
            </w:r>
            <w:proofErr w:type="spellStart"/>
            <w:r w:rsidRPr="00917CE0">
              <w:rPr>
                <w:rFonts w:ascii="Arial" w:eastAsia="Times New Roman" w:hAnsi="Arial" w:cs="Arial"/>
                <w:i/>
                <w:iCs/>
                <w:color w:val="000000"/>
                <w:sz w:val="18"/>
                <w:szCs w:val="18"/>
                <w:lang w:val="es-ES_tradnl" w:eastAsia="es-ES"/>
              </w:rPr>
              <w:t>pro-gender</w:t>
            </w:r>
            <w:proofErr w:type="spellEnd"/>
            <w:r>
              <w:rPr>
                <w:rFonts w:ascii="Arial" w:eastAsia="Times New Roman" w:hAnsi="Arial" w:cs="Arial"/>
                <w:color w:val="000000"/>
                <w:sz w:val="18"/>
                <w:szCs w:val="18"/>
                <w:lang w:val="es-ES_tradnl" w:eastAsia="es-ES"/>
              </w:rPr>
              <w:t>.</w:t>
            </w:r>
          </w:p>
        </w:tc>
      </w:tr>
    </w:tbl>
    <w:p w14:paraId="22EF9CE8" w14:textId="77777777" w:rsidR="007116B2" w:rsidRPr="007E69D8" w:rsidRDefault="007116B2" w:rsidP="00614B51">
      <w:pPr>
        <w:pStyle w:val="SecHeading"/>
        <w:tabs>
          <w:tab w:val="clear" w:pos="5400"/>
          <w:tab w:val="num" w:pos="1260"/>
        </w:tabs>
        <w:spacing w:before="240"/>
        <w:ind w:hanging="4680"/>
        <w:rPr>
          <w:rFonts w:ascii="Arial" w:hAnsi="Arial" w:cs="Arial"/>
          <w:color w:val="auto"/>
          <w:sz w:val="22"/>
          <w:szCs w:val="22"/>
        </w:rPr>
      </w:pPr>
      <w:bookmarkStart w:id="17" w:name="_Toc352756754"/>
      <w:bookmarkStart w:id="18" w:name="_Toc36307321"/>
      <w:bookmarkEnd w:id="12"/>
      <w:r w:rsidRPr="007E69D8">
        <w:rPr>
          <w:rFonts w:ascii="Arial" w:hAnsi="Arial" w:cs="Arial"/>
          <w:color w:val="auto"/>
          <w:sz w:val="22"/>
          <w:szCs w:val="22"/>
        </w:rPr>
        <w:t>Recolección de Información e Instrumentos</w:t>
      </w:r>
      <w:bookmarkEnd w:id="17"/>
      <w:bookmarkEnd w:id="18"/>
    </w:p>
    <w:p w14:paraId="5D63483F" w14:textId="2DC952CC" w:rsidR="007116B2" w:rsidRPr="007E69D8" w:rsidRDefault="006B6990"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 xml:space="preserve">El OE y el Banco </w:t>
      </w:r>
      <w:r w:rsidR="007116B2" w:rsidRPr="007E69D8">
        <w:rPr>
          <w:rFonts w:ascii="Arial" w:hAnsi="Arial" w:cs="Arial"/>
          <w:sz w:val="22"/>
          <w:szCs w:val="22"/>
          <w:lang w:val="es-ES_tradnl"/>
        </w:rPr>
        <w:t xml:space="preserve">han acordado usar la Matriz de Resultados del programa recogida en este Plan de Monitoreo y Evaluación a los efectos de monitorear el progreso en su ejecución. Dicho monitoreo descansará en la información administrativa recolectada y mantenida durante la vida del </w:t>
      </w:r>
      <w:r w:rsidRPr="007E69D8">
        <w:rPr>
          <w:rFonts w:ascii="Arial" w:hAnsi="Arial" w:cs="Arial"/>
          <w:sz w:val="22"/>
          <w:szCs w:val="22"/>
          <w:lang w:val="es-ES_tradnl"/>
        </w:rPr>
        <w:t>programa</w:t>
      </w:r>
      <w:r w:rsidR="007116B2" w:rsidRPr="007E69D8">
        <w:rPr>
          <w:rFonts w:ascii="Arial" w:hAnsi="Arial" w:cs="Arial"/>
          <w:sz w:val="22"/>
          <w:szCs w:val="22"/>
          <w:lang w:val="es-ES_tradnl"/>
        </w:rPr>
        <w:t xml:space="preserve"> por el OE</w:t>
      </w:r>
      <w:r w:rsidRPr="007E69D8">
        <w:rPr>
          <w:rFonts w:ascii="Arial" w:hAnsi="Arial" w:cs="Arial"/>
          <w:sz w:val="22"/>
          <w:szCs w:val="22"/>
          <w:lang w:val="es-ES_tradnl"/>
        </w:rPr>
        <w:t>.</w:t>
      </w:r>
      <w:r w:rsidR="007116B2" w:rsidRPr="007E69D8">
        <w:rPr>
          <w:rFonts w:ascii="Arial" w:hAnsi="Arial" w:cs="Arial"/>
          <w:sz w:val="22"/>
          <w:szCs w:val="22"/>
          <w:lang w:val="es-ES_tradnl"/>
        </w:rPr>
        <w:t xml:space="preserve"> </w:t>
      </w:r>
      <w:r w:rsidRPr="007E69D8">
        <w:rPr>
          <w:rFonts w:ascii="Arial" w:hAnsi="Arial" w:cs="Arial"/>
          <w:sz w:val="22"/>
          <w:szCs w:val="22"/>
          <w:lang w:val="es-ES_tradnl"/>
        </w:rPr>
        <w:t>El OE m</w:t>
      </w:r>
      <w:r w:rsidR="007116B2" w:rsidRPr="007E69D8">
        <w:rPr>
          <w:rFonts w:ascii="Arial" w:hAnsi="Arial" w:cs="Arial"/>
          <w:sz w:val="22"/>
          <w:szCs w:val="22"/>
          <w:lang w:val="es-ES_tradnl"/>
        </w:rPr>
        <w:t xml:space="preserve">antendrá un sistema de registros que podrá incluir información sobre las características del </w:t>
      </w:r>
      <w:r w:rsidRPr="007E69D8">
        <w:rPr>
          <w:rFonts w:ascii="Arial" w:hAnsi="Arial" w:cs="Arial"/>
          <w:sz w:val="22"/>
          <w:szCs w:val="22"/>
          <w:lang w:val="es-ES_tradnl"/>
        </w:rPr>
        <w:t>financiamiento y/o garantía</w:t>
      </w:r>
      <w:r w:rsidR="007116B2" w:rsidRPr="007E69D8">
        <w:rPr>
          <w:rFonts w:ascii="Arial" w:hAnsi="Arial" w:cs="Arial"/>
          <w:sz w:val="22"/>
          <w:szCs w:val="22"/>
          <w:lang w:val="es-ES_tradnl"/>
        </w:rPr>
        <w:t xml:space="preserve"> otorgado a los prestatarios y/o destinatarios </w:t>
      </w:r>
      <w:r w:rsidRPr="007E69D8">
        <w:rPr>
          <w:rFonts w:ascii="Arial" w:hAnsi="Arial" w:cs="Arial"/>
          <w:sz w:val="22"/>
          <w:szCs w:val="22"/>
          <w:lang w:val="es-ES_tradnl"/>
        </w:rPr>
        <w:t>finales,</w:t>
      </w:r>
      <w:r w:rsidR="007116B2" w:rsidRPr="007E69D8">
        <w:rPr>
          <w:rFonts w:ascii="Arial" w:hAnsi="Arial" w:cs="Arial"/>
          <w:sz w:val="22"/>
          <w:szCs w:val="22"/>
          <w:lang w:val="es-ES_tradnl"/>
        </w:rPr>
        <w:t xml:space="preserve"> como monto, tasa de interés, sector de actividad, destino de la inversión, plazos y cartera vencida.</w:t>
      </w:r>
    </w:p>
    <w:p w14:paraId="741F1122" w14:textId="77777777"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 xml:space="preserve">Los usuarios de los informes semestrales de seguimiento serán el organismo financiador del Programa (BID), más concretamente la División de Conectividad, Mercados y Finanzas (IFD/CMF), las instituciones colaboradoras en cada proyecto, y las auditorías que trabajen en la supervisión del Programa. </w:t>
      </w:r>
    </w:p>
    <w:p w14:paraId="66E142C8" w14:textId="77777777" w:rsidR="007116B2" w:rsidRPr="007E69D8" w:rsidRDefault="007116B2" w:rsidP="007116B2">
      <w:pPr>
        <w:pStyle w:val="SecHeading"/>
        <w:tabs>
          <w:tab w:val="clear" w:pos="5400"/>
          <w:tab w:val="num" w:pos="1260"/>
        </w:tabs>
        <w:ind w:left="5398" w:hanging="4678"/>
        <w:rPr>
          <w:rFonts w:ascii="Arial" w:hAnsi="Arial" w:cs="Arial"/>
          <w:color w:val="auto"/>
          <w:sz w:val="22"/>
          <w:szCs w:val="22"/>
        </w:rPr>
      </w:pPr>
      <w:bookmarkStart w:id="19" w:name="_Toc352756755"/>
      <w:bookmarkStart w:id="20" w:name="_Toc36307322"/>
      <w:r w:rsidRPr="007E69D8">
        <w:rPr>
          <w:rFonts w:ascii="Arial" w:hAnsi="Arial" w:cs="Arial"/>
          <w:color w:val="auto"/>
          <w:sz w:val="22"/>
          <w:szCs w:val="22"/>
        </w:rPr>
        <w:t xml:space="preserve">Presentación de </w:t>
      </w:r>
      <w:bookmarkEnd w:id="19"/>
      <w:r w:rsidRPr="007E69D8">
        <w:rPr>
          <w:rFonts w:ascii="Arial" w:hAnsi="Arial" w:cs="Arial"/>
          <w:color w:val="auto"/>
          <w:sz w:val="22"/>
          <w:szCs w:val="22"/>
        </w:rPr>
        <w:t>Informes</w:t>
      </w:r>
      <w:bookmarkEnd w:id="20"/>
      <w:r w:rsidRPr="007E69D8">
        <w:rPr>
          <w:rFonts w:ascii="Arial" w:hAnsi="Arial" w:cs="Arial"/>
          <w:color w:val="auto"/>
          <w:sz w:val="22"/>
          <w:szCs w:val="22"/>
        </w:rPr>
        <w:t xml:space="preserve"> </w:t>
      </w:r>
    </w:p>
    <w:p w14:paraId="6ACBCF31" w14:textId="7C53A4AC"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 xml:space="preserve">La ejecución del programa será monitoreada a través de los PMR. </w:t>
      </w:r>
      <w:r w:rsidR="006B6990" w:rsidRPr="007E69D8">
        <w:rPr>
          <w:rFonts w:ascii="Arial" w:hAnsi="Arial" w:cs="Arial"/>
          <w:sz w:val="22"/>
          <w:szCs w:val="22"/>
          <w:lang w:val="es-ES_tradnl"/>
        </w:rPr>
        <w:t xml:space="preserve">El OE en coordinación con </w:t>
      </w:r>
      <w:r w:rsidR="004175DB" w:rsidRPr="007E69D8">
        <w:rPr>
          <w:rFonts w:ascii="Arial" w:hAnsi="Arial" w:cs="Arial"/>
          <w:sz w:val="22"/>
          <w:szCs w:val="22"/>
          <w:lang w:val="es-ES_tradnl"/>
        </w:rPr>
        <w:t xml:space="preserve">el Banco </w:t>
      </w:r>
      <w:r w:rsidRPr="007E69D8">
        <w:rPr>
          <w:rFonts w:ascii="Arial" w:hAnsi="Arial" w:cs="Arial"/>
          <w:sz w:val="22"/>
          <w:szCs w:val="22"/>
          <w:lang w:val="es-ES_tradnl"/>
        </w:rPr>
        <w:t>será responsable de entregar dichos informes al BID dentro de los plazos especificados en las condiciones contractuales (a más tardar 60 días después del fin de cada semestre). Estos informes incluyen: (i) Informes de Monitoreo semestrales; (</w:t>
      </w:r>
      <w:proofErr w:type="spellStart"/>
      <w:r w:rsidRPr="007E69D8">
        <w:rPr>
          <w:rFonts w:ascii="Arial" w:hAnsi="Arial" w:cs="Arial"/>
          <w:sz w:val="22"/>
          <w:szCs w:val="22"/>
          <w:lang w:val="es-ES_tradnl"/>
        </w:rPr>
        <w:t>ii</w:t>
      </w:r>
      <w:proofErr w:type="spellEnd"/>
      <w:r w:rsidRPr="007E69D8">
        <w:rPr>
          <w:rFonts w:ascii="Arial" w:hAnsi="Arial" w:cs="Arial"/>
          <w:sz w:val="22"/>
          <w:szCs w:val="22"/>
          <w:lang w:val="es-ES_tradnl"/>
        </w:rPr>
        <w:t>) el Informe de Evaluación Final; (iii) Auditorías; y (</w:t>
      </w:r>
      <w:proofErr w:type="spellStart"/>
      <w:r w:rsidRPr="007E69D8">
        <w:rPr>
          <w:rFonts w:ascii="Arial" w:hAnsi="Arial" w:cs="Arial"/>
          <w:sz w:val="22"/>
          <w:szCs w:val="22"/>
          <w:lang w:val="es-ES_tradnl"/>
        </w:rPr>
        <w:t>iv</w:t>
      </w:r>
      <w:proofErr w:type="spellEnd"/>
      <w:r w:rsidRPr="007E69D8">
        <w:rPr>
          <w:rFonts w:ascii="Arial" w:hAnsi="Arial" w:cs="Arial"/>
          <w:sz w:val="22"/>
          <w:szCs w:val="22"/>
          <w:lang w:val="es-ES_tradnl"/>
        </w:rPr>
        <w:t>) Evaluaciones de Cumplimiento ESG.</w:t>
      </w:r>
    </w:p>
    <w:p w14:paraId="27D87128" w14:textId="77777777"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Los informes de monitoreo semestral deberán incluir (i) el estado de la ejecución de las actividades del programa, sus productos y efectos directos conforme se vayan realizando, los problemas de ejecución y/o riesgos identificados, y las acciones propuestas para mitigarlos; así como (</w:t>
      </w:r>
      <w:proofErr w:type="spellStart"/>
      <w:r w:rsidRPr="007E69D8">
        <w:rPr>
          <w:rFonts w:ascii="Arial" w:hAnsi="Arial" w:cs="Arial"/>
          <w:sz w:val="22"/>
          <w:szCs w:val="22"/>
          <w:lang w:val="es-ES_tradnl"/>
        </w:rPr>
        <w:t>ii</w:t>
      </w:r>
      <w:proofErr w:type="spellEnd"/>
      <w:r w:rsidRPr="007E69D8">
        <w:rPr>
          <w:rFonts w:ascii="Arial" w:hAnsi="Arial" w:cs="Arial"/>
          <w:sz w:val="22"/>
          <w:szCs w:val="22"/>
          <w:lang w:val="es-ES_tradnl"/>
        </w:rPr>
        <w:t xml:space="preserve">) la consecución de los productos e hitos tal y como se establecen en la Matriz de Resultados. </w:t>
      </w:r>
    </w:p>
    <w:p w14:paraId="3579C3CE" w14:textId="77777777"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 xml:space="preserve">Por su parte, el informe de evaluación final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w:t>
      </w:r>
      <w:r w:rsidRPr="007E69D8">
        <w:rPr>
          <w:rFonts w:ascii="Arial" w:hAnsi="Arial" w:cs="Arial"/>
          <w:sz w:val="22"/>
          <w:szCs w:val="22"/>
          <w:lang w:val="es-ES_tradnl"/>
        </w:rPr>
        <w:lastRenderedPageBreak/>
        <w:t>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p>
    <w:p w14:paraId="1B597920" w14:textId="77777777"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Las auditorías deberán ser completadas por auditores independiente aceptables y seleccionados según los procedimientos del BID, tal y como establecen las directrices previstas para este fin. Los estados financieros anuales auditados del programa se presentarán dentro de los 120 días siguientes al cierre de cada ejercicio económico, comenzando con el ejercicio en que se inicia la ejecución del programa. Los mismos estados financieros, pero referentes al cierre del programa, serán presentados dentro de los 120 días posteriores al último desembolso.</w:t>
      </w:r>
    </w:p>
    <w:p w14:paraId="52887872" w14:textId="77777777" w:rsidR="007116B2" w:rsidRPr="007E69D8" w:rsidRDefault="007116B2" w:rsidP="007116B2">
      <w:pPr>
        <w:pStyle w:val="Paragraph"/>
        <w:numPr>
          <w:ilvl w:val="1"/>
          <w:numId w:val="5"/>
        </w:numPr>
        <w:ind w:left="630" w:hanging="630"/>
        <w:rPr>
          <w:rFonts w:ascii="Arial" w:hAnsi="Arial" w:cs="Arial"/>
          <w:sz w:val="22"/>
          <w:szCs w:val="22"/>
          <w:lang w:val="es-ES_tradnl"/>
        </w:rPr>
      </w:pPr>
      <w:r w:rsidRPr="007E69D8">
        <w:rPr>
          <w:rFonts w:ascii="Arial" w:hAnsi="Arial" w:cs="Arial"/>
          <w:sz w:val="22"/>
          <w:szCs w:val="22"/>
          <w:lang w:val="es-ES_tradnl"/>
        </w:rPr>
        <w:t xml:space="preserve">Por último, los informes de evaluación de cumplimiento con las políticas de ESG del BID deberán reflejar el grado de cumplimiento de los requisitos sociales y medioambientales con el sustento necesario y suficiente para su comprobación.  </w:t>
      </w:r>
    </w:p>
    <w:p w14:paraId="5881939D" w14:textId="77777777" w:rsidR="007116B2" w:rsidRPr="007E69D8" w:rsidRDefault="007116B2" w:rsidP="007116B2">
      <w:pPr>
        <w:pStyle w:val="SecHeading"/>
        <w:tabs>
          <w:tab w:val="clear" w:pos="5400"/>
          <w:tab w:val="num" w:pos="1260"/>
        </w:tabs>
        <w:ind w:hanging="4680"/>
      </w:pPr>
      <w:bookmarkStart w:id="21" w:name="_Toc36307323"/>
      <w:r w:rsidRPr="007E69D8">
        <w:rPr>
          <w:rFonts w:ascii="Arial" w:hAnsi="Arial" w:cs="Arial"/>
          <w:sz w:val="22"/>
          <w:szCs w:val="22"/>
        </w:rPr>
        <w:t>Coordinación del Monitoreo, Plan de Trabajo y Presupuesto</w:t>
      </w:r>
      <w:bookmarkEnd w:id="21"/>
      <w:r w:rsidRPr="007E69D8">
        <w:rPr>
          <w:rFonts w:ascii="Arial" w:hAnsi="Arial" w:cs="Arial"/>
          <w:sz w:val="22"/>
          <w:szCs w:val="22"/>
        </w:rPr>
        <w:t xml:space="preserve"> </w:t>
      </w:r>
    </w:p>
    <w:p w14:paraId="7E08E4F1" w14:textId="077438B8" w:rsidR="007116B2" w:rsidRPr="007E69D8" w:rsidRDefault="00EB70D1" w:rsidP="007116B2">
      <w:pPr>
        <w:pStyle w:val="Paragraph"/>
        <w:numPr>
          <w:ilvl w:val="1"/>
          <w:numId w:val="5"/>
        </w:numPr>
        <w:ind w:left="630" w:hanging="630"/>
        <w:rPr>
          <w:rFonts w:ascii="Arial" w:hAnsi="Arial" w:cs="Arial"/>
          <w:sz w:val="22"/>
          <w:szCs w:val="22"/>
          <w:lang w:val="es-ES_tradnl"/>
        </w:rPr>
      </w:pPr>
      <w:bookmarkStart w:id="22" w:name="_Toc352755939"/>
      <w:bookmarkStart w:id="23" w:name="_Toc387738398"/>
      <w:r w:rsidRPr="007E69D8">
        <w:rPr>
          <w:rFonts w:ascii="Arial" w:hAnsi="Arial" w:cs="Arial"/>
          <w:sz w:val="22"/>
          <w:szCs w:val="22"/>
          <w:lang w:val="es-ES_tradnl"/>
        </w:rPr>
        <w:t>El OE</w:t>
      </w:r>
      <w:r w:rsidR="007116B2" w:rsidRPr="007E69D8">
        <w:rPr>
          <w:rFonts w:ascii="Arial" w:hAnsi="Arial" w:cs="Arial"/>
          <w:sz w:val="22"/>
          <w:szCs w:val="22"/>
          <w:lang w:val="es-ES_tradnl"/>
        </w:rPr>
        <w:t xml:space="preserve"> será responsable de la supervisión y coordinación operacional y administrativa del programa. Sus funciones administrativas incluirán, entre otras: (i) la planificación de la ejecución del programa; (</w:t>
      </w:r>
      <w:proofErr w:type="spellStart"/>
      <w:r w:rsidR="007116B2" w:rsidRPr="007E69D8">
        <w:rPr>
          <w:rFonts w:ascii="Arial" w:hAnsi="Arial" w:cs="Arial"/>
          <w:sz w:val="22"/>
          <w:szCs w:val="22"/>
          <w:lang w:val="es-ES_tradnl"/>
        </w:rPr>
        <w:t>ii</w:t>
      </w:r>
      <w:proofErr w:type="spellEnd"/>
      <w:r w:rsidR="007116B2" w:rsidRPr="007E69D8">
        <w:rPr>
          <w:rFonts w:ascii="Arial" w:hAnsi="Arial" w:cs="Arial"/>
          <w:sz w:val="22"/>
          <w:szCs w:val="22"/>
          <w:lang w:val="es-ES_tradnl"/>
        </w:rPr>
        <w:t>) sus desembolsos; (iii) sus controles internos; (</w:t>
      </w:r>
      <w:proofErr w:type="spellStart"/>
      <w:r w:rsidR="007116B2" w:rsidRPr="007E69D8">
        <w:rPr>
          <w:rFonts w:ascii="Arial" w:hAnsi="Arial" w:cs="Arial"/>
          <w:sz w:val="22"/>
          <w:szCs w:val="22"/>
          <w:lang w:val="es-ES_tradnl"/>
        </w:rPr>
        <w:t>iv</w:t>
      </w:r>
      <w:proofErr w:type="spellEnd"/>
      <w:r w:rsidR="007116B2" w:rsidRPr="007E69D8">
        <w:rPr>
          <w:rFonts w:ascii="Arial" w:hAnsi="Arial" w:cs="Arial"/>
          <w:sz w:val="22"/>
          <w:szCs w:val="22"/>
          <w:lang w:val="es-ES_tradnl"/>
        </w:rPr>
        <w:t>) su auditoria; (v) el mantenimiento y continua actualización de todas las informaciones necesarias para generar los indicadores de producto y resultados; y (vi) la generación de reportes periódicos sobre su desempeño.</w:t>
      </w:r>
      <w:bookmarkEnd w:id="22"/>
      <w:bookmarkEnd w:id="23"/>
    </w:p>
    <w:p w14:paraId="3643FBDF" w14:textId="01EB8739" w:rsidR="007116B2" w:rsidRPr="007E69D8" w:rsidRDefault="007116B2" w:rsidP="007116B2">
      <w:pPr>
        <w:ind w:left="630" w:hanging="630"/>
        <w:jc w:val="both"/>
        <w:rPr>
          <w:b/>
          <w:sz w:val="18"/>
          <w:szCs w:val="20"/>
          <w:lang w:val="es-ES_tradnl"/>
        </w:rPr>
      </w:pPr>
      <w:r w:rsidRPr="007E69D8">
        <w:rPr>
          <w:rFonts w:ascii="Arial" w:eastAsia="Times New Roman" w:hAnsi="Arial" w:cs="Arial"/>
          <w:szCs w:val="18"/>
          <w:lang w:val="es-ES_tradnl"/>
        </w:rPr>
        <w:t>2.14</w:t>
      </w:r>
      <w:r w:rsidRPr="007E69D8">
        <w:rPr>
          <w:rFonts w:ascii="Arial" w:eastAsia="Times New Roman" w:hAnsi="Arial" w:cs="Arial"/>
          <w:szCs w:val="18"/>
          <w:lang w:val="es-ES_tradnl"/>
        </w:rPr>
        <w:tab/>
        <w:t xml:space="preserve">Los costos de Monitoreo serán cubiertos por </w:t>
      </w:r>
      <w:r w:rsidR="00EB70D1" w:rsidRPr="007E69D8">
        <w:rPr>
          <w:rFonts w:ascii="Arial" w:eastAsia="Times New Roman" w:hAnsi="Arial" w:cs="Arial"/>
          <w:szCs w:val="18"/>
          <w:lang w:val="es-ES_tradnl"/>
        </w:rPr>
        <w:t>el OE</w:t>
      </w:r>
      <w:r w:rsidR="00E938EC" w:rsidRPr="007E69D8">
        <w:rPr>
          <w:rFonts w:ascii="Arial" w:eastAsia="Times New Roman" w:hAnsi="Arial" w:cs="Arial"/>
          <w:szCs w:val="18"/>
          <w:lang w:val="es-ES_tradnl"/>
        </w:rPr>
        <w:t>.</w:t>
      </w:r>
    </w:p>
    <w:p w14:paraId="69225979" w14:textId="7CA65170" w:rsidR="007116B2" w:rsidRPr="007E69D8" w:rsidRDefault="00614B51" w:rsidP="007116B2">
      <w:pPr>
        <w:spacing w:before="120" w:after="120" w:line="240" w:lineRule="auto"/>
        <w:jc w:val="center"/>
        <w:rPr>
          <w:rFonts w:ascii="Arial" w:hAnsi="Arial" w:cs="Arial"/>
          <w:b/>
          <w:sz w:val="20"/>
          <w:lang w:val="es-ES_tradnl"/>
        </w:rPr>
      </w:pPr>
      <w:r w:rsidRPr="007E69D8">
        <w:rPr>
          <w:rFonts w:ascii="Arial" w:hAnsi="Arial" w:cs="Arial"/>
          <w:b/>
          <w:sz w:val="20"/>
          <w:lang w:val="es-ES_tradnl"/>
        </w:rPr>
        <w:t>Cuadro</w:t>
      </w:r>
      <w:r w:rsidR="007116B2" w:rsidRPr="007E69D8">
        <w:rPr>
          <w:rFonts w:ascii="Arial" w:hAnsi="Arial" w:cs="Arial"/>
          <w:b/>
          <w:sz w:val="20"/>
          <w:lang w:val="es-ES_tradnl"/>
        </w:rPr>
        <w:t xml:space="preserve"> 2.  Plan de Trabajo y Presupuesto de Monitoreo</w:t>
      </w:r>
    </w:p>
    <w:tbl>
      <w:tblPr>
        <w:tblW w:w="5000" w:type="pct"/>
        <w:jc w:val="center"/>
        <w:tblCellMar>
          <w:left w:w="70" w:type="dxa"/>
          <w:right w:w="70" w:type="dxa"/>
        </w:tblCellMar>
        <w:tblLook w:val="04A0" w:firstRow="1" w:lastRow="0" w:firstColumn="1" w:lastColumn="0" w:noHBand="0" w:noVBand="1"/>
      </w:tblPr>
      <w:tblGrid>
        <w:gridCol w:w="1421"/>
        <w:gridCol w:w="326"/>
        <w:gridCol w:w="330"/>
        <w:gridCol w:w="330"/>
        <w:gridCol w:w="331"/>
        <w:gridCol w:w="331"/>
        <w:gridCol w:w="331"/>
        <w:gridCol w:w="331"/>
        <w:gridCol w:w="331"/>
        <w:gridCol w:w="333"/>
        <w:gridCol w:w="340"/>
        <w:gridCol w:w="2042"/>
        <w:gridCol w:w="1498"/>
        <w:gridCol w:w="1065"/>
      </w:tblGrid>
      <w:tr w:rsidR="007116B2" w:rsidRPr="007E69D8" w14:paraId="30F89DFF" w14:textId="77777777" w:rsidTr="00D31FFA">
        <w:trPr>
          <w:trHeight w:val="450"/>
          <w:jc w:val="center"/>
        </w:trPr>
        <w:tc>
          <w:tcPr>
            <w:tcW w:w="76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CF7163" w14:textId="77777777" w:rsidR="007116B2" w:rsidRPr="007E69D8" w:rsidRDefault="007116B2" w:rsidP="00454CB5">
            <w:pPr>
              <w:spacing w:after="0" w:line="240" w:lineRule="auto"/>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 xml:space="preserve">Actividades Claves de Monitoreo </w:t>
            </w:r>
          </w:p>
        </w:tc>
        <w:tc>
          <w:tcPr>
            <w:tcW w:w="351" w:type="pct"/>
            <w:gridSpan w:val="2"/>
            <w:tcBorders>
              <w:top w:val="single" w:sz="8" w:space="0" w:color="auto"/>
              <w:left w:val="nil"/>
              <w:bottom w:val="single" w:sz="8" w:space="0" w:color="auto"/>
              <w:right w:val="single" w:sz="8" w:space="0" w:color="000000"/>
            </w:tcBorders>
            <w:shd w:val="clear" w:color="auto" w:fill="auto"/>
            <w:vAlign w:val="center"/>
            <w:hideMark/>
          </w:tcPr>
          <w:p w14:paraId="623DDB86" w14:textId="77777777" w:rsidR="007116B2" w:rsidRPr="007E69D8" w:rsidRDefault="007116B2" w:rsidP="00454CB5">
            <w:pPr>
              <w:spacing w:after="0" w:line="240" w:lineRule="auto"/>
              <w:jc w:val="right"/>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2020</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7A1B877B" w14:textId="77777777" w:rsidR="007116B2" w:rsidRPr="007E69D8" w:rsidRDefault="007116B2" w:rsidP="00454CB5">
            <w:pPr>
              <w:spacing w:after="0" w:line="240" w:lineRule="auto"/>
              <w:jc w:val="center"/>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2021</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0D2977CB" w14:textId="77777777" w:rsidR="007116B2" w:rsidRPr="007E69D8" w:rsidRDefault="007116B2" w:rsidP="00454CB5">
            <w:pPr>
              <w:spacing w:after="0" w:line="240" w:lineRule="auto"/>
              <w:jc w:val="center"/>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2022</w:t>
            </w:r>
          </w:p>
        </w:tc>
        <w:tc>
          <w:tcPr>
            <w:tcW w:w="354" w:type="pct"/>
            <w:gridSpan w:val="2"/>
            <w:tcBorders>
              <w:top w:val="single" w:sz="8" w:space="0" w:color="auto"/>
              <w:left w:val="nil"/>
              <w:bottom w:val="single" w:sz="8" w:space="0" w:color="auto"/>
              <w:right w:val="single" w:sz="8" w:space="0" w:color="000000"/>
            </w:tcBorders>
            <w:shd w:val="clear" w:color="auto" w:fill="auto"/>
            <w:vAlign w:val="center"/>
            <w:hideMark/>
          </w:tcPr>
          <w:p w14:paraId="0AE54ED6" w14:textId="77777777" w:rsidR="007116B2" w:rsidRPr="007E69D8" w:rsidRDefault="007116B2" w:rsidP="00454CB5">
            <w:pPr>
              <w:spacing w:after="0" w:line="240" w:lineRule="auto"/>
              <w:jc w:val="center"/>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2023</w:t>
            </w:r>
          </w:p>
        </w:tc>
        <w:tc>
          <w:tcPr>
            <w:tcW w:w="360" w:type="pct"/>
            <w:gridSpan w:val="2"/>
            <w:tcBorders>
              <w:top w:val="single" w:sz="8" w:space="0" w:color="auto"/>
              <w:left w:val="nil"/>
              <w:bottom w:val="single" w:sz="8" w:space="0" w:color="auto"/>
              <w:right w:val="single" w:sz="8" w:space="0" w:color="000000"/>
            </w:tcBorders>
            <w:shd w:val="clear" w:color="auto" w:fill="auto"/>
            <w:vAlign w:val="center"/>
            <w:hideMark/>
          </w:tcPr>
          <w:p w14:paraId="1A0E220A" w14:textId="77777777" w:rsidR="007116B2" w:rsidRPr="007E69D8" w:rsidRDefault="007116B2" w:rsidP="00454CB5">
            <w:pPr>
              <w:spacing w:after="0" w:line="240" w:lineRule="auto"/>
              <w:jc w:val="center"/>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2024</w:t>
            </w:r>
          </w:p>
        </w:tc>
        <w:tc>
          <w:tcPr>
            <w:tcW w:w="1093"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3C9940" w14:textId="603B8031" w:rsidR="007116B2" w:rsidRPr="007E69D8" w:rsidRDefault="007116B2" w:rsidP="00454CB5">
            <w:pPr>
              <w:spacing w:after="0" w:line="240" w:lineRule="auto"/>
              <w:jc w:val="center"/>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Costo</w:t>
            </w:r>
            <w:r w:rsidR="00E938EC" w:rsidRPr="007E69D8">
              <w:rPr>
                <w:rFonts w:ascii="Arial" w:eastAsia="Times New Roman" w:hAnsi="Arial" w:cs="Arial"/>
                <w:b/>
                <w:bCs/>
                <w:color w:val="000000"/>
                <w:sz w:val="20"/>
                <w:szCs w:val="20"/>
                <w:lang w:val="es-ES_tradnl" w:eastAsia="es-ES"/>
              </w:rPr>
              <w:t xml:space="preserve"> (US$)</w:t>
            </w:r>
          </w:p>
        </w:tc>
        <w:tc>
          <w:tcPr>
            <w:tcW w:w="802"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CFE7E4" w14:textId="77777777" w:rsidR="007116B2" w:rsidRPr="007E69D8" w:rsidRDefault="007116B2" w:rsidP="00454CB5">
            <w:pPr>
              <w:spacing w:after="0" w:line="240" w:lineRule="auto"/>
              <w:jc w:val="center"/>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Responsable</w:t>
            </w:r>
          </w:p>
        </w:tc>
        <w:tc>
          <w:tcPr>
            <w:tcW w:w="570"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9000626" w14:textId="77777777" w:rsidR="007116B2" w:rsidRPr="007E69D8" w:rsidRDefault="007116B2" w:rsidP="00454CB5">
            <w:pPr>
              <w:spacing w:after="0" w:line="240" w:lineRule="auto"/>
              <w:jc w:val="center"/>
              <w:rPr>
                <w:rFonts w:ascii="Arial" w:eastAsia="Times New Roman" w:hAnsi="Arial" w:cs="Arial"/>
                <w:b/>
                <w:bCs/>
                <w:color w:val="000000"/>
                <w:sz w:val="20"/>
                <w:szCs w:val="20"/>
                <w:lang w:val="es-ES_tradnl" w:eastAsia="es-ES"/>
              </w:rPr>
            </w:pPr>
            <w:r w:rsidRPr="007E69D8">
              <w:rPr>
                <w:rFonts w:ascii="Arial" w:eastAsia="Times New Roman" w:hAnsi="Arial" w:cs="Arial"/>
                <w:b/>
                <w:bCs/>
                <w:color w:val="000000"/>
                <w:sz w:val="20"/>
                <w:szCs w:val="20"/>
                <w:lang w:val="es-ES_tradnl" w:eastAsia="es-ES"/>
              </w:rPr>
              <w:t>Fuente de fondeo</w:t>
            </w:r>
          </w:p>
        </w:tc>
      </w:tr>
      <w:tr w:rsidR="007116B2" w:rsidRPr="007E69D8" w14:paraId="2ABD9F65" w14:textId="77777777" w:rsidTr="00D31FFA">
        <w:trPr>
          <w:trHeight w:val="315"/>
          <w:jc w:val="center"/>
        </w:trPr>
        <w:tc>
          <w:tcPr>
            <w:tcW w:w="761" w:type="pct"/>
            <w:vMerge/>
            <w:tcBorders>
              <w:top w:val="single" w:sz="8" w:space="0" w:color="auto"/>
              <w:left w:val="single" w:sz="8" w:space="0" w:color="auto"/>
              <w:bottom w:val="single" w:sz="8" w:space="0" w:color="000000"/>
              <w:right w:val="single" w:sz="8" w:space="0" w:color="auto"/>
            </w:tcBorders>
            <w:vAlign w:val="center"/>
            <w:hideMark/>
          </w:tcPr>
          <w:p w14:paraId="4CD21056" w14:textId="77777777" w:rsidR="007116B2" w:rsidRPr="007E69D8" w:rsidRDefault="007116B2" w:rsidP="00454CB5">
            <w:pPr>
              <w:spacing w:after="0" w:line="240" w:lineRule="auto"/>
              <w:rPr>
                <w:rFonts w:ascii="Arial" w:eastAsia="Times New Roman" w:hAnsi="Arial" w:cs="Arial"/>
                <w:b/>
                <w:bCs/>
                <w:color w:val="000000"/>
                <w:sz w:val="20"/>
                <w:szCs w:val="20"/>
                <w:lang w:val="es-ES_tradnl" w:eastAsia="es-ES"/>
              </w:rPr>
            </w:pPr>
          </w:p>
        </w:tc>
        <w:tc>
          <w:tcPr>
            <w:tcW w:w="175" w:type="pct"/>
            <w:tcBorders>
              <w:top w:val="nil"/>
              <w:left w:val="nil"/>
              <w:bottom w:val="single" w:sz="8" w:space="0" w:color="auto"/>
              <w:right w:val="single" w:sz="8" w:space="0" w:color="auto"/>
            </w:tcBorders>
            <w:shd w:val="clear" w:color="auto" w:fill="auto"/>
            <w:vAlign w:val="center"/>
            <w:hideMark/>
          </w:tcPr>
          <w:p w14:paraId="31C97EC5"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1A112901"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1F5ED23F"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13B48E49"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10C3405E"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2D891251"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2</w:t>
            </w:r>
          </w:p>
        </w:tc>
        <w:tc>
          <w:tcPr>
            <w:tcW w:w="177" w:type="pct"/>
            <w:tcBorders>
              <w:top w:val="nil"/>
              <w:left w:val="nil"/>
              <w:bottom w:val="single" w:sz="8" w:space="0" w:color="auto"/>
              <w:right w:val="single" w:sz="8" w:space="0" w:color="auto"/>
            </w:tcBorders>
            <w:shd w:val="clear" w:color="auto" w:fill="auto"/>
            <w:vAlign w:val="center"/>
            <w:hideMark/>
          </w:tcPr>
          <w:p w14:paraId="7E9081CB"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1</w:t>
            </w:r>
          </w:p>
        </w:tc>
        <w:tc>
          <w:tcPr>
            <w:tcW w:w="177" w:type="pct"/>
            <w:tcBorders>
              <w:top w:val="nil"/>
              <w:left w:val="nil"/>
              <w:bottom w:val="single" w:sz="8" w:space="0" w:color="auto"/>
              <w:right w:val="single" w:sz="8" w:space="0" w:color="auto"/>
            </w:tcBorders>
            <w:shd w:val="clear" w:color="auto" w:fill="auto"/>
            <w:vAlign w:val="center"/>
            <w:hideMark/>
          </w:tcPr>
          <w:p w14:paraId="08D036D2"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2</w:t>
            </w:r>
          </w:p>
        </w:tc>
        <w:tc>
          <w:tcPr>
            <w:tcW w:w="178" w:type="pct"/>
            <w:tcBorders>
              <w:top w:val="nil"/>
              <w:left w:val="nil"/>
              <w:bottom w:val="single" w:sz="8" w:space="0" w:color="auto"/>
              <w:right w:val="single" w:sz="8" w:space="0" w:color="auto"/>
            </w:tcBorders>
            <w:shd w:val="clear" w:color="auto" w:fill="auto"/>
            <w:vAlign w:val="center"/>
            <w:hideMark/>
          </w:tcPr>
          <w:p w14:paraId="36D3C352"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1</w:t>
            </w:r>
          </w:p>
        </w:tc>
        <w:tc>
          <w:tcPr>
            <w:tcW w:w="182" w:type="pct"/>
            <w:tcBorders>
              <w:top w:val="nil"/>
              <w:left w:val="nil"/>
              <w:bottom w:val="single" w:sz="8" w:space="0" w:color="auto"/>
              <w:right w:val="single" w:sz="8" w:space="0" w:color="auto"/>
            </w:tcBorders>
            <w:shd w:val="clear" w:color="auto" w:fill="auto"/>
            <w:vAlign w:val="center"/>
            <w:hideMark/>
          </w:tcPr>
          <w:p w14:paraId="74F900FE" w14:textId="77777777" w:rsidR="007116B2" w:rsidRPr="007E69D8" w:rsidRDefault="007116B2" w:rsidP="00454CB5">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2</w:t>
            </w:r>
          </w:p>
        </w:tc>
        <w:tc>
          <w:tcPr>
            <w:tcW w:w="1093" w:type="pct"/>
            <w:vMerge/>
            <w:tcBorders>
              <w:top w:val="nil"/>
              <w:left w:val="nil"/>
              <w:bottom w:val="single" w:sz="8" w:space="0" w:color="auto"/>
              <w:right w:val="single" w:sz="8" w:space="0" w:color="auto"/>
            </w:tcBorders>
            <w:vAlign w:val="center"/>
            <w:hideMark/>
          </w:tcPr>
          <w:p w14:paraId="0FA8192C" w14:textId="77777777" w:rsidR="007116B2" w:rsidRPr="007E69D8" w:rsidRDefault="007116B2" w:rsidP="00454CB5">
            <w:pPr>
              <w:spacing w:after="0" w:line="240" w:lineRule="auto"/>
              <w:rPr>
                <w:rFonts w:ascii="Arial" w:eastAsia="Times New Roman" w:hAnsi="Arial" w:cs="Arial"/>
                <w:b/>
                <w:bCs/>
                <w:color w:val="000000"/>
                <w:sz w:val="20"/>
                <w:szCs w:val="20"/>
                <w:lang w:val="es-ES_tradnl" w:eastAsia="es-ES"/>
              </w:rPr>
            </w:pPr>
          </w:p>
        </w:tc>
        <w:tc>
          <w:tcPr>
            <w:tcW w:w="802" w:type="pct"/>
            <w:vMerge/>
            <w:tcBorders>
              <w:top w:val="nil"/>
              <w:left w:val="nil"/>
              <w:bottom w:val="single" w:sz="8" w:space="0" w:color="auto"/>
              <w:right w:val="single" w:sz="8" w:space="0" w:color="auto"/>
            </w:tcBorders>
            <w:vAlign w:val="center"/>
            <w:hideMark/>
          </w:tcPr>
          <w:p w14:paraId="3EDA5B11" w14:textId="77777777" w:rsidR="007116B2" w:rsidRPr="007E69D8" w:rsidRDefault="007116B2" w:rsidP="00454CB5">
            <w:pPr>
              <w:spacing w:after="0" w:line="240" w:lineRule="auto"/>
              <w:rPr>
                <w:rFonts w:ascii="Arial" w:eastAsia="Times New Roman" w:hAnsi="Arial" w:cs="Arial"/>
                <w:b/>
                <w:bCs/>
                <w:color w:val="000000"/>
                <w:sz w:val="20"/>
                <w:szCs w:val="20"/>
                <w:lang w:val="es-ES_tradnl" w:eastAsia="es-ES"/>
              </w:rPr>
            </w:pPr>
          </w:p>
        </w:tc>
        <w:tc>
          <w:tcPr>
            <w:tcW w:w="570" w:type="pct"/>
            <w:vMerge/>
            <w:tcBorders>
              <w:top w:val="nil"/>
              <w:left w:val="nil"/>
              <w:bottom w:val="single" w:sz="8" w:space="0" w:color="auto"/>
              <w:right w:val="single" w:sz="8" w:space="0" w:color="auto"/>
            </w:tcBorders>
            <w:vAlign w:val="center"/>
            <w:hideMark/>
          </w:tcPr>
          <w:p w14:paraId="59E469D9" w14:textId="77777777" w:rsidR="007116B2" w:rsidRPr="007E69D8" w:rsidRDefault="007116B2" w:rsidP="00454CB5">
            <w:pPr>
              <w:spacing w:after="0" w:line="240" w:lineRule="auto"/>
              <w:rPr>
                <w:rFonts w:ascii="Arial" w:eastAsia="Times New Roman" w:hAnsi="Arial" w:cs="Arial"/>
                <w:b/>
                <w:bCs/>
                <w:color w:val="000000"/>
                <w:sz w:val="20"/>
                <w:szCs w:val="20"/>
                <w:lang w:val="es-ES_tradnl" w:eastAsia="es-ES"/>
              </w:rPr>
            </w:pPr>
          </w:p>
        </w:tc>
      </w:tr>
      <w:tr w:rsidR="000A496F" w:rsidRPr="007E69D8" w14:paraId="18F0D3BA" w14:textId="77777777" w:rsidTr="00D31FFA">
        <w:trPr>
          <w:trHeight w:hRule="exact" w:val="780"/>
          <w:jc w:val="center"/>
        </w:trPr>
        <w:tc>
          <w:tcPr>
            <w:tcW w:w="761" w:type="pct"/>
            <w:tcBorders>
              <w:top w:val="nil"/>
              <w:left w:val="single" w:sz="8" w:space="0" w:color="auto"/>
              <w:bottom w:val="single" w:sz="8" w:space="0" w:color="auto"/>
              <w:right w:val="single" w:sz="8" w:space="0" w:color="auto"/>
            </w:tcBorders>
            <w:shd w:val="clear" w:color="auto" w:fill="auto"/>
            <w:vAlign w:val="center"/>
            <w:hideMark/>
          </w:tcPr>
          <w:p w14:paraId="4798BF4E"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Reportes de Monitoreo Semestrales</w:t>
            </w:r>
          </w:p>
        </w:tc>
        <w:tc>
          <w:tcPr>
            <w:tcW w:w="175" w:type="pct"/>
            <w:tcBorders>
              <w:top w:val="nil"/>
              <w:left w:val="nil"/>
              <w:bottom w:val="single" w:sz="8" w:space="0" w:color="auto"/>
              <w:right w:val="single" w:sz="8" w:space="0" w:color="auto"/>
            </w:tcBorders>
            <w:shd w:val="clear" w:color="auto" w:fill="auto"/>
            <w:vAlign w:val="center"/>
            <w:hideMark/>
          </w:tcPr>
          <w:p w14:paraId="49EFF677"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15CF18FC"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44FE48A6"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6A35DE9F"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2FAA5D31"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35C5FC10"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0763D4CC"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hideMark/>
          </w:tcPr>
          <w:p w14:paraId="1BE74791"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8" w:type="pct"/>
            <w:tcBorders>
              <w:top w:val="nil"/>
              <w:left w:val="nil"/>
              <w:bottom w:val="single" w:sz="8" w:space="0" w:color="auto"/>
              <w:right w:val="single" w:sz="8" w:space="0" w:color="auto"/>
            </w:tcBorders>
            <w:shd w:val="clear" w:color="auto" w:fill="auto"/>
            <w:vAlign w:val="center"/>
            <w:hideMark/>
          </w:tcPr>
          <w:p w14:paraId="12B134A9"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82" w:type="pct"/>
            <w:tcBorders>
              <w:top w:val="nil"/>
              <w:left w:val="nil"/>
              <w:bottom w:val="single" w:sz="8" w:space="0" w:color="auto"/>
              <w:right w:val="single" w:sz="8" w:space="0" w:color="auto"/>
            </w:tcBorders>
            <w:shd w:val="clear" w:color="auto" w:fill="auto"/>
            <w:vAlign w:val="center"/>
            <w:hideMark/>
          </w:tcPr>
          <w:p w14:paraId="333DE69A"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093" w:type="pct"/>
            <w:tcBorders>
              <w:top w:val="single" w:sz="8" w:space="0" w:color="auto"/>
              <w:left w:val="nil"/>
              <w:bottom w:val="single" w:sz="8" w:space="0" w:color="auto"/>
              <w:right w:val="single" w:sz="8" w:space="0" w:color="000000"/>
            </w:tcBorders>
            <w:shd w:val="clear" w:color="auto" w:fill="auto"/>
            <w:vAlign w:val="center"/>
            <w:hideMark/>
          </w:tcPr>
          <w:p w14:paraId="68C4660E" w14:textId="74E2ECEF"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2.700</w:t>
            </w:r>
          </w:p>
        </w:tc>
        <w:tc>
          <w:tcPr>
            <w:tcW w:w="802" w:type="pct"/>
            <w:tcBorders>
              <w:top w:val="single" w:sz="8" w:space="0" w:color="auto"/>
              <w:left w:val="nil"/>
              <w:bottom w:val="single" w:sz="8" w:space="0" w:color="auto"/>
              <w:right w:val="single" w:sz="8" w:space="0" w:color="000000"/>
            </w:tcBorders>
            <w:shd w:val="clear" w:color="auto" w:fill="auto"/>
            <w:vAlign w:val="center"/>
            <w:hideMark/>
          </w:tcPr>
          <w:p w14:paraId="518C0532" w14:textId="118E8046"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c>
          <w:tcPr>
            <w:tcW w:w="570" w:type="pct"/>
            <w:tcBorders>
              <w:top w:val="single" w:sz="8" w:space="0" w:color="auto"/>
              <w:left w:val="nil"/>
              <w:bottom w:val="single" w:sz="8" w:space="0" w:color="auto"/>
              <w:right w:val="single" w:sz="8" w:space="0" w:color="000000"/>
            </w:tcBorders>
            <w:shd w:val="clear" w:color="auto" w:fill="auto"/>
            <w:vAlign w:val="center"/>
          </w:tcPr>
          <w:p w14:paraId="03B02E67" w14:textId="1AD2AD08"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r>
      <w:tr w:rsidR="000A496F" w:rsidRPr="007E69D8" w14:paraId="059B3458" w14:textId="77777777" w:rsidTr="00D31FFA">
        <w:trPr>
          <w:trHeight w:hRule="exact" w:val="692"/>
          <w:jc w:val="center"/>
        </w:trPr>
        <w:tc>
          <w:tcPr>
            <w:tcW w:w="761" w:type="pct"/>
            <w:tcBorders>
              <w:top w:val="nil"/>
              <w:left w:val="single" w:sz="8" w:space="0" w:color="auto"/>
              <w:bottom w:val="single" w:sz="8" w:space="0" w:color="auto"/>
              <w:right w:val="single" w:sz="8" w:space="0" w:color="auto"/>
            </w:tcBorders>
            <w:shd w:val="clear" w:color="auto" w:fill="auto"/>
            <w:vAlign w:val="center"/>
            <w:hideMark/>
          </w:tcPr>
          <w:p w14:paraId="69F743C9"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Reporte Final</w:t>
            </w:r>
          </w:p>
        </w:tc>
        <w:tc>
          <w:tcPr>
            <w:tcW w:w="175" w:type="pct"/>
            <w:tcBorders>
              <w:top w:val="nil"/>
              <w:left w:val="nil"/>
              <w:bottom w:val="single" w:sz="8" w:space="0" w:color="auto"/>
              <w:right w:val="single" w:sz="8" w:space="0" w:color="auto"/>
            </w:tcBorders>
            <w:shd w:val="clear" w:color="auto" w:fill="auto"/>
            <w:vAlign w:val="center"/>
            <w:hideMark/>
          </w:tcPr>
          <w:p w14:paraId="4DF05F38"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1981C216"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21FF7832"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60B2E476"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49F37BF3"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1CE70780"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66177464"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nil"/>
              <w:bottom w:val="single" w:sz="8" w:space="0" w:color="auto"/>
              <w:right w:val="single" w:sz="8" w:space="0" w:color="auto"/>
            </w:tcBorders>
            <w:shd w:val="clear" w:color="auto" w:fill="auto"/>
            <w:vAlign w:val="center"/>
            <w:hideMark/>
          </w:tcPr>
          <w:p w14:paraId="2CD917B1"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8" w:type="pct"/>
            <w:tcBorders>
              <w:top w:val="nil"/>
              <w:left w:val="nil"/>
              <w:bottom w:val="single" w:sz="8" w:space="0" w:color="auto"/>
              <w:right w:val="single" w:sz="8" w:space="0" w:color="auto"/>
            </w:tcBorders>
            <w:shd w:val="clear" w:color="auto" w:fill="auto"/>
            <w:vAlign w:val="center"/>
            <w:hideMark/>
          </w:tcPr>
          <w:p w14:paraId="1F6EA257"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82" w:type="pct"/>
            <w:tcBorders>
              <w:top w:val="nil"/>
              <w:left w:val="nil"/>
              <w:bottom w:val="single" w:sz="8" w:space="0" w:color="auto"/>
              <w:right w:val="single" w:sz="8" w:space="0" w:color="auto"/>
            </w:tcBorders>
            <w:shd w:val="clear" w:color="auto" w:fill="auto"/>
            <w:vAlign w:val="center"/>
            <w:hideMark/>
          </w:tcPr>
          <w:p w14:paraId="7256B08E"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093" w:type="pct"/>
            <w:tcBorders>
              <w:top w:val="single" w:sz="8" w:space="0" w:color="auto"/>
              <w:left w:val="nil"/>
              <w:bottom w:val="single" w:sz="8" w:space="0" w:color="auto"/>
              <w:right w:val="single" w:sz="8" w:space="0" w:color="000000"/>
            </w:tcBorders>
            <w:shd w:val="clear" w:color="auto" w:fill="auto"/>
            <w:vAlign w:val="center"/>
            <w:hideMark/>
          </w:tcPr>
          <w:p w14:paraId="208B5057" w14:textId="72E6F385" w:rsidR="000A496F" w:rsidRPr="007E69D8" w:rsidRDefault="00981934"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5</w:t>
            </w:r>
            <w:r w:rsidR="000A496F" w:rsidRPr="007E69D8">
              <w:rPr>
                <w:rFonts w:ascii="Arial" w:eastAsia="Times New Roman" w:hAnsi="Arial" w:cs="Arial"/>
                <w:color w:val="000000"/>
                <w:sz w:val="20"/>
                <w:szCs w:val="20"/>
                <w:lang w:val="es-ES_tradnl" w:eastAsia="es-ES"/>
              </w:rPr>
              <w:t>.000</w:t>
            </w:r>
          </w:p>
        </w:tc>
        <w:tc>
          <w:tcPr>
            <w:tcW w:w="802" w:type="pct"/>
            <w:tcBorders>
              <w:top w:val="single" w:sz="8" w:space="0" w:color="auto"/>
              <w:left w:val="nil"/>
              <w:bottom w:val="single" w:sz="8" w:space="0" w:color="auto"/>
              <w:right w:val="single" w:sz="8" w:space="0" w:color="000000"/>
            </w:tcBorders>
            <w:shd w:val="clear" w:color="auto" w:fill="auto"/>
            <w:vAlign w:val="center"/>
            <w:hideMark/>
          </w:tcPr>
          <w:p w14:paraId="1B95DBB2" w14:textId="6EF2A043"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c>
          <w:tcPr>
            <w:tcW w:w="570" w:type="pct"/>
            <w:tcBorders>
              <w:top w:val="single" w:sz="8" w:space="0" w:color="auto"/>
              <w:left w:val="nil"/>
              <w:bottom w:val="single" w:sz="8" w:space="0" w:color="auto"/>
              <w:right w:val="single" w:sz="8" w:space="0" w:color="000000"/>
            </w:tcBorders>
            <w:shd w:val="clear" w:color="auto" w:fill="auto"/>
            <w:vAlign w:val="center"/>
          </w:tcPr>
          <w:p w14:paraId="5F1A0E15" w14:textId="2E37C434"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r>
      <w:tr w:rsidR="000A496F" w:rsidRPr="007E69D8" w14:paraId="664B37CF" w14:textId="77777777" w:rsidTr="00D31FFA">
        <w:trPr>
          <w:trHeight w:hRule="exact" w:val="692"/>
          <w:jc w:val="center"/>
        </w:trPr>
        <w:tc>
          <w:tcPr>
            <w:tcW w:w="761" w:type="pct"/>
            <w:tcBorders>
              <w:top w:val="nil"/>
              <w:left w:val="single" w:sz="8" w:space="0" w:color="auto"/>
              <w:bottom w:val="single" w:sz="8" w:space="0" w:color="auto"/>
              <w:right w:val="single" w:sz="8" w:space="0" w:color="auto"/>
            </w:tcBorders>
            <w:shd w:val="clear" w:color="auto" w:fill="auto"/>
            <w:vAlign w:val="center"/>
          </w:tcPr>
          <w:p w14:paraId="2E33B8FC"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Informes de cumplimiento ESG</w:t>
            </w:r>
          </w:p>
        </w:tc>
        <w:tc>
          <w:tcPr>
            <w:tcW w:w="175" w:type="pct"/>
            <w:tcBorders>
              <w:top w:val="nil"/>
              <w:left w:val="nil"/>
              <w:bottom w:val="single" w:sz="8" w:space="0" w:color="auto"/>
              <w:right w:val="single" w:sz="8" w:space="0" w:color="auto"/>
            </w:tcBorders>
            <w:shd w:val="clear" w:color="auto" w:fill="auto"/>
            <w:vAlign w:val="center"/>
          </w:tcPr>
          <w:p w14:paraId="114C6B0D"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p>
        </w:tc>
        <w:tc>
          <w:tcPr>
            <w:tcW w:w="177" w:type="pct"/>
            <w:tcBorders>
              <w:top w:val="nil"/>
              <w:left w:val="nil"/>
              <w:bottom w:val="single" w:sz="8" w:space="0" w:color="auto"/>
              <w:right w:val="single" w:sz="8" w:space="0" w:color="auto"/>
            </w:tcBorders>
            <w:shd w:val="clear" w:color="auto" w:fill="auto"/>
            <w:vAlign w:val="center"/>
          </w:tcPr>
          <w:p w14:paraId="3BB37A7C"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p>
        </w:tc>
        <w:tc>
          <w:tcPr>
            <w:tcW w:w="177" w:type="pct"/>
            <w:tcBorders>
              <w:top w:val="nil"/>
              <w:left w:val="nil"/>
              <w:bottom w:val="single" w:sz="8" w:space="0" w:color="auto"/>
              <w:right w:val="single" w:sz="8" w:space="0" w:color="auto"/>
            </w:tcBorders>
            <w:shd w:val="clear" w:color="auto" w:fill="auto"/>
            <w:vAlign w:val="center"/>
          </w:tcPr>
          <w:p w14:paraId="6F6EB9B1" w14:textId="66AFDFA5"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05D6A28E" w14:textId="62788791"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1626E0C1"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6C89044F" w14:textId="44F5B339"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5F772D61" w14:textId="0423A4B9"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nil"/>
              <w:bottom w:val="single" w:sz="8" w:space="0" w:color="auto"/>
              <w:right w:val="single" w:sz="8" w:space="0" w:color="auto"/>
            </w:tcBorders>
            <w:shd w:val="clear" w:color="auto" w:fill="auto"/>
            <w:vAlign w:val="center"/>
          </w:tcPr>
          <w:p w14:paraId="7A14C49E" w14:textId="20E95A9D"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8" w:type="pct"/>
            <w:tcBorders>
              <w:top w:val="nil"/>
              <w:left w:val="nil"/>
              <w:bottom w:val="single" w:sz="8" w:space="0" w:color="auto"/>
              <w:right w:val="single" w:sz="8" w:space="0" w:color="auto"/>
            </w:tcBorders>
            <w:shd w:val="clear" w:color="auto" w:fill="auto"/>
            <w:vAlign w:val="center"/>
          </w:tcPr>
          <w:p w14:paraId="09C7CE33" w14:textId="6672F045"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82" w:type="pct"/>
            <w:tcBorders>
              <w:top w:val="nil"/>
              <w:left w:val="nil"/>
              <w:bottom w:val="single" w:sz="8" w:space="0" w:color="auto"/>
              <w:right w:val="single" w:sz="8" w:space="0" w:color="auto"/>
            </w:tcBorders>
            <w:shd w:val="clear" w:color="auto" w:fill="auto"/>
            <w:vAlign w:val="center"/>
          </w:tcPr>
          <w:p w14:paraId="513E241D"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093" w:type="pct"/>
            <w:tcBorders>
              <w:top w:val="single" w:sz="8" w:space="0" w:color="auto"/>
              <w:left w:val="nil"/>
              <w:bottom w:val="single" w:sz="8" w:space="0" w:color="auto"/>
              <w:right w:val="single" w:sz="8" w:space="0" w:color="000000"/>
            </w:tcBorders>
            <w:shd w:val="clear" w:color="auto" w:fill="auto"/>
            <w:vAlign w:val="center"/>
          </w:tcPr>
          <w:p w14:paraId="57FC3F1B" w14:textId="2CEBA671"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4.500</w:t>
            </w:r>
          </w:p>
        </w:tc>
        <w:tc>
          <w:tcPr>
            <w:tcW w:w="802" w:type="pct"/>
            <w:tcBorders>
              <w:top w:val="single" w:sz="8" w:space="0" w:color="auto"/>
              <w:left w:val="nil"/>
              <w:bottom w:val="single" w:sz="8" w:space="0" w:color="auto"/>
              <w:right w:val="single" w:sz="8" w:space="0" w:color="000000"/>
            </w:tcBorders>
            <w:shd w:val="clear" w:color="auto" w:fill="auto"/>
            <w:vAlign w:val="center"/>
          </w:tcPr>
          <w:p w14:paraId="030DCF18" w14:textId="1927D014"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c>
          <w:tcPr>
            <w:tcW w:w="570" w:type="pct"/>
            <w:tcBorders>
              <w:top w:val="single" w:sz="8" w:space="0" w:color="auto"/>
              <w:left w:val="nil"/>
              <w:bottom w:val="single" w:sz="8" w:space="0" w:color="auto"/>
              <w:right w:val="single" w:sz="8" w:space="0" w:color="000000"/>
            </w:tcBorders>
            <w:shd w:val="clear" w:color="auto" w:fill="auto"/>
            <w:vAlign w:val="center"/>
          </w:tcPr>
          <w:p w14:paraId="43CE8EDB" w14:textId="2FBD3ACD"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r>
      <w:tr w:rsidR="000A496F" w:rsidRPr="007E69D8" w14:paraId="4F0738B7" w14:textId="77777777" w:rsidTr="00D31FFA">
        <w:trPr>
          <w:trHeight w:val="901"/>
          <w:jc w:val="center"/>
        </w:trPr>
        <w:tc>
          <w:tcPr>
            <w:tcW w:w="761" w:type="pct"/>
            <w:tcBorders>
              <w:top w:val="nil"/>
              <w:left w:val="single" w:sz="8" w:space="0" w:color="auto"/>
              <w:bottom w:val="single" w:sz="8" w:space="0" w:color="000000"/>
              <w:right w:val="single" w:sz="8" w:space="0" w:color="auto"/>
            </w:tcBorders>
            <w:shd w:val="clear" w:color="auto" w:fill="auto"/>
            <w:vAlign w:val="center"/>
            <w:hideMark/>
          </w:tcPr>
          <w:p w14:paraId="6EA8DF48"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Auditorias</w:t>
            </w:r>
          </w:p>
        </w:tc>
        <w:tc>
          <w:tcPr>
            <w:tcW w:w="175" w:type="pct"/>
            <w:tcBorders>
              <w:top w:val="nil"/>
              <w:left w:val="single" w:sz="8" w:space="0" w:color="auto"/>
              <w:bottom w:val="single" w:sz="8" w:space="0" w:color="000000"/>
              <w:right w:val="single" w:sz="8" w:space="0" w:color="auto"/>
            </w:tcBorders>
            <w:shd w:val="clear" w:color="auto" w:fill="auto"/>
            <w:vAlign w:val="center"/>
            <w:hideMark/>
          </w:tcPr>
          <w:p w14:paraId="5F8ABA40"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68181512"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7EED3BFC" w14:textId="713252ED"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X</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6E233AB0"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588F73C9"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1259DDFC"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1CA5B89B" w14:textId="32A43FB1"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 </w:t>
            </w:r>
          </w:p>
        </w:tc>
        <w:tc>
          <w:tcPr>
            <w:tcW w:w="177" w:type="pct"/>
            <w:tcBorders>
              <w:top w:val="nil"/>
              <w:left w:val="single" w:sz="8" w:space="0" w:color="auto"/>
              <w:bottom w:val="single" w:sz="8" w:space="0" w:color="000000"/>
              <w:right w:val="single" w:sz="8" w:space="0" w:color="auto"/>
            </w:tcBorders>
            <w:shd w:val="clear" w:color="auto" w:fill="auto"/>
            <w:vAlign w:val="center"/>
            <w:hideMark/>
          </w:tcPr>
          <w:p w14:paraId="1CA7E4A8"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 </w:t>
            </w:r>
          </w:p>
        </w:tc>
        <w:tc>
          <w:tcPr>
            <w:tcW w:w="178" w:type="pct"/>
            <w:tcBorders>
              <w:top w:val="nil"/>
              <w:left w:val="single" w:sz="8" w:space="0" w:color="auto"/>
              <w:bottom w:val="single" w:sz="8" w:space="0" w:color="000000"/>
              <w:right w:val="single" w:sz="8" w:space="0" w:color="auto"/>
            </w:tcBorders>
            <w:shd w:val="clear" w:color="auto" w:fill="auto"/>
            <w:vAlign w:val="center"/>
            <w:hideMark/>
          </w:tcPr>
          <w:p w14:paraId="6FFBCC68" w14:textId="52E4D390"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 </w:t>
            </w:r>
          </w:p>
        </w:tc>
        <w:tc>
          <w:tcPr>
            <w:tcW w:w="182" w:type="pct"/>
            <w:tcBorders>
              <w:top w:val="nil"/>
              <w:left w:val="single" w:sz="8" w:space="0" w:color="auto"/>
              <w:bottom w:val="single" w:sz="8" w:space="0" w:color="000000"/>
              <w:right w:val="single" w:sz="8" w:space="0" w:color="auto"/>
            </w:tcBorders>
            <w:shd w:val="clear" w:color="auto" w:fill="auto"/>
            <w:vAlign w:val="center"/>
            <w:hideMark/>
          </w:tcPr>
          <w:p w14:paraId="29DDA7A5"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X</w:t>
            </w:r>
          </w:p>
        </w:tc>
        <w:tc>
          <w:tcPr>
            <w:tcW w:w="1093" w:type="pct"/>
            <w:tcBorders>
              <w:top w:val="single" w:sz="8" w:space="0" w:color="auto"/>
              <w:left w:val="nil"/>
              <w:right w:val="single" w:sz="8" w:space="0" w:color="000000"/>
            </w:tcBorders>
            <w:shd w:val="clear" w:color="auto" w:fill="auto"/>
            <w:vAlign w:val="center"/>
            <w:hideMark/>
          </w:tcPr>
          <w:p w14:paraId="37753424" w14:textId="76015A21"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100.000</w:t>
            </w:r>
          </w:p>
        </w:tc>
        <w:tc>
          <w:tcPr>
            <w:tcW w:w="802"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265E22B2" w14:textId="72DEA060"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c>
          <w:tcPr>
            <w:tcW w:w="570" w:type="pct"/>
            <w:tcBorders>
              <w:top w:val="single" w:sz="8" w:space="0" w:color="auto"/>
              <w:left w:val="single" w:sz="8" w:space="0" w:color="auto"/>
              <w:bottom w:val="single" w:sz="8" w:space="0" w:color="000000"/>
              <w:right w:val="single" w:sz="8" w:space="0" w:color="000000"/>
            </w:tcBorders>
            <w:shd w:val="clear" w:color="auto" w:fill="auto"/>
            <w:vAlign w:val="center"/>
          </w:tcPr>
          <w:p w14:paraId="0465C36F" w14:textId="6639EB87"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r>
      <w:tr w:rsidR="000A496F" w:rsidRPr="007E69D8" w14:paraId="01101D8C" w14:textId="77777777" w:rsidTr="00D31FFA">
        <w:trPr>
          <w:trHeight w:val="469"/>
          <w:jc w:val="center"/>
        </w:trPr>
        <w:tc>
          <w:tcPr>
            <w:tcW w:w="2535" w:type="pct"/>
            <w:gridSpan w:val="11"/>
            <w:tcBorders>
              <w:top w:val="single" w:sz="8" w:space="0" w:color="auto"/>
              <w:left w:val="single" w:sz="8" w:space="0" w:color="auto"/>
              <w:bottom w:val="single" w:sz="8" w:space="0" w:color="000000"/>
              <w:right w:val="single" w:sz="8" w:space="0" w:color="000000"/>
            </w:tcBorders>
            <w:shd w:val="clear" w:color="auto" w:fill="auto"/>
            <w:vAlign w:val="center"/>
            <w:hideMark/>
          </w:tcPr>
          <w:p w14:paraId="4783B9FB" w14:textId="77777777" w:rsidR="000A496F" w:rsidRPr="007E69D8" w:rsidRDefault="000A496F" w:rsidP="000A496F">
            <w:pPr>
              <w:spacing w:after="0" w:line="240" w:lineRule="auto"/>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Costo Total</w:t>
            </w:r>
          </w:p>
        </w:tc>
        <w:tc>
          <w:tcPr>
            <w:tcW w:w="1093"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23829C71" w14:textId="1BEFF0CE"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1</w:t>
            </w:r>
            <w:r w:rsidR="00981934" w:rsidRPr="007E69D8">
              <w:rPr>
                <w:rFonts w:ascii="Arial" w:eastAsia="Times New Roman" w:hAnsi="Arial" w:cs="Arial"/>
                <w:color w:val="000000"/>
                <w:sz w:val="20"/>
                <w:szCs w:val="20"/>
                <w:lang w:val="es-ES_tradnl" w:eastAsia="es-ES"/>
              </w:rPr>
              <w:t>12</w:t>
            </w:r>
            <w:r w:rsidRPr="007E69D8">
              <w:rPr>
                <w:rFonts w:ascii="Arial" w:eastAsia="Times New Roman" w:hAnsi="Arial" w:cs="Arial"/>
                <w:color w:val="000000"/>
                <w:sz w:val="20"/>
                <w:szCs w:val="20"/>
                <w:lang w:val="es-ES_tradnl" w:eastAsia="es-ES"/>
              </w:rPr>
              <w:t>.200</w:t>
            </w:r>
          </w:p>
        </w:tc>
        <w:tc>
          <w:tcPr>
            <w:tcW w:w="802"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64B84EC0" w14:textId="2637C617"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c>
          <w:tcPr>
            <w:tcW w:w="570" w:type="pct"/>
            <w:tcBorders>
              <w:top w:val="single" w:sz="8" w:space="0" w:color="auto"/>
              <w:left w:val="single" w:sz="8" w:space="0" w:color="auto"/>
              <w:bottom w:val="single" w:sz="8" w:space="0" w:color="000000"/>
              <w:right w:val="single" w:sz="8" w:space="0" w:color="000000"/>
            </w:tcBorders>
            <w:shd w:val="clear" w:color="auto" w:fill="auto"/>
            <w:vAlign w:val="center"/>
          </w:tcPr>
          <w:p w14:paraId="0DB20255" w14:textId="3FB3A5CC" w:rsidR="000A496F" w:rsidRPr="007E69D8" w:rsidRDefault="000A496F" w:rsidP="000A496F">
            <w:pPr>
              <w:spacing w:after="0" w:line="240" w:lineRule="auto"/>
              <w:jc w:val="center"/>
              <w:rPr>
                <w:rFonts w:ascii="Arial" w:eastAsia="Times New Roman" w:hAnsi="Arial" w:cs="Arial"/>
                <w:color w:val="000000"/>
                <w:sz w:val="20"/>
                <w:szCs w:val="20"/>
                <w:lang w:val="es-ES_tradnl" w:eastAsia="es-ES"/>
              </w:rPr>
            </w:pPr>
            <w:r w:rsidRPr="007E69D8">
              <w:rPr>
                <w:rFonts w:ascii="Arial" w:eastAsia="Times New Roman" w:hAnsi="Arial" w:cs="Arial"/>
                <w:color w:val="000000"/>
                <w:sz w:val="20"/>
                <w:szCs w:val="20"/>
                <w:lang w:val="es-ES_tradnl" w:eastAsia="es-ES"/>
              </w:rPr>
              <w:t>OE</w:t>
            </w:r>
          </w:p>
        </w:tc>
      </w:tr>
    </w:tbl>
    <w:p w14:paraId="6EC45B5D" w14:textId="77777777" w:rsidR="007116B2" w:rsidRPr="007E69D8" w:rsidRDefault="007116B2" w:rsidP="007116B2">
      <w:pPr>
        <w:spacing w:before="100" w:beforeAutospacing="1" w:after="100" w:afterAutospacing="1" w:line="240" w:lineRule="auto"/>
        <w:rPr>
          <w:rFonts w:ascii="Arial" w:eastAsia="Times New Roman" w:hAnsi="Arial" w:cs="Arial"/>
          <w:b/>
          <w:smallCaps/>
          <w:lang w:val="es-ES_tradnl"/>
        </w:rPr>
      </w:pPr>
      <w:bookmarkStart w:id="24" w:name="_Toc346643520"/>
      <w:bookmarkStart w:id="25" w:name="_Toc352755941"/>
      <w:bookmarkStart w:id="26" w:name="_Toc352756757"/>
      <w:r w:rsidRPr="007E69D8">
        <w:rPr>
          <w:rFonts w:ascii="Arial" w:hAnsi="Arial" w:cs="Arial"/>
          <w:lang w:val="es-ES_tradnl"/>
        </w:rPr>
        <w:br w:type="page"/>
      </w:r>
    </w:p>
    <w:p w14:paraId="7DF1FD1C" w14:textId="77777777" w:rsidR="007116B2" w:rsidRPr="007E69D8" w:rsidRDefault="007116B2" w:rsidP="007116B2">
      <w:pPr>
        <w:pStyle w:val="Chapter"/>
        <w:ind w:firstLine="289"/>
        <w:rPr>
          <w:rFonts w:ascii="Arial" w:hAnsi="Arial" w:cs="Arial"/>
          <w:sz w:val="22"/>
          <w:szCs w:val="22"/>
          <w:lang w:val="es-ES_tradnl"/>
        </w:rPr>
      </w:pPr>
      <w:bookmarkStart w:id="27" w:name="_Toc36307324"/>
      <w:r w:rsidRPr="007E69D8">
        <w:rPr>
          <w:rFonts w:ascii="Arial" w:hAnsi="Arial" w:cs="Arial"/>
          <w:sz w:val="22"/>
          <w:szCs w:val="22"/>
          <w:lang w:val="es-ES_tradnl"/>
        </w:rPr>
        <w:lastRenderedPageBreak/>
        <w:t>Evaluación</w:t>
      </w:r>
      <w:bookmarkEnd w:id="24"/>
      <w:bookmarkEnd w:id="25"/>
      <w:bookmarkEnd w:id="26"/>
      <w:bookmarkEnd w:id="27"/>
    </w:p>
    <w:p w14:paraId="7751F253" w14:textId="3969688F" w:rsidR="00501E93" w:rsidRPr="007E69D8" w:rsidRDefault="007116B2" w:rsidP="009A5E71">
      <w:pPr>
        <w:pStyle w:val="Paragraph"/>
        <w:numPr>
          <w:ilvl w:val="1"/>
          <w:numId w:val="6"/>
        </w:numPr>
        <w:ind w:hanging="540"/>
        <w:rPr>
          <w:rFonts w:ascii="Arial" w:hAnsi="Arial" w:cs="Arial"/>
          <w:b/>
          <w:bCs/>
          <w:sz w:val="22"/>
          <w:szCs w:val="22"/>
          <w:lang w:val="es-ES_tradnl"/>
        </w:rPr>
      </w:pPr>
      <w:r w:rsidRPr="007E69D8">
        <w:rPr>
          <w:rFonts w:ascii="Arial" w:hAnsi="Arial" w:cs="Arial"/>
          <w:b/>
          <w:bCs/>
          <w:sz w:val="22"/>
          <w:szCs w:val="22"/>
          <w:lang w:val="es-ES_tradnl"/>
        </w:rPr>
        <w:t>Justificación de la metodología</w:t>
      </w:r>
      <w:r w:rsidR="00501E93" w:rsidRPr="007E69D8">
        <w:rPr>
          <w:rFonts w:ascii="Arial" w:hAnsi="Arial" w:cs="Arial"/>
          <w:b/>
          <w:bCs/>
          <w:sz w:val="22"/>
          <w:szCs w:val="22"/>
          <w:lang w:val="es-ES_tradnl"/>
        </w:rPr>
        <w:t xml:space="preserve">. </w:t>
      </w:r>
      <w:r w:rsidR="00501E93" w:rsidRPr="007E69D8">
        <w:rPr>
          <w:rFonts w:ascii="Arial" w:hAnsi="Arial" w:cs="Arial"/>
          <w:sz w:val="22"/>
          <w:szCs w:val="22"/>
          <w:lang w:val="es-ES_tradnl"/>
        </w:rPr>
        <w:t xml:space="preserve">La estrategia de evaluación de los resultados del programa </w:t>
      </w:r>
      <w:r w:rsidR="00B5598A">
        <w:rPr>
          <w:rFonts w:ascii="Arial" w:hAnsi="Arial" w:cs="Arial"/>
          <w:sz w:val="22"/>
          <w:szCs w:val="22"/>
          <w:lang w:val="es-ES_tradnl"/>
        </w:rPr>
        <w:t>se basará en la</w:t>
      </w:r>
      <w:r w:rsidR="00501E93" w:rsidRPr="007E69D8">
        <w:rPr>
          <w:rFonts w:ascii="Arial" w:hAnsi="Arial" w:cs="Arial"/>
          <w:sz w:val="22"/>
          <w:szCs w:val="22"/>
          <w:lang w:val="es-ES_tradnl"/>
        </w:rPr>
        <w:t xml:space="preserve"> realización de una evaluación reflexiva, antes y después del programa, que muestre el alcance de los resultados e impactos</w:t>
      </w:r>
      <w:r w:rsidR="00B5598A">
        <w:rPr>
          <w:rFonts w:ascii="Arial" w:hAnsi="Arial" w:cs="Arial"/>
          <w:sz w:val="22"/>
          <w:szCs w:val="22"/>
          <w:lang w:val="es-ES_tradnl"/>
        </w:rPr>
        <w:t>.</w:t>
      </w:r>
    </w:p>
    <w:p w14:paraId="434FE5E2" w14:textId="5FC387F0" w:rsidR="00C64C11" w:rsidRPr="007E69D8" w:rsidRDefault="00C64C11" w:rsidP="007116B2">
      <w:pPr>
        <w:pStyle w:val="Paragraph"/>
        <w:numPr>
          <w:ilvl w:val="1"/>
          <w:numId w:val="6"/>
        </w:numPr>
        <w:ind w:hanging="540"/>
        <w:rPr>
          <w:rFonts w:ascii="Arial" w:hAnsi="Arial" w:cs="Arial"/>
          <w:b/>
          <w:bCs/>
          <w:sz w:val="22"/>
          <w:szCs w:val="22"/>
          <w:lang w:val="es-ES_tradnl"/>
        </w:rPr>
      </w:pPr>
      <w:r w:rsidRPr="007E69D8">
        <w:rPr>
          <w:rFonts w:ascii="Arial" w:hAnsi="Arial" w:cs="Arial"/>
          <w:sz w:val="22"/>
          <w:szCs w:val="22"/>
          <w:lang w:val="es-ES_tradnl"/>
        </w:rPr>
        <w:t>Además, para la realización del Informe de Terminación de Proyecto (PCR, por sus siglas en inglés), se llevará a cabo un análisis cualitativo de los principales retos de ejecución y las soluciones planteadas, incluyendo lecciones aprendidas y propuestas innovadoras para el diseño de futuras intervenciones.</w:t>
      </w:r>
    </w:p>
    <w:p w14:paraId="4B1F00E2" w14:textId="50E74F1E" w:rsidR="006158AA" w:rsidRPr="007E69D8" w:rsidRDefault="006158AA" w:rsidP="007116B2">
      <w:pPr>
        <w:pStyle w:val="Paragraph"/>
        <w:numPr>
          <w:ilvl w:val="1"/>
          <w:numId w:val="6"/>
        </w:numPr>
        <w:ind w:hanging="540"/>
        <w:rPr>
          <w:rFonts w:ascii="Arial" w:hAnsi="Arial" w:cs="Arial"/>
          <w:b/>
          <w:bCs/>
          <w:sz w:val="22"/>
          <w:szCs w:val="22"/>
          <w:lang w:val="es-ES_tradnl"/>
        </w:rPr>
      </w:pPr>
      <w:r w:rsidRPr="007E69D8">
        <w:rPr>
          <w:rFonts w:ascii="Arial" w:hAnsi="Arial" w:cs="Arial"/>
          <w:b/>
          <w:bCs/>
          <w:sz w:val="22"/>
          <w:szCs w:val="22"/>
          <w:lang w:val="es-ES_tradnl"/>
        </w:rPr>
        <w:t>Conocimiento previo</w:t>
      </w:r>
      <w:r w:rsidRPr="007E69D8">
        <w:rPr>
          <w:rFonts w:ascii="Arial" w:hAnsi="Arial" w:cs="Arial"/>
          <w:sz w:val="22"/>
          <w:szCs w:val="22"/>
          <w:lang w:val="es-ES_tradnl"/>
        </w:rPr>
        <w:t xml:space="preserve">. </w:t>
      </w:r>
      <w:r w:rsidR="000E4BA5" w:rsidRPr="007E69D8">
        <w:rPr>
          <w:rFonts w:ascii="Arial" w:eastAsia="Arial" w:hAnsi="Arial" w:cs="Arial"/>
          <w:sz w:val="22"/>
          <w:szCs w:val="22"/>
          <w:lang w:val="es-ES_tradnl"/>
        </w:rPr>
        <w:t xml:space="preserve">El Banco cuenta con amplia experiencia en diseño de programas de préstamo con garantía soberana dirigidos a mejorar el acceso a financiamiento de las </w:t>
      </w:r>
      <w:r w:rsidR="002D1E3A" w:rsidRPr="007E69D8">
        <w:rPr>
          <w:rFonts w:ascii="Arial" w:eastAsia="Arial" w:hAnsi="Arial" w:cs="Arial"/>
          <w:sz w:val="22"/>
          <w:szCs w:val="22"/>
          <w:lang w:val="es-ES_tradnl"/>
        </w:rPr>
        <w:t>MIPE</w:t>
      </w:r>
      <w:r w:rsidR="000E4BA5" w:rsidRPr="007E69D8">
        <w:rPr>
          <w:rFonts w:ascii="Arial" w:eastAsia="Arial" w:hAnsi="Arial" w:cs="Arial"/>
          <w:sz w:val="22"/>
          <w:szCs w:val="22"/>
          <w:lang w:val="es-ES_tradnl"/>
        </w:rPr>
        <w:t xml:space="preserve"> a través de intermediarios financieros. Estos programas se han implementado tanto en ciclos económicos expansivos, donde el apoyo se centra en el acceso a financiamiento de largo plazo para inversiones productivas, como en ciclos económicos recesivos, donde el apoyo se focaliza en que las </w:t>
      </w:r>
      <w:r w:rsidR="002D1E3A" w:rsidRPr="007E69D8">
        <w:rPr>
          <w:rFonts w:ascii="Arial" w:eastAsia="Arial" w:hAnsi="Arial" w:cs="Arial"/>
          <w:sz w:val="22"/>
          <w:szCs w:val="22"/>
          <w:lang w:val="es-ES_tradnl"/>
        </w:rPr>
        <w:t>MIPE</w:t>
      </w:r>
      <w:r w:rsidR="000E4BA5" w:rsidRPr="007E69D8">
        <w:rPr>
          <w:rFonts w:ascii="Arial" w:eastAsia="Arial" w:hAnsi="Arial" w:cs="Arial"/>
          <w:sz w:val="22"/>
          <w:szCs w:val="22"/>
          <w:lang w:val="es-ES_tradnl"/>
        </w:rPr>
        <w:t xml:space="preserve"> no pierdan acceso a liquidez para continuar con su actividad económica. En la última crisis financiera que afrontó la región en 2007, el Banco jugó un rol contra cíclico aumentando el monto y los mecanismos para atender la falta de acceso a crédito que sufrían las </w:t>
      </w:r>
      <w:r w:rsidR="002D1E3A" w:rsidRPr="007E69D8">
        <w:rPr>
          <w:rFonts w:ascii="Arial" w:eastAsia="Arial" w:hAnsi="Arial" w:cs="Arial"/>
          <w:sz w:val="22"/>
          <w:szCs w:val="22"/>
          <w:lang w:val="es-ES_tradnl"/>
        </w:rPr>
        <w:t>MIPE</w:t>
      </w:r>
      <w:r w:rsidR="000E4BA5" w:rsidRPr="007E69D8">
        <w:rPr>
          <w:rFonts w:ascii="Arial" w:eastAsia="Arial" w:hAnsi="Arial" w:cs="Arial"/>
          <w:sz w:val="22"/>
          <w:szCs w:val="22"/>
          <w:lang w:val="es-ES_tradnl"/>
        </w:rPr>
        <w:t xml:space="preserve"> de la región. Por ejemplo, en 2008 y 2009 se aprobaron programas de liquidez para la sostenibilidad del crecimiento económico con el fin de restablecer el acceso de sectores productivos a financiamiento de capital trabajo y comercio exterior, permitiendo compensar parcial y temporalmente las insuficiencias en los flujos de financiamiento a las </w:t>
      </w:r>
      <w:r w:rsidR="002D1E3A" w:rsidRPr="007E69D8">
        <w:rPr>
          <w:rFonts w:ascii="Arial" w:eastAsia="Arial" w:hAnsi="Arial" w:cs="Arial"/>
          <w:sz w:val="22"/>
          <w:szCs w:val="22"/>
          <w:lang w:val="es-ES_tradnl"/>
        </w:rPr>
        <w:t>MIPE</w:t>
      </w:r>
      <w:r w:rsidR="000E4BA5" w:rsidRPr="007E69D8">
        <w:rPr>
          <w:rFonts w:ascii="Arial" w:eastAsia="Arial" w:hAnsi="Arial" w:cs="Arial"/>
          <w:sz w:val="22"/>
          <w:szCs w:val="22"/>
          <w:lang w:val="es-ES_tradnl"/>
        </w:rPr>
        <w:t xml:space="preserve"> que trajo consigo la crisis financiera internacional. Con el mismo objetivo de estimular la oferta de crédito dirigida a financiar sectores productivos, en el periodo posterior a la crisis (2009-2013) se aprobaron líneas de crédito contingente para suministro de liquidez al sistema financiero, programas globales de crédito multisectorial y, mayoritariamente, programas específicos de financiamiento productivo a </w:t>
      </w:r>
      <w:r w:rsidR="002D1E3A" w:rsidRPr="007E69D8">
        <w:rPr>
          <w:rFonts w:ascii="Arial" w:eastAsia="Arial" w:hAnsi="Arial" w:cs="Arial"/>
          <w:sz w:val="22"/>
          <w:szCs w:val="22"/>
          <w:lang w:val="es-ES_tradnl"/>
        </w:rPr>
        <w:t>MIPE</w:t>
      </w:r>
      <w:r w:rsidR="008D577A" w:rsidRPr="007E69D8">
        <w:rPr>
          <w:rFonts w:ascii="Arial" w:eastAsia="Arial" w:hAnsi="Arial" w:cs="Arial"/>
          <w:sz w:val="22"/>
          <w:szCs w:val="22"/>
          <w:lang w:val="es-ES_tradnl"/>
        </w:rPr>
        <w:t>. Como ejemplo</w:t>
      </w:r>
      <w:r w:rsidR="006C0781" w:rsidRPr="007E69D8">
        <w:rPr>
          <w:rFonts w:ascii="Arial" w:eastAsia="Arial" w:hAnsi="Arial" w:cs="Arial"/>
          <w:sz w:val="22"/>
          <w:szCs w:val="22"/>
          <w:lang w:val="es-ES_tradnl"/>
        </w:rPr>
        <w:t xml:space="preserve"> de los resultados obtenidos por esos programas</w:t>
      </w:r>
      <w:r w:rsidR="008D577A" w:rsidRPr="007E69D8">
        <w:rPr>
          <w:rFonts w:ascii="Arial" w:eastAsia="Arial" w:hAnsi="Arial" w:cs="Arial"/>
          <w:sz w:val="22"/>
          <w:szCs w:val="22"/>
          <w:lang w:val="es-ES_tradnl"/>
        </w:rPr>
        <w:t>, un estudio del Banco en Colombia sobre un programa de financiamiento a la PYME estructurado a través de Bancóldex</w:t>
      </w:r>
      <w:r w:rsidR="00BB5302" w:rsidRPr="007E69D8">
        <w:rPr>
          <w:rFonts w:ascii="Arial" w:eastAsia="Arial" w:hAnsi="Arial" w:cs="Arial"/>
          <w:sz w:val="22"/>
          <w:szCs w:val="22"/>
          <w:lang w:val="es-ES_tradnl"/>
        </w:rPr>
        <w:t xml:space="preserve"> (</w:t>
      </w:r>
      <w:r w:rsidR="008D577A" w:rsidRPr="007E69D8">
        <w:rPr>
          <w:rFonts w:ascii="Arial" w:eastAsia="Arial" w:hAnsi="Arial" w:cs="Arial"/>
          <w:sz w:val="22"/>
          <w:szCs w:val="22"/>
          <w:lang w:val="es-ES_tradnl"/>
        </w:rPr>
        <w:t>Banco público de segundo piso</w:t>
      </w:r>
      <w:r w:rsidR="00BB5302" w:rsidRPr="007E69D8">
        <w:rPr>
          <w:rFonts w:ascii="Arial" w:eastAsia="Arial" w:hAnsi="Arial" w:cs="Arial"/>
          <w:sz w:val="22"/>
          <w:szCs w:val="22"/>
          <w:lang w:val="es-ES_tradnl"/>
        </w:rPr>
        <w:t>)</w:t>
      </w:r>
      <w:r w:rsidR="008D577A" w:rsidRPr="007E69D8">
        <w:rPr>
          <w:rFonts w:ascii="Arial" w:eastAsia="Arial" w:hAnsi="Arial" w:cs="Arial"/>
          <w:sz w:val="22"/>
          <w:szCs w:val="22"/>
          <w:lang w:val="es-ES_tradnl"/>
        </w:rPr>
        <w:t>, encontró efectos positivos significativos del crédito en incrementos de producción (24%), empleo (11%) e inversiones (70%) durante los cuatro años al primer préstamo del BID</w:t>
      </w:r>
      <w:r w:rsidR="000E4BA5" w:rsidRPr="007E69D8">
        <w:rPr>
          <w:rStyle w:val="FootnoteReference"/>
          <w:rFonts w:ascii="Arial" w:eastAsia="Arial" w:hAnsi="Arial" w:cs="Arial"/>
          <w:sz w:val="22"/>
          <w:szCs w:val="22"/>
          <w:lang w:val="es-ES_tradnl"/>
        </w:rPr>
        <w:footnoteReference w:id="20"/>
      </w:r>
      <w:r w:rsidR="005B49F7" w:rsidRPr="007E69D8">
        <w:rPr>
          <w:rFonts w:ascii="Arial" w:hAnsi="Arial" w:cs="Arial"/>
          <w:sz w:val="22"/>
          <w:szCs w:val="22"/>
          <w:lang w:val="es-ES_tradnl"/>
        </w:rPr>
        <w:t>.</w:t>
      </w:r>
      <w:r w:rsidR="00A11FC0" w:rsidRPr="007E69D8">
        <w:rPr>
          <w:rFonts w:ascii="Arial" w:hAnsi="Arial" w:cs="Arial"/>
          <w:sz w:val="22"/>
          <w:szCs w:val="22"/>
          <w:lang w:val="es-ES_tradnl"/>
        </w:rPr>
        <w:t xml:space="preserve"> </w:t>
      </w:r>
      <w:r w:rsidR="00532BD9" w:rsidRPr="007E69D8">
        <w:rPr>
          <w:rFonts w:ascii="Arial" w:hAnsi="Arial" w:cs="Arial"/>
          <w:sz w:val="22"/>
          <w:szCs w:val="22"/>
          <w:lang w:val="es-ES_tradnl"/>
        </w:rPr>
        <w:t>Además, e</w:t>
      </w:r>
      <w:r w:rsidR="00A11FC0" w:rsidRPr="007E69D8">
        <w:rPr>
          <w:rFonts w:ascii="Arial" w:eastAsia="Arial" w:hAnsi="Arial" w:cs="Arial"/>
          <w:sz w:val="22"/>
          <w:szCs w:val="22"/>
          <w:lang w:val="es-ES_tradnl"/>
        </w:rPr>
        <w:t xml:space="preserve">l Banco cuenta con una extensa experiencia en diseño e implementación de políticas de financiamiento a la </w:t>
      </w:r>
      <w:r w:rsidR="002D1E3A" w:rsidRPr="007E69D8">
        <w:rPr>
          <w:rFonts w:ascii="Arial" w:eastAsia="Arial" w:hAnsi="Arial" w:cs="Arial"/>
          <w:sz w:val="22"/>
          <w:szCs w:val="22"/>
          <w:lang w:val="es-ES_tradnl"/>
        </w:rPr>
        <w:t>MIPE</w:t>
      </w:r>
      <w:r w:rsidR="00A11FC0" w:rsidRPr="007E69D8">
        <w:rPr>
          <w:rFonts w:ascii="Arial" w:eastAsia="Arial" w:hAnsi="Arial" w:cs="Arial"/>
          <w:sz w:val="22"/>
          <w:szCs w:val="22"/>
          <w:lang w:val="es-ES_tradnl"/>
        </w:rPr>
        <w:t xml:space="preserve"> con un enfoque especial en determinados sectores o cadenas de valor</w:t>
      </w:r>
      <w:r w:rsidR="001A37FB" w:rsidRPr="007E69D8">
        <w:rPr>
          <w:rFonts w:ascii="Arial" w:eastAsia="Arial" w:hAnsi="Arial" w:cs="Arial"/>
          <w:sz w:val="22"/>
          <w:szCs w:val="22"/>
          <w:lang w:val="es-ES_tradnl"/>
        </w:rPr>
        <w:t xml:space="preserve">, </w:t>
      </w:r>
      <w:r w:rsidR="00C20FF1" w:rsidRPr="007E69D8">
        <w:rPr>
          <w:rFonts w:ascii="Arial" w:eastAsia="Arial" w:hAnsi="Arial" w:cs="Arial"/>
          <w:sz w:val="22"/>
          <w:szCs w:val="22"/>
          <w:lang w:val="es-ES_tradnl"/>
        </w:rPr>
        <w:t xml:space="preserve">generando </w:t>
      </w:r>
      <w:r w:rsidR="000A2A3F" w:rsidRPr="007E69D8">
        <w:rPr>
          <w:rFonts w:ascii="Arial" w:eastAsia="Arial" w:hAnsi="Arial" w:cs="Arial"/>
          <w:sz w:val="22"/>
          <w:szCs w:val="22"/>
          <w:lang w:val="es-ES_tradnl"/>
        </w:rPr>
        <w:t xml:space="preserve">una </w:t>
      </w:r>
      <w:r w:rsidR="00DE4CFC" w:rsidRPr="007E69D8">
        <w:rPr>
          <w:rFonts w:ascii="Arial" w:eastAsia="Arial" w:hAnsi="Arial" w:cs="Arial"/>
          <w:sz w:val="22"/>
          <w:szCs w:val="22"/>
          <w:lang w:val="es-ES_tradnl"/>
        </w:rPr>
        <w:t xml:space="preserve">gran </w:t>
      </w:r>
      <w:r w:rsidR="000A2A3F" w:rsidRPr="007E69D8">
        <w:rPr>
          <w:rFonts w:ascii="Arial" w:eastAsia="Arial" w:hAnsi="Arial" w:cs="Arial"/>
          <w:sz w:val="22"/>
          <w:szCs w:val="22"/>
          <w:lang w:val="es-ES_tradnl"/>
        </w:rPr>
        <w:t xml:space="preserve">diversidad </w:t>
      </w:r>
      <w:r w:rsidR="00DE4CFC" w:rsidRPr="007E69D8">
        <w:rPr>
          <w:rFonts w:ascii="Arial" w:eastAsia="Arial" w:hAnsi="Arial" w:cs="Arial"/>
          <w:sz w:val="22"/>
          <w:szCs w:val="22"/>
          <w:lang w:val="es-ES_tradnl"/>
        </w:rPr>
        <w:t>d</w:t>
      </w:r>
      <w:r w:rsidR="000A2A3F" w:rsidRPr="007E69D8">
        <w:rPr>
          <w:rFonts w:ascii="Arial" w:eastAsia="Arial" w:hAnsi="Arial" w:cs="Arial"/>
          <w:sz w:val="22"/>
          <w:szCs w:val="22"/>
          <w:lang w:val="es-ES_tradnl"/>
        </w:rPr>
        <w:t>e productos de conocimiento.</w:t>
      </w:r>
      <w:r w:rsidR="00A11FC0" w:rsidRPr="007E69D8">
        <w:rPr>
          <w:rStyle w:val="FootnoteReference"/>
          <w:rFonts w:ascii="Arial" w:eastAsia="Arial" w:hAnsi="Arial" w:cs="Arial"/>
          <w:sz w:val="22"/>
          <w:szCs w:val="22"/>
          <w:lang w:val="es-ES_tradnl"/>
        </w:rPr>
        <w:footnoteReference w:id="21"/>
      </w:r>
    </w:p>
    <w:p w14:paraId="3A0C5B15" w14:textId="54D31D1F" w:rsidR="005B49F7" w:rsidRPr="007E69D8" w:rsidRDefault="000A496F" w:rsidP="007116B2">
      <w:pPr>
        <w:pStyle w:val="Paragraph"/>
        <w:numPr>
          <w:ilvl w:val="1"/>
          <w:numId w:val="6"/>
        </w:numPr>
        <w:ind w:hanging="540"/>
        <w:rPr>
          <w:rFonts w:ascii="Arial" w:hAnsi="Arial" w:cs="Arial"/>
          <w:b/>
          <w:bCs/>
          <w:sz w:val="22"/>
          <w:szCs w:val="22"/>
          <w:lang w:val="es-ES_tradnl"/>
        </w:rPr>
      </w:pPr>
      <w:r w:rsidRPr="007E69D8">
        <w:rPr>
          <w:rFonts w:ascii="Arial" w:eastAsia="Arial" w:hAnsi="Arial" w:cs="Arial"/>
          <w:sz w:val="22"/>
          <w:szCs w:val="22"/>
          <w:lang w:val="es-ES_tradnl"/>
        </w:rPr>
        <w:t xml:space="preserve">En particular, en Ecuador el Banco ha apoyado intervenciones de apoyo a </w:t>
      </w:r>
      <w:r w:rsidR="002D1E3A" w:rsidRPr="007E69D8">
        <w:rPr>
          <w:rFonts w:ascii="Arial" w:eastAsia="Arial" w:hAnsi="Arial" w:cs="Arial"/>
          <w:sz w:val="22"/>
          <w:szCs w:val="22"/>
          <w:lang w:val="es-ES_tradnl"/>
        </w:rPr>
        <w:t>MIPE</w:t>
      </w:r>
      <w:r w:rsidRPr="007E69D8">
        <w:rPr>
          <w:rFonts w:ascii="Arial" w:eastAsia="Arial" w:hAnsi="Arial" w:cs="Arial"/>
          <w:sz w:val="22"/>
          <w:szCs w:val="22"/>
          <w:lang w:val="es-ES_tradnl"/>
        </w:rPr>
        <w:t xml:space="preserve"> en el periodo posterior a la crisis financiera, como</w:t>
      </w:r>
      <w:r w:rsidRPr="007E69D8">
        <w:rPr>
          <w:lang w:val="es-ES_tradnl"/>
        </w:rPr>
        <w:t xml:space="preserve"> </w:t>
      </w:r>
      <w:r w:rsidRPr="007E69D8">
        <w:rPr>
          <w:rFonts w:ascii="Arial" w:eastAsia="Arial" w:hAnsi="Arial" w:cs="Arial"/>
          <w:sz w:val="22"/>
          <w:szCs w:val="22"/>
          <w:lang w:val="es-ES_tradnl"/>
        </w:rPr>
        <w:t>el Programa Global de Crédito de Apoyo a las Microfinanzas en el Ecuador (</w:t>
      </w:r>
      <w:hyperlink r:id="rId15" w:history="1">
        <w:r w:rsidRPr="007E69D8">
          <w:rPr>
            <w:rStyle w:val="Hyperlink"/>
            <w:rFonts w:ascii="Arial" w:eastAsia="Arial" w:hAnsi="Arial" w:cs="Arial"/>
            <w:sz w:val="22"/>
            <w:szCs w:val="22"/>
            <w:lang w:val="es-ES_tradnl"/>
          </w:rPr>
          <w:t>2651/OC-EC</w:t>
        </w:r>
      </w:hyperlink>
      <w:r w:rsidRPr="007E69D8">
        <w:rPr>
          <w:rFonts w:ascii="Arial" w:eastAsia="Arial" w:hAnsi="Arial" w:cs="Arial"/>
          <w:sz w:val="22"/>
          <w:szCs w:val="22"/>
          <w:lang w:val="es-ES_tradnl"/>
        </w:rPr>
        <w:t>), aprobado en 2011 por US$50 millones, con</w:t>
      </w:r>
      <w:r w:rsidRPr="007E69D8">
        <w:rPr>
          <w:lang w:val="es-ES_tradnl"/>
        </w:rPr>
        <w:t xml:space="preserve"> </w:t>
      </w:r>
      <w:r w:rsidRPr="007E69D8">
        <w:rPr>
          <w:rFonts w:ascii="Arial" w:eastAsia="Arial" w:hAnsi="Arial" w:cs="Arial"/>
          <w:sz w:val="22"/>
          <w:szCs w:val="22"/>
          <w:lang w:val="es-ES_tradnl"/>
        </w:rPr>
        <w:t>el objetivo de mejorar el acceso de Estructuras de Finanzas Populares, y por su intermedio de los microempresarios, a recursos financieros a fin de contribuir al incremento de fuentes de empleo en el sector de la Economía Popular y Solidaria así como al mejoramiento de los ingresos de los beneficiarios finales del programa.</w:t>
      </w:r>
      <w:r w:rsidR="00733904" w:rsidRPr="007E69D8">
        <w:rPr>
          <w:rFonts w:ascii="Arial" w:eastAsia="Arial" w:hAnsi="Arial" w:cs="Arial"/>
          <w:sz w:val="22"/>
          <w:szCs w:val="22"/>
          <w:lang w:val="es-ES_tradnl"/>
        </w:rPr>
        <w:t>.</w:t>
      </w:r>
    </w:p>
    <w:p w14:paraId="5F1D49AC" w14:textId="4070F76E" w:rsidR="00BB48CD" w:rsidRPr="007E69D8" w:rsidRDefault="00BB48CD" w:rsidP="004714E0">
      <w:pPr>
        <w:pStyle w:val="Paragraph"/>
        <w:numPr>
          <w:ilvl w:val="0"/>
          <w:numId w:val="0"/>
        </w:numPr>
        <w:spacing w:before="240"/>
        <w:ind w:left="720"/>
        <w:rPr>
          <w:rFonts w:ascii="Arial" w:hAnsi="Arial" w:cs="Arial"/>
          <w:b/>
          <w:bCs/>
          <w:sz w:val="22"/>
          <w:szCs w:val="22"/>
          <w:u w:val="single"/>
          <w:lang w:val="es-ES_tradnl"/>
        </w:rPr>
      </w:pPr>
      <w:r w:rsidRPr="007E69D8">
        <w:rPr>
          <w:rFonts w:ascii="Arial" w:hAnsi="Arial" w:cs="Arial"/>
          <w:b/>
          <w:bCs/>
          <w:sz w:val="22"/>
          <w:szCs w:val="22"/>
          <w:u w:val="single"/>
          <w:lang w:val="es-ES_tradnl"/>
        </w:rPr>
        <w:lastRenderedPageBreak/>
        <w:t>Evaluación reflexiva</w:t>
      </w:r>
    </w:p>
    <w:p w14:paraId="20EA89E4" w14:textId="42110554" w:rsidR="001F6C37" w:rsidRPr="007E69D8" w:rsidRDefault="00007B89" w:rsidP="00E33F78">
      <w:pPr>
        <w:pStyle w:val="Paragraph"/>
        <w:numPr>
          <w:ilvl w:val="1"/>
          <w:numId w:val="6"/>
        </w:numPr>
        <w:ind w:hanging="540"/>
        <w:rPr>
          <w:rFonts w:ascii="Arial" w:hAnsi="Arial" w:cs="Arial"/>
          <w:sz w:val="22"/>
          <w:szCs w:val="22"/>
          <w:lang w:val="es-ES_tradnl"/>
        </w:rPr>
      </w:pPr>
      <w:r w:rsidRPr="007E69D8">
        <w:rPr>
          <w:rFonts w:ascii="Arial" w:hAnsi="Arial" w:cs="Arial"/>
          <w:b/>
          <w:sz w:val="22"/>
          <w:szCs w:val="22"/>
          <w:lang w:val="es-ES_tradnl"/>
        </w:rPr>
        <w:t xml:space="preserve">Justificación de la metodología. </w:t>
      </w:r>
      <w:r w:rsidR="009D3FA6" w:rsidRPr="007E69D8">
        <w:rPr>
          <w:rFonts w:ascii="Arial" w:hAnsi="Arial" w:cs="Arial"/>
          <w:bCs/>
          <w:sz w:val="22"/>
          <w:szCs w:val="22"/>
          <w:lang w:val="es-ES_tradnl"/>
        </w:rPr>
        <w:t xml:space="preserve">Le metodología reflexiva busca </w:t>
      </w:r>
      <w:r w:rsidR="00DB4C9B" w:rsidRPr="007E69D8">
        <w:rPr>
          <w:rFonts w:ascii="Arial" w:hAnsi="Arial" w:cs="Arial"/>
          <w:bCs/>
          <w:sz w:val="22"/>
          <w:szCs w:val="22"/>
          <w:lang w:val="es-ES_tradnl"/>
        </w:rPr>
        <w:t xml:space="preserve">conocer los efectos de una intervención </w:t>
      </w:r>
      <w:r w:rsidR="009D2631" w:rsidRPr="007E69D8">
        <w:rPr>
          <w:rFonts w:ascii="Arial" w:hAnsi="Arial" w:cs="Arial"/>
          <w:bCs/>
          <w:sz w:val="22"/>
          <w:szCs w:val="22"/>
          <w:lang w:val="es-ES_tradnl"/>
        </w:rPr>
        <w:t xml:space="preserve">sobre </w:t>
      </w:r>
      <w:r w:rsidR="00642378" w:rsidRPr="007E69D8">
        <w:rPr>
          <w:rFonts w:ascii="Arial" w:hAnsi="Arial" w:cs="Arial"/>
          <w:bCs/>
          <w:sz w:val="22"/>
          <w:szCs w:val="22"/>
          <w:lang w:val="es-ES_tradnl"/>
        </w:rPr>
        <w:t xml:space="preserve">variables </w:t>
      </w:r>
      <w:r w:rsidR="00890A5A" w:rsidRPr="007E69D8">
        <w:rPr>
          <w:rFonts w:ascii="Arial" w:hAnsi="Arial" w:cs="Arial"/>
          <w:bCs/>
          <w:sz w:val="22"/>
          <w:szCs w:val="22"/>
          <w:lang w:val="es-ES_tradnl"/>
        </w:rPr>
        <w:t>determinad</w:t>
      </w:r>
      <w:r w:rsidR="00642378" w:rsidRPr="007E69D8">
        <w:rPr>
          <w:rFonts w:ascii="Arial" w:hAnsi="Arial" w:cs="Arial"/>
          <w:bCs/>
          <w:sz w:val="22"/>
          <w:szCs w:val="22"/>
          <w:lang w:val="es-ES_tradnl"/>
        </w:rPr>
        <w:t>a</w:t>
      </w:r>
      <w:r w:rsidR="00890A5A" w:rsidRPr="007E69D8">
        <w:rPr>
          <w:rFonts w:ascii="Arial" w:hAnsi="Arial" w:cs="Arial"/>
          <w:bCs/>
          <w:sz w:val="22"/>
          <w:szCs w:val="22"/>
          <w:lang w:val="es-ES_tradnl"/>
        </w:rPr>
        <w:t>s de interés</w:t>
      </w:r>
      <w:r w:rsidR="00D221D6" w:rsidRPr="007E69D8">
        <w:rPr>
          <w:rFonts w:ascii="Arial" w:hAnsi="Arial" w:cs="Arial"/>
          <w:bCs/>
          <w:sz w:val="22"/>
          <w:szCs w:val="22"/>
          <w:lang w:val="es-ES_tradnl"/>
        </w:rPr>
        <w:t xml:space="preserve">. En el caso que nos ocupa, se trataría de medir </w:t>
      </w:r>
      <w:r w:rsidR="000E56F7" w:rsidRPr="007E69D8">
        <w:rPr>
          <w:rFonts w:ascii="Arial" w:hAnsi="Arial" w:cs="Arial"/>
          <w:bCs/>
          <w:sz w:val="22"/>
          <w:szCs w:val="22"/>
          <w:lang w:val="es-ES_tradnl"/>
        </w:rPr>
        <w:t>los ingresos por ventas y el empleo en las</w:t>
      </w:r>
      <w:r w:rsidR="00BD37F6" w:rsidRPr="007E69D8">
        <w:rPr>
          <w:rFonts w:ascii="Arial" w:hAnsi="Arial" w:cs="Arial"/>
          <w:bCs/>
          <w:sz w:val="22"/>
          <w:szCs w:val="22"/>
          <w:lang w:val="es-ES_tradnl"/>
        </w:rPr>
        <w:t xml:space="preserve"> </w:t>
      </w:r>
      <w:r w:rsidR="002D1E3A" w:rsidRPr="007E69D8">
        <w:rPr>
          <w:rFonts w:ascii="Arial" w:hAnsi="Arial" w:cs="Arial"/>
          <w:bCs/>
          <w:sz w:val="22"/>
          <w:szCs w:val="22"/>
          <w:lang w:val="es-ES_tradnl"/>
        </w:rPr>
        <w:t>MIPE</w:t>
      </w:r>
      <w:r w:rsidR="00BD37F6" w:rsidRPr="007E69D8">
        <w:rPr>
          <w:rFonts w:ascii="Arial" w:hAnsi="Arial" w:cs="Arial"/>
          <w:bCs/>
          <w:sz w:val="22"/>
          <w:szCs w:val="22"/>
          <w:lang w:val="es-ES_tradnl"/>
        </w:rPr>
        <w:t xml:space="preserve"> beneficiarias del programa</w:t>
      </w:r>
      <w:r w:rsidR="009A1E7A" w:rsidRPr="007E69D8">
        <w:rPr>
          <w:rFonts w:ascii="Arial" w:hAnsi="Arial" w:cs="Arial"/>
          <w:bCs/>
          <w:sz w:val="22"/>
          <w:szCs w:val="22"/>
          <w:lang w:val="es-ES_tradnl"/>
        </w:rPr>
        <w:t xml:space="preserve"> antes y </w:t>
      </w:r>
      <w:r w:rsidR="00B6701C" w:rsidRPr="007E69D8">
        <w:rPr>
          <w:rFonts w:ascii="Arial" w:hAnsi="Arial" w:cs="Arial"/>
          <w:bCs/>
          <w:sz w:val="22"/>
          <w:szCs w:val="22"/>
          <w:lang w:val="es-ES_tradnl"/>
        </w:rPr>
        <w:t xml:space="preserve">después </w:t>
      </w:r>
      <w:r w:rsidR="00EC36C4" w:rsidRPr="007E69D8">
        <w:rPr>
          <w:rFonts w:ascii="Arial" w:hAnsi="Arial" w:cs="Arial"/>
          <w:bCs/>
          <w:sz w:val="22"/>
          <w:szCs w:val="22"/>
          <w:lang w:val="es-ES_tradnl"/>
        </w:rPr>
        <w:t>de</w:t>
      </w:r>
      <w:r w:rsidR="009B0AD4" w:rsidRPr="007E69D8">
        <w:rPr>
          <w:rFonts w:ascii="Arial" w:hAnsi="Arial" w:cs="Arial"/>
          <w:bCs/>
          <w:sz w:val="22"/>
          <w:szCs w:val="22"/>
          <w:lang w:val="es-ES_tradnl"/>
        </w:rPr>
        <w:t>l programa</w:t>
      </w:r>
      <w:r w:rsidR="00AC1B8D" w:rsidRPr="007E69D8">
        <w:rPr>
          <w:rFonts w:ascii="Arial" w:hAnsi="Arial" w:cs="Arial"/>
          <w:bCs/>
          <w:sz w:val="22"/>
          <w:szCs w:val="22"/>
          <w:lang w:val="es-ES_tradnl"/>
        </w:rPr>
        <w:t xml:space="preserve">, </w:t>
      </w:r>
      <w:r w:rsidR="00AE260A" w:rsidRPr="007E69D8">
        <w:rPr>
          <w:rFonts w:ascii="Arial" w:hAnsi="Arial" w:cs="Arial"/>
          <w:bCs/>
          <w:sz w:val="22"/>
          <w:szCs w:val="22"/>
          <w:lang w:val="es-ES_tradnl"/>
        </w:rPr>
        <w:t xml:space="preserve">adjudicando las variaciones observadas </w:t>
      </w:r>
      <w:r w:rsidR="00694253" w:rsidRPr="007E69D8">
        <w:rPr>
          <w:rFonts w:ascii="Arial" w:hAnsi="Arial" w:cs="Arial"/>
          <w:bCs/>
          <w:sz w:val="22"/>
          <w:szCs w:val="22"/>
          <w:lang w:val="es-ES_tradnl"/>
        </w:rPr>
        <w:t xml:space="preserve">a dicha intervención. </w:t>
      </w:r>
      <w:r w:rsidR="00243684" w:rsidRPr="007E69D8">
        <w:rPr>
          <w:rFonts w:ascii="Arial" w:hAnsi="Arial" w:cs="Arial"/>
          <w:bCs/>
          <w:sz w:val="22"/>
          <w:szCs w:val="22"/>
          <w:lang w:val="es-ES_tradnl"/>
        </w:rPr>
        <w:t>Est</w:t>
      </w:r>
      <w:r w:rsidR="00121A96" w:rsidRPr="007E69D8">
        <w:rPr>
          <w:rFonts w:ascii="Arial" w:hAnsi="Arial" w:cs="Arial"/>
          <w:bCs/>
          <w:sz w:val="22"/>
          <w:szCs w:val="22"/>
          <w:lang w:val="es-ES_tradnl"/>
        </w:rPr>
        <w:t xml:space="preserve">a metodología, sin embargo, no </w:t>
      </w:r>
      <w:r w:rsidR="007131C5" w:rsidRPr="007E69D8">
        <w:rPr>
          <w:rFonts w:ascii="Arial" w:hAnsi="Arial" w:cs="Arial"/>
          <w:bCs/>
          <w:sz w:val="22"/>
          <w:szCs w:val="22"/>
          <w:lang w:val="es-ES_tradnl"/>
        </w:rPr>
        <w:t xml:space="preserve">puede aislar </w:t>
      </w:r>
      <w:r w:rsidR="00061426" w:rsidRPr="007E69D8">
        <w:rPr>
          <w:rFonts w:ascii="Arial" w:hAnsi="Arial" w:cs="Arial"/>
          <w:bCs/>
          <w:sz w:val="22"/>
          <w:szCs w:val="22"/>
          <w:lang w:val="es-ES_tradnl"/>
        </w:rPr>
        <w:t xml:space="preserve">completamente </w:t>
      </w:r>
      <w:r w:rsidR="007131C5" w:rsidRPr="007E69D8">
        <w:rPr>
          <w:rFonts w:ascii="Arial" w:hAnsi="Arial" w:cs="Arial"/>
          <w:bCs/>
          <w:sz w:val="22"/>
          <w:szCs w:val="22"/>
          <w:lang w:val="es-ES_tradnl"/>
        </w:rPr>
        <w:t xml:space="preserve">efectos </w:t>
      </w:r>
      <w:r w:rsidR="00E13D0B" w:rsidRPr="007E69D8">
        <w:rPr>
          <w:rFonts w:ascii="Arial" w:hAnsi="Arial" w:cs="Arial"/>
          <w:bCs/>
          <w:sz w:val="22"/>
          <w:szCs w:val="22"/>
          <w:lang w:val="es-ES_tradnl"/>
        </w:rPr>
        <w:t>externos a la intervención</w:t>
      </w:r>
      <w:r w:rsidR="0098747B" w:rsidRPr="007E69D8">
        <w:rPr>
          <w:rFonts w:ascii="Arial" w:hAnsi="Arial" w:cs="Arial"/>
          <w:bCs/>
          <w:sz w:val="22"/>
          <w:szCs w:val="22"/>
          <w:lang w:val="es-ES_tradnl"/>
        </w:rPr>
        <w:t xml:space="preserve"> que</w:t>
      </w:r>
      <w:r w:rsidR="00CB4E5B" w:rsidRPr="007E69D8">
        <w:rPr>
          <w:rFonts w:ascii="Arial" w:hAnsi="Arial" w:cs="Arial"/>
          <w:bCs/>
          <w:sz w:val="22"/>
          <w:szCs w:val="22"/>
          <w:lang w:val="es-ES_tradnl"/>
        </w:rPr>
        <w:t xml:space="preserve"> pueden influir</w:t>
      </w:r>
      <w:r w:rsidR="0098747B" w:rsidRPr="007E69D8">
        <w:rPr>
          <w:rFonts w:ascii="Arial" w:hAnsi="Arial" w:cs="Arial"/>
          <w:bCs/>
          <w:sz w:val="22"/>
          <w:szCs w:val="22"/>
          <w:lang w:val="es-ES_tradnl"/>
        </w:rPr>
        <w:t xml:space="preserve"> sobre </w:t>
      </w:r>
      <w:r w:rsidR="00061426" w:rsidRPr="007E69D8">
        <w:rPr>
          <w:rFonts w:ascii="Arial" w:hAnsi="Arial" w:cs="Arial"/>
          <w:bCs/>
          <w:sz w:val="22"/>
          <w:szCs w:val="22"/>
          <w:lang w:val="es-ES_tradnl"/>
        </w:rPr>
        <w:t>las variables de interés</w:t>
      </w:r>
      <w:r w:rsidR="00FE0AC2" w:rsidRPr="007E69D8">
        <w:rPr>
          <w:rFonts w:ascii="Arial" w:hAnsi="Arial" w:cs="Arial"/>
          <w:bCs/>
          <w:sz w:val="22"/>
          <w:szCs w:val="22"/>
          <w:lang w:val="es-ES_tradnl"/>
        </w:rPr>
        <w:t>, dificultando la atribución de l</w:t>
      </w:r>
      <w:r w:rsidR="00513C4B" w:rsidRPr="007E69D8">
        <w:rPr>
          <w:rFonts w:ascii="Arial" w:hAnsi="Arial" w:cs="Arial"/>
          <w:bCs/>
          <w:sz w:val="22"/>
          <w:szCs w:val="22"/>
          <w:lang w:val="es-ES_tradnl"/>
        </w:rPr>
        <w:t>os cambios observados</w:t>
      </w:r>
      <w:r w:rsidR="004E025C" w:rsidRPr="007E69D8">
        <w:rPr>
          <w:rFonts w:ascii="Arial" w:hAnsi="Arial" w:cs="Arial"/>
          <w:bCs/>
          <w:sz w:val="22"/>
          <w:szCs w:val="22"/>
          <w:lang w:val="es-ES_tradnl"/>
        </w:rPr>
        <w:t xml:space="preserve"> a intervención concreta.</w:t>
      </w:r>
      <w:r w:rsidR="00513C4B" w:rsidRPr="007E69D8">
        <w:rPr>
          <w:rFonts w:ascii="Arial" w:hAnsi="Arial" w:cs="Arial"/>
          <w:bCs/>
          <w:sz w:val="22"/>
          <w:szCs w:val="22"/>
          <w:lang w:val="es-ES_tradnl"/>
        </w:rPr>
        <w:t xml:space="preserve"> </w:t>
      </w:r>
    </w:p>
    <w:p w14:paraId="58DB2046" w14:textId="6567CD55" w:rsidR="00787EA9" w:rsidRPr="007E69D8" w:rsidRDefault="00E33F78" w:rsidP="00E33F78">
      <w:pPr>
        <w:pStyle w:val="Paragraph"/>
        <w:numPr>
          <w:ilvl w:val="1"/>
          <w:numId w:val="6"/>
        </w:numPr>
        <w:ind w:hanging="540"/>
        <w:rPr>
          <w:rFonts w:ascii="Arial" w:hAnsi="Arial" w:cs="Arial"/>
          <w:bCs/>
          <w:sz w:val="22"/>
          <w:szCs w:val="22"/>
          <w:lang w:val="es-ES_tradnl"/>
        </w:rPr>
      </w:pPr>
      <w:r w:rsidRPr="007E69D8">
        <w:rPr>
          <w:rFonts w:ascii="Arial" w:hAnsi="Arial" w:cs="Arial"/>
          <w:b/>
          <w:bCs/>
          <w:sz w:val="22"/>
          <w:szCs w:val="22"/>
          <w:lang w:val="es-ES_tradnl"/>
        </w:rPr>
        <w:t>Interpretación de los resultados</w:t>
      </w:r>
      <w:r w:rsidRPr="007E69D8">
        <w:rPr>
          <w:rFonts w:ascii="Arial" w:hAnsi="Arial" w:cs="Arial"/>
          <w:bCs/>
          <w:sz w:val="22"/>
          <w:szCs w:val="22"/>
          <w:lang w:val="es-ES_tradnl"/>
        </w:rPr>
        <w:t xml:space="preserve">. </w:t>
      </w:r>
      <w:r w:rsidR="004E1459" w:rsidRPr="007E69D8">
        <w:rPr>
          <w:rFonts w:ascii="Arial" w:hAnsi="Arial" w:cs="Arial"/>
          <w:bCs/>
          <w:sz w:val="22"/>
          <w:szCs w:val="22"/>
          <w:lang w:val="es-ES_tradnl"/>
        </w:rPr>
        <w:t>La evalu</w:t>
      </w:r>
      <w:r w:rsidR="006B12AE" w:rsidRPr="007E69D8">
        <w:rPr>
          <w:rFonts w:ascii="Arial" w:hAnsi="Arial" w:cs="Arial"/>
          <w:bCs/>
          <w:sz w:val="22"/>
          <w:szCs w:val="22"/>
          <w:lang w:val="es-ES_tradnl"/>
        </w:rPr>
        <w:t>a</w:t>
      </w:r>
      <w:r w:rsidR="004E1459" w:rsidRPr="007E69D8">
        <w:rPr>
          <w:rFonts w:ascii="Arial" w:hAnsi="Arial" w:cs="Arial"/>
          <w:bCs/>
          <w:sz w:val="22"/>
          <w:szCs w:val="22"/>
          <w:lang w:val="es-ES_tradnl"/>
        </w:rPr>
        <w:t xml:space="preserve">ción propuesta </w:t>
      </w:r>
      <w:r w:rsidR="001000B7" w:rsidRPr="007E69D8">
        <w:rPr>
          <w:rFonts w:ascii="Arial" w:hAnsi="Arial" w:cs="Arial"/>
          <w:bCs/>
          <w:sz w:val="22"/>
          <w:szCs w:val="22"/>
          <w:lang w:val="es-ES_tradnl"/>
        </w:rPr>
        <w:t>busca mostrar el alcance de los resultados e impactos</w:t>
      </w:r>
      <w:r w:rsidR="00887589" w:rsidRPr="007E69D8">
        <w:rPr>
          <w:rFonts w:ascii="Arial" w:hAnsi="Arial" w:cs="Arial"/>
          <w:bCs/>
          <w:sz w:val="22"/>
          <w:szCs w:val="22"/>
          <w:lang w:val="es-ES_tradnl"/>
        </w:rPr>
        <w:t xml:space="preserve"> del </w:t>
      </w:r>
      <w:r w:rsidR="00EA7F81" w:rsidRPr="007E69D8">
        <w:rPr>
          <w:rFonts w:ascii="Arial" w:hAnsi="Arial" w:cs="Arial"/>
          <w:bCs/>
          <w:sz w:val="22"/>
          <w:szCs w:val="22"/>
          <w:lang w:val="es-ES_tradnl"/>
        </w:rPr>
        <w:t xml:space="preserve">programa. </w:t>
      </w:r>
      <w:r w:rsidR="00900A4C" w:rsidRPr="007E69D8">
        <w:rPr>
          <w:rFonts w:ascii="Arial" w:hAnsi="Arial" w:cs="Arial"/>
          <w:bCs/>
          <w:sz w:val="22"/>
          <w:szCs w:val="22"/>
          <w:lang w:val="es-ES_tradnl"/>
        </w:rPr>
        <w:t>Las preguntas</w:t>
      </w:r>
      <w:r w:rsidR="00824587" w:rsidRPr="007E69D8">
        <w:rPr>
          <w:rFonts w:ascii="Arial" w:hAnsi="Arial" w:cs="Arial"/>
          <w:bCs/>
          <w:sz w:val="22"/>
          <w:szCs w:val="22"/>
          <w:lang w:val="es-ES_tradnl"/>
        </w:rPr>
        <w:t xml:space="preserve"> de </w:t>
      </w:r>
      <w:r w:rsidR="005A567D" w:rsidRPr="007E69D8">
        <w:rPr>
          <w:rFonts w:ascii="Arial" w:hAnsi="Arial" w:cs="Arial"/>
          <w:bCs/>
          <w:sz w:val="22"/>
          <w:szCs w:val="22"/>
          <w:lang w:val="es-ES_tradnl"/>
        </w:rPr>
        <w:t xml:space="preserve">evaluación </w:t>
      </w:r>
      <w:r w:rsidR="00900A4C" w:rsidRPr="007E69D8">
        <w:rPr>
          <w:rFonts w:ascii="Arial" w:hAnsi="Arial" w:cs="Arial"/>
          <w:bCs/>
          <w:sz w:val="22"/>
          <w:szCs w:val="22"/>
          <w:lang w:val="es-ES_tradnl"/>
        </w:rPr>
        <w:t>son</w:t>
      </w:r>
      <w:r w:rsidR="005A567D" w:rsidRPr="007E69D8">
        <w:rPr>
          <w:rFonts w:ascii="Arial" w:hAnsi="Arial" w:cs="Arial"/>
          <w:bCs/>
          <w:sz w:val="22"/>
          <w:szCs w:val="22"/>
          <w:lang w:val="es-ES_tradnl"/>
        </w:rPr>
        <w:t xml:space="preserve"> por tanto las siguientes (i) cuál ha sido el impacto de la intervención </w:t>
      </w:r>
      <w:r w:rsidR="00AD54DD" w:rsidRPr="007E69D8">
        <w:rPr>
          <w:rFonts w:ascii="Arial" w:hAnsi="Arial" w:cs="Arial"/>
          <w:bCs/>
          <w:sz w:val="22"/>
          <w:szCs w:val="22"/>
          <w:lang w:val="es-ES_tradnl"/>
        </w:rPr>
        <w:t xml:space="preserve">sobre los ingresos por ventas de las </w:t>
      </w:r>
      <w:r w:rsidR="002D1E3A" w:rsidRPr="007E69D8">
        <w:rPr>
          <w:rFonts w:ascii="Arial" w:hAnsi="Arial" w:cs="Arial"/>
          <w:bCs/>
          <w:sz w:val="22"/>
          <w:szCs w:val="22"/>
          <w:lang w:val="es-ES_tradnl"/>
        </w:rPr>
        <w:t>MIPE</w:t>
      </w:r>
      <w:r w:rsidR="00900A4C" w:rsidRPr="007E69D8">
        <w:rPr>
          <w:rFonts w:ascii="Arial" w:hAnsi="Arial" w:cs="Arial"/>
          <w:bCs/>
          <w:sz w:val="22"/>
          <w:szCs w:val="22"/>
          <w:lang w:val="es-ES_tradnl"/>
        </w:rPr>
        <w:t xml:space="preserve"> en</w:t>
      </w:r>
      <w:r w:rsidR="006807F1" w:rsidRPr="007E69D8">
        <w:rPr>
          <w:rFonts w:ascii="Arial" w:hAnsi="Arial" w:cs="Arial"/>
          <w:bCs/>
          <w:sz w:val="22"/>
          <w:szCs w:val="22"/>
          <w:lang w:val="es-ES_tradnl"/>
        </w:rPr>
        <w:t xml:space="preserve"> los sectores apoyados por el programa</w:t>
      </w:r>
      <w:r w:rsidR="008F573F" w:rsidRPr="007E69D8">
        <w:rPr>
          <w:rStyle w:val="FootnoteReference"/>
          <w:rFonts w:ascii="Arial" w:hAnsi="Arial" w:cs="Arial"/>
          <w:bCs/>
          <w:sz w:val="22"/>
          <w:szCs w:val="22"/>
          <w:lang w:val="es-ES_tradnl"/>
        </w:rPr>
        <w:footnoteReference w:id="22"/>
      </w:r>
      <w:r w:rsidR="006807F1" w:rsidRPr="007E69D8">
        <w:rPr>
          <w:rFonts w:ascii="Arial" w:hAnsi="Arial" w:cs="Arial"/>
          <w:bCs/>
          <w:sz w:val="22"/>
          <w:szCs w:val="22"/>
          <w:lang w:val="es-ES_tradnl"/>
        </w:rPr>
        <w:t xml:space="preserve">; y </w:t>
      </w:r>
      <w:r w:rsidR="008428AE" w:rsidRPr="007E69D8">
        <w:rPr>
          <w:rFonts w:ascii="Arial" w:hAnsi="Arial" w:cs="Arial"/>
          <w:sz w:val="22"/>
          <w:szCs w:val="22"/>
          <w:lang w:val="es-ES_tradnl"/>
        </w:rPr>
        <w:t>(</w:t>
      </w:r>
      <w:proofErr w:type="spellStart"/>
      <w:r w:rsidR="008428AE" w:rsidRPr="007E69D8">
        <w:rPr>
          <w:rFonts w:ascii="Arial" w:hAnsi="Arial" w:cs="Arial"/>
          <w:sz w:val="22"/>
          <w:szCs w:val="22"/>
          <w:lang w:val="es-ES_tradnl"/>
        </w:rPr>
        <w:t>ii</w:t>
      </w:r>
      <w:proofErr w:type="spellEnd"/>
      <w:r w:rsidR="008428AE" w:rsidRPr="007E69D8">
        <w:rPr>
          <w:rFonts w:ascii="Arial" w:hAnsi="Arial" w:cs="Arial"/>
          <w:sz w:val="22"/>
          <w:szCs w:val="22"/>
          <w:lang w:val="es-ES_tradnl"/>
        </w:rPr>
        <w:t xml:space="preserve">) </w:t>
      </w:r>
      <w:r w:rsidR="00F54B8E" w:rsidRPr="007E69D8">
        <w:rPr>
          <w:rFonts w:ascii="Arial" w:hAnsi="Arial" w:cs="Arial"/>
          <w:sz w:val="22"/>
          <w:szCs w:val="22"/>
          <w:lang w:val="es-ES_tradnl"/>
        </w:rPr>
        <w:t>cuál ha sido el impacto del programa sobre el porcentaje de empleo</w:t>
      </w:r>
      <w:r w:rsidR="00035D27" w:rsidRPr="007E69D8">
        <w:rPr>
          <w:rFonts w:ascii="Arial" w:hAnsi="Arial" w:cs="Arial"/>
          <w:sz w:val="22"/>
          <w:szCs w:val="22"/>
          <w:lang w:val="es-ES_tradnl"/>
        </w:rPr>
        <w:t xml:space="preserve"> en </w:t>
      </w:r>
      <w:r w:rsidR="002D1E3A" w:rsidRPr="007E69D8">
        <w:rPr>
          <w:rFonts w:ascii="Arial" w:hAnsi="Arial" w:cs="Arial"/>
          <w:sz w:val="22"/>
          <w:szCs w:val="22"/>
          <w:lang w:val="es-ES_tradnl"/>
        </w:rPr>
        <w:t>MIPE</w:t>
      </w:r>
      <w:r w:rsidR="00F54B8E" w:rsidRPr="007E69D8">
        <w:rPr>
          <w:rFonts w:ascii="Arial" w:hAnsi="Arial" w:cs="Arial"/>
          <w:sz w:val="22"/>
          <w:szCs w:val="22"/>
          <w:lang w:val="es-ES_tradnl"/>
        </w:rPr>
        <w:t xml:space="preserve"> frente el empleo total en el país</w:t>
      </w:r>
      <w:r w:rsidR="00887C19" w:rsidRPr="007E69D8">
        <w:rPr>
          <w:rFonts w:ascii="Arial" w:hAnsi="Arial" w:cs="Arial"/>
          <w:bCs/>
          <w:sz w:val="22"/>
          <w:szCs w:val="22"/>
          <w:lang w:val="es-ES_tradnl"/>
        </w:rPr>
        <w:t>.</w:t>
      </w:r>
      <w:r w:rsidR="00787EA9" w:rsidRPr="007E69D8">
        <w:rPr>
          <w:rFonts w:ascii="Arial" w:hAnsi="Arial" w:cs="Arial"/>
          <w:bCs/>
          <w:sz w:val="22"/>
          <w:szCs w:val="22"/>
          <w:lang w:val="es-ES_tradnl"/>
        </w:rPr>
        <w:t xml:space="preserve"> </w:t>
      </w:r>
    </w:p>
    <w:p w14:paraId="5098F83F" w14:textId="77777777" w:rsidR="0050615A" w:rsidRPr="00C60B61" w:rsidRDefault="00E33F78" w:rsidP="00E65B62">
      <w:pPr>
        <w:pStyle w:val="Paragraph"/>
        <w:numPr>
          <w:ilvl w:val="1"/>
          <w:numId w:val="6"/>
        </w:numPr>
        <w:ind w:hanging="540"/>
        <w:rPr>
          <w:rFonts w:ascii="Arial" w:hAnsi="Arial" w:cs="Arial"/>
          <w:bCs/>
          <w:sz w:val="22"/>
          <w:szCs w:val="22"/>
          <w:lang w:val="es-ES_tradnl"/>
        </w:rPr>
      </w:pPr>
      <w:r w:rsidRPr="00E65B62">
        <w:rPr>
          <w:rFonts w:ascii="Arial" w:hAnsi="Arial" w:cs="Arial"/>
          <w:b/>
          <w:bCs/>
          <w:sz w:val="22"/>
          <w:szCs w:val="22"/>
          <w:lang w:val="es-ES_tradnl"/>
        </w:rPr>
        <w:t>Fuentes de datos.</w:t>
      </w:r>
      <w:r w:rsidRPr="00E65B62">
        <w:rPr>
          <w:rFonts w:ascii="Arial" w:hAnsi="Arial" w:cs="Arial"/>
          <w:sz w:val="22"/>
          <w:szCs w:val="22"/>
          <w:lang w:val="es-ES_tradnl"/>
        </w:rPr>
        <w:t xml:space="preserve"> </w:t>
      </w:r>
      <w:r w:rsidR="005707CE" w:rsidRPr="00E65B62">
        <w:rPr>
          <w:rFonts w:ascii="Arial" w:hAnsi="Arial" w:cs="Arial"/>
          <w:sz w:val="22"/>
          <w:szCs w:val="22"/>
          <w:lang w:val="es-ES_tradnl"/>
        </w:rPr>
        <w:t xml:space="preserve">Para la realización del ejercicio propuesto son </w:t>
      </w:r>
      <w:r w:rsidR="002F508D" w:rsidRPr="00E65B62">
        <w:rPr>
          <w:rFonts w:ascii="Arial" w:hAnsi="Arial" w:cs="Arial"/>
          <w:sz w:val="22"/>
          <w:szCs w:val="22"/>
          <w:lang w:val="es-ES_tradnl"/>
        </w:rPr>
        <w:t>centrales los</w:t>
      </w:r>
      <w:r w:rsidR="00905D85" w:rsidRPr="00E65B62">
        <w:rPr>
          <w:rFonts w:ascii="Arial" w:hAnsi="Arial" w:cs="Arial"/>
          <w:sz w:val="22"/>
          <w:szCs w:val="22"/>
          <w:lang w:val="es-ES_tradnl"/>
        </w:rPr>
        <w:t xml:space="preserve"> </w:t>
      </w:r>
      <w:r w:rsidR="002F508D" w:rsidRPr="00E65B62">
        <w:rPr>
          <w:rFonts w:ascii="Arial" w:hAnsi="Arial" w:cs="Arial"/>
          <w:sz w:val="22"/>
          <w:szCs w:val="22"/>
          <w:lang w:val="es-ES_tradnl"/>
        </w:rPr>
        <w:t xml:space="preserve">indicadores de </w:t>
      </w:r>
      <w:r w:rsidR="00905D85" w:rsidRPr="00E65B62">
        <w:rPr>
          <w:rFonts w:ascii="Arial" w:hAnsi="Arial" w:cs="Arial"/>
          <w:sz w:val="22"/>
          <w:szCs w:val="22"/>
          <w:lang w:val="es-ES_tradnl"/>
        </w:rPr>
        <w:t>impacto del programa, recogidos en el Cuadro 1 de este documento</w:t>
      </w:r>
      <w:r w:rsidR="00E1696D" w:rsidRPr="00E65B62">
        <w:rPr>
          <w:rFonts w:ascii="Arial" w:hAnsi="Arial" w:cs="Arial"/>
          <w:sz w:val="22"/>
          <w:szCs w:val="22"/>
          <w:lang w:val="es-ES_tradnl"/>
        </w:rPr>
        <w:t xml:space="preserve">, y que serán objeto del monitoreo </w:t>
      </w:r>
      <w:r w:rsidR="009B54A4" w:rsidRPr="00E65B62">
        <w:rPr>
          <w:rFonts w:ascii="Arial" w:hAnsi="Arial" w:cs="Arial"/>
          <w:sz w:val="22"/>
          <w:szCs w:val="22"/>
          <w:lang w:val="es-ES_tradnl"/>
        </w:rPr>
        <w:t>propio del programa.</w:t>
      </w:r>
      <w:r w:rsidRPr="00E65B62">
        <w:rPr>
          <w:rFonts w:ascii="Arial" w:hAnsi="Arial" w:cs="Arial"/>
          <w:sz w:val="22"/>
          <w:szCs w:val="22"/>
          <w:lang w:val="es-ES_tradnl"/>
        </w:rPr>
        <w:t xml:space="preserve"> Además, se buscará complementar la información anterior con </w:t>
      </w:r>
      <w:r w:rsidR="00675A3D" w:rsidRPr="00E65B62">
        <w:rPr>
          <w:rFonts w:ascii="Arial" w:hAnsi="Arial" w:cs="Arial"/>
          <w:sz w:val="22"/>
          <w:szCs w:val="22"/>
          <w:lang w:val="es-ES_tradnl"/>
        </w:rPr>
        <w:t xml:space="preserve">series de </w:t>
      </w:r>
      <w:r w:rsidRPr="00E65B62">
        <w:rPr>
          <w:rFonts w:ascii="Arial" w:hAnsi="Arial" w:cs="Arial"/>
          <w:sz w:val="22"/>
          <w:szCs w:val="22"/>
          <w:lang w:val="es-ES_tradnl"/>
        </w:rPr>
        <w:t xml:space="preserve">datos de fuentes secundarias, tales como </w:t>
      </w:r>
      <w:r w:rsidR="000A496F" w:rsidRPr="00E65B62">
        <w:rPr>
          <w:rFonts w:ascii="Arial" w:hAnsi="Arial" w:cs="Arial"/>
          <w:sz w:val="22"/>
          <w:szCs w:val="22"/>
          <w:lang w:val="es-ES_tradnl"/>
        </w:rPr>
        <w:t>el Instituto Nacional de Estadísticas y Censos (INEC)</w:t>
      </w:r>
      <w:r w:rsidR="00981934" w:rsidRPr="00E65B62">
        <w:rPr>
          <w:rFonts w:ascii="Arial" w:hAnsi="Arial" w:cs="Arial"/>
          <w:sz w:val="22"/>
          <w:szCs w:val="22"/>
          <w:lang w:val="es-ES_tradnl"/>
        </w:rPr>
        <w:t xml:space="preserve"> y el Directorio de Empresas y Establecimientos.</w:t>
      </w:r>
      <w:r w:rsidR="00873605" w:rsidRPr="00E65B62">
        <w:rPr>
          <w:rFonts w:ascii="Arial" w:hAnsi="Arial" w:cs="Arial"/>
          <w:sz w:val="22"/>
          <w:szCs w:val="22"/>
          <w:lang w:val="es-ES_tradnl"/>
        </w:rPr>
        <w:t xml:space="preserve">; y se podrá contar con </w:t>
      </w:r>
      <w:r w:rsidR="00DC4A8F" w:rsidRPr="00E65B62">
        <w:rPr>
          <w:rFonts w:ascii="Arial" w:hAnsi="Arial" w:cs="Arial"/>
          <w:sz w:val="22"/>
          <w:szCs w:val="22"/>
          <w:lang w:val="es-ES_tradnl"/>
        </w:rPr>
        <w:t xml:space="preserve">información adicional derivada de encuestas realizadas a grupos </w:t>
      </w:r>
      <w:r w:rsidR="002D1E3A" w:rsidRPr="00E65B62">
        <w:rPr>
          <w:rFonts w:ascii="Arial" w:hAnsi="Arial" w:cs="Arial"/>
          <w:sz w:val="22"/>
          <w:szCs w:val="22"/>
          <w:lang w:val="es-ES_tradnl"/>
        </w:rPr>
        <w:t>MIPE</w:t>
      </w:r>
      <w:r w:rsidR="00E65B62" w:rsidRPr="00E65B62">
        <w:rPr>
          <w:rFonts w:ascii="Arial" w:hAnsi="Arial" w:cs="Arial"/>
          <w:sz w:val="22"/>
          <w:szCs w:val="22"/>
          <w:lang w:val="es-ES_tradnl"/>
        </w:rPr>
        <w:t>, en caso existan</w:t>
      </w:r>
      <w:r w:rsidR="00DC4A8F" w:rsidRPr="00E65B62">
        <w:rPr>
          <w:rFonts w:ascii="Arial" w:hAnsi="Arial" w:cs="Arial"/>
          <w:lang w:val="es-ES_tradnl"/>
        </w:rPr>
        <w:t>.</w:t>
      </w:r>
      <w:r w:rsidR="00E65B62" w:rsidRPr="00E65B62">
        <w:rPr>
          <w:rFonts w:ascii="Arial" w:hAnsi="Arial" w:cs="Arial"/>
          <w:lang w:val="es-ES_tradnl"/>
        </w:rPr>
        <w:t xml:space="preserve"> </w:t>
      </w:r>
    </w:p>
    <w:p w14:paraId="0CA8D098" w14:textId="1199B3F2" w:rsidR="007116B2" w:rsidRPr="00E65B62" w:rsidRDefault="007116B2" w:rsidP="00E65B62">
      <w:pPr>
        <w:pStyle w:val="Paragraph"/>
        <w:numPr>
          <w:ilvl w:val="1"/>
          <w:numId w:val="6"/>
        </w:numPr>
        <w:ind w:hanging="540"/>
        <w:rPr>
          <w:rFonts w:ascii="Arial" w:hAnsi="Arial" w:cs="Arial"/>
          <w:bCs/>
          <w:sz w:val="22"/>
          <w:szCs w:val="22"/>
          <w:lang w:val="es-ES_tradnl"/>
        </w:rPr>
      </w:pPr>
      <w:r w:rsidRPr="00E65B62">
        <w:rPr>
          <w:rFonts w:ascii="Arial" w:hAnsi="Arial" w:cs="Arial"/>
          <w:b/>
          <w:bCs/>
          <w:sz w:val="22"/>
          <w:szCs w:val="22"/>
          <w:lang w:val="es-ES_tradnl"/>
        </w:rPr>
        <w:t xml:space="preserve">Plazo. </w:t>
      </w:r>
      <w:r w:rsidR="004054F9" w:rsidRPr="00E65B62">
        <w:rPr>
          <w:rFonts w:ascii="Arial" w:hAnsi="Arial" w:cs="Arial"/>
          <w:sz w:val="22"/>
          <w:szCs w:val="22"/>
          <w:lang w:val="es-ES_tradnl"/>
        </w:rPr>
        <w:t>El OE</w:t>
      </w:r>
      <w:r w:rsidRPr="00E65B62">
        <w:rPr>
          <w:rFonts w:ascii="Arial" w:hAnsi="Arial" w:cs="Arial"/>
          <w:bCs/>
          <w:sz w:val="22"/>
          <w:szCs w:val="22"/>
          <w:lang w:val="es-ES_tradnl"/>
        </w:rPr>
        <w:t xml:space="preserve"> proveerá al </w:t>
      </w:r>
      <w:r w:rsidR="004054F9" w:rsidRPr="00E65B62">
        <w:rPr>
          <w:rFonts w:ascii="Arial" w:hAnsi="Arial" w:cs="Arial"/>
          <w:bCs/>
          <w:sz w:val="22"/>
          <w:szCs w:val="22"/>
          <w:lang w:val="es-ES_tradnl"/>
        </w:rPr>
        <w:t>Banco</w:t>
      </w:r>
      <w:r w:rsidRPr="00E65B62">
        <w:rPr>
          <w:rFonts w:ascii="Arial" w:hAnsi="Arial" w:cs="Arial"/>
          <w:bCs/>
          <w:sz w:val="22"/>
          <w:szCs w:val="22"/>
          <w:lang w:val="es-ES_tradnl"/>
        </w:rPr>
        <w:t xml:space="preserve"> la información necesaria para realizar </w:t>
      </w:r>
      <w:r w:rsidR="00C64C11" w:rsidRPr="00E65B62">
        <w:rPr>
          <w:rFonts w:ascii="Arial" w:hAnsi="Arial" w:cs="Arial"/>
          <w:bCs/>
          <w:sz w:val="22"/>
          <w:szCs w:val="22"/>
          <w:lang w:val="es-ES_tradnl"/>
        </w:rPr>
        <w:t>el PCR</w:t>
      </w:r>
      <w:r w:rsidRPr="00E65B62">
        <w:rPr>
          <w:rFonts w:ascii="Arial" w:hAnsi="Arial" w:cs="Arial"/>
          <w:bCs/>
          <w:sz w:val="22"/>
          <w:szCs w:val="22"/>
          <w:lang w:val="es-ES_tradnl"/>
        </w:rPr>
        <w:t xml:space="preserve">, a ser completado en un plazo no mayor a </w:t>
      </w:r>
      <w:r w:rsidR="00CF3F83">
        <w:rPr>
          <w:rFonts w:ascii="Arial" w:hAnsi="Arial" w:cs="Arial"/>
          <w:bCs/>
          <w:sz w:val="22"/>
          <w:szCs w:val="22"/>
          <w:lang w:val="es-ES_tradnl"/>
        </w:rPr>
        <w:t>seis</w:t>
      </w:r>
      <w:r w:rsidR="00CF3F83" w:rsidRPr="00E65B62">
        <w:rPr>
          <w:rFonts w:ascii="Arial" w:hAnsi="Arial" w:cs="Arial"/>
          <w:bCs/>
          <w:sz w:val="22"/>
          <w:szCs w:val="22"/>
          <w:lang w:val="es-ES_tradnl"/>
        </w:rPr>
        <w:t xml:space="preserve"> </w:t>
      </w:r>
      <w:r w:rsidRPr="00E65B62">
        <w:rPr>
          <w:rFonts w:ascii="Arial" w:hAnsi="Arial" w:cs="Arial"/>
          <w:bCs/>
          <w:sz w:val="22"/>
          <w:szCs w:val="22"/>
          <w:lang w:val="es-ES_tradnl"/>
        </w:rPr>
        <w:t xml:space="preserve">meses luego de alcanzar 100% o más de los desembolsos totales. Se organizarán también reuniones </w:t>
      </w:r>
      <w:r w:rsidR="00981934" w:rsidRPr="00E65B62">
        <w:rPr>
          <w:rFonts w:ascii="Arial" w:hAnsi="Arial" w:cs="Arial"/>
          <w:bCs/>
          <w:sz w:val="22"/>
          <w:szCs w:val="22"/>
          <w:lang w:val="es-ES_tradnl"/>
        </w:rPr>
        <w:t>semestrales</w:t>
      </w:r>
      <w:r w:rsidRPr="00E65B62">
        <w:rPr>
          <w:rFonts w:ascii="Arial" w:hAnsi="Arial" w:cs="Arial"/>
          <w:bCs/>
          <w:sz w:val="22"/>
          <w:szCs w:val="22"/>
          <w:lang w:val="es-ES_tradnl"/>
        </w:rPr>
        <w:t xml:space="preserve"> de seguimiento en las que podrá presentarse y discutirse la evolución de esta información. El PCR contendrá la información necesaria para realizar el ejercicio </w:t>
      </w:r>
      <w:r w:rsidR="000B094C" w:rsidRPr="00E65B62">
        <w:rPr>
          <w:rFonts w:ascii="Arial" w:hAnsi="Arial" w:cs="Arial"/>
          <w:bCs/>
          <w:sz w:val="22"/>
          <w:szCs w:val="22"/>
          <w:lang w:val="es-ES_tradnl"/>
        </w:rPr>
        <w:t>ex </w:t>
      </w:r>
      <w:r w:rsidRPr="00E65B62">
        <w:rPr>
          <w:rFonts w:ascii="Arial" w:hAnsi="Arial" w:cs="Arial"/>
          <w:bCs/>
          <w:sz w:val="22"/>
          <w:szCs w:val="22"/>
          <w:lang w:val="es-ES_tradnl"/>
        </w:rPr>
        <w:t xml:space="preserve">post descrito.  </w:t>
      </w:r>
    </w:p>
    <w:p w14:paraId="7D114288" w14:textId="18ADE56B" w:rsidR="007116B2" w:rsidRPr="00E65B62" w:rsidRDefault="007116B2">
      <w:pPr>
        <w:pStyle w:val="Paragraph"/>
        <w:numPr>
          <w:ilvl w:val="1"/>
          <w:numId w:val="6"/>
        </w:numPr>
        <w:ind w:hanging="540"/>
        <w:rPr>
          <w:rFonts w:ascii="Arial" w:hAnsi="Arial" w:cs="Arial"/>
          <w:sz w:val="22"/>
          <w:szCs w:val="22"/>
          <w:lang w:val="es-ES_tradnl"/>
        </w:rPr>
      </w:pPr>
      <w:r w:rsidRPr="00E65B62">
        <w:rPr>
          <w:rFonts w:ascii="Arial" w:hAnsi="Arial" w:cs="Arial"/>
          <w:sz w:val="22"/>
          <w:szCs w:val="22"/>
          <w:lang w:val="es-ES_tradnl"/>
        </w:rPr>
        <w:t xml:space="preserve">Tras la elaboración del informe final, </w:t>
      </w:r>
      <w:r w:rsidR="00F13E9C" w:rsidRPr="00E65B62">
        <w:rPr>
          <w:rFonts w:ascii="Arial" w:hAnsi="Arial" w:cs="Arial"/>
          <w:sz w:val="22"/>
          <w:szCs w:val="22"/>
          <w:lang w:val="es-ES_tradnl"/>
        </w:rPr>
        <w:t>el OE y el Banco</w:t>
      </w:r>
      <w:r w:rsidRPr="00E65B62">
        <w:rPr>
          <w:rFonts w:ascii="Arial" w:hAnsi="Arial" w:cs="Arial"/>
          <w:sz w:val="22"/>
          <w:szCs w:val="22"/>
          <w:lang w:val="es-ES_tradnl"/>
        </w:rPr>
        <w:t xml:space="preserve"> coordinarán la realización del ejercicio </w:t>
      </w:r>
      <w:r w:rsidR="000B094C" w:rsidRPr="00E65B62">
        <w:rPr>
          <w:rFonts w:ascii="Arial" w:hAnsi="Arial" w:cs="Arial"/>
          <w:sz w:val="22"/>
          <w:szCs w:val="22"/>
          <w:lang w:val="es-ES_tradnl"/>
        </w:rPr>
        <w:t>ex </w:t>
      </w:r>
      <w:r w:rsidRPr="00E65B62">
        <w:rPr>
          <w:rFonts w:ascii="Arial" w:hAnsi="Arial" w:cs="Arial"/>
          <w:sz w:val="22"/>
          <w:szCs w:val="22"/>
          <w:lang w:val="es-ES_tradnl"/>
        </w:rPr>
        <w:t xml:space="preserve">post en su versión final dentro del plazo de los </w:t>
      </w:r>
      <w:r w:rsidR="00CF3F83">
        <w:rPr>
          <w:rFonts w:ascii="Arial" w:hAnsi="Arial" w:cs="Arial"/>
          <w:sz w:val="22"/>
          <w:szCs w:val="22"/>
          <w:lang w:val="es-ES_tradnl"/>
        </w:rPr>
        <w:t>seis</w:t>
      </w:r>
      <w:r w:rsidR="00CF3F83" w:rsidRPr="00E65B62">
        <w:rPr>
          <w:rFonts w:ascii="Arial" w:hAnsi="Arial" w:cs="Arial"/>
          <w:sz w:val="22"/>
          <w:szCs w:val="22"/>
          <w:lang w:val="es-ES_tradnl"/>
        </w:rPr>
        <w:t xml:space="preserve"> </w:t>
      </w:r>
      <w:r w:rsidRPr="00E65B62">
        <w:rPr>
          <w:rFonts w:ascii="Arial" w:hAnsi="Arial" w:cs="Arial"/>
          <w:sz w:val="22"/>
          <w:szCs w:val="22"/>
          <w:lang w:val="es-ES_tradnl"/>
        </w:rPr>
        <w:t>meses siguientes luego de alcanzar el 100% de los desembolsos.</w:t>
      </w:r>
    </w:p>
    <w:p w14:paraId="1A32547E" w14:textId="5CEFAC3E" w:rsidR="007116B2" w:rsidRPr="007E69D8" w:rsidRDefault="007116B2" w:rsidP="007116B2">
      <w:pPr>
        <w:pStyle w:val="Paragraph"/>
        <w:numPr>
          <w:ilvl w:val="1"/>
          <w:numId w:val="6"/>
        </w:numPr>
        <w:ind w:hanging="540"/>
        <w:rPr>
          <w:rFonts w:ascii="Arial" w:hAnsi="Arial" w:cs="Arial"/>
          <w:sz w:val="22"/>
          <w:szCs w:val="22"/>
          <w:lang w:val="es-ES_tradnl"/>
        </w:rPr>
      </w:pPr>
      <w:r w:rsidRPr="007E69D8">
        <w:rPr>
          <w:rFonts w:ascii="Arial" w:hAnsi="Arial" w:cs="Arial"/>
          <w:sz w:val="22"/>
          <w:szCs w:val="22"/>
          <w:lang w:val="es-ES_tradnl"/>
        </w:rPr>
        <w:t xml:space="preserve">Los costos de las actividades de evaluación definidas para este programa se dividen entre fondos destinados para la recopilación de información y los aportes de personal del BID y </w:t>
      </w:r>
      <w:r w:rsidR="00F13E9C" w:rsidRPr="007E69D8">
        <w:rPr>
          <w:rFonts w:ascii="Arial" w:hAnsi="Arial" w:cs="Arial"/>
          <w:sz w:val="22"/>
          <w:szCs w:val="22"/>
          <w:lang w:val="es-ES_tradnl"/>
        </w:rPr>
        <w:t>el OE.</w:t>
      </w:r>
      <w:r w:rsidRPr="007E69D8">
        <w:rPr>
          <w:rFonts w:ascii="Arial" w:hAnsi="Arial" w:cs="Arial"/>
          <w:sz w:val="22"/>
          <w:szCs w:val="22"/>
          <w:lang w:val="es-ES_tradnl"/>
        </w:rPr>
        <w:t xml:space="preserve"> Dadas las características de la evaluación propuesta, que se basa en información a recopilar durante la ejecución normal de este programa, se hace notar que para la realización del ejercicio de análisis </w:t>
      </w:r>
      <w:r w:rsidR="00E65B62">
        <w:rPr>
          <w:rFonts w:ascii="Arial" w:hAnsi="Arial" w:cs="Arial"/>
          <w:sz w:val="22"/>
          <w:szCs w:val="22"/>
          <w:lang w:val="es-ES_tradnl"/>
        </w:rPr>
        <w:t>reflexivo</w:t>
      </w:r>
      <w:r w:rsidRPr="007E69D8">
        <w:rPr>
          <w:rFonts w:ascii="Arial" w:hAnsi="Arial" w:cs="Arial"/>
          <w:sz w:val="22"/>
          <w:szCs w:val="22"/>
          <w:lang w:val="es-ES_tradnl"/>
        </w:rPr>
        <w:t xml:space="preserve"> único recurso relevante a considerar para la realización de estos informes será el de un consultor dedicado al análisis y procesamiento de la información y la elaboración de los reportes. Entrarían pues estas responsabilidades dentro de lo previsto en el seguimiento técnico del programa y cumplimiento de los principales hitos, así como la existencia de eventuales desvíos entre las actividades programadas y ejecutadas. Se ha estimado un coste de US</w:t>
      </w:r>
      <w:r w:rsidR="00E65B62">
        <w:rPr>
          <w:rFonts w:ascii="Arial" w:hAnsi="Arial" w:cs="Arial"/>
          <w:sz w:val="22"/>
          <w:szCs w:val="22"/>
          <w:lang w:val="es-ES_tradnl"/>
        </w:rPr>
        <w:t>13</w:t>
      </w:r>
      <w:r w:rsidR="00981934" w:rsidRPr="007E69D8">
        <w:rPr>
          <w:rFonts w:ascii="Arial" w:hAnsi="Arial" w:cs="Arial"/>
          <w:sz w:val="22"/>
          <w:szCs w:val="22"/>
          <w:lang w:val="es-ES_tradnl"/>
        </w:rPr>
        <w:t>.000</w:t>
      </w:r>
      <w:r w:rsidRPr="007E69D8">
        <w:rPr>
          <w:rFonts w:ascii="Arial" w:hAnsi="Arial" w:cs="Arial"/>
          <w:sz w:val="22"/>
          <w:szCs w:val="22"/>
          <w:lang w:val="es-ES_tradnl"/>
        </w:rPr>
        <w:t xml:space="preserve"> imputable a la evaluación </w:t>
      </w:r>
      <w:r w:rsidR="00E65B62">
        <w:rPr>
          <w:rFonts w:ascii="Arial" w:hAnsi="Arial" w:cs="Arial"/>
          <w:sz w:val="22"/>
          <w:szCs w:val="22"/>
          <w:lang w:val="es-ES_tradnl"/>
        </w:rPr>
        <w:t>del programa</w:t>
      </w:r>
      <w:r w:rsidRPr="007E69D8">
        <w:rPr>
          <w:rFonts w:ascii="Arial" w:hAnsi="Arial" w:cs="Arial"/>
          <w:sz w:val="22"/>
          <w:szCs w:val="22"/>
          <w:lang w:val="es-ES_tradnl"/>
        </w:rPr>
        <w:t xml:space="preserve">. </w:t>
      </w:r>
    </w:p>
    <w:p w14:paraId="17E02DA2" w14:textId="21768CBD" w:rsidR="007116B2" w:rsidRPr="007E69D8" w:rsidRDefault="007116B2" w:rsidP="007116B2">
      <w:pPr>
        <w:pStyle w:val="Paragraph"/>
        <w:numPr>
          <w:ilvl w:val="1"/>
          <w:numId w:val="6"/>
        </w:numPr>
        <w:ind w:hanging="540"/>
        <w:rPr>
          <w:rFonts w:ascii="Arial" w:hAnsi="Arial" w:cs="Arial"/>
          <w:sz w:val="22"/>
          <w:szCs w:val="22"/>
          <w:lang w:val="es-ES_tradnl"/>
        </w:rPr>
      </w:pPr>
      <w:r w:rsidRPr="007E69D8">
        <w:rPr>
          <w:rFonts w:ascii="Arial" w:hAnsi="Arial" w:cs="Arial"/>
          <w:sz w:val="22"/>
          <w:szCs w:val="22"/>
          <w:lang w:val="es-ES_tradnl"/>
        </w:rPr>
        <w:t xml:space="preserve">Los costos del personal del </w:t>
      </w:r>
      <w:r w:rsidR="00037243" w:rsidRPr="007E69D8">
        <w:rPr>
          <w:rFonts w:ascii="Arial" w:hAnsi="Arial" w:cs="Arial"/>
          <w:sz w:val="22"/>
          <w:szCs w:val="22"/>
          <w:lang w:val="es-ES_tradnl"/>
        </w:rPr>
        <w:t>Banco</w:t>
      </w:r>
      <w:r w:rsidRPr="007E69D8">
        <w:rPr>
          <w:rFonts w:ascii="Arial" w:hAnsi="Arial" w:cs="Arial"/>
          <w:sz w:val="22"/>
          <w:szCs w:val="22"/>
          <w:lang w:val="es-ES_tradnl"/>
        </w:rPr>
        <w:t xml:space="preserve"> y de</w:t>
      </w:r>
      <w:r w:rsidR="00037243" w:rsidRPr="007E69D8">
        <w:rPr>
          <w:rFonts w:ascii="Arial" w:hAnsi="Arial" w:cs="Arial"/>
          <w:sz w:val="22"/>
          <w:szCs w:val="22"/>
          <w:lang w:val="es-ES_tradnl"/>
        </w:rPr>
        <w:t>l OE</w:t>
      </w:r>
      <w:r w:rsidRPr="007E69D8">
        <w:rPr>
          <w:rFonts w:ascii="Arial" w:hAnsi="Arial" w:cs="Arial"/>
          <w:sz w:val="22"/>
          <w:szCs w:val="22"/>
          <w:lang w:val="es-ES_tradnl"/>
        </w:rPr>
        <w:t xml:space="preserve"> involucrado</w:t>
      </w:r>
      <w:r w:rsidR="00037243" w:rsidRPr="007E69D8">
        <w:rPr>
          <w:rFonts w:ascii="Arial" w:hAnsi="Arial" w:cs="Arial"/>
          <w:sz w:val="22"/>
          <w:szCs w:val="22"/>
          <w:lang w:val="es-ES_tradnl"/>
        </w:rPr>
        <w:t>s</w:t>
      </w:r>
      <w:r w:rsidRPr="007E69D8">
        <w:rPr>
          <w:rFonts w:ascii="Arial" w:hAnsi="Arial" w:cs="Arial"/>
          <w:sz w:val="22"/>
          <w:szCs w:val="22"/>
          <w:lang w:val="es-ES_tradnl"/>
        </w:rPr>
        <w:t xml:space="preserve"> en el equipo de trabajo serán cubiertos por </w:t>
      </w:r>
      <w:r w:rsidR="00981934" w:rsidRPr="007E69D8">
        <w:rPr>
          <w:rFonts w:ascii="Arial" w:hAnsi="Arial" w:cs="Arial"/>
          <w:sz w:val="22"/>
          <w:szCs w:val="22"/>
          <w:lang w:val="es-ES_tradnl"/>
        </w:rPr>
        <w:t>ambas instituciones. Estos no requerirán</w:t>
      </w:r>
      <w:r w:rsidRPr="007E69D8">
        <w:rPr>
          <w:rFonts w:ascii="Arial" w:hAnsi="Arial" w:cs="Arial"/>
          <w:sz w:val="22"/>
          <w:szCs w:val="22"/>
          <w:lang w:val="es-ES_tradnl"/>
        </w:rPr>
        <w:t xml:space="preserve"> un presupuesto adicional para este fin. </w:t>
      </w:r>
      <w:r w:rsidR="00981934" w:rsidRPr="007E69D8">
        <w:rPr>
          <w:rFonts w:ascii="Arial" w:hAnsi="Arial" w:cs="Arial"/>
          <w:sz w:val="22"/>
          <w:szCs w:val="22"/>
          <w:lang w:val="es-ES_tradnl"/>
        </w:rPr>
        <w:t>CONAFIPS es una institución bien establecida y con capacidad técnica y financiera para llevar a cabo los compromisos que faciliten la realización de la evaluación.</w:t>
      </w:r>
    </w:p>
    <w:p w14:paraId="7B40ACA5" w14:textId="45132D35" w:rsidR="003E3F92" w:rsidRPr="007E69D8" w:rsidRDefault="003E3F92" w:rsidP="004714E0">
      <w:pPr>
        <w:pStyle w:val="Paragraph"/>
        <w:numPr>
          <w:ilvl w:val="0"/>
          <w:numId w:val="0"/>
        </w:numPr>
        <w:spacing w:before="240"/>
        <w:ind w:left="720"/>
        <w:rPr>
          <w:rFonts w:ascii="Arial" w:hAnsi="Arial" w:cs="Arial"/>
          <w:b/>
          <w:bCs/>
          <w:sz w:val="22"/>
          <w:szCs w:val="22"/>
          <w:u w:val="single"/>
          <w:lang w:val="es-ES_tradnl"/>
        </w:rPr>
      </w:pPr>
      <w:r w:rsidRPr="007E69D8">
        <w:rPr>
          <w:rFonts w:ascii="Arial" w:hAnsi="Arial" w:cs="Arial"/>
          <w:b/>
          <w:bCs/>
          <w:sz w:val="22"/>
          <w:szCs w:val="22"/>
          <w:u w:val="single"/>
          <w:lang w:val="es-ES_tradnl"/>
        </w:rPr>
        <w:lastRenderedPageBreak/>
        <w:t xml:space="preserve">Análisis </w:t>
      </w:r>
      <w:r w:rsidR="004972BB" w:rsidRPr="007E69D8">
        <w:rPr>
          <w:rFonts w:ascii="Arial" w:hAnsi="Arial" w:cs="Arial"/>
          <w:b/>
          <w:bCs/>
          <w:sz w:val="22"/>
          <w:szCs w:val="22"/>
          <w:u w:val="single"/>
          <w:lang w:val="es-ES_tradnl"/>
        </w:rPr>
        <w:t>cualitativo</w:t>
      </w:r>
      <w:r w:rsidRPr="007E69D8">
        <w:rPr>
          <w:rFonts w:ascii="Arial" w:hAnsi="Arial" w:cs="Arial"/>
          <w:b/>
          <w:bCs/>
          <w:sz w:val="22"/>
          <w:szCs w:val="22"/>
          <w:u w:val="single"/>
          <w:lang w:val="es-ES_tradnl"/>
        </w:rPr>
        <w:t>:</w:t>
      </w:r>
    </w:p>
    <w:p w14:paraId="264D821D" w14:textId="45932E33" w:rsidR="002C7253" w:rsidRPr="007E69D8" w:rsidRDefault="003B1A9A" w:rsidP="00CA7E13">
      <w:pPr>
        <w:pStyle w:val="Paragraph"/>
        <w:numPr>
          <w:ilvl w:val="1"/>
          <w:numId w:val="6"/>
        </w:numPr>
        <w:ind w:hanging="540"/>
        <w:rPr>
          <w:rFonts w:ascii="Arial" w:hAnsi="Arial" w:cs="Arial"/>
          <w:sz w:val="22"/>
          <w:szCs w:val="22"/>
          <w:lang w:val="es-ES_tradnl"/>
        </w:rPr>
      </w:pPr>
      <w:r w:rsidRPr="007E69D8">
        <w:rPr>
          <w:rFonts w:ascii="Arial" w:hAnsi="Arial" w:cs="Arial"/>
          <w:sz w:val="22"/>
          <w:szCs w:val="22"/>
          <w:lang w:val="es-ES_tradnl"/>
        </w:rPr>
        <w:t>Dentro de la propuesta de análisis cualitativo que se incluirá en el PCR, se busca contestar a las siguientes preguntas: (i) cuáles fueron las principales debilidades y los retos encontrados para la ejecución del proyecto; (</w:t>
      </w:r>
      <w:proofErr w:type="spellStart"/>
      <w:r w:rsidRPr="007E69D8">
        <w:rPr>
          <w:rFonts w:ascii="Arial" w:hAnsi="Arial" w:cs="Arial"/>
          <w:sz w:val="22"/>
          <w:szCs w:val="22"/>
          <w:lang w:val="es-ES_tradnl"/>
        </w:rPr>
        <w:t>ii</w:t>
      </w:r>
      <w:proofErr w:type="spellEnd"/>
      <w:r w:rsidRPr="007E69D8">
        <w:rPr>
          <w:rFonts w:ascii="Arial" w:hAnsi="Arial" w:cs="Arial"/>
          <w:sz w:val="22"/>
          <w:szCs w:val="22"/>
          <w:lang w:val="es-ES_tradnl"/>
        </w:rPr>
        <w:t>) cuáles fueron las medidas implementadas para subsanar las debilidades y retos de ejecución;</w:t>
      </w:r>
      <w:r w:rsidR="000F1B82" w:rsidRPr="007E69D8">
        <w:rPr>
          <w:rFonts w:ascii="Arial" w:hAnsi="Arial" w:cs="Arial"/>
          <w:sz w:val="22"/>
          <w:szCs w:val="22"/>
          <w:lang w:val="es-ES_tradnl"/>
        </w:rPr>
        <w:t xml:space="preserve"> (iii) cuán adecuado fue el diseño de la operación </w:t>
      </w:r>
      <w:r w:rsidR="00900A4C" w:rsidRPr="007E69D8">
        <w:rPr>
          <w:rFonts w:ascii="Arial" w:hAnsi="Arial" w:cs="Arial"/>
          <w:sz w:val="22"/>
          <w:szCs w:val="22"/>
          <w:lang w:val="es-ES_tradnl"/>
        </w:rPr>
        <w:t>para</w:t>
      </w:r>
      <w:r w:rsidR="000F1B82" w:rsidRPr="007E69D8">
        <w:rPr>
          <w:rFonts w:ascii="Arial" w:hAnsi="Arial" w:cs="Arial"/>
          <w:sz w:val="22"/>
          <w:szCs w:val="22"/>
          <w:lang w:val="es-ES_tradnl"/>
        </w:rPr>
        <w:t xml:space="preserve"> atender las particularidades de la emergencia causada por el COVID-19;</w:t>
      </w:r>
      <w:r w:rsidRPr="007E69D8">
        <w:rPr>
          <w:rFonts w:ascii="Arial" w:hAnsi="Arial" w:cs="Arial"/>
          <w:sz w:val="22"/>
          <w:szCs w:val="22"/>
          <w:lang w:val="es-ES_tradnl"/>
        </w:rPr>
        <w:t xml:space="preserve"> y (</w:t>
      </w:r>
      <w:proofErr w:type="spellStart"/>
      <w:r w:rsidRPr="007E69D8">
        <w:rPr>
          <w:rFonts w:ascii="Arial" w:hAnsi="Arial" w:cs="Arial"/>
          <w:sz w:val="22"/>
          <w:szCs w:val="22"/>
          <w:lang w:val="es-ES_tradnl"/>
        </w:rPr>
        <w:t>i</w:t>
      </w:r>
      <w:r w:rsidR="000F1B82" w:rsidRPr="007E69D8">
        <w:rPr>
          <w:rFonts w:ascii="Arial" w:hAnsi="Arial" w:cs="Arial"/>
          <w:sz w:val="22"/>
          <w:szCs w:val="22"/>
          <w:lang w:val="es-ES_tradnl"/>
        </w:rPr>
        <w:t>v</w:t>
      </w:r>
      <w:proofErr w:type="spellEnd"/>
      <w:r w:rsidRPr="007E69D8">
        <w:rPr>
          <w:rFonts w:ascii="Arial" w:hAnsi="Arial" w:cs="Arial"/>
          <w:sz w:val="22"/>
          <w:szCs w:val="22"/>
          <w:lang w:val="es-ES_tradnl"/>
        </w:rPr>
        <w:t xml:space="preserve">) qué lecciones aprendidas y propuestas se generaron de la ejecución del proyecto. </w:t>
      </w:r>
    </w:p>
    <w:p w14:paraId="02C9D2FE" w14:textId="77777777" w:rsidR="000F1B82" w:rsidRPr="007E69D8" w:rsidRDefault="000F1B82" w:rsidP="000F1B82">
      <w:pPr>
        <w:pStyle w:val="Paragraph"/>
        <w:numPr>
          <w:ilvl w:val="0"/>
          <w:numId w:val="0"/>
        </w:numPr>
        <w:ind w:left="540"/>
        <w:rPr>
          <w:rFonts w:ascii="Arial" w:hAnsi="Arial" w:cs="Arial"/>
          <w:sz w:val="22"/>
          <w:szCs w:val="22"/>
          <w:lang w:val="es-ES_tradnl"/>
        </w:rPr>
      </w:pPr>
    </w:p>
    <w:p w14:paraId="3092B736" w14:textId="43D4E0D6" w:rsidR="00B93FB1" w:rsidRPr="007E69D8" w:rsidRDefault="00B93FB1" w:rsidP="004E271A">
      <w:pPr>
        <w:pStyle w:val="ListParagraph"/>
        <w:spacing w:before="240" w:after="120"/>
        <w:ind w:left="360"/>
        <w:jc w:val="center"/>
        <w:rPr>
          <w:rFonts w:ascii="Arial" w:hAnsi="Arial" w:cs="Arial"/>
          <w:b/>
          <w:sz w:val="20"/>
        </w:rPr>
      </w:pPr>
      <w:r w:rsidRPr="007E69D8">
        <w:rPr>
          <w:rFonts w:ascii="Arial" w:hAnsi="Arial" w:cs="Arial"/>
          <w:b/>
          <w:sz w:val="20"/>
        </w:rPr>
        <w:t>Cuadro 4. Plan de trabajo para las actividades de evaluación</w:t>
      </w:r>
    </w:p>
    <w:tbl>
      <w:tblPr>
        <w:tblW w:w="9180" w:type="dxa"/>
        <w:tblInd w:w="170" w:type="dxa"/>
        <w:tblLayout w:type="fixed"/>
        <w:tblLook w:val="04A0" w:firstRow="1" w:lastRow="0" w:firstColumn="1" w:lastColumn="0" w:noHBand="0" w:noVBand="1"/>
      </w:tblPr>
      <w:tblGrid>
        <w:gridCol w:w="2970"/>
        <w:gridCol w:w="540"/>
        <w:gridCol w:w="540"/>
        <w:gridCol w:w="540"/>
        <w:gridCol w:w="540"/>
        <w:gridCol w:w="1530"/>
        <w:gridCol w:w="900"/>
        <w:gridCol w:w="1620"/>
      </w:tblGrid>
      <w:tr w:rsidR="004E271A" w:rsidRPr="007E69D8" w14:paraId="2F024B0F" w14:textId="77777777" w:rsidTr="004E271A">
        <w:trPr>
          <w:trHeight w:hRule="exact" w:val="576"/>
          <w:tblHeader/>
        </w:trPr>
        <w:tc>
          <w:tcPr>
            <w:tcW w:w="297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5C2FCA8" w14:textId="77777777" w:rsidR="004E271A" w:rsidRPr="007E69D8" w:rsidRDefault="004E271A" w:rsidP="003F1317">
            <w:pP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Actividades y Productos</w:t>
            </w:r>
          </w:p>
        </w:tc>
        <w:tc>
          <w:tcPr>
            <w:tcW w:w="5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64639B2F" w14:textId="77777777" w:rsidR="004E271A" w:rsidRPr="007E69D8" w:rsidRDefault="004E271A" w:rsidP="004E271A">
            <w:pPr>
              <w:ind w:left="-19" w:right="-108"/>
              <w:jc w:val="cente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Año 1</w:t>
            </w:r>
          </w:p>
        </w:tc>
        <w:tc>
          <w:tcPr>
            <w:tcW w:w="5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5C455854" w14:textId="1F586167" w:rsidR="004E271A" w:rsidRPr="007E69D8" w:rsidRDefault="004E271A" w:rsidP="004E271A">
            <w:pPr>
              <w:ind w:left="-19" w:right="-108"/>
              <w:jc w:val="cente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Año 2</w:t>
            </w:r>
          </w:p>
        </w:tc>
        <w:tc>
          <w:tcPr>
            <w:tcW w:w="5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tcPr>
          <w:p w14:paraId="5CB2AA9C" w14:textId="36156BA5" w:rsidR="004E271A" w:rsidRPr="007E69D8" w:rsidRDefault="004E271A" w:rsidP="004E271A">
            <w:pPr>
              <w:ind w:left="-19" w:right="-108"/>
              <w:jc w:val="cente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Año 3</w:t>
            </w:r>
          </w:p>
        </w:tc>
        <w:tc>
          <w:tcPr>
            <w:tcW w:w="5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tcPr>
          <w:p w14:paraId="2D4E2C7A" w14:textId="46B1E0C7" w:rsidR="004E271A" w:rsidRPr="007E69D8" w:rsidRDefault="004E271A" w:rsidP="004E271A">
            <w:pPr>
              <w:ind w:left="-19" w:right="-108"/>
              <w:jc w:val="cente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Año 4</w:t>
            </w:r>
          </w:p>
        </w:tc>
        <w:tc>
          <w:tcPr>
            <w:tcW w:w="153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6B5A6AD3" w14:textId="4EB5BE31" w:rsidR="004E271A" w:rsidRPr="007E69D8" w:rsidRDefault="004E271A" w:rsidP="004E271A">
            <w:pPr>
              <w:ind w:left="-104" w:right="-108"/>
              <w:jc w:val="cente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Responsable</w:t>
            </w:r>
          </w:p>
        </w:tc>
        <w:tc>
          <w:tcPr>
            <w:tcW w:w="900" w:type="dxa"/>
            <w:tcBorders>
              <w:top w:val="single" w:sz="8" w:space="0" w:color="000000"/>
              <w:left w:val="nil"/>
              <w:bottom w:val="single" w:sz="8" w:space="0" w:color="000000"/>
              <w:right w:val="single" w:sz="8" w:space="0" w:color="000000"/>
            </w:tcBorders>
            <w:shd w:val="clear" w:color="auto" w:fill="AEAAAA" w:themeFill="background2" w:themeFillShade="BF"/>
            <w:vAlign w:val="center"/>
            <w:hideMark/>
          </w:tcPr>
          <w:p w14:paraId="38D451CA" w14:textId="7197946C" w:rsidR="004E271A" w:rsidRPr="007E69D8" w:rsidRDefault="004E271A" w:rsidP="004E271A">
            <w:pPr>
              <w:ind w:left="-106" w:right="-107"/>
              <w:jc w:val="cente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Costo US$</w:t>
            </w:r>
          </w:p>
        </w:tc>
        <w:tc>
          <w:tcPr>
            <w:tcW w:w="162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45293F1" w14:textId="77777777" w:rsidR="004E271A" w:rsidRPr="007E69D8" w:rsidRDefault="004E271A" w:rsidP="004E271A">
            <w:pPr>
              <w:ind w:left="-110" w:right="-106"/>
              <w:jc w:val="center"/>
              <w:rPr>
                <w:rFonts w:ascii="Arial" w:hAnsi="Arial" w:cs="Arial"/>
                <w:b/>
                <w:bCs/>
                <w:color w:val="FFFFFF" w:themeColor="background1"/>
                <w:sz w:val="20"/>
                <w:lang w:val="es-ES_tradnl"/>
              </w:rPr>
            </w:pPr>
            <w:r w:rsidRPr="007E69D8">
              <w:rPr>
                <w:rFonts w:ascii="Arial" w:hAnsi="Arial" w:cs="Arial"/>
                <w:b/>
                <w:bCs/>
                <w:color w:val="FFFFFF" w:themeColor="background1"/>
                <w:sz w:val="20"/>
                <w:lang w:val="es-ES_tradnl"/>
              </w:rPr>
              <w:t>Financiamiento</w:t>
            </w:r>
          </w:p>
        </w:tc>
      </w:tr>
      <w:tr w:rsidR="004E271A" w:rsidRPr="007E69D8" w14:paraId="00768174" w14:textId="77777777" w:rsidTr="004E271A">
        <w:trPr>
          <w:trHeight w:hRule="exact" w:val="288"/>
        </w:trPr>
        <w:tc>
          <w:tcPr>
            <w:tcW w:w="297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06555F" w14:textId="0AD339DA" w:rsidR="004E271A" w:rsidRPr="007E69D8" w:rsidRDefault="004E271A" w:rsidP="003F1317">
            <w:pPr>
              <w:rPr>
                <w:rFonts w:ascii="Arial" w:hAnsi="Arial" w:cs="Arial"/>
                <w:color w:val="000000"/>
                <w:sz w:val="20"/>
                <w:lang w:val="es-ES_tradnl"/>
              </w:rPr>
            </w:pPr>
            <w:r w:rsidRPr="007E69D8">
              <w:rPr>
                <w:rFonts w:ascii="Arial" w:hAnsi="Arial" w:cs="Arial"/>
                <w:color w:val="000000"/>
                <w:sz w:val="20"/>
                <w:lang w:val="es-ES_tradnl"/>
              </w:rPr>
              <w:t>Evaluación reflexiva</w:t>
            </w:r>
          </w:p>
        </w:tc>
        <w:tc>
          <w:tcPr>
            <w:tcW w:w="540" w:type="dxa"/>
            <w:tcBorders>
              <w:top w:val="single" w:sz="8" w:space="0" w:color="000000"/>
              <w:left w:val="single" w:sz="8" w:space="0" w:color="000000"/>
              <w:bottom w:val="single" w:sz="8" w:space="0" w:color="000000"/>
              <w:right w:val="single" w:sz="8" w:space="0" w:color="000000"/>
            </w:tcBorders>
            <w:vAlign w:val="center"/>
          </w:tcPr>
          <w:p w14:paraId="3C05C599" w14:textId="77777777" w:rsidR="004E271A" w:rsidRPr="007E69D8" w:rsidRDefault="004E271A" w:rsidP="003F1317">
            <w:pPr>
              <w:rPr>
                <w:rFonts w:ascii="Arial" w:hAnsi="Arial" w:cs="Arial"/>
                <w:color w:val="000000"/>
                <w:sz w:val="20"/>
                <w:lang w:val="es-ES_tradnl"/>
              </w:rPr>
            </w:pPr>
          </w:p>
        </w:tc>
        <w:tc>
          <w:tcPr>
            <w:tcW w:w="540" w:type="dxa"/>
            <w:tcBorders>
              <w:top w:val="single" w:sz="8" w:space="0" w:color="000000"/>
              <w:left w:val="single" w:sz="8" w:space="0" w:color="000000"/>
              <w:bottom w:val="single" w:sz="8" w:space="0" w:color="000000"/>
              <w:right w:val="single" w:sz="8" w:space="0" w:color="000000"/>
            </w:tcBorders>
            <w:vAlign w:val="center"/>
          </w:tcPr>
          <w:p w14:paraId="447A5F3D" w14:textId="77777777" w:rsidR="004E271A" w:rsidRPr="007E69D8" w:rsidRDefault="004E271A" w:rsidP="003F1317">
            <w:pPr>
              <w:ind w:left="-648" w:right="256"/>
              <w:rPr>
                <w:rFonts w:ascii="Arial" w:hAnsi="Arial" w:cs="Arial"/>
                <w:color w:val="000000"/>
                <w:sz w:val="20"/>
                <w:lang w:val="es-ES_tradnl"/>
              </w:rPr>
            </w:pPr>
            <w:r w:rsidRPr="007E69D8">
              <w:rPr>
                <w:rFonts w:ascii="Arial" w:hAnsi="Arial" w:cs="Arial"/>
                <w:color w:val="000000"/>
                <w:sz w:val="20"/>
                <w:lang w:val="es-ES_tradnl"/>
              </w:rPr>
              <w:t>X</w:t>
            </w:r>
          </w:p>
        </w:tc>
        <w:tc>
          <w:tcPr>
            <w:tcW w:w="540" w:type="dxa"/>
            <w:tcBorders>
              <w:top w:val="single" w:sz="8" w:space="0" w:color="000000"/>
              <w:left w:val="single" w:sz="8" w:space="0" w:color="000000"/>
              <w:bottom w:val="single" w:sz="8" w:space="0" w:color="000000"/>
              <w:right w:val="single" w:sz="8" w:space="0" w:color="000000"/>
            </w:tcBorders>
          </w:tcPr>
          <w:p w14:paraId="5DA09FE8" w14:textId="77777777" w:rsidR="004E271A" w:rsidRPr="007E69D8" w:rsidRDefault="004E271A" w:rsidP="003F1317">
            <w:pPr>
              <w:jc w:val="center"/>
              <w:rPr>
                <w:rFonts w:ascii="Arial" w:hAnsi="Arial" w:cs="Arial"/>
                <w:color w:val="000000"/>
                <w:sz w:val="20"/>
                <w:lang w:val="es-ES_tradnl"/>
              </w:rPr>
            </w:pPr>
          </w:p>
        </w:tc>
        <w:tc>
          <w:tcPr>
            <w:tcW w:w="540" w:type="dxa"/>
            <w:tcBorders>
              <w:top w:val="single" w:sz="8" w:space="0" w:color="000000"/>
              <w:left w:val="single" w:sz="8" w:space="0" w:color="000000"/>
              <w:bottom w:val="single" w:sz="8" w:space="0" w:color="000000"/>
              <w:right w:val="single" w:sz="8" w:space="0" w:color="000000"/>
            </w:tcBorders>
          </w:tcPr>
          <w:p w14:paraId="2FB2AEEF" w14:textId="67334D7D" w:rsidR="004E271A" w:rsidRPr="007E69D8" w:rsidRDefault="004E271A" w:rsidP="003F1317">
            <w:pPr>
              <w:jc w:val="center"/>
              <w:rPr>
                <w:rFonts w:ascii="Arial" w:hAnsi="Arial" w:cs="Arial"/>
                <w:color w:val="000000"/>
                <w:sz w:val="20"/>
                <w:lang w:val="es-ES_tradnl"/>
              </w:rPr>
            </w:pPr>
            <w:r w:rsidRPr="007E69D8">
              <w:rPr>
                <w:rFonts w:ascii="Arial" w:hAnsi="Arial" w:cs="Arial"/>
                <w:color w:val="000000"/>
                <w:sz w:val="20"/>
                <w:lang w:val="es-ES_tradnl"/>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5A48D24" w14:textId="2B0D1385" w:rsidR="004E271A" w:rsidRPr="007E69D8" w:rsidRDefault="004E271A" w:rsidP="003F1317">
            <w:pPr>
              <w:jc w:val="center"/>
              <w:rPr>
                <w:rFonts w:ascii="Arial" w:hAnsi="Arial" w:cs="Arial"/>
                <w:color w:val="000000"/>
                <w:sz w:val="20"/>
                <w:lang w:val="es-ES_tradnl"/>
              </w:rPr>
            </w:pPr>
            <w:r w:rsidRPr="007E69D8">
              <w:rPr>
                <w:rFonts w:ascii="Arial" w:hAnsi="Arial" w:cs="Arial"/>
                <w:color w:val="000000"/>
                <w:sz w:val="20"/>
                <w:lang w:val="es-ES_tradnl"/>
              </w:rPr>
              <w:t>BID/OE</w:t>
            </w:r>
          </w:p>
        </w:tc>
        <w:tc>
          <w:tcPr>
            <w:tcW w:w="900" w:type="dxa"/>
            <w:tcBorders>
              <w:top w:val="single" w:sz="8" w:space="0" w:color="000000"/>
              <w:left w:val="nil"/>
              <w:bottom w:val="single" w:sz="8" w:space="0" w:color="000000"/>
              <w:right w:val="single" w:sz="8" w:space="0" w:color="000000"/>
            </w:tcBorders>
            <w:shd w:val="clear" w:color="auto" w:fill="auto"/>
            <w:vAlign w:val="center"/>
            <w:hideMark/>
          </w:tcPr>
          <w:p w14:paraId="34C759B9" w14:textId="3971754A" w:rsidR="004E271A" w:rsidRPr="007E69D8" w:rsidRDefault="005822E1" w:rsidP="005822E1">
            <w:pPr>
              <w:ind w:left="-17"/>
              <w:jc w:val="right"/>
              <w:rPr>
                <w:rFonts w:ascii="Arial" w:hAnsi="Arial" w:cs="Arial"/>
                <w:color w:val="000000"/>
                <w:sz w:val="20"/>
                <w:lang w:val="es-ES_tradnl"/>
              </w:rPr>
            </w:pPr>
            <w:r w:rsidRPr="007E69D8">
              <w:rPr>
                <w:rFonts w:ascii="Arial" w:hAnsi="Arial" w:cs="Arial"/>
                <w:color w:val="000000"/>
                <w:sz w:val="20"/>
                <w:lang w:val="es-ES_tradnl"/>
              </w:rPr>
              <w:t>8.000</w:t>
            </w:r>
          </w:p>
        </w:tc>
        <w:tc>
          <w:tcPr>
            <w:tcW w:w="1620" w:type="dxa"/>
            <w:tcBorders>
              <w:top w:val="single" w:sz="8" w:space="0" w:color="000000"/>
              <w:left w:val="nil"/>
              <w:bottom w:val="single" w:sz="8" w:space="0" w:color="000000"/>
              <w:right w:val="single" w:sz="8" w:space="0" w:color="000000"/>
            </w:tcBorders>
            <w:shd w:val="clear" w:color="auto" w:fill="auto"/>
            <w:vAlign w:val="center"/>
            <w:hideMark/>
          </w:tcPr>
          <w:p w14:paraId="5EC9D829" w14:textId="18F90527" w:rsidR="004E271A" w:rsidRPr="007E69D8" w:rsidRDefault="000F1B82" w:rsidP="000F1B82">
            <w:pPr>
              <w:jc w:val="center"/>
              <w:rPr>
                <w:rFonts w:ascii="Arial" w:hAnsi="Arial" w:cs="Arial"/>
                <w:color w:val="000000"/>
                <w:sz w:val="20"/>
                <w:lang w:val="es-ES_tradnl"/>
              </w:rPr>
            </w:pPr>
            <w:r w:rsidRPr="007E69D8">
              <w:rPr>
                <w:rFonts w:ascii="Arial" w:hAnsi="Arial" w:cs="Arial"/>
                <w:color w:val="000000"/>
                <w:sz w:val="20"/>
                <w:lang w:val="es-ES_tradnl"/>
              </w:rPr>
              <w:t>BID/OE</w:t>
            </w:r>
          </w:p>
        </w:tc>
      </w:tr>
      <w:tr w:rsidR="000F1B82" w:rsidRPr="007E69D8" w14:paraId="407ED6FB" w14:textId="77777777" w:rsidTr="004E271A">
        <w:trPr>
          <w:trHeight w:hRule="exact" w:val="288"/>
        </w:trPr>
        <w:tc>
          <w:tcPr>
            <w:tcW w:w="29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186A70" w14:textId="4974220E" w:rsidR="000F1B82" w:rsidRPr="007E69D8" w:rsidRDefault="000F1B82" w:rsidP="000F1B82">
            <w:pPr>
              <w:rPr>
                <w:rFonts w:ascii="Arial" w:hAnsi="Arial" w:cs="Arial"/>
                <w:color w:val="000000"/>
                <w:sz w:val="20"/>
                <w:lang w:val="es-ES_tradnl"/>
              </w:rPr>
            </w:pPr>
            <w:r w:rsidRPr="007E69D8">
              <w:rPr>
                <w:rFonts w:ascii="Arial" w:hAnsi="Arial" w:cs="Arial"/>
                <w:color w:val="000000"/>
                <w:sz w:val="20"/>
                <w:lang w:val="es-ES_tradnl"/>
              </w:rPr>
              <w:t>Análisis cualitativo</w:t>
            </w:r>
          </w:p>
        </w:tc>
        <w:tc>
          <w:tcPr>
            <w:tcW w:w="540" w:type="dxa"/>
            <w:tcBorders>
              <w:top w:val="single" w:sz="8" w:space="0" w:color="000000"/>
              <w:left w:val="single" w:sz="8" w:space="0" w:color="000000"/>
              <w:bottom w:val="single" w:sz="8" w:space="0" w:color="000000"/>
              <w:right w:val="single" w:sz="8" w:space="0" w:color="000000"/>
            </w:tcBorders>
            <w:vAlign w:val="center"/>
          </w:tcPr>
          <w:p w14:paraId="58B7FE16" w14:textId="77777777" w:rsidR="000F1B82" w:rsidRPr="007E69D8" w:rsidRDefault="000F1B82" w:rsidP="000F1B82">
            <w:pPr>
              <w:rPr>
                <w:rFonts w:ascii="Arial" w:hAnsi="Arial" w:cs="Arial"/>
                <w:color w:val="000000"/>
                <w:sz w:val="20"/>
                <w:lang w:val="es-ES_tradnl"/>
              </w:rPr>
            </w:pPr>
          </w:p>
        </w:tc>
        <w:tc>
          <w:tcPr>
            <w:tcW w:w="540" w:type="dxa"/>
            <w:tcBorders>
              <w:top w:val="single" w:sz="8" w:space="0" w:color="000000"/>
              <w:left w:val="single" w:sz="8" w:space="0" w:color="000000"/>
              <w:bottom w:val="single" w:sz="8" w:space="0" w:color="000000"/>
              <w:right w:val="single" w:sz="8" w:space="0" w:color="000000"/>
            </w:tcBorders>
            <w:vAlign w:val="center"/>
          </w:tcPr>
          <w:p w14:paraId="259B8310" w14:textId="77777777" w:rsidR="000F1B82" w:rsidRPr="007E69D8" w:rsidRDefault="000F1B82" w:rsidP="000F1B82">
            <w:pPr>
              <w:ind w:left="-648" w:right="256"/>
              <w:rPr>
                <w:rFonts w:ascii="Arial" w:hAnsi="Arial" w:cs="Arial"/>
                <w:color w:val="000000"/>
                <w:sz w:val="20"/>
                <w:lang w:val="es-ES_tradnl"/>
              </w:rPr>
            </w:pPr>
            <w:r w:rsidRPr="007E69D8">
              <w:rPr>
                <w:rFonts w:ascii="Arial" w:hAnsi="Arial" w:cs="Arial"/>
                <w:color w:val="000000"/>
                <w:sz w:val="20"/>
                <w:lang w:val="es-ES_tradnl"/>
              </w:rPr>
              <w:t>X</w:t>
            </w:r>
          </w:p>
        </w:tc>
        <w:tc>
          <w:tcPr>
            <w:tcW w:w="540" w:type="dxa"/>
            <w:tcBorders>
              <w:top w:val="single" w:sz="8" w:space="0" w:color="000000"/>
              <w:left w:val="single" w:sz="8" w:space="0" w:color="000000"/>
              <w:bottom w:val="single" w:sz="8" w:space="0" w:color="000000"/>
              <w:right w:val="single" w:sz="8" w:space="0" w:color="000000"/>
            </w:tcBorders>
          </w:tcPr>
          <w:p w14:paraId="407E7F9F" w14:textId="77777777" w:rsidR="000F1B82" w:rsidRPr="007E69D8" w:rsidRDefault="000F1B82" w:rsidP="000F1B82">
            <w:pPr>
              <w:jc w:val="center"/>
              <w:rPr>
                <w:rFonts w:ascii="Arial" w:hAnsi="Arial" w:cs="Arial"/>
                <w:color w:val="000000"/>
                <w:sz w:val="20"/>
                <w:lang w:val="es-ES_tradnl"/>
              </w:rPr>
            </w:pPr>
          </w:p>
        </w:tc>
        <w:tc>
          <w:tcPr>
            <w:tcW w:w="540" w:type="dxa"/>
            <w:tcBorders>
              <w:top w:val="single" w:sz="8" w:space="0" w:color="000000"/>
              <w:left w:val="single" w:sz="8" w:space="0" w:color="000000"/>
              <w:bottom w:val="single" w:sz="8" w:space="0" w:color="000000"/>
              <w:right w:val="single" w:sz="8" w:space="0" w:color="000000"/>
            </w:tcBorders>
          </w:tcPr>
          <w:p w14:paraId="1AD19FFE" w14:textId="49513C7E" w:rsidR="000F1B82" w:rsidRPr="007E69D8" w:rsidRDefault="000F1B82" w:rsidP="000F1B82">
            <w:pPr>
              <w:jc w:val="center"/>
              <w:rPr>
                <w:rFonts w:ascii="Arial" w:hAnsi="Arial" w:cs="Arial"/>
                <w:color w:val="000000"/>
                <w:sz w:val="20"/>
                <w:lang w:val="es-ES_tradnl"/>
              </w:rPr>
            </w:pPr>
            <w:r w:rsidRPr="007E69D8">
              <w:rPr>
                <w:rFonts w:ascii="Arial" w:hAnsi="Arial" w:cs="Arial"/>
                <w:color w:val="000000"/>
                <w:sz w:val="20"/>
                <w:lang w:val="es-ES_tradnl"/>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FFB3F5" w14:textId="1194F6ED" w:rsidR="000F1B82" w:rsidRPr="007E69D8" w:rsidRDefault="000F1B82" w:rsidP="000F1B82">
            <w:pPr>
              <w:jc w:val="center"/>
              <w:rPr>
                <w:rFonts w:ascii="Arial" w:hAnsi="Arial" w:cs="Arial"/>
                <w:color w:val="000000"/>
                <w:sz w:val="20"/>
                <w:lang w:val="es-ES_tradnl"/>
              </w:rPr>
            </w:pPr>
            <w:r w:rsidRPr="007E69D8">
              <w:rPr>
                <w:rFonts w:ascii="Arial" w:hAnsi="Arial" w:cs="Arial"/>
                <w:color w:val="000000"/>
                <w:sz w:val="20"/>
                <w:lang w:val="es-ES_tradnl"/>
              </w:rPr>
              <w:t>BID/OE</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41A7B238" w14:textId="77777777" w:rsidR="000F1B82" w:rsidRPr="007E69D8" w:rsidRDefault="000F1B82" w:rsidP="000F1B82">
            <w:pPr>
              <w:ind w:left="-17"/>
              <w:jc w:val="right"/>
              <w:rPr>
                <w:rFonts w:ascii="Arial" w:hAnsi="Arial" w:cs="Arial"/>
                <w:color w:val="000000"/>
                <w:sz w:val="20"/>
                <w:lang w:val="es-ES_tradnl"/>
              </w:rPr>
            </w:pPr>
            <w:r w:rsidRPr="007E69D8">
              <w:rPr>
                <w:rFonts w:ascii="Arial" w:hAnsi="Arial" w:cs="Arial"/>
                <w:color w:val="000000"/>
                <w:sz w:val="20"/>
                <w:lang w:val="es-ES_tradnl"/>
              </w:rPr>
              <w:t>5.000</w:t>
            </w:r>
          </w:p>
        </w:tc>
        <w:tc>
          <w:tcPr>
            <w:tcW w:w="1620" w:type="dxa"/>
            <w:tcBorders>
              <w:top w:val="single" w:sz="8" w:space="0" w:color="000000"/>
              <w:left w:val="nil"/>
              <w:bottom w:val="single" w:sz="8" w:space="0" w:color="000000"/>
              <w:right w:val="single" w:sz="8" w:space="0" w:color="000000"/>
            </w:tcBorders>
            <w:shd w:val="clear" w:color="auto" w:fill="auto"/>
            <w:vAlign w:val="center"/>
          </w:tcPr>
          <w:p w14:paraId="596CDD9E" w14:textId="6B073703" w:rsidR="000F1B82" w:rsidRPr="007E69D8" w:rsidRDefault="000F1B82" w:rsidP="000F1B82">
            <w:pPr>
              <w:jc w:val="center"/>
              <w:rPr>
                <w:rFonts w:ascii="Arial" w:hAnsi="Arial" w:cs="Arial"/>
                <w:color w:val="000000"/>
                <w:sz w:val="20"/>
                <w:lang w:val="es-ES_tradnl"/>
              </w:rPr>
            </w:pPr>
            <w:r w:rsidRPr="007E69D8">
              <w:rPr>
                <w:rFonts w:ascii="Arial" w:hAnsi="Arial" w:cs="Arial"/>
                <w:color w:val="000000"/>
                <w:sz w:val="20"/>
                <w:lang w:val="es-ES_tradnl"/>
              </w:rPr>
              <w:t>BID/OE</w:t>
            </w:r>
          </w:p>
        </w:tc>
      </w:tr>
      <w:tr w:rsidR="000F1B82" w:rsidRPr="007E69D8" w14:paraId="4484EDE1" w14:textId="77777777" w:rsidTr="004E271A">
        <w:trPr>
          <w:trHeight w:hRule="exact" w:val="288"/>
        </w:trPr>
        <w:tc>
          <w:tcPr>
            <w:tcW w:w="29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C6927F" w14:textId="77777777" w:rsidR="000F1B82" w:rsidRPr="007E69D8" w:rsidRDefault="000F1B82" w:rsidP="000F1B82">
            <w:pPr>
              <w:rPr>
                <w:rFonts w:ascii="Arial" w:hAnsi="Arial" w:cs="Arial"/>
                <w:b/>
                <w:color w:val="000000"/>
                <w:sz w:val="20"/>
                <w:lang w:val="es-ES_tradnl"/>
              </w:rPr>
            </w:pPr>
            <w:r w:rsidRPr="007E69D8">
              <w:rPr>
                <w:rFonts w:ascii="Arial" w:hAnsi="Arial" w:cs="Arial"/>
                <w:b/>
                <w:color w:val="000000"/>
                <w:sz w:val="20"/>
                <w:lang w:val="es-ES_tradnl"/>
              </w:rPr>
              <w:t>Total</w:t>
            </w:r>
          </w:p>
        </w:tc>
        <w:tc>
          <w:tcPr>
            <w:tcW w:w="540" w:type="dxa"/>
            <w:tcBorders>
              <w:top w:val="single" w:sz="8" w:space="0" w:color="000000"/>
              <w:left w:val="single" w:sz="8" w:space="0" w:color="000000"/>
              <w:bottom w:val="single" w:sz="8" w:space="0" w:color="000000"/>
              <w:right w:val="single" w:sz="8" w:space="0" w:color="000000"/>
            </w:tcBorders>
            <w:vAlign w:val="center"/>
          </w:tcPr>
          <w:p w14:paraId="0DEF0E12" w14:textId="77777777" w:rsidR="000F1B82" w:rsidRPr="007E69D8" w:rsidRDefault="000F1B82" w:rsidP="000F1B82">
            <w:pPr>
              <w:rPr>
                <w:rFonts w:ascii="Arial" w:hAnsi="Arial" w:cs="Arial"/>
                <w:b/>
                <w:color w:val="000000"/>
                <w:sz w:val="20"/>
                <w:lang w:val="es-ES_tradnl"/>
              </w:rPr>
            </w:pPr>
          </w:p>
        </w:tc>
        <w:tc>
          <w:tcPr>
            <w:tcW w:w="540" w:type="dxa"/>
            <w:tcBorders>
              <w:top w:val="single" w:sz="8" w:space="0" w:color="000000"/>
              <w:left w:val="single" w:sz="8" w:space="0" w:color="000000"/>
              <w:bottom w:val="single" w:sz="8" w:space="0" w:color="000000"/>
              <w:right w:val="single" w:sz="8" w:space="0" w:color="000000"/>
            </w:tcBorders>
            <w:vAlign w:val="center"/>
          </w:tcPr>
          <w:p w14:paraId="26FB8CA7" w14:textId="77777777" w:rsidR="000F1B82" w:rsidRPr="007E69D8" w:rsidRDefault="000F1B82" w:rsidP="000F1B82">
            <w:pPr>
              <w:rPr>
                <w:rFonts w:ascii="Arial" w:hAnsi="Arial" w:cs="Arial"/>
                <w:b/>
                <w:color w:val="000000"/>
                <w:sz w:val="20"/>
                <w:lang w:val="es-ES_tradnl"/>
              </w:rPr>
            </w:pPr>
          </w:p>
        </w:tc>
        <w:tc>
          <w:tcPr>
            <w:tcW w:w="540" w:type="dxa"/>
            <w:tcBorders>
              <w:top w:val="single" w:sz="8" w:space="0" w:color="000000"/>
              <w:left w:val="single" w:sz="8" w:space="0" w:color="000000"/>
              <w:bottom w:val="single" w:sz="8" w:space="0" w:color="000000"/>
              <w:right w:val="single" w:sz="8" w:space="0" w:color="000000"/>
            </w:tcBorders>
          </w:tcPr>
          <w:p w14:paraId="42AF715D" w14:textId="77777777" w:rsidR="000F1B82" w:rsidRPr="007E69D8" w:rsidRDefault="000F1B82" w:rsidP="000F1B82">
            <w:pPr>
              <w:jc w:val="center"/>
              <w:rPr>
                <w:rFonts w:ascii="Arial" w:hAnsi="Arial" w:cs="Arial"/>
                <w:b/>
                <w:color w:val="000000"/>
                <w:sz w:val="20"/>
                <w:lang w:val="es-ES_tradnl"/>
              </w:rPr>
            </w:pPr>
          </w:p>
        </w:tc>
        <w:tc>
          <w:tcPr>
            <w:tcW w:w="540" w:type="dxa"/>
            <w:tcBorders>
              <w:top w:val="single" w:sz="8" w:space="0" w:color="000000"/>
              <w:left w:val="single" w:sz="8" w:space="0" w:color="000000"/>
              <w:bottom w:val="single" w:sz="8" w:space="0" w:color="000000"/>
              <w:right w:val="single" w:sz="8" w:space="0" w:color="000000"/>
            </w:tcBorders>
          </w:tcPr>
          <w:p w14:paraId="2FBBD2F6" w14:textId="2DB638D8" w:rsidR="000F1B82" w:rsidRPr="007E69D8" w:rsidRDefault="000F1B82" w:rsidP="000F1B82">
            <w:pPr>
              <w:jc w:val="center"/>
              <w:rPr>
                <w:rFonts w:ascii="Arial" w:hAnsi="Arial" w:cs="Arial"/>
                <w:b/>
                <w:color w:val="000000"/>
                <w:sz w:val="20"/>
                <w:lang w:val="es-ES_tradnl"/>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4F9A6B" w14:textId="67AE95F5" w:rsidR="000F1B82" w:rsidRPr="007E69D8" w:rsidRDefault="000F1B82" w:rsidP="000F1B82">
            <w:pPr>
              <w:jc w:val="center"/>
              <w:rPr>
                <w:rFonts w:ascii="Arial" w:hAnsi="Arial" w:cs="Arial"/>
                <w:b/>
                <w:color w:val="000000"/>
                <w:sz w:val="20"/>
                <w:lang w:val="es-ES_tradnl"/>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E3B3BE" w14:textId="7B964B36" w:rsidR="000F1B82" w:rsidRPr="007E69D8" w:rsidRDefault="00E65B62" w:rsidP="000F1B82">
            <w:pPr>
              <w:ind w:left="-17"/>
              <w:jc w:val="right"/>
              <w:rPr>
                <w:rFonts w:ascii="Arial" w:hAnsi="Arial" w:cs="Arial"/>
                <w:b/>
                <w:color w:val="000000"/>
                <w:sz w:val="20"/>
                <w:lang w:val="es-ES_tradnl"/>
              </w:rPr>
            </w:pPr>
            <w:r>
              <w:rPr>
                <w:rFonts w:ascii="Arial" w:hAnsi="Arial" w:cs="Arial"/>
                <w:b/>
                <w:color w:val="000000"/>
                <w:sz w:val="20"/>
                <w:lang w:val="es-ES_tradnl"/>
              </w:rPr>
              <w:t>13</w:t>
            </w:r>
            <w:r w:rsidR="00CF3F83">
              <w:rPr>
                <w:rFonts w:ascii="Arial" w:hAnsi="Arial" w:cs="Arial"/>
                <w:b/>
                <w:color w:val="000000"/>
                <w:sz w:val="20"/>
                <w:lang w:val="es-ES_tradnl"/>
              </w:rPr>
              <w:t>,</w:t>
            </w:r>
            <w:r w:rsidR="000F1B82" w:rsidRPr="007E69D8">
              <w:rPr>
                <w:rFonts w:ascii="Arial" w:hAnsi="Arial" w:cs="Arial"/>
                <w:b/>
                <w:color w:val="000000"/>
                <w:sz w:val="20"/>
                <w:lang w:val="es-ES_tradnl"/>
              </w:rPr>
              <w:t>000</w:t>
            </w:r>
          </w:p>
        </w:tc>
        <w:tc>
          <w:tcPr>
            <w:tcW w:w="16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7354B1" w14:textId="3678EBAF" w:rsidR="000F1B82" w:rsidRPr="007E69D8" w:rsidRDefault="000F1B82" w:rsidP="000F1B82">
            <w:pPr>
              <w:jc w:val="center"/>
              <w:rPr>
                <w:rFonts w:ascii="Arial" w:hAnsi="Arial" w:cs="Arial"/>
                <w:color w:val="000000"/>
                <w:sz w:val="20"/>
                <w:lang w:val="es-ES_tradnl"/>
              </w:rPr>
            </w:pPr>
            <w:r w:rsidRPr="007E69D8">
              <w:rPr>
                <w:rFonts w:ascii="Arial" w:hAnsi="Arial" w:cs="Arial"/>
                <w:color w:val="000000"/>
                <w:sz w:val="20"/>
                <w:lang w:val="es-ES_tradnl"/>
              </w:rPr>
              <w:t>BID/OE</w:t>
            </w:r>
          </w:p>
        </w:tc>
      </w:tr>
    </w:tbl>
    <w:p w14:paraId="718F4856" w14:textId="20657335" w:rsidR="00454CB5" w:rsidRPr="007E69D8" w:rsidRDefault="00454CB5" w:rsidP="002D31D6">
      <w:pPr>
        <w:rPr>
          <w:lang w:val="es-ES_tradnl"/>
        </w:rPr>
      </w:pPr>
    </w:p>
    <w:sectPr w:rsidR="00454CB5" w:rsidRPr="007E69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4E0DA" w14:textId="77777777" w:rsidR="00D31425" w:rsidRDefault="00D31425" w:rsidP="007116B2">
      <w:pPr>
        <w:spacing w:after="0" w:line="240" w:lineRule="auto"/>
      </w:pPr>
      <w:r>
        <w:separator/>
      </w:r>
    </w:p>
  </w:endnote>
  <w:endnote w:type="continuationSeparator" w:id="0">
    <w:p w14:paraId="23519E76" w14:textId="77777777" w:rsidR="00D31425" w:rsidRDefault="00D31425" w:rsidP="007116B2">
      <w:pPr>
        <w:spacing w:after="0" w:line="240" w:lineRule="auto"/>
      </w:pPr>
      <w:r>
        <w:continuationSeparator/>
      </w:r>
    </w:p>
  </w:endnote>
  <w:endnote w:type="continuationNotice" w:id="1">
    <w:p w14:paraId="56A1472F" w14:textId="77777777" w:rsidR="00D31425" w:rsidRDefault="00D31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17C4BABE" w14:textId="77777777" w:rsidR="00200846" w:rsidRPr="00352714" w:rsidRDefault="00200846">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713CCEAE" w14:textId="77777777" w:rsidR="00200846" w:rsidRDefault="002008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4413F7E8" w14:textId="77777777" w:rsidR="00200846" w:rsidRPr="000B094C" w:rsidRDefault="00200846">
        <w:pPr>
          <w:pStyle w:val="Footer"/>
          <w:jc w:val="center"/>
          <w:rPr>
            <w:rFonts w:ascii="Arial" w:hAnsi="Arial" w:cs="Arial"/>
            <w:sz w:val="18"/>
          </w:rPr>
        </w:pPr>
        <w:r w:rsidRPr="000B094C">
          <w:rPr>
            <w:rFonts w:ascii="Arial" w:hAnsi="Arial" w:cs="Arial"/>
            <w:sz w:val="18"/>
          </w:rPr>
          <w:t>-</w:t>
        </w:r>
        <w:r w:rsidRPr="000B094C">
          <w:rPr>
            <w:rFonts w:ascii="Arial" w:hAnsi="Arial" w:cs="Arial"/>
            <w:sz w:val="18"/>
          </w:rPr>
          <w:fldChar w:fldCharType="begin"/>
        </w:r>
        <w:r w:rsidRPr="000B094C">
          <w:rPr>
            <w:rFonts w:ascii="Arial" w:hAnsi="Arial" w:cs="Arial"/>
            <w:sz w:val="18"/>
          </w:rPr>
          <w:instrText xml:space="preserve"> PAGE   \* MERGEFORMAT </w:instrText>
        </w:r>
        <w:r w:rsidRPr="000B094C">
          <w:rPr>
            <w:rFonts w:ascii="Arial" w:hAnsi="Arial" w:cs="Arial"/>
            <w:sz w:val="18"/>
          </w:rPr>
          <w:fldChar w:fldCharType="separate"/>
        </w:r>
        <w:r w:rsidRPr="000B094C">
          <w:rPr>
            <w:rFonts w:ascii="Arial" w:hAnsi="Arial" w:cs="Arial"/>
            <w:noProof/>
            <w:sz w:val="18"/>
          </w:rPr>
          <w:t>10</w:t>
        </w:r>
        <w:r w:rsidRPr="000B094C">
          <w:rPr>
            <w:rFonts w:ascii="Arial" w:hAnsi="Arial" w:cs="Arial"/>
            <w:noProof/>
            <w:sz w:val="18"/>
          </w:rPr>
          <w:fldChar w:fldCharType="end"/>
        </w:r>
        <w:r w:rsidRPr="000B094C">
          <w:rPr>
            <w:rFonts w:ascii="Arial" w:hAnsi="Arial" w:cs="Arial"/>
            <w:noProof/>
            <w:sz w:val="18"/>
          </w:rPr>
          <w:t>-</w:t>
        </w:r>
      </w:p>
    </w:sdtContent>
  </w:sdt>
  <w:p w14:paraId="4D1A5FA3" w14:textId="77777777" w:rsidR="00200846" w:rsidRDefault="002008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EF13C" w14:textId="77777777" w:rsidR="00D31425" w:rsidRDefault="00D31425" w:rsidP="007116B2">
      <w:pPr>
        <w:spacing w:after="0" w:line="240" w:lineRule="auto"/>
      </w:pPr>
      <w:r>
        <w:separator/>
      </w:r>
    </w:p>
  </w:footnote>
  <w:footnote w:type="continuationSeparator" w:id="0">
    <w:p w14:paraId="4A3E18C8" w14:textId="77777777" w:rsidR="00D31425" w:rsidRDefault="00D31425" w:rsidP="007116B2">
      <w:pPr>
        <w:spacing w:after="0" w:line="240" w:lineRule="auto"/>
      </w:pPr>
      <w:r>
        <w:continuationSeparator/>
      </w:r>
    </w:p>
  </w:footnote>
  <w:footnote w:type="continuationNotice" w:id="1">
    <w:p w14:paraId="6277D798" w14:textId="77777777" w:rsidR="00D31425" w:rsidRDefault="00D31425">
      <w:pPr>
        <w:spacing w:after="0" w:line="240" w:lineRule="auto"/>
      </w:pPr>
    </w:p>
  </w:footnote>
  <w:footnote w:id="2">
    <w:p w14:paraId="474F9F94" w14:textId="77777777" w:rsidR="00B203FF" w:rsidRPr="0021727B" w:rsidRDefault="00B203FF" w:rsidP="00B203FF">
      <w:pPr>
        <w:pStyle w:val="FootnoteText"/>
        <w:spacing w:after="0"/>
        <w:rPr>
          <w:rFonts w:ascii="Arial" w:hAnsi="Arial" w:cs="Arial"/>
          <w:sz w:val="18"/>
          <w:szCs w:val="18"/>
        </w:rPr>
      </w:pPr>
      <w:r w:rsidRPr="0021727B">
        <w:rPr>
          <w:rStyle w:val="FootnoteReference"/>
          <w:rFonts w:ascii="Arial" w:hAnsi="Arial" w:cs="Arial"/>
          <w:sz w:val="18"/>
          <w:szCs w:val="18"/>
          <w:lang w:val="es-ES"/>
        </w:rPr>
        <w:footnoteRef/>
      </w:r>
      <w:r w:rsidRPr="0021727B">
        <w:rPr>
          <w:rFonts w:ascii="Arial" w:hAnsi="Arial" w:cs="Arial"/>
          <w:sz w:val="18"/>
          <w:szCs w:val="18"/>
        </w:rPr>
        <w:t xml:space="preserve"> </w:t>
      </w:r>
      <w:r w:rsidRPr="0021727B">
        <w:rPr>
          <w:rFonts w:ascii="Arial" w:hAnsi="Arial" w:cs="Arial"/>
          <w:sz w:val="18"/>
          <w:szCs w:val="18"/>
        </w:rPr>
        <w:tab/>
        <w:t xml:space="preserve">Ver WHO COVID-19 Situation Dashboard en </w:t>
      </w:r>
      <w:hyperlink r:id="rId1" w:history="1">
        <w:r w:rsidRPr="0021727B">
          <w:rPr>
            <w:rStyle w:val="Hyperlink"/>
            <w:rFonts w:ascii="Arial" w:hAnsi="Arial" w:cs="Arial"/>
            <w:sz w:val="18"/>
            <w:szCs w:val="18"/>
          </w:rPr>
          <w:t>Experience.arcgis.com</w:t>
        </w:r>
      </w:hyperlink>
      <w:r w:rsidRPr="0021727B">
        <w:rPr>
          <w:rFonts w:ascii="Arial" w:hAnsi="Arial" w:cs="Arial"/>
          <w:sz w:val="18"/>
          <w:szCs w:val="18"/>
        </w:rPr>
        <w:t xml:space="preserve"> (</w:t>
      </w:r>
      <w:r>
        <w:rPr>
          <w:rFonts w:ascii="Arial" w:hAnsi="Arial" w:cs="Arial"/>
          <w:sz w:val="18"/>
          <w:szCs w:val="18"/>
        </w:rPr>
        <w:t>8</w:t>
      </w:r>
      <w:r w:rsidRPr="0021727B">
        <w:rPr>
          <w:rFonts w:ascii="Arial" w:hAnsi="Arial" w:cs="Arial"/>
          <w:sz w:val="18"/>
          <w:szCs w:val="18"/>
        </w:rPr>
        <w:t xml:space="preserve"> de abril de 2020).</w:t>
      </w:r>
    </w:p>
  </w:footnote>
  <w:footnote w:id="3">
    <w:p w14:paraId="54A9BFE4" w14:textId="77777777" w:rsidR="00B203FF" w:rsidRPr="003B41CB" w:rsidRDefault="00B203FF" w:rsidP="00B203FF">
      <w:pPr>
        <w:pStyle w:val="FootnoteText"/>
        <w:spacing w:after="0"/>
        <w:rPr>
          <w:rFonts w:ascii="Arial" w:hAnsi="Arial" w:cs="Arial"/>
          <w:sz w:val="18"/>
          <w:szCs w:val="18"/>
        </w:rPr>
      </w:pPr>
      <w:r w:rsidRPr="0021727B">
        <w:rPr>
          <w:rStyle w:val="FootnoteReference"/>
          <w:rFonts w:ascii="Arial" w:hAnsi="Arial" w:cs="Arial"/>
          <w:sz w:val="18"/>
          <w:szCs w:val="18"/>
        </w:rPr>
        <w:footnoteRef/>
      </w:r>
      <w:r w:rsidRPr="0021727B">
        <w:rPr>
          <w:rFonts w:ascii="Arial" w:hAnsi="Arial" w:cs="Arial"/>
          <w:sz w:val="18"/>
          <w:szCs w:val="18"/>
        </w:rPr>
        <w:t xml:space="preserve"> </w:t>
      </w:r>
      <w:r w:rsidRPr="0021727B">
        <w:rPr>
          <w:rFonts w:ascii="Arial" w:hAnsi="Arial" w:cs="Arial"/>
          <w:sz w:val="18"/>
          <w:szCs w:val="18"/>
        </w:rPr>
        <w:tab/>
      </w:r>
      <w:r w:rsidRPr="009D0F2F">
        <w:rPr>
          <w:rFonts w:ascii="Arial" w:hAnsi="Arial" w:cs="Arial"/>
          <w:sz w:val="18"/>
          <w:szCs w:val="18"/>
        </w:rPr>
        <w:t>WHO COVID-19 Country Preparedness and Response Status for COVID-19 (1</w:t>
      </w:r>
      <w:r>
        <w:rPr>
          <w:rFonts w:ascii="Arial" w:hAnsi="Arial" w:cs="Arial"/>
          <w:sz w:val="18"/>
          <w:szCs w:val="18"/>
        </w:rPr>
        <w:t>9</w:t>
      </w:r>
      <w:r w:rsidRPr="009D0F2F">
        <w:rPr>
          <w:rFonts w:ascii="Arial" w:hAnsi="Arial" w:cs="Arial"/>
          <w:sz w:val="18"/>
          <w:szCs w:val="18"/>
        </w:rPr>
        <w:t xml:space="preserve"> de marzo de 2020).</w:t>
      </w:r>
    </w:p>
  </w:footnote>
  <w:footnote w:id="4">
    <w:p w14:paraId="0F33607A" w14:textId="77777777" w:rsidR="00B203FF" w:rsidRPr="0021727B" w:rsidRDefault="00B203FF" w:rsidP="00B203FF">
      <w:pPr>
        <w:pStyle w:val="FootnoteText"/>
        <w:spacing w:after="0"/>
        <w:rPr>
          <w:rFonts w:ascii="Arial" w:hAnsi="Arial" w:cs="Arial"/>
          <w:sz w:val="18"/>
          <w:szCs w:val="18"/>
          <w:lang w:val="es-ES"/>
        </w:rPr>
      </w:pPr>
      <w:r w:rsidRPr="0021727B">
        <w:rPr>
          <w:rStyle w:val="FootnoteReference"/>
          <w:rFonts w:ascii="Arial" w:hAnsi="Arial" w:cs="Arial"/>
          <w:sz w:val="18"/>
          <w:szCs w:val="18"/>
          <w:lang w:val="es-ES"/>
        </w:rPr>
        <w:footnoteRef/>
      </w:r>
      <w:r w:rsidRPr="0021727B">
        <w:rPr>
          <w:rFonts w:ascii="Arial" w:hAnsi="Arial" w:cs="Arial"/>
          <w:sz w:val="18"/>
          <w:szCs w:val="18"/>
          <w:lang w:val="es-ES"/>
        </w:rPr>
        <w:t xml:space="preserve"> </w:t>
      </w:r>
      <w:r w:rsidRPr="0021727B">
        <w:rPr>
          <w:rFonts w:ascii="Arial" w:hAnsi="Arial" w:cs="Arial"/>
          <w:sz w:val="18"/>
          <w:szCs w:val="18"/>
          <w:lang w:val="es-ES"/>
        </w:rPr>
        <w:tab/>
        <w:t xml:space="preserve">Ver: </w:t>
      </w:r>
      <w:hyperlink r:id="rId2" w:history="1">
        <w:r w:rsidRPr="0021727B">
          <w:rPr>
            <w:rStyle w:val="Hyperlink"/>
            <w:rFonts w:ascii="Arial" w:hAnsi="Arial" w:cs="Arial"/>
            <w:sz w:val="18"/>
            <w:szCs w:val="18"/>
            <w:lang w:val="es-ES"/>
          </w:rPr>
          <w:t>Reporte de PAHO</w:t>
        </w:r>
      </w:hyperlink>
      <w:r w:rsidRPr="0021727B">
        <w:rPr>
          <w:rFonts w:ascii="Arial" w:hAnsi="Arial" w:cs="Arial"/>
          <w:sz w:val="18"/>
          <w:szCs w:val="18"/>
          <w:lang w:val="es-ES"/>
        </w:rPr>
        <w:t xml:space="preserve"> (a</w:t>
      </w:r>
      <w:r>
        <w:rPr>
          <w:rFonts w:ascii="Arial" w:hAnsi="Arial" w:cs="Arial"/>
          <w:sz w:val="18"/>
          <w:szCs w:val="18"/>
          <w:lang w:val="es-ES"/>
        </w:rPr>
        <w:t xml:space="preserve"> 8</w:t>
      </w:r>
      <w:r w:rsidRPr="0021727B">
        <w:rPr>
          <w:rFonts w:ascii="Arial" w:hAnsi="Arial" w:cs="Arial"/>
          <w:sz w:val="18"/>
          <w:szCs w:val="18"/>
          <w:lang w:val="es-ES"/>
        </w:rPr>
        <w:t xml:space="preserve"> de </w:t>
      </w:r>
      <w:r>
        <w:rPr>
          <w:rFonts w:ascii="Arial" w:hAnsi="Arial" w:cs="Arial"/>
          <w:sz w:val="18"/>
          <w:szCs w:val="18"/>
          <w:lang w:val="es-ES"/>
        </w:rPr>
        <w:t>abril de</w:t>
      </w:r>
      <w:r w:rsidRPr="0021727B">
        <w:rPr>
          <w:rFonts w:ascii="Arial" w:hAnsi="Arial" w:cs="Arial"/>
          <w:sz w:val="18"/>
          <w:szCs w:val="18"/>
          <w:lang w:val="es-ES"/>
        </w:rPr>
        <w:t xml:space="preserve"> 2020)</w:t>
      </w:r>
      <w:r>
        <w:rPr>
          <w:rFonts w:ascii="Arial" w:hAnsi="Arial" w:cs="Arial"/>
          <w:sz w:val="18"/>
          <w:szCs w:val="18"/>
          <w:lang w:val="es-ES"/>
        </w:rPr>
        <w:t>.</w:t>
      </w:r>
    </w:p>
  </w:footnote>
  <w:footnote w:id="5">
    <w:p w14:paraId="3CE71F75" w14:textId="77777777" w:rsidR="007D1771" w:rsidRPr="00294E3C" w:rsidRDefault="007D1771" w:rsidP="007D1771">
      <w:pPr>
        <w:pStyle w:val="FootnoteText"/>
        <w:spacing w:after="0"/>
        <w:rPr>
          <w:rFonts w:ascii="Arial" w:hAnsi="Arial" w:cs="Arial"/>
          <w:sz w:val="18"/>
          <w:szCs w:val="18"/>
        </w:rPr>
      </w:pPr>
      <w:r w:rsidRPr="00294E3C">
        <w:rPr>
          <w:rStyle w:val="FootnoteReference"/>
          <w:rFonts w:ascii="Arial" w:hAnsi="Arial" w:cs="Arial"/>
          <w:sz w:val="18"/>
          <w:szCs w:val="18"/>
        </w:rPr>
        <w:footnoteRef/>
      </w:r>
      <w:r w:rsidRPr="00294E3C">
        <w:rPr>
          <w:rFonts w:ascii="Arial" w:hAnsi="Arial" w:cs="Arial"/>
          <w:sz w:val="18"/>
          <w:szCs w:val="18"/>
        </w:rPr>
        <w:t xml:space="preserve"> </w:t>
      </w:r>
      <w:r w:rsidRPr="00294E3C">
        <w:rPr>
          <w:rFonts w:ascii="Arial" w:hAnsi="Arial" w:cs="Arial"/>
          <w:sz w:val="18"/>
          <w:szCs w:val="18"/>
        </w:rPr>
        <w:tab/>
        <w:t xml:space="preserve">Ver </w:t>
      </w:r>
      <w:proofErr w:type="spellStart"/>
      <w:r w:rsidRPr="00294E3C">
        <w:rPr>
          <w:rFonts w:ascii="Arial" w:hAnsi="Arial" w:cs="Arial"/>
          <w:sz w:val="18"/>
          <w:szCs w:val="18"/>
        </w:rPr>
        <w:t>Referencias</w:t>
      </w:r>
      <w:proofErr w:type="spellEnd"/>
      <w:r w:rsidRPr="00294E3C">
        <w:rPr>
          <w:rFonts w:ascii="Arial" w:hAnsi="Arial" w:cs="Arial"/>
          <w:sz w:val="18"/>
          <w:szCs w:val="18"/>
        </w:rPr>
        <w:t xml:space="preserve"> </w:t>
      </w:r>
      <w:proofErr w:type="spellStart"/>
      <w:r w:rsidRPr="00294E3C">
        <w:rPr>
          <w:rFonts w:ascii="Arial" w:hAnsi="Arial" w:cs="Arial"/>
          <w:sz w:val="18"/>
          <w:szCs w:val="18"/>
        </w:rPr>
        <w:t>Bibliográficas</w:t>
      </w:r>
      <w:proofErr w:type="spellEnd"/>
      <w:r w:rsidRPr="00294E3C">
        <w:rPr>
          <w:rFonts w:ascii="Arial" w:hAnsi="Arial" w:cs="Arial"/>
          <w:sz w:val="18"/>
          <w:szCs w:val="18"/>
        </w:rPr>
        <w:t xml:space="preserve"> [</w:t>
      </w:r>
      <w:hyperlink r:id="rId3" w:history="1">
        <w:r w:rsidRPr="00294E3C">
          <w:rPr>
            <w:rStyle w:val="Hyperlink"/>
            <w:rFonts w:ascii="Arial" w:hAnsi="Arial" w:cs="Arial"/>
            <w:sz w:val="18"/>
            <w:szCs w:val="18"/>
          </w:rPr>
          <w:t>EEO#3</w:t>
        </w:r>
      </w:hyperlink>
      <w:r w:rsidRPr="00294E3C">
        <w:rPr>
          <w:rFonts w:ascii="Arial" w:hAnsi="Arial" w:cs="Arial"/>
          <w:sz w:val="18"/>
          <w:szCs w:val="18"/>
        </w:rPr>
        <w:t>].</w:t>
      </w:r>
    </w:p>
  </w:footnote>
  <w:footnote w:id="6">
    <w:p w14:paraId="09AE9217" w14:textId="77777777" w:rsidR="007D1771" w:rsidRPr="00294E3C" w:rsidRDefault="007D1771" w:rsidP="007D1771">
      <w:pPr>
        <w:pStyle w:val="FootnoteText"/>
        <w:spacing w:after="0"/>
        <w:rPr>
          <w:rFonts w:ascii="Arial" w:hAnsi="Arial" w:cs="Arial"/>
        </w:rPr>
      </w:pPr>
      <w:r w:rsidRPr="00294E3C">
        <w:rPr>
          <w:rStyle w:val="FootnoteReference"/>
          <w:rFonts w:ascii="Arial" w:hAnsi="Arial" w:cs="Arial"/>
          <w:sz w:val="18"/>
          <w:szCs w:val="18"/>
        </w:rPr>
        <w:footnoteRef/>
      </w:r>
      <w:r w:rsidRPr="00294E3C">
        <w:rPr>
          <w:rFonts w:ascii="Arial" w:hAnsi="Arial" w:cs="Arial"/>
          <w:sz w:val="18"/>
          <w:szCs w:val="18"/>
        </w:rPr>
        <w:t xml:space="preserve"> </w:t>
      </w:r>
      <w:r w:rsidRPr="00294E3C">
        <w:rPr>
          <w:rFonts w:ascii="Arial" w:hAnsi="Arial" w:cs="Arial"/>
          <w:sz w:val="18"/>
          <w:szCs w:val="18"/>
        </w:rPr>
        <w:tab/>
      </w:r>
      <w:proofErr w:type="spellStart"/>
      <w:r w:rsidRPr="00294E3C">
        <w:rPr>
          <w:rFonts w:ascii="Arial" w:hAnsi="Arial" w:cs="Arial"/>
          <w:sz w:val="18"/>
          <w:szCs w:val="18"/>
        </w:rPr>
        <w:t>Clasificación</w:t>
      </w:r>
      <w:proofErr w:type="spellEnd"/>
      <w:r w:rsidRPr="00294E3C">
        <w:rPr>
          <w:rFonts w:ascii="Arial" w:hAnsi="Arial" w:cs="Arial"/>
          <w:sz w:val="18"/>
          <w:szCs w:val="18"/>
        </w:rPr>
        <w:t xml:space="preserve"> de </w:t>
      </w:r>
      <w:proofErr w:type="spellStart"/>
      <w:r w:rsidRPr="00294E3C">
        <w:rPr>
          <w:rFonts w:ascii="Arial" w:hAnsi="Arial" w:cs="Arial"/>
          <w:sz w:val="18"/>
          <w:szCs w:val="18"/>
        </w:rPr>
        <w:t>tamaño</w:t>
      </w:r>
      <w:proofErr w:type="spellEnd"/>
      <w:r w:rsidRPr="00294E3C">
        <w:rPr>
          <w:rFonts w:ascii="Arial" w:hAnsi="Arial" w:cs="Arial"/>
          <w:sz w:val="18"/>
          <w:szCs w:val="18"/>
        </w:rPr>
        <w:t xml:space="preserve"> de </w:t>
      </w:r>
      <w:proofErr w:type="spellStart"/>
      <w:r w:rsidRPr="00294E3C">
        <w:rPr>
          <w:rFonts w:ascii="Arial" w:hAnsi="Arial" w:cs="Arial"/>
          <w:sz w:val="18"/>
          <w:szCs w:val="18"/>
        </w:rPr>
        <w:t>empresa</w:t>
      </w:r>
      <w:proofErr w:type="spellEnd"/>
      <w:r w:rsidRPr="00294E3C">
        <w:rPr>
          <w:rFonts w:ascii="Arial" w:hAnsi="Arial" w:cs="Arial"/>
          <w:sz w:val="18"/>
          <w:szCs w:val="18"/>
        </w:rPr>
        <w:t xml:space="preserve"> </w:t>
      </w:r>
      <w:proofErr w:type="spellStart"/>
      <w:r w:rsidRPr="00294E3C">
        <w:rPr>
          <w:rFonts w:ascii="Arial" w:hAnsi="Arial" w:cs="Arial"/>
          <w:sz w:val="18"/>
          <w:szCs w:val="18"/>
        </w:rPr>
        <w:t>emitida</w:t>
      </w:r>
      <w:proofErr w:type="spellEnd"/>
      <w:r w:rsidRPr="00294E3C">
        <w:rPr>
          <w:rFonts w:ascii="Arial" w:hAnsi="Arial" w:cs="Arial"/>
          <w:sz w:val="18"/>
          <w:szCs w:val="18"/>
        </w:rPr>
        <w:t xml:space="preserve"> por la </w:t>
      </w:r>
      <w:proofErr w:type="spellStart"/>
      <w:r w:rsidRPr="00294E3C">
        <w:rPr>
          <w:rFonts w:ascii="Arial" w:hAnsi="Arial" w:cs="Arial"/>
          <w:sz w:val="18"/>
          <w:szCs w:val="18"/>
        </w:rPr>
        <w:t>Comunidad</w:t>
      </w:r>
      <w:proofErr w:type="spellEnd"/>
      <w:r w:rsidRPr="00294E3C">
        <w:rPr>
          <w:rFonts w:ascii="Arial" w:hAnsi="Arial" w:cs="Arial"/>
          <w:sz w:val="18"/>
          <w:szCs w:val="18"/>
        </w:rPr>
        <w:t xml:space="preserve"> Andina de </w:t>
      </w:r>
      <w:proofErr w:type="spellStart"/>
      <w:r w:rsidRPr="00294E3C">
        <w:rPr>
          <w:rFonts w:ascii="Arial" w:hAnsi="Arial" w:cs="Arial"/>
          <w:sz w:val="18"/>
          <w:szCs w:val="18"/>
        </w:rPr>
        <w:t>Naciones</w:t>
      </w:r>
      <w:proofErr w:type="spellEnd"/>
      <w:r w:rsidRPr="00294E3C">
        <w:rPr>
          <w:rFonts w:ascii="Arial" w:hAnsi="Arial" w:cs="Arial"/>
          <w:sz w:val="18"/>
          <w:szCs w:val="18"/>
        </w:rPr>
        <w:t xml:space="preserve">, </w:t>
      </w:r>
      <w:proofErr w:type="spellStart"/>
      <w:r w:rsidRPr="00294E3C">
        <w:rPr>
          <w:rFonts w:ascii="Arial" w:hAnsi="Arial" w:cs="Arial"/>
          <w:sz w:val="18"/>
          <w:szCs w:val="18"/>
        </w:rPr>
        <w:t>según</w:t>
      </w:r>
      <w:proofErr w:type="spellEnd"/>
      <w:r w:rsidRPr="00294E3C">
        <w:rPr>
          <w:rFonts w:ascii="Arial" w:hAnsi="Arial" w:cs="Arial"/>
          <w:sz w:val="18"/>
          <w:szCs w:val="18"/>
        </w:rPr>
        <w:t xml:space="preserve"> el </w:t>
      </w:r>
      <w:proofErr w:type="spellStart"/>
      <w:r w:rsidRPr="00294E3C">
        <w:rPr>
          <w:rFonts w:ascii="Arial" w:hAnsi="Arial" w:cs="Arial"/>
          <w:sz w:val="18"/>
          <w:szCs w:val="18"/>
        </w:rPr>
        <w:t>siguiente</w:t>
      </w:r>
      <w:proofErr w:type="spellEnd"/>
      <w:r w:rsidRPr="00294E3C">
        <w:rPr>
          <w:rFonts w:ascii="Arial" w:hAnsi="Arial" w:cs="Arial"/>
          <w:sz w:val="18"/>
          <w:szCs w:val="18"/>
        </w:rPr>
        <w:t xml:space="preserve"> </w:t>
      </w:r>
      <w:proofErr w:type="spellStart"/>
      <w:r w:rsidRPr="00294E3C">
        <w:rPr>
          <w:rFonts w:ascii="Arial" w:hAnsi="Arial" w:cs="Arial"/>
          <w:sz w:val="18"/>
          <w:szCs w:val="18"/>
        </w:rPr>
        <w:t>criterio</w:t>
      </w:r>
      <w:proofErr w:type="spellEnd"/>
      <w:r w:rsidRPr="00294E3C">
        <w:rPr>
          <w:rFonts w:ascii="Arial" w:hAnsi="Arial" w:cs="Arial"/>
          <w:sz w:val="18"/>
          <w:szCs w:val="18"/>
        </w:rPr>
        <w:t xml:space="preserve"> de </w:t>
      </w:r>
      <w:proofErr w:type="spellStart"/>
      <w:r w:rsidRPr="00294E3C">
        <w:rPr>
          <w:rFonts w:ascii="Arial" w:hAnsi="Arial" w:cs="Arial"/>
          <w:sz w:val="18"/>
          <w:szCs w:val="18"/>
        </w:rPr>
        <w:t>volumen</w:t>
      </w:r>
      <w:proofErr w:type="spellEnd"/>
      <w:r w:rsidRPr="00294E3C">
        <w:rPr>
          <w:rFonts w:ascii="Arial" w:hAnsi="Arial" w:cs="Arial"/>
          <w:sz w:val="18"/>
          <w:szCs w:val="18"/>
        </w:rPr>
        <w:t xml:space="preserve"> de </w:t>
      </w:r>
      <w:proofErr w:type="spellStart"/>
      <w:r w:rsidRPr="00294E3C">
        <w:rPr>
          <w:rFonts w:ascii="Arial" w:hAnsi="Arial" w:cs="Arial"/>
          <w:sz w:val="18"/>
          <w:szCs w:val="18"/>
        </w:rPr>
        <w:t>ventas</w:t>
      </w:r>
      <w:proofErr w:type="spellEnd"/>
      <w:r w:rsidRPr="00294E3C">
        <w:rPr>
          <w:rFonts w:ascii="Arial" w:hAnsi="Arial" w:cs="Arial"/>
          <w:sz w:val="18"/>
          <w:szCs w:val="18"/>
        </w:rPr>
        <w:t xml:space="preserve">: (i) </w:t>
      </w:r>
      <w:proofErr w:type="spellStart"/>
      <w:r w:rsidRPr="00294E3C">
        <w:rPr>
          <w:rFonts w:ascii="Arial" w:hAnsi="Arial" w:cs="Arial"/>
          <w:sz w:val="18"/>
          <w:szCs w:val="18"/>
        </w:rPr>
        <w:t>grande</w:t>
      </w:r>
      <w:proofErr w:type="spellEnd"/>
      <w:r w:rsidRPr="00294E3C">
        <w:rPr>
          <w:rFonts w:ascii="Arial" w:hAnsi="Arial" w:cs="Arial"/>
          <w:sz w:val="18"/>
          <w:szCs w:val="18"/>
        </w:rPr>
        <w:t xml:space="preserve">, US$5.000.001 o </w:t>
      </w:r>
      <w:proofErr w:type="spellStart"/>
      <w:r w:rsidRPr="00294E3C">
        <w:rPr>
          <w:rFonts w:ascii="Arial" w:hAnsi="Arial" w:cs="Arial"/>
          <w:sz w:val="18"/>
          <w:szCs w:val="18"/>
        </w:rPr>
        <w:t>más</w:t>
      </w:r>
      <w:proofErr w:type="spellEnd"/>
      <w:r w:rsidRPr="00294E3C">
        <w:rPr>
          <w:rFonts w:ascii="Arial" w:hAnsi="Arial" w:cs="Arial"/>
          <w:sz w:val="18"/>
          <w:szCs w:val="18"/>
        </w:rPr>
        <w:t xml:space="preserve">; (ii) </w:t>
      </w:r>
      <w:proofErr w:type="spellStart"/>
      <w:r w:rsidRPr="00294E3C">
        <w:rPr>
          <w:rFonts w:ascii="Arial" w:hAnsi="Arial" w:cs="Arial"/>
          <w:sz w:val="18"/>
          <w:szCs w:val="18"/>
        </w:rPr>
        <w:t>mediana</w:t>
      </w:r>
      <w:proofErr w:type="spellEnd"/>
      <w:r w:rsidRPr="00294E3C">
        <w:rPr>
          <w:rFonts w:ascii="Arial" w:hAnsi="Arial" w:cs="Arial"/>
          <w:sz w:val="18"/>
          <w:szCs w:val="18"/>
        </w:rPr>
        <w:t>, de US$1.000.001 a US$5.000.000; (iii) </w:t>
      </w:r>
      <w:proofErr w:type="spellStart"/>
      <w:r w:rsidRPr="00294E3C">
        <w:rPr>
          <w:rFonts w:ascii="Arial" w:hAnsi="Arial" w:cs="Arial"/>
          <w:sz w:val="18"/>
          <w:szCs w:val="18"/>
        </w:rPr>
        <w:t>pequeña</w:t>
      </w:r>
      <w:proofErr w:type="spellEnd"/>
      <w:r w:rsidRPr="00294E3C">
        <w:rPr>
          <w:rFonts w:ascii="Arial" w:hAnsi="Arial" w:cs="Arial"/>
          <w:sz w:val="18"/>
          <w:szCs w:val="18"/>
        </w:rPr>
        <w:t xml:space="preserve">, de US$100.001 a US$1.000.000; y (v) </w:t>
      </w:r>
      <w:proofErr w:type="spellStart"/>
      <w:r w:rsidRPr="00294E3C">
        <w:rPr>
          <w:rFonts w:ascii="Arial" w:hAnsi="Arial" w:cs="Arial"/>
          <w:sz w:val="18"/>
          <w:szCs w:val="18"/>
        </w:rPr>
        <w:t>microempresa</w:t>
      </w:r>
      <w:proofErr w:type="spellEnd"/>
      <w:r w:rsidRPr="00294E3C">
        <w:rPr>
          <w:rFonts w:ascii="Arial" w:hAnsi="Arial" w:cs="Arial"/>
          <w:sz w:val="18"/>
          <w:szCs w:val="18"/>
        </w:rPr>
        <w:t xml:space="preserve">, </w:t>
      </w:r>
      <w:proofErr w:type="spellStart"/>
      <w:r w:rsidRPr="00294E3C">
        <w:rPr>
          <w:rFonts w:ascii="Arial" w:hAnsi="Arial" w:cs="Arial"/>
          <w:sz w:val="18"/>
          <w:szCs w:val="18"/>
        </w:rPr>
        <w:t>menor</w:t>
      </w:r>
      <w:proofErr w:type="spellEnd"/>
      <w:r w:rsidRPr="00294E3C">
        <w:rPr>
          <w:rFonts w:ascii="Arial" w:hAnsi="Arial" w:cs="Arial"/>
          <w:sz w:val="18"/>
          <w:szCs w:val="18"/>
        </w:rPr>
        <w:t xml:space="preserve"> o </w:t>
      </w:r>
      <w:proofErr w:type="spellStart"/>
      <w:r w:rsidRPr="00294E3C">
        <w:rPr>
          <w:rFonts w:ascii="Arial" w:hAnsi="Arial" w:cs="Arial"/>
          <w:sz w:val="18"/>
          <w:szCs w:val="18"/>
        </w:rPr>
        <w:t>igual</w:t>
      </w:r>
      <w:proofErr w:type="spellEnd"/>
      <w:r w:rsidRPr="00294E3C">
        <w:rPr>
          <w:rFonts w:ascii="Arial" w:hAnsi="Arial" w:cs="Arial"/>
          <w:sz w:val="18"/>
          <w:szCs w:val="18"/>
        </w:rPr>
        <w:t xml:space="preserve"> a US$100.000.</w:t>
      </w:r>
    </w:p>
  </w:footnote>
  <w:footnote w:id="7">
    <w:p w14:paraId="092733E2" w14:textId="77777777" w:rsidR="007D1771" w:rsidRPr="001B5CCA" w:rsidRDefault="007D1771" w:rsidP="007D1771">
      <w:pPr>
        <w:pStyle w:val="FootnoteText"/>
        <w:spacing w:after="0"/>
        <w:rPr>
          <w:rFonts w:ascii="Arial" w:hAnsi="Arial" w:cs="Arial"/>
          <w:lang w:val="es-ES_tradnl"/>
        </w:rPr>
      </w:pPr>
      <w:r w:rsidRPr="00294E3C">
        <w:rPr>
          <w:rStyle w:val="FootnoteReference"/>
          <w:rFonts w:ascii="Arial" w:hAnsi="Arial" w:cs="Arial"/>
          <w:sz w:val="18"/>
          <w:szCs w:val="18"/>
        </w:rPr>
        <w:footnoteRef/>
      </w:r>
      <w:r w:rsidRPr="00294E3C">
        <w:rPr>
          <w:rFonts w:ascii="Arial" w:hAnsi="Arial" w:cs="Arial"/>
          <w:sz w:val="18"/>
          <w:szCs w:val="18"/>
        </w:rPr>
        <w:t xml:space="preserve"> </w:t>
      </w:r>
      <w:r w:rsidRPr="00294E3C">
        <w:rPr>
          <w:rFonts w:ascii="Arial" w:hAnsi="Arial" w:cs="Arial"/>
          <w:sz w:val="18"/>
          <w:szCs w:val="18"/>
        </w:rPr>
        <w:tab/>
      </w:r>
      <w:proofErr w:type="spellStart"/>
      <w:r w:rsidRPr="00294E3C">
        <w:rPr>
          <w:rFonts w:ascii="Arial" w:hAnsi="Arial" w:cs="Arial"/>
          <w:sz w:val="18"/>
          <w:szCs w:val="18"/>
        </w:rPr>
        <w:t>Datos</w:t>
      </w:r>
      <w:proofErr w:type="spellEnd"/>
      <w:r w:rsidRPr="00294E3C">
        <w:rPr>
          <w:rFonts w:ascii="Arial" w:hAnsi="Arial" w:cs="Arial"/>
          <w:sz w:val="18"/>
          <w:szCs w:val="18"/>
        </w:rPr>
        <w:t xml:space="preserve"> de </w:t>
      </w:r>
      <w:proofErr w:type="spellStart"/>
      <w:r w:rsidRPr="00294E3C">
        <w:rPr>
          <w:rFonts w:ascii="Arial" w:hAnsi="Arial" w:cs="Arial"/>
          <w:sz w:val="18"/>
          <w:szCs w:val="18"/>
        </w:rPr>
        <w:t>empleo</w:t>
      </w:r>
      <w:proofErr w:type="spellEnd"/>
      <w:r w:rsidRPr="00294E3C">
        <w:rPr>
          <w:rFonts w:ascii="Arial" w:hAnsi="Arial" w:cs="Arial"/>
          <w:sz w:val="18"/>
          <w:szCs w:val="18"/>
        </w:rPr>
        <w:t xml:space="preserve"> y masa </w:t>
      </w:r>
      <w:proofErr w:type="spellStart"/>
      <w:r w:rsidRPr="00294E3C">
        <w:rPr>
          <w:rFonts w:ascii="Arial" w:hAnsi="Arial" w:cs="Arial"/>
          <w:sz w:val="18"/>
          <w:szCs w:val="18"/>
        </w:rPr>
        <w:t>salarial</w:t>
      </w:r>
      <w:proofErr w:type="spellEnd"/>
      <w:r w:rsidRPr="00294E3C">
        <w:rPr>
          <w:rFonts w:ascii="Arial" w:hAnsi="Arial" w:cs="Arial"/>
          <w:sz w:val="18"/>
          <w:szCs w:val="18"/>
        </w:rPr>
        <w:t xml:space="preserve"> </w:t>
      </w:r>
      <w:proofErr w:type="spellStart"/>
      <w:r w:rsidRPr="00294E3C">
        <w:rPr>
          <w:rFonts w:ascii="Arial" w:hAnsi="Arial" w:cs="Arial"/>
          <w:sz w:val="18"/>
          <w:szCs w:val="18"/>
        </w:rPr>
        <w:t>reportados</w:t>
      </w:r>
      <w:proofErr w:type="spellEnd"/>
      <w:r w:rsidRPr="00294E3C">
        <w:rPr>
          <w:rFonts w:ascii="Arial" w:hAnsi="Arial" w:cs="Arial"/>
          <w:sz w:val="18"/>
          <w:szCs w:val="18"/>
        </w:rPr>
        <w:t xml:space="preserve"> al Instituto </w:t>
      </w:r>
      <w:proofErr w:type="spellStart"/>
      <w:r w:rsidRPr="00294E3C">
        <w:rPr>
          <w:rFonts w:ascii="Arial" w:hAnsi="Arial" w:cs="Arial"/>
          <w:sz w:val="18"/>
          <w:szCs w:val="18"/>
        </w:rPr>
        <w:t>Ecuatoriano</w:t>
      </w:r>
      <w:proofErr w:type="spellEnd"/>
      <w:r w:rsidRPr="00294E3C">
        <w:rPr>
          <w:rFonts w:ascii="Arial" w:hAnsi="Arial" w:cs="Arial"/>
          <w:sz w:val="18"/>
          <w:szCs w:val="18"/>
        </w:rPr>
        <w:t xml:space="preserve"> de </w:t>
      </w:r>
      <w:proofErr w:type="spellStart"/>
      <w:r w:rsidRPr="00294E3C">
        <w:rPr>
          <w:rFonts w:ascii="Arial" w:hAnsi="Arial" w:cs="Arial"/>
          <w:sz w:val="18"/>
          <w:szCs w:val="18"/>
        </w:rPr>
        <w:t>Seguridad</w:t>
      </w:r>
      <w:proofErr w:type="spellEnd"/>
      <w:r w:rsidRPr="00294E3C">
        <w:rPr>
          <w:rFonts w:ascii="Arial" w:hAnsi="Arial" w:cs="Arial"/>
          <w:sz w:val="18"/>
          <w:szCs w:val="18"/>
        </w:rPr>
        <w:t xml:space="preserve"> Social.</w:t>
      </w:r>
    </w:p>
  </w:footnote>
  <w:footnote w:id="8">
    <w:p w14:paraId="3FFE0911" w14:textId="77777777" w:rsidR="007D1771" w:rsidRPr="00294E3C" w:rsidRDefault="007D1771" w:rsidP="007D1771">
      <w:pPr>
        <w:pStyle w:val="FootnoteText"/>
        <w:spacing w:after="0"/>
        <w:rPr>
          <w:rFonts w:ascii="Arial" w:hAnsi="Arial" w:cs="Arial"/>
        </w:rPr>
      </w:pPr>
      <w:r w:rsidRPr="00294E3C">
        <w:rPr>
          <w:rStyle w:val="FootnoteReference"/>
          <w:rFonts w:ascii="Arial" w:hAnsi="Arial" w:cs="Arial"/>
          <w:sz w:val="18"/>
          <w:szCs w:val="18"/>
        </w:rPr>
        <w:footnoteRef/>
      </w:r>
      <w:r w:rsidRPr="00294E3C">
        <w:rPr>
          <w:rFonts w:ascii="Arial" w:hAnsi="Arial" w:cs="Arial"/>
          <w:sz w:val="18"/>
          <w:szCs w:val="18"/>
        </w:rPr>
        <w:t xml:space="preserve"> </w:t>
      </w:r>
      <w:r w:rsidRPr="00294E3C">
        <w:rPr>
          <w:rFonts w:ascii="Arial" w:hAnsi="Arial" w:cs="Arial"/>
          <w:sz w:val="18"/>
          <w:szCs w:val="18"/>
        </w:rPr>
        <w:tab/>
        <w:t xml:space="preserve">Directorio de </w:t>
      </w:r>
      <w:proofErr w:type="spellStart"/>
      <w:r w:rsidRPr="00294E3C">
        <w:rPr>
          <w:rFonts w:ascii="Arial" w:hAnsi="Arial" w:cs="Arial"/>
          <w:sz w:val="18"/>
          <w:szCs w:val="18"/>
        </w:rPr>
        <w:t>Empresas</w:t>
      </w:r>
      <w:proofErr w:type="spellEnd"/>
      <w:r w:rsidRPr="00294E3C">
        <w:rPr>
          <w:rFonts w:ascii="Arial" w:hAnsi="Arial" w:cs="Arial"/>
          <w:sz w:val="18"/>
          <w:szCs w:val="18"/>
        </w:rPr>
        <w:t xml:space="preserve"> y </w:t>
      </w:r>
      <w:proofErr w:type="spellStart"/>
      <w:r w:rsidRPr="00294E3C">
        <w:rPr>
          <w:rFonts w:ascii="Arial" w:hAnsi="Arial" w:cs="Arial"/>
          <w:sz w:val="18"/>
          <w:szCs w:val="18"/>
        </w:rPr>
        <w:t>Establecimientos</w:t>
      </w:r>
      <w:proofErr w:type="spellEnd"/>
      <w:r w:rsidRPr="00294E3C">
        <w:rPr>
          <w:rFonts w:ascii="Arial" w:hAnsi="Arial" w:cs="Arial"/>
          <w:sz w:val="18"/>
          <w:szCs w:val="18"/>
        </w:rPr>
        <w:t xml:space="preserve"> 2018. INEC. 2019.</w:t>
      </w:r>
    </w:p>
  </w:footnote>
  <w:footnote w:id="9">
    <w:p w14:paraId="75C5C059" w14:textId="77777777" w:rsidR="00200846" w:rsidRPr="000A496F" w:rsidRDefault="00200846" w:rsidP="00B32AAC">
      <w:pPr>
        <w:pStyle w:val="FootnoteText"/>
        <w:spacing w:after="0"/>
        <w:rPr>
          <w:rFonts w:ascii="Arial" w:hAnsi="Arial" w:cs="Arial"/>
          <w:lang w:val="es-ES_tradnl"/>
        </w:rPr>
      </w:pPr>
      <w:r w:rsidRPr="000A496F">
        <w:rPr>
          <w:rStyle w:val="FootnoteReference"/>
          <w:rFonts w:ascii="Arial" w:hAnsi="Arial" w:cs="Arial"/>
          <w:sz w:val="18"/>
          <w:szCs w:val="18"/>
          <w:lang w:val="es-ES_tradnl"/>
        </w:rPr>
        <w:footnoteRef/>
      </w:r>
      <w:r w:rsidRPr="000A496F">
        <w:rPr>
          <w:rFonts w:ascii="Arial" w:hAnsi="Arial" w:cs="Arial"/>
          <w:sz w:val="18"/>
          <w:szCs w:val="18"/>
          <w:lang w:val="es-ES_tradnl"/>
        </w:rPr>
        <w:t xml:space="preserve"> SEPS.</w:t>
      </w:r>
    </w:p>
  </w:footnote>
  <w:footnote w:id="10">
    <w:p w14:paraId="54E6972B" w14:textId="77777777" w:rsidR="00892DE7" w:rsidRPr="00294E3C" w:rsidRDefault="00892DE7" w:rsidP="00892DE7">
      <w:pPr>
        <w:pStyle w:val="FootnoteText"/>
        <w:spacing w:after="0"/>
        <w:rPr>
          <w:rFonts w:ascii="Arial" w:hAnsi="Arial" w:cs="Arial"/>
          <w:sz w:val="18"/>
          <w:szCs w:val="18"/>
        </w:rPr>
      </w:pPr>
      <w:r w:rsidRPr="00294E3C">
        <w:rPr>
          <w:rStyle w:val="FootnoteReference"/>
          <w:rFonts w:ascii="Arial" w:hAnsi="Arial" w:cs="Arial"/>
          <w:sz w:val="18"/>
          <w:szCs w:val="18"/>
        </w:rPr>
        <w:footnoteRef/>
      </w:r>
      <w:r w:rsidRPr="00294E3C">
        <w:rPr>
          <w:rFonts w:ascii="Arial" w:hAnsi="Arial" w:cs="Arial"/>
          <w:sz w:val="18"/>
          <w:szCs w:val="18"/>
        </w:rPr>
        <w:t xml:space="preserve"> </w:t>
      </w:r>
      <w:r w:rsidRPr="00294E3C">
        <w:rPr>
          <w:rFonts w:ascii="Arial" w:hAnsi="Arial" w:cs="Arial"/>
          <w:sz w:val="18"/>
          <w:szCs w:val="18"/>
        </w:rPr>
        <w:tab/>
      </w:r>
      <w:proofErr w:type="spellStart"/>
      <w:r w:rsidRPr="00294E3C">
        <w:rPr>
          <w:rFonts w:ascii="Arial" w:hAnsi="Arial" w:cs="Arial"/>
          <w:sz w:val="18"/>
          <w:szCs w:val="18"/>
        </w:rPr>
        <w:t>Algunas</w:t>
      </w:r>
      <w:proofErr w:type="spellEnd"/>
      <w:r w:rsidRPr="00294E3C">
        <w:rPr>
          <w:rFonts w:ascii="Arial" w:hAnsi="Arial" w:cs="Arial"/>
          <w:sz w:val="18"/>
          <w:szCs w:val="18"/>
        </w:rPr>
        <w:t xml:space="preserve"> de las </w:t>
      </w:r>
      <w:proofErr w:type="spellStart"/>
      <w:r w:rsidRPr="00294E3C">
        <w:rPr>
          <w:rFonts w:ascii="Arial" w:hAnsi="Arial" w:cs="Arial"/>
          <w:sz w:val="18"/>
          <w:szCs w:val="18"/>
        </w:rPr>
        <w:t>principales</w:t>
      </w:r>
      <w:proofErr w:type="spellEnd"/>
      <w:r w:rsidRPr="00294E3C">
        <w:rPr>
          <w:rFonts w:ascii="Arial" w:hAnsi="Arial" w:cs="Arial"/>
          <w:sz w:val="18"/>
          <w:szCs w:val="18"/>
        </w:rPr>
        <w:t xml:space="preserve"> variables que se </w:t>
      </w:r>
      <w:proofErr w:type="spellStart"/>
      <w:r w:rsidRPr="00294E3C">
        <w:rPr>
          <w:rFonts w:ascii="Arial" w:hAnsi="Arial" w:cs="Arial"/>
          <w:sz w:val="18"/>
          <w:szCs w:val="18"/>
        </w:rPr>
        <w:t>definen</w:t>
      </w:r>
      <w:proofErr w:type="spellEnd"/>
      <w:r w:rsidRPr="00294E3C">
        <w:rPr>
          <w:rFonts w:ascii="Arial" w:hAnsi="Arial" w:cs="Arial"/>
          <w:sz w:val="18"/>
          <w:szCs w:val="18"/>
        </w:rPr>
        <w:t xml:space="preserve"> </w:t>
      </w:r>
      <w:proofErr w:type="spellStart"/>
      <w:r w:rsidRPr="00294E3C">
        <w:rPr>
          <w:rFonts w:ascii="Arial" w:hAnsi="Arial" w:cs="Arial"/>
          <w:sz w:val="18"/>
          <w:szCs w:val="18"/>
        </w:rPr>
        <w:t>en</w:t>
      </w:r>
      <w:proofErr w:type="spellEnd"/>
      <w:r w:rsidRPr="00294E3C">
        <w:rPr>
          <w:rFonts w:ascii="Arial" w:hAnsi="Arial" w:cs="Arial"/>
          <w:sz w:val="18"/>
          <w:szCs w:val="18"/>
        </w:rPr>
        <w:t xml:space="preserve"> el RC con </w:t>
      </w:r>
      <w:proofErr w:type="spellStart"/>
      <w:r w:rsidRPr="00294E3C">
        <w:rPr>
          <w:rFonts w:ascii="Arial" w:hAnsi="Arial" w:cs="Arial"/>
          <w:sz w:val="18"/>
          <w:szCs w:val="18"/>
        </w:rPr>
        <w:t>relación</w:t>
      </w:r>
      <w:proofErr w:type="spellEnd"/>
      <w:r w:rsidRPr="00294E3C">
        <w:rPr>
          <w:rFonts w:ascii="Arial" w:hAnsi="Arial" w:cs="Arial"/>
          <w:sz w:val="18"/>
          <w:szCs w:val="18"/>
        </w:rPr>
        <w:t xml:space="preserve"> a los </w:t>
      </w:r>
      <w:proofErr w:type="spellStart"/>
      <w:r w:rsidRPr="00294E3C">
        <w:rPr>
          <w:rFonts w:ascii="Arial" w:hAnsi="Arial" w:cs="Arial"/>
          <w:sz w:val="18"/>
          <w:szCs w:val="18"/>
        </w:rPr>
        <w:t>subpréstamos</w:t>
      </w:r>
      <w:proofErr w:type="spellEnd"/>
      <w:r w:rsidRPr="00294E3C">
        <w:rPr>
          <w:rFonts w:ascii="Arial" w:hAnsi="Arial" w:cs="Arial"/>
          <w:sz w:val="18"/>
          <w:szCs w:val="18"/>
        </w:rPr>
        <w:t xml:space="preserve"> son: (i) </w:t>
      </w:r>
      <w:proofErr w:type="spellStart"/>
      <w:r w:rsidRPr="00294E3C">
        <w:rPr>
          <w:rFonts w:ascii="Arial" w:hAnsi="Arial" w:cs="Arial"/>
          <w:sz w:val="18"/>
          <w:szCs w:val="18"/>
        </w:rPr>
        <w:t>costo</w:t>
      </w:r>
      <w:proofErr w:type="spellEnd"/>
      <w:r w:rsidRPr="00294E3C">
        <w:rPr>
          <w:rFonts w:ascii="Arial" w:hAnsi="Arial" w:cs="Arial"/>
          <w:sz w:val="18"/>
          <w:szCs w:val="18"/>
        </w:rPr>
        <w:t xml:space="preserve"> </w:t>
      </w:r>
      <w:proofErr w:type="spellStart"/>
      <w:r w:rsidRPr="00294E3C">
        <w:rPr>
          <w:rFonts w:ascii="Arial" w:hAnsi="Arial" w:cs="Arial"/>
          <w:sz w:val="18"/>
          <w:szCs w:val="18"/>
        </w:rPr>
        <w:t>máximo</w:t>
      </w:r>
      <w:proofErr w:type="spellEnd"/>
      <w:r w:rsidRPr="00294E3C">
        <w:rPr>
          <w:rFonts w:ascii="Arial" w:hAnsi="Arial" w:cs="Arial"/>
          <w:sz w:val="18"/>
          <w:szCs w:val="18"/>
        </w:rPr>
        <w:t xml:space="preserve"> de los </w:t>
      </w:r>
      <w:proofErr w:type="spellStart"/>
      <w:r w:rsidRPr="00294E3C">
        <w:rPr>
          <w:rFonts w:ascii="Arial" w:hAnsi="Arial" w:cs="Arial"/>
          <w:sz w:val="18"/>
          <w:szCs w:val="18"/>
        </w:rPr>
        <w:t>recursos</w:t>
      </w:r>
      <w:proofErr w:type="spellEnd"/>
      <w:r w:rsidRPr="00294E3C">
        <w:rPr>
          <w:rFonts w:ascii="Arial" w:hAnsi="Arial" w:cs="Arial"/>
          <w:sz w:val="18"/>
          <w:szCs w:val="18"/>
        </w:rPr>
        <w:t xml:space="preserve"> de los </w:t>
      </w:r>
      <w:proofErr w:type="spellStart"/>
      <w:r w:rsidRPr="00294E3C">
        <w:rPr>
          <w:rFonts w:ascii="Arial" w:hAnsi="Arial" w:cs="Arial"/>
          <w:sz w:val="18"/>
          <w:szCs w:val="18"/>
        </w:rPr>
        <w:t>préstamos</w:t>
      </w:r>
      <w:proofErr w:type="spellEnd"/>
      <w:r w:rsidRPr="00294E3C">
        <w:rPr>
          <w:rFonts w:ascii="Arial" w:hAnsi="Arial" w:cs="Arial"/>
          <w:sz w:val="18"/>
          <w:szCs w:val="18"/>
        </w:rPr>
        <w:t xml:space="preserve"> y </w:t>
      </w:r>
      <w:proofErr w:type="spellStart"/>
      <w:r w:rsidRPr="00294E3C">
        <w:rPr>
          <w:rFonts w:ascii="Arial" w:hAnsi="Arial" w:cs="Arial"/>
          <w:sz w:val="18"/>
          <w:szCs w:val="18"/>
        </w:rPr>
        <w:t>subpréstamos</w:t>
      </w:r>
      <w:proofErr w:type="spellEnd"/>
      <w:r w:rsidRPr="00294E3C">
        <w:rPr>
          <w:rFonts w:ascii="Arial" w:hAnsi="Arial" w:cs="Arial"/>
          <w:sz w:val="18"/>
          <w:szCs w:val="18"/>
        </w:rPr>
        <w:t xml:space="preserve">; (ii) </w:t>
      </w:r>
      <w:proofErr w:type="spellStart"/>
      <w:r w:rsidRPr="00294E3C">
        <w:rPr>
          <w:rFonts w:ascii="Arial" w:hAnsi="Arial" w:cs="Arial"/>
          <w:sz w:val="18"/>
          <w:szCs w:val="18"/>
        </w:rPr>
        <w:t>criterios</w:t>
      </w:r>
      <w:proofErr w:type="spellEnd"/>
      <w:r w:rsidRPr="00294E3C">
        <w:rPr>
          <w:rFonts w:ascii="Arial" w:hAnsi="Arial" w:cs="Arial"/>
          <w:sz w:val="18"/>
          <w:szCs w:val="18"/>
        </w:rPr>
        <w:t xml:space="preserve"> de </w:t>
      </w:r>
      <w:proofErr w:type="spellStart"/>
      <w:r w:rsidRPr="00294E3C">
        <w:rPr>
          <w:rFonts w:ascii="Arial" w:hAnsi="Arial" w:cs="Arial"/>
          <w:sz w:val="18"/>
          <w:szCs w:val="18"/>
        </w:rPr>
        <w:t>asignación</w:t>
      </w:r>
      <w:proofErr w:type="spellEnd"/>
      <w:r w:rsidRPr="00294E3C">
        <w:rPr>
          <w:rFonts w:ascii="Arial" w:hAnsi="Arial" w:cs="Arial"/>
          <w:sz w:val="18"/>
          <w:szCs w:val="18"/>
        </w:rPr>
        <w:t xml:space="preserve"> de </w:t>
      </w:r>
      <w:proofErr w:type="spellStart"/>
      <w:r w:rsidRPr="00294E3C">
        <w:rPr>
          <w:rFonts w:ascii="Arial" w:hAnsi="Arial" w:cs="Arial"/>
          <w:sz w:val="18"/>
          <w:szCs w:val="18"/>
        </w:rPr>
        <w:t>recursos</w:t>
      </w:r>
      <w:proofErr w:type="spellEnd"/>
      <w:r w:rsidRPr="00294E3C">
        <w:rPr>
          <w:rFonts w:ascii="Arial" w:hAnsi="Arial" w:cs="Arial"/>
          <w:sz w:val="18"/>
          <w:szCs w:val="18"/>
        </w:rPr>
        <w:t xml:space="preserve"> y de </w:t>
      </w:r>
      <w:proofErr w:type="spellStart"/>
      <w:r w:rsidRPr="00294E3C">
        <w:rPr>
          <w:rFonts w:ascii="Arial" w:hAnsi="Arial" w:cs="Arial"/>
          <w:sz w:val="18"/>
          <w:szCs w:val="18"/>
        </w:rPr>
        <w:t>elegibilidad</w:t>
      </w:r>
      <w:proofErr w:type="spellEnd"/>
      <w:r w:rsidRPr="00294E3C">
        <w:rPr>
          <w:rFonts w:ascii="Arial" w:hAnsi="Arial" w:cs="Arial"/>
          <w:sz w:val="18"/>
          <w:szCs w:val="18"/>
        </w:rPr>
        <w:t xml:space="preserve"> de los </w:t>
      </w:r>
      <w:proofErr w:type="spellStart"/>
      <w:r w:rsidRPr="00294E3C">
        <w:rPr>
          <w:rFonts w:ascii="Arial" w:hAnsi="Arial" w:cs="Arial"/>
          <w:sz w:val="18"/>
          <w:szCs w:val="18"/>
        </w:rPr>
        <w:t>intermediarios</w:t>
      </w:r>
      <w:proofErr w:type="spellEnd"/>
      <w:r w:rsidRPr="00294E3C">
        <w:rPr>
          <w:rFonts w:ascii="Arial" w:hAnsi="Arial" w:cs="Arial"/>
          <w:sz w:val="18"/>
          <w:szCs w:val="18"/>
        </w:rPr>
        <w:t xml:space="preserve"> </w:t>
      </w:r>
      <w:proofErr w:type="spellStart"/>
      <w:r w:rsidRPr="00294E3C">
        <w:rPr>
          <w:rFonts w:ascii="Arial" w:hAnsi="Arial" w:cs="Arial"/>
          <w:sz w:val="18"/>
          <w:szCs w:val="18"/>
        </w:rPr>
        <w:t>financieros</w:t>
      </w:r>
      <w:proofErr w:type="spellEnd"/>
      <w:r w:rsidRPr="00294E3C">
        <w:rPr>
          <w:rFonts w:ascii="Arial" w:hAnsi="Arial" w:cs="Arial"/>
          <w:sz w:val="18"/>
          <w:szCs w:val="18"/>
        </w:rPr>
        <w:t xml:space="preserve"> (subprestamistas) y MIPE (</w:t>
      </w:r>
      <w:proofErr w:type="spellStart"/>
      <w:r w:rsidRPr="00294E3C">
        <w:rPr>
          <w:rFonts w:ascii="Arial" w:hAnsi="Arial" w:cs="Arial"/>
          <w:sz w:val="18"/>
          <w:szCs w:val="18"/>
        </w:rPr>
        <w:t>subprestatarios</w:t>
      </w:r>
      <w:proofErr w:type="spellEnd"/>
      <w:r w:rsidRPr="00294E3C">
        <w:rPr>
          <w:rFonts w:ascii="Arial" w:hAnsi="Arial" w:cs="Arial"/>
          <w:sz w:val="18"/>
          <w:szCs w:val="18"/>
        </w:rPr>
        <w:t xml:space="preserve">); (iii) </w:t>
      </w:r>
      <w:proofErr w:type="spellStart"/>
      <w:r w:rsidRPr="00294E3C">
        <w:rPr>
          <w:rFonts w:ascii="Arial" w:hAnsi="Arial" w:cs="Arial"/>
          <w:sz w:val="18"/>
          <w:szCs w:val="18"/>
        </w:rPr>
        <w:t>niveles</w:t>
      </w:r>
      <w:proofErr w:type="spellEnd"/>
      <w:r w:rsidRPr="00294E3C">
        <w:rPr>
          <w:rFonts w:ascii="Arial" w:hAnsi="Arial" w:cs="Arial"/>
          <w:sz w:val="18"/>
          <w:szCs w:val="18"/>
        </w:rPr>
        <w:t xml:space="preserve"> </w:t>
      </w:r>
      <w:proofErr w:type="spellStart"/>
      <w:r w:rsidRPr="00294E3C">
        <w:rPr>
          <w:rFonts w:ascii="Arial" w:hAnsi="Arial" w:cs="Arial"/>
          <w:sz w:val="18"/>
          <w:szCs w:val="18"/>
        </w:rPr>
        <w:t>riesgo</w:t>
      </w:r>
      <w:proofErr w:type="spellEnd"/>
      <w:r w:rsidRPr="00294E3C">
        <w:rPr>
          <w:rFonts w:ascii="Arial" w:hAnsi="Arial" w:cs="Arial"/>
          <w:sz w:val="18"/>
          <w:szCs w:val="18"/>
        </w:rPr>
        <w:t xml:space="preserve"> de los </w:t>
      </w:r>
      <w:proofErr w:type="spellStart"/>
      <w:r w:rsidRPr="00294E3C">
        <w:rPr>
          <w:rFonts w:ascii="Arial" w:hAnsi="Arial" w:cs="Arial"/>
          <w:sz w:val="18"/>
          <w:szCs w:val="18"/>
        </w:rPr>
        <w:t>subprestatarios</w:t>
      </w:r>
      <w:proofErr w:type="spellEnd"/>
      <w:r w:rsidRPr="00294E3C">
        <w:rPr>
          <w:rFonts w:ascii="Arial" w:hAnsi="Arial" w:cs="Arial"/>
          <w:sz w:val="18"/>
          <w:szCs w:val="18"/>
        </w:rPr>
        <w:t xml:space="preserve"> y subprestamistas: y (iv) </w:t>
      </w:r>
      <w:proofErr w:type="spellStart"/>
      <w:r w:rsidRPr="00294E3C">
        <w:rPr>
          <w:rFonts w:ascii="Arial" w:hAnsi="Arial" w:cs="Arial"/>
          <w:sz w:val="18"/>
          <w:szCs w:val="18"/>
        </w:rPr>
        <w:t>grado</w:t>
      </w:r>
      <w:proofErr w:type="spellEnd"/>
      <w:r w:rsidRPr="00294E3C">
        <w:rPr>
          <w:rFonts w:ascii="Arial" w:hAnsi="Arial" w:cs="Arial"/>
          <w:sz w:val="18"/>
          <w:szCs w:val="18"/>
        </w:rPr>
        <w:t xml:space="preserve"> de </w:t>
      </w:r>
      <w:proofErr w:type="spellStart"/>
      <w:r w:rsidRPr="00294E3C">
        <w:rPr>
          <w:rFonts w:ascii="Arial" w:hAnsi="Arial" w:cs="Arial"/>
          <w:sz w:val="18"/>
          <w:szCs w:val="18"/>
        </w:rPr>
        <w:t>apalancamiento</w:t>
      </w:r>
      <w:proofErr w:type="spellEnd"/>
      <w:r w:rsidRPr="00294E3C">
        <w:rPr>
          <w:rFonts w:ascii="Arial" w:hAnsi="Arial" w:cs="Arial"/>
          <w:sz w:val="18"/>
          <w:szCs w:val="18"/>
        </w:rPr>
        <w:t xml:space="preserve"> del </w:t>
      </w:r>
      <w:proofErr w:type="spellStart"/>
      <w:r w:rsidRPr="00294E3C">
        <w:rPr>
          <w:rFonts w:ascii="Arial" w:hAnsi="Arial" w:cs="Arial"/>
          <w:sz w:val="18"/>
          <w:szCs w:val="18"/>
        </w:rPr>
        <w:t>fondo</w:t>
      </w:r>
      <w:proofErr w:type="spellEnd"/>
      <w:r w:rsidRPr="00294E3C">
        <w:rPr>
          <w:rFonts w:ascii="Arial" w:hAnsi="Arial" w:cs="Arial"/>
          <w:sz w:val="18"/>
          <w:szCs w:val="18"/>
        </w:rPr>
        <w:t xml:space="preserve"> de </w:t>
      </w:r>
      <w:proofErr w:type="spellStart"/>
      <w:r w:rsidRPr="00294E3C">
        <w:rPr>
          <w:rFonts w:ascii="Arial" w:hAnsi="Arial" w:cs="Arial"/>
          <w:sz w:val="18"/>
          <w:szCs w:val="18"/>
        </w:rPr>
        <w:t>garantías</w:t>
      </w:r>
      <w:proofErr w:type="spellEnd"/>
      <w:r w:rsidRPr="00294E3C">
        <w:rPr>
          <w:rFonts w:ascii="Arial" w:hAnsi="Arial" w:cs="Arial"/>
          <w:sz w:val="18"/>
          <w:szCs w:val="18"/>
        </w:rPr>
        <w:t>; (v) </w:t>
      </w:r>
      <w:proofErr w:type="spellStart"/>
      <w:r w:rsidRPr="00294E3C">
        <w:rPr>
          <w:rFonts w:ascii="Arial" w:hAnsi="Arial" w:cs="Arial"/>
          <w:sz w:val="18"/>
          <w:szCs w:val="18"/>
        </w:rPr>
        <w:t>limitaciones</w:t>
      </w:r>
      <w:proofErr w:type="spellEnd"/>
      <w:r w:rsidRPr="00294E3C">
        <w:rPr>
          <w:rFonts w:ascii="Arial" w:hAnsi="Arial" w:cs="Arial"/>
          <w:sz w:val="18"/>
          <w:szCs w:val="18"/>
        </w:rPr>
        <w:t xml:space="preserve"> de </w:t>
      </w:r>
      <w:proofErr w:type="spellStart"/>
      <w:r w:rsidRPr="00294E3C">
        <w:rPr>
          <w:rFonts w:ascii="Arial" w:hAnsi="Arial" w:cs="Arial"/>
          <w:sz w:val="18"/>
          <w:szCs w:val="18"/>
        </w:rPr>
        <w:t>usos</w:t>
      </w:r>
      <w:proofErr w:type="spellEnd"/>
      <w:r w:rsidRPr="00294E3C">
        <w:rPr>
          <w:rFonts w:ascii="Arial" w:hAnsi="Arial" w:cs="Arial"/>
          <w:sz w:val="18"/>
          <w:szCs w:val="18"/>
        </w:rPr>
        <w:t xml:space="preserve"> de </w:t>
      </w:r>
      <w:proofErr w:type="spellStart"/>
      <w:r w:rsidRPr="00294E3C">
        <w:rPr>
          <w:rFonts w:ascii="Arial" w:hAnsi="Arial" w:cs="Arial"/>
          <w:sz w:val="18"/>
          <w:szCs w:val="18"/>
        </w:rPr>
        <w:t>recursos</w:t>
      </w:r>
      <w:proofErr w:type="spellEnd"/>
      <w:r w:rsidRPr="00294E3C">
        <w:rPr>
          <w:rFonts w:ascii="Arial" w:hAnsi="Arial" w:cs="Arial"/>
          <w:sz w:val="18"/>
          <w:szCs w:val="18"/>
        </w:rPr>
        <w:t xml:space="preserve">; y (vi) </w:t>
      </w:r>
      <w:proofErr w:type="spellStart"/>
      <w:r w:rsidRPr="00294E3C">
        <w:rPr>
          <w:rFonts w:ascii="Arial" w:hAnsi="Arial" w:cs="Arial"/>
          <w:sz w:val="18"/>
          <w:szCs w:val="18"/>
        </w:rPr>
        <w:t>sistema</w:t>
      </w:r>
      <w:proofErr w:type="spellEnd"/>
      <w:r w:rsidRPr="00294E3C">
        <w:rPr>
          <w:rFonts w:ascii="Arial" w:hAnsi="Arial" w:cs="Arial"/>
          <w:sz w:val="18"/>
          <w:szCs w:val="18"/>
        </w:rPr>
        <w:t xml:space="preserve"> de </w:t>
      </w:r>
      <w:proofErr w:type="spellStart"/>
      <w:r w:rsidRPr="00294E3C">
        <w:rPr>
          <w:rFonts w:ascii="Arial" w:hAnsi="Arial" w:cs="Arial"/>
          <w:sz w:val="18"/>
          <w:szCs w:val="18"/>
        </w:rPr>
        <w:t>indicadores</w:t>
      </w:r>
      <w:proofErr w:type="spellEnd"/>
      <w:r w:rsidRPr="00294E3C">
        <w:rPr>
          <w:rFonts w:ascii="Arial" w:hAnsi="Arial" w:cs="Arial"/>
          <w:sz w:val="18"/>
          <w:szCs w:val="18"/>
        </w:rPr>
        <w:t xml:space="preserve"> y </w:t>
      </w:r>
      <w:proofErr w:type="spellStart"/>
      <w:r w:rsidRPr="00294E3C">
        <w:rPr>
          <w:rFonts w:ascii="Arial" w:hAnsi="Arial" w:cs="Arial"/>
          <w:sz w:val="18"/>
          <w:szCs w:val="18"/>
        </w:rPr>
        <w:t>monitoreo</w:t>
      </w:r>
      <w:proofErr w:type="spellEnd"/>
      <w:r w:rsidRPr="00294E3C">
        <w:rPr>
          <w:rFonts w:ascii="Arial" w:hAnsi="Arial" w:cs="Arial"/>
          <w:sz w:val="18"/>
          <w:szCs w:val="18"/>
        </w:rPr>
        <w:t xml:space="preserve"> de los </w:t>
      </w:r>
      <w:proofErr w:type="spellStart"/>
      <w:r w:rsidRPr="00294E3C">
        <w:rPr>
          <w:rFonts w:ascii="Arial" w:hAnsi="Arial" w:cs="Arial"/>
          <w:sz w:val="18"/>
          <w:szCs w:val="18"/>
        </w:rPr>
        <w:t>recursos</w:t>
      </w:r>
      <w:proofErr w:type="spellEnd"/>
      <w:r w:rsidRPr="00294E3C">
        <w:rPr>
          <w:rFonts w:ascii="Arial" w:hAnsi="Arial" w:cs="Arial"/>
          <w:sz w:val="18"/>
          <w:szCs w:val="18"/>
        </w:rPr>
        <w:t xml:space="preserve"> (</w:t>
      </w:r>
      <w:hyperlink r:id="rId4" w:history="1">
        <w:r w:rsidRPr="00294E3C">
          <w:rPr>
            <w:rStyle w:val="Hyperlink"/>
            <w:rFonts w:ascii="Arial" w:hAnsi="Arial" w:cs="Arial"/>
            <w:sz w:val="18"/>
            <w:szCs w:val="18"/>
          </w:rPr>
          <w:t>EEO#9</w:t>
        </w:r>
      </w:hyperlink>
      <w:r w:rsidRPr="00294E3C">
        <w:rPr>
          <w:rFonts w:ascii="Arial" w:hAnsi="Arial" w:cs="Arial"/>
          <w:sz w:val="18"/>
          <w:szCs w:val="18"/>
        </w:rPr>
        <w:t>).</w:t>
      </w:r>
    </w:p>
  </w:footnote>
  <w:footnote w:id="11">
    <w:p w14:paraId="7BB0D790" w14:textId="11BA8459" w:rsidR="00200846" w:rsidRPr="000A496F" w:rsidRDefault="00200846" w:rsidP="00A27A85">
      <w:pPr>
        <w:pStyle w:val="FootnoteText"/>
        <w:spacing w:after="0"/>
        <w:rPr>
          <w:rFonts w:ascii="Arial" w:hAnsi="Arial" w:cs="Arial"/>
          <w:lang w:val="es-ES_tradnl"/>
        </w:rPr>
      </w:pPr>
      <w:r w:rsidRPr="000A496F">
        <w:rPr>
          <w:rStyle w:val="FootnoteReference"/>
          <w:rFonts w:ascii="Arial" w:hAnsi="Arial" w:cs="Arial"/>
          <w:sz w:val="18"/>
          <w:szCs w:val="18"/>
          <w:lang w:val="es-ES_tradnl"/>
        </w:rPr>
        <w:footnoteRef/>
      </w:r>
      <w:r w:rsidRPr="000A496F">
        <w:rPr>
          <w:rFonts w:ascii="Arial" w:hAnsi="Arial" w:cs="Arial"/>
          <w:sz w:val="18"/>
          <w:szCs w:val="18"/>
          <w:lang w:val="es-ES_tradnl"/>
        </w:rPr>
        <w:t xml:space="preserve"> </w:t>
      </w:r>
      <w:r>
        <w:rPr>
          <w:rFonts w:ascii="Arial" w:hAnsi="Arial" w:cs="Arial"/>
          <w:sz w:val="18"/>
          <w:szCs w:val="18"/>
          <w:lang w:val="es-ES_tradnl"/>
        </w:rPr>
        <w:tab/>
      </w:r>
      <w:r w:rsidRPr="000A496F">
        <w:rPr>
          <w:rFonts w:ascii="Arial" w:hAnsi="Arial" w:cs="Arial"/>
          <w:sz w:val="18"/>
          <w:szCs w:val="18"/>
          <w:lang w:val="es-ES_tradnl"/>
        </w:rPr>
        <w:t>Fuente: LOEPS.</w:t>
      </w:r>
    </w:p>
  </w:footnote>
  <w:footnote w:id="12">
    <w:p w14:paraId="4A4AAF5D" w14:textId="16D35C9E" w:rsidR="00200846" w:rsidRPr="000A496F" w:rsidRDefault="00200846" w:rsidP="00A27A85">
      <w:pPr>
        <w:pStyle w:val="FootnoteText"/>
        <w:spacing w:after="0"/>
        <w:rPr>
          <w:rFonts w:ascii="Arial" w:hAnsi="Arial" w:cs="Arial"/>
          <w:lang w:val="es-ES_tradnl"/>
        </w:rPr>
      </w:pPr>
      <w:r w:rsidRPr="000A496F">
        <w:rPr>
          <w:rStyle w:val="FootnoteReference"/>
          <w:rFonts w:ascii="Arial" w:hAnsi="Arial" w:cs="Arial"/>
          <w:sz w:val="18"/>
          <w:szCs w:val="18"/>
          <w:lang w:val="es-ES_tradnl"/>
        </w:rPr>
        <w:footnoteRef/>
      </w:r>
      <w:r w:rsidRPr="000A496F">
        <w:rPr>
          <w:rFonts w:ascii="Arial" w:hAnsi="Arial" w:cs="Arial"/>
          <w:sz w:val="18"/>
          <w:szCs w:val="18"/>
          <w:lang w:val="es-ES_tradnl"/>
        </w:rPr>
        <w:t xml:space="preserve"> </w:t>
      </w:r>
      <w:r>
        <w:rPr>
          <w:rFonts w:ascii="Arial" w:hAnsi="Arial" w:cs="Arial"/>
          <w:sz w:val="18"/>
          <w:szCs w:val="18"/>
          <w:lang w:val="es-ES_tradnl"/>
        </w:rPr>
        <w:tab/>
      </w:r>
      <w:r w:rsidRPr="000A496F">
        <w:rPr>
          <w:rFonts w:ascii="Arial" w:hAnsi="Arial" w:cs="Arial"/>
          <w:sz w:val="18"/>
          <w:szCs w:val="18"/>
          <w:lang w:val="es-ES_tradnl"/>
        </w:rPr>
        <w:t xml:space="preserve">Calificación por parte de la empresa Class International Rating Calificadora de Riesgos S.A en 2019. Ver: </w:t>
      </w:r>
      <w:hyperlink r:id="rId5" w:history="1">
        <w:r w:rsidRPr="002550F0">
          <w:rPr>
            <w:rStyle w:val="Hyperlink"/>
            <w:rFonts w:ascii="Arial" w:hAnsi="Arial" w:cs="Arial"/>
            <w:sz w:val="18"/>
            <w:szCs w:val="18"/>
            <w:lang w:val="es-ES_tradnl"/>
          </w:rPr>
          <w:t>https://www.finanzaspopulares.gob.ec/calificacion-de-riesgo/</w:t>
        </w:r>
      </w:hyperlink>
      <w:r>
        <w:rPr>
          <w:rFonts w:ascii="Arial" w:hAnsi="Arial" w:cs="Arial"/>
          <w:sz w:val="18"/>
          <w:szCs w:val="18"/>
          <w:lang w:val="es-ES_tradnl"/>
        </w:rPr>
        <w:t>.</w:t>
      </w:r>
    </w:p>
  </w:footnote>
  <w:footnote w:id="13">
    <w:p w14:paraId="60856BCE" w14:textId="631E3A86" w:rsidR="00200846" w:rsidRPr="000A496F" w:rsidRDefault="00200846" w:rsidP="007116B2">
      <w:pPr>
        <w:pStyle w:val="FootnoteText"/>
        <w:spacing w:after="0"/>
        <w:rPr>
          <w:rFonts w:ascii="Arial" w:hAnsi="Arial" w:cs="Arial"/>
          <w:sz w:val="18"/>
          <w:szCs w:val="18"/>
          <w:lang w:val="es-ES_tradnl"/>
        </w:rPr>
      </w:pPr>
      <w:r w:rsidRPr="000A496F">
        <w:rPr>
          <w:rFonts w:ascii="Arial" w:hAnsi="Arial" w:cs="Arial"/>
          <w:sz w:val="18"/>
          <w:szCs w:val="18"/>
          <w:vertAlign w:val="superscript"/>
          <w:lang w:val="es-ES_tradnl"/>
        </w:rPr>
        <w:footnoteRef/>
      </w:r>
      <w:r w:rsidRPr="000A496F">
        <w:rPr>
          <w:rFonts w:ascii="Arial" w:hAnsi="Arial" w:cs="Arial"/>
          <w:sz w:val="18"/>
          <w:szCs w:val="18"/>
          <w:lang w:val="es-ES_tradnl"/>
        </w:rPr>
        <w:t xml:space="preserve"> </w:t>
      </w:r>
      <w:r w:rsidRPr="000B094C">
        <w:rPr>
          <w:rFonts w:ascii="Arial" w:hAnsi="Arial" w:cs="Arial"/>
          <w:i/>
          <w:iCs/>
          <w:sz w:val="18"/>
          <w:szCs w:val="18"/>
          <w:lang w:val="es-ES_tradnl"/>
        </w:rPr>
        <w:t>Program Monitoring Report</w:t>
      </w:r>
      <w:r>
        <w:rPr>
          <w:rFonts w:ascii="Arial" w:hAnsi="Arial" w:cs="Arial"/>
          <w:i/>
          <w:iCs/>
          <w:sz w:val="18"/>
          <w:szCs w:val="18"/>
          <w:lang w:val="es-ES_tradnl"/>
        </w:rPr>
        <w:t>,</w:t>
      </w:r>
      <w:r w:rsidRPr="000A496F">
        <w:rPr>
          <w:rFonts w:ascii="Arial" w:hAnsi="Arial" w:cs="Arial"/>
          <w:sz w:val="18"/>
          <w:szCs w:val="18"/>
          <w:lang w:val="es-ES_tradnl"/>
        </w:rPr>
        <w:t xml:space="preserve"> por sus siglas en inglés.</w:t>
      </w:r>
    </w:p>
  </w:footnote>
  <w:footnote w:id="14">
    <w:p w14:paraId="7985A981" w14:textId="14F40CC4" w:rsidR="00200846" w:rsidRPr="000A496F" w:rsidRDefault="00200846" w:rsidP="007116B2">
      <w:pPr>
        <w:pStyle w:val="FootnoteText"/>
        <w:spacing w:after="0"/>
        <w:rPr>
          <w:rFonts w:ascii="Arial" w:hAnsi="Arial" w:cs="Arial"/>
          <w:sz w:val="18"/>
          <w:szCs w:val="18"/>
          <w:lang w:val="es-ES_tradnl"/>
        </w:rPr>
      </w:pPr>
      <w:r w:rsidRPr="000A496F">
        <w:rPr>
          <w:rFonts w:ascii="Arial" w:hAnsi="Arial" w:cs="Arial"/>
          <w:sz w:val="18"/>
          <w:szCs w:val="18"/>
          <w:vertAlign w:val="superscript"/>
          <w:lang w:val="es-ES_tradnl"/>
        </w:rPr>
        <w:footnoteRef/>
      </w:r>
      <w:r w:rsidRPr="000A496F">
        <w:rPr>
          <w:rFonts w:ascii="Arial" w:hAnsi="Arial" w:cs="Arial"/>
          <w:sz w:val="18"/>
          <w:szCs w:val="18"/>
          <w:lang w:val="es-ES_tradnl"/>
        </w:rPr>
        <w:t xml:space="preserve"> Ver Matriz de Resultados. Anexo II</w:t>
      </w:r>
      <w:r>
        <w:rPr>
          <w:rFonts w:ascii="Arial" w:hAnsi="Arial" w:cs="Arial"/>
          <w:sz w:val="18"/>
          <w:szCs w:val="18"/>
          <w:lang w:val="es-ES_tradnl"/>
        </w:rPr>
        <w:t xml:space="preserve"> del Documento de Préstamo</w:t>
      </w:r>
      <w:r w:rsidRPr="000A496F">
        <w:rPr>
          <w:rFonts w:ascii="Arial" w:hAnsi="Arial" w:cs="Arial"/>
          <w:sz w:val="18"/>
          <w:szCs w:val="18"/>
          <w:lang w:val="es-ES_tradnl"/>
        </w:rPr>
        <w:t>.</w:t>
      </w:r>
    </w:p>
  </w:footnote>
  <w:footnote w:id="15">
    <w:p w14:paraId="7A2A36D4" w14:textId="05F81130" w:rsidR="001D0318" w:rsidRPr="000B094C" w:rsidRDefault="001D0318" w:rsidP="001D0318">
      <w:pPr>
        <w:pStyle w:val="FootnoteText"/>
        <w:spacing w:after="0"/>
        <w:rPr>
          <w:rFonts w:ascii="Arial" w:hAnsi="Arial" w:cs="Arial"/>
          <w:sz w:val="18"/>
          <w:szCs w:val="18"/>
        </w:rPr>
      </w:pPr>
      <w:r w:rsidRPr="000B094C">
        <w:rPr>
          <w:rStyle w:val="FootnoteReference"/>
          <w:rFonts w:ascii="Arial" w:hAnsi="Arial" w:cs="Arial"/>
          <w:sz w:val="18"/>
          <w:szCs w:val="18"/>
        </w:rPr>
        <w:footnoteRef/>
      </w:r>
      <w:r w:rsidRPr="005A6E7B">
        <w:rPr>
          <w:rFonts w:ascii="Arial" w:hAnsi="Arial" w:cs="Arial"/>
          <w:sz w:val="18"/>
          <w:szCs w:val="18"/>
          <w:lang w:val="es-ES_tradnl"/>
        </w:rPr>
        <w:t xml:space="preserve"> Goldman Sachs Economics Research (2020). </w:t>
      </w:r>
      <w:r w:rsidRPr="005A6E7B">
        <w:rPr>
          <w:rFonts w:ascii="Arial" w:hAnsi="Arial" w:cs="Arial"/>
          <w:i/>
          <w:iCs/>
          <w:sz w:val="18"/>
          <w:szCs w:val="18"/>
          <w:lang w:val="es-ES_tradnl"/>
        </w:rPr>
        <w:t xml:space="preserve">Latin America Economics Analyst. </w:t>
      </w:r>
      <w:r w:rsidRPr="005A6E7B">
        <w:rPr>
          <w:rFonts w:ascii="Arial" w:hAnsi="Arial" w:cs="Arial"/>
          <w:sz w:val="18"/>
          <w:szCs w:val="18"/>
          <w:lang w:val="es-ES_tradnl"/>
        </w:rPr>
        <w:t>18 March; and Economist Intelligence Unit</w:t>
      </w:r>
      <w:r w:rsidR="007E69D8" w:rsidRPr="005A6E7B">
        <w:rPr>
          <w:rFonts w:ascii="Arial" w:hAnsi="Arial" w:cs="Arial"/>
          <w:sz w:val="18"/>
          <w:szCs w:val="18"/>
          <w:lang w:val="es-ES_tradnl"/>
        </w:rPr>
        <w:t xml:space="preserve"> </w:t>
      </w:r>
      <w:r w:rsidRPr="005A6E7B">
        <w:rPr>
          <w:rFonts w:ascii="Arial" w:hAnsi="Arial" w:cs="Arial"/>
          <w:sz w:val="18"/>
          <w:szCs w:val="18"/>
          <w:lang w:val="es-ES_tradnl"/>
        </w:rPr>
        <w:t xml:space="preserve">(2020). </w:t>
      </w:r>
      <w:r w:rsidRPr="000B094C">
        <w:rPr>
          <w:rFonts w:ascii="Arial" w:hAnsi="Arial" w:cs="Arial"/>
          <w:i/>
          <w:iCs/>
          <w:sz w:val="18"/>
          <w:szCs w:val="18"/>
        </w:rPr>
        <w:t>Ecuador: Country Report.</w:t>
      </w:r>
      <w:r w:rsidRPr="000B094C">
        <w:rPr>
          <w:rFonts w:ascii="Arial" w:hAnsi="Arial" w:cs="Arial"/>
          <w:sz w:val="18"/>
          <w:szCs w:val="18"/>
        </w:rPr>
        <w:t xml:space="preserve"> April 7</w:t>
      </w:r>
      <w:r w:rsidRPr="000B094C">
        <w:rPr>
          <w:rFonts w:ascii="Arial" w:hAnsi="Arial" w:cs="Arial"/>
          <w:sz w:val="18"/>
          <w:szCs w:val="18"/>
          <w:vertAlign w:val="superscript"/>
        </w:rPr>
        <w:t>th</w:t>
      </w:r>
      <w:r w:rsidRPr="000B094C">
        <w:rPr>
          <w:rFonts w:ascii="Arial" w:hAnsi="Arial" w:cs="Arial"/>
          <w:sz w:val="18"/>
          <w:szCs w:val="18"/>
        </w:rPr>
        <w:t xml:space="preserve">. </w:t>
      </w:r>
    </w:p>
  </w:footnote>
  <w:footnote w:id="16">
    <w:p w14:paraId="40866E75" w14:textId="77777777" w:rsidR="001D0318" w:rsidRPr="008C74EA" w:rsidRDefault="001D0318" w:rsidP="001D0318">
      <w:pPr>
        <w:pStyle w:val="FootnoteText"/>
        <w:spacing w:after="0"/>
      </w:pPr>
      <w:r w:rsidRPr="000B094C">
        <w:rPr>
          <w:rStyle w:val="FootnoteReference"/>
          <w:rFonts w:ascii="Arial" w:hAnsi="Arial" w:cs="Arial"/>
          <w:sz w:val="18"/>
          <w:szCs w:val="18"/>
        </w:rPr>
        <w:footnoteRef/>
      </w:r>
      <w:r w:rsidRPr="000B094C">
        <w:rPr>
          <w:rFonts w:ascii="Arial" w:hAnsi="Arial" w:cs="Arial"/>
          <w:sz w:val="18"/>
          <w:szCs w:val="18"/>
        </w:rPr>
        <w:t xml:space="preserve">  Constantinou, et al. (2010). </w:t>
      </w:r>
      <w:r w:rsidRPr="000B094C">
        <w:rPr>
          <w:rFonts w:ascii="Arial" w:hAnsi="Arial" w:cs="Arial"/>
          <w:i/>
          <w:iCs/>
          <w:sz w:val="18"/>
          <w:szCs w:val="18"/>
        </w:rPr>
        <w:t>Comment la microfinance surmonte-t-elle les crises financières et économiques?  Techniques Financières et Développement</w:t>
      </w:r>
      <w:r w:rsidRPr="000B094C">
        <w:rPr>
          <w:rFonts w:ascii="Arial" w:hAnsi="Arial" w:cs="Arial"/>
          <w:sz w:val="18"/>
          <w:szCs w:val="18"/>
        </w:rPr>
        <w:t>, N° 99, pp 31-44</w:t>
      </w:r>
      <w:r w:rsidRPr="000B094C">
        <w:rPr>
          <w:rFonts w:ascii="Arial" w:hAnsi="Arial" w:cs="Arial"/>
          <w:i/>
          <w:iCs/>
          <w:sz w:val="18"/>
          <w:szCs w:val="18"/>
        </w:rPr>
        <w:t xml:space="preserve">. </w:t>
      </w:r>
      <w:r w:rsidRPr="000B094C">
        <w:rPr>
          <w:rFonts w:ascii="Arial" w:hAnsi="Arial" w:cs="Arial"/>
          <w:sz w:val="18"/>
          <w:szCs w:val="18"/>
        </w:rPr>
        <w:t>Versión en inglés. (</w:t>
      </w:r>
      <w:hyperlink r:id="rId6" w:history="1">
        <w:r w:rsidRPr="000B094C">
          <w:rPr>
            <w:rStyle w:val="Hyperlink"/>
            <w:rFonts w:ascii="Arial" w:hAnsi="Arial" w:cs="Arial"/>
            <w:sz w:val="18"/>
            <w:szCs w:val="18"/>
          </w:rPr>
          <w:t>Enlace</w:t>
        </w:r>
      </w:hyperlink>
      <w:r w:rsidRPr="000B094C">
        <w:rPr>
          <w:rFonts w:ascii="Arial" w:hAnsi="Arial" w:cs="Arial"/>
          <w:sz w:val="18"/>
          <w:szCs w:val="18"/>
        </w:rPr>
        <w:t>).</w:t>
      </w:r>
    </w:p>
  </w:footnote>
  <w:footnote w:id="17">
    <w:p w14:paraId="4E6C916A" w14:textId="18B801E2" w:rsidR="001D0318" w:rsidRPr="005A6E7B" w:rsidRDefault="001D0318" w:rsidP="001D0318">
      <w:pPr>
        <w:pStyle w:val="FootnoteText"/>
        <w:spacing w:after="0"/>
        <w:rPr>
          <w:rFonts w:ascii="Arial" w:hAnsi="Arial" w:cs="Arial"/>
          <w:sz w:val="18"/>
          <w:szCs w:val="18"/>
          <w:lang w:val="es-ES"/>
        </w:rPr>
      </w:pPr>
      <w:r w:rsidRPr="000B094C">
        <w:rPr>
          <w:rStyle w:val="FootnoteReference"/>
          <w:rFonts w:ascii="Arial" w:hAnsi="Arial" w:cs="Arial"/>
          <w:sz w:val="18"/>
          <w:szCs w:val="18"/>
        </w:rPr>
        <w:footnoteRef/>
      </w:r>
      <w:r w:rsidRPr="000B094C">
        <w:rPr>
          <w:rFonts w:ascii="Arial" w:hAnsi="Arial" w:cs="Arial"/>
          <w:sz w:val="18"/>
          <w:szCs w:val="18"/>
        </w:rPr>
        <w:t xml:space="preserve"> Goldman Sachs Economics Research (2020).</w:t>
      </w:r>
      <w:r>
        <w:rPr>
          <w:rFonts w:ascii="Arial" w:hAnsi="Arial" w:cs="Arial"/>
          <w:i/>
          <w:iCs/>
          <w:sz w:val="18"/>
          <w:szCs w:val="18"/>
        </w:rPr>
        <w:t>Op.Cit</w:t>
      </w:r>
      <w:r w:rsidRPr="000B094C">
        <w:rPr>
          <w:rFonts w:ascii="Arial" w:hAnsi="Arial" w:cs="Arial"/>
          <w:sz w:val="18"/>
          <w:szCs w:val="18"/>
        </w:rPr>
        <w:t>; and Economist Intelligence Unit</w:t>
      </w:r>
      <w:r w:rsidR="007E69D8">
        <w:rPr>
          <w:rFonts w:ascii="Arial" w:hAnsi="Arial" w:cs="Arial"/>
          <w:sz w:val="18"/>
          <w:szCs w:val="18"/>
        </w:rPr>
        <w:t xml:space="preserve"> </w:t>
      </w:r>
      <w:r w:rsidRPr="000B094C">
        <w:rPr>
          <w:rFonts w:ascii="Arial" w:hAnsi="Arial" w:cs="Arial"/>
          <w:sz w:val="18"/>
          <w:szCs w:val="18"/>
        </w:rPr>
        <w:t xml:space="preserve">(2020). </w:t>
      </w:r>
      <w:r w:rsidRPr="005A6E7B">
        <w:rPr>
          <w:rFonts w:ascii="Arial" w:hAnsi="Arial" w:cs="Arial"/>
          <w:sz w:val="18"/>
          <w:szCs w:val="18"/>
          <w:lang w:val="es-ES"/>
        </w:rPr>
        <w:t xml:space="preserve">Op.Cit. </w:t>
      </w:r>
    </w:p>
  </w:footnote>
  <w:footnote w:id="18">
    <w:p w14:paraId="36136B72" w14:textId="457DE366" w:rsidR="001D0318" w:rsidRPr="005A6E7B" w:rsidRDefault="001D0318" w:rsidP="001D0318">
      <w:pPr>
        <w:pStyle w:val="FootnoteText"/>
        <w:spacing w:after="0"/>
        <w:rPr>
          <w:lang w:val="es-ES"/>
        </w:rPr>
      </w:pPr>
      <w:r w:rsidRPr="000B094C">
        <w:rPr>
          <w:rStyle w:val="FootnoteReference"/>
          <w:rFonts w:ascii="Arial" w:hAnsi="Arial" w:cs="Arial"/>
          <w:sz w:val="18"/>
          <w:szCs w:val="18"/>
        </w:rPr>
        <w:footnoteRef/>
      </w:r>
      <w:r w:rsidRPr="005A6E7B">
        <w:rPr>
          <w:rFonts w:ascii="Arial" w:hAnsi="Arial" w:cs="Arial"/>
          <w:sz w:val="18"/>
          <w:szCs w:val="18"/>
          <w:lang w:val="es-ES"/>
        </w:rPr>
        <w:t xml:space="preserve">  Constantinou, et al. (2010). </w:t>
      </w:r>
      <w:r w:rsidRPr="005A6E7B">
        <w:rPr>
          <w:rFonts w:ascii="Arial" w:hAnsi="Arial" w:cs="Arial"/>
          <w:i/>
          <w:iCs/>
          <w:sz w:val="18"/>
          <w:szCs w:val="18"/>
          <w:lang w:val="es-ES"/>
        </w:rPr>
        <w:t>Op.Cit</w:t>
      </w:r>
      <w:r w:rsidRPr="005A6E7B">
        <w:rPr>
          <w:rFonts w:ascii="Arial" w:hAnsi="Arial" w:cs="Arial"/>
          <w:sz w:val="18"/>
          <w:szCs w:val="18"/>
          <w:lang w:val="es-ES"/>
        </w:rPr>
        <w:t>.</w:t>
      </w:r>
    </w:p>
  </w:footnote>
  <w:footnote w:id="19">
    <w:p w14:paraId="2F0C0367" w14:textId="748AB16B" w:rsidR="00F47B87" w:rsidRDefault="00F47B87">
      <w:pPr>
        <w:pStyle w:val="FootnoteText"/>
      </w:pPr>
      <w:r>
        <w:rPr>
          <w:rStyle w:val="FootnoteReference"/>
        </w:rPr>
        <w:footnoteRef/>
      </w:r>
      <w:r w:rsidRPr="005A6E7B">
        <w:rPr>
          <w:lang w:val="es-ES"/>
        </w:rPr>
        <w:t xml:space="preserve"> </w:t>
      </w:r>
      <w:r w:rsidRPr="005A6E7B">
        <w:rPr>
          <w:lang w:val="es-ES"/>
        </w:rPr>
        <w:tab/>
      </w:r>
      <w:r w:rsidRPr="00C60B61">
        <w:rPr>
          <w:rFonts w:ascii="Arial" w:hAnsi="Arial" w:cs="Arial"/>
          <w:sz w:val="18"/>
          <w:szCs w:val="18"/>
          <w:lang w:val="es-PE"/>
        </w:rPr>
        <w:t>En efecto, proyecciones más recientes estiman que el PIB ecuatoriano se contraerá entre 2,7% y 6.5% en 2020(Goldman Sachs Economics Research (2020).</w:t>
      </w:r>
      <w:r w:rsidRPr="00C60B61">
        <w:rPr>
          <w:rFonts w:ascii="Arial" w:hAnsi="Arial" w:cs="Arial"/>
          <w:i/>
          <w:iCs/>
          <w:sz w:val="18"/>
          <w:szCs w:val="18"/>
          <w:lang w:val="es-PE"/>
        </w:rPr>
        <w:t xml:space="preserve"> Op. Cit</w:t>
      </w:r>
      <w:r w:rsidRPr="00C60B61">
        <w:rPr>
          <w:rFonts w:ascii="Arial" w:hAnsi="Arial" w:cs="Arial"/>
          <w:sz w:val="18"/>
          <w:szCs w:val="18"/>
          <w:lang w:val="es-PE"/>
        </w:rPr>
        <w:t xml:space="preserve">; and Economist Intelligence Unit (2020). Op.Cit.) . En base a experiencias previas en países de Sudamérica de efectos de crisis financieras y económicas en las cuales hubo un impacto negativo sobre la demanda interna de la economía y, por tanto, sobre los ingresos de los clientes de las cooperativas (Constantinou, et al. </w:t>
      </w:r>
      <w:r w:rsidRPr="005A6E7B">
        <w:rPr>
          <w:rFonts w:ascii="Arial" w:hAnsi="Arial" w:cs="Arial"/>
          <w:sz w:val="18"/>
          <w:szCs w:val="18"/>
        </w:rPr>
        <w:t xml:space="preserve">(2010). </w:t>
      </w:r>
      <w:r w:rsidRPr="005A6E7B">
        <w:rPr>
          <w:rFonts w:ascii="Arial" w:hAnsi="Arial" w:cs="Arial"/>
          <w:i/>
          <w:iCs/>
          <w:sz w:val="18"/>
          <w:szCs w:val="18"/>
        </w:rPr>
        <w:t>Op.Cit</w:t>
      </w:r>
      <w:r w:rsidRPr="005A6E7B">
        <w:rPr>
          <w:rFonts w:ascii="Arial" w:hAnsi="Arial" w:cs="Arial"/>
          <w:sz w:val="18"/>
          <w:szCs w:val="18"/>
        </w:rPr>
        <w:t>.).</w:t>
      </w:r>
    </w:p>
  </w:footnote>
  <w:footnote w:id="20">
    <w:p w14:paraId="42B46647" w14:textId="5DBC66EB" w:rsidR="00200846" w:rsidRPr="000A496F" w:rsidRDefault="00200846" w:rsidP="000B094C">
      <w:pPr>
        <w:pStyle w:val="FootnoteText"/>
        <w:spacing w:after="0"/>
        <w:rPr>
          <w:rFonts w:ascii="Arial" w:hAnsi="Arial" w:cs="Arial"/>
          <w:sz w:val="18"/>
          <w:szCs w:val="18"/>
          <w:lang w:val="es-ES_tradnl"/>
        </w:rPr>
      </w:pPr>
      <w:r w:rsidRPr="000A496F">
        <w:rPr>
          <w:rStyle w:val="FootnoteReference"/>
          <w:rFonts w:ascii="Arial" w:hAnsi="Arial" w:cs="Arial"/>
          <w:sz w:val="18"/>
          <w:szCs w:val="18"/>
          <w:lang w:val="es-ES_tradnl"/>
        </w:rPr>
        <w:footnoteRef/>
      </w:r>
      <w:r w:rsidRPr="005A6E7B">
        <w:rPr>
          <w:rStyle w:val="FootnoteReference"/>
          <w:rFonts w:ascii="Arial" w:hAnsi="Arial" w:cs="Arial"/>
          <w:sz w:val="18"/>
          <w:szCs w:val="18"/>
        </w:rPr>
        <w:t xml:space="preserve"> </w:t>
      </w:r>
      <w:r w:rsidRPr="005A6E7B">
        <w:rPr>
          <w:rFonts w:ascii="Arial" w:hAnsi="Arial" w:cs="Arial"/>
          <w:sz w:val="18"/>
          <w:szCs w:val="18"/>
        </w:rPr>
        <w:tab/>
        <w:t>Ver “</w:t>
      </w:r>
      <w:r w:rsidRPr="005A6E7B">
        <w:rPr>
          <w:rFonts w:ascii="Arial" w:hAnsi="Arial" w:cs="Arial"/>
          <w:i/>
          <w:iCs/>
          <w:sz w:val="18"/>
          <w:szCs w:val="18"/>
        </w:rPr>
        <w:t>Second - tier Government Banks and Firm Performance</w:t>
      </w:r>
      <w:r w:rsidRPr="005A6E7B">
        <w:rPr>
          <w:rFonts w:ascii="Arial" w:hAnsi="Arial" w:cs="Arial"/>
          <w:sz w:val="18"/>
          <w:szCs w:val="18"/>
        </w:rPr>
        <w:t xml:space="preserve">.” IDB Working Paper Series No. </w:t>
      </w:r>
      <w:r w:rsidRPr="000A496F">
        <w:rPr>
          <w:rFonts w:ascii="Arial" w:hAnsi="Arial" w:cs="Arial"/>
          <w:sz w:val="18"/>
          <w:szCs w:val="18"/>
          <w:lang w:val="es-ES_tradnl"/>
        </w:rPr>
        <w:t>IDB - WP - 294.</w:t>
      </w:r>
    </w:p>
  </w:footnote>
  <w:footnote w:id="21">
    <w:p w14:paraId="4619116F" w14:textId="77777777" w:rsidR="00200846" w:rsidRPr="000A496F" w:rsidRDefault="00200846" w:rsidP="000B094C">
      <w:pPr>
        <w:pStyle w:val="FootnoteText"/>
        <w:spacing w:after="0"/>
        <w:rPr>
          <w:rFonts w:ascii="Arial" w:hAnsi="Arial" w:cs="Arial"/>
          <w:sz w:val="18"/>
          <w:szCs w:val="18"/>
          <w:lang w:val="es-ES_tradnl"/>
        </w:rPr>
      </w:pPr>
      <w:r w:rsidRPr="000A496F">
        <w:rPr>
          <w:rStyle w:val="FootnoteReference"/>
          <w:rFonts w:ascii="Arial" w:hAnsi="Arial" w:cs="Arial"/>
          <w:sz w:val="18"/>
          <w:szCs w:val="18"/>
          <w:lang w:val="es-ES_tradnl"/>
        </w:rPr>
        <w:footnoteRef/>
      </w:r>
      <w:r w:rsidRPr="000A496F">
        <w:rPr>
          <w:rFonts w:ascii="Arial" w:hAnsi="Arial" w:cs="Arial"/>
          <w:sz w:val="18"/>
          <w:szCs w:val="18"/>
          <w:lang w:val="es-ES_tradnl"/>
        </w:rPr>
        <w:t xml:space="preserve"> </w:t>
      </w:r>
      <w:r w:rsidRPr="000A496F">
        <w:rPr>
          <w:rFonts w:ascii="Arial" w:hAnsi="Arial" w:cs="Arial"/>
          <w:sz w:val="18"/>
          <w:szCs w:val="18"/>
          <w:lang w:val="es-ES_tradnl"/>
        </w:rPr>
        <w:tab/>
        <w:t>El Banco también ha generado conocimiento en el tema. Entre las publicaciones más relevantes, cabe mencionar: Desencadenar el Crédito (BID, 2005); La era de la productividad (BID, 2010) y Políticas e Instituciones para el Desarrollo Productivo (BID, 2014a) de la serie Desarrollo en las Américas; Bancos Públicos de Desarrollo: ¿hacia un nuevo paradigma? (BID-CMF, 2013); El rol de los Bancos Nacionales de Desarrollo en catalizar el financiamiento climático internacional (Smallridge y otros, 2013); Gestión Integral de Riesgos para Cadenas de Valor (Calatayud y Ketterer, 2016); y evaluaciones de impacto de programas del Sector en Argentina (Bueso-Merriam y otros, 2016), Chile (Bonilla y Cancino, 2001), Colombia (Eslava y otros, 2012), Costa Rica (Torres y otros, 2003) y México (Calderón y otros, 2013).</w:t>
      </w:r>
    </w:p>
  </w:footnote>
  <w:footnote w:id="22">
    <w:p w14:paraId="4426180E" w14:textId="1965BF59" w:rsidR="00200846" w:rsidRPr="00900A4C" w:rsidRDefault="00200846">
      <w:pPr>
        <w:pStyle w:val="FootnoteText"/>
        <w:rPr>
          <w:rFonts w:ascii="Arial" w:hAnsi="Arial" w:cs="Arial"/>
          <w:sz w:val="18"/>
          <w:szCs w:val="18"/>
          <w:lang w:val="es-ES_tradnl"/>
        </w:rPr>
      </w:pPr>
      <w:r w:rsidRPr="00900A4C">
        <w:rPr>
          <w:rStyle w:val="FootnoteReference"/>
          <w:rFonts w:ascii="Arial" w:hAnsi="Arial" w:cs="Arial"/>
          <w:sz w:val="18"/>
          <w:szCs w:val="18"/>
          <w:lang w:val="es-ES_tradnl"/>
        </w:rPr>
        <w:footnoteRef/>
      </w:r>
      <w:r w:rsidRPr="00900A4C">
        <w:rPr>
          <w:rFonts w:ascii="Arial" w:hAnsi="Arial" w:cs="Arial"/>
          <w:sz w:val="18"/>
          <w:szCs w:val="18"/>
          <w:lang w:val="es-ES_tradnl"/>
        </w:rPr>
        <w:t xml:space="preserve"> </w:t>
      </w:r>
      <w:r w:rsidRPr="00900A4C">
        <w:rPr>
          <w:rFonts w:ascii="Arial" w:hAnsi="Arial" w:cs="Arial"/>
          <w:sz w:val="18"/>
          <w:szCs w:val="18"/>
          <w:lang w:val="es-ES_tradnl"/>
        </w:rPr>
        <w:tab/>
        <w:t>Si bien solo se ha definido un indicador de impacto, relativo a empleo, en la matriz de resultados, se considerará para la evaluación ex</w:t>
      </w:r>
      <w:r w:rsidR="007E69D8">
        <w:rPr>
          <w:rFonts w:ascii="Arial" w:hAnsi="Arial" w:cs="Arial"/>
          <w:sz w:val="18"/>
          <w:szCs w:val="18"/>
          <w:lang w:val="es-ES_tradnl"/>
        </w:rPr>
        <w:t> </w:t>
      </w:r>
      <w:r w:rsidRPr="00900A4C">
        <w:rPr>
          <w:rFonts w:ascii="Arial" w:hAnsi="Arial" w:cs="Arial"/>
          <w:sz w:val="18"/>
          <w:szCs w:val="18"/>
          <w:lang w:val="es-ES_tradnl"/>
        </w:rPr>
        <w:t>post analizar la evolución de las ventas, en tanto la información de estas se encuentre disponible, al representar un componente importante dentro de la lógica del beneficio por la supervivencia de las firmas.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8B67040"/>
    <w:multiLevelType w:val="multilevel"/>
    <w:tmpl w:val="56124AC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lowerLetter"/>
      <w:lvlText w:val="%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D094181"/>
    <w:multiLevelType w:val="multilevel"/>
    <w:tmpl w:val="48B4A1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359B4991"/>
    <w:multiLevelType w:val="multilevel"/>
    <w:tmpl w:val="3FFE7F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594911"/>
    <w:multiLevelType w:val="multilevel"/>
    <w:tmpl w:val="DB560A6C"/>
    <w:lvl w:ilvl="0">
      <w:start w:val="1"/>
      <w:numFmt w:val="decimal"/>
      <w:lvlText w:val="%1"/>
      <w:lvlJc w:val="left"/>
      <w:pPr>
        <w:ind w:left="360" w:hanging="360"/>
      </w:pPr>
      <w:rPr>
        <w:rFonts w:hint="default"/>
      </w:rPr>
    </w:lvl>
    <w:lvl w:ilvl="1">
      <w:start w:val="1"/>
      <w:numFmt w:val="decimal"/>
      <w:lvlText w:val="%1.%2"/>
      <w:lvlJc w:val="left"/>
      <w:pPr>
        <w:ind w:left="1710" w:hanging="360"/>
      </w:pPr>
      <w:rPr>
        <w:rFonts w:ascii="Arial" w:hAnsi="Arial" w:cs="Arial"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B00109"/>
    <w:multiLevelType w:val="multilevel"/>
    <w:tmpl w:val="7EDC4F18"/>
    <w:lvl w:ilvl="0">
      <w:start w:val="1"/>
      <w:numFmt w:val="decimal"/>
      <w:lvlText w:val="%1"/>
      <w:lvlJc w:val="left"/>
      <w:pPr>
        <w:ind w:left="360" w:hanging="360"/>
      </w:pPr>
      <w:rPr>
        <w:rFonts w:hint="default"/>
      </w:rPr>
    </w:lvl>
    <w:lvl w:ilvl="1">
      <w:start w:val="9"/>
      <w:numFmt w:val="decimal"/>
      <w:lvlText w:val="%1.%2"/>
      <w:lvlJc w:val="left"/>
      <w:pPr>
        <w:ind w:left="1800" w:hanging="360"/>
      </w:pPr>
      <w:rPr>
        <w:rFonts w:hint="default"/>
        <w:b w:val="0"/>
        <w:bCs w:val="0"/>
      </w:rPr>
    </w:lvl>
    <w:lvl w:ilvl="2">
      <w:start w:val="2"/>
      <w:numFmt w:val="lowerLetter"/>
      <w:lvlText w:val="%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5"/>
  </w:num>
  <w:num w:numId="2">
    <w:abstractNumId w:val="0"/>
  </w:num>
  <w:num w:numId="3">
    <w:abstractNumId w:val="4"/>
  </w:num>
  <w:num w:numId="4">
    <w:abstractNumId w:val="1"/>
  </w:num>
  <w:num w:numId="5">
    <w:abstractNumId w:val="2"/>
  </w:num>
  <w:num w:numId="6">
    <w:abstractNumId w:val="7"/>
  </w:num>
  <w:num w:numId="7">
    <w:abstractNumId w:val="8"/>
  </w:num>
  <w:num w:numId="8">
    <w:abstractNumId w:val="9"/>
  </w:num>
  <w:num w:numId="9">
    <w:abstractNumId w:val="5"/>
  </w:num>
  <w:num w:numId="10">
    <w:abstractNumId w:val="5"/>
  </w:num>
  <w:num w:numId="11">
    <w:abstractNumId w:val="5"/>
  </w:num>
  <w:num w:numId="12">
    <w:abstractNumId w:val="5"/>
  </w:num>
  <w:num w:numId="13">
    <w:abstractNumId w:val="3"/>
  </w:num>
  <w:num w:numId="14">
    <w:abstractNumId w:val="5"/>
  </w:num>
  <w:num w:numId="15">
    <w:abstractNumId w:val="6"/>
  </w:num>
  <w:num w:numId="16">
    <w:abstractNumId w:val="5"/>
  </w:num>
  <w:num w:numId="17">
    <w:abstractNumId w:val="5"/>
  </w:num>
  <w:num w:numId="18">
    <w:abstractNumId w:val="5"/>
  </w:num>
  <w:num w:numId="19">
    <w:abstractNumId w:val="5"/>
  </w:num>
  <w:num w:numId="20">
    <w:abstractNumId w:val="5"/>
  </w:num>
  <w:num w:numId="21">
    <w:abstractNumId w:val="10"/>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6B2"/>
    <w:rsid w:val="00005A2D"/>
    <w:rsid w:val="00007B89"/>
    <w:rsid w:val="00010869"/>
    <w:rsid w:val="00011621"/>
    <w:rsid w:val="00015591"/>
    <w:rsid w:val="00016A0A"/>
    <w:rsid w:val="0002158D"/>
    <w:rsid w:val="00025C17"/>
    <w:rsid w:val="00035D27"/>
    <w:rsid w:val="000370DE"/>
    <w:rsid w:val="00037243"/>
    <w:rsid w:val="00043C4A"/>
    <w:rsid w:val="00043C7F"/>
    <w:rsid w:val="00044485"/>
    <w:rsid w:val="00050622"/>
    <w:rsid w:val="00052E69"/>
    <w:rsid w:val="00057A91"/>
    <w:rsid w:val="00061426"/>
    <w:rsid w:val="00062A35"/>
    <w:rsid w:val="00064E73"/>
    <w:rsid w:val="00090ADE"/>
    <w:rsid w:val="000977A9"/>
    <w:rsid w:val="000A2A3F"/>
    <w:rsid w:val="000A496F"/>
    <w:rsid w:val="000B06BB"/>
    <w:rsid w:val="000B094C"/>
    <w:rsid w:val="000B443F"/>
    <w:rsid w:val="000B47F6"/>
    <w:rsid w:val="000D314D"/>
    <w:rsid w:val="000D38ED"/>
    <w:rsid w:val="000D5E58"/>
    <w:rsid w:val="000D682A"/>
    <w:rsid w:val="000E264A"/>
    <w:rsid w:val="000E4BA5"/>
    <w:rsid w:val="000E56F7"/>
    <w:rsid w:val="000F1B82"/>
    <w:rsid w:val="001000B7"/>
    <w:rsid w:val="001167B1"/>
    <w:rsid w:val="0012176F"/>
    <w:rsid w:val="00121A96"/>
    <w:rsid w:val="00121DD4"/>
    <w:rsid w:val="001250A3"/>
    <w:rsid w:val="00136736"/>
    <w:rsid w:val="00136EBC"/>
    <w:rsid w:val="00142060"/>
    <w:rsid w:val="00144626"/>
    <w:rsid w:val="0016237B"/>
    <w:rsid w:val="0017098D"/>
    <w:rsid w:val="001813DF"/>
    <w:rsid w:val="00183BDB"/>
    <w:rsid w:val="00190E2F"/>
    <w:rsid w:val="00194738"/>
    <w:rsid w:val="001A37FB"/>
    <w:rsid w:val="001B6C9E"/>
    <w:rsid w:val="001D0318"/>
    <w:rsid w:val="001D3935"/>
    <w:rsid w:val="001D639A"/>
    <w:rsid w:val="001D6E94"/>
    <w:rsid w:val="001E797B"/>
    <w:rsid w:val="001F6027"/>
    <w:rsid w:val="001F6C37"/>
    <w:rsid w:val="00200846"/>
    <w:rsid w:val="00205621"/>
    <w:rsid w:val="002173AE"/>
    <w:rsid w:val="00226BF9"/>
    <w:rsid w:val="00236427"/>
    <w:rsid w:val="00242C39"/>
    <w:rsid w:val="00243684"/>
    <w:rsid w:val="00252E49"/>
    <w:rsid w:val="002644F4"/>
    <w:rsid w:val="00284F70"/>
    <w:rsid w:val="00291B2F"/>
    <w:rsid w:val="0029641A"/>
    <w:rsid w:val="0029790C"/>
    <w:rsid w:val="002A0A45"/>
    <w:rsid w:val="002A286A"/>
    <w:rsid w:val="002C24EF"/>
    <w:rsid w:val="002C3CA6"/>
    <w:rsid w:val="002C7253"/>
    <w:rsid w:val="002D1E3A"/>
    <w:rsid w:val="002D31D6"/>
    <w:rsid w:val="002D6FEA"/>
    <w:rsid w:val="002D707E"/>
    <w:rsid w:val="002F2857"/>
    <w:rsid w:val="002F508D"/>
    <w:rsid w:val="002F69D8"/>
    <w:rsid w:val="0030685B"/>
    <w:rsid w:val="00311BDB"/>
    <w:rsid w:val="00317B05"/>
    <w:rsid w:val="00317EF3"/>
    <w:rsid w:val="00325521"/>
    <w:rsid w:val="003262DE"/>
    <w:rsid w:val="00326F48"/>
    <w:rsid w:val="003337A2"/>
    <w:rsid w:val="00333C0D"/>
    <w:rsid w:val="00342FE1"/>
    <w:rsid w:val="00346380"/>
    <w:rsid w:val="00360AC8"/>
    <w:rsid w:val="0038187C"/>
    <w:rsid w:val="0039488A"/>
    <w:rsid w:val="00395385"/>
    <w:rsid w:val="003A59AB"/>
    <w:rsid w:val="003B1A9A"/>
    <w:rsid w:val="003B2CE0"/>
    <w:rsid w:val="003D0547"/>
    <w:rsid w:val="003D1223"/>
    <w:rsid w:val="003D1377"/>
    <w:rsid w:val="003D7399"/>
    <w:rsid w:val="003E02FD"/>
    <w:rsid w:val="003E3F92"/>
    <w:rsid w:val="003F1317"/>
    <w:rsid w:val="004054F9"/>
    <w:rsid w:val="00406DE0"/>
    <w:rsid w:val="004175DB"/>
    <w:rsid w:val="00417DCC"/>
    <w:rsid w:val="0042067C"/>
    <w:rsid w:val="00422862"/>
    <w:rsid w:val="00433F74"/>
    <w:rsid w:val="00447395"/>
    <w:rsid w:val="00454CB5"/>
    <w:rsid w:val="004714E0"/>
    <w:rsid w:val="00494070"/>
    <w:rsid w:val="004972BB"/>
    <w:rsid w:val="004975BF"/>
    <w:rsid w:val="004A5622"/>
    <w:rsid w:val="004A70B5"/>
    <w:rsid w:val="004B71EF"/>
    <w:rsid w:val="004C2C96"/>
    <w:rsid w:val="004E025C"/>
    <w:rsid w:val="004E1459"/>
    <w:rsid w:val="004E271A"/>
    <w:rsid w:val="004F03EC"/>
    <w:rsid w:val="004F0F82"/>
    <w:rsid w:val="00501E93"/>
    <w:rsid w:val="0050615A"/>
    <w:rsid w:val="00513C4B"/>
    <w:rsid w:val="00514234"/>
    <w:rsid w:val="00522B95"/>
    <w:rsid w:val="00527ED1"/>
    <w:rsid w:val="0053080B"/>
    <w:rsid w:val="00532BD9"/>
    <w:rsid w:val="005438A5"/>
    <w:rsid w:val="0054717B"/>
    <w:rsid w:val="005707CE"/>
    <w:rsid w:val="005803C7"/>
    <w:rsid w:val="00580D4F"/>
    <w:rsid w:val="005822E1"/>
    <w:rsid w:val="00583FF5"/>
    <w:rsid w:val="005923F4"/>
    <w:rsid w:val="005A567D"/>
    <w:rsid w:val="005A6E7B"/>
    <w:rsid w:val="005B49F7"/>
    <w:rsid w:val="005D5475"/>
    <w:rsid w:val="005E2807"/>
    <w:rsid w:val="005E4B35"/>
    <w:rsid w:val="005E7AF2"/>
    <w:rsid w:val="005F1584"/>
    <w:rsid w:val="005F5767"/>
    <w:rsid w:val="00605F56"/>
    <w:rsid w:val="00614B51"/>
    <w:rsid w:val="006158AA"/>
    <w:rsid w:val="00630100"/>
    <w:rsid w:val="00630F64"/>
    <w:rsid w:val="006327F0"/>
    <w:rsid w:val="0064005C"/>
    <w:rsid w:val="00642378"/>
    <w:rsid w:val="006443B2"/>
    <w:rsid w:val="00646501"/>
    <w:rsid w:val="00670063"/>
    <w:rsid w:val="006713A0"/>
    <w:rsid w:val="00675A3D"/>
    <w:rsid w:val="00677A4B"/>
    <w:rsid w:val="006806AF"/>
    <w:rsid w:val="006807F1"/>
    <w:rsid w:val="00694253"/>
    <w:rsid w:val="006B12AE"/>
    <w:rsid w:val="006B6990"/>
    <w:rsid w:val="006C0781"/>
    <w:rsid w:val="006C7192"/>
    <w:rsid w:val="006D0441"/>
    <w:rsid w:val="006F722D"/>
    <w:rsid w:val="00700B63"/>
    <w:rsid w:val="00702363"/>
    <w:rsid w:val="007116B2"/>
    <w:rsid w:val="007131C5"/>
    <w:rsid w:val="00722740"/>
    <w:rsid w:val="00724428"/>
    <w:rsid w:val="0072599C"/>
    <w:rsid w:val="00733904"/>
    <w:rsid w:val="00735E18"/>
    <w:rsid w:val="00737915"/>
    <w:rsid w:val="00754A0C"/>
    <w:rsid w:val="00756337"/>
    <w:rsid w:val="007802AD"/>
    <w:rsid w:val="00787EA9"/>
    <w:rsid w:val="00793720"/>
    <w:rsid w:val="007961B5"/>
    <w:rsid w:val="00796236"/>
    <w:rsid w:val="007A5BC6"/>
    <w:rsid w:val="007B0890"/>
    <w:rsid w:val="007B107A"/>
    <w:rsid w:val="007B698C"/>
    <w:rsid w:val="007D0A81"/>
    <w:rsid w:val="007D1771"/>
    <w:rsid w:val="007D6406"/>
    <w:rsid w:val="007D7778"/>
    <w:rsid w:val="007E69D8"/>
    <w:rsid w:val="007F05D7"/>
    <w:rsid w:val="007F067A"/>
    <w:rsid w:val="008006D9"/>
    <w:rsid w:val="00824587"/>
    <w:rsid w:val="008428AE"/>
    <w:rsid w:val="008513B4"/>
    <w:rsid w:val="008521B3"/>
    <w:rsid w:val="00856CAF"/>
    <w:rsid w:val="008575E8"/>
    <w:rsid w:val="008624F5"/>
    <w:rsid w:val="00866739"/>
    <w:rsid w:val="008702D3"/>
    <w:rsid w:val="00873605"/>
    <w:rsid w:val="00883C85"/>
    <w:rsid w:val="00887589"/>
    <w:rsid w:val="00887C19"/>
    <w:rsid w:val="00890012"/>
    <w:rsid w:val="00890A5A"/>
    <w:rsid w:val="00892DE7"/>
    <w:rsid w:val="008960B4"/>
    <w:rsid w:val="00896A9D"/>
    <w:rsid w:val="008B3B6C"/>
    <w:rsid w:val="008B3EE1"/>
    <w:rsid w:val="008B75D8"/>
    <w:rsid w:val="008B76DE"/>
    <w:rsid w:val="008C18DB"/>
    <w:rsid w:val="008C2F4C"/>
    <w:rsid w:val="008C74EA"/>
    <w:rsid w:val="008D577A"/>
    <w:rsid w:val="008D7088"/>
    <w:rsid w:val="008F573F"/>
    <w:rsid w:val="00900A4C"/>
    <w:rsid w:val="009033EA"/>
    <w:rsid w:val="00905861"/>
    <w:rsid w:val="00905D85"/>
    <w:rsid w:val="00917CE0"/>
    <w:rsid w:val="00923AF4"/>
    <w:rsid w:val="00925402"/>
    <w:rsid w:val="0093212E"/>
    <w:rsid w:val="009336E6"/>
    <w:rsid w:val="00935843"/>
    <w:rsid w:val="009448B7"/>
    <w:rsid w:val="00952EAD"/>
    <w:rsid w:val="009534A7"/>
    <w:rsid w:val="009708BF"/>
    <w:rsid w:val="00981934"/>
    <w:rsid w:val="0098747B"/>
    <w:rsid w:val="00992034"/>
    <w:rsid w:val="009A138A"/>
    <w:rsid w:val="009A1E7A"/>
    <w:rsid w:val="009A5E71"/>
    <w:rsid w:val="009A7209"/>
    <w:rsid w:val="009B0AD4"/>
    <w:rsid w:val="009B35C8"/>
    <w:rsid w:val="009B5253"/>
    <w:rsid w:val="009B54A4"/>
    <w:rsid w:val="009D2631"/>
    <w:rsid w:val="009D3FA6"/>
    <w:rsid w:val="009F57B8"/>
    <w:rsid w:val="00A00CF2"/>
    <w:rsid w:val="00A04B10"/>
    <w:rsid w:val="00A11FC0"/>
    <w:rsid w:val="00A16D8F"/>
    <w:rsid w:val="00A22DF1"/>
    <w:rsid w:val="00A27A85"/>
    <w:rsid w:val="00A37D60"/>
    <w:rsid w:val="00A46DF2"/>
    <w:rsid w:val="00A505BA"/>
    <w:rsid w:val="00A531F9"/>
    <w:rsid w:val="00A571F9"/>
    <w:rsid w:val="00A60930"/>
    <w:rsid w:val="00A62B41"/>
    <w:rsid w:val="00A66C41"/>
    <w:rsid w:val="00A66CA4"/>
    <w:rsid w:val="00A73884"/>
    <w:rsid w:val="00A80495"/>
    <w:rsid w:val="00A85009"/>
    <w:rsid w:val="00A8655B"/>
    <w:rsid w:val="00A91446"/>
    <w:rsid w:val="00A95214"/>
    <w:rsid w:val="00AA1EF2"/>
    <w:rsid w:val="00AA5EB8"/>
    <w:rsid w:val="00AB1B5A"/>
    <w:rsid w:val="00AB2006"/>
    <w:rsid w:val="00AB3A56"/>
    <w:rsid w:val="00AB5014"/>
    <w:rsid w:val="00AB7EF7"/>
    <w:rsid w:val="00AC1B8D"/>
    <w:rsid w:val="00AC7E74"/>
    <w:rsid w:val="00AD36A6"/>
    <w:rsid w:val="00AD54DD"/>
    <w:rsid w:val="00AE1CEE"/>
    <w:rsid w:val="00AE260A"/>
    <w:rsid w:val="00AE53B1"/>
    <w:rsid w:val="00AE780F"/>
    <w:rsid w:val="00B103DB"/>
    <w:rsid w:val="00B203FF"/>
    <w:rsid w:val="00B2245B"/>
    <w:rsid w:val="00B24A49"/>
    <w:rsid w:val="00B32AAC"/>
    <w:rsid w:val="00B362B5"/>
    <w:rsid w:val="00B5598A"/>
    <w:rsid w:val="00B6701C"/>
    <w:rsid w:val="00B67583"/>
    <w:rsid w:val="00B93FB1"/>
    <w:rsid w:val="00BA27BD"/>
    <w:rsid w:val="00BA582C"/>
    <w:rsid w:val="00BA71DA"/>
    <w:rsid w:val="00BB1DD0"/>
    <w:rsid w:val="00BB48CD"/>
    <w:rsid w:val="00BB5302"/>
    <w:rsid w:val="00BD33DA"/>
    <w:rsid w:val="00BD37F6"/>
    <w:rsid w:val="00BD7609"/>
    <w:rsid w:val="00BE6BA7"/>
    <w:rsid w:val="00BF264C"/>
    <w:rsid w:val="00C00EC9"/>
    <w:rsid w:val="00C01758"/>
    <w:rsid w:val="00C14483"/>
    <w:rsid w:val="00C17804"/>
    <w:rsid w:val="00C20FF1"/>
    <w:rsid w:val="00C3453B"/>
    <w:rsid w:val="00C37682"/>
    <w:rsid w:val="00C52729"/>
    <w:rsid w:val="00C60B61"/>
    <w:rsid w:val="00C64C11"/>
    <w:rsid w:val="00C711F4"/>
    <w:rsid w:val="00C737B7"/>
    <w:rsid w:val="00C76DFE"/>
    <w:rsid w:val="00C91F5C"/>
    <w:rsid w:val="00C9369C"/>
    <w:rsid w:val="00CA57D4"/>
    <w:rsid w:val="00CA7E13"/>
    <w:rsid w:val="00CB2B72"/>
    <w:rsid w:val="00CB4E5B"/>
    <w:rsid w:val="00CC7D65"/>
    <w:rsid w:val="00CD1236"/>
    <w:rsid w:val="00CD47D4"/>
    <w:rsid w:val="00CD77C0"/>
    <w:rsid w:val="00CF2390"/>
    <w:rsid w:val="00CF3F83"/>
    <w:rsid w:val="00CF4DED"/>
    <w:rsid w:val="00D02477"/>
    <w:rsid w:val="00D02961"/>
    <w:rsid w:val="00D02CBF"/>
    <w:rsid w:val="00D07B74"/>
    <w:rsid w:val="00D221D6"/>
    <w:rsid w:val="00D23559"/>
    <w:rsid w:val="00D31425"/>
    <w:rsid w:val="00D31FFA"/>
    <w:rsid w:val="00D32B9E"/>
    <w:rsid w:val="00D3462F"/>
    <w:rsid w:val="00D42E39"/>
    <w:rsid w:val="00D50319"/>
    <w:rsid w:val="00D5350C"/>
    <w:rsid w:val="00D54F9E"/>
    <w:rsid w:val="00D61A32"/>
    <w:rsid w:val="00D67C27"/>
    <w:rsid w:val="00D72782"/>
    <w:rsid w:val="00D72BD5"/>
    <w:rsid w:val="00D74DCD"/>
    <w:rsid w:val="00D80E1D"/>
    <w:rsid w:val="00D82C1F"/>
    <w:rsid w:val="00D871E1"/>
    <w:rsid w:val="00DA19F9"/>
    <w:rsid w:val="00DA5B61"/>
    <w:rsid w:val="00DB32A4"/>
    <w:rsid w:val="00DB4C9B"/>
    <w:rsid w:val="00DC10B9"/>
    <w:rsid w:val="00DC4A8F"/>
    <w:rsid w:val="00DD0CF0"/>
    <w:rsid w:val="00DD7048"/>
    <w:rsid w:val="00DE4CFC"/>
    <w:rsid w:val="00E04A40"/>
    <w:rsid w:val="00E13D0B"/>
    <w:rsid w:val="00E1696D"/>
    <w:rsid w:val="00E24D9A"/>
    <w:rsid w:val="00E30716"/>
    <w:rsid w:val="00E32571"/>
    <w:rsid w:val="00E33F78"/>
    <w:rsid w:val="00E403CD"/>
    <w:rsid w:val="00E45C65"/>
    <w:rsid w:val="00E47743"/>
    <w:rsid w:val="00E51908"/>
    <w:rsid w:val="00E5525E"/>
    <w:rsid w:val="00E5710A"/>
    <w:rsid w:val="00E57344"/>
    <w:rsid w:val="00E61E38"/>
    <w:rsid w:val="00E65B62"/>
    <w:rsid w:val="00E75415"/>
    <w:rsid w:val="00E75F0A"/>
    <w:rsid w:val="00E7748C"/>
    <w:rsid w:val="00E8061E"/>
    <w:rsid w:val="00E938EC"/>
    <w:rsid w:val="00E96D8F"/>
    <w:rsid w:val="00EA7F81"/>
    <w:rsid w:val="00EB35A6"/>
    <w:rsid w:val="00EB55C5"/>
    <w:rsid w:val="00EB70D1"/>
    <w:rsid w:val="00EC36C4"/>
    <w:rsid w:val="00EC4217"/>
    <w:rsid w:val="00EC5FE4"/>
    <w:rsid w:val="00EE58E1"/>
    <w:rsid w:val="00EE7CB5"/>
    <w:rsid w:val="00EF1598"/>
    <w:rsid w:val="00F07999"/>
    <w:rsid w:val="00F113F3"/>
    <w:rsid w:val="00F13E9C"/>
    <w:rsid w:val="00F145EC"/>
    <w:rsid w:val="00F27BCF"/>
    <w:rsid w:val="00F27FB9"/>
    <w:rsid w:val="00F40584"/>
    <w:rsid w:val="00F47B87"/>
    <w:rsid w:val="00F54B8E"/>
    <w:rsid w:val="00F5603A"/>
    <w:rsid w:val="00F73042"/>
    <w:rsid w:val="00F73054"/>
    <w:rsid w:val="00F80A52"/>
    <w:rsid w:val="00F844CB"/>
    <w:rsid w:val="00F84895"/>
    <w:rsid w:val="00F8529B"/>
    <w:rsid w:val="00F910CB"/>
    <w:rsid w:val="00FC19D3"/>
    <w:rsid w:val="00FC1E40"/>
    <w:rsid w:val="00FC2A7D"/>
    <w:rsid w:val="00FD28F7"/>
    <w:rsid w:val="00FD6D39"/>
    <w:rsid w:val="00FE0AC2"/>
    <w:rsid w:val="00FE123F"/>
    <w:rsid w:val="00FE2518"/>
    <w:rsid w:val="00FF1F5A"/>
    <w:rsid w:val="00FF6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995F"/>
  <w15:chartTrackingRefBased/>
  <w15:docId w15:val="{607D7CB3-10F7-4953-85A7-2B7DC717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6B2"/>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7116B2"/>
    <w:pPr>
      <w:keepNext/>
      <w:keepLines/>
      <w:numPr>
        <w:ilvl w:val="4"/>
        <w:numId w:val="2"/>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7116B2"/>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7116B2"/>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7116B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7116B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6B2"/>
    <w:rPr>
      <w:rFonts w:ascii="Segoe UI" w:hAnsi="Segoe UI" w:cs="Segoe UI"/>
      <w:sz w:val="18"/>
      <w:szCs w:val="18"/>
    </w:rPr>
  </w:style>
  <w:style w:type="character" w:customStyle="1" w:styleId="Heading5Char">
    <w:name w:val="Heading 5 Char"/>
    <w:basedOn w:val="DefaultParagraphFont"/>
    <w:link w:val="Heading5"/>
    <w:uiPriority w:val="9"/>
    <w:rsid w:val="007116B2"/>
    <w:rPr>
      <w:rFonts w:asciiTheme="majorHAnsi" w:eastAsiaTheme="majorEastAsia" w:hAnsiTheme="majorHAnsi" w:cstheme="majorBidi"/>
      <w:color w:val="1F3763" w:themeColor="accent1" w:themeShade="7F"/>
      <w:lang w:eastAsia="en-GB"/>
    </w:rPr>
  </w:style>
  <w:style w:type="character" w:customStyle="1" w:styleId="Heading6Char">
    <w:name w:val="Heading 6 Char"/>
    <w:basedOn w:val="DefaultParagraphFont"/>
    <w:link w:val="Heading6"/>
    <w:uiPriority w:val="9"/>
    <w:semiHidden/>
    <w:rsid w:val="007116B2"/>
    <w:rPr>
      <w:rFonts w:asciiTheme="majorHAnsi" w:eastAsiaTheme="majorEastAsia" w:hAnsiTheme="majorHAnsi" w:cstheme="majorBidi"/>
      <w:i/>
      <w:iCs/>
      <w:color w:val="1F3763" w:themeColor="accent1" w:themeShade="7F"/>
      <w:lang w:eastAsia="en-GB"/>
    </w:rPr>
  </w:style>
  <w:style w:type="character" w:customStyle="1" w:styleId="Heading7Char">
    <w:name w:val="Heading 7 Char"/>
    <w:basedOn w:val="DefaultParagraphFont"/>
    <w:link w:val="Heading7"/>
    <w:uiPriority w:val="9"/>
    <w:rsid w:val="007116B2"/>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7116B2"/>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7116B2"/>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7116B2"/>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7116B2"/>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7116B2"/>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7116B2"/>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7116B2"/>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7116B2"/>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7116B2"/>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7116B2"/>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7116B2"/>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paragraph" w:customStyle="1" w:styleId="FirstHeading">
    <w:name w:val="FirstHeading"/>
    <w:basedOn w:val="Normal"/>
    <w:next w:val="Normal"/>
    <w:rsid w:val="007116B2"/>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116B2"/>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7116B2"/>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7116B2"/>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7116B2"/>
    <w:pPr>
      <w:numPr>
        <w:ilvl w:val="2"/>
      </w:numPr>
    </w:pPr>
    <w:rPr>
      <w:bCs w:val="0"/>
      <w:color w:val="auto"/>
    </w:rPr>
  </w:style>
  <w:style w:type="paragraph" w:customStyle="1" w:styleId="Subheading2">
    <w:name w:val="Subheading2"/>
    <w:basedOn w:val="SecHeading"/>
    <w:rsid w:val="007116B2"/>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7116B2"/>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uiPriority w:val="99"/>
    <w:rsid w:val="007116B2"/>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uiPriority w:val="99"/>
    <w:rsid w:val="007116B2"/>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7116B2"/>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7116B2"/>
    <w:rPr>
      <w:b/>
      <w:bCs/>
      <w:smallCaps/>
      <w:spacing w:val="5"/>
    </w:rPr>
  </w:style>
  <w:style w:type="paragraph" w:styleId="Footer">
    <w:name w:val="footer"/>
    <w:basedOn w:val="Normal"/>
    <w:link w:val="FooterChar"/>
    <w:uiPriority w:val="99"/>
    <w:unhideWhenUsed/>
    <w:rsid w:val="00711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6B2"/>
    <w:rPr>
      <w:rFonts w:eastAsiaTheme="minorEastAsia"/>
      <w:lang w:val="en-GB" w:eastAsia="en-GB"/>
    </w:rPr>
  </w:style>
  <w:style w:type="paragraph" w:customStyle="1" w:styleId="Newpage">
    <w:name w:val="Newpage"/>
    <w:basedOn w:val="Chapter"/>
    <w:rsid w:val="007116B2"/>
    <w:pPr>
      <w:numPr>
        <w:numId w:val="0"/>
      </w:numPr>
      <w:tabs>
        <w:tab w:val="clear" w:pos="1440"/>
        <w:tab w:val="left" w:pos="3060"/>
      </w:tabs>
      <w:spacing w:after="0"/>
    </w:pPr>
    <w:rPr>
      <w:lang w:val="es-ES" w:eastAsia="en-US"/>
    </w:rPr>
  </w:style>
  <w:style w:type="paragraph" w:styleId="BodyTextIndent">
    <w:name w:val="Body Text Indent"/>
    <w:basedOn w:val="Normal"/>
    <w:link w:val="BodyTextIndentChar"/>
    <w:uiPriority w:val="99"/>
    <w:semiHidden/>
    <w:unhideWhenUsed/>
    <w:rsid w:val="007116B2"/>
    <w:pPr>
      <w:spacing w:after="120"/>
      <w:ind w:left="360"/>
    </w:pPr>
  </w:style>
  <w:style w:type="character" w:customStyle="1" w:styleId="BodyTextIndentChar">
    <w:name w:val="Body Text Indent Char"/>
    <w:basedOn w:val="DefaultParagraphFont"/>
    <w:link w:val="BodyTextIndent"/>
    <w:uiPriority w:val="99"/>
    <w:semiHidden/>
    <w:rsid w:val="007116B2"/>
    <w:rPr>
      <w:rFonts w:eastAsiaTheme="minorEastAsia"/>
      <w:lang w:val="en-GB" w:eastAsia="en-GB"/>
    </w:rPr>
  </w:style>
  <w:style w:type="paragraph" w:styleId="BodyTextIndent3">
    <w:name w:val="Body Text Indent 3"/>
    <w:basedOn w:val="Normal"/>
    <w:link w:val="BodyTextIndent3Char"/>
    <w:uiPriority w:val="99"/>
    <w:semiHidden/>
    <w:unhideWhenUsed/>
    <w:rsid w:val="007116B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116B2"/>
    <w:rPr>
      <w:rFonts w:eastAsiaTheme="minorEastAsia"/>
      <w:sz w:val="16"/>
      <w:szCs w:val="16"/>
      <w:lang w:val="en-GB" w:eastAsia="en-GB"/>
    </w:rPr>
  </w:style>
  <w:style w:type="paragraph" w:styleId="ListParagraph">
    <w:name w:val="List Paragraph"/>
    <w:basedOn w:val="Normal"/>
    <w:link w:val="ListParagraphChar"/>
    <w:uiPriority w:val="34"/>
    <w:qFormat/>
    <w:rsid w:val="00FD6D39"/>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454CB5"/>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54CB5"/>
    <w:rPr>
      <w:vertAlign w:val="superscript"/>
    </w:rPr>
  </w:style>
  <w:style w:type="paragraph" w:customStyle="1" w:styleId="Char2">
    <w:name w:val="Char2"/>
    <w:basedOn w:val="Normal"/>
    <w:link w:val="FootnoteReference"/>
    <w:uiPriority w:val="99"/>
    <w:rsid w:val="00454CB5"/>
    <w:pPr>
      <w:spacing w:after="160" w:line="240" w:lineRule="exact"/>
    </w:pPr>
    <w:rPr>
      <w:rFonts w:eastAsiaTheme="minorHAnsi"/>
      <w:vertAlign w:val="superscript"/>
      <w:lang w:val="en-US" w:eastAsia="en-US"/>
    </w:rPr>
  </w:style>
  <w:style w:type="character" w:customStyle="1" w:styleId="ListParagraphChar">
    <w:name w:val="List Paragraph Char"/>
    <w:link w:val="ListParagraph"/>
    <w:uiPriority w:val="34"/>
    <w:locked/>
    <w:rsid w:val="00F27BCF"/>
    <w:rPr>
      <w:rFonts w:ascii="Times New Roman" w:eastAsia="Times New Roman" w:hAnsi="Times New Roman" w:cs="Times New Roman"/>
      <w:sz w:val="24"/>
      <w:szCs w:val="20"/>
      <w:lang w:val="es-ES_tradnl"/>
    </w:rPr>
  </w:style>
  <w:style w:type="character" w:styleId="EndnoteReference">
    <w:name w:val="endnote reference"/>
    <w:basedOn w:val="DefaultParagraphFont"/>
    <w:uiPriority w:val="99"/>
    <w:semiHidden/>
    <w:unhideWhenUsed/>
    <w:rsid w:val="0072599C"/>
    <w:rPr>
      <w:vertAlign w:val="superscript"/>
    </w:rPr>
  </w:style>
  <w:style w:type="character" w:styleId="CommentReference">
    <w:name w:val="annotation reference"/>
    <w:basedOn w:val="DefaultParagraphFont"/>
    <w:unhideWhenUsed/>
    <w:rsid w:val="00D80E1D"/>
    <w:rPr>
      <w:sz w:val="16"/>
      <w:szCs w:val="16"/>
    </w:rPr>
  </w:style>
  <w:style w:type="paragraph" w:styleId="CommentText">
    <w:name w:val="annotation text"/>
    <w:basedOn w:val="Normal"/>
    <w:link w:val="CommentTextChar"/>
    <w:unhideWhenUsed/>
    <w:rsid w:val="00D80E1D"/>
    <w:pPr>
      <w:spacing w:line="240" w:lineRule="auto"/>
    </w:pPr>
    <w:rPr>
      <w:sz w:val="20"/>
      <w:szCs w:val="20"/>
    </w:rPr>
  </w:style>
  <w:style w:type="character" w:customStyle="1" w:styleId="CommentTextChar">
    <w:name w:val="Comment Text Char"/>
    <w:basedOn w:val="DefaultParagraphFont"/>
    <w:link w:val="CommentText"/>
    <w:rsid w:val="00D80E1D"/>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D80E1D"/>
    <w:rPr>
      <w:b/>
      <w:bCs/>
    </w:rPr>
  </w:style>
  <w:style w:type="character" w:customStyle="1" w:styleId="CommentSubjectChar">
    <w:name w:val="Comment Subject Char"/>
    <w:basedOn w:val="CommentTextChar"/>
    <w:link w:val="CommentSubject"/>
    <w:uiPriority w:val="99"/>
    <w:semiHidden/>
    <w:rsid w:val="00D80E1D"/>
    <w:rPr>
      <w:rFonts w:eastAsiaTheme="minorEastAsia"/>
      <w:b/>
      <w:bCs/>
      <w:sz w:val="20"/>
      <w:szCs w:val="20"/>
      <w:lang w:val="en-GB" w:eastAsia="en-GB"/>
    </w:rPr>
  </w:style>
  <w:style w:type="character" w:styleId="UnresolvedMention">
    <w:name w:val="Unresolved Mention"/>
    <w:basedOn w:val="DefaultParagraphFont"/>
    <w:uiPriority w:val="99"/>
    <w:unhideWhenUsed/>
    <w:rsid w:val="00D80E1D"/>
    <w:rPr>
      <w:color w:val="605E5C"/>
      <w:shd w:val="clear" w:color="auto" w:fill="E1DFDD"/>
    </w:rPr>
  </w:style>
  <w:style w:type="character" w:styleId="Mention">
    <w:name w:val="Mention"/>
    <w:basedOn w:val="DefaultParagraphFont"/>
    <w:uiPriority w:val="99"/>
    <w:unhideWhenUsed/>
    <w:rsid w:val="00D80E1D"/>
    <w:rPr>
      <w:color w:val="2B579A"/>
      <w:shd w:val="clear" w:color="auto" w:fill="E1DFDD"/>
    </w:rPr>
  </w:style>
  <w:style w:type="paragraph" w:styleId="Header">
    <w:name w:val="header"/>
    <w:basedOn w:val="Normal"/>
    <w:link w:val="HeaderChar"/>
    <w:uiPriority w:val="99"/>
    <w:unhideWhenUsed/>
    <w:rsid w:val="00E57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344"/>
    <w:rPr>
      <w:rFonts w:eastAsiaTheme="minorEastAsia"/>
      <w:lang w:val="en-GB" w:eastAsia="en-GB"/>
    </w:rPr>
  </w:style>
  <w:style w:type="paragraph" w:styleId="Revision">
    <w:name w:val="Revision"/>
    <w:hidden/>
    <w:uiPriority w:val="99"/>
    <w:semiHidden/>
    <w:rsid w:val="003B2CE0"/>
    <w:pPr>
      <w:spacing w:after="0" w:line="240" w:lineRule="auto"/>
    </w:pPr>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330267">
      <w:bodyDiv w:val="1"/>
      <w:marLeft w:val="0"/>
      <w:marRight w:val="0"/>
      <w:marTop w:val="0"/>
      <w:marBottom w:val="0"/>
      <w:divBdr>
        <w:top w:val="none" w:sz="0" w:space="0" w:color="auto"/>
        <w:left w:val="none" w:sz="0" w:space="0" w:color="auto"/>
        <w:bottom w:val="none" w:sz="0" w:space="0" w:color="auto"/>
        <w:right w:val="none" w:sz="0" w:space="0" w:color="auto"/>
      </w:divBdr>
    </w:div>
    <w:div w:id="929313085">
      <w:bodyDiv w:val="1"/>
      <w:marLeft w:val="0"/>
      <w:marRight w:val="0"/>
      <w:marTop w:val="0"/>
      <w:marBottom w:val="0"/>
      <w:divBdr>
        <w:top w:val="none" w:sz="0" w:space="0" w:color="auto"/>
        <w:left w:val="none" w:sz="0" w:space="0" w:color="auto"/>
        <w:bottom w:val="none" w:sz="0" w:space="0" w:color="auto"/>
        <w:right w:val="none" w:sz="0" w:space="0" w:color="auto"/>
      </w:divBdr>
      <w:divsChild>
        <w:div w:id="1098256937">
          <w:marLeft w:val="0"/>
          <w:marRight w:val="0"/>
          <w:marTop w:val="0"/>
          <w:marBottom w:val="0"/>
          <w:divBdr>
            <w:top w:val="none" w:sz="0" w:space="0" w:color="auto"/>
            <w:left w:val="none" w:sz="0" w:space="0" w:color="auto"/>
            <w:bottom w:val="none" w:sz="0" w:space="0" w:color="auto"/>
            <w:right w:val="none" w:sz="0" w:space="0" w:color="auto"/>
          </w:divBdr>
          <w:divsChild>
            <w:div w:id="1882668698">
              <w:marLeft w:val="0"/>
              <w:marRight w:val="0"/>
              <w:marTop w:val="0"/>
              <w:marBottom w:val="0"/>
              <w:divBdr>
                <w:top w:val="none" w:sz="0" w:space="0" w:color="auto"/>
                <w:left w:val="none" w:sz="0" w:space="0" w:color="auto"/>
                <w:bottom w:val="none" w:sz="0" w:space="0" w:color="auto"/>
                <w:right w:val="none" w:sz="0" w:space="0" w:color="auto"/>
              </w:divBdr>
              <w:divsChild>
                <w:div w:id="1331717460">
                  <w:marLeft w:val="0"/>
                  <w:marRight w:val="0"/>
                  <w:marTop w:val="0"/>
                  <w:marBottom w:val="0"/>
                  <w:divBdr>
                    <w:top w:val="none" w:sz="0" w:space="0" w:color="auto"/>
                    <w:left w:val="none" w:sz="0" w:space="0" w:color="auto"/>
                    <w:bottom w:val="none" w:sz="0" w:space="0" w:color="auto"/>
                    <w:right w:val="none" w:sz="0" w:space="0" w:color="auto"/>
                  </w:divBdr>
                  <w:divsChild>
                    <w:div w:id="2040279666">
                      <w:marLeft w:val="0"/>
                      <w:marRight w:val="0"/>
                      <w:marTop w:val="0"/>
                      <w:marBottom w:val="0"/>
                      <w:divBdr>
                        <w:top w:val="none" w:sz="0" w:space="0" w:color="auto"/>
                        <w:left w:val="none" w:sz="0" w:space="0" w:color="auto"/>
                        <w:bottom w:val="none" w:sz="0" w:space="0" w:color="auto"/>
                        <w:right w:val="none" w:sz="0" w:space="0" w:color="auto"/>
                      </w:divBdr>
                      <w:divsChild>
                        <w:div w:id="1846168121">
                          <w:marLeft w:val="0"/>
                          <w:marRight w:val="0"/>
                          <w:marTop w:val="0"/>
                          <w:marBottom w:val="0"/>
                          <w:divBdr>
                            <w:top w:val="none" w:sz="0" w:space="0" w:color="auto"/>
                            <w:left w:val="none" w:sz="0" w:space="0" w:color="auto"/>
                            <w:bottom w:val="none" w:sz="0" w:space="0" w:color="auto"/>
                            <w:right w:val="none" w:sz="0" w:space="0" w:color="auto"/>
                          </w:divBdr>
                          <w:divsChild>
                            <w:div w:id="989402503">
                              <w:marLeft w:val="0"/>
                              <w:marRight w:val="0"/>
                              <w:marTop w:val="0"/>
                              <w:marBottom w:val="0"/>
                              <w:divBdr>
                                <w:top w:val="none" w:sz="0" w:space="0" w:color="auto"/>
                                <w:left w:val="none" w:sz="0" w:space="0" w:color="auto"/>
                                <w:bottom w:val="none" w:sz="0" w:space="0" w:color="auto"/>
                                <w:right w:val="none" w:sz="0" w:space="0" w:color="auto"/>
                              </w:divBdr>
                              <w:divsChild>
                                <w:div w:id="39100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yperlink" Target="https://www.iadb.org/es/project/EC-L1073" TargetMode="Externa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customXml" Target="../customXml/item2.xml"/><Relationship Id="rId9" Type="http://schemas.openxmlformats.org/officeDocument/2006/relationships/webSettings" Target="webSettings.xml"/><Relationship Id="rId14" Type="http://schemas.openxmlformats.org/officeDocument/2006/relationships/hyperlink" Target="http://idbdocs.iadb.org/wsdocs/getDocument.aspx?DOCNUM=EZSHARE-1136483988-4" TargetMode="Externa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1136483988-1"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experience.arcgis.com/experience/685d0ace521648f8a5beeeee1b9125cd" TargetMode="External"/><Relationship Id="rId6" Type="http://schemas.openxmlformats.org/officeDocument/2006/relationships/hyperlink" Target="https://www.findevgateway.org/sites/default/files/publications/files/mfg-en-paper-financial-crisis-lessons-from-microfinance-aug-2010.pdf" TargetMode="External"/><Relationship Id="rId5" Type="http://schemas.openxmlformats.org/officeDocument/2006/relationships/hyperlink" Target="https://www.finanzaspopulares.gob.ec/calificacion-de-riesgo/" TargetMode="External"/><Relationship Id="rId4" Type="http://schemas.openxmlformats.org/officeDocument/2006/relationships/hyperlink" Target="http://idbdocs.iadb.org/wsdocs/getDocument.aspx?DOCNUM=EZSHARE-113648398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4E34C02EA580F4EA7037FB369790BBE" ma:contentTypeVersion="0" ma:contentTypeDescription="A content type to manage public (operations) IDB documents" ma:contentTypeScope="" ma:versionID="97ad1dc7501cbaeb602ecc796278c76c">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EZSHARE-1136483988-2</_dlc_DocId>
    <Document_x0020_Author xmlns="cdc7663a-08f0-4737-9e8c-148ce897a09c">Bernedo Cecilia</Document_x0020_Author>
    <TaxCatchAll xmlns="cdc7663a-08f0-4737-9e8c-148ce897a09c">
      <Value>268</Value>
      <Value>32</Value>
      <Value>108</Value>
      <Value>30</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EC-L1269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https://idbg.sharepoint.com/teams/EZ-EC-LON/EC-L1269/_layouts/15/DocIdRedir.aspx?ID=EZSHARE-1136483988-2</Url>
      <Description>EZSHARE-1136483988-2</Description>
    </_dlc_DocIdUrl>
    <Phase xmlns="cdc7663a-08f0-4737-9e8c-148ce897a09c">ACTIVE</Phase>
    <Other_x0020_Author xmlns="cdc7663a-08f0-4737-9e8c-148ce897a09c">Joan Prats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B206095-B832-4E31-8E9D-C2CE5E3DCA6C}"/>
</file>

<file path=customXml/itemProps2.xml><?xml version="1.0" encoding="utf-8"?>
<ds:datastoreItem xmlns:ds="http://schemas.openxmlformats.org/officeDocument/2006/customXml" ds:itemID="{E543F346-B62F-45F8-B597-5E331B891B74}"/>
</file>

<file path=customXml/itemProps3.xml><?xml version="1.0" encoding="utf-8"?>
<ds:datastoreItem xmlns:ds="http://schemas.openxmlformats.org/officeDocument/2006/customXml" ds:itemID="{E1D00FBF-8A1C-4283-8F59-BFE1D1845D72}"/>
</file>

<file path=customXml/itemProps4.xml><?xml version="1.0" encoding="utf-8"?>
<ds:datastoreItem xmlns:ds="http://schemas.openxmlformats.org/officeDocument/2006/customXml" ds:itemID="{6EBBDA0E-8185-4A5F-813F-F5135AAE5019}"/>
</file>

<file path=customXml/itemProps5.xml><?xml version="1.0" encoding="utf-8"?>
<ds:datastoreItem xmlns:ds="http://schemas.openxmlformats.org/officeDocument/2006/customXml" ds:itemID="{FE6AF384-C296-496F-A062-5968D8375730}"/>
</file>

<file path=customXml/itemProps6.xml><?xml version="1.0" encoding="utf-8"?>
<ds:datastoreItem xmlns:ds="http://schemas.openxmlformats.org/officeDocument/2006/customXml" ds:itemID="{D68DA797-EE7B-4B33-AC62-4A84D64F8ECF}"/>
</file>

<file path=docProps/app.xml><?xml version="1.0" encoding="utf-8"?>
<Properties xmlns="http://schemas.openxmlformats.org/officeDocument/2006/extended-properties" xmlns:vt="http://schemas.openxmlformats.org/officeDocument/2006/docPropsVTypes">
  <Template>Normal</Template>
  <TotalTime>1</TotalTime>
  <Pages>15</Pages>
  <Words>4936</Words>
  <Characters>28140</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33010</CharactersWithSpaces>
  <SharedDoc>false</SharedDoc>
  <HLinks>
    <vt:vector size="18" baseType="variant">
      <vt:variant>
        <vt:i4>8192060</vt:i4>
      </vt:variant>
      <vt:variant>
        <vt:i4>6</vt:i4>
      </vt:variant>
      <vt:variant>
        <vt:i4>0</vt:i4>
      </vt:variant>
      <vt:variant>
        <vt:i4>5</vt:i4>
      </vt:variant>
      <vt:variant>
        <vt:lpwstr>https://www.cepal.org/es/comunicados/covid-19-tendra-graves-efectos-la-economia-mundial-impactara-paises-america-latina</vt:lpwstr>
      </vt:variant>
      <vt:variant>
        <vt:lpwstr/>
      </vt:variant>
      <vt:variant>
        <vt:i4>2949221</vt:i4>
      </vt:variant>
      <vt:variant>
        <vt:i4>3</vt:i4>
      </vt:variant>
      <vt:variant>
        <vt:i4>0</vt:i4>
      </vt:variant>
      <vt:variant>
        <vt:i4>5</vt:i4>
      </vt:variant>
      <vt:variant>
        <vt:lpwstr>https://www.paho.org/en/topics/coronavirus-infections/coronavirus-disease-covid-19</vt:lpwstr>
      </vt:variant>
      <vt:variant>
        <vt:lpwstr/>
      </vt:variant>
      <vt:variant>
        <vt:i4>4718659</vt:i4>
      </vt:variant>
      <vt:variant>
        <vt:i4>0</vt:i4>
      </vt:variant>
      <vt:variant>
        <vt:i4>0</vt:i4>
      </vt:variant>
      <vt:variant>
        <vt:i4>5</vt:i4>
      </vt:variant>
      <vt:variant>
        <vt:lpwstr>https://experience.arcgis.com/experience/685d0ace521648f8a5beeeee1b9125cd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
  <dc:description/>
  <cp:lastModifiedBy>Bernedo, Cecilia</cp:lastModifiedBy>
  <cp:revision>3</cp:revision>
  <dcterms:created xsi:type="dcterms:W3CDTF">2020-04-27T21:27:00Z</dcterms:created>
  <dcterms:modified xsi:type="dcterms:W3CDTF">2020-04-28T14:58:00Z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268;#BANKING MARKET DEVELOPMENT|5f08329b-f2bb-4342-ba75-eb4216b403d4</vt:lpwstr>
  </property>
  <property fmtid="{D5CDD505-2E9C-101B-9397-08002B2CF9AE}" pid="7" name="Country">
    <vt:lpwstr>32;#Ecuador|8f163189-00fa-4e7c-827d-28fb5798781c</vt:lpwstr>
  </property>
  <property fmtid="{D5CDD505-2E9C-101B-9397-08002B2CF9AE}" pid="8" name="_dlc_DocIdItemGuid">
    <vt:lpwstr>e14da383-7347-40e8-ae2c-c4c277727b94</vt:lpwstr>
  </property>
  <property fmtid="{D5CDD505-2E9C-101B-9397-08002B2CF9AE}" pid="9" name="Fund IDB">
    <vt:lpwstr>30;#ORC|c028a4b2-ad8b-4cf4-9cac-a2ae6a778e23</vt:lpwstr>
  </property>
  <property fmtid="{D5CDD505-2E9C-101B-9397-08002B2CF9AE}" pid="10" name="Sector IDB">
    <vt:lpwstr>108;#FINANCIAL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0x0101001A458A224826124E8B45B1D613300CFC00D4E34C02EA580F4EA7037FB369790BBE</vt:lpwstr>
  </property>
</Properties>
</file>