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328C7" w14:textId="27888CFD" w:rsidR="008E4CF9" w:rsidRPr="008C1445" w:rsidRDefault="00BC1A47" w:rsidP="0041106C">
      <w:pPr>
        <w:jc w:val="center"/>
        <w:rPr>
          <w:rFonts w:ascii="Arial" w:hAnsi="Arial" w:cs="Arial"/>
          <w:b/>
          <w:bCs/>
          <w:sz w:val="22"/>
          <w:szCs w:val="22"/>
          <w:lang w:val="es-ES_tradnl"/>
        </w:rPr>
      </w:pPr>
      <w:r w:rsidRPr="008C1445">
        <w:rPr>
          <w:rFonts w:ascii="Arial" w:hAnsi="Arial" w:cs="Arial"/>
          <w:b/>
          <w:bCs/>
          <w:sz w:val="22"/>
          <w:szCs w:val="22"/>
          <w:lang w:val="es-ES_tradnl"/>
        </w:rPr>
        <w:t>ECUADOR</w:t>
      </w:r>
    </w:p>
    <w:p w14:paraId="17600AC6" w14:textId="77777777" w:rsidR="008E4CF9" w:rsidRPr="008C1445" w:rsidRDefault="008E4CF9" w:rsidP="0041106C">
      <w:pPr>
        <w:jc w:val="center"/>
        <w:rPr>
          <w:rFonts w:ascii="Arial" w:hAnsi="Arial" w:cs="Arial"/>
          <w:b/>
          <w:bCs/>
          <w:sz w:val="22"/>
          <w:szCs w:val="22"/>
          <w:lang w:val="es-ES_tradnl"/>
        </w:rPr>
      </w:pPr>
    </w:p>
    <w:p w14:paraId="5A8A1569" w14:textId="647069FA" w:rsidR="008E4CF9" w:rsidRPr="008C1445" w:rsidRDefault="008E4CF9" w:rsidP="0041106C">
      <w:pPr>
        <w:jc w:val="center"/>
        <w:rPr>
          <w:rFonts w:ascii="Arial" w:hAnsi="Arial" w:cs="Arial"/>
          <w:b/>
          <w:bCs/>
          <w:sz w:val="22"/>
          <w:szCs w:val="22"/>
          <w:lang w:val="es-ES_tradnl"/>
        </w:rPr>
      </w:pPr>
    </w:p>
    <w:p w14:paraId="7E6441EB" w14:textId="3A0F229A" w:rsidR="008E4CF9" w:rsidRPr="008C1445" w:rsidRDefault="008E4CF9" w:rsidP="0041106C">
      <w:pPr>
        <w:jc w:val="center"/>
        <w:rPr>
          <w:rFonts w:ascii="Arial" w:hAnsi="Arial" w:cs="Arial"/>
          <w:b/>
          <w:bCs/>
          <w:sz w:val="22"/>
          <w:szCs w:val="22"/>
          <w:lang w:val="es-ES_tradnl"/>
        </w:rPr>
      </w:pPr>
    </w:p>
    <w:p w14:paraId="71AF40E3" w14:textId="6B594796" w:rsidR="00172CEB" w:rsidRPr="008C1445" w:rsidRDefault="00172CEB" w:rsidP="0041106C">
      <w:pPr>
        <w:jc w:val="center"/>
        <w:rPr>
          <w:rFonts w:ascii="Arial" w:hAnsi="Arial" w:cs="Arial"/>
          <w:b/>
          <w:bCs/>
          <w:sz w:val="22"/>
          <w:szCs w:val="22"/>
          <w:lang w:val="es-ES_tradnl"/>
        </w:rPr>
      </w:pPr>
    </w:p>
    <w:p w14:paraId="5B1C40E6" w14:textId="39051684" w:rsidR="00172CEB" w:rsidRPr="008C1445" w:rsidRDefault="00172CEB" w:rsidP="0041106C">
      <w:pPr>
        <w:jc w:val="center"/>
        <w:rPr>
          <w:rFonts w:ascii="Arial" w:hAnsi="Arial" w:cs="Arial"/>
          <w:b/>
          <w:bCs/>
          <w:sz w:val="22"/>
          <w:szCs w:val="22"/>
          <w:lang w:val="es-ES_tradnl"/>
        </w:rPr>
      </w:pPr>
    </w:p>
    <w:p w14:paraId="133D8545" w14:textId="3A2E6E33" w:rsidR="009A6DAC" w:rsidRPr="008C1445" w:rsidRDefault="009A6DAC" w:rsidP="0041106C">
      <w:pPr>
        <w:jc w:val="center"/>
        <w:rPr>
          <w:rFonts w:ascii="Arial" w:hAnsi="Arial" w:cs="Arial"/>
          <w:b/>
          <w:bCs/>
          <w:sz w:val="22"/>
          <w:szCs w:val="22"/>
          <w:lang w:val="es-ES_tradnl"/>
        </w:rPr>
      </w:pPr>
    </w:p>
    <w:p w14:paraId="224674F8" w14:textId="04020ACA" w:rsidR="009A6DAC" w:rsidRPr="008C1445" w:rsidRDefault="009A6DAC" w:rsidP="0041106C">
      <w:pPr>
        <w:jc w:val="center"/>
        <w:rPr>
          <w:rFonts w:ascii="Arial" w:hAnsi="Arial" w:cs="Arial"/>
          <w:b/>
          <w:bCs/>
          <w:sz w:val="22"/>
          <w:szCs w:val="22"/>
          <w:lang w:val="es-ES_tradnl"/>
        </w:rPr>
      </w:pPr>
    </w:p>
    <w:p w14:paraId="5D649FCD" w14:textId="77777777" w:rsidR="009A6DAC" w:rsidRPr="008C1445" w:rsidRDefault="009A6DAC" w:rsidP="0041106C">
      <w:pPr>
        <w:jc w:val="center"/>
        <w:rPr>
          <w:rFonts w:ascii="Arial" w:hAnsi="Arial" w:cs="Arial"/>
          <w:b/>
          <w:bCs/>
          <w:sz w:val="22"/>
          <w:szCs w:val="22"/>
          <w:lang w:val="es-ES_tradnl"/>
        </w:rPr>
      </w:pPr>
    </w:p>
    <w:p w14:paraId="1C50EC21" w14:textId="77777777" w:rsidR="008E4CF9" w:rsidRPr="008C1445" w:rsidRDefault="008E4CF9" w:rsidP="0041106C">
      <w:pPr>
        <w:jc w:val="center"/>
        <w:rPr>
          <w:rFonts w:ascii="Arial" w:hAnsi="Arial" w:cs="Arial"/>
          <w:b/>
          <w:bCs/>
          <w:sz w:val="22"/>
          <w:szCs w:val="22"/>
          <w:lang w:val="es-ES_tradnl"/>
        </w:rPr>
      </w:pPr>
    </w:p>
    <w:p w14:paraId="677F6A4E" w14:textId="16237871" w:rsidR="008E4CF9" w:rsidRPr="008C1445" w:rsidRDefault="008E4CF9" w:rsidP="0041106C">
      <w:pPr>
        <w:jc w:val="center"/>
        <w:rPr>
          <w:rFonts w:ascii="Arial" w:hAnsi="Arial" w:cs="Arial"/>
          <w:b/>
          <w:bCs/>
          <w:sz w:val="22"/>
          <w:szCs w:val="22"/>
          <w:lang w:val="es-ES_tradnl"/>
        </w:rPr>
      </w:pPr>
    </w:p>
    <w:p w14:paraId="69D042B1" w14:textId="629F1CD8" w:rsidR="00823077" w:rsidRPr="008C1445" w:rsidRDefault="00823077" w:rsidP="0041106C">
      <w:pPr>
        <w:jc w:val="center"/>
        <w:rPr>
          <w:rFonts w:ascii="Arial" w:hAnsi="Arial" w:cs="Arial"/>
          <w:b/>
          <w:bCs/>
          <w:sz w:val="22"/>
          <w:szCs w:val="22"/>
          <w:lang w:val="es-ES_tradnl"/>
        </w:rPr>
      </w:pPr>
    </w:p>
    <w:p w14:paraId="0D2267C2" w14:textId="3A372296" w:rsidR="00BC1A47" w:rsidRPr="008C1445" w:rsidRDefault="00BC1A47" w:rsidP="0041106C">
      <w:pPr>
        <w:jc w:val="center"/>
        <w:rPr>
          <w:rFonts w:ascii="Arial" w:hAnsi="Arial" w:cs="Arial"/>
          <w:b/>
          <w:bCs/>
          <w:sz w:val="22"/>
          <w:szCs w:val="22"/>
          <w:lang w:val="es-ES_tradnl"/>
        </w:rPr>
      </w:pPr>
    </w:p>
    <w:p w14:paraId="7036A0EB" w14:textId="7AC83BB2" w:rsidR="009A6DAC" w:rsidRPr="008C1445" w:rsidRDefault="009A6DAC" w:rsidP="0041106C">
      <w:pPr>
        <w:jc w:val="center"/>
        <w:rPr>
          <w:rFonts w:ascii="Arial" w:hAnsi="Arial" w:cs="Arial"/>
          <w:b/>
          <w:bCs/>
          <w:sz w:val="22"/>
          <w:szCs w:val="22"/>
          <w:lang w:val="es-ES_tradnl"/>
        </w:rPr>
      </w:pPr>
    </w:p>
    <w:p w14:paraId="6EA72441" w14:textId="1D26D6EA" w:rsidR="009A6DAC" w:rsidRPr="008C1445" w:rsidRDefault="009A6DAC" w:rsidP="0041106C">
      <w:pPr>
        <w:jc w:val="center"/>
        <w:rPr>
          <w:rFonts w:ascii="Arial" w:hAnsi="Arial" w:cs="Arial"/>
          <w:b/>
          <w:bCs/>
          <w:sz w:val="22"/>
          <w:szCs w:val="22"/>
          <w:lang w:val="es-ES_tradnl"/>
        </w:rPr>
      </w:pPr>
    </w:p>
    <w:p w14:paraId="760F87E0" w14:textId="77777777" w:rsidR="009A6DAC" w:rsidRPr="008C1445" w:rsidRDefault="009A6DAC" w:rsidP="0041106C">
      <w:pPr>
        <w:jc w:val="center"/>
        <w:rPr>
          <w:rFonts w:ascii="Arial" w:hAnsi="Arial" w:cs="Arial"/>
          <w:b/>
          <w:bCs/>
          <w:sz w:val="22"/>
          <w:szCs w:val="22"/>
          <w:lang w:val="es-ES_tradnl"/>
        </w:rPr>
      </w:pPr>
    </w:p>
    <w:p w14:paraId="3C7BA8DF" w14:textId="77777777" w:rsidR="00BC1A47" w:rsidRPr="008C1445" w:rsidRDefault="00BC1A47" w:rsidP="0041106C">
      <w:pPr>
        <w:jc w:val="center"/>
        <w:rPr>
          <w:rFonts w:ascii="Arial" w:hAnsi="Arial" w:cs="Arial"/>
          <w:b/>
          <w:bCs/>
          <w:sz w:val="22"/>
          <w:szCs w:val="22"/>
          <w:lang w:val="es-ES_tradnl"/>
        </w:rPr>
      </w:pPr>
    </w:p>
    <w:p w14:paraId="1E1E14A5" w14:textId="479E96ED" w:rsidR="008E4CF9" w:rsidRPr="008C1445" w:rsidRDefault="008E4CF9" w:rsidP="0041106C">
      <w:pPr>
        <w:jc w:val="center"/>
        <w:rPr>
          <w:rFonts w:ascii="Arial" w:hAnsi="Arial" w:cs="Arial"/>
          <w:b/>
          <w:bCs/>
          <w:sz w:val="22"/>
          <w:szCs w:val="22"/>
          <w:lang w:val="es-ES_tradnl"/>
        </w:rPr>
      </w:pPr>
    </w:p>
    <w:p w14:paraId="030ABD69" w14:textId="77777777" w:rsidR="008E4CF9" w:rsidRPr="008C1445" w:rsidRDefault="008E4CF9" w:rsidP="0041106C">
      <w:pPr>
        <w:jc w:val="center"/>
        <w:rPr>
          <w:rFonts w:ascii="Arial" w:hAnsi="Arial" w:cs="Arial"/>
          <w:b/>
          <w:bCs/>
          <w:sz w:val="22"/>
          <w:szCs w:val="22"/>
          <w:lang w:val="es-ES_tradnl"/>
        </w:rPr>
      </w:pPr>
    </w:p>
    <w:p w14:paraId="4E1112DA" w14:textId="3A14ECB7" w:rsidR="008E4CF9" w:rsidRPr="008C1445" w:rsidRDefault="00BC1A47" w:rsidP="0041106C">
      <w:pPr>
        <w:jc w:val="center"/>
        <w:rPr>
          <w:rFonts w:ascii="Arial" w:hAnsi="Arial" w:cs="Arial"/>
          <w:b/>
          <w:bCs/>
          <w:sz w:val="22"/>
          <w:szCs w:val="22"/>
          <w:lang w:val="es-ES_tradnl"/>
        </w:rPr>
      </w:pPr>
      <w:r w:rsidRPr="008C1445">
        <w:rPr>
          <w:rFonts w:ascii="Arial" w:hAnsi="Arial" w:cs="Arial"/>
          <w:b/>
          <w:bCs/>
          <w:sz w:val="22"/>
          <w:szCs w:val="22"/>
          <w:lang w:val="es-ES_tradnl"/>
        </w:rPr>
        <w:t>PROGRAMA GLOBAL DE CRÉDITO PARA LA DEFENSA DEL TEJIDO PRODUCTIVO Y EL EMPLEO</w:t>
      </w:r>
    </w:p>
    <w:p w14:paraId="48A1A42F" w14:textId="6FF68FD7" w:rsidR="008E4CF9" w:rsidRPr="008C1445" w:rsidRDefault="008E4CF9" w:rsidP="0041106C">
      <w:pPr>
        <w:jc w:val="center"/>
        <w:rPr>
          <w:rFonts w:ascii="Arial" w:hAnsi="Arial" w:cs="Arial"/>
          <w:b/>
          <w:bCs/>
          <w:sz w:val="22"/>
          <w:szCs w:val="22"/>
          <w:lang w:val="es-ES_tradnl"/>
        </w:rPr>
      </w:pPr>
    </w:p>
    <w:p w14:paraId="60F92370" w14:textId="50D17519" w:rsidR="009A6DAC" w:rsidRPr="008C1445" w:rsidRDefault="009A6DAC" w:rsidP="0041106C">
      <w:pPr>
        <w:jc w:val="center"/>
        <w:rPr>
          <w:rFonts w:ascii="Arial" w:hAnsi="Arial" w:cs="Arial"/>
          <w:b/>
          <w:bCs/>
          <w:sz w:val="22"/>
          <w:szCs w:val="22"/>
          <w:lang w:val="es-ES_tradnl"/>
        </w:rPr>
      </w:pPr>
    </w:p>
    <w:p w14:paraId="0E863220" w14:textId="77777777" w:rsidR="009A6DAC" w:rsidRPr="008C1445" w:rsidRDefault="009A6DAC" w:rsidP="0041106C">
      <w:pPr>
        <w:jc w:val="center"/>
        <w:rPr>
          <w:rFonts w:ascii="Arial" w:hAnsi="Arial" w:cs="Arial"/>
          <w:b/>
          <w:bCs/>
          <w:sz w:val="22"/>
          <w:szCs w:val="22"/>
          <w:lang w:val="es-ES_tradnl"/>
        </w:rPr>
      </w:pPr>
    </w:p>
    <w:p w14:paraId="7C247337" w14:textId="77777777" w:rsidR="008E4CF9" w:rsidRPr="008C1445" w:rsidRDefault="008E4CF9" w:rsidP="0041106C">
      <w:pPr>
        <w:jc w:val="center"/>
        <w:rPr>
          <w:rFonts w:ascii="Arial" w:hAnsi="Arial" w:cs="Arial"/>
          <w:b/>
          <w:bCs/>
          <w:sz w:val="22"/>
          <w:szCs w:val="22"/>
          <w:lang w:val="es-ES_tradnl"/>
        </w:rPr>
      </w:pPr>
    </w:p>
    <w:p w14:paraId="1D650483" w14:textId="3DB1C605" w:rsidR="008E4CF9" w:rsidRPr="008C1445" w:rsidRDefault="00BC1A47" w:rsidP="0041106C">
      <w:pPr>
        <w:jc w:val="center"/>
        <w:rPr>
          <w:rFonts w:ascii="Arial" w:hAnsi="Arial" w:cs="Arial"/>
          <w:b/>
          <w:bCs/>
          <w:sz w:val="22"/>
          <w:szCs w:val="22"/>
          <w:lang w:val="es-ES_tradnl"/>
        </w:rPr>
      </w:pPr>
      <w:r w:rsidRPr="008C1445">
        <w:rPr>
          <w:rFonts w:ascii="Arial" w:hAnsi="Arial" w:cs="Arial"/>
          <w:b/>
          <w:bCs/>
          <w:sz w:val="22"/>
          <w:szCs w:val="22"/>
          <w:lang w:val="es-ES_tradnl"/>
        </w:rPr>
        <w:t>(EC-L1269)</w:t>
      </w:r>
    </w:p>
    <w:p w14:paraId="0DCE0F7A" w14:textId="4D3DBAA2" w:rsidR="008E4CF9" w:rsidRPr="008C1445" w:rsidRDefault="008E4CF9" w:rsidP="0041106C">
      <w:pPr>
        <w:jc w:val="center"/>
        <w:rPr>
          <w:rFonts w:ascii="Arial" w:hAnsi="Arial" w:cs="Arial"/>
          <w:b/>
          <w:bCs/>
          <w:sz w:val="22"/>
          <w:szCs w:val="22"/>
          <w:lang w:val="es-ES_tradnl"/>
        </w:rPr>
      </w:pPr>
    </w:p>
    <w:p w14:paraId="542DBDDB" w14:textId="77777777" w:rsidR="009A6DAC" w:rsidRPr="008C1445" w:rsidRDefault="009A6DAC" w:rsidP="0041106C">
      <w:pPr>
        <w:jc w:val="center"/>
        <w:rPr>
          <w:rFonts w:ascii="Arial" w:hAnsi="Arial" w:cs="Arial"/>
          <w:b/>
          <w:bCs/>
          <w:sz w:val="22"/>
          <w:szCs w:val="22"/>
          <w:lang w:val="es-ES_tradnl"/>
        </w:rPr>
      </w:pPr>
    </w:p>
    <w:p w14:paraId="68900F96" w14:textId="79B2E85F" w:rsidR="00BC1A47" w:rsidRPr="008C1445" w:rsidRDefault="00BC1A47" w:rsidP="0041106C">
      <w:pPr>
        <w:jc w:val="center"/>
        <w:rPr>
          <w:rFonts w:ascii="Arial" w:hAnsi="Arial" w:cs="Arial"/>
          <w:b/>
          <w:bCs/>
          <w:sz w:val="22"/>
          <w:szCs w:val="22"/>
          <w:lang w:val="es-ES_tradnl"/>
        </w:rPr>
      </w:pPr>
    </w:p>
    <w:p w14:paraId="75A39EA9" w14:textId="759B709E" w:rsidR="008E4CF9" w:rsidRPr="008C1445" w:rsidRDefault="008E4CF9" w:rsidP="0041106C">
      <w:pPr>
        <w:jc w:val="center"/>
        <w:rPr>
          <w:rFonts w:ascii="Arial" w:hAnsi="Arial" w:cs="Arial"/>
          <w:b/>
          <w:bCs/>
          <w:sz w:val="22"/>
          <w:szCs w:val="22"/>
          <w:lang w:val="es-ES_tradnl"/>
        </w:rPr>
      </w:pPr>
    </w:p>
    <w:p w14:paraId="0844A27A" w14:textId="5B13C648" w:rsidR="001D47B2" w:rsidRPr="008C1445" w:rsidRDefault="00BC1A47" w:rsidP="0041106C">
      <w:pPr>
        <w:jc w:val="center"/>
        <w:rPr>
          <w:rFonts w:ascii="Arial" w:hAnsi="Arial" w:cs="Arial"/>
          <w:b/>
          <w:bCs/>
          <w:sz w:val="22"/>
          <w:szCs w:val="22"/>
          <w:lang w:val="es-ES_tradnl"/>
        </w:rPr>
      </w:pPr>
      <w:r w:rsidRPr="008C1445">
        <w:rPr>
          <w:rFonts w:ascii="Arial" w:hAnsi="Arial" w:cs="Arial"/>
          <w:b/>
          <w:bCs/>
          <w:sz w:val="22"/>
          <w:szCs w:val="22"/>
          <w:lang w:val="es-ES_tradnl"/>
        </w:rPr>
        <w:t>REGLAMENTO DE CRÉDITO</w:t>
      </w:r>
    </w:p>
    <w:p w14:paraId="4C19C815" w14:textId="237BB492" w:rsidR="001D47B2" w:rsidRPr="008C1445" w:rsidRDefault="001D47B2" w:rsidP="0041106C">
      <w:pPr>
        <w:jc w:val="center"/>
        <w:rPr>
          <w:rFonts w:ascii="Arial" w:hAnsi="Arial" w:cs="Arial"/>
          <w:b/>
          <w:bCs/>
          <w:sz w:val="22"/>
          <w:szCs w:val="22"/>
          <w:lang w:val="es-ES_tradnl"/>
        </w:rPr>
      </w:pPr>
    </w:p>
    <w:p w14:paraId="5BCAFBA9" w14:textId="5A5375E0" w:rsidR="0069739B" w:rsidRPr="008C1445" w:rsidRDefault="0069739B" w:rsidP="0041106C">
      <w:pPr>
        <w:jc w:val="center"/>
        <w:rPr>
          <w:rFonts w:ascii="Arial" w:hAnsi="Arial" w:cs="Arial"/>
          <w:b/>
          <w:bCs/>
          <w:sz w:val="22"/>
          <w:szCs w:val="22"/>
          <w:lang w:val="es-ES_tradnl"/>
        </w:rPr>
      </w:pPr>
    </w:p>
    <w:p w14:paraId="4EDE0BC2" w14:textId="3775F535" w:rsidR="00BC1A47" w:rsidRPr="008C1445" w:rsidRDefault="00BC1A47" w:rsidP="0041106C">
      <w:pPr>
        <w:jc w:val="center"/>
        <w:rPr>
          <w:rFonts w:ascii="Arial" w:hAnsi="Arial" w:cs="Arial"/>
          <w:b/>
          <w:bCs/>
          <w:sz w:val="22"/>
          <w:szCs w:val="22"/>
          <w:lang w:val="es-ES_tradnl"/>
        </w:rPr>
      </w:pPr>
    </w:p>
    <w:p w14:paraId="434CC307" w14:textId="72E2B609" w:rsidR="00BC1A47" w:rsidRPr="008C1445" w:rsidRDefault="00BC1A47" w:rsidP="0041106C">
      <w:pPr>
        <w:jc w:val="center"/>
        <w:rPr>
          <w:rFonts w:ascii="Arial" w:hAnsi="Arial" w:cs="Arial"/>
          <w:b/>
          <w:bCs/>
          <w:sz w:val="22"/>
          <w:szCs w:val="22"/>
          <w:lang w:val="es-ES_tradnl"/>
        </w:rPr>
      </w:pPr>
    </w:p>
    <w:p w14:paraId="7E6E76F2" w14:textId="6ED60F88" w:rsidR="00BC1A47" w:rsidRPr="008C1445" w:rsidRDefault="00BC1A47" w:rsidP="0041106C">
      <w:pPr>
        <w:jc w:val="center"/>
        <w:rPr>
          <w:rFonts w:ascii="Arial" w:hAnsi="Arial" w:cs="Arial"/>
          <w:b/>
          <w:bCs/>
          <w:sz w:val="22"/>
          <w:szCs w:val="22"/>
          <w:lang w:val="es-ES_tradnl"/>
        </w:rPr>
      </w:pPr>
    </w:p>
    <w:p w14:paraId="251ECAB8" w14:textId="2953C77E" w:rsidR="00BC1A47" w:rsidRPr="008C1445" w:rsidRDefault="00BC1A47" w:rsidP="0041106C">
      <w:pPr>
        <w:jc w:val="center"/>
        <w:rPr>
          <w:rFonts w:ascii="Arial" w:hAnsi="Arial" w:cs="Arial"/>
          <w:b/>
          <w:bCs/>
          <w:sz w:val="22"/>
          <w:szCs w:val="22"/>
          <w:lang w:val="es-ES_tradnl"/>
        </w:rPr>
      </w:pPr>
    </w:p>
    <w:p w14:paraId="0E18EDAA" w14:textId="77777777" w:rsidR="00BC1A47" w:rsidRPr="008C1445" w:rsidRDefault="00BC1A47" w:rsidP="0041106C">
      <w:pPr>
        <w:jc w:val="center"/>
        <w:rPr>
          <w:rFonts w:ascii="Arial" w:hAnsi="Arial" w:cs="Arial"/>
          <w:b/>
          <w:bCs/>
          <w:sz w:val="22"/>
          <w:szCs w:val="22"/>
          <w:lang w:val="es-ES_tradnl"/>
        </w:rPr>
      </w:pPr>
    </w:p>
    <w:p w14:paraId="57B47FEC" w14:textId="12EBDCC0" w:rsidR="0069739B" w:rsidRPr="008C1445" w:rsidRDefault="0069739B" w:rsidP="0041106C">
      <w:pPr>
        <w:jc w:val="center"/>
        <w:rPr>
          <w:rFonts w:ascii="Arial" w:hAnsi="Arial" w:cs="Arial"/>
          <w:b/>
          <w:bCs/>
          <w:sz w:val="22"/>
          <w:szCs w:val="22"/>
          <w:lang w:val="es-ES_tradnl"/>
        </w:rPr>
      </w:pPr>
    </w:p>
    <w:p w14:paraId="7D805C28" w14:textId="405C6364" w:rsidR="00BC1A47" w:rsidRPr="008C1445" w:rsidRDefault="00BC1A47" w:rsidP="0041106C">
      <w:pPr>
        <w:jc w:val="center"/>
        <w:rPr>
          <w:rFonts w:ascii="Arial" w:hAnsi="Arial" w:cs="Arial"/>
          <w:b/>
          <w:bCs/>
          <w:sz w:val="22"/>
          <w:szCs w:val="22"/>
          <w:lang w:val="es-ES_tradnl"/>
        </w:rPr>
      </w:pPr>
    </w:p>
    <w:p w14:paraId="335DCCB8" w14:textId="30837D12" w:rsidR="00BC1A47" w:rsidRPr="008C1445" w:rsidRDefault="00BC1A47" w:rsidP="0041106C">
      <w:pPr>
        <w:jc w:val="center"/>
        <w:rPr>
          <w:rFonts w:ascii="Arial" w:hAnsi="Arial" w:cs="Arial"/>
          <w:b/>
          <w:bCs/>
          <w:sz w:val="22"/>
          <w:szCs w:val="22"/>
          <w:lang w:val="es-ES_tradnl"/>
        </w:rPr>
      </w:pPr>
    </w:p>
    <w:p w14:paraId="0F91FBBA" w14:textId="6E72D453" w:rsidR="009A6DAC" w:rsidRPr="008C1445" w:rsidRDefault="009A6DAC" w:rsidP="0041106C">
      <w:pPr>
        <w:jc w:val="center"/>
        <w:rPr>
          <w:rFonts w:ascii="Arial" w:hAnsi="Arial" w:cs="Arial"/>
          <w:b/>
          <w:bCs/>
          <w:sz w:val="22"/>
          <w:szCs w:val="22"/>
          <w:lang w:val="es-ES_tradnl"/>
        </w:rPr>
      </w:pPr>
    </w:p>
    <w:p w14:paraId="4648787A" w14:textId="6542B1C4" w:rsidR="009A6DAC" w:rsidRPr="008C1445" w:rsidRDefault="009A6DAC" w:rsidP="0041106C">
      <w:pPr>
        <w:jc w:val="center"/>
        <w:rPr>
          <w:rFonts w:ascii="Arial" w:hAnsi="Arial" w:cs="Arial"/>
          <w:b/>
          <w:bCs/>
          <w:sz w:val="22"/>
          <w:szCs w:val="22"/>
          <w:lang w:val="es-ES_tradnl"/>
        </w:rPr>
      </w:pPr>
    </w:p>
    <w:p w14:paraId="4AAA970D" w14:textId="0D71A850" w:rsidR="009A6DAC" w:rsidRPr="008C1445" w:rsidRDefault="009A6DAC" w:rsidP="0041106C">
      <w:pPr>
        <w:jc w:val="center"/>
        <w:rPr>
          <w:rFonts w:ascii="Arial" w:hAnsi="Arial" w:cs="Arial"/>
          <w:b/>
          <w:bCs/>
          <w:sz w:val="22"/>
          <w:szCs w:val="22"/>
          <w:lang w:val="es-ES_tradnl"/>
        </w:rPr>
      </w:pPr>
    </w:p>
    <w:p w14:paraId="5C52CFB1" w14:textId="77777777" w:rsidR="009A6DAC" w:rsidRPr="008C1445" w:rsidRDefault="009A6DAC" w:rsidP="0041106C">
      <w:pPr>
        <w:jc w:val="center"/>
        <w:rPr>
          <w:rFonts w:ascii="Arial" w:hAnsi="Arial" w:cs="Arial"/>
          <w:b/>
          <w:bCs/>
          <w:sz w:val="22"/>
          <w:szCs w:val="22"/>
          <w:lang w:val="es-ES_tradnl"/>
        </w:rPr>
      </w:pPr>
    </w:p>
    <w:p w14:paraId="0A8C13A1" w14:textId="77777777" w:rsidR="0069739B" w:rsidRPr="008C1445" w:rsidRDefault="0069739B" w:rsidP="0041106C">
      <w:pPr>
        <w:jc w:val="center"/>
        <w:rPr>
          <w:rFonts w:ascii="Arial" w:hAnsi="Arial" w:cs="Arial"/>
          <w:b/>
          <w:bCs/>
          <w:sz w:val="22"/>
          <w:szCs w:val="22"/>
          <w:lang w:val="es-ES_tradnl"/>
        </w:rPr>
      </w:pPr>
    </w:p>
    <w:p w14:paraId="141DBC73" w14:textId="4EDFE512" w:rsidR="001D47B2" w:rsidRPr="008C1445" w:rsidRDefault="00BC1A47" w:rsidP="0041106C">
      <w:pPr>
        <w:jc w:val="center"/>
        <w:rPr>
          <w:rFonts w:ascii="Arial" w:hAnsi="Arial" w:cs="Arial"/>
          <w:b/>
          <w:bCs/>
          <w:sz w:val="22"/>
          <w:szCs w:val="22"/>
          <w:lang w:val="es-ES_tradnl"/>
        </w:rPr>
      </w:pPr>
      <w:r w:rsidRPr="008C1445">
        <w:rPr>
          <w:rFonts w:ascii="Arial" w:hAnsi="Arial" w:cs="Arial"/>
          <w:b/>
          <w:bCs/>
          <w:sz w:val="22"/>
          <w:szCs w:val="22"/>
          <w:lang w:val="es-ES_tradnl"/>
        </w:rPr>
        <w:t>ABRIL DE 2020</w:t>
      </w:r>
    </w:p>
    <w:p w14:paraId="343214B8" w14:textId="77777777" w:rsidR="001D47B2" w:rsidRPr="008C1445" w:rsidRDefault="001D47B2" w:rsidP="00BC1A47">
      <w:pPr>
        <w:jc w:val="center"/>
        <w:rPr>
          <w:rFonts w:ascii="Arial" w:hAnsi="Arial" w:cs="Arial"/>
          <w:b/>
          <w:bCs/>
          <w:sz w:val="22"/>
          <w:szCs w:val="22"/>
          <w:lang w:val="es-ES_tradnl"/>
        </w:rPr>
      </w:pPr>
    </w:p>
    <w:p w14:paraId="37F51DCA" w14:textId="77777777" w:rsidR="00D410AB" w:rsidRPr="00DB68CC" w:rsidRDefault="00D410AB" w:rsidP="00BC1A47">
      <w:pPr>
        <w:jc w:val="center"/>
        <w:rPr>
          <w:b/>
          <w:bCs/>
          <w:sz w:val="22"/>
          <w:szCs w:val="22"/>
          <w:lang w:val="es-ES_tradnl"/>
        </w:rPr>
        <w:sectPr w:rsidR="00D410AB" w:rsidRPr="00DB68CC" w:rsidSect="00093F98">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titlePg/>
          <w:docGrid w:linePitch="272"/>
        </w:sectPr>
      </w:pPr>
    </w:p>
    <w:p w14:paraId="23CAC0BB" w14:textId="25490586" w:rsidR="0041106C" w:rsidRPr="00DB68CC" w:rsidRDefault="0041106C">
      <w:pPr>
        <w:rPr>
          <w:rFonts w:ascii="Arial" w:hAnsi="Arial" w:cs="Arial"/>
          <w:b/>
          <w:smallCaps/>
          <w:sz w:val="22"/>
          <w:szCs w:val="22"/>
          <w:lang w:val="es-ES_tradnl"/>
        </w:rPr>
      </w:pPr>
    </w:p>
    <w:sdt>
      <w:sdtPr>
        <w:rPr>
          <w:rFonts w:ascii="Arial" w:eastAsia="Times New Roman" w:hAnsi="Arial" w:cs="Arial"/>
          <w:color w:val="auto"/>
          <w:sz w:val="22"/>
          <w:szCs w:val="22"/>
          <w:lang w:val="es-ES_tradnl" w:eastAsia="es-MX"/>
        </w:rPr>
        <w:id w:val="1362858092"/>
        <w:docPartObj>
          <w:docPartGallery w:val="Table of Contents"/>
          <w:docPartUnique/>
        </w:docPartObj>
      </w:sdtPr>
      <w:sdtEndPr>
        <w:rPr>
          <w:b/>
          <w:bCs/>
        </w:rPr>
      </w:sdtEndPr>
      <w:sdtContent>
        <w:p w14:paraId="266969DF" w14:textId="0B7D0302" w:rsidR="0041106C" w:rsidRPr="00DB68CC" w:rsidRDefault="0041106C">
          <w:pPr>
            <w:pStyle w:val="TOCHeading"/>
            <w:rPr>
              <w:rFonts w:ascii="Arial" w:hAnsi="Arial" w:cs="Arial"/>
              <w:sz w:val="22"/>
              <w:szCs w:val="22"/>
              <w:lang w:val="es-ES_tradnl"/>
            </w:rPr>
          </w:pPr>
        </w:p>
        <w:p w14:paraId="3F050035" w14:textId="703F75EC" w:rsidR="0008446B" w:rsidRPr="00DB68CC" w:rsidRDefault="0041106C" w:rsidP="00DB68CC">
          <w:pPr>
            <w:pStyle w:val="TOC1"/>
            <w:spacing w:before="60" w:after="60"/>
            <w:rPr>
              <w:rFonts w:ascii="Arial" w:eastAsiaTheme="minorEastAsia" w:hAnsi="Arial" w:cs="Arial"/>
              <w:smallCaps w:val="0"/>
              <w:noProof w:val="0"/>
              <w:sz w:val="22"/>
              <w:szCs w:val="22"/>
              <w:lang w:val="es-ES_tradnl" w:eastAsia="es-EC"/>
            </w:rPr>
          </w:pPr>
          <w:r w:rsidRPr="00DB68CC">
            <w:rPr>
              <w:rFonts w:ascii="Arial" w:hAnsi="Arial" w:cs="Arial"/>
              <w:noProof w:val="0"/>
              <w:sz w:val="22"/>
              <w:szCs w:val="22"/>
              <w:lang w:val="es-ES_tradnl"/>
            </w:rPr>
            <w:fldChar w:fldCharType="begin"/>
          </w:r>
          <w:r w:rsidRPr="00DB68CC">
            <w:rPr>
              <w:rFonts w:ascii="Arial" w:hAnsi="Arial" w:cs="Arial"/>
              <w:noProof w:val="0"/>
              <w:sz w:val="22"/>
              <w:szCs w:val="22"/>
              <w:lang w:val="es-ES_tradnl"/>
            </w:rPr>
            <w:instrText xml:space="preserve"> TOC \o "1-3" \h \z \u </w:instrText>
          </w:r>
          <w:r w:rsidRPr="00DB68CC">
            <w:rPr>
              <w:rFonts w:ascii="Arial" w:hAnsi="Arial" w:cs="Arial"/>
              <w:noProof w:val="0"/>
              <w:sz w:val="22"/>
              <w:szCs w:val="22"/>
              <w:lang w:val="es-ES_tradnl"/>
            </w:rPr>
            <w:fldChar w:fldCharType="separate"/>
          </w:r>
          <w:hyperlink w:anchor="_Toc37603060" w:history="1">
            <w:r w:rsidR="0008446B" w:rsidRPr="00DB68CC">
              <w:rPr>
                <w:rStyle w:val="Hyperlink"/>
                <w:rFonts w:ascii="Arial" w:hAnsi="Arial" w:cs="Arial"/>
                <w:noProof w:val="0"/>
                <w:sz w:val="22"/>
                <w:szCs w:val="22"/>
                <w:lang w:val="es-ES_tradnl"/>
              </w:rPr>
              <w:t>1.</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Introducción</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_Toc37603060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3</w:t>
            </w:r>
            <w:r w:rsidR="0008446B" w:rsidRPr="00DB68CC">
              <w:rPr>
                <w:rFonts w:ascii="Arial" w:hAnsi="Arial" w:cs="Arial"/>
                <w:noProof w:val="0"/>
                <w:webHidden/>
                <w:sz w:val="22"/>
                <w:szCs w:val="22"/>
                <w:lang w:val="es-ES_tradnl"/>
              </w:rPr>
              <w:fldChar w:fldCharType="end"/>
            </w:r>
          </w:hyperlink>
        </w:p>
        <w:p w14:paraId="3DE5D4E9" w14:textId="79FBEDA5"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1" w:history="1">
            <w:r w:rsidR="0008446B" w:rsidRPr="00DB68CC">
              <w:rPr>
                <w:rStyle w:val="Hyperlink"/>
                <w:rFonts w:ascii="Arial" w:hAnsi="Arial" w:cs="Arial"/>
                <w:noProof w:val="0"/>
                <w:sz w:val="22"/>
                <w:szCs w:val="22"/>
                <w:lang w:val="es-ES_tradnl"/>
              </w:rPr>
              <w:t>2.</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Definiciones</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_Toc37603061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3</w:t>
            </w:r>
            <w:r w:rsidR="0008446B" w:rsidRPr="00DB68CC">
              <w:rPr>
                <w:rFonts w:ascii="Arial" w:hAnsi="Arial" w:cs="Arial"/>
                <w:noProof w:val="0"/>
                <w:webHidden/>
                <w:sz w:val="22"/>
                <w:szCs w:val="22"/>
                <w:lang w:val="es-ES_tradnl"/>
              </w:rPr>
              <w:fldChar w:fldCharType="end"/>
            </w:r>
          </w:hyperlink>
        </w:p>
        <w:p w14:paraId="3525B873" w14:textId="32F71475"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2" w:history="1">
            <w:r w:rsidR="0008446B" w:rsidRPr="00DB68CC">
              <w:rPr>
                <w:rStyle w:val="Hyperlink"/>
                <w:rFonts w:ascii="Arial" w:hAnsi="Arial" w:cs="Arial"/>
                <w:noProof w:val="0"/>
                <w:sz w:val="22"/>
                <w:szCs w:val="22"/>
                <w:lang w:val="es-ES_tradnl"/>
              </w:rPr>
              <w:t>3.</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Responsabilidad de Coordinación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_Toc37603062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4</w:t>
            </w:r>
            <w:r w:rsidR="0008446B" w:rsidRPr="00DB68CC">
              <w:rPr>
                <w:rFonts w:ascii="Arial" w:hAnsi="Arial" w:cs="Arial"/>
                <w:noProof w:val="0"/>
                <w:webHidden/>
                <w:sz w:val="22"/>
                <w:szCs w:val="22"/>
                <w:lang w:val="es-ES_tradnl"/>
              </w:rPr>
              <w:fldChar w:fldCharType="end"/>
            </w:r>
          </w:hyperlink>
        </w:p>
        <w:p w14:paraId="0321EA66" w14:textId="391AC997"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3" w:history="1">
            <w:r w:rsidR="0008446B" w:rsidRPr="00DB68CC">
              <w:rPr>
                <w:rStyle w:val="Hyperlink"/>
                <w:rFonts w:ascii="Arial" w:hAnsi="Arial" w:cs="Arial"/>
                <w:noProof w:val="0"/>
                <w:sz w:val="22"/>
                <w:szCs w:val="22"/>
                <w:lang w:val="es-ES_tradnl"/>
              </w:rPr>
              <w:t>4.</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Descripción General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_Toc37603063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4</w:t>
            </w:r>
            <w:r w:rsidR="0008446B" w:rsidRPr="00DB68CC">
              <w:rPr>
                <w:rFonts w:ascii="Arial" w:hAnsi="Arial" w:cs="Arial"/>
                <w:noProof w:val="0"/>
                <w:webHidden/>
                <w:sz w:val="22"/>
                <w:szCs w:val="22"/>
                <w:lang w:val="es-ES_tradnl"/>
              </w:rPr>
              <w:fldChar w:fldCharType="end"/>
            </w:r>
          </w:hyperlink>
        </w:p>
        <w:p w14:paraId="4729FDA2" w14:textId="3A9569D8"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4" w:history="1">
            <w:r w:rsidR="0008446B" w:rsidRPr="00DB68CC">
              <w:rPr>
                <w:rStyle w:val="Hyperlink"/>
                <w:rFonts w:ascii="Arial" w:hAnsi="Arial" w:cs="Arial"/>
                <w:noProof w:val="0"/>
                <w:sz w:val="22"/>
                <w:szCs w:val="22"/>
                <w:lang w:val="es-ES_tradnl"/>
              </w:rPr>
              <w:t>5.</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Reglamento de Crédito: Características Generales de las Bancas a Ser Fondeadas con Recursos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_Toc37603064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6</w:t>
            </w:r>
            <w:r w:rsidR="0008446B" w:rsidRPr="00DB68CC">
              <w:rPr>
                <w:rFonts w:ascii="Arial" w:hAnsi="Arial" w:cs="Arial"/>
                <w:noProof w:val="0"/>
                <w:webHidden/>
                <w:sz w:val="22"/>
                <w:szCs w:val="22"/>
                <w:lang w:val="es-ES_tradnl"/>
              </w:rPr>
              <w:fldChar w:fldCharType="end"/>
            </w:r>
          </w:hyperlink>
        </w:p>
        <w:p w14:paraId="30F3FAA2" w14:textId="7DE302E6"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5" w:history="1">
            <w:r w:rsidR="0008446B" w:rsidRPr="00DB68CC">
              <w:rPr>
                <w:rStyle w:val="Hyperlink"/>
                <w:rFonts w:ascii="Arial" w:hAnsi="Arial" w:cs="Arial"/>
                <w:noProof w:val="0"/>
                <w:sz w:val="22"/>
                <w:szCs w:val="22"/>
                <w:lang w:val="es-ES_tradnl"/>
              </w:rPr>
              <w:t>6.</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Reglamento de Crédito: Evaluación de Riesgos Banca de Segundo Piso</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_Toc37603065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8</w:t>
            </w:r>
            <w:r w:rsidR="0008446B" w:rsidRPr="00DB68CC">
              <w:rPr>
                <w:rFonts w:ascii="Arial" w:hAnsi="Arial" w:cs="Arial"/>
                <w:noProof w:val="0"/>
                <w:webHidden/>
                <w:sz w:val="22"/>
                <w:szCs w:val="22"/>
                <w:lang w:val="es-ES_tradnl"/>
              </w:rPr>
              <w:fldChar w:fldCharType="end"/>
            </w:r>
          </w:hyperlink>
        </w:p>
        <w:p w14:paraId="1AE2EDF9" w14:textId="12592903"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6" w:history="1">
            <w:r w:rsidR="0008446B" w:rsidRPr="00DB68CC">
              <w:rPr>
                <w:rStyle w:val="Hyperlink"/>
                <w:rFonts w:ascii="Arial" w:hAnsi="Arial" w:cs="Arial"/>
                <w:noProof w:val="0"/>
                <w:sz w:val="22"/>
                <w:szCs w:val="22"/>
                <w:lang w:val="es-ES_tradnl"/>
              </w:rPr>
              <w:t>7.</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Reglamento de Crédito: Características Específicas de los Subpréstamos Sujetos a Financiación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_Toc37603066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10</w:t>
            </w:r>
            <w:r w:rsidR="0008446B" w:rsidRPr="00DB68CC">
              <w:rPr>
                <w:rFonts w:ascii="Arial" w:hAnsi="Arial" w:cs="Arial"/>
                <w:noProof w:val="0"/>
                <w:webHidden/>
                <w:sz w:val="22"/>
                <w:szCs w:val="22"/>
                <w:lang w:val="es-ES_tradnl"/>
              </w:rPr>
              <w:fldChar w:fldCharType="end"/>
            </w:r>
          </w:hyperlink>
        </w:p>
        <w:p w14:paraId="0ED02A20" w14:textId="2838B8AE"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7" w:history="1">
            <w:r w:rsidR="0008446B" w:rsidRPr="00DB68CC">
              <w:rPr>
                <w:rStyle w:val="Hyperlink"/>
                <w:rFonts w:ascii="Arial" w:hAnsi="Arial" w:cs="Arial"/>
                <w:noProof w:val="0"/>
                <w:sz w:val="22"/>
                <w:szCs w:val="22"/>
                <w:highlight w:val="green"/>
                <w:lang w:val="es-ES_tradnl"/>
              </w:rPr>
              <w:t>8.</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highlight w:val="green"/>
                <w:lang w:val="es-ES_tradnl"/>
              </w:rPr>
              <w:t>FOGEPS: Reglamento para la concesión de Garantías</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_Toc37603067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11</w:t>
            </w:r>
            <w:r w:rsidR="0008446B" w:rsidRPr="00DB68CC">
              <w:rPr>
                <w:rFonts w:ascii="Arial" w:hAnsi="Arial" w:cs="Arial"/>
                <w:noProof w:val="0"/>
                <w:webHidden/>
                <w:sz w:val="22"/>
                <w:szCs w:val="22"/>
                <w:lang w:val="es-ES_tradnl"/>
              </w:rPr>
              <w:fldChar w:fldCharType="end"/>
            </w:r>
          </w:hyperlink>
        </w:p>
        <w:p w14:paraId="62ECB7BC" w14:textId="1DF88DB5"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8" w:history="1">
            <w:r w:rsidR="0008446B" w:rsidRPr="00DB68CC">
              <w:rPr>
                <w:rStyle w:val="Hyperlink"/>
                <w:rFonts w:ascii="Arial" w:hAnsi="Arial" w:cs="Arial"/>
                <w:noProof w:val="0"/>
                <w:sz w:val="22"/>
                <w:szCs w:val="22"/>
                <w:lang w:val="es-ES_tradnl"/>
              </w:rPr>
              <w:t>9.</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Requerimientos Ambientales y Sociales (‘Saras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_Toc37603068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12</w:t>
            </w:r>
            <w:r w:rsidR="0008446B" w:rsidRPr="00DB68CC">
              <w:rPr>
                <w:rFonts w:ascii="Arial" w:hAnsi="Arial" w:cs="Arial"/>
                <w:noProof w:val="0"/>
                <w:webHidden/>
                <w:sz w:val="22"/>
                <w:szCs w:val="22"/>
                <w:lang w:val="es-ES_tradnl"/>
              </w:rPr>
              <w:fldChar w:fldCharType="end"/>
            </w:r>
          </w:hyperlink>
        </w:p>
        <w:p w14:paraId="2E518449" w14:textId="337752A2"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69" w:history="1">
            <w:r w:rsidR="0008446B" w:rsidRPr="00DB68CC">
              <w:rPr>
                <w:rStyle w:val="Hyperlink"/>
                <w:rFonts w:ascii="Arial" w:hAnsi="Arial" w:cs="Arial"/>
                <w:noProof w:val="0"/>
                <w:sz w:val="22"/>
                <w:szCs w:val="22"/>
                <w:lang w:val="es-ES_tradnl"/>
              </w:rPr>
              <w:t>10.</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Otras Condiciones de los Subpréstamos con Financiación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_Toc37603069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12</w:t>
            </w:r>
            <w:r w:rsidR="0008446B" w:rsidRPr="00DB68CC">
              <w:rPr>
                <w:rFonts w:ascii="Arial" w:hAnsi="Arial" w:cs="Arial"/>
                <w:noProof w:val="0"/>
                <w:webHidden/>
                <w:sz w:val="22"/>
                <w:szCs w:val="22"/>
                <w:lang w:val="es-ES_tradnl"/>
              </w:rPr>
              <w:fldChar w:fldCharType="end"/>
            </w:r>
          </w:hyperlink>
        </w:p>
        <w:p w14:paraId="084CA7F5" w14:textId="2702024E"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70" w:history="1">
            <w:r w:rsidR="0008446B" w:rsidRPr="00DB68CC">
              <w:rPr>
                <w:rStyle w:val="Hyperlink"/>
                <w:rFonts w:ascii="Arial" w:hAnsi="Arial" w:cs="Arial"/>
                <w:noProof w:val="0"/>
                <w:sz w:val="22"/>
                <w:szCs w:val="22"/>
                <w:lang w:val="es-ES_tradnl"/>
              </w:rPr>
              <w:t>11.</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Reporte y Monitoreo</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_Toc37603070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13</w:t>
            </w:r>
            <w:r w:rsidR="0008446B" w:rsidRPr="00DB68CC">
              <w:rPr>
                <w:rFonts w:ascii="Arial" w:hAnsi="Arial" w:cs="Arial"/>
                <w:noProof w:val="0"/>
                <w:webHidden/>
                <w:sz w:val="22"/>
                <w:szCs w:val="22"/>
                <w:lang w:val="es-ES_tradnl"/>
              </w:rPr>
              <w:fldChar w:fldCharType="end"/>
            </w:r>
          </w:hyperlink>
        </w:p>
        <w:p w14:paraId="7FD427C2" w14:textId="6740B0B9"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71" w:history="1">
            <w:r w:rsidR="0008446B" w:rsidRPr="00DB68CC">
              <w:rPr>
                <w:rStyle w:val="Hyperlink"/>
                <w:rFonts w:ascii="Arial" w:hAnsi="Arial" w:cs="Arial"/>
                <w:noProof w:val="0"/>
                <w:sz w:val="22"/>
                <w:szCs w:val="22"/>
                <w:lang w:val="es-ES_tradnl"/>
              </w:rPr>
              <w:t>12.</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Acuerdos Para La Gestión Financiera del Programa</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_Toc37603071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14</w:t>
            </w:r>
            <w:r w:rsidR="0008446B" w:rsidRPr="00DB68CC">
              <w:rPr>
                <w:rFonts w:ascii="Arial" w:hAnsi="Arial" w:cs="Arial"/>
                <w:noProof w:val="0"/>
                <w:webHidden/>
                <w:sz w:val="22"/>
                <w:szCs w:val="22"/>
                <w:lang w:val="es-ES_tradnl"/>
              </w:rPr>
              <w:fldChar w:fldCharType="end"/>
            </w:r>
          </w:hyperlink>
        </w:p>
        <w:p w14:paraId="090641CE" w14:textId="26AF1CFD"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72" w:history="1">
            <w:r w:rsidR="0008446B" w:rsidRPr="00DB68CC">
              <w:rPr>
                <w:rStyle w:val="Hyperlink"/>
                <w:rFonts w:ascii="Arial" w:hAnsi="Arial" w:cs="Arial"/>
                <w:noProof w:val="0"/>
                <w:sz w:val="22"/>
                <w:szCs w:val="22"/>
                <w:lang w:val="es-ES_tradnl"/>
              </w:rPr>
              <w:t>13.</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Modificación de Disposiciones Legales y de Este reglamento Operativo</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_Toc37603072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16</w:t>
            </w:r>
            <w:r w:rsidR="0008446B" w:rsidRPr="00DB68CC">
              <w:rPr>
                <w:rFonts w:ascii="Arial" w:hAnsi="Arial" w:cs="Arial"/>
                <w:noProof w:val="0"/>
                <w:webHidden/>
                <w:sz w:val="22"/>
                <w:szCs w:val="22"/>
                <w:lang w:val="es-ES_tradnl"/>
              </w:rPr>
              <w:fldChar w:fldCharType="end"/>
            </w:r>
          </w:hyperlink>
        </w:p>
        <w:p w14:paraId="501726EB" w14:textId="2B358A46" w:rsidR="0008446B" w:rsidRPr="00DB68CC" w:rsidRDefault="00D72792" w:rsidP="00DB68CC">
          <w:pPr>
            <w:pStyle w:val="TOC1"/>
            <w:spacing w:before="60" w:after="60"/>
            <w:rPr>
              <w:rFonts w:ascii="Arial" w:eastAsiaTheme="minorEastAsia" w:hAnsi="Arial" w:cs="Arial"/>
              <w:smallCaps w:val="0"/>
              <w:noProof w:val="0"/>
              <w:sz w:val="22"/>
              <w:szCs w:val="22"/>
              <w:lang w:val="es-ES_tradnl" w:eastAsia="es-EC"/>
            </w:rPr>
          </w:pPr>
          <w:hyperlink w:anchor="_Toc37603073" w:history="1">
            <w:r w:rsidR="0008446B" w:rsidRPr="00DB68CC">
              <w:rPr>
                <w:rStyle w:val="Hyperlink"/>
                <w:rFonts w:ascii="Arial" w:hAnsi="Arial" w:cs="Arial"/>
                <w:noProof w:val="0"/>
                <w:sz w:val="22"/>
                <w:szCs w:val="22"/>
                <w:lang w:val="es-ES_tradnl"/>
              </w:rPr>
              <w:t>14.</w:t>
            </w:r>
            <w:r w:rsidR="0008446B" w:rsidRPr="00DB68CC">
              <w:rPr>
                <w:rFonts w:ascii="Arial" w:eastAsiaTheme="minorEastAsia" w:hAnsi="Arial" w:cs="Arial"/>
                <w:smallCaps w:val="0"/>
                <w:noProof w:val="0"/>
                <w:sz w:val="22"/>
                <w:szCs w:val="22"/>
                <w:lang w:val="es-ES_tradnl" w:eastAsia="es-EC"/>
              </w:rPr>
              <w:tab/>
            </w:r>
            <w:r w:rsidR="0008446B" w:rsidRPr="00DB68CC">
              <w:rPr>
                <w:rStyle w:val="Hyperlink"/>
                <w:rFonts w:ascii="Arial" w:hAnsi="Arial" w:cs="Arial"/>
                <w:noProof w:val="0"/>
                <w:sz w:val="22"/>
                <w:szCs w:val="22"/>
                <w:lang w:val="es-ES_tradnl"/>
              </w:rPr>
              <w:t>ANEXOS</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_Toc37603073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17</w:t>
            </w:r>
            <w:r w:rsidR="0008446B" w:rsidRPr="00DB68CC">
              <w:rPr>
                <w:rFonts w:ascii="Arial" w:hAnsi="Arial" w:cs="Arial"/>
                <w:noProof w:val="0"/>
                <w:webHidden/>
                <w:sz w:val="22"/>
                <w:szCs w:val="22"/>
                <w:lang w:val="es-ES_tradnl"/>
              </w:rPr>
              <w:fldChar w:fldCharType="end"/>
            </w:r>
          </w:hyperlink>
        </w:p>
        <w:p w14:paraId="233CF039" w14:textId="3A666C45" w:rsidR="0008446B" w:rsidRPr="00DB68CC" w:rsidRDefault="00D72792" w:rsidP="00DB68CC">
          <w:pPr>
            <w:pStyle w:val="TOC2"/>
            <w:spacing w:before="60" w:after="60"/>
            <w:rPr>
              <w:rFonts w:ascii="Arial" w:eastAsiaTheme="minorEastAsia" w:hAnsi="Arial" w:cs="Arial"/>
              <w:noProof w:val="0"/>
              <w:sz w:val="22"/>
              <w:szCs w:val="22"/>
              <w:lang w:val="es-ES_tradnl" w:eastAsia="es-EC"/>
            </w:rPr>
          </w:pPr>
          <w:hyperlink w:anchor="_Toc37603074" w:history="1">
            <w:r w:rsidR="0008446B" w:rsidRPr="00DB68CC">
              <w:rPr>
                <w:rStyle w:val="Hyperlink"/>
                <w:rFonts w:ascii="Arial" w:hAnsi="Arial" w:cs="Arial"/>
                <w:iCs/>
                <w:noProof w:val="0"/>
                <w:sz w:val="22"/>
                <w:szCs w:val="22"/>
                <w:lang w:val="es-ES_tradnl"/>
              </w:rPr>
              <w:t>Anexo 1: Lista de exclusión</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_Toc37603074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18</w:t>
            </w:r>
            <w:r w:rsidR="0008446B" w:rsidRPr="00DB68CC">
              <w:rPr>
                <w:rFonts w:ascii="Arial" w:hAnsi="Arial" w:cs="Arial"/>
                <w:noProof w:val="0"/>
                <w:webHidden/>
                <w:sz w:val="22"/>
                <w:szCs w:val="22"/>
                <w:lang w:val="es-ES_tradnl"/>
              </w:rPr>
              <w:fldChar w:fldCharType="end"/>
            </w:r>
          </w:hyperlink>
        </w:p>
        <w:p w14:paraId="73D86EEE" w14:textId="35A7905A" w:rsidR="0008446B" w:rsidRPr="00DB68CC" w:rsidRDefault="00D72792" w:rsidP="00DB68CC">
          <w:pPr>
            <w:pStyle w:val="TOC2"/>
            <w:spacing w:before="60" w:after="60"/>
            <w:rPr>
              <w:rFonts w:ascii="Arial" w:eastAsiaTheme="minorEastAsia" w:hAnsi="Arial" w:cs="Arial"/>
              <w:noProof w:val="0"/>
              <w:sz w:val="22"/>
              <w:szCs w:val="22"/>
              <w:lang w:val="es-ES_tradnl" w:eastAsia="es-EC"/>
            </w:rPr>
          </w:pPr>
          <w:hyperlink w:anchor="_Toc37603075" w:history="1">
            <w:r w:rsidR="0008446B" w:rsidRPr="00DB68CC">
              <w:rPr>
                <w:rStyle w:val="Hyperlink"/>
                <w:rFonts w:ascii="Arial" w:hAnsi="Arial" w:cs="Arial"/>
                <w:iCs/>
                <w:noProof w:val="0"/>
                <w:sz w:val="22"/>
                <w:szCs w:val="22"/>
                <w:lang w:val="es-ES_tradnl"/>
              </w:rPr>
              <w:t>Anexo 2: Lista de Países Miembros</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_Toc37603075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21</w:t>
            </w:r>
            <w:r w:rsidR="0008446B" w:rsidRPr="00DB68CC">
              <w:rPr>
                <w:rFonts w:ascii="Arial" w:hAnsi="Arial" w:cs="Arial"/>
                <w:noProof w:val="0"/>
                <w:webHidden/>
                <w:sz w:val="22"/>
                <w:szCs w:val="22"/>
                <w:lang w:val="es-ES_tradnl"/>
              </w:rPr>
              <w:fldChar w:fldCharType="end"/>
            </w:r>
          </w:hyperlink>
        </w:p>
        <w:p w14:paraId="51249174" w14:textId="3D1093E9" w:rsidR="0008446B" w:rsidRPr="00DB68CC" w:rsidRDefault="00D72792" w:rsidP="00DB68CC">
          <w:pPr>
            <w:pStyle w:val="TOC2"/>
            <w:spacing w:before="60" w:after="60"/>
            <w:rPr>
              <w:rFonts w:ascii="Arial" w:eastAsiaTheme="minorEastAsia" w:hAnsi="Arial" w:cs="Arial"/>
              <w:noProof w:val="0"/>
              <w:sz w:val="22"/>
              <w:szCs w:val="22"/>
              <w:lang w:val="es-ES_tradnl" w:eastAsia="es-EC"/>
            </w:rPr>
          </w:pPr>
          <w:hyperlink w:anchor="_Toc37603076" w:history="1">
            <w:r w:rsidR="0008446B" w:rsidRPr="00DB68CC">
              <w:rPr>
                <w:rStyle w:val="Hyperlink"/>
                <w:rFonts w:ascii="Arial" w:hAnsi="Arial" w:cs="Arial"/>
                <w:iCs/>
                <w:noProof w:val="0"/>
                <w:sz w:val="22"/>
                <w:szCs w:val="22"/>
                <w:lang w:val="es-ES_tradnl"/>
              </w:rPr>
              <w:t>Anexo 3: Reporte de desempeno socioambiental semestral</w:t>
            </w:r>
            <w:r w:rsidR="0008446B" w:rsidRPr="00DB68CC">
              <w:rPr>
                <w:rFonts w:ascii="Arial" w:hAnsi="Arial" w:cs="Arial"/>
                <w:noProof w:val="0"/>
                <w:webHidden/>
                <w:sz w:val="22"/>
                <w:szCs w:val="22"/>
                <w:lang w:val="es-ES_tradnl"/>
              </w:rPr>
              <w:tab/>
            </w:r>
            <w:r w:rsidR="0008446B" w:rsidRPr="00DB68CC">
              <w:rPr>
                <w:rFonts w:ascii="Arial" w:hAnsi="Arial" w:cs="Arial"/>
                <w:noProof w:val="0"/>
                <w:webHidden/>
                <w:sz w:val="22"/>
                <w:szCs w:val="22"/>
                <w:lang w:val="es-ES_tradnl"/>
              </w:rPr>
              <w:fldChar w:fldCharType="begin"/>
            </w:r>
            <w:r w:rsidR="0008446B" w:rsidRPr="00DB68CC">
              <w:rPr>
                <w:rFonts w:ascii="Arial" w:hAnsi="Arial" w:cs="Arial"/>
                <w:noProof w:val="0"/>
                <w:webHidden/>
                <w:sz w:val="22"/>
                <w:szCs w:val="22"/>
                <w:lang w:val="es-ES_tradnl"/>
              </w:rPr>
              <w:instrText xml:space="preserve"> PAGEREF _Toc37603076 \h </w:instrText>
            </w:r>
            <w:r w:rsidR="0008446B" w:rsidRPr="00DB68CC">
              <w:rPr>
                <w:rFonts w:ascii="Arial" w:hAnsi="Arial" w:cs="Arial"/>
                <w:noProof w:val="0"/>
                <w:webHidden/>
                <w:sz w:val="22"/>
                <w:szCs w:val="22"/>
                <w:lang w:val="es-ES_tradnl"/>
              </w:rPr>
            </w:r>
            <w:r w:rsidR="0008446B" w:rsidRPr="00DB68CC">
              <w:rPr>
                <w:rFonts w:ascii="Arial" w:hAnsi="Arial" w:cs="Arial"/>
                <w:noProof w:val="0"/>
                <w:webHidden/>
                <w:sz w:val="22"/>
                <w:szCs w:val="22"/>
                <w:lang w:val="es-ES_tradnl"/>
              </w:rPr>
              <w:fldChar w:fldCharType="separate"/>
            </w:r>
            <w:r w:rsidR="0008446B" w:rsidRPr="00DB68CC">
              <w:rPr>
                <w:rFonts w:ascii="Arial" w:hAnsi="Arial" w:cs="Arial"/>
                <w:noProof w:val="0"/>
                <w:webHidden/>
                <w:sz w:val="22"/>
                <w:szCs w:val="22"/>
                <w:lang w:val="es-ES_tradnl"/>
              </w:rPr>
              <w:t>25</w:t>
            </w:r>
            <w:r w:rsidR="0008446B" w:rsidRPr="00DB68CC">
              <w:rPr>
                <w:rFonts w:ascii="Arial" w:hAnsi="Arial" w:cs="Arial"/>
                <w:noProof w:val="0"/>
                <w:webHidden/>
                <w:sz w:val="22"/>
                <w:szCs w:val="22"/>
                <w:lang w:val="es-ES_tradnl"/>
              </w:rPr>
              <w:fldChar w:fldCharType="end"/>
            </w:r>
          </w:hyperlink>
        </w:p>
        <w:p w14:paraId="350F4EF4" w14:textId="02ECE5B0" w:rsidR="0041106C" w:rsidRPr="00DB68CC" w:rsidRDefault="0041106C" w:rsidP="00DB68CC">
          <w:pPr>
            <w:spacing w:before="60" w:after="60"/>
            <w:rPr>
              <w:rFonts w:ascii="Arial" w:hAnsi="Arial" w:cs="Arial"/>
              <w:sz w:val="22"/>
              <w:szCs w:val="22"/>
              <w:lang w:val="es-ES_tradnl"/>
            </w:rPr>
          </w:pPr>
          <w:r w:rsidRPr="00DB68CC">
            <w:rPr>
              <w:rFonts w:ascii="Arial" w:hAnsi="Arial" w:cs="Arial"/>
              <w:b/>
              <w:bCs/>
              <w:sz w:val="22"/>
              <w:szCs w:val="22"/>
              <w:lang w:val="es-ES_tradnl"/>
            </w:rPr>
            <w:fldChar w:fldCharType="end"/>
          </w:r>
        </w:p>
      </w:sdtContent>
    </w:sdt>
    <w:p w14:paraId="1242554C" w14:textId="77777777" w:rsidR="0041106C" w:rsidRPr="00DB68CC" w:rsidRDefault="0041106C">
      <w:pPr>
        <w:rPr>
          <w:rFonts w:ascii="Arial" w:hAnsi="Arial" w:cs="Arial"/>
          <w:b/>
          <w:smallCaps/>
          <w:sz w:val="22"/>
          <w:szCs w:val="22"/>
          <w:lang w:val="es-ES_tradnl"/>
        </w:rPr>
      </w:pPr>
      <w:r w:rsidRPr="00DB68CC">
        <w:rPr>
          <w:rFonts w:ascii="Arial" w:hAnsi="Arial" w:cs="Arial"/>
          <w:sz w:val="22"/>
          <w:szCs w:val="22"/>
          <w:lang w:val="es-ES_tradnl"/>
        </w:rPr>
        <w:br w:type="page"/>
      </w:r>
    </w:p>
    <w:p w14:paraId="33F4119F" w14:textId="1264496E" w:rsidR="00F12BB9" w:rsidRPr="00DB68CC" w:rsidRDefault="008E4CF9" w:rsidP="0041106C">
      <w:pPr>
        <w:pStyle w:val="Chapter"/>
        <w:numPr>
          <w:ilvl w:val="0"/>
          <w:numId w:val="0"/>
        </w:numPr>
        <w:tabs>
          <w:tab w:val="clear" w:pos="1440"/>
        </w:tabs>
        <w:spacing w:before="0"/>
        <w:ind w:left="736"/>
        <w:rPr>
          <w:rFonts w:ascii="Arial" w:hAnsi="Arial" w:cs="Arial"/>
          <w:sz w:val="22"/>
          <w:szCs w:val="22"/>
        </w:rPr>
      </w:pPr>
      <w:r w:rsidRPr="00DB68CC">
        <w:rPr>
          <w:rFonts w:ascii="Arial" w:hAnsi="Arial" w:cs="Arial"/>
          <w:sz w:val="22"/>
          <w:szCs w:val="22"/>
        </w:rPr>
        <w:lastRenderedPageBreak/>
        <w:t>PROGRAMA GLOBAL DE CRÉDITO PARA LA DEFENSA DEL TEJIDO PRODUCTIVO Y EL EMPLEO</w:t>
      </w:r>
    </w:p>
    <w:p w14:paraId="3554DFB2" w14:textId="022A4D7A" w:rsidR="00FA548F" w:rsidRPr="00DB68CC" w:rsidRDefault="00FA548F" w:rsidP="0041106C">
      <w:pPr>
        <w:pStyle w:val="Chapter"/>
        <w:numPr>
          <w:ilvl w:val="0"/>
          <w:numId w:val="0"/>
        </w:numPr>
        <w:tabs>
          <w:tab w:val="clear" w:pos="1440"/>
        </w:tabs>
        <w:spacing w:before="0"/>
        <w:ind w:left="736"/>
        <w:rPr>
          <w:rFonts w:ascii="Arial" w:hAnsi="Arial" w:cs="Arial"/>
          <w:sz w:val="22"/>
          <w:szCs w:val="22"/>
        </w:rPr>
      </w:pPr>
      <w:r w:rsidRPr="00DB68CC">
        <w:rPr>
          <w:rFonts w:ascii="Arial" w:hAnsi="Arial" w:cs="Arial"/>
          <w:sz w:val="22"/>
          <w:szCs w:val="22"/>
        </w:rPr>
        <w:t xml:space="preserve">REGLAMENTO </w:t>
      </w:r>
      <w:r w:rsidR="00854B94" w:rsidRPr="00DB68CC">
        <w:rPr>
          <w:rFonts w:ascii="Arial" w:hAnsi="Arial" w:cs="Arial"/>
          <w:sz w:val="22"/>
          <w:szCs w:val="22"/>
        </w:rPr>
        <w:t>DE CRÉDITO</w:t>
      </w:r>
    </w:p>
    <w:p w14:paraId="0F669FAE" w14:textId="6DC08E30" w:rsidR="00FA548F" w:rsidRPr="00DB68CC" w:rsidRDefault="000649C4" w:rsidP="0099721A">
      <w:pPr>
        <w:pStyle w:val="Heading1"/>
        <w:numPr>
          <w:ilvl w:val="0"/>
          <w:numId w:val="9"/>
        </w:numPr>
        <w:rPr>
          <w:sz w:val="22"/>
          <w:szCs w:val="22"/>
          <w:lang w:val="es-ES_tradnl"/>
        </w:rPr>
      </w:pPr>
      <w:bookmarkStart w:id="0" w:name="_Toc37603060"/>
      <w:r w:rsidRPr="00DB68CC">
        <w:rPr>
          <w:sz w:val="22"/>
          <w:szCs w:val="22"/>
          <w:lang w:val="es-ES_tradnl"/>
        </w:rPr>
        <w:t>I</w:t>
      </w:r>
      <w:r w:rsidR="001D47B2" w:rsidRPr="00DB68CC">
        <w:rPr>
          <w:sz w:val="22"/>
          <w:szCs w:val="22"/>
          <w:lang w:val="es-ES_tradnl"/>
        </w:rPr>
        <w:t>ntroducción</w:t>
      </w:r>
      <w:bookmarkEnd w:id="0"/>
    </w:p>
    <w:p w14:paraId="041F5E79" w14:textId="77777777" w:rsidR="0041106C" w:rsidRPr="00DB68CC" w:rsidRDefault="0041106C" w:rsidP="0041106C">
      <w:pPr>
        <w:rPr>
          <w:sz w:val="22"/>
          <w:szCs w:val="22"/>
          <w:lang w:val="es-ES_tradnl" w:eastAsia="en-US"/>
        </w:rPr>
      </w:pPr>
    </w:p>
    <w:p w14:paraId="6F089A05" w14:textId="080BBAEF" w:rsidR="0099496A" w:rsidRPr="00DB68CC" w:rsidRDefault="009C35E9" w:rsidP="0099721A">
      <w:pPr>
        <w:pStyle w:val="ListParagraph"/>
        <w:numPr>
          <w:ilvl w:val="1"/>
          <w:numId w:val="10"/>
        </w:numPr>
        <w:jc w:val="both"/>
        <w:rPr>
          <w:rFonts w:ascii="Arial" w:hAnsi="Arial" w:cs="Arial"/>
          <w:sz w:val="22"/>
          <w:szCs w:val="22"/>
          <w:lang w:val="es-ES_tradnl"/>
        </w:rPr>
      </w:pPr>
      <w:bookmarkStart w:id="1" w:name="_Ref328643831"/>
      <w:r w:rsidRPr="00DB68CC">
        <w:rPr>
          <w:rFonts w:ascii="Arial" w:hAnsi="Arial" w:cs="Arial"/>
          <w:sz w:val="22"/>
          <w:szCs w:val="22"/>
          <w:lang w:val="es-ES_tradnl"/>
        </w:rPr>
        <w:t xml:space="preserve">Este documento presenta el </w:t>
      </w:r>
      <w:r w:rsidR="008E4CF9" w:rsidRPr="00DB68CC">
        <w:rPr>
          <w:rFonts w:ascii="Arial" w:hAnsi="Arial" w:cs="Arial"/>
          <w:sz w:val="22"/>
          <w:szCs w:val="22"/>
          <w:lang w:val="es-ES_tradnl"/>
        </w:rPr>
        <w:t xml:space="preserve">REGLAMENTO </w:t>
      </w:r>
      <w:r w:rsidR="0069739B" w:rsidRPr="00DB68CC">
        <w:rPr>
          <w:rFonts w:ascii="Arial" w:hAnsi="Arial" w:cs="Arial"/>
          <w:sz w:val="22"/>
          <w:szCs w:val="22"/>
          <w:lang w:val="es-ES_tradnl"/>
        </w:rPr>
        <w:t>DE CREDITO</w:t>
      </w:r>
      <w:r w:rsidR="008E4CF9" w:rsidRPr="00DB68CC">
        <w:rPr>
          <w:rFonts w:ascii="Arial" w:hAnsi="Arial" w:cs="Arial"/>
          <w:sz w:val="22"/>
          <w:szCs w:val="22"/>
          <w:lang w:val="es-ES_tradnl"/>
        </w:rPr>
        <w:t xml:space="preserve"> </w:t>
      </w:r>
      <w:r w:rsidR="007D2C77" w:rsidRPr="00DB68CC">
        <w:rPr>
          <w:rFonts w:ascii="Arial" w:hAnsi="Arial" w:cs="Arial"/>
          <w:sz w:val="22"/>
          <w:szCs w:val="22"/>
          <w:lang w:val="es-ES_tradnl"/>
        </w:rPr>
        <w:t>(R</w:t>
      </w:r>
      <w:r w:rsidR="0069739B" w:rsidRPr="00DB68CC">
        <w:rPr>
          <w:rFonts w:ascii="Arial" w:hAnsi="Arial" w:cs="Arial"/>
          <w:sz w:val="22"/>
          <w:szCs w:val="22"/>
          <w:lang w:val="es-ES_tradnl"/>
        </w:rPr>
        <w:t>C</w:t>
      </w:r>
      <w:r w:rsidR="007D2C77" w:rsidRPr="00DB68CC">
        <w:rPr>
          <w:rFonts w:ascii="Arial" w:hAnsi="Arial" w:cs="Arial"/>
          <w:sz w:val="22"/>
          <w:szCs w:val="22"/>
          <w:lang w:val="es-ES_tradnl"/>
        </w:rPr>
        <w:t>, E</w:t>
      </w:r>
      <w:r w:rsidR="00EB4CDB" w:rsidRPr="00DB68CC">
        <w:rPr>
          <w:rFonts w:ascii="Arial" w:hAnsi="Arial" w:cs="Arial"/>
          <w:sz w:val="22"/>
          <w:szCs w:val="22"/>
          <w:lang w:val="es-ES_tradnl"/>
        </w:rPr>
        <w:t>l</w:t>
      </w:r>
      <w:r w:rsidR="007D2C77" w:rsidRPr="00DB68CC">
        <w:rPr>
          <w:rFonts w:ascii="Arial" w:hAnsi="Arial" w:cs="Arial"/>
          <w:sz w:val="22"/>
          <w:szCs w:val="22"/>
          <w:lang w:val="es-ES_tradnl"/>
        </w:rPr>
        <w:t xml:space="preserve"> Reglamento) </w:t>
      </w:r>
      <w:r w:rsidRPr="00DB68CC">
        <w:rPr>
          <w:rFonts w:ascii="Arial" w:hAnsi="Arial" w:cs="Arial"/>
          <w:sz w:val="22"/>
          <w:szCs w:val="22"/>
          <w:lang w:val="es-ES_tradnl"/>
        </w:rPr>
        <w:t xml:space="preserve">del </w:t>
      </w:r>
      <w:r w:rsidR="008E4CF9" w:rsidRPr="00DB68CC">
        <w:rPr>
          <w:rFonts w:ascii="Arial" w:hAnsi="Arial" w:cs="Arial"/>
          <w:sz w:val="22"/>
          <w:szCs w:val="22"/>
          <w:lang w:val="es-ES_tradnl"/>
        </w:rPr>
        <w:t xml:space="preserve">PROGRAMA GLOBAL DE CRÉDITO PARA LA DEFENSA DEL TEJIDO PRODUCTIVO Y EL EMPLEO </w:t>
      </w:r>
      <w:r w:rsidRPr="00DB68CC">
        <w:rPr>
          <w:rFonts w:ascii="Arial" w:hAnsi="Arial" w:cs="Arial"/>
          <w:sz w:val="22"/>
          <w:szCs w:val="22"/>
          <w:lang w:val="es-ES_tradnl"/>
        </w:rPr>
        <w:t xml:space="preserve">(el </w:t>
      </w:r>
      <w:r w:rsidR="006A15DE" w:rsidRPr="00DB68CC">
        <w:rPr>
          <w:rFonts w:ascii="Arial" w:hAnsi="Arial" w:cs="Arial"/>
          <w:sz w:val="22"/>
          <w:szCs w:val="22"/>
          <w:lang w:val="es-ES_tradnl"/>
        </w:rPr>
        <w:t>p</w:t>
      </w:r>
      <w:r w:rsidRPr="00DB68CC">
        <w:rPr>
          <w:rFonts w:ascii="Arial" w:hAnsi="Arial" w:cs="Arial"/>
          <w:sz w:val="22"/>
          <w:szCs w:val="22"/>
          <w:lang w:val="es-ES_tradnl"/>
        </w:rPr>
        <w:t>rograma)</w:t>
      </w:r>
      <w:r w:rsidR="007F3566" w:rsidRPr="00DB68CC">
        <w:rPr>
          <w:rFonts w:ascii="Arial" w:hAnsi="Arial" w:cs="Arial"/>
          <w:sz w:val="22"/>
          <w:szCs w:val="22"/>
          <w:lang w:val="es-ES_tradnl"/>
        </w:rPr>
        <w:t xml:space="preserve">, </w:t>
      </w:r>
      <w:r w:rsidR="00C14D0B" w:rsidRPr="00DB68CC">
        <w:rPr>
          <w:rFonts w:ascii="Arial" w:hAnsi="Arial" w:cs="Arial"/>
          <w:sz w:val="22"/>
          <w:szCs w:val="22"/>
          <w:lang w:val="es-ES_tradnl"/>
        </w:rPr>
        <w:t>entre el Banco Interamericano de Desarrollo (BID, el Banco) y</w:t>
      </w:r>
      <w:r w:rsidR="00CF3F86" w:rsidRPr="00DB68CC">
        <w:rPr>
          <w:rFonts w:ascii="Arial" w:hAnsi="Arial" w:cs="Arial"/>
          <w:sz w:val="22"/>
          <w:szCs w:val="22"/>
          <w:lang w:val="es-ES_tradnl"/>
        </w:rPr>
        <w:t xml:space="preserve"> la Corporación Nacional de Finanzas Populares y Solidarias</w:t>
      </w:r>
      <w:r w:rsidR="0069739B" w:rsidRPr="00DB68CC">
        <w:rPr>
          <w:rFonts w:ascii="Arial" w:hAnsi="Arial" w:cs="Arial"/>
          <w:sz w:val="22"/>
          <w:szCs w:val="22"/>
          <w:lang w:val="es-ES_tradnl"/>
        </w:rPr>
        <w:t xml:space="preserve"> (CONAFIPS)</w:t>
      </w:r>
      <w:r w:rsidR="00C14D0B" w:rsidRPr="00DB68CC">
        <w:rPr>
          <w:rFonts w:ascii="Arial" w:hAnsi="Arial" w:cs="Arial"/>
          <w:sz w:val="22"/>
          <w:szCs w:val="22"/>
          <w:lang w:val="es-ES_tradnl"/>
        </w:rPr>
        <w:t>, por</w:t>
      </w:r>
      <w:r w:rsidR="007F3566" w:rsidRPr="00DB68CC">
        <w:rPr>
          <w:rFonts w:ascii="Arial" w:hAnsi="Arial" w:cs="Arial"/>
          <w:sz w:val="22"/>
          <w:szCs w:val="22"/>
          <w:lang w:val="es-ES_tradnl"/>
        </w:rPr>
        <w:t xml:space="preserve"> un monto total de </w:t>
      </w:r>
      <w:r w:rsidR="0099496A" w:rsidRPr="00DB68CC">
        <w:rPr>
          <w:rFonts w:ascii="Arial" w:hAnsi="Arial" w:cs="Arial"/>
          <w:sz w:val="22"/>
          <w:szCs w:val="22"/>
          <w:lang w:val="es-ES_tradnl"/>
        </w:rPr>
        <w:t>US$</w:t>
      </w:r>
      <w:r w:rsidR="006A15DE" w:rsidRPr="00DB68CC">
        <w:rPr>
          <w:rFonts w:ascii="Arial" w:hAnsi="Arial" w:cs="Arial"/>
          <w:sz w:val="22"/>
          <w:szCs w:val="22"/>
          <w:lang w:val="es-ES_tradnl"/>
        </w:rPr>
        <w:t> </w:t>
      </w:r>
      <w:r w:rsidR="00743C06" w:rsidRPr="00DB68CC">
        <w:rPr>
          <w:rFonts w:ascii="Arial" w:hAnsi="Arial" w:cs="Arial"/>
          <w:sz w:val="22"/>
          <w:szCs w:val="22"/>
          <w:lang w:val="es-ES_tradnl"/>
        </w:rPr>
        <w:t>93.</w:t>
      </w:r>
      <w:r w:rsidR="009F4A97">
        <w:rPr>
          <w:rFonts w:ascii="Arial" w:hAnsi="Arial" w:cs="Arial"/>
          <w:sz w:val="22"/>
          <w:szCs w:val="22"/>
          <w:lang w:val="es-ES_tradnl"/>
        </w:rPr>
        <w:t>8</w:t>
      </w:r>
      <w:r w:rsidR="00CF3F86" w:rsidRPr="00DB68CC">
        <w:rPr>
          <w:rFonts w:ascii="Arial" w:hAnsi="Arial" w:cs="Arial"/>
          <w:sz w:val="22"/>
          <w:szCs w:val="22"/>
          <w:lang w:val="es-ES_tradnl"/>
        </w:rPr>
        <w:t>000</w:t>
      </w:r>
      <w:r w:rsidR="004D420A" w:rsidRPr="00DB68CC">
        <w:rPr>
          <w:rFonts w:ascii="Arial" w:hAnsi="Arial" w:cs="Arial"/>
          <w:sz w:val="22"/>
          <w:szCs w:val="22"/>
          <w:lang w:val="es-ES_tradnl"/>
        </w:rPr>
        <w:t>.</w:t>
      </w:r>
      <w:r w:rsidR="00CF3F86" w:rsidRPr="00DB68CC">
        <w:rPr>
          <w:rFonts w:ascii="Arial" w:hAnsi="Arial" w:cs="Arial"/>
          <w:sz w:val="22"/>
          <w:szCs w:val="22"/>
          <w:lang w:val="es-ES_tradnl"/>
        </w:rPr>
        <w:t>000</w:t>
      </w:r>
      <w:r w:rsidR="00C14D0B" w:rsidRPr="00DB68CC">
        <w:rPr>
          <w:rFonts w:ascii="Arial" w:hAnsi="Arial" w:cs="Arial"/>
          <w:sz w:val="22"/>
          <w:szCs w:val="22"/>
          <w:lang w:val="es-ES_tradnl"/>
        </w:rPr>
        <w:t xml:space="preserve">, correspondiente a la operación </w:t>
      </w:r>
      <w:r w:rsidR="00257799" w:rsidRPr="00DB68CC">
        <w:rPr>
          <w:rFonts w:ascii="Arial" w:hAnsi="Arial" w:cs="Arial"/>
          <w:b/>
          <w:bCs/>
          <w:sz w:val="22"/>
          <w:szCs w:val="22"/>
          <w:lang w:val="es-ES_tradnl"/>
        </w:rPr>
        <w:t>EC-L1269</w:t>
      </w:r>
      <w:r w:rsidRPr="00DB68CC">
        <w:rPr>
          <w:rFonts w:ascii="Arial" w:hAnsi="Arial" w:cs="Arial"/>
          <w:sz w:val="22"/>
          <w:szCs w:val="22"/>
          <w:lang w:val="es-ES_tradnl"/>
        </w:rPr>
        <w:t>.</w:t>
      </w:r>
      <w:r w:rsidR="00C14D0B" w:rsidRPr="00DB68CC">
        <w:rPr>
          <w:rFonts w:ascii="Arial" w:hAnsi="Arial" w:cs="Arial"/>
          <w:sz w:val="22"/>
          <w:szCs w:val="22"/>
          <w:lang w:val="es-ES_tradnl"/>
        </w:rPr>
        <w:t xml:space="preserve"> </w:t>
      </w:r>
    </w:p>
    <w:p w14:paraId="7DF14F28" w14:textId="77777777" w:rsidR="0041106C" w:rsidRPr="00DB68CC" w:rsidRDefault="0041106C" w:rsidP="0041106C">
      <w:pPr>
        <w:jc w:val="both"/>
        <w:rPr>
          <w:rFonts w:ascii="Arial" w:hAnsi="Arial" w:cs="Arial"/>
          <w:sz w:val="22"/>
          <w:szCs w:val="22"/>
          <w:lang w:val="es-ES_tradnl"/>
        </w:rPr>
      </w:pPr>
    </w:p>
    <w:p w14:paraId="59038491" w14:textId="2D529813" w:rsidR="00A77F6B" w:rsidRPr="00DB68CC" w:rsidRDefault="00A77F6B" w:rsidP="0099721A">
      <w:pPr>
        <w:pStyle w:val="ListParagraph"/>
        <w:numPr>
          <w:ilvl w:val="1"/>
          <w:numId w:val="10"/>
        </w:numPr>
        <w:jc w:val="both"/>
        <w:rPr>
          <w:rFonts w:ascii="Arial" w:hAnsi="Arial" w:cs="Arial"/>
          <w:sz w:val="22"/>
          <w:szCs w:val="22"/>
          <w:lang w:val="es-ES_tradnl"/>
        </w:rPr>
      </w:pPr>
      <w:r w:rsidRPr="00DB68CC">
        <w:rPr>
          <w:rFonts w:ascii="Arial" w:hAnsi="Arial" w:cs="Arial"/>
          <w:sz w:val="22"/>
          <w:szCs w:val="22"/>
          <w:lang w:val="es-ES_tradnl"/>
        </w:rPr>
        <w:t xml:space="preserve">En caso de cualquier inconsistencia o discrepancia entre los términos de este Reglamento y del Contrato de Préstamo, prevalecerá el Contrato de Préstamo. El presente </w:t>
      </w:r>
      <w:r w:rsidR="00CF1386" w:rsidRPr="00DB68CC">
        <w:rPr>
          <w:rFonts w:ascii="Arial" w:hAnsi="Arial" w:cs="Arial"/>
          <w:sz w:val="22"/>
          <w:szCs w:val="22"/>
          <w:lang w:val="es-ES_tradnl"/>
        </w:rPr>
        <w:t>r</w:t>
      </w:r>
      <w:r w:rsidR="00AF5E75" w:rsidRPr="00DB68CC">
        <w:rPr>
          <w:rFonts w:ascii="Arial" w:hAnsi="Arial" w:cs="Arial"/>
          <w:sz w:val="22"/>
          <w:szCs w:val="22"/>
          <w:lang w:val="es-ES_tradnl"/>
        </w:rPr>
        <w:t>eglamento</w:t>
      </w:r>
      <w:r w:rsidRPr="00DB68CC">
        <w:rPr>
          <w:rFonts w:ascii="Arial" w:hAnsi="Arial" w:cs="Arial"/>
          <w:sz w:val="22"/>
          <w:szCs w:val="22"/>
          <w:lang w:val="es-ES_tradnl"/>
        </w:rPr>
        <w:t xml:space="preserve"> no podrá ser modificado sin el consentimiento previo y por escrito de</w:t>
      </w:r>
      <w:r w:rsidR="008E4CF9" w:rsidRPr="00DB68CC">
        <w:rPr>
          <w:rFonts w:ascii="Arial" w:hAnsi="Arial" w:cs="Arial"/>
          <w:sz w:val="22"/>
          <w:szCs w:val="22"/>
          <w:lang w:val="es-ES_tradnl"/>
        </w:rPr>
        <w:t xml:space="preserve">l </w:t>
      </w:r>
      <w:r w:rsidR="000E265F" w:rsidRPr="00DB68CC">
        <w:rPr>
          <w:rFonts w:ascii="Arial" w:hAnsi="Arial" w:cs="Arial"/>
          <w:sz w:val="22"/>
          <w:szCs w:val="22"/>
          <w:lang w:val="es-ES_tradnl"/>
        </w:rPr>
        <w:t>Jefe/a de Equipo</w:t>
      </w:r>
      <w:r w:rsidR="00257799" w:rsidRPr="00DB68CC">
        <w:rPr>
          <w:rFonts w:ascii="Arial" w:hAnsi="Arial" w:cs="Arial"/>
          <w:sz w:val="22"/>
          <w:szCs w:val="22"/>
          <w:lang w:val="es-ES_tradnl"/>
        </w:rPr>
        <w:t xml:space="preserve"> de la operación</w:t>
      </w:r>
      <w:r w:rsidRPr="00DB68CC">
        <w:rPr>
          <w:rFonts w:ascii="Arial" w:hAnsi="Arial" w:cs="Arial"/>
          <w:sz w:val="22"/>
          <w:szCs w:val="22"/>
          <w:lang w:val="es-ES_tradnl"/>
        </w:rPr>
        <w:t xml:space="preserve">. El </w:t>
      </w:r>
      <w:r w:rsidR="000E265F" w:rsidRPr="00DB68CC">
        <w:rPr>
          <w:rFonts w:ascii="Arial" w:hAnsi="Arial" w:cs="Arial"/>
          <w:sz w:val="22"/>
          <w:szCs w:val="22"/>
          <w:lang w:val="es-ES_tradnl"/>
        </w:rPr>
        <w:t>R</w:t>
      </w:r>
      <w:r w:rsidR="00AF5E75" w:rsidRPr="00DB68CC">
        <w:rPr>
          <w:rFonts w:ascii="Arial" w:hAnsi="Arial" w:cs="Arial"/>
          <w:sz w:val="22"/>
          <w:szCs w:val="22"/>
          <w:lang w:val="es-ES_tradnl"/>
        </w:rPr>
        <w:t>eglamento</w:t>
      </w:r>
      <w:r w:rsidRPr="00DB68CC">
        <w:rPr>
          <w:rFonts w:ascii="Arial" w:hAnsi="Arial" w:cs="Arial"/>
          <w:sz w:val="22"/>
          <w:szCs w:val="22"/>
          <w:lang w:val="es-ES_tradnl"/>
        </w:rPr>
        <w:t xml:space="preserve"> se mantendrá vigente mientras se mantenga vigente el Contrato de Préstamo.</w:t>
      </w:r>
    </w:p>
    <w:p w14:paraId="37F5B83E" w14:textId="1807A915" w:rsidR="00A55AD3" w:rsidRPr="00DB68CC" w:rsidRDefault="00A55AD3" w:rsidP="0099721A">
      <w:pPr>
        <w:pStyle w:val="Heading1"/>
        <w:numPr>
          <w:ilvl w:val="0"/>
          <w:numId w:val="9"/>
        </w:numPr>
        <w:rPr>
          <w:rFonts w:cs="Arial"/>
          <w:sz w:val="22"/>
          <w:szCs w:val="22"/>
          <w:lang w:val="es-ES_tradnl"/>
        </w:rPr>
      </w:pPr>
      <w:bookmarkStart w:id="2" w:name="_Toc518578573"/>
      <w:bookmarkStart w:id="3" w:name="_Toc37603061"/>
      <w:bookmarkEnd w:id="1"/>
      <w:bookmarkEnd w:id="2"/>
      <w:r w:rsidRPr="00DB68CC">
        <w:rPr>
          <w:rFonts w:cs="Arial"/>
          <w:sz w:val="22"/>
          <w:szCs w:val="22"/>
          <w:lang w:val="es-ES_tradnl"/>
        </w:rPr>
        <w:t>Definiciones</w:t>
      </w:r>
      <w:bookmarkEnd w:id="3"/>
    </w:p>
    <w:p w14:paraId="78EE557B" w14:textId="77777777" w:rsidR="0041106C" w:rsidRPr="00DB68CC" w:rsidRDefault="0041106C" w:rsidP="0041106C">
      <w:pPr>
        <w:rPr>
          <w:rFonts w:ascii="Arial" w:hAnsi="Arial" w:cs="Arial"/>
          <w:sz w:val="22"/>
          <w:szCs w:val="22"/>
          <w:lang w:val="es-ES_tradnl" w:eastAsia="en-US"/>
        </w:rPr>
      </w:pPr>
    </w:p>
    <w:p w14:paraId="7CB93E52" w14:textId="50B03A38" w:rsidR="00AA6DD8" w:rsidRPr="00DB68CC" w:rsidRDefault="002101BF"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Organismo Ejecutor:</w:t>
      </w:r>
      <w:r w:rsidRPr="00DB68CC">
        <w:rPr>
          <w:rFonts w:ascii="Arial" w:hAnsi="Arial" w:cs="Arial"/>
          <w:sz w:val="22"/>
          <w:szCs w:val="22"/>
          <w:lang w:val="es-ES_tradnl"/>
        </w:rPr>
        <w:t xml:space="preserve"> </w:t>
      </w:r>
      <w:r w:rsidR="00CF3F86" w:rsidRPr="00DB68CC">
        <w:rPr>
          <w:rFonts w:ascii="Arial" w:hAnsi="Arial" w:cs="Arial"/>
          <w:sz w:val="22"/>
          <w:szCs w:val="22"/>
          <w:lang w:val="es-ES_tradnl"/>
        </w:rPr>
        <w:t>La Corporación Nacional de Finanzas Populares y Solidarias</w:t>
      </w:r>
      <w:r w:rsidR="00A55AD3" w:rsidRPr="00DB68CC">
        <w:rPr>
          <w:rFonts w:ascii="Arial" w:hAnsi="Arial" w:cs="Arial"/>
          <w:sz w:val="22"/>
          <w:szCs w:val="22"/>
          <w:lang w:val="es-ES_tradnl"/>
        </w:rPr>
        <w:t xml:space="preserve"> </w:t>
      </w:r>
      <w:r w:rsidR="00CF3F86" w:rsidRPr="00DB68CC">
        <w:rPr>
          <w:rFonts w:ascii="Arial" w:hAnsi="Arial" w:cs="Arial"/>
          <w:sz w:val="22"/>
          <w:szCs w:val="22"/>
          <w:lang w:val="es-ES_tradnl"/>
        </w:rPr>
        <w:t xml:space="preserve">CONAFIPS </w:t>
      </w:r>
      <w:r w:rsidR="00A55AD3" w:rsidRPr="00DB68CC">
        <w:rPr>
          <w:rFonts w:ascii="Arial" w:hAnsi="Arial" w:cs="Arial"/>
          <w:sz w:val="22"/>
          <w:szCs w:val="22"/>
          <w:lang w:val="es-ES_tradnl"/>
        </w:rPr>
        <w:t xml:space="preserve">será el Organismo Ejecutor </w:t>
      </w:r>
      <w:r w:rsidR="006A15DE" w:rsidRPr="00DB68CC">
        <w:rPr>
          <w:rFonts w:ascii="Arial" w:hAnsi="Arial" w:cs="Arial"/>
          <w:sz w:val="22"/>
          <w:szCs w:val="22"/>
          <w:lang w:val="es-ES_tradnl"/>
        </w:rPr>
        <w:t>(</w:t>
      </w:r>
      <w:r w:rsidR="00A55AD3" w:rsidRPr="00DB68CC">
        <w:rPr>
          <w:rFonts w:ascii="Arial" w:hAnsi="Arial" w:cs="Arial"/>
          <w:sz w:val="22"/>
          <w:szCs w:val="22"/>
          <w:lang w:val="es-ES_tradnl"/>
        </w:rPr>
        <w:t>OE</w:t>
      </w:r>
      <w:r w:rsidR="006A15DE" w:rsidRPr="00DB68CC">
        <w:rPr>
          <w:rFonts w:ascii="Arial" w:hAnsi="Arial" w:cs="Arial"/>
          <w:sz w:val="22"/>
          <w:szCs w:val="22"/>
          <w:lang w:val="es-ES_tradnl"/>
        </w:rPr>
        <w:t>)</w:t>
      </w:r>
      <w:r w:rsidR="00A55AD3" w:rsidRPr="00DB68CC">
        <w:rPr>
          <w:rFonts w:ascii="Arial" w:hAnsi="Arial" w:cs="Arial"/>
          <w:sz w:val="22"/>
          <w:szCs w:val="22"/>
          <w:lang w:val="es-ES_tradnl"/>
        </w:rPr>
        <w:t xml:space="preserve"> de</w:t>
      </w:r>
      <w:r w:rsidR="00F20B3E" w:rsidRPr="00DB68CC">
        <w:rPr>
          <w:rFonts w:ascii="Arial" w:hAnsi="Arial" w:cs="Arial"/>
          <w:sz w:val="22"/>
          <w:szCs w:val="22"/>
          <w:lang w:val="es-ES_tradnl"/>
        </w:rPr>
        <w:t>l</w:t>
      </w:r>
      <w:r w:rsidR="000E265F" w:rsidRPr="00DB68CC">
        <w:rPr>
          <w:rFonts w:ascii="Arial" w:hAnsi="Arial" w:cs="Arial"/>
          <w:sz w:val="22"/>
          <w:szCs w:val="22"/>
          <w:lang w:val="es-ES_tradnl"/>
        </w:rPr>
        <w:t xml:space="preserve"> </w:t>
      </w:r>
      <w:r w:rsidR="006A15DE" w:rsidRPr="00DB68CC">
        <w:rPr>
          <w:rFonts w:ascii="Arial" w:hAnsi="Arial" w:cs="Arial"/>
          <w:sz w:val="22"/>
          <w:szCs w:val="22"/>
          <w:lang w:val="es-ES_tradnl"/>
        </w:rPr>
        <w:t>p</w:t>
      </w:r>
      <w:r w:rsidR="000E265F" w:rsidRPr="00DB68CC">
        <w:rPr>
          <w:rFonts w:ascii="Arial" w:hAnsi="Arial" w:cs="Arial"/>
          <w:sz w:val="22"/>
          <w:szCs w:val="22"/>
          <w:lang w:val="es-ES_tradnl"/>
        </w:rPr>
        <w:t>rograma</w:t>
      </w:r>
      <w:r w:rsidR="008A7412" w:rsidRPr="00DB68CC">
        <w:rPr>
          <w:rFonts w:ascii="Arial" w:hAnsi="Arial" w:cs="Arial"/>
          <w:sz w:val="22"/>
          <w:szCs w:val="22"/>
          <w:lang w:val="es-ES_tradnl"/>
        </w:rPr>
        <w:t xml:space="preserve"> y actuará como OE, para la administración, ejecución, control y monitoreo de los recursos de la operación</w:t>
      </w:r>
      <w:r w:rsidR="00A55AD3" w:rsidRPr="00DB68CC">
        <w:rPr>
          <w:rFonts w:ascii="Arial" w:hAnsi="Arial" w:cs="Arial"/>
          <w:sz w:val="22"/>
          <w:szCs w:val="22"/>
          <w:lang w:val="es-ES_tradnl"/>
        </w:rPr>
        <w:t>.</w:t>
      </w:r>
      <w:r w:rsidR="00111DC4" w:rsidRPr="00DB68CC">
        <w:rPr>
          <w:rFonts w:ascii="Arial" w:hAnsi="Arial" w:cs="Arial"/>
          <w:sz w:val="22"/>
          <w:szCs w:val="22"/>
          <w:lang w:val="es-ES_tradnl"/>
        </w:rPr>
        <w:t xml:space="preserve"> </w:t>
      </w:r>
      <w:r w:rsidR="00CF3F86" w:rsidRPr="00DB68CC">
        <w:rPr>
          <w:rFonts w:ascii="Arial" w:hAnsi="Arial" w:cs="Arial"/>
          <w:sz w:val="22"/>
          <w:szCs w:val="22"/>
          <w:lang w:val="es-ES_tradnl"/>
        </w:rPr>
        <w:t>La CONAFIPS</w:t>
      </w:r>
      <w:r w:rsidR="00111DC4" w:rsidRPr="00DB68CC">
        <w:rPr>
          <w:rFonts w:ascii="Arial" w:hAnsi="Arial" w:cs="Arial"/>
          <w:sz w:val="22"/>
          <w:szCs w:val="22"/>
          <w:lang w:val="es-ES_tradnl"/>
        </w:rPr>
        <w:t xml:space="preserve"> es una </w:t>
      </w:r>
      <w:r w:rsidR="008A7412" w:rsidRPr="00DB68CC">
        <w:rPr>
          <w:rFonts w:ascii="Arial" w:hAnsi="Arial" w:cs="Arial"/>
          <w:sz w:val="22"/>
          <w:szCs w:val="22"/>
          <w:lang w:val="es-ES_tradnl"/>
        </w:rPr>
        <w:t>entidad</w:t>
      </w:r>
      <w:r w:rsidR="00CF3F86" w:rsidRPr="00DB68CC">
        <w:rPr>
          <w:rFonts w:ascii="Arial" w:hAnsi="Arial" w:cs="Arial"/>
          <w:sz w:val="22"/>
          <w:szCs w:val="22"/>
          <w:lang w:val="es-ES_tradnl"/>
        </w:rPr>
        <w:t xml:space="preserve"> </w:t>
      </w:r>
      <w:r w:rsidR="008A7412" w:rsidRPr="00DB68CC">
        <w:rPr>
          <w:rFonts w:ascii="Arial" w:hAnsi="Arial" w:cs="Arial"/>
          <w:sz w:val="22"/>
          <w:szCs w:val="22"/>
          <w:lang w:val="es-ES_tradnl"/>
        </w:rPr>
        <w:t>f</w:t>
      </w:r>
      <w:r w:rsidR="00CF3F86" w:rsidRPr="00DB68CC">
        <w:rPr>
          <w:rFonts w:ascii="Arial" w:hAnsi="Arial" w:cs="Arial"/>
          <w:sz w:val="22"/>
          <w:szCs w:val="22"/>
          <w:lang w:val="es-ES_tradnl"/>
        </w:rPr>
        <w:t xml:space="preserve">inanciera </w:t>
      </w:r>
      <w:r w:rsidR="008A7412" w:rsidRPr="00DB68CC">
        <w:rPr>
          <w:rFonts w:ascii="Arial" w:hAnsi="Arial" w:cs="Arial"/>
          <w:sz w:val="22"/>
          <w:szCs w:val="22"/>
          <w:lang w:val="es-ES_tradnl"/>
        </w:rPr>
        <w:t>p</w:t>
      </w:r>
      <w:r w:rsidR="00CF3F86" w:rsidRPr="00DB68CC">
        <w:rPr>
          <w:rFonts w:ascii="Arial" w:hAnsi="Arial" w:cs="Arial"/>
          <w:sz w:val="22"/>
          <w:szCs w:val="22"/>
          <w:lang w:val="es-ES_tradnl"/>
        </w:rPr>
        <w:t xml:space="preserve">ública </w:t>
      </w:r>
      <w:r w:rsidR="008A7412" w:rsidRPr="00DB68CC">
        <w:rPr>
          <w:rFonts w:ascii="Arial" w:hAnsi="Arial" w:cs="Arial"/>
          <w:sz w:val="22"/>
          <w:szCs w:val="22"/>
          <w:lang w:val="es-ES_tradnl"/>
        </w:rPr>
        <w:t>al servicio de los actores de la economía popular y solidaria</w:t>
      </w:r>
      <w:r w:rsidR="00CF3F86" w:rsidRPr="00DB68CC">
        <w:rPr>
          <w:rFonts w:ascii="Arial" w:hAnsi="Arial" w:cs="Arial"/>
          <w:sz w:val="22"/>
          <w:szCs w:val="22"/>
          <w:lang w:val="es-ES_tradnl"/>
        </w:rPr>
        <w:t xml:space="preserve"> que opera como banca de segundo piso</w:t>
      </w:r>
      <w:r w:rsidR="008A7412" w:rsidRPr="00DB68CC">
        <w:rPr>
          <w:rFonts w:ascii="Arial" w:hAnsi="Arial" w:cs="Arial"/>
          <w:sz w:val="22"/>
          <w:szCs w:val="22"/>
          <w:lang w:val="es-ES_tradnl"/>
        </w:rPr>
        <w:t xml:space="preserve"> y trabaja a través de las Organizaciones del Sector Financiero Popular y Solidario </w:t>
      </w:r>
      <w:r w:rsidR="000A2F90" w:rsidRPr="00DB68CC">
        <w:rPr>
          <w:rFonts w:ascii="Arial" w:hAnsi="Arial" w:cs="Arial"/>
          <w:sz w:val="22"/>
          <w:szCs w:val="22"/>
          <w:lang w:val="es-ES_tradnl"/>
        </w:rPr>
        <w:t xml:space="preserve">OSFPS </w:t>
      </w:r>
      <w:r w:rsidR="008A7412" w:rsidRPr="00DB68CC">
        <w:rPr>
          <w:rFonts w:ascii="Arial" w:hAnsi="Arial" w:cs="Arial"/>
          <w:sz w:val="22"/>
          <w:szCs w:val="22"/>
          <w:lang w:val="es-ES_tradnl"/>
        </w:rPr>
        <w:t>(cooperativas de ahorro y crédito, mutualistas, cajas de ahorro y bancos comunales)</w:t>
      </w:r>
    </w:p>
    <w:p w14:paraId="25B82AF0" w14:textId="77777777" w:rsidR="00AA6DD8" w:rsidRPr="00DB68CC" w:rsidRDefault="00AA6DD8" w:rsidP="00AA6DD8">
      <w:pPr>
        <w:pStyle w:val="ListParagraph"/>
        <w:ind w:left="792"/>
        <w:jc w:val="both"/>
        <w:rPr>
          <w:rFonts w:ascii="Arial" w:hAnsi="Arial" w:cs="Arial"/>
          <w:sz w:val="22"/>
          <w:szCs w:val="22"/>
          <w:lang w:val="es-ES_tradnl"/>
        </w:rPr>
      </w:pPr>
    </w:p>
    <w:p w14:paraId="7E4627E3" w14:textId="77777777" w:rsidR="00AA6DD8" w:rsidRPr="00DB68CC" w:rsidRDefault="002101BF"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Tipo de Banca:</w:t>
      </w:r>
      <w:r w:rsidRPr="00DB68CC">
        <w:rPr>
          <w:rFonts w:ascii="Arial" w:hAnsi="Arial" w:cs="Arial"/>
          <w:sz w:val="22"/>
          <w:szCs w:val="22"/>
          <w:lang w:val="es-ES_tradnl"/>
        </w:rPr>
        <w:t xml:space="preserve"> </w:t>
      </w:r>
      <w:r w:rsidR="00CA3DA1" w:rsidRPr="00DB68CC">
        <w:rPr>
          <w:rFonts w:ascii="Arial" w:hAnsi="Arial" w:cs="Arial"/>
          <w:sz w:val="22"/>
          <w:szCs w:val="22"/>
          <w:lang w:val="es-ES_tradnl"/>
        </w:rPr>
        <w:t>El OE</w:t>
      </w:r>
      <w:r w:rsidR="00C14D0B" w:rsidRPr="00DB68CC">
        <w:rPr>
          <w:rFonts w:ascii="Arial" w:hAnsi="Arial" w:cs="Arial"/>
          <w:sz w:val="22"/>
          <w:szCs w:val="22"/>
          <w:lang w:val="es-ES_tradnl"/>
        </w:rPr>
        <w:t xml:space="preserve"> intermediará, de manera </w:t>
      </w:r>
      <w:r w:rsidR="008A7412" w:rsidRPr="00DB68CC">
        <w:rPr>
          <w:rFonts w:ascii="Arial" w:hAnsi="Arial" w:cs="Arial"/>
          <w:sz w:val="22"/>
          <w:szCs w:val="22"/>
          <w:lang w:val="es-ES_tradnl"/>
        </w:rPr>
        <w:t>in</w:t>
      </w:r>
      <w:r w:rsidR="00C14D0B" w:rsidRPr="00DB68CC">
        <w:rPr>
          <w:rFonts w:ascii="Arial" w:hAnsi="Arial" w:cs="Arial"/>
          <w:sz w:val="22"/>
          <w:szCs w:val="22"/>
          <w:lang w:val="es-ES_tradnl"/>
        </w:rPr>
        <w:t>directa</w:t>
      </w:r>
      <w:r w:rsidR="00111DC4" w:rsidRPr="00DB68CC">
        <w:rPr>
          <w:rFonts w:ascii="Arial" w:hAnsi="Arial" w:cs="Arial"/>
          <w:sz w:val="22"/>
          <w:szCs w:val="22"/>
          <w:lang w:val="es-ES_tradnl"/>
        </w:rPr>
        <w:t xml:space="preserve"> (banca de </w:t>
      </w:r>
      <w:r w:rsidR="008A7412" w:rsidRPr="00DB68CC">
        <w:rPr>
          <w:rFonts w:ascii="Arial" w:hAnsi="Arial" w:cs="Arial"/>
          <w:sz w:val="22"/>
          <w:szCs w:val="22"/>
          <w:lang w:val="es-ES_tradnl"/>
        </w:rPr>
        <w:t>segundo piso)</w:t>
      </w:r>
      <w:r w:rsidR="00C14D0B" w:rsidRPr="00DB68CC">
        <w:rPr>
          <w:rFonts w:ascii="Arial" w:hAnsi="Arial" w:cs="Arial"/>
          <w:sz w:val="22"/>
          <w:szCs w:val="22"/>
          <w:lang w:val="es-ES_tradnl"/>
        </w:rPr>
        <w:t>,</w:t>
      </w:r>
      <w:r w:rsidR="00A55AD3" w:rsidRPr="00DB68CC">
        <w:rPr>
          <w:rFonts w:ascii="Arial" w:hAnsi="Arial" w:cs="Arial"/>
          <w:sz w:val="22"/>
          <w:szCs w:val="22"/>
          <w:lang w:val="es-ES_tradnl"/>
        </w:rPr>
        <w:t xml:space="preserve"> los recursos a los beneficiarios finales identificados en adelante como los </w:t>
      </w:r>
      <w:proofErr w:type="spellStart"/>
      <w:r w:rsidR="00A55AD3" w:rsidRPr="00DB68CC">
        <w:rPr>
          <w:rFonts w:ascii="Arial" w:hAnsi="Arial" w:cs="Arial"/>
          <w:sz w:val="22"/>
          <w:szCs w:val="22"/>
          <w:lang w:val="es-ES_tradnl"/>
        </w:rPr>
        <w:t>subprestatarios</w:t>
      </w:r>
      <w:proofErr w:type="spellEnd"/>
      <w:r w:rsidRPr="00DB68CC">
        <w:rPr>
          <w:rFonts w:ascii="Arial" w:hAnsi="Arial" w:cs="Arial"/>
          <w:sz w:val="22"/>
          <w:szCs w:val="22"/>
          <w:lang w:val="es-ES_tradnl"/>
        </w:rPr>
        <w:t xml:space="preserve"> a través d</w:t>
      </w:r>
      <w:r w:rsidR="008A7412" w:rsidRPr="00DB68CC">
        <w:rPr>
          <w:rFonts w:ascii="Arial" w:hAnsi="Arial" w:cs="Arial"/>
          <w:sz w:val="22"/>
          <w:szCs w:val="22"/>
          <w:lang w:val="es-ES_tradnl"/>
        </w:rPr>
        <w:t xml:space="preserve">e </w:t>
      </w:r>
      <w:r w:rsidR="00147B15" w:rsidRPr="00DB68CC">
        <w:rPr>
          <w:rFonts w:ascii="Arial" w:hAnsi="Arial" w:cs="Arial"/>
          <w:sz w:val="22"/>
          <w:szCs w:val="22"/>
          <w:lang w:val="es-ES_tradnl"/>
        </w:rPr>
        <w:t>las Organizaciones</w:t>
      </w:r>
      <w:r w:rsidR="008A7412" w:rsidRPr="00DB68CC">
        <w:rPr>
          <w:rFonts w:ascii="Arial" w:hAnsi="Arial" w:cs="Arial"/>
          <w:sz w:val="22"/>
          <w:szCs w:val="22"/>
          <w:lang w:val="es-ES_tradnl"/>
        </w:rPr>
        <w:t xml:space="preserve"> </w:t>
      </w:r>
      <w:r w:rsidR="00147B15" w:rsidRPr="00DB68CC">
        <w:rPr>
          <w:rFonts w:ascii="Arial" w:hAnsi="Arial" w:cs="Arial"/>
          <w:sz w:val="22"/>
          <w:szCs w:val="22"/>
          <w:lang w:val="es-ES_tradnl"/>
        </w:rPr>
        <w:t xml:space="preserve">del Sector </w:t>
      </w:r>
      <w:r w:rsidRPr="00DB68CC">
        <w:rPr>
          <w:rFonts w:ascii="Arial" w:hAnsi="Arial" w:cs="Arial"/>
          <w:sz w:val="22"/>
          <w:szCs w:val="22"/>
          <w:lang w:val="es-ES_tradnl"/>
        </w:rPr>
        <w:t>Financier</w:t>
      </w:r>
      <w:r w:rsidR="00147B15" w:rsidRPr="00DB68CC">
        <w:rPr>
          <w:rFonts w:ascii="Arial" w:hAnsi="Arial" w:cs="Arial"/>
          <w:sz w:val="22"/>
          <w:szCs w:val="22"/>
          <w:lang w:val="es-ES_tradnl"/>
        </w:rPr>
        <w:t>o</w:t>
      </w:r>
      <w:r w:rsidRPr="00DB68CC">
        <w:rPr>
          <w:rFonts w:ascii="Arial" w:hAnsi="Arial" w:cs="Arial"/>
          <w:sz w:val="22"/>
          <w:szCs w:val="22"/>
          <w:lang w:val="es-ES_tradnl"/>
        </w:rPr>
        <w:t xml:space="preserve"> </w:t>
      </w:r>
      <w:r w:rsidR="008A7412" w:rsidRPr="00DB68CC">
        <w:rPr>
          <w:rFonts w:ascii="Arial" w:hAnsi="Arial" w:cs="Arial"/>
          <w:sz w:val="22"/>
          <w:szCs w:val="22"/>
          <w:lang w:val="es-ES_tradnl"/>
        </w:rPr>
        <w:t>Popular y Solidari</w:t>
      </w:r>
      <w:r w:rsidR="00147B15" w:rsidRPr="00DB68CC">
        <w:rPr>
          <w:rFonts w:ascii="Arial" w:hAnsi="Arial" w:cs="Arial"/>
          <w:sz w:val="22"/>
          <w:szCs w:val="22"/>
          <w:lang w:val="es-ES_tradnl"/>
        </w:rPr>
        <w:t>o (OSFPS)</w:t>
      </w:r>
      <w:r w:rsidR="008A7412" w:rsidRPr="00DB68CC">
        <w:rPr>
          <w:rFonts w:ascii="Arial" w:hAnsi="Arial" w:cs="Arial"/>
          <w:sz w:val="22"/>
          <w:szCs w:val="22"/>
          <w:lang w:val="es-ES_tradnl"/>
        </w:rPr>
        <w:t xml:space="preserve"> </w:t>
      </w:r>
      <w:r w:rsidRPr="00DB68CC">
        <w:rPr>
          <w:rFonts w:ascii="Arial" w:hAnsi="Arial" w:cs="Arial"/>
          <w:sz w:val="22"/>
          <w:szCs w:val="22"/>
          <w:lang w:val="es-ES_tradnl"/>
        </w:rPr>
        <w:t>elegibles</w:t>
      </w:r>
      <w:r w:rsidR="00A55AD3" w:rsidRPr="00DB68CC">
        <w:rPr>
          <w:rFonts w:ascii="Arial" w:hAnsi="Arial" w:cs="Arial"/>
          <w:sz w:val="22"/>
          <w:szCs w:val="22"/>
          <w:lang w:val="es-ES_tradnl"/>
        </w:rPr>
        <w:t>.</w:t>
      </w:r>
    </w:p>
    <w:p w14:paraId="64751BBC" w14:textId="77777777" w:rsidR="00AA6DD8" w:rsidRPr="00DB68CC" w:rsidRDefault="00AA6DD8" w:rsidP="00AA6DD8">
      <w:pPr>
        <w:pStyle w:val="ListParagraph"/>
        <w:rPr>
          <w:rFonts w:ascii="Arial" w:hAnsi="Arial" w:cs="Arial"/>
          <w:b/>
          <w:bCs/>
          <w:sz w:val="22"/>
          <w:szCs w:val="22"/>
          <w:lang w:val="es-ES_tradnl"/>
        </w:rPr>
      </w:pPr>
    </w:p>
    <w:p w14:paraId="7FC6CC42" w14:textId="77777777" w:rsidR="00AA6DD8" w:rsidRPr="00DB68CC" w:rsidRDefault="00147B15"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Administrador de los Recursos</w:t>
      </w:r>
      <w:r w:rsidR="7CCFE8AD" w:rsidRPr="00DB68CC">
        <w:rPr>
          <w:rFonts w:ascii="Arial" w:hAnsi="Arial" w:cs="Arial"/>
          <w:b/>
          <w:bCs/>
          <w:sz w:val="22"/>
          <w:szCs w:val="22"/>
          <w:lang w:val="es-ES_tradnl"/>
        </w:rPr>
        <w:t>:</w:t>
      </w:r>
      <w:r w:rsidR="2CFE9759" w:rsidRPr="00DB68CC">
        <w:rPr>
          <w:rFonts w:ascii="Arial" w:hAnsi="Arial" w:cs="Arial"/>
          <w:sz w:val="22"/>
          <w:szCs w:val="22"/>
          <w:lang w:val="es-ES_tradnl"/>
        </w:rPr>
        <w:t xml:space="preserve"> </w:t>
      </w:r>
      <w:r w:rsidRPr="00DB68CC">
        <w:rPr>
          <w:rFonts w:ascii="Arial" w:hAnsi="Arial" w:cs="Arial"/>
          <w:sz w:val="22"/>
          <w:szCs w:val="22"/>
          <w:lang w:val="es-ES_tradnl"/>
        </w:rPr>
        <w:t>La</w:t>
      </w:r>
      <w:r w:rsidR="00616DFB" w:rsidRPr="00DB68CC">
        <w:rPr>
          <w:rFonts w:ascii="Arial" w:hAnsi="Arial" w:cs="Arial"/>
          <w:sz w:val="22"/>
          <w:szCs w:val="22"/>
          <w:lang w:val="es-ES_tradnl"/>
        </w:rPr>
        <w:t xml:space="preserve"> Corporación Nacional de Finanzas Populares y Solidarias </w:t>
      </w:r>
      <w:r w:rsidR="00AB68A4" w:rsidRPr="00DB68CC">
        <w:rPr>
          <w:rFonts w:ascii="Arial" w:hAnsi="Arial" w:cs="Arial"/>
          <w:sz w:val="22"/>
          <w:szCs w:val="22"/>
          <w:lang w:val="es-ES_tradnl"/>
        </w:rPr>
        <w:t xml:space="preserve">fungirá como </w:t>
      </w:r>
      <w:r w:rsidR="004E7353" w:rsidRPr="00DB68CC">
        <w:rPr>
          <w:rFonts w:ascii="Arial" w:hAnsi="Arial" w:cs="Arial"/>
          <w:sz w:val="22"/>
          <w:szCs w:val="22"/>
          <w:lang w:val="es-ES_tradnl"/>
        </w:rPr>
        <w:t xml:space="preserve">administrador de </w:t>
      </w:r>
      <w:r w:rsidR="00AB68A4" w:rsidRPr="00DB68CC">
        <w:rPr>
          <w:rFonts w:ascii="Arial" w:hAnsi="Arial" w:cs="Arial"/>
          <w:sz w:val="22"/>
          <w:szCs w:val="22"/>
          <w:lang w:val="es-ES_tradnl"/>
        </w:rPr>
        <w:t xml:space="preserve">los recursos asignados por </w:t>
      </w:r>
      <w:r w:rsidR="00616DFB" w:rsidRPr="00DB68CC">
        <w:rPr>
          <w:rFonts w:ascii="Arial" w:hAnsi="Arial" w:cs="Arial"/>
          <w:sz w:val="22"/>
          <w:szCs w:val="22"/>
          <w:lang w:val="es-ES_tradnl"/>
        </w:rPr>
        <w:t>el Ministerio de Economía y Finanzas (MEF),</w:t>
      </w:r>
      <w:r w:rsidR="00AB68A4" w:rsidRPr="00DB68CC">
        <w:rPr>
          <w:rFonts w:ascii="Arial" w:hAnsi="Arial" w:cs="Arial"/>
          <w:sz w:val="22"/>
          <w:szCs w:val="22"/>
          <w:lang w:val="es-ES_tradnl"/>
        </w:rPr>
        <w:t xml:space="preserve"> </w:t>
      </w:r>
      <w:r w:rsidR="00616DFB" w:rsidRPr="00DB68CC">
        <w:rPr>
          <w:rFonts w:ascii="Arial" w:hAnsi="Arial" w:cs="Arial"/>
          <w:sz w:val="22"/>
          <w:szCs w:val="22"/>
          <w:lang w:val="es-ES_tradnl"/>
        </w:rPr>
        <w:t>s</w:t>
      </w:r>
      <w:r w:rsidR="007A62A3" w:rsidRPr="00DB68CC">
        <w:rPr>
          <w:rFonts w:ascii="Arial" w:hAnsi="Arial" w:cs="Arial"/>
          <w:sz w:val="22"/>
          <w:szCs w:val="22"/>
          <w:lang w:val="es-ES_tradnl"/>
        </w:rPr>
        <w:t xml:space="preserve">in detrimento de su calidad de </w:t>
      </w:r>
      <w:r w:rsidR="00E174EF" w:rsidRPr="00DB68CC">
        <w:rPr>
          <w:rFonts w:ascii="Arial" w:hAnsi="Arial" w:cs="Arial"/>
          <w:sz w:val="22"/>
          <w:szCs w:val="22"/>
          <w:lang w:val="es-ES_tradnl"/>
        </w:rPr>
        <w:t>banco de</w:t>
      </w:r>
      <w:r w:rsidR="00917D38" w:rsidRPr="00DB68CC">
        <w:rPr>
          <w:rFonts w:ascii="Arial" w:hAnsi="Arial" w:cs="Arial"/>
          <w:sz w:val="22"/>
          <w:szCs w:val="22"/>
          <w:lang w:val="es-ES_tradnl"/>
        </w:rPr>
        <w:t xml:space="preserve"> segundo piso</w:t>
      </w:r>
      <w:r w:rsidR="00AA6DD8" w:rsidRPr="00DB68CC">
        <w:rPr>
          <w:rFonts w:ascii="Arial" w:hAnsi="Arial" w:cs="Arial"/>
          <w:sz w:val="22"/>
          <w:szCs w:val="22"/>
          <w:lang w:val="es-ES_tradnl"/>
        </w:rPr>
        <w:t xml:space="preserve"> </w:t>
      </w:r>
    </w:p>
    <w:p w14:paraId="0896F29F" w14:textId="77777777" w:rsidR="00AA6DD8" w:rsidRPr="00DB68CC" w:rsidRDefault="00AA6DD8" w:rsidP="00AA6DD8">
      <w:pPr>
        <w:pStyle w:val="ListParagraph"/>
        <w:rPr>
          <w:rFonts w:ascii="Arial" w:hAnsi="Arial" w:cs="Arial"/>
          <w:b/>
          <w:bCs/>
          <w:sz w:val="22"/>
          <w:szCs w:val="22"/>
          <w:lang w:val="es-ES_tradnl"/>
        </w:rPr>
      </w:pPr>
    </w:p>
    <w:p w14:paraId="1E9B2CD0" w14:textId="2EF07B2C" w:rsidR="00AA6DD8" w:rsidRPr="00DB68CC" w:rsidRDefault="00616DFB"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Organización del Sistema Financiero Popular y Solidario</w:t>
      </w:r>
      <w:r w:rsidR="002101BF" w:rsidRPr="00DB68CC">
        <w:rPr>
          <w:rFonts w:ascii="Arial" w:hAnsi="Arial" w:cs="Arial"/>
          <w:b/>
          <w:bCs/>
          <w:sz w:val="22"/>
          <w:szCs w:val="22"/>
          <w:lang w:val="es-ES_tradnl"/>
        </w:rPr>
        <w:t xml:space="preserve"> </w:t>
      </w:r>
      <w:r w:rsidRPr="00DB68CC">
        <w:rPr>
          <w:rFonts w:ascii="Arial" w:hAnsi="Arial" w:cs="Arial"/>
          <w:b/>
          <w:bCs/>
          <w:sz w:val="22"/>
          <w:szCs w:val="22"/>
          <w:lang w:val="es-ES_tradnl"/>
        </w:rPr>
        <w:t xml:space="preserve">(OSFPS) </w:t>
      </w:r>
      <w:r w:rsidR="00CD7170" w:rsidRPr="00DB68CC">
        <w:rPr>
          <w:rFonts w:ascii="Arial" w:hAnsi="Arial" w:cs="Arial"/>
          <w:b/>
          <w:bCs/>
          <w:sz w:val="22"/>
          <w:szCs w:val="22"/>
          <w:lang w:val="es-ES_tradnl"/>
        </w:rPr>
        <w:t xml:space="preserve">o </w:t>
      </w:r>
      <w:proofErr w:type="spellStart"/>
      <w:r w:rsidR="00CD7170" w:rsidRPr="00DB68CC">
        <w:rPr>
          <w:rFonts w:ascii="Arial" w:hAnsi="Arial" w:cs="Arial"/>
          <w:b/>
          <w:bCs/>
          <w:sz w:val="22"/>
          <w:szCs w:val="22"/>
          <w:lang w:val="es-ES_tradnl"/>
        </w:rPr>
        <w:t>subprestamista</w:t>
      </w:r>
      <w:proofErr w:type="spellEnd"/>
      <w:r w:rsidR="002101BF" w:rsidRPr="00DB68CC">
        <w:rPr>
          <w:rFonts w:ascii="Arial" w:hAnsi="Arial" w:cs="Arial"/>
          <w:b/>
          <w:bCs/>
          <w:sz w:val="22"/>
          <w:szCs w:val="22"/>
          <w:lang w:val="es-ES_tradnl"/>
        </w:rPr>
        <w:t>:</w:t>
      </w:r>
      <w:r w:rsidR="002101BF" w:rsidRPr="00DB68CC">
        <w:rPr>
          <w:rFonts w:ascii="Arial" w:hAnsi="Arial" w:cs="Arial"/>
          <w:sz w:val="22"/>
          <w:szCs w:val="22"/>
          <w:lang w:val="es-ES_tradnl"/>
        </w:rPr>
        <w:t xml:space="preserve"> Hace referencia a las </w:t>
      </w:r>
      <w:r w:rsidRPr="00DB68CC">
        <w:rPr>
          <w:rFonts w:ascii="Arial" w:hAnsi="Arial" w:cs="Arial"/>
          <w:sz w:val="22"/>
          <w:szCs w:val="22"/>
          <w:lang w:val="es-ES_tradnl"/>
        </w:rPr>
        <w:t>e</w:t>
      </w:r>
      <w:r w:rsidR="002101BF" w:rsidRPr="00DB68CC">
        <w:rPr>
          <w:rFonts w:ascii="Arial" w:hAnsi="Arial" w:cs="Arial"/>
          <w:sz w:val="22"/>
          <w:szCs w:val="22"/>
          <w:lang w:val="es-ES_tradnl"/>
        </w:rPr>
        <w:t>n</w:t>
      </w:r>
      <w:r w:rsidRPr="00DB68CC">
        <w:rPr>
          <w:rFonts w:ascii="Arial" w:hAnsi="Arial" w:cs="Arial"/>
          <w:sz w:val="22"/>
          <w:szCs w:val="22"/>
          <w:lang w:val="es-ES_tradnl"/>
        </w:rPr>
        <w:t>tidades</w:t>
      </w:r>
      <w:r w:rsidR="002101BF" w:rsidRPr="00DB68CC">
        <w:rPr>
          <w:rFonts w:ascii="Arial" w:hAnsi="Arial" w:cs="Arial"/>
          <w:sz w:val="22"/>
          <w:szCs w:val="22"/>
          <w:lang w:val="es-ES_tradnl"/>
        </w:rPr>
        <w:t xml:space="preserve"> </w:t>
      </w:r>
      <w:r w:rsidRPr="00DB68CC">
        <w:rPr>
          <w:rFonts w:ascii="Arial" w:hAnsi="Arial" w:cs="Arial"/>
          <w:sz w:val="22"/>
          <w:szCs w:val="22"/>
          <w:lang w:val="es-ES_tradnl"/>
        </w:rPr>
        <w:t>f</w:t>
      </w:r>
      <w:r w:rsidR="002101BF" w:rsidRPr="00DB68CC">
        <w:rPr>
          <w:rFonts w:ascii="Arial" w:hAnsi="Arial" w:cs="Arial"/>
          <w:sz w:val="22"/>
          <w:szCs w:val="22"/>
          <w:lang w:val="es-ES_tradnl"/>
        </w:rPr>
        <w:t xml:space="preserve">inancieras </w:t>
      </w:r>
      <w:r w:rsidRPr="00DB68CC">
        <w:rPr>
          <w:rFonts w:ascii="Arial" w:hAnsi="Arial" w:cs="Arial"/>
          <w:sz w:val="22"/>
          <w:szCs w:val="22"/>
          <w:lang w:val="es-ES_tradnl"/>
        </w:rPr>
        <w:t xml:space="preserve">de la economía popular y solidaria </w:t>
      </w:r>
      <w:r w:rsidR="0000753D" w:rsidRPr="00DB68CC">
        <w:rPr>
          <w:rFonts w:ascii="Arial" w:hAnsi="Arial" w:cs="Arial"/>
          <w:sz w:val="22"/>
          <w:szCs w:val="22"/>
          <w:lang w:val="es-ES_tradnl"/>
        </w:rPr>
        <w:t>(</w:t>
      </w:r>
      <w:r w:rsidRPr="00DB68CC">
        <w:rPr>
          <w:rFonts w:ascii="Arial" w:hAnsi="Arial" w:cs="Arial"/>
          <w:sz w:val="22"/>
          <w:szCs w:val="22"/>
          <w:lang w:val="es-ES_tradnl"/>
        </w:rPr>
        <w:t>OSFPS</w:t>
      </w:r>
      <w:r w:rsidR="0000753D" w:rsidRPr="00DB68CC">
        <w:rPr>
          <w:rFonts w:ascii="Arial" w:hAnsi="Arial" w:cs="Arial"/>
          <w:sz w:val="22"/>
          <w:szCs w:val="22"/>
          <w:lang w:val="es-ES_tradnl"/>
        </w:rPr>
        <w:t>)</w:t>
      </w:r>
      <w:r w:rsidRPr="00DB68CC">
        <w:rPr>
          <w:rFonts w:ascii="Arial" w:hAnsi="Arial" w:cs="Arial"/>
          <w:sz w:val="22"/>
          <w:szCs w:val="22"/>
          <w:lang w:val="es-ES_tradnl"/>
        </w:rPr>
        <w:t xml:space="preserve">, </w:t>
      </w:r>
      <w:r w:rsidR="002101BF" w:rsidRPr="00DB68CC">
        <w:rPr>
          <w:rFonts w:ascii="Arial" w:hAnsi="Arial" w:cs="Arial"/>
          <w:sz w:val="22"/>
          <w:szCs w:val="22"/>
          <w:lang w:val="es-ES_tradnl"/>
        </w:rPr>
        <w:t xml:space="preserve">que serán subprestamistas quienes intermediarán los recursos desde </w:t>
      </w:r>
      <w:r w:rsidRPr="00DB68CC">
        <w:rPr>
          <w:rFonts w:ascii="Arial" w:hAnsi="Arial" w:cs="Arial"/>
          <w:sz w:val="22"/>
          <w:szCs w:val="22"/>
          <w:lang w:val="es-ES_tradnl"/>
        </w:rPr>
        <w:t>la CONAFIPS</w:t>
      </w:r>
      <w:r w:rsidR="002101BF" w:rsidRPr="00DB68CC">
        <w:rPr>
          <w:rFonts w:ascii="Arial" w:hAnsi="Arial" w:cs="Arial"/>
          <w:sz w:val="22"/>
          <w:szCs w:val="22"/>
          <w:lang w:val="es-ES_tradnl"/>
        </w:rPr>
        <w:t xml:space="preserve"> a los beneficiarios finales identificados en adelante como los </w:t>
      </w:r>
      <w:proofErr w:type="spellStart"/>
      <w:r w:rsidR="002101BF" w:rsidRPr="00DB68CC">
        <w:rPr>
          <w:rFonts w:ascii="Arial" w:hAnsi="Arial" w:cs="Arial"/>
          <w:sz w:val="22"/>
          <w:szCs w:val="22"/>
          <w:lang w:val="es-ES_tradnl"/>
        </w:rPr>
        <w:t>subprestatarios</w:t>
      </w:r>
      <w:proofErr w:type="spellEnd"/>
      <w:r w:rsidR="002101BF" w:rsidRPr="00DB68CC">
        <w:rPr>
          <w:rFonts w:ascii="Arial" w:hAnsi="Arial" w:cs="Arial"/>
          <w:sz w:val="22"/>
          <w:szCs w:val="22"/>
          <w:lang w:val="es-ES_tradnl"/>
        </w:rPr>
        <w:t>.</w:t>
      </w:r>
      <w:r w:rsidRPr="00DB68CC">
        <w:rPr>
          <w:rFonts w:ascii="Arial" w:hAnsi="Arial" w:cs="Arial"/>
          <w:sz w:val="22"/>
          <w:szCs w:val="22"/>
          <w:lang w:val="es-ES_tradnl"/>
        </w:rPr>
        <w:t xml:space="preserve"> Estas entidades son controladas por la Superintendencia de Economía Popular y Solidaria (SEPS).</w:t>
      </w:r>
      <w:r w:rsidR="00AA6DD8" w:rsidRPr="00DB68CC">
        <w:rPr>
          <w:rFonts w:ascii="Arial" w:hAnsi="Arial" w:cs="Arial"/>
          <w:sz w:val="22"/>
          <w:szCs w:val="22"/>
          <w:lang w:val="es-ES_tradnl"/>
        </w:rPr>
        <w:t xml:space="preserve"> </w:t>
      </w:r>
    </w:p>
    <w:p w14:paraId="4212E54E" w14:textId="77777777" w:rsidR="00AA6DD8" w:rsidRPr="00DB68CC" w:rsidRDefault="00AA6DD8" w:rsidP="00AA6DD8">
      <w:pPr>
        <w:pStyle w:val="ListParagraph"/>
        <w:rPr>
          <w:rFonts w:ascii="Arial" w:hAnsi="Arial" w:cs="Arial"/>
          <w:b/>
          <w:bCs/>
          <w:sz w:val="22"/>
          <w:szCs w:val="22"/>
          <w:lang w:val="es-ES_tradnl"/>
        </w:rPr>
      </w:pPr>
    </w:p>
    <w:p w14:paraId="0172551A" w14:textId="153DC6ED" w:rsidR="00AA6DD8" w:rsidRPr="00DB68CC" w:rsidRDefault="0032605C"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Beneficiarios</w:t>
      </w:r>
      <w:r w:rsidR="0069739B" w:rsidRPr="00DB68CC">
        <w:rPr>
          <w:rFonts w:ascii="Arial" w:hAnsi="Arial" w:cs="Arial"/>
          <w:b/>
          <w:bCs/>
          <w:sz w:val="22"/>
          <w:szCs w:val="22"/>
          <w:lang w:val="es-ES_tradnl"/>
        </w:rPr>
        <w:t xml:space="preserve"> o </w:t>
      </w:r>
      <w:proofErr w:type="spellStart"/>
      <w:r w:rsidR="0069739B" w:rsidRPr="00DB68CC">
        <w:rPr>
          <w:rFonts w:ascii="Arial" w:hAnsi="Arial" w:cs="Arial"/>
          <w:b/>
          <w:bCs/>
          <w:sz w:val="22"/>
          <w:szCs w:val="22"/>
          <w:lang w:val="es-ES_tradnl"/>
        </w:rPr>
        <w:t>Subprestatarios</w:t>
      </w:r>
      <w:proofErr w:type="spellEnd"/>
      <w:r w:rsidR="0069739B" w:rsidRPr="00DB68CC">
        <w:rPr>
          <w:rFonts w:ascii="Arial" w:hAnsi="Arial" w:cs="Arial"/>
          <w:b/>
          <w:bCs/>
          <w:sz w:val="22"/>
          <w:szCs w:val="22"/>
          <w:lang w:val="es-ES_tradnl"/>
        </w:rPr>
        <w:t>:</w:t>
      </w:r>
      <w:r w:rsidR="0069739B" w:rsidRPr="00DB68CC">
        <w:rPr>
          <w:rFonts w:ascii="Arial" w:hAnsi="Arial" w:cs="Arial"/>
          <w:sz w:val="22"/>
          <w:szCs w:val="22"/>
          <w:lang w:val="es-ES_tradnl"/>
        </w:rPr>
        <w:t xml:space="preserve"> Serán los beneficiarios finales de los recursos, una vez hayan cumplido las condiciones de elegibilidad dispuestas en el presente Reglamento. </w:t>
      </w:r>
      <w:r w:rsidRPr="00DB68CC">
        <w:rPr>
          <w:rFonts w:ascii="Arial" w:hAnsi="Arial" w:cs="Arial"/>
          <w:sz w:val="22"/>
          <w:szCs w:val="22"/>
          <w:lang w:val="es-ES_tradnl"/>
        </w:rPr>
        <w:t xml:space="preserve">La intervención dirigirá sus recursos </w:t>
      </w:r>
      <w:r w:rsidR="00FF28F0" w:rsidRPr="00DB68CC">
        <w:rPr>
          <w:rFonts w:ascii="Arial" w:hAnsi="Arial" w:cs="Arial"/>
          <w:sz w:val="22"/>
          <w:szCs w:val="22"/>
          <w:lang w:val="es-ES_tradnl"/>
        </w:rPr>
        <w:t xml:space="preserve">tanto </w:t>
      </w:r>
      <w:r w:rsidRPr="00DB68CC">
        <w:rPr>
          <w:rFonts w:ascii="Arial" w:hAnsi="Arial" w:cs="Arial"/>
          <w:sz w:val="22"/>
          <w:szCs w:val="22"/>
          <w:lang w:val="es-ES_tradnl"/>
        </w:rPr>
        <w:t xml:space="preserve">a las </w:t>
      </w:r>
      <w:r w:rsidR="005B6A83" w:rsidRPr="00DB68CC">
        <w:rPr>
          <w:rFonts w:ascii="Arial" w:hAnsi="Arial" w:cs="Arial"/>
          <w:sz w:val="22"/>
          <w:szCs w:val="22"/>
          <w:lang w:val="es-ES_tradnl"/>
        </w:rPr>
        <w:t>Micro</w:t>
      </w:r>
      <w:r w:rsidR="00704D0B" w:rsidRPr="00DB68CC">
        <w:rPr>
          <w:rFonts w:ascii="Arial" w:hAnsi="Arial" w:cs="Arial"/>
          <w:sz w:val="22"/>
          <w:szCs w:val="22"/>
          <w:lang w:val="es-ES_tradnl"/>
        </w:rPr>
        <w:t xml:space="preserve"> y</w:t>
      </w:r>
      <w:r w:rsidR="005B6A83" w:rsidRPr="00DB68CC">
        <w:rPr>
          <w:rFonts w:ascii="Arial" w:hAnsi="Arial" w:cs="Arial"/>
          <w:sz w:val="22"/>
          <w:szCs w:val="22"/>
          <w:lang w:val="es-ES_tradnl"/>
        </w:rPr>
        <w:t xml:space="preserve"> Pequeña</w:t>
      </w:r>
      <w:r w:rsidR="00EA2B41" w:rsidRPr="00DB68CC">
        <w:rPr>
          <w:rFonts w:ascii="Arial" w:hAnsi="Arial" w:cs="Arial"/>
          <w:sz w:val="22"/>
          <w:szCs w:val="22"/>
          <w:lang w:val="es-ES_tradnl"/>
        </w:rPr>
        <w:t>s (</w:t>
      </w:r>
      <w:r w:rsidRPr="00DB68CC">
        <w:rPr>
          <w:rFonts w:ascii="Arial" w:hAnsi="Arial" w:cs="Arial"/>
          <w:sz w:val="22"/>
          <w:szCs w:val="22"/>
          <w:lang w:val="es-ES_tradnl"/>
        </w:rPr>
        <w:t>MI</w:t>
      </w:r>
      <w:r w:rsidR="006A15DE" w:rsidRPr="00DB68CC">
        <w:rPr>
          <w:rFonts w:ascii="Arial" w:hAnsi="Arial" w:cs="Arial"/>
          <w:sz w:val="22"/>
          <w:szCs w:val="22"/>
          <w:lang w:val="es-ES_tradnl"/>
        </w:rPr>
        <w:t>P</w:t>
      </w:r>
      <w:r w:rsidRPr="00DB68CC">
        <w:rPr>
          <w:rFonts w:ascii="Arial" w:hAnsi="Arial" w:cs="Arial"/>
          <w:sz w:val="22"/>
          <w:szCs w:val="22"/>
          <w:lang w:val="es-ES_tradnl"/>
        </w:rPr>
        <w:t>E</w:t>
      </w:r>
      <w:r w:rsidR="00EA2B41" w:rsidRPr="00DB68CC">
        <w:rPr>
          <w:rFonts w:ascii="Arial" w:hAnsi="Arial" w:cs="Arial"/>
          <w:sz w:val="22"/>
          <w:szCs w:val="22"/>
          <w:lang w:val="es-ES_tradnl"/>
        </w:rPr>
        <w:t>)</w:t>
      </w:r>
      <w:r w:rsidRPr="00DB68CC">
        <w:rPr>
          <w:rFonts w:ascii="Arial" w:hAnsi="Arial" w:cs="Arial"/>
          <w:sz w:val="22"/>
          <w:szCs w:val="22"/>
          <w:lang w:val="es-ES_tradnl"/>
        </w:rPr>
        <w:t xml:space="preserve"> afectadas por la crisis del </w:t>
      </w:r>
      <w:r w:rsidR="00587D46" w:rsidRPr="00DB68CC">
        <w:rPr>
          <w:rFonts w:ascii="Arial" w:hAnsi="Arial" w:cs="Arial"/>
          <w:sz w:val="22"/>
          <w:szCs w:val="22"/>
          <w:lang w:val="es-ES_tradnl"/>
        </w:rPr>
        <w:t>Coronavirus</w:t>
      </w:r>
      <w:r w:rsidR="0000753D" w:rsidRPr="00DB68CC">
        <w:rPr>
          <w:rFonts w:ascii="Arial" w:hAnsi="Arial" w:cs="Arial"/>
          <w:sz w:val="22"/>
          <w:szCs w:val="22"/>
          <w:lang w:val="es-ES_tradnl"/>
        </w:rPr>
        <w:t xml:space="preserve"> (CV</w:t>
      </w:r>
      <w:r w:rsidR="00587D46" w:rsidRPr="00DB68CC">
        <w:rPr>
          <w:rFonts w:ascii="Arial" w:hAnsi="Arial" w:cs="Arial"/>
          <w:sz w:val="22"/>
          <w:szCs w:val="22"/>
          <w:lang w:val="es-ES_tradnl"/>
        </w:rPr>
        <w:t xml:space="preserve"> o COVID-19) </w:t>
      </w:r>
      <w:r w:rsidRPr="00DB68CC">
        <w:rPr>
          <w:rFonts w:ascii="Arial" w:hAnsi="Arial" w:cs="Arial"/>
          <w:sz w:val="22"/>
          <w:szCs w:val="22"/>
          <w:lang w:val="es-ES_tradnl"/>
        </w:rPr>
        <w:t xml:space="preserve">como a las cadenas estratégicas en las que se integran, </w:t>
      </w:r>
      <w:r w:rsidRPr="00DB68CC">
        <w:rPr>
          <w:rFonts w:ascii="Arial" w:hAnsi="Arial" w:cs="Arial"/>
          <w:sz w:val="22"/>
          <w:szCs w:val="22"/>
          <w:lang w:val="es-ES_tradnl"/>
        </w:rPr>
        <w:lastRenderedPageBreak/>
        <w:t xml:space="preserve">priorizando </w:t>
      </w:r>
      <w:r w:rsidR="006F3D48" w:rsidRPr="00DB68CC">
        <w:rPr>
          <w:rFonts w:ascii="Arial" w:hAnsi="Arial" w:cs="Arial"/>
          <w:sz w:val="22"/>
          <w:szCs w:val="22"/>
          <w:lang w:val="es-ES_tradnl"/>
        </w:rPr>
        <w:t xml:space="preserve">los </w:t>
      </w:r>
      <w:r w:rsidRPr="00DB68CC">
        <w:rPr>
          <w:rFonts w:ascii="Arial" w:hAnsi="Arial" w:cs="Arial"/>
          <w:sz w:val="22"/>
          <w:szCs w:val="22"/>
          <w:lang w:val="es-ES_tradnl"/>
        </w:rPr>
        <w:t>sectores</w:t>
      </w:r>
      <w:r w:rsidR="00BF58CE" w:rsidRPr="00DB68CC">
        <w:rPr>
          <w:rFonts w:ascii="Arial" w:hAnsi="Arial" w:cs="Arial"/>
          <w:sz w:val="22"/>
          <w:szCs w:val="22"/>
          <w:lang w:val="es-ES_tradnl"/>
        </w:rPr>
        <w:t xml:space="preserve"> de la</w:t>
      </w:r>
      <w:r w:rsidR="006A15DE" w:rsidRPr="00DB68CC">
        <w:rPr>
          <w:rFonts w:ascii="Arial" w:hAnsi="Arial" w:cs="Arial"/>
          <w:sz w:val="22"/>
          <w:szCs w:val="22"/>
          <w:lang w:val="es-ES_tradnl"/>
        </w:rPr>
        <w:t>s</w:t>
      </w:r>
      <w:r w:rsidR="00BF58CE" w:rsidRPr="00DB68CC">
        <w:rPr>
          <w:rFonts w:ascii="Arial" w:hAnsi="Arial" w:cs="Arial"/>
          <w:sz w:val="22"/>
          <w:szCs w:val="22"/>
          <w:lang w:val="es-ES_tradnl"/>
        </w:rPr>
        <w:t xml:space="preserve"> </w:t>
      </w:r>
      <w:r w:rsidR="006A15DE" w:rsidRPr="00DB68CC">
        <w:rPr>
          <w:rFonts w:ascii="Arial" w:hAnsi="Arial" w:cs="Arial"/>
          <w:sz w:val="22"/>
          <w:szCs w:val="22"/>
          <w:lang w:val="es-ES_tradnl"/>
        </w:rPr>
        <w:t>MIPE</w:t>
      </w:r>
      <w:r w:rsidRPr="00DB68CC">
        <w:rPr>
          <w:rFonts w:ascii="Arial" w:hAnsi="Arial" w:cs="Arial"/>
          <w:sz w:val="22"/>
          <w:szCs w:val="22"/>
          <w:lang w:val="es-ES_tradnl"/>
        </w:rPr>
        <w:t xml:space="preserve"> por su grado de vulnerabilidad frente a la crisis</w:t>
      </w:r>
      <w:r w:rsidR="0000753D" w:rsidRPr="00DB68CC">
        <w:rPr>
          <w:rFonts w:ascii="Arial" w:hAnsi="Arial" w:cs="Arial"/>
          <w:sz w:val="22"/>
          <w:szCs w:val="22"/>
          <w:lang w:val="es-ES_tradnl"/>
        </w:rPr>
        <w:t xml:space="preserve"> ocasionada por la pandemia</w:t>
      </w:r>
      <w:r w:rsidRPr="00DB68CC">
        <w:rPr>
          <w:rFonts w:ascii="Arial" w:hAnsi="Arial" w:cs="Arial"/>
          <w:sz w:val="22"/>
          <w:szCs w:val="22"/>
          <w:lang w:val="es-ES_tradnl"/>
        </w:rPr>
        <w:t>.</w:t>
      </w:r>
    </w:p>
    <w:p w14:paraId="1A377821" w14:textId="77777777" w:rsidR="00AA6DD8" w:rsidRPr="00DB68CC" w:rsidRDefault="00AA6DD8" w:rsidP="00AA6DD8">
      <w:pPr>
        <w:pStyle w:val="ListParagraph"/>
        <w:rPr>
          <w:rFonts w:ascii="Arial" w:hAnsi="Arial" w:cs="Arial"/>
          <w:b/>
          <w:bCs/>
          <w:sz w:val="22"/>
          <w:szCs w:val="22"/>
          <w:lang w:val="es-ES_tradnl"/>
        </w:rPr>
      </w:pPr>
    </w:p>
    <w:p w14:paraId="1A5B3A2F" w14:textId="00CD29AF" w:rsidR="00AA6DD8" w:rsidRPr="00DB68CC" w:rsidRDefault="00D3120E"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FOGEPS:</w:t>
      </w:r>
      <w:r w:rsidRPr="00DB68CC">
        <w:rPr>
          <w:rFonts w:ascii="Arial" w:hAnsi="Arial" w:cs="Arial"/>
          <w:sz w:val="22"/>
          <w:szCs w:val="22"/>
          <w:lang w:val="es-ES_tradnl"/>
        </w:rPr>
        <w:t xml:space="preserve"> El Fondo de Garantía de la Economía Popular y Solidaria es un fondo administrado por la CONAFIPS, que se constituye como una herramienta de inclusión a los grupos vulnerables o de atención prioritaria que no han podido acceder tradicionalmente a financiamiento crediticio por la falta de un colateral o garantía suficiente en su operación crediticia</w:t>
      </w:r>
      <w:r w:rsidR="006A15DE" w:rsidRPr="00DB68CC">
        <w:rPr>
          <w:rFonts w:ascii="Arial" w:hAnsi="Arial" w:cs="Arial"/>
          <w:sz w:val="22"/>
          <w:szCs w:val="22"/>
          <w:lang w:val="es-ES_tradnl"/>
        </w:rPr>
        <w:t>.</w:t>
      </w:r>
    </w:p>
    <w:p w14:paraId="38D3D80B" w14:textId="77777777" w:rsidR="00AA6DD8" w:rsidRPr="00DB68CC" w:rsidRDefault="00AA6DD8" w:rsidP="00AA6DD8">
      <w:pPr>
        <w:pStyle w:val="ListParagraph"/>
        <w:rPr>
          <w:rFonts w:ascii="Arial" w:hAnsi="Arial" w:cs="Arial"/>
          <w:b/>
          <w:bCs/>
          <w:sz w:val="22"/>
          <w:szCs w:val="22"/>
          <w:lang w:val="es-ES_tradnl"/>
        </w:rPr>
      </w:pPr>
    </w:p>
    <w:p w14:paraId="7514D20B" w14:textId="51D36868" w:rsidR="00AA6DD8" w:rsidRPr="00DB68CC" w:rsidRDefault="00743C06"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MIPE</w:t>
      </w:r>
      <w:r w:rsidR="002101BF" w:rsidRPr="00DB68CC">
        <w:rPr>
          <w:rFonts w:ascii="Arial" w:hAnsi="Arial" w:cs="Arial"/>
          <w:b/>
          <w:bCs/>
          <w:sz w:val="22"/>
          <w:szCs w:val="22"/>
          <w:lang w:val="es-ES_tradnl"/>
        </w:rPr>
        <w:t>:</w:t>
      </w:r>
      <w:r w:rsidR="002101BF" w:rsidRPr="00DB68CC">
        <w:rPr>
          <w:rFonts w:ascii="Arial" w:hAnsi="Arial" w:cs="Arial"/>
          <w:sz w:val="22"/>
          <w:szCs w:val="22"/>
          <w:lang w:val="es-ES_tradnl"/>
        </w:rPr>
        <w:t xml:space="preserve"> </w:t>
      </w:r>
      <w:r w:rsidR="00AF5E75" w:rsidRPr="00DB68CC">
        <w:rPr>
          <w:rFonts w:ascii="Arial" w:hAnsi="Arial" w:cs="Arial"/>
          <w:sz w:val="22"/>
          <w:szCs w:val="22"/>
          <w:lang w:val="es-ES_tradnl"/>
        </w:rPr>
        <w:t xml:space="preserve">Por </w:t>
      </w:r>
      <w:r w:rsidRPr="00DB68CC">
        <w:rPr>
          <w:rFonts w:ascii="Arial" w:hAnsi="Arial" w:cs="Arial"/>
          <w:sz w:val="22"/>
          <w:szCs w:val="22"/>
          <w:lang w:val="es-ES_tradnl"/>
        </w:rPr>
        <w:t>MIPE</w:t>
      </w:r>
      <w:r w:rsidR="006A15DE" w:rsidRPr="00DB68CC">
        <w:rPr>
          <w:rFonts w:ascii="Arial" w:hAnsi="Arial" w:cs="Arial"/>
          <w:sz w:val="22"/>
          <w:szCs w:val="22"/>
          <w:lang w:val="es-ES_tradnl"/>
        </w:rPr>
        <w:t xml:space="preserve"> </w:t>
      </w:r>
      <w:r w:rsidR="00AF5E75" w:rsidRPr="00DB68CC">
        <w:rPr>
          <w:rFonts w:ascii="Arial" w:hAnsi="Arial" w:cs="Arial"/>
          <w:sz w:val="22"/>
          <w:szCs w:val="22"/>
          <w:lang w:val="es-ES_tradnl"/>
        </w:rPr>
        <w:t xml:space="preserve">se entenderá a las </w:t>
      </w:r>
      <w:r w:rsidR="002101BF" w:rsidRPr="00DB68CC">
        <w:rPr>
          <w:rFonts w:ascii="Arial" w:hAnsi="Arial" w:cs="Arial"/>
          <w:sz w:val="22"/>
          <w:szCs w:val="22"/>
          <w:lang w:val="es-ES_tradnl"/>
        </w:rPr>
        <w:t>M</w:t>
      </w:r>
      <w:r w:rsidR="00C14D0B" w:rsidRPr="00DB68CC">
        <w:rPr>
          <w:rFonts w:ascii="Arial" w:hAnsi="Arial" w:cs="Arial"/>
          <w:sz w:val="22"/>
          <w:szCs w:val="22"/>
          <w:lang w:val="es-ES_tradnl"/>
        </w:rPr>
        <w:t>icro</w:t>
      </w:r>
      <w:r w:rsidR="002101BF" w:rsidRPr="00DB68CC">
        <w:rPr>
          <w:rFonts w:ascii="Arial" w:hAnsi="Arial" w:cs="Arial"/>
          <w:sz w:val="22"/>
          <w:szCs w:val="22"/>
          <w:lang w:val="es-ES_tradnl"/>
        </w:rPr>
        <w:t>, P</w:t>
      </w:r>
      <w:r w:rsidR="00C14D0B" w:rsidRPr="00DB68CC">
        <w:rPr>
          <w:rFonts w:ascii="Arial" w:hAnsi="Arial" w:cs="Arial"/>
          <w:sz w:val="22"/>
          <w:szCs w:val="22"/>
          <w:lang w:val="es-ES_tradnl"/>
        </w:rPr>
        <w:t>equeñas</w:t>
      </w:r>
      <w:r w:rsidR="002101BF" w:rsidRPr="00DB68CC">
        <w:rPr>
          <w:rFonts w:ascii="Arial" w:hAnsi="Arial" w:cs="Arial"/>
          <w:sz w:val="22"/>
          <w:szCs w:val="22"/>
          <w:lang w:val="es-ES_tradnl"/>
        </w:rPr>
        <w:t>, y Medianas</w:t>
      </w:r>
      <w:r w:rsidR="00AF5E75" w:rsidRPr="00DB68CC">
        <w:rPr>
          <w:rFonts w:ascii="Arial" w:hAnsi="Arial" w:cs="Arial"/>
          <w:sz w:val="22"/>
          <w:szCs w:val="22"/>
          <w:lang w:val="es-ES_tradnl"/>
        </w:rPr>
        <w:t xml:space="preserve"> </w:t>
      </w:r>
      <w:r w:rsidR="00FF28F0" w:rsidRPr="00DB68CC">
        <w:rPr>
          <w:rFonts w:ascii="Arial" w:hAnsi="Arial" w:cs="Arial"/>
          <w:sz w:val="22"/>
          <w:szCs w:val="22"/>
          <w:lang w:val="es-ES_tradnl"/>
        </w:rPr>
        <w:t>e</w:t>
      </w:r>
      <w:r w:rsidR="00AF5E75" w:rsidRPr="00DB68CC">
        <w:rPr>
          <w:rFonts w:ascii="Arial" w:hAnsi="Arial" w:cs="Arial"/>
          <w:sz w:val="22"/>
          <w:szCs w:val="22"/>
          <w:lang w:val="es-ES_tradnl"/>
        </w:rPr>
        <w:t>mpresas</w:t>
      </w:r>
      <w:r w:rsidR="00FF28F0" w:rsidRPr="00DB68CC">
        <w:rPr>
          <w:rFonts w:ascii="Arial" w:hAnsi="Arial" w:cs="Arial"/>
          <w:sz w:val="22"/>
          <w:szCs w:val="22"/>
          <w:lang w:val="es-ES_tradnl"/>
        </w:rPr>
        <w:t xml:space="preserve"> </w:t>
      </w:r>
      <w:r w:rsidR="00AF5E75" w:rsidRPr="00DB68CC">
        <w:rPr>
          <w:rFonts w:ascii="Arial" w:hAnsi="Arial" w:cs="Arial"/>
          <w:sz w:val="22"/>
          <w:szCs w:val="22"/>
          <w:lang w:val="es-ES_tradnl"/>
        </w:rPr>
        <w:t xml:space="preserve">que sean </w:t>
      </w:r>
      <w:r w:rsidR="002101BF" w:rsidRPr="00DB68CC">
        <w:rPr>
          <w:rFonts w:ascii="Arial" w:hAnsi="Arial" w:cs="Arial"/>
          <w:sz w:val="22"/>
          <w:szCs w:val="22"/>
          <w:lang w:val="es-ES_tradnl"/>
        </w:rPr>
        <w:t xml:space="preserve">elegibles como </w:t>
      </w:r>
      <w:proofErr w:type="spellStart"/>
      <w:r w:rsidR="00AF5E75" w:rsidRPr="00DB68CC">
        <w:rPr>
          <w:rFonts w:ascii="Arial" w:hAnsi="Arial" w:cs="Arial"/>
          <w:sz w:val="22"/>
          <w:szCs w:val="22"/>
          <w:lang w:val="es-ES_tradnl"/>
        </w:rPr>
        <w:t>subprestatarios</w:t>
      </w:r>
      <w:proofErr w:type="spellEnd"/>
      <w:r w:rsidR="00AF5E75" w:rsidRPr="00DB68CC">
        <w:rPr>
          <w:rFonts w:ascii="Arial" w:hAnsi="Arial" w:cs="Arial"/>
          <w:sz w:val="22"/>
          <w:szCs w:val="22"/>
          <w:vertAlign w:val="superscript"/>
          <w:lang w:val="es-ES_tradnl"/>
        </w:rPr>
        <w:footnoteReference w:id="2"/>
      </w:r>
      <w:r w:rsidR="00FF28F0" w:rsidRPr="00DB68CC">
        <w:rPr>
          <w:rFonts w:ascii="Arial" w:hAnsi="Arial" w:cs="Arial"/>
          <w:sz w:val="22"/>
          <w:szCs w:val="22"/>
          <w:vertAlign w:val="superscript"/>
          <w:lang w:val="es-ES_tradnl"/>
        </w:rPr>
        <w:t>,</w:t>
      </w:r>
      <w:r w:rsidR="00FF28F0" w:rsidRPr="00DB68CC">
        <w:rPr>
          <w:rFonts w:ascii="Arial" w:hAnsi="Arial" w:cs="Arial"/>
          <w:sz w:val="22"/>
          <w:szCs w:val="22"/>
          <w:lang w:val="es-ES_tradnl"/>
        </w:rPr>
        <w:t xml:space="preserve"> así como personas naturales que tengan un emprendimiento y sean elegibles en razón de su actividad productiva.</w:t>
      </w:r>
    </w:p>
    <w:p w14:paraId="3ACAEB1B" w14:textId="77777777" w:rsidR="00AA6DD8" w:rsidRPr="00DB68CC" w:rsidRDefault="00AA6DD8" w:rsidP="00AA6DD8">
      <w:pPr>
        <w:pStyle w:val="ListParagraph"/>
        <w:rPr>
          <w:rFonts w:ascii="Arial" w:hAnsi="Arial" w:cs="Arial"/>
          <w:b/>
          <w:bCs/>
          <w:sz w:val="22"/>
          <w:szCs w:val="22"/>
          <w:lang w:val="es-ES_tradnl"/>
        </w:rPr>
      </w:pPr>
    </w:p>
    <w:p w14:paraId="65E678EA" w14:textId="5AB212CF" w:rsidR="004D420A" w:rsidRPr="00DB68CC" w:rsidRDefault="002101BF"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Cuenta </w:t>
      </w:r>
      <w:r w:rsidR="005E25D0">
        <w:rPr>
          <w:rFonts w:ascii="Arial" w:hAnsi="Arial" w:cs="Arial"/>
          <w:b/>
          <w:bCs/>
          <w:sz w:val="22"/>
          <w:szCs w:val="22"/>
          <w:lang w:val="es-ES_tradnl"/>
        </w:rPr>
        <w:t>o</w:t>
      </w:r>
      <w:r w:rsidRPr="00DB68CC">
        <w:rPr>
          <w:rFonts w:ascii="Arial" w:hAnsi="Arial" w:cs="Arial"/>
          <w:b/>
          <w:bCs/>
          <w:sz w:val="22"/>
          <w:szCs w:val="22"/>
          <w:lang w:val="es-ES_tradnl"/>
        </w:rPr>
        <w:t>peracional:</w:t>
      </w:r>
      <w:r w:rsidRPr="00DB68CC">
        <w:rPr>
          <w:rFonts w:ascii="Arial" w:hAnsi="Arial" w:cs="Arial"/>
          <w:sz w:val="22"/>
          <w:szCs w:val="22"/>
          <w:lang w:val="es-ES_tradnl"/>
        </w:rPr>
        <w:t xml:space="preserve"> </w:t>
      </w:r>
      <w:r w:rsidR="00AF5E75" w:rsidRPr="00DB68CC">
        <w:rPr>
          <w:rFonts w:ascii="Arial" w:hAnsi="Arial" w:cs="Arial"/>
          <w:sz w:val="22"/>
          <w:szCs w:val="22"/>
          <w:lang w:val="es-ES_tradnl"/>
        </w:rPr>
        <w:t xml:space="preserve">Por “cuenta </w:t>
      </w:r>
      <w:r w:rsidR="00111DC4" w:rsidRPr="00DB68CC">
        <w:rPr>
          <w:rFonts w:ascii="Arial" w:hAnsi="Arial" w:cs="Arial"/>
          <w:sz w:val="22"/>
          <w:szCs w:val="22"/>
          <w:lang w:val="es-ES_tradnl"/>
        </w:rPr>
        <w:t>operacional</w:t>
      </w:r>
      <w:r w:rsidR="00AF5E75" w:rsidRPr="00DB68CC">
        <w:rPr>
          <w:rFonts w:ascii="Arial" w:hAnsi="Arial" w:cs="Arial"/>
          <w:sz w:val="22"/>
          <w:szCs w:val="22"/>
          <w:lang w:val="es-ES_tradnl"/>
        </w:rPr>
        <w:t xml:space="preserve">” se entenderá una cuenta bancaria separada establecida para los fondos provenientes </w:t>
      </w:r>
      <w:r w:rsidR="00C14D0B" w:rsidRPr="00DB68CC">
        <w:rPr>
          <w:rFonts w:ascii="Arial" w:hAnsi="Arial" w:cs="Arial"/>
          <w:sz w:val="22"/>
          <w:szCs w:val="22"/>
          <w:lang w:val="es-ES_tradnl"/>
        </w:rPr>
        <w:t>del BID,</w:t>
      </w:r>
      <w:r w:rsidR="00AF5E75" w:rsidRPr="00DB68CC">
        <w:rPr>
          <w:rFonts w:ascii="Arial" w:hAnsi="Arial" w:cs="Arial"/>
          <w:sz w:val="22"/>
          <w:szCs w:val="22"/>
          <w:lang w:val="es-ES_tradnl"/>
        </w:rPr>
        <w:t xml:space="preserve"> a la cual se asignará un código específico</w:t>
      </w:r>
      <w:r w:rsidR="00C14D0B" w:rsidRPr="00DB68CC">
        <w:rPr>
          <w:rFonts w:ascii="Arial" w:hAnsi="Arial" w:cs="Arial"/>
          <w:sz w:val="22"/>
          <w:szCs w:val="22"/>
          <w:lang w:val="es-ES_tradnl"/>
        </w:rPr>
        <w:t xml:space="preserve"> en los estados financieros de</w:t>
      </w:r>
      <w:r w:rsidR="000D09F2" w:rsidRPr="00DB68CC">
        <w:rPr>
          <w:rFonts w:ascii="Arial" w:hAnsi="Arial" w:cs="Arial"/>
          <w:sz w:val="22"/>
          <w:szCs w:val="22"/>
          <w:lang w:val="es-ES_tradnl"/>
        </w:rPr>
        <w:t xml:space="preserve"> </w:t>
      </w:r>
      <w:r w:rsidR="00FF28F0" w:rsidRPr="00DB68CC">
        <w:rPr>
          <w:rFonts w:ascii="Arial" w:hAnsi="Arial" w:cs="Arial"/>
          <w:sz w:val="22"/>
          <w:szCs w:val="22"/>
          <w:lang w:val="es-ES_tradnl"/>
        </w:rPr>
        <w:t>CONAFIPS</w:t>
      </w:r>
      <w:r w:rsidR="00AF5E75" w:rsidRPr="00DB68CC">
        <w:rPr>
          <w:rFonts w:ascii="Arial" w:hAnsi="Arial" w:cs="Arial"/>
          <w:sz w:val="22"/>
          <w:szCs w:val="22"/>
          <w:lang w:val="es-ES_tradnl"/>
        </w:rPr>
        <w:t xml:space="preserve">. La cuenta </w:t>
      </w:r>
      <w:r w:rsidR="00111DC4" w:rsidRPr="00DB68CC">
        <w:rPr>
          <w:rFonts w:ascii="Arial" w:hAnsi="Arial" w:cs="Arial"/>
          <w:sz w:val="22"/>
          <w:szCs w:val="22"/>
          <w:lang w:val="es-ES_tradnl"/>
        </w:rPr>
        <w:t>operacional</w:t>
      </w:r>
      <w:r w:rsidR="00AF5E75" w:rsidRPr="00DB68CC">
        <w:rPr>
          <w:rFonts w:ascii="Arial" w:hAnsi="Arial" w:cs="Arial"/>
          <w:sz w:val="22"/>
          <w:szCs w:val="22"/>
          <w:lang w:val="es-ES_tradnl"/>
        </w:rPr>
        <w:t xml:space="preserve"> contendrá exclusivamente los fondos del </w:t>
      </w:r>
      <w:r w:rsidR="00C14D0B" w:rsidRPr="00DB68CC">
        <w:rPr>
          <w:rFonts w:ascii="Arial" w:hAnsi="Arial" w:cs="Arial"/>
          <w:sz w:val="22"/>
          <w:szCs w:val="22"/>
          <w:lang w:val="es-ES_tradnl"/>
        </w:rPr>
        <w:t>BID</w:t>
      </w:r>
      <w:r w:rsidR="000D09F2" w:rsidRPr="00DB68CC">
        <w:rPr>
          <w:rFonts w:ascii="Arial" w:hAnsi="Arial" w:cs="Arial"/>
          <w:sz w:val="22"/>
          <w:szCs w:val="22"/>
          <w:lang w:val="es-ES_tradnl"/>
        </w:rPr>
        <w:t xml:space="preserve"> del presente Programa </w:t>
      </w:r>
      <w:r w:rsidR="0000753D" w:rsidRPr="00DB68CC">
        <w:rPr>
          <w:rFonts w:ascii="Arial" w:hAnsi="Arial" w:cs="Arial"/>
          <w:sz w:val="22"/>
          <w:szCs w:val="22"/>
          <w:lang w:val="es-ES_tradnl"/>
        </w:rPr>
        <w:t xml:space="preserve">de emergencia </w:t>
      </w:r>
      <w:r w:rsidR="00AF5E75" w:rsidRPr="00DB68CC">
        <w:rPr>
          <w:rFonts w:ascii="Arial" w:hAnsi="Arial" w:cs="Arial"/>
          <w:sz w:val="22"/>
          <w:szCs w:val="22"/>
          <w:lang w:val="es-ES_tradnl"/>
        </w:rPr>
        <w:t xml:space="preserve">y los fondos de las recuperaciones de los préstamos concedidos </w:t>
      </w:r>
      <w:r w:rsidR="0069739B" w:rsidRPr="00DB68CC">
        <w:rPr>
          <w:rFonts w:ascii="Arial" w:hAnsi="Arial" w:cs="Arial"/>
          <w:sz w:val="22"/>
          <w:szCs w:val="22"/>
          <w:lang w:val="es-ES_tradnl"/>
        </w:rPr>
        <w:t xml:space="preserve">a las OSFPS </w:t>
      </w:r>
      <w:r w:rsidR="00AF5E75" w:rsidRPr="00DB68CC">
        <w:rPr>
          <w:rFonts w:ascii="Arial" w:hAnsi="Arial" w:cs="Arial"/>
          <w:sz w:val="22"/>
          <w:szCs w:val="22"/>
          <w:lang w:val="es-ES_tradnl"/>
        </w:rPr>
        <w:t xml:space="preserve">con recursos del </w:t>
      </w:r>
      <w:r w:rsidR="00C14D0B" w:rsidRPr="00DB68CC">
        <w:rPr>
          <w:rFonts w:ascii="Arial" w:hAnsi="Arial" w:cs="Arial"/>
          <w:sz w:val="22"/>
          <w:szCs w:val="22"/>
          <w:lang w:val="es-ES_tradnl"/>
        </w:rPr>
        <w:t>BID</w:t>
      </w:r>
      <w:r w:rsidR="004262EF" w:rsidRPr="00DB68CC">
        <w:rPr>
          <w:rFonts w:ascii="Arial" w:hAnsi="Arial" w:cs="Arial"/>
          <w:sz w:val="22"/>
          <w:szCs w:val="22"/>
          <w:lang w:val="es-ES_tradnl"/>
        </w:rPr>
        <w:t xml:space="preserve"> y cualquier otro movimiento contable hecho con los recursos del BID</w:t>
      </w:r>
      <w:r w:rsidR="00AF5E75" w:rsidRPr="00DB68CC">
        <w:rPr>
          <w:rFonts w:ascii="Arial" w:hAnsi="Arial" w:cs="Arial"/>
          <w:sz w:val="22"/>
          <w:szCs w:val="22"/>
          <w:lang w:val="es-ES_tradnl"/>
        </w:rPr>
        <w:t>.</w:t>
      </w:r>
    </w:p>
    <w:p w14:paraId="0B7A0A15" w14:textId="47F96CE0" w:rsidR="00A55AD3" w:rsidRPr="00DB68CC" w:rsidRDefault="00A55AD3" w:rsidP="0099721A">
      <w:pPr>
        <w:pStyle w:val="Heading1"/>
        <w:numPr>
          <w:ilvl w:val="0"/>
          <w:numId w:val="9"/>
        </w:numPr>
        <w:rPr>
          <w:rFonts w:cs="Arial"/>
          <w:sz w:val="22"/>
          <w:szCs w:val="22"/>
          <w:lang w:val="es-ES_tradnl"/>
        </w:rPr>
      </w:pPr>
      <w:bookmarkStart w:id="4" w:name="_Toc518578575"/>
      <w:bookmarkStart w:id="5" w:name="_Toc37603062"/>
      <w:bookmarkEnd w:id="4"/>
      <w:r w:rsidRPr="00DB68CC">
        <w:rPr>
          <w:rFonts w:cs="Arial"/>
          <w:sz w:val="22"/>
          <w:szCs w:val="22"/>
          <w:lang w:val="es-ES_tradnl"/>
        </w:rPr>
        <w:t>Responsabilidad de Coordinación del Programa</w:t>
      </w:r>
      <w:bookmarkEnd w:id="5"/>
    </w:p>
    <w:p w14:paraId="46D2A56A" w14:textId="77777777" w:rsidR="00AA6DD8" w:rsidRPr="00DB68CC" w:rsidRDefault="00AA6DD8" w:rsidP="00AA6DD8">
      <w:pPr>
        <w:rPr>
          <w:sz w:val="22"/>
          <w:szCs w:val="22"/>
          <w:lang w:val="es-ES_tradnl" w:eastAsia="en-US"/>
        </w:rPr>
      </w:pPr>
    </w:p>
    <w:p w14:paraId="648CCB06" w14:textId="77777777" w:rsidR="00AA6DD8" w:rsidRPr="00DB68CC" w:rsidRDefault="00FF28F0"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 xml:space="preserve">La Corporación Nacional de Finanzas Populares y Solidarias </w:t>
      </w:r>
      <w:r w:rsidR="0069739B" w:rsidRPr="00DB68CC">
        <w:rPr>
          <w:rFonts w:ascii="Arial" w:hAnsi="Arial" w:cs="Arial"/>
          <w:sz w:val="22"/>
          <w:szCs w:val="22"/>
          <w:lang w:val="es-ES_tradnl"/>
        </w:rPr>
        <w:t xml:space="preserve">CONAFIPS </w:t>
      </w:r>
      <w:r w:rsidR="006F3D48" w:rsidRPr="00DB68CC">
        <w:rPr>
          <w:rFonts w:ascii="Arial" w:hAnsi="Arial" w:cs="Arial"/>
          <w:sz w:val="22"/>
          <w:szCs w:val="22"/>
          <w:lang w:val="es-ES_tradnl"/>
        </w:rPr>
        <w:t>ejecutará</w:t>
      </w:r>
      <w:r w:rsidR="00996FC4" w:rsidRPr="00DB68CC">
        <w:rPr>
          <w:rFonts w:ascii="Arial" w:hAnsi="Arial" w:cs="Arial"/>
          <w:sz w:val="22"/>
          <w:szCs w:val="22"/>
          <w:lang w:val="es-ES_tradnl"/>
        </w:rPr>
        <w:t xml:space="preserve"> el proyecto en el marco de su estructura organizativa, administrativa y financiera. Será responsabilidad de </w:t>
      </w:r>
      <w:r w:rsidRPr="00DB68CC">
        <w:rPr>
          <w:rFonts w:ascii="Arial" w:hAnsi="Arial" w:cs="Arial"/>
          <w:sz w:val="22"/>
          <w:szCs w:val="22"/>
          <w:lang w:val="es-ES_tradnl"/>
        </w:rPr>
        <w:t>D</w:t>
      </w:r>
      <w:r w:rsidR="0069739B" w:rsidRPr="00DB68CC">
        <w:rPr>
          <w:rFonts w:ascii="Arial" w:hAnsi="Arial" w:cs="Arial"/>
          <w:sz w:val="22"/>
          <w:szCs w:val="22"/>
          <w:lang w:val="es-ES_tradnl"/>
        </w:rPr>
        <w:t>irección</w:t>
      </w:r>
      <w:r w:rsidRPr="00DB68CC">
        <w:rPr>
          <w:rFonts w:ascii="Arial" w:hAnsi="Arial" w:cs="Arial"/>
          <w:sz w:val="22"/>
          <w:szCs w:val="22"/>
          <w:lang w:val="es-ES_tradnl"/>
        </w:rPr>
        <w:t xml:space="preserve"> </w:t>
      </w:r>
      <w:r w:rsidR="0069739B" w:rsidRPr="00DB68CC">
        <w:rPr>
          <w:rFonts w:ascii="Arial" w:hAnsi="Arial" w:cs="Arial"/>
          <w:sz w:val="22"/>
          <w:szCs w:val="22"/>
          <w:lang w:val="es-ES_tradnl"/>
        </w:rPr>
        <w:t>de</w:t>
      </w:r>
      <w:r w:rsidRPr="00DB68CC">
        <w:rPr>
          <w:rFonts w:ascii="Arial" w:hAnsi="Arial" w:cs="Arial"/>
          <w:sz w:val="22"/>
          <w:szCs w:val="22"/>
          <w:lang w:val="es-ES_tradnl"/>
        </w:rPr>
        <w:t xml:space="preserve"> P</w:t>
      </w:r>
      <w:r w:rsidR="0069739B" w:rsidRPr="00DB68CC">
        <w:rPr>
          <w:rFonts w:ascii="Arial" w:hAnsi="Arial" w:cs="Arial"/>
          <w:sz w:val="22"/>
          <w:szCs w:val="22"/>
          <w:lang w:val="es-ES_tradnl"/>
        </w:rPr>
        <w:t>roductos</w:t>
      </w:r>
      <w:r w:rsidRPr="00DB68CC">
        <w:rPr>
          <w:rFonts w:ascii="Arial" w:hAnsi="Arial" w:cs="Arial"/>
          <w:sz w:val="22"/>
          <w:szCs w:val="22"/>
          <w:lang w:val="es-ES_tradnl"/>
        </w:rPr>
        <w:t xml:space="preserve"> F</w:t>
      </w:r>
      <w:r w:rsidR="0069739B" w:rsidRPr="00DB68CC">
        <w:rPr>
          <w:rFonts w:ascii="Arial" w:hAnsi="Arial" w:cs="Arial"/>
          <w:sz w:val="22"/>
          <w:szCs w:val="22"/>
          <w:lang w:val="es-ES_tradnl"/>
        </w:rPr>
        <w:t>inancieros</w:t>
      </w:r>
      <w:r w:rsidR="000D09F2" w:rsidRPr="00DB68CC">
        <w:rPr>
          <w:rFonts w:ascii="Arial" w:hAnsi="Arial" w:cs="Arial"/>
          <w:sz w:val="22"/>
          <w:szCs w:val="22"/>
          <w:lang w:val="es-ES_tradnl"/>
        </w:rPr>
        <w:t xml:space="preserve"> </w:t>
      </w:r>
      <w:r w:rsidR="00996FC4" w:rsidRPr="00DB68CC">
        <w:rPr>
          <w:rFonts w:ascii="Arial" w:hAnsi="Arial" w:cs="Arial"/>
          <w:sz w:val="22"/>
          <w:szCs w:val="22"/>
          <w:lang w:val="es-ES_tradnl"/>
        </w:rPr>
        <w:t>la administración y la coordinación del Programa con el BID</w:t>
      </w:r>
      <w:r w:rsidR="00AF5E75" w:rsidRPr="00DB68CC">
        <w:rPr>
          <w:rFonts w:ascii="Arial" w:hAnsi="Arial" w:cs="Arial"/>
          <w:sz w:val="22"/>
          <w:szCs w:val="22"/>
          <w:lang w:val="es-ES_tradnl"/>
        </w:rPr>
        <w:t>.</w:t>
      </w:r>
    </w:p>
    <w:p w14:paraId="53B46BF4" w14:textId="77777777" w:rsidR="00AA6DD8" w:rsidRPr="00DB68CC" w:rsidRDefault="00AA6DD8" w:rsidP="00AA6DD8">
      <w:pPr>
        <w:pStyle w:val="ListParagraph"/>
        <w:jc w:val="both"/>
        <w:rPr>
          <w:rFonts w:ascii="Arial" w:hAnsi="Arial" w:cs="Arial"/>
          <w:sz w:val="22"/>
          <w:szCs w:val="22"/>
          <w:lang w:val="es-ES_tradnl"/>
        </w:rPr>
      </w:pPr>
    </w:p>
    <w:p w14:paraId="240B1F35" w14:textId="77777777" w:rsidR="00AA6DD8" w:rsidRPr="00DB68CC" w:rsidRDefault="00014DAB"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L</w:t>
      </w:r>
      <w:r w:rsidR="0069739B" w:rsidRPr="00DB68CC">
        <w:rPr>
          <w:rFonts w:ascii="Arial" w:hAnsi="Arial" w:cs="Arial"/>
          <w:sz w:val="22"/>
          <w:szCs w:val="22"/>
          <w:lang w:val="es-ES_tradnl"/>
        </w:rPr>
        <w:t>a</w:t>
      </w:r>
      <w:r w:rsidRPr="00DB68CC">
        <w:rPr>
          <w:rFonts w:ascii="Arial" w:hAnsi="Arial" w:cs="Arial"/>
          <w:sz w:val="22"/>
          <w:szCs w:val="22"/>
          <w:lang w:val="es-ES_tradnl"/>
        </w:rPr>
        <w:t xml:space="preserve"> D</w:t>
      </w:r>
      <w:r w:rsidR="0069739B" w:rsidRPr="00DB68CC">
        <w:rPr>
          <w:rFonts w:ascii="Arial" w:hAnsi="Arial" w:cs="Arial"/>
          <w:sz w:val="22"/>
          <w:szCs w:val="22"/>
          <w:lang w:val="es-ES_tradnl"/>
        </w:rPr>
        <w:t>irección</w:t>
      </w:r>
      <w:r w:rsidRPr="00DB68CC">
        <w:rPr>
          <w:rFonts w:ascii="Arial" w:hAnsi="Arial" w:cs="Arial"/>
          <w:sz w:val="22"/>
          <w:szCs w:val="22"/>
          <w:lang w:val="es-ES_tradnl"/>
        </w:rPr>
        <w:t xml:space="preserve"> </w:t>
      </w:r>
      <w:r w:rsidR="0069739B" w:rsidRPr="00DB68CC">
        <w:rPr>
          <w:rFonts w:ascii="Arial" w:hAnsi="Arial" w:cs="Arial"/>
          <w:sz w:val="22"/>
          <w:szCs w:val="22"/>
          <w:lang w:val="es-ES_tradnl"/>
        </w:rPr>
        <w:t>de</w:t>
      </w:r>
      <w:r w:rsidRPr="00DB68CC">
        <w:rPr>
          <w:rFonts w:ascii="Arial" w:hAnsi="Arial" w:cs="Arial"/>
          <w:sz w:val="22"/>
          <w:szCs w:val="22"/>
          <w:lang w:val="es-ES_tradnl"/>
        </w:rPr>
        <w:t xml:space="preserve"> G</w:t>
      </w:r>
      <w:r w:rsidR="0069739B" w:rsidRPr="00DB68CC">
        <w:rPr>
          <w:rFonts w:ascii="Arial" w:hAnsi="Arial" w:cs="Arial"/>
          <w:sz w:val="22"/>
          <w:szCs w:val="22"/>
          <w:lang w:val="es-ES_tradnl"/>
        </w:rPr>
        <w:t>estión</w:t>
      </w:r>
      <w:r w:rsidRPr="00DB68CC">
        <w:rPr>
          <w:rFonts w:ascii="Arial" w:hAnsi="Arial" w:cs="Arial"/>
          <w:sz w:val="22"/>
          <w:szCs w:val="22"/>
          <w:lang w:val="es-ES_tradnl"/>
        </w:rPr>
        <w:t xml:space="preserve"> </w:t>
      </w:r>
      <w:r w:rsidR="0069739B" w:rsidRPr="00DB68CC">
        <w:rPr>
          <w:rFonts w:ascii="Arial" w:hAnsi="Arial" w:cs="Arial"/>
          <w:sz w:val="22"/>
          <w:szCs w:val="22"/>
          <w:lang w:val="es-ES_tradnl"/>
        </w:rPr>
        <w:t>de</w:t>
      </w:r>
      <w:r w:rsidRPr="00DB68CC">
        <w:rPr>
          <w:rFonts w:ascii="Arial" w:hAnsi="Arial" w:cs="Arial"/>
          <w:sz w:val="22"/>
          <w:szCs w:val="22"/>
          <w:lang w:val="es-ES_tradnl"/>
        </w:rPr>
        <w:t xml:space="preserve"> R</w:t>
      </w:r>
      <w:r w:rsidR="002A6771" w:rsidRPr="00DB68CC">
        <w:rPr>
          <w:rFonts w:ascii="Arial" w:hAnsi="Arial" w:cs="Arial"/>
          <w:sz w:val="22"/>
          <w:szCs w:val="22"/>
          <w:lang w:val="es-ES_tradnl"/>
        </w:rPr>
        <w:t>iesgos</w:t>
      </w:r>
      <w:r w:rsidR="000D09F2" w:rsidRPr="00DB68CC">
        <w:rPr>
          <w:rFonts w:ascii="Arial" w:hAnsi="Arial" w:cs="Arial"/>
          <w:sz w:val="22"/>
          <w:szCs w:val="22"/>
          <w:lang w:val="es-ES_tradnl"/>
        </w:rPr>
        <w:t xml:space="preserve"> </w:t>
      </w:r>
      <w:r w:rsidR="00A55AD3" w:rsidRPr="00DB68CC">
        <w:rPr>
          <w:rFonts w:ascii="Arial" w:hAnsi="Arial" w:cs="Arial"/>
          <w:sz w:val="22"/>
          <w:szCs w:val="22"/>
          <w:lang w:val="es-ES_tradnl"/>
        </w:rPr>
        <w:t>trabajará con l</w:t>
      </w:r>
      <w:r w:rsidR="000D09F2" w:rsidRPr="00DB68CC">
        <w:rPr>
          <w:rFonts w:ascii="Arial" w:hAnsi="Arial" w:cs="Arial"/>
          <w:sz w:val="22"/>
          <w:szCs w:val="22"/>
          <w:lang w:val="es-ES_tradnl"/>
        </w:rPr>
        <w:t>os diferentes órganos administrativos, operativos y financieros</w:t>
      </w:r>
      <w:r w:rsidR="00A55AD3" w:rsidRPr="00DB68CC">
        <w:rPr>
          <w:rFonts w:ascii="Arial" w:hAnsi="Arial" w:cs="Arial"/>
          <w:sz w:val="22"/>
          <w:szCs w:val="22"/>
          <w:lang w:val="es-ES_tradnl"/>
        </w:rPr>
        <w:t xml:space="preserve"> de la entidad para asegurar el cumplimiento de las condiciones de este </w:t>
      </w:r>
      <w:r w:rsidR="005D6BCD" w:rsidRPr="00DB68CC">
        <w:rPr>
          <w:rFonts w:ascii="Arial" w:hAnsi="Arial" w:cs="Arial"/>
          <w:sz w:val="22"/>
          <w:szCs w:val="22"/>
          <w:lang w:val="es-ES_tradnl"/>
        </w:rPr>
        <w:t>r</w:t>
      </w:r>
      <w:r w:rsidR="00A55AD3" w:rsidRPr="00DB68CC">
        <w:rPr>
          <w:rFonts w:ascii="Arial" w:hAnsi="Arial" w:cs="Arial"/>
          <w:sz w:val="22"/>
          <w:szCs w:val="22"/>
          <w:lang w:val="es-ES_tradnl"/>
        </w:rPr>
        <w:t>eglamento, de conformidad con los procedimientos internos de la entidad.</w:t>
      </w:r>
    </w:p>
    <w:p w14:paraId="59B9034D" w14:textId="77777777" w:rsidR="00AA6DD8" w:rsidRPr="00DB68CC" w:rsidRDefault="00AA6DD8" w:rsidP="00AA6DD8">
      <w:pPr>
        <w:pStyle w:val="ListParagraph"/>
        <w:rPr>
          <w:rFonts w:ascii="Arial" w:hAnsi="Arial" w:cs="Arial"/>
          <w:sz w:val="22"/>
          <w:szCs w:val="22"/>
          <w:lang w:val="es-ES_tradnl"/>
        </w:rPr>
      </w:pPr>
    </w:p>
    <w:p w14:paraId="73E3AF06" w14:textId="19A770CE" w:rsidR="00AF5E75" w:rsidRPr="00DB68CC" w:rsidRDefault="00014DAB"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L</w:t>
      </w:r>
      <w:r w:rsidR="006B2ED6" w:rsidRPr="00DB68CC">
        <w:rPr>
          <w:rFonts w:ascii="Arial" w:hAnsi="Arial" w:cs="Arial"/>
          <w:sz w:val="22"/>
          <w:szCs w:val="22"/>
          <w:lang w:val="es-ES_tradnl"/>
        </w:rPr>
        <w:t>a</w:t>
      </w:r>
      <w:r w:rsidRPr="00DB68CC">
        <w:rPr>
          <w:rFonts w:ascii="Arial" w:hAnsi="Arial" w:cs="Arial"/>
          <w:sz w:val="22"/>
          <w:szCs w:val="22"/>
          <w:lang w:val="es-ES_tradnl"/>
        </w:rPr>
        <w:t xml:space="preserve"> </w:t>
      </w:r>
      <w:r w:rsidR="00BF58CE" w:rsidRPr="00DB68CC">
        <w:rPr>
          <w:rFonts w:ascii="Arial" w:hAnsi="Arial" w:cs="Arial"/>
          <w:sz w:val="22"/>
          <w:szCs w:val="22"/>
          <w:lang w:val="es-ES_tradnl"/>
        </w:rPr>
        <w:t>Dirección</w:t>
      </w:r>
      <w:r w:rsidRPr="00DB68CC">
        <w:rPr>
          <w:rFonts w:ascii="Arial" w:hAnsi="Arial" w:cs="Arial"/>
          <w:sz w:val="22"/>
          <w:szCs w:val="22"/>
          <w:lang w:val="es-ES_tradnl"/>
        </w:rPr>
        <w:t xml:space="preserve"> </w:t>
      </w:r>
      <w:r w:rsidR="00BF58CE" w:rsidRPr="00DB68CC">
        <w:rPr>
          <w:rFonts w:ascii="Arial" w:hAnsi="Arial" w:cs="Arial"/>
          <w:sz w:val="22"/>
          <w:szCs w:val="22"/>
          <w:lang w:val="es-ES_tradnl"/>
        </w:rPr>
        <w:t>de</w:t>
      </w:r>
      <w:r w:rsidRPr="00DB68CC">
        <w:rPr>
          <w:rFonts w:ascii="Arial" w:hAnsi="Arial" w:cs="Arial"/>
          <w:sz w:val="22"/>
          <w:szCs w:val="22"/>
          <w:lang w:val="es-ES_tradnl"/>
        </w:rPr>
        <w:t xml:space="preserve"> D</w:t>
      </w:r>
      <w:r w:rsidR="00BF58CE" w:rsidRPr="00DB68CC">
        <w:rPr>
          <w:rFonts w:ascii="Arial" w:hAnsi="Arial" w:cs="Arial"/>
          <w:sz w:val="22"/>
          <w:szCs w:val="22"/>
          <w:lang w:val="es-ES_tradnl"/>
        </w:rPr>
        <w:t>esarrollo</w:t>
      </w:r>
      <w:r w:rsidRPr="00DB68CC">
        <w:rPr>
          <w:rFonts w:ascii="Arial" w:hAnsi="Arial" w:cs="Arial"/>
          <w:sz w:val="22"/>
          <w:szCs w:val="22"/>
          <w:lang w:val="es-ES_tradnl"/>
        </w:rPr>
        <w:t xml:space="preserve"> </w:t>
      </w:r>
      <w:r w:rsidR="00BF58CE" w:rsidRPr="00DB68CC">
        <w:rPr>
          <w:rFonts w:ascii="Arial" w:hAnsi="Arial" w:cs="Arial"/>
          <w:sz w:val="22"/>
          <w:szCs w:val="22"/>
          <w:lang w:val="es-ES_tradnl"/>
        </w:rPr>
        <w:t>de</w:t>
      </w:r>
      <w:r w:rsidRPr="00DB68CC">
        <w:rPr>
          <w:rFonts w:ascii="Arial" w:hAnsi="Arial" w:cs="Arial"/>
          <w:sz w:val="22"/>
          <w:szCs w:val="22"/>
          <w:lang w:val="es-ES_tradnl"/>
        </w:rPr>
        <w:t xml:space="preserve"> </w:t>
      </w:r>
      <w:r w:rsidR="00BF58CE" w:rsidRPr="00DB68CC">
        <w:rPr>
          <w:rFonts w:ascii="Arial" w:hAnsi="Arial" w:cs="Arial"/>
          <w:sz w:val="22"/>
          <w:szCs w:val="22"/>
          <w:lang w:val="es-ES_tradnl"/>
        </w:rPr>
        <w:t>las</w:t>
      </w:r>
      <w:r w:rsidRPr="00DB68CC">
        <w:rPr>
          <w:rFonts w:ascii="Arial" w:hAnsi="Arial" w:cs="Arial"/>
          <w:sz w:val="22"/>
          <w:szCs w:val="22"/>
          <w:lang w:val="es-ES_tradnl"/>
        </w:rPr>
        <w:t xml:space="preserve"> </w:t>
      </w:r>
      <w:r w:rsidR="006B2ED6" w:rsidRPr="00DB68CC">
        <w:rPr>
          <w:rFonts w:ascii="Arial" w:hAnsi="Arial" w:cs="Arial"/>
          <w:sz w:val="22"/>
          <w:szCs w:val="22"/>
          <w:lang w:val="es-ES_tradnl"/>
        </w:rPr>
        <w:t>Organizaciones</w:t>
      </w:r>
      <w:r w:rsidRPr="00DB68CC">
        <w:rPr>
          <w:rFonts w:ascii="Arial" w:hAnsi="Arial" w:cs="Arial"/>
          <w:sz w:val="22"/>
          <w:szCs w:val="22"/>
          <w:lang w:val="es-ES_tradnl"/>
        </w:rPr>
        <w:t xml:space="preserve"> </w:t>
      </w:r>
      <w:r w:rsidR="006B2ED6" w:rsidRPr="00DB68CC">
        <w:rPr>
          <w:rFonts w:ascii="Arial" w:hAnsi="Arial" w:cs="Arial"/>
          <w:sz w:val="22"/>
          <w:szCs w:val="22"/>
          <w:lang w:val="es-ES_tradnl"/>
        </w:rPr>
        <w:t>del</w:t>
      </w:r>
      <w:r w:rsidRPr="00DB68CC">
        <w:rPr>
          <w:rFonts w:ascii="Arial" w:hAnsi="Arial" w:cs="Arial"/>
          <w:sz w:val="22"/>
          <w:szCs w:val="22"/>
          <w:lang w:val="es-ES_tradnl"/>
        </w:rPr>
        <w:t xml:space="preserve"> S</w:t>
      </w:r>
      <w:r w:rsidR="006B2ED6" w:rsidRPr="00DB68CC">
        <w:rPr>
          <w:rFonts w:ascii="Arial" w:hAnsi="Arial" w:cs="Arial"/>
          <w:sz w:val="22"/>
          <w:szCs w:val="22"/>
          <w:lang w:val="es-ES_tradnl"/>
        </w:rPr>
        <w:t>istema</w:t>
      </w:r>
      <w:r w:rsidRPr="00DB68CC">
        <w:rPr>
          <w:rFonts w:ascii="Arial" w:hAnsi="Arial" w:cs="Arial"/>
          <w:sz w:val="22"/>
          <w:szCs w:val="22"/>
          <w:lang w:val="es-ES_tradnl"/>
        </w:rPr>
        <w:t xml:space="preserve"> F</w:t>
      </w:r>
      <w:r w:rsidR="006B2ED6" w:rsidRPr="00DB68CC">
        <w:rPr>
          <w:rFonts w:ascii="Arial" w:hAnsi="Arial" w:cs="Arial"/>
          <w:sz w:val="22"/>
          <w:szCs w:val="22"/>
          <w:lang w:val="es-ES_tradnl"/>
        </w:rPr>
        <w:t>inanciero</w:t>
      </w:r>
      <w:r w:rsidRPr="00DB68CC">
        <w:rPr>
          <w:rFonts w:ascii="Arial" w:hAnsi="Arial" w:cs="Arial"/>
          <w:sz w:val="22"/>
          <w:szCs w:val="22"/>
          <w:lang w:val="es-ES_tradnl"/>
        </w:rPr>
        <w:t xml:space="preserve"> P</w:t>
      </w:r>
      <w:r w:rsidR="006B2ED6" w:rsidRPr="00DB68CC">
        <w:rPr>
          <w:rFonts w:ascii="Arial" w:hAnsi="Arial" w:cs="Arial"/>
          <w:sz w:val="22"/>
          <w:szCs w:val="22"/>
          <w:lang w:val="es-ES_tradnl"/>
        </w:rPr>
        <w:t>opular</w:t>
      </w:r>
      <w:r w:rsidRPr="00DB68CC">
        <w:rPr>
          <w:rFonts w:ascii="Arial" w:hAnsi="Arial" w:cs="Arial"/>
          <w:sz w:val="22"/>
          <w:szCs w:val="22"/>
          <w:lang w:val="es-ES_tradnl"/>
        </w:rPr>
        <w:t xml:space="preserve"> </w:t>
      </w:r>
      <w:r w:rsidR="006B2ED6" w:rsidRPr="00DB68CC">
        <w:rPr>
          <w:rFonts w:ascii="Arial" w:hAnsi="Arial" w:cs="Arial"/>
          <w:sz w:val="22"/>
          <w:szCs w:val="22"/>
          <w:lang w:val="es-ES_tradnl"/>
        </w:rPr>
        <w:t>y</w:t>
      </w:r>
      <w:r w:rsidRPr="00DB68CC">
        <w:rPr>
          <w:rFonts w:ascii="Arial" w:hAnsi="Arial" w:cs="Arial"/>
          <w:sz w:val="22"/>
          <w:szCs w:val="22"/>
          <w:lang w:val="es-ES_tradnl"/>
        </w:rPr>
        <w:t xml:space="preserve"> S</w:t>
      </w:r>
      <w:r w:rsidR="006B2ED6" w:rsidRPr="00DB68CC">
        <w:rPr>
          <w:rFonts w:ascii="Arial" w:hAnsi="Arial" w:cs="Arial"/>
          <w:sz w:val="22"/>
          <w:szCs w:val="22"/>
          <w:lang w:val="es-ES_tradnl"/>
        </w:rPr>
        <w:t>olidario</w:t>
      </w:r>
      <w:r w:rsidRPr="00DB68CC">
        <w:rPr>
          <w:rFonts w:ascii="Arial" w:hAnsi="Arial" w:cs="Arial"/>
          <w:sz w:val="22"/>
          <w:szCs w:val="22"/>
          <w:lang w:val="es-ES_tradnl"/>
        </w:rPr>
        <w:t xml:space="preserve"> </w:t>
      </w:r>
      <w:r w:rsidR="00AF5E75" w:rsidRPr="00DB68CC">
        <w:rPr>
          <w:rFonts w:ascii="Arial" w:hAnsi="Arial" w:cs="Arial"/>
          <w:sz w:val="22"/>
          <w:szCs w:val="22"/>
          <w:lang w:val="es-ES_tradnl"/>
        </w:rPr>
        <w:t>atender</w:t>
      </w:r>
      <w:r w:rsidR="00F0799A" w:rsidRPr="00DB68CC">
        <w:rPr>
          <w:rFonts w:ascii="Arial" w:hAnsi="Arial" w:cs="Arial"/>
          <w:sz w:val="22"/>
          <w:szCs w:val="22"/>
          <w:lang w:val="es-ES_tradnl"/>
        </w:rPr>
        <w:t>á</w:t>
      </w:r>
      <w:r w:rsidR="00AF5E75" w:rsidRPr="00DB68CC">
        <w:rPr>
          <w:rFonts w:ascii="Arial" w:hAnsi="Arial" w:cs="Arial"/>
          <w:sz w:val="22"/>
          <w:szCs w:val="22"/>
          <w:lang w:val="es-ES_tradnl"/>
        </w:rPr>
        <w:t xml:space="preserve"> los aspectos ambientales y sociales de </w:t>
      </w:r>
      <w:r w:rsidR="000D09F2" w:rsidRPr="00DB68CC">
        <w:rPr>
          <w:rFonts w:ascii="Arial" w:hAnsi="Arial" w:cs="Arial"/>
          <w:sz w:val="22"/>
          <w:szCs w:val="22"/>
          <w:lang w:val="es-ES_tradnl"/>
        </w:rPr>
        <w:t>los préstamos</w:t>
      </w:r>
      <w:r w:rsidR="00AF5E75" w:rsidRPr="00DB68CC">
        <w:rPr>
          <w:rFonts w:ascii="Arial" w:hAnsi="Arial" w:cs="Arial"/>
          <w:sz w:val="22"/>
          <w:szCs w:val="22"/>
          <w:lang w:val="es-ES_tradnl"/>
        </w:rPr>
        <w:t xml:space="preserve"> y se asegurará que los empleados designados tengan la capacidad necesaria y reciban el entrenamiento </w:t>
      </w:r>
      <w:r w:rsidR="00F0799A" w:rsidRPr="00DB68CC">
        <w:rPr>
          <w:rFonts w:ascii="Arial" w:hAnsi="Arial" w:cs="Arial"/>
          <w:sz w:val="22"/>
          <w:szCs w:val="22"/>
          <w:lang w:val="es-ES_tradnl"/>
        </w:rPr>
        <w:t>apropiado.</w:t>
      </w:r>
      <w:r w:rsidR="004D54BE" w:rsidRPr="00DB68CC">
        <w:rPr>
          <w:rFonts w:ascii="Arial" w:hAnsi="Arial" w:cs="Arial"/>
          <w:sz w:val="22"/>
          <w:szCs w:val="22"/>
          <w:lang w:val="es-ES_tradnl"/>
        </w:rPr>
        <w:t xml:space="preserve"> </w:t>
      </w:r>
    </w:p>
    <w:p w14:paraId="45F04F84" w14:textId="77777777" w:rsidR="00AA6DD8" w:rsidRPr="00DB68CC" w:rsidRDefault="00AA6DD8" w:rsidP="00AA6DD8">
      <w:pPr>
        <w:pStyle w:val="ListParagraph"/>
        <w:rPr>
          <w:rFonts w:ascii="Arial" w:hAnsi="Arial" w:cs="Arial"/>
          <w:sz w:val="22"/>
          <w:szCs w:val="22"/>
          <w:lang w:val="es-ES_tradnl"/>
        </w:rPr>
      </w:pPr>
    </w:p>
    <w:p w14:paraId="00BE6A67" w14:textId="21D0EAF7" w:rsidR="00AF5E75" w:rsidRPr="00DB68CC" w:rsidRDefault="00A81493"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La CONAFIPS</w:t>
      </w:r>
      <w:r w:rsidR="0032605C" w:rsidRPr="00DB68CC">
        <w:rPr>
          <w:rFonts w:ascii="Arial" w:hAnsi="Arial" w:cs="Arial"/>
          <w:sz w:val="22"/>
          <w:szCs w:val="22"/>
          <w:lang w:val="es-ES_tradnl"/>
        </w:rPr>
        <w:t xml:space="preserve"> se compromete, de manera previa al inicio del desembolso del Programa,</w:t>
      </w:r>
      <w:r w:rsidR="00AF5E75" w:rsidRPr="00DB68CC">
        <w:rPr>
          <w:rFonts w:ascii="Arial" w:hAnsi="Arial" w:cs="Arial"/>
          <w:sz w:val="22"/>
          <w:szCs w:val="22"/>
          <w:lang w:val="es-ES_tradnl"/>
        </w:rPr>
        <w:t xml:space="preserve"> </w:t>
      </w:r>
      <w:r w:rsidR="0032605C" w:rsidRPr="00DB68CC">
        <w:rPr>
          <w:rFonts w:ascii="Arial" w:hAnsi="Arial" w:cs="Arial"/>
          <w:sz w:val="22"/>
          <w:szCs w:val="22"/>
          <w:lang w:val="es-ES_tradnl"/>
        </w:rPr>
        <w:t xml:space="preserve">a </w:t>
      </w:r>
      <w:r w:rsidR="00AF5E75" w:rsidRPr="00DB68CC">
        <w:rPr>
          <w:rFonts w:ascii="Arial" w:hAnsi="Arial" w:cs="Arial"/>
          <w:sz w:val="22"/>
          <w:szCs w:val="22"/>
          <w:lang w:val="es-ES_tradnl"/>
        </w:rPr>
        <w:t xml:space="preserve">establecer cuáles son los requerimientos para cumplir eficientemente su objetivo en el </w:t>
      </w:r>
      <w:r w:rsidR="0032605C" w:rsidRPr="00DB68CC">
        <w:rPr>
          <w:rFonts w:ascii="Arial" w:hAnsi="Arial" w:cs="Arial"/>
          <w:sz w:val="22"/>
          <w:szCs w:val="22"/>
          <w:lang w:val="es-ES_tradnl"/>
        </w:rPr>
        <w:t xml:space="preserve">marco de: (i) apoyar la sostenibilidad financiera de corto plazo de las </w:t>
      </w:r>
      <w:r w:rsidR="00743C06" w:rsidRPr="00DB68CC">
        <w:rPr>
          <w:rFonts w:ascii="Arial" w:hAnsi="Arial" w:cs="Arial"/>
          <w:sz w:val="22"/>
          <w:szCs w:val="22"/>
          <w:lang w:val="es-ES_tradnl"/>
        </w:rPr>
        <w:t>MIPE</w:t>
      </w:r>
      <w:r w:rsidR="0032605C" w:rsidRPr="00DB68CC">
        <w:rPr>
          <w:rFonts w:ascii="Arial" w:hAnsi="Arial" w:cs="Arial"/>
          <w:sz w:val="22"/>
          <w:szCs w:val="22"/>
          <w:lang w:val="es-ES_tradnl"/>
        </w:rPr>
        <w:t>; y (</w:t>
      </w:r>
      <w:proofErr w:type="spellStart"/>
      <w:r w:rsidR="0032605C" w:rsidRPr="00DB68CC">
        <w:rPr>
          <w:rFonts w:ascii="Arial" w:hAnsi="Arial" w:cs="Arial"/>
          <w:sz w:val="22"/>
          <w:szCs w:val="22"/>
          <w:lang w:val="es-ES_tradnl"/>
        </w:rPr>
        <w:t>ii</w:t>
      </w:r>
      <w:proofErr w:type="spellEnd"/>
      <w:r w:rsidR="0032605C" w:rsidRPr="00DB68CC">
        <w:rPr>
          <w:rFonts w:ascii="Arial" w:hAnsi="Arial" w:cs="Arial"/>
          <w:sz w:val="22"/>
          <w:szCs w:val="22"/>
          <w:lang w:val="es-ES_tradnl"/>
        </w:rPr>
        <w:t xml:space="preserve">) promover la recuperación económica de las </w:t>
      </w:r>
      <w:r w:rsidR="00743C06" w:rsidRPr="00DB68CC">
        <w:rPr>
          <w:rFonts w:ascii="Arial" w:hAnsi="Arial" w:cs="Arial"/>
          <w:sz w:val="22"/>
          <w:szCs w:val="22"/>
          <w:lang w:val="es-ES_tradnl"/>
        </w:rPr>
        <w:t>MIPE</w:t>
      </w:r>
      <w:r w:rsidR="0032605C" w:rsidRPr="00DB68CC">
        <w:rPr>
          <w:rFonts w:ascii="Arial" w:hAnsi="Arial" w:cs="Arial"/>
          <w:sz w:val="22"/>
          <w:szCs w:val="22"/>
          <w:lang w:val="es-ES_tradnl"/>
        </w:rPr>
        <w:t xml:space="preserve"> a través del acceso al financiamiento productivo. En este orden,</w:t>
      </w:r>
      <w:r w:rsidR="00AF5E75" w:rsidRPr="00DB68CC">
        <w:rPr>
          <w:rFonts w:ascii="Arial" w:hAnsi="Arial" w:cs="Arial"/>
          <w:sz w:val="22"/>
          <w:szCs w:val="22"/>
          <w:lang w:val="es-ES_tradnl"/>
        </w:rPr>
        <w:t xml:space="preserve"> contemplará las necesidades de personal y recursos para apoyar la revisión de</w:t>
      </w:r>
      <w:r w:rsidR="0032605C" w:rsidRPr="00DB68CC">
        <w:rPr>
          <w:rFonts w:ascii="Arial" w:hAnsi="Arial" w:cs="Arial"/>
          <w:sz w:val="22"/>
          <w:szCs w:val="22"/>
          <w:lang w:val="es-ES_tradnl"/>
        </w:rPr>
        <w:t xml:space="preserve"> las </w:t>
      </w:r>
      <w:r w:rsidRPr="00DB68CC">
        <w:rPr>
          <w:rFonts w:ascii="Arial" w:hAnsi="Arial" w:cs="Arial"/>
          <w:sz w:val="22"/>
          <w:szCs w:val="22"/>
          <w:lang w:val="es-ES_tradnl"/>
        </w:rPr>
        <w:t>OSFPS</w:t>
      </w:r>
      <w:r w:rsidR="0032605C" w:rsidRPr="00DB68CC">
        <w:rPr>
          <w:rFonts w:ascii="Arial" w:hAnsi="Arial" w:cs="Arial"/>
          <w:sz w:val="22"/>
          <w:szCs w:val="22"/>
          <w:lang w:val="es-ES_tradnl"/>
        </w:rPr>
        <w:t xml:space="preserve"> y los préstamos</w:t>
      </w:r>
      <w:r w:rsidR="00AF5E75" w:rsidRPr="00DB68CC">
        <w:rPr>
          <w:rFonts w:ascii="Arial" w:hAnsi="Arial" w:cs="Arial"/>
          <w:sz w:val="22"/>
          <w:szCs w:val="22"/>
          <w:lang w:val="es-ES_tradnl"/>
        </w:rPr>
        <w:t xml:space="preserve"> bajo criterios de este </w:t>
      </w:r>
      <w:r w:rsidRPr="00DB68CC">
        <w:rPr>
          <w:rFonts w:ascii="Arial" w:hAnsi="Arial" w:cs="Arial"/>
          <w:sz w:val="22"/>
          <w:szCs w:val="22"/>
          <w:lang w:val="es-ES_tradnl"/>
        </w:rPr>
        <w:t>R</w:t>
      </w:r>
      <w:r w:rsidR="00AF5E75" w:rsidRPr="00DB68CC">
        <w:rPr>
          <w:rFonts w:ascii="Arial" w:hAnsi="Arial" w:cs="Arial"/>
          <w:sz w:val="22"/>
          <w:szCs w:val="22"/>
          <w:lang w:val="es-ES_tradnl"/>
        </w:rPr>
        <w:t>eglamento.</w:t>
      </w:r>
    </w:p>
    <w:p w14:paraId="740F9F5C" w14:textId="2E8BA9EF" w:rsidR="005869B6" w:rsidRPr="00DB68CC" w:rsidRDefault="000649C4" w:rsidP="0099721A">
      <w:pPr>
        <w:pStyle w:val="Heading1"/>
        <w:numPr>
          <w:ilvl w:val="0"/>
          <w:numId w:val="9"/>
        </w:numPr>
        <w:rPr>
          <w:rFonts w:cs="Arial"/>
          <w:sz w:val="22"/>
          <w:szCs w:val="22"/>
          <w:lang w:val="es-ES_tradnl"/>
        </w:rPr>
      </w:pPr>
      <w:bookmarkStart w:id="6" w:name="_Toc518578577"/>
      <w:bookmarkStart w:id="7" w:name="_Toc37603063"/>
      <w:bookmarkEnd w:id="6"/>
      <w:r w:rsidRPr="00DB68CC">
        <w:rPr>
          <w:rFonts w:cs="Arial"/>
          <w:sz w:val="22"/>
          <w:szCs w:val="22"/>
          <w:lang w:val="es-ES_tradnl"/>
        </w:rPr>
        <w:t xml:space="preserve">Descripción General </w:t>
      </w:r>
      <w:r w:rsidR="009156E4" w:rsidRPr="00DB68CC">
        <w:rPr>
          <w:rFonts w:cs="Arial"/>
          <w:sz w:val="22"/>
          <w:szCs w:val="22"/>
          <w:lang w:val="es-ES_tradnl"/>
        </w:rPr>
        <w:t>d</w:t>
      </w:r>
      <w:r w:rsidRPr="00DB68CC">
        <w:rPr>
          <w:rFonts w:cs="Arial"/>
          <w:sz w:val="22"/>
          <w:szCs w:val="22"/>
          <w:lang w:val="es-ES_tradnl"/>
        </w:rPr>
        <w:t>el Pr</w:t>
      </w:r>
      <w:r w:rsidR="009C35E9" w:rsidRPr="00DB68CC">
        <w:rPr>
          <w:rFonts w:cs="Arial"/>
          <w:sz w:val="22"/>
          <w:szCs w:val="22"/>
          <w:lang w:val="es-ES_tradnl"/>
        </w:rPr>
        <w:t>ograma</w:t>
      </w:r>
      <w:bookmarkEnd w:id="7"/>
    </w:p>
    <w:p w14:paraId="3F02FDD5" w14:textId="77777777" w:rsidR="00AA6DD8" w:rsidRPr="00DB68CC" w:rsidRDefault="00AA6DD8" w:rsidP="00AA6DD8">
      <w:pPr>
        <w:rPr>
          <w:sz w:val="22"/>
          <w:szCs w:val="22"/>
          <w:lang w:val="es-ES_tradnl" w:eastAsia="en-US"/>
        </w:rPr>
      </w:pPr>
    </w:p>
    <w:p w14:paraId="6EC42A7A" w14:textId="7C888881" w:rsidR="00AA6DD8" w:rsidRPr="00DB68CC" w:rsidRDefault="00142BB4"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Objetivos del </w:t>
      </w:r>
      <w:r w:rsidR="005E25D0">
        <w:rPr>
          <w:rFonts w:ascii="Arial" w:hAnsi="Arial" w:cs="Arial"/>
          <w:b/>
          <w:bCs/>
          <w:sz w:val="22"/>
          <w:szCs w:val="22"/>
          <w:lang w:val="es-ES_tradnl"/>
        </w:rPr>
        <w:t>p</w:t>
      </w:r>
      <w:r w:rsidRPr="00DB68CC">
        <w:rPr>
          <w:rFonts w:ascii="Arial" w:hAnsi="Arial" w:cs="Arial"/>
          <w:b/>
          <w:bCs/>
          <w:sz w:val="22"/>
          <w:szCs w:val="22"/>
          <w:lang w:val="es-ES_tradnl"/>
        </w:rPr>
        <w:t>rograma</w:t>
      </w:r>
      <w:r w:rsidRPr="00DB68CC">
        <w:rPr>
          <w:rFonts w:ascii="Arial" w:hAnsi="Arial" w:cs="Arial"/>
          <w:sz w:val="22"/>
          <w:szCs w:val="22"/>
          <w:lang w:val="es-ES_tradnl"/>
        </w:rPr>
        <w:t>.</w:t>
      </w:r>
      <w:r w:rsidR="00A81493" w:rsidRPr="00DB68CC">
        <w:rPr>
          <w:rFonts w:ascii="Arial" w:hAnsi="Arial" w:cs="Arial"/>
          <w:sz w:val="22"/>
          <w:szCs w:val="22"/>
          <w:lang w:val="es-ES_tradnl"/>
        </w:rPr>
        <w:t xml:space="preserve"> </w:t>
      </w:r>
      <w:r w:rsidR="006A15DE" w:rsidRPr="00DB68CC">
        <w:rPr>
          <w:rFonts w:ascii="Arial" w:hAnsi="Arial" w:cs="Arial"/>
          <w:sz w:val="22"/>
          <w:szCs w:val="22"/>
          <w:lang w:val="es-ES_tradnl"/>
        </w:rPr>
        <w:t>El objetivo general de este proyecto es apoyar la sostenibilidad frente a la crisis del COVID-19, de las MIPE como sostén del empleo en Ecuador. El objetivo específico es apoyar la sostenibilidad financiera de corto plazo de las MIPE</w:t>
      </w:r>
      <w:r w:rsidRPr="00DB68CC">
        <w:rPr>
          <w:rFonts w:ascii="Arial" w:hAnsi="Arial" w:cs="Arial"/>
          <w:sz w:val="22"/>
          <w:szCs w:val="22"/>
          <w:lang w:val="es-ES_tradnl"/>
        </w:rPr>
        <w:t>.</w:t>
      </w:r>
      <w:r w:rsidR="00A6360C" w:rsidRPr="00DB68CC">
        <w:rPr>
          <w:rFonts w:ascii="Arial" w:hAnsi="Arial" w:cs="Arial"/>
          <w:sz w:val="22"/>
          <w:szCs w:val="22"/>
          <w:lang w:val="es-ES_tradnl"/>
        </w:rPr>
        <w:t xml:space="preserve"> </w:t>
      </w:r>
    </w:p>
    <w:p w14:paraId="3B1E0976" w14:textId="77777777" w:rsidR="00AA6DD8" w:rsidRPr="00DB68CC" w:rsidRDefault="00AA6DD8" w:rsidP="00AA6DD8">
      <w:pPr>
        <w:pStyle w:val="ListParagraph"/>
        <w:ind w:left="792"/>
        <w:jc w:val="both"/>
        <w:rPr>
          <w:rFonts w:ascii="Arial" w:hAnsi="Arial" w:cs="Arial"/>
          <w:sz w:val="22"/>
          <w:szCs w:val="22"/>
          <w:lang w:val="es-ES_tradnl"/>
        </w:rPr>
      </w:pPr>
    </w:p>
    <w:p w14:paraId="6983AF69" w14:textId="0BAA32A9" w:rsidR="00A81493" w:rsidRPr="00DB68CC" w:rsidRDefault="00A81493" w:rsidP="00AA6DD8">
      <w:pPr>
        <w:pStyle w:val="ListParagraph"/>
        <w:ind w:left="792"/>
        <w:jc w:val="both"/>
        <w:rPr>
          <w:rFonts w:ascii="Arial" w:hAnsi="Arial" w:cs="Arial"/>
          <w:sz w:val="22"/>
          <w:szCs w:val="22"/>
          <w:lang w:val="es-ES_tradnl"/>
        </w:rPr>
      </w:pPr>
      <w:r w:rsidRPr="00DB68CC">
        <w:rPr>
          <w:rFonts w:ascii="Arial" w:hAnsi="Arial" w:cs="Arial"/>
          <w:sz w:val="22"/>
          <w:szCs w:val="22"/>
          <w:lang w:val="es-ES_tradnl"/>
        </w:rPr>
        <w:t>Esta intervención se estructura en un préstamo organizado en un único componente con dos subcomponentes:</w:t>
      </w:r>
    </w:p>
    <w:p w14:paraId="1B662B1A" w14:textId="77777777" w:rsidR="00AA6DD8" w:rsidRPr="00DB68CC" w:rsidRDefault="00AA6DD8" w:rsidP="00AA6DD8">
      <w:pPr>
        <w:pStyle w:val="ListParagraph"/>
        <w:ind w:left="792"/>
        <w:jc w:val="both"/>
        <w:rPr>
          <w:rFonts w:ascii="Arial" w:hAnsi="Arial" w:cs="Arial"/>
          <w:sz w:val="22"/>
          <w:szCs w:val="22"/>
          <w:lang w:val="es-ES_tradnl"/>
        </w:rPr>
      </w:pPr>
    </w:p>
    <w:p w14:paraId="77F3CD59" w14:textId="00A340A0" w:rsidR="002E6EF1" w:rsidRDefault="002D32F9" w:rsidP="002E6EF1">
      <w:pPr>
        <w:pStyle w:val="ListParagraph"/>
        <w:numPr>
          <w:ilvl w:val="1"/>
          <w:numId w:val="9"/>
        </w:numPr>
        <w:contextualSpacing w:val="0"/>
        <w:jc w:val="both"/>
        <w:rPr>
          <w:rFonts w:ascii="Arial" w:hAnsi="Arial" w:cs="Arial"/>
          <w:sz w:val="22"/>
          <w:szCs w:val="22"/>
          <w:lang w:val="es-ES_tradnl"/>
        </w:rPr>
      </w:pPr>
      <w:r w:rsidRPr="002E6EF1">
        <w:rPr>
          <w:rFonts w:ascii="Arial" w:hAnsi="Arial" w:cs="Arial"/>
          <w:b/>
          <w:bCs/>
          <w:sz w:val="22"/>
          <w:szCs w:val="22"/>
          <w:lang w:val="es-ES_tradnl"/>
        </w:rPr>
        <w:t>Componente</w:t>
      </w:r>
      <w:r w:rsidR="0032605C" w:rsidRPr="002E6EF1">
        <w:rPr>
          <w:rFonts w:ascii="Arial" w:hAnsi="Arial" w:cs="Arial"/>
          <w:b/>
          <w:bCs/>
          <w:sz w:val="22"/>
          <w:szCs w:val="22"/>
          <w:lang w:val="es-ES_tradnl"/>
        </w:rPr>
        <w:t xml:space="preserve"> </w:t>
      </w:r>
      <w:r w:rsidR="006A15DE" w:rsidRPr="002E6EF1">
        <w:rPr>
          <w:rFonts w:ascii="Arial" w:hAnsi="Arial" w:cs="Arial"/>
          <w:b/>
          <w:bCs/>
          <w:sz w:val="22"/>
          <w:szCs w:val="22"/>
          <w:lang w:val="es-ES_tradnl"/>
        </w:rPr>
        <w:t>único</w:t>
      </w:r>
      <w:r w:rsidRPr="00E94E76">
        <w:rPr>
          <w:rFonts w:ascii="Arial" w:hAnsi="Arial" w:cs="Arial"/>
          <w:b/>
          <w:bCs/>
          <w:sz w:val="22"/>
          <w:szCs w:val="22"/>
          <w:lang w:val="es-ES_tradnl"/>
        </w:rPr>
        <w:t>.</w:t>
      </w:r>
      <w:r w:rsidR="004A2350" w:rsidRPr="00E94E76">
        <w:rPr>
          <w:rFonts w:ascii="Arial" w:hAnsi="Arial" w:cs="Arial"/>
          <w:b/>
          <w:bCs/>
          <w:sz w:val="22"/>
          <w:szCs w:val="22"/>
          <w:lang w:val="es-ES_tradnl"/>
        </w:rPr>
        <w:t xml:space="preserve"> Apoyo a la mejora de las capacidades financieras a corto plazo </w:t>
      </w:r>
      <w:r w:rsidR="002E6EF1" w:rsidRPr="00E94E76">
        <w:rPr>
          <w:rFonts w:ascii="Arial" w:hAnsi="Arial" w:cs="Arial"/>
          <w:b/>
          <w:bCs/>
          <w:sz w:val="22"/>
          <w:szCs w:val="22"/>
          <w:lang w:val="es-ES_tradnl"/>
        </w:rPr>
        <w:t xml:space="preserve">de las MIPE </w:t>
      </w:r>
      <w:r w:rsidR="004A2350" w:rsidRPr="00E94E76">
        <w:rPr>
          <w:rFonts w:ascii="Arial" w:hAnsi="Arial" w:cs="Arial"/>
          <w:b/>
          <w:bCs/>
          <w:sz w:val="22"/>
          <w:szCs w:val="22"/>
          <w:lang w:val="es-ES_tradnl"/>
        </w:rPr>
        <w:t>(US$</w:t>
      </w:r>
      <w:r w:rsidR="00743C06" w:rsidRPr="00E94E76">
        <w:rPr>
          <w:rFonts w:ascii="Arial" w:hAnsi="Arial" w:cs="Arial"/>
          <w:b/>
          <w:bCs/>
          <w:sz w:val="22"/>
          <w:szCs w:val="22"/>
          <w:lang w:val="es-ES_tradnl"/>
        </w:rPr>
        <w:t>93.</w:t>
      </w:r>
      <w:r w:rsidR="009F4A97" w:rsidRPr="00E94E76">
        <w:rPr>
          <w:rFonts w:ascii="Arial" w:hAnsi="Arial" w:cs="Arial"/>
          <w:b/>
          <w:bCs/>
          <w:sz w:val="22"/>
          <w:szCs w:val="22"/>
          <w:lang w:val="es-ES_tradnl"/>
        </w:rPr>
        <w:t>8</w:t>
      </w:r>
      <w:r w:rsidR="002A6771" w:rsidRPr="00E94E76">
        <w:rPr>
          <w:rFonts w:ascii="Arial" w:hAnsi="Arial" w:cs="Arial"/>
          <w:b/>
          <w:bCs/>
          <w:sz w:val="22"/>
          <w:szCs w:val="22"/>
          <w:lang w:val="es-ES_tradnl"/>
        </w:rPr>
        <w:t>00.000</w:t>
      </w:r>
      <w:r w:rsidR="004A2350" w:rsidRPr="00E94E76">
        <w:rPr>
          <w:rFonts w:ascii="Arial" w:hAnsi="Arial" w:cs="Arial"/>
          <w:b/>
          <w:bCs/>
          <w:sz w:val="22"/>
          <w:szCs w:val="22"/>
          <w:lang w:val="es-ES_tradnl"/>
        </w:rPr>
        <w:t>).</w:t>
      </w:r>
      <w:r w:rsidR="006F2123" w:rsidRPr="00E94E76">
        <w:rPr>
          <w:rFonts w:ascii="Arial" w:hAnsi="Arial" w:cs="Arial"/>
          <w:sz w:val="22"/>
          <w:szCs w:val="22"/>
          <w:lang w:val="es-ES_tradnl"/>
        </w:rPr>
        <w:t xml:space="preserve"> </w:t>
      </w:r>
      <w:r w:rsidR="002E6EF1" w:rsidRPr="00E94E76">
        <w:rPr>
          <w:rFonts w:ascii="Arial" w:hAnsi="Arial" w:cs="Arial"/>
          <w:sz w:val="22"/>
          <w:szCs w:val="22"/>
          <w:lang w:val="es-ES_tradnl"/>
        </w:rPr>
        <w:t xml:space="preserve">Los recursos de este componente van destinados a contribuir a que las MIPE afectadas por la crisis superen problemas temporales de liquidez y puedan dar continuidad a su operación. Este componente contempla mecanismos para proveer liquidez a las MIPE, como: productos de crédito y/o garantías para obtener financiamiento de capital de trabajo. </w:t>
      </w:r>
    </w:p>
    <w:p w14:paraId="0F1F5A9A" w14:textId="77777777" w:rsidR="002E6EF1" w:rsidRPr="002E6EF1" w:rsidRDefault="002E6EF1" w:rsidP="00E94E76">
      <w:pPr>
        <w:pStyle w:val="ListParagraph"/>
        <w:ind w:left="907"/>
        <w:contextualSpacing w:val="0"/>
        <w:jc w:val="both"/>
        <w:rPr>
          <w:rFonts w:ascii="Arial" w:hAnsi="Arial" w:cs="Arial"/>
          <w:sz w:val="22"/>
          <w:szCs w:val="22"/>
          <w:lang w:val="es-ES_tradnl"/>
        </w:rPr>
      </w:pPr>
    </w:p>
    <w:p w14:paraId="7C23889E" w14:textId="176E3C86" w:rsidR="00AA6DD8" w:rsidRPr="00DB68CC" w:rsidRDefault="002E6EF1" w:rsidP="00E94E76">
      <w:pPr>
        <w:pStyle w:val="ListParagraph"/>
        <w:numPr>
          <w:ilvl w:val="0"/>
          <w:numId w:val="29"/>
        </w:numPr>
        <w:jc w:val="both"/>
        <w:rPr>
          <w:rFonts w:ascii="Arial" w:hAnsi="Arial" w:cs="Arial"/>
          <w:sz w:val="22"/>
          <w:szCs w:val="22"/>
          <w:lang w:val="es-ES_tradnl"/>
        </w:rPr>
      </w:pPr>
      <w:r w:rsidRPr="002E6EF1">
        <w:rPr>
          <w:rFonts w:ascii="Arial" w:hAnsi="Arial" w:cs="Arial"/>
          <w:b/>
          <w:bCs/>
          <w:sz w:val="22"/>
          <w:szCs w:val="22"/>
          <w:lang w:val="es-ES_tradnl"/>
        </w:rPr>
        <w:t>Subcomponente 1.</w:t>
      </w:r>
      <w:r w:rsidRPr="002E6EF1">
        <w:rPr>
          <w:rFonts w:ascii="Arial" w:hAnsi="Arial" w:cs="Arial"/>
          <w:sz w:val="22"/>
          <w:szCs w:val="22"/>
          <w:lang w:val="es-ES_tradnl"/>
        </w:rPr>
        <w:t xml:space="preserve"> </w:t>
      </w:r>
      <w:r w:rsidRPr="002E6EF1">
        <w:rPr>
          <w:rFonts w:ascii="Arial" w:hAnsi="Arial" w:cs="Arial"/>
          <w:b/>
          <w:bCs/>
          <w:sz w:val="22"/>
          <w:szCs w:val="22"/>
          <w:lang w:val="es-ES_tradnl"/>
        </w:rPr>
        <w:t>Programa de apoyo a las finanzas populares y solidarias a nivel nacional (US$85 millones).</w:t>
      </w:r>
      <w:r w:rsidRPr="002E6EF1">
        <w:rPr>
          <w:rFonts w:ascii="Arial" w:hAnsi="Arial" w:cs="Arial"/>
          <w:sz w:val="22"/>
          <w:szCs w:val="22"/>
          <w:lang w:val="es-ES_tradnl"/>
        </w:rPr>
        <w:t xml:space="preserve"> </w:t>
      </w:r>
      <w:bookmarkStart w:id="8" w:name="_Hlk38900596"/>
      <w:r w:rsidRPr="002E6EF1">
        <w:rPr>
          <w:rFonts w:ascii="Arial" w:hAnsi="Arial" w:cs="Arial"/>
          <w:sz w:val="22"/>
          <w:szCs w:val="22"/>
          <w:lang w:val="es-ES_tradnl"/>
        </w:rPr>
        <w:t xml:space="preserve">Este subcomponente se </w:t>
      </w:r>
      <w:r w:rsidRPr="00E94E76">
        <w:rPr>
          <w:rFonts w:ascii="Arial" w:hAnsi="Arial" w:cs="Arial"/>
          <w:b/>
          <w:bCs/>
          <w:sz w:val="22"/>
          <w:szCs w:val="22"/>
          <w:lang w:val="es-ES_tradnl"/>
        </w:rPr>
        <w:t>ejecutará</w:t>
      </w:r>
      <w:r w:rsidRPr="002E6EF1">
        <w:rPr>
          <w:rFonts w:ascii="Arial" w:hAnsi="Arial" w:cs="Arial"/>
          <w:sz w:val="22"/>
          <w:szCs w:val="22"/>
          <w:lang w:val="es-ES_tradnl"/>
        </w:rPr>
        <w:t xml:space="preserve"> otorgando préstamos bajo líneas de anticipo o redescuento</w:t>
      </w:r>
      <w:r w:rsidRPr="002E6EF1">
        <w:rPr>
          <w:rFonts w:ascii="Arial" w:hAnsi="Arial" w:cs="Arial"/>
          <w:sz w:val="22"/>
          <w:szCs w:val="22"/>
          <w:vertAlign w:val="superscript"/>
          <w:lang w:val="es-ES_tradnl"/>
        </w:rPr>
        <w:footnoteReference w:id="3"/>
      </w:r>
      <w:r w:rsidRPr="002E6EF1">
        <w:rPr>
          <w:rFonts w:ascii="Arial" w:hAnsi="Arial" w:cs="Arial"/>
          <w:sz w:val="22"/>
          <w:szCs w:val="22"/>
          <w:lang w:val="es-ES_tradnl"/>
        </w:rPr>
        <w:t xml:space="preserve"> a las OSFPS elegibles (¶</w:t>
      </w:r>
      <w:r>
        <w:rPr>
          <w:rFonts w:ascii="Arial" w:hAnsi="Arial" w:cs="Arial"/>
          <w:sz w:val="22"/>
          <w:szCs w:val="22"/>
          <w:lang w:val="es-ES_tradnl"/>
        </w:rPr>
        <w:t>3.5 del documento de préstamo</w:t>
      </w:r>
      <w:r w:rsidRPr="002E6EF1">
        <w:rPr>
          <w:rFonts w:ascii="Arial" w:hAnsi="Arial" w:cs="Arial"/>
          <w:sz w:val="22"/>
          <w:szCs w:val="22"/>
          <w:lang w:val="es-ES_tradnl"/>
        </w:rPr>
        <w:t>) para que a su vez provean liquidez a las MIPE elegibles (¶</w:t>
      </w:r>
      <w:r>
        <w:rPr>
          <w:rFonts w:ascii="Arial" w:hAnsi="Arial" w:cs="Arial"/>
          <w:sz w:val="22"/>
          <w:szCs w:val="22"/>
          <w:lang w:val="es-ES_tradnl"/>
        </w:rPr>
        <w:t>3.6 del documento de préstamo</w:t>
      </w:r>
      <w:r w:rsidRPr="002E6EF1">
        <w:rPr>
          <w:rFonts w:ascii="Arial" w:hAnsi="Arial" w:cs="Arial"/>
          <w:sz w:val="22"/>
          <w:szCs w:val="22"/>
          <w:lang w:val="es-ES_tradnl"/>
        </w:rPr>
        <w:t xml:space="preserve">). </w:t>
      </w:r>
      <w:bookmarkStart w:id="9" w:name="_Hlk36680765"/>
      <w:r w:rsidRPr="002E6EF1">
        <w:rPr>
          <w:rFonts w:ascii="Arial" w:hAnsi="Arial" w:cs="Arial"/>
          <w:sz w:val="22"/>
          <w:szCs w:val="22"/>
          <w:lang w:val="es-ES_tradnl"/>
        </w:rPr>
        <w:t xml:space="preserve">El subcomponente incluirá dos actividades para promover la igualdad de género en el acceso a financiamiento </w:t>
      </w:r>
      <w:bookmarkStart w:id="10" w:name="_Hlk36854221"/>
      <w:r w:rsidRPr="002E6EF1">
        <w:rPr>
          <w:rFonts w:ascii="Arial" w:hAnsi="Arial" w:cs="Arial"/>
          <w:sz w:val="22"/>
          <w:szCs w:val="22"/>
          <w:lang w:val="es-ES_tradnl"/>
        </w:rPr>
        <w:t>para superar las necesidades de corto plazo en aquellas MIPE definidas como de mujeres con el fin de atenuar el posible ensanchamiento de la brecha de género como consecuencia de la crisis del COVID-19</w:t>
      </w:r>
      <w:bookmarkEnd w:id="9"/>
      <w:bookmarkEnd w:id="10"/>
      <w:r w:rsidRPr="002E6EF1">
        <w:rPr>
          <w:rFonts w:ascii="Arial" w:hAnsi="Arial" w:cs="Arial"/>
          <w:sz w:val="22"/>
          <w:szCs w:val="22"/>
          <w:lang w:val="es-ES_tradnl"/>
        </w:rPr>
        <w:t>: (i) elaboración de directrices para el proceso de otorgamiento de crédito a MIPE especificando la obligatoriedad de no discriminar por género, las cuales formarán parte integrante del contrato de préstamo a las OSFPS elegibles; y (</w:t>
      </w:r>
      <w:proofErr w:type="spellStart"/>
      <w:r w:rsidRPr="002E6EF1">
        <w:rPr>
          <w:rFonts w:ascii="Arial" w:hAnsi="Arial" w:cs="Arial"/>
          <w:sz w:val="22"/>
          <w:szCs w:val="22"/>
          <w:lang w:val="es-ES_tradnl"/>
        </w:rPr>
        <w:t>ii</w:t>
      </w:r>
      <w:proofErr w:type="spellEnd"/>
      <w:r w:rsidRPr="002E6EF1">
        <w:rPr>
          <w:rFonts w:ascii="Arial" w:hAnsi="Arial" w:cs="Arial"/>
          <w:sz w:val="22"/>
          <w:szCs w:val="22"/>
          <w:lang w:val="es-ES_tradnl"/>
        </w:rPr>
        <w:t xml:space="preserve">) monitoreo de la evolución de la cartera de créditos y, si se observan desviaciones significativas, se tomarán medidas para corregir la desviación, según se establezca en el </w:t>
      </w:r>
      <w:hyperlink r:id="rId17" w:history="1">
        <w:r w:rsidRPr="002E6EF1">
          <w:rPr>
            <w:rStyle w:val="Hyperlink"/>
            <w:rFonts w:ascii="Arial" w:hAnsi="Arial" w:cs="Arial"/>
            <w:sz w:val="22"/>
            <w:szCs w:val="22"/>
            <w:lang w:val="es-ES_tradnl"/>
          </w:rPr>
          <w:t>RC</w:t>
        </w:r>
      </w:hyperlink>
      <w:r w:rsidRPr="002E6EF1">
        <w:rPr>
          <w:rFonts w:ascii="Arial" w:hAnsi="Arial" w:cs="Arial"/>
          <w:sz w:val="22"/>
          <w:szCs w:val="22"/>
          <w:lang w:val="es-ES_tradnl"/>
        </w:rPr>
        <w:t xml:space="preserve"> (¶</w:t>
      </w:r>
      <w:r>
        <w:rPr>
          <w:rFonts w:ascii="Arial" w:hAnsi="Arial" w:cs="Arial"/>
          <w:sz w:val="22"/>
          <w:szCs w:val="22"/>
          <w:lang w:val="es-ES_tradnl"/>
        </w:rPr>
        <w:t>3.7 del documento de préstamo</w:t>
      </w:r>
      <w:r w:rsidRPr="002E6EF1">
        <w:rPr>
          <w:rFonts w:ascii="Arial" w:hAnsi="Arial" w:cs="Arial"/>
          <w:sz w:val="22"/>
          <w:szCs w:val="22"/>
          <w:lang w:val="es-ES_tradnl"/>
        </w:rPr>
        <w:t>), para garantizar que no se ensancha la brecha de género en el número de operaciones.</w:t>
      </w:r>
      <w:r w:rsidRPr="002E6EF1">
        <w:rPr>
          <w:rFonts w:ascii="Arial" w:hAnsi="Arial" w:cs="Arial"/>
          <w:b/>
          <w:bCs/>
          <w:sz w:val="22"/>
          <w:szCs w:val="22"/>
          <w:lang w:val="es-ES_tradnl"/>
        </w:rPr>
        <w:t xml:space="preserve"> </w:t>
      </w:r>
      <w:r w:rsidRPr="002E6EF1">
        <w:rPr>
          <w:rFonts w:ascii="Arial" w:hAnsi="Arial" w:cs="Arial"/>
          <w:sz w:val="22"/>
          <w:szCs w:val="22"/>
          <w:lang w:val="es-ES_tradnl"/>
        </w:rPr>
        <w:t>En particular se establecerá como objetivo un número paritario de operaciones para hombres y mujeres. El costo de las auditorías se podrá financiar bajo este subcomponente</w:t>
      </w:r>
      <w:bookmarkEnd w:id="8"/>
      <w:r w:rsidR="008F729E" w:rsidRPr="00DB68CC">
        <w:rPr>
          <w:rFonts w:ascii="Arial" w:hAnsi="Arial" w:cs="Arial"/>
          <w:sz w:val="22"/>
          <w:szCs w:val="22"/>
          <w:lang w:val="es-ES_tradnl"/>
        </w:rPr>
        <w:t>.</w:t>
      </w:r>
    </w:p>
    <w:p w14:paraId="03F32D90" w14:textId="77777777" w:rsidR="00AA6DD8" w:rsidRPr="00DB68CC" w:rsidRDefault="00AA6DD8" w:rsidP="00AA6DD8">
      <w:pPr>
        <w:pStyle w:val="ListParagraph"/>
        <w:ind w:left="792"/>
        <w:jc w:val="both"/>
        <w:rPr>
          <w:rFonts w:ascii="Arial" w:hAnsi="Arial" w:cs="Arial"/>
          <w:sz w:val="22"/>
          <w:szCs w:val="22"/>
          <w:lang w:val="es-ES_tradnl"/>
        </w:rPr>
      </w:pPr>
    </w:p>
    <w:p w14:paraId="1B48615E" w14:textId="7B149D25" w:rsidR="00411E0F" w:rsidRPr="00E94E76" w:rsidRDefault="008F729E" w:rsidP="00E94E76">
      <w:pPr>
        <w:pStyle w:val="ListParagraph"/>
        <w:numPr>
          <w:ilvl w:val="0"/>
          <w:numId w:val="29"/>
        </w:numPr>
        <w:jc w:val="both"/>
        <w:rPr>
          <w:rFonts w:ascii="Arial" w:hAnsi="Arial" w:cs="Arial"/>
          <w:sz w:val="22"/>
          <w:szCs w:val="22"/>
          <w:lang w:val="es-ES_tradnl"/>
        </w:rPr>
      </w:pPr>
      <w:r w:rsidRPr="00E94E76">
        <w:rPr>
          <w:rFonts w:ascii="Arial" w:hAnsi="Arial" w:cs="Arial"/>
          <w:b/>
          <w:bCs/>
          <w:sz w:val="22"/>
          <w:szCs w:val="22"/>
          <w:lang w:val="es-ES_tradnl"/>
        </w:rPr>
        <w:t xml:space="preserve">Subcomponente </w:t>
      </w:r>
      <w:r w:rsidR="006A15DE" w:rsidRPr="00E94E76">
        <w:rPr>
          <w:rFonts w:ascii="Arial" w:hAnsi="Arial" w:cs="Arial"/>
          <w:b/>
          <w:bCs/>
          <w:sz w:val="22"/>
          <w:szCs w:val="22"/>
          <w:lang w:val="es-ES_tradnl"/>
        </w:rPr>
        <w:t>2</w:t>
      </w:r>
      <w:r w:rsidRPr="00E94E76">
        <w:rPr>
          <w:rFonts w:ascii="Arial" w:hAnsi="Arial" w:cs="Arial"/>
          <w:b/>
          <w:bCs/>
          <w:sz w:val="22"/>
          <w:szCs w:val="22"/>
          <w:lang w:val="es-ES_tradnl"/>
        </w:rPr>
        <w:t>. Fortalecimiento del Fondo de Garantía para la Economía Popular y Solidaria (US$</w:t>
      </w:r>
      <w:r w:rsidR="00743C06" w:rsidRPr="00E94E76">
        <w:rPr>
          <w:rFonts w:ascii="Arial" w:hAnsi="Arial" w:cs="Arial"/>
          <w:b/>
          <w:bCs/>
          <w:sz w:val="22"/>
          <w:szCs w:val="22"/>
          <w:lang w:val="es-ES_tradnl"/>
        </w:rPr>
        <w:t>8</w:t>
      </w:r>
      <w:r w:rsidR="009F4A97" w:rsidRPr="00E94E76">
        <w:rPr>
          <w:rFonts w:ascii="Arial" w:hAnsi="Arial" w:cs="Arial"/>
          <w:b/>
          <w:bCs/>
          <w:sz w:val="22"/>
          <w:szCs w:val="22"/>
          <w:lang w:val="es-ES_tradnl"/>
        </w:rPr>
        <w:t>,8</w:t>
      </w:r>
      <w:r w:rsidRPr="00E94E76">
        <w:rPr>
          <w:rFonts w:ascii="Arial" w:hAnsi="Arial" w:cs="Arial"/>
          <w:b/>
          <w:bCs/>
          <w:sz w:val="22"/>
          <w:szCs w:val="22"/>
          <w:lang w:val="es-ES_tradnl"/>
        </w:rPr>
        <w:t xml:space="preserve"> millones). </w:t>
      </w:r>
      <w:bookmarkStart w:id="11" w:name="_Hlk37167219"/>
      <w:r w:rsidRPr="00E94E76">
        <w:rPr>
          <w:rFonts w:ascii="Arial" w:hAnsi="Arial" w:cs="Arial"/>
          <w:sz w:val="22"/>
          <w:szCs w:val="22"/>
          <w:lang w:val="es-ES_tradnl"/>
        </w:rPr>
        <w:t>El FOGEPS es un fondo administrado por la CONAFIPS, que se constituye como una herramienta de inclusión a los grupos vulnerables o de atención prioritaria que no han podido acceder tradicionalmente a financiamiento crediticio por la falta de un colateral o garantía en su operación crediticia</w:t>
      </w:r>
      <w:bookmarkEnd w:id="11"/>
      <w:r w:rsidRPr="00E94E76">
        <w:rPr>
          <w:rFonts w:ascii="Arial" w:hAnsi="Arial" w:cs="Arial"/>
          <w:sz w:val="22"/>
          <w:szCs w:val="22"/>
          <w:lang w:val="es-ES_tradnl"/>
        </w:rPr>
        <w:t>. Este subcomponente facilitará al FOGEPS nuevos recursos que aporten a la expansión del servicio a todo el territorio nacional ecuatoriano a través de las OSFPS para que proveer garantías en beneficio de las MIPE elegibles. Para una adecuada administración de riesgos, las MIPE financiadas por las O</w:t>
      </w:r>
      <w:r w:rsidR="00D3120E" w:rsidRPr="00E94E76">
        <w:rPr>
          <w:rFonts w:ascii="Arial" w:hAnsi="Arial" w:cs="Arial"/>
          <w:sz w:val="22"/>
          <w:szCs w:val="22"/>
          <w:lang w:val="es-ES_tradnl"/>
        </w:rPr>
        <w:t>SF</w:t>
      </w:r>
      <w:r w:rsidRPr="00E94E76">
        <w:rPr>
          <w:rFonts w:ascii="Arial" w:hAnsi="Arial" w:cs="Arial"/>
          <w:sz w:val="22"/>
          <w:szCs w:val="22"/>
          <w:lang w:val="es-ES_tradnl"/>
        </w:rPr>
        <w:t>PS a través de créditos de la CONAFIPS, no podrán ser beneficiadas a su vez por una garantía del FOGEPS.</w:t>
      </w:r>
    </w:p>
    <w:p w14:paraId="5DBC735C" w14:textId="77777777" w:rsidR="00F96D3F" w:rsidRPr="00DB68CC" w:rsidRDefault="00F96D3F" w:rsidP="00F96D3F">
      <w:pPr>
        <w:pStyle w:val="ListParagraph"/>
        <w:ind w:left="1134"/>
        <w:jc w:val="both"/>
        <w:rPr>
          <w:rFonts w:ascii="Arial" w:hAnsi="Arial" w:cs="Arial"/>
          <w:sz w:val="22"/>
          <w:szCs w:val="22"/>
          <w:lang w:val="es-ES_tradnl"/>
        </w:rPr>
      </w:pPr>
      <w:bookmarkStart w:id="12" w:name="_GoBack"/>
      <w:bookmarkEnd w:id="12"/>
    </w:p>
    <w:p w14:paraId="5A558D51" w14:textId="6F86D506" w:rsidR="006048D7" w:rsidRPr="00DB68CC" w:rsidRDefault="00411E0F"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Desembolsos: </w:t>
      </w:r>
      <w:r w:rsidR="006048D7" w:rsidRPr="00DB68CC">
        <w:rPr>
          <w:rFonts w:ascii="Arial" w:hAnsi="Arial" w:cs="Arial"/>
          <w:sz w:val="22"/>
          <w:szCs w:val="22"/>
          <w:lang w:val="es-ES_tradnl"/>
        </w:rPr>
        <w:t>El Organismo Ejecutor presentará al BID la</w:t>
      </w:r>
      <w:r w:rsidR="00364129" w:rsidRPr="00DB68CC">
        <w:rPr>
          <w:rFonts w:ascii="Arial" w:hAnsi="Arial" w:cs="Arial"/>
          <w:sz w:val="22"/>
          <w:szCs w:val="22"/>
          <w:lang w:val="es-ES_tradnl"/>
        </w:rPr>
        <w:t>(s)</w:t>
      </w:r>
      <w:r w:rsidR="006048D7" w:rsidRPr="00DB68CC">
        <w:rPr>
          <w:rFonts w:ascii="Arial" w:hAnsi="Arial" w:cs="Arial"/>
          <w:sz w:val="22"/>
          <w:szCs w:val="22"/>
          <w:lang w:val="es-ES_tradnl"/>
        </w:rPr>
        <w:t xml:space="preserve"> solicitud</w:t>
      </w:r>
      <w:r w:rsidR="00364129" w:rsidRPr="00DB68CC">
        <w:rPr>
          <w:rFonts w:ascii="Arial" w:hAnsi="Arial" w:cs="Arial"/>
          <w:sz w:val="22"/>
          <w:szCs w:val="22"/>
          <w:lang w:val="es-ES_tradnl"/>
        </w:rPr>
        <w:t>(es)</w:t>
      </w:r>
      <w:r w:rsidR="006048D7" w:rsidRPr="00DB68CC">
        <w:rPr>
          <w:rFonts w:ascii="Arial" w:hAnsi="Arial" w:cs="Arial"/>
          <w:sz w:val="22"/>
          <w:szCs w:val="22"/>
          <w:lang w:val="es-ES_tradnl"/>
        </w:rPr>
        <w:t xml:space="preserve"> de desembolso de fondos adjuntado la programación de colocaciones mensuales para el siguiente año. Esta programación incluirá las necesidades de financiamiento de los siguientes componentes:</w:t>
      </w:r>
    </w:p>
    <w:p w14:paraId="22A74330" w14:textId="77777777" w:rsidR="00F96D3F" w:rsidRPr="00DB68CC" w:rsidRDefault="00F96D3F" w:rsidP="00F96D3F">
      <w:pPr>
        <w:pStyle w:val="ListParagraph"/>
        <w:ind w:left="792"/>
        <w:jc w:val="both"/>
        <w:rPr>
          <w:rFonts w:ascii="Arial" w:hAnsi="Arial" w:cs="Arial"/>
          <w:sz w:val="22"/>
          <w:szCs w:val="22"/>
          <w:lang w:val="es-ES_tradnl"/>
        </w:rPr>
      </w:pPr>
    </w:p>
    <w:p w14:paraId="27946065" w14:textId="5B0B636C" w:rsidR="00411E0F" w:rsidRPr="00DB68CC" w:rsidRDefault="006048D7" w:rsidP="0099721A">
      <w:pPr>
        <w:pStyle w:val="ListParagraph"/>
        <w:numPr>
          <w:ilvl w:val="0"/>
          <w:numId w:val="12"/>
        </w:numPr>
        <w:jc w:val="both"/>
        <w:rPr>
          <w:rFonts w:ascii="Arial" w:hAnsi="Arial" w:cs="Arial"/>
          <w:b/>
          <w:bCs/>
          <w:sz w:val="22"/>
          <w:szCs w:val="22"/>
          <w:lang w:val="es-ES_tradnl"/>
        </w:rPr>
      </w:pPr>
      <w:r w:rsidRPr="00DB68CC">
        <w:rPr>
          <w:rFonts w:ascii="Arial" w:hAnsi="Arial" w:cs="Arial"/>
          <w:b/>
          <w:bCs/>
          <w:sz w:val="22"/>
          <w:szCs w:val="22"/>
          <w:lang w:val="es-ES_tradnl"/>
        </w:rPr>
        <w:lastRenderedPageBreak/>
        <w:t xml:space="preserve">Reembolso de Operaciones </w:t>
      </w:r>
      <w:r w:rsidRPr="00DB68CC">
        <w:rPr>
          <w:rFonts w:ascii="Arial" w:hAnsi="Arial" w:cs="Arial"/>
          <w:sz w:val="22"/>
          <w:szCs w:val="22"/>
          <w:lang w:val="es-ES_tradnl"/>
        </w:rPr>
        <w:t>concedidas entre el 30 de enero de 2020 y la fecha de suscripción del contrato de préstamo, y que cumplan los parámetros definidos en el presente reglamento, y</w:t>
      </w:r>
    </w:p>
    <w:p w14:paraId="5EF20D42" w14:textId="77777777" w:rsidR="00F96D3F" w:rsidRPr="00DB68CC" w:rsidRDefault="00F96D3F" w:rsidP="00F96D3F">
      <w:pPr>
        <w:pStyle w:val="ListParagraph"/>
        <w:ind w:left="1152"/>
        <w:jc w:val="both"/>
        <w:rPr>
          <w:rFonts w:ascii="Arial" w:hAnsi="Arial" w:cs="Arial"/>
          <w:b/>
          <w:bCs/>
          <w:sz w:val="22"/>
          <w:szCs w:val="22"/>
          <w:lang w:val="es-ES_tradnl"/>
        </w:rPr>
      </w:pPr>
    </w:p>
    <w:p w14:paraId="08FD5A77" w14:textId="29083505" w:rsidR="006048D7" w:rsidRPr="00DB68CC" w:rsidRDefault="006048D7" w:rsidP="0099721A">
      <w:pPr>
        <w:pStyle w:val="ListParagraph"/>
        <w:numPr>
          <w:ilvl w:val="0"/>
          <w:numId w:val="12"/>
        </w:numPr>
        <w:jc w:val="both"/>
        <w:rPr>
          <w:rFonts w:ascii="Arial" w:hAnsi="Arial" w:cs="Arial"/>
          <w:b/>
          <w:bCs/>
          <w:sz w:val="22"/>
          <w:szCs w:val="22"/>
          <w:lang w:val="es-ES_tradnl"/>
        </w:rPr>
      </w:pPr>
      <w:r w:rsidRPr="00DB68CC">
        <w:rPr>
          <w:rFonts w:ascii="Arial" w:hAnsi="Arial" w:cs="Arial"/>
          <w:b/>
          <w:bCs/>
          <w:sz w:val="22"/>
          <w:szCs w:val="22"/>
          <w:lang w:val="es-ES_tradnl"/>
        </w:rPr>
        <w:t xml:space="preserve">Anticipo </w:t>
      </w:r>
      <w:r w:rsidRPr="00DB68CC">
        <w:rPr>
          <w:rFonts w:ascii="Arial" w:hAnsi="Arial" w:cs="Arial"/>
          <w:sz w:val="22"/>
          <w:szCs w:val="22"/>
          <w:lang w:val="es-ES_tradnl"/>
        </w:rPr>
        <w:t xml:space="preserve">para futuros desembolsos </w:t>
      </w:r>
      <w:r w:rsidR="00074201" w:rsidRPr="00DB68CC">
        <w:rPr>
          <w:rFonts w:ascii="Arial" w:hAnsi="Arial" w:cs="Arial"/>
          <w:sz w:val="22"/>
          <w:szCs w:val="22"/>
          <w:lang w:val="es-ES_tradnl"/>
        </w:rPr>
        <w:t>de operaciones de crédito que soliciten la OSFPS a la CONAFIPS en el marco del Programa. La evolución de los montos colocados será informada mensualmente al BID.</w:t>
      </w:r>
    </w:p>
    <w:p w14:paraId="44BE37F2" w14:textId="77777777" w:rsidR="00C5034F" w:rsidRPr="00DB68CC" w:rsidRDefault="00C5034F" w:rsidP="00C5034F">
      <w:pPr>
        <w:pStyle w:val="ListParagraph"/>
        <w:rPr>
          <w:rFonts w:ascii="Arial" w:hAnsi="Arial" w:cs="Arial"/>
          <w:b/>
          <w:bCs/>
          <w:sz w:val="22"/>
          <w:szCs w:val="22"/>
          <w:lang w:val="es-ES_tradnl"/>
        </w:rPr>
      </w:pPr>
    </w:p>
    <w:p w14:paraId="3AE6D676" w14:textId="1DBB93C5" w:rsidR="00C5034F" w:rsidRPr="00DB68CC" w:rsidRDefault="00364A4D" w:rsidP="00C157FD">
      <w:pPr>
        <w:pStyle w:val="ListParagraph"/>
        <w:numPr>
          <w:ilvl w:val="0"/>
          <w:numId w:val="12"/>
        </w:numPr>
        <w:jc w:val="both"/>
        <w:rPr>
          <w:rFonts w:ascii="Arial" w:hAnsi="Arial" w:cs="Arial"/>
          <w:b/>
          <w:bCs/>
          <w:sz w:val="22"/>
          <w:szCs w:val="22"/>
          <w:lang w:val="es-ES_tradnl"/>
        </w:rPr>
      </w:pPr>
      <w:r w:rsidRPr="00DB68CC">
        <w:rPr>
          <w:rFonts w:ascii="Arial" w:hAnsi="Arial" w:cs="Arial"/>
          <w:b/>
          <w:bCs/>
          <w:sz w:val="22"/>
          <w:szCs w:val="22"/>
          <w:lang w:val="es-ES_tradnl"/>
        </w:rPr>
        <w:t>Fortalecimiento del FOGEPS</w:t>
      </w:r>
      <w:r w:rsidR="00C5034F" w:rsidRPr="00DB68CC">
        <w:rPr>
          <w:rFonts w:ascii="Arial" w:hAnsi="Arial" w:cs="Arial"/>
          <w:b/>
          <w:bCs/>
          <w:sz w:val="22"/>
          <w:szCs w:val="22"/>
          <w:lang w:val="es-ES_tradnl"/>
        </w:rPr>
        <w:t xml:space="preserve"> </w:t>
      </w:r>
      <w:r w:rsidR="00C5034F" w:rsidRPr="00DB68CC">
        <w:rPr>
          <w:rFonts w:ascii="Arial" w:hAnsi="Arial" w:cs="Arial"/>
          <w:sz w:val="22"/>
          <w:szCs w:val="22"/>
          <w:lang w:val="es-ES_tradnl"/>
        </w:rPr>
        <w:t>par</w:t>
      </w:r>
      <w:r w:rsidR="003C46A6" w:rsidRPr="00DB68CC">
        <w:rPr>
          <w:rFonts w:ascii="Arial" w:hAnsi="Arial" w:cs="Arial"/>
          <w:sz w:val="22"/>
          <w:szCs w:val="22"/>
          <w:lang w:val="es-ES_tradnl"/>
        </w:rPr>
        <w:t xml:space="preserve">a incrementar </w:t>
      </w:r>
      <w:r w:rsidR="00C157FD" w:rsidRPr="00DB68CC">
        <w:rPr>
          <w:rFonts w:ascii="Arial" w:hAnsi="Arial" w:cs="Arial"/>
          <w:sz w:val="22"/>
          <w:szCs w:val="22"/>
          <w:lang w:val="es-ES_tradnl"/>
        </w:rPr>
        <w:t>su</w:t>
      </w:r>
      <w:r w:rsidR="003C46A6" w:rsidRPr="00DB68CC">
        <w:rPr>
          <w:rFonts w:ascii="Arial" w:hAnsi="Arial" w:cs="Arial"/>
          <w:sz w:val="22"/>
          <w:szCs w:val="22"/>
          <w:lang w:val="es-ES_tradnl"/>
        </w:rPr>
        <w:t xml:space="preserve"> capacidad de </w:t>
      </w:r>
      <w:r w:rsidR="00852D71" w:rsidRPr="00DB68CC">
        <w:rPr>
          <w:rFonts w:ascii="Arial" w:hAnsi="Arial" w:cs="Arial"/>
          <w:sz w:val="22"/>
          <w:szCs w:val="22"/>
          <w:lang w:val="es-ES_tradnl"/>
        </w:rPr>
        <w:t xml:space="preserve">otorgamiento de </w:t>
      </w:r>
      <w:r w:rsidR="00A679A5" w:rsidRPr="00DB68CC">
        <w:rPr>
          <w:rFonts w:ascii="Arial" w:hAnsi="Arial" w:cs="Arial"/>
          <w:sz w:val="22"/>
          <w:szCs w:val="22"/>
          <w:lang w:val="es-ES_tradnl"/>
        </w:rPr>
        <w:t>g</w:t>
      </w:r>
      <w:r w:rsidR="00852D71" w:rsidRPr="00DB68CC">
        <w:rPr>
          <w:rFonts w:ascii="Arial" w:hAnsi="Arial" w:cs="Arial"/>
          <w:sz w:val="22"/>
          <w:szCs w:val="22"/>
          <w:lang w:val="es-ES_tradnl"/>
        </w:rPr>
        <w:t xml:space="preserve">arantía </w:t>
      </w:r>
      <w:r w:rsidR="00A679A5" w:rsidRPr="00DB68CC">
        <w:rPr>
          <w:rFonts w:ascii="Arial" w:hAnsi="Arial" w:cs="Arial"/>
          <w:sz w:val="22"/>
          <w:szCs w:val="22"/>
          <w:lang w:val="es-ES_tradnl"/>
        </w:rPr>
        <w:t>a beneficiarios elegibles</w:t>
      </w:r>
      <w:r w:rsidR="00B23EAA" w:rsidRPr="00DB68CC">
        <w:rPr>
          <w:rFonts w:ascii="Arial" w:hAnsi="Arial" w:cs="Arial"/>
          <w:sz w:val="22"/>
          <w:szCs w:val="22"/>
          <w:lang w:val="es-ES_tradnl"/>
        </w:rPr>
        <w:t xml:space="preserve"> a fin </w:t>
      </w:r>
      <w:r w:rsidR="00D315AC" w:rsidRPr="00DB68CC">
        <w:rPr>
          <w:rFonts w:ascii="Arial" w:hAnsi="Arial" w:cs="Arial"/>
          <w:sz w:val="22"/>
          <w:szCs w:val="22"/>
          <w:lang w:val="es-ES_tradnl"/>
        </w:rPr>
        <w:t>de que estos puedan</w:t>
      </w:r>
      <w:r w:rsidR="00B23EAA" w:rsidRPr="00DB68CC">
        <w:rPr>
          <w:rFonts w:ascii="Arial" w:hAnsi="Arial" w:cs="Arial"/>
          <w:sz w:val="22"/>
          <w:szCs w:val="22"/>
          <w:lang w:val="es-ES_tradnl"/>
        </w:rPr>
        <w:t xml:space="preserve"> acce</w:t>
      </w:r>
      <w:r w:rsidR="00D315AC" w:rsidRPr="00DB68CC">
        <w:rPr>
          <w:rFonts w:ascii="Arial" w:hAnsi="Arial" w:cs="Arial"/>
          <w:sz w:val="22"/>
          <w:szCs w:val="22"/>
          <w:lang w:val="es-ES_tradnl"/>
        </w:rPr>
        <w:t>der</w:t>
      </w:r>
      <w:r w:rsidR="00B23EAA" w:rsidRPr="00DB68CC">
        <w:rPr>
          <w:rFonts w:ascii="Arial" w:hAnsi="Arial" w:cs="Arial"/>
          <w:sz w:val="22"/>
          <w:szCs w:val="22"/>
          <w:lang w:val="es-ES_tradnl"/>
        </w:rPr>
        <w:t xml:space="preserve"> a financiam</w:t>
      </w:r>
      <w:r w:rsidR="0076571F" w:rsidRPr="00DB68CC">
        <w:rPr>
          <w:rFonts w:ascii="Arial" w:hAnsi="Arial" w:cs="Arial"/>
          <w:sz w:val="22"/>
          <w:szCs w:val="22"/>
          <w:lang w:val="es-ES_tradnl"/>
        </w:rPr>
        <w:t>ie</w:t>
      </w:r>
      <w:r w:rsidR="00B23EAA" w:rsidRPr="00DB68CC">
        <w:rPr>
          <w:rFonts w:ascii="Arial" w:hAnsi="Arial" w:cs="Arial"/>
          <w:sz w:val="22"/>
          <w:szCs w:val="22"/>
          <w:lang w:val="es-ES_tradnl"/>
        </w:rPr>
        <w:t xml:space="preserve">nto </w:t>
      </w:r>
      <w:r w:rsidR="00D315AC" w:rsidRPr="00DB68CC">
        <w:rPr>
          <w:rFonts w:ascii="Arial" w:hAnsi="Arial" w:cs="Arial"/>
          <w:sz w:val="22"/>
          <w:szCs w:val="22"/>
          <w:lang w:val="es-ES_tradnl"/>
        </w:rPr>
        <w:t xml:space="preserve">por parte de las OSFPS, </w:t>
      </w:r>
      <w:r w:rsidR="00B23EAA" w:rsidRPr="00DB68CC">
        <w:rPr>
          <w:rFonts w:ascii="Arial" w:hAnsi="Arial" w:cs="Arial"/>
          <w:sz w:val="22"/>
          <w:szCs w:val="22"/>
          <w:lang w:val="es-ES_tradnl"/>
        </w:rPr>
        <w:t xml:space="preserve">en </w:t>
      </w:r>
      <w:r w:rsidR="00E0085A" w:rsidRPr="00DB68CC">
        <w:rPr>
          <w:rFonts w:ascii="Arial" w:hAnsi="Arial" w:cs="Arial"/>
          <w:sz w:val="22"/>
          <w:szCs w:val="22"/>
          <w:lang w:val="es-ES_tradnl"/>
        </w:rPr>
        <w:t xml:space="preserve">los </w:t>
      </w:r>
      <w:r w:rsidR="00B23EAA" w:rsidRPr="00DB68CC">
        <w:rPr>
          <w:rFonts w:ascii="Arial" w:hAnsi="Arial" w:cs="Arial"/>
          <w:sz w:val="22"/>
          <w:szCs w:val="22"/>
          <w:lang w:val="es-ES_tradnl"/>
        </w:rPr>
        <w:t>caso</w:t>
      </w:r>
      <w:r w:rsidR="00E0085A" w:rsidRPr="00DB68CC">
        <w:rPr>
          <w:rFonts w:ascii="Arial" w:hAnsi="Arial" w:cs="Arial"/>
          <w:sz w:val="22"/>
          <w:szCs w:val="22"/>
          <w:lang w:val="es-ES_tradnl"/>
        </w:rPr>
        <w:t>s</w:t>
      </w:r>
      <w:r w:rsidR="00B23EAA" w:rsidRPr="00DB68CC">
        <w:rPr>
          <w:rFonts w:ascii="Arial" w:hAnsi="Arial" w:cs="Arial"/>
          <w:sz w:val="22"/>
          <w:szCs w:val="22"/>
          <w:lang w:val="es-ES_tradnl"/>
        </w:rPr>
        <w:t xml:space="preserve"> </w:t>
      </w:r>
      <w:r w:rsidR="00C157FD" w:rsidRPr="00DB68CC">
        <w:rPr>
          <w:rFonts w:ascii="Arial" w:hAnsi="Arial" w:cs="Arial"/>
          <w:sz w:val="22"/>
          <w:szCs w:val="22"/>
          <w:lang w:val="es-ES_tradnl"/>
        </w:rPr>
        <w:t>en que no dispongan de garantías adecuadas suficientes</w:t>
      </w:r>
      <w:r w:rsidR="009E2A6E" w:rsidRPr="00DB68CC">
        <w:rPr>
          <w:rFonts w:ascii="Arial" w:hAnsi="Arial" w:cs="Arial"/>
          <w:sz w:val="22"/>
          <w:szCs w:val="22"/>
          <w:lang w:val="es-ES_tradnl"/>
        </w:rPr>
        <w:t>.</w:t>
      </w:r>
      <w:r w:rsidR="00B23EAA" w:rsidRPr="00DB68CC">
        <w:rPr>
          <w:rFonts w:ascii="Arial" w:hAnsi="Arial" w:cs="Arial"/>
          <w:sz w:val="22"/>
          <w:szCs w:val="22"/>
          <w:lang w:val="es-ES_tradnl"/>
        </w:rPr>
        <w:t xml:space="preserve"> </w:t>
      </w:r>
      <w:r w:rsidR="009E2A6E" w:rsidRPr="00DB68CC">
        <w:rPr>
          <w:rFonts w:ascii="Arial" w:hAnsi="Arial" w:cs="Arial"/>
          <w:sz w:val="22"/>
          <w:szCs w:val="22"/>
          <w:lang w:val="es-ES_tradnl"/>
        </w:rPr>
        <w:t>L</w:t>
      </w:r>
      <w:r w:rsidR="001367C7" w:rsidRPr="00DB68CC">
        <w:rPr>
          <w:rFonts w:ascii="Arial" w:hAnsi="Arial" w:cs="Arial"/>
          <w:sz w:val="22"/>
          <w:szCs w:val="22"/>
          <w:lang w:val="es-ES_tradnl"/>
        </w:rPr>
        <w:t>a</w:t>
      </w:r>
      <w:r w:rsidR="00C5034F" w:rsidRPr="00DB68CC">
        <w:rPr>
          <w:rFonts w:ascii="Arial" w:hAnsi="Arial" w:cs="Arial"/>
          <w:sz w:val="22"/>
          <w:szCs w:val="22"/>
          <w:lang w:val="es-ES_tradnl"/>
        </w:rPr>
        <w:t xml:space="preserve">s </w:t>
      </w:r>
      <w:r w:rsidR="001367C7" w:rsidRPr="00DB68CC">
        <w:rPr>
          <w:rFonts w:ascii="Arial" w:hAnsi="Arial" w:cs="Arial"/>
          <w:sz w:val="22"/>
          <w:szCs w:val="22"/>
          <w:lang w:val="es-ES_tradnl"/>
        </w:rPr>
        <w:t xml:space="preserve">operaciones de garantía </w:t>
      </w:r>
      <w:r w:rsidR="00C5034F" w:rsidRPr="00DB68CC">
        <w:rPr>
          <w:rFonts w:ascii="Arial" w:hAnsi="Arial" w:cs="Arial"/>
          <w:sz w:val="22"/>
          <w:szCs w:val="22"/>
          <w:lang w:val="es-ES_tradnl"/>
        </w:rPr>
        <w:t>colocad</w:t>
      </w:r>
      <w:r w:rsidR="001367C7" w:rsidRPr="00DB68CC">
        <w:rPr>
          <w:rFonts w:ascii="Arial" w:hAnsi="Arial" w:cs="Arial"/>
          <w:sz w:val="22"/>
          <w:szCs w:val="22"/>
          <w:lang w:val="es-ES_tradnl"/>
        </w:rPr>
        <w:t>a</w:t>
      </w:r>
      <w:r w:rsidR="00C5034F" w:rsidRPr="00DB68CC">
        <w:rPr>
          <w:rFonts w:ascii="Arial" w:hAnsi="Arial" w:cs="Arial"/>
          <w:sz w:val="22"/>
          <w:szCs w:val="22"/>
          <w:lang w:val="es-ES_tradnl"/>
        </w:rPr>
        <w:t>s será</w:t>
      </w:r>
      <w:r w:rsidR="001367C7" w:rsidRPr="00DB68CC">
        <w:rPr>
          <w:rFonts w:ascii="Arial" w:hAnsi="Arial" w:cs="Arial"/>
          <w:sz w:val="22"/>
          <w:szCs w:val="22"/>
          <w:lang w:val="es-ES_tradnl"/>
        </w:rPr>
        <w:t>n</w:t>
      </w:r>
      <w:r w:rsidR="00C5034F" w:rsidRPr="00DB68CC">
        <w:rPr>
          <w:rFonts w:ascii="Arial" w:hAnsi="Arial" w:cs="Arial"/>
          <w:sz w:val="22"/>
          <w:szCs w:val="22"/>
          <w:lang w:val="es-ES_tradnl"/>
        </w:rPr>
        <w:t xml:space="preserve"> informada</w:t>
      </w:r>
      <w:r w:rsidR="001367C7" w:rsidRPr="00DB68CC">
        <w:rPr>
          <w:rFonts w:ascii="Arial" w:hAnsi="Arial" w:cs="Arial"/>
          <w:sz w:val="22"/>
          <w:szCs w:val="22"/>
          <w:lang w:val="es-ES_tradnl"/>
        </w:rPr>
        <w:t>s</w:t>
      </w:r>
      <w:r w:rsidR="00C5034F" w:rsidRPr="00DB68CC">
        <w:rPr>
          <w:rFonts w:ascii="Arial" w:hAnsi="Arial" w:cs="Arial"/>
          <w:sz w:val="22"/>
          <w:szCs w:val="22"/>
          <w:lang w:val="es-ES_tradnl"/>
        </w:rPr>
        <w:t xml:space="preserve"> mensualmente al BID.</w:t>
      </w:r>
    </w:p>
    <w:p w14:paraId="5EEFB6E1" w14:textId="77777777" w:rsidR="00F96D3F" w:rsidRPr="00DB68CC" w:rsidRDefault="00F96D3F" w:rsidP="00F96D3F">
      <w:pPr>
        <w:ind w:left="720"/>
        <w:rPr>
          <w:sz w:val="22"/>
          <w:szCs w:val="22"/>
          <w:lang w:val="es-ES_tradnl"/>
        </w:rPr>
      </w:pPr>
    </w:p>
    <w:p w14:paraId="68C3C627" w14:textId="3FE3A38B" w:rsidR="00074201" w:rsidRPr="00DB68CC" w:rsidRDefault="00074201" w:rsidP="00F96D3F">
      <w:pPr>
        <w:ind w:left="720"/>
        <w:rPr>
          <w:rFonts w:ascii="Arial" w:hAnsi="Arial" w:cs="Arial"/>
          <w:sz w:val="22"/>
          <w:szCs w:val="22"/>
          <w:lang w:val="es-ES_tradnl"/>
        </w:rPr>
      </w:pPr>
      <w:r w:rsidRPr="00DB68CC">
        <w:rPr>
          <w:rFonts w:ascii="Arial" w:hAnsi="Arial" w:cs="Arial"/>
          <w:sz w:val="22"/>
          <w:szCs w:val="22"/>
          <w:lang w:val="es-ES_tradnl"/>
        </w:rPr>
        <w:t>En base a la programación presenta</w:t>
      </w:r>
      <w:r w:rsidR="003E3972" w:rsidRPr="00DB68CC">
        <w:rPr>
          <w:rFonts w:ascii="Arial" w:hAnsi="Arial" w:cs="Arial"/>
          <w:sz w:val="22"/>
          <w:szCs w:val="22"/>
          <w:lang w:val="es-ES_tradnl"/>
        </w:rPr>
        <w:t>da</w:t>
      </w:r>
      <w:r w:rsidRPr="00DB68CC">
        <w:rPr>
          <w:rFonts w:ascii="Arial" w:hAnsi="Arial" w:cs="Arial"/>
          <w:sz w:val="22"/>
          <w:szCs w:val="22"/>
          <w:lang w:val="es-ES_tradnl"/>
        </w:rPr>
        <w:t xml:space="preserve">, el BID procederá a realizar el desembolso de recursos que cubran las necesidades de los siguientes 6 meses. </w:t>
      </w:r>
    </w:p>
    <w:p w14:paraId="514F91D0" w14:textId="1270780C" w:rsidR="00FA548F" w:rsidRPr="00DB68CC" w:rsidRDefault="00B34AE8" w:rsidP="0099721A">
      <w:pPr>
        <w:pStyle w:val="Heading1"/>
        <w:numPr>
          <w:ilvl w:val="0"/>
          <w:numId w:val="9"/>
        </w:numPr>
        <w:rPr>
          <w:rFonts w:cs="Arial"/>
          <w:sz w:val="22"/>
          <w:szCs w:val="22"/>
          <w:lang w:val="es-ES_tradnl"/>
        </w:rPr>
      </w:pPr>
      <w:bookmarkStart w:id="13" w:name="_Toc37603064"/>
      <w:r w:rsidRPr="00DB68CC">
        <w:rPr>
          <w:rFonts w:cs="Arial"/>
          <w:sz w:val="22"/>
          <w:szCs w:val="22"/>
          <w:lang w:val="es-ES_tradnl"/>
        </w:rPr>
        <w:t xml:space="preserve">Reglamento de Crédito: </w:t>
      </w:r>
      <w:r w:rsidR="002D1422" w:rsidRPr="00DB68CC">
        <w:rPr>
          <w:rFonts w:cs="Arial"/>
          <w:sz w:val="22"/>
          <w:szCs w:val="22"/>
          <w:lang w:val="es-ES_tradnl"/>
        </w:rPr>
        <w:t xml:space="preserve">Características </w:t>
      </w:r>
      <w:r w:rsidR="000E22F3" w:rsidRPr="00DB68CC">
        <w:rPr>
          <w:rFonts w:cs="Arial"/>
          <w:sz w:val="22"/>
          <w:szCs w:val="22"/>
          <w:lang w:val="es-ES_tradnl"/>
        </w:rPr>
        <w:t xml:space="preserve">Generales de las </w:t>
      </w:r>
      <w:r w:rsidR="00F9794E" w:rsidRPr="00DB68CC">
        <w:rPr>
          <w:rFonts w:cs="Arial"/>
          <w:sz w:val="22"/>
          <w:szCs w:val="22"/>
          <w:lang w:val="es-ES_tradnl"/>
        </w:rPr>
        <w:t>Bancas</w:t>
      </w:r>
      <w:r w:rsidR="000E22F3" w:rsidRPr="00DB68CC">
        <w:rPr>
          <w:rFonts w:cs="Arial"/>
          <w:sz w:val="22"/>
          <w:szCs w:val="22"/>
          <w:lang w:val="es-ES_tradnl"/>
        </w:rPr>
        <w:t xml:space="preserve"> a Ser Fondeadas con Recursos del Programa</w:t>
      </w:r>
      <w:bookmarkEnd w:id="13"/>
    </w:p>
    <w:p w14:paraId="7FBA192E" w14:textId="77777777" w:rsidR="00F96D3F" w:rsidRPr="00DB68CC" w:rsidRDefault="00F96D3F" w:rsidP="00F96D3F">
      <w:pPr>
        <w:rPr>
          <w:sz w:val="22"/>
          <w:szCs w:val="22"/>
          <w:lang w:val="es-ES_tradnl" w:eastAsia="en-US"/>
        </w:rPr>
      </w:pPr>
    </w:p>
    <w:p w14:paraId="7499BAF1" w14:textId="3A27B3EE" w:rsidR="00615C79" w:rsidRPr="00DB68CC" w:rsidRDefault="00615C79"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 xml:space="preserve">Este programa contempla fondeo para </w:t>
      </w:r>
      <w:r w:rsidR="007565AF" w:rsidRPr="00DB68CC">
        <w:rPr>
          <w:rFonts w:ascii="Arial" w:hAnsi="Arial" w:cs="Arial"/>
          <w:sz w:val="22"/>
          <w:szCs w:val="22"/>
          <w:lang w:val="es-ES_tradnl"/>
        </w:rPr>
        <w:t xml:space="preserve">la [Línea de Crédito Especial por el COVID-19] </w:t>
      </w:r>
      <w:r w:rsidR="006545FE" w:rsidRPr="00DB68CC">
        <w:rPr>
          <w:rFonts w:ascii="Arial" w:hAnsi="Arial" w:cs="Arial"/>
          <w:sz w:val="22"/>
          <w:szCs w:val="22"/>
          <w:lang w:val="es-ES_tradnl"/>
        </w:rPr>
        <w:t xml:space="preserve">creada para el </w:t>
      </w:r>
      <w:r w:rsidR="009E6B48" w:rsidRPr="00DB68CC">
        <w:rPr>
          <w:rFonts w:ascii="Arial" w:hAnsi="Arial" w:cs="Arial"/>
          <w:sz w:val="22"/>
          <w:szCs w:val="22"/>
          <w:lang w:val="es-ES_tradnl"/>
        </w:rPr>
        <w:t>OE</w:t>
      </w:r>
      <w:r w:rsidR="00F9794E" w:rsidRPr="00DB68CC">
        <w:rPr>
          <w:rFonts w:ascii="Arial" w:hAnsi="Arial" w:cs="Arial"/>
          <w:sz w:val="22"/>
          <w:szCs w:val="22"/>
          <w:lang w:val="es-ES_tradnl"/>
        </w:rPr>
        <w:t xml:space="preserve"> </w:t>
      </w:r>
      <w:r w:rsidR="00E81CDD" w:rsidRPr="00DB68CC">
        <w:rPr>
          <w:rFonts w:ascii="Arial" w:hAnsi="Arial" w:cs="Arial"/>
          <w:sz w:val="22"/>
          <w:szCs w:val="22"/>
          <w:lang w:val="es-ES_tradnl"/>
        </w:rPr>
        <w:t>de acuerdo con</w:t>
      </w:r>
      <w:r w:rsidR="00F9794E" w:rsidRPr="00DB68CC">
        <w:rPr>
          <w:rFonts w:ascii="Arial" w:hAnsi="Arial" w:cs="Arial"/>
          <w:sz w:val="22"/>
          <w:szCs w:val="22"/>
          <w:lang w:val="es-ES_tradnl"/>
        </w:rPr>
        <w:t xml:space="preserve"> sus definiciones internas establecidas en la </w:t>
      </w:r>
      <w:r w:rsidR="00DC0D82" w:rsidRPr="00DB68CC">
        <w:rPr>
          <w:rFonts w:ascii="Arial" w:hAnsi="Arial" w:cs="Arial"/>
          <w:sz w:val="22"/>
          <w:szCs w:val="22"/>
          <w:lang w:val="es-ES_tradnl"/>
        </w:rPr>
        <w:t>p</w:t>
      </w:r>
      <w:r w:rsidR="00F9794E" w:rsidRPr="00DB68CC">
        <w:rPr>
          <w:rFonts w:ascii="Arial" w:hAnsi="Arial" w:cs="Arial"/>
          <w:sz w:val="22"/>
          <w:szCs w:val="22"/>
          <w:lang w:val="es-ES_tradnl"/>
        </w:rPr>
        <w:t xml:space="preserve">olítica de </w:t>
      </w:r>
      <w:r w:rsidR="00DC0D82" w:rsidRPr="00DB68CC">
        <w:rPr>
          <w:rFonts w:ascii="Arial" w:hAnsi="Arial" w:cs="Arial"/>
          <w:sz w:val="22"/>
          <w:szCs w:val="22"/>
          <w:lang w:val="es-ES_tradnl"/>
        </w:rPr>
        <w:t>c</w:t>
      </w:r>
      <w:r w:rsidR="00F9794E" w:rsidRPr="00DB68CC">
        <w:rPr>
          <w:rFonts w:ascii="Arial" w:hAnsi="Arial" w:cs="Arial"/>
          <w:sz w:val="22"/>
          <w:szCs w:val="22"/>
          <w:lang w:val="es-ES_tradnl"/>
        </w:rPr>
        <w:t>réditos de la entidad</w:t>
      </w:r>
      <w:r w:rsidR="00F61944" w:rsidRPr="00DB68CC">
        <w:rPr>
          <w:rFonts w:ascii="Arial" w:hAnsi="Arial" w:cs="Arial"/>
          <w:sz w:val="22"/>
          <w:szCs w:val="22"/>
          <w:lang w:val="es-ES_tradnl"/>
        </w:rPr>
        <w:t>.</w:t>
      </w:r>
    </w:p>
    <w:p w14:paraId="202E866F" w14:textId="77777777" w:rsidR="00F96D3F" w:rsidRPr="00DB68CC" w:rsidRDefault="00F96D3F" w:rsidP="00F96D3F">
      <w:pPr>
        <w:pStyle w:val="ListParagraph"/>
        <w:ind w:left="792"/>
        <w:jc w:val="both"/>
        <w:rPr>
          <w:rFonts w:ascii="Arial" w:hAnsi="Arial" w:cs="Arial"/>
          <w:b/>
          <w:bCs/>
          <w:sz w:val="22"/>
          <w:szCs w:val="22"/>
          <w:lang w:val="es-ES_tradnl"/>
        </w:rPr>
      </w:pPr>
    </w:p>
    <w:p w14:paraId="48A59C59" w14:textId="7FC8A91A" w:rsidR="00615C79" w:rsidRPr="00DB68CC" w:rsidRDefault="00615C79"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En general,</w:t>
      </w:r>
      <w:r w:rsidR="00124928" w:rsidRPr="00DB68CC">
        <w:rPr>
          <w:rFonts w:ascii="Arial" w:hAnsi="Arial" w:cs="Arial"/>
          <w:sz w:val="22"/>
          <w:szCs w:val="22"/>
          <w:lang w:val="es-ES_tradnl"/>
        </w:rPr>
        <w:t xml:space="preserve"> </w:t>
      </w:r>
      <w:r w:rsidR="00F9794E" w:rsidRPr="00DB68CC">
        <w:rPr>
          <w:rFonts w:ascii="Arial" w:hAnsi="Arial" w:cs="Arial"/>
          <w:sz w:val="22"/>
          <w:szCs w:val="22"/>
          <w:lang w:val="es-ES_tradnl"/>
        </w:rPr>
        <w:t>el fondeo t</w:t>
      </w:r>
      <w:r w:rsidRPr="00DB68CC">
        <w:rPr>
          <w:rFonts w:ascii="Arial" w:hAnsi="Arial" w:cs="Arial"/>
          <w:sz w:val="22"/>
          <w:szCs w:val="22"/>
          <w:lang w:val="es-ES_tradnl"/>
        </w:rPr>
        <w:t>endrá los siguientes parámetros:</w:t>
      </w:r>
    </w:p>
    <w:p w14:paraId="0FD3A090" w14:textId="77777777" w:rsidR="00F96D3F" w:rsidRPr="00DB68CC" w:rsidRDefault="00F96D3F" w:rsidP="00F96D3F">
      <w:pPr>
        <w:pStyle w:val="ListParagraph"/>
        <w:rPr>
          <w:rFonts w:ascii="Arial" w:hAnsi="Arial" w:cs="Arial"/>
          <w:sz w:val="22"/>
          <w:szCs w:val="22"/>
          <w:lang w:val="es-ES_tradnl"/>
        </w:rPr>
      </w:pPr>
    </w:p>
    <w:p w14:paraId="1FC03ABF" w14:textId="0106F646" w:rsidR="00C94AB7" w:rsidRPr="00DB68CC" w:rsidRDefault="000E22F3" w:rsidP="0099721A">
      <w:pPr>
        <w:pStyle w:val="ListParagraph"/>
        <w:numPr>
          <w:ilvl w:val="0"/>
          <w:numId w:val="13"/>
        </w:numPr>
        <w:jc w:val="both"/>
        <w:rPr>
          <w:rFonts w:ascii="Arial" w:hAnsi="Arial" w:cs="Arial"/>
          <w:b/>
          <w:bCs/>
          <w:sz w:val="22"/>
          <w:szCs w:val="22"/>
          <w:lang w:val="es-ES_tradnl"/>
        </w:rPr>
      </w:pPr>
      <w:r w:rsidRPr="00DB68CC">
        <w:rPr>
          <w:rFonts w:ascii="Arial" w:hAnsi="Arial" w:cs="Arial"/>
          <w:b/>
          <w:bCs/>
          <w:sz w:val="22"/>
          <w:szCs w:val="22"/>
          <w:lang w:val="es-ES_tradnl"/>
        </w:rPr>
        <w:t>Beneficiarios</w:t>
      </w:r>
      <w:r w:rsidR="00F437B5" w:rsidRPr="00DB68CC">
        <w:rPr>
          <w:rFonts w:ascii="Arial" w:hAnsi="Arial" w:cs="Arial"/>
          <w:b/>
          <w:bCs/>
          <w:sz w:val="22"/>
          <w:szCs w:val="22"/>
          <w:lang w:val="es-ES_tradnl"/>
        </w:rPr>
        <w:t xml:space="preserve"> elegibles</w:t>
      </w:r>
      <w:r w:rsidRPr="00DB68CC">
        <w:rPr>
          <w:rFonts w:ascii="Arial" w:hAnsi="Arial" w:cs="Arial"/>
          <w:b/>
          <w:bCs/>
          <w:sz w:val="22"/>
          <w:szCs w:val="22"/>
          <w:lang w:val="es-ES_tradnl"/>
        </w:rPr>
        <w:t xml:space="preserve">: </w:t>
      </w:r>
      <w:r w:rsidR="00C57E98" w:rsidRPr="00DB68CC">
        <w:rPr>
          <w:rFonts w:ascii="Arial" w:hAnsi="Arial" w:cs="Arial"/>
          <w:b/>
          <w:bCs/>
          <w:sz w:val="22"/>
          <w:szCs w:val="22"/>
          <w:lang w:val="es-ES_tradnl"/>
        </w:rPr>
        <w:t>S</w:t>
      </w:r>
      <w:r w:rsidR="00C57E98" w:rsidRPr="00DB68CC">
        <w:rPr>
          <w:rFonts w:ascii="Arial" w:hAnsi="Arial" w:cs="Arial"/>
          <w:sz w:val="22"/>
          <w:szCs w:val="22"/>
          <w:lang w:val="es-ES_tradnl"/>
        </w:rPr>
        <w:t xml:space="preserve">erán beneficiarios elegibles del programa </w:t>
      </w:r>
      <w:r w:rsidR="00560D61" w:rsidRPr="00DB68CC">
        <w:rPr>
          <w:rFonts w:ascii="Arial" w:hAnsi="Arial" w:cs="Arial"/>
          <w:sz w:val="22"/>
          <w:szCs w:val="22"/>
          <w:lang w:val="es-ES_tradnl"/>
        </w:rPr>
        <w:t xml:space="preserve">las </w:t>
      </w:r>
      <w:r w:rsidR="00C57E98" w:rsidRPr="00DB68CC">
        <w:rPr>
          <w:rFonts w:ascii="Arial" w:hAnsi="Arial" w:cs="Arial"/>
          <w:sz w:val="22"/>
          <w:szCs w:val="22"/>
          <w:lang w:val="es-ES_tradnl"/>
        </w:rPr>
        <w:t>personas naturales y jurídicas consideradas como Micro</w:t>
      </w:r>
      <w:r w:rsidR="003E3972" w:rsidRPr="00DB68CC">
        <w:rPr>
          <w:rFonts w:ascii="Arial" w:hAnsi="Arial" w:cs="Arial"/>
          <w:sz w:val="22"/>
          <w:szCs w:val="22"/>
          <w:lang w:val="es-ES_tradnl"/>
        </w:rPr>
        <w:t xml:space="preserve"> y</w:t>
      </w:r>
      <w:r w:rsidR="00C57E98" w:rsidRPr="00DB68CC">
        <w:rPr>
          <w:rFonts w:ascii="Arial" w:hAnsi="Arial" w:cs="Arial"/>
          <w:sz w:val="22"/>
          <w:szCs w:val="22"/>
          <w:lang w:val="es-ES_tradnl"/>
        </w:rPr>
        <w:t xml:space="preserve"> Pequeñas</w:t>
      </w:r>
      <w:r w:rsidR="004A2350" w:rsidRPr="00DB68CC">
        <w:rPr>
          <w:rFonts w:ascii="Arial" w:hAnsi="Arial" w:cs="Arial"/>
          <w:sz w:val="22"/>
          <w:szCs w:val="22"/>
          <w:lang w:val="es-ES_tradnl"/>
        </w:rPr>
        <w:t xml:space="preserve"> </w:t>
      </w:r>
      <w:r w:rsidR="00C57E98" w:rsidRPr="00DB68CC">
        <w:rPr>
          <w:rFonts w:ascii="Arial" w:hAnsi="Arial" w:cs="Arial"/>
          <w:sz w:val="22"/>
          <w:szCs w:val="22"/>
          <w:lang w:val="es-ES_tradnl"/>
        </w:rPr>
        <w:t xml:space="preserve">Empresas </w:t>
      </w:r>
      <w:r w:rsidR="004A2350" w:rsidRPr="00DB68CC">
        <w:rPr>
          <w:rFonts w:ascii="Arial" w:hAnsi="Arial" w:cs="Arial"/>
          <w:sz w:val="22"/>
          <w:szCs w:val="22"/>
          <w:lang w:val="es-ES_tradnl"/>
        </w:rPr>
        <w:t>que razonablemente puedan ser consideradas</w:t>
      </w:r>
      <w:r w:rsidR="00A436AF" w:rsidRPr="00DB68CC">
        <w:rPr>
          <w:rFonts w:ascii="Arial" w:hAnsi="Arial" w:cs="Arial"/>
          <w:sz w:val="22"/>
          <w:szCs w:val="22"/>
          <w:lang w:val="es-ES_tradnl"/>
        </w:rPr>
        <w:t xml:space="preserve"> </w:t>
      </w:r>
      <w:r w:rsidR="00DA781E" w:rsidRPr="00DB68CC">
        <w:rPr>
          <w:rFonts w:ascii="Arial" w:hAnsi="Arial" w:cs="Arial"/>
          <w:sz w:val="22"/>
          <w:szCs w:val="22"/>
          <w:lang w:val="es-ES_tradnl"/>
        </w:rPr>
        <w:t xml:space="preserve">como </w:t>
      </w:r>
      <w:r w:rsidR="00C57E98" w:rsidRPr="00DB68CC">
        <w:rPr>
          <w:rFonts w:ascii="Arial" w:hAnsi="Arial" w:cs="Arial"/>
          <w:sz w:val="22"/>
          <w:szCs w:val="22"/>
          <w:lang w:val="es-ES_tradnl"/>
        </w:rPr>
        <w:t>sujet</w:t>
      </w:r>
      <w:r w:rsidR="00DA781E" w:rsidRPr="00DB68CC">
        <w:rPr>
          <w:rFonts w:ascii="Arial" w:hAnsi="Arial" w:cs="Arial"/>
          <w:sz w:val="22"/>
          <w:szCs w:val="22"/>
          <w:lang w:val="es-ES_tradnl"/>
        </w:rPr>
        <w:t>o</w:t>
      </w:r>
      <w:r w:rsidR="00C57E98" w:rsidRPr="00DB68CC">
        <w:rPr>
          <w:rFonts w:ascii="Arial" w:hAnsi="Arial" w:cs="Arial"/>
          <w:sz w:val="22"/>
          <w:szCs w:val="22"/>
          <w:lang w:val="es-ES_tradnl"/>
        </w:rPr>
        <w:t>s de crédito</w:t>
      </w:r>
      <w:r w:rsidR="004A2350" w:rsidRPr="00DB68CC">
        <w:rPr>
          <w:rFonts w:ascii="Arial" w:hAnsi="Arial" w:cs="Arial"/>
          <w:sz w:val="22"/>
          <w:szCs w:val="22"/>
          <w:lang w:val="es-ES_tradnl"/>
        </w:rPr>
        <w:t xml:space="preserve"> </w:t>
      </w:r>
      <w:r w:rsidR="00DA781E" w:rsidRPr="00DB68CC">
        <w:rPr>
          <w:rFonts w:ascii="Arial" w:hAnsi="Arial" w:cs="Arial"/>
          <w:sz w:val="22"/>
          <w:szCs w:val="22"/>
          <w:lang w:val="es-ES_tradnl"/>
        </w:rPr>
        <w:t>por parte de las OSFPS</w:t>
      </w:r>
      <w:r w:rsidR="5AB76196" w:rsidRPr="00DB68CC">
        <w:rPr>
          <w:rFonts w:ascii="Arial" w:hAnsi="Arial" w:cs="Arial"/>
          <w:sz w:val="22"/>
          <w:szCs w:val="22"/>
          <w:lang w:val="es-ES_tradnl"/>
        </w:rPr>
        <w:t xml:space="preserve"> hasta </w:t>
      </w:r>
      <w:r w:rsidR="00DB68CC" w:rsidRPr="00DB68CC">
        <w:rPr>
          <w:rFonts w:ascii="Arial" w:hAnsi="Arial" w:cs="Arial"/>
          <w:sz w:val="22"/>
          <w:szCs w:val="22"/>
          <w:lang w:val="es-ES_tradnl"/>
        </w:rPr>
        <w:t xml:space="preserve">11 de </w:t>
      </w:r>
      <w:r w:rsidR="5AB76196" w:rsidRPr="00DB68CC">
        <w:rPr>
          <w:rFonts w:ascii="Arial" w:hAnsi="Arial" w:cs="Arial"/>
          <w:sz w:val="22"/>
          <w:szCs w:val="22"/>
          <w:lang w:val="es-ES_tradnl"/>
        </w:rPr>
        <w:t>marzo de 2020</w:t>
      </w:r>
      <w:r w:rsidR="0000753D" w:rsidRPr="00DB68CC">
        <w:rPr>
          <w:rFonts w:ascii="Arial" w:hAnsi="Arial" w:cs="Arial"/>
          <w:sz w:val="22"/>
          <w:szCs w:val="22"/>
          <w:lang w:val="es-ES_tradnl"/>
        </w:rPr>
        <w:t xml:space="preserve"> o la fecha que se determine como previa a la pandemia</w:t>
      </w:r>
      <w:r w:rsidR="004A2350" w:rsidRPr="00DB68CC">
        <w:rPr>
          <w:rFonts w:ascii="Arial" w:hAnsi="Arial" w:cs="Arial"/>
          <w:sz w:val="22"/>
          <w:szCs w:val="22"/>
          <w:lang w:val="es-ES_tradnl"/>
        </w:rPr>
        <w:t xml:space="preserve">. Se podrán financiar </w:t>
      </w:r>
      <w:r w:rsidR="004F6FF3" w:rsidRPr="00DB68CC">
        <w:rPr>
          <w:rFonts w:ascii="Arial" w:hAnsi="Arial" w:cs="Arial"/>
          <w:sz w:val="22"/>
          <w:szCs w:val="22"/>
          <w:lang w:val="es-ES_tradnl"/>
        </w:rPr>
        <w:t>actividades productivas</w:t>
      </w:r>
      <w:r w:rsidR="00C57E98" w:rsidRPr="00DB68CC">
        <w:rPr>
          <w:rFonts w:ascii="Arial" w:hAnsi="Arial" w:cs="Arial"/>
          <w:sz w:val="22"/>
          <w:szCs w:val="22"/>
          <w:lang w:val="es-ES_tradnl"/>
        </w:rPr>
        <w:t>, y su</w:t>
      </w:r>
      <w:r w:rsidR="004A2350" w:rsidRPr="00DB68CC">
        <w:rPr>
          <w:rFonts w:ascii="Arial" w:hAnsi="Arial" w:cs="Arial"/>
          <w:sz w:val="22"/>
          <w:szCs w:val="22"/>
          <w:lang w:val="es-ES_tradnl"/>
        </w:rPr>
        <w:t>s</w:t>
      </w:r>
      <w:r w:rsidR="00C57E98" w:rsidRPr="00DB68CC">
        <w:rPr>
          <w:rFonts w:ascii="Arial" w:hAnsi="Arial" w:cs="Arial"/>
          <w:sz w:val="22"/>
          <w:szCs w:val="22"/>
          <w:lang w:val="es-ES_tradnl"/>
        </w:rPr>
        <w:t xml:space="preserve"> cadena</w:t>
      </w:r>
      <w:r w:rsidR="004A2350" w:rsidRPr="00DB68CC">
        <w:rPr>
          <w:rFonts w:ascii="Arial" w:hAnsi="Arial" w:cs="Arial"/>
          <w:sz w:val="22"/>
          <w:szCs w:val="22"/>
          <w:lang w:val="es-ES_tradnl"/>
        </w:rPr>
        <w:t>s</w:t>
      </w:r>
      <w:r w:rsidR="00C57E98" w:rsidRPr="00DB68CC">
        <w:rPr>
          <w:rFonts w:ascii="Arial" w:hAnsi="Arial" w:cs="Arial"/>
          <w:sz w:val="22"/>
          <w:szCs w:val="22"/>
          <w:lang w:val="es-ES_tradnl"/>
        </w:rPr>
        <w:t xml:space="preserve"> de valor</w:t>
      </w:r>
      <w:r w:rsidR="009F5B10" w:rsidRPr="00DB68CC">
        <w:rPr>
          <w:rFonts w:ascii="Arial" w:hAnsi="Arial" w:cs="Arial"/>
          <w:sz w:val="22"/>
          <w:szCs w:val="22"/>
          <w:lang w:val="es-ES_tradnl"/>
        </w:rPr>
        <w:t xml:space="preserve"> en el marco de la </w:t>
      </w:r>
      <w:r w:rsidR="00297B39" w:rsidRPr="00DB68CC">
        <w:rPr>
          <w:rFonts w:ascii="Arial" w:hAnsi="Arial" w:cs="Arial"/>
          <w:sz w:val="22"/>
          <w:szCs w:val="22"/>
          <w:lang w:val="es-ES_tradnl"/>
        </w:rPr>
        <w:t>emergencia económica provocada por el COVID-19</w:t>
      </w:r>
      <w:r w:rsidR="00560D61" w:rsidRPr="00DB68CC">
        <w:rPr>
          <w:rFonts w:ascii="Arial" w:hAnsi="Arial" w:cs="Arial"/>
          <w:sz w:val="22"/>
          <w:szCs w:val="22"/>
          <w:lang w:val="es-ES_tradnl"/>
        </w:rPr>
        <w:t>.</w:t>
      </w:r>
      <w:r w:rsidR="0059100C" w:rsidRPr="00DB68CC">
        <w:rPr>
          <w:rFonts w:ascii="Arial" w:hAnsi="Arial" w:cs="Arial"/>
          <w:sz w:val="22"/>
          <w:szCs w:val="22"/>
          <w:lang w:val="es-ES_tradnl"/>
        </w:rPr>
        <w:t xml:space="preserve"> En particular se dará prioridad a los sectores económicos y cadenas de valor que incluyan </w:t>
      </w:r>
      <w:r w:rsidR="003E3972" w:rsidRPr="00DB68CC">
        <w:rPr>
          <w:rFonts w:ascii="Arial" w:hAnsi="Arial" w:cs="Arial"/>
          <w:sz w:val="22"/>
          <w:szCs w:val="22"/>
          <w:lang w:val="es-ES_tradnl"/>
        </w:rPr>
        <w:t xml:space="preserve">MIPES </w:t>
      </w:r>
      <w:r w:rsidR="0059100C" w:rsidRPr="00DB68CC">
        <w:rPr>
          <w:rFonts w:ascii="Arial" w:hAnsi="Arial" w:cs="Arial"/>
          <w:sz w:val="22"/>
          <w:szCs w:val="22"/>
          <w:lang w:val="es-ES_tradnl"/>
        </w:rPr>
        <w:t xml:space="preserve">con altos niveles de afectación económica por la pandemia global COVID-19. </w:t>
      </w:r>
      <w:r w:rsidR="00C57E98" w:rsidRPr="00DB68CC">
        <w:rPr>
          <w:rFonts w:ascii="Arial" w:hAnsi="Arial" w:cs="Arial"/>
          <w:sz w:val="22"/>
          <w:szCs w:val="22"/>
          <w:lang w:val="es-ES_tradnl"/>
        </w:rPr>
        <w:t xml:space="preserve"> El </w:t>
      </w:r>
      <w:r w:rsidR="000C3BD7">
        <w:rPr>
          <w:rFonts w:ascii="Arial" w:hAnsi="Arial" w:cs="Arial"/>
          <w:sz w:val="22"/>
          <w:szCs w:val="22"/>
          <w:lang w:val="es-ES_tradnl"/>
        </w:rPr>
        <w:t>p</w:t>
      </w:r>
      <w:r w:rsidR="00C57E98" w:rsidRPr="00DB68CC">
        <w:rPr>
          <w:rFonts w:ascii="Arial" w:hAnsi="Arial" w:cs="Arial"/>
          <w:sz w:val="22"/>
          <w:szCs w:val="22"/>
          <w:lang w:val="es-ES_tradnl"/>
        </w:rPr>
        <w:t xml:space="preserve">rograma proporcionará crédito de </w:t>
      </w:r>
      <w:r w:rsidR="004F6FF3" w:rsidRPr="00DB68CC">
        <w:rPr>
          <w:rFonts w:ascii="Arial" w:hAnsi="Arial" w:cs="Arial"/>
          <w:sz w:val="22"/>
          <w:szCs w:val="22"/>
          <w:lang w:val="es-ES_tradnl"/>
        </w:rPr>
        <w:t>corto</w:t>
      </w:r>
      <w:r w:rsidR="004527FA" w:rsidRPr="00DB68CC">
        <w:rPr>
          <w:rFonts w:ascii="Arial" w:hAnsi="Arial" w:cs="Arial"/>
          <w:sz w:val="22"/>
          <w:szCs w:val="22"/>
          <w:lang w:val="es-ES_tradnl"/>
        </w:rPr>
        <w:t>, mediano y</w:t>
      </w:r>
      <w:r w:rsidR="004A2350" w:rsidRPr="00DB68CC">
        <w:rPr>
          <w:rFonts w:ascii="Arial" w:hAnsi="Arial" w:cs="Arial"/>
          <w:sz w:val="22"/>
          <w:szCs w:val="22"/>
          <w:lang w:val="es-ES_tradnl"/>
        </w:rPr>
        <w:t xml:space="preserve"> </w:t>
      </w:r>
      <w:r w:rsidR="004F6FF3" w:rsidRPr="00DB68CC">
        <w:rPr>
          <w:rFonts w:ascii="Arial" w:hAnsi="Arial" w:cs="Arial"/>
          <w:sz w:val="22"/>
          <w:szCs w:val="22"/>
          <w:lang w:val="es-ES_tradnl"/>
        </w:rPr>
        <w:t>largo</w:t>
      </w:r>
      <w:r w:rsidR="00C57E98" w:rsidRPr="00DB68CC">
        <w:rPr>
          <w:rFonts w:ascii="Arial" w:hAnsi="Arial" w:cs="Arial"/>
          <w:sz w:val="22"/>
          <w:szCs w:val="22"/>
          <w:lang w:val="es-ES_tradnl"/>
        </w:rPr>
        <w:t xml:space="preserve"> plazo </w:t>
      </w:r>
      <w:r w:rsidR="004A2350" w:rsidRPr="00DB68CC">
        <w:rPr>
          <w:rFonts w:ascii="Arial" w:hAnsi="Arial" w:cs="Arial"/>
          <w:sz w:val="22"/>
          <w:szCs w:val="22"/>
          <w:lang w:val="es-ES_tradnl"/>
        </w:rPr>
        <w:t>(</w:t>
      </w:r>
      <w:r w:rsidR="004F6FF3" w:rsidRPr="00DB68CC">
        <w:rPr>
          <w:rFonts w:ascii="Arial" w:hAnsi="Arial" w:cs="Arial"/>
          <w:sz w:val="22"/>
          <w:szCs w:val="22"/>
          <w:lang w:val="es-ES_tradnl"/>
        </w:rPr>
        <w:t xml:space="preserve">hasta </w:t>
      </w:r>
      <w:r w:rsidR="004A2350" w:rsidRPr="00DB68CC">
        <w:rPr>
          <w:rFonts w:ascii="Arial" w:hAnsi="Arial" w:cs="Arial"/>
          <w:sz w:val="22"/>
          <w:szCs w:val="22"/>
          <w:lang w:val="es-ES_tradnl"/>
        </w:rPr>
        <w:t xml:space="preserve">XX meses) </w:t>
      </w:r>
      <w:r w:rsidR="00C57E98" w:rsidRPr="00DB68CC">
        <w:rPr>
          <w:rFonts w:ascii="Arial" w:hAnsi="Arial" w:cs="Arial"/>
          <w:sz w:val="22"/>
          <w:szCs w:val="22"/>
          <w:lang w:val="es-ES_tradnl"/>
        </w:rPr>
        <w:t xml:space="preserve">a través de </w:t>
      </w:r>
      <w:r w:rsidR="004D420A" w:rsidRPr="00DB68CC">
        <w:rPr>
          <w:rFonts w:ascii="Arial" w:hAnsi="Arial" w:cs="Arial"/>
          <w:sz w:val="22"/>
          <w:szCs w:val="22"/>
          <w:lang w:val="es-ES_tradnl"/>
        </w:rPr>
        <w:t>subpréstamos</w:t>
      </w:r>
      <w:r w:rsidR="00C57E98" w:rsidRPr="00DB68CC">
        <w:rPr>
          <w:rFonts w:ascii="Arial" w:hAnsi="Arial" w:cs="Arial"/>
          <w:sz w:val="22"/>
          <w:szCs w:val="22"/>
          <w:lang w:val="es-ES_tradnl"/>
        </w:rPr>
        <w:t xml:space="preserve"> individuales para el financiamiento de créditos productivos con montos máximos de hasta US$</w:t>
      </w:r>
      <w:r w:rsidR="009F4A97">
        <w:rPr>
          <w:rFonts w:ascii="Arial" w:hAnsi="Arial" w:cs="Arial"/>
          <w:sz w:val="22"/>
          <w:szCs w:val="22"/>
          <w:lang w:val="es-ES_tradnl"/>
        </w:rPr>
        <w:t>5</w:t>
      </w:r>
      <w:r w:rsidR="004F6FF3" w:rsidRPr="00DB68CC">
        <w:rPr>
          <w:rFonts w:ascii="Arial" w:hAnsi="Arial" w:cs="Arial"/>
          <w:sz w:val="22"/>
          <w:szCs w:val="22"/>
          <w:lang w:val="es-ES_tradnl"/>
        </w:rPr>
        <w:t>0.000 por beneficiario</w:t>
      </w:r>
      <w:r w:rsidR="00560D61" w:rsidRPr="00DB68CC">
        <w:rPr>
          <w:rFonts w:ascii="Arial" w:hAnsi="Arial" w:cs="Arial"/>
          <w:sz w:val="22"/>
          <w:szCs w:val="22"/>
          <w:lang w:val="es-ES_tradnl"/>
        </w:rPr>
        <w:t>, quienes deberán tener la condición de “socios</w:t>
      </w:r>
      <w:r w:rsidR="00704437" w:rsidRPr="00DB68CC">
        <w:rPr>
          <w:rFonts w:ascii="Arial" w:hAnsi="Arial" w:cs="Arial"/>
          <w:sz w:val="22"/>
          <w:szCs w:val="22"/>
          <w:lang w:val="es-ES_tradnl"/>
        </w:rPr>
        <w:t>” de la respectiva OSFPS</w:t>
      </w:r>
      <w:r w:rsidR="00C57E98" w:rsidRPr="00DB68CC">
        <w:rPr>
          <w:rFonts w:ascii="Arial" w:hAnsi="Arial" w:cs="Arial"/>
          <w:sz w:val="22"/>
          <w:szCs w:val="22"/>
          <w:lang w:val="es-ES_tradnl"/>
        </w:rPr>
        <w:t xml:space="preserve">. En todo caso, los </w:t>
      </w:r>
      <w:r w:rsidR="004D420A" w:rsidRPr="00DB68CC">
        <w:rPr>
          <w:rFonts w:ascii="Arial" w:hAnsi="Arial" w:cs="Arial"/>
          <w:sz w:val="22"/>
          <w:szCs w:val="22"/>
          <w:lang w:val="es-ES_tradnl"/>
        </w:rPr>
        <w:t>subpréstamos</w:t>
      </w:r>
      <w:r w:rsidR="00C57E98" w:rsidRPr="00DB68CC">
        <w:rPr>
          <w:rFonts w:ascii="Arial" w:hAnsi="Arial" w:cs="Arial"/>
          <w:sz w:val="22"/>
          <w:szCs w:val="22"/>
          <w:lang w:val="es-ES_tradnl"/>
        </w:rPr>
        <w:t xml:space="preserve"> serán consistentes con el objetivo del </w:t>
      </w:r>
      <w:r w:rsidR="00E90C05">
        <w:rPr>
          <w:rFonts w:ascii="Arial" w:hAnsi="Arial" w:cs="Arial"/>
          <w:sz w:val="22"/>
          <w:szCs w:val="22"/>
          <w:lang w:val="es-ES_tradnl"/>
        </w:rPr>
        <w:t>p</w:t>
      </w:r>
      <w:r w:rsidR="00C57E98" w:rsidRPr="00DB68CC">
        <w:rPr>
          <w:rFonts w:ascii="Arial" w:hAnsi="Arial" w:cs="Arial"/>
          <w:sz w:val="22"/>
          <w:szCs w:val="22"/>
          <w:lang w:val="es-ES_tradnl"/>
        </w:rPr>
        <w:t>rogram</w:t>
      </w:r>
      <w:r w:rsidR="003A7BB7" w:rsidRPr="00DB68CC">
        <w:rPr>
          <w:rFonts w:ascii="Arial" w:hAnsi="Arial" w:cs="Arial"/>
          <w:sz w:val="22"/>
          <w:szCs w:val="22"/>
          <w:lang w:val="es-ES_tradnl"/>
        </w:rPr>
        <w:t>a</w:t>
      </w:r>
      <w:r w:rsidR="00C94AB7" w:rsidRPr="00DB68CC">
        <w:rPr>
          <w:rFonts w:ascii="Arial" w:hAnsi="Arial" w:cs="Arial"/>
          <w:sz w:val="22"/>
          <w:szCs w:val="22"/>
          <w:lang w:val="es-ES_tradnl"/>
        </w:rPr>
        <w:t xml:space="preserve"> estipulado contractualmente</w:t>
      </w:r>
      <w:r w:rsidR="00411E0F" w:rsidRPr="00DB68CC">
        <w:rPr>
          <w:rFonts w:ascii="Arial" w:hAnsi="Arial" w:cs="Arial"/>
          <w:sz w:val="22"/>
          <w:szCs w:val="22"/>
          <w:lang w:val="es-ES_tradnl"/>
        </w:rPr>
        <w:t>. Los mismos criterios de elegibilidad se aplicarán a las solicitudes de garantía que se presente para consideración del FOGEPS.</w:t>
      </w:r>
      <w:r w:rsidR="003E3972" w:rsidRPr="00DB68CC">
        <w:rPr>
          <w:rFonts w:ascii="Arial" w:hAnsi="Arial" w:cs="Arial"/>
          <w:sz w:val="22"/>
          <w:szCs w:val="22"/>
          <w:lang w:val="es-ES_tradnl"/>
        </w:rPr>
        <w:t xml:space="preserve"> Las empresas que obtengan un crédito de más de </w:t>
      </w:r>
      <w:r w:rsidR="00DB68CC" w:rsidRPr="00DB68CC">
        <w:rPr>
          <w:rFonts w:ascii="Arial" w:hAnsi="Arial" w:cs="Arial"/>
          <w:sz w:val="22"/>
          <w:szCs w:val="22"/>
          <w:lang w:val="es-ES_tradnl"/>
        </w:rPr>
        <w:t>US$</w:t>
      </w:r>
      <w:r w:rsidR="003E3972" w:rsidRPr="00DB68CC">
        <w:rPr>
          <w:rFonts w:ascii="Arial" w:hAnsi="Arial" w:cs="Arial"/>
          <w:sz w:val="22"/>
          <w:szCs w:val="22"/>
          <w:lang w:val="es-ES_tradnl"/>
        </w:rPr>
        <w:t>10</w:t>
      </w:r>
      <w:r w:rsidR="00DB68CC" w:rsidRPr="00DB68CC">
        <w:rPr>
          <w:rFonts w:ascii="Arial" w:hAnsi="Arial" w:cs="Arial"/>
          <w:sz w:val="22"/>
          <w:szCs w:val="22"/>
          <w:lang w:val="es-ES_tradnl"/>
        </w:rPr>
        <w:t>.</w:t>
      </w:r>
      <w:r w:rsidR="003E3972" w:rsidRPr="00DB68CC">
        <w:rPr>
          <w:rFonts w:ascii="Arial" w:hAnsi="Arial" w:cs="Arial"/>
          <w:sz w:val="22"/>
          <w:szCs w:val="22"/>
          <w:lang w:val="es-ES_tradnl"/>
        </w:rPr>
        <w:t xml:space="preserve">000, deberán asimismo presentar el Registro Único de Contribuyentes o inscripción en el RISE, o cualquier otra documentación que muestre su cumplimiento con las normas fiscales del país. </w:t>
      </w:r>
    </w:p>
    <w:p w14:paraId="653238AF" w14:textId="77777777" w:rsidR="005E63B0" w:rsidRPr="00DB68CC" w:rsidRDefault="005E63B0" w:rsidP="005E63B0">
      <w:pPr>
        <w:pStyle w:val="ListParagraph"/>
        <w:ind w:left="1152"/>
        <w:jc w:val="both"/>
        <w:rPr>
          <w:rFonts w:ascii="Arial" w:hAnsi="Arial" w:cs="Arial"/>
          <w:b/>
          <w:bCs/>
          <w:sz w:val="22"/>
          <w:szCs w:val="22"/>
          <w:lang w:val="es-ES_tradnl"/>
        </w:rPr>
      </w:pPr>
    </w:p>
    <w:p w14:paraId="640753E3" w14:textId="15A55325" w:rsidR="005E63B0" w:rsidRPr="00DB68CC" w:rsidRDefault="004527FA" w:rsidP="0099721A">
      <w:pPr>
        <w:pStyle w:val="ListParagraph"/>
        <w:numPr>
          <w:ilvl w:val="0"/>
          <w:numId w:val="13"/>
        </w:numPr>
        <w:tabs>
          <w:tab w:val="num" w:pos="720"/>
        </w:tabs>
        <w:spacing w:before="20"/>
        <w:ind w:left="1080"/>
        <w:jc w:val="both"/>
        <w:rPr>
          <w:rFonts w:ascii="Arial" w:hAnsi="Arial" w:cs="Arial"/>
          <w:b/>
          <w:bCs/>
          <w:sz w:val="22"/>
          <w:szCs w:val="22"/>
          <w:lang w:val="es-ES_tradnl"/>
        </w:rPr>
      </w:pPr>
      <w:r w:rsidRPr="00DB68CC">
        <w:rPr>
          <w:rFonts w:ascii="Arial" w:hAnsi="Arial" w:cs="Arial"/>
          <w:b/>
          <w:bCs/>
          <w:sz w:val="22"/>
          <w:szCs w:val="22"/>
          <w:lang w:val="es-ES_tradnl"/>
        </w:rPr>
        <w:t>Destinos Económicos</w:t>
      </w:r>
      <w:r w:rsidR="3EFFC6BB" w:rsidRPr="00DB68CC">
        <w:rPr>
          <w:rFonts w:ascii="Arial" w:hAnsi="Arial" w:cs="Arial"/>
          <w:b/>
          <w:bCs/>
          <w:sz w:val="22"/>
          <w:szCs w:val="22"/>
          <w:lang w:val="es-ES_tradnl"/>
        </w:rPr>
        <w:t xml:space="preserve"> Elegibles: </w:t>
      </w:r>
      <w:r w:rsidR="00C57E98" w:rsidRPr="00DB68CC">
        <w:rPr>
          <w:rFonts w:ascii="Arial" w:hAnsi="Arial" w:cs="Arial"/>
          <w:sz w:val="22"/>
          <w:szCs w:val="22"/>
          <w:lang w:val="es-ES_tradnl"/>
        </w:rPr>
        <w:t>Los recursos podrán financiar inversiones</w:t>
      </w:r>
      <w:r w:rsidR="004F6FF3" w:rsidRPr="00DB68CC">
        <w:rPr>
          <w:rFonts w:ascii="Arial" w:hAnsi="Arial" w:cs="Arial"/>
          <w:sz w:val="22"/>
          <w:szCs w:val="22"/>
          <w:lang w:val="es-ES_tradnl"/>
        </w:rPr>
        <w:t xml:space="preserve"> (activo fijo)</w:t>
      </w:r>
      <w:r w:rsidR="4842A3EC" w:rsidRPr="00DB68CC">
        <w:rPr>
          <w:rFonts w:ascii="Arial" w:hAnsi="Arial" w:cs="Arial"/>
          <w:sz w:val="22"/>
          <w:szCs w:val="22"/>
          <w:lang w:val="es-ES_tradnl"/>
        </w:rPr>
        <w:t xml:space="preserve"> y capital de trabajo</w:t>
      </w:r>
      <w:r w:rsidR="00C57E98" w:rsidRPr="00DB68CC">
        <w:rPr>
          <w:rFonts w:ascii="Arial" w:hAnsi="Arial" w:cs="Arial"/>
          <w:sz w:val="22"/>
          <w:szCs w:val="22"/>
          <w:lang w:val="es-ES_tradnl"/>
        </w:rPr>
        <w:t xml:space="preserve"> a través de subpréstamos </w:t>
      </w:r>
      <w:r w:rsidR="00556E95" w:rsidRPr="00DB68CC">
        <w:rPr>
          <w:rFonts w:ascii="Arial" w:hAnsi="Arial" w:cs="Arial"/>
          <w:sz w:val="22"/>
          <w:szCs w:val="22"/>
          <w:lang w:val="es-ES_tradnl"/>
        </w:rPr>
        <w:t>destinados a</w:t>
      </w:r>
      <w:r w:rsidR="00C57E98" w:rsidRPr="00DB68CC">
        <w:rPr>
          <w:rFonts w:ascii="Arial" w:hAnsi="Arial" w:cs="Arial"/>
          <w:sz w:val="22"/>
          <w:szCs w:val="22"/>
          <w:lang w:val="es-ES_tradnl"/>
        </w:rPr>
        <w:t xml:space="preserve"> actividades que incluyen, pero no se limitan a: adquisición de materias primas, tecnología, infraestructura, riego, equipamiento, transporte, almacenamiento, acopio, </w:t>
      </w:r>
      <w:r w:rsidR="551A330C" w:rsidRPr="00DB68CC">
        <w:rPr>
          <w:rFonts w:ascii="Arial" w:hAnsi="Arial" w:cs="Arial"/>
          <w:sz w:val="22"/>
          <w:szCs w:val="22"/>
          <w:lang w:val="es-ES_tradnl"/>
        </w:rPr>
        <w:t xml:space="preserve">salarios, impuestos, servicios públicos </w:t>
      </w:r>
      <w:r w:rsidR="00C57E98" w:rsidRPr="00DB68CC">
        <w:rPr>
          <w:rFonts w:ascii="Arial" w:hAnsi="Arial" w:cs="Arial"/>
          <w:sz w:val="22"/>
          <w:szCs w:val="22"/>
          <w:lang w:val="es-ES_tradnl"/>
        </w:rPr>
        <w:t xml:space="preserve">y cualquier otro propósito relacionado con </w:t>
      </w:r>
      <w:r w:rsidR="001477B5" w:rsidRPr="00DB68CC">
        <w:rPr>
          <w:rFonts w:ascii="Arial" w:hAnsi="Arial" w:cs="Arial"/>
          <w:sz w:val="22"/>
          <w:szCs w:val="22"/>
          <w:lang w:val="es-ES_tradnl"/>
        </w:rPr>
        <w:t xml:space="preserve">la recuperación, </w:t>
      </w:r>
      <w:r w:rsidR="00C57E98" w:rsidRPr="00DB68CC">
        <w:rPr>
          <w:rFonts w:ascii="Arial" w:hAnsi="Arial" w:cs="Arial"/>
          <w:sz w:val="22"/>
          <w:szCs w:val="22"/>
          <w:lang w:val="es-ES_tradnl"/>
        </w:rPr>
        <w:lastRenderedPageBreak/>
        <w:t xml:space="preserve">mejoramiento y </w:t>
      </w:r>
      <w:r w:rsidR="001477B5" w:rsidRPr="00DB68CC">
        <w:rPr>
          <w:rFonts w:ascii="Arial" w:hAnsi="Arial" w:cs="Arial"/>
          <w:sz w:val="22"/>
          <w:szCs w:val="22"/>
          <w:lang w:val="es-ES_tradnl"/>
        </w:rPr>
        <w:t>mantenimiento</w:t>
      </w:r>
      <w:r w:rsidR="00C57E98" w:rsidRPr="00DB68CC">
        <w:rPr>
          <w:rFonts w:ascii="Arial" w:hAnsi="Arial" w:cs="Arial"/>
          <w:sz w:val="22"/>
          <w:szCs w:val="22"/>
          <w:lang w:val="es-ES_tradnl"/>
        </w:rPr>
        <w:t xml:space="preserve"> de la actividad económica</w:t>
      </w:r>
      <w:r w:rsidR="008A524C" w:rsidRPr="00DB68CC">
        <w:rPr>
          <w:rFonts w:ascii="Arial" w:hAnsi="Arial" w:cs="Arial"/>
          <w:sz w:val="22"/>
          <w:szCs w:val="22"/>
          <w:lang w:val="es-ES_tradnl"/>
        </w:rPr>
        <w:t>. Se excluyen</w:t>
      </w:r>
      <w:r w:rsidR="004F6FF3" w:rsidRPr="00DB68CC">
        <w:rPr>
          <w:rFonts w:ascii="Arial" w:hAnsi="Arial" w:cs="Arial"/>
          <w:sz w:val="22"/>
          <w:szCs w:val="22"/>
          <w:lang w:val="es-ES_tradnl"/>
        </w:rPr>
        <w:t xml:space="preserve"> </w:t>
      </w:r>
      <w:r w:rsidR="008A524C" w:rsidRPr="00DB68CC">
        <w:rPr>
          <w:rFonts w:ascii="Arial" w:hAnsi="Arial" w:cs="Arial"/>
          <w:sz w:val="22"/>
          <w:szCs w:val="22"/>
          <w:lang w:val="es-ES_tradnl"/>
        </w:rPr>
        <w:t xml:space="preserve">las operaciones de crédito de consumo y de vivienda y las actividades </w:t>
      </w:r>
      <w:r w:rsidR="004F6FF3" w:rsidRPr="00DB68CC">
        <w:rPr>
          <w:rFonts w:ascii="Arial" w:hAnsi="Arial" w:cs="Arial"/>
          <w:sz w:val="22"/>
          <w:szCs w:val="22"/>
          <w:lang w:val="es-ES_tradnl"/>
        </w:rPr>
        <w:t xml:space="preserve">que constan en el Anexo </w:t>
      </w:r>
      <w:r w:rsidR="00B22C24" w:rsidRPr="00DB68CC">
        <w:rPr>
          <w:rFonts w:ascii="Arial" w:hAnsi="Arial" w:cs="Arial"/>
          <w:sz w:val="22"/>
          <w:szCs w:val="22"/>
          <w:lang w:val="es-ES_tradnl"/>
        </w:rPr>
        <w:t>1 “</w:t>
      </w:r>
      <w:r w:rsidR="008A524C" w:rsidRPr="00DB68CC">
        <w:rPr>
          <w:rFonts w:ascii="Arial" w:hAnsi="Arial" w:cs="Arial"/>
          <w:sz w:val="22"/>
          <w:szCs w:val="22"/>
          <w:lang w:val="es-ES_tradnl"/>
        </w:rPr>
        <w:t>Lista de Exclusi</w:t>
      </w:r>
      <w:r w:rsidR="00B22C24" w:rsidRPr="00DB68CC">
        <w:rPr>
          <w:rFonts w:ascii="Arial" w:hAnsi="Arial" w:cs="Arial"/>
          <w:sz w:val="22"/>
          <w:szCs w:val="22"/>
          <w:lang w:val="es-ES_tradnl"/>
        </w:rPr>
        <w:t>ón”</w:t>
      </w:r>
      <w:r w:rsidR="008A524C" w:rsidRPr="00DB68CC">
        <w:rPr>
          <w:rFonts w:ascii="Arial" w:hAnsi="Arial" w:cs="Arial"/>
          <w:sz w:val="22"/>
          <w:szCs w:val="22"/>
          <w:lang w:val="es-ES_tradnl"/>
        </w:rPr>
        <w:t xml:space="preserve">. </w:t>
      </w:r>
      <w:r w:rsidR="1AD0F3D8" w:rsidRPr="00DB68CC">
        <w:rPr>
          <w:rFonts w:ascii="Arial" w:hAnsi="Arial" w:cs="Arial"/>
          <w:sz w:val="22"/>
          <w:szCs w:val="22"/>
          <w:lang w:val="es-ES_tradnl"/>
        </w:rPr>
        <w:t>Se podrán considerar la reestructuración y refinanciamie</w:t>
      </w:r>
      <w:r w:rsidR="006452AB" w:rsidRPr="00DB68CC">
        <w:rPr>
          <w:rFonts w:ascii="Arial" w:hAnsi="Arial" w:cs="Arial"/>
          <w:sz w:val="22"/>
          <w:szCs w:val="22"/>
          <w:lang w:val="es-ES_tradnl"/>
        </w:rPr>
        <w:t>n</w:t>
      </w:r>
      <w:r w:rsidR="1AD0F3D8" w:rsidRPr="00DB68CC">
        <w:rPr>
          <w:rFonts w:ascii="Arial" w:hAnsi="Arial" w:cs="Arial"/>
          <w:sz w:val="22"/>
          <w:szCs w:val="22"/>
          <w:lang w:val="es-ES_tradnl"/>
        </w:rPr>
        <w:t xml:space="preserve">to de deudas adquiridas previamente con </w:t>
      </w:r>
      <w:r w:rsidR="004F6FF3" w:rsidRPr="00DB68CC">
        <w:rPr>
          <w:rFonts w:ascii="Arial" w:hAnsi="Arial" w:cs="Arial"/>
          <w:sz w:val="22"/>
          <w:szCs w:val="22"/>
          <w:lang w:val="es-ES_tradnl"/>
        </w:rPr>
        <w:t>la OSFPS</w:t>
      </w:r>
      <w:r w:rsidR="1AD0F3D8" w:rsidRPr="00DB68CC">
        <w:rPr>
          <w:rFonts w:ascii="Arial" w:hAnsi="Arial" w:cs="Arial"/>
          <w:sz w:val="22"/>
          <w:szCs w:val="22"/>
          <w:lang w:val="es-ES_tradnl"/>
        </w:rPr>
        <w:t>.</w:t>
      </w:r>
      <w:r w:rsidR="00045A12" w:rsidRPr="00DB68CC">
        <w:rPr>
          <w:rFonts w:ascii="Arial" w:hAnsi="Arial" w:cs="Arial"/>
          <w:sz w:val="22"/>
          <w:szCs w:val="22"/>
          <w:lang w:val="es-ES_tradnl"/>
        </w:rPr>
        <w:t xml:space="preserve"> Lo anterior, en el marco de la emergencia</w:t>
      </w:r>
      <w:r w:rsidR="006545FE" w:rsidRPr="00DB68CC">
        <w:rPr>
          <w:rFonts w:ascii="Arial" w:hAnsi="Arial" w:cs="Arial"/>
          <w:sz w:val="22"/>
          <w:szCs w:val="22"/>
          <w:lang w:val="es-ES_tradnl"/>
        </w:rPr>
        <w:t xml:space="preserve"> ocasionada por el COVID-19</w:t>
      </w:r>
      <w:r w:rsidR="00045A12" w:rsidRPr="00DB68CC">
        <w:rPr>
          <w:rFonts w:ascii="Arial" w:hAnsi="Arial" w:cs="Arial"/>
          <w:sz w:val="22"/>
          <w:szCs w:val="22"/>
          <w:lang w:val="es-ES_tradnl"/>
        </w:rPr>
        <w:t xml:space="preserve"> </w:t>
      </w:r>
      <w:r w:rsidR="00697EF8" w:rsidRPr="00DB68CC">
        <w:rPr>
          <w:rFonts w:ascii="Arial" w:hAnsi="Arial" w:cs="Arial"/>
          <w:sz w:val="22"/>
          <w:szCs w:val="22"/>
          <w:lang w:val="es-ES_tradnl"/>
        </w:rPr>
        <w:t xml:space="preserve">y </w:t>
      </w:r>
      <w:r w:rsidR="004E2966" w:rsidRPr="00DB68CC">
        <w:rPr>
          <w:rFonts w:ascii="Arial" w:hAnsi="Arial" w:cs="Arial"/>
          <w:sz w:val="22"/>
          <w:szCs w:val="22"/>
          <w:lang w:val="es-ES_tradnl"/>
        </w:rPr>
        <w:t>de acuerdo con</w:t>
      </w:r>
      <w:r w:rsidR="00697EF8" w:rsidRPr="00DB68CC">
        <w:rPr>
          <w:rFonts w:ascii="Arial" w:hAnsi="Arial" w:cs="Arial"/>
          <w:sz w:val="22"/>
          <w:szCs w:val="22"/>
          <w:lang w:val="es-ES_tradnl"/>
        </w:rPr>
        <w:t xml:space="preserve"> la definición de beneficiarios elegibles.</w:t>
      </w:r>
      <w:r w:rsidR="00FD5A27" w:rsidRPr="00DB68CC">
        <w:rPr>
          <w:rFonts w:ascii="Arial" w:hAnsi="Arial" w:cs="Arial"/>
          <w:sz w:val="22"/>
          <w:szCs w:val="22"/>
          <w:lang w:val="es-ES_tradnl"/>
        </w:rPr>
        <w:t xml:space="preserve"> Los mismos destinos económicos se</w:t>
      </w:r>
      <w:r w:rsidR="00E13EEB" w:rsidRPr="00DB68CC">
        <w:rPr>
          <w:rFonts w:ascii="Arial" w:hAnsi="Arial" w:cs="Arial"/>
          <w:sz w:val="22"/>
          <w:szCs w:val="22"/>
          <w:lang w:val="es-ES_tradnl"/>
        </w:rPr>
        <w:t>rán</w:t>
      </w:r>
      <w:r w:rsidR="00FD5A27" w:rsidRPr="00DB68CC">
        <w:rPr>
          <w:rFonts w:ascii="Arial" w:hAnsi="Arial" w:cs="Arial"/>
          <w:sz w:val="22"/>
          <w:szCs w:val="22"/>
          <w:lang w:val="es-ES_tradnl"/>
        </w:rPr>
        <w:t xml:space="preserve"> aplica</w:t>
      </w:r>
      <w:r w:rsidR="00E13EEB" w:rsidRPr="00DB68CC">
        <w:rPr>
          <w:rFonts w:ascii="Arial" w:hAnsi="Arial" w:cs="Arial"/>
          <w:sz w:val="22"/>
          <w:szCs w:val="22"/>
          <w:lang w:val="es-ES_tradnl"/>
        </w:rPr>
        <w:t>bles</w:t>
      </w:r>
      <w:r w:rsidR="00FD5A27" w:rsidRPr="00DB68CC">
        <w:rPr>
          <w:rFonts w:ascii="Arial" w:hAnsi="Arial" w:cs="Arial"/>
          <w:sz w:val="22"/>
          <w:szCs w:val="22"/>
          <w:lang w:val="es-ES_tradnl"/>
        </w:rPr>
        <w:t xml:space="preserve"> a las </w:t>
      </w:r>
      <w:r w:rsidR="00523E45" w:rsidRPr="00DB68CC">
        <w:rPr>
          <w:rFonts w:ascii="Arial" w:hAnsi="Arial" w:cs="Arial"/>
          <w:sz w:val="22"/>
          <w:szCs w:val="22"/>
          <w:lang w:val="es-ES_tradnl"/>
        </w:rPr>
        <w:t>operaciones</w:t>
      </w:r>
      <w:r w:rsidR="00FD5A27" w:rsidRPr="00DB68CC">
        <w:rPr>
          <w:rFonts w:ascii="Arial" w:hAnsi="Arial" w:cs="Arial"/>
          <w:sz w:val="22"/>
          <w:szCs w:val="22"/>
          <w:lang w:val="es-ES_tradnl"/>
        </w:rPr>
        <w:t xml:space="preserve"> de garantía que se presente</w:t>
      </w:r>
      <w:r w:rsidR="00523E45" w:rsidRPr="00DB68CC">
        <w:rPr>
          <w:rFonts w:ascii="Arial" w:hAnsi="Arial" w:cs="Arial"/>
          <w:sz w:val="22"/>
          <w:szCs w:val="22"/>
          <w:lang w:val="es-ES_tradnl"/>
        </w:rPr>
        <w:t>n</w:t>
      </w:r>
      <w:r w:rsidR="00FD5A27" w:rsidRPr="00DB68CC">
        <w:rPr>
          <w:rFonts w:ascii="Arial" w:hAnsi="Arial" w:cs="Arial"/>
          <w:sz w:val="22"/>
          <w:szCs w:val="22"/>
          <w:lang w:val="es-ES_tradnl"/>
        </w:rPr>
        <w:t xml:space="preserve"> para consideración del FOGEPS.</w:t>
      </w:r>
    </w:p>
    <w:p w14:paraId="082A2946" w14:textId="77777777" w:rsidR="005E63B0" w:rsidRPr="00DB68CC" w:rsidRDefault="005E63B0" w:rsidP="005E63B0">
      <w:pPr>
        <w:pStyle w:val="ListParagraph"/>
        <w:rPr>
          <w:rFonts w:ascii="Arial" w:hAnsi="Arial" w:cs="Arial"/>
          <w:b/>
          <w:bCs/>
          <w:sz w:val="22"/>
          <w:szCs w:val="22"/>
          <w:lang w:val="es-ES_tradnl"/>
        </w:rPr>
      </w:pPr>
    </w:p>
    <w:p w14:paraId="58B4662A" w14:textId="77777777" w:rsidR="005E63B0" w:rsidRPr="00DB68CC" w:rsidRDefault="000E22F3" w:rsidP="0099721A">
      <w:pPr>
        <w:pStyle w:val="ListParagraph"/>
        <w:numPr>
          <w:ilvl w:val="0"/>
          <w:numId w:val="13"/>
        </w:numPr>
        <w:tabs>
          <w:tab w:val="num" w:pos="720"/>
        </w:tabs>
        <w:spacing w:before="20"/>
        <w:ind w:left="1080"/>
        <w:jc w:val="both"/>
        <w:rPr>
          <w:rFonts w:ascii="Arial" w:hAnsi="Arial" w:cs="Arial"/>
          <w:sz w:val="22"/>
          <w:szCs w:val="22"/>
          <w:lang w:val="es-ES_tradnl"/>
        </w:rPr>
      </w:pPr>
      <w:r w:rsidRPr="00DB68CC">
        <w:rPr>
          <w:rFonts w:ascii="Arial" w:hAnsi="Arial" w:cs="Arial"/>
          <w:b/>
          <w:bCs/>
          <w:sz w:val="22"/>
          <w:szCs w:val="22"/>
          <w:lang w:val="es-ES_tradnl"/>
        </w:rPr>
        <w:t>Periodicidad amortización de capital</w:t>
      </w:r>
      <w:r w:rsidR="0022565E" w:rsidRPr="00DB68CC">
        <w:rPr>
          <w:rFonts w:ascii="Arial" w:hAnsi="Arial" w:cs="Arial"/>
          <w:b/>
          <w:bCs/>
          <w:sz w:val="22"/>
          <w:szCs w:val="22"/>
          <w:lang w:val="es-ES_tradnl"/>
        </w:rPr>
        <w:t xml:space="preserve"> en los subpréstamos</w:t>
      </w:r>
      <w:r w:rsidRPr="00DB68CC">
        <w:rPr>
          <w:rFonts w:ascii="Arial" w:hAnsi="Arial" w:cs="Arial"/>
          <w:b/>
          <w:bCs/>
          <w:sz w:val="22"/>
          <w:szCs w:val="22"/>
          <w:lang w:val="es-ES_tradnl"/>
        </w:rPr>
        <w:t xml:space="preserve">: </w:t>
      </w:r>
      <w:r w:rsidRPr="00DB68CC">
        <w:rPr>
          <w:rFonts w:ascii="Arial" w:hAnsi="Arial" w:cs="Arial"/>
          <w:sz w:val="22"/>
          <w:szCs w:val="22"/>
          <w:lang w:val="es-ES_tradnl"/>
        </w:rPr>
        <w:t>Cuotas mensuales, trimestrales, semestrales o anuales.</w:t>
      </w:r>
    </w:p>
    <w:p w14:paraId="1BC049E1" w14:textId="77777777" w:rsidR="005E63B0" w:rsidRPr="00DB68CC" w:rsidRDefault="005E63B0" w:rsidP="005E63B0">
      <w:pPr>
        <w:pStyle w:val="ListParagraph"/>
        <w:rPr>
          <w:rFonts w:ascii="Arial" w:hAnsi="Arial" w:cs="Arial"/>
          <w:b/>
          <w:bCs/>
          <w:sz w:val="22"/>
          <w:szCs w:val="22"/>
          <w:lang w:val="es-ES_tradnl"/>
        </w:rPr>
      </w:pPr>
    </w:p>
    <w:p w14:paraId="20566A45" w14:textId="77777777" w:rsidR="005E63B0" w:rsidRPr="00DB68CC" w:rsidRDefault="000E22F3" w:rsidP="0099721A">
      <w:pPr>
        <w:pStyle w:val="ListParagraph"/>
        <w:numPr>
          <w:ilvl w:val="0"/>
          <w:numId w:val="13"/>
        </w:numPr>
        <w:tabs>
          <w:tab w:val="num" w:pos="720"/>
        </w:tabs>
        <w:spacing w:before="20"/>
        <w:ind w:left="1080"/>
        <w:jc w:val="both"/>
        <w:rPr>
          <w:rFonts w:ascii="Arial" w:hAnsi="Arial" w:cs="Arial"/>
          <w:sz w:val="22"/>
          <w:szCs w:val="22"/>
          <w:lang w:val="es-ES_tradnl"/>
        </w:rPr>
      </w:pPr>
      <w:r w:rsidRPr="00DB68CC">
        <w:rPr>
          <w:rFonts w:ascii="Arial" w:hAnsi="Arial" w:cs="Arial"/>
          <w:b/>
          <w:bCs/>
          <w:sz w:val="22"/>
          <w:szCs w:val="22"/>
          <w:lang w:val="es-ES_tradnl"/>
        </w:rPr>
        <w:t>Pago de intereses:</w:t>
      </w:r>
      <w:r w:rsidRPr="00DB68CC">
        <w:rPr>
          <w:rFonts w:ascii="Arial" w:hAnsi="Arial" w:cs="Arial"/>
          <w:sz w:val="22"/>
          <w:szCs w:val="22"/>
          <w:lang w:val="es-ES_tradnl"/>
        </w:rPr>
        <w:t xml:space="preserve"> En su equivalente mes, trimestre</w:t>
      </w:r>
      <w:r w:rsidR="006A28F6" w:rsidRPr="00DB68CC">
        <w:rPr>
          <w:rFonts w:ascii="Arial" w:hAnsi="Arial" w:cs="Arial"/>
          <w:sz w:val="22"/>
          <w:szCs w:val="22"/>
          <w:lang w:val="es-ES_tradnl"/>
        </w:rPr>
        <w:t>,</w:t>
      </w:r>
      <w:r w:rsidRPr="00DB68CC">
        <w:rPr>
          <w:rFonts w:ascii="Arial" w:hAnsi="Arial" w:cs="Arial"/>
          <w:sz w:val="22"/>
          <w:szCs w:val="22"/>
          <w:lang w:val="es-ES_tradnl"/>
        </w:rPr>
        <w:t xml:space="preserve"> semestre</w:t>
      </w:r>
      <w:r w:rsidR="006A28F6" w:rsidRPr="00DB68CC">
        <w:rPr>
          <w:rFonts w:ascii="Arial" w:hAnsi="Arial" w:cs="Arial"/>
          <w:sz w:val="22"/>
          <w:szCs w:val="22"/>
          <w:lang w:val="es-ES_tradnl"/>
        </w:rPr>
        <w:t xml:space="preserve"> o a</w:t>
      </w:r>
      <w:r w:rsidR="00726B8B" w:rsidRPr="00DB68CC">
        <w:rPr>
          <w:rFonts w:ascii="Arial" w:hAnsi="Arial" w:cs="Arial"/>
          <w:sz w:val="22"/>
          <w:szCs w:val="22"/>
          <w:lang w:val="es-ES_tradnl"/>
        </w:rPr>
        <w:t>ño</w:t>
      </w:r>
      <w:r w:rsidRPr="00DB68CC">
        <w:rPr>
          <w:rFonts w:ascii="Arial" w:hAnsi="Arial" w:cs="Arial"/>
          <w:sz w:val="22"/>
          <w:szCs w:val="22"/>
          <w:lang w:val="es-ES_tradnl"/>
        </w:rPr>
        <w:t xml:space="preserve"> vencido.</w:t>
      </w:r>
    </w:p>
    <w:p w14:paraId="2E3792C3" w14:textId="77777777" w:rsidR="005E63B0" w:rsidRPr="00DB68CC" w:rsidRDefault="005E63B0" w:rsidP="005E63B0">
      <w:pPr>
        <w:pStyle w:val="ListParagraph"/>
        <w:rPr>
          <w:rFonts w:ascii="Arial" w:hAnsi="Arial" w:cs="Arial"/>
          <w:b/>
          <w:bCs/>
          <w:sz w:val="22"/>
          <w:szCs w:val="22"/>
          <w:lang w:val="es-ES_tradnl"/>
        </w:rPr>
      </w:pPr>
    </w:p>
    <w:p w14:paraId="6BB1F812" w14:textId="77777777" w:rsidR="005E63B0" w:rsidRPr="00DB68CC" w:rsidRDefault="000E22F3" w:rsidP="0099721A">
      <w:pPr>
        <w:pStyle w:val="ListParagraph"/>
        <w:numPr>
          <w:ilvl w:val="0"/>
          <w:numId w:val="13"/>
        </w:numPr>
        <w:tabs>
          <w:tab w:val="num" w:pos="720"/>
        </w:tabs>
        <w:spacing w:before="20"/>
        <w:ind w:left="1080"/>
        <w:jc w:val="both"/>
        <w:rPr>
          <w:rFonts w:ascii="Arial" w:hAnsi="Arial" w:cs="Arial"/>
          <w:sz w:val="22"/>
          <w:szCs w:val="22"/>
          <w:lang w:val="es-ES_tradnl"/>
        </w:rPr>
      </w:pPr>
      <w:r w:rsidRPr="00DB68CC">
        <w:rPr>
          <w:rFonts w:ascii="Arial" w:hAnsi="Arial" w:cs="Arial"/>
          <w:b/>
          <w:bCs/>
          <w:sz w:val="22"/>
          <w:szCs w:val="22"/>
          <w:lang w:val="es-ES_tradnl"/>
        </w:rPr>
        <w:t>Plazo:</w:t>
      </w:r>
      <w:r w:rsidRPr="00DB68CC">
        <w:rPr>
          <w:rFonts w:ascii="Arial" w:hAnsi="Arial" w:cs="Arial"/>
          <w:sz w:val="22"/>
          <w:szCs w:val="22"/>
          <w:lang w:val="es-ES_tradnl"/>
        </w:rPr>
        <w:t xml:space="preserve"> </w:t>
      </w:r>
      <w:r w:rsidR="001477B5" w:rsidRPr="00DB68CC">
        <w:rPr>
          <w:rFonts w:ascii="Arial" w:hAnsi="Arial" w:cs="Arial"/>
          <w:sz w:val="22"/>
          <w:szCs w:val="22"/>
          <w:lang w:val="es-ES_tradnl"/>
        </w:rPr>
        <w:t xml:space="preserve">[ajustar de acuerdo </w:t>
      </w:r>
      <w:r w:rsidR="006452AB" w:rsidRPr="00DB68CC">
        <w:rPr>
          <w:rFonts w:ascii="Arial" w:hAnsi="Arial" w:cs="Arial"/>
          <w:sz w:val="22"/>
          <w:szCs w:val="22"/>
          <w:lang w:val="es-ES_tradnl"/>
        </w:rPr>
        <w:t>con</w:t>
      </w:r>
      <w:r w:rsidR="001477B5" w:rsidRPr="00DB68CC">
        <w:rPr>
          <w:rFonts w:ascii="Arial" w:hAnsi="Arial" w:cs="Arial"/>
          <w:sz w:val="22"/>
          <w:szCs w:val="22"/>
          <w:lang w:val="es-ES_tradnl"/>
        </w:rPr>
        <w:t xml:space="preserve"> lo definido arriba: Hasta XX meses]</w:t>
      </w:r>
      <w:r w:rsidRPr="00DB68CC">
        <w:rPr>
          <w:rFonts w:ascii="Arial" w:hAnsi="Arial" w:cs="Arial"/>
          <w:sz w:val="22"/>
          <w:szCs w:val="22"/>
          <w:lang w:val="es-ES_tradnl"/>
        </w:rPr>
        <w:t>.</w:t>
      </w:r>
    </w:p>
    <w:p w14:paraId="2586CAD1" w14:textId="77777777" w:rsidR="005E63B0" w:rsidRPr="00DB68CC" w:rsidRDefault="005E63B0" w:rsidP="005E63B0">
      <w:pPr>
        <w:pStyle w:val="ListParagraph"/>
        <w:rPr>
          <w:rFonts w:ascii="Arial" w:hAnsi="Arial" w:cs="Arial"/>
          <w:b/>
          <w:bCs/>
          <w:sz w:val="22"/>
          <w:szCs w:val="22"/>
          <w:lang w:val="es-ES_tradnl"/>
        </w:rPr>
      </w:pPr>
    </w:p>
    <w:p w14:paraId="5B1C95B1" w14:textId="77777777" w:rsidR="005E63B0" w:rsidRPr="00DB68CC" w:rsidRDefault="000E22F3" w:rsidP="0099721A">
      <w:pPr>
        <w:pStyle w:val="ListParagraph"/>
        <w:numPr>
          <w:ilvl w:val="0"/>
          <w:numId w:val="13"/>
        </w:numPr>
        <w:tabs>
          <w:tab w:val="num" w:pos="720"/>
        </w:tabs>
        <w:spacing w:before="20"/>
        <w:ind w:left="1080"/>
        <w:jc w:val="both"/>
        <w:rPr>
          <w:rFonts w:ascii="Arial" w:hAnsi="Arial" w:cs="Arial"/>
          <w:sz w:val="22"/>
          <w:szCs w:val="22"/>
          <w:lang w:val="es-ES_tradnl"/>
        </w:rPr>
      </w:pPr>
      <w:r w:rsidRPr="00DB68CC">
        <w:rPr>
          <w:rFonts w:ascii="Arial" w:hAnsi="Arial" w:cs="Arial"/>
          <w:b/>
          <w:bCs/>
          <w:sz w:val="22"/>
          <w:szCs w:val="22"/>
          <w:lang w:val="es-ES_tradnl"/>
        </w:rPr>
        <w:t>Periodo de gracia a capital:</w:t>
      </w:r>
      <w:r w:rsidRPr="00DB68CC">
        <w:rPr>
          <w:rFonts w:ascii="Arial" w:hAnsi="Arial" w:cs="Arial"/>
          <w:sz w:val="22"/>
          <w:szCs w:val="22"/>
          <w:lang w:val="es-ES_tradnl"/>
        </w:rPr>
        <w:t xml:space="preserve"> Hasta </w:t>
      </w:r>
      <w:r w:rsidR="001477B5" w:rsidRPr="00DB68CC">
        <w:rPr>
          <w:rFonts w:ascii="Arial" w:hAnsi="Arial" w:cs="Arial"/>
          <w:sz w:val="22"/>
          <w:szCs w:val="22"/>
          <w:lang w:val="es-ES_tradnl"/>
        </w:rPr>
        <w:t>XX</w:t>
      </w:r>
      <w:r w:rsidRPr="00DB68CC">
        <w:rPr>
          <w:rFonts w:ascii="Arial" w:hAnsi="Arial" w:cs="Arial"/>
          <w:sz w:val="22"/>
          <w:szCs w:val="22"/>
          <w:lang w:val="es-ES_tradnl"/>
        </w:rPr>
        <w:t xml:space="preserve"> meses.</w:t>
      </w:r>
    </w:p>
    <w:p w14:paraId="72A79A17" w14:textId="77777777" w:rsidR="005E63B0" w:rsidRPr="00DB68CC" w:rsidRDefault="005E63B0" w:rsidP="005E63B0">
      <w:pPr>
        <w:pStyle w:val="ListParagraph"/>
        <w:rPr>
          <w:rFonts w:ascii="Arial" w:hAnsi="Arial" w:cs="Arial"/>
          <w:b/>
          <w:bCs/>
          <w:sz w:val="22"/>
          <w:szCs w:val="22"/>
          <w:lang w:val="es-ES_tradnl"/>
        </w:rPr>
      </w:pPr>
    </w:p>
    <w:p w14:paraId="653D990D" w14:textId="77777777" w:rsidR="005E63B0" w:rsidRPr="00DB68CC" w:rsidRDefault="000E22F3" w:rsidP="0099721A">
      <w:pPr>
        <w:pStyle w:val="ListParagraph"/>
        <w:numPr>
          <w:ilvl w:val="0"/>
          <w:numId w:val="13"/>
        </w:numPr>
        <w:tabs>
          <w:tab w:val="num" w:pos="720"/>
        </w:tabs>
        <w:spacing w:before="20"/>
        <w:ind w:left="1080"/>
        <w:jc w:val="both"/>
        <w:rPr>
          <w:rFonts w:ascii="Arial" w:hAnsi="Arial" w:cs="Arial"/>
          <w:sz w:val="22"/>
          <w:szCs w:val="22"/>
          <w:lang w:val="es-ES_tradnl"/>
        </w:rPr>
      </w:pPr>
      <w:r w:rsidRPr="00DB68CC">
        <w:rPr>
          <w:rFonts w:ascii="Arial" w:hAnsi="Arial" w:cs="Arial"/>
          <w:b/>
          <w:bCs/>
          <w:sz w:val="22"/>
          <w:szCs w:val="22"/>
          <w:lang w:val="es-ES_tradnl"/>
        </w:rPr>
        <w:t xml:space="preserve">Tasa de interés </w:t>
      </w:r>
      <w:r w:rsidR="006E49A0" w:rsidRPr="00DB68CC">
        <w:rPr>
          <w:rFonts w:ascii="Arial" w:hAnsi="Arial" w:cs="Arial"/>
          <w:b/>
          <w:bCs/>
          <w:sz w:val="22"/>
          <w:szCs w:val="22"/>
          <w:lang w:val="es-ES_tradnl"/>
        </w:rPr>
        <w:t>de los subpréstamos</w:t>
      </w:r>
      <w:r w:rsidRPr="00DB68CC">
        <w:rPr>
          <w:rFonts w:ascii="Arial" w:hAnsi="Arial" w:cs="Arial"/>
          <w:b/>
          <w:bCs/>
          <w:sz w:val="22"/>
          <w:szCs w:val="22"/>
          <w:lang w:val="es-ES_tradnl"/>
        </w:rPr>
        <w:t>:</w:t>
      </w:r>
      <w:r w:rsidRPr="00DB68CC">
        <w:rPr>
          <w:rFonts w:ascii="Arial" w:hAnsi="Arial" w:cs="Arial"/>
          <w:sz w:val="22"/>
          <w:szCs w:val="22"/>
          <w:lang w:val="es-ES_tradnl"/>
        </w:rPr>
        <w:t xml:space="preserve"> L</w:t>
      </w:r>
      <w:r w:rsidR="006E49A0" w:rsidRPr="00DB68CC">
        <w:rPr>
          <w:rFonts w:ascii="Arial" w:hAnsi="Arial" w:cs="Arial"/>
          <w:sz w:val="22"/>
          <w:szCs w:val="22"/>
          <w:lang w:val="es-ES_tradnl"/>
        </w:rPr>
        <w:t>a</w:t>
      </w:r>
      <w:r w:rsidRPr="00DB68CC">
        <w:rPr>
          <w:rFonts w:ascii="Arial" w:hAnsi="Arial" w:cs="Arial"/>
          <w:sz w:val="22"/>
          <w:szCs w:val="22"/>
          <w:lang w:val="es-ES_tradnl"/>
        </w:rPr>
        <w:t xml:space="preserve"> </w:t>
      </w:r>
      <w:r w:rsidR="001477B5" w:rsidRPr="00DB68CC">
        <w:rPr>
          <w:rFonts w:ascii="Arial" w:hAnsi="Arial" w:cs="Arial"/>
          <w:sz w:val="22"/>
          <w:szCs w:val="22"/>
          <w:lang w:val="es-ES_tradnl"/>
        </w:rPr>
        <w:t xml:space="preserve">determinada por la </w:t>
      </w:r>
      <w:r w:rsidR="008A524C" w:rsidRPr="00DB68CC">
        <w:rPr>
          <w:rFonts w:ascii="Arial" w:hAnsi="Arial" w:cs="Arial"/>
          <w:sz w:val="22"/>
          <w:szCs w:val="22"/>
          <w:lang w:val="es-ES_tradnl"/>
        </w:rPr>
        <w:t>OSFPS</w:t>
      </w:r>
      <w:r w:rsidRPr="00DB68CC">
        <w:rPr>
          <w:rFonts w:ascii="Arial" w:hAnsi="Arial" w:cs="Arial"/>
          <w:sz w:val="22"/>
          <w:szCs w:val="22"/>
          <w:lang w:val="es-ES_tradnl"/>
        </w:rPr>
        <w:t xml:space="preserve"> </w:t>
      </w:r>
      <w:r w:rsidR="00597EA7" w:rsidRPr="00DB68CC">
        <w:rPr>
          <w:rFonts w:ascii="Arial" w:hAnsi="Arial" w:cs="Arial"/>
          <w:sz w:val="22"/>
          <w:szCs w:val="22"/>
          <w:lang w:val="es-ES_tradnl"/>
        </w:rPr>
        <w:t>y el beneficiario del crédito</w:t>
      </w:r>
      <w:r w:rsidR="001477B5" w:rsidRPr="00DB68CC">
        <w:rPr>
          <w:rFonts w:ascii="Arial" w:hAnsi="Arial" w:cs="Arial"/>
          <w:sz w:val="22"/>
          <w:szCs w:val="22"/>
          <w:lang w:val="es-ES_tradnl"/>
        </w:rPr>
        <w:t xml:space="preserve"> de acuerdo </w:t>
      </w:r>
      <w:r w:rsidR="006452AB" w:rsidRPr="00DB68CC">
        <w:rPr>
          <w:rFonts w:ascii="Arial" w:hAnsi="Arial" w:cs="Arial"/>
          <w:sz w:val="22"/>
          <w:szCs w:val="22"/>
          <w:lang w:val="es-ES_tradnl"/>
        </w:rPr>
        <w:t>con</w:t>
      </w:r>
      <w:r w:rsidR="001477B5" w:rsidRPr="00DB68CC">
        <w:rPr>
          <w:rFonts w:ascii="Arial" w:hAnsi="Arial" w:cs="Arial"/>
          <w:sz w:val="22"/>
          <w:szCs w:val="22"/>
          <w:lang w:val="es-ES_tradnl"/>
        </w:rPr>
        <w:t xml:space="preserve"> condiciones de mercado</w:t>
      </w:r>
      <w:r w:rsidR="00697EF8" w:rsidRPr="00DB68CC">
        <w:rPr>
          <w:rFonts w:ascii="Arial" w:hAnsi="Arial" w:cs="Arial"/>
          <w:sz w:val="22"/>
          <w:szCs w:val="22"/>
          <w:lang w:val="es-ES_tradnl"/>
        </w:rPr>
        <w:t xml:space="preserve"> </w:t>
      </w:r>
      <w:r w:rsidR="008A524C" w:rsidRPr="00DB68CC">
        <w:rPr>
          <w:rFonts w:ascii="Arial" w:hAnsi="Arial" w:cs="Arial"/>
          <w:sz w:val="22"/>
          <w:szCs w:val="22"/>
          <w:lang w:val="es-ES_tradnl"/>
        </w:rPr>
        <w:t xml:space="preserve">y dentro de los límites establecidos por la Junta de Política y Regulación Monetaria y Financiera </w:t>
      </w:r>
      <w:r w:rsidR="00697EF8" w:rsidRPr="00DB68CC">
        <w:rPr>
          <w:rFonts w:ascii="Arial" w:hAnsi="Arial" w:cs="Arial"/>
          <w:sz w:val="22"/>
          <w:szCs w:val="22"/>
          <w:lang w:val="es-ES_tradnl"/>
        </w:rPr>
        <w:t xml:space="preserve">o </w:t>
      </w:r>
      <w:r w:rsidR="008A524C" w:rsidRPr="00DB68CC">
        <w:rPr>
          <w:rFonts w:ascii="Arial" w:hAnsi="Arial" w:cs="Arial"/>
          <w:sz w:val="22"/>
          <w:szCs w:val="22"/>
          <w:lang w:val="es-ES_tradnl"/>
        </w:rPr>
        <w:t>la normativa especial que se emita en el</w:t>
      </w:r>
      <w:r w:rsidR="00BD0133" w:rsidRPr="00DB68CC">
        <w:rPr>
          <w:rFonts w:ascii="Arial" w:hAnsi="Arial" w:cs="Arial"/>
          <w:sz w:val="22"/>
          <w:szCs w:val="22"/>
          <w:lang w:val="es-ES_tradnl"/>
        </w:rPr>
        <w:t xml:space="preserve"> marco de la emergencia por el COVID-19</w:t>
      </w:r>
      <w:r w:rsidR="008A524C" w:rsidRPr="00DB68CC">
        <w:rPr>
          <w:rFonts w:ascii="Arial" w:hAnsi="Arial" w:cs="Arial"/>
          <w:sz w:val="22"/>
          <w:szCs w:val="22"/>
          <w:lang w:val="es-ES_tradnl"/>
        </w:rPr>
        <w:t xml:space="preserve">, según el segmento de crédito al que pertenezca cada operación. </w:t>
      </w:r>
      <w:r w:rsidR="007D2C77" w:rsidRPr="00DB68CC">
        <w:rPr>
          <w:rFonts w:ascii="Arial" w:hAnsi="Arial" w:cs="Arial"/>
          <w:sz w:val="22"/>
          <w:szCs w:val="22"/>
          <w:lang w:val="es-ES_tradnl"/>
        </w:rPr>
        <w:t>Asimismo, la tasa deberá cubrir la suma de los costos financieros y operativos administrativos del préstamo.</w:t>
      </w:r>
      <w:r w:rsidR="006E49A0" w:rsidRPr="00DB68CC">
        <w:rPr>
          <w:rFonts w:ascii="Arial" w:hAnsi="Arial" w:cs="Arial"/>
          <w:sz w:val="22"/>
          <w:szCs w:val="22"/>
          <w:lang w:val="es-ES_tradnl"/>
        </w:rPr>
        <w:t xml:space="preserve"> </w:t>
      </w:r>
    </w:p>
    <w:p w14:paraId="07256982" w14:textId="77777777" w:rsidR="005E63B0" w:rsidRPr="00DB68CC" w:rsidRDefault="005E63B0" w:rsidP="005E63B0">
      <w:pPr>
        <w:pStyle w:val="ListParagraph"/>
        <w:rPr>
          <w:rFonts w:ascii="Arial" w:hAnsi="Arial" w:cs="Arial"/>
          <w:b/>
          <w:bCs/>
          <w:sz w:val="22"/>
          <w:szCs w:val="22"/>
          <w:lang w:val="es-ES_tradnl"/>
        </w:rPr>
      </w:pPr>
    </w:p>
    <w:p w14:paraId="659A3811" w14:textId="07FC01EB" w:rsidR="005E63B0" w:rsidRPr="00DB68CC" w:rsidRDefault="00C43F9A" w:rsidP="0099721A">
      <w:pPr>
        <w:pStyle w:val="ListParagraph"/>
        <w:numPr>
          <w:ilvl w:val="0"/>
          <w:numId w:val="13"/>
        </w:numPr>
        <w:tabs>
          <w:tab w:val="num" w:pos="720"/>
        </w:tabs>
        <w:spacing w:before="20"/>
        <w:ind w:left="1080"/>
        <w:jc w:val="both"/>
        <w:rPr>
          <w:rFonts w:ascii="Arial" w:hAnsi="Arial" w:cs="Arial"/>
          <w:sz w:val="22"/>
          <w:szCs w:val="22"/>
          <w:lang w:val="es-ES_tradnl"/>
        </w:rPr>
      </w:pPr>
      <w:r w:rsidRPr="00DB68CC">
        <w:rPr>
          <w:rFonts w:ascii="Arial" w:hAnsi="Arial" w:cs="Arial"/>
          <w:b/>
          <w:bCs/>
          <w:sz w:val="22"/>
          <w:szCs w:val="22"/>
          <w:lang w:val="es-ES_tradnl"/>
        </w:rPr>
        <w:t>C</w:t>
      </w:r>
      <w:r w:rsidR="00AE145B" w:rsidRPr="00DB68CC">
        <w:rPr>
          <w:rFonts w:ascii="Arial" w:hAnsi="Arial" w:cs="Arial"/>
          <w:b/>
          <w:bCs/>
          <w:sz w:val="22"/>
          <w:szCs w:val="22"/>
          <w:lang w:val="es-ES_tradnl"/>
        </w:rPr>
        <w:t xml:space="preserve">ategorías de Riesgo: </w:t>
      </w:r>
      <w:r w:rsidRPr="00DB68CC">
        <w:rPr>
          <w:rFonts w:ascii="Arial" w:hAnsi="Arial" w:cs="Arial"/>
          <w:sz w:val="22"/>
          <w:szCs w:val="22"/>
          <w:lang w:val="es-ES_tradnl"/>
        </w:rPr>
        <w:t xml:space="preserve">Los </w:t>
      </w:r>
      <w:r w:rsidR="004D420A" w:rsidRPr="00DB68CC">
        <w:rPr>
          <w:rFonts w:ascii="Arial" w:hAnsi="Arial" w:cs="Arial"/>
          <w:sz w:val="22"/>
          <w:szCs w:val="22"/>
          <w:lang w:val="es-ES_tradnl"/>
        </w:rPr>
        <w:t>subpréstamo</w:t>
      </w:r>
      <w:r w:rsidR="001477B5" w:rsidRPr="00DB68CC">
        <w:rPr>
          <w:rFonts w:ascii="Arial" w:hAnsi="Arial" w:cs="Arial"/>
          <w:sz w:val="22"/>
          <w:szCs w:val="22"/>
          <w:lang w:val="es-ES_tradnl"/>
        </w:rPr>
        <w:t>s</w:t>
      </w:r>
      <w:r w:rsidRPr="00DB68CC">
        <w:rPr>
          <w:rFonts w:ascii="Arial" w:hAnsi="Arial" w:cs="Arial"/>
          <w:sz w:val="22"/>
          <w:szCs w:val="22"/>
          <w:lang w:val="es-ES_tradnl"/>
        </w:rPr>
        <w:t xml:space="preserve"> del presente </w:t>
      </w:r>
      <w:r w:rsidR="00C96012">
        <w:rPr>
          <w:rFonts w:ascii="Arial" w:hAnsi="Arial" w:cs="Arial"/>
          <w:sz w:val="22"/>
          <w:szCs w:val="22"/>
          <w:lang w:val="es-ES_tradnl"/>
        </w:rPr>
        <w:t>p</w:t>
      </w:r>
      <w:r w:rsidRPr="00DB68CC">
        <w:rPr>
          <w:rFonts w:ascii="Arial" w:hAnsi="Arial" w:cs="Arial"/>
          <w:sz w:val="22"/>
          <w:szCs w:val="22"/>
          <w:lang w:val="es-ES_tradnl"/>
        </w:rPr>
        <w:t xml:space="preserve">rograma </w:t>
      </w:r>
      <w:r w:rsidR="00AE145B" w:rsidRPr="00DB68CC">
        <w:rPr>
          <w:rFonts w:ascii="Arial" w:hAnsi="Arial" w:cs="Arial"/>
          <w:sz w:val="22"/>
          <w:szCs w:val="22"/>
          <w:lang w:val="es-ES_tradnl"/>
        </w:rPr>
        <w:t>podrán</w:t>
      </w:r>
      <w:r w:rsidRPr="00DB68CC">
        <w:rPr>
          <w:rFonts w:ascii="Arial" w:hAnsi="Arial" w:cs="Arial"/>
          <w:sz w:val="22"/>
          <w:szCs w:val="22"/>
          <w:lang w:val="es-ES_tradnl"/>
        </w:rPr>
        <w:t xml:space="preserve"> tener en todo caso </w:t>
      </w:r>
      <w:r w:rsidR="000C3A30" w:rsidRPr="00DB68CC">
        <w:rPr>
          <w:rFonts w:ascii="Arial" w:hAnsi="Arial" w:cs="Arial"/>
          <w:sz w:val="22"/>
          <w:szCs w:val="22"/>
          <w:lang w:val="es-ES_tradnl"/>
        </w:rPr>
        <w:t>una calificación</w:t>
      </w:r>
      <w:r w:rsidRPr="00DB68CC">
        <w:rPr>
          <w:rFonts w:ascii="Arial" w:hAnsi="Arial" w:cs="Arial"/>
          <w:sz w:val="22"/>
          <w:szCs w:val="22"/>
          <w:lang w:val="es-ES_tradnl"/>
        </w:rPr>
        <w:t xml:space="preserve"> de riesgo </w:t>
      </w:r>
      <w:r w:rsidR="000C3A30" w:rsidRPr="00DB68CC">
        <w:rPr>
          <w:rFonts w:ascii="Arial" w:hAnsi="Arial" w:cs="Arial"/>
          <w:sz w:val="22"/>
          <w:szCs w:val="22"/>
          <w:lang w:val="es-ES_tradnl"/>
        </w:rPr>
        <w:t>A o</w:t>
      </w:r>
      <w:r w:rsidR="00DC24A7" w:rsidRPr="00DB68CC">
        <w:rPr>
          <w:rFonts w:ascii="Arial" w:hAnsi="Arial" w:cs="Arial"/>
          <w:sz w:val="22"/>
          <w:szCs w:val="22"/>
          <w:lang w:val="es-ES_tradnl"/>
        </w:rPr>
        <w:t xml:space="preserve"> </w:t>
      </w:r>
      <w:r w:rsidR="000C3A30" w:rsidRPr="00DB68CC">
        <w:rPr>
          <w:rFonts w:ascii="Arial" w:hAnsi="Arial" w:cs="Arial"/>
          <w:sz w:val="22"/>
          <w:szCs w:val="22"/>
          <w:lang w:val="es-ES_tradnl"/>
        </w:rPr>
        <w:t>B</w:t>
      </w:r>
      <w:r w:rsidRPr="00DB68CC">
        <w:rPr>
          <w:rFonts w:ascii="Arial" w:hAnsi="Arial" w:cs="Arial"/>
          <w:sz w:val="22"/>
          <w:szCs w:val="22"/>
          <w:lang w:val="es-ES_tradnl"/>
        </w:rPr>
        <w:t xml:space="preserve"> </w:t>
      </w:r>
      <w:r w:rsidR="004527FA" w:rsidRPr="00DB68CC">
        <w:rPr>
          <w:rFonts w:ascii="Arial" w:hAnsi="Arial" w:cs="Arial"/>
          <w:sz w:val="22"/>
          <w:szCs w:val="22"/>
          <w:lang w:val="es-ES_tradnl"/>
        </w:rPr>
        <w:t>de acuerdo con</w:t>
      </w:r>
      <w:r w:rsidRPr="00DB68CC">
        <w:rPr>
          <w:rFonts w:ascii="Arial" w:hAnsi="Arial" w:cs="Arial"/>
          <w:sz w:val="22"/>
          <w:szCs w:val="22"/>
          <w:lang w:val="es-ES_tradnl"/>
        </w:rPr>
        <w:t xml:space="preserve"> las definiciones estipuladas para las categorías por </w:t>
      </w:r>
      <w:r w:rsidR="004527FA" w:rsidRPr="00DB68CC">
        <w:rPr>
          <w:rFonts w:ascii="Arial" w:hAnsi="Arial" w:cs="Arial"/>
          <w:sz w:val="22"/>
          <w:szCs w:val="22"/>
          <w:lang w:val="es-ES_tradnl"/>
        </w:rPr>
        <w:t>la Superintendencia de Economía Popular y Solidaria SEPS</w:t>
      </w:r>
      <w:r w:rsidR="1D176804" w:rsidRPr="00DB68CC">
        <w:rPr>
          <w:rFonts w:ascii="Arial" w:hAnsi="Arial" w:cs="Arial"/>
          <w:sz w:val="22"/>
          <w:szCs w:val="22"/>
          <w:lang w:val="es-ES_tradnl"/>
        </w:rPr>
        <w:t xml:space="preserve"> al </w:t>
      </w:r>
      <w:r w:rsidR="00DB68CC" w:rsidRPr="00DB68CC">
        <w:rPr>
          <w:rFonts w:ascii="Arial" w:hAnsi="Arial" w:cs="Arial"/>
          <w:sz w:val="22"/>
          <w:szCs w:val="22"/>
          <w:lang w:val="es-ES_tradnl"/>
        </w:rPr>
        <w:t>1</w:t>
      </w:r>
      <w:r w:rsidR="1D176804" w:rsidRPr="00DB68CC">
        <w:rPr>
          <w:rFonts w:ascii="Arial" w:hAnsi="Arial" w:cs="Arial"/>
          <w:sz w:val="22"/>
          <w:szCs w:val="22"/>
          <w:lang w:val="es-ES_tradnl"/>
        </w:rPr>
        <w:t>1 de marzo de 2020, o la fecha que se estipule como previa a la emergencia</w:t>
      </w:r>
      <w:r w:rsidR="00C96012">
        <w:rPr>
          <w:rFonts w:ascii="Arial" w:hAnsi="Arial" w:cs="Arial"/>
          <w:sz w:val="22"/>
          <w:szCs w:val="22"/>
          <w:lang w:val="es-ES_tradnl"/>
        </w:rPr>
        <w:t>, así como un riesgo mínimo de BB por una calificadora independiente</w:t>
      </w:r>
      <w:r w:rsidR="00AE145B" w:rsidRPr="00DB68CC">
        <w:rPr>
          <w:rFonts w:ascii="Arial" w:hAnsi="Arial" w:cs="Arial"/>
          <w:sz w:val="22"/>
          <w:szCs w:val="22"/>
          <w:lang w:val="es-ES_tradnl"/>
        </w:rPr>
        <w:t>.</w:t>
      </w:r>
    </w:p>
    <w:p w14:paraId="6865C68E" w14:textId="77777777" w:rsidR="005E63B0" w:rsidRPr="00DB68CC" w:rsidRDefault="005E63B0" w:rsidP="005E63B0">
      <w:pPr>
        <w:pStyle w:val="ListParagraph"/>
        <w:rPr>
          <w:rFonts w:ascii="Arial" w:hAnsi="Arial" w:cs="Arial"/>
          <w:sz w:val="22"/>
          <w:szCs w:val="22"/>
          <w:lang w:val="es-ES_tradnl"/>
        </w:rPr>
      </w:pPr>
    </w:p>
    <w:p w14:paraId="4D142EA6" w14:textId="64964A76" w:rsidR="005E63B0" w:rsidRPr="00DB68CC" w:rsidRDefault="00191A3D"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Indicadores del Resultados</w:t>
      </w:r>
      <w:r w:rsidR="000237DF" w:rsidRPr="00DB68CC">
        <w:rPr>
          <w:rFonts w:ascii="Arial" w:hAnsi="Arial" w:cs="Arial"/>
          <w:b/>
          <w:bCs/>
          <w:sz w:val="22"/>
          <w:szCs w:val="22"/>
          <w:lang w:val="es-ES_tradnl"/>
        </w:rPr>
        <w:t>.</w:t>
      </w:r>
      <w:r w:rsidR="000237DF" w:rsidRPr="00DB68CC">
        <w:rPr>
          <w:rFonts w:ascii="Arial" w:hAnsi="Arial" w:cs="Arial"/>
          <w:sz w:val="22"/>
          <w:szCs w:val="22"/>
          <w:lang w:val="es-ES_tradnl"/>
        </w:rPr>
        <w:t xml:space="preserve"> </w:t>
      </w:r>
      <w:r w:rsidR="00DC24A7" w:rsidRPr="00DB68CC">
        <w:rPr>
          <w:rFonts w:ascii="Arial" w:hAnsi="Arial" w:cs="Arial"/>
          <w:sz w:val="22"/>
          <w:szCs w:val="22"/>
          <w:lang w:val="es-ES_tradnl"/>
        </w:rPr>
        <w:t>Como impacto del programa se espera que la intervención contribuya a la mejora de la re</w:t>
      </w:r>
      <w:r w:rsidR="004527FA" w:rsidRPr="00DB68CC">
        <w:rPr>
          <w:rFonts w:ascii="Arial" w:hAnsi="Arial" w:cs="Arial"/>
          <w:sz w:val="22"/>
          <w:szCs w:val="22"/>
          <w:lang w:val="es-ES_tradnl"/>
        </w:rPr>
        <w:t>cuperación</w:t>
      </w:r>
      <w:r w:rsidR="00DC24A7" w:rsidRPr="00DB68CC">
        <w:rPr>
          <w:rFonts w:ascii="Arial" w:hAnsi="Arial" w:cs="Arial"/>
          <w:sz w:val="22"/>
          <w:szCs w:val="22"/>
          <w:lang w:val="es-ES_tradnl"/>
        </w:rPr>
        <w:t xml:space="preserve"> del tejido productivo </w:t>
      </w:r>
      <w:r w:rsidR="00743C06" w:rsidRPr="00DB68CC">
        <w:rPr>
          <w:rFonts w:ascii="Arial" w:hAnsi="Arial" w:cs="Arial"/>
          <w:sz w:val="22"/>
          <w:szCs w:val="22"/>
          <w:lang w:val="es-ES_tradnl"/>
        </w:rPr>
        <w:t>MIPE</w:t>
      </w:r>
      <w:r w:rsidR="00DC24A7" w:rsidRPr="00DB68CC">
        <w:rPr>
          <w:rFonts w:ascii="Arial" w:hAnsi="Arial" w:cs="Arial"/>
          <w:sz w:val="22"/>
          <w:szCs w:val="22"/>
          <w:lang w:val="es-ES_tradnl"/>
        </w:rPr>
        <w:t xml:space="preserve"> ante la crisis del C</w:t>
      </w:r>
      <w:r w:rsidR="00EC67B1" w:rsidRPr="00DB68CC">
        <w:rPr>
          <w:rFonts w:ascii="Arial" w:hAnsi="Arial" w:cs="Arial"/>
          <w:sz w:val="22"/>
          <w:szCs w:val="22"/>
          <w:lang w:val="es-ES_tradnl"/>
        </w:rPr>
        <w:t>OVID-19</w:t>
      </w:r>
      <w:r w:rsidR="00DC24A7" w:rsidRPr="00DB68CC">
        <w:rPr>
          <w:rFonts w:ascii="Arial" w:hAnsi="Arial" w:cs="Arial"/>
          <w:sz w:val="22"/>
          <w:szCs w:val="22"/>
          <w:lang w:val="es-ES_tradnl"/>
        </w:rPr>
        <w:t xml:space="preserve"> </w:t>
      </w:r>
      <w:r w:rsidR="00EC67B1" w:rsidRPr="00DB68CC">
        <w:rPr>
          <w:rFonts w:ascii="Arial" w:hAnsi="Arial" w:cs="Arial"/>
          <w:sz w:val="22"/>
          <w:szCs w:val="22"/>
          <w:lang w:val="es-ES_tradnl"/>
        </w:rPr>
        <w:t>medido como</w:t>
      </w:r>
      <w:r w:rsidR="00DC24A7" w:rsidRPr="00DB68CC">
        <w:rPr>
          <w:rFonts w:ascii="Arial" w:hAnsi="Arial" w:cs="Arial"/>
          <w:sz w:val="22"/>
          <w:szCs w:val="22"/>
          <w:lang w:val="es-ES_tradnl"/>
        </w:rPr>
        <w:t xml:space="preserve">: (i) </w:t>
      </w:r>
      <w:r w:rsidR="00EC67B1" w:rsidRPr="00DB68CC">
        <w:rPr>
          <w:rFonts w:ascii="Arial" w:hAnsi="Arial" w:cs="Arial"/>
          <w:sz w:val="22"/>
          <w:szCs w:val="22"/>
          <w:lang w:val="es-ES_tradnl"/>
        </w:rPr>
        <w:t>i</w:t>
      </w:r>
      <w:r w:rsidR="00EC7C33" w:rsidRPr="00DB68CC">
        <w:rPr>
          <w:rFonts w:ascii="Arial" w:hAnsi="Arial" w:cs="Arial"/>
          <w:sz w:val="22"/>
          <w:szCs w:val="22"/>
          <w:lang w:val="es-ES_tradnl"/>
        </w:rPr>
        <w:t xml:space="preserve">ngreso por ventas en las </w:t>
      </w:r>
      <w:r w:rsidR="00743C06" w:rsidRPr="00DB68CC">
        <w:rPr>
          <w:rFonts w:ascii="Arial" w:hAnsi="Arial" w:cs="Arial"/>
          <w:sz w:val="22"/>
          <w:szCs w:val="22"/>
          <w:lang w:val="es-ES_tradnl"/>
        </w:rPr>
        <w:t>MIPE</w:t>
      </w:r>
      <w:r w:rsidR="00EC7C33" w:rsidRPr="00DB68CC">
        <w:rPr>
          <w:rFonts w:ascii="Arial" w:hAnsi="Arial" w:cs="Arial"/>
          <w:sz w:val="22"/>
          <w:szCs w:val="22"/>
          <w:lang w:val="es-ES_tradnl"/>
        </w:rPr>
        <w:t xml:space="preserve"> en los sectores apoyados con el programa</w:t>
      </w:r>
      <w:r w:rsidR="00DC24A7" w:rsidRPr="00DB68CC">
        <w:rPr>
          <w:rFonts w:ascii="Arial" w:hAnsi="Arial" w:cs="Arial"/>
          <w:sz w:val="22"/>
          <w:szCs w:val="22"/>
          <w:lang w:val="es-ES_tradnl"/>
        </w:rPr>
        <w:t>; y (</w:t>
      </w:r>
      <w:proofErr w:type="spellStart"/>
      <w:r w:rsidR="00DC24A7" w:rsidRPr="00DB68CC">
        <w:rPr>
          <w:rFonts w:ascii="Arial" w:hAnsi="Arial" w:cs="Arial"/>
          <w:sz w:val="22"/>
          <w:szCs w:val="22"/>
          <w:lang w:val="es-ES_tradnl"/>
        </w:rPr>
        <w:t>ii</w:t>
      </w:r>
      <w:proofErr w:type="spellEnd"/>
      <w:r w:rsidR="00DC24A7" w:rsidRPr="00DB68CC">
        <w:rPr>
          <w:rFonts w:ascii="Arial" w:hAnsi="Arial" w:cs="Arial"/>
          <w:sz w:val="22"/>
          <w:szCs w:val="22"/>
          <w:lang w:val="es-ES_tradnl"/>
        </w:rPr>
        <w:t xml:space="preserve">) </w:t>
      </w:r>
      <w:r w:rsidR="00EC67B1" w:rsidRPr="00DB68CC">
        <w:rPr>
          <w:rFonts w:ascii="Arial" w:hAnsi="Arial" w:cs="Arial"/>
          <w:sz w:val="22"/>
          <w:szCs w:val="22"/>
          <w:lang w:val="es-ES_tradnl"/>
        </w:rPr>
        <w:t>p</w:t>
      </w:r>
      <w:r w:rsidR="00EC7C33" w:rsidRPr="00DB68CC">
        <w:rPr>
          <w:rFonts w:ascii="Arial" w:hAnsi="Arial" w:cs="Arial"/>
          <w:sz w:val="22"/>
          <w:szCs w:val="22"/>
          <w:lang w:val="es-ES_tradnl"/>
        </w:rPr>
        <w:t xml:space="preserve">orcentaje del empleo en los sectores apoyados por el programa sobre el empleo total de </w:t>
      </w:r>
      <w:r w:rsidR="00743C06" w:rsidRPr="00DB68CC">
        <w:rPr>
          <w:rFonts w:ascii="Arial" w:hAnsi="Arial" w:cs="Arial"/>
          <w:sz w:val="22"/>
          <w:szCs w:val="22"/>
          <w:lang w:val="es-ES_tradnl"/>
        </w:rPr>
        <w:t>MIPE</w:t>
      </w:r>
      <w:r w:rsidR="00EC7C33" w:rsidRPr="00DB68CC">
        <w:rPr>
          <w:rFonts w:ascii="Arial" w:hAnsi="Arial" w:cs="Arial"/>
          <w:sz w:val="22"/>
          <w:szCs w:val="22"/>
          <w:lang w:val="es-ES_tradnl"/>
        </w:rPr>
        <w:t xml:space="preserve"> en el país</w:t>
      </w:r>
      <w:r w:rsidR="00DC24A7" w:rsidRPr="00DB68CC">
        <w:rPr>
          <w:rFonts w:ascii="Arial" w:hAnsi="Arial" w:cs="Arial"/>
          <w:sz w:val="22"/>
          <w:szCs w:val="22"/>
          <w:lang w:val="es-ES_tradnl"/>
        </w:rPr>
        <w:t xml:space="preserve">. Los </w:t>
      </w:r>
      <w:r w:rsidR="00EC67B1" w:rsidRPr="00DB68CC">
        <w:rPr>
          <w:rFonts w:ascii="Arial" w:hAnsi="Arial" w:cs="Arial"/>
          <w:sz w:val="22"/>
          <w:szCs w:val="22"/>
          <w:lang w:val="es-ES_tradnl"/>
        </w:rPr>
        <w:t xml:space="preserve">indicadores de </w:t>
      </w:r>
      <w:r w:rsidR="00DC24A7" w:rsidRPr="00DB68CC">
        <w:rPr>
          <w:rFonts w:ascii="Arial" w:hAnsi="Arial" w:cs="Arial"/>
          <w:sz w:val="22"/>
          <w:szCs w:val="22"/>
          <w:lang w:val="es-ES_tradnl"/>
        </w:rPr>
        <w:t xml:space="preserve">resultados </w:t>
      </w:r>
      <w:r w:rsidR="00C96012">
        <w:rPr>
          <w:rFonts w:ascii="Arial" w:hAnsi="Arial" w:cs="Arial"/>
          <w:sz w:val="22"/>
          <w:szCs w:val="22"/>
          <w:lang w:val="es-ES_tradnl"/>
        </w:rPr>
        <w:t xml:space="preserve">para el objetivo específico </w:t>
      </w:r>
      <w:r w:rsidR="00DC24A7" w:rsidRPr="00DB68CC">
        <w:rPr>
          <w:rFonts w:ascii="Arial" w:hAnsi="Arial" w:cs="Arial"/>
          <w:sz w:val="22"/>
          <w:szCs w:val="22"/>
          <w:lang w:val="es-ES_tradnl"/>
        </w:rPr>
        <w:t>del programa serán:</w:t>
      </w:r>
    </w:p>
    <w:p w14:paraId="4F72FEA1" w14:textId="77777777" w:rsidR="005E63B0" w:rsidRPr="00DB68CC" w:rsidRDefault="005E63B0" w:rsidP="005E63B0">
      <w:pPr>
        <w:pStyle w:val="ListParagraph"/>
        <w:ind w:left="792"/>
        <w:jc w:val="both"/>
        <w:rPr>
          <w:rFonts w:ascii="Arial" w:hAnsi="Arial" w:cs="Arial"/>
          <w:b/>
          <w:bCs/>
          <w:sz w:val="22"/>
          <w:szCs w:val="22"/>
          <w:lang w:val="es-ES_tradnl"/>
        </w:rPr>
      </w:pPr>
    </w:p>
    <w:p w14:paraId="24F10CD8" w14:textId="14047D14" w:rsidR="00F723C2" w:rsidRDefault="009400B4" w:rsidP="009400B4">
      <w:pPr>
        <w:pStyle w:val="ListParagraph"/>
        <w:numPr>
          <w:ilvl w:val="0"/>
          <w:numId w:val="14"/>
        </w:numPr>
        <w:jc w:val="both"/>
        <w:rPr>
          <w:rFonts w:ascii="Arial" w:hAnsi="Arial" w:cs="Arial"/>
          <w:sz w:val="22"/>
          <w:szCs w:val="22"/>
          <w:lang w:val="es-ES_tradnl"/>
        </w:rPr>
      </w:pPr>
      <w:r w:rsidRPr="009400B4">
        <w:rPr>
          <w:rFonts w:ascii="Arial" w:hAnsi="Arial" w:cs="Arial"/>
          <w:sz w:val="22"/>
          <w:szCs w:val="22"/>
          <w:lang w:val="es-ES_tradnl"/>
        </w:rPr>
        <w:t>Tasa de mora relativa, a los 6 meses de comenzar el programa, en la cartera relevante de financiamiento o garantía de capital de trabajo frente a la tasa de mora de la banca pública.</w:t>
      </w:r>
    </w:p>
    <w:p w14:paraId="4679D8A0" w14:textId="1393696C" w:rsidR="009400B4" w:rsidRDefault="009400B4" w:rsidP="009400B4">
      <w:pPr>
        <w:pStyle w:val="ListParagraph"/>
        <w:numPr>
          <w:ilvl w:val="0"/>
          <w:numId w:val="14"/>
        </w:numPr>
        <w:jc w:val="both"/>
        <w:rPr>
          <w:rFonts w:ascii="Arial" w:hAnsi="Arial" w:cs="Arial"/>
          <w:sz w:val="22"/>
          <w:szCs w:val="22"/>
          <w:lang w:val="es-ES_tradnl"/>
        </w:rPr>
      </w:pPr>
      <w:r w:rsidRPr="009400B4">
        <w:rPr>
          <w:rFonts w:ascii="Arial" w:hAnsi="Arial" w:cs="Arial"/>
          <w:sz w:val="22"/>
          <w:szCs w:val="22"/>
          <w:lang w:val="es-ES_tradnl"/>
        </w:rPr>
        <w:t>Tasa de mora relativa, a los 12 meses de comenzar el programa, en la cartera relevante de financiamiento o garantía de capital de trabajo frente a la tasa de mora de la banca pública.</w:t>
      </w:r>
    </w:p>
    <w:p w14:paraId="19401A98" w14:textId="473CD243" w:rsidR="009400B4" w:rsidRDefault="009400B4" w:rsidP="009400B4">
      <w:pPr>
        <w:pStyle w:val="ListParagraph"/>
        <w:numPr>
          <w:ilvl w:val="0"/>
          <w:numId w:val="14"/>
        </w:numPr>
        <w:jc w:val="both"/>
        <w:rPr>
          <w:rFonts w:ascii="Arial" w:hAnsi="Arial" w:cs="Arial"/>
          <w:sz w:val="22"/>
          <w:szCs w:val="22"/>
          <w:lang w:val="es-ES_tradnl"/>
        </w:rPr>
      </w:pPr>
      <w:r w:rsidRPr="009400B4">
        <w:rPr>
          <w:rFonts w:ascii="Arial" w:hAnsi="Arial" w:cs="Arial"/>
          <w:sz w:val="22"/>
          <w:szCs w:val="22"/>
          <w:lang w:val="es-ES_tradnl"/>
        </w:rPr>
        <w:t>Monto total de la cartera relevante para el financiamiento de corto plazo alcanzado gracias al apoyo del programa.</w:t>
      </w:r>
    </w:p>
    <w:p w14:paraId="035B1C33" w14:textId="60591422" w:rsidR="009400B4" w:rsidRDefault="009400B4" w:rsidP="009400B4">
      <w:pPr>
        <w:pStyle w:val="ListParagraph"/>
        <w:numPr>
          <w:ilvl w:val="0"/>
          <w:numId w:val="14"/>
        </w:numPr>
        <w:jc w:val="both"/>
        <w:rPr>
          <w:rFonts w:ascii="Arial" w:hAnsi="Arial" w:cs="Arial"/>
          <w:sz w:val="22"/>
          <w:szCs w:val="22"/>
          <w:lang w:val="es-ES_tradnl"/>
        </w:rPr>
      </w:pPr>
      <w:r w:rsidRPr="009400B4">
        <w:rPr>
          <w:rFonts w:ascii="Arial" w:hAnsi="Arial" w:cs="Arial"/>
          <w:sz w:val="22"/>
          <w:szCs w:val="22"/>
          <w:lang w:val="es-ES_tradnl"/>
        </w:rPr>
        <w:t>Proporción del número de créditos de corto plazo a MIPE lideradas por mujeres en la cartera de CONAFIPS.</w:t>
      </w:r>
    </w:p>
    <w:p w14:paraId="5466592E" w14:textId="77777777" w:rsidR="009400B4" w:rsidRPr="009400B4" w:rsidRDefault="009400B4" w:rsidP="009400B4">
      <w:pPr>
        <w:pStyle w:val="ListParagraph"/>
        <w:numPr>
          <w:ilvl w:val="0"/>
          <w:numId w:val="14"/>
        </w:numPr>
        <w:jc w:val="both"/>
        <w:rPr>
          <w:rFonts w:ascii="Arial" w:hAnsi="Arial" w:cs="Arial"/>
          <w:sz w:val="22"/>
          <w:szCs w:val="22"/>
          <w:lang w:val="es-ES_tradnl"/>
        </w:rPr>
      </w:pPr>
    </w:p>
    <w:p w14:paraId="53CE7918" w14:textId="647C17D6" w:rsidR="00191A3D" w:rsidRPr="00DB68CC" w:rsidRDefault="00D56C23"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Recuperaciones:</w:t>
      </w:r>
      <w:r w:rsidR="009F2F68" w:rsidRPr="00DB68CC">
        <w:rPr>
          <w:rFonts w:ascii="Arial" w:hAnsi="Arial" w:cs="Arial"/>
          <w:b/>
          <w:bCs/>
          <w:sz w:val="22"/>
          <w:szCs w:val="22"/>
          <w:lang w:val="es-ES_tradnl"/>
        </w:rPr>
        <w:t xml:space="preserve"> </w:t>
      </w:r>
      <w:r w:rsidR="009F2F68" w:rsidRPr="00DB68CC">
        <w:rPr>
          <w:rFonts w:ascii="Arial" w:hAnsi="Arial" w:cs="Arial"/>
          <w:sz w:val="22"/>
          <w:szCs w:val="22"/>
          <w:lang w:val="es-ES_tradnl"/>
        </w:rPr>
        <w:t xml:space="preserve">Los fondos provenientes de las recuperaciones de los préstamos concedidos </w:t>
      </w:r>
      <w:r w:rsidR="00E81E0F" w:rsidRPr="00DB68CC">
        <w:rPr>
          <w:rFonts w:ascii="Arial" w:hAnsi="Arial" w:cs="Arial"/>
          <w:sz w:val="22"/>
          <w:szCs w:val="22"/>
          <w:lang w:val="es-ES_tradnl"/>
        </w:rPr>
        <w:t xml:space="preserve">por la CONAFIPS </w:t>
      </w:r>
      <w:r w:rsidR="009F2F68" w:rsidRPr="00DB68CC">
        <w:rPr>
          <w:rFonts w:ascii="Arial" w:hAnsi="Arial" w:cs="Arial"/>
          <w:sz w:val="22"/>
          <w:szCs w:val="22"/>
          <w:lang w:val="es-ES_tradnl"/>
        </w:rPr>
        <w:t xml:space="preserve">con los recursos del proyecto que se acumulen en exceso de las cantidades necesarias para el servicio del </w:t>
      </w:r>
      <w:r w:rsidR="009F2F68" w:rsidRPr="00DB68CC">
        <w:rPr>
          <w:rFonts w:ascii="Arial" w:hAnsi="Arial" w:cs="Arial"/>
          <w:sz w:val="22"/>
          <w:szCs w:val="22"/>
          <w:lang w:val="es-ES_tradnl"/>
        </w:rPr>
        <w:lastRenderedPageBreak/>
        <w:t>préstamo, sólo podrán utilizarse para la concesión de nuevos préstamos que se ajusten sustancialmente a las normas establecidas en el contrato y el ROP de esta operación</w:t>
      </w:r>
      <w:r w:rsidR="00A65EB5" w:rsidRPr="00DB68CC">
        <w:rPr>
          <w:rFonts w:ascii="Arial" w:hAnsi="Arial" w:cs="Arial"/>
          <w:sz w:val="22"/>
          <w:szCs w:val="22"/>
          <w:lang w:val="es-ES_tradnl"/>
        </w:rPr>
        <w:t>.</w:t>
      </w:r>
    </w:p>
    <w:p w14:paraId="07AB67EE" w14:textId="77777777" w:rsidR="00F723C2" w:rsidRPr="00DB68CC" w:rsidRDefault="00F723C2" w:rsidP="00F723C2">
      <w:pPr>
        <w:pStyle w:val="ListParagraph"/>
        <w:ind w:left="792"/>
        <w:jc w:val="both"/>
        <w:rPr>
          <w:rFonts w:ascii="Arial" w:hAnsi="Arial" w:cs="Arial"/>
          <w:sz w:val="22"/>
          <w:szCs w:val="22"/>
          <w:lang w:val="es-ES_tradnl"/>
        </w:rPr>
      </w:pPr>
    </w:p>
    <w:p w14:paraId="3F12815F" w14:textId="7D44DFFE" w:rsidR="00B77DE7" w:rsidRPr="00DB68CC" w:rsidRDefault="00B77DE7"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Sustituciones: </w:t>
      </w:r>
      <w:r w:rsidR="00E81E0F" w:rsidRPr="00DB68CC">
        <w:rPr>
          <w:rFonts w:ascii="Arial" w:hAnsi="Arial" w:cs="Arial"/>
          <w:sz w:val="22"/>
          <w:szCs w:val="22"/>
          <w:lang w:val="es-ES_tradnl"/>
        </w:rPr>
        <w:t>La CONAFIPS</w:t>
      </w:r>
      <w:r w:rsidR="00AE145B" w:rsidRPr="00DB68CC">
        <w:rPr>
          <w:rFonts w:ascii="Arial" w:hAnsi="Arial" w:cs="Arial"/>
          <w:sz w:val="22"/>
          <w:szCs w:val="22"/>
          <w:lang w:val="es-ES_tradnl"/>
        </w:rPr>
        <w:t xml:space="preserve"> se compromete a sustituir la cartera que entre en las categorías de incumplimiento,</w:t>
      </w:r>
      <w:r w:rsidR="00EC7C33" w:rsidRPr="00DB68CC">
        <w:rPr>
          <w:rFonts w:ascii="Arial" w:hAnsi="Arial" w:cs="Arial"/>
          <w:sz w:val="22"/>
          <w:szCs w:val="22"/>
          <w:lang w:val="es-ES_tradnl"/>
        </w:rPr>
        <w:t xml:space="preserve"> </w:t>
      </w:r>
      <w:r w:rsidR="00711B38" w:rsidRPr="00DB68CC">
        <w:rPr>
          <w:rFonts w:ascii="Arial" w:hAnsi="Arial" w:cs="Arial"/>
          <w:sz w:val="22"/>
          <w:szCs w:val="22"/>
          <w:lang w:val="es-ES_tradnl"/>
        </w:rPr>
        <w:t>6</w:t>
      </w:r>
      <w:r w:rsidR="006452AB" w:rsidRPr="00DB68CC">
        <w:rPr>
          <w:rFonts w:ascii="Arial" w:hAnsi="Arial" w:cs="Arial"/>
          <w:sz w:val="22"/>
          <w:szCs w:val="22"/>
          <w:lang w:val="es-ES_tradnl"/>
        </w:rPr>
        <w:t xml:space="preserve"> meses después de</w:t>
      </w:r>
      <w:r w:rsidR="00EC7C33" w:rsidRPr="00DB68CC">
        <w:rPr>
          <w:rFonts w:ascii="Arial" w:hAnsi="Arial" w:cs="Arial"/>
          <w:sz w:val="22"/>
          <w:szCs w:val="22"/>
          <w:lang w:val="es-ES_tradnl"/>
        </w:rPr>
        <w:t xml:space="preserve"> vencido el plazo máximo del período de desembolso de la operación. En este sentido, se espera que los créditos, a partir del mes </w:t>
      </w:r>
      <w:r w:rsidR="00711B38" w:rsidRPr="00DB68CC">
        <w:rPr>
          <w:rFonts w:ascii="Arial" w:hAnsi="Arial" w:cs="Arial"/>
          <w:sz w:val="22"/>
          <w:szCs w:val="22"/>
          <w:lang w:val="es-ES_tradnl"/>
        </w:rPr>
        <w:t>6</w:t>
      </w:r>
      <w:r w:rsidR="00EC7C33" w:rsidRPr="00DB68CC">
        <w:rPr>
          <w:rFonts w:ascii="Arial" w:hAnsi="Arial" w:cs="Arial"/>
          <w:sz w:val="22"/>
          <w:szCs w:val="22"/>
          <w:lang w:val="es-ES_tradnl"/>
        </w:rPr>
        <w:t xml:space="preserve"> del último desembolso, se encuentren, de</w:t>
      </w:r>
      <w:r w:rsidR="00AE145B" w:rsidRPr="00DB68CC">
        <w:rPr>
          <w:rFonts w:ascii="Arial" w:hAnsi="Arial" w:cs="Arial"/>
          <w:sz w:val="22"/>
          <w:szCs w:val="22"/>
          <w:lang w:val="es-ES_tradnl"/>
        </w:rPr>
        <w:t xml:space="preserve"> acuerdo </w:t>
      </w:r>
      <w:r w:rsidR="00DC24A7" w:rsidRPr="00DB68CC">
        <w:rPr>
          <w:rFonts w:ascii="Arial" w:hAnsi="Arial" w:cs="Arial"/>
          <w:sz w:val="22"/>
          <w:szCs w:val="22"/>
          <w:lang w:val="es-ES_tradnl"/>
        </w:rPr>
        <w:t>con</w:t>
      </w:r>
      <w:r w:rsidR="00AE145B" w:rsidRPr="00DB68CC">
        <w:rPr>
          <w:rFonts w:ascii="Arial" w:hAnsi="Arial" w:cs="Arial"/>
          <w:sz w:val="22"/>
          <w:szCs w:val="22"/>
          <w:lang w:val="es-ES_tradnl"/>
        </w:rPr>
        <w:t xml:space="preserve"> los parámetros establecidos por </w:t>
      </w:r>
      <w:r w:rsidR="00921DE6" w:rsidRPr="00DB68CC">
        <w:rPr>
          <w:rFonts w:ascii="Arial" w:hAnsi="Arial" w:cs="Arial"/>
          <w:sz w:val="22"/>
          <w:szCs w:val="22"/>
          <w:lang w:val="es-ES_tradnl"/>
        </w:rPr>
        <w:t>la regulación local</w:t>
      </w:r>
      <w:r w:rsidR="00AE145B" w:rsidRPr="00DB68CC">
        <w:rPr>
          <w:rFonts w:ascii="Arial" w:hAnsi="Arial" w:cs="Arial"/>
          <w:sz w:val="22"/>
          <w:szCs w:val="22"/>
          <w:lang w:val="es-ES_tradnl"/>
        </w:rPr>
        <w:t xml:space="preserve">, por cartera de las categorías </w:t>
      </w:r>
      <w:r w:rsidR="00711B38" w:rsidRPr="00DB68CC">
        <w:rPr>
          <w:rFonts w:ascii="Arial" w:hAnsi="Arial" w:cs="Arial"/>
          <w:sz w:val="22"/>
          <w:szCs w:val="22"/>
          <w:lang w:val="es-ES_tradnl"/>
        </w:rPr>
        <w:t>A</w:t>
      </w:r>
      <w:r w:rsidR="00DC24A7" w:rsidRPr="00DB68CC">
        <w:rPr>
          <w:rFonts w:ascii="Arial" w:hAnsi="Arial" w:cs="Arial"/>
          <w:sz w:val="22"/>
          <w:szCs w:val="22"/>
          <w:lang w:val="es-ES_tradnl"/>
        </w:rPr>
        <w:t xml:space="preserve">, </w:t>
      </w:r>
      <w:r w:rsidR="00711B38" w:rsidRPr="00DB68CC">
        <w:rPr>
          <w:rFonts w:ascii="Arial" w:hAnsi="Arial" w:cs="Arial"/>
          <w:sz w:val="22"/>
          <w:szCs w:val="22"/>
          <w:lang w:val="es-ES_tradnl"/>
        </w:rPr>
        <w:t>B</w:t>
      </w:r>
      <w:r w:rsidR="00921DE6" w:rsidRPr="00DB68CC">
        <w:rPr>
          <w:rFonts w:ascii="Arial" w:hAnsi="Arial" w:cs="Arial"/>
          <w:sz w:val="22"/>
          <w:szCs w:val="22"/>
          <w:lang w:val="es-ES_tradnl"/>
        </w:rPr>
        <w:t xml:space="preserve">. </w:t>
      </w:r>
    </w:p>
    <w:p w14:paraId="58409B83" w14:textId="59981D94" w:rsidR="00615715" w:rsidRPr="00DB68CC" w:rsidRDefault="00615715" w:rsidP="0099721A">
      <w:pPr>
        <w:pStyle w:val="Heading1"/>
        <w:numPr>
          <w:ilvl w:val="0"/>
          <w:numId w:val="9"/>
        </w:numPr>
        <w:rPr>
          <w:rFonts w:cs="Arial"/>
          <w:sz w:val="22"/>
          <w:szCs w:val="22"/>
          <w:lang w:val="es-ES_tradnl"/>
        </w:rPr>
      </w:pPr>
      <w:bookmarkStart w:id="14" w:name="_Toc518578581"/>
      <w:bookmarkStart w:id="15" w:name="_Toc389662664"/>
      <w:bookmarkStart w:id="16" w:name="_Toc389662818"/>
      <w:bookmarkStart w:id="17" w:name="_Toc389662936"/>
      <w:bookmarkStart w:id="18" w:name="_Toc389662981"/>
      <w:bookmarkStart w:id="19" w:name="_Toc389663025"/>
      <w:bookmarkStart w:id="20" w:name="_Toc389663297"/>
      <w:bookmarkStart w:id="21" w:name="_Toc389662665"/>
      <w:bookmarkStart w:id="22" w:name="_Toc389662819"/>
      <w:bookmarkStart w:id="23" w:name="_Toc389662937"/>
      <w:bookmarkStart w:id="24" w:name="_Toc389662982"/>
      <w:bookmarkStart w:id="25" w:name="_Toc389663026"/>
      <w:bookmarkStart w:id="26" w:name="_Toc389663298"/>
      <w:bookmarkStart w:id="27" w:name="_Toc389662667"/>
      <w:bookmarkStart w:id="28" w:name="_Toc389662821"/>
      <w:bookmarkStart w:id="29" w:name="_Toc389662939"/>
      <w:bookmarkStart w:id="30" w:name="_Toc389662984"/>
      <w:bookmarkStart w:id="31" w:name="_Toc389663028"/>
      <w:bookmarkStart w:id="32" w:name="_Toc389663300"/>
      <w:bookmarkStart w:id="33" w:name="_Toc37603065"/>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B68CC">
        <w:rPr>
          <w:rFonts w:cs="Arial"/>
          <w:sz w:val="22"/>
          <w:szCs w:val="22"/>
          <w:lang w:val="es-ES_tradnl"/>
        </w:rPr>
        <w:t>Reglamento de Crédito: Evaluación de Riesgos Banca de Segundo Piso</w:t>
      </w:r>
      <w:bookmarkEnd w:id="33"/>
    </w:p>
    <w:p w14:paraId="3BB39E3E" w14:textId="77777777" w:rsidR="00F723C2" w:rsidRPr="00DB68CC" w:rsidRDefault="00F723C2" w:rsidP="00F723C2">
      <w:pPr>
        <w:rPr>
          <w:sz w:val="22"/>
          <w:szCs w:val="22"/>
          <w:lang w:val="es-ES_tradnl" w:eastAsia="en-US"/>
        </w:rPr>
      </w:pPr>
    </w:p>
    <w:p w14:paraId="6A0B508B" w14:textId="305FF343" w:rsidR="00976183" w:rsidRPr="00DB68CC" w:rsidRDefault="00976183"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Riesgo de Crédito </w:t>
      </w:r>
      <w:r w:rsidR="001F7122" w:rsidRPr="00DB68CC">
        <w:rPr>
          <w:rFonts w:ascii="Arial" w:hAnsi="Arial" w:cs="Arial"/>
          <w:b/>
          <w:bCs/>
          <w:sz w:val="22"/>
          <w:szCs w:val="22"/>
          <w:lang w:val="es-ES_tradnl"/>
        </w:rPr>
        <w:t>(</w:t>
      </w:r>
      <w:r w:rsidRPr="00DB68CC">
        <w:rPr>
          <w:rFonts w:ascii="Arial" w:hAnsi="Arial" w:cs="Arial"/>
          <w:b/>
          <w:bCs/>
          <w:sz w:val="22"/>
          <w:szCs w:val="22"/>
          <w:lang w:val="es-ES_tradnl"/>
        </w:rPr>
        <w:t>Contraparte</w:t>
      </w:r>
      <w:r w:rsidR="001F7122" w:rsidRPr="00DB68CC">
        <w:rPr>
          <w:rFonts w:ascii="Arial" w:hAnsi="Arial" w:cs="Arial"/>
          <w:b/>
          <w:bCs/>
          <w:sz w:val="22"/>
          <w:szCs w:val="22"/>
          <w:lang w:val="es-ES_tradnl"/>
        </w:rPr>
        <w:t>)</w:t>
      </w:r>
      <w:r w:rsidRPr="00DB68CC">
        <w:rPr>
          <w:rFonts w:ascii="Arial" w:hAnsi="Arial" w:cs="Arial"/>
          <w:b/>
          <w:bCs/>
          <w:sz w:val="22"/>
          <w:szCs w:val="22"/>
          <w:lang w:val="es-ES_tradnl"/>
        </w:rPr>
        <w:t>:</w:t>
      </w:r>
      <w:r w:rsidRPr="00DB68CC">
        <w:rPr>
          <w:rFonts w:ascii="Arial" w:hAnsi="Arial" w:cs="Arial"/>
          <w:sz w:val="22"/>
          <w:szCs w:val="22"/>
          <w:lang w:val="es-ES_tradnl"/>
        </w:rPr>
        <w:t xml:space="preserve"> Es responsabilidad general de </w:t>
      </w:r>
      <w:r w:rsidR="00AD7D2E" w:rsidRPr="00DB68CC">
        <w:rPr>
          <w:rFonts w:ascii="Arial" w:hAnsi="Arial" w:cs="Arial"/>
          <w:sz w:val="22"/>
          <w:szCs w:val="22"/>
          <w:lang w:val="es-ES_tradnl"/>
        </w:rPr>
        <w:t>la CONAFIPS</w:t>
      </w:r>
      <w:r w:rsidRPr="00DB68CC">
        <w:rPr>
          <w:rFonts w:ascii="Arial" w:hAnsi="Arial" w:cs="Arial"/>
          <w:sz w:val="22"/>
          <w:szCs w:val="22"/>
          <w:lang w:val="es-ES_tradnl"/>
        </w:rPr>
        <w:t xml:space="preserve"> evaluar el riesgo de crédito de </w:t>
      </w:r>
      <w:r w:rsidR="009A2017" w:rsidRPr="00DB68CC">
        <w:rPr>
          <w:rFonts w:ascii="Arial" w:hAnsi="Arial" w:cs="Arial"/>
          <w:sz w:val="22"/>
          <w:szCs w:val="22"/>
          <w:lang w:val="es-ES_tradnl"/>
        </w:rPr>
        <w:t>l</w:t>
      </w:r>
      <w:r w:rsidR="00AD7D2E" w:rsidRPr="00DB68CC">
        <w:rPr>
          <w:rFonts w:ascii="Arial" w:hAnsi="Arial" w:cs="Arial"/>
          <w:sz w:val="22"/>
          <w:szCs w:val="22"/>
          <w:lang w:val="es-ES_tradnl"/>
        </w:rPr>
        <w:t>as OSFPS</w:t>
      </w:r>
      <w:r w:rsidR="009A2017" w:rsidRPr="00DB68CC">
        <w:rPr>
          <w:rFonts w:ascii="Arial" w:hAnsi="Arial" w:cs="Arial"/>
          <w:sz w:val="22"/>
          <w:szCs w:val="22"/>
          <w:lang w:val="es-ES_tradnl"/>
        </w:rPr>
        <w:t xml:space="preserve"> </w:t>
      </w:r>
      <w:r w:rsidRPr="00DB68CC">
        <w:rPr>
          <w:rFonts w:ascii="Arial" w:hAnsi="Arial" w:cs="Arial"/>
          <w:sz w:val="22"/>
          <w:szCs w:val="22"/>
          <w:lang w:val="es-ES_tradnl"/>
        </w:rPr>
        <w:t xml:space="preserve">potencialmente elegibles. El análisis de riesgos debe llevarse a cabo para cada </w:t>
      </w:r>
      <w:r w:rsidR="00AD7D2E" w:rsidRPr="00DB68CC">
        <w:rPr>
          <w:rFonts w:ascii="Arial" w:hAnsi="Arial" w:cs="Arial"/>
          <w:sz w:val="22"/>
          <w:szCs w:val="22"/>
          <w:lang w:val="es-ES_tradnl"/>
        </w:rPr>
        <w:t>OSFPS</w:t>
      </w:r>
      <w:r w:rsidRPr="00DB68CC">
        <w:rPr>
          <w:rFonts w:ascii="Arial" w:hAnsi="Arial" w:cs="Arial"/>
          <w:sz w:val="22"/>
          <w:szCs w:val="22"/>
          <w:lang w:val="es-ES_tradnl"/>
        </w:rPr>
        <w:t xml:space="preserve">, al tiempo que deberá tener en cuenta criterios de concentración de riesgo. La evaluación del riesgo de crédito deberá basarse como mínimo en criterios estipulados en </w:t>
      </w:r>
      <w:r w:rsidR="00AD7D2E" w:rsidRPr="00DB68CC">
        <w:rPr>
          <w:rFonts w:ascii="Arial" w:hAnsi="Arial" w:cs="Arial"/>
          <w:sz w:val="22"/>
          <w:szCs w:val="22"/>
          <w:lang w:val="es-ES_tradnl"/>
        </w:rPr>
        <w:t>los Procedimientos y Manuales de Crédito de la CONAFIPS</w:t>
      </w:r>
      <w:r w:rsidRPr="00DB68CC">
        <w:rPr>
          <w:rFonts w:ascii="Arial" w:hAnsi="Arial" w:cs="Arial"/>
          <w:sz w:val="22"/>
          <w:szCs w:val="22"/>
          <w:lang w:val="es-ES_tradnl"/>
        </w:rPr>
        <w:t>. En todo caso, el análisis deberá incluir cuando menos:</w:t>
      </w:r>
    </w:p>
    <w:p w14:paraId="6C042DE0" w14:textId="77777777" w:rsidR="00F723C2" w:rsidRPr="00DB68CC" w:rsidRDefault="00F723C2" w:rsidP="00F723C2">
      <w:pPr>
        <w:pStyle w:val="ListParagraph"/>
        <w:ind w:left="792"/>
        <w:jc w:val="both"/>
        <w:rPr>
          <w:rFonts w:ascii="Arial" w:hAnsi="Arial" w:cs="Arial"/>
          <w:sz w:val="22"/>
          <w:szCs w:val="22"/>
          <w:lang w:val="es-ES_tradnl"/>
        </w:rPr>
      </w:pPr>
    </w:p>
    <w:p w14:paraId="6A5DD741" w14:textId="1FDB0950" w:rsidR="00D40A4E" w:rsidRPr="00DB68CC" w:rsidRDefault="00D40A4E" w:rsidP="0099721A">
      <w:pPr>
        <w:pStyle w:val="ListParagraph"/>
        <w:numPr>
          <w:ilvl w:val="0"/>
          <w:numId w:val="15"/>
        </w:numPr>
        <w:spacing w:before="20"/>
        <w:jc w:val="both"/>
        <w:rPr>
          <w:rFonts w:ascii="Arial" w:hAnsi="Arial" w:cs="Arial"/>
          <w:sz w:val="22"/>
          <w:szCs w:val="22"/>
          <w:lang w:val="es-ES_tradnl"/>
        </w:rPr>
      </w:pPr>
      <w:r w:rsidRPr="00DB68CC">
        <w:rPr>
          <w:rFonts w:ascii="Arial" w:hAnsi="Arial" w:cs="Arial"/>
          <w:sz w:val="22"/>
          <w:szCs w:val="22"/>
          <w:lang w:val="es-ES_tradnl"/>
        </w:rPr>
        <w:t>Seguimientos financieros mensuales extra–situ para las entidades que ya son sujeto de crédito.</w:t>
      </w:r>
    </w:p>
    <w:p w14:paraId="3101001B"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2D17B587" w14:textId="5ACE7913" w:rsidR="00D40A4E" w:rsidRPr="00DB68CC" w:rsidRDefault="00D40A4E" w:rsidP="0099721A">
      <w:pPr>
        <w:pStyle w:val="ListParagraph"/>
        <w:numPr>
          <w:ilvl w:val="0"/>
          <w:numId w:val="15"/>
        </w:numPr>
        <w:spacing w:before="20"/>
        <w:jc w:val="both"/>
        <w:rPr>
          <w:rFonts w:ascii="Arial" w:hAnsi="Arial" w:cs="Arial"/>
          <w:sz w:val="22"/>
          <w:szCs w:val="22"/>
          <w:lang w:val="es-ES_tradnl"/>
        </w:rPr>
      </w:pPr>
      <w:r w:rsidRPr="00DB68CC">
        <w:rPr>
          <w:rFonts w:ascii="Arial" w:hAnsi="Arial" w:cs="Arial"/>
          <w:sz w:val="22"/>
          <w:szCs w:val="22"/>
          <w:lang w:val="es-ES_tradnl"/>
        </w:rPr>
        <w:t>Análisis cualitativo y cuantitativo extra–situ e in–situ para las entidades que quieren ser nuevos sujetos de crédito.</w:t>
      </w:r>
    </w:p>
    <w:p w14:paraId="11BDE965"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019BB884" w14:textId="34CC03E3" w:rsidR="00D40A4E" w:rsidRPr="00DB68CC" w:rsidRDefault="00D40A4E" w:rsidP="0099721A">
      <w:pPr>
        <w:pStyle w:val="ListParagraph"/>
        <w:numPr>
          <w:ilvl w:val="0"/>
          <w:numId w:val="15"/>
        </w:numPr>
        <w:spacing w:before="20"/>
        <w:jc w:val="both"/>
        <w:rPr>
          <w:rFonts w:ascii="Arial" w:hAnsi="Arial" w:cs="Arial"/>
          <w:sz w:val="22"/>
          <w:szCs w:val="22"/>
          <w:lang w:val="es-ES_tradnl"/>
        </w:rPr>
      </w:pPr>
      <w:r w:rsidRPr="00DB68CC">
        <w:rPr>
          <w:rFonts w:ascii="Arial" w:hAnsi="Arial" w:cs="Arial"/>
          <w:sz w:val="22"/>
          <w:szCs w:val="22"/>
          <w:lang w:val="es-ES_tradnl"/>
        </w:rPr>
        <w:t>Análisis cualitativos y cuantitativos anuales extra–situ para las entidades que ya son sujeto de crédito.</w:t>
      </w:r>
    </w:p>
    <w:p w14:paraId="0F8AF881"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1B014948" w14:textId="3DAF7792" w:rsidR="00802CC3" w:rsidRPr="00DB68CC" w:rsidRDefault="00802CC3" w:rsidP="0099721A">
      <w:pPr>
        <w:pStyle w:val="ListParagraph"/>
        <w:numPr>
          <w:ilvl w:val="0"/>
          <w:numId w:val="15"/>
        </w:numPr>
        <w:spacing w:before="20"/>
        <w:jc w:val="both"/>
        <w:rPr>
          <w:rFonts w:ascii="Arial" w:hAnsi="Arial" w:cs="Arial"/>
          <w:sz w:val="22"/>
          <w:szCs w:val="22"/>
          <w:lang w:val="es-ES_tradnl"/>
        </w:rPr>
      </w:pPr>
      <w:r w:rsidRPr="00DB68CC">
        <w:rPr>
          <w:rFonts w:ascii="Arial" w:hAnsi="Arial" w:cs="Arial"/>
          <w:sz w:val="22"/>
          <w:szCs w:val="22"/>
          <w:lang w:val="es-ES_tradnl"/>
        </w:rPr>
        <w:t>Evaluar la Políticas Generales y la Políticas de Crédito de la OSFPS potencialmente elegibles, incluyendo el cumplimiento de la regulación de gestión de riesgos exigida por la SEPS.</w:t>
      </w:r>
    </w:p>
    <w:p w14:paraId="6652044D"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4E024378" w14:textId="17C23217" w:rsidR="00D40A4E" w:rsidRPr="00DB68CC" w:rsidRDefault="00D40A4E" w:rsidP="0099721A">
      <w:pPr>
        <w:pStyle w:val="ListParagraph"/>
        <w:numPr>
          <w:ilvl w:val="0"/>
          <w:numId w:val="15"/>
        </w:numPr>
        <w:spacing w:before="20"/>
        <w:jc w:val="both"/>
        <w:rPr>
          <w:rFonts w:ascii="Arial" w:hAnsi="Arial" w:cs="Arial"/>
          <w:sz w:val="22"/>
          <w:szCs w:val="22"/>
          <w:lang w:val="es-ES_tradnl"/>
        </w:rPr>
      </w:pPr>
      <w:r w:rsidRPr="00DB68CC">
        <w:rPr>
          <w:rFonts w:ascii="Arial" w:hAnsi="Arial" w:cs="Arial"/>
          <w:sz w:val="22"/>
          <w:szCs w:val="22"/>
          <w:lang w:val="es-ES_tradnl"/>
        </w:rPr>
        <w:t xml:space="preserve">Generar reportes semestrales acerca de la situación de las entidades que ya son sujeto de crédito, los cuales serán remitidos al BID a través de la Representación en </w:t>
      </w:r>
      <w:r w:rsidR="00AD7D2E" w:rsidRPr="00DB68CC">
        <w:rPr>
          <w:rFonts w:ascii="Arial" w:hAnsi="Arial" w:cs="Arial"/>
          <w:sz w:val="22"/>
          <w:szCs w:val="22"/>
          <w:lang w:val="es-ES_tradnl"/>
        </w:rPr>
        <w:t>Ecuador</w:t>
      </w:r>
      <w:r w:rsidRPr="00DB68CC">
        <w:rPr>
          <w:rFonts w:ascii="Arial" w:hAnsi="Arial" w:cs="Arial"/>
          <w:sz w:val="22"/>
          <w:szCs w:val="22"/>
          <w:lang w:val="es-ES_tradnl"/>
        </w:rPr>
        <w:t xml:space="preserve">, como parte del Informe </w:t>
      </w:r>
      <w:r w:rsidR="0074501A" w:rsidRPr="00DB68CC">
        <w:rPr>
          <w:rFonts w:ascii="Arial" w:hAnsi="Arial" w:cs="Arial"/>
          <w:sz w:val="22"/>
          <w:szCs w:val="22"/>
          <w:lang w:val="es-ES_tradnl"/>
        </w:rPr>
        <w:t>Periódico</w:t>
      </w:r>
      <w:r w:rsidRPr="00DB68CC">
        <w:rPr>
          <w:rFonts w:ascii="Arial" w:hAnsi="Arial" w:cs="Arial"/>
          <w:sz w:val="22"/>
          <w:szCs w:val="22"/>
          <w:lang w:val="es-ES_tradnl"/>
        </w:rPr>
        <w:t xml:space="preserve"> </w:t>
      </w:r>
      <w:r w:rsidR="0074501A" w:rsidRPr="00DB68CC">
        <w:rPr>
          <w:rFonts w:ascii="Arial" w:hAnsi="Arial" w:cs="Arial"/>
          <w:sz w:val="22"/>
          <w:szCs w:val="22"/>
          <w:lang w:val="es-ES_tradnl"/>
        </w:rPr>
        <w:t>estipulado en</w:t>
      </w:r>
      <w:r w:rsidRPr="00DB68CC">
        <w:rPr>
          <w:rFonts w:ascii="Arial" w:hAnsi="Arial" w:cs="Arial"/>
          <w:sz w:val="22"/>
          <w:szCs w:val="22"/>
          <w:lang w:val="es-ES_tradnl"/>
        </w:rPr>
        <w:t xml:space="preserve"> este Reglamento.</w:t>
      </w:r>
    </w:p>
    <w:p w14:paraId="1A04ED1F" w14:textId="77777777" w:rsidR="00F723C2" w:rsidRPr="00DB68CC" w:rsidRDefault="00F723C2" w:rsidP="00F723C2">
      <w:pPr>
        <w:pStyle w:val="ListParagraph"/>
        <w:rPr>
          <w:rFonts w:ascii="Arial" w:hAnsi="Arial" w:cs="Arial"/>
          <w:sz w:val="22"/>
          <w:szCs w:val="22"/>
          <w:lang w:val="es-ES_tradnl"/>
        </w:rPr>
      </w:pPr>
    </w:p>
    <w:p w14:paraId="0A9C3F0C" w14:textId="137D1CDD" w:rsidR="00431FBC" w:rsidRPr="00DB68CC" w:rsidRDefault="00431FBC"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Responsabilidad de la </w:t>
      </w:r>
      <w:proofErr w:type="spellStart"/>
      <w:r w:rsidR="00802CC3" w:rsidRPr="00DB68CC">
        <w:rPr>
          <w:rFonts w:ascii="Arial" w:hAnsi="Arial" w:cs="Arial"/>
          <w:b/>
          <w:bCs/>
          <w:sz w:val="22"/>
          <w:szCs w:val="22"/>
          <w:lang w:val="es-ES_tradnl"/>
        </w:rPr>
        <w:t>subprestamista</w:t>
      </w:r>
      <w:proofErr w:type="spellEnd"/>
      <w:r w:rsidRPr="00DB68CC">
        <w:rPr>
          <w:rFonts w:ascii="Arial" w:hAnsi="Arial" w:cs="Arial"/>
          <w:b/>
          <w:bCs/>
          <w:sz w:val="22"/>
          <w:szCs w:val="22"/>
          <w:lang w:val="es-ES_tradnl"/>
        </w:rPr>
        <w:t xml:space="preserve">: </w:t>
      </w:r>
      <w:r w:rsidRPr="00DB68CC">
        <w:rPr>
          <w:rFonts w:ascii="Arial" w:hAnsi="Arial" w:cs="Arial"/>
          <w:sz w:val="22"/>
          <w:szCs w:val="22"/>
          <w:lang w:val="es-ES_tradnl"/>
        </w:rPr>
        <w:t>Es responsabilidad general de las Organizaciones del Sistema Financiero Popular y Solidario OSFPS evaluar el riesgo de crédito de los subpréstamos potencialmente elegibles. El análisis de riesgos debe llevarse a cabo para cada subpréstamo, al tiempo que deberá tener en cuenta criterios de concentración de riesgo. La evaluación del riesgo de crédito deberá basarse como en los procedimientos y criterios estipulados en los Manuales de Crédito y Riesgo de Cada OSFPS.</w:t>
      </w:r>
    </w:p>
    <w:p w14:paraId="41C9064E" w14:textId="77777777" w:rsidR="00F723C2" w:rsidRPr="00DB68CC" w:rsidRDefault="00F723C2" w:rsidP="00F723C2">
      <w:pPr>
        <w:pStyle w:val="ListParagraph"/>
        <w:ind w:left="792"/>
        <w:jc w:val="both"/>
        <w:rPr>
          <w:rFonts w:ascii="Arial" w:hAnsi="Arial" w:cs="Arial"/>
          <w:sz w:val="22"/>
          <w:szCs w:val="22"/>
          <w:lang w:val="es-ES_tradnl"/>
        </w:rPr>
      </w:pPr>
    </w:p>
    <w:p w14:paraId="3F76770F" w14:textId="79CC7138" w:rsidR="0087684C" w:rsidRPr="00DB68CC" w:rsidRDefault="00F109A6"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Responsabilidades particulares de </w:t>
      </w:r>
      <w:r w:rsidR="008B2E58" w:rsidRPr="00DB68CC">
        <w:rPr>
          <w:rFonts w:ascii="Arial" w:hAnsi="Arial" w:cs="Arial"/>
          <w:b/>
          <w:bCs/>
          <w:sz w:val="22"/>
          <w:szCs w:val="22"/>
          <w:lang w:val="es-ES_tradnl"/>
        </w:rPr>
        <w:t>la CONAFIPS</w:t>
      </w:r>
      <w:r w:rsidRPr="00DB68CC">
        <w:rPr>
          <w:rFonts w:ascii="Arial" w:hAnsi="Arial" w:cs="Arial"/>
          <w:b/>
          <w:bCs/>
          <w:sz w:val="22"/>
          <w:szCs w:val="22"/>
          <w:lang w:val="es-ES_tradnl"/>
        </w:rPr>
        <w:t xml:space="preserve"> frente a las </w:t>
      </w:r>
      <w:r w:rsidR="008B2E58" w:rsidRPr="00DB68CC">
        <w:rPr>
          <w:rFonts w:ascii="Arial" w:hAnsi="Arial" w:cs="Arial"/>
          <w:b/>
          <w:bCs/>
          <w:sz w:val="22"/>
          <w:szCs w:val="22"/>
          <w:lang w:val="es-ES_tradnl"/>
        </w:rPr>
        <w:t>OSFPS</w:t>
      </w:r>
      <w:r w:rsidRPr="00DB68CC">
        <w:rPr>
          <w:rFonts w:ascii="Arial" w:hAnsi="Arial" w:cs="Arial"/>
          <w:b/>
          <w:bCs/>
          <w:sz w:val="22"/>
          <w:szCs w:val="22"/>
          <w:lang w:val="es-ES_tradnl"/>
        </w:rPr>
        <w:t xml:space="preserve">: </w:t>
      </w:r>
      <w:r w:rsidRPr="00DB68CC">
        <w:rPr>
          <w:rFonts w:ascii="Arial" w:hAnsi="Arial" w:cs="Arial"/>
          <w:sz w:val="22"/>
          <w:szCs w:val="22"/>
          <w:lang w:val="es-ES_tradnl"/>
        </w:rPr>
        <w:t xml:space="preserve">En particular </w:t>
      </w:r>
      <w:r w:rsidR="008B2E58" w:rsidRPr="00DB68CC">
        <w:rPr>
          <w:rFonts w:ascii="Arial" w:hAnsi="Arial" w:cs="Arial"/>
          <w:sz w:val="22"/>
          <w:szCs w:val="22"/>
          <w:lang w:val="es-ES_tradnl"/>
        </w:rPr>
        <w:t>la CONAFIPS</w:t>
      </w:r>
      <w:r w:rsidRPr="00DB68CC">
        <w:rPr>
          <w:rFonts w:ascii="Arial" w:hAnsi="Arial" w:cs="Arial"/>
          <w:sz w:val="22"/>
          <w:szCs w:val="22"/>
          <w:lang w:val="es-ES_tradnl"/>
        </w:rPr>
        <w:t xml:space="preserve"> deberá cumplir, aunque no limitarse a, las siguientes actividades:</w:t>
      </w:r>
    </w:p>
    <w:p w14:paraId="62E584DD" w14:textId="77777777" w:rsidR="00F723C2" w:rsidRPr="00DB68CC" w:rsidRDefault="00F723C2" w:rsidP="00F723C2">
      <w:pPr>
        <w:pStyle w:val="ListParagraph"/>
        <w:rPr>
          <w:rFonts w:ascii="Arial" w:hAnsi="Arial" w:cs="Arial"/>
          <w:b/>
          <w:bCs/>
          <w:sz w:val="22"/>
          <w:szCs w:val="22"/>
          <w:lang w:val="es-ES_tradnl"/>
        </w:rPr>
      </w:pPr>
    </w:p>
    <w:p w14:paraId="0C64F648" w14:textId="54A0EB91" w:rsidR="00445553" w:rsidRPr="00DB68CC" w:rsidRDefault="00445553"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sz w:val="22"/>
          <w:szCs w:val="22"/>
          <w:lang w:val="es-ES_tradnl"/>
        </w:rPr>
        <w:t xml:space="preserve">Pagaré. El OE deberá solicitar a las </w:t>
      </w:r>
      <w:r w:rsidR="008B2E58" w:rsidRPr="00DB68CC">
        <w:rPr>
          <w:rFonts w:ascii="Arial" w:hAnsi="Arial" w:cs="Arial"/>
          <w:sz w:val="22"/>
          <w:szCs w:val="22"/>
          <w:lang w:val="es-ES_tradnl"/>
        </w:rPr>
        <w:t>OSFPS</w:t>
      </w:r>
      <w:r w:rsidRPr="00DB68CC">
        <w:rPr>
          <w:rFonts w:ascii="Arial" w:hAnsi="Arial" w:cs="Arial"/>
          <w:sz w:val="22"/>
          <w:szCs w:val="22"/>
          <w:lang w:val="es-ES_tradnl"/>
        </w:rPr>
        <w:t xml:space="preserve"> elegibles la firma de un pagaré por el 100% del desembolso, pudiendo tratarse de un solo préstamo o de un lote de varios préstamos, en cumplimiento de su política interna. </w:t>
      </w:r>
    </w:p>
    <w:p w14:paraId="4511396F"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1848E048" w14:textId="76126BBB" w:rsidR="00445553" w:rsidRPr="00DB68CC" w:rsidRDefault="00445553"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sz w:val="22"/>
          <w:szCs w:val="22"/>
          <w:lang w:val="es-ES_tradnl"/>
        </w:rPr>
        <w:lastRenderedPageBreak/>
        <w:t xml:space="preserve">Garantías. El OE deberá solicitar las garantías que correspondan a las </w:t>
      </w:r>
      <w:r w:rsidR="008B2E58" w:rsidRPr="00DB68CC">
        <w:rPr>
          <w:rFonts w:ascii="Arial" w:hAnsi="Arial" w:cs="Arial"/>
          <w:sz w:val="22"/>
          <w:szCs w:val="22"/>
          <w:lang w:val="es-ES_tradnl"/>
        </w:rPr>
        <w:t>OSFPS</w:t>
      </w:r>
      <w:r w:rsidRPr="00DB68CC">
        <w:rPr>
          <w:rFonts w:ascii="Arial" w:hAnsi="Arial" w:cs="Arial"/>
          <w:sz w:val="22"/>
          <w:szCs w:val="22"/>
          <w:lang w:val="es-ES_tradnl"/>
        </w:rPr>
        <w:t xml:space="preserve"> de acuerdo </w:t>
      </w:r>
      <w:r w:rsidR="001F7122" w:rsidRPr="00DB68CC">
        <w:rPr>
          <w:rFonts w:ascii="Arial" w:hAnsi="Arial" w:cs="Arial"/>
          <w:sz w:val="22"/>
          <w:szCs w:val="22"/>
          <w:lang w:val="es-ES_tradnl"/>
        </w:rPr>
        <w:t>con</w:t>
      </w:r>
      <w:r w:rsidRPr="00DB68CC">
        <w:rPr>
          <w:rFonts w:ascii="Arial" w:hAnsi="Arial" w:cs="Arial"/>
          <w:sz w:val="22"/>
          <w:szCs w:val="22"/>
          <w:lang w:val="es-ES_tradnl"/>
        </w:rPr>
        <w:t xml:space="preserve"> su nivel de riesgo en cumplimiento de su política interna.</w:t>
      </w:r>
    </w:p>
    <w:p w14:paraId="028B8E70"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3ED0DF81" w14:textId="43E9FC94" w:rsidR="00445553" w:rsidRPr="00DB68CC" w:rsidRDefault="00445553"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sz w:val="22"/>
          <w:szCs w:val="22"/>
          <w:lang w:val="es-ES_tradnl"/>
        </w:rPr>
        <w:t xml:space="preserve">Cesión de los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s. En relación con los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s que otorgue con los recursos del Préstamo, cada </w:t>
      </w:r>
      <w:r w:rsidR="008B2E58" w:rsidRPr="00DB68CC">
        <w:rPr>
          <w:rFonts w:ascii="Arial" w:hAnsi="Arial" w:cs="Arial"/>
          <w:sz w:val="22"/>
          <w:szCs w:val="22"/>
          <w:lang w:val="es-ES_tradnl"/>
        </w:rPr>
        <w:t>OSFPS</w:t>
      </w:r>
      <w:r w:rsidRPr="00DB68CC">
        <w:rPr>
          <w:rFonts w:ascii="Arial" w:hAnsi="Arial" w:cs="Arial"/>
          <w:sz w:val="22"/>
          <w:szCs w:val="22"/>
          <w:lang w:val="es-ES_tradnl"/>
        </w:rPr>
        <w:t xml:space="preserve"> elegible se compromete a: (a) mantenerlos en su cartera libre de todo </w:t>
      </w:r>
      <w:r w:rsidR="00615715" w:rsidRPr="00DB68CC">
        <w:rPr>
          <w:rFonts w:ascii="Arial" w:hAnsi="Arial" w:cs="Arial"/>
          <w:sz w:val="22"/>
          <w:szCs w:val="22"/>
          <w:lang w:val="es-ES_tradnl"/>
        </w:rPr>
        <w:t>gravamen; y</w:t>
      </w:r>
      <w:r w:rsidRPr="00DB68CC">
        <w:rPr>
          <w:rFonts w:ascii="Arial" w:hAnsi="Arial" w:cs="Arial"/>
          <w:sz w:val="22"/>
          <w:szCs w:val="22"/>
          <w:lang w:val="es-ES_tradnl"/>
        </w:rPr>
        <w:t xml:space="preserve"> (b) solicitar y obtener la aceptación previa del </w:t>
      </w:r>
      <w:r w:rsidR="008B2E58" w:rsidRPr="00DB68CC">
        <w:rPr>
          <w:rFonts w:ascii="Arial" w:hAnsi="Arial" w:cs="Arial"/>
          <w:sz w:val="22"/>
          <w:szCs w:val="22"/>
          <w:lang w:val="es-ES_tradnl"/>
        </w:rPr>
        <w:t xml:space="preserve">Organismo </w:t>
      </w:r>
      <w:r w:rsidRPr="00DB68CC">
        <w:rPr>
          <w:rFonts w:ascii="Arial" w:hAnsi="Arial" w:cs="Arial"/>
          <w:sz w:val="22"/>
          <w:szCs w:val="22"/>
          <w:lang w:val="es-ES_tradnl"/>
        </w:rPr>
        <w:t xml:space="preserve">Ejecutor en los casos en que se proponga venderlos, cederlos o traspasarlos a terceras personas. De igual manera, es obligación de la </w:t>
      </w:r>
      <w:r w:rsidR="008B2E58" w:rsidRPr="00DB68CC">
        <w:rPr>
          <w:rFonts w:ascii="Arial" w:hAnsi="Arial" w:cs="Arial"/>
          <w:sz w:val="22"/>
          <w:szCs w:val="22"/>
          <w:lang w:val="es-ES_tradnl"/>
        </w:rPr>
        <w:t>OSFPS</w:t>
      </w:r>
      <w:r w:rsidRPr="00DB68CC">
        <w:rPr>
          <w:rFonts w:ascii="Arial" w:hAnsi="Arial" w:cs="Arial"/>
          <w:sz w:val="22"/>
          <w:szCs w:val="22"/>
          <w:lang w:val="es-ES_tradnl"/>
        </w:rPr>
        <w:t xml:space="preserve"> reportar a</w:t>
      </w:r>
      <w:r w:rsidR="00117562" w:rsidRPr="00DB68CC">
        <w:rPr>
          <w:rFonts w:ascii="Arial" w:hAnsi="Arial" w:cs="Arial"/>
          <w:sz w:val="22"/>
          <w:szCs w:val="22"/>
          <w:lang w:val="es-ES_tradnl"/>
        </w:rPr>
        <w:t>l OE</w:t>
      </w:r>
      <w:r w:rsidRPr="00DB68CC">
        <w:rPr>
          <w:rFonts w:ascii="Arial" w:hAnsi="Arial" w:cs="Arial"/>
          <w:sz w:val="22"/>
          <w:szCs w:val="22"/>
          <w:lang w:val="es-ES_tradnl"/>
        </w:rPr>
        <w:t xml:space="preserve"> </w:t>
      </w:r>
      <w:r w:rsidR="001F7122" w:rsidRPr="00DB68CC">
        <w:rPr>
          <w:rFonts w:ascii="Arial" w:hAnsi="Arial" w:cs="Arial"/>
          <w:sz w:val="22"/>
          <w:szCs w:val="22"/>
          <w:lang w:val="es-ES_tradnl"/>
        </w:rPr>
        <w:t>en caso de que</w:t>
      </w:r>
      <w:r w:rsidRPr="00DB68CC">
        <w:rPr>
          <w:rFonts w:ascii="Arial" w:hAnsi="Arial" w:cs="Arial"/>
          <w:sz w:val="22"/>
          <w:szCs w:val="22"/>
          <w:lang w:val="es-ES_tradnl"/>
        </w:rPr>
        <w:t xml:space="preserve"> se hagan sustituciones o remplazos de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s con los recursos del programa. </w:t>
      </w:r>
    </w:p>
    <w:p w14:paraId="500F561E"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6E1B3E4A" w14:textId="3EE41BE8" w:rsidR="00445553" w:rsidRPr="00DB68CC" w:rsidRDefault="00445553"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sz w:val="22"/>
          <w:szCs w:val="22"/>
          <w:lang w:val="es-ES_tradnl"/>
        </w:rPr>
        <w:t xml:space="preserve">Desempeño </w:t>
      </w:r>
      <w:r w:rsidR="008B2E58" w:rsidRPr="00DB68CC">
        <w:rPr>
          <w:rFonts w:ascii="Arial" w:hAnsi="Arial" w:cs="Arial"/>
          <w:sz w:val="22"/>
          <w:szCs w:val="22"/>
          <w:lang w:val="es-ES_tradnl"/>
        </w:rPr>
        <w:t>de las OSFPS</w:t>
      </w:r>
      <w:r w:rsidRPr="00DB68CC">
        <w:rPr>
          <w:rFonts w:ascii="Arial" w:hAnsi="Arial" w:cs="Arial"/>
          <w:sz w:val="22"/>
          <w:szCs w:val="22"/>
          <w:lang w:val="es-ES_tradnl"/>
        </w:rPr>
        <w:t xml:space="preserve"> elegibles</w:t>
      </w:r>
      <w:r w:rsidR="008B2E58" w:rsidRPr="00DB68CC">
        <w:rPr>
          <w:rFonts w:ascii="Arial" w:hAnsi="Arial" w:cs="Arial"/>
          <w:sz w:val="22"/>
          <w:szCs w:val="22"/>
          <w:lang w:val="es-ES_tradnl"/>
        </w:rPr>
        <w:t>:</w:t>
      </w:r>
      <w:r w:rsidRPr="00DB68CC">
        <w:rPr>
          <w:rFonts w:ascii="Arial" w:hAnsi="Arial" w:cs="Arial"/>
          <w:sz w:val="22"/>
          <w:szCs w:val="22"/>
          <w:lang w:val="es-ES_tradnl"/>
        </w:rPr>
        <w:t xml:space="preserve"> Será responsabilidad de</w:t>
      </w:r>
      <w:r w:rsidR="00117562" w:rsidRPr="00DB68CC">
        <w:rPr>
          <w:rFonts w:ascii="Arial" w:hAnsi="Arial" w:cs="Arial"/>
          <w:sz w:val="22"/>
          <w:szCs w:val="22"/>
          <w:lang w:val="es-ES_tradnl"/>
        </w:rPr>
        <w:t>l OE</w:t>
      </w:r>
      <w:r w:rsidRPr="00DB68CC">
        <w:rPr>
          <w:rFonts w:ascii="Arial" w:hAnsi="Arial" w:cs="Arial"/>
          <w:sz w:val="22"/>
          <w:szCs w:val="22"/>
          <w:lang w:val="es-ES_tradnl"/>
        </w:rPr>
        <w:t xml:space="preserve"> llevar a cabo el seguimiento del desempeño financiero y los demás aspectos, cualitativos y cuantitativos, que hagan a una </w:t>
      </w:r>
      <w:r w:rsidR="008B2E58" w:rsidRPr="00DB68CC">
        <w:rPr>
          <w:rFonts w:ascii="Arial" w:hAnsi="Arial" w:cs="Arial"/>
          <w:sz w:val="22"/>
          <w:szCs w:val="22"/>
          <w:lang w:val="es-ES_tradnl"/>
        </w:rPr>
        <w:t>OSFPS</w:t>
      </w:r>
      <w:r w:rsidRPr="00DB68CC">
        <w:rPr>
          <w:rFonts w:ascii="Arial" w:hAnsi="Arial" w:cs="Arial"/>
          <w:sz w:val="22"/>
          <w:szCs w:val="22"/>
          <w:lang w:val="es-ES_tradnl"/>
        </w:rPr>
        <w:t xml:space="preserve"> elegible </w:t>
      </w:r>
      <w:r w:rsidR="008B2E58" w:rsidRPr="00DB68CC">
        <w:rPr>
          <w:rFonts w:ascii="Arial" w:hAnsi="Arial" w:cs="Arial"/>
          <w:sz w:val="22"/>
          <w:szCs w:val="22"/>
          <w:lang w:val="es-ES_tradnl"/>
        </w:rPr>
        <w:t xml:space="preserve">como </w:t>
      </w:r>
      <w:r w:rsidRPr="00DB68CC">
        <w:rPr>
          <w:rFonts w:ascii="Arial" w:hAnsi="Arial" w:cs="Arial"/>
          <w:sz w:val="22"/>
          <w:szCs w:val="22"/>
          <w:lang w:val="es-ES_tradnl"/>
        </w:rPr>
        <w:t xml:space="preserve">sujeto de crédito de </w:t>
      </w:r>
      <w:r w:rsidR="008B2E58" w:rsidRPr="00DB68CC">
        <w:rPr>
          <w:rFonts w:ascii="Arial" w:hAnsi="Arial" w:cs="Arial"/>
          <w:sz w:val="22"/>
          <w:szCs w:val="22"/>
          <w:lang w:val="es-ES_tradnl"/>
        </w:rPr>
        <w:t>la CONAFIPS</w:t>
      </w:r>
      <w:r w:rsidRPr="00DB68CC">
        <w:rPr>
          <w:rFonts w:ascii="Arial" w:hAnsi="Arial" w:cs="Arial"/>
          <w:sz w:val="22"/>
          <w:szCs w:val="22"/>
          <w:lang w:val="es-ES_tradnl"/>
        </w:rPr>
        <w:t xml:space="preserve">.  </w:t>
      </w:r>
    </w:p>
    <w:p w14:paraId="5FA39913" w14:textId="77777777" w:rsidR="00F723C2" w:rsidRPr="00DB68CC" w:rsidRDefault="00F723C2" w:rsidP="00CB5C55">
      <w:pPr>
        <w:pStyle w:val="ListParagraph"/>
        <w:spacing w:before="20"/>
        <w:ind w:left="1152"/>
        <w:jc w:val="both"/>
        <w:rPr>
          <w:rFonts w:ascii="Arial" w:hAnsi="Arial" w:cs="Arial"/>
          <w:sz w:val="22"/>
          <w:szCs w:val="22"/>
          <w:lang w:val="es-ES_tradnl"/>
        </w:rPr>
      </w:pPr>
    </w:p>
    <w:p w14:paraId="629C3605" w14:textId="03228C23" w:rsidR="00790EB1" w:rsidRPr="00DB68CC" w:rsidRDefault="00445553"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sz w:val="22"/>
          <w:szCs w:val="22"/>
          <w:lang w:val="es-ES_tradnl"/>
        </w:rPr>
        <w:t>Concentración de riesgo</w:t>
      </w:r>
      <w:r w:rsidR="00790EB1" w:rsidRPr="00DB68CC">
        <w:rPr>
          <w:rFonts w:ascii="Arial" w:hAnsi="Arial" w:cs="Arial"/>
          <w:sz w:val="22"/>
          <w:szCs w:val="22"/>
          <w:lang w:val="es-ES_tradnl"/>
        </w:rPr>
        <w:t>:</w:t>
      </w:r>
      <w:r w:rsidRPr="00DB68CC">
        <w:rPr>
          <w:rFonts w:ascii="Arial" w:hAnsi="Arial" w:cs="Arial"/>
          <w:sz w:val="22"/>
          <w:szCs w:val="22"/>
          <w:lang w:val="es-ES_tradnl"/>
        </w:rPr>
        <w:t xml:space="preserve"> </w:t>
      </w:r>
      <w:r w:rsidR="00790EB1" w:rsidRPr="00DB68CC">
        <w:rPr>
          <w:rFonts w:ascii="Arial" w:hAnsi="Arial" w:cs="Arial"/>
          <w:sz w:val="22"/>
          <w:szCs w:val="22"/>
          <w:lang w:val="es-ES_tradnl"/>
        </w:rPr>
        <w:t>Será responsabilidad de la CONAFIPS el control de las reglas sobre concentración de riesgo de crédito a sujetos elegibles en los subpréstamos. En todo caso, ningún cliente podrá tener en ningún momento más de US$</w:t>
      </w:r>
      <w:r w:rsidR="009F4A97">
        <w:rPr>
          <w:rFonts w:ascii="Arial" w:hAnsi="Arial" w:cs="Arial"/>
          <w:sz w:val="22"/>
          <w:szCs w:val="22"/>
          <w:lang w:val="es-ES_tradnl"/>
        </w:rPr>
        <w:t>5</w:t>
      </w:r>
      <w:r w:rsidR="00790EB1" w:rsidRPr="00DB68CC">
        <w:rPr>
          <w:rFonts w:ascii="Arial" w:hAnsi="Arial" w:cs="Arial"/>
          <w:sz w:val="22"/>
          <w:szCs w:val="22"/>
          <w:lang w:val="es-ES_tradnl"/>
        </w:rPr>
        <w:t>0.000 en el agregado de los subpréstamos para la misma persona natural o jurídica o relacionada. Asimismo, ninguna de OSFPS podrá tener una concentración superior al 5% del total de los recursos del Programa. Cualquier excepción a estos niveles de concentración deberá pactarse previamente y por escrito con el BID. El análisis de concentración de riesgo deberá contener al menos:</w:t>
      </w:r>
    </w:p>
    <w:p w14:paraId="685F3299" w14:textId="77777777" w:rsidR="00F723C2" w:rsidRPr="00DB68CC" w:rsidRDefault="00F723C2" w:rsidP="00F723C2">
      <w:pPr>
        <w:pStyle w:val="ListParagraph"/>
        <w:rPr>
          <w:rFonts w:ascii="Arial" w:hAnsi="Arial" w:cs="Arial"/>
          <w:sz w:val="22"/>
          <w:szCs w:val="22"/>
          <w:lang w:val="es-ES_tradnl"/>
        </w:rPr>
      </w:pPr>
    </w:p>
    <w:p w14:paraId="1DD14808" w14:textId="77777777" w:rsidR="00790EB1" w:rsidRPr="00DB68CC" w:rsidRDefault="00790EB1"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Revisión del entorno de riesgo del sector o banca;</w:t>
      </w:r>
    </w:p>
    <w:p w14:paraId="00C50D69" w14:textId="71053E27" w:rsidR="00790EB1" w:rsidRPr="00DB68CC" w:rsidRDefault="00790EB1"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Análisis de escenarios incluyendo pruebas de estrés;</w:t>
      </w:r>
    </w:p>
    <w:p w14:paraId="22A038F5" w14:textId="71CCD2F9" w:rsidR="00790EB1" w:rsidRPr="00DB68CC" w:rsidRDefault="00790EB1"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Resultados económicos de grandes exposiciones individuales;</w:t>
      </w:r>
    </w:p>
    <w:p w14:paraId="77B5D13D" w14:textId="3C731DB4" w:rsidR="00790EB1" w:rsidRPr="00DB68CC" w:rsidRDefault="00790EB1"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Revisión de los niveles de autorización de nuevas operaciones; y</w:t>
      </w:r>
    </w:p>
    <w:p w14:paraId="26318256" w14:textId="632B8492" w:rsidR="00445553" w:rsidRPr="00DB68CC" w:rsidRDefault="00790EB1"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Revisión periódica de los mitigantes del riesgo, su valor y factibilidad legal en caso de recuperar el préstamo con la garantía.</w:t>
      </w:r>
    </w:p>
    <w:p w14:paraId="78089DCF" w14:textId="77777777" w:rsidR="00F723C2" w:rsidRPr="00DB68CC" w:rsidRDefault="00F723C2" w:rsidP="00F723C2">
      <w:pPr>
        <w:pStyle w:val="subpar"/>
        <w:numPr>
          <w:ilvl w:val="0"/>
          <w:numId w:val="0"/>
        </w:numPr>
        <w:spacing w:before="0" w:after="0"/>
        <w:ind w:left="2592"/>
        <w:rPr>
          <w:rFonts w:ascii="Arial" w:hAnsi="Arial" w:cs="Arial"/>
          <w:sz w:val="22"/>
          <w:szCs w:val="22"/>
        </w:rPr>
      </w:pPr>
    </w:p>
    <w:p w14:paraId="27D1F4E9" w14:textId="2AB14CBF" w:rsidR="00F109A6" w:rsidRPr="00DB68CC" w:rsidRDefault="00445553"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b/>
          <w:bCs/>
          <w:sz w:val="22"/>
          <w:szCs w:val="22"/>
          <w:lang w:val="es-ES_tradnl"/>
        </w:rPr>
        <w:t xml:space="preserve">Solvencia y liquidez de </w:t>
      </w:r>
      <w:r w:rsidR="008B2E58" w:rsidRPr="00DB68CC">
        <w:rPr>
          <w:rFonts w:ascii="Arial" w:hAnsi="Arial" w:cs="Arial"/>
          <w:b/>
          <w:bCs/>
          <w:sz w:val="22"/>
          <w:szCs w:val="22"/>
          <w:lang w:val="es-ES_tradnl"/>
        </w:rPr>
        <w:t>las</w:t>
      </w:r>
      <w:r w:rsidR="008B2E58" w:rsidRPr="00DB68CC">
        <w:rPr>
          <w:rFonts w:ascii="Arial" w:hAnsi="Arial" w:cs="Arial"/>
          <w:sz w:val="22"/>
          <w:szCs w:val="22"/>
          <w:lang w:val="es-ES_tradnl"/>
        </w:rPr>
        <w:t xml:space="preserve"> </w:t>
      </w:r>
      <w:r w:rsidR="008B2E58" w:rsidRPr="00DB68CC">
        <w:rPr>
          <w:rFonts w:ascii="Arial" w:hAnsi="Arial" w:cs="Arial"/>
          <w:b/>
          <w:bCs/>
          <w:sz w:val="22"/>
          <w:szCs w:val="22"/>
          <w:lang w:val="es-ES_tradnl"/>
        </w:rPr>
        <w:t>OSFPS</w:t>
      </w:r>
      <w:r w:rsidRPr="00DB68CC">
        <w:rPr>
          <w:rFonts w:ascii="Arial" w:hAnsi="Arial" w:cs="Arial"/>
          <w:sz w:val="22"/>
          <w:szCs w:val="22"/>
          <w:lang w:val="es-ES_tradnl"/>
        </w:rPr>
        <w:t xml:space="preserve">. En todo caso, no se podrán otorgar créditos a </w:t>
      </w:r>
      <w:r w:rsidR="008B2E58" w:rsidRPr="00DB68CC">
        <w:rPr>
          <w:rFonts w:ascii="Arial" w:hAnsi="Arial" w:cs="Arial"/>
          <w:sz w:val="22"/>
          <w:szCs w:val="22"/>
          <w:lang w:val="es-ES_tradnl"/>
        </w:rPr>
        <w:t>entidades</w:t>
      </w:r>
      <w:r w:rsidRPr="00DB68CC">
        <w:rPr>
          <w:rFonts w:ascii="Arial" w:hAnsi="Arial" w:cs="Arial"/>
          <w:sz w:val="22"/>
          <w:szCs w:val="22"/>
          <w:lang w:val="es-ES_tradnl"/>
        </w:rPr>
        <w:t xml:space="preserve"> que presenten problemas de solvencia y/o liquidez en el momento de otorgar el cupo de crédito</w:t>
      </w:r>
      <w:r w:rsidR="00AD7D2E" w:rsidRPr="00DB68CC">
        <w:rPr>
          <w:rFonts w:ascii="Arial" w:hAnsi="Arial" w:cs="Arial"/>
          <w:sz w:val="22"/>
          <w:szCs w:val="22"/>
          <w:lang w:val="es-ES_tradnl"/>
        </w:rPr>
        <w:t xml:space="preserve">, y que tengan una Calificación </w:t>
      </w:r>
      <w:r w:rsidR="00896614" w:rsidRPr="00DB68CC">
        <w:rPr>
          <w:rFonts w:ascii="Arial" w:hAnsi="Arial" w:cs="Arial"/>
          <w:sz w:val="22"/>
          <w:szCs w:val="22"/>
          <w:lang w:val="es-ES_tradnl"/>
        </w:rPr>
        <w:t>de</w:t>
      </w:r>
      <w:r w:rsidR="00AD7D2E" w:rsidRPr="00DB68CC">
        <w:rPr>
          <w:rFonts w:ascii="Arial" w:hAnsi="Arial" w:cs="Arial"/>
          <w:sz w:val="22"/>
          <w:szCs w:val="22"/>
          <w:lang w:val="es-ES_tradnl"/>
        </w:rPr>
        <w:t xml:space="preserve"> Riesgo Institucional inferior a BB.</w:t>
      </w:r>
    </w:p>
    <w:p w14:paraId="5315FE57" w14:textId="77777777" w:rsidR="00F723C2" w:rsidRPr="00DB68CC" w:rsidRDefault="00F723C2" w:rsidP="00F723C2">
      <w:pPr>
        <w:pStyle w:val="ListParagraph"/>
        <w:ind w:left="1152"/>
        <w:jc w:val="both"/>
        <w:rPr>
          <w:rFonts w:ascii="Arial" w:hAnsi="Arial" w:cs="Arial"/>
          <w:sz w:val="22"/>
          <w:szCs w:val="22"/>
          <w:lang w:val="es-ES_tradnl"/>
        </w:rPr>
      </w:pPr>
    </w:p>
    <w:p w14:paraId="6477EF19" w14:textId="1AA21F30" w:rsidR="00431FBC" w:rsidRPr="00DB68CC" w:rsidRDefault="00431FBC" w:rsidP="0099721A">
      <w:pPr>
        <w:pStyle w:val="ListParagraph"/>
        <w:numPr>
          <w:ilvl w:val="0"/>
          <w:numId w:val="16"/>
        </w:numPr>
        <w:spacing w:before="20"/>
        <w:jc w:val="both"/>
        <w:rPr>
          <w:rFonts w:ascii="Arial" w:hAnsi="Arial" w:cs="Arial"/>
          <w:sz w:val="22"/>
          <w:szCs w:val="22"/>
          <w:lang w:val="es-ES_tradnl"/>
        </w:rPr>
      </w:pPr>
      <w:r w:rsidRPr="00DB68CC">
        <w:rPr>
          <w:rFonts w:ascii="Arial" w:hAnsi="Arial" w:cs="Arial"/>
          <w:b/>
          <w:bCs/>
          <w:sz w:val="22"/>
          <w:szCs w:val="22"/>
          <w:lang w:val="es-ES_tradnl"/>
        </w:rPr>
        <w:t>Informes Mensuales-Créditos individuales:</w:t>
      </w:r>
      <w:r w:rsidRPr="00DB68CC">
        <w:rPr>
          <w:rFonts w:ascii="Arial" w:hAnsi="Arial" w:cs="Arial"/>
          <w:sz w:val="22"/>
          <w:szCs w:val="22"/>
          <w:lang w:val="es-ES_tradnl"/>
        </w:rPr>
        <w:t xml:space="preserve"> El Organismo Ejecutor, en base a la información proporcionada por la</w:t>
      </w:r>
      <w:r w:rsidR="00790EB1" w:rsidRPr="00DB68CC">
        <w:rPr>
          <w:rFonts w:ascii="Arial" w:hAnsi="Arial" w:cs="Arial"/>
          <w:sz w:val="22"/>
          <w:szCs w:val="22"/>
          <w:lang w:val="es-ES_tradnl"/>
        </w:rPr>
        <w:t>s</w:t>
      </w:r>
      <w:r w:rsidRPr="00DB68CC">
        <w:rPr>
          <w:rFonts w:ascii="Arial" w:hAnsi="Arial" w:cs="Arial"/>
          <w:sz w:val="22"/>
          <w:szCs w:val="22"/>
          <w:lang w:val="es-ES_tradnl"/>
        </w:rPr>
        <w:t xml:space="preserve"> entidades subprestamistas, se compromete a elaborar informes mensuales de seguimiento de la cartera fondeada con los recursos del presente programa. El análisis deberá contener el detalle individual de los créditos incluyendo, pero no restringiéndose a:</w:t>
      </w:r>
    </w:p>
    <w:p w14:paraId="3E2EBD8D" w14:textId="77777777" w:rsidR="00F723C2" w:rsidRPr="00DB68CC" w:rsidRDefault="00F723C2" w:rsidP="00F723C2">
      <w:pPr>
        <w:pStyle w:val="subpar"/>
        <w:numPr>
          <w:ilvl w:val="0"/>
          <w:numId w:val="0"/>
        </w:numPr>
        <w:spacing w:before="0" w:after="0"/>
        <w:ind w:left="2592"/>
        <w:rPr>
          <w:rFonts w:ascii="Arial" w:hAnsi="Arial" w:cs="Arial"/>
          <w:sz w:val="22"/>
          <w:szCs w:val="22"/>
        </w:rPr>
      </w:pPr>
    </w:p>
    <w:p w14:paraId="681C6E18" w14:textId="6F5F82ED"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Monto total</w:t>
      </w:r>
    </w:p>
    <w:p w14:paraId="25B86AA8" w14:textId="4A73590F"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Plazo original</w:t>
      </w:r>
    </w:p>
    <w:p w14:paraId="2EE08400" w14:textId="5879AB02"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Plazo remanente</w:t>
      </w:r>
    </w:p>
    <w:p w14:paraId="7634CD16" w14:textId="3D847E41"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Tasa de interés pactada con el cliente</w:t>
      </w:r>
    </w:p>
    <w:p w14:paraId="62ACC412" w14:textId="73864DAF"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Mora</w:t>
      </w:r>
    </w:p>
    <w:p w14:paraId="18EAC2C7" w14:textId="04538500"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Monto de garantía</w:t>
      </w:r>
    </w:p>
    <w:p w14:paraId="013F16C7" w14:textId="42D7323E"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Tipo de garantía</w:t>
      </w:r>
    </w:p>
    <w:p w14:paraId="6C597288" w14:textId="7AAEF51C"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Clasificación de riesgo del cliente al momento del otorgamiento</w:t>
      </w:r>
    </w:p>
    <w:p w14:paraId="3E8BCBFC" w14:textId="268A6A63"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lastRenderedPageBreak/>
        <w:t>OSFPS destino de los créditos</w:t>
      </w:r>
    </w:p>
    <w:p w14:paraId="141D5C3D" w14:textId="69468D0B"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Municipio en el que se otorga el crédito</w:t>
      </w:r>
    </w:p>
    <w:p w14:paraId="456853E5" w14:textId="66A1B3A6"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Variable de género</w:t>
      </w:r>
    </w:p>
    <w:p w14:paraId="4E6759D3" w14:textId="7A7DBC0C"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Variable de crédito de sostenibilidad</w:t>
      </w:r>
    </w:p>
    <w:p w14:paraId="6DEDC120" w14:textId="7CF572F4"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Ventas anuales</w:t>
      </w:r>
    </w:p>
    <w:p w14:paraId="5516E1C8" w14:textId="6BB4662B"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Número de empleados</w:t>
      </w:r>
    </w:p>
    <w:p w14:paraId="69E0AAEB" w14:textId="091C6629" w:rsidR="00431FBC" w:rsidRPr="00DB68CC" w:rsidRDefault="00431FBC"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Otros que se pacten con el BID</w:t>
      </w:r>
    </w:p>
    <w:p w14:paraId="58BC8D4B" w14:textId="77777777" w:rsidR="00F723C2" w:rsidRPr="00DB68CC" w:rsidRDefault="00F723C2" w:rsidP="00F723C2">
      <w:pPr>
        <w:pStyle w:val="subpar"/>
        <w:numPr>
          <w:ilvl w:val="0"/>
          <w:numId w:val="0"/>
        </w:numPr>
        <w:spacing w:before="0" w:after="0"/>
        <w:ind w:left="2592"/>
        <w:rPr>
          <w:rFonts w:ascii="Arial" w:hAnsi="Arial" w:cs="Arial"/>
          <w:sz w:val="22"/>
          <w:szCs w:val="22"/>
        </w:rPr>
      </w:pPr>
    </w:p>
    <w:p w14:paraId="1565F052" w14:textId="3A26A87B" w:rsidR="002E048A" w:rsidRPr="00DB68CC" w:rsidRDefault="002E048A" w:rsidP="0099721A">
      <w:pPr>
        <w:pStyle w:val="ListParagraph"/>
        <w:numPr>
          <w:ilvl w:val="0"/>
          <w:numId w:val="16"/>
        </w:numPr>
        <w:spacing w:before="20"/>
        <w:jc w:val="both"/>
        <w:rPr>
          <w:rFonts w:ascii="Arial" w:hAnsi="Arial" w:cs="Arial"/>
          <w:b/>
          <w:bCs/>
          <w:sz w:val="22"/>
          <w:szCs w:val="22"/>
          <w:lang w:val="es-ES_tradnl"/>
        </w:rPr>
      </w:pPr>
      <w:r w:rsidRPr="00DB68CC">
        <w:rPr>
          <w:rFonts w:ascii="Arial" w:hAnsi="Arial" w:cs="Arial"/>
          <w:b/>
          <w:bCs/>
          <w:sz w:val="22"/>
          <w:szCs w:val="22"/>
          <w:lang w:val="es-ES_tradnl"/>
        </w:rPr>
        <w:t xml:space="preserve">Análisis de Cosechas. </w:t>
      </w:r>
      <w:r w:rsidRPr="00DB68CC">
        <w:rPr>
          <w:rFonts w:ascii="Arial" w:hAnsi="Arial" w:cs="Arial"/>
          <w:sz w:val="22"/>
          <w:szCs w:val="22"/>
          <w:lang w:val="es-ES_tradnl"/>
        </w:rPr>
        <w:t>La CONAFIPS deberá aplicar la técnica de cosechas para analizar los subpréstamos realizados con cargo a los recursos del presente Programa. Para tal fin, se deberán cubrir cuando menos las siguientes dimensiones:</w:t>
      </w:r>
    </w:p>
    <w:p w14:paraId="1A052379" w14:textId="77777777" w:rsidR="00F723C2" w:rsidRPr="00DB68CC" w:rsidRDefault="00F723C2" w:rsidP="00F723C2">
      <w:pPr>
        <w:pStyle w:val="subpar"/>
        <w:numPr>
          <w:ilvl w:val="0"/>
          <w:numId w:val="0"/>
        </w:numPr>
        <w:spacing w:before="0" w:after="0"/>
        <w:ind w:left="2592"/>
        <w:rPr>
          <w:rFonts w:ascii="Arial" w:hAnsi="Arial" w:cs="Arial"/>
          <w:sz w:val="22"/>
          <w:szCs w:val="22"/>
        </w:rPr>
      </w:pPr>
    </w:p>
    <w:p w14:paraId="231D254C" w14:textId="7F41CA91" w:rsidR="002E048A" w:rsidRPr="00DB68CC" w:rsidRDefault="002E048A"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OSFPS</w:t>
      </w:r>
    </w:p>
    <w:p w14:paraId="28FF9925" w14:textId="77777777" w:rsidR="002E048A" w:rsidRPr="00DB68CC" w:rsidRDefault="002E048A"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Línea de Crédito</w:t>
      </w:r>
    </w:p>
    <w:p w14:paraId="02694D25" w14:textId="50860139" w:rsidR="002E048A" w:rsidRPr="00DB68CC" w:rsidRDefault="002E048A"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Región geográfica</w:t>
      </w:r>
    </w:p>
    <w:p w14:paraId="02E6CB05" w14:textId="77777777" w:rsidR="002E048A" w:rsidRPr="00DB68CC" w:rsidRDefault="002E048A"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Créditos de Género</w:t>
      </w:r>
    </w:p>
    <w:p w14:paraId="24E0757B" w14:textId="57B2D6C9" w:rsidR="002E048A" w:rsidRPr="00DB68CC" w:rsidRDefault="002E048A" w:rsidP="0099721A">
      <w:pPr>
        <w:pStyle w:val="ListParagraph"/>
        <w:numPr>
          <w:ilvl w:val="1"/>
          <w:numId w:val="17"/>
        </w:numPr>
        <w:jc w:val="both"/>
        <w:rPr>
          <w:rFonts w:ascii="Arial" w:hAnsi="Arial" w:cs="Arial"/>
          <w:sz w:val="22"/>
          <w:szCs w:val="22"/>
          <w:lang w:val="es-ES_tradnl"/>
        </w:rPr>
      </w:pPr>
      <w:r w:rsidRPr="00DB68CC">
        <w:rPr>
          <w:rFonts w:ascii="Arial" w:hAnsi="Arial" w:cs="Arial"/>
          <w:sz w:val="22"/>
          <w:szCs w:val="22"/>
          <w:lang w:val="es-ES_tradnl"/>
        </w:rPr>
        <w:t>Créditos de Sostenibilidad</w:t>
      </w:r>
    </w:p>
    <w:p w14:paraId="7E1A1EE8" w14:textId="0375EFC6" w:rsidR="00FC53CA" w:rsidRPr="00DB68CC" w:rsidRDefault="00CB3897" w:rsidP="0099721A">
      <w:pPr>
        <w:pStyle w:val="Heading1"/>
        <w:numPr>
          <w:ilvl w:val="0"/>
          <w:numId w:val="9"/>
        </w:numPr>
        <w:rPr>
          <w:rFonts w:cs="Arial"/>
          <w:sz w:val="22"/>
          <w:szCs w:val="22"/>
          <w:lang w:val="es-ES_tradnl"/>
        </w:rPr>
      </w:pPr>
      <w:bookmarkStart w:id="34" w:name="_Toc37603066"/>
      <w:r w:rsidRPr="00DB68CC">
        <w:rPr>
          <w:rFonts w:cs="Arial"/>
          <w:sz w:val="22"/>
          <w:szCs w:val="22"/>
          <w:lang w:val="es-ES_tradnl"/>
        </w:rPr>
        <w:t xml:space="preserve">Reglamento de Crédito: </w:t>
      </w:r>
      <w:r w:rsidR="00B072CE" w:rsidRPr="00DB68CC">
        <w:rPr>
          <w:rFonts w:cs="Arial"/>
          <w:sz w:val="22"/>
          <w:szCs w:val="22"/>
          <w:lang w:val="es-ES_tradnl"/>
        </w:rPr>
        <w:t>Características Específicas de los Subpréstamos Sujetos a Financiación del Program</w:t>
      </w:r>
      <w:r w:rsidR="004E346B" w:rsidRPr="00DB68CC">
        <w:rPr>
          <w:rFonts w:cs="Arial"/>
          <w:sz w:val="22"/>
          <w:szCs w:val="22"/>
          <w:lang w:val="es-ES_tradnl"/>
        </w:rPr>
        <w:t>a</w:t>
      </w:r>
      <w:bookmarkEnd w:id="34"/>
    </w:p>
    <w:p w14:paraId="5E7C41D7" w14:textId="77777777" w:rsidR="00CB5C55" w:rsidRPr="00DB68CC" w:rsidRDefault="00CB5C55" w:rsidP="00CB5C55">
      <w:pPr>
        <w:rPr>
          <w:sz w:val="22"/>
          <w:szCs w:val="22"/>
          <w:lang w:val="es-ES_tradnl" w:eastAsia="en-US"/>
        </w:rPr>
      </w:pPr>
    </w:p>
    <w:p w14:paraId="65A6F2D1" w14:textId="3D2DEE19" w:rsidR="00B072CE" w:rsidRPr="00DB68CC" w:rsidRDefault="00B072CE"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Cobro de intereses: </w:t>
      </w:r>
      <w:r w:rsidRPr="00DB68CC">
        <w:rPr>
          <w:rFonts w:ascii="Arial" w:hAnsi="Arial" w:cs="Arial"/>
          <w:sz w:val="22"/>
          <w:szCs w:val="22"/>
          <w:lang w:val="es-ES_tradnl"/>
        </w:rPr>
        <w:t xml:space="preserve">A los </w:t>
      </w:r>
      <w:proofErr w:type="spellStart"/>
      <w:r w:rsidRPr="00DB68CC">
        <w:rPr>
          <w:rFonts w:ascii="Arial" w:hAnsi="Arial" w:cs="Arial"/>
          <w:sz w:val="22"/>
          <w:szCs w:val="22"/>
          <w:lang w:val="es-ES_tradnl"/>
        </w:rPr>
        <w:t>subprestatarios</w:t>
      </w:r>
      <w:proofErr w:type="spellEnd"/>
      <w:r w:rsidRPr="00DB68CC">
        <w:rPr>
          <w:rFonts w:ascii="Arial" w:hAnsi="Arial" w:cs="Arial"/>
          <w:sz w:val="22"/>
          <w:szCs w:val="22"/>
          <w:lang w:val="es-ES_tradnl"/>
        </w:rPr>
        <w:t xml:space="preserve"> deberá cobrarse por concepto de intereses, comisiones, seguros o por cualesquiera otros cargos, la tasa o tasas anuales que, guardando armonía con la legislación y las políticas sobre tasas de interés de </w:t>
      </w:r>
      <w:r w:rsidR="008B2E58" w:rsidRPr="00DB68CC">
        <w:rPr>
          <w:rFonts w:ascii="Arial" w:hAnsi="Arial" w:cs="Arial"/>
          <w:sz w:val="22"/>
          <w:szCs w:val="22"/>
          <w:lang w:val="es-ES_tradnl"/>
        </w:rPr>
        <w:t xml:space="preserve">Ecuador, que </w:t>
      </w:r>
      <w:r w:rsidRPr="00DB68CC">
        <w:rPr>
          <w:rFonts w:ascii="Arial" w:hAnsi="Arial" w:cs="Arial"/>
          <w:sz w:val="22"/>
          <w:szCs w:val="22"/>
          <w:lang w:val="es-ES_tradnl"/>
        </w:rPr>
        <w:t>sean compatibles con la política del BID y de</w:t>
      </w:r>
      <w:r w:rsidR="008B2E58" w:rsidRPr="00DB68CC">
        <w:rPr>
          <w:rFonts w:ascii="Arial" w:hAnsi="Arial" w:cs="Arial"/>
          <w:sz w:val="22"/>
          <w:szCs w:val="22"/>
          <w:lang w:val="es-ES_tradnl"/>
        </w:rPr>
        <w:t xml:space="preserve"> </w:t>
      </w:r>
      <w:r w:rsidR="0020541C" w:rsidRPr="00DB68CC">
        <w:rPr>
          <w:rFonts w:ascii="Arial" w:hAnsi="Arial" w:cs="Arial"/>
          <w:sz w:val="22"/>
          <w:szCs w:val="22"/>
          <w:lang w:val="es-ES_tradnl"/>
        </w:rPr>
        <w:t>l</w:t>
      </w:r>
      <w:r w:rsidR="008B2E58" w:rsidRPr="00DB68CC">
        <w:rPr>
          <w:rFonts w:ascii="Arial" w:hAnsi="Arial" w:cs="Arial"/>
          <w:sz w:val="22"/>
          <w:szCs w:val="22"/>
          <w:lang w:val="es-ES_tradnl"/>
        </w:rPr>
        <w:t>a</w:t>
      </w:r>
      <w:r w:rsidRPr="00DB68CC">
        <w:rPr>
          <w:rFonts w:ascii="Arial" w:hAnsi="Arial" w:cs="Arial"/>
          <w:sz w:val="22"/>
          <w:szCs w:val="22"/>
          <w:lang w:val="es-ES_tradnl"/>
        </w:rPr>
        <w:t xml:space="preserve"> </w:t>
      </w:r>
      <w:r w:rsidR="008B2E58" w:rsidRPr="00DB68CC">
        <w:rPr>
          <w:rFonts w:ascii="Arial" w:hAnsi="Arial" w:cs="Arial"/>
          <w:sz w:val="22"/>
          <w:szCs w:val="22"/>
          <w:lang w:val="es-ES_tradnl"/>
        </w:rPr>
        <w:t>Corporación Nacional de Finanzas Populares y Solidarias</w:t>
      </w:r>
      <w:r w:rsidRPr="00DB68CC">
        <w:rPr>
          <w:rFonts w:ascii="Arial" w:hAnsi="Arial" w:cs="Arial"/>
          <w:sz w:val="22"/>
          <w:szCs w:val="22"/>
          <w:lang w:val="es-ES_tradnl"/>
        </w:rPr>
        <w:t xml:space="preserve"> sobre tasas de interés para ese tipo de financiamiento.</w:t>
      </w:r>
    </w:p>
    <w:p w14:paraId="261403E9" w14:textId="77777777" w:rsidR="00CB5C55" w:rsidRPr="00DB68CC" w:rsidRDefault="00CB5C55" w:rsidP="00CB5C55">
      <w:pPr>
        <w:pStyle w:val="ListParagraph"/>
        <w:ind w:left="792"/>
        <w:jc w:val="both"/>
        <w:rPr>
          <w:rFonts w:ascii="Arial" w:hAnsi="Arial" w:cs="Arial"/>
          <w:sz w:val="22"/>
          <w:szCs w:val="22"/>
          <w:lang w:val="es-ES_tradnl"/>
        </w:rPr>
      </w:pPr>
    </w:p>
    <w:p w14:paraId="50BE3396" w14:textId="0662C694" w:rsidR="00A979A5" w:rsidRPr="00DB68CC" w:rsidRDefault="00B072CE"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Monto de Financiación: </w:t>
      </w:r>
      <w:r w:rsidRPr="00DB68CC">
        <w:rPr>
          <w:rFonts w:ascii="Arial" w:hAnsi="Arial" w:cs="Arial"/>
          <w:sz w:val="22"/>
          <w:szCs w:val="22"/>
          <w:lang w:val="es-ES_tradnl"/>
        </w:rPr>
        <w:t xml:space="preserve">El </w:t>
      </w:r>
      <w:r w:rsidR="00431EEA" w:rsidRPr="00DB68CC">
        <w:rPr>
          <w:rFonts w:ascii="Arial" w:hAnsi="Arial" w:cs="Arial"/>
          <w:sz w:val="22"/>
          <w:szCs w:val="22"/>
          <w:lang w:val="es-ES_tradnl"/>
        </w:rPr>
        <w:t>p</w:t>
      </w:r>
      <w:r w:rsidRPr="00DB68CC">
        <w:rPr>
          <w:rFonts w:ascii="Arial" w:hAnsi="Arial" w:cs="Arial"/>
          <w:sz w:val="22"/>
          <w:szCs w:val="22"/>
          <w:lang w:val="es-ES_tradnl"/>
        </w:rPr>
        <w:t>rograma contempla la financiación de subpréstamos a una misma persona natural o jurídica o para un mismo proyecto o grupo de proyectos que en su conjunto y en un momento dado: (a) no excedan US$</w:t>
      </w:r>
      <w:r w:rsidR="009F4A97">
        <w:rPr>
          <w:rFonts w:ascii="Arial" w:hAnsi="Arial" w:cs="Arial"/>
          <w:sz w:val="22"/>
          <w:szCs w:val="22"/>
          <w:lang w:val="es-ES_tradnl"/>
        </w:rPr>
        <w:t>5</w:t>
      </w:r>
      <w:r w:rsidR="008B2E58" w:rsidRPr="00DB68CC">
        <w:rPr>
          <w:rFonts w:ascii="Arial" w:hAnsi="Arial" w:cs="Arial"/>
          <w:sz w:val="22"/>
          <w:szCs w:val="22"/>
          <w:lang w:val="es-ES_tradnl"/>
        </w:rPr>
        <w:t>0.000</w:t>
      </w:r>
      <w:r w:rsidRPr="00DB68CC">
        <w:rPr>
          <w:rFonts w:ascii="Arial" w:hAnsi="Arial" w:cs="Arial"/>
          <w:sz w:val="22"/>
          <w:szCs w:val="22"/>
          <w:lang w:val="es-ES_tradnl"/>
        </w:rPr>
        <w:t xml:space="preserve"> </w:t>
      </w:r>
      <w:r w:rsidR="006153B7" w:rsidRPr="00DB68CC">
        <w:rPr>
          <w:rFonts w:ascii="Arial" w:hAnsi="Arial" w:cs="Arial"/>
          <w:sz w:val="22"/>
          <w:szCs w:val="22"/>
          <w:lang w:val="es-ES_tradnl"/>
        </w:rPr>
        <w:t xml:space="preserve">para deudores individuales, </w:t>
      </w:r>
      <w:r w:rsidRPr="00DB68CC">
        <w:rPr>
          <w:rFonts w:ascii="Arial" w:hAnsi="Arial" w:cs="Arial"/>
          <w:sz w:val="22"/>
          <w:szCs w:val="22"/>
          <w:lang w:val="es-ES_tradnl"/>
        </w:rPr>
        <w:t xml:space="preserve">y cumplan con las características y condiciones ambientales y sociales aplicables según </w:t>
      </w:r>
      <w:r w:rsidR="00C16B59" w:rsidRPr="00DB68CC">
        <w:rPr>
          <w:rFonts w:ascii="Arial" w:hAnsi="Arial" w:cs="Arial"/>
          <w:sz w:val="22"/>
          <w:szCs w:val="22"/>
          <w:lang w:val="es-ES_tradnl"/>
        </w:rPr>
        <w:t>la sección VIII de este Reglamento</w:t>
      </w:r>
      <w:r w:rsidRPr="00DB68CC">
        <w:rPr>
          <w:rFonts w:ascii="Arial" w:hAnsi="Arial" w:cs="Arial"/>
          <w:sz w:val="22"/>
          <w:szCs w:val="22"/>
          <w:lang w:val="es-ES_tradnl"/>
        </w:rPr>
        <w:t xml:space="preserve">; o (b) </w:t>
      </w:r>
      <w:r w:rsidR="006153B7" w:rsidRPr="00DB68CC">
        <w:rPr>
          <w:rFonts w:ascii="Arial" w:hAnsi="Arial" w:cs="Arial"/>
          <w:sz w:val="22"/>
          <w:szCs w:val="22"/>
          <w:lang w:val="es-ES_tradnl"/>
        </w:rPr>
        <w:t xml:space="preserve">no excedan </w:t>
      </w:r>
      <w:r w:rsidRPr="00DB68CC">
        <w:rPr>
          <w:rFonts w:ascii="Arial" w:hAnsi="Arial" w:cs="Arial"/>
          <w:sz w:val="22"/>
          <w:szCs w:val="22"/>
          <w:lang w:val="es-ES_tradnl"/>
        </w:rPr>
        <w:t>de US$</w:t>
      </w:r>
      <w:r w:rsidR="008B2E58" w:rsidRPr="00DB68CC">
        <w:rPr>
          <w:rFonts w:ascii="Arial" w:hAnsi="Arial" w:cs="Arial"/>
          <w:sz w:val="22"/>
          <w:szCs w:val="22"/>
          <w:lang w:val="es-ES_tradnl"/>
        </w:rPr>
        <w:t>200.000</w:t>
      </w:r>
      <w:r w:rsidR="006153B7" w:rsidRPr="00DB68CC">
        <w:rPr>
          <w:rFonts w:ascii="Arial" w:hAnsi="Arial" w:cs="Arial"/>
          <w:sz w:val="22"/>
          <w:szCs w:val="22"/>
          <w:lang w:val="es-ES_tradnl"/>
        </w:rPr>
        <w:t xml:space="preserve"> para créditos colectivos </w:t>
      </w:r>
      <w:r w:rsidR="007A7EC0" w:rsidRPr="00DB68CC">
        <w:rPr>
          <w:rFonts w:ascii="Arial" w:hAnsi="Arial" w:cs="Arial"/>
          <w:sz w:val="22"/>
          <w:szCs w:val="22"/>
          <w:lang w:val="es-ES_tradnl"/>
        </w:rPr>
        <w:t>(y no más de US$</w:t>
      </w:r>
      <w:r w:rsidR="009F4A97">
        <w:rPr>
          <w:rFonts w:ascii="Arial" w:hAnsi="Arial" w:cs="Arial"/>
          <w:sz w:val="22"/>
          <w:szCs w:val="22"/>
          <w:lang w:val="es-ES_tradnl"/>
        </w:rPr>
        <w:t>5</w:t>
      </w:r>
      <w:r w:rsidR="007A7EC0" w:rsidRPr="00DB68CC">
        <w:rPr>
          <w:rFonts w:ascii="Arial" w:hAnsi="Arial" w:cs="Arial"/>
          <w:sz w:val="22"/>
          <w:szCs w:val="22"/>
          <w:lang w:val="es-ES_tradnl"/>
        </w:rPr>
        <w:t>0.000 por cada partícipe)</w:t>
      </w:r>
      <w:r w:rsidRPr="00DB68CC">
        <w:rPr>
          <w:rFonts w:ascii="Arial" w:hAnsi="Arial" w:cs="Arial"/>
          <w:sz w:val="22"/>
          <w:szCs w:val="22"/>
          <w:lang w:val="es-ES_tradnl"/>
        </w:rPr>
        <w:t>, en función del adecuado cumplimiento de condiciones específicas en materia de gestión de riesgos ambientales y sociales p</w:t>
      </w:r>
      <w:r w:rsidR="00A979A5" w:rsidRPr="00DB68CC">
        <w:rPr>
          <w:rFonts w:ascii="Arial" w:hAnsi="Arial" w:cs="Arial"/>
          <w:sz w:val="22"/>
          <w:szCs w:val="22"/>
          <w:lang w:val="es-ES_tradnl"/>
        </w:rPr>
        <w:t xml:space="preserve">ara operaciones de tales montos. </w:t>
      </w:r>
    </w:p>
    <w:p w14:paraId="1B884C0A" w14:textId="7F07331A" w:rsidR="0003616F" w:rsidRPr="00DB68CC" w:rsidRDefault="0003616F"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Cofinanciamiento:</w:t>
      </w:r>
      <w:r w:rsidR="00C40CE8" w:rsidRPr="00DB68CC">
        <w:rPr>
          <w:rFonts w:ascii="Arial" w:hAnsi="Arial" w:cs="Arial"/>
          <w:b/>
          <w:bCs/>
          <w:sz w:val="22"/>
          <w:szCs w:val="22"/>
          <w:lang w:val="es-ES_tradnl"/>
        </w:rPr>
        <w:t xml:space="preserve"> </w:t>
      </w:r>
      <w:r w:rsidRPr="00DB68CC">
        <w:rPr>
          <w:rFonts w:ascii="Arial" w:hAnsi="Arial" w:cs="Arial"/>
          <w:sz w:val="22"/>
          <w:szCs w:val="22"/>
          <w:lang w:val="es-ES_tradnl"/>
        </w:rPr>
        <w:t xml:space="preserve">Cualquier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 podrá ser objeto de cofinanciamiento proveniente de otras fuentes de recursos, incluyendo </w:t>
      </w:r>
      <w:r w:rsidR="00DA700A" w:rsidRPr="00DB68CC">
        <w:rPr>
          <w:rFonts w:ascii="Arial" w:hAnsi="Arial" w:cs="Arial"/>
          <w:sz w:val="22"/>
          <w:szCs w:val="22"/>
          <w:lang w:val="es-ES_tradnl"/>
        </w:rPr>
        <w:t>otras instituciones multilaterales del mismo carácter del BID</w:t>
      </w:r>
      <w:r w:rsidR="003E4302" w:rsidRPr="00DB68CC">
        <w:rPr>
          <w:rFonts w:ascii="Arial" w:hAnsi="Arial" w:cs="Arial"/>
          <w:sz w:val="22"/>
          <w:szCs w:val="22"/>
          <w:lang w:val="es-ES_tradnl"/>
        </w:rPr>
        <w:t xml:space="preserve"> </w:t>
      </w:r>
      <w:r w:rsidRPr="00DB68CC">
        <w:rPr>
          <w:rFonts w:ascii="Arial" w:hAnsi="Arial" w:cs="Arial"/>
          <w:sz w:val="22"/>
          <w:szCs w:val="22"/>
          <w:lang w:val="es-ES_tradnl"/>
        </w:rPr>
        <w:t>y las propias empresas interesadas en desarrollar los proyectos de inversión</w:t>
      </w:r>
      <w:r w:rsidR="00615715" w:rsidRPr="00DB68CC">
        <w:rPr>
          <w:rFonts w:ascii="Arial" w:hAnsi="Arial" w:cs="Arial"/>
          <w:sz w:val="22"/>
          <w:szCs w:val="22"/>
          <w:lang w:val="es-ES_tradnl"/>
        </w:rPr>
        <w:t xml:space="preserve"> en el contexto de la emergencia COVID-19</w:t>
      </w:r>
      <w:r w:rsidRPr="00DB68CC">
        <w:rPr>
          <w:rFonts w:ascii="Arial" w:hAnsi="Arial" w:cs="Arial"/>
          <w:sz w:val="22"/>
          <w:szCs w:val="22"/>
          <w:lang w:val="es-ES_tradnl"/>
        </w:rPr>
        <w:t>.</w:t>
      </w:r>
    </w:p>
    <w:p w14:paraId="52406D9F" w14:textId="77777777" w:rsidR="00CB5C55" w:rsidRPr="00DB68CC" w:rsidRDefault="00CB5C55" w:rsidP="00CB5C55">
      <w:pPr>
        <w:pStyle w:val="ListParagraph"/>
        <w:ind w:left="792"/>
        <w:jc w:val="both"/>
        <w:rPr>
          <w:rFonts w:ascii="Arial" w:hAnsi="Arial" w:cs="Arial"/>
          <w:b/>
          <w:bCs/>
          <w:sz w:val="22"/>
          <w:szCs w:val="22"/>
          <w:lang w:val="es-ES_tradnl"/>
        </w:rPr>
      </w:pPr>
    </w:p>
    <w:p w14:paraId="56D9E00B" w14:textId="184FF995" w:rsidR="0003616F" w:rsidRPr="00DB68CC" w:rsidRDefault="0003616F"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Limitación de los recursos: </w:t>
      </w:r>
      <w:r w:rsidRPr="00DB68CC">
        <w:rPr>
          <w:rFonts w:ascii="Arial" w:hAnsi="Arial" w:cs="Arial"/>
          <w:sz w:val="22"/>
          <w:szCs w:val="22"/>
          <w:lang w:val="es-ES_tradnl"/>
        </w:rPr>
        <w:t xml:space="preserve">Adicionalmente a las limitaciones establecidas en la sección </w:t>
      </w:r>
      <w:r w:rsidR="001F7122" w:rsidRPr="00DB68CC">
        <w:rPr>
          <w:rFonts w:ascii="Arial" w:hAnsi="Arial" w:cs="Arial"/>
          <w:sz w:val="22"/>
          <w:szCs w:val="22"/>
          <w:lang w:val="es-ES_tradnl"/>
        </w:rPr>
        <w:t xml:space="preserve">siguiente, </w:t>
      </w:r>
      <w:r w:rsidRPr="00DB68CC">
        <w:rPr>
          <w:rFonts w:ascii="Arial" w:hAnsi="Arial" w:cs="Arial"/>
          <w:sz w:val="22"/>
          <w:szCs w:val="22"/>
          <w:lang w:val="es-ES_tradnl"/>
        </w:rPr>
        <w:t xml:space="preserve">vinculadas a temas ambientales y sociales, no podrán concederse </w:t>
      </w:r>
      <w:r w:rsidR="004D420A" w:rsidRPr="00DB68CC">
        <w:rPr>
          <w:rFonts w:ascii="Arial" w:hAnsi="Arial" w:cs="Arial"/>
          <w:sz w:val="22"/>
          <w:szCs w:val="22"/>
          <w:lang w:val="es-ES_tradnl"/>
        </w:rPr>
        <w:t>subpréstamo</w:t>
      </w:r>
      <w:r w:rsidRPr="00DB68CC">
        <w:rPr>
          <w:rFonts w:ascii="Arial" w:hAnsi="Arial" w:cs="Arial"/>
          <w:sz w:val="22"/>
          <w:szCs w:val="22"/>
          <w:lang w:val="es-ES_tradnl"/>
        </w:rPr>
        <w:t>s con recursos del Programa para: (i)</w:t>
      </w:r>
      <w:r w:rsidR="00896614">
        <w:rPr>
          <w:rFonts w:ascii="Arial" w:hAnsi="Arial" w:cs="Arial"/>
          <w:sz w:val="22"/>
          <w:szCs w:val="22"/>
          <w:lang w:val="es-ES_tradnl"/>
        </w:rPr>
        <w:t> </w:t>
      </w:r>
      <w:r w:rsidRPr="00DB68CC">
        <w:rPr>
          <w:rFonts w:ascii="Arial" w:hAnsi="Arial" w:cs="Arial"/>
          <w:sz w:val="22"/>
          <w:szCs w:val="22"/>
          <w:lang w:val="es-ES_tradnl"/>
        </w:rPr>
        <w:t xml:space="preserve">adquisición de inmuebles, salvo los asociados al proyecto; </w:t>
      </w:r>
      <w:r w:rsidR="45BE52B3" w:rsidRPr="00DB68CC">
        <w:rPr>
          <w:rFonts w:ascii="Arial" w:hAnsi="Arial" w:cs="Arial"/>
          <w:sz w:val="22"/>
          <w:szCs w:val="22"/>
          <w:lang w:val="es-ES_tradnl"/>
        </w:rPr>
        <w:t xml:space="preserve">y </w:t>
      </w:r>
      <w:r w:rsidRPr="00DB68CC">
        <w:rPr>
          <w:rFonts w:ascii="Arial" w:hAnsi="Arial" w:cs="Arial"/>
          <w:sz w:val="22"/>
          <w:szCs w:val="22"/>
          <w:lang w:val="es-ES_tradnl"/>
        </w:rPr>
        <w:t>(</w:t>
      </w:r>
      <w:proofErr w:type="spellStart"/>
      <w:r w:rsidR="00EF254A" w:rsidRPr="00DB68CC">
        <w:rPr>
          <w:rFonts w:ascii="Arial" w:hAnsi="Arial" w:cs="Arial"/>
          <w:sz w:val="22"/>
          <w:szCs w:val="22"/>
          <w:lang w:val="es-ES_tradnl"/>
        </w:rPr>
        <w:t>ii</w:t>
      </w:r>
      <w:proofErr w:type="spellEnd"/>
      <w:r w:rsidRPr="00DB68CC">
        <w:rPr>
          <w:rFonts w:ascii="Arial" w:hAnsi="Arial" w:cs="Arial"/>
          <w:sz w:val="22"/>
          <w:szCs w:val="22"/>
          <w:lang w:val="es-ES_tradnl"/>
        </w:rPr>
        <w:t>) la compra de acciones.</w:t>
      </w:r>
    </w:p>
    <w:p w14:paraId="24C82DD4" w14:textId="77777777" w:rsidR="00CB5C55" w:rsidRPr="00DB68CC" w:rsidRDefault="00CB5C55" w:rsidP="00CB5C55">
      <w:pPr>
        <w:pStyle w:val="ListParagraph"/>
        <w:rPr>
          <w:rFonts w:ascii="Arial" w:hAnsi="Arial" w:cs="Arial"/>
          <w:b/>
          <w:bCs/>
          <w:sz w:val="22"/>
          <w:szCs w:val="22"/>
          <w:lang w:val="es-ES_tradnl"/>
        </w:rPr>
      </w:pPr>
    </w:p>
    <w:p w14:paraId="6C4F1FA6" w14:textId="1290791C" w:rsidR="00C40CE8" w:rsidRPr="00DB68CC" w:rsidRDefault="00CC397C"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Financiación de importaciones de Países Miembros: </w:t>
      </w:r>
      <w:r w:rsidRPr="00DB68CC">
        <w:rPr>
          <w:rFonts w:ascii="Arial" w:hAnsi="Arial" w:cs="Arial"/>
          <w:sz w:val="22"/>
          <w:szCs w:val="22"/>
          <w:lang w:val="es-ES_tradnl"/>
        </w:rPr>
        <w:t xml:space="preserve">Ningún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 bajo la financiación del BID podrá ser aplicado directa o indirectamente para la financiación de importaciones de países no miembros del BID (Ver Anexo </w:t>
      </w:r>
      <w:r w:rsidR="00C16B59" w:rsidRPr="00DB68CC">
        <w:rPr>
          <w:rFonts w:ascii="Arial" w:hAnsi="Arial" w:cs="Arial"/>
          <w:sz w:val="22"/>
          <w:szCs w:val="22"/>
          <w:lang w:val="es-ES_tradnl"/>
        </w:rPr>
        <w:t>2</w:t>
      </w:r>
      <w:r w:rsidRPr="00DB68CC">
        <w:rPr>
          <w:rFonts w:ascii="Arial" w:hAnsi="Arial" w:cs="Arial"/>
          <w:sz w:val="22"/>
          <w:szCs w:val="22"/>
          <w:lang w:val="es-ES_tradnl"/>
        </w:rPr>
        <w:t xml:space="preserve"> - Países Miembros)</w:t>
      </w:r>
      <w:bookmarkStart w:id="35" w:name="_Toc207082508"/>
      <w:bookmarkStart w:id="36" w:name="_Toc207082541"/>
      <w:bookmarkStart w:id="37" w:name="_Toc198110509"/>
      <w:bookmarkStart w:id="38" w:name="_Toc198111152"/>
      <w:bookmarkStart w:id="39" w:name="_Toc198111225"/>
      <w:bookmarkStart w:id="40" w:name="_Toc198111259"/>
      <w:bookmarkStart w:id="41" w:name="_Toc198111297"/>
      <w:bookmarkStart w:id="42" w:name="_Toc198111339"/>
      <w:bookmarkStart w:id="43" w:name="_Toc198111393"/>
      <w:bookmarkStart w:id="44" w:name="_Toc198027195"/>
      <w:bookmarkStart w:id="45" w:name="_Toc198025801"/>
      <w:bookmarkStart w:id="46" w:name="_Toc198027197"/>
      <w:bookmarkStart w:id="47" w:name="_Toc389662672"/>
      <w:bookmarkStart w:id="48" w:name="_Toc389662826"/>
      <w:bookmarkStart w:id="49" w:name="_Toc389662944"/>
      <w:bookmarkStart w:id="50" w:name="_Toc38966298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5500C61" w14:textId="77777777" w:rsidR="006351B9" w:rsidRPr="00DB68CC" w:rsidRDefault="006351B9" w:rsidP="006351B9">
      <w:pPr>
        <w:pStyle w:val="ListParagraph"/>
        <w:rPr>
          <w:rFonts w:ascii="Arial" w:hAnsi="Arial" w:cs="Arial"/>
          <w:b/>
          <w:bCs/>
          <w:sz w:val="22"/>
          <w:szCs w:val="22"/>
          <w:lang w:val="es-ES_tradnl"/>
        </w:rPr>
      </w:pPr>
    </w:p>
    <w:p w14:paraId="472D4EE4" w14:textId="0AEDCEC7" w:rsidR="006351B9" w:rsidRPr="00DB68CC" w:rsidRDefault="006351B9" w:rsidP="006351B9">
      <w:pPr>
        <w:pStyle w:val="Heading1"/>
        <w:numPr>
          <w:ilvl w:val="0"/>
          <w:numId w:val="9"/>
        </w:numPr>
        <w:rPr>
          <w:rFonts w:cs="Arial"/>
          <w:sz w:val="22"/>
          <w:szCs w:val="22"/>
          <w:lang w:val="es-ES_tradnl"/>
        </w:rPr>
      </w:pPr>
      <w:bookmarkStart w:id="51" w:name="_Toc37603067"/>
      <w:r w:rsidRPr="00DB68CC">
        <w:rPr>
          <w:rFonts w:cs="Arial"/>
          <w:sz w:val="22"/>
          <w:szCs w:val="22"/>
          <w:lang w:val="es-ES_tradnl"/>
        </w:rPr>
        <w:lastRenderedPageBreak/>
        <w:t xml:space="preserve">FOGEPS: </w:t>
      </w:r>
      <w:r w:rsidR="00711C83" w:rsidRPr="00DB68CC">
        <w:rPr>
          <w:rFonts w:cs="Arial"/>
          <w:sz w:val="22"/>
          <w:szCs w:val="22"/>
          <w:lang w:val="es-ES_tradnl"/>
        </w:rPr>
        <w:t>Reglamento para la concesión de Garantías</w:t>
      </w:r>
      <w:bookmarkEnd w:id="51"/>
    </w:p>
    <w:p w14:paraId="3F0F05F8" w14:textId="77777777" w:rsidR="00C32CDE" w:rsidRPr="00DB68CC" w:rsidRDefault="00C32CDE" w:rsidP="00C32CDE">
      <w:pPr>
        <w:rPr>
          <w:lang w:val="es-ES_tradnl" w:eastAsia="en-US"/>
        </w:rPr>
      </w:pPr>
    </w:p>
    <w:p w14:paraId="59BA67CB" w14:textId="77777777" w:rsidR="00824843" w:rsidRPr="00DB68CC" w:rsidRDefault="007A4806" w:rsidP="003A0570">
      <w:pPr>
        <w:widowControl w:val="0"/>
        <w:tabs>
          <w:tab w:val="left" w:pos="1291"/>
        </w:tabs>
        <w:autoSpaceDE w:val="0"/>
        <w:autoSpaceDN w:val="0"/>
        <w:ind w:right="-8"/>
        <w:jc w:val="both"/>
        <w:rPr>
          <w:rFonts w:ascii="Arial" w:hAnsi="Arial" w:cs="Arial"/>
          <w:sz w:val="22"/>
          <w:szCs w:val="22"/>
          <w:lang w:val="es-ES_tradnl"/>
        </w:rPr>
      </w:pPr>
      <w:r w:rsidRPr="00DB68CC">
        <w:rPr>
          <w:rFonts w:ascii="Arial" w:hAnsi="Arial" w:cs="Arial"/>
          <w:sz w:val="22"/>
          <w:szCs w:val="22"/>
          <w:lang w:val="es-ES_tradnl"/>
        </w:rPr>
        <w:t xml:space="preserve">El Fondo de Garantía para la Economía Popular y Solidaria FOGEPS, es un fondo respaldado en un patrimonio constituido en la CONAFIPS con el fin de otorgar garantías a favor de actores y sujetos sociales del sector de la economía popular y solidaria, que permitan su inclusión financiera o productiva a través de la emisión de certificados de garantía que cubren posibles pérdidas por el incumplimiento de obligaciones por parte del beneficiario </w:t>
      </w:r>
      <w:proofErr w:type="spellStart"/>
      <w:r w:rsidRPr="00DB68CC">
        <w:rPr>
          <w:rFonts w:ascii="Arial" w:hAnsi="Arial" w:cs="Arial"/>
          <w:sz w:val="22"/>
          <w:szCs w:val="22"/>
          <w:lang w:val="es-ES_tradnl"/>
        </w:rPr>
        <w:t>garantizable</w:t>
      </w:r>
      <w:proofErr w:type="spellEnd"/>
      <w:r w:rsidRPr="00DB68CC">
        <w:rPr>
          <w:rFonts w:ascii="Arial" w:hAnsi="Arial" w:cs="Arial"/>
          <w:sz w:val="22"/>
          <w:szCs w:val="22"/>
          <w:lang w:val="es-ES_tradnl"/>
        </w:rPr>
        <w:t>.</w:t>
      </w:r>
      <w:r w:rsidR="003A0570" w:rsidRPr="00DB68CC">
        <w:rPr>
          <w:rFonts w:ascii="Arial" w:hAnsi="Arial" w:cs="Arial"/>
          <w:sz w:val="22"/>
          <w:szCs w:val="22"/>
          <w:lang w:val="es-ES_tradnl"/>
        </w:rPr>
        <w:t xml:space="preserve"> </w:t>
      </w:r>
    </w:p>
    <w:p w14:paraId="53A9D7B1" w14:textId="77777777" w:rsidR="00824843" w:rsidRPr="00DB68CC" w:rsidRDefault="00824843" w:rsidP="003A0570">
      <w:pPr>
        <w:widowControl w:val="0"/>
        <w:tabs>
          <w:tab w:val="left" w:pos="1291"/>
        </w:tabs>
        <w:autoSpaceDE w:val="0"/>
        <w:autoSpaceDN w:val="0"/>
        <w:ind w:right="-8"/>
        <w:jc w:val="both"/>
        <w:rPr>
          <w:rFonts w:ascii="Arial" w:hAnsi="Arial" w:cs="Arial"/>
          <w:sz w:val="22"/>
          <w:szCs w:val="22"/>
          <w:lang w:val="es-ES_tradnl"/>
        </w:rPr>
      </w:pPr>
    </w:p>
    <w:p w14:paraId="298275FA" w14:textId="5F2CC5B7" w:rsidR="003A0570" w:rsidRPr="00DB68CC" w:rsidRDefault="003A0570" w:rsidP="003A0570">
      <w:pPr>
        <w:widowControl w:val="0"/>
        <w:tabs>
          <w:tab w:val="left" w:pos="1291"/>
        </w:tabs>
        <w:autoSpaceDE w:val="0"/>
        <w:autoSpaceDN w:val="0"/>
        <w:ind w:right="-8"/>
        <w:jc w:val="both"/>
        <w:rPr>
          <w:rFonts w:ascii="Arial" w:hAnsi="Arial" w:cs="Arial"/>
          <w:sz w:val="22"/>
          <w:szCs w:val="22"/>
          <w:lang w:val="es-ES_tradnl"/>
        </w:rPr>
      </w:pPr>
      <w:r w:rsidRPr="00DB68CC">
        <w:rPr>
          <w:rFonts w:ascii="Arial" w:hAnsi="Arial" w:cs="Arial"/>
          <w:sz w:val="22"/>
          <w:szCs w:val="22"/>
          <w:lang w:val="es-ES_tradnl"/>
        </w:rPr>
        <w:t xml:space="preserve">El beneficiario de la garantía es la OSFPS, institución o empresa que tiene el derecho de exigir el pago de la garantía una vez que se haya producido el incumplimiento por parte beneficiario </w:t>
      </w:r>
      <w:proofErr w:type="spellStart"/>
      <w:r w:rsidRPr="00DB68CC">
        <w:rPr>
          <w:rFonts w:ascii="Arial" w:hAnsi="Arial" w:cs="Arial"/>
          <w:sz w:val="22"/>
          <w:szCs w:val="22"/>
          <w:lang w:val="es-ES_tradnl"/>
        </w:rPr>
        <w:t>garantizable</w:t>
      </w:r>
      <w:proofErr w:type="spellEnd"/>
      <w:r w:rsidRPr="00DB68CC">
        <w:rPr>
          <w:rFonts w:ascii="Arial" w:hAnsi="Arial" w:cs="Arial"/>
          <w:sz w:val="22"/>
          <w:szCs w:val="22"/>
          <w:lang w:val="es-ES_tradnl"/>
        </w:rPr>
        <w:t>.</w:t>
      </w:r>
    </w:p>
    <w:p w14:paraId="6FD14E1C" w14:textId="77777777" w:rsidR="007A4806" w:rsidRPr="00DB68CC" w:rsidRDefault="007A4806" w:rsidP="007A4806">
      <w:pPr>
        <w:widowControl w:val="0"/>
        <w:tabs>
          <w:tab w:val="left" w:pos="1291"/>
        </w:tabs>
        <w:autoSpaceDE w:val="0"/>
        <w:autoSpaceDN w:val="0"/>
        <w:ind w:right="-8"/>
        <w:jc w:val="both"/>
        <w:rPr>
          <w:rFonts w:ascii="Arial" w:hAnsi="Arial" w:cs="Arial"/>
          <w:sz w:val="22"/>
          <w:szCs w:val="22"/>
          <w:lang w:val="es-ES_tradnl"/>
        </w:rPr>
      </w:pPr>
    </w:p>
    <w:p w14:paraId="74B9181C" w14:textId="77777777" w:rsidR="004820CB" w:rsidRPr="00DB68CC" w:rsidRDefault="007B2DB4" w:rsidP="007A4806">
      <w:pPr>
        <w:widowControl w:val="0"/>
        <w:tabs>
          <w:tab w:val="left" w:pos="1291"/>
        </w:tabs>
        <w:autoSpaceDE w:val="0"/>
        <w:autoSpaceDN w:val="0"/>
        <w:ind w:right="-8"/>
        <w:jc w:val="both"/>
        <w:rPr>
          <w:rFonts w:ascii="Arial" w:hAnsi="Arial" w:cs="Arial"/>
          <w:sz w:val="22"/>
          <w:szCs w:val="22"/>
          <w:lang w:val="es-ES_tradnl"/>
        </w:rPr>
      </w:pPr>
      <w:r w:rsidRPr="00DB68CC">
        <w:rPr>
          <w:rFonts w:ascii="Arial" w:hAnsi="Arial" w:cs="Arial"/>
          <w:sz w:val="22"/>
          <w:szCs w:val="22"/>
          <w:lang w:val="es-ES_tradnl"/>
        </w:rPr>
        <w:t>Las garantías que otorgue el FOGEPS deberán ajustarse a los siguientes principios</w:t>
      </w:r>
      <w:r w:rsidR="004820CB" w:rsidRPr="00DB68CC">
        <w:rPr>
          <w:rFonts w:ascii="Arial" w:hAnsi="Arial" w:cs="Arial"/>
          <w:sz w:val="22"/>
          <w:szCs w:val="22"/>
          <w:lang w:val="es-ES_tradnl"/>
        </w:rPr>
        <w:t xml:space="preserve">: </w:t>
      </w:r>
    </w:p>
    <w:p w14:paraId="301D4A48" w14:textId="77777777" w:rsidR="004820CB" w:rsidRPr="00DB68CC" w:rsidRDefault="004820CB" w:rsidP="007A4806">
      <w:pPr>
        <w:widowControl w:val="0"/>
        <w:tabs>
          <w:tab w:val="left" w:pos="1291"/>
        </w:tabs>
        <w:autoSpaceDE w:val="0"/>
        <w:autoSpaceDN w:val="0"/>
        <w:ind w:right="-8"/>
        <w:jc w:val="both"/>
        <w:rPr>
          <w:rFonts w:ascii="Arial" w:hAnsi="Arial" w:cs="Arial"/>
          <w:sz w:val="22"/>
          <w:szCs w:val="22"/>
          <w:lang w:val="es-ES_tradnl"/>
        </w:rPr>
      </w:pPr>
    </w:p>
    <w:p w14:paraId="4BAE6DC6" w14:textId="71524197" w:rsidR="007A4806" w:rsidRPr="00DB68CC" w:rsidRDefault="007A4806" w:rsidP="004820CB">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Los cupos de derechos de giro de certificados de garantía serán asignados a las OSFPS en función del mecanismo de asignación aprobado por el Director General de la CONAFIPS. Para acceder a dicho cupo, las OSFPS deberán entregar la documentación establecida por la CONAFIPS.</w:t>
      </w:r>
    </w:p>
    <w:p w14:paraId="7BAB275A" w14:textId="77777777" w:rsidR="002518D6" w:rsidRPr="00DB68CC" w:rsidRDefault="002518D6" w:rsidP="002518D6">
      <w:pPr>
        <w:pStyle w:val="ListParagraph"/>
        <w:ind w:left="907"/>
        <w:jc w:val="both"/>
        <w:rPr>
          <w:rFonts w:ascii="Arial" w:hAnsi="Arial" w:cs="Arial"/>
          <w:sz w:val="22"/>
          <w:szCs w:val="22"/>
          <w:lang w:val="es-ES_tradnl"/>
        </w:rPr>
      </w:pPr>
    </w:p>
    <w:p w14:paraId="61A35966" w14:textId="2A699D8C" w:rsidR="00327017" w:rsidRPr="00DB68CC" w:rsidRDefault="00327017" w:rsidP="00327017">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 xml:space="preserve">Los beneficiarios </w:t>
      </w:r>
      <w:proofErr w:type="spellStart"/>
      <w:r w:rsidRPr="00DB68CC">
        <w:rPr>
          <w:rFonts w:ascii="Arial" w:hAnsi="Arial" w:cs="Arial"/>
          <w:sz w:val="22"/>
          <w:szCs w:val="22"/>
          <w:lang w:val="es-ES_tradnl"/>
        </w:rPr>
        <w:t>garantizables</w:t>
      </w:r>
      <w:proofErr w:type="spellEnd"/>
      <w:r w:rsidRPr="00DB68CC">
        <w:rPr>
          <w:rFonts w:ascii="Arial" w:hAnsi="Arial" w:cs="Arial"/>
          <w:sz w:val="22"/>
          <w:szCs w:val="22"/>
          <w:lang w:val="es-ES_tradnl"/>
        </w:rPr>
        <w:t xml:space="preserve"> del FOGEPS, deberán ser socios de las OSFPS, ya sean personas naturales o jurídicas, que tengan una calificación de riesgos A o B en la OSFPS y que desarrollen actividades productivas de comercio o servicios. </w:t>
      </w:r>
      <w:r w:rsidR="00C96012">
        <w:rPr>
          <w:rFonts w:ascii="Arial" w:hAnsi="Arial" w:cs="Arial"/>
          <w:sz w:val="22"/>
          <w:szCs w:val="22"/>
          <w:lang w:val="es-ES_tradnl"/>
        </w:rPr>
        <w:t xml:space="preserve">Deberán tener un nivel de riesgo igual o superar a BB por una entidad de crédito independiente y de reconocido prestigio. </w:t>
      </w:r>
      <w:r w:rsidRPr="00DB68CC">
        <w:rPr>
          <w:rFonts w:ascii="Arial" w:hAnsi="Arial" w:cs="Arial"/>
          <w:sz w:val="22"/>
          <w:szCs w:val="22"/>
          <w:lang w:val="es-ES_tradnl"/>
        </w:rPr>
        <w:t>La garantía podrá ser otorgada para cubrir las deficiencias de colateral necesario.</w:t>
      </w:r>
    </w:p>
    <w:p w14:paraId="7DB62A74" w14:textId="77777777" w:rsidR="007A4806" w:rsidRPr="00DB68CC" w:rsidRDefault="007A4806" w:rsidP="007A4806">
      <w:pPr>
        <w:widowControl w:val="0"/>
        <w:tabs>
          <w:tab w:val="left" w:pos="1291"/>
        </w:tabs>
        <w:autoSpaceDE w:val="0"/>
        <w:autoSpaceDN w:val="0"/>
        <w:ind w:right="-8"/>
        <w:jc w:val="both"/>
        <w:rPr>
          <w:rFonts w:ascii="Arial" w:hAnsi="Arial" w:cs="Arial"/>
          <w:sz w:val="22"/>
          <w:szCs w:val="22"/>
          <w:lang w:val="es-ES_tradnl"/>
        </w:rPr>
      </w:pPr>
    </w:p>
    <w:p w14:paraId="0DB44207" w14:textId="458C1E27" w:rsidR="004A1070" w:rsidRPr="00DB68CC" w:rsidRDefault="007A4806" w:rsidP="004A1070">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Con los recursos asignados para el FOGEPS en el presente Programa, la CONAFIPS podrá garantizar productos y servicios financieros ofertados por las OSFPS, que tengan uno o más de los siguientes destinos:</w:t>
      </w:r>
    </w:p>
    <w:p w14:paraId="2B6DA306" w14:textId="77777777" w:rsidR="004A1070" w:rsidRPr="00DB68CC" w:rsidRDefault="004A1070" w:rsidP="004A1070">
      <w:pPr>
        <w:jc w:val="both"/>
        <w:rPr>
          <w:rFonts w:ascii="Arial" w:hAnsi="Arial" w:cs="Arial"/>
          <w:sz w:val="22"/>
          <w:szCs w:val="22"/>
          <w:lang w:val="es-ES_tradnl"/>
        </w:rPr>
      </w:pPr>
    </w:p>
    <w:p w14:paraId="2DAB5CD2" w14:textId="77777777" w:rsidR="007A4806" w:rsidRPr="00DB68CC" w:rsidRDefault="007A4806" w:rsidP="004A1070">
      <w:pPr>
        <w:pStyle w:val="ListParagraph"/>
        <w:numPr>
          <w:ilvl w:val="0"/>
          <w:numId w:val="25"/>
        </w:numPr>
        <w:spacing w:before="20"/>
        <w:jc w:val="both"/>
        <w:rPr>
          <w:rFonts w:ascii="Arial" w:hAnsi="Arial" w:cs="Arial"/>
          <w:sz w:val="22"/>
          <w:szCs w:val="22"/>
          <w:lang w:val="es-ES_tradnl"/>
        </w:rPr>
      </w:pPr>
      <w:r w:rsidRPr="00DB68CC">
        <w:rPr>
          <w:rFonts w:ascii="Arial" w:hAnsi="Arial" w:cs="Arial"/>
          <w:sz w:val="22"/>
          <w:szCs w:val="22"/>
          <w:lang w:val="es-ES_tradnl"/>
        </w:rPr>
        <w:t>Capital de trabajo;</w:t>
      </w:r>
    </w:p>
    <w:p w14:paraId="2214C207" w14:textId="77777777" w:rsidR="007A4806" w:rsidRPr="00DB68CC" w:rsidRDefault="007A4806" w:rsidP="004A1070">
      <w:pPr>
        <w:pStyle w:val="ListParagraph"/>
        <w:numPr>
          <w:ilvl w:val="0"/>
          <w:numId w:val="25"/>
        </w:numPr>
        <w:spacing w:before="20"/>
        <w:jc w:val="both"/>
        <w:rPr>
          <w:rFonts w:ascii="Arial" w:hAnsi="Arial" w:cs="Arial"/>
          <w:sz w:val="22"/>
          <w:szCs w:val="22"/>
          <w:lang w:val="es-ES_tradnl"/>
        </w:rPr>
      </w:pPr>
      <w:r w:rsidRPr="00DB68CC">
        <w:rPr>
          <w:rFonts w:ascii="Arial" w:hAnsi="Arial" w:cs="Arial"/>
          <w:sz w:val="22"/>
          <w:szCs w:val="22"/>
          <w:lang w:val="es-ES_tradnl"/>
        </w:rPr>
        <w:t>Adquisición de activos fijos;</w:t>
      </w:r>
    </w:p>
    <w:p w14:paraId="116442F0" w14:textId="77777777" w:rsidR="007A4806" w:rsidRPr="00DB68CC" w:rsidRDefault="007A4806" w:rsidP="004A1070">
      <w:pPr>
        <w:pStyle w:val="ListParagraph"/>
        <w:numPr>
          <w:ilvl w:val="0"/>
          <w:numId w:val="25"/>
        </w:numPr>
        <w:spacing w:before="20"/>
        <w:jc w:val="both"/>
        <w:rPr>
          <w:rFonts w:ascii="Arial" w:hAnsi="Arial" w:cs="Arial"/>
          <w:sz w:val="22"/>
          <w:szCs w:val="22"/>
          <w:lang w:val="es-ES_tradnl"/>
        </w:rPr>
      </w:pPr>
      <w:r w:rsidRPr="00DB68CC">
        <w:rPr>
          <w:rFonts w:ascii="Arial" w:hAnsi="Arial" w:cs="Arial"/>
          <w:sz w:val="22"/>
          <w:szCs w:val="22"/>
          <w:lang w:val="es-ES_tradnl"/>
        </w:rPr>
        <w:t>Ejecución de programas o proyectos de emprendimiento productivo;</w:t>
      </w:r>
    </w:p>
    <w:p w14:paraId="24FF1531" w14:textId="17D6626D" w:rsidR="007A4806" w:rsidRPr="00DB68CC" w:rsidRDefault="007A4806" w:rsidP="002518D6">
      <w:pPr>
        <w:pStyle w:val="ListParagraph"/>
        <w:numPr>
          <w:ilvl w:val="0"/>
          <w:numId w:val="25"/>
        </w:numPr>
        <w:spacing w:before="20"/>
        <w:jc w:val="both"/>
        <w:rPr>
          <w:rFonts w:ascii="Arial" w:hAnsi="Arial" w:cs="Arial"/>
          <w:sz w:val="22"/>
          <w:szCs w:val="22"/>
          <w:lang w:val="es-ES_tradnl"/>
        </w:rPr>
      </w:pPr>
      <w:r w:rsidRPr="00DB68CC">
        <w:rPr>
          <w:rFonts w:ascii="Arial" w:hAnsi="Arial" w:cs="Arial"/>
          <w:sz w:val="22"/>
          <w:szCs w:val="22"/>
          <w:lang w:val="es-ES_tradnl"/>
        </w:rPr>
        <w:t>Ejecución de contratos inclusivos para la economía popular y solidaria</w:t>
      </w:r>
    </w:p>
    <w:p w14:paraId="168AAFAA" w14:textId="77777777" w:rsidR="002518D6" w:rsidRPr="00DB68CC" w:rsidRDefault="002518D6" w:rsidP="002518D6">
      <w:pPr>
        <w:pStyle w:val="ListParagraph"/>
        <w:spacing w:before="20"/>
        <w:ind w:left="1152"/>
        <w:jc w:val="both"/>
        <w:rPr>
          <w:rFonts w:ascii="Arial" w:hAnsi="Arial" w:cs="Arial"/>
          <w:sz w:val="22"/>
          <w:szCs w:val="22"/>
          <w:lang w:val="es-ES_tradnl"/>
        </w:rPr>
      </w:pPr>
    </w:p>
    <w:p w14:paraId="68DCBC9C" w14:textId="77777777" w:rsidR="007A4806" w:rsidRPr="00DB68CC" w:rsidRDefault="007A4806" w:rsidP="002518D6">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La Cobertura máxima de la Garantía para cada beneficiario será la siguiente:</w:t>
      </w:r>
    </w:p>
    <w:p w14:paraId="773C9545" w14:textId="666701AC" w:rsidR="007A4806" w:rsidRPr="00DB68CC" w:rsidRDefault="007A4806" w:rsidP="00F5287A">
      <w:pPr>
        <w:pStyle w:val="ListParagraph"/>
        <w:widowControl w:val="0"/>
        <w:numPr>
          <w:ilvl w:val="0"/>
          <w:numId w:val="24"/>
        </w:numPr>
        <w:tabs>
          <w:tab w:val="left" w:pos="1291"/>
        </w:tabs>
        <w:autoSpaceDE w:val="0"/>
        <w:autoSpaceDN w:val="0"/>
        <w:ind w:left="1134" w:right="-8" w:hanging="283"/>
        <w:contextualSpacing w:val="0"/>
        <w:jc w:val="both"/>
        <w:rPr>
          <w:rFonts w:ascii="Arial" w:hAnsi="Arial" w:cs="Arial"/>
          <w:sz w:val="22"/>
          <w:szCs w:val="22"/>
          <w:lang w:val="es-ES_tradnl"/>
        </w:rPr>
      </w:pPr>
      <w:r w:rsidRPr="00DB68CC">
        <w:rPr>
          <w:rFonts w:ascii="Arial" w:hAnsi="Arial" w:cs="Arial"/>
          <w:sz w:val="22"/>
          <w:szCs w:val="22"/>
          <w:lang w:val="es-ES_tradnl"/>
        </w:rPr>
        <w:t xml:space="preserve">70% del monto de la operación garantizada para todos los emprendedores a excepción de </w:t>
      </w:r>
      <w:r w:rsidR="00491132" w:rsidRPr="00DB68CC">
        <w:rPr>
          <w:rFonts w:ascii="Arial" w:hAnsi="Arial" w:cs="Arial"/>
          <w:sz w:val="22"/>
          <w:szCs w:val="22"/>
          <w:lang w:val="es-ES_tradnl"/>
        </w:rPr>
        <w:t xml:space="preserve">Migrantes retornados al </w:t>
      </w:r>
      <w:r w:rsidR="005F6CB8" w:rsidRPr="00DB68CC">
        <w:rPr>
          <w:rFonts w:ascii="Arial" w:hAnsi="Arial" w:cs="Arial"/>
          <w:sz w:val="22"/>
          <w:szCs w:val="22"/>
          <w:lang w:val="es-ES_tradnl"/>
        </w:rPr>
        <w:t xml:space="preserve">Ecuador y los emprendimientos ubicados en </w:t>
      </w:r>
      <w:r w:rsidRPr="00DB68CC">
        <w:rPr>
          <w:rFonts w:ascii="Arial" w:hAnsi="Arial" w:cs="Arial"/>
          <w:sz w:val="22"/>
          <w:szCs w:val="22"/>
          <w:lang w:val="es-ES_tradnl"/>
        </w:rPr>
        <w:t>la</w:t>
      </w:r>
      <w:r w:rsidR="005F6CB8" w:rsidRPr="00DB68CC">
        <w:rPr>
          <w:rFonts w:ascii="Arial" w:hAnsi="Arial" w:cs="Arial"/>
          <w:sz w:val="22"/>
          <w:szCs w:val="22"/>
          <w:lang w:val="es-ES_tradnl"/>
        </w:rPr>
        <w:t>s</w:t>
      </w:r>
      <w:r w:rsidRPr="00DB68CC">
        <w:rPr>
          <w:rFonts w:ascii="Arial" w:hAnsi="Arial" w:cs="Arial"/>
          <w:sz w:val="22"/>
          <w:szCs w:val="22"/>
          <w:lang w:val="es-ES_tradnl"/>
        </w:rPr>
        <w:t xml:space="preserve"> </w:t>
      </w:r>
      <w:r w:rsidR="005F6CB8" w:rsidRPr="00DB68CC">
        <w:rPr>
          <w:rFonts w:ascii="Arial" w:hAnsi="Arial" w:cs="Arial"/>
          <w:sz w:val="22"/>
          <w:szCs w:val="22"/>
          <w:lang w:val="es-ES_tradnl"/>
        </w:rPr>
        <w:t>p</w:t>
      </w:r>
      <w:r w:rsidRPr="00DB68CC">
        <w:rPr>
          <w:rFonts w:ascii="Arial" w:hAnsi="Arial" w:cs="Arial"/>
          <w:sz w:val="22"/>
          <w:szCs w:val="22"/>
          <w:lang w:val="es-ES_tradnl"/>
        </w:rPr>
        <w:t>rovincia</w:t>
      </w:r>
      <w:r w:rsidR="005F6CB8" w:rsidRPr="00DB68CC">
        <w:rPr>
          <w:rFonts w:ascii="Arial" w:hAnsi="Arial" w:cs="Arial"/>
          <w:sz w:val="22"/>
          <w:szCs w:val="22"/>
          <w:lang w:val="es-ES_tradnl"/>
        </w:rPr>
        <w:t>s</w:t>
      </w:r>
      <w:r w:rsidRPr="00DB68CC">
        <w:rPr>
          <w:rFonts w:ascii="Arial" w:hAnsi="Arial" w:cs="Arial"/>
          <w:sz w:val="22"/>
          <w:szCs w:val="22"/>
          <w:lang w:val="es-ES_tradnl"/>
        </w:rPr>
        <w:t xml:space="preserve"> </w:t>
      </w:r>
      <w:r w:rsidR="003B7271" w:rsidRPr="00DB68CC">
        <w:rPr>
          <w:rFonts w:ascii="Arial" w:hAnsi="Arial" w:cs="Arial"/>
          <w:sz w:val="22"/>
          <w:szCs w:val="22"/>
          <w:lang w:val="es-ES_tradnl"/>
        </w:rPr>
        <w:t>definidas como priori</w:t>
      </w:r>
      <w:r w:rsidR="008B1266" w:rsidRPr="00DB68CC">
        <w:rPr>
          <w:rFonts w:ascii="Arial" w:hAnsi="Arial" w:cs="Arial"/>
          <w:sz w:val="22"/>
          <w:szCs w:val="22"/>
          <w:lang w:val="es-ES_tradnl"/>
        </w:rPr>
        <w:t xml:space="preserve">tarias por </w:t>
      </w:r>
      <w:r w:rsidR="00D26679" w:rsidRPr="00DB68CC">
        <w:rPr>
          <w:rFonts w:ascii="Arial" w:hAnsi="Arial" w:cs="Arial"/>
          <w:sz w:val="22"/>
          <w:szCs w:val="22"/>
          <w:lang w:val="es-ES_tradnl"/>
        </w:rPr>
        <w:t>[LA AUTORIDAD</w:t>
      </w:r>
      <w:r w:rsidR="002669EF" w:rsidRPr="00DB68CC">
        <w:rPr>
          <w:rFonts w:ascii="Arial" w:hAnsi="Arial" w:cs="Arial"/>
          <w:sz w:val="22"/>
          <w:szCs w:val="22"/>
          <w:lang w:val="es-ES_tradnl"/>
        </w:rPr>
        <w:t xml:space="preserve"> XX[</w:t>
      </w:r>
      <w:r w:rsidRPr="00DB68CC">
        <w:rPr>
          <w:rFonts w:ascii="Arial" w:hAnsi="Arial" w:cs="Arial"/>
          <w:sz w:val="22"/>
          <w:szCs w:val="22"/>
          <w:lang w:val="es-ES_tradnl"/>
        </w:rPr>
        <w:t>, con un máximo de US$50.000.</w:t>
      </w:r>
    </w:p>
    <w:p w14:paraId="6A3767C8" w14:textId="4137FD3D" w:rsidR="007A4806" w:rsidRPr="00DB68CC" w:rsidRDefault="007A4806" w:rsidP="00F5287A">
      <w:pPr>
        <w:pStyle w:val="ListParagraph"/>
        <w:widowControl w:val="0"/>
        <w:numPr>
          <w:ilvl w:val="0"/>
          <w:numId w:val="24"/>
        </w:numPr>
        <w:tabs>
          <w:tab w:val="left" w:pos="1291"/>
        </w:tabs>
        <w:autoSpaceDE w:val="0"/>
        <w:autoSpaceDN w:val="0"/>
        <w:ind w:left="1134" w:right="-8" w:hanging="283"/>
        <w:contextualSpacing w:val="0"/>
        <w:jc w:val="both"/>
        <w:rPr>
          <w:rFonts w:ascii="Arial" w:hAnsi="Arial" w:cs="Arial"/>
          <w:sz w:val="22"/>
          <w:szCs w:val="22"/>
          <w:lang w:val="es-ES_tradnl"/>
        </w:rPr>
      </w:pPr>
      <w:r w:rsidRPr="00DB68CC">
        <w:rPr>
          <w:rFonts w:ascii="Arial" w:hAnsi="Arial" w:cs="Arial"/>
          <w:sz w:val="22"/>
          <w:szCs w:val="22"/>
          <w:lang w:val="es-ES_tradnl"/>
        </w:rPr>
        <w:t>90% del monto de la operación garantizada para todos los emprendedores de la</w:t>
      </w:r>
      <w:r w:rsidR="00CC7606" w:rsidRPr="00DB68CC">
        <w:rPr>
          <w:rFonts w:ascii="Arial" w:hAnsi="Arial" w:cs="Arial"/>
          <w:sz w:val="22"/>
          <w:szCs w:val="22"/>
          <w:lang w:val="es-ES_tradnl"/>
        </w:rPr>
        <w:t xml:space="preserve">s </w:t>
      </w:r>
      <w:r w:rsidR="00896614" w:rsidRPr="00DB68CC">
        <w:rPr>
          <w:rFonts w:ascii="Arial" w:hAnsi="Arial" w:cs="Arial"/>
          <w:sz w:val="22"/>
          <w:szCs w:val="22"/>
          <w:lang w:val="es-ES_tradnl"/>
        </w:rPr>
        <w:t>provincias definidas</w:t>
      </w:r>
      <w:r w:rsidR="00CC7606" w:rsidRPr="00DB68CC">
        <w:rPr>
          <w:rFonts w:ascii="Arial" w:hAnsi="Arial" w:cs="Arial"/>
          <w:sz w:val="22"/>
          <w:szCs w:val="22"/>
          <w:lang w:val="es-ES_tradnl"/>
        </w:rPr>
        <w:t xml:space="preserve"> como prioritarias por [LA AUTORIDAD XX[</w:t>
      </w:r>
      <w:r w:rsidRPr="00DB68CC">
        <w:rPr>
          <w:rFonts w:ascii="Arial" w:hAnsi="Arial" w:cs="Arial"/>
          <w:sz w:val="22"/>
          <w:szCs w:val="22"/>
          <w:lang w:val="es-ES_tradnl"/>
        </w:rPr>
        <w:t xml:space="preserve"> y Migrantes</w:t>
      </w:r>
      <w:r w:rsidR="00CC7606" w:rsidRPr="00DB68CC">
        <w:rPr>
          <w:rFonts w:ascii="Arial" w:hAnsi="Arial" w:cs="Arial"/>
          <w:sz w:val="22"/>
          <w:szCs w:val="22"/>
          <w:lang w:val="es-ES_tradnl"/>
        </w:rPr>
        <w:t xml:space="preserve"> retornados al país</w:t>
      </w:r>
      <w:r w:rsidRPr="00DB68CC">
        <w:rPr>
          <w:rFonts w:ascii="Arial" w:hAnsi="Arial" w:cs="Arial"/>
          <w:sz w:val="22"/>
          <w:szCs w:val="22"/>
          <w:lang w:val="es-ES_tradnl"/>
        </w:rPr>
        <w:t>, con un máximo de US$50.000.</w:t>
      </w:r>
    </w:p>
    <w:p w14:paraId="6A955D43" w14:textId="77777777" w:rsidR="007A4806" w:rsidRPr="00DB68CC" w:rsidRDefault="007A4806" w:rsidP="007A4806">
      <w:pPr>
        <w:widowControl w:val="0"/>
        <w:tabs>
          <w:tab w:val="left" w:pos="1291"/>
        </w:tabs>
        <w:autoSpaceDE w:val="0"/>
        <w:autoSpaceDN w:val="0"/>
        <w:ind w:right="-8"/>
        <w:jc w:val="both"/>
        <w:rPr>
          <w:rFonts w:ascii="Arial" w:hAnsi="Arial" w:cs="Arial"/>
          <w:sz w:val="22"/>
          <w:szCs w:val="22"/>
          <w:lang w:val="es-ES_tradnl"/>
        </w:rPr>
      </w:pPr>
    </w:p>
    <w:p w14:paraId="7D99C6C2" w14:textId="604E3202" w:rsidR="00327017" w:rsidRPr="00DB68CC" w:rsidRDefault="007A4806" w:rsidP="00BC7E91">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Las OSFPS podrán reutilizar y destinar los derechos de garantía liberados, como resultado de la cancelación total o parcial de las operaciones inicialmente garantizadas, hacia nuevas garantías.</w:t>
      </w:r>
    </w:p>
    <w:p w14:paraId="32E16C37" w14:textId="77777777" w:rsidR="009B4891" w:rsidRPr="00DB68CC" w:rsidRDefault="009B4891" w:rsidP="009B4891">
      <w:pPr>
        <w:pStyle w:val="ListParagraph"/>
        <w:ind w:left="907"/>
        <w:jc w:val="both"/>
        <w:rPr>
          <w:rFonts w:ascii="Arial" w:hAnsi="Arial" w:cs="Arial"/>
          <w:sz w:val="22"/>
          <w:szCs w:val="22"/>
          <w:lang w:val="es-ES_tradnl"/>
        </w:rPr>
      </w:pPr>
    </w:p>
    <w:p w14:paraId="47C15E5F" w14:textId="0D3D454E" w:rsidR="009B4891" w:rsidRPr="00DB68CC" w:rsidRDefault="009B4891" w:rsidP="00BC7E91">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Ninguna persona natural o jurídica podrá ser a la vez beneficiaria de una operación de Ga</w:t>
      </w:r>
      <w:r w:rsidR="008F4526" w:rsidRPr="00DB68CC">
        <w:rPr>
          <w:rFonts w:ascii="Arial" w:hAnsi="Arial" w:cs="Arial"/>
          <w:sz w:val="22"/>
          <w:szCs w:val="22"/>
          <w:lang w:val="es-ES_tradnl"/>
        </w:rPr>
        <w:t>r</w:t>
      </w:r>
      <w:r w:rsidRPr="00DB68CC">
        <w:rPr>
          <w:rFonts w:ascii="Arial" w:hAnsi="Arial" w:cs="Arial"/>
          <w:sz w:val="22"/>
          <w:szCs w:val="22"/>
          <w:lang w:val="es-ES_tradnl"/>
        </w:rPr>
        <w:t xml:space="preserve">antía otorgada por el FOGEPS y </w:t>
      </w:r>
      <w:r w:rsidR="0086140F" w:rsidRPr="00DB68CC">
        <w:rPr>
          <w:rFonts w:ascii="Arial" w:hAnsi="Arial" w:cs="Arial"/>
          <w:sz w:val="22"/>
          <w:szCs w:val="22"/>
          <w:lang w:val="es-ES_tradnl"/>
        </w:rPr>
        <w:t xml:space="preserve">ser </w:t>
      </w:r>
      <w:proofErr w:type="spellStart"/>
      <w:r w:rsidR="0086140F" w:rsidRPr="00DB68CC">
        <w:rPr>
          <w:rFonts w:ascii="Arial" w:hAnsi="Arial" w:cs="Arial"/>
          <w:sz w:val="22"/>
          <w:szCs w:val="22"/>
          <w:lang w:val="es-ES_tradnl"/>
        </w:rPr>
        <w:t>subprestamista</w:t>
      </w:r>
      <w:proofErr w:type="spellEnd"/>
      <w:r w:rsidR="0086140F" w:rsidRPr="00DB68CC">
        <w:rPr>
          <w:rFonts w:ascii="Arial" w:hAnsi="Arial" w:cs="Arial"/>
          <w:sz w:val="22"/>
          <w:szCs w:val="22"/>
          <w:lang w:val="es-ES_tradnl"/>
        </w:rPr>
        <w:t xml:space="preserve"> en alguna operación de crédito de la CONAFIPS.</w:t>
      </w:r>
    </w:p>
    <w:p w14:paraId="4A1B4CF8" w14:textId="296AD42E" w:rsidR="0061131C" w:rsidRPr="00DB68CC" w:rsidRDefault="0061131C" w:rsidP="0099721A">
      <w:pPr>
        <w:pStyle w:val="Heading1"/>
        <w:numPr>
          <w:ilvl w:val="0"/>
          <w:numId w:val="9"/>
        </w:numPr>
        <w:rPr>
          <w:rFonts w:cs="Arial"/>
          <w:sz w:val="22"/>
          <w:szCs w:val="22"/>
          <w:lang w:val="es-ES_tradnl"/>
        </w:rPr>
      </w:pPr>
      <w:bookmarkStart w:id="52" w:name="_Ref424799728"/>
      <w:bookmarkStart w:id="53" w:name="_Toc424822793"/>
      <w:bookmarkStart w:id="54" w:name="_Toc507057763"/>
      <w:bookmarkStart w:id="55" w:name="_Toc37603068"/>
      <w:r w:rsidRPr="00DB68CC">
        <w:rPr>
          <w:rFonts w:cs="Arial"/>
          <w:sz w:val="22"/>
          <w:szCs w:val="22"/>
          <w:lang w:val="es-ES_tradnl"/>
        </w:rPr>
        <w:lastRenderedPageBreak/>
        <w:t xml:space="preserve">Requerimientos Ambientales y Sociales </w:t>
      </w:r>
      <w:r w:rsidR="00D25596" w:rsidRPr="00DB68CC">
        <w:rPr>
          <w:rFonts w:cs="Arial"/>
          <w:sz w:val="22"/>
          <w:szCs w:val="22"/>
          <w:lang w:val="es-ES_tradnl"/>
        </w:rPr>
        <w:t>(</w:t>
      </w:r>
      <w:r w:rsidR="00C96012">
        <w:rPr>
          <w:rFonts w:cs="Arial"/>
          <w:sz w:val="22"/>
          <w:szCs w:val="22"/>
          <w:lang w:val="es-ES_tradnl"/>
        </w:rPr>
        <w:t>SARAS)</w:t>
      </w:r>
      <w:r w:rsidR="00D25596" w:rsidRPr="00DB68CC">
        <w:rPr>
          <w:rFonts w:cs="Arial"/>
          <w:sz w:val="22"/>
          <w:szCs w:val="22"/>
          <w:lang w:val="es-ES_tradnl"/>
        </w:rPr>
        <w:t xml:space="preserve"> del pro</w:t>
      </w:r>
      <w:r w:rsidR="00C96012">
        <w:rPr>
          <w:rFonts w:cs="Arial"/>
          <w:sz w:val="22"/>
          <w:szCs w:val="22"/>
          <w:lang w:val="es-ES_tradnl"/>
        </w:rPr>
        <w:t>yecto</w:t>
      </w:r>
      <w:bookmarkEnd w:id="52"/>
      <w:bookmarkEnd w:id="53"/>
      <w:bookmarkEnd w:id="54"/>
      <w:bookmarkEnd w:id="55"/>
    </w:p>
    <w:p w14:paraId="63CFEB15" w14:textId="77777777" w:rsidR="00CB5C55" w:rsidRPr="00DB68CC" w:rsidRDefault="00CB5C55" w:rsidP="00CB5C55">
      <w:pPr>
        <w:pStyle w:val="ListParagraph"/>
        <w:ind w:left="792"/>
        <w:jc w:val="both"/>
        <w:rPr>
          <w:rFonts w:ascii="Arial" w:hAnsi="Arial" w:cs="Arial"/>
          <w:b/>
          <w:bCs/>
          <w:sz w:val="22"/>
          <w:szCs w:val="22"/>
          <w:lang w:val="es-ES_tradnl"/>
        </w:rPr>
      </w:pPr>
    </w:p>
    <w:p w14:paraId="526DE5C4" w14:textId="20AC6B11" w:rsidR="00D528FC" w:rsidRPr="00DB68CC" w:rsidRDefault="00C96012" w:rsidP="00E94E76">
      <w:pPr>
        <w:pStyle w:val="ListParagraph"/>
        <w:numPr>
          <w:ilvl w:val="1"/>
          <w:numId w:val="9"/>
        </w:numPr>
        <w:spacing w:after="120"/>
        <w:contextualSpacing w:val="0"/>
        <w:jc w:val="both"/>
        <w:rPr>
          <w:rFonts w:ascii="Arial" w:hAnsi="Arial" w:cs="Arial"/>
          <w:sz w:val="22"/>
          <w:szCs w:val="22"/>
          <w:lang w:val="es-ES_tradnl"/>
        </w:rPr>
      </w:pPr>
      <w:r w:rsidRPr="00C96012">
        <w:rPr>
          <w:rFonts w:ascii="Arial" w:hAnsi="Arial" w:cs="Arial"/>
          <w:sz w:val="22"/>
          <w:szCs w:val="22"/>
          <w:lang w:val="es-ES_tradnl"/>
        </w:rPr>
        <w:t>S</w:t>
      </w:r>
      <w:r w:rsidR="00FE2B83">
        <w:rPr>
          <w:rFonts w:ascii="Arial" w:hAnsi="Arial" w:cs="Arial"/>
          <w:sz w:val="22"/>
          <w:szCs w:val="22"/>
          <w:lang w:val="es-ES_tradnl"/>
        </w:rPr>
        <w:t>ó</w:t>
      </w:r>
      <w:r w:rsidRPr="00C96012">
        <w:rPr>
          <w:rFonts w:ascii="Arial" w:hAnsi="Arial" w:cs="Arial"/>
          <w:sz w:val="22"/>
          <w:szCs w:val="22"/>
          <w:lang w:val="es-ES_tradnl"/>
        </w:rPr>
        <w:t>lo serán elegibles de financiamiento con recursos del programa MIPE que cumplen con los criterios de elegibilidad definidos en este documento y con los criterios siguientes</w:t>
      </w:r>
      <w:r>
        <w:rPr>
          <w:rFonts w:ascii="Arial" w:hAnsi="Arial" w:cs="Arial"/>
          <w:sz w:val="22"/>
          <w:szCs w:val="22"/>
          <w:lang w:val="es-ES_tradnl"/>
        </w:rPr>
        <w:t>:</w:t>
      </w:r>
    </w:p>
    <w:p w14:paraId="1170A96A" w14:textId="68D6A217" w:rsidR="00E479D0" w:rsidRPr="00E479D0" w:rsidRDefault="00E479D0" w:rsidP="00E94E76">
      <w:pPr>
        <w:pStyle w:val="ListParagraph"/>
        <w:numPr>
          <w:ilvl w:val="0"/>
          <w:numId w:val="26"/>
        </w:numPr>
        <w:jc w:val="both"/>
        <w:rPr>
          <w:rFonts w:ascii="Arial" w:hAnsi="Arial" w:cs="Arial"/>
          <w:sz w:val="22"/>
          <w:szCs w:val="22"/>
          <w:lang w:val="es-ES_tradnl"/>
        </w:rPr>
      </w:pPr>
      <w:r w:rsidRPr="00E479D0">
        <w:rPr>
          <w:rFonts w:ascii="Arial" w:hAnsi="Arial" w:cs="Arial"/>
          <w:sz w:val="22"/>
          <w:szCs w:val="22"/>
          <w:lang w:val="es-ES_tradnl"/>
        </w:rPr>
        <w:t>El cumplimiento con la lista de exclusión del proyecto en Anexo 1. de este documento</w:t>
      </w:r>
      <w:r>
        <w:rPr>
          <w:rFonts w:ascii="Arial" w:hAnsi="Arial" w:cs="Arial"/>
          <w:sz w:val="22"/>
          <w:szCs w:val="22"/>
          <w:lang w:val="es-ES_tradnl"/>
        </w:rPr>
        <w:t>.</w:t>
      </w:r>
    </w:p>
    <w:p w14:paraId="1E771474" w14:textId="11943429" w:rsidR="00D25596" w:rsidRDefault="00E479D0" w:rsidP="00E479D0">
      <w:pPr>
        <w:pStyle w:val="ListParagraph"/>
        <w:numPr>
          <w:ilvl w:val="0"/>
          <w:numId w:val="26"/>
        </w:numPr>
        <w:jc w:val="both"/>
        <w:rPr>
          <w:rFonts w:ascii="Arial" w:hAnsi="Arial" w:cs="Arial"/>
          <w:sz w:val="22"/>
          <w:szCs w:val="22"/>
          <w:lang w:val="es-ES_tradnl"/>
        </w:rPr>
      </w:pPr>
      <w:r w:rsidRPr="00E479D0">
        <w:rPr>
          <w:rFonts w:ascii="Arial" w:hAnsi="Arial" w:cs="Arial"/>
          <w:sz w:val="22"/>
          <w:szCs w:val="22"/>
          <w:lang w:val="es-ES_tradnl"/>
        </w:rPr>
        <w:t xml:space="preserve">El cumplimiento con la regulación local </w:t>
      </w:r>
      <w:r>
        <w:rPr>
          <w:rFonts w:ascii="Arial" w:hAnsi="Arial" w:cs="Arial"/>
          <w:sz w:val="22"/>
          <w:szCs w:val="22"/>
          <w:lang w:val="es-ES_tradnl"/>
        </w:rPr>
        <w:t>aplicable.</w:t>
      </w:r>
    </w:p>
    <w:p w14:paraId="53613A59" w14:textId="77777777" w:rsidR="00FE2B83" w:rsidRDefault="00E479D0" w:rsidP="00794E33">
      <w:pPr>
        <w:pStyle w:val="ListParagraph"/>
        <w:numPr>
          <w:ilvl w:val="0"/>
          <w:numId w:val="26"/>
        </w:numPr>
        <w:contextualSpacing w:val="0"/>
        <w:jc w:val="both"/>
        <w:rPr>
          <w:rFonts w:ascii="Arial" w:hAnsi="Arial" w:cs="Arial"/>
          <w:sz w:val="22"/>
          <w:szCs w:val="22"/>
          <w:lang w:val="es-ES_tradnl"/>
        </w:rPr>
      </w:pPr>
      <w:r w:rsidRPr="00FE2B83">
        <w:rPr>
          <w:rFonts w:ascii="Arial" w:hAnsi="Arial" w:cs="Arial"/>
          <w:sz w:val="22"/>
          <w:szCs w:val="22"/>
          <w:lang w:val="es-ES_tradnl"/>
        </w:rPr>
        <w:t>El cumplimiento con las políticas de la CONAF</w:t>
      </w:r>
      <w:r w:rsidR="00FE2B83" w:rsidRPr="00FE2B83">
        <w:rPr>
          <w:rFonts w:ascii="Arial" w:hAnsi="Arial" w:cs="Arial"/>
          <w:sz w:val="22"/>
          <w:szCs w:val="22"/>
          <w:lang w:val="es-ES_tradnl"/>
        </w:rPr>
        <w:t xml:space="preserve">IPS. </w:t>
      </w:r>
    </w:p>
    <w:p w14:paraId="7FC5F991" w14:textId="7DA1B938" w:rsidR="00E479D0" w:rsidRPr="00E94E76" w:rsidRDefault="00FE2B83" w:rsidP="00E94E76">
      <w:pPr>
        <w:pStyle w:val="ListParagraph"/>
        <w:numPr>
          <w:ilvl w:val="0"/>
          <w:numId w:val="26"/>
        </w:numPr>
        <w:contextualSpacing w:val="0"/>
        <w:jc w:val="both"/>
        <w:rPr>
          <w:rFonts w:ascii="Arial" w:hAnsi="Arial" w:cs="Arial"/>
          <w:sz w:val="22"/>
          <w:szCs w:val="22"/>
          <w:lang w:val="es-ES_tradnl"/>
        </w:rPr>
      </w:pPr>
      <w:r w:rsidRPr="00FE2B83">
        <w:rPr>
          <w:rFonts w:ascii="Arial" w:hAnsi="Arial" w:cs="Arial"/>
          <w:sz w:val="22"/>
          <w:szCs w:val="22"/>
          <w:lang w:val="es-ES_tradnl"/>
        </w:rPr>
        <w:t>Monto máximo por subpréstamo de US$50</w:t>
      </w:r>
      <w:r w:rsidR="009F4A97">
        <w:rPr>
          <w:rFonts w:ascii="Arial" w:hAnsi="Arial" w:cs="Arial"/>
          <w:sz w:val="22"/>
          <w:szCs w:val="22"/>
          <w:lang w:val="es-ES_tradnl"/>
        </w:rPr>
        <w:t>.</w:t>
      </w:r>
      <w:r w:rsidRPr="00FE2B83">
        <w:rPr>
          <w:rFonts w:ascii="Arial" w:hAnsi="Arial" w:cs="Arial"/>
          <w:sz w:val="22"/>
          <w:szCs w:val="22"/>
          <w:lang w:val="es-ES_tradnl"/>
        </w:rPr>
        <w:t>000</w:t>
      </w:r>
      <w:r>
        <w:rPr>
          <w:rFonts w:ascii="Arial" w:hAnsi="Arial" w:cs="Arial"/>
          <w:sz w:val="22"/>
          <w:szCs w:val="22"/>
          <w:lang w:val="es-ES_tradnl"/>
        </w:rPr>
        <w:t>.</w:t>
      </w:r>
    </w:p>
    <w:p w14:paraId="5F9DF70B" w14:textId="3855C4B8" w:rsidR="0061131C" w:rsidRDefault="00FE2B83" w:rsidP="00FE2B83">
      <w:pPr>
        <w:pStyle w:val="ListParagraph"/>
        <w:numPr>
          <w:ilvl w:val="1"/>
          <w:numId w:val="9"/>
        </w:numPr>
        <w:spacing w:before="120" w:after="120"/>
        <w:contextualSpacing w:val="0"/>
        <w:jc w:val="both"/>
        <w:rPr>
          <w:rFonts w:ascii="Arial" w:hAnsi="Arial" w:cs="Arial"/>
          <w:sz w:val="22"/>
          <w:szCs w:val="22"/>
          <w:lang w:val="es-ES_tradnl"/>
        </w:rPr>
      </w:pPr>
      <w:r w:rsidRPr="00FE2B83">
        <w:rPr>
          <w:rFonts w:ascii="Arial" w:hAnsi="Arial" w:cs="Arial"/>
          <w:sz w:val="22"/>
          <w:szCs w:val="22"/>
          <w:lang w:val="es-ES_tradnl"/>
        </w:rPr>
        <w:t>La CONAFIPS será responsable de velar por el cumplimiento del proyecto con este RC, así como de coordinar el seguimiento de los requerimientos de monitoreo y evaluación. En particular, deberá presentar semestralmente – dentro de las fechas limites establecidas para el ingreso del PMR – un Informe de Cumplimiento de Gestión de Riesgos Socioambientales con información sobre el portafolio financiado, los riesgos identificados y sus medidas de mitigación ambientales y sociales si fuera relevante y el estado de cumplimiento del proyecto con el RC (ver Anexo 3)</w:t>
      </w:r>
      <w:r>
        <w:rPr>
          <w:rFonts w:ascii="Arial" w:hAnsi="Arial" w:cs="Arial"/>
          <w:sz w:val="22"/>
          <w:szCs w:val="22"/>
          <w:lang w:val="es-ES_tradnl"/>
        </w:rPr>
        <w:t>.</w:t>
      </w:r>
    </w:p>
    <w:p w14:paraId="0503ACBC" w14:textId="4D30047F" w:rsidR="00FE2B83" w:rsidRDefault="00FE2B83" w:rsidP="00FE2B83">
      <w:pPr>
        <w:pStyle w:val="ListParagraph"/>
        <w:numPr>
          <w:ilvl w:val="1"/>
          <w:numId w:val="9"/>
        </w:numPr>
        <w:spacing w:before="120" w:after="120"/>
        <w:contextualSpacing w:val="0"/>
        <w:jc w:val="both"/>
        <w:rPr>
          <w:rFonts w:ascii="Arial" w:hAnsi="Arial" w:cs="Arial"/>
          <w:sz w:val="22"/>
          <w:szCs w:val="22"/>
          <w:lang w:val="es-ES_tradnl"/>
        </w:rPr>
      </w:pPr>
      <w:r w:rsidRPr="00FE2B83">
        <w:rPr>
          <w:rFonts w:ascii="Arial" w:hAnsi="Arial" w:cs="Arial"/>
          <w:sz w:val="22"/>
          <w:szCs w:val="22"/>
          <w:lang w:val="es-ES_tradnl"/>
        </w:rPr>
        <w:t>El BID supervisará la aplicación del SARAS del proyecto, según sea necesario por un especialista del BID o un consultor externo contratado por el BID. Para este fin, la CONAFIPS proveerá y facilitará acceso al BID a toda la documentación relevante, personal y proyectos</w:t>
      </w:r>
      <w:r>
        <w:rPr>
          <w:rFonts w:ascii="Arial" w:hAnsi="Arial" w:cs="Arial"/>
          <w:sz w:val="22"/>
          <w:szCs w:val="22"/>
          <w:lang w:val="es-ES_tradnl"/>
        </w:rPr>
        <w:t>.</w:t>
      </w:r>
    </w:p>
    <w:p w14:paraId="4B35D4EE" w14:textId="096740D8" w:rsidR="00FE2B83" w:rsidRPr="00DB68CC" w:rsidRDefault="00907CFD" w:rsidP="00E94E76">
      <w:pPr>
        <w:pStyle w:val="ListParagraph"/>
        <w:numPr>
          <w:ilvl w:val="1"/>
          <w:numId w:val="9"/>
        </w:numPr>
        <w:spacing w:before="120" w:after="120"/>
        <w:contextualSpacing w:val="0"/>
        <w:jc w:val="both"/>
        <w:rPr>
          <w:rFonts w:ascii="Arial" w:hAnsi="Arial" w:cs="Arial"/>
          <w:sz w:val="22"/>
          <w:szCs w:val="22"/>
          <w:lang w:val="es-ES_tradnl"/>
        </w:rPr>
      </w:pPr>
      <w:r w:rsidRPr="00907CFD">
        <w:rPr>
          <w:rFonts w:ascii="Arial" w:hAnsi="Arial" w:cs="Arial"/>
          <w:sz w:val="22"/>
          <w:szCs w:val="22"/>
          <w:lang w:val="es-ES_tradnl"/>
        </w:rPr>
        <w:t>Si fuera necesario, el BID y la CONAFIPS acordarán acciones o medidas correctivas necesarias para solventar impactos y riesgos adversos y/o para mejorar su gestión</w:t>
      </w:r>
      <w:r>
        <w:rPr>
          <w:rFonts w:ascii="Arial" w:hAnsi="Arial" w:cs="Arial"/>
          <w:sz w:val="22"/>
          <w:szCs w:val="22"/>
          <w:lang w:val="es-ES_tradnl"/>
        </w:rPr>
        <w:t>.</w:t>
      </w:r>
    </w:p>
    <w:p w14:paraId="3AA21655" w14:textId="67C0F663" w:rsidR="009F6623" w:rsidRPr="00DB68CC" w:rsidRDefault="009F6623" w:rsidP="0099721A">
      <w:pPr>
        <w:pStyle w:val="Heading1"/>
        <w:numPr>
          <w:ilvl w:val="0"/>
          <w:numId w:val="9"/>
        </w:numPr>
        <w:rPr>
          <w:rFonts w:cs="Arial"/>
          <w:sz w:val="22"/>
          <w:szCs w:val="22"/>
          <w:lang w:val="es-ES_tradnl"/>
        </w:rPr>
      </w:pPr>
      <w:bookmarkStart w:id="56" w:name="_Toc37603069"/>
      <w:r w:rsidRPr="00DB68CC">
        <w:rPr>
          <w:rFonts w:cs="Arial"/>
          <w:sz w:val="22"/>
          <w:szCs w:val="22"/>
          <w:lang w:val="es-ES_tradnl"/>
        </w:rPr>
        <w:t xml:space="preserve">Otras Condiciones de los </w:t>
      </w:r>
      <w:r w:rsidR="004D420A" w:rsidRPr="00DB68CC">
        <w:rPr>
          <w:rFonts w:cs="Arial"/>
          <w:sz w:val="22"/>
          <w:szCs w:val="22"/>
          <w:lang w:val="es-ES_tradnl"/>
        </w:rPr>
        <w:t>Subpréstamo</w:t>
      </w:r>
      <w:r w:rsidRPr="00DB68CC">
        <w:rPr>
          <w:rFonts w:cs="Arial"/>
          <w:sz w:val="22"/>
          <w:szCs w:val="22"/>
          <w:lang w:val="es-ES_tradnl"/>
        </w:rPr>
        <w:t>s con Financiación del Programa</w:t>
      </w:r>
      <w:bookmarkEnd w:id="56"/>
    </w:p>
    <w:p w14:paraId="773F928B" w14:textId="30FB93F4" w:rsidR="00AD4F7A" w:rsidRPr="00DB68CC" w:rsidRDefault="00AD4F7A" w:rsidP="00D528FC">
      <w:pPr>
        <w:ind w:left="360"/>
        <w:rPr>
          <w:rFonts w:ascii="Arial" w:hAnsi="Arial" w:cs="Arial"/>
          <w:sz w:val="22"/>
          <w:szCs w:val="22"/>
          <w:lang w:val="es-ES_tradnl"/>
        </w:rPr>
      </w:pPr>
      <w:r w:rsidRPr="00DB68CC">
        <w:rPr>
          <w:rFonts w:ascii="Arial" w:hAnsi="Arial" w:cs="Arial"/>
          <w:sz w:val="22"/>
          <w:szCs w:val="22"/>
          <w:lang w:val="es-ES_tradnl"/>
        </w:rPr>
        <w:t xml:space="preserve">En todos los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s que se otorguen con cargo al </w:t>
      </w:r>
      <w:r w:rsidR="00BD7617" w:rsidRPr="00DB68CC">
        <w:rPr>
          <w:rFonts w:ascii="Arial" w:hAnsi="Arial" w:cs="Arial"/>
          <w:sz w:val="22"/>
          <w:szCs w:val="22"/>
          <w:lang w:val="es-ES_tradnl"/>
        </w:rPr>
        <w:t>f</w:t>
      </w:r>
      <w:r w:rsidRPr="00DB68CC">
        <w:rPr>
          <w:rFonts w:ascii="Arial" w:hAnsi="Arial" w:cs="Arial"/>
          <w:sz w:val="22"/>
          <w:szCs w:val="22"/>
          <w:lang w:val="es-ES_tradnl"/>
        </w:rPr>
        <w:t xml:space="preserve">inanciamiento del </w:t>
      </w:r>
      <w:r w:rsidR="00BD7617" w:rsidRPr="00DB68CC">
        <w:rPr>
          <w:rFonts w:ascii="Arial" w:hAnsi="Arial" w:cs="Arial"/>
          <w:sz w:val="22"/>
          <w:szCs w:val="22"/>
          <w:lang w:val="es-ES_tradnl"/>
        </w:rPr>
        <w:t>p</w:t>
      </w:r>
      <w:r w:rsidRPr="00DB68CC">
        <w:rPr>
          <w:rFonts w:ascii="Arial" w:hAnsi="Arial" w:cs="Arial"/>
          <w:sz w:val="22"/>
          <w:szCs w:val="22"/>
          <w:lang w:val="es-ES_tradnl"/>
        </w:rPr>
        <w:t>rograma, deberán cumplirse las siguientes condiciones:</w:t>
      </w:r>
    </w:p>
    <w:p w14:paraId="3E67CA83" w14:textId="77777777" w:rsidR="00D528FC" w:rsidRPr="00DB68CC" w:rsidRDefault="00D528FC" w:rsidP="00D528FC">
      <w:pPr>
        <w:ind w:left="360"/>
        <w:rPr>
          <w:rFonts w:ascii="Arial" w:hAnsi="Arial" w:cs="Arial"/>
          <w:sz w:val="22"/>
          <w:szCs w:val="22"/>
          <w:lang w:val="es-ES_tradnl"/>
        </w:rPr>
      </w:pPr>
    </w:p>
    <w:p w14:paraId="5CE5CC44" w14:textId="4F2687EB" w:rsidR="00AD4F7A" w:rsidRPr="00DB68CC" w:rsidRDefault="00AD4F7A" w:rsidP="0099721A">
      <w:pPr>
        <w:pStyle w:val="ListParagraph"/>
        <w:numPr>
          <w:ilvl w:val="0"/>
          <w:numId w:val="20"/>
        </w:numPr>
        <w:spacing w:before="20"/>
        <w:jc w:val="both"/>
        <w:rPr>
          <w:rFonts w:ascii="Arial" w:hAnsi="Arial" w:cs="Arial"/>
          <w:sz w:val="22"/>
          <w:szCs w:val="22"/>
          <w:lang w:val="es-ES_tradnl"/>
        </w:rPr>
      </w:pPr>
      <w:r w:rsidRPr="00DB68CC">
        <w:rPr>
          <w:rFonts w:ascii="Arial" w:hAnsi="Arial" w:cs="Arial"/>
          <w:b/>
          <w:bCs/>
          <w:sz w:val="22"/>
          <w:szCs w:val="22"/>
          <w:lang w:val="es-ES_tradnl"/>
        </w:rPr>
        <w:t>Utilización de los Créditos</w:t>
      </w:r>
      <w:r w:rsidR="004C0EBE" w:rsidRPr="00DB68CC">
        <w:rPr>
          <w:rFonts w:ascii="Arial" w:hAnsi="Arial" w:cs="Arial"/>
          <w:b/>
          <w:bCs/>
          <w:sz w:val="22"/>
          <w:szCs w:val="22"/>
          <w:lang w:val="es-ES_tradnl"/>
        </w:rPr>
        <w:t>.</w:t>
      </w:r>
      <w:r w:rsidR="004C0EBE" w:rsidRPr="00DB68CC">
        <w:rPr>
          <w:rFonts w:ascii="Arial" w:hAnsi="Arial" w:cs="Arial"/>
          <w:sz w:val="22"/>
          <w:szCs w:val="22"/>
          <w:lang w:val="es-ES_tradnl"/>
        </w:rPr>
        <w:t xml:space="preserve"> </w:t>
      </w:r>
      <w:r w:rsidRPr="00DB68CC">
        <w:rPr>
          <w:rFonts w:ascii="Arial" w:hAnsi="Arial" w:cs="Arial"/>
          <w:sz w:val="22"/>
          <w:szCs w:val="22"/>
          <w:lang w:val="es-ES_tradnl"/>
        </w:rPr>
        <w:t xml:space="preserve">El </w:t>
      </w:r>
      <w:proofErr w:type="spellStart"/>
      <w:r w:rsidRPr="00DB68CC">
        <w:rPr>
          <w:rFonts w:ascii="Arial" w:hAnsi="Arial" w:cs="Arial"/>
          <w:sz w:val="22"/>
          <w:szCs w:val="22"/>
          <w:lang w:val="es-ES_tradnl"/>
        </w:rPr>
        <w:t>subprestatario</w:t>
      </w:r>
      <w:proofErr w:type="spellEnd"/>
      <w:r w:rsidRPr="00DB68CC">
        <w:rPr>
          <w:rFonts w:ascii="Arial" w:hAnsi="Arial" w:cs="Arial"/>
          <w:sz w:val="22"/>
          <w:szCs w:val="22"/>
          <w:lang w:val="es-ES_tradnl"/>
        </w:rPr>
        <w:t xml:space="preserve"> </w:t>
      </w:r>
      <w:r w:rsidR="002B5447" w:rsidRPr="00DB68CC">
        <w:rPr>
          <w:rFonts w:ascii="Arial" w:hAnsi="Arial" w:cs="Arial"/>
          <w:sz w:val="22"/>
          <w:szCs w:val="22"/>
          <w:lang w:val="es-ES_tradnl"/>
        </w:rPr>
        <w:t>deberá comprometerse a</w:t>
      </w:r>
      <w:r w:rsidRPr="00DB68CC">
        <w:rPr>
          <w:rFonts w:ascii="Arial" w:hAnsi="Arial" w:cs="Arial"/>
          <w:sz w:val="22"/>
          <w:szCs w:val="22"/>
          <w:lang w:val="es-ES_tradnl"/>
        </w:rPr>
        <w:t xml:space="preserve"> que los bienes y servicios que se financien con el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 se utilizarán exclusivamente en la ejecución del respectivo subproyecto y se ajustar</w:t>
      </w:r>
      <w:r w:rsidR="002E4D58" w:rsidRPr="00DB68CC">
        <w:rPr>
          <w:rFonts w:ascii="Arial" w:hAnsi="Arial" w:cs="Arial"/>
          <w:sz w:val="22"/>
          <w:szCs w:val="22"/>
          <w:lang w:val="es-ES_tradnl"/>
        </w:rPr>
        <w:t>á</w:t>
      </w:r>
      <w:r w:rsidRPr="00DB68CC">
        <w:rPr>
          <w:rFonts w:ascii="Arial" w:hAnsi="Arial" w:cs="Arial"/>
          <w:sz w:val="22"/>
          <w:szCs w:val="22"/>
          <w:lang w:val="es-ES_tradnl"/>
        </w:rPr>
        <w:t xml:space="preserve">n a los compromisos de uso de los recursos estipulado en </w:t>
      </w:r>
      <w:r w:rsidR="002B5447" w:rsidRPr="00DB68CC">
        <w:rPr>
          <w:rFonts w:ascii="Arial" w:hAnsi="Arial" w:cs="Arial"/>
          <w:sz w:val="22"/>
          <w:szCs w:val="22"/>
          <w:lang w:val="es-ES_tradnl"/>
        </w:rPr>
        <w:t xml:space="preserve">los documentos de crédito en concordancia con </w:t>
      </w:r>
      <w:r w:rsidRPr="00DB68CC">
        <w:rPr>
          <w:rFonts w:ascii="Arial" w:hAnsi="Arial" w:cs="Arial"/>
          <w:sz w:val="22"/>
          <w:szCs w:val="22"/>
          <w:lang w:val="es-ES_tradnl"/>
        </w:rPr>
        <w:t xml:space="preserve">los reglamentos de </w:t>
      </w:r>
      <w:r w:rsidR="002B5447" w:rsidRPr="00DB68CC">
        <w:rPr>
          <w:rFonts w:ascii="Arial" w:hAnsi="Arial" w:cs="Arial"/>
          <w:sz w:val="22"/>
          <w:szCs w:val="22"/>
          <w:lang w:val="es-ES_tradnl"/>
        </w:rPr>
        <w:t xml:space="preserve">crédito </w:t>
      </w:r>
      <w:r w:rsidRPr="00DB68CC">
        <w:rPr>
          <w:rFonts w:ascii="Arial" w:hAnsi="Arial" w:cs="Arial"/>
          <w:sz w:val="22"/>
          <w:szCs w:val="22"/>
          <w:lang w:val="es-ES_tradnl"/>
        </w:rPr>
        <w:t>elegibles bajo el programa</w:t>
      </w:r>
      <w:r w:rsidR="00280E54" w:rsidRPr="00DB68CC">
        <w:rPr>
          <w:rFonts w:ascii="Arial" w:hAnsi="Arial" w:cs="Arial"/>
          <w:sz w:val="22"/>
          <w:szCs w:val="22"/>
          <w:lang w:val="es-ES_tradnl"/>
        </w:rPr>
        <w:t xml:space="preserve"> y en el contexto de la emergencia generada por el COVID-19</w:t>
      </w:r>
      <w:r w:rsidR="004C0EBE" w:rsidRPr="00DB68CC">
        <w:rPr>
          <w:rFonts w:ascii="Arial" w:hAnsi="Arial" w:cs="Arial"/>
          <w:sz w:val="22"/>
          <w:szCs w:val="22"/>
          <w:lang w:val="es-ES_tradnl"/>
        </w:rPr>
        <w:t>.</w:t>
      </w:r>
      <w:r w:rsidR="006B664C" w:rsidRPr="00DB68CC">
        <w:rPr>
          <w:rFonts w:ascii="Arial" w:hAnsi="Arial" w:cs="Arial"/>
          <w:sz w:val="22"/>
          <w:szCs w:val="22"/>
          <w:lang w:val="es-ES_tradnl"/>
        </w:rPr>
        <w:t xml:space="preserve"> Esta provisión deberá estipularse en el contrato de préstamo </w:t>
      </w:r>
      <w:r w:rsidR="00385024" w:rsidRPr="00DB68CC">
        <w:rPr>
          <w:rFonts w:ascii="Arial" w:hAnsi="Arial" w:cs="Arial"/>
          <w:sz w:val="22"/>
          <w:szCs w:val="22"/>
          <w:lang w:val="es-ES_tradnl"/>
        </w:rPr>
        <w:t xml:space="preserve">o en un </w:t>
      </w:r>
      <w:r w:rsidR="00E16467" w:rsidRPr="00DB68CC">
        <w:rPr>
          <w:rFonts w:ascii="Arial" w:hAnsi="Arial" w:cs="Arial"/>
          <w:sz w:val="22"/>
          <w:szCs w:val="22"/>
          <w:lang w:val="es-ES_tradnl"/>
        </w:rPr>
        <w:t xml:space="preserve">documento </w:t>
      </w:r>
      <w:r w:rsidR="00385024" w:rsidRPr="00DB68CC">
        <w:rPr>
          <w:rFonts w:ascii="Arial" w:hAnsi="Arial" w:cs="Arial"/>
          <w:sz w:val="22"/>
          <w:szCs w:val="22"/>
          <w:lang w:val="es-ES_tradnl"/>
        </w:rPr>
        <w:t>anexo</w:t>
      </w:r>
      <w:r w:rsidR="006B664C" w:rsidRPr="00DB68CC">
        <w:rPr>
          <w:rFonts w:ascii="Arial" w:hAnsi="Arial" w:cs="Arial"/>
          <w:sz w:val="22"/>
          <w:szCs w:val="22"/>
          <w:lang w:val="es-ES_tradnl"/>
        </w:rPr>
        <w:t>.</w:t>
      </w:r>
    </w:p>
    <w:p w14:paraId="09AE15E1" w14:textId="77777777" w:rsidR="007A7EC0" w:rsidRPr="00DB68CC" w:rsidRDefault="007A7EC0" w:rsidP="007A7EC0">
      <w:pPr>
        <w:pStyle w:val="subpar"/>
        <w:numPr>
          <w:ilvl w:val="0"/>
          <w:numId w:val="0"/>
        </w:numPr>
        <w:spacing w:before="20" w:after="20"/>
        <w:ind w:left="1170"/>
        <w:rPr>
          <w:rFonts w:ascii="Arial" w:hAnsi="Arial" w:cs="Arial"/>
          <w:sz w:val="22"/>
          <w:szCs w:val="22"/>
        </w:rPr>
      </w:pPr>
    </w:p>
    <w:p w14:paraId="76DA2A96" w14:textId="4C52B578" w:rsidR="00AD4F7A" w:rsidRPr="00DB68CC" w:rsidRDefault="00AD4F7A" w:rsidP="0099721A">
      <w:pPr>
        <w:pStyle w:val="ListParagraph"/>
        <w:numPr>
          <w:ilvl w:val="0"/>
          <w:numId w:val="20"/>
        </w:numPr>
        <w:spacing w:before="20"/>
        <w:jc w:val="both"/>
        <w:rPr>
          <w:rFonts w:ascii="Arial" w:hAnsi="Arial" w:cs="Arial"/>
          <w:sz w:val="22"/>
          <w:szCs w:val="22"/>
          <w:lang w:val="es-ES_tradnl"/>
        </w:rPr>
      </w:pPr>
      <w:r w:rsidRPr="00DB68CC">
        <w:rPr>
          <w:rFonts w:ascii="Arial" w:hAnsi="Arial" w:cs="Arial"/>
          <w:b/>
          <w:bCs/>
          <w:sz w:val="22"/>
          <w:szCs w:val="22"/>
          <w:lang w:val="es-ES_tradnl"/>
        </w:rPr>
        <w:t xml:space="preserve">Derecho de Inspección. </w:t>
      </w:r>
      <w:r w:rsidR="00CF4C52" w:rsidRPr="00DB68CC">
        <w:rPr>
          <w:rFonts w:ascii="Arial" w:hAnsi="Arial" w:cs="Arial"/>
          <w:sz w:val="22"/>
          <w:szCs w:val="22"/>
          <w:lang w:val="es-ES_tradnl"/>
        </w:rPr>
        <w:t>E</w:t>
      </w:r>
      <w:r w:rsidR="002D6C03" w:rsidRPr="00DB68CC">
        <w:rPr>
          <w:rFonts w:ascii="Arial" w:hAnsi="Arial" w:cs="Arial"/>
          <w:sz w:val="22"/>
          <w:szCs w:val="22"/>
          <w:lang w:val="es-ES_tradnl"/>
        </w:rPr>
        <w:t>l BID</w:t>
      </w:r>
      <w:r w:rsidR="00A73683" w:rsidRPr="00DB68CC">
        <w:rPr>
          <w:rFonts w:ascii="Arial" w:hAnsi="Arial" w:cs="Arial"/>
          <w:sz w:val="22"/>
          <w:szCs w:val="22"/>
          <w:lang w:val="es-ES_tradnl"/>
        </w:rPr>
        <w:t xml:space="preserve"> </w:t>
      </w:r>
      <w:r w:rsidRPr="00DB68CC">
        <w:rPr>
          <w:rFonts w:ascii="Arial" w:hAnsi="Arial" w:cs="Arial"/>
          <w:sz w:val="22"/>
          <w:szCs w:val="22"/>
          <w:lang w:val="es-ES_tradnl"/>
        </w:rPr>
        <w:t>t</w:t>
      </w:r>
      <w:r w:rsidR="002B5447" w:rsidRPr="00DB68CC">
        <w:rPr>
          <w:rFonts w:ascii="Arial" w:hAnsi="Arial" w:cs="Arial"/>
          <w:sz w:val="22"/>
          <w:szCs w:val="22"/>
          <w:lang w:val="es-ES_tradnl"/>
        </w:rPr>
        <w:t>endrá</w:t>
      </w:r>
      <w:r w:rsidRPr="00DB68CC">
        <w:rPr>
          <w:rFonts w:ascii="Arial" w:hAnsi="Arial" w:cs="Arial"/>
          <w:sz w:val="22"/>
          <w:szCs w:val="22"/>
          <w:lang w:val="es-ES_tradnl"/>
        </w:rPr>
        <w:t xml:space="preserve"> el derecho de examinar los bienes, los lugares, los trabajos y las construcciones del respectivo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 incluyendo todo lo relativo al cumplimiento de las condiciones </w:t>
      </w:r>
      <w:r w:rsidR="00C07FC4" w:rsidRPr="00DB68CC">
        <w:rPr>
          <w:rFonts w:ascii="Arial" w:hAnsi="Arial" w:cs="Arial"/>
          <w:sz w:val="22"/>
          <w:szCs w:val="22"/>
          <w:lang w:val="es-ES_tradnl"/>
        </w:rPr>
        <w:t>socioambientales</w:t>
      </w:r>
      <w:r w:rsidRPr="00DB68CC">
        <w:rPr>
          <w:rFonts w:ascii="Arial" w:hAnsi="Arial" w:cs="Arial"/>
          <w:sz w:val="22"/>
          <w:szCs w:val="22"/>
          <w:lang w:val="es-ES_tradnl"/>
        </w:rPr>
        <w:t xml:space="preserve">. </w:t>
      </w:r>
      <w:r w:rsidR="002D6C03" w:rsidRPr="00DB68CC">
        <w:rPr>
          <w:rFonts w:ascii="Arial" w:hAnsi="Arial" w:cs="Arial"/>
          <w:sz w:val="22"/>
          <w:szCs w:val="22"/>
          <w:lang w:val="es-ES_tradnl"/>
        </w:rPr>
        <w:t xml:space="preserve">El personal del </w:t>
      </w:r>
      <w:r w:rsidR="00CF4C52" w:rsidRPr="00DB68CC">
        <w:rPr>
          <w:rFonts w:ascii="Arial" w:hAnsi="Arial" w:cs="Arial"/>
          <w:sz w:val="22"/>
          <w:szCs w:val="22"/>
          <w:lang w:val="es-ES_tradnl"/>
        </w:rPr>
        <w:t>OE</w:t>
      </w:r>
      <w:r w:rsidRPr="00DB68CC">
        <w:rPr>
          <w:rFonts w:ascii="Arial" w:hAnsi="Arial" w:cs="Arial"/>
          <w:sz w:val="22"/>
          <w:szCs w:val="22"/>
          <w:lang w:val="es-ES_tradnl"/>
        </w:rPr>
        <w:t xml:space="preserve"> coordinará y liderará en todo momento esta inspección.</w:t>
      </w:r>
      <w:r w:rsidR="006B664C" w:rsidRPr="00DB68CC">
        <w:rPr>
          <w:rFonts w:ascii="Arial" w:hAnsi="Arial" w:cs="Arial"/>
          <w:sz w:val="22"/>
          <w:szCs w:val="22"/>
          <w:lang w:val="es-ES_tradnl"/>
        </w:rPr>
        <w:t xml:space="preserve"> Esta provisión deberá estipularse en el contrato de préstamo entre </w:t>
      </w:r>
      <w:r w:rsidR="002B5447" w:rsidRPr="00DB68CC">
        <w:rPr>
          <w:rFonts w:ascii="Arial" w:hAnsi="Arial" w:cs="Arial"/>
          <w:sz w:val="22"/>
          <w:szCs w:val="22"/>
          <w:lang w:val="es-ES_tradnl"/>
        </w:rPr>
        <w:t>la</w:t>
      </w:r>
      <w:r w:rsidR="006B664C" w:rsidRPr="00DB68CC">
        <w:rPr>
          <w:rFonts w:ascii="Arial" w:hAnsi="Arial" w:cs="Arial"/>
          <w:sz w:val="22"/>
          <w:szCs w:val="22"/>
          <w:lang w:val="es-ES_tradnl"/>
        </w:rPr>
        <w:t xml:space="preserve"> </w:t>
      </w:r>
      <w:r w:rsidR="00CF4C52" w:rsidRPr="00DB68CC">
        <w:rPr>
          <w:rFonts w:ascii="Arial" w:hAnsi="Arial" w:cs="Arial"/>
          <w:sz w:val="22"/>
          <w:szCs w:val="22"/>
          <w:lang w:val="es-ES_tradnl"/>
        </w:rPr>
        <w:t>O</w:t>
      </w:r>
      <w:r w:rsidR="002B5447" w:rsidRPr="00DB68CC">
        <w:rPr>
          <w:rFonts w:ascii="Arial" w:hAnsi="Arial" w:cs="Arial"/>
          <w:sz w:val="22"/>
          <w:szCs w:val="22"/>
          <w:lang w:val="es-ES_tradnl"/>
        </w:rPr>
        <w:t>SFPS</w:t>
      </w:r>
      <w:r w:rsidR="006B664C" w:rsidRPr="00DB68CC">
        <w:rPr>
          <w:rFonts w:ascii="Arial" w:hAnsi="Arial" w:cs="Arial"/>
          <w:sz w:val="22"/>
          <w:szCs w:val="22"/>
          <w:lang w:val="es-ES_tradnl"/>
        </w:rPr>
        <w:t xml:space="preserve"> y el </w:t>
      </w:r>
      <w:proofErr w:type="spellStart"/>
      <w:r w:rsidR="006B664C" w:rsidRPr="00DB68CC">
        <w:rPr>
          <w:rFonts w:ascii="Arial" w:hAnsi="Arial" w:cs="Arial"/>
          <w:sz w:val="22"/>
          <w:szCs w:val="22"/>
          <w:lang w:val="es-ES_tradnl"/>
        </w:rPr>
        <w:t>subprestatario</w:t>
      </w:r>
      <w:proofErr w:type="spellEnd"/>
      <w:r w:rsidR="006B664C" w:rsidRPr="00DB68CC">
        <w:rPr>
          <w:rFonts w:ascii="Arial" w:hAnsi="Arial" w:cs="Arial"/>
          <w:sz w:val="22"/>
          <w:szCs w:val="22"/>
          <w:lang w:val="es-ES_tradnl"/>
        </w:rPr>
        <w:t>.</w:t>
      </w:r>
    </w:p>
    <w:p w14:paraId="2BC0CC19" w14:textId="77777777" w:rsidR="007A7EC0" w:rsidRPr="00DB68CC" w:rsidRDefault="007A7EC0" w:rsidP="007A7EC0">
      <w:pPr>
        <w:pStyle w:val="subpar"/>
        <w:numPr>
          <w:ilvl w:val="0"/>
          <w:numId w:val="0"/>
        </w:numPr>
        <w:spacing w:before="20" w:after="20"/>
        <w:ind w:left="1170"/>
        <w:rPr>
          <w:rFonts w:ascii="Arial" w:hAnsi="Arial" w:cs="Arial"/>
          <w:sz w:val="22"/>
          <w:szCs w:val="22"/>
        </w:rPr>
      </w:pPr>
    </w:p>
    <w:p w14:paraId="2AA0AD30" w14:textId="14392475" w:rsidR="007B1089" w:rsidRPr="00DB68CC" w:rsidRDefault="00AD4F7A" w:rsidP="0099721A">
      <w:pPr>
        <w:pStyle w:val="ListParagraph"/>
        <w:numPr>
          <w:ilvl w:val="0"/>
          <w:numId w:val="20"/>
        </w:numPr>
        <w:spacing w:before="20"/>
        <w:jc w:val="both"/>
        <w:rPr>
          <w:rFonts w:ascii="Arial" w:hAnsi="Arial" w:cs="Arial"/>
          <w:sz w:val="22"/>
          <w:szCs w:val="22"/>
          <w:lang w:val="es-ES_tradnl"/>
        </w:rPr>
      </w:pPr>
      <w:r w:rsidRPr="00DB68CC">
        <w:rPr>
          <w:rFonts w:ascii="Arial" w:hAnsi="Arial" w:cs="Arial"/>
          <w:b/>
          <w:bCs/>
          <w:sz w:val="22"/>
          <w:szCs w:val="22"/>
          <w:lang w:val="es-ES_tradnl"/>
        </w:rPr>
        <w:t>La obligación de entrega de información.</w:t>
      </w:r>
      <w:r w:rsidRPr="00DB68CC">
        <w:rPr>
          <w:rFonts w:ascii="Arial" w:hAnsi="Arial" w:cs="Arial"/>
          <w:sz w:val="22"/>
          <w:szCs w:val="22"/>
          <w:lang w:val="es-ES_tradnl"/>
        </w:rPr>
        <w:t xml:space="preserve"> </w:t>
      </w:r>
      <w:r w:rsidR="00CF4C52" w:rsidRPr="00DB68CC">
        <w:rPr>
          <w:rFonts w:ascii="Arial" w:hAnsi="Arial" w:cs="Arial"/>
          <w:sz w:val="22"/>
          <w:szCs w:val="22"/>
          <w:lang w:val="es-ES_tradnl"/>
        </w:rPr>
        <w:t>El OE</w:t>
      </w:r>
      <w:r w:rsidR="002D6C03" w:rsidRPr="00DB68CC">
        <w:rPr>
          <w:rFonts w:ascii="Arial" w:hAnsi="Arial" w:cs="Arial"/>
          <w:sz w:val="22"/>
          <w:szCs w:val="22"/>
          <w:lang w:val="es-ES_tradnl"/>
        </w:rPr>
        <w:t xml:space="preserve"> y</w:t>
      </w:r>
      <w:r w:rsidR="00A73683" w:rsidRPr="00DB68CC">
        <w:rPr>
          <w:rFonts w:ascii="Arial" w:hAnsi="Arial" w:cs="Arial"/>
          <w:sz w:val="22"/>
          <w:szCs w:val="22"/>
          <w:lang w:val="es-ES_tradnl"/>
        </w:rPr>
        <w:t xml:space="preserve"> </w:t>
      </w:r>
      <w:r w:rsidRPr="00DB68CC">
        <w:rPr>
          <w:rFonts w:ascii="Arial" w:hAnsi="Arial" w:cs="Arial"/>
          <w:sz w:val="22"/>
          <w:szCs w:val="22"/>
          <w:lang w:val="es-ES_tradnl"/>
        </w:rPr>
        <w:t>el BID</w:t>
      </w:r>
      <w:r w:rsidR="00A73683" w:rsidRPr="00DB68CC">
        <w:rPr>
          <w:rFonts w:ascii="Arial" w:hAnsi="Arial" w:cs="Arial"/>
          <w:sz w:val="22"/>
          <w:szCs w:val="22"/>
          <w:lang w:val="es-ES_tradnl"/>
        </w:rPr>
        <w:t xml:space="preserve"> </w:t>
      </w:r>
      <w:r w:rsidRPr="00DB68CC">
        <w:rPr>
          <w:rFonts w:ascii="Arial" w:hAnsi="Arial" w:cs="Arial"/>
          <w:sz w:val="22"/>
          <w:szCs w:val="22"/>
          <w:lang w:val="es-ES_tradnl"/>
        </w:rPr>
        <w:t>ten</w:t>
      </w:r>
      <w:r w:rsidR="00BC2C2F" w:rsidRPr="00DB68CC">
        <w:rPr>
          <w:rFonts w:ascii="Arial" w:hAnsi="Arial" w:cs="Arial"/>
          <w:sz w:val="22"/>
          <w:szCs w:val="22"/>
          <w:lang w:val="es-ES_tradnl"/>
        </w:rPr>
        <w:t>drán</w:t>
      </w:r>
      <w:r w:rsidRPr="00DB68CC">
        <w:rPr>
          <w:rFonts w:ascii="Arial" w:hAnsi="Arial" w:cs="Arial"/>
          <w:sz w:val="22"/>
          <w:szCs w:val="22"/>
          <w:lang w:val="es-ES_tradnl"/>
        </w:rPr>
        <w:t xml:space="preserve"> el derecho de solicitar al </w:t>
      </w:r>
      <w:proofErr w:type="spellStart"/>
      <w:r w:rsidRPr="00DB68CC">
        <w:rPr>
          <w:rFonts w:ascii="Arial" w:hAnsi="Arial" w:cs="Arial"/>
          <w:sz w:val="22"/>
          <w:szCs w:val="22"/>
          <w:lang w:val="es-ES_tradnl"/>
        </w:rPr>
        <w:t>subprestatario</w:t>
      </w:r>
      <w:proofErr w:type="spellEnd"/>
      <w:r w:rsidRPr="00DB68CC">
        <w:rPr>
          <w:rFonts w:ascii="Arial" w:hAnsi="Arial" w:cs="Arial"/>
          <w:sz w:val="22"/>
          <w:szCs w:val="22"/>
          <w:lang w:val="es-ES_tradnl"/>
        </w:rPr>
        <w:t xml:space="preserve"> toda la informaci</w:t>
      </w:r>
      <w:r w:rsidR="00823077" w:rsidRPr="00DB68CC">
        <w:rPr>
          <w:rFonts w:ascii="Arial" w:hAnsi="Arial" w:cs="Arial"/>
          <w:sz w:val="22"/>
          <w:szCs w:val="22"/>
          <w:lang w:val="es-ES_tradnl"/>
        </w:rPr>
        <w:t>ón</w:t>
      </w:r>
      <w:r w:rsidRPr="00DB68CC">
        <w:rPr>
          <w:rFonts w:ascii="Arial" w:hAnsi="Arial" w:cs="Arial"/>
          <w:sz w:val="22"/>
          <w:szCs w:val="22"/>
          <w:lang w:val="es-ES_tradnl"/>
        </w:rPr>
        <w:t xml:space="preserve"> </w:t>
      </w:r>
      <w:r w:rsidR="00823077" w:rsidRPr="00DB68CC">
        <w:rPr>
          <w:rFonts w:ascii="Arial" w:hAnsi="Arial" w:cs="Arial"/>
          <w:sz w:val="22"/>
          <w:szCs w:val="22"/>
          <w:lang w:val="es-ES_tradnl"/>
        </w:rPr>
        <w:t>relacionada</w:t>
      </w:r>
      <w:r w:rsidRPr="00DB68CC">
        <w:rPr>
          <w:rFonts w:ascii="Arial" w:hAnsi="Arial" w:cs="Arial"/>
          <w:sz w:val="22"/>
          <w:szCs w:val="22"/>
          <w:lang w:val="es-ES_tradnl"/>
        </w:rPr>
        <w:t xml:space="preserve"> con el subproyecto y con el desempeño y la situación financiera y socio</w:t>
      </w:r>
      <w:r w:rsidR="001F7122" w:rsidRPr="00DB68CC">
        <w:rPr>
          <w:rFonts w:ascii="Arial" w:hAnsi="Arial" w:cs="Arial"/>
          <w:sz w:val="22"/>
          <w:szCs w:val="22"/>
          <w:lang w:val="es-ES_tradnl"/>
        </w:rPr>
        <w:t>ambiental del</w:t>
      </w:r>
      <w:r w:rsidRPr="00DB68CC">
        <w:rPr>
          <w:rFonts w:ascii="Arial" w:hAnsi="Arial" w:cs="Arial"/>
          <w:sz w:val="22"/>
          <w:szCs w:val="22"/>
          <w:lang w:val="es-ES_tradnl"/>
        </w:rPr>
        <w:t xml:space="preserve"> proyecto y de la empresa </w:t>
      </w:r>
      <w:proofErr w:type="spellStart"/>
      <w:r w:rsidRPr="00DB68CC">
        <w:rPr>
          <w:rFonts w:ascii="Arial" w:hAnsi="Arial" w:cs="Arial"/>
          <w:sz w:val="22"/>
          <w:szCs w:val="22"/>
          <w:lang w:val="es-ES_tradnl"/>
        </w:rPr>
        <w:t>subprestataria</w:t>
      </w:r>
      <w:proofErr w:type="spellEnd"/>
      <w:r w:rsidRPr="00DB68CC">
        <w:rPr>
          <w:rFonts w:ascii="Arial" w:hAnsi="Arial" w:cs="Arial"/>
          <w:sz w:val="22"/>
          <w:szCs w:val="22"/>
          <w:lang w:val="es-ES_tradnl"/>
        </w:rPr>
        <w:t xml:space="preserve">. </w:t>
      </w:r>
      <w:r w:rsidR="00CF4C52" w:rsidRPr="00DB68CC">
        <w:rPr>
          <w:rFonts w:ascii="Arial" w:hAnsi="Arial" w:cs="Arial"/>
          <w:sz w:val="22"/>
          <w:szCs w:val="22"/>
          <w:lang w:val="es-ES_tradnl"/>
        </w:rPr>
        <w:t>El OE</w:t>
      </w:r>
      <w:r w:rsidRPr="00DB68CC">
        <w:rPr>
          <w:rFonts w:ascii="Arial" w:hAnsi="Arial" w:cs="Arial"/>
          <w:sz w:val="22"/>
          <w:szCs w:val="22"/>
          <w:lang w:val="es-ES_tradnl"/>
        </w:rPr>
        <w:t xml:space="preserve"> coordinará y liderará en todo momento</w:t>
      </w:r>
      <w:r w:rsidR="003A39B6" w:rsidRPr="00DB68CC">
        <w:rPr>
          <w:rFonts w:ascii="Arial" w:hAnsi="Arial" w:cs="Arial"/>
          <w:sz w:val="22"/>
          <w:szCs w:val="22"/>
          <w:lang w:val="es-ES_tradnl"/>
        </w:rPr>
        <w:t xml:space="preserve"> la entrega de esta información, que </w:t>
      </w:r>
      <w:r w:rsidR="003A39B6" w:rsidRPr="00DB68CC">
        <w:rPr>
          <w:rFonts w:ascii="Arial" w:hAnsi="Arial" w:cs="Arial"/>
          <w:sz w:val="22"/>
          <w:szCs w:val="22"/>
          <w:lang w:val="es-ES_tradnl"/>
        </w:rPr>
        <w:lastRenderedPageBreak/>
        <w:t>a su vez servirá para elaborar los reportes de supervisión y evaluación del programa.</w:t>
      </w:r>
      <w:r w:rsidR="002D6C03" w:rsidRPr="00DB68CC">
        <w:rPr>
          <w:rFonts w:ascii="Arial" w:hAnsi="Arial" w:cs="Arial"/>
          <w:sz w:val="22"/>
          <w:szCs w:val="22"/>
          <w:lang w:val="es-ES_tradnl"/>
        </w:rPr>
        <w:t xml:space="preserve"> Esta provisión deberá estipularse en el </w:t>
      </w:r>
      <w:r w:rsidR="006B664C" w:rsidRPr="00DB68CC">
        <w:rPr>
          <w:rFonts w:ascii="Arial" w:hAnsi="Arial" w:cs="Arial"/>
          <w:sz w:val="22"/>
          <w:szCs w:val="22"/>
          <w:lang w:val="es-ES_tradnl"/>
        </w:rPr>
        <w:t xml:space="preserve">contrato de préstamo entre el </w:t>
      </w:r>
      <w:r w:rsidR="00BC2C2F" w:rsidRPr="00DB68CC">
        <w:rPr>
          <w:rFonts w:ascii="Arial" w:hAnsi="Arial" w:cs="Arial"/>
          <w:sz w:val="22"/>
          <w:szCs w:val="22"/>
          <w:lang w:val="es-ES_tradnl"/>
        </w:rPr>
        <w:t>OSFPS</w:t>
      </w:r>
      <w:r w:rsidR="006B664C" w:rsidRPr="00DB68CC">
        <w:rPr>
          <w:rFonts w:ascii="Arial" w:hAnsi="Arial" w:cs="Arial"/>
          <w:sz w:val="22"/>
          <w:szCs w:val="22"/>
          <w:lang w:val="es-ES_tradnl"/>
        </w:rPr>
        <w:t xml:space="preserve"> y el </w:t>
      </w:r>
      <w:proofErr w:type="spellStart"/>
      <w:r w:rsidR="006B664C" w:rsidRPr="00DB68CC">
        <w:rPr>
          <w:rFonts w:ascii="Arial" w:hAnsi="Arial" w:cs="Arial"/>
          <w:sz w:val="22"/>
          <w:szCs w:val="22"/>
          <w:lang w:val="es-ES_tradnl"/>
        </w:rPr>
        <w:t>subprestatario</w:t>
      </w:r>
      <w:proofErr w:type="spellEnd"/>
      <w:r w:rsidR="006B664C" w:rsidRPr="00DB68CC">
        <w:rPr>
          <w:rFonts w:ascii="Arial" w:hAnsi="Arial" w:cs="Arial"/>
          <w:sz w:val="22"/>
          <w:szCs w:val="22"/>
          <w:lang w:val="es-ES_tradnl"/>
        </w:rPr>
        <w:t>.</w:t>
      </w:r>
    </w:p>
    <w:p w14:paraId="7120C51B" w14:textId="77777777" w:rsidR="004C0EBE" w:rsidRPr="00DB68CC" w:rsidRDefault="00AD4F7A" w:rsidP="007B1089">
      <w:pPr>
        <w:pStyle w:val="subpar"/>
        <w:numPr>
          <w:ilvl w:val="0"/>
          <w:numId w:val="0"/>
        </w:numPr>
        <w:spacing w:before="20" w:after="20"/>
        <w:ind w:left="1170"/>
        <w:rPr>
          <w:rFonts w:ascii="Arial" w:hAnsi="Arial" w:cs="Arial"/>
          <w:sz w:val="22"/>
          <w:szCs w:val="22"/>
        </w:rPr>
      </w:pPr>
      <w:r w:rsidRPr="00DB68CC">
        <w:rPr>
          <w:rFonts w:ascii="Arial" w:hAnsi="Arial" w:cs="Arial"/>
          <w:sz w:val="22"/>
          <w:szCs w:val="22"/>
        </w:rPr>
        <w:t xml:space="preserve"> </w:t>
      </w:r>
      <w:r w:rsidR="004C0EBE" w:rsidRPr="00DB68CC">
        <w:rPr>
          <w:rFonts w:ascii="Arial" w:hAnsi="Arial" w:cs="Arial"/>
          <w:sz w:val="22"/>
          <w:szCs w:val="22"/>
        </w:rPr>
        <w:t xml:space="preserve"> </w:t>
      </w:r>
    </w:p>
    <w:p w14:paraId="11367F44" w14:textId="75E949A7" w:rsidR="00AD4F7A" w:rsidRPr="00DB68CC" w:rsidRDefault="00AD4F7A" w:rsidP="0099721A">
      <w:pPr>
        <w:pStyle w:val="ListParagraph"/>
        <w:numPr>
          <w:ilvl w:val="0"/>
          <w:numId w:val="20"/>
        </w:numPr>
        <w:spacing w:before="20"/>
        <w:jc w:val="both"/>
        <w:rPr>
          <w:rFonts w:ascii="Arial" w:hAnsi="Arial" w:cs="Arial"/>
          <w:sz w:val="22"/>
          <w:szCs w:val="22"/>
          <w:lang w:val="es-ES_tradnl"/>
        </w:rPr>
      </w:pPr>
      <w:r w:rsidRPr="00DB68CC">
        <w:rPr>
          <w:rFonts w:ascii="Arial" w:hAnsi="Arial" w:cs="Arial"/>
          <w:b/>
          <w:bCs/>
          <w:sz w:val="22"/>
          <w:szCs w:val="22"/>
          <w:lang w:val="es-ES_tradnl"/>
        </w:rPr>
        <w:t>El derecho de suspender desembolsos.</w:t>
      </w:r>
      <w:r w:rsidRPr="00DB68CC">
        <w:rPr>
          <w:rFonts w:ascii="Arial" w:hAnsi="Arial" w:cs="Arial"/>
          <w:sz w:val="22"/>
          <w:szCs w:val="22"/>
          <w:lang w:val="es-ES_tradnl"/>
        </w:rPr>
        <w:t xml:space="preserve"> </w:t>
      </w:r>
      <w:r w:rsidR="006B664C" w:rsidRPr="00DB68CC">
        <w:rPr>
          <w:rFonts w:ascii="Arial" w:hAnsi="Arial" w:cs="Arial"/>
          <w:sz w:val="22"/>
          <w:szCs w:val="22"/>
          <w:lang w:val="es-ES_tradnl"/>
        </w:rPr>
        <w:t>El</w:t>
      </w:r>
      <w:r w:rsidR="00DC62FF" w:rsidRPr="00DB68CC">
        <w:rPr>
          <w:rFonts w:ascii="Arial" w:hAnsi="Arial" w:cs="Arial"/>
          <w:sz w:val="22"/>
          <w:szCs w:val="22"/>
          <w:lang w:val="es-ES_tradnl"/>
        </w:rPr>
        <w:t xml:space="preserve"> BID </w:t>
      </w:r>
      <w:r w:rsidR="006B664C" w:rsidRPr="00DB68CC">
        <w:rPr>
          <w:rFonts w:ascii="Arial" w:hAnsi="Arial" w:cs="Arial"/>
          <w:sz w:val="22"/>
          <w:szCs w:val="22"/>
          <w:lang w:val="es-ES_tradnl"/>
        </w:rPr>
        <w:t>cuenta</w:t>
      </w:r>
      <w:r w:rsidRPr="00DB68CC">
        <w:rPr>
          <w:rFonts w:ascii="Arial" w:hAnsi="Arial" w:cs="Arial"/>
          <w:sz w:val="22"/>
          <w:szCs w:val="22"/>
          <w:lang w:val="es-ES_tradnl"/>
        </w:rPr>
        <w:t xml:space="preserve"> con el derecho en cualquier momento de la vida del crédito, a </w:t>
      </w:r>
      <w:r w:rsidR="00BC2C2F" w:rsidRPr="00DB68CC">
        <w:rPr>
          <w:rFonts w:ascii="Arial" w:hAnsi="Arial" w:cs="Arial"/>
          <w:sz w:val="22"/>
          <w:szCs w:val="22"/>
          <w:lang w:val="es-ES_tradnl"/>
        </w:rPr>
        <w:t>solicitar a las OSFPS la suspensión de</w:t>
      </w:r>
      <w:r w:rsidRPr="00DB68CC">
        <w:rPr>
          <w:rFonts w:ascii="Arial" w:hAnsi="Arial" w:cs="Arial"/>
          <w:sz w:val="22"/>
          <w:szCs w:val="22"/>
          <w:lang w:val="es-ES_tradnl"/>
        </w:rPr>
        <w:t xml:space="preserve"> desembolsos y/o solicitar el vencimiento anticipado del sub–préstamo dentro del </w:t>
      </w:r>
      <w:r w:rsidR="00DB68CC" w:rsidRPr="00DB68CC">
        <w:rPr>
          <w:rFonts w:ascii="Arial" w:hAnsi="Arial" w:cs="Arial"/>
          <w:sz w:val="22"/>
          <w:szCs w:val="22"/>
          <w:lang w:val="es-ES_tradnl"/>
        </w:rPr>
        <w:t>p</w:t>
      </w:r>
      <w:r w:rsidRPr="00DB68CC">
        <w:rPr>
          <w:rFonts w:ascii="Arial" w:hAnsi="Arial" w:cs="Arial"/>
          <w:sz w:val="22"/>
          <w:szCs w:val="22"/>
          <w:lang w:val="es-ES_tradnl"/>
        </w:rPr>
        <w:t xml:space="preserve">rograma, si el sub–prestatario no cumple con sus obligaciones relacionadas con la utilización de los créditos, la limitación de destino de los recursos </w:t>
      </w:r>
      <w:r w:rsidR="00B83DF3" w:rsidRPr="00DB68CC">
        <w:rPr>
          <w:rFonts w:ascii="Arial" w:hAnsi="Arial" w:cs="Arial"/>
          <w:sz w:val="22"/>
          <w:szCs w:val="22"/>
          <w:lang w:val="es-ES_tradnl"/>
        </w:rPr>
        <w:t xml:space="preserve">de acuerdo </w:t>
      </w:r>
      <w:r w:rsidR="00556E95" w:rsidRPr="00DB68CC">
        <w:rPr>
          <w:rFonts w:ascii="Arial" w:hAnsi="Arial" w:cs="Arial"/>
          <w:sz w:val="22"/>
          <w:szCs w:val="22"/>
          <w:lang w:val="es-ES_tradnl"/>
        </w:rPr>
        <w:t>con</w:t>
      </w:r>
      <w:r w:rsidR="00B83DF3" w:rsidRPr="00DB68CC">
        <w:rPr>
          <w:rFonts w:ascii="Arial" w:hAnsi="Arial" w:cs="Arial"/>
          <w:sz w:val="22"/>
          <w:szCs w:val="22"/>
          <w:lang w:val="es-ES_tradnl"/>
        </w:rPr>
        <w:t xml:space="preserve"> las estipulaciones de este </w:t>
      </w:r>
      <w:r w:rsidR="00DB68CC" w:rsidRPr="00DB68CC">
        <w:rPr>
          <w:rFonts w:ascii="Arial" w:hAnsi="Arial" w:cs="Arial"/>
          <w:sz w:val="22"/>
          <w:szCs w:val="22"/>
          <w:lang w:val="es-ES_tradnl"/>
        </w:rPr>
        <w:t>RC</w:t>
      </w:r>
      <w:r w:rsidR="00B83DF3" w:rsidRPr="00DB68CC">
        <w:rPr>
          <w:rFonts w:ascii="Arial" w:hAnsi="Arial" w:cs="Arial"/>
          <w:sz w:val="22"/>
          <w:szCs w:val="22"/>
          <w:lang w:val="es-ES_tradnl"/>
        </w:rPr>
        <w:t xml:space="preserve"> y sus Anexos. </w:t>
      </w:r>
      <w:r w:rsidRPr="00DB68CC">
        <w:rPr>
          <w:rFonts w:ascii="Arial" w:hAnsi="Arial" w:cs="Arial"/>
          <w:sz w:val="22"/>
          <w:szCs w:val="22"/>
          <w:lang w:val="es-ES_tradnl"/>
        </w:rPr>
        <w:t>En estos casos</w:t>
      </w:r>
      <w:r w:rsidR="00CF4C52" w:rsidRPr="00DB68CC">
        <w:rPr>
          <w:rFonts w:ascii="Arial" w:hAnsi="Arial" w:cs="Arial"/>
          <w:sz w:val="22"/>
          <w:szCs w:val="22"/>
          <w:lang w:val="es-ES_tradnl"/>
        </w:rPr>
        <w:t>, el O</w:t>
      </w:r>
      <w:r w:rsidR="00BC2C2F" w:rsidRPr="00DB68CC">
        <w:rPr>
          <w:rFonts w:ascii="Arial" w:hAnsi="Arial" w:cs="Arial"/>
          <w:sz w:val="22"/>
          <w:szCs w:val="22"/>
          <w:lang w:val="es-ES_tradnl"/>
        </w:rPr>
        <w:t>SFPS</w:t>
      </w:r>
      <w:r w:rsidRPr="00DB68CC">
        <w:rPr>
          <w:rFonts w:ascii="Arial" w:hAnsi="Arial" w:cs="Arial"/>
          <w:sz w:val="22"/>
          <w:szCs w:val="22"/>
          <w:lang w:val="es-ES_tradnl"/>
        </w:rPr>
        <w:t xml:space="preserve"> procederá de inmediato a reemplazar de la cartera del </w:t>
      </w:r>
      <w:r w:rsidR="006B664C" w:rsidRPr="00DB68CC">
        <w:rPr>
          <w:rFonts w:ascii="Arial" w:hAnsi="Arial" w:cs="Arial"/>
          <w:sz w:val="22"/>
          <w:szCs w:val="22"/>
          <w:lang w:val="es-ES_tradnl"/>
        </w:rPr>
        <w:t>P</w:t>
      </w:r>
      <w:r w:rsidRPr="00DB68CC">
        <w:rPr>
          <w:rFonts w:ascii="Arial" w:hAnsi="Arial" w:cs="Arial"/>
          <w:sz w:val="22"/>
          <w:szCs w:val="22"/>
          <w:lang w:val="es-ES_tradnl"/>
        </w:rPr>
        <w:t xml:space="preserve">rograma cualquier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 que caiga en incumplimiento por las razones previamente aludidas.</w:t>
      </w:r>
    </w:p>
    <w:p w14:paraId="4A81A1E4" w14:textId="77777777" w:rsidR="007A7EC0" w:rsidRPr="00DB68CC" w:rsidRDefault="007A7EC0" w:rsidP="007A7EC0">
      <w:pPr>
        <w:pStyle w:val="subpar"/>
        <w:numPr>
          <w:ilvl w:val="0"/>
          <w:numId w:val="0"/>
        </w:numPr>
        <w:spacing w:before="20" w:after="20"/>
        <w:ind w:left="1170"/>
        <w:rPr>
          <w:rFonts w:ascii="Arial" w:hAnsi="Arial" w:cs="Arial"/>
          <w:sz w:val="22"/>
          <w:szCs w:val="22"/>
        </w:rPr>
      </w:pPr>
    </w:p>
    <w:p w14:paraId="72BD2140" w14:textId="7345589A" w:rsidR="00E435A8" w:rsidRPr="00DB68CC" w:rsidRDefault="00AD4F7A" w:rsidP="0099721A">
      <w:pPr>
        <w:pStyle w:val="ListParagraph"/>
        <w:numPr>
          <w:ilvl w:val="0"/>
          <w:numId w:val="20"/>
        </w:numPr>
        <w:spacing w:before="20"/>
        <w:jc w:val="both"/>
        <w:rPr>
          <w:rFonts w:ascii="Arial" w:hAnsi="Arial" w:cs="Arial"/>
          <w:b/>
          <w:bCs/>
          <w:sz w:val="22"/>
          <w:szCs w:val="22"/>
          <w:lang w:val="es-ES_tradnl"/>
        </w:rPr>
      </w:pPr>
      <w:r w:rsidRPr="00DB68CC">
        <w:rPr>
          <w:rFonts w:ascii="Arial" w:hAnsi="Arial" w:cs="Arial"/>
          <w:b/>
          <w:bCs/>
          <w:sz w:val="22"/>
          <w:szCs w:val="22"/>
          <w:lang w:val="es-ES_tradnl"/>
        </w:rPr>
        <w:t xml:space="preserve">Garantías. </w:t>
      </w:r>
      <w:r w:rsidRPr="00DB68CC">
        <w:rPr>
          <w:rFonts w:ascii="Arial" w:hAnsi="Arial" w:cs="Arial"/>
          <w:sz w:val="22"/>
          <w:szCs w:val="22"/>
          <w:lang w:val="es-ES_tradnl"/>
        </w:rPr>
        <w:t xml:space="preserve">La constitución por parte del </w:t>
      </w:r>
      <w:proofErr w:type="spellStart"/>
      <w:r w:rsidRPr="00DB68CC">
        <w:rPr>
          <w:rFonts w:ascii="Arial" w:hAnsi="Arial" w:cs="Arial"/>
          <w:sz w:val="22"/>
          <w:szCs w:val="22"/>
          <w:lang w:val="es-ES_tradnl"/>
        </w:rPr>
        <w:t>subprestatario</w:t>
      </w:r>
      <w:proofErr w:type="spellEnd"/>
      <w:r w:rsidRPr="00DB68CC">
        <w:rPr>
          <w:rFonts w:ascii="Arial" w:hAnsi="Arial" w:cs="Arial"/>
          <w:sz w:val="22"/>
          <w:szCs w:val="22"/>
          <w:lang w:val="es-ES_tradnl"/>
        </w:rPr>
        <w:t xml:space="preserve"> de garantías suficientes,</w:t>
      </w:r>
      <w:r w:rsidR="006B664C" w:rsidRPr="00DB68CC">
        <w:rPr>
          <w:rFonts w:ascii="Arial" w:hAnsi="Arial" w:cs="Arial"/>
          <w:sz w:val="22"/>
          <w:szCs w:val="22"/>
          <w:lang w:val="es-ES_tradnl"/>
        </w:rPr>
        <w:t xml:space="preserve"> de acuerdo </w:t>
      </w:r>
      <w:r w:rsidR="00E91D00" w:rsidRPr="00DB68CC">
        <w:rPr>
          <w:rFonts w:ascii="Arial" w:hAnsi="Arial" w:cs="Arial"/>
          <w:sz w:val="22"/>
          <w:szCs w:val="22"/>
          <w:lang w:val="es-ES_tradnl"/>
        </w:rPr>
        <w:t>con</w:t>
      </w:r>
      <w:r w:rsidR="006B664C" w:rsidRPr="00DB68CC">
        <w:rPr>
          <w:rFonts w:ascii="Arial" w:hAnsi="Arial" w:cs="Arial"/>
          <w:sz w:val="22"/>
          <w:szCs w:val="22"/>
          <w:lang w:val="es-ES_tradnl"/>
        </w:rPr>
        <w:t xml:space="preserve"> lo estipulado por </w:t>
      </w:r>
      <w:r w:rsidR="00BC2C2F" w:rsidRPr="00DB68CC">
        <w:rPr>
          <w:rFonts w:ascii="Arial" w:hAnsi="Arial" w:cs="Arial"/>
          <w:sz w:val="22"/>
          <w:szCs w:val="22"/>
          <w:lang w:val="es-ES_tradnl"/>
        </w:rPr>
        <w:t>el Reglamento Operativo de Crédito de Corporación Nacional de Finanzas Populares y Solidarias</w:t>
      </w:r>
      <w:r w:rsidR="006B664C" w:rsidRPr="00DB68CC">
        <w:rPr>
          <w:rFonts w:ascii="Arial" w:hAnsi="Arial" w:cs="Arial"/>
          <w:sz w:val="22"/>
          <w:szCs w:val="22"/>
          <w:lang w:val="es-ES_tradnl"/>
        </w:rPr>
        <w:t xml:space="preserve"> y este </w:t>
      </w:r>
      <w:r w:rsidR="00DB68CC" w:rsidRPr="00DB68CC">
        <w:rPr>
          <w:rFonts w:ascii="Arial" w:hAnsi="Arial" w:cs="Arial"/>
          <w:sz w:val="22"/>
          <w:szCs w:val="22"/>
          <w:lang w:val="es-ES_tradnl"/>
        </w:rPr>
        <w:t>RC</w:t>
      </w:r>
      <w:r w:rsidR="00280E54" w:rsidRPr="00DB68CC">
        <w:rPr>
          <w:rFonts w:ascii="Arial" w:hAnsi="Arial" w:cs="Arial"/>
          <w:sz w:val="22"/>
          <w:szCs w:val="22"/>
          <w:lang w:val="es-ES_tradnl"/>
        </w:rPr>
        <w:t xml:space="preserve"> en el contexto de la emergencia por el COVID-19</w:t>
      </w:r>
      <w:r w:rsidRPr="00DB68CC">
        <w:rPr>
          <w:rFonts w:ascii="Arial" w:hAnsi="Arial" w:cs="Arial"/>
          <w:sz w:val="22"/>
          <w:szCs w:val="22"/>
          <w:lang w:val="es-ES_tradnl"/>
        </w:rPr>
        <w:t>.</w:t>
      </w:r>
      <w:bookmarkStart w:id="57" w:name="_Toc389662674"/>
      <w:bookmarkStart w:id="58" w:name="_Toc389662828"/>
      <w:bookmarkStart w:id="59" w:name="_Toc389662946"/>
      <w:bookmarkStart w:id="60" w:name="_Toc389662991"/>
      <w:bookmarkStart w:id="61" w:name="_Toc389663033"/>
      <w:bookmarkStart w:id="62" w:name="_Toc389663305"/>
      <w:bookmarkStart w:id="63" w:name="_Toc389662675"/>
      <w:bookmarkStart w:id="64" w:name="_Toc389662829"/>
      <w:bookmarkStart w:id="65" w:name="_Toc389662947"/>
      <w:bookmarkStart w:id="66" w:name="_Toc389662992"/>
      <w:bookmarkStart w:id="67" w:name="_Toc389663034"/>
      <w:bookmarkStart w:id="68" w:name="_Toc389663306"/>
      <w:bookmarkStart w:id="69" w:name="_Toc389662676"/>
      <w:bookmarkStart w:id="70" w:name="_Toc389662830"/>
      <w:bookmarkStart w:id="71" w:name="_Toc389662948"/>
      <w:bookmarkStart w:id="72" w:name="_Toc389662993"/>
      <w:bookmarkStart w:id="73" w:name="_Toc389663035"/>
      <w:bookmarkStart w:id="74" w:name="_Toc389663307"/>
      <w:bookmarkStart w:id="75" w:name="_Toc389662679"/>
      <w:bookmarkStart w:id="76" w:name="_Toc389662833"/>
      <w:bookmarkStart w:id="77" w:name="_Toc389662951"/>
      <w:bookmarkStart w:id="78" w:name="_Toc389662996"/>
      <w:bookmarkStart w:id="79" w:name="_Toc389663038"/>
      <w:bookmarkStart w:id="80" w:name="_Toc389663310"/>
      <w:bookmarkStart w:id="81" w:name="_Toc198025803"/>
      <w:bookmarkStart w:id="82" w:name="_Toc198027199"/>
      <w:bookmarkStart w:id="83" w:name="_Toc207082518"/>
      <w:bookmarkStart w:id="84" w:name="_Toc207082551"/>
      <w:bookmarkStart w:id="85" w:name="_Toc198025805"/>
      <w:bookmarkStart w:id="86" w:name="_Toc198027201"/>
      <w:bookmarkStart w:id="87" w:name="_Toc198025807"/>
      <w:bookmarkStart w:id="88" w:name="_Toc198027203"/>
      <w:bookmarkStart w:id="89" w:name="_Toc370231935"/>
      <w:bookmarkStart w:id="90" w:name="_Toc370231992"/>
      <w:bookmarkStart w:id="91" w:name="_Toc370304889"/>
      <w:bookmarkStart w:id="92" w:name="_Toc370231936"/>
      <w:bookmarkStart w:id="93" w:name="_Toc370231993"/>
      <w:bookmarkStart w:id="94" w:name="_Toc370304890"/>
      <w:bookmarkStart w:id="95" w:name="_Toc366853976"/>
      <w:bookmarkStart w:id="96" w:name="_Toc367091019"/>
      <w:bookmarkStart w:id="97" w:name="_Toc36711812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2D50C49C" w14:textId="77777777" w:rsidR="004E346B" w:rsidRPr="00DB68CC" w:rsidRDefault="004E346B" w:rsidP="00D528FC">
      <w:pPr>
        <w:pStyle w:val="ListParagraph"/>
        <w:spacing w:before="20"/>
        <w:ind w:left="1152"/>
        <w:jc w:val="both"/>
        <w:rPr>
          <w:rFonts w:ascii="Arial" w:hAnsi="Arial" w:cs="Arial"/>
          <w:b/>
          <w:bCs/>
          <w:sz w:val="22"/>
          <w:szCs w:val="22"/>
          <w:lang w:val="es-ES_tradnl"/>
        </w:rPr>
      </w:pPr>
    </w:p>
    <w:p w14:paraId="07179E8A" w14:textId="6749229A" w:rsidR="00A10146" w:rsidRPr="00DB68CC" w:rsidRDefault="00A10146" w:rsidP="0099721A">
      <w:pPr>
        <w:pStyle w:val="Heading1"/>
        <w:numPr>
          <w:ilvl w:val="0"/>
          <w:numId w:val="9"/>
        </w:numPr>
        <w:rPr>
          <w:rFonts w:cs="Arial"/>
          <w:sz w:val="22"/>
          <w:szCs w:val="22"/>
          <w:lang w:val="es-ES_tradnl"/>
        </w:rPr>
      </w:pPr>
      <w:bookmarkStart w:id="98" w:name="_Toc37603070"/>
      <w:bookmarkStart w:id="99" w:name="_Toc507057765"/>
      <w:r w:rsidRPr="00DB68CC">
        <w:rPr>
          <w:rFonts w:cs="Arial"/>
          <w:sz w:val="22"/>
          <w:szCs w:val="22"/>
          <w:lang w:val="es-ES_tradnl"/>
        </w:rPr>
        <w:t>Reporte y Monitoreo</w:t>
      </w:r>
      <w:bookmarkEnd w:id="98"/>
      <w:r w:rsidRPr="00DB68CC">
        <w:rPr>
          <w:rFonts w:cs="Arial"/>
          <w:sz w:val="22"/>
          <w:szCs w:val="22"/>
          <w:lang w:val="es-ES_tradnl"/>
        </w:rPr>
        <w:t xml:space="preserve"> </w:t>
      </w:r>
      <w:bookmarkEnd w:id="99"/>
    </w:p>
    <w:p w14:paraId="6794962B" w14:textId="77777777" w:rsidR="00D528FC" w:rsidRPr="00DB68CC" w:rsidRDefault="00D528FC" w:rsidP="00D528FC">
      <w:pPr>
        <w:pStyle w:val="ListParagraph"/>
        <w:ind w:left="792"/>
        <w:jc w:val="both"/>
        <w:rPr>
          <w:rFonts w:ascii="Arial" w:hAnsi="Arial" w:cs="Arial"/>
          <w:sz w:val="22"/>
          <w:szCs w:val="22"/>
          <w:lang w:val="es-ES_tradnl"/>
        </w:rPr>
      </w:pPr>
    </w:p>
    <w:p w14:paraId="74AB45B0" w14:textId="2A9901B2" w:rsidR="00D528FC" w:rsidRPr="00DB68CC" w:rsidRDefault="009E6B48"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E</w:t>
      </w:r>
      <w:r w:rsidR="00280E54" w:rsidRPr="00DB68CC">
        <w:rPr>
          <w:rFonts w:ascii="Arial" w:hAnsi="Arial" w:cs="Arial"/>
          <w:sz w:val="22"/>
          <w:szCs w:val="22"/>
          <w:lang w:val="es-ES_tradnl"/>
        </w:rPr>
        <w:t>l</w:t>
      </w:r>
      <w:r w:rsidRPr="00DB68CC">
        <w:rPr>
          <w:rFonts w:ascii="Arial" w:hAnsi="Arial" w:cs="Arial"/>
          <w:sz w:val="22"/>
          <w:szCs w:val="22"/>
          <w:lang w:val="es-ES_tradnl"/>
        </w:rPr>
        <w:t xml:space="preserve"> OE</w:t>
      </w:r>
      <w:r w:rsidR="00A10146" w:rsidRPr="00DB68CC">
        <w:rPr>
          <w:rFonts w:ascii="Arial" w:hAnsi="Arial" w:cs="Arial"/>
          <w:sz w:val="22"/>
          <w:szCs w:val="22"/>
          <w:lang w:val="es-ES_tradnl"/>
        </w:rPr>
        <w:t xml:space="preserve"> establecerá y presentará al BID los </w:t>
      </w:r>
      <w:r w:rsidR="00385024" w:rsidRPr="00DB68CC">
        <w:rPr>
          <w:rFonts w:ascii="Arial" w:hAnsi="Arial" w:cs="Arial"/>
          <w:sz w:val="22"/>
          <w:szCs w:val="22"/>
          <w:lang w:val="es-ES_tradnl"/>
        </w:rPr>
        <w:t>P</w:t>
      </w:r>
      <w:r w:rsidR="00A10146" w:rsidRPr="00DB68CC">
        <w:rPr>
          <w:rFonts w:ascii="Arial" w:hAnsi="Arial" w:cs="Arial"/>
          <w:sz w:val="22"/>
          <w:szCs w:val="22"/>
          <w:lang w:val="es-ES_tradnl"/>
        </w:rPr>
        <w:t xml:space="preserve">lanes de </w:t>
      </w:r>
      <w:r w:rsidR="00385024" w:rsidRPr="00DB68CC">
        <w:rPr>
          <w:rFonts w:ascii="Arial" w:hAnsi="Arial" w:cs="Arial"/>
          <w:sz w:val="22"/>
          <w:szCs w:val="22"/>
          <w:lang w:val="es-ES_tradnl"/>
        </w:rPr>
        <w:t>I</w:t>
      </w:r>
      <w:r w:rsidR="00A10146" w:rsidRPr="00DB68CC">
        <w:rPr>
          <w:rFonts w:ascii="Arial" w:hAnsi="Arial" w:cs="Arial"/>
          <w:sz w:val="22"/>
          <w:szCs w:val="22"/>
          <w:lang w:val="es-ES_tradnl"/>
        </w:rPr>
        <w:t>mplementación del Programa (P</w:t>
      </w:r>
      <w:r w:rsidR="001000FF" w:rsidRPr="00DB68CC">
        <w:rPr>
          <w:rFonts w:ascii="Arial" w:hAnsi="Arial" w:cs="Arial"/>
          <w:sz w:val="22"/>
          <w:szCs w:val="22"/>
          <w:lang w:val="es-ES_tradnl"/>
        </w:rPr>
        <w:t>I</w:t>
      </w:r>
      <w:r w:rsidR="00A10146" w:rsidRPr="00DB68CC">
        <w:rPr>
          <w:rFonts w:ascii="Arial" w:hAnsi="Arial" w:cs="Arial"/>
          <w:sz w:val="22"/>
          <w:szCs w:val="22"/>
          <w:lang w:val="es-ES_tradnl"/>
        </w:rPr>
        <w:t xml:space="preserve">P) a más tardar el </w:t>
      </w:r>
      <w:r w:rsidR="006B664C" w:rsidRPr="00DB68CC">
        <w:rPr>
          <w:rFonts w:ascii="Arial" w:hAnsi="Arial" w:cs="Arial"/>
          <w:sz w:val="22"/>
          <w:szCs w:val="22"/>
          <w:lang w:val="es-ES_tradnl"/>
        </w:rPr>
        <w:t>último día hábil</w:t>
      </w:r>
      <w:r w:rsidR="00A10146" w:rsidRPr="00DB68CC">
        <w:rPr>
          <w:rFonts w:ascii="Arial" w:hAnsi="Arial" w:cs="Arial"/>
          <w:sz w:val="22"/>
          <w:szCs w:val="22"/>
          <w:lang w:val="es-ES_tradnl"/>
        </w:rPr>
        <w:t xml:space="preserve"> de enero y junio de cada año calendario durante el período de desembolso del préstamo del BID. El P</w:t>
      </w:r>
      <w:r w:rsidR="00385024" w:rsidRPr="00DB68CC">
        <w:rPr>
          <w:rFonts w:ascii="Arial" w:hAnsi="Arial" w:cs="Arial"/>
          <w:sz w:val="22"/>
          <w:szCs w:val="22"/>
          <w:lang w:val="es-ES_tradnl"/>
        </w:rPr>
        <w:t>I</w:t>
      </w:r>
      <w:r w:rsidR="00A10146" w:rsidRPr="00DB68CC">
        <w:rPr>
          <w:rFonts w:ascii="Arial" w:hAnsi="Arial" w:cs="Arial"/>
          <w:sz w:val="22"/>
          <w:szCs w:val="22"/>
          <w:lang w:val="es-ES_tradnl"/>
        </w:rPr>
        <w:t xml:space="preserve">P correspondiente al primer semestre de implantación del </w:t>
      </w:r>
      <w:r w:rsidR="00DB68CC" w:rsidRPr="00DB68CC">
        <w:rPr>
          <w:rFonts w:ascii="Arial" w:hAnsi="Arial" w:cs="Arial"/>
          <w:sz w:val="22"/>
          <w:szCs w:val="22"/>
          <w:lang w:val="es-ES_tradnl"/>
        </w:rPr>
        <w:t>p</w:t>
      </w:r>
      <w:r w:rsidR="00A10146" w:rsidRPr="00DB68CC">
        <w:rPr>
          <w:rFonts w:ascii="Arial" w:hAnsi="Arial" w:cs="Arial"/>
          <w:sz w:val="22"/>
          <w:szCs w:val="22"/>
          <w:lang w:val="es-ES_tradnl"/>
        </w:rPr>
        <w:t xml:space="preserve">rograma será presentado por </w:t>
      </w:r>
      <w:r w:rsidRPr="00DB68CC">
        <w:rPr>
          <w:rFonts w:ascii="Arial" w:hAnsi="Arial" w:cs="Arial"/>
          <w:sz w:val="22"/>
          <w:szCs w:val="22"/>
          <w:lang w:val="es-ES_tradnl"/>
        </w:rPr>
        <w:t>EL OE</w:t>
      </w:r>
      <w:r w:rsidR="00A10146" w:rsidRPr="00DB68CC">
        <w:rPr>
          <w:rFonts w:ascii="Arial" w:hAnsi="Arial" w:cs="Arial"/>
          <w:sz w:val="22"/>
          <w:szCs w:val="22"/>
          <w:lang w:val="es-ES_tradnl"/>
        </w:rPr>
        <w:t xml:space="preserve"> antes de la primera solicitud de desembolso del préstamo del BID. El P</w:t>
      </w:r>
      <w:r w:rsidR="00385024" w:rsidRPr="00DB68CC">
        <w:rPr>
          <w:rFonts w:ascii="Arial" w:hAnsi="Arial" w:cs="Arial"/>
          <w:sz w:val="22"/>
          <w:szCs w:val="22"/>
          <w:lang w:val="es-ES_tradnl"/>
        </w:rPr>
        <w:t>I</w:t>
      </w:r>
      <w:r w:rsidR="00A10146" w:rsidRPr="00DB68CC">
        <w:rPr>
          <w:rFonts w:ascii="Arial" w:hAnsi="Arial" w:cs="Arial"/>
          <w:sz w:val="22"/>
          <w:szCs w:val="22"/>
          <w:lang w:val="es-ES_tradnl"/>
        </w:rPr>
        <w:t>P debe incluir, como mínimo, información</w:t>
      </w:r>
      <w:r w:rsidR="004625BE" w:rsidRPr="00DB68CC">
        <w:rPr>
          <w:rFonts w:ascii="Arial" w:hAnsi="Arial" w:cs="Arial"/>
          <w:sz w:val="22"/>
          <w:szCs w:val="22"/>
          <w:lang w:val="es-ES_tradnl"/>
        </w:rPr>
        <w:t xml:space="preserve"> estimada</w:t>
      </w:r>
      <w:r w:rsidR="00A10146" w:rsidRPr="00DB68CC">
        <w:rPr>
          <w:rFonts w:ascii="Arial" w:hAnsi="Arial" w:cs="Arial"/>
          <w:sz w:val="22"/>
          <w:szCs w:val="22"/>
          <w:lang w:val="es-ES_tradnl"/>
        </w:rPr>
        <w:t xml:space="preserve"> relacionada con las actividades y proyectos que se financiarán durante el próximo semestre, incluyendo el calendario correspondiente y el presupuesto estimado.</w:t>
      </w:r>
    </w:p>
    <w:p w14:paraId="53DCF3EF" w14:textId="77777777" w:rsidR="00D528FC" w:rsidRPr="00DB68CC" w:rsidRDefault="00D528FC" w:rsidP="00D528FC">
      <w:pPr>
        <w:pStyle w:val="ListParagraph"/>
        <w:ind w:left="792"/>
        <w:jc w:val="both"/>
        <w:rPr>
          <w:rFonts w:ascii="Arial" w:hAnsi="Arial" w:cs="Arial"/>
          <w:sz w:val="22"/>
          <w:szCs w:val="22"/>
          <w:lang w:val="es-ES_tradnl"/>
        </w:rPr>
      </w:pPr>
    </w:p>
    <w:p w14:paraId="4B96EE76" w14:textId="134ADC2C" w:rsidR="00A10146" w:rsidRPr="00DB68CC" w:rsidRDefault="00280E54"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Como parte de la ejecución del programa, se han identificado los siguientes instrumentos de monitoreo y evaluación:</w:t>
      </w:r>
    </w:p>
    <w:p w14:paraId="48DAE554" w14:textId="77777777" w:rsidR="00D528FC" w:rsidRPr="00DB68CC" w:rsidRDefault="00D528FC" w:rsidP="00D528FC">
      <w:pPr>
        <w:pStyle w:val="ListParagraph"/>
        <w:rPr>
          <w:rFonts w:ascii="Arial" w:hAnsi="Arial" w:cs="Arial"/>
          <w:sz w:val="22"/>
          <w:szCs w:val="22"/>
          <w:lang w:val="es-ES_tradnl"/>
        </w:rPr>
      </w:pPr>
    </w:p>
    <w:p w14:paraId="31D0BC3A" w14:textId="77777777" w:rsidR="00D528FC" w:rsidRPr="00DB68CC" w:rsidRDefault="00280E54" w:rsidP="0099721A">
      <w:pPr>
        <w:pStyle w:val="ListParagraph"/>
        <w:numPr>
          <w:ilvl w:val="0"/>
          <w:numId w:val="21"/>
        </w:numPr>
        <w:spacing w:before="20"/>
        <w:jc w:val="both"/>
        <w:rPr>
          <w:rFonts w:ascii="Arial" w:hAnsi="Arial" w:cs="Arial"/>
          <w:sz w:val="22"/>
          <w:szCs w:val="22"/>
          <w:lang w:val="es-ES_tradnl"/>
        </w:rPr>
      </w:pPr>
      <w:r w:rsidRPr="00DB68CC">
        <w:rPr>
          <w:rFonts w:ascii="Arial" w:hAnsi="Arial" w:cs="Arial"/>
          <w:sz w:val="22"/>
          <w:szCs w:val="22"/>
          <w:lang w:val="es-ES_tradnl"/>
        </w:rPr>
        <w:t>Informes semestrales de seguimiento del programa en el que el OE informa al B</w:t>
      </w:r>
      <w:r w:rsidR="002C5AEA" w:rsidRPr="00DB68CC">
        <w:rPr>
          <w:rFonts w:ascii="Arial" w:hAnsi="Arial" w:cs="Arial"/>
          <w:sz w:val="22"/>
          <w:szCs w:val="22"/>
          <w:lang w:val="es-ES_tradnl"/>
        </w:rPr>
        <w:t>ID</w:t>
      </w:r>
      <w:r w:rsidRPr="00DB68CC">
        <w:rPr>
          <w:rFonts w:ascii="Arial" w:hAnsi="Arial" w:cs="Arial"/>
          <w:sz w:val="22"/>
          <w:szCs w:val="22"/>
          <w:lang w:val="es-ES_tradnl"/>
        </w:rPr>
        <w:t xml:space="preserve"> el progreso en la ejecución de las actividades programadas, incluyendo el cumplimiento de objetivos previamente acordados para los indicadores de producto y resultado que se describen en la matriz de resultados que se adjunta al programa propuesto (descritos en el Cuadro 1);</w:t>
      </w:r>
      <w:r w:rsidR="002C5AEA" w:rsidRPr="00DB68CC">
        <w:rPr>
          <w:rFonts w:ascii="Arial" w:hAnsi="Arial" w:cs="Arial"/>
          <w:sz w:val="22"/>
          <w:szCs w:val="22"/>
          <w:lang w:val="es-ES_tradnl"/>
        </w:rPr>
        <w:t xml:space="preserve"> </w:t>
      </w:r>
      <w:r w:rsidR="15D81783" w:rsidRPr="00DB68CC">
        <w:rPr>
          <w:rFonts w:ascii="Arial" w:hAnsi="Arial" w:cs="Arial"/>
          <w:sz w:val="22"/>
          <w:szCs w:val="22"/>
          <w:lang w:val="es-ES_tradnl"/>
        </w:rPr>
        <w:t>e incluyendo el reporte de desempeño socioambiental (ver Anexo 3)</w:t>
      </w:r>
    </w:p>
    <w:p w14:paraId="5AFA26F1" w14:textId="03D5880B" w:rsidR="00280E54" w:rsidRPr="00DB68CC" w:rsidRDefault="15D81783" w:rsidP="00D528FC">
      <w:pPr>
        <w:pStyle w:val="ListParagraph"/>
        <w:spacing w:before="20"/>
        <w:ind w:left="1152"/>
        <w:jc w:val="both"/>
        <w:rPr>
          <w:rFonts w:ascii="Arial" w:hAnsi="Arial" w:cs="Arial"/>
          <w:sz w:val="22"/>
          <w:szCs w:val="22"/>
          <w:lang w:val="es-ES_tradnl"/>
        </w:rPr>
      </w:pPr>
      <w:r w:rsidRPr="00DB68CC">
        <w:rPr>
          <w:rFonts w:ascii="Arial" w:hAnsi="Arial" w:cs="Arial"/>
          <w:sz w:val="22"/>
          <w:szCs w:val="22"/>
          <w:lang w:val="es-ES_tradnl"/>
        </w:rPr>
        <w:t xml:space="preserve"> </w:t>
      </w:r>
    </w:p>
    <w:p w14:paraId="4DBA3AB4" w14:textId="77777777" w:rsidR="00D528FC" w:rsidRPr="00DB68CC" w:rsidRDefault="00280E54" w:rsidP="0099721A">
      <w:pPr>
        <w:pStyle w:val="ListParagraph"/>
        <w:numPr>
          <w:ilvl w:val="0"/>
          <w:numId w:val="21"/>
        </w:numPr>
        <w:spacing w:before="20"/>
        <w:jc w:val="both"/>
        <w:rPr>
          <w:rFonts w:ascii="Arial" w:hAnsi="Arial" w:cs="Arial"/>
          <w:sz w:val="22"/>
          <w:szCs w:val="22"/>
          <w:lang w:val="es-ES_tradnl"/>
        </w:rPr>
      </w:pPr>
      <w:r w:rsidRPr="00DB68CC">
        <w:rPr>
          <w:rFonts w:ascii="Arial" w:hAnsi="Arial" w:cs="Arial"/>
          <w:sz w:val="22"/>
          <w:szCs w:val="22"/>
          <w:lang w:val="es-ES_tradnl"/>
        </w:rPr>
        <w:t>Auditorías financieras anuales del programa; </w:t>
      </w:r>
    </w:p>
    <w:p w14:paraId="7C6AE740" w14:textId="77777777" w:rsidR="00D528FC" w:rsidRPr="00DB68CC" w:rsidRDefault="00D528FC" w:rsidP="00D528FC">
      <w:pPr>
        <w:pStyle w:val="ListParagraph"/>
        <w:rPr>
          <w:rFonts w:ascii="Arial" w:hAnsi="Arial" w:cs="Arial"/>
          <w:sz w:val="22"/>
          <w:szCs w:val="22"/>
          <w:lang w:val="es-ES_tradnl"/>
        </w:rPr>
      </w:pPr>
    </w:p>
    <w:p w14:paraId="4AAFC9CC" w14:textId="7A89DCB3" w:rsidR="00280E54" w:rsidRPr="00DB68CC" w:rsidRDefault="00280E54" w:rsidP="0099721A">
      <w:pPr>
        <w:pStyle w:val="ListParagraph"/>
        <w:numPr>
          <w:ilvl w:val="0"/>
          <w:numId w:val="21"/>
        </w:numPr>
        <w:spacing w:before="20"/>
        <w:jc w:val="both"/>
        <w:rPr>
          <w:rFonts w:ascii="Arial" w:hAnsi="Arial" w:cs="Arial"/>
          <w:sz w:val="22"/>
          <w:szCs w:val="22"/>
          <w:lang w:val="es-ES_tradnl"/>
        </w:rPr>
      </w:pPr>
      <w:r w:rsidRPr="00DB68CC">
        <w:rPr>
          <w:rFonts w:ascii="Arial" w:hAnsi="Arial" w:cs="Arial"/>
          <w:sz w:val="22"/>
          <w:szCs w:val="22"/>
          <w:lang w:val="es-ES_tradnl"/>
        </w:rPr>
        <w:t>Análisis costo-beneficio ex</w:t>
      </w:r>
      <w:r w:rsidR="00DB68CC" w:rsidRPr="00DB68CC">
        <w:rPr>
          <w:rFonts w:ascii="Arial" w:hAnsi="Arial" w:cs="Arial"/>
          <w:sz w:val="22"/>
          <w:szCs w:val="22"/>
          <w:lang w:val="es-ES_tradnl"/>
        </w:rPr>
        <w:t> </w:t>
      </w:r>
      <w:r w:rsidRPr="00DB68CC">
        <w:rPr>
          <w:rFonts w:ascii="Arial" w:hAnsi="Arial" w:cs="Arial"/>
          <w:sz w:val="22"/>
          <w:szCs w:val="22"/>
          <w:lang w:val="es-ES_tradnl"/>
        </w:rPr>
        <w:t>post</w:t>
      </w:r>
      <w:r w:rsidR="002C5AEA" w:rsidRPr="00DB68CC">
        <w:rPr>
          <w:rFonts w:ascii="Arial" w:hAnsi="Arial" w:cs="Arial"/>
          <w:sz w:val="22"/>
          <w:szCs w:val="22"/>
          <w:lang w:val="es-ES_tradnl"/>
        </w:rPr>
        <w:t xml:space="preserve"> </w:t>
      </w:r>
      <w:r w:rsidRPr="00DB68CC">
        <w:rPr>
          <w:rFonts w:ascii="Arial" w:hAnsi="Arial" w:cs="Arial"/>
          <w:sz w:val="22"/>
          <w:szCs w:val="22"/>
          <w:lang w:val="es-ES_tradnl"/>
        </w:rPr>
        <w:t>de los flujos de ingreso y egreso derivados de la intervención. </w:t>
      </w:r>
    </w:p>
    <w:p w14:paraId="75093228" w14:textId="77777777" w:rsidR="00A10146" w:rsidRPr="00DB68CC" w:rsidRDefault="00A10146" w:rsidP="00257799">
      <w:pPr>
        <w:pStyle w:val="subpar"/>
        <w:numPr>
          <w:ilvl w:val="0"/>
          <w:numId w:val="0"/>
        </w:numPr>
        <w:spacing w:before="20" w:after="20"/>
        <w:rPr>
          <w:rFonts w:ascii="Arial" w:hAnsi="Arial" w:cs="Arial"/>
          <w:sz w:val="22"/>
          <w:szCs w:val="22"/>
        </w:rPr>
      </w:pPr>
    </w:p>
    <w:p w14:paraId="28AFF46D" w14:textId="0D9F4592" w:rsidR="00973CD9" w:rsidRPr="00DB68CC" w:rsidRDefault="00CF4C52"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El Organismo Ejecutor</w:t>
      </w:r>
      <w:r w:rsidR="00973CD9" w:rsidRPr="00DB68CC">
        <w:rPr>
          <w:rFonts w:ascii="Arial" w:hAnsi="Arial" w:cs="Arial"/>
          <w:sz w:val="22"/>
          <w:szCs w:val="22"/>
          <w:lang w:val="es-ES_tradnl"/>
        </w:rPr>
        <w:t xml:space="preserve"> reportará al BID</w:t>
      </w:r>
      <w:r w:rsidR="006B664C" w:rsidRPr="00DB68CC">
        <w:rPr>
          <w:rFonts w:ascii="Arial" w:hAnsi="Arial" w:cs="Arial"/>
          <w:sz w:val="22"/>
          <w:szCs w:val="22"/>
          <w:lang w:val="es-ES_tradnl"/>
        </w:rPr>
        <w:t xml:space="preserve"> i</w:t>
      </w:r>
      <w:r w:rsidR="00973CD9" w:rsidRPr="00DB68CC">
        <w:rPr>
          <w:rFonts w:ascii="Arial" w:hAnsi="Arial" w:cs="Arial"/>
          <w:sz w:val="22"/>
          <w:szCs w:val="22"/>
          <w:lang w:val="es-ES_tradnl"/>
        </w:rPr>
        <w:t xml:space="preserve">nformes anuales, que deberán ser presentados a más tardar cuarenta y cinco (45) días después del final de segundo semestre durante el plazo de desembolsos o sus extensiones. Estos informes además de la información de los informes semestrales deberán incluir, al menos, la siguiente información: </w:t>
      </w:r>
    </w:p>
    <w:p w14:paraId="323CAC56" w14:textId="77777777" w:rsidR="00D528FC" w:rsidRPr="00DB68CC" w:rsidRDefault="00D528FC" w:rsidP="00D528FC">
      <w:pPr>
        <w:pStyle w:val="ListParagraph"/>
        <w:ind w:left="792"/>
        <w:jc w:val="both"/>
        <w:rPr>
          <w:rFonts w:ascii="Arial" w:hAnsi="Arial" w:cs="Arial"/>
          <w:sz w:val="22"/>
          <w:szCs w:val="22"/>
          <w:lang w:val="es-ES_tradnl"/>
        </w:rPr>
      </w:pPr>
    </w:p>
    <w:p w14:paraId="7ED5AE66" w14:textId="273043B5" w:rsidR="00973CD9" w:rsidRPr="00DB68CC" w:rsidRDefault="00973CD9" w:rsidP="0099721A">
      <w:pPr>
        <w:pStyle w:val="ListParagraph"/>
        <w:numPr>
          <w:ilvl w:val="0"/>
          <w:numId w:val="22"/>
        </w:numPr>
        <w:spacing w:before="20"/>
        <w:jc w:val="both"/>
        <w:rPr>
          <w:rFonts w:ascii="Arial" w:hAnsi="Arial" w:cs="Arial"/>
          <w:sz w:val="22"/>
          <w:szCs w:val="22"/>
          <w:lang w:val="es-ES_tradnl"/>
        </w:rPr>
      </w:pPr>
      <w:r w:rsidRPr="00DB68CC">
        <w:rPr>
          <w:rFonts w:ascii="Arial" w:hAnsi="Arial" w:cs="Arial"/>
          <w:sz w:val="22"/>
          <w:szCs w:val="22"/>
          <w:lang w:val="es-ES_tradnl"/>
        </w:rPr>
        <w:t xml:space="preserve">Información para verificar el cumplimiento de los requerimientos </w:t>
      </w:r>
      <w:r w:rsidR="002C5AEA" w:rsidRPr="00DB68CC">
        <w:rPr>
          <w:rFonts w:ascii="Arial" w:hAnsi="Arial" w:cs="Arial"/>
          <w:sz w:val="22"/>
          <w:szCs w:val="22"/>
          <w:lang w:val="es-ES_tradnl"/>
        </w:rPr>
        <w:t>f</w:t>
      </w:r>
      <w:r w:rsidRPr="00DB68CC">
        <w:rPr>
          <w:rFonts w:ascii="Arial" w:hAnsi="Arial" w:cs="Arial"/>
          <w:sz w:val="22"/>
          <w:szCs w:val="22"/>
          <w:lang w:val="es-ES_tradnl"/>
        </w:rPr>
        <w:t xml:space="preserve">inancieros del programa (incluyendo información sobre el monto y uso de </w:t>
      </w:r>
      <w:r w:rsidRPr="00DB68CC">
        <w:rPr>
          <w:rFonts w:ascii="Arial" w:hAnsi="Arial" w:cs="Arial"/>
          <w:sz w:val="22"/>
          <w:szCs w:val="22"/>
          <w:lang w:val="es-ES_tradnl"/>
        </w:rPr>
        <w:lastRenderedPageBreak/>
        <w:t xml:space="preserve">los recursos del préstamo, y de otras fuentes, si las hubiera, aplicados a los </w:t>
      </w:r>
      <w:r w:rsidR="004D420A" w:rsidRPr="00DB68CC">
        <w:rPr>
          <w:rFonts w:ascii="Arial" w:hAnsi="Arial" w:cs="Arial"/>
          <w:sz w:val="22"/>
          <w:szCs w:val="22"/>
          <w:lang w:val="es-ES_tradnl"/>
        </w:rPr>
        <w:t>subpréstamo</w:t>
      </w:r>
      <w:r w:rsidRPr="00DB68CC">
        <w:rPr>
          <w:rFonts w:ascii="Arial" w:hAnsi="Arial" w:cs="Arial"/>
          <w:sz w:val="22"/>
          <w:szCs w:val="22"/>
          <w:lang w:val="es-ES_tradnl"/>
        </w:rPr>
        <w:t xml:space="preserve">s); </w:t>
      </w:r>
    </w:p>
    <w:p w14:paraId="01A23613" w14:textId="77777777" w:rsidR="00D528FC" w:rsidRPr="00DB68CC" w:rsidRDefault="00D528FC" w:rsidP="00D528FC">
      <w:pPr>
        <w:pStyle w:val="ListParagraph"/>
        <w:spacing w:before="20"/>
        <w:ind w:left="1152"/>
        <w:jc w:val="both"/>
        <w:rPr>
          <w:rFonts w:ascii="Arial" w:hAnsi="Arial" w:cs="Arial"/>
          <w:sz w:val="22"/>
          <w:szCs w:val="22"/>
          <w:lang w:val="es-ES_tradnl"/>
        </w:rPr>
      </w:pPr>
    </w:p>
    <w:p w14:paraId="5EB36B0F" w14:textId="184E3217" w:rsidR="00973CD9" w:rsidRPr="00DB68CC" w:rsidRDefault="00973CD9" w:rsidP="0099721A">
      <w:pPr>
        <w:pStyle w:val="ListParagraph"/>
        <w:numPr>
          <w:ilvl w:val="0"/>
          <w:numId w:val="22"/>
        </w:numPr>
        <w:spacing w:before="20"/>
        <w:jc w:val="both"/>
        <w:rPr>
          <w:rFonts w:ascii="Arial" w:hAnsi="Arial" w:cs="Arial"/>
          <w:sz w:val="22"/>
          <w:szCs w:val="22"/>
          <w:lang w:val="es-ES_tradnl"/>
        </w:rPr>
      </w:pPr>
      <w:r w:rsidRPr="00DB68CC">
        <w:rPr>
          <w:rFonts w:ascii="Arial" w:hAnsi="Arial" w:cs="Arial"/>
          <w:sz w:val="22"/>
          <w:szCs w:val="22"/>
          <w:lang w:val="es-ES_tradnl"/>
        </w:rPr>
        <w:t xml:space="preserve">Información sobre medidas correctivas aplicadas, incluyendo medidas para prevenir el acceso a financiamiento con cargo a recursos del préstamo en caso de incumplimiento con los requerimientos establecidos en este </w:t>
      </w:r>
      <w:r w:rsidR="00DB68CC" w:rsidRPr="00DB68CC">
        <w:rPr>
          <w:rFonts w:ascii="Arial" w:hAnsi="Arial" w:cs="Arial"/>
          <w:sz w:val="22"/>
          <w:szCs w:val="22"/>
          <w:lang w:val="es-ES_tradnl"/>
        </w:rPr>
        <w:t>RC</w:t>
      </w:r>
      <w:r w:rsidRPr="00DB68CC">
        <w:rPr>
          <w:rFonts w:ascii="Arial" w:hAnsi="Arial" w:cs="Arial"/>
          <w:sz w:val="22"/>
          <w:szCs w:val="22"/>
          <w:lang w:val="es-ES_tradnl"/>
        </w:rPr>
        <w:t xml:space="preserve">; </w:t>
      </w:r>
    </w:p>
    <w:p w14:paraId="214B6415" w14:textId="77777777" w:rsidR="00D528FC" w:rsidRPr="00DB68CC" w:rsidRDefault="00D528FC" w:rsidP="00D528FC">
      <w:pPr>
        <w:pStyle w:val="ListParagraph"/>
        <w:rPr>
          <w:rFonts w:ascii="Arial" w:hAnsi="Arial" w:cs="Arial"/>
          <w:sz w:val="22"/>
          <w:szCs w:val="22"/>
          <w:lang w:val="es-ES_tradnl"/>
        </w:rPr>
      </w:pPr>
    </w:p>
    <w:p w14:paraId="4707DF97" w14:textId="0AE452FC" w:rsidR="00D528FC" w:rsidRPr="00DB68CC" w:rsidRDefault="00973CD9" w:rsidP="0099721A">
      <w:pPr>
        <w:pStyle w:val="ListParagraph"/>
        <w:numPr>
          <w:ilvl w:val="0"/>
          <w:numId w:val="22"/>
        </w:numPr>
        <w:spacing w:before="20"/>
        <w:jc w:val="both"/>
        <w:rPr>
          <w:rFonts w:ascii="Arial" w:hAnsi="Arial" w:cs="Arial"/>
          <w:sz w:val="22"/>
          <w:szCs w:val="22"/>
          <w:lang w:val="es-ES_tradnl"/>
        </w:rPr>
      </w:pPr>
      <w:r w:rsidRPr="00DB68CC">
        <w:rPr>
          <w:rFonts w:ascii="Arial" w:hAnsi="Arial" w:cs="Arial"/>
          <w:sz w:val="22"/>
          <w:szCs w:val="22"/>
          <w:lang w:val="es-ES_tradnl"/>
        </w:rPr>
        <w:t>Lecciones aprendidas del periodo reportado y oportunidades de mejora.</w:t>
      </w:r>
      <w:r w:rsidR="00B848A9" w:rsidRPr="00DB68CC">
        <w:rPr>
          <w:rFonts w:ascii="Arial" w:hAnsi="Arial" w:cs="Arial"/>
          <w:sz w:val="22"/>
          <w:szCs w:val="22"/>
          <w:lang w:val="es-ES_tradnl"/>
        </w:rPr>
        <w:t xml:space="preserve"> Estos reportes deben incluir cuando menos la evolución y teoría del cambio de los indicadores incluidos en la matriz de resultados de este programa, el avance en los subproyectos, detallando el valor de ventas y el número de empleos creados, entre otros. </w:t>
      </w:r>
    </w:p>
    <w:p w14:paraId="1419747B" w14:textId="77777777" w:rsidR="00D528FC" w:rsidRPr="00DB68CC" w:rsidRDefault="00D528FC" w:rsidP="00D528FC">
      <w:pPr>
        <w:pStyle w:val="ListParagraph"/>
        <w:rPr>
          <w:rFonts w:ascii="Arial" w:hAnsi="Arial" w:cs="Arial"/>
          <w:sz w:val="22"/>
          <w:szCs w:val="22"/>
          <w:lang w:val="es-ES_tradnl"/>
        </w:rPr>
      </w:pPr>
    </w:p>
    <w:p w14:paraId="3F9390A3" w14:textId="53CBD9F7" w:rsidR="00374341" w:rsidRPr="00DB68CC" w:rsidRDefault="009E6B48" w:rsidP="0099721A">
      <w:pPr>
        <w:pStyle w:val="ListParagraph"/>
        <w:numPr>
          <w:ilvl w:val="1"/>
          <w:numId w:val="9"/>
        </w:numPr>
        <w:jc w:val="both"/>
        <w:rPr>
          <w:rFonts w:ascii="Arial" w:hAnsi="Arial" w:cs="Arial"/>
          <w:sz w:val="22"/>
          <w:szCs w:val="22"/>
          <w:lang w:val="es-ES_tradnl"/>
        </w:rPr>
      </w:pPr>
      <w:r w:rsidRPr="00DB68CC">
        <w:rPr>
          <w:rFonts w:ascii="Arial" w:hAnsi="Arial" w:cs="Arial"/>
          <w:sz w:val="22"/>
          <w:szCs w:val="22"/>
          <w:lang w:val="es-ES_tradnl"/>
        </w:rPr>
        <w:t>El OE</w:t>
      </w:r>
      <w:r w:rsidR="00374341" w:rsidRPr="00DB68CC">
        <w:rPr>
          <w:rFonts w:ascii="Arial" w:hAnsi="Arial" w:cs="Arial"/>
          <w:sz w:val="22"/>
          <w:szCs w:val="22"/>
          <w:lang w:val="es-ES_tradnl"/>
        </w:rPr>
        <w:t xml:space="preserve"> acordará con el BID, durante el período de desembolso del préstamo del BID, la celebración de una reunión </w:t>
      </w:r>
      <w:r w:rsidRPr="00DB68CC">
        <w:rPr>
          <w:rFonts w:ascii="Arial" w:hAnsi="Arial" w:cs="Arial"/>
          <w:sz w:val="22"/>
          <w:szCs w:val="22"/>
          <w:lang w:val="es-ES_tradnl"/>
        </w:rPr>
        <w:t>trimestral</w:t>
      </w:r>
      <w:r w:rsidR="00374341" w:rsidRPr="00DB68CC">
        <w:rPr>
          <w:rFonts w:ascii="Arial" w:hAnsi="Arial" w:cs="Arial"/>
          <w:sz w:val="22"/>
          <w:szCs w:val="22"/>
          <w:lang w:val="es-ES_tradnl"/>
        </w:rPr>
        <w:t xml:space="preserve"> de seguimiento, en la que se debatirá: (i) el progreso de las actividades del </w:t>
      </w:r>
      <w:r w:rsidR="00E2105E" w:rsidRPr="00DB68CC">
        <w:rPr>
          <w:rFonts w:ascii="Arial" w:hAnsi="Arial" w:cs="Arial"/>
          <w:sz w:val="22"/>
          <w:szCs w:val="22"/>
          <w:lang w:val="es-ES_tradnl"/>
        </w:rPr>
        <w:t>p</w:t>
      </w:r>
      <w:r w:rsidR="00374341" w:rsidRPr="00DB68CC">
        <w:rPr>
          <w:rFonts w:ascii="Arial" w:hAnsi="Arial" w:cs="Arial"/>
          <w:sz w:val="22"/>
          <w:szCs w:val="22"/>
          <w:lang w:val="es-ES_tradnl"/>
        </w:rPr>
        <w:t>rograma</w:t>
      </w:r>
      <w:r w:rsidRPr="00DB68CC">
        <w:rPr>
          <w:rFonts w:ascii="Arial" w:hAnsi="Arial" w:cs="Arial"/>
          <w:sz w:val="22"/>
          <w:szCs w:val="22"/>
          <w:lang w:val="es-ES_tradnl"/>
        </w:rPr>
        <w:t xml:space="preserve"> de emergencia</w:t>
      </w:r>
      <w:r w:rsidR="00374341" w:rsidRPr="00DB68CC">
        <w:rPr>
          <w:rFonts w:ascii="Arial" w:hAnsi="Arial" w:cs="Arial"/>
          <w:sz w:val="22"/>
          <w:szCs w:val="22"/>
          <w:lang w:val="es-ES_tradnl"/>
        </w:rPr>
        <w:t>, (</w:t>
      </w:r>
      <w:proofErr w:type="spellStart"/>
      <w:r w:rsidR="00374341" w:rsidRPr="00DB68CC">
        <w:rPr>
          <w:rFonts w:ascii="Arial" w:hAnsi="Arial" w:cs="Arial"/>
          <w:sz w:val="22"/>
          <w:szCs w:val="22"/>
          <w:lang w:val="es-ES_tradnl"/>
        </w:rPr>
        <w:t>ii</w:t>
      </w:r>
      <w:proofErr w:type="spellEnd"/>
      <w:r w:rsidR="00374341" w:rsidRPr="00DB68CC">
        <w:rPr>
          <w:rFonts w:ascii="Arial" w:hAnsi="Arial" w:cs="Arial"/>
          <w:sz w:val="22"/>
          <w:szCs w:val="22"/>
          <w:lang w:val="es-ES_tradnl"/>
        </w:rPr>
        <w:t xml:space="preserve">) el nivel de cumplimiento de </w:t>
      </w:r>
      <w:bookmarkStart w:id="100" w:name="_Hlk507496451"/>
      <w:r w:rsidR="00374341" w:rsidRPr="00DB68CC">
        <w:rPr>
          <w:rFonts w:ascii="Arial" w:hAnsi="Arial" w:cs="Arial"/>
          <w:sz w:val="22"/>
          <w:szCs w:val="22"/>
          <w:lang w:val="es-ES_tradnl"/>
        </w:rPr>
        <w:t>los indicadores establecidos en la matriz de resultados</w:t>
      </w:r>
      <w:bookmarkEnd w:id="100"/>
      <w:r w:rsidR="00374341" w:rsidRPr="00DB68CC">
        <w:rPr>
          <w:rFonts w:ascii="Arial" w:hAnsi="Arial" w:cs="Arial"/>
          <w:sz w:val="22"/>
          <w:szCs w:val="22"/>
          <w:lang w:val="es-ES_tradnl"/>
        </w:rPr>
        <w:t>.</w:t>
      </w:r>
    </w:p>
    <w:p w14:paraId="5CB19460" w14:textId="6F03B77D" w:rsidR="00CE7D2F" w:rsidRPr="00DB68CC" w:rsidRDefault="00CE7D2F" w:rsidP="0099721A">
      <w:pPr>
        <w:pStyle w:val="Heading1"/>
        <w:numPr>
          <w:ilvl w:val="0"/>
          <w:numId w:val="9"/>
        </w:numPr>
        <w:rPr>
          <w:rFonts w:cs="Arial"/>
          <w:sz w:val="22"/>
          <w:szCs w:val="22"/>
          <w:lang w:val="es-ES_tradnl"/>
        </w:rPr>
      </w:pPr>
      <w:bookmarkStart w:id="101" w:name="_Toc37603071"/>
      <w:r w:rsidRPr="00DB68CC">
        <w:rPr>
          <w:rFonts w:cs="Arial"/>
          <w:sz w:val="22"/>
          <w:szCs w:val="22"/>
          <w:lang w:val="es-ES_tradnl"/>
        </w:rPr>
        <w:t>Acuerdos Para La Gestión Financiera del Programa</w:t>
      </w:r>
      <w:bookmarkEnd w:id="101"/>
    </w:p>
    <w:p w14:paraId="7CA325FA" w14:textId="77777777" w:rsidR="00D528FC" w:rsidRPr="00DB68CC" w:rsidRDefault="00D528FC" w:rsidP="00D528FC">
      <w:pPr>
        <w:rPr>
          <w:sz w:val="22"/>
          <w:szCs w:val="22"/>
          <w:lang w:val="es-ES_tradnl" w:eastAsia="en-US"/>
        </w:rPr>
      </w:pPr>
    </w:p>
    <w:p w14:paraId="23961818" w14:textId="7D4D06F4" w:rsidR="00CE7D2F" w:rsidRPr="00DB68CC" w:rsidRDefault="00CE7D2F"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Recursos y </w:t>
      </w:r>
      <w:r w:rsidR="00DB68CC" w:rsidRPr="00DB68CC">
        <w:rPr>
          <w:rFonts w:ascii="Arial" w:hAnsi="Arial" w:cs="Arial"/>
          <w:b/>
          <w:bCs/>
          <w:sz w:val="22"/>
          <w:szCs w:val="22"/>
          <w:lang w:val="es-ES_tradnl"/>
        </w:rPr>
        <w:t>s</w:t>
      </w:r>
      <w:r w:rsidRPr="00DB68CC">
        <w:rPr>
          <w:rFonts w:ascii="Arial" w:hAnsi="Arial" w:cs="Arial"/>
          <w:b/>
          <w:bCs/>
          <w:sz w:val="22"/>
          <w:szCs w:val="22"/>
          <w:lang w:val="es-ES_tradnl"/>
        </w:rPr>
        <w:t xml:space="preserve">istemas </w:t>
      </w:r>
      <w:r w:rsidR="00DB68CC" w:rsidRPr="00DB68CC">
        <w:rPr>
          <w:rFonts w:ascii="Arial" w:hAnsi="Arial" w:cs="Arial"/>
          <w:b/>
          <w:bCs/>
          <w:sz w:val="22"/>
          <w:szCs w:val="22"/>
          <w:lang w:val="es-ES_tradnl"/>
        </w:rPr>
        <w:t>a</w:t>
      </w:r>
      <w:r w:rsidRPr="00DB68CC">
        <w:rPr>
          <w:rFonts w:ascii="Arial" w:hAnsi="Arial" w:cs="Arial"/>
          <w:b/>
          <w:bCs/>
          <w:sz w:val="22"/>
          <w:szCs w:val="22"/>
          <w:lang w:val="es-ES_tradnl"/>
        </w:rPr>
        <w:t>dministrativos.</w:t>
      </w:r>
      <w:r w:rsidRPr="00DB68CC">
        <w:rPr>
          <w:rFonts w:ascii="Arial" w:hAnsi="Arial" w:cs="Arial"/>
          <w:sz w:val="22"/>
          <w:szCs w:val="22"/>
          <w:lang w:val="es-ES_tradnl"/>
        </w:rPr>
        <w:t xml:space="preserve"> </w:t>
      </w:r>
      <w:r w:rsidR="009E6B48" w:rsidRPr="00DB68CC">
        <w:rPr>
          <w:rFonts w:ascii="Arial" w:hAnsi="Arial" w:cs="Arial"/>
          <w:sz w:val="22"/>
          <w:szCs w:val="22"/>
          <w:lang w:val="es-ES_tradnl"/>
        </w:rPr>
        <w:t>El OE</w:t>
      </w:r>
      <w:r w:rsidRPr="00DB68CC">
        <w:rPr>
          <w:rFonts w:ascii="Arial" w:hAnsi="Arial" w:cs="Arial"/>
          <w:sz w:val="22"/>
          <w:szCs w:val="22"/>
          <w:lang w:val="es-ES_tradnl"/>
        </w:rPr>
        <w:t xml:space="preserve"> utilizará sus recursos y sistemas administrativos, financieros y contables para el registro y la administración de las operaciones que se administren con los recursos del Programa de acuerdo </w:t>
      </w:r>
      <w:r w:rsidR="002C5AEA" w:rsidRPr="00DB68CC">
        <w:rPr>
          <w:rFonts w:ascii="Arial" w:hAnsi="Arial" w:cs="Arial"/>
          <w:sz w:val="22"/>
          <w:szCs w:val="22"/>
          <w:lang w:val="es-ES_tradnl"/>
        </w:rPr>
        <w:t>con</w:t>
      </w:r>
      <w:r w:rsidRPr="00DB68CC">
        <w:rPr>
          <w:rFonts w:ascii="Arial" w:hAnsi="Arial" w:cs="Arial"/>
          <w:sz w:val="22"/>
          <w:szCs w:val="22"/>
          <w:lang w:val="es-ES_tradnl"/>
        </w:rPr>
        <w:t xml:space="preserve"> la regulación financiera vigente aplicable para esa entidad</w:t>
      </w:r>
      <w:r w:rsidR="00D71D14" w:rsidRPr="00DB68CC">
        <w:rPr>
          <w:rFonts w:ascii="Arial" w:hAnsi="Arial" w:cs="Arial"/>
          <w:sz w:val="22"/>
          <w:szCs w:val="22"/>
          <w:lang w:val="es-ES_tradnl"/>
        </w:rPr>
        <w:t xml:space="preserve"> y en consistencia con la Política de Gestión Financiera para Proyectos Financiados por el BID</w:t>
      </w:r>
      <w:r w:rsidRPr="00DB68CC">
        <w:rPr>
          <w:rFonts w:ascii="Arial" w:hAnsi="Arial" w:cs="Arial"/>
          <w:sz w:val="22"/>
          <w:szCs w:val="22"/>
          <w:lang w:val="es-ES_tradnl"/>
        </w:rPr>
        <w:t>.</w:t>
      </w:r>
    </w:p>
    <w:p w14:paraId="1493DA34" w14:textId="77777777" w:rsidR="00D528FC" w:rsidRPr="00DB68CC" w:rsidRDefault="00D528FC" w:rsidP="00D528FC">
      <w:pPr>
        <w:pStyle w:val="ListParagraph"/>
        <w:ind w:left="792"/>
        <w:jc w:val="both"/>
        <w:rPr>
          <w:rFonts w:ascii="Arial" w:hAnsi="Arial" w:cs="Arial"/>
          <w:sz w:val="22"/>
          <w:szCs w:val="22"/>
          <w:lang w:val="es-ES_tradnl"/>
        </w:rPr>
      </w:pPr>
    </w:p>
    <w:p w14:paraId="502715CD" w14:textId="1178EA94" w:rsidR="00CE7D2F" w:rsidRPr="00DB68CC" w:rsidRDefault="00831FB6"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Identificación de los </w:t>
      </w:r>
      <w:r w:rsidR="00DB68CC" w:rsidRPr="00DB68CC">
        <w:rPr>
          <w:rFonts w:ascii="Arial" w:hAnsi="Arial" w:cs="Arial"/>
          <w:b/>
          <w:bCs/>
          <w:sz w:val="22"/>
          <w:szCs w:val="22"/>
          <w:lang w:val="es-ES_tradnl"/>
        </w:rPr>
        <w:t>r</w:t>
      </w:r>
      <w:r w:rsidRPr="00DB68CC">
        <w:rPr>
          <w:rFonts w:ascii="Arial" w:hAnsi="Arial" w:cs="Arial"/>
          <w:b/>
          <w:bCs/>
          <w:sz w:val="22"/>
          <w:szCs w:val="22"/>
          <w:lang w:val="es-ES_tradnl"/>
        </w:rPr>
        <w:t xml:space="preserve">ecursos. </w:t>
      </w:r>
      <w:r w:rsidR="009E6B48" w:rsidRPr="00DB68CC">
        <w:rPr>
          <w:rFonts w:ascii="Arial" w:hAnsi="Arial" w:cs="Arial"/>
          <w:sz w:val="22"/>
          <w:szCs w:val="22"/>
          <w:lang w:val="es-ES_tradnl"/>
        </w:rPr>
        <w:t>El OE</w:t>
      </w:r>
      <w:r w:rsidRPr="00DB68CC">
        <w:rPr>
          <w:rFonts w:ascii="Arial" w:hAnsi="Arial" w:cs="Arial"/>
          <w:sz w:val="22"/>
          <w:szCs w:val="22"/>
          <w:lang w:val="es-ES_tradnl"/>
        </w:rPr>
        <w:t xml:space="preserve"> parametrizará en su sistema de </w:t>
      </w:r>
      <w:proofErr w:type="spellStart"/>
      <w:r w:rsidRPr="00DB68CC">
        <w:rPr>
          <w:rFonts w:ascii="Arial" w:hAnsi="Arial" w:cs="Arial"/>
          <w:sz w:val="22"/>
          <w:szCs w:val="22"/>
          <w:lang w:val="es-ES_tradnl"/>
        </w:rPr>
        <w:t>core</w:t>
      </w:r>
      <w:proofErr w:type="spellEnd"/>
      <w:r w:rsidRPr="00DB68CC">
        <w:rPr>
          <w:rFonts w:ascii="Arial" w:hAnsi="Arial" w:cs="Arial"/>
          <w:sz w:val="22"/>
          <w:szCs w:val="22"/>
          <w:lang w:val="es-ES_tradnl"/>
        </w:rPr>
        <w:t xml:space="preserve"> bancario la identificación de los recursos del Programa, con la finalidad de distinguirlos a nivel presupuestario, contable y de tesorería, durante toda la vida del programa y conforme a la Política de Gestión Financiera para Proyectos Financiados por el BID</w:t>
      </w:r>
      <w:r w:rsidR="00CE7D2F" w:rsidRPr="00DB68CC">
        <w:rPr>
          <w:rFonts w:ascii="Arial" w:hAnsi="Arial" w:cs="Arial"/>
          <w:sz w:val="22"/>
          <w:szCs w:val="22"/>
          <w:lang w:val="es-ES_tradnl"/>
        </w:rPr>
        <w:t>.</w:t>
      </w:r>
    </w:p>
    <w:p w14:paraId="652FB3C9" w14:textId="77777777" w:rsidR="00D528FC" w:rsidRPr="00DB68CC" w:rsidRDefault="00D528FC" w:rsidP="00D528FC">
      <w:pPr>
        <w:pStyle w:val="ListParagraph"/>
        <w:rPr>
          <w:rFonts w:ascii="Arial" w:hAnsi="Arial" w:cs="Arial"/>
          <w:sz w:val="22"/>
          <w:szCs w:val="22"/>
          <w:lang w:val="es-ES_tradnl"/>
        </w:rPr>
      </w:pPr>
    </w:p>
    <w:p w14:paraId="067C4573" w14:textId="25679FED" w:rsidR="00CE7D2F" w:rsidRPr="00DB68CC" w:rsidRDefault="00682AE8"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Desembolsos y </w:t>
      </w:r>
      <w:r w:rsidR="00DB68CC" w:rsidRPr="00DB68CC">
        <w:rPr>
          <w:rFonts w:ascii="Arial" w:hAnsi="Arial" w:cs="Arial"/>
          <w:b/>
          <w:bCs/>
          <w:sz w:val="22"/>
          <w:szCs w:val="22"/>
          <w:lang w:val="es-ES_tradnl"/>
        </w:rPr>
        <w:t>f</w:t>
      </w:r>
      <w:r w:rsidRPr="00DB68CC">
        <w:rPr>
          <w:rFonts w:ascii="Arial" w:hAnsi="Arial" w:cs="Arial"/>
          <w:b/>
          <w:bCs/>
          <w:sz w:val="22"/>
          <w:szCs w:val="22"/>
          <w:lang w:val="es-ES_tradnl"/>
        </w:rPr>
        <w:t xml:space="preserve">lujos de </w:t>
      </w:r>
      <w:r w:rsidR="00DB68CC" w:rsidRPr="00DB68CC">
        <w:rPr>
          <w:rFonts w:ascii="Arial" w:hAnsi="Arial" w:cs="Arial"/>
          <w:b/>
          <w:bCs/>
          <w:sz w:val="22"/>
          <w:szCs w:val="22"/>
          <w:lang w:val="es-ES_tradnl"/>
        </w:rPr>
        <w:t>c</w:t>
      </w:r>
      <w:r w:rsidRPr="00DB68CC">
        <w:rPr>
          <w:rFonts w:ascii="Arial" w:hAnsi="Arial" w:cs="Arial"/>
          <w:b/>
          <w:bCs/>
          <w:sz w:val="22"/>
          <w:szCs w:val="22"/>
          <w:lang w:val="es-ES_tradnl"/>
        </w:rPr>
        <w:t xml:space="preserve">aja. </w:t>
      </w:r>
      <w:r w:rsidRPr="00DB68CC">
        <w:rPr>
          <w:rFonts w:ascii="Arial" w:hAnsi="Arial" w:cs="Arial"/>
          <w:sz w:val="22"/>
          <w:szCs w:val="22"/>
          <w:lang w:val="es-ES_tradnl"/>
        </w:rPr>
        <w:t xml:space="preserve">El BID desembolsará los recursos del programa bajo cualquiera de las modalidades definidas en la Política de Gestión Financiera para Proyectos Financiados por el BID.  </w:t>
      </w:r>
    </w:p>
    <w:p w14:paraId="3C6D69B4" w14:textId="77777777" w:rsidR="00513D50" w:rsidRPr="00DB68CC" w:rsidRDefault="00513D50" w:rsidP="00513D50">
      <w:pPr>
        <w:pStyle w:val="ListParagraph"/>
        <w:rPr>
          <w:rFonts w:ascii="Arial" w:hAnsi="Arial" w:cs="Arial"/>
          <w:sz w:val="22"/>
          <w:szCs w:val="22"/>
          <w:lang w:val="es-ES_tradnl"/>
        </w:rPr>
      </w:pPr>
    </w:p>
    <w:p w14:paraId="56E21C06" w14:textId="23CC085C" w:rsidR="00D528FC" w:rsidRPr="00DB68CC" w:rsidRDefault="00807209"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Cuenta </w:t>
      </w:r>
      <w:r w:rsidR="00DB68CC" w:rsidRPr="00DB68CC">
        <w:rPr>
          <w:rFonts w:ascii="Arial" w:hAnsi="Arial" w:cs="Arial"/>
          <w:b/>
          <w:bCs/>
          <w:sz w:val="22"/>
          <w:szCs w:val="22"/>
          <w:lang w:val="es-ES_tradnl"/>
        </w:rPr>
        <w:t>o</w:t>
      </w:r>
      <w:r w:rsidRPr="00DB68CC">
        <w:rPr>
          <w:rFonts w:ascii="Arial" w:hAnsi="Arial" w:cs="Arial"/>
          <w:b/>
          <w:bCs/>
          <w:sz w:val="22"/>
          <w:szCs w:val="22"/>
          <w:lang w:val="es-ES_tradnl"/>
        </w:rPr>
        <w:t xml:space="preserve">perativa. </w:t>
      </w:r>
      <w:r w:rsidR="009E6B48" w:rsidRPr="00DB68CC">
        <w:rPr>
          <w:rFonts w:ascii="Arial" w:hAnsi="Arial" w:cs="Arial"/>
          <w:sz w:val="22"/>
          <w:szCs w:val="22"/>
          <w:lang w:val="es-ES_tradnl"/>
        </w:rPr>
        <w:t>El OE</w:t>
      </w:r>
      <w:r w:rsidRPr="00DB68CC">
        <w:rPr>
          <w:rFonts w:ascii="Arial" w:hAnsi="Arial" w:cs="Arial"/>
          <w:sz w:val="22"/>
          <w:szCs w:val="22"/>
          <w:lang w:val="es-ES_tradnl"/>
        </w:rPr>
        <w:t xml:space="preserve"> mantendrá una cuenta especial separada e identificada contable y operacionalmente para el manejo exclusivo de los recursos del programa -ya sea provenientes del financiamiento del repago-, desde donde se realizarán los desembolsos correspondientes a l</w:t>
      </w:r>
      <w:r w:rsidR="008A46A7" w:rsidRPr="00DB68CC">
        <w:rPr>
          <w:rFonts w:ascii="Arial" w:hAnsi="Arial" w:cs="Arial"/>
          <w:sz w:val="22"/>
          <w:szCs w:val="22"/>
          <w:lang w:val="es-ES_tradnl"/>
        </w:rPr>
        <w:t>as</w:t>
      </w:r>
      <w:r w:rsidRPr="00DB68CC">
        <w:rPr>
          <w:rFonts w:ascii="Arial" w:hAnsi="Arial" w:cs="Arial"/>
          <w:sz w:val="22"/>
          <w:szCs w:val="22"/>
          <w:lang w:val="es-ES_tradnl"/>
        </w:rPr>
        <w:t xml:space="preserve"> </w:t>
      </w:r>
      <w:r w:rsidR="008A46A7" w:rsidRPr="00DB68CC">
        <w:rPr>
          <w:rFonts w:ascii="Arial" w:hAnsi="Arial" w:cs="Arial"/>
          <w:sz w:val="22"/>
          <w:szCs w:val="22"/>
          <w:lang w:val="es-ES_tradnl"/>
        </w:rPr>
        <w:t>OSFPS</w:t>
      </w:r>
      <w:r w:rsidRPr="00DB68CC">
        <w:rPr>
          <w:rFonts w:ascii="Arial" w:hAnsi="Arial" w:cs="Arial"/>
          <w:sz w:val="22"/>
          <w:szCs w:val="22"/>
          <w:lang w:val="es-ES_tradnl"/>
        </w:rPr>
        <w:t xml:space="preserve">. De conformidad con lo establecido en la Política de Gestión Financiera para Proyectos Financiados por el BID, se realizarán desembolsos sobre la base de las necesidades de liquidez, para lo cual </w:t>
      </w:r>
      <w:r w:rsidR="009E6B48" w:rsidRPr="00DB68CC">
        <w:rPr>
          <w:rFonts w:ascii="Arial" w:hAnsi="Arial" w:cs="Arial"/>
          <w:sz w:val="22"/>
          <w:szCs w:val="22"/>
          <w:lang w:val="es-ES_tradnl"/>
        </w:rPr>
        <w:t>el OE</w:t>
      </w:r>
      <w:r w:rsidRPr="00DB68CC">
        <w:rPr>
          <w:rFonts w:ascii="Arial" w:hAnsi="Arial" w:cs="Arial"/>
          <w:sz w:val="22"/>
          <w:szCs w:val="22"/>
          <w:lang w:val="es-ES_tradnl"/>
        </w:rPr>
        <w:t xml:space="preserve"> preparará un plan financiero, que servirá de base para los anticipos u otra modalidad de desembolso que se estime apropiada</w:t>
      </w:r>
      <w:r w:rsidR="00CE7D2F" w:rsidRPr="00DB68CC">
        <w:rPr>
          <w:rFonts w:ascii="Arial" w:hAnsi="Arial" w:cs="Arial"/>
          <w:sz w:val="22"/>
          <w:szCs w:val="22"/>
          <w:lang w:val="es-ES_tradnl"/>
        </w:rPr>
        <w:t>.</w:t>
      </w:r>
    </w:p>
    <w:p w14:paraId="07948164" w14:textId="77777777" w:rsidR="00D528FC" w:rsidRPr="00DB68CC" w:rsidRDefault="00D528FC" w:rsidP="00D528FC">
      <w:pPr>
        <w:pStyle w:val="ListParagraph"/>
        <w:ind w:left="792"/>
        <w:jc w:val="both"/>
        <w:rPr>
          <w:rFonts w:ascii="Arial" w:hAnsi="Arial" w:cs="Arial"/>
          <w:b/>
          <w:bCs/>
          <w:sz w:val="22"/>
          <w:szCs w:val="22"/>
          <w:lang w:val="es-ES_tradnl"/>
        </w:rPr>
      </w:pPr>
    </w:p>
    <w:p w14:paraId="14130965" w14:textId="77777777" w:rsidR="00D528FC" w:rsidRPr="00DB68CC" w:rsidRDefault="00575BE4"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Supervisión. </w:t>
      </w:r>
      <w:r w:rsidRPr="00DB68CC">
        <w:rPr>
          <w:rFonts w:ascii="Arial" w:hAnsi="Arial" w:cs="Arial"/>
          <w:sz w:val="22"/>
          <w:szCs w:val="22"/>
          <w:lang w:val="es-ES_tradnl"/>
        </w:rPr>
        <w:t xml:space="preserve">Para el monitoreo financiero del programa, se utilizarán los informes financieros (no auditados) producidos por los sistemas </w:t>
      </w:r>
      <w:r w:rsidR="009E6B48" w:rsidRPr="00DB68CC">
        <w:rPr>
          <w:rFonts w:ascii="Arial" w:hAnsi="Arial" w:cs="Arial"/>
          <w:sz w:val="22"/>
          <w:szCs w:val="22"/>
          <w:lang w:val="es-ES_tradnl"/>
        </w:rPr>
        <w:t>del OE</w:t>
      </w:r>
      <w:r w:rsidRPr="00DB68CC">
        <w:rPr>
          <w:rFonts w:ascii="Arial" w:hAnsi="Arial" w:cs="Arial"/>
          <w:sz w:val="22"/>
          <w:szCs w:val="22"/>
          <w:lang w:val="es-ES_tradnl"/>
        </w:rPr>
        <w:t xml:space="preserve"> y la desagregación necesaria se detallará en las notas correspondientes e información financiera complementaria. Preliminarmente, estos informes se requerirán semestralmente pudiendo ajustarse la frecuencia posteriormente. Las notas explicativas de la información financiera se diseñarán de manera que sean consistentes con la política y herramientas de monitoreo del BID </w:t>
      </w:r>
      <w:r w:rsidRPr="00DB68CC">
        <w:rPr>
          <w:rFonts w:ascii="Arial" w:hAnsi="Arial" w:cs="Arial"/>
          <w:sz w:val="22"/>
          <w:szCs w:val="22"/>
          <w:lang w:val="es-ES_tradnl"/>
        </w:rPr>
        <w:lastRenderedPageBreak/>
        <w:t>(Instructivo de Informes Financieros y Gestión de Auditoría Externa de las Operaciones Financiadas por el BID)</w:t>
      </w:r>
      <w:r w:rsidR="00EA1FA0" w:rsidRPr="00DB68CC">
        <w:rPr>
          <w:rFonts w:ascii="Arial" w:hAnsi="Arial" w:cs="Arial"/>
          <w:sz w:val="22"/>
          <w:szCs w:val="22"/>
          <w:lang w:val="es-ES_tradnl"/>
        </w:rPr>
        <w:t>.</w:t>
      </w:r>
      <w:r w:rsidR="00EA1FA0" w:rsidRPr="00DB68CC">
        <w:rPr>
          <w:rFonts w:ascii="Arial" w:hAnsi="Arial" w:cs="Arial"/>
          <w:b/>
          <w:bCs/>
          <w:sz w:val="22"/>
          <w:szCs w:val="22"/>
          <w:lang w:val="es-ES_tradnl"/>
        </w:rPr>
        <w:t xml:space="preserve"> </w:t>
      </w:r>
    </w:p>
    <w:p w14:paraId="395C231C" w14:textId="77777777" w:rsidR="00D528FC" w:rsidRPr="00DB68CC" w:rsidRDefault="00D528FC" w:rsidP="00D528FC">
      <w:pPr>
        <w:pStyle w:val="ListParagraph"/>
        <w:rPr>
          <w:rFonts w:ascii="Arial" w:hAnsi="Arial" w:cs="Arial"/>
          <w:b/>
          <w:bCs/>
          <w:sz w:val="22"/>
          <w:szCs w:val="22"/>
          <w:lang w:val="es-ES_tradnl"/>
        </w:rPr>
      </w:pPr>
    </w:p>
    <w:p w14:paraId="762031D4" w14:textId="1B868CBB" w:rsidR="009027F5" w:rsidRPr="00DB68CC" w:rsidRDefault="00EA1FA0"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Supervisión </w:t>
      </w:r>
      <w:r w:rsidR="00DB68CC" w:rsidRPr="00DB68CC">
        <w:rPr>
          <w:rFonts w:ascii="Arial" w:hAnsi="Arial" w:cs="Arial"/>
          <w:b/>
          <w:bCs/>
          <w:sz w:val="22"/>
          <w:szCs w:val="22"/>
          <w:lang w:val="es-ES_tradnl"/>
        </w:rPr>
        <w:t>f</w:t>
      </w:r>
      <w:r w:rsidRPr="00DB68CC">
        <w:rPr>
          <w:rFonts w:ascii="Arial" w:hAnsi="Arial" w:cs="Arial"/>
          <w:b/>
          <w:bCs/>
          <w:sz w:val="22"/>
          <w:szCs w:val="22"/>
          <w:lang w:val="es-ES_tradnl"/>
        </w:rPr>
        <w:t xml:space="preserve">iduciaria del BID. </w:t>
      </w:r>
      <w:r w:rsidRPr="00DB68CC">
        <w:rPr>
          <w:rFonts w:ascii="Arial" w:hAnsi="Arial" w:cs="Arial"/>
          <w:sz w:val="22"/>
          <w:szCs w:val="22"/>
          <w:lang w:val="es-ES_tradnl"/>
        </w:rPr>
        <w:t xml:space="preserve">El especialista financiero del BID podrá llevar a cabo revisiones “in situ” y realizará revisiones de “escritorio” sobre los estados financieros anuales y finales auditados del </w:t>
      </w:r>
      <w:r w:rsidR="00E2105E" w:rsidRPr="00DB68CC">
        <w:rPr>
          <w:rFonts w:ascii="Arial" w:hAnsi="Arial" w:cs="Arial"/>
          <w:sz w:val="22"/>
          <w:szCs w:val="22"/>
          <w:lang w:val="es-ES_tradnl"/>
        </w:rPr>
        <w:t>p</w:t>
      </w:r>
      <w:r w:rsidRPr="00DB68CC">
        <w:rPr>
          <w:rFonts w:ascii="Arial" w:hAnsi="Arial" w:cs="Arial"/>
          <w:sz w:val="22"/>
          <w:szCs w:val="22"/>
          <w:lang w:val="es-ES_tradnl"/>
        </w:rPr>
        <w:t xml:space="preserve">rograma. </w:t>
      </w:r>
      <w:r w:rsidR="00E2105E" w:rsidRPr="00DB68CC">
        <w:rPr>
          <w:rFonts w:ascii="Arial" w:hAnsi="Arial" w:cs="Arial"/>
          <w:sz w:val="22"/>
          <w:szCs w:val="22"/>
          <w:lang w:val="es-ES_tradnl"/>
        </w:rPr>
        <w:t xml:space="preserve">Los mismos se detallarán dentro de las notas a los estados financieros periódicos del </w:t>
      </w:r>
      <w:r w:rsidR="009E6B48" w:rsidRPr="00DB68CC">
        <w:rPr>
          <w:rFonts w:ascii="Arial" w:hAnsi="Arial" w:cs="Arial"/>
          <w:sz w:val="22"/>
          <w:szCs w:val="22"/>
          <w:lang w:val="es-ES_tradnl"/>
        </w:rPr>
        <w:t>OE</w:t>
      </w:r>
      <w:r w:rsidR="00E2105E" w:rsidRPr="00DB68CC">
        <w:rPr>
          <w:rFonts w:ascii="Arial" w:hAnsi="Arial" w:cs="Arial"/>
          <w:sz w:val="22"/>
          <w:szCs w:val="22"/>
          <w:lang w:val="es-ES_tradnl"/>
        </w:rPr>
        <w:t xml:space="preserve">. </w:t>
      </w:r>
      <w:r w:rsidRPr="00DB68CC">
        <w:rPr>
          <w:rFonts w:ascii="Arial" w:hAnsi="Arial" w:cs="Arial"/>
          <w:sz w:val="22"/>
          <w:szCs w:val="22"/>
          <w:lang w:val="es-ES_tradnl"/>
        </w:rPr>
        <w:t xml:space="preserve">Las visitas de supervisión fiduciaria en gestión financiera incluirán la verificación de los arreglos financieros y contables utilizados para la administración del proyecto y el seguimiento a la implementación de las recomendaciones que pueda emitir el auditor independiente del presente programa, entre otros. El auditor verificará que los recursos se </w:t>
      </w:r>
      <w:r w:rsidR="00B33C8F" w:rsidRPr="00DB68CC">
        <w:rPr>
          <w:rFonts w:ascii="Arial" w:hAnsi="Arial" w:cs="Arial"/>
          <w:sz w:val="22"/>
          <w:szCs w:val="22"/>
          <w:lang w:val="es-ES_tradnl"/>
        </w:rPr>
        <w:t>hayan dirigido a</w:t>
      </w:r>
      <w:r w:rsidRPr="00DB68CC">
        <w:rPr>
          <w:rFonts w:ascii="Arial" w:hAnsi="Arial" w:cs="Arial"/>
          <w:sz w:val="22"/>
          <w:szCs w:val="22"/>
          <w:lang w:val="es-ES_tradnl"/>
        </w:rPr>
        <w:t xml:space="preserve"> beneficiarios finales, según las condiciones estipuladas en este Reglamento</w:t>
      </w:r>
      <w:r w:rsidR="00B33C8F" w:rsidRPr="00DB68CC">
        <w:rPr>
          <w:rFonts w:ascii="Arial" w:hAnsi="Arial" w:cs="Arial"/>
          <w:sz w:val="22"/>
          <w:szCs w:val="22"/>
          <w:lang w:val="es-ES_tradnl"/>
        </w:rPr>
        <w:t>. Finalmente</w:t>
      </w:r>
      <w:r w:rsidRPr="00DB68CC">
        <w:rPr>
          <w:rFonts w:ascii="Arial" w:hAnsi="Arial" w:cs="Arial"/>
          <w:sz w:val="22"/>
          <w:szCs w:val="22"/>
          <w:lang w:val="es-ES_tradnl"/>
        </w:rPr>
        <w:t>,</w:t>
      </w:r>
      <w:r w:rsidR="00B33C8F" w:rsidRPr="00DB68CC">
        <w:rPr>
          <w:rFonts w:ascii="Arial" w:hAnsi="Arial" w:cs="Arial"/>
          <w:sz w:val="22"/>
          <w:szCs w:val="22"/>
          <w:lang w:val="es-ES_tradnl"/>
        </w:rPr>
        <w:t xml:space="preserve"> dentro de sus potestades está la de</w:t>
      </w:r>
      <w:r w:rsidRPr="00DB68CC">
        <w:rPr>
          <w:rFonts w:ascii="Arial" w:hAnsi="Arial" w:cs="Arial"/>
          <w:sz w:val="22"/>
          <w:szCs w:val="22"/>
          <w:lang w:val="es-ES_tradnl"/>
        </w:rPr>
        <w:t xml:space="preserve"> realizar visitas de inspección a los beneficiarios finales.</w:t>
      </w:r>
    </w:p>
    <w:p w14:paraId="4C24985D" w14:textId="77777777" w:rsidR="009027F5" w:rsidRPr="00DB68CC" w:rsidRDefault="009027F5" w:rsidP="009027F5">
      <w:pPr>
        <w:pStyle w:val="ListParagraph"/>
        <w:rPr>
          <w:rFonts w:ascii="Arial" w:hAnsi="Arial" w:cs="Arial"/>
          <w:b/>
          <w:bCs/>
          <w:sz w:val="22"/>
          <w:szCs w:val="22"/>
          <w:lang w:val="es-ES_tradnl"/>
        </w:rPr>
      </w:pPr>
    </w:p>
    <w:p w14:paraId="3A6AFA4F" w14:textId="6E6B6021" w:rsidR="00EA1FA0" w:rsidRPr="00DB68CC" w:rsidRDefault="00EA1FA0"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Control </w:t>
      </w:r>
      <w:r w:rsidR="00DB68CC" w:rsidRPr="00DB68CC">
        <w:rPr>
          <w:rFonts w:ascii="Arial" w:hAnsi="Arial" w:cs="Arial"/>
          <w:b/>
          <w:bCs/>
          <w:sz w:val="22"/>
          <w:szCs w:val="22"/>
          <w:lang w:val="es-ES_tradnl"/>
        </w:rPr>
        <w:t>i</w:t>
      </w:r>
      <w:r w:rsidRPr="00DB68CC">
        <w:rPr>
          <w:rFonts w:ascii="Arial" w:hAnsi="Arial" w:cs="Arial"/>
          <w:b/>
          <w:bCs/>
          <w:sz w:val="22"/>
          <w:szCs w:val="22"/>
          <w:lang w:val="es-ES_tradnl"/>
        </w:rPr>
        <w:t xml:space="preserve">nterno. </w:t>
      </w:r>
      <w:r w:rsidR="009E6B48" w:rsidRPr="00DB68CC">
        <w:rPr>
          <w:rFonts w:ascii="Arial" w:hAnsi="Arial" w:cs="Arial"/>
          <w:sz w:val="22"/>
          <w:szCs w:val="22"/>
          <w:lang w:val="es-ES_tradnl"/>
        </w:rPr>
        <w:t>El OE</w:t>
      </w:r>
      <w:r w:rsidRPr="00DB68CC">
        <w:rPr>
          <w:rFonts w:ascii="Arial" w:hAnsi="Arial" w:cs="Arial"/>
          <w:sz w:val="22"/>
          <w:szCs w:val="22"/>
          <w:lang w:val="es-ES_tradnl"/>
        </w:rPr>
        <w:t xml:space="preserve"> aplicará su normativa propia y la gestión de su Comité de Auditoría</w:t>
      </w:r>
      <w:r w:rsidR="00B85C19" w:rsidRPr="00DB68CC">
        <w:rPr>
          <w:rFonts w:ascii="Arial" w:hAnsi="Arial" w:cs="Arial"/>
          <w:sz w:val="22"/>
          <w:szCs w:val="22"/>
          <w:lang w:val="es-ES_tradnl"/>
        </w:rPr>
        <w:t xml:space="preserve"> Interna</w:t>
      </w:r>
      <w:r w:rsidRPr="00DB68CC">
        <w:rPr>
          <w:rFonts w:ascii="Arial" w:hAnsi="Arial" w:cs="Arial"/>
          <w:sz w:val="22"/>
          <w:szCs w:val="22"/>
          <w:lang w:val="es-ES_tradnl"/>
        </w:rPr>
        <w:t xml:space="preserve">, Comité de Crédito </w:t>
      </w:r>
      <w:r w:rsidR="00B85C19" w:rsidRPr="00DB68CC">
        <w:rPr>
          <w:rFonts w:ascii="Arial" w:hAnsi="Arial" w:cs="Arial"/>
          <w:sz w:val="22"/>
          <w:szCs w:val="22"/>
          <w:lang w:val="es-ES_tradnl"/>
        </w:rPr>
        <w:t xml:space="preserve">y el </w:t>
      </w:r>
      <w:r w:rsidRPr="00DB68CC">
        <w:rPr>
          <w:rFonts w:ascii="Arial" w:hAnsi="Arial" w:cs="Arial"/>
          <w:sz w:val="22"/>
          <w:szCs w:val="22"/>
          <w:lang w:val="es-ES_tradnl"/>
        </w:rPr>
        <w:t>Comité de Riesgo para llevar a cabo el control interno de la operación.</w:t>
      </w:r>
    </w:p>
    <w:p w14:paraId="0B508D5B" w14:textId="77777777" w:rsidR="009027F5" w:rsidRPr="00DB68CC" w:rsidRDefault="009027F5" w:rsidP="009027F5">
      <w:pPr>
        <w:pStyle w:val="ListParagraph"/>
        <w:rPr>
          <w:rFonts w:ascii="Arial" w:hAnsi="Arial" w:cs="Arial"/>
          <w:sz w:val="22"/>
          <w:szCs w:val="22"/>
          <w:lang w:val="es-ES_tradnl"/>
        </w:rPr>
      </w:pPr>
    </w:p>
    <w:p w14:paraId="038F4850" w14:textId="656FD85C" w:rsidR="0000066C" w:rsidRPr="00DB68CC" w:rsidRDefault="00D23BF6" w:rsidP="0099721A">
      <w:pPr>
        <w:pStyle w:val="ListParagraph"/>
        <w:numPr>
          <w:ilvl w:val="1"/>
          <w:numId w:val="9"/>
        </w:numPr>
        <w:jc w:val="both"/>
        <w:rPr>
          <w:rFonts w:ascii="Arial" w:hAnsi="Arial" w:cs="Arial"/>
          <w:b/>
          <w:bCs/>
          <w:sz w:val="22"/>
          <w:szCs w:val="22"/>
          <w:lang w:val="es-ES_tradnl"/>
        </w:rPr>
      </w:pPr>
      <w:r w:rsidRPr="00DB68CC">
        <w:rPr>
          <w:rFonts w:ascii="Arial" w:hAnsi="Arial" w:cs="Arial"/>
          <w:b/>
          <w:bCs/>
          <w:sz w:val="22"/>
          <w:szCs w:val="22"/>
          <w:lang w:val="es-ES_tradnl"/>
        </w:rPr>
        <w:t xml:space="preserve">Inspecciones: </w:t>
      </w:r>
      <w:r w:rsidR="0000066C" w:rsidRPr="00DB68CC">
        <w:rPr>
          <w:rFonts w:ascii="Arial" w:hAnsi="Arial" w:cs="Arial"/>
          <w:sz w:val="22"/>
          <w:szCs w:val="22"/>
          <w:lang w:val="es-ES_tradnl"/>
        </w:rPr>
        <w:t>De acuerdo con lo establecido en las Normas Generales y en Contrato de Préstamo, se permitirá que el BID inspeccione en cualquier momento el estado de ejecución del Programa y verifique el cumplimiento de los requerimientos establecidos para el uso de los recursos del préstamo. En este sentido: (i) El Auditor Interno de</w:t>
      </w:r>
      <w:r w:rsidR="009E6B48" w:rsidRPr="00DB68CC">
        <w:rPr>
          <w:rFonts w:ascii="Arial" w:hAnsi="Arial" w:cs="Arial"/>
          <w:sz w:val="22"/>
          <w:szCs w:val="22"/>
          <w:lang w:val="es-ES_tradnl"/>
        </w:rPr>
        <w:t>l</w:t>
      </w:r>
      <w:r w:rsidR="0000066C" w:rsidRPr="00DB68CC">
        <w:rPr>
          <w:rFonts w:ascii="Arial" w:hAnsi="Arial" w:cs="Arial"/>
          <w:sz w:val="22"/>
          <w:szCs w:val="22"/>
          <w:lang w:val="es-ES_tradnl"/>
        </w:rPr>
        <w:t xml:space="preserve"> </w:t>
      </w:r>
      <w:r w:rsidR="009E6B48" w:rsidRPr="00DB68CC">
        <w:rPr>
          <w:rFonts w:ascii="Arial" w:hAnsi="Arial" w:cs="Arial"/>
          <w:sz w:val="22"/>
          <w:szCs w:val="22"/>
          <w:lang w:val="es-ES_tradnl"/>
        </w:rPr>
        <w:t>OE</w:t>
      </w:r>
      <w:r w:rsidR="0000066C" w:rsidRPr="00DB68CC">
        <w:rPr>
          <w:rFonts w:ascii="Arial" w:hAnsi="Arial" w:cs="Arial"/>
          <w:sz w:val="22"/>
          <w:szCs w:val="22"/>
          <w:lang w:val="es-ES_tradnl"/>
        </w:rPr>
        <w:t xml:space="preserve"> o su delegado, podrá acceder a toda la información relevante que se requiera dentro del marco del Programa; (</w:t>
      </w:r>
      <w:proofErr w:type="spellStart"/>
      <w:r w:rsidR="0000066C" w:rsidRPr="00DB68CC">
        <w:rPr>
          <w:rFonts w:ascii="Arial" w:hAnsi="Arial" w:cs="Arial"/>
          <w:sz w:val="22"/>
          <w:szCs w:val="22"/>
          <w:lang w:val="es-ES_tradnl"/>
        </w:rPr>
        <w:t>ii</w:t>
      </w:r>
      <w:proofErr w:type="spellEnd"/>
      <w:r w:rsidR="0000066C" w:rsidRPr="00DB68CC">
        <w:rPr>
          <w:rFonts w:ascii="Arial" w:hAnsi="Arial" w:cs="Arial"/>
          <w:sz w:val="22"/>
          <w:szCs w:val="22"/>
          <w:lang w:val="es-ES_tradnl"/>
        </w:rPr>
        <w:t>) el BID podrá inspeccionar en cualquier momento el estado de ejecución del Programa, y revisar los registros y documentos relacionados a su ejecución; y (i</w:t>
      </w:r>
      <w:r w:rsidR="00B85C19" w:rsidRPr="00DB68CC">
        <w:rPr>
          <w:rFonts w:ascii="Arial" w:hAnsi="Arial" w:cs="Arial"/>
          <w:sz w:val="22"/>
          <w:szCs w:val="22"/>
          <w:lang w:val="es-ES_tradnl"/>
        </w:rPr>
        <w:t>ii</w:t>
      </w:r>
      <w:r w:rsidR="0000066C" w:rsidRPr="00DB68CC">
        <w:rPr>
          <w:rFonts w:ascii="Arial" w:hAnsi="Arial" w:cs="Arial"/>
          <w:sz w:val="22"/>
          <w:szCs w:val="22"/>
          <w:lang w:val="es-ES_tradnl"/>
        </w:rPr>
        <w:t xml:space="preserve">) </w:t>
      </w:r>
      <w:r w:rsidR="009E6B48" w:rsidRPr="00DB68CC">
        <w:rPr>
          <w:rFonts w:ascii="Arial" w:hAnsi="Arial" w:cs="Arial"/>
          <w:sz w:val="22"/>
          <w:szCs w:val="22"/>
          <w:lang w:val="es-ES_tradnl"/>
        </w:rPr>
        <w:t>el OE</w:t>
      </w:r>
      <w:r w:rsidR="0000066C" w:rsidRPr="00DB68CC">
        <w:rPr>
          <w:rFonts w:ascii="Arial" w:hAnsi="Arial" w:cs="Arial"/>
          <w:sz w:val="22"/>
          <w:szCs w:val="22"/>
          <w:lang w:val="es-ES_tradnl"/>
        </w:rPr>
        <w:t xml:space="preserve"> deberá prestar su plena cooperación a esta actividad.</w:t>
      </w:r>
      <w:r w:rsidR="0000066C" w:rsidRPr="00DB68CC">
        <w:rPr>
          <w:rFonts w:ascii="Arial" w:hAnsi="Arial" w:cs="Arial"/>
          <w:b/>
          <w:bCs/>
          <w:sz w:val="22"/>
          <w:szCs w:val="22"/>
          <w:lang w:val="es-ES_tradnl"/>
        </w:rPr>
        <w:t xml:space="preserve"> </w:t>
      </w:r>
    </w:p>
    <w:p w14:paraId="47D70428" w14:textId="77777777" w:rsidR="00513D50" w:rsidRPr="00DB68CC" w:rsidRDefault="00513D50" w:rsidP="00513D50">
      <w:pPr>
        <w:pStyle w:val="ListParagraph"/>
        <w:rPr>
          <w:rFonts w:ascii="Arial" w:hAnsi="Arial" w:cs="Arial"/>
          <w:b/>
          <w:bCs/>
          <w:sz w:val="22"/>
          <w:szCs w:val="22"/>
          <w:lang w:val="es-ES_tradnl"/>
        </w:rPr>
      </w:pPr>
    </w:p>
    <w:p w14:paraId="79D2B06F" w14:textId="53DC309F" w:rsidR="00EA1FA0" w:rsidRPr="00DB68CC" w:rsidRDefault="006E03E9" w:rsidP="0099721A">
      <w:pPr>
        <w:pStyle w:val="ListParagraph"/>
        <w:numPr>
          <w:ilvl w:val="1"/>
          <w:numId w:val="9"/>
        </w:numPr>
        <w:jc w:val="both"/>
        <w:rPr>
          <w:rFonts w:ascii="Arial" w:hAnsi="Arial" w:cs="Arial"/>
          <w:sz w:val="22"/>
          <w:szCs w:val="22"/>
          <w:lang w:val="es-ES_tradnl"/>
        </w:rPr>
      </w:pPr>
      <w:r w:rsidRPr="00DB68CC">
        <w:rPr>
          <w:rFonts w:ascii="Arial" w:hAnsi="Arial" w:cs="Arial"/>
          <w:b/>
          <w:bCs/>
          <w:sz w:val="22"/>
          <w:szCs w:val="22"/>
          <w:lang w:val="es-ES_tradnl"/>
        </w:rPr>
        <w:t xml:space="preserve">Control externo e informes. </w:t>
      </w:r>
      <w:r w:rsidRPr="00DB68CC">
        <w:rPr>
          <w:rFonts w:ascii="Arial" w:hAnsi="Arial" w:cs="Arial"/>
          <w:sz w:val="22"/>
          <w:szCs w:val="22"/>
          <w:lang w:val="es-ES_tradnl"/>
        </w:rPr>
        <w:t xml:space="preserve">El control externo del programa se encargará a una firma de auditores independientes aceptable al BID. La contratación quedará a cargo del </w:t>
      </w:r>
      <w:r w:rsidR="009E6B48" w:rsidRPr="00DB68CC">
        <w:rPr>
          <w:rFonts w:ascii="Arial" w:hAnsi="Arial" w:cs="Arial"/>
          <w:sz w:val="22"/>
          <w:szCs w:val="22"/>
          <w:lang w:val="es-ES_tradnl"/>
        </w:rPr>
        <w:t>OE</w:t>
      </w:r>
      <w:r w:rsidRPr="00DB68CC">
        <w:rPr>
          <w:rFonts w:ascii="Arial" w:hAnsi="Arial" w:cs="Arial"/>
          <w:sz w:val="22"/>
          <w:szCs w:val="22"/>
          <w:lang w:val="es-ES_tradnl"/>
        </w:rPr>
        <w:t xml:space="preserve"> y la firma podrá ser la misma que audita los Estados Financieros de la entidad, siempre y cuando esté en la lista de firmas elegibles para el BID. En caso de realizarse un proceso competitivo deberán seguirse los lineamientos establecidos en el Instructivo de Informes Financieros y Gestión de Auditoría Externa de las Operaciones Financiadas por el BID. Los términos de referencia deberán ser acordados previamente con el BID, y el proceso de contratación será revisado de manera ex ante. Los estados financieros anuales se prepararán de conformidad con la Guía de Informes Financieros y Auditoría del BID. Para garantizar la efectividad de la labor de auditoría, la firma responsable deberá estar contratada a más tardar en el mes de septiembre del ejercicio fiscal en ejecución y sujeto a ser auditado</w:t>
      </w:r>
      <w:r w:rsidR="00EA1FA0" w:rsidRPr="00DB68CC">
        <w:rPr>
          <w:rFonts w:ascii="Arial" w:hAnsi="Arial" w:cs="Arial"/>
          <w:sz w:val="22"/>
          <w:szCs w:val="22"/>
          <w:lang w:val="es-ES_tradnl"/>
        </w:rPr>
        <w:t>.</w:t>
      </w:r>
    </w:p>
    <w:p w14:paraId="414219A1" w14:textId="77777777" w:rsidR="009027F5" w:rsidRPr="00DB68CC" w:rsidRDefault="009027F5" w:rsidP="009027F5">
      <w:pPr>
        <w:pStyle w:val="ListParagraph"/>
        <w:ind w:left="792"/>
        <w:jc w:val="both"/>
        <w:rPr>
          <w:rFonts w:ascii="Arial" w:hAnsi="Arial" w:cs="Arial"/>
          <w:sz w:val="22"/>
          <w:szCs w:val="22"/>
          <w:lang w:val="es-ES_tradnl"/>
        </w:rPr>
      </w:pPr>
    </w:p>
    <w:p w14:paraId="2B4D69AF" w14:textId="77777777" w:rsidR="009027F5" w:rsidRPr="00DB68CC" w:rsidRDefault="00C13C56" w:rsidP="00DB68CC">
      <w:pPr>
        <w:pStyle w:val="ListParagraph"/>
        <w:numPr>
          <w:ilvl w:val="1"/>
          <w:numId w:val="9"/>
        </w:numPr>
        <w:ind w:hanging="637"/>
        <w:jc w:val="both"/>
        <w:rPr>
          <w:rFonts w:ascii="Arial" w:hAnsi="Arial" w:cs="Arial"/>
          <w:sz w:val="22"/>
          <w:szCs w:val="22"/>
          <w:lang w:val="es-ES_tradnl"/>
        </w:rPr>
      </w:pPr>
      <w:r w:rsidRPr="00DB68CC">
        <w:rPr>
          <w:rFonts w:ascii="Arial" w:hAnsi="Arial" w:cs="Arial"/>
          <w:b/>
          <w:bCs/>
          <w:sz w:val="22"/>
          <w:szCs w:val="22"/>
          <w:lang w:val="es-ES_tradnl"/>
        </w:rPr>
        <w:t xml:space="preserve">Mantenimiento de razones regulatorias. </w:t>
      </w:r>
      <w:r w:rsidRPr="00DB68CC">
        <w:rPr>
          <w:rFonts w:ascii="Arial" w:hAnsi="Arial" w:cs="Arial"/>
          <w:sz w:val="22"/>
          <w:szCs w:val="22"/>
          <w:lang w:val="es-ES_tradnl"/>
        </w:rPr>
        <w:t xml:space="preserve">El </w:t>
      </w:r>
      <w:r w:rsidR="009E6B48" w:rsidRPr="00DB68CC">
        <w:rPr>
          <w:rFonts w:ascii="Arial" w:hAnsi="Arial" w:cs="Arial"/>
          <w:sz w:val="22"/>
          <w:szCs w:val="22"/>
          <w:lang w:val="es-ES_tradnl"/>
        </w:rPr>
        <w:t xml:space="preserve">OE </w:t>
      </w:r>
      <w:r w:rsidRPr="00DB68CC">
        <w:rPr>
          <w:rFonts w:ascii="Arial" w:hAnsi="Arial" w:cs="Arial"/>
          <w:sz w:val="22"/>
          <w:szCs w:val="22"/>
          <w:lang w:val="es-ES_tradnl"/>
        </w:rPr>
        <w:t xml:space="preserve">se compromete a mantener las razones de solvencia y liquidez </w:t>
      </w:r>
      <w:r w:rsidR="0004115B" w:rsidRPr="00DB68CC">
        <w:rPr>
          <w:rFonts w:ascii="Arial" w:hAnsi="Arial" w:cs="Arial"/>
          <w:sz w:val="22"/>
          <w:szCs w:val="22"/>
          <w:lang w:val="es-ES_tradnl"/>
        </w:rPr>
        <w:t>por encima de los mínimos regulatorios establecidos</w:t>
      </w:r>
      <w:r w:rsidR="00BA5DF9" w:rsidRPr="00DB68CC">
        <w:rPr>
          <w:rFonts w:ascii="Arial" w:hAnsi="Arial" w:cs="Arial"/>
          <w:sz w:val="22"/>
          <w:szCs w:val="22"/>
          <w:lang w:val="es-ES_tradnl"/>
        </w:rPr>
        <w:t xml:space="preserve"> en todo momento</w:t>
      </w:r>
      <w:r w:rsidR="0004115B" w:rsidRPr="00DB68CC">
        <w:rPr>
          <w:rFonts w:ascii="Arial" w:hAnsi="Arial" w:cs="Arial"/>
          <w:sz w:val="22"/>
          <w:szCs w:val="22"/>
          <w:lang w:val="es-ES_tradnl"/>
        </w:rPr>
        <w:t xml:space="preserve">. Para tal fin, deberá remitir, junto con los Estados Financieros, un apartado en donde se muestre </w:t>
      </w:r>
      <w:r w:rsidR="00BA5DF9" w:rsidRPr="00DB68CC">
        <w:rPr>
          <w:rFonts w:ascii="Arial" w:hAnsi="Arial" w:cs="Arial"/>
          <w:sz w:val="22"/>
          <w:szCs w:val="22"/>
          <w:lang w:val="es-ES_tradnl"/>
        </w:rPr>
        <w:t>la evolución mensual de los mismos.</w:t>
      </w:r>
    </w:p>
    <w:p w14:paraId="2B61CAC7" w14:textId="6EA0D662" w:rsidR="00C13C56" w:rsidRPr="00DB68CC" w:rsidRDefault="00BA5DF9" w:rsidP="009027F5">
      <w:pPr>
        <w:pStyle w:val="ListParagraph"/>
        <w:ind w:left="792"/>
        <w:jc w:val="both"/>
        <w:rPr>
          <w:rFonts w:ascii="Arial" w:hAnsi="Arial" w:cs="Arial"/>
          <w:sz w:val="22"/>
          <w:szCs w:val="22"/>
          <w:lang w:val="es-ES_tradnl"/>
        </w:rPr>
      </w:pPr>
      <w:r w:rsidRPr="00DB68CC">
        <w:rPr>
          <w:rFonts w:ascii="Arial" w:hAnsi="Arial" w:cs="Arial"/>
          <w:sz w:val="22"/>
          <w:szCs w:val="22"/>
          <w:lang w:val="es-ES_tradnl"/>
        </w:rPr>
        <w:t xml:space="preserve"> </w:t>
      </w:r>
    </w:p>
    <w:p w14:paraId="75CDAA50" w14:textId="0A9A469D" w:rsidR="0000066C" w:rsidRPr="00DB68CC" w:rsidRDefault="00EA1FA0" w:rsidP="00DB68CC">
      <w:pPr>
        <w:pStyle w:val="ListParagraph"/>
        <w:numPr>
          <w:ilvl w:val="1"/>
          <w:numId w:val="9"/>
        </w:numPr>
        <w:ind w:hanging="637"/>
        <w:jc w:val="both"/>
        <w:rPr>
          <w:rFonts w:ascii="Arial" w:hAnsi="Arial" w:cs="Arial"/>
          <w:sz w:val="22"/>
          <w:szCs w:val="22"/>
          <w:lang w:val="es-ES_tradnl"/>
        </w:rPr>
      </w:pPr>
      <w:r w:rsidRPr="00DB68CC">
        <w:rPr>
          <w:rFonts w:ascii="Arial" w:hAnsi="Arial" w:cs="Arial"/>
          <w:b/>
          <w:bCs/>
          <w:sz w:val="22"/>
          <w:szCs w:val="22"/>
          <w:lang w:val="es-ES_tradnl"/>
        </w:rPr>
        <w:t xml:space="preserve">Informe Auditoría Externa. </w:t>
      </w:r>
      <w:r w:rsidRPr="00DB68CC">
        <w:rPr>
          <w:rFonts w:ascii="Arial" w:hAnsi="Arial" w:cs="Arial"/>
          <w:sz w:val="22"/>
          <w:szCs w:val="22"/>
          <w:lang w:val="es-ES_tradnl"/>
        </w:rPr>
        <w:t xml:space="preserve">El auditor externo presentará un informe sobre la elegibilidad de los </w:t>
      </w:r>
      <w:r w:rsidR="00E2105E" w:rsidRPr="00DB68CC">
        <w:rPr>
          <w:rFonts w:ascii="Arial" w:hAnsi="Arial" w:cs="Arial"/>
          <w:sz w:val="22"/>
          <w:szCs w:val="22"/>
          <w:lang w:val="es-ES_tradnl"/>
        </w:rPr>
        <w:t xml:space="preserve">desembolsos </w:t>
      </w:r>
      <w:r w:rsidRPr="00DB68CC">
        <w:rPr>
          <w:rFonts w:ascii="Arial" w:hAnsi="Arial" w:cs="Arial"/>
          <w:sz w:val="22"/>
          <w:szCs w:val="22"/>
          <w:lang w:val="es-ES_tradnl"/>
        </w:rPr>
        <w:t xml:space="preserve">del </w:t>
      </w:r>
      <w:r w:rsidR="00E2105E" w:rsidRPr="00DB68CC">
        <w:rPr>
          <w:rFonts w:ascii="Arial" w:hAnsi="Arial" w:cs="Arial"/>
          <w:sz w:val="22"/>
          <w:szCs w:val="22"/>
          <w:lang w:val="es-ES_tradnl"/>
        </w:rPr>
        <w:t>p</w:t>
      </w:r>
      <w:r w:rsidRPr="00DB68CC">
        <w:rPr>
          <w:rFonts w:ascii="Arial" w:hAnsi="Arial" w:cs="Arial"/>
          <w:sz w:val="22"/>
          <w:szCs w:val="22"/>
          <w:lang w:val="es-ES_tradnl"/>
        </w:rPr>
        <w:t xml:space="preserve">rograma, verificará que los recursos se canalicen a los beneficiarios finales, según las condiciones estipuladas en este Reglamento </w:t>
      </w:r>
      <w:r w:rsidR="00B85C19" w:rsidRPr="00DB68CC">
        <w:rPr>
          <w:rFonts w:ascii="Arial" w:hAnsi="Arial" w:cs="Arial"/>
          <w:sz w:val="22"/>
          <w:szCs w:val="22"/>
          <w:lang w:val="es-ES_tradnl"/>
        </w:rPr>
        <w:t>Operativo. A</w:t>
      </w:r>
      <w:r w:rsidRPr="00DB68CC">
        <w:rPr>
          <w:rFonts w:ascii="Arial" w:hAnsi="Arial" w:cs="Arial"/>
          <w:sz w:val="22"/>
          <w:szCs w:val="22"/>
          <w:lang w:val="es-ES_tradnl"/>
        </w:rPr>
        <w:t xml:space="preserve">demás, realizará visitas de inspección a los </w:t>
      </w:r>
      <w:r w:rsidRPr="00DB68CC">
        <w:rPr>
          <w:rFonts w:ascii="Arial" w:hAnsi="Arial" w:cs="Arial"/>
          <w:sz w:val="22"/>
          <w:szCs w:val="22"/>
          <w:lang w:val="es-ES_tradnl"/>
        </w:rPr>
        <w:lastRenderedPageBreak/>
        <w:t>beneficiarios finales. Los estados financieros auditados del proyecto serán enviados al BID a más tardar cuatro (4) meses después de finalizado el ejercicio fiscal correspondiente.</w:t>
      </w:r>
      <w:r w:rsidR="0065028A" w:rsidRPr="00DB68CC">
        <w:rPr>
          <w:rFonts w:ascii="Arial" w:hAnsi="Arial" w:cs="Arial"/>
          <w:sz w:val="22"/>
          <w:szCs w:val="22"/>
          <w:lang w:val="es-ES_tradnl"/>
        </w:rPr>
        <w:t xml:space="preserve"> </w:t>
      </w:r>
      <w:r w:rsidR="0000066C" w:rsidRPr="00DB68CC">
        <w:rPr>
          <w:rFonts w:ascii="Arial" w:hAnsi="Arial" w:cs="Arial"/>
          <w:sz w:val="22"/>
          <w:szCs w:val="22"/>
          <w:lang w:val="es-ES_tradnl"/>
        </w:rPr>
        <w:t xml:space="preserve"> </w:t>
      </w:r>
      <w:r w:rsidR="009E6B48" w:rsidRPr="00DB68CC">
        <w:rPr>
          <w:rFonts w:ascii="Arial" w:hAnsi="Arial" w:cs="Arial"/>
          <w:sz w:val="22"/>
          <w:szCs w:val="22"/>
          <w:lang w:val="es-ES_tradnl"/>
        </w:rPr>
        <w:t>El OE</w:t>
      </w:r>
      <w:r w:rsidR="0000066C" w:rsidRPr="00DB68CC">
        <w:rPr>
          <w:rFonts w:ascii="Arial" w:hAnsi="Arial" w:cs="Arial"/>
          <w:sz w:val="22"/>
          <w:szCs w:val="22"/>
          <w:lang w:val="es-ES_tradnl"/>
        </w:rPr>
        <w:t xml:space="preserve"> deberá asegurarse que los fondos correspondientes a los servicios de auditoría están disponibles y han sido retenidos y guardados hasta la fecha de cierre del proyecto.</w:t>
      </w:r>
    </w:p>
    <w:p w14:paraId="1DEB49D5" w14:textId="280340A5" w:rsidR="00D23BF6" w:rsidRPr="00DB68CC" w:rsidRDefault="00111DC4" w:rsidP="0099721A">
      <w:pPr>
        <w:pStyle w:val="Heading1"/>
        <w:numPr>
          <w:ilvl w:val="0"/>
          <w:numId w:val="9"/>
        </w:numPr>
        <w:rPr>
          <w:rFonts w:cs="Arial"/>
          <w:sz w:val="22"/>
          <w:szCs w:val="22"/>
          <w:lang w:val="es-ES_tradnl"/>
        </w:rPr>
      </w:pPr>
      <w:bookmarkStart w:id="102" w:name="_Toc37603072"/>
      <w:r w:rsidRPr="00DB68CC">
        <w:rPr>
          <w:rFonts w:cs="Arial"/>
          <w:sz w:val="22"/>
          <w:szCs w:val="22"/>
          <w:lang w:val="es-ES_tradnl"/>
        </w:rPr>
        <w:t>Modificación de Disposiciones Legales y de Este reglamento Operativo</w:t>
      </w:r>
      <w:bookmarkEnd w:id="102"/>
      <w:r w:rsidRPr="00DB68CC">
        <w:rPr>
          <w:rFonts w:cs="Arial"/>
          <w:sz w:val="22"/>
          <w:szCs w:val="22"/>
          <w:lang w:val="es-ES_tradnl"/>
        </w:rPr>
        <w:t xml:space="preserve"> </w:t>
      </w:r>
      <w:bookmarkStart w:id="103" w:name="cap9_2"/>
      <w:bookmarkStart w:id="104" w:name="ESSectionPages"/>
      <w:bookmarkEnd w:id="103"/>
      <w:bookmarkEnd w:id="104"/>
    </w:p>
    <w:p w14:paraId="56AF12E5" w14:textId="77777777" w:rsidR="009027F5" w:rsidRPr="00DB68CC" w:rsidRDefault="009027F5" w:rsidP="009027F5">
      <w:pPr>
        <w:jc w:val="both"/>
        <w:rPr>
          <w:rFonts w:ascii="Arial" w:hAnsi="Arial" w:cs="Arial"/>
          <w:sz w:val="22"/>
          <w:szCs w:val="22"/>
          <w:lang w:val="es-ES_tradnl"/>
        </w:rPr>
      </w:pPr>
    </w:p>
    <w:p w14:paraId="3835D1DE" w14:textId="186C987B" w:rsidR="00854B94" w:rsidRPr="00DB68CC" w:rsidRDefault="009E6B48" w:rsidP="00DB68CC">
      <w:pPr>
        <w:pStyle w:val="ListParagraph"/>
        <w:numPr>
          <w:ilvl w:val="1"/>
          <w:numId w:val="9"/>
        </w:numPr>
        <w:ind w:hanging="637"/>
        <w:jc w:val="both"/>
        <w:rPr>
          <w:rFonts w:ascii="Arial" w:hAnsi="Arial" w:cs="Arial"/>
          <w:sz w:val="22"/>
          <w:szCs w:val="22"/>
          <w:lang w:val="es-ES_tradnl"/>
        </w:rPr>
      </w:pPr>
      <w:r w:rsidRPr="00DB68CC">
        <w:rPr>
          <w:rFonts w:ascii="Arial" w:hAnsi="Arial" w:cs="Arial"/>
          <w:sz w:val="22"/>
          <w:szCs w:val="22"/>
          <w:lang w:val="es-ES_tradnl"/>
        </w:rPr>
        <w:t>EL OE</w:t>
      </w:r>
      <w:r w:rsidR="00111DC4" w:rsidRPr="00DB68CC">
        <w:rPr>
          <w:rFonts w:ascii="Arial" w:hAnsi="Arial" w:cs="Arial"/>
          <w:sz w:val="22"/>
          <w:szCs w:val="22"/>
          <w:lang w:val="es-ES_tradnl"/>
        </w:rPr>
        <w:t xml:space="preserve"> puede sugerir a la modificación del presente ROP que la adapte a las nuevas circunstancias o condiciones que puedan estar presentes en el curso de su aplicación. Cualquier cambio material en el </w:t>
      </w:r>
      <w:r w:rsidR="00DB68CC" w:rsidRPr="00DB68CC">
        <w:rPr>
          <w:rFonts w:ascii="Arial" w:hAnsi="Arial" w:cs="Arial"/>
          <w:sz w:val="22"/>
          <w:szCs w:val="22"/>
          <w:lang w:val="es-ES_tradnl"/>
        </w:rPr>
        <w:t>RC</w:t>
      </w:r>
      <w:r w:rsidR="00111DC4" w:rsidRPr="00DB68CC">
        <w:rPr>
          <w:rFonts w:ascii="Arial" w:hAnsi="Arial" w:cs="Arial"/>
          <w:sz w:val="22"/>
          <w:szCs w:val="22"/>
          <w:lang w:val="es-ES_tradnl"/>
        </w:rPr>
        <w:t xml:space="preserve"> que se aplique al </w:t>
      </w:r>
      <w:r w:rsidR="00DB68CC" w:rsidRPr="00DB68CC">
        <w:rPr>
          <w:rFonts w:ascii="Arial" w:hAnsi="Arial" w:cs="Arial"/>
          <w:sz w:val="22"/>
          <w:szCs w:val="22"/>
          <w:lang w:val="es-ES_tradnl"/>
        </w:rPr>
        <w:t>p</w:t>
      </w:r>
      <w:r w:rsidR="00111DC4" w:rsidRPr="00DB68CC">
        <w:rPr>
          <w:rFonts w:ascii="Arial" w:hAnsi="Arial" w:cs="Arial"/>
          <w:sz w:val="22"/>
          <w:szCs w:val="22"/>
          <w:lang w:val="es-ES_tradnl"/>
        </w:rPr>
        <w:t xml:space="preserve">rograma deberá contar con el consentimiento por escrito del BID. Si alguna disposición de este </w:t>
      </w:r>
      <w:r w:rsidR="00DB68CC" w:rsidRPr="00DB68CC">
        <w:rPr>
          <w:rFonts w:ascii="Arial" w:hAnsi="Arial" w:cs="Arial"/>
          <w:sz w:val="22"/>
          <w:szCs w:val="22"/>
          <w:lang w:val="es-ES_tradnl"/>
        </w:rPr>
        <w:t>RC</w:t>
      </w:r>
      <w:r w:rsidR="00111DC4" w:rsidRPr="00DB68CC">
        <w:rPr>
          <w:rFonts w:ascii="Arial" w:hAnsi="Arial" w:cs="Arial"/>
          <w:sz w:val="22"/>
          <w:szCs w:val="22"/>
          <w:lang w:val="es-ES_tradnl"/>
        </w:rPr>
        <w:t xml:space="preserve"> no mantiene consonancia o está en contradicción con las provisiones del contrato de préstamo con el BID, las provisiones del contrato de préstamo del BID prevalecerán.</w:t>
      </w:r>
    </w:p>
    <w:p w14:paraId="0FCED928" w14:textId="77777777" w:rsidR="00854B94" w:rsidRPr="00DB68CC" w:rsidRDefault="00854B94">
      <w:pPr>
        <w:rPr>
          <w:rFonts w:ascii="Arial" w:hAnsi="Arial" w:cs="Arial"/>
          <w:sz w:val="22"/>
          <w:szCs w:val="22"/>
          <w:lang w:val="es-ES_tradnl"/>
        </w:rPr>
      </w:pPr>
      <w:r w:rsidRPr="00DB68CC">
        <w:rPr>
          <w:rFonts w:ascii="Arial" w:hAnsi="Arial" w:cs="Arial"/>
          <w:sz w:val="22"/>
          <w:szCs w:val="22"/>
          <w:lang w:val="es-ES_tradnl"/>
        </w:rPr>
        <w:br w:type="page"/>
      </w:r>
    </w:p>
    <w:p w14:paraId="15F4C4AA" w14:textId="77777777" w:rsidR="00513D50" w:rsidRPr="00DB68CC" w:rsidRDefault="00513D50" w:rsidP="00513D50">
      <w:pPr>
        <w:pStyle w:val="Heading1"/>
        <w:numPr>
          <w:ilvl w:val="0"/>
          <w:numId w:val="0"/>
        </w:numPr>
        <w:ind w:left="360"/>
        <w:rPr>
          <w:rFonts w:cs="Arial"/>
          <w:sz w:val="22"/>
          <w:szCs w:val="22"/>
          <w:lang w:val="es-ES_tradnl"/>
        </w:rPr>
      </w:pPr>
    </w:p>
    <w:p w14:paraId="538669CF" w14:textId="77777777" w:rsidR="00513D50" w:rsidRPr="00DB68CC" w:rsidRDefault="00513D50" w:rsidP="00513D50">
      <w:pPr>
        <w:pStyle w:val="Heading1"/>
        <w:numPr>
          <w:ilvl w:val="0"/>
          <w:numId w:val="0"/>
        </w:numPr>
        <w:ind w:left="360"/>
        <w:rPr>
          <w:rFonts w:cs="Arial"/>
          <w:sz w:val="22"/>
          <w:szCs w:val="22"/>
          <w:lang w:val="es-ES_tradnl"/>
        </w:rPr>
      </w:pPr>
    </w:p>
    <w:p w14:paraId="254AF81E" w14:textId="77777777" w:rsidR="00513D50" w:rsidRPr="00DB68CC" w:rsidRDefault="00513D50" w:rsidP="00513D50">
      <w:pPr>
        <w:pStyle w:val="Heading1"/>
        <w:numPr>
          <w:ilvl w:val="0"/>
          <w:numId w:val="0"/>
        </w:numPr>
        <w:ind w:left="360"/>
        <w:rPr>
          <w:rFonts w:cs="Arial"/>
          <w:sz w:val="22"/>
          <w:szCs w:val="22"/>
          <w:lang w:val="es-ES_tradnl"/>
        </w:rPr>
      </w:pPr>
    </w:p>
    <w:p w14:paraId="26E9147B" w14:textId="56C37080" w:rsidR="00513D50" w:rsidRPr="00DB68CC" w:rsidRDefault="00513D50" w:rsidP="00513D50">
      <w:pPr>
        <w:pStyle w:val="Heading1"/>
        <w:numPr>
          <w:ilvl w:val="0"/>
          <w:numId w:val="0"/>
        </w:numPr>
        <w:ind w:left="360"/>
        <w:rPr>
          <w:rFonts w:cs="Arial"/>
          <w:sz w:val="22"/>
          <w:szCs w:val="22"/>
          <w:lang w:val="es-ES_tradnl"/>
        </w:rPr>
      </w:pPr>
    </w:p>
    <w:p w14:paraId="22BFB2B9" w14:textId="2F381CFA" w:rsidR="00513D50" w:rsidRPr="00DB68CC" w:rsidRDefault="00513D50" w:rsidP="00513D50">
      <w:pPr>
        <w:rPr>
          <w:sz w:val="22"/>
          <w:szCs w:val="22"/>
          <w:lang w:val="es-ES_tradnl" w:eastAsia="en-US"/>
        </w:rPr>
      </w:pPr>
    </w:p>
    <w:p w14:paraId="16BC7E63" w14:textId="58494E17" w:rsidR="00513D50" w:rsidRPr="00DB68CC" w:rsidRDefault="00513D50" w:rsidP="00513D50">
      <w:pPr>
        <w:rPr>
          <w:sz w:val="22"/>
          <w:szCs w:val="22"/>
          <w:lang w:val="es-ES_tradnl" w:eastAsia="en-US"/>
        </w:rPr>
      </w:pPr>
    </w:p>
    <w:p w14:paraId="0F45B60E" w14:textId="0065E792" w:rsidR="00513D50" w:rsidRPr="00DB68CC" w:rsidRDefault="00513D50" w:rsidP="00513D50">
      <w:pPr>
        <w:rPr>
          <w:sz w:val="22"/>
          <w:szCs w:val="22"/>
          <w:lang w:val="es-ES_tradnl" w:eastAsia="en-US"/>
        </w:rPr>
      </w:pPr>
    </w:p>
    <w:p w14:paraId="60716D28" w14:textId="7A757C4F" w:rsidR="00513D50" w:rsidRPr="00DB68CC" w:rsidRDefault="00513D50" w:rsidP="00513D50">
      <w:pPr>
        <w:rPr>
          <w:sz w:val="22"/>
          <w:szCs w:val="22"/>
          <w:lang w:val="es-ES_tradnl" w:eastAsia="en-US"/>
        </w:rPr>
      </w:pPr>
    </w:p>
    <w:p w14:paraId="082ED6B1" w14:textId="07EEFEAC" w:rsidR="00513D50" w:rsidRPr="00DB68CC" w:rsidRDefault="00513D50" w:rsidP="00513D50">
      <w:pPr>
        <w:rPr>
          <w:sz w:val="22"/>
          <w:szCs w:val="22"/>
          <w:lang w:val="es-ES_tradnl" w:eastAsia="en-US"/>
        </w:rPr>
      </w:pPr>
    </w:p>
    <w:p w14:paraId="76ACD310" w14:textId="5F2A110F" w:rsidR="00513D50" w:rsidRPr="00DB68CC" w:rsidRDefault="00513D50" w:rsidP="00513D50">
      <w:pPr>
        <w:rPr>
          <w:sz w:val="22"/>
          <w:szCs w:val="22"/>
          <w:lang w:val="es-ES_tradnl" w:eastAsia="en-US"/>
        </w:rPr>
      </w:pPr>
    </w:p>
    <w:p w14:paraId="6BDD5D37" w14:textId="264DEEFC" w:rsidR="00513D50" w:rsidRPr="00DB68CC" w:rsidRDefault="00513D50" w:rsidP="00513D50">
      <w:pPr>
        <w:rPr>
          <w:sz w:val="22"/>
          <w:szCs w:val="22"/>
          <w:lang w:val="es-ES_tradnl" w:eastAsia="en-US"/>
        </w:rPr>
      </w:pPr>
    </w:p>
    <w:p w14:paraId="16D5F185" w14:textId="289F4918" w:rsidR="00513D50" w:rsidRPr="00DB68CC" w:rsidRDefault="00513D50" w:rsidP="00513D50">
      <w:pPr>
        <w:rPr>
          <w:sz w:val="22"/>
          <w:szCs w:val="22"/>
          <w:lang w:val="es-ES_tradnl" w:eastAsia="en-US"/>
        </w:rPr>
      </w:pPr>
    </w:p>
    <w:p w14:paraId="01C3E607" w14:textId="535C58E2" w:rsidR="00513D50" w:rsidRPr="00DB68CC" w:rsidRDefault="00513D50" w:rsidP="00513D50">
      <w:pPr>
        <w:rPr>
          <w:sz w:val="22"/>
          <w:szCs w:val="22"/>
          <w:lang w:val="es-ES_tradnl" w:eastAsia="en-US"/>
        </w:rPr>
      </w:pPr>
    </w:p>
    <w:p w14:paraId="18CAB4BE" w14:textId="77777777" w:rsidR="00513D50" w:rsidRPr="00DB68CC" w:rsidRDefault="00513D50" w:rsidP="00513D50">
      <w:pPr>
        <w:rPr>
          <w:sz w:val="22"/>
          <w:szCs w:val="22"/>
          <w:lang w:val="es-ES_tradnl" w:eastAsia="en-US"/>
        </w:rPr>
      </w:pPr>
    </w:p>
    <w:p w14:paraId="03C1062C" w14:textId="481D4B93" w:rsidR="00F931EB" w:rsidRPr="00DB68CC" w:rsidRDefault="00854B94" w:rsidP="0099721A">
      <w:pPr>
        <w:pStyle w:val="Heading1"/>
        <w:numPr>
          <w:ilvl w:val="0"/>
          <w:numId w:val="9"/>
        </w:numPr>
        <w:rPr>
          <w:rFonts w:cs="Arial"/>
          <w:sz w:val="22"/>
          <w:szCs w:val="22"/>
          <w:lang w:val="es-ES_tradnl"/>
        </w:rPr>
        <w:sectPr w:rsidR="00F931EB" w:rsidRPr="00DB68CC" w:rsidSect="004655C3">
          <w:headerReference w:type="default" r:id="rId18"/>
          <w:headerReference w:type="first" r:id="rId19"/>
          <w:footerReference w:type="first" r:id="rId20"/>
          <w:pgSz w:w="11906" w:h="16838" w:code="9"/>
          <w:pgMar w:top="1440" w:right="1800" w:bottom="1134" w:left="1800" w:header="720" w:footer="720" w:gutter="0"/>
          <w:cols w:space="720"/>
          <w:titlePg/>
          <w:docGrid w:linePitch="272"/>
        </w:sectPr>
      </w:pPr>
      <w:bookmarkStart w:id="105" w:name="_Toc37603073"/>
      <w:r w:rsidRPr="00DB68CC">
        <w:rPr>
          <w:rFonts w:cs="Arial"/>
          <w:sz w:val="22"/>
          <w:szCs w:val="22"/>
          <w:lang w:val="es-ES_tradnl"/>
        </w:rPr>
        <w:t>ANEXOS</w:t>
      </w:r>
      <w:bookmarkEnd w:id="105"/>
    </w:p>
    <w:p w14:paraId="3A58FF29" w14:textId="20974158" w:rsidR="008070F0" w:rsidRPr="00DB68CC" w:rsidRDefault="0000066C" w:rsidP="00854B94">
      <w:pPr>
        <w:pStyle w:val="Heading2"/>
        <w:numPr>
          <w:ilvl w:val="0"/>
          <w:numId w:val="0"/>
        </w:numPr>
        <w:ind w:left="720"/>
        <w:jc w:val="center"/>
        <w:rPr>
          <w:i w:val="0"/>
          <w:iCs/>
          <w:sz w:val="22"/>
          <w:szCs w:val="22"/>
          <w:lang w:val="es-ES_tradnl"/>
        </w:rPr>
      </w:pPr>
      <w:bookmarkStart w:id="106" w:name="_Toc37603074"/>
      <w:bookmarkStart w:id="107" w:name="_Toc217379138"/>
      <w:r w:rsidRPr="00DB68CC">
        <w:rPr>
          <w:i w:val="0"/>
          <w:iCs/>
          <w:sz w:val="22"/>
          <w:szCs w:val="22"/>
          <w:lang w:val="es-ES_tradnl"/>
        </w:rPr>
        <w:lastRenderedPageBreak/>
        <w:t xml:space="preserve">Anexo </w:t>
      </w:r>
      <w:r w:rsidR="00B85C19" w:rsidRPr="00DB68CC">
        <w:rPr>
          <w:i w:val="0"/>
          <w:iCs/>
          <w:sz w:val="22"/>
          <w:szCs w:val="22"/>
          <w:lang w:val="es-ES_tradnl"/>
        </w:rPr>
        <w:t>1</w:t>
      </w:r>
      <w:r w:rsidRPr="00DB68CC">
        <w:rPr>
          <w:i w:val="0"/>
          <w:iCs/>
          <w:sz w:val="22"/>
          <w:szCs w:val="22"/>
          <w:lang w:val="es-ES_tradnl"/>
        </w:rPr>
        <w:t xml:space="preserve">: </w:t>
      </w:r>
      <w:r w:rsidR="004263BB" w:rsidRPr="00DB68CC">
        <w:rPr>
          <w:i w:val="0"/>
          <w:iCs/>
          <w:sz w:val="22"/>
          <w:szCs w:val="22"/>
          <w:lang w:val="es-ES_tradnl"/>
        </w:rPr>
        <w:t>Lista de exclusión</w:t>
      </w:r>
      <w:bookmarkEnd w:id="106"/>
    </w:p>
    <w:p w14:paraId="448DF419" w14:textId="77777777" w:rsidR="004263BB" w:rsidRPr="00DB68CC" w:rsidRDefault="004263BB" w:rsidP="004263BB">
      <w:pPr>
        <w:widowControl w:val="0"/>
        <w:autoSpaceDE w:val="0"/>
        <w:autoSpaceDN w:val="0"/>
        <w:adjustRightInd w:val="0"/>
        <w:ind w:right="-720"/>
        <w:rPr>
          <w:rFonts w:ascii="Arial" w:hAnsi="Arial" w:cs="Arial"/>
          <w:bCs/>
          <w:sz w:val="22"/>
          <w:szCs w:val="22"/>
          <w:lang w:val="es-ES_tradnl"/>
        </w:rPr>
      </w:pPr>
    </w:p>
    <w:p w14:paraId="14DA294B" w14:textId="77777777" w:rsidR="004263BB" w:rsidRPr="00DB68CC" w:rsidRDefault="004263BB" w:rsidP="004263BB">
      <w:pPr>
        <w:widowControl w:val="0"/>
        <w:autoSpaceDE w:val="0"/>
        <w:autoSpaceDN w:val="0"/>
        <w:adjustRightInd w:val="0"/>
        <w:ind w:right="-720"/>
        <w:rPr>
          <w:rFonts w:ascii="Arial" w:hAnsi="Arial" w:cs="Arial"/>
          <w:bCs/>
          <w:sz w:val="22"/>
          <w:szCs w:val="22"/>
          <w:lang w:val="es-ES_tradnl"/>
        </w:rPr>
      </w:pPr>
    </w:p>
    <w:p w14:paraId="106EDD4B" w14:textId="77777777" w:rsidR="004263BB" w:rsidRPr="00DB68CC" w:rsidRDefault="004263BB" w:rsidP="004263BB">
      <w:pPr>
        <w:widowControl w:val="0"/>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Los Prestatarios no podrán adquirir créditos que: (i) incluyan financiamiento para la producción directa, el comercio o el uso final (incluido en proyectos) de productos, sustancias o actividades enumeradas a continuación; o (</w:t>
      </w:r>
      <w:proofErr w:type="spellStart"/>
      <w:r w:rsidRPr="00DB68CC">
        <w:rPr>
          <w:rFonts w:ascii="Arial" w:hAnsi="Arial" w:cs="Arial"/>
          <w:bCs/>
          <w:sz w:val="22"/>
          <w:szCs w:val="22"/>
          <w:lang w:val="es-ES_tradnl"/>
        </w:rPr>
        <w:t>ii</w:t>
      </w:r>
      <w:proofErr w:type="spellEnd"/>
      <w:r w:rsidRPr="00DB68CC">
        <w:rPr>
          <w:rFonts w:ascii="Arial" w:hAnsi="Arial" w:cs="Arial"/>
          <w:bCs/>
          <w:sz w:val="22"/>
          <w:szCs w:val="22"/>
          <w:lang w:val="es-ES_tradnl"/>
        </w:rPr>
        <w:t>) cuyos sujetos sean personas naturales o jurídicas cuyas actividades que tengan que ver con los productos, las sustancias o las actividades enumeradas a continuación:</w:t>
      </w:r>
    </w:p>
    <w:p w14:paraId="082C3ED2" w14:textId="77777777" w:rsidR="004263BB" w:rsidRPr="00DB68CC" w:rsidRDefault="004263BB" w:rsidP="004263BB">
      <w:pPr>
        <w:widowControl w:val="0"/>
        <w:autoSpaceDE w:val="0"/>
        <w:autoSpaceDN w:val="0"/>
        <w:adjustRightInd w:val="0"/>
        <w:ind w:right="-720"/>
        <w:rPr>
          <w:rFonts w:ascii="Arial" w:hAnsi="Arial" w:cs="Arial"/>
          <w:bCs/>
          <w:sz w:val="22"/>
          <w:szCs w:val="22"/>
          <w:lang w:val="es-ES_tradnl"/>
        </w:rPr>
      </w:pPr>
    </w:p>
    <w:p w14:paraId="2472B716"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5FE694B1"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Utilización de formas peligrosas o de explotación de trabajo forzado o trabajo infantil.</w:t>
      </w:r>
      <w:r w:rsidRPr="00DB68CC">
        <w:rPr>
          <w:rStyle w:val="FootnoteReference"/>
          <w:rFonts w:cs="Arial"/>
          <w:bCs/>
          <w:sz w:val="22"/>
          <w:szCs w:val="22"/>
          <w:lang w:val="es-ES_tradnl"/>
        </w:rPr>
        <w:footnoteReference w:id="4"/>
      </w:r>
    </w:p>
    <w:p w14:paraId="2BE33201"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Armas y municiones.</w:t>
      </w:r>
    </w:p>
    <w:p w14:paraId="460212D3"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Tabaco</w:t>
      </w:r>
      <w:r w:rsidRPr="00DB68CC">
        <w:rPr>
          <w:rFonts w:ascii="Arial" w:hAnsi="Arial" w:cs="Arial"/>
          <w:bCs/>
          <w:sz w:val="22"/>
          <w:szCs w:val="22"/>
          <w:vertAlign w:val="superscript"/>
          <w:lang w:val="es-ES_tradnl"/>
        </w:rPr>
        <w:t>12</w:t>
      </w:r>
      <w:r w:rsidRPr="00DB68CC">
        <w:rPr>
          <w:rFonts w:ascii="Arial" w:hAnsi="Arial" w:cs="Arial"/>
          <w:bCs/>
          <w:sz w:val="22"/>
          <w:szCs w:val="22"/>
          <w:lang w:val="es-ES_tradnl"/>
        </w:rPr>
        <w:t>.</w:t>
      </w:r>
    </w:p>
    <w:p w14:paraId="589906E9"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Apuestas, casinos y empresas equivalentes</w:t>
      </w:r>
      <w:r w:rsidRPr="00DB68CC">
        <w:rPr>
          <w:rFonts w:ascii="Arial" w:hAnsi="Arial" w:cs="Arial"/>
          <w:bCs/>
          <w:sz w:val="22"/>
          <w:szCs w:val="22"/>
          <w:vertAlign w:val="superscript"/>
          <w:lang w:val="es-ES_tradnl"/>
        </w:rPr>
        <w:t>12</w:t>
      </w:r>
      <w:r w:rsidRPr="00DB68CC">
        <w:rPr>
          <w:rFonts w:ascii="Arial" w:hAnsi="Arial" w:cs="Arial"/>
          <w:bCs/>
          <w:sz w:val="22"/>
          <w:szCs w:val="22"/>
          <w:lang w:val="es-ES_tradnl"/>
        </w:rPr>
        <w:t>.</w:t>
      </w:r>
    </w:p>
    <w:p w14:paraId="01AB05D2"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Animales o plantas silvestres o productos de animales o plantas silvestres protegidos por la CITES</w:t>
      </w:r>
      <w:r w:rsidRPr="00DB68CC">
        <w:rPr>
          <w:rStyle w:val="FootnoteReference"/>
          <w:rFonts w:cs="Arial"/>
          <w:bCs/>
          <w:sz w:val="22"/>
          <w:szCs w:val="22"/>
          <w:lang w:val="es-ES_tradnl"/>
        </w:rPr>
        <w:footnoteReference w:id="5"/>
      </w:r>
      <w:r w:rsidRPr="00DB68CC">
        <w:rPr>
          <w:rFonts w:ascii="Arial" w:hAnsi="Arial" w:cs="Arial"/>
          <w:bCs/>
          <w:sz w:val="22"/>
          <w:szCs w:val="22"/>
          <w:lang w:val="es-ES_tradnl"/>
        </w:rPr>
        <w:t>.</w:t>
      </w:r>
    </w:p>
    <w:p w14:paraId="190AEF5B"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Materiales radioactivos.</w:t>
      </w:r>
    </w:p>
    <w:p w14:paraId="538D3407"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 xml:space="preserve">Fibras de amianto (asbesto) sin </w:t>
      </w:r>
      <w:proofErr w:type="spellStart"/>
      <w:r w:rsidRPr="00DB68CC">
        <w:rPr>
          <w:rFonts w:ascii="Arial" w:hAnsi="Arial" w:cs="Arial"/>
          <w:bCs/>
          <w:sz w:val="22"/>
          <w:szCs w:val="22"/>
          <w:lang w:val="es-ES_tradnl"/>
        </w:rPr>
        <w:t>aglutinatura</w:t>
      </w:r>
      <w:proofErr w:type="spellEnd"/>
      <w:r w:rsidRPr="00DB68CC">
        <w:rPr>
          <w:rFonts w:ascii="Arial" w:hAnsi="Arial" w:cs="Arial"/>
          <w:bCs/>
          <w:sz w:val="22"/>
          <w:szCs w:val="22"/>
          <w:lang w:val="es-ES_tradnl"/>
        </w:rPr>
        <w:t>. Esto no aplica a la compra y uso de láminas de cemento con amianto (asbesto) en donde el contenido de amianto (asbesto) sea menor del 20%.</w:t>
      </w:r>
    </w:p>
    <w:p w14:paraId="6B11C356"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Operaciones madereras comerciales o la compra de equipos de explotación forestal para uso en bosques tropicales húmedos y bosques primarios</w:t>
      </w:r>
      <w:r w:rsidRPr="00DB68CC">
        <w:rPr>
          <w:rStyle w:val="FootnoteReference"/>
          <w:rFonts w:cs="Arial"/>
          <w:bCs/>
          <w:sz w:val="22"/>
          <w:szCs w:val="22"/>
          <w:lang w:val="es-ES_tradnl"/>
        </w:rPr>
        <w:footnoteReference w:id="6"/>
      </w:r>
      <w:r w:rsidRPr="00DB68CC">
        <w:rPr>
          <w:rFonts w:ascii="Arial" w:hAnsi="Arial" w:cs="Arial"/>
          <w:bCs/>
          <w:sz w:val="22"/>
          <w:szCs w:val="22"/>
          <w:lang w:val="es-ES_tradnl"/>
        </w:rPr>
        <w:t xml:space="preserve">. </w:t>
      </w:r>
    </w:p>
    <w:p w14:paraId="237FAF6F"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7479EC18"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Pr="00DB68CC">
        <w:rPr>
          <w:rStyle w:val="FootnoteReference"/>
          <w:rFonts w:cs="Arial"/>
          <w:bCs/>
          <w:sz w:val="22"/>
          <w:szCs w:val="22"/>
          <w:lang w:val="es-ES_tradnl"/>
        </w:rPr>
        <w:footnoteReference w:id="7"/>
      </w:r>
      <w:r w:rsidRPr="00DB68CC">
        <w:rPr>
          <w:rFonts w:ascii="Arial" w:hAnsi="Arial" w:cs="Arial"/>
          <w:bCs/>
          <w:sz w:val="22"/>
          <w:szCs w:val="22"/>
          <w:lang w:val="es-ES_tradnl"/>
        </w:rPr>
        <w:t xml:space="preserve">. </w:t>
      </w:r>
    </w:p>
    <w:p w14:paraId="04634C75"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lastRenderedPageBreak/>
        <w:t>Introducción de especies invasivas</w:t>
      </w:r>
      <w:r w:rsidRPr="00DB68CC">
        <w:rPr>
          <w:rStyle w:val="FootnoteReference"/>
          <w:rFonts w:cs="Arial"/>
          <w:bCs/>
          <w:sz w:val="22"/>
          <w:szCs w:val="22"/>
          <w:lang w:val="es-ES_tradnl"/>
        </w:rPr>
        <w:footnoteReference w:id="8"/>
      </w:r>
      <w:r w:rsidRPr="00DB68CC">
        <w:rPr>
          <w:rFonts w:ascii="Arial" w:hAnsi="Arial" w:cs="Arial"/>
          <w:bCs/>
          <w:sz w:val="22"/>
          <w:szCs w:val="22"/>
          <w:lang w:val="es-ES_tradnl"/>
        </w:rPr>
        <w:t>.</w:t>
      </w:r>
    </w:p>
    <w:p w14:paraId="7078E22B"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 xml:space="preserve">Compuestos que contengan </w:t>
      </w:r>
      <w:proofErr w:type="spellStart"/>
      <w:r w:rsidRPr="00DB68CC">
        <w:rPr>
          <w:rFonts w:ascii="Arial" w:hAnsi="Arial" w:cs="Arial"/>
          <w:bCs/>
          <w:sz w:val="22"/>
          <w:szCs w:val="22"/>
          <w:lang w:val="es-ES_tradnl"/>
        </w:rPr>
        <w:t>policlorinato</w:t>
      </w:r>
      <w:proofErr w:type="spellEnd"/>
      <w:r w:rsidRPr="00DB68CC">
        <w:rPr>
          <w:rFonts w:ascii="Arial" w:hAnsi="Arial" w:cs="Arial"/>
          <w:bCs/>
          <w:sz w:val="22"/>
          <w:szCs w:val="22"/>
          <w:lang w:val="es-ES_tradnl"/>
        </w:rPr>
        <w:t xml:space="preserve"> de bifenilo (PCB)</w:t>
      </w:r>
      <w:r w:rsidRPr="00DB68CC">
        <w:rPr>
          <w:rStyle w:val="FootnoteReference"/>
          <w:rFonts w:cs="Arial"/>
          <w:bCs/>
          <w:sz w:val="22"/>
          <w:szCs w:val="22"/>
          <w:lang w:val="es-ES_tradnl"/>
        </w:rPr>
        <w:footnoteReference w:id="9"/>
      </w:r>
      <w:r w:rsidRPr="00DB68CC">
        <w:rPr>
          <w:rFonts w:ascii="Arial" w:hAnsi="Arial" w:cs="Arial"/>
          <w:bCs/>
          <w:sz w:val="22"/>
          <w:szCs w:val="22"/>
          <w:lang w:val="es-ES_tradnl"/>
        </w:rPr>
        <w:t>.</w:t>
      </w:r>
    </w:p>
    <w:p w14:paraId="68897844"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Fármacos sujetos a eliminación gradual o cese obligatorio de producción o prohibición de venta a nivel internacional</w:t>
      </w:r>
      <w:r w:rsidRPr="00DB68CC">
        <w:rPr>
          <w:rStyle w:val="FootnoteReference"/>
          <w:rFonts w:cs="Arial"/>
          <w:bCs/>
          <w:sz w:val="22"/>
          <w:szCs w:val="22"/>
          <w:lang w:val="es-ES_tradnl"/>
        </w:rPr>
        <w:footnoteReference w:id="10"/>
      </w:r>
      <w:r w:rsidRPr="00DB68CC">
        <w:rPr>
          <w:rFonts w:ascii="Arial" w:hAnsi="Arial" w:cs="Arial"/>
          <w:bCs/>
          <w:sz w:val="22"/>
          <w:szCs w:val="22"/>
          <w:lang w:val="es-ES_tradnl"/>
        </w:rPr>
        <w:t>.</w:t>
      </w:r>
    </w:p>
    <w:p w14:paraId="7CD7B13A"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Pesticidas o herbicidas sujetos a eliminación gradual o cese obligatorio de producción o prohibición de venta a nivel internacional</w:t>
      </w:r>
      <w:r w:rsidRPr="00DB68CC">
        <w:rPr>
          <w:rStyle w:val="FootnoteReference"/>
          <w:rFonts w:cs="Arial"/>
          <w:bCs/>
          <w:sz w:val="22"/>
          <w:szCs w:val="22"/>
          <w:lang w:val="es-ES_tradnl"/>
        </w:rPr>
        <w:footnoteReference w:id="11"/>
      </w:r>
      <w:r w:rsidRPr="00DB68CC">
        <w:rPr>
          <w:rFonts w:ascii="Arial" w:hAnsi="Arial" w:cs="Arial"/>
          <w:bCs/>
          <w:sz w:val="22"/>
          <w:szCs w:val="22"/>
          <w:lang w:val="es-ES_tradnl"/>
        </w:rPr>
        <w:t>.</w:t>
      </w:r>
    </w:p>
    <w:p w14:paraId="79B6E6D1"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 xml:space="preserve">Pesticidas tóxicos según la definición de la Organización Mundial de la Salud (OMS), clases </w:t>
      </w:r>
      <w:proofErr w:type="spellStart"/>
      <w:r w:rsidRPr="00DB68CC">
        <w:rPr>
          <w:rFonts w:ascii="Arial" w:hAnsi="Arial" w:cs="Arial"/>
          <w:bCs/>
          <w:sz w:val="22"/>
          <w:szCs w:val="22"/>
          <w:lang w:val="es-ES_tradnl"/>
        </w:rPr>
        <w:t>Ia</w:t>
      </w:r>
      <w:proofErr w:type="spellEnd"/>
      <w:r w:rsidRPr="00DB68CC">
        <w:rPr>
          <w:rFonts w:ascii="Arial" w:hAnsi="Arial" w:cs="Arial"/>
          <w:bCs/>
          <w:sz w:val="22"/>
          <w:szCs w:val="22"/>
          <w:lang w:val="es-ES_tradnl"/>
        </w:rPr>
        <w:t xml:space="preserve">, </w:t>
      </w:r>
      <w:proofErr w:type="spellStart"/>
      <w:r w:rsidRPr="00DB68CC">
        <w:rPr>
          <w:rFonts w:ascii="Arial" w:hAnsi="Arial" w:cs="Arial"/>
          <w:bCs/>
          <w:sz w:val="22"/>
          <w:szCs w:val="22"/>
          <w:lang w:val="es-ES_tradnl"/>
        </w:rPr>
        <w:t>Ib</w:t>
      </w:r>
      <w:proofErr w:type="spellEnd"/>
      <w:r w:rsidRPr="00DB68CC">
        <w:rPr>
          <w:rFonts w:ascii="Arial" w:hAnsi="Arial" w:cs="Arial"/>
          <w:bCs/>
          <w:sz w:val="22"/>
          <w:szCs w:val="22"/>
          <w:lang w:val="es-ES_tradnl"/>
        </w:rPr>
        <w:t xml:space="preserve"> y II.</w:t>
      </w:r>
    </w:p>
    <w:p w14:paraId="78C1DDBA"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Contaminantes orgánicos persistentes (COP)</w:t>
      </w:r>
      <w:r w:rsidRPr="00DB68CC">
        <w:rPr>
          <w:rStyle w:val="FootnoteReference"/>
          <w:rFonts w:cs="Arial"/>
          <w:bCs/>
          <w:sz w:val="22"/>
          <w:szCs w:val="22"/>
          <w:lang w:val="es-ES_tradnl"/>
        </w:rPr>
        <w:footnoteReference w:id="12"/>
      </w:r>
      <w:r w:rsidRPr="00DB68CC">
        <w:rPr>
          <w:rFonts w:ascii="Arial" w:hAnsi="Arial" w:cs="Arial"/>
          <w:bCs/>
          <w:sz w:val="22"/>
          <w:szCs w:val="22"/>
          <w:lang w:val="es-ES_tradnl"/>
        </w:rPr>
        <w:t xml:space="preserve">. </w:t>
      </w:r>
    </w:p>
    <w:p w14:paraId="406427E0"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ODS sujetos a cese obligatorio de producción o prohibición de venta a nivel internacional</w:t>
      </w:r>
      <w:r w:rsidRPr="00DB68CC">
        <w:rPr>
          <w:rStyle w:val="FootnoteReference"/>
          <w:rFonts w:cs="Arial"/>
          <w:bCs/>
          <w:sz w:val="22"/>
          <w:szCs w:val="22"/>
          <w:lang w:val="es-ES_tradnl"/>
        </w:rPr>
        <w:footnoteReference w:id="13"/>
      </w:r>
      <w:r w:rsidRPr="00DB68CC">
        <w:rPr>
          <w:rFonts w:ascii="Arial" w:hAnsi="Arial" w:cs="Arial"/>
          <w:bCs/>
          <w:sz w:val="22"/>
          <w:szCs w:val="22"/>
          <w:lang w:val="es-ES_tradnl"/>
        </w:rPr>
        <w:t xml:space="preserve">. </w:t>
      </w:r>
    </w:p>
    <w:p w14:paraId="5D5A873A"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Comercio transfronterizo (internacional) de desechos o productos de desechos</w:t>
      </w:r>
      <w:r w:rsidRPr="00DB68CC">
        <w:rPr>
          <w:rStyle w:val="FootnoteReference"/>
          <w:rFonts w:cs="Arial"/>
          <w:bCs/>
          <w:sz w:val="22"/>
          <w:szCs w:val="22"/>
          <w:lang w:val="es-ES_tradnl"/>
        </w:rPr>
        <w:footnoteReference w:id="14"/>
      </w:r>
      <w:r w:rsidRPr="00DB68CC">
        <w:rPr>
          <w:rFonts w:ascii="Arial" w:hAnsi="Arial" w:cs="Arial"/>
          <w:bCs/>
          <w:sz w:val="22"/>
          <w:szCs w:val="22"/>
          <w:lang w:val="es-ES_tradnl"/>
        </w:rPr>
        <w:t>, exceptuando desechos no peligrosos destinados al reciclaje.</w:t>
      </w:r>
    </w:p>
    <w:p w14:paraId="7502A784"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Incumplimiento de los principios fundamentales de los trabajadores y de los derechos en el trabajo</w:t>
      </w:r>
      <w:r w:rsidRPr="00DB68CC">
        <w:rPr>
          <w:rStyle w:val="FootnoteReference"/>
          <w:rFonts w:cs="Arial"/>
          <w:bCs/>
          <w:sz w:val="22"/>
          <w:szCs w:val="22"/>
          <w:lang w:val="es-ES_tradnl"/>
        </w:rPr>
        <w:footnoteReference w:id="15"/>
      </w:r>
    </w:p>
    <w:p w14:paraId="01E15EEE"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Actividades que impliquen reasentamiento involuntario físico o económico.</w:t>
      </w:r>
    </w:p>
    <w:p w14:paraId="3E037A32"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Actividades que tengan impacto negativo sobre grupos indígenas.</w:t>
      </w:r>
    </w:p>
    <w:p w14:paraId="2A0DB24A" w14:textId="77777777" w:rsidR="004263BB" w:rsidRPr="00DB68CC" w:rsidRDefault="004263BB" w:rsidP="0099721A">
      <w:pPr>
        <w:pStyle w:val="ListParagraph"/>
        <w:widowControl w:val="0"/>
        <w:numPr>
          <w:ilvl w:val="0"/>
          <w:numId w:val="6"/>
        </w:numPr>
        <w:autoSpaceDE w:val="0"/>
        <w:autoSpaceDN w:val="0"/>
        <w:adjustRightInd w:val="0"/>
        <w:ind w:right="-720"/>
        <w:rPr>
          <w:rFonts w:ascii="Arial" w:hAnsi="Arial" w:cs="Arial"/>
          <w:bCs/>
          <w:sz w:val="22"/>
          <w:szCs w:val="22"/>
          <w:lang w:val="es-ES_tradnl"/>
        </w:rPr>
      </w:pPr>
      <w:r w:rsidRPr="00DB68CC">
        <w:rPr>
          <w:rFonts w:ascii="Arial" w:hAnsi="Arial" w:cs="Arial"/>
          <w:bCs/>
          <w:sz w:val="22"/>
          <w:szCs w:val="22"/>
          <w:lang w:val="es-ES_tradnl"/>
        </w:rPr>
        <w:t xml:space="preserve">Actividades que puedan dañar sitios culturales o sitios culturales críticos. </w:t>
      </w:r>
    </w:p>
    <w:p w14:paraId="02658C96" w14:textId="44CBB974" w:rsidR="004263BB" w:rsidRPr="00DB68CC" w:rsidRDefault="004263BB" w:rsidP="0099721A">
      <w:pPr>
        <w:pStyle w:val="ListParagraph"/>
        <w:widowControl w:val="0"/>
        <w:numPr>
          <w:ilvl w:val="0"/>
          <w:numId w:val="6"/>
        </w:numPr>
        <w:autoSpaceDE w:val="0"/>
        <w:autoSpaceDN w:val="0"/>
        <w:adjustRightInd w:val="0"/>
        <w:ind w:right="-720"/>
        <w:rPr>
          <w:rFonts w:ascii="Arial" w:eastAsia="Arial" w:hAnsi="Arial" w:cs="Arial"/>
          <w:sz w:val="22"/>
          <w:szCs w:val="22"/>
          <w:lang w:val="es-ES_tradnl"/>
        </w:rPr>
      </w:pPr>
      <w:r w:rsidRPr="00DB68CC">
        <w:rPr>
          <w:rFonts w:ascii="Arial" w:hAnsi="Arial" w:cs="Arial"/>
          <w:sz w:val="22"/>
          <w:szCs w:val="22"/>
          <w:lang w:val="es-ES_tradnl"/>
        </w:rPr>
        <w:t xml:space="preserve">Compañías que tengan demandas ambientales (tales como multas, sanciones, costos de limpieza, costos de respuesta gubernamental, pagos por daños y perjuicios, encarcelación de los principales directivos de la compañía, disminución en el valor de las garantías debido a los daños o pasivos ambientales, etc.) </w:t>
      </w:r>
      <w:r w:rsidR="29F505E3" w:rsidRPr="00DB68CC">
        <w:rPr>
          <w:rFonts w:ascii="Arial" w:eastAsia="Arial" w:hAnsi="Arial" w:cs="Arial"/>
          <w:sz w:val="22"/>
          <w:szCs w:val="22"/>
          <w:lang w:val="es-ES_tradnl"/>
        </w:rPr>
        <w:t xml:space="preserve"> antecedentes de cambio de uso de suelo de manera irregular o posiblemente ilegal, antecedentes de conflictos con comunidades vecinas o de condiciones de trabajo forzoso o infantil.</w:t>
      </w:r>
    </w:p>
    <w:p w14:paraId="428E15D9" w14:textId="71DB281C" w:rsidR="004263BB" w:rsidRPr="00DB68CC" w:rsidRDefault="29F505E3" w:rsidP="0099721A">
      <w:pPr>
        <w:pStyle w:val="ListParagraph"/>
        <w:widowControl w:val="0"/>
        <w:numPr>
          <w:ilvl w:val="0"/>
          <w:numId w:val="6"/>
        </w:numPr>
        <w:autoSpaceDE w:val="0"/>
        <w:autoSpaceDN w:val="0"/>
        <w:adjustRightInd w:val="0"/>
        <w:ind w:right="-720"/>
        <w:rPr>
          <w:sz w:val="22"/>
          <w:szCs w:val="22"/>
          <w:lang w:val="es-ES_tradnl"/>
        </w:rPr>
      </w:pPr>
      <w:r w:rsidRPr="00DB68CC">
        <w:rPr>
          <w:rFonts w:ascii="Arial" w:hAnsi="Arial" w:cs="Arial"/>
          <w:sz w:val="22"/>
          <w:szCs w:val="22"/>
          <w:lang w:val="es-ES_tradnl"/>
        </w:rPr>
        <w:lastRenderedPageBreak/>
        <w:t>Industrias extractivas</w:t>
      </w:r>
      <w:r w:rsidR="004263BB" w:rsidRPr="00DB68CC">
        <w:rPr>
          <w:rFonts w:ascii="Arial" w:hAnsi="Arial" w:cs="Arial"/>
          <w:sz w:val="22"/>
          <w:szCs w:val="22"/>
          <w:lang w:val="es-ES_tradnl"/>
        </w:rPr>
        <w:t>.</w:t>
      </w:r>
    </w:p>
    <w:p w14:paraId="6BE3E0A1" w14:textId="44FE4761" w:rsidR="4DF0AE1B" w:rsidRPr="00DB68CC" w:rsidRDefault="4DF0AE1B" w:rsidP="0099721A">
      <w:pPr>
        <w:pStyle w:val="ListParagraph"/>
        <w:numPr>
          <w:ilvl w:val="0"/>
          <w:numId w:val="6"/>
        </w:numPr>
        <w:ind w:right="-720"/>
        <w:rPr>
          <w:sz w:val="22"/>
          <w:szCs w:val="22"/>
          <w:lang w:val="es-ES_tradnl"/>
        </w:rPr>
      </w:pPr>
      <w:r w:rsidRPr="00DB68CC">
        <w:rPr>
          <w:rFonts w:ascii="Arial" w:hAnsi="Arial" w:cs="Arial"/>
          <w:sz w:val="22"/>
          <w:szCs w:val="22"/>
          <w:lang w:val="es-ES_tradnl"/>
        </w:rPr>
        <w:t>Actividades agrícolas en superficies totales mayores a 3.000has</w:t>
      </w:r>
    </w:p>
    <w:p w14:paraId="51D8D18E" w14:textId="4E9D4487" w:rsidR="4DF0AE1B" w:rsidRPr="00DB68CC" w:rsidRDefault="4DF0AE1B" w:rsidP="0099721A">
      <w:pPr>
        <w:pStyle w:val="ListParagraph"/>
        <w:numPr>
          <w:ilvl w:val="0"/>
          <w:numId w:val="6"/>
        </w:numPr>
        <w:ind w:right="-720"/>
        <w:rPr>
          <w:rFonts w:ascii="Arial" w:eastAsia="Arial" w:hAnsi="Arial" w:cs="Arial"/>
          <w:sz w:val="22"/>
          <w:szCs w:val="22"/>
          <w:lang w:val="es-ES_tradnl"/>
        </w:rPr>
      </w:pPr>
      <w:r w:rsidRPr="00DB68CC">
        <w:rPr>
          <w:rFonts w:ascii="Arial" w:hAnsi="Arial" w:cs="Arial"/>
          <w:sz w:val="22"/>
          <w:szCs w:val="22"/>
          <w:lang w:val="es-ES_tradnl"/>
        </w:rPr>
        <w:t xml:space="preserve">Actividades de ganadería con superficies totales mayores a 12.000 has </w:t>
      </w:r>
      <w:proofErr w:type="spellStart"/>
      <w:r w:rsidRPr="00DB68CC">
        <w:rPr>
          <w:rFonts w:ascii="Arial" w:hAnsi="Arial" w:cs="Arial"/>
          <w:sz w:val="22"/>
          <w:szCs w:val="22"/>
          <w:lang w:val="es-ES_tradnl"/>
        </w:rPr>
        <w:t>FeedLots</w:t>
      </w:r>
      <w:proofErr w:type="spellEnd"/>
      <w:r w:rsidRPr="00DB68CC">
        <w:rPr>
          <w:rFonts w:ascii="Arial" w:hAnsi="Arial" w:cs="Arial"/>
          <w:sz w:val="22"/>
          <w:szCs w:val="22"/>
          <w:lang w:val="es-ES_tradnl"/>
        </w:rPr>
        <w:t xml:space="preserve"> con capacidad estática para más de 2.500 cabezas</w:t>
      </w:r>
    </w:p>
    <w:p w14:paraId="080059CF" w14:textId="77777777" w:rsidR="008070F0" w:rsidRPr="00DB68CC" w:rsidRDefault="008070F0" w:rsidP="008070F0">
      <w:pPr>
        <w:jc w:val="both"/>
        <w:rPr>
          <w:rFonts w:ascii="Arial" w:hAnsi="Arial" w:cs="Arial"/>
          <w:sz w:val="22"/>
          <w:szCs w:val="22"/>
          <w:lang w:val="es-ES_tradnl"/>
        </w:rPr>
      </w:pPr>
    </w:p>
    <w:p w14:paraId="762DC12B" w14:textId="77777777" w:rsidR="008070F0" w:rsidRPr="00DB68CC" w:rsidRDefault="008070F0" w:rsidP="008070F0">
      <w:pPr>
        <w:jc w:val="center"/>
        <w:rPr>
          <w:rFonts w:ascii="Arial" w:hAnsi="Arial" w:cs="Arial"/>
          <w:b/>
          <w:sz w:val="22"/>
          <w:szCs w:val="22"/>
          <w:lang w:val="es-ES_tradnl"/>
        </w:rPr>
      </w:pPr>
    </w:p>
    <w:p w14:paraId="54589065" w14:textId="77777777" w:rsidR="008070F0" w:rsidRPr="00DB68CC" w:rsidRDefault="008070F0" w:rsidP="008070F0">
      <w:pPr>
        <w:jc w:val="center"/>
        <w:rPr>
          <w:rFonts w:ascii="Arial" w:hAnsi="Arial" w:cs="Arial"/>
          <w:b/>
          <w:sz w:val="22"/>
          <w:szCs w:val="22"/>
          <w:lang w:val="es-ES_tradnl"/>
        </w:rPr>
      </w:pPr>
    </w:p>
    <w:p w14:paraId="1BE3EFBB" w14:textId="77777777" w:rsidR="008070F0" w:rsidRPr="00DB68CC" w:rsidRDefault="008070F0" w:rsidP="008070F0">
      <w:pPr>
        <w:jc w:val="center"/>
        <w:rPr>
          <w:rFonts w:ascii="Arial" w:hAnsi="Arial" w:cs="Arial"/>
          <w:b/>
          <w:sz w:val="22"/>
          <w:szCs w:val="22"/>
          <w:lang w:val="es-ES_tradnl"/>
        </w:rPr>
      </w:pPr>
    </w:p>
    <w:p w14:paraId="1270A3DD" w14:textId="77777777" w:rsidR="008070F0" w:rsidRPr="00DB68CC" w:rsidRDefault="008070F0" w:rsidP="008070F0">
      <w:pPr>
        <w:jc w:val="center"/>
        <w:rPr>
          <w:rFonts w:ascii="Arial" w:hAnsi="Arial" w:cs="Arial"/>
          <w:b/>
          <w:sz w:val="22"/>
          <w:szCs w:val="22"/>
          <w:lang w:val="es-ES_tradnl"/>
        </w:rPr>
      </w:pPr>
    </w:p>
    <w:p w14:paraId="064B2157" w14:textId="77777777" w:rsidR="008070F0" w:rsidRPr="00DB68CC" w:rsidRDefault="008070F0" w:rsidP="008070F0">
      <w:pPr>
        <w:jc w:val="center"/>
        <w:rPr>
          <w:rFonts w:ascii="Arial" w:hAnsi="Arial" w:cs="Arial"/>
          <w:b/>
          <w:sz w:val="22"/>
          <w:szCs w:val="22"/>
          <w:lang w:val="es-ES_tradnl"/>
        </w:rPr>
      </w:pPr>
    </w:p>
    <w:p w14:paraId="0B4AC819" w14:textId="552D819F" w:rsidR="00E91D00" w:rsidRPr="00DB68CC" w:rsidRDefault="00E91D00">
      <w:pPr>
        <w:rPr>
          <w:rFonts w:ascii="Arial" w:hAnsi="Arial" w:cs="Arial"/>
          <w:b/>
          <w:sz w:val="22"/>
          <w:szCs w:val="22"/>
          <w:lang w:val="es-ES_tradnl"/>
        </w:rPr>
      </w:pPr>
      <w:r w:rsidRPr="00DB68CC">
        <w:rPr>
          <w:rFonts w:ascii="Arial" w:hAnsi="Arial" w:cs="Arial"/>
          <w:b/>
          <w:sz w:val="22"/>
          <w:szCs w:val="22"/>
          <w:lang w:val="es-ES_tradnl"/>
        </w:rPr>
        <w:br w:type="page"/>
      </w:r>
    </w:p>
    <w:p w14:paraId="4DD28E32" w14:textId="77777777" w:rsidR="008070F0" w:rsidRPr="00DB68CC" w:rsidRDefault="008070F0" w:rsidP="008070F0">
      <w:pPr>
        <w:jc w:val="center"/>
        <w:rPr>
          <w:rFonts w:ascii="Arial" w:hAnsi="Arial" w:cs="Arial"/>
          <w:b/>
          <w:sz w:val="22"/>
          <w:szCs w:val="22"/>
          <w:lang w:val="es-ES_tradnl"/>
        </w:rPr>
      </w:pPr>
    </w:p>
    <w:p w14:paraId="4EEB111E" w14:textId="77777777" w:rsidR="008070F0" w:rsidRPr="00DB68CC" w:rsidRDefault="008070F0" w:rsidP="008070F0">
      <w:pPr>
        <w:jc w:val="center"/>
        <w:rPr>
          <w:rFonts w:ascii="Arial" w:hAnsi="Arial" w:cs="Arial"/>
          <w:b/>
          <w:sz w:val="22"/>
          <w:szCs w:val="22"/>
          <w:lang w:val="es-ES_tradnl"/>
        </w:rPr>
      </w:pPr>
    </w:p>
    <w:p w14:paraId="2AFC81EB" w14:textId="77777777" w:rsidR="008070F0" w:rsidRPr="00DB68CC" w:rsidRDefault="008070F0" w:rsidP="008070F0">
      <w:pPr>
        <w:jc w:val="center"/>
        <w:rPr>
          <w:rFonts w:ascii="Arial" w:hAnsi="Arial" w:cs="Arial"/>
          <w:b/>
          <w:sz w:val="22"/>
          <w:szCs w:val="22"/>
          <w:lang w:val="es-ES_tradnl"/>
        </w:rPr>
      </w:pPr>
    </w:p>
    <w:p w14:paraId="64EF5CE1" w14:textId="77777777" w:rsidR="00C00205" w:rsidRPr="00DB68CC" w:rsidRDefault="00C00205" w:rsidP="00854B94">
      <w:pPr>
        <w:pStyle w:val="Heading2"/>
        <w:numPr>
          <w:ilvl w:val="0"/>
          <w:numId w:val="0"/>
        </w:numPr>
        <w:ind w:left="720"/>
        <w:jc w:val="center"/>
        <w:rPr>
          <w:i w:val="0"/>
          <w:iCs/>
          <w:sz w:val="22"/>
          <w:szCs w:val="22"/>
          <w:lang w:val="es-ES_tradnl"/>
        </w:rPr>
      </w:pPr>
      <w:bookmarkStart w:id="108" w:name="_Toc37603075"/>
      <w:bookmarkEnd w:id="107"/>
      <w:r w:rsidRPr="00DB68CC">
        <w:rPr>
          <w:i w:val="0"/>
          <w:iCs/>
          <w:sz w:val="22"/>
          <w:szCs w:val="22"/>
          <w:lang w:val="es-ES_tradnl"/>
        </w:rPr>
        <w:t>Anexo 2: Lista de Países Miembros</w:t>
      </w:r>
      <w:bookmarkEnd w:id="108"/>
    </w:p>
    <w:p w14:paraId="4DCB200B" w14:textId="77777777" w:rsidR="00C00205" w:rsidRPr="00DB68CC" w:rsidRDefault="00C00205" w:rsidP="00C00205">
      <w:pPr>
        <w:jc w:val="center"/>
        <w:rPr>
          <w:rFonts w:ascii="Arial" w:hAnsi="Arial" w:cs="Arial"/>
          <w:sz w:val="22"/>
          <w:szCs w:val="22"/>
          <w:lang w:val="es-ES_tradnl"/>
        </w:rPr>
      </w:pPr>
    </w:p>
    <w:p w14:paraId="04992CF4" w14:textId="77777777" w:rsidR="00C00205" w:rsidRPr="00DB68CC" w:rsidRDefault="00C00205" w:rsidP="00C00205">
      <w:pPr>
        <w:pStyle w:val="NormalWeb"/>
        <w:spacing w:before="120" w:line="240" w:lineRule="auto"/>
        <w:jc w:val="both"/>
        <w:rPr>
          <w:rFonts w:ascii="Arial" w:hAnsi="Arial" w:cs="Arial"/>
          <w:sz w:val="22"/>
          <w:szCs w:val="22"/>
          <w:lang w:val="es-ES_tradnl"/>
        </w:rPr>
      </w:pPr>
      <w:r w:rsidRPr="00DB68CC">
        <w:rPr>
          <w:rFonts w:ascii="Arial" w:hAnsi="Arial" w:cs="Arial"/>
          <w:sz w:val="22"/>
          <w:szCs w:val="22"/>
          <w:lang w:val="es-ES_tradnl"/>
        </w:rPr>
        <w:t xml:space="preserve">El BID se creó en 1959 como una asociación entre 19 países latinoamericanos y Estados Unidos. Los países miembros originales del BID son Argentina, Bolivia, Brasil, Chile, Colombia, Costa Rica, Ecuador, El Salvador, Guatemala, Haití, Honduras, México, Nicaragua, Panamá, Paraguay, Perú, República Dominicana, Uruguay, Venezuela y Estados Unidos. </w:t>
      </w:r>
    </w:p>
    <w:p w14:paraId="035E2FC9" w14:textId="65AF1268" w:rsidR="00C00205" w:rsidRPr="00DB68CC" w:rsidRDefault="00C00205" w:rsidP="00C00205">
      <w:pPr>
        <w:pStyle w:val="NormalWeb"/>
        <w:spacing w:before="120" w:line="240" w:lineRule="auto"/>
        <w:jc w:val="both"/>
        <w:rPr>
          <w:rFonts w:ascii="Arial" w:hAnsi="Arial" w:cs="Arial"/>
          <w:sz w:val="22"/>
          <w:szCs w:val="22"/>
          <w:lang w:val="es-ES_tradnl"/>
        </w:rPr>
      </w:pPr>
      <w:r w:rsidRPr="00DB68CC">
        <w:rPr>
          <w:rFonts w:ascii="Arial" w:hAnsi="Arial" w:cs="Arial"/>
          <w:sz w:val="22"/>
          <w:szCs w:val="22"/>
          <w:lang w:val="es-ES_tradnl"/>
        </w:rPr>
        <w:t xml:space="preserve">El Banco actualmente tiene 48 países miembros, de los cuales 26 son </w:t>
      </w:r>
      <w:hyperlink r:id="rId21" w:history="1">
        <w:r w:rsidRPr="00DB68CC">
          <w:rPr>
            <w:rStyle w:val="Hyperlink"/>
            <w:rFonts w:ascii="Arial" w:hAnsi="Arial" w:cs="Arial"/>
            <w:sz w:val="22"/>
            <w:szCs w:val="22"/>
            <w:lang w:val="es-ES_tradnl"/>
          </w:rPr>
          <w:t>miembros prestatarios</w:t>
        </w:r>
      </w:hyperlink>
      <w:r w:rsidRPr="00DB68CC">
        <w:rPr>
          <w:rFonts w:ascii="Arial" w:hAnsi="Arial" w:cs="Arial"/>
          <w:sz w:val="22"/>
          <w:szCs w:val="22"/>
          <w:lang w:val="es-ES_tradnl"/>
        </w:rPr>
        <w:t xml:space="preserve"> en la región. </w:t>
      </w:r>
    </w:p>
    <w:tbl>
      <w:tblPr>
        <w:tblW w:w="8280" w:type="dxa"/>
        <w:jc w:val="center"/>
        <w:tblCellMar>
          <w:top w:w="15" w:type="dxa"/>
          <w:left w:w="15" w:type="dxa"/>
          <w:bottom w:w="15" w:type="dxa"/>
          <w:right w:w="15" w:type="dxa"/>
        </w:tblCellMar>
        <w:tblLook w:val="0000" w:firstRow="0" w:lastRow="0" w:firstColumn="0" w:lastColumn="0" w:noHBand="0" w:noVBand="0"/>
      </w:tblPr>
      <w:tblGrid>
        <w:gridCol w:w="8280"/>
      </w:tblGrid>
      <w:tr w:rsidR="00C00205" w:rsidRPr="00DB68CC" w14:paraId="0B3C9E1C" w14:textId="77777777" w:rsidTr="7B15385C">
        <w:trPr>
          <w:jc w:val="center"/>
        </w:trPr>
        <w:tc>
          <w:tcPr>
            <w:tcW w:w="0" w:type="auto"/>
            <w:tcMar>
              <w:top w:w="60" w:type="dxa"/>
              <w:left w:w="60" w:type="dxa"/>
              <w:bottom w:w="60" w:type="dxa"/>
              <w:right w:w="60" w:type="dxa"/>
            </w:tcMar>
            <w:vAlign w:val="center"/>
          </w:tcPr>
          <w:p w14:paraId="4F5BECC3" w14:textId="77777777" w:rsidR="00C00205" w:rsidRPr="00DB68CC" w:rsidRDefault="00C00205" w:rsidP="00C83E45">
            <w:pPr>
              <w:spacing w:before="120"/>
              <w:jc w:val="both"/>
              <w:rPr>
                <w:rFonts w:ascii="Arial" w:hAnsi="Arial" w:cs="Arial"/>
                <w:b/>
                <w:bCs/>
                <w:sz w:val="22"/>
                <w:szCs w:val="22"/>
                <w:lang w:val="es-ES_tradnl"/>
              </w:rPr>
            </w:pPr>
            <w:r w:rsidRPr="00DB68CC">
              <w:rPr>
                <w:rFonts w:ascii="Arial" w:hAnsi="Arial" w:cs="Arial"/>
                <w:b/>
                <w:bCs/>
                <w:sz w:val="22"/>
                <w:szCs w:val="22"/>
                <w:lang w:val="es-ES_tradnl"/>
              </w:rPr>
              <w:t xml:space="preserve">Países miembros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70"/>
              <w:gridCol w:w="2312"/>
              <w:gridCol w:w="2359"/>
            </w:tblGrid>
            <w:tr w:rsidR="00C00205" w:rsidRPr="00DB68CC" w14:paraId="3E025F40" w14:textId="77777777" w:rsidTr="00C83E45">
              <w:trPr>
                <w:trHeight w:val="380"/>
              </w:trPr>
              <w:tc>
                <w:tcPr>
                  <w:tcW w:w="2670" w:type="dxa"/>
                  <w:tcMar>
                    <w:top w:w="60" w:type="dxa"/>
                    <w:left w:w="60" w:type="dxa"/>
                    <w:bottom w:w="60" w:type="dxa"/>
                    <w:right w:w="60" w:type="dxa"/>
                  </w:tcMar>
                  <w:vAlign w:val="center"/>
                  <w:hideMark/>
                </w:tcPr>
                <w:p w14:paraId="1496DE44" w14:textId="77777777" w:rsidR="00C00205" w:rsidRPr="00DB68CC" w:rsidRDefault="00D72792" w:rsidP="00C83E45">
                  <w:pPr>
                    <w:contextualSpacing/>
                    <w:rPr>
                      <w:rFonts w:ascii="Arial" w:hAnsi="Arial" w:cs="Arial"/>
                      <w:color w:val="333333"/>
                      <w:sz w:val="22"/>
                      <w:szCs w:val="22"/>
                      <w:lang w:val="es-ES_tradnl"/>
                    </w:rPr>
                  </w:pPr>
                  <w:hyperlink r:id="rId22" w:history="1">
                    <w:r w:rsidR="00C00205" w:rsidRPr="00DB68CC">
                      <w:rPr>
                        <w:rFonts w:ascii="Arial" w:hAnsi="Arial" w:cs="Arial"/>
                        <w:color w:val="0066CC"/>
                        <w:sz w:val="22"/>
                        <w:szCs w:val="22"/>
                        <w:u w:val="single"/>
                        <w:lang w:val="es-ES_tradnl"/>
                      </w:rPr>
                      <w:t>Argentina</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7AD99FFB" w14:textId="77777777" w:rsidR="00C00205" w:rsidRPr="00DB68CC" w:rsidRDefault="00D72792" w:rsidP="00C83E45">
                  <w:pPr>
                    <w:contextualSpacing/>
                    <w:rPr>
                      <w:rFonts w:ascii="Arial" w:hAnsi="Arial" w:cs="Arial"/>
                      <w:color w:val="333333"/>
                      <w:sz w:val="22"/>
                      <w:szCs w:val="22"/>
                      <w:lang w:val="es-ES_tradnl"/>
                    </w:rPr>
                  </w:pPr>
                  <w:hyperlink r:id="rId23" w:history="1">
                    <w:r w:rsidR="00C00205" w:rsidRPr="00DB68CC">
                      <w:rPr>
                        <w:rFonts w:ascii="Arial" w:hAnsi="Arial" w:cs="Arial"/>
                        <w:color w:val="0066CC"/>
                        <w:sz w:val="22"/>
                        <w:szCs w:val="22"/>
                        <w:u w:val="single"/>
                        <w:lang w:val="es-ES_tradnl"/>
                      </w:rPr>
                      <w:t>Ecuador</w:t>
                    </w:r>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09DB52C1" w14:textId="77777777" w:rsidR="00C00205" w:rsidRPr="00DB68CC" w:rsidRDefault="00D72792" w:rsidP="00C83E45">
                  <w:pPr>
                    <w:contextualSpacing/>
                    <w:rPr>
                      <w:rFonts w:ascii="Arial" w:hAnsi="Arial" w:cs="Arial"/>
                      <w:color w:val="333333"/>
                      <w:sz w:val="22"/>
                      <w:szCs w:val="22"/>
                      <w:lang w:val="es-ES_tradnl"/>
                    </w:rPr>
                  </w:pPr>
                  <w:hyperlink r:id="rId24" w:history="1">
                    <w:r w:rsidR="00C00205" w:rsidRPr="00DB68CC">
                      <w:rPr>
                        <w:rFonts w:ascii="Arial" w:hAnsi="Arial" w:cs="Arial"/>
                        <w:color w:val="0066CC"/>
                        <w:sz w:val="22"/>
                        <w:szCs w:val="22"/>
                        <w:u w:val="single"/>
                        <w:lang w:val="es-ES_tradnl"/>
                      </w:rPr>
                      <w:t>Nicaragua</w:t>
                    </w:r>
                  </w:hyperlink>
                  <w:r w:rsidR="00C00205" w:rsidRPr="00DB68CC">
                    <w:rPr>
                      <w:rFonts w:ascii="Arial" w:hAnsi="Arial" w:cs="Arial"/>
                      <w:color w:val="333333"/>
                      <w:sz w:val="22"/>
                      <w:szCs w:val="22"/>
                      <w:lang w:val="es-ES_tradnl"/>
                    </w:rPr>
                    <w:t>* </w:t>
                  </w:r>
                </w:p>
              </w:tc>
            </w:tr>
            <w:tr w:rsidR="00C00205" w:rsidRPr="00DB68CC" w14:paraId="4C770AED" w14:textId="77777777" w:rsidTr="00C83E45">
              <w:trPr>
                <w:trHeight w:val="326"/>
              </w:trPr>
              <w:tc>
                <w:tcPr>
                  <w:tcW w:w="2670" w:type="dxa"/>
                  <w:tcMar>
                    <w:top w:w="60" w:type="dxa"/>
                    <w:left w:w="60" w:type="dxa"/>
                    <w:bottom w:w="60" w:type="dxa"/>
                    <w:right w:w="60" w:type="dxa"/>
                  </w:tcMar>
                  <w:vAlign w:val="center"/>
                  <w:hideMark/>
                </w:tcPr>
                <w:p w14:paraId="7C0CE95F" w14:textId="77777777" w:rsidR="00C00205" w:rsidRPr="00DB68CC" w:rsidRDefault="00C00205" w:rsidP="00C83E45">
                  <w:pPr>
                    <w:contextualSpacing/>
                    <w:rPr>
                      <w:rFonts w:ascii="Arial" w:hAnsi="Arial" w:cs="Arial"/>
                      <w:color w:val="333333"/>
                      <w:sz w:val="22"/>
                      <w:szCs w:val="22"/>
                      <w:lang w:val="es-ES_tradnl"/>
                    </w:rPr>
                  </w:pPr>
                  <w:r w:rsidRPr="00DB68CC">
                    <w:rPr>
                      <w:rFonts w:ascii="Arial" w:hAnsi="Arial" w:cs="Arial"/>
                      <w:color w:val="333333"/>
                      <w:sz w:val="22"/>
                      <w:szCs w:val="22"/>
                      <w:lang w:val="es-ES_tradnl"/>
                    </w:rPr>
                    <w:t>Austria* </w:t>
                  </w:r>
                </w:p>
              </w:tc>
              <w:tc>
                <w:tcPr>
                  <w:tcW w:w="2312" w:type="dxa"/>
                  <w:tcMar>
                    <w:top w:w="60" w:type="dxa"/>
                    <w:left w:w="60" w:type="dxa"/>
                    <w:bottom w:w="60" w:type="dxa"/>
                    <w:right w:w="60" w:type="dxa"/>
                  </w:tcMar>
                  <w:vAlign w:val="center"/>
                  <w:hideMark/>
                </w:tcPr>
                <w:p w14:paraId="1661DA86" w14:textId="77777777" w:rsidR="00C00205" w:rsidRPr="00DB68CC" w:rsidRDefault="00D72792" w:rsidP="00C83E45">
                  <w:pPr>
                    <w:contextualSpacing/>
                    <w:rPr>
                      <w:rFonts w:ascii="Arial" w:hAnsi="Arial" w:cs="Arial"/>
                      <w:color w:val="333333"/>
                      <w:sz w:val="22"/>
                      <w:szCs w:val="22"/>
                      <w:lang w:val="es-ES_tradnl"/>
                    </w:rPr>
                  </w:pPr>
                  <w:hyperlink r:id="rId25" w:history="1">
                    <w:r w:rsidR="00C00205" w:rsidRPr="00DB68CC">
                      <w:rPr>
                        <w:rFonts w:ascii="Arial" w:hAnsi="Arial" w:cs="Arial"/>
                        <w:color w:val="0066CC"/>
                        <w:sz w:val="22"/>
                        <w:szCs w:val="22"/>
                        <w:u w:val="single"/>
                        <w:lang w:val="es-ES_tradnl"/>
                      </w:rPr>
                      <w:t>El Salvador</w:t>
                    </w:r>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430907A5"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Norway</w:t>
                  </w:r>
                  <w:proofErr w:type="spellEnd"/>
                  <w:r w:rsidRPr="00DB68CC">
                    <w:rPr>
                      <w:rFonts w:ascii="Arial" w:hAnsi="Arial" w:cs="Arial"/>
                      <w:color w:val="333333"/>
                      <w:sz w:val="22"/>
                      <w:szCs w:val="22"/>
                      <w:lang w:val="es-ES_tradnl"/>
                    </w:rPr>
                    <w:t>*</w:t>
                  </w:r>
                </w:p>
              </w:tc>
            </w:tr>
            <w:tr w:rsidR="00C00205" w:rsidRPr="00DB68CC" w14:paraId="1B77F733" w14:textId="77777777" w:rsidTr="00C83E45">
              <w:trPr>
                <w:trHeight w:val="407"/>
              </w:trPr>
              <w:tc>
                <w:tcPr>
                  <w:tcW w:w="2670" w:type="dxa"/>
                  <w:tcMar>
                    <w:top w:w="60" w:type="dxa"/>
                    <w:left w:w="60" w:type="dxa"/>
                    <w:bottom w:w="60" w:type="dxa"/>
                    <w:right w:w="60" w:type="dxa"/>
                  </w:tcMar>
                  <w:vAlign w:val="center"/>
                  <w:hideMark/>
                </w:tcPr>
                <w:p w14:paraId="0DEAF29A" w14:textId="77777777" w:rsidR="00C00205" w:rsidRPr="00DB68CC" w:rsidRDefault="00D72792" w:rsidP="00C83E45">
                  <w:pPr>
                    <w:contextualSpacing/>
                    <w:rPr>
                      <w:rFonts w:ascii="Arial" w:hAnsi="Arial" w:cs="Arial"/>
                      <w:color w:val="333333"/>
                      <w:sz w:val="22"/>
                      <w:szCs w:val="22"/>
                      <w:lang w:val="es-ES_tradnl"/>
                    </w:rPr>
                  </w:pPr>
                  <w:hyperlink r:id="rId26" w:history="1">
                    <w:r w:rsidR="00C00205" w:rsidRPr="00DB68CC">
                      <w:rPr>
                        <w:rFonts w:ascii="Arial" w:hAnsi="Arial" w:cs="Arial"/>
                        <w:color w:val="0066CC"/>
                        <w:sz w:val="22"/>
                        <w:szCs w:val="22"/>
                        <w:u w:val="single"/>
                        <w:lang w:val="es-ES_tradnl"/>
                      </w:rPr>
                      <w:t>Bahamas</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0969C2E2"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Finland</w:t>
                  </w:r>
                  <w:proofErr w:type="spellEnd"/>
                  <w:r w:rsidRPr="00DB68CC">
                    <w:rPr>
                      <w:rFonts w:ascii="Arial" w:hAnsi="Arial" w:cs="Arial"/>
                      <w:color w:val="333333"/>
                      <w:sz w:val="22"/>
                      <w:szCs w:val="22"/>
                      <w:lang w:val="es-ES_tradnl"/>
                    </w:rPr>
                    <w:t>*</w:t>
                  </w:r>
                </w:p>
              </w:tc>
              <w:tc>
                <w:tcPr>
                  <w:tcW w:w="0" w:type="auto"/>
                  <w:tcMar>
                    <w:top w:w="60" w:type="dxa"/>
                    <w:left w:w="60" w:type="dxa"/>
                    <w:bottom w:w="60" w:type="dxa"/>
                    <w:right w:w="60" w:type="dxa"/>
                  </w:tcMar>
                  <w:vAlign w:val="center"/>
                  <w:hideMark/>
                </w:tcPr>
                <w:p w14:paraId="39660FC6" w14:textId="77777777" w:rsidR="00C00205" w:rsidRPr="00DB68CC" w:rsidRDefault="00D72792" w:rsidP="00C83E45">
                  <w:pPr>
                    <w:contextualSpacing/>
                    <w:rPr>
                      <w:rFonts w:ascii="Arial" w:hAnsi="Arial" w:cs="Arial"/>
                      <w:color w:val="333333"/>
                      <w:sz w:val="22"/>
                      <w:szCs w:val="22"/>
                      <w:lang w:val="es-ES_tradnl"/>
                    </w:rPr>
                  </w:pPr>
                  <w:hyperlink r:id="rId27" w:history="1">
                    <w:proofErr w:type="spellStart"/>
                    <w:r w:rsidR="00C00205" w:rsidRPr="00DB68CC">
                      <w:rPr>
                        <w:rFonts w:ascii="Arial" w:hAnsi="Arial" w:cs="Arial"/>
                        <w:color w:val="0066CC"/>
                        <w:sz w:val="22"/>
                        <w:szCs w:val="22"/>
                        <w:u w:val="single"/>
                        <w:lang w:val="es-ES_tradnl"/>
                      </w:rPr>
                      <w:t>Panama</w:t>
                    </w:r>
                    <w:proofErr w:type="spellEnd"/>
                  </w:hyperlink>
                  <w:r w:rsidR="00C00205" w:rsidRPr="00DB68CC">
                    <w:rPr>
                      <w:rFonts w:ascii="Arial" w:hAnsi="Arial" w:cs="Arial"/>
                      <w:color w:val="333333"/>
                      <w:sz w:val="22"/>
                      <w:szCs w:val="22"/>
                      <w:lang w:val="es-ES_tradnl"/>
                    </w:rPr>
                    <w:t>* </w:t>
                  </w:r>
                </w:p>
              </w:tc>
            </w:tr>
            <w:tr w:rsidR="00C00205" w:rsidRPr="00DB68CC" w14:paraId="3A4BFFC8" w14:textId="77777777" w:rsidTr="00C83E45">
              <w:trPr>
                <w:trHeight w:val="236"/>
              </w:trPr>
              <w:tc>
                <w:tcPr>
                  <w:tcW w:w="2670" w:type="dxa"/>
                  <w:tcMar>
                    <w:top w:w="60" w:type="dxa"/>
                    <w:left w:w="60" w:type="dxa"/>
                    <w:bottom w:w="60" w:type="dxa"/>
                    <w:right w:w="60" w:type="dxa"/>
                  </w:tcMar>
                  <w:vAlign w:val="center"/>
                  <w:hideMark/>
                </w:tcPr>
                <w:p w14:paraId="645311F4" w14:textId="77777777" w:rsidR="00C00205" w:rsidRPr="00DB68CC" w:rsidRDefault="00D72792" w:rsidP="00C83E45">
                  <w:pPr>
                    <w:contextualSpacing/>
                    <w:rPr>
                      <w:rFonts w:ascii="Arial" w:hAnsi="Arial" w:cs="Arial"/>
                      <w:color w:val="333333"/>
                      <w:sz w:val="22"/>
                      <w:szCs w:val="22"/>
                      <w:lang w:val="es-ES_tradnl"/>
                    </w:rPr>
                  </w:pPr>
                  <w:hyperlink r:id="rId28" w:history="1">
                    <w:r w:rsidR="00C00205" w:rsidRPr="00DB68CC">
                      <w:rPr>
                        <w:rFonts w:ascii="Arial" w:hAnsi="Arial" w:cs="Arial"/>
                        <w:color w:val="0066CC"/>
                        <w:sz w:val="22"/>
                        <w:szCs w:val="22"/>
                        <w:u w:val="single"/>
                        <w:lang w:val="es-ES_tradnl"/>
                      </w:rPr>
                      <w:t>Barbados</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61E4A0D8" w14:textId="77777777" w:rsidR="00C00205" w:rsidRPr="00DB68CC" w:rsidRDefault="00C00205" w:rsidP="00C83E45">
                  <w:pPr>
                    <w:contextualSpacing/>
                    <w:rPr>
                      <w:rFonts w:ascii="Arial" w:hAnsi="Arial" w:cs="Arial"/>
                      <w:color w:val="333333"/>
                      <w:sz w:val="22"/>
                      <w:szCs w:val="22"/>
                      <w:lang w:val="es-ES_tradnl"/>
                    </w:rPr>
                  </w:pPr>
                  <w:r w:rsidRPr="00DB68CC">
                    <w:rPr>
                      <w:rFonts w:ascii="Arial" w:hAnsi="Arial" w:cs="Arial"/>
                      <w:color w:val="333333"/>
                      <w:sz w:val="22"/>
                      <w:szCs w:val="22"/>
                      <w:lang w:val="es-ES_tradnl"/>
                    </w:rPr>
                    <w:t>France*</w:t>
                  </w:r>
                </w:p>
              </w:tc>
              <w:tc>
                <w:tcPr>
                  <w:tcW w:w="0" w:type="auto"/>
                  <w:tcMar>
                    <w:top w:w="60" w:type="dxa"/>
                    <w:left w:w="60" w:type="dxa"/>
                    <w:bottom w:w="60" w:type="dxa"/>
                    <w:right w:w="60" w:type="dxa"/>
                  </w:tcMar>
                  <w:vAlign w:val="center"/>
                  <w:hideMark/>
                </w:tcPr>
                <w:p w14:paraId="1AFB6B31" w14:textId="77777777" w:rsidR="00C00205" w:rsidRPr="00DB68CC" w:rsidRDefault="00D72792" w:rsidP="00C83E45">
                  <w:pPr>
                    <w:contextualSpacing/>
                    <w:rPr>
                      <w:rFonts w:ascii="Arial" w:hAnsi="Arial" w:cs="Arial"/>
                      <w:color w:val="333333"/>
                      <w:sz w:val="22"/>
                      <w:szCs w:val="22"/>
                      <w:lang w:val="es-ES_tradnl"/>
                    </w:rPr>
                  </w:pPr>
                  <w:hyperlink r:id="rId29" w:history="1">
                    <w:r w:rsidR="00C00205" w:rsidRPr="00DB68CC">
                      <w:rPr>
                        <w:rFonts w:ascii="Arial" w:hAnsi="Arial" w:cs="Arial"/>
                        <w:color w:val="0066CC"/>
                        <w:sz w:val="22"/>
                        <w:szCs w:val="22"/>
                        <w:u w:val="single"/>
                        <w:lang w:val="es-ES_tradnl"/>
                      </w:rPr>
                      <w:t>Paraguay</w:t>
                    </w:r>
                  </w:hyperlink>
                  <w:r w:rsidR="00C00205" w:rsidRPr="00DB68CC">
                    <w:rPr>
                      <w:rFonts w:ascii="Arial" w:hAnsi="Arial" w:cs="Arial"/>
                      <w:color w:val="333333"/>
                      <w:sz w:val="22"/>
                      <w:szCs w:val="22"/>
                      <w:lang w:val="es-ES_tradnl"/>
                    </w:rPr>
                    <w:t>* </w:t>
                  </w:r>
                </w:p>
              </w:tc>
            </w:tr>
            <w:tr w:rsidR="00C00205" w:rsidRPr="00DB68CC" w14:paraId="464296A4" w14:textId="77777777" w:rsidTr="00C83E45">
              <w:trPr>
                <w:trHeight w:val="317"/>
              </w:trPr>
              <w:tc>
                <w:tcPr>
                  <w:tcW w:w="2670" w:type="dxa"/>
                  <w:tcMar>
                    <w:top w:w="60" w:type="dxa"/>
                    <w:left w:w="60" w:type="dxa"/>
                    <w:bottom w:w="60" w:type="dxa"/>
                    <w:right w:w="60" w:type="dxa"/>
                  </w:tcMar>
                  <w:vAlign w:val="center"/>
                  <w:hideMark/>
                </w:tcPr>
                <w:p w14:paraId="10A0725A"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Belgium</w:t>
                  </w:r>
                  <w:proofErr w:type="spellEnd"/>
                  <w:r w:rsidRPr="00DB68CC">
                    <w:rPr>
                      <w:rFonts w:ascii="Arial" w:hAnsi="Arial" w:cs="Arial"/>
                      <w:color w:val="333333"/>
                      <w:sz w:val="22"/>
                      <w:szCs w:val="22"/>
                      <w:lang w:val="es-ES_tradnl"/>
                    </w:rPr>
                    <w:t>*</w:t>
                  </w:r>
                </w:p>
              </w:tc>
              <w:tc>
                <w:tcPr>
                  <w:tcW w:w="2312" w:type="dxa"/>
                  <w:tcMar>
                    <w:top w:w="60" w:type="dxa"/>
                    <w:left w:w="60" w:type="dxa"/>
                    <w:bottom w:w="60" w:type="dxa"/>
                    <w:right w:w="60" w:type="dxa"/>
                  </w:tcMar>
                  <w:vAlign w:val="center"/>
                  <w:hideMark/>
                </w:tcPr>
                <w:p w14:paraId="764FA03D"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Germany</w:t>
                  </w:r>
                  <w:proofErr w:type="spellEnd"/>
                  <w:r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67C3312E" w14:textId="77777777" w:rsidR="00C00205" w:rsidRPr="00DB68CC" w:rsidRDefault="00D72792" w:rsidP="00C83E45">
                  <w:pPr>
                    <w:contextualSpacing/>
                    <w:rPr>
                      <w:rFonts w:ascii="Arial" w:hAnsi="Arial" w:cs="Arial"/>
                      <w:color w:val="333333"/>
                      <w:sz w:val="22"/>
                      <w:szCs w:val="22"/>
                      <w:lang w:val="es-ES_tradnl"/>
                    </w:rPr>
                  </w:pPr>
                  <w:hyperlink r:id="rId30" w:history="1">
                    <w:proofErr w:type="spellStart"/>
                    <w:r w:rsidR="00C00205" w:rsidRPr="00DB68CC">
                      <w:rPr>
                        <w:rFonts w:ascii="Arial" w:hAnsi="Arial" w:cs="Arial"/>
                        <w:color w:val="0066CC"/>
                        <w:sz w:val="22"/>
                        <w:szCs w:val="22"/>
                        <w:u w:val="single"/>
                        <w:lang w:val="es-ES_tradnl"/>
                      </w:rPr>
                      <w:t>Peru</w:t>
                    </w:r>
                    <w:proofErr w:type="spellEnd"/>
                  </w:hyperlink>
                  <w:r w:rsidR="00C00205" w:rsidRPr="00DB68CC">
                    <w:rPr>
                      <w:rFonts w:ascii="Arial" w:hAnsi="Arial" w:cs="Arial"/>
                      <w:color w:val="333333"/>
                      <w:sz w:val="22"/>
                      <w:szCs w:val="22"/>
                      <w:lang w:val="es-ES_tradnl"/>
                    </w:rPr>
                    <w:t>* </w:t>
                  </w:r>
                </w:p>
              </w:tc>
            </w:tr>
            <w:tr w:rsidR="00C00205" w:rsidRPr="00DB68CC" w14:paraId="07EA7A6D" w14:textId="77777777" w:rsidTr="00C83E45">
              <w:trPr>
                <w:trHeight w:val="317"/>
              </w:trPr>
              <w:tc>
                <w:tcPr>
                  <w:tcW w:w="2670" w:type="dxa"/>
                  <w:tcMar>
                    <w:top w:w="60" w:type="dxa"/>
                    <w:left w:w="60" w:type="dxa"/>
                    <w:bottom w:w="60" w:type="dxa"/>
                    <w:right w:w="60" w:type="dxa"/>
                  </w:tcMar>
                  <w:vAlign w:val="center"/>
                  <w:hideMark/>
                </w:tcPr>
                <w:p w14:paraId="0399DEC2" w14:textId="77777777" w:rsidR="00C00205" w:rsidRPr="00DB68CC" w:rsidRDefault="00D72792" w:rsidP="00C83E45">
                  <w:pPr>
                    <w:contextualSpacing/>
                    <w:rPr>
                      <w:rFonts w:ascii="Arial" w:hAnsi="Arial" w:cs="Arial"/>
                      <w:color w:val="333333"/>
                      <w:sz w:val="22"/>
                      <w:szCs w:val="22"/>
                      <w:lang w:val="es-ES_tradnl"/>
                    </w:rPr>
                  </w:pPr>
                  <w:hyperlink r:id="rId31" w:history="1">
                    <w:proofErr w:type="spellStart"/>
                    <w:r w:rsidR="00C00205" w:rsidRPr="00DB68CC">
                      <w:rPr>
                        <w:rFonts w:ascii="Arial" w:hAnsi="Arial" w:cs="Arial"/>
                        <w:color w:val="0066CC"/>
                        <w:sz w:val="22"/>
                        <w:szCs w:val="22"/>
                        <w:u w:val="single"/>
                        <w:lang w:val="es-ES_tradnl"/>
                      </w:rPr>
                      <w:t>Belize</w:t>
                    </w:r>
                    <w:proofErr w:type="spellEnd"/>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41036F66" w14:textId="77777777" w:rsidR="00C00205" w:rsidRPr="00DB68CC" w:rsidRDefault="00D72792" w:rsidP="00C83E45">
                  <w:pPr>
                    <w:contextualSpacing/>
                    <w:rPr>
                      <w:rFonts w:ascii="Arial" w:hAnsi="Arial" w:cs="Arial"/>
                      <w:color w:val="333333"/>
                      <w:sz w:val="22"/>
                      <w:szCs w:val="22"/>
                      <w:lang w:val="es-ES_tradnl"/>
                    </w:rPr>
                  </w:pPr>
                  <w:hyperlink r:id="rId32" w:history="1">
                    <w:r w:rsidR="00C00205" w:rsidRPr="00DB68CC">
                      <w:rPr>
                        <w:rFonts w:ascii="Arial" w:hAnsi="Arial" w:cs="Arial"/>
                        <w:color w:val="0066CC"/>
                        <w:sz w:val="22"/>
                        <w:szCs w:val="22"/>
                        <w:u w:val="single"/>
                        <w:lang w:val="es-ES_tradnl"/>
                      </w:rPr>
                      <w:t>Guatemala</w:t>
                    </w:r>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3BD57B5D" w14:textId="77777777" w:rsidR="00C00205" w:rsidRPr="00DB68CC" w:rsidRDefault="00C00205" w:rsidP="00C83E45">
                  <w:pPr>
                    <w:contextualSpacing/>
                    <w:rPr>
                      <w:rFonts w:ascii="Arial" w:hAnsi="Arial" w:cs="Arial"/>
                      <w:color w:val="333333"/>
                      <w:sz w:val="22"/>
                      <w:szCs w:val="22"/>
                      <w:lang w:val="es-ES_tradnl"/>
                    </w:rPr>
                  </w:pPr>
                  <w:r w:rsidRPr="00DB68CC">
                    <w:rPr>
                      <w:rFonts w:ascii="Arial" w:hAnsi="Arial" w:cs="Arial"/>
                      <w:color w:val="333333"/>
                      <w:sz w:val="22"/>
                      <w:szCs w:val="22"/>
                      <w:lang w:val="es-ES_tradnl"/>
                    </w:rPr>
                    <w:t>Portugal*</w:t>
                  </w:r>
                </w:p>
              </w:tc>
            </w:tr>
            <w:tr w:rsidR="00C00205" w:rsidRPr="00DB68CC" w14:paraId="705D5A2D" w14:textId="77777777" w:rsidTr="00C83E45">
              <w:trPr>
                <w:trHeight w:val="317"/>
              </w:trPr>
              <w:tc>
                <w:tcPr>
                  <w:tcW w:w="2670" w:type="dxa"/>
                  <w:tcMar>
                    <w:top w:w="60" w:type="dxa"/>
                    <w:left w:w="60" w:type="dxa"/>
                    <w:bottom w:w="60" w:type="dxa"/>
                    <w:right w:w="60" w:type="dxa"/>
                  </w:tcMar>
                  <w:vAlign w:val="center"/>
                  <w:hideMark/>
                </w:tcPr>
                <w:p w14:paraId="496760B1" w14:textId="77777777" w:rsidR="00C00205" w:rsidRPr="00DB68CC" w:rsidRDefault="00D72792" w:rsidP="00C83E45">
                  <w:pPr>
                    <w:contextualSpacing/>
                    <w:rPr>
                      <w:rFonts w:ascii="Arial" w:hAnsi="Arial" w:cs="Arial"/>
                      <w:color w:val="333333"/>
                      <w:sz w:val="22"/>
                      <w:szCs w:val="22"/>
                      <w:lang w:val="es-ES_tradnl"/>
                    </w:rPr>
                  </w:pPr>
                  <w:hyperlink r:id="rId33" w:history="1">
                    <w:r w:rsidR="00C00205" w:rsidRPr="00DB68CC">
                      <w:rPr>
                        <w:rFonts w:ascii="Arial" w:hAnsi="Arial" w:cs="Arial"/>
                        <w:color w:val="0066CC"/>
                        <w:sz w:val="22"/>
                        <w:szCs w:val="22"/>
                        <w:u w:val="single"/>
                        <w:lang w:val="es-ES_tradnl"/>
                      </w:rPr>
                      <w:t>Bolivia</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1DF54FE1" w14:textId="77777777" w:rsidR="00C00205" w:rsidRPr="00DB68CC" w:rsidRDefault="00D72792" w:rsidP="00C83E45">
                  <w:pPr>
                    <w:contextualSpacing/>
                    <w:rPr>
                      <w:rFonts w:ascii="Arial" w:hAnsi="Arial" w:cs="Arial"/>
                      <w:color w:val="333333"/>
                      <w:sz w:val="22"/>
                      <w:szCs w:val="22"/>
                      <w:lang w:val="es-ES_tradnl"/>
                    </w:rPr>
                  </w:pPr>
                  <w:hyperlink r:id="rId34" w:history="1">
                    <w:r w:rsidR="00C00205" w:rsidRPr="00DB68CC">
                      <w:rPr>
                        <w:rFonts w:ascii="Arial" w:hAnsi="Arial" w:cs="Arial"/>
                        <w:color w:val="0066CC"/>
                        <w:sz w:val="22"/>
                        <w:szCs w:val="22"/>
                        <w:u w:val="single"/>
                        <w:lang w:val="es-ES_tradnl"/>
                      </w:rPr>
                      <w:t>Guyana</w:t>
                    </w:r>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67061B97"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Slovenia</w:t>
                  </w:r>
                  <w:proofErr w:type="spellEnd"/>
                </w:p>
              </w:tc>
            </w:tr>
            <w:tr w:rsidR="00C00205" w:rsidRPr="00DB68CC" w14:paraId="3329FFFB" w14:textId="77777777" w:rsidTr="00C83E45">
              <w:trPr>
                <w:trHeight w:val="317"/>
              </w:trPr>
              <w:tc>
                <w:tcPr>
                  <w:tcW w:w="2670" w:type="dxa"/>
                  <w:tcMar>
                    <w:top w:w="60" w:type="dxa"/>
                    <w:left w:w="60" w:type="dxa"/>
                    <w:bottom w:w="60" w:type="dxa"/>
                    <w:right w:w="60" w:type="dxa"/>
                  </w:tcMar>
                  <w:vAlign w:val="center"/>
                  <w:hideMark/>
                </w:tcPr>
                <w:p w14:paraId="485966E2" w14:textId="77777777" w:rsidR="00C00205" w:rsidRPr="00DB68CC" w:rsidRDefault="00D72792" w:rsidP="00C83E45">
                  <w:pPr>
                    <w:contextualSpacing/>
                    <w:rPr>
                      <w:rFonts w:ascii="Arial" w:hAnsi="Arial" w:cs="Arial"/>
                      <w:color w:val="333333"/>
                      <w:sz w:val="22"/>
                      <w:szCs w:val="22"/>
                      <w:lang w:val="es-ES_tradnl"/>
                    </w:rPr>
                  </w:pPr>
                  <w:hyperlink r:id="rId35" w:history="1">
                    <w:proofErr w:type="spellStart"/>
                    <w:r w:rsidR="00C00205" w:rsidRPr="00DB68CC">
                      <w:rPr>
                        <w:rFonts w:ascii="Arial" w:hAnsi="Arial" w:cs="Arial"/>
                        <w:color w:val="0066CC"/>
                        <w:sz w:val="22"/>
                        <w:szCs w:val="22"/>
                        <w:u w:val="single"/>
                        <w:lang w:val="es-ES_tradnl"/>
                      </w:rPr>
                      <w:t>Brazil</w:t>
                    </w:r>
                    <w:proofErr w:type="spellEnd"/>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28CCD3BB" w14:textId="77777777" w:rsidR="00C00205" w:rsidRPr="00DB68CC" w:rsidRDefault="00D72792" w:rsidP="00C83E45">
                  <w:pPr>
                    <w:contextualSpacing/>
                    <w:rPr>
                      <w:rFonts w:ascii="Arial" w:hAnsi="Arial" w:cs="Arial"/>
                      <w:color w:val="333333"/>
                      <w:sz w:val="22"/>
                      <w:szCs w:val="22"/>
                      <w:lang w:val="es-ES_tradnl"/>
                    </w:rPr>
                  </w:pPr>
                  <w:hyperlink r:id="rId36" w:history="1">
                    <w:proofErr w:type="spellStart"/>
                    <w:r w:rsidR="00C00205" w:rsidRPr="00DB68CC">
                      <w:rPr>
                        <w:rFonts w:ascii="Arial" w:hAnsi="Arial" w:cs="Arial"/>
                        <w:color w:val="0066CC"/>
                        <w:sz w:val="22"/>
                        <w:szCs w:val="22"/>
                        <w:u w:val="single"/>
                        <w:lang w:val="es-ES_tradnl"/>
                      </w:rPr>
                      <w:t>Haiti</w:t>
                    </w:r>
                    <w:proofErr w:type="spellEnd"/>
                  </w:hyperlink>
                  <w:r w:rsidR="00C00205" w:rsidRPr="00DB68CC">
                    <w:rPr>
                      <w:rFonts w:ascii="Arial" w:hAnsi="Arial" w:cs="Arial"/>
                      <w:color w:val="333333"/>
                      <w:sz w:val="22"/>
                      <w:szCs w:val="22"/>
                      <w:lang w:val="es-ES_tradnl"/>
                    </w:rPr>
                    <w:t>*</w:t>
                  </w:r>
                </w:p>
              </w:tc>
              <w:tc>
                <w:tcPr>
                  <w:tcW w:w="0" w:type="auto"/>
                  <w:tcMar>
                    <w:top w:w="60" w:type="dxa"/>
                    <w:left w:w="60" w:type="dxa"/>
                    <w:bottom w:w="60" w:type="dxa"/>
                    <w:right w:w="60" w:type="dxa"/>
                  </w:tcMar>
                  <w:vAlign w:val="center"/>
                  <w:hideMark/>
                </w:tcPr>
                <w:p w14:paraId="54E3686D"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Spain</w:t>
                  </w:r>
                  <w:proofErr w:type="spellEnd"/>
                  <w:r w:rsidRPr="00DB68CC">
                    <w:rPr>
                      <w:rFonts w:ascii="Arial" w:hAnsi="Arial" w:cs="Arial"/>
                      <w:color w:val="333333"/>
                      <w:sz w:val="22"/>
                      <w:szCs w:val="22"/>
                      <w:lang w:val="es-ES_tradnl"/>
                    </w:rPr>
                    <w:t>* </w:t>
                  </w:r>
                </w:p>
              </w:tc>
            </w:tr>
            <w:tr w:rsidR="00C00205" w:rsidRPr="00DB68CC" w14:paraId="61C82912" w14:textId="77777777" w:rsidTr="00C83E45">
              <w:trPr>
                <w:trHeight w:val="326"/>
              </w:trPr>
              <w:tc>
                <w:tcPr>
                  <w:tcW w:w="2670" w:type="dxa"/>
                  <w:tcMar>
                    <w:top w:w="60" w:type="dxa"/>
                    <w:left w:w="60" w:type="dxa"/>
                    <w:bottom w:w="60" w:type="dxa"/>
                    <w:right w:w="60" w:type="dxa"/>
                  </w:tcMar>
                  <w:vAlign w:val="center"/>
                  <w:hideMark/>
                </w:tcPr>
                <w:p w14:paraId="6D4E069D"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Canada</w:t>
                  </w:r>
                  <w:proofErr w:type="spellEnd"/>
                  <w:r w:rsidRPr="00DB68CC">
                    <w:rPr>
                      <w:rFonts w:ascii="Arial" w:hAnsi="Arial" w:cs="Arial"/>
                      <w:color w:val="333333"/>
                      <w:sz w:val="22"/>
                      <w:szCs w:val="22"/>
                      <w:lang w:val="es-ES_tradnl"/>
                    </w:rPr>
                    <w:t>*</w:t>
                  </w:r>
                </w:p>
              </w:tc>
              <w:tc>
                <w:tcPr>
                  <w:tcW w:w="2312" w:type="dxa"/>
                  <w:tcMar>
                    <w:top w:w="60" w:type="dxa"/>
                    <w:left w:w="60" w:type="dxa"/>
                    <w:bottom w:w="60" w:type="dxa"/>
                    <w:right w:w="60" w:type="dxa"/>
                  </w:tcMar>
                  <w:vAlign w:val="center"/>
                  <w:hideMark/>
                </w:tcPr>
                <w:p w14:paraId="6560AB58" w14:textId="77777777" w:rsidR="00C00205" w:rsidRPr="00DB68CC" w:rsidRDefault="00D72792" w:rsidP="00C83E45">
                  <w:pPr>
                    <w:contextualSpacing/>
                    <w:rPr>
                      <w:rFonts w:ascii="Arial" w:hAnsi="Arial" w:cs="Arial"/>
                      <w:color w:val="333333"/>
                      <w:sz w:val="22"/>
                      <w:szCs w:val="22"/>
                      <w:lang w:val="es-ES_tradnl"/>
                    </w:rPr>
                  </w:pPr>
                  <w:hyperlink r:id="rId37" w:history="1">
                    <w:r w:rsidR="00C00205" w:rsidRPr="00DB68CC">
                      <w:rPr>
                        <w:rFonts w:ascii="Arial" w:hAnsi="Arial" w:cs="Arial"/>
                        <w:color w:val="0066CC"/>
                        <w:sz w:val="22"/>
                        <w:szCs w:val="22"/>
                        <w:u w:val="single"/>
                        <w:lang w:val="es-ES_tradnl"/>
                      </w:rPr>
                      <w:t>Honduras</w:t>
                    </w:r>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489A47FA" w14:textId="77777777" w:rsidR="00C00205" w:rsidRPr="00DB68CC" w:rsidRDefault="00D72792" w:rsidP="00C83E45">
                  <w:pPr>
                    <w:contextualSpacing/>
                    <w:rPr>
                      <w:rFonts w:ascii="Arial" w:hAnsi="Arial" w:cs="Arial"/>
                      <w:color w:val="333333"/>
                      <w:sz w:val="22"/>
                      <w:szCs w:val="22"/>
                      <w:lang w:val="es-ES_tradnl"/>
                    </w:rPr>
                  </w:pPr>
                  <w:hyperlink r:id="rId38" w:history="1">
                    <w:proofErr w:type="spellStart"/>
                    <w:r w:rsidR="00C00205" w:rsidRPr="00DB68CC">
                      <w:rPr>
                        <w:rFonts w:ascii="Arial" w:hAnsi="Arial" w:cs="Arial"/>
                        <w:color w:val="0066CC"/>
                        <w:sz w:val="22"/>
                        <w:szCs w:val="22"/>
                        <w:u w:val="single"/>
                        <w:lang w:val="es-ES_tradnl"/>
                      </w:rPr>
                      <w:t>Suriname</w:t>
                    </w:r>
                    <w:proofErr w:type="spellEnd"/>
                  </w:hyperlink>
                  <w:r w:rsidR="00C00205" w:rsidRPr="00DB68CC">
                    <w:rPr>
                      <w:rFonts w:ascii="Arial" w:hAnsi="Arial" w:cs="Arial"/>
                      <w:color w:val="333333"/>
                      <w:sz w:val="22"/>
                      <w:szCs w:val="22"/>
                      <w:lang w:val="es-ES_tradnl"/>
                    </w:rPr>
                    <w:t>* </w:t>
                  </w:r>
                </w:p>
              </w:tc>
            </w:tr>
            <w:tr w:rsidR="00C00205" w:rsidRPr="00DB68CC" w14:paraId="3BEA79B9" w14:textId="77777777" w:rsidTr="00C83E45">
              <w:trPr>
                <w:trHeight w:val="317"/>
              </w:trPr>
              <w:tc>
                <w:tcPr>
                  <w:tcW w:w="2670" w:type="dxa"/>
                  <w:tcMar>
                    <w:top w:w="60" w:type="dxa"/>
                    <w:left w:w="60" w:type="dxa"/>
                    <w:bottom w:w="60" w:type="dxa"/>
                    <w:right w:w="60" w:type="dxa"/>
                  </w:tcMar>
                  <w:vAlign w:val="center"/>
                  <w:hideMark/>
                </w:tcPr>
                <w:p w14:paraId="56DC7CEA" w14:textId="77777777" w:rsidR="00C00205" w:rsidRPr="00DB68CC" w:rsidRDefault="00D72792" w:rsidP="00C83E45">
                  <w:pPr>
                    <w:contextualSpacing/>
                    <w:rPr>
                      <w:rFonts w:ascii="Arial" w:hAnsi="Arial" w:cs="Arial"/>
                      <w:color w:val="333333"/>
                      <w:sz w:val="22"/>
                      <w:szCs w:val="22"/>
                      <w:lang w:val="es-ES_tradnl"/>
                    </w:rPr>
                  </w:pPr>
                  <w:hyperlink r:id="rId39" w:history="1">
                    <w:r w:rsidR="00C00205" w:rsidRPr="00DB68CC">
                      <w:rPr>
                        <w:rFonts w:ascii="Arial" w:hAnsi="Arial" w:cs="Arial"/>
                        <w:color w:val="0066CC"/>
                        <w:sz w:val="22"/>
                        <w:szCs w:val="22"/>
                        <w:u w:val="single"/>
                        <w:lang w:val="es-ES_tradnl"/>
                      </w:rPr>
                      <w:t>Chile</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63B113FE" w14:textId="77777777" w:rsidR="00C00205" w:rsidRPr="00DB68CC" w:rsidRDefault="00C00205" w:rsidP="00C83E45">
                  <w:pPr>
                    <w:contextualSpacing/>
                    <w:rPr>
                      <w:rFonts w:ascii="Arial" w:hAnsi="Arial" w:cs="Arial"/>
                      <w:color w:val="333333"/>
                      <w:sz w:val="22"/>
                      <w:szCs w:val="22"/>
                      <w:lang w:val="es-ES_tradnl"/>
                    </w:rPr>
                  </w:pPr>
                  <w:r w:rsidRPr="00DB68CC">
                    <w:rPr>
                      <w:rFonts w:ascii="Arial" w:hAnsi="Arial" w:cs="Arial"/>
                      <w:color w:val="333333"/>
                      <w:sz w:val="22"/>
                      <w:szCs w:val="22"/>
                      <w:lang w:val="es-ES_tradnl"/>
                    </w:rPr>
                    <w:t>Israel* </w:t>
                  </w:r>
                </w:p>
              </w:tc>
              <w:tc>
                <w:tcPr>
                  <w:tcW w:w="0" w:type="auto"/>
                  <w:tcMar>
                    <w:top w:w="60" w:type="dxa"/>
                    <w:left w:w="60" w:type="dxa"/>
                    <w:bottom w:w="60" w:type="dxa"/>
                    <w:right w:w="60" w:type="dxa"/>
                  </w:tcMar>
                  <w:vAlign w:val="center"/>
                  <w:hideMark/>
                </w:tcPr>
                <w:p w14:paraId="1B58E233"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Sweden</w:t>
                  </w:r>
                  <w:proofErr w:type="spellEnd"/>
                  <w:r w:rsidRPr="00DB68CC">
                    <w:rPr>
                      <w:rFonts w:ascii="Arial" w:hAnsi="Arial" w:cs="Arial"/>
                      <w:color w:val="333333"/>
                      <w:sz w:val="22"/>
                      <w:szCs w:val="22"/>
                      <w:lang w:val="es-ES_tradnl"/>
                    </w:rPr>
                    <w:t>*</w:t>
                  </w:r>
                </w:p>
              </w:tc>
            </w:tr>
            <w:tr w:rsidR="00C00205" w:rsidRPr="00DB68CC" w14:paraId="61F06F85" w14:textId="77777777" w:rsidTr="00C83E45">
              <w:trPr>
                <w:trHeight w:val="407"/>
              </w:trPr>
              <w:tc>
                <w:tcPr>
                  <w:tcW w:w="2670" w:type="dxa"/>
                  <w:tcMar>
                    <w:top w:w="60" w:type="dxa"/>
                    <w:left w:w="60" w:type="dxa"/>
                    <w:bottom w:w="60" w:type="dxa"/>
                    <w:right w:w="60" w:type="dxa"/>
                  </w:tcMar>
                  <w:vAlign w:val="center"/>
                  <w:hideMark/>
                </w:tcPr>
                <w:p w14:paraId="2D4C74B7" w14:textId="77777777" w:rsidR="00C00205" w:rsidRPr="00DB68CC" w:rsidRDefault="00C00205" w:rsidP="00C83E45">
                  <w:pPr>
                    <w:contextualSpacing/>
                    <w:rPr>
                      <w:rFonts w:ascii="Arial" w:hAnsi="Arial" w:cs="Arial"/>
                      <w:color w:val="333333"/>
                      <w:sz w:val="22"/>
                      <w:szCs w:val="22"/>
                      <w:lang w:val="es-ES_tradnl"/>
                    </w:rPr>
                  </w:pPr>
                  <w:r w:rsidRPr="00DB68CC">
                    <w:rPr>
                      <w:rFonts w:ascii="Arial" w:hAnsi="Arial" w:cs="Arial"/>
                      <w:color w:val="333333"/>
                      <w:sz w:val="22"/>
                      <w:szCs w:val="22"/>
                      <w:lang w:val="es-ES_tradnl"/>
                    </w:rPr>
                    <w:t xml:space="preserve">China, </w:t>
                  </w:r>
                  <w:proofErr w:type="spellStart"/>
                  <w:r w:rsidRPr="00DB68CC">
                    <w:rPr>
                      <w:rFonts w:ascii="Arial" w:hAnsi="Arial" w:cs="Arial"/>
                      <w:color w:val="333333"/>
                      <w:sz w:val="22"/>
                      <w:szCs w:val="22"/>
                      <w:lang w:val="es-ES_tradnl"/>
                    </w:rPr>
                    <w:t>People's</w:t>
                  </w:r>
                  <w:proofErr w:type="spellEnd"/>
                  <w:r w:rsidRPr="00DB68CC">
                    <w:rPr>
                      <w:rFonts w:ascii="Arial" w:hAnsi="Arial" w:cs="Arial"/>
                      <w:color w:val="333333"/>
                      <w:sz w:val="22"/>
                      <w:szCs w:val="22"/>
                      <w:lang w:val="es-ES_tradnl"/>
                    </w:rPr>
                    <w:t xml:space="preserve"> </w:t>
                  </w:r>
                  <w:proofErr w:type="spellStart"/>
                  <w:r w:rsidRPr="00DB68CC">
                    <w:rPr>
                      <w:rFonts w:ascii="Arial" w:hAnsi="Arial" w:cs="Arial"/>
                      <w:color w:val="333333"/>
                      <w:sz w:val="22"/>
                      <w:szCs w:val="22"/>
                      <w:lang w:val="es-ES_tradnl"/>
                    </w:rPr>
                    <w:t>Republic</w:t>
                  </w:r>
                  <w:proofErr w:type="spellEnd"/>
                  <w:r w:rsidRPr="00DB68CC">
                    <w:rPr>
                      <w:rFonts w:ascii="Arial" w:hAnsi="Arial" w:cs="Arial"/>
                      <w:color w:val="333333"/>
                      <w:sz w:val="22"/>
                      <w:szCs w:val="22"/>
                      <w:lang w:val="es-ES_tradnl"/>
                    </w:rPr>
                    <w:t xml:space="preserve"> of* </w:t>
                  </w:r>
                </w:p>
              </w:tc>
              <w:tc>
                <w:tcPr>
                  <w:tcW w:w="2312" w:type="dxa"/>
                  <w:tcMar>
                    <w:top w:w="60" w:type="dxa"/>
                    <w:left w:w="60" w:type="dxa"/>
                    <w:bottom w:w="60" w:type="dxa"/>
                    <w:right w:w="60" w:type="dxa"/>
                  </w:tcMar>
                  <w:vAlign w:val="center"/>
                  <w:hideMark/>
                </w:tcPr>
                <w:p w14:paraId="69266765"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Italy</w:t>
                  </w:r>
                  <w:proofErr w:type="spellEnd"/>
                  <w:r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01598282"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Switzerland</w:t>
                  </w:r>
                  <w:proofErr w:type="spellEnd"/>
                  <w:r w:rsidRPr="00DB68CC">
                    <w:rPr>
                      <w:rFonts w:ascii="Arial" w:hAnsi="Arial" w:cs="Arial"/>
                      <w:color w:val="333333"/>
                      <w:sz w:val="22"/>
                      <w:szCs w:val="22"/>
                      <w:lang w:val="es-ES_tradnl"/>
                    </w:rPr>
                    <w:t>*</w:t>
                  </w:r>
                </w:p>
              </w:tc>
            </w:tr>
            <w:tr w:rsidR="00C00205" w:rsidRPr="00DB68CC" w14:paraId="637C0D80" w14:textId="77777777" w:rsidTr="00C83E45">
              <w:trPr>
                <w:trHeight w:val="326"/>
              </w:trPr>
              <w:tc>
                <w:tcPr>
                  <w:tcW w:w="2670" w:type="dxa"/>
                  <w:tcMar>
                    <w:top w:w="60" w:type="dxa"/>
                    <w:left w:w="60" w:type="dxa"/>
                    <w:bottom w:w="60" w:type="dxa"/>
                    <w:right w:w="60" w:type="dxa"/>
                  </w:tcMar>
                  <w:vAlign w:val="center"/>
                  <w:hideMark/>
                </w:tcPr>
                <w:p w14:paraId="5FF3274B" w14:textId="77777777" w:rsidR="00C00205" w:rsidRPr="00DB68CC" w:rsidRDefault="00D72792" w:rsidP="00C83E45">
                  <w:pPr>
                    <w:contextualSpacing/>
                    <w:rPr>
                      <w:rFonts w:ascii="Arial" w:hAnsi="Arial" w:cs="Arial"/>
                      <w:color w:val="333333"/>
                      <w:sz w:val="22"/>
                      <w:szCs w:val="22"/>
                      <w:lang w:val="es-ES_tradnl"/>
                    </w:rPr>
                  </w:pPr>
                  <w:hyperlink r:id="rId40" w:history="1">
                    <w:r w:rsidR="00C00205" w:rsidRPr="00DB68CC">
                      <w:rPr>
                        <w:rFonts w:ascii="Arial" w:hAnsi="Arial" w:cs="Arial"/>
                        <w:color w:val="0066CC"/>
                        <w:sz w:val="22"/>
                        <w:szCs w:val="22"/>
                        <w:u w:val="single"/>
                        <w:lang w:val="es-ES_tradnl"/>
                      </w:rPr>
                      <w:t>Colombia</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0E3755B8" w14:textId="77777777" w:rsidR="00C00205" w:rsidRPr="00DB68CC" w:rsidRDefault="00D72792" w:rsidP="00C83E45">
                  <w:pPr>
                    <w:contextualSpacing/>
                    <w:rPr>
                      <w:rFonts w:ascii="Arial" w:hAnsi="Arial" w:cs="Arial"/>
                      <w:color w:val="333333"/>
                      <w:sz w:val="22"/>
                      <w:szCs w:val="22"/>
                      <w:lang w:val="es-ES_tradnl"/>
                    </w:rPr>
                  </w:pPr>
                  <w:hyperlink r:id="rId41" w:history="1">
                    <w:r w:rsidR="00C00205" w:rsidRPr="00DB68CC">
                      <w:rPr>
                        <w:rFonts w:ascii="Arial" w:hAnsi="Arial" w:cs="Arial"/>
                        <w:color w:val="0066CC"/>
                        <w:sz w:val="22"/>
                        <w:szCs w:val="22"/>
                        <w:u w:val="single"/>
                        <w:lang w:val="es-ES_tradnl"/>
                      </w:rPr>
                      <w:t>Jamaica</w:t>
                    </w:r>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7BE035C7" w14:textId="77777777" w:rsidR="00C00205" w:rsidRPr="00DB68CC" w:rsidRDefault="00D72792" w:rsidP="00C83E45">
                  <w:pPr>
                    <w:contextualSpacing/>
                    <w:rPr>
                      <w:rFonts w:ascii="Arial" w:hAnsi="Arial" w:cs="Arial"/>
                      <w:color w:val="333333"/>
                      <w:sz w:val="22"/>
                      <w:szCs w:val="22"/>
                      <w:lang w:val="es-ES_tradnl"/>
                    </w:rPr>
                  </w:pPr>
                  <w:hyperlink r:id="rId42" w:history="1">
                    <w:r w:rsidR="00C00205" w:rsidRPr="00DB68CC">
                      <w:rPr>
                        <w:rFonts w:ascii="Arial" w:hAnsi="Arial" w:cs="Arial"/>
                        <w:color w:val="0066CC"/>
                        <w:sz w:val="22"/>
                        <w:szCs w:val="22"/>
                        <w:u w:val="single"/>
                        <w:lang w:val="es-ES_tradnl"/>
                      </w:rPr>
                      <w:t>Trinidad and Tobago</w:t>
                    </w:r>
                  </w:hyperlink>
                  <w:r w:rsidR="00C00205" w:rsidRPr="00DB68CC">
                    <w:rPr>
                      <w:rFonts w:ascii="Arial" w:hAnsi="Arial" w:cs="Arial"/>
                      <w:color w:val="333333"/>
                      <w:sz w:val="22"/>
                      <w:szCs w:val="22"/>
                      <w:lang w:val="es-ES_tradnl"/>
                    </w:rPr>
                    <w:t>*  </w:t>
                  </w:r>
                </w:p>
              </w:tc>
            </w:tr>
            <w:tr w:rsidR="00C00205" w:rsidRPr="00DB68CC" w14:paraId="4CE15510" w14:textId="77777777" w:rsidTr="00C83E45">
              <w:trPr>
                <w:trHeight w:val="317"/>
              </w:trPr>
              <w:tc>
                <w:tcPr>
                  <w:tcW w:w="2670" w:type="dxa"/>
                  <w:tcMar>
                    <w:top w:w="60" w:type="dxa"/>
                    <w:left w:w="60" w:type="dxa"/>
                    <w:bottom w:w="60" w:type="dxa"/>
                    <w:right w:w="60" w:type="dxa"/>
                  </w:tcMar>
                  <w:vAlign w:val="center"/>
                  <w:hideMark/>
                </w:tcPr>
                <w:p w14:paraId="291ECB3B" w14:textId="77777777" w:rsidR="00C00205" w:rsidRPr="00DB68CC" w:rsidRDefault="00D72792" w:rsidP="00C83E45">
                  <w:pPr>
                    <w:contextualSpacing/>
                    <w:rPr>
                      <w:rFonts w:ascii="Arial" w:hAnsi="Arial" w:cs="Arial"/>
                      <w:color w:val="333333"/>
                      <w:sz w:val="22"/>
                      <w:szCs w:val="22"/>
                      <w:lang w:val="es-ES_tradnl"/>
                    </w:rPr>
                  </w:pPr>
                  <w:hyperlink r:id="rId43" w:history="1">
                    <w:r w:rsidR="00C00205" w:rsidRPr="00DB68CC">
                      <w:rPr>
                        <w:rFonts w:ascii="Arial" w:hAnsi="Arial" w:cs="Arial"/>
                        <w:color w:val="0066CC"/>
                        <w:sz w:val="22"/>
                        <w:szCs w:val="22"/>
                        <w:u w:val="single"/>
                        <w:lang w:val="es-ES_tradnl"/>
                      </w:rPr>
                      <w:t>Costa Rica</w:t>
                    </w:r>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1D676735"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Japan</w:t>
                  </w:r>
                  <w:proofErr w:type="spellEnd"/>
                  <w:r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22EF2EC1"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United</w:t>
                  </w:r>
                  <w:proofErr w:type="spellEnd"/>
                  <w:r w:rsidRPr="00DB68CC">
                    <w:rPr>
                      <w:rFonts w:ascii="Arial" w:hAnsi="Arial" w:cs="Arial"/>
                      <w:color w:val="333333"/>
                      <w:sz w:val="22"/>
                      <w:szCs w:val="22"/>
                      <w:lang w:val="es-ES_tradnl"/>
                    </w:rPr>
                    <w:t xml:space="preserve"> </w:t>
                  </w:r>
                  <w:proofErr w:type="spellStart"/>
                  <w:r w:rsidRPr="00DB68CC">
                    <w:rPr>
                      <w:rFonts w:ascii="Arial" w:hAnsi="Arial" w:cs="Arial"/>
                      <w:color w:val="333333"/>
                      <w:sz w:val="22"/>
                      <w:szCs w:val="22"/>
                      <w:lang w:val="es-ES_tradnl"/>
                    </w:rPr>
                    <w:t>Kingdom</w:t>
                  </w:r>
                  <w:proofErr w:type="spellEnd"/>
                  <w:r w:rsidRPr="00DB68CC">
                    <w:rPr>
                      <w:rFonts w:ascii="Arial" w:hAnsi="Arial" w:cs="Arial"/>
                      <w:color w:val="333333"/>
                      <w:sz w:val="22"/>
                      <w:szCs w:val="22"/>
                      <w:lang w:val="es-ES_tradnl"/>
                    </w:rPr>
                    <w:t xml:space="preserve"> </w:t>
                  </w:r>
                </w:p>
              </w:tc>
            </w:tr>
            <w:tr w:rsidR="00C00205" w:rsidRPr="00DB68CC" w14:paraId="05BACC23" w14:textId="77777777" w:rsidTr="00C83E45">
              <w:trPr>
                <w:trHeight w:val="407"/>
              </w:trPr>
              <w:tc>
                <w:tcPr>
                  <w:tcW w:w="2670" w:type="dxa"/>
                  <w:tcMar>
                    <w:top w:w="60" w:type="dxa"/>
                    <w:left w:w="60" w:type="dxa"/>
                    <w:bottom w:w="60" w:type="dxa"/>
                    <w:right w:w="60" w:type="dxa"/>
                  </w:tcMar>
                  <w:vAlign w:val="center"/>
                  <w:hideMark/>
                </w:tcPr>
                <w:p w14:paraId="7B89346E"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Croatia</w:t>
                  </w:r>
                  <w:proofErr w:type="spellEnd"/>
                </w:p>
              </w:tc>
              <w:tc>
                <w:tcPr>
                  <w:tcW w:w="2312" w:type="dxa"/>
                  <w:tcMar>
                    <w:top w:w="60" w:type="dxa"/>
                    <w:left w:w="60" w:type="dxa"/>
                    <w:bottom w:w="60" w:type="dxa"/>
                    <w:right w:w="60" w:type="dxa"/>
                  </w:tcMar>
                  <w:vAlign w:val="center"/>
                  <w:hideMark/>
                </w:tcPr>
                <w:p w14:paraId="59AD5632"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Korea</w:t>
                  </w:r>
                  <w:proofErr w:type="spellEnd"/>
                  <w:r w:rsidRPr="00DB68CC">
                    <w:rPr>
                      <w:rFonts w:ascii="Arial" w:hAnsi="Arial" w:cs="Arial"/>
                      <w:color w:val="333333"/>
                      <w:sz w:val="22"/>
                      <w:szCs w:val="22"/>
                      <w:lang w:val="es-ES_tradnl"/>
                    </w:rPr>
                    <w:t xml:space="preserve">, </w:t>
                  </w:r>
                  <w:proofErr w:type="spellStart"/>
                  <w:r w:rsidRPr="00DB68CC">
                    <w:rPr>
                      <w:rFonts w:ascii="Arial" w:hAnsi="Arial" w:cs="Arial"/>
                      <w:color w:val="333333"/>
                      <w:sz w:val="22"/>
                      <w:szCs w:val="22"/>
                      <w:lang w:val="es-ES_tradnl"/>
                    </w:rPr>
                    <w:t>Republic</w:t>
                  </w:r>
                  <w:proofErr w:type="spellEnd"/>
                  <w:r w:rsidRPr="00DB68CC">
                    <w:rPr>
                      <w:rFonts w:ascii="Arial" w:hAnsi="Arial" w:cs="Arial"/>
                      <w:color w:val="333333"/>
                      <w:sz w:val="22"/>
                      <w:szCs w:val="22"/>
                      <w:lang w:val="es-ES_tradnl"/>
                    </w:rPr>
                    <w:t xml:space="preserve"> of* </w:t>
                  </w:r>
                </w:p>
              </w:tc>
              <w:tc>
                <w:tcPr>
                  <w:tcW w:w="0" w:type="auto"/>
                  <w:tcMar>
                    <w:top w:w="60" w:type="dxa"/>
                    <w:left w:w="60" w:type="dxa"/>
                    <w:bottom w:w="60" w:type="dxa"/>
                    <w:right w:w="60" w:type="dxa"/>
                  </w:tcMar>
                  <w:vAlign w:val="center"/>
                  <w:hideMark/>
                </w:tcPr>
                <w:p w14:paraId="69D0AE47"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United</w:t>
                  </w:r>
                  <w:proofErr w:type="spellEnd"/>
                  <w:r w:rsidRPr="00DB68CC">
                    <w:rPr>
                      <w:rFonts w:ascii="Arial" w:hAnsi="Arial" w:cs="Arial"/>
                      <w:color w:val="333333"/>
                      <w:sz w:val="22"/>
                      <w:szCs w:val="22"/>
                      <w:lang w:val="es-ES_tradnl"/>
                    </w:rPr>
                    <w:t xml:space="preserve"> </w:t>
                  </w:r>
                  <w:proofErr w:type="spellStart"/>
                  <w:r w:rsidRPr="00DB68CC">
                    <w:rPr>
                      <w:rFonts w:ascii="Arial" w:hAnsi="Arial" w:cs="Arial"/>
                      <w:color w:val="333333"/>
                      <w:sz w:val="22"/>
                      <w:szCs w:val="22"/>
                      <w:lang w:val="es-ES_tradnl"/>
                    </w:rPr>
                    <w:t>States</w:t>
                  </w:r>
                  <w:proofErr w:type="spellEnd"/>
                  <w:r w:rsidRPr="00DB68CC">
                    <w:rPr>
                      <w:rFonts w:ascii="Arial" w:hAnsi="Arial" w:cs="Arial"/>
                      <w:color w:val="333333"/>
                      <w:sz w:val="22"/>
                      <w:szCs w:val="22"/>
                      <w:lang w:val="es-ES_tradnl"/>
                    </w:rPr>
                    <w:t>* </w:t>
                  </w:r>
                </w:p>
              </w:tc>
            </w:tr>
            <w:tr w:rsidR="00C00205" w:rsidRPr="00DB68CC" w14:paraId="58BA3D9E" w14:textId="77777777" w:rsidTr="00C83E45">
              <w:trPr>
                <w:trHeight w:val="326"/>
              </w:trPr>
              <w:tc>
                <w:tcPr>
                  <w:tcW w:w="2670" w:type="dxa"/>
                  <w:tcMar>
                    <w:top w:w="60" w:type="dxa"/>
                    <w:left w:w="60" w:type="dxa"/>
                    <w:bottom w:w="60" w:type="dxa"/>
                    <w:right w:w="60" w:type="dxa"/>
                  </w:tcMar>
                  <w:vAlign w:val="center"/>
                  <w:hideMark/>
                </w:tcPr>
                <w:p w14:paraId="6A36153B"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Denmark</w:t>
                  </w:r>
                  <w:proofErr w:type="spellEnd"/>
                  <w:r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37D97351" w14:textId="77777777" w:rsidR="00C00205" w:rsidRPr="00DB68CC" w:rsidRDefault="00D72792" w:rsidP="00C83E45">
                  <w:pPr>
                    <w:contextualSpacing/>
                    <w:rPr>
                      <w:rFonts w:ascii="Arial" w:hAnsi="Arial" w:cs="Arial"/>
                      <w:color w:val="333333"/>
                      <w:sz w:val="22"/>
                      <w:szCs w:val="22"/>
                      <w:lang w:val="es-ES_tradnl"/>
                    </w:rPr>
                  </w:pPr>
                  <w:hyperlink r:id="rId44" w:history="1">
                    <w:proofErr w:type="spellStart"/>
                    <w:r w:rsidR="00C00205" w:rsidRPr="00DB68CC">
                      <w:rPr>
                        <w:rFonts w:ascii="Arial" w:hAnsi="Arial" w:cs="Arial"/>
                        <w:color w:val="0066CC"/>
                        <w:sz w:val="22"/>
                        <w:szCs w:val="22"/>
                        <w:u w:val="single"/>
                        <w:lang w:val="es-ES_tradnl"/>
                      </w:rPr>
                      <w:t>Mexico</w:t>
                    </w:r>
                    <w:proofErr w:type="spellEnd"/>
                  </w:hyperlink>
                  <w:r w:rsidR="00C00205"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2C29C012" w14:textId="77777777" w:rsidR="00C00205" w:rsidRPr="00DB68CC" w:rsidRDefault="00D72792" w:rsidP="00C83E45">
                  <w:pPr>
                    <w:contextualSpacing/>
                    <w:rPr>
                      <w:rFonts w:ascii="Arial" w:hAnsi="Arial" w:cs="Arial"/>
                      <w:color w:val="333333"/>
                      <w:sz w:val="22"/>
                      <w:szCs w:val="22"/>
                      <w:lang w:val="es-ES_tradnl"/>
                    </w:rPr>
                  </w:pPr>
                  <w:hyperlink r:id="rId45" w:history="1">
                    <w:r w:rsidR="00C00205" w:rsidRPr="00DB68CC">
                      <w:rPr>
                        <w:rFonts w:ascii="Arial" w:hAnsi="Arial" w:cs="Arial"/>
                        <w:color w:val="0066CC"/>
                        <w:sz w:val="22"/>
                        <w:szCs w:val="22"/>
                        <w:u w:val="single"/>
                        <w:lang w:val="es-ES_tradnl"/>
                      </w:rPr>
                      <w:t>Uruguay</w:t>
                    </w:r>
                  </w:hyperlink>
                  <w:r w:rsidR="00C00205" w:rsidRPr="00DB68CC">
                    <w:rPr>
                      <w:rFonts w:ascii="Arial" w:hAnsi="Arial" w:cs="Arial"/>
                      <w:color w:val="333333"/>
                      <w:sz w:val="22"/>
                      <w:szCs w:val="22"/>
                      <w:lang w:val="es-ES_tradnl"/>
                    </w:rPr>
                    <w:t>* ^  </w:t>
                  </w:r>
                </w:p>
              </w:tc>
            </w:tr>
            <w:tr w:rsidR="00C00205" w:rsidRPr="00DB68CC" w14:paraId="4001F533" w14:textId="77777777" w:rsidTr="00C83E45">
              <w:trPr>
                <w:trHeight w:val="317"/>
              </w:trPr>
              <w:tc>
                <w:tcPr>
                  <w:tcW w:w="2670" w:type="dxa"/>
                  <w:tcMar>
                    <w:top w:w="60" w:type="dxa"/>
                    <w:left w:w="60" w:type="dxa"/>
                    <w:bottom w:w="60" w:type="dxa"/>
                    <w:right w:w="60" w:type="dxa"/>
                  </w:tcMar>
                  <w:vAlign w:val="center"/>
                  <w:hideMark/>
                </w:tcPr>
                <w:p w14:paraId="7BDAB062" w14:textId="77777777" w:rsidR="00C00205" w:rsidRPr="00DB68CC" w:rsidRDefault="00D72792" w:rsidP="00C83E45">
                  <w:pPr>
                    <w:contextualSpacing/>
                    <w:rPr>
                      <w:rFonts w:ascii="Arial" w:hAnsi="Arial" w:cs="Arial"/>
                      <w:color w:val="333333"/>
                      <w:sz w:val="22"/>
                      <w:szCs w:val="22"/>
                      <w:lang w:val="es-ES_tradnl"/>
                    </w:rPr>
                  </w:pPr>
                  <w:hyperlink r:id="rId46" w:history="1">
                    <w:proofErr w:type="spellStart"/>
                    <w:r w:rsidR="00C00205" w:rsidRPr="00DB68CC">
                      <w:rPr>
                        <w:rFonts w:ascii="Arial" w:hAnsi="Arial" w:cs="Arial"/>
                        <w:color w:val="0066CC"/>
                        <w:sz w:val="22"/>
                        <w:szCs w:val="22"/>
                        <w:u w:val="single"/>
                        <w:lang w:val="es-ES_tradnl"/>
                      </w:rPr>
                      <w:t>Dominican</w:t>
                    </w:r>
                    <w:proofErr w:type="spellEnd"/>
                    <w:r w:rsidR="00C00205" w:rsidRPr="00DB68CC">
                      <w:rPr>
                        <w:rFonts w:ascii="Arial" w:hAnsi="Arial" w:cs="Arial"/>
                        <w:color w:val="0066CC"/>
                        <w:sz w:val="22"/>
                        <w:szCs w:val="22"/>
                        <w:u w:val="single"/>
                        <w:lang w:val="es-ES_tradnl"/>
                      </w:rPr>
                      <w:t xml:space="preserve"> </w:t>
                    </w:r>
                    <w:proofErr w:type="spellStart"/>
                    <w:r w:rsidR="00C00205" w:rsidRPr="00DB68CC">
                      <w:rPr>
                        <w:rFonts w:ascii="Arial" w:hAnsi="Arial" w:cs="Arial"/>
                        <w:color w:val="0066CC"/>
                        <w:sz w:val="22"/>
                        <w:szCs w:val="22"/>
                        <w:u w:val="single"/>
                        <w:lang w:val="es-ES_tradnl"/>
                      </w:rPr>
                      <w:t>Republic</w:t>
                    </w:r>
                    <w:proofErr w:type="spellEnd"/>
                  </w:hyperlink>
                  <w:r w:rsidR="00C00205" w:rsidRPr="00DB68CC">
                    <w:rPr>
                      <w:rFonts w:ascii="Arial" w:hAnsi="Arial" w:cs="Arial"/>
                      <w:color w:val="333333"/>
                      <w:sz w:val="22"/>
                      <w:szCs w:val="22"/>
                      <w:lang w:val="es-ES_tradnl"/>
                    </w:rPr>
                    <w:t>* </w:t>
                  </w:r>
                </w:p>
              </w:tc>
              <w:tc>
                <w:tcPr>
                  <w:tcW w:w="2312" w:type="dxa"/>
                  <w:tcMar>
                    <w:top w:w="60" w:type="dxa"/>
                    <w:left w:w="60" w:type="dxa"/>
                    <w:bottom w:w="60" w:type="dxa"/>
                    <w:right w:w="60" w:type="dxa"/>
                  </w:tcMar>
                  <w:vAlign w:val="center"/>
                  <w:hideMark/>
                </w:tcPr>
                <w:p w14:paraId="0FADA594" w14:textId="77777777" w:rsidR="00C00205" w:rsidRPr="00DB68CC" w:rsidRDefault="00C00205" w:rsidP="00C83E45">
                  <w:pPr>
                    <w:contextualSpacing/>
                    <w:rPr>
                      <w:rFonts w:ascii="Arial" w:hAnsi="Arial" w:cs="Arial"/>
                      <w:color w:val="333333"/>
                      <w:sz w:val="22"/>
                      <w:szCs w:val="22"/>
                      <w:lang w:val="es-ES_tradnl"/>
                    </w:rPr>
                  </w:pPr>
                  <w:proofErr w:type="spellStart"/>
                  <w:r w:rsidRPr="00DB68CC">
                    <w:rPr>
                      <w:rFonts w:ascii="Arial" w:hAnsi="Arial" w:cs="Arial"/>
                      <w:color w:val="333333"/>
                      <w:sz w:val="22"/>
                      <w:szCs w:val="22"/>
                      <w:lang w:val="es-ES_tradnl"/>
                    </w:rPr>
                    <w:t>Netherlands</w:t>
                  </w:r>
                  <w:proofErr w:type="spellEnd"/>
                  <w:r w:rsidRPr="00DB68CC">
                    <w:rPr>
                      <w:rFonts w:ascii="Arial" w:hAnsi="Arial" w:cs="Arial"/>
                      <w:color w:val="333333"/>
                      <w:sz w:val="22"/>
                      <w:szCs w:val="22"/>
                      <w:lang w:val="es-ES_tradnl"/>
                    </w:rPr>
                    <w:t>* </w:t>
                  </w:r>
                </w:p>
              </w:tc>
              <w:tc>
                <w:tcPr>
                  <w:tcW w:w="0" w:type="auto"/>
                  <w:tcMar>
                    <w:top w:w="60" w:type="dxa"/>
                    <w:left w:w="60" w:type="dxa"/>
                    <w:bottom w:w="60" w:type="dxa"/>
                    <w:right w:w="60" w:type="dxa"/>
                  </w:tcMar>
                  <w:vAlign w:val="center"/>
                  <w:hideMark/>
                </w:tcPr>
                <w:p w14:paraId="13B5C98D" w14:textId="77777777" w:rsidR="00C00205" w:rsidRPr="00DB68CC" w:rsidRDefault="00D72792" w:rsidP="00C83E45">
                  <w:pPr>
                    <w:contextualSpacing/>
                    <w:rPr>
                      <w:rFonts w:ascii="Arial" w:hAnsi="Arial" w:cs="Arial"/>
                      <w:color w:val="333333"/>
                      <w:sz w:val="22"/>
                      <w:szCs w:val="22"/>
                      <w:lang w:val="es-ES_tradnl"/>
                    </w:rPr>
                  </w:pPr>
                  <w:hyperlink r:id="rId47" w:history="1">
                    <w:r w:rsidR="00C00205" w:rsidRPr="00DB68CC">
                      <w:rPr>
                        <w:rFonts w:ascii="Arial" w:hAnsi="Arial" w:cs="Arial"/>
                        <w:color w:val="0066CC"/>
                        <w:sz w:val="22"/>
                        <w:szCs w:val="22"/>
                        <w:u w:val="single"/>
                        <w:lang w:val="es-ES_tradnl"/>
                      </w:rPr>
                      <w:t>Venezuela</w:t>
                    </w:r>
                  </w:hyperlink>
                  <w:r w:rsidR="00C00205" w:rsidRPr="00DB68CC">
                    <w:rPr>
                      <w:rFonts w:ascii="Arial" w:hAnsi="Arial" w:cs="Arial"/>
                      <w:color w:val="333333"/>
                      <w:sz w:val="22"/>
                      <w:szCs w:val="22"/>
                      <w:lang w:val="es-ES_tradnl"/>
                    </w:rPr>
                    <w:t>* </w:t>
                  </w:r>
                </w:p>
              </w:tc>
            </w:tr>
          </w:tbl>
          <w:p w14:paraId="26286A3D" w14:textId="77777777" w:rsidR="00C00205" w:rsidRPr="00DB68CC" w:rsidRDefault="00C00205" w:rsidP="00C83E45">
            <w:pPr>
              <w:rPr>
                <w:rFonts w:ascii="Arial" w:hAnsi="Arial" w:cs="Arial"/>
                <w:sz w:val="22"/>
                <w:szCs w:val="22"/>
                <w:lang w:val="es-ES_tradnl"/>
              </w:rPr>
            </w:pPr>
          </w:p>
          <w:p w14:paraId="77806F49" w14:textId="77777777" w:rsidR="00C00205" w:rsidRPr="00DB68CC" w:rsidRDefault="00C00205" w:rsidP="00C83E45">
            <w:pPr>
              <w:rPr>
                <w:rFonts w:ascii="Arial" w:hAnsi="Arial" w:cs="Arial"/>
                <w:sz w:val="22"/>
                <w:szCs w:val="22"/>
                <w:lang w:val="es-ES_tradnl"/>
              </w:rPr>
            </w:pPr>
            <w:r w:rsidRPr="00DB68CC">
              <w:rPr>
                <w:rFonts w:ascii="Arial" w:hAnsi="Arial" w:cs="Arial"/>
                <w:sz w:val="22"/>
                <w:szCs w:val="22"/>
                <w:lang w:val="es-ES_tradnl"/>
              </w:rPr>
              <w:t>*  Banco Interamericano de Desarrollo</w:t>
            </w:r>
          </w:p>
          <w:p w14:paraId="153A4E84" w14:textId="77777777" w:rsidR="00C00205" w:rsidRPr="00DB68CC" w:rsidRDefault="00C00205" w:rsidP="00C83E45">
            <w:pPr>
              <w:rPr>
                <w:rFonts w:ascii="Arial" w:hAnsi="Arial" w:cs="Arial"/>
                <w:sz w:val="22"/>
                <w:szCs w:val="22"/>
                <w:lang w:val="es-ES_tradnl"/>
              </w:rPr>
            </w:pPr>
          </w:p>
          <w:p w14:paraId="78E2CF54" w14:textId="77777777" w:rsidR="00C00205" w:rsidRPr="00DB68CC" w:rsidRDefault="00C00205" w:rsidP="00C83E45">
            <w:pPr>
              <w:rPr>
                <w:rFonts w:ascii="Arial" w:hAnsi="Arial" w:cs="Arial"/>
                <w:sz w:val="22"/>
                <w:szCs w:val="22"/>
                <w:lang w:val="es-ES_tradnl"/>
              </w:rPr>
            </w:pPr>
          </w:p>
          <w:p w14:paraId="3038BE41" w14:textId="77777777" w:rsidR="00C00205" w:rsidRPr="00DB68CC" w:rsidRDefault="00C00205" w:rsidP="00C83E45">
            <w:pPr>
              <w:spacing w:before="120" w:after="120"/>
              <w:rPr>
                <w:rFonts w:ascii="Arial" w:hAnsi="Arial" w:cs="Arial"/>
                <w:sz w:val="22"/>
                <w:szCs w:val="22"/>
                <w:u w:val="single"/>
                <w:lang w:val="es-ES_tradnl"/>
              </w:rPr>
            </w:pPr>
            <w:r w:rsidRPr="00DB68CC">
              <w:rPr>
                <w:rFonts w:ascii="Arial" w:hAnsi="Arial" w:cs="Arial"/>
                <w:sz w:val="22"/>
                <w:szCs w:val="22"/>
                <w:u w:val="single"/>
                <w:lang w:val="es-ES_tradnl"/>
              </w:rPr>
              <w:lastRenderedPageBreak/>
              <w:t>Nacionalidad y origen de Bienes y Criterios para los Servicios</w:t>
            </w:r>
          </w:p>
          <w:p w14:paraId="0BE79D75" w14:textId="77777777" w:rsidR="00C00205" w:rsidRPr="00DB68CC" w:rsidRDefault="00C00205" w:rsidP="00C83E45">
            <w:pPr>
              <w:spacing w:before="120" w:after="120"/>
              <w:jc w:val="both"/>
              <w:rPr>
                <w:rFonts w:ascii="Arial" w:hAnsi="Arial" w:cs="Arial"/>
                <w:sz w:val="22"/>
                <w:szCs w:val="22"/>
                <w:lang w:val="es-ES_tradnl"/>
              </w:rPr>
            </w:pPr>
            <w:r w:rsidRPr="00DB68CC">
              <w:rPr>
                <w:rFonts w:ascii="Arial" w:hAnsi="Arial" w:cs="Arial"/>
                <w:sz w:val="22"/>
                <w:szCs w:val="22"/>
                <w:lang w:val="es-ES_tradnl"/>
              </w:rPr>
              <w:t>Las disposiciones de política hacen necesario establecer criterios para determinar: a) la nacionalidad de las firmas e individuos elegibles para proponer o participar en un contrato financiado por el banco, y b) el país de origen de bienes y servicios. Para ello, se utilizarán los siguientes criterios:</w:t>
            </w:r>
          </w:p>
          <w:p w14:paraId="4F903CD0" w14:textId="77777777" w:rsidR="00C00205" w:rsidRPr="00DB68CC" w:rsidRDefault="00C00205" w:rsidP="00C83E45">
            <w:pPr>
              <w:keepNext/>
              <w:spacing w:before="120" w:after="120"/>
              <w:ind w:left="360"/>
              <w:jc w:val="both"/>
              <w:rPr>
                <w:rFonts w:ascii="Arial" w:hAnsi="Arial" w:cs="Arial"/>
                <w:sz w:val="22"/>
                <w:szCs w:val="22"/>
                <w:lang w:val="es-ES_tradnl"/>
              </w:rPr>
            </w:pPr>
            <w:r w:rsidRPr="00DB68CC">
              <w:rPr>
                <w:rFonts w:ascii="Arial" w:hAnsi="Arial" w:cs="Arial"/>
                <w:sz w:val="22"/>
                <w:szCs w:val="22"/>
                <w:u w:val="single"/>
                <w:lang w:val="es-ES_tradnl"/>
              </w:rPr>
              <w:t>(A) Nacionalidad</w:t>
            </w:r>
            <w:r w:rsidRPr="00DB68CC">
              <w:rPr>
                <w:rFonts w:ascii="Arial" w:hAnsi="Arial" w:cs="Arial"/>
                <w:sz w:val="22"/>
                <w:szCs w:val="22"/>
                <w:lang w:val="es-ES_tradnl"/>
              </w:rPr>
              <w:t>.</w:t>
            </w:r>
          </w:p>
          <w:p w14:paraId="6B79D0F3" w14:textId="77777777" w:rsidR="00C00205" w:rsidRPr="00DB68CC" w:rsidRDefault="00C00205" w:rsidP="00C83E45">
            <w:pPr>
              <w:keepNext/>
              <w:spacing w:before="120" w:after="120"/>
              <w:ind w:left="720"/>
              <w:jc w:val="both"/>
              <w:rPr>
                <w:rFonts w:ascii="Arial" w:hAnsi="Arial" w:cs="Arial"/>
                <w:sz w:val="22"/>
                <w:szCs w:val="22"/>
                <w:lang w:val="es-ES_tradnl"/>
              </w:rPr>
            </w:pPr>
            <w:r w:rsidRPr="00DB68CC">
              <w:rPr>
                <w:rFonts w:ascii="Arial" w:hAnsi="Arial" w:cs="Arial"/>
                <w:sz w:val="22"/>
                <w:szCs w:val="22"/>
                <w:lang w:val="es-ES_tradnl"/>
              </w:rPr>
              <w:t xml:space="preserve">a) </w:t>
            </w:r>
            <w:r w:rsidRPr="00DB68CC">
              <w:rPr>
                <w:rFonts w:ascii="Arial" w:hAnsi="Arial" w:cs="Arial"/>
                <w:b/>
                <w:bCs/>
                <w:sz w:val="22"/>
                <w:szCs w:val="22"/>
                <w:lang w:val="es-ES_tradnl"/>
              </w:rPr>
              <w:t>Un individuo</w:t>
            </w:r>
            <w:r w:rsidRPr="00DB68CC">
              <w:rPr>
                <w:rFonts w:ascii="Arial" w:hAnsi="Arial" w:cs="Arial"/>
                <w:sz w:val="22"/>
                <w:szCs w:val="22"/>
                <w:lang w:val="es-ES_tradnl"/>
              </w:rPr>
              <w:t xml:space="preserve"> es considerado un nacional de un país miembro del Banco si cumple con los siguientes requisitos:</w:t>
            </w:r>
          </w:p>
          <w:p w14:paraId="3B51EEDE" w14:textId="77777777" w:rsidR="00C00205" w:rsidRPr="00DB68CC" w:rsidRDefault="00C00205" w:rsidP="0099721A">
            <w:pPr>
              <w:numPr>
                <w:ilvl w:val="0"/>
                <w:numId w:val="7"/>
              </w:numPr>
              <w:tabs>
                <w:tab w:val="num" w:pos="1440"/>
              </w:tabs>
              <w:spacing w:before="120" w:after="120"/>
              <w:ind w:left="1440" w:hanging="216"/>
              <w:jc w:val="both"/>
              <w:rPr>
                <w:rFonts w:ascii="Arial" w:hAnsi="Arial" w:cs="Arial"/>
                <w:sz w:val="22"/>
                <w:szCs w:val="22"/>
                <w:lang w:val="es-ES_tradnl"/>
              </w:rPr>
            </w:pPr>
            <w:r w:rsidRPr="00DB68CC">
              <w:rPr>
                <w:rFonts w:ascii="Arial" w:hAnsi="Arial" w:cs="Arial"/>
                <w:sz w:val="22"/>
                <w:szCs w:val="22"/>
                <w:lang w:val="es-ES_tradnl"/>
              </w:rPr>
              <w:t xml:space="preserve">es ciudadano de un país miembro; o </w:t>
            </w:r>
          </w:p>
          <w:p w14:paraId="51458666" w14:textId="77777777" w:rsidR="00C00205" w:rsidRPr="00DB68CC" w:rsidRDefault="00C00205" w:rsidP="00C83E45">
            <w:pPr>
              <w:spacing w:before="120" w:after="120"/>
              <w:ind w:left="1440" w:hanging="360"/>
              <w:jc w:val="both"/>
              <w:rPr>
                <w:rFonts w:ascii="Arial" w:hAnsi="Arial" w:cs="Arial"/>
                <w:sz w:val="22"/>
                <w:szCs w:val="22"/>
                <w:lang w:val="es-ES_tradnl"/>
              </w:rPr>
            </w:pPr>
            <w:proofErr w:type="spellStart"/>
            <w:r w:rsidRPr="00DB68CC">
              <w:rPr>
                <w:rFonts w:ascii="Arial" w:hAnsi="Arial" w:cs="Arial"/>
                <w:sz w:val="22"/>
                <w:szCs w:val="22"/>
                <w:lang w:val="es-ES_tradnl"/>
              </w:rPr>
              <w:t>ii</w:t>
            </w:r>
            <w:proofErr w:type="spellEnd"/>
            <w:r w:rsidRPr="00DB68CC">
              <w:rPr>
                <w:rFonts w:ascii="Arial" w:hAnsi="Arial" w:cs="Arial"/>
                <w:sz w:val="22"/>
                <w:szCs w:val="22"/>
                <w:lang w:val="es-ES_tradnl"/>
              </w:rPr>
              <w:tab/>
              <w:t>ha establecido su domicilio en un país miembro como residente “bona fide” y está legalmente habilitado para trabajar en el país del domicilio.</w:t>
            </w:r>
          </w:p>
          <w:p w14:paraId="7341E964" w14:textId="77777777" w:rsidR="00C00205" w:rsidRPr="00DB68CC" w:rsidRDefault="00C00205" w:rsidP="00C83E45">
            <w:pPr>
              <w:tabs>
                <w:tab w:val="left" w:pos="-720"/>
              </w:tabs>
              <w:suppressAutoHyphens/>
              <w:spacing w:before="120" w:after="120"/>
              <w:ind w:left="720"/>
              <w:jc w:val="both"/>
              <w:rPr>
                <w:rFonts w:ascii="Arial" w:hAnsi="Arial" w:cs="Arial"/>
                <w:spacing w:val="-2"/>
                <w:sz w:val="22"/>
                <w:szCs w:val="22"/>
                <w:lang w:val="es-ES_tradnl" w:eastAsia="it-IT"/>
              </w:rPr>
            </w:pPr>
            <w:r w:rsidRPr="00DB68CC">
              <w:rPr>
                <w:rFonts w:ascii="Arial" w:hAnsi="Arial" w:cs="Arial"/>
                <w:spacing w:val="-2"/>
                <w:sz w:val="22"/>
                <w:szCs w:val="22"/>
                <w:lang w:val="es-ES_tradnl" w:eastAsia="it-IT"/>
              </w:rPr>
              <w:t xml:space="preserve">b) </w:t>
            </w:r>
            <w:r w:rsidRPr="00DB68CC">
              <w:rPr>
                <w:rFonts w:ascii="Arial" w:hAnsi="Arial" w:cs="Arial"/>
                <w:b/>
                <w:bCs/>
                <w:spacing w:val="-2"/>
                <w:sz w:val="22"/>
                <w:szCs w:val="22"/>
                <w:lang w:val="es-ES_tradnl" w:eastAsia="it-IT"/>
              </w:rPr>
              <w:t xml:space="preserve">Una firma </w:t>
            </w:r>
            <w:r w:rsidRPr="00DB68CC">
              <w:rPr>
                <w:rFonts w:ascii="Arial" w:hAnsi="Arial" w:cs="Arial"/>
                <w:spacing w:val="-2"/>
                <w:sz w:val="22"/>
                <w:szCs w:val="22"/>
                <w:lang w:val="es-ES_tradnl" w:eastAsia="it-IT"/>
              </w:rPr>
              <w:t>es considerada que tiene la nacionalidad de un país miembro si cumple los siguientes dos requisitos:</w:t>
            </w:r>
          </w:p>
          <w:p w14:paraId="42A3A893" w14:textId="77777777" w:rsidR="00C00205" w:rsidRPr="00DB68CC" w:rsidRDefault="00C00205" w:rsidP="0099721A">
            <w:pPr>
              <w:numPr>
                <w:ilvl w:val="0"/>
                <w:numId w:val="8"/>
              </w:numPr>
              <w:tabs>
                <w:tab w:val="num" w:pos="1440"/>
              </w:tabs>
              <w:spacing w:before="120" w:after="120"/>
              <w:ind w:left="1440" w:hanging="288"/>
              <w:jc w:val="both"/>
              <w:rPr>
                <w:rFonts w:ascii="Arial" w:hAnsi="Arial" w:cs="Arial"/>
                <w:sz w:val="22"/>
                <w:szCs w:val="22"/>
                <w:lang w:val="es-ES_tradnl"/>
              </w:rPr>
            </w:pPr>
            <w:r w:rsidRPr="00DB68CC">
              <w:rPr>
                <w:rFonts w:ascii="Arial" w:hAnsi="Arial" w:cs="Arial"/>
                <w:sz w:val="22"/>
                <w:szCs w:val="22"/>
                <w:lang w:val="es-ES_tradnl"/>
              </w:rPr>
              <w:t xml:space="preserve">está legalmente constituida o incorporada bajo las leyes de un país miembro del Banco; y </w:t>
            </w:r>
          </w:p>
          <w:p w14:paraId="1B86E400" w14:textId="77777777" w:rsidR="00C00205" w:rsidRPr="00DB68CC" w:rsidRDefault="00C00205" w:rsidP="0099721A">
            <w:pPr>
              <w:numPr>
                <w:ilvl w:val="0"/>
                <w:numId w:val="8"/>
              </w:numPr>
              <w:tabs>
                <w:tab w:val="num" w:pos="1440"/>
              </w:tabs>
              <w:spacing w:before="120" w:after="120"/>
              <w:ind w:left="1440" w:hanging="288"/>
              <w:jc w:val="both"/>
              <w:rPr>
                <w:rFonts w:ascii="Arial" w:hAnsi="Arial" w:cs="Arial"/>
                <w:sz w:val="22"/>
                <w:szCs w:val="22"/>
                <w:lang w:val="es-ES_tradnl"/>
              </w:rPr>
            </w:pPr>
            <w:r w:rsidRPr="00DB68CC">
              <w:rPr>
                <w:rFonts w:ascii="Arial" w:hAnsi="Arial" w:cs="Arial"/>
                <w:sz w:val="22"/>
                <w:szCs w:val="22"/>
                <w:lang w:val="es-ES_tradnl"/>
              </w:rPr>
              <w:t>más del cincuenta por ciento (50%) del capital de la firma es de propiedad de individuos o firmas de países miembros del Banco.</w:t>
            </w:r>
          </w:p>
          <w:p w14:paraId="20E58A40" w14:textId="77777777" w:rsidR="00C00205" w:rsidRPr="00DB68CC" w:rsidRDefault="00C00205" w:rsidP="00C83E45">
            <w:pPr>
              <w:spacing w:before="120" w:after="120"/>
              <w:jc w:val="both"/>
              <w:rPr>
                <w:rFonts w:ascii="Arial" w:hAnsi="Arial" w:cs="Arial"/>
                <w:sz w:val="22"/>
                <w:szCs w:val="22"/>
                <w:lang w:val="es-ES_tradnl"/>
              </w:rPr>
            </w:pPr>
            <w:r w:rsidRPr="00DB68CC">
              <w:rPr>
                <w:rFonts w:ascii="Arial" w:hAnsi="Arial" w:cs="Arial"/>
                <w:sz w:val="22"/>
                <w:szCs w:val="22"/>
                <w:lang w:val="es-ES_tradnl"/>
              </w:rPr>
              <w:t xml:space="preserve">Todos los integrantes de una </w:t>
            </w:r>
            <w:r w:rsidRPr="00DB68CC">
              <w:rPr>
                <w:rFonts w:ascii="Arial" w:hAnsi="Arial" w:cs="Arial"/>
                <w:i/>
                <w:iCs/>
                <w:sz w:val="22"/>
                <w:szCs w:val="22"/>
                <w:lang w:val="es-ES_tradnl"/>
              </w:rPr>
              <w:t>APCA</w:t>
            </w:r>
            <w:r w:rsidRPr="00DB68CC">
              <w:rPr>
                <w:rFonts w:ascii="Arial" w:hAnsi="Arial" w:cs="Arial"/>
                <w:sz w:val="22"/>
                <w:szCs w:val="22"/>
                <w:lang w:val="es-ES_tradnl"/>
              </w:rPr>
              <w:t xml:space="preserve"> y todos los subcontratistas deben cumplir con los criterios de nacionalidad que se indican arriba.</w:t>
            </w:r>
          </w:p>
          <w:p w14:paraId="20F58036" w14:textId="77777777" w:rsidR="00C00205" w:rsidRPr="00DB68CC" w:rsidRDefault="00C00205" w:rsidP="00C83E45">
            <w:pPr>
              <w:spacing w:before="120" w:after="120"/>
              <w:ind w:left="360"/>
              <w:jc w:val="both"/>
              <w:rPr>
                <w:rFonts w:ascii="Arial" w:hAnsi="Arial" w:cs="Arial"/>
                <w:sz w:val="22"/>
                <w:szCs w:val="22"/>
                <w:u w:val="single"/>
                <w:lang w:val="es-ES_tradnl"/>
              </w:rPr>
            </w:pPr>
            <w:r w:rsidRPr="00DB68CC">
              <w:rPr>
                <w:rFonts w:ascii="Arial" w:hAnsi="Arial" w:cs="Arial"/>
                <w:sz w:val="22"/>
                <w:szCs w:val="22"/>
                <w:u w:val="single"/>
                <w:lang w:val="es-ES_tradnl"/>
              </w:rPr>
              <w:t>(B) Origen de los Bienes.</w:t>
            </w:r>
          </w:p>
          <w:p w14:paraId="05444B9F" w14:textId="77777777" w:rsidR="00C00205" w:rsidRPr="00DB68CC" w:rsidRDefault="00C00205" w:rsidP="00C83E45">
            <w:pPr>
              <w:spacing w:before="120" w:after="120"/>
              <w:ind w:left="720"/>
              <w:jc w:val="both"/>
              <w:rPr>
                <w:rFonts w:ascii="Arial" w:hAnsi="Arial" w:cs="Arial"/>
                <w:sz w:val="22"/>
                <w:szCs w:val="22"/>
                <w:lang w:val="es-ES_tradnl"/>
              </w:rPr>
            </w:pPr>
            <w:r w:rsidRPr="00DB68CC">
              <w:rPr>
                <w:rFonts w:ascii="Arial" w:hAnsi="Arial" w:cs="Arial"/>
                <w:sz w:val="22"/>
                <w:szCs w:val="22"/>
                <w:lang w:val="es-ES_tradnl"/>
              </w:rPr>
              <w:t>Los bienes que tengan su origen en un país miembro del Banco, si han sido explotados, cultivados o producidos en un país miembro del Banco. Se considera que un producto ha sido producido cuando mediante manufactura, procesamiento o ensamble, resulte otro artículo comercialmente reconocido que se diferencie sustancialmente en sus características básicas, función o propósito de la utilidad de sus partes o componentes.</w:t>
            </w:r>
          </w:p>
          <w:p w14:paraId="2815C87D" w14:textId="77777777" w:rsidR="00C00205" w:rsidRPr="00DB68CC" w:rsidRDefault="00C00205" w:rsidP="00C83E45">
            <w:pPr>
              <w:tabs>
                <w:tab w:val="left" w:pos="-720"/>
              </w:tabs>
              <w:suppressAutoHyphens/>
              <w:spacing w:before="120" w:after="120"/>
              <w:ind w:left="720"/>
              <w:jc w:val="both"/>
              <w:rPr>
                <w:rFonts w:ascii="Arial" w:hAnsi="Arial" w:cs="Arial"/>
                <w:spacing w:val="-2"/>
                <w:sz w:val="22"/>
                <w:szCs w:val="22"/>
                <w:lang w:val="es-ES_tradnl" w:eastAsia="it-IT"/>
              </w:rPr>
            </w:pPr>
            <w:r w:rsidRPr="00DB68CC">
              <w:rPr>
                <w:rFonts w:ascii="Arial" w:hAnsi="Arial" w:cs="Arial"/>
                <w:spacing w:val="-2"/>
                <w:sz w:val="22"/>
                <w:szCs w:val="22"/>
                <w:lang w:val="es-ES_tradnl" w:eastAsia="it-IT"/>
              </w:rPr>
              <w:t>Para que un producto que conste de varios componentes individuales que deban estar interconectados (bien sea por el proveedor, el comprador o un tercero) sea funcional e independientemente de la complejidad de la interconexión, el Banco considera que dicho producto es elegible para financiamiento si el ensamble de los componentes tuvo lugar en un país miembro, independientemente del origen de los componentes. Cuando el producto sea un conjunto de varios productos individuales que normalmente son empacados y vendidos comercialmente como una unidad, se considera que ese producto se origina en el país donde el conjunto fue empacado y despachado al comprador.</w:t>
            </w:r>
          </w:p>
          <w:p w14:paraId="66B91FF3" w14:textId="77777777" w:rsidR="00C00205" w:rsidRPr="00DB68CC" w:rsidRDefault="00C00205" w:rsidP="00C83E45">
            <w:pPr>
              <w:spacing w:before="120" w:after="120"/>
              <w:ind w:left="720"/>
              <w:jc w:val="both"/>
              <w:rPr>
                <w:rFonts w:ascii="Arial" w:hAnsi="Arial" w:cs="Arial"/>
                <w:sz w:val="22"/>
                <w:szCs w:val="22"/>
                <w:lang w:val="es-ES_tradnl"/>
              </w:rPr>
            </w:pPr>
            <w:r w:rsidRPr="00DB68CC">
              <w:rPr>
                <w:rFonts w:ascii="Arial" w:hAnsi="Arial" w:cs="Arial"/>
                <w:sz w:val="22"/>
                <w:szCs w:val="22"/>
                <w:lang w:val="es-ES_tradnl"/>
              </w:rPr>
              <w:lastRenderedPageBreak/>
              <w:t xml:space="preserve">Para propósitos de origen, los productos rotulados “hechos en la Unión Europea” serán elegibles sin necesidad de identificar el correspondiente país específico de la Unión Europea.  </w:t>
            </w:r>
          </w:p>
          <w:p w14:paraId="670BA47C" w14:textId="77777777" w:rsidR="00C00205" w:rsidRPr="00DB68CC" w:rsidRDefault="00C00205" w:rsidP="00C83E45">
            <w:pPr>
              <w:spacing w:before="120" w:after="120"/>
              <w:ind w:left="720"/>
              <w:jc w:val="both"/>
              <w:rPr>
                <w:rFonts w:ascii="Arial" w:hAnsi="Arial" w:cs="Arial"/>
                <w:sz w:val="22"/>
                <w:szCs w:val="22"/>
                <w:lang w:val="es-ES_tradnl"/>
              </w:rPr>
            </w:pPr>
            <w:r w:rsidRPr="00DB68CC">
              <w:rPr>
                <w:rFonts w:ascii="Arial" w:hAnsi="Arial" w:cs="Arial"/>
                <w:sz w:val="22"/>
                <w:szCs w:val="22"/>
                <w:lang w:val="es-ES_tradnl"/>
              </w:rPr>
              <w:t>El origen de los materiales, partes o componentes de los productos o la nacionalidad de la firma que produce, ensambla, distribuye o vende los productos no determina el origen de los mismos.</w:t>
            </w:r>
          </w:p>
          <w:p w14:paraId="44B228E0" w14:textId="77777777" w:rsidR="00C00205" w:rsidRPr="00DB68CC" w:rsidRDefault="00C00205" w:rsidP="00C83E45">
            <w:pPr>
              <w:tabs>
                <w:tab w:val="left" w:pos="180"/>
              </w:tabs>
              <w:spacing w:before="120" w:after="120"/>
              <w:ind w:left="360"/>
              <w:rPr>
                <w:rFonts w:ascii="Arial" w:hAnsi="Arial" w:cs="Arial"/>
                <w:sz w:val="22"/>
                <w:szCs w:val="22"/>
                <w:u w:val="single"/>
                <w:lang w:val="es-ES_tradnl"/>
              </w:rPr>
            </w:pPr>
            <w:r w:rsidRPr="00DB68CC">
              <w:rPr>
                <w:rFonts w:ascii="Arial" w:hAnsi="Arial" w:cs="Arial"/>
                <w:sz w:val="22"/>
                <w:szCs w:val="22"/>
                <w:u w:val="single"/>
                <w:lang w:val="es-ES_tradnl"/>
              </w:rPr>
              <w:t>(C) Origen de Servicios.</w:t>
            </w:r>
          </w:p>
          <w:p w14:paraId="01D6EE93" w14:textId="77777777" w:rsidR="00C00205" w:rsidRPr="00DB68CC" w:rsidRDefault="00C00205" w:rsidP="00C83E45">
            <w:pPr>
              <w:tabs>
                <w:tab w:val="left" w:pos="720"/>
                <w:tab w:val="right" w:leader="dot" w:pos="8640"/>
              </w:tabs>
              <w:spacing w:before="120" w:after="120"/>
              <w:ind w:left="720"/>
              <w:jc w:val="both"/>
              <w:rPr>
                <w:rFonts w:ascii="Arial" w:hAnsi="Arial" w:cs="Arial"/>
                <w:sz w:val="22"/>
                <w:szCs w:val="22"/>
                <w:lang w:val="es-ES_tradnl"/>
              </w:rPr>
            </w:pPr>
            <w:r w:rsidRPr="00DB68CC">
              <w:rPr>
                <w:rFonts w:ascii="Arial" w:hAnsi="Arial" w:cs="Arial"/>
                <w:sz w:val="22"/>
                <w:szCs w:val="22"/>
                <w:lang w:val="es-ES_tradnl"/>
              </w:rPr>
              <w:t>El país del origen de servicios es el del individuo o firma que suministre los servicios según se determine en los criterios de nacionalidad que se indican arriba. Estos criterios son aplicables a servicios secundarios para el suministro de bienes (tales como transporte, seguro, construcción, ensamble, etc.).</w:t>
            </w:r>
          </w:p>
          <w:p w14:paraId="60DF485B" w14:textId="5CEB0432" w:rsidR="00C00205" w:rsidRPr="00DB68CC" w:rsidRDefault="00C00205" w:rsidP="7B15385C">
            <w:pPr>
              <w:rPr>
                <w:rFonts w:ascii="Arial" w:hAnsi="Arial" w:cs="Arial"/>
                <w:sz w:val="22"/>
                <w:szCs w:val="22"/>
                <w:lang w:val="es-ES_tradnl"/>
              </w:rPr>
            </w:pPr>
          </w:p>
          <w:p w14:paraId="1FAE2743" w14:textId="5A5E1460" w:rsidR="00C00205" w:rsidRPr="00DB68CC" w:rsidRDefault="00C00205" w:rsidP="7B15385C">
            <w:pPr>
              <w:rPr>
                <w:rFonts w:ascii="Arial" w:hAnsi="Arial" w:cs="Arial"/>
                <w:sz w:val="22"/>
                <w:szCs w:val="22"/>
                <w:lang w:val="es-ES_tradnl"/>
              </w:rPr>
            </w:pPr>
          </w:p>
          <w:p w14:paraId="51B95300" w14:textId="77777777" w:rsidR="00854B94" w:rsidRPr="00DB68CC" w:rsidRDefault="00854B94" w:rsidP="00854B94">
            <w:pPr>
              <w:pStyle w:val="Heading2"/>
              <w:numPr>
                <w:ilvl w:val="0"/>
                <w:numId w:val="0"/>
              </w:numPr>
              <w:ind w:left="720"/>
              <w:jc w:val="center"/>
              <w:rPr>
                <w:i w:val="0"/>
                <w:iCs/>
                <w:sz w:val="22"/>
                <w:szCs w:val="22"/>
                <w:lang w:val="es-ES_tradnl"/>
              </w:rPr>
            </w:pPr>
          </w:p>
          <w:p w14:paraId="2BF777C8" w14:textId="3EFF4F83" w:rsidR="00854B94" w:rsidRPr="00DB68CC" w:rsidRDefault="00854B94" w:rsidP="00854B94">
            <w:pPr>
              <w:pStyle w:val="Heading2"/>
              <w:numPr>
                <w:ilvl w:val="0"/>
                <w:numId w:val="0"/>
              </w:numPr>
              <w:ind w:left="720"/>
              <w:jc w:val="center"/>
              <w:rPr>
                <w:i w:val="0"/>
                <w:iCs/>
                <w:sz w:val="22"/>
                <w:szCs w:val="22"/>
                <w:lang w:val="es-ES_tradnl"/>
              </w:rPr>
            </w:pPr>
          </w:p>
          <w:p w14:paraId="639A1999" w14:textId="29D4E796" w:rsidR="00854B94" w:rsidRPr="00DB68CC" w:rsidRDefault="00854B94" w:rsidP="00854B94">
            <w:pPr>
              <w:rPr>
                <w:sz w:val="22"/>
                <w:szCs w:val="22"/>
                <w:lang w:val="es-ES_tradnl" w:eastAsia="en-US"/>
              </w:rPr>
            </w:pPr>
          </w:p>
          <w:p w14:paraId="67C539A2" w14:textId="77777777" w:rsidR="00854B94" w:rsidRPr="00DB68CC" w:rsidRDefault="00854B94" w:rsidP="00854B94">
            <w:pPr>
              <w:rPr>
                <w:sz w:val="22"/>
                <w:szCs w:val="22"/>
                <w:lang w:val="es-ES_tradnl" w:eastAsia="en-US"/>
              </w:rPr>
            </w:pPr>
          </w:p>
          <w:p w14:paraId="4BE9C5FD" w14:textId="1440FB62" w:rsidR="00854B94" w:rsidRPr="00DB68CC" w:rsidRDefault="00854B94" w:rsidP="00854B94">
            <w:pPr>
              <w:pStyle w:val="Heading2"/>
              <w:numPr>
                <w:ilvl w:val="0"/>
                <w:numId w:val="0"/>
              </w:numPr>
              <w:ind w:left="720"/>
              <w:jc w:val="center"/>
              <w:rPr>
                <w:i w:val="0"/>
                <w:iCs/>
                <w:sz w:val="22"/>
                <w:szCs w:val="22"/>
                <w:lang w:val="es-ES_tradnl"/>
              </w:rPr>
            </w:pPr>
          </w:p>
          <w:p w14:paraId="1BF897ED" w14:textId="2AE910DA" w:rsidR="00854B94" w:rsidRPr="00DB68CC" w:rsidRDefault="00854B94" w:rsidP="00854B94">
            <w:pPr>
              <w:rPr>
                <w:sz w:val="22"/>
                <w:szCs w:val="22"/>
                <w:lang w:val="es-ES_tradnl" w:eastAsia="en-US"/>
              </w:rPr>
            </w:pPr>
          </w:p>
          <w:p w14:paraId="4A38460C" w14:textId="6BE425CE" w:rsidR="00854B94" w:rsidRPr="00DB68CC" w:rsidRDefault="00854B94" w:rsidP="00854B94">
            <w:pPr>
              <w:rPr>
                <w:sz w:val="22"/>
                <w:szCs w:val="22"/>
                <w:lang w:val="es-ES_tradnl" w:eastAsia="en-US"/>
              </w:rPr>
            </w:pPr>
          </w:p>
          <w:p w14:paraId="2A8B3BCF" w14:textId="3A82444C" w:rsidR="00854B94" w:rsidRPr="00DB68CC" w:rsidRDefault="00854B94" w:rsidP="00854B94">
            <w:pPr>
              <w:rPr>
                <w:sz w:val="22"/>
                <w:szCs w:val="22"/>
                <w:lang w:val="es-ES_tradnl" w:eastAsia="en-US"/>
              </w:rPr>
            </w:pPr>
          </w:p>
          <w:p w14:paraId="3282F81E" w14:textId="77777777" w:rsidR="00854B94" w:rsidRPr="00DB68CC" w:rsidRDefault="00854B94" w:rsidP="00854B94">
            <w:pPr>
              <w:rPr>
                <w:sz w:val="22"/>
                <w:szCs w:val="22"/>
                <w:lang w:val="es-ES_tradnl" w:eastAsia="en-US"/>
              </w:rPr>
            </w:pPr>
          </w:p>
          <w:p w14:paraId="301C0BD9" w14:textId="77777777" w:rsidR="00854B94" w:rsidRPr="00DB68CC" w:rsidRDefault="00854B94" w:rsidP="00854B94">
            <w:pPr>
              <w:pStyle w:val="Heading2"/>
              <w:numPr>
                <w:ilvl w:val="0"/>
                <w:numId w:val="0"/>
              </w:numPr>
              <w:ind w:left="720"/>
              <w:jc w:val="center"/>
              <w:rPr>
                <w:i w:val="0"/>
                <w:iCs/>
                <w:sz w:val="22"/>
                <w:szCs w:val="22"/>
                <w:lang w:val="es-ES_tradnl"/>
              </w:rPr>
            </w:pPr>
          </w:p>
          <w:p w14:paraId="652DD76F" w14:textId="6D8B315B" w:rsidR="00854B94" w:rsidRPr="00DB68CC" w:rsidRDefault="00854B94" w:rsidP="00854B94">
            <w:pPr>
              <w:pStyle w:val="Heading2"/>
              <w:numPr>
                <w:ilvl w:val="0"/>
                <w:numId w:val="0"/>
              </w:numPr>
              <w:ind w:left="720"/>
              <w:jc w:val="center"/>
              <w:rPr>
                <w:i w:val="0"/>
                <w:iCs/>
                <w:sz w:val="22"/>
                <w:szCs w:val="22"/>
                <w:lang w:val="es-ES_tradnl"/>
              </w:rPr>
            </w:pPr>
          </w:p>
          <w:p w14:paraId="0FF161A7" w14:textId="3A3C053B" w:rsidR="00DB68CC" w:rsidRPr="00DB68CC" w:rsidRDefault="00DB68CC" w:rsidP="00DB68CC">
            <w:pPr>
              <w:rPr>
                <w:lang w:val="es-ES_tradnl" w:eastAsia="en-US"/>
              </w:rPr>
            </w:pPr>
          </w:p>
          <w:p w14:paraId="2BA17FCD" w14:textId="6DB0AD5E" w:rsidR="00DB68CC" w:rsidRPr="00DB68CC" w:rsidRDefault="00DB68CC" w:rsidP="00DB68CC">
            <w:pPr>
              <w:rPr>
                <w:lang w:val="es-ES_tradnl" w:eastAsia="en-US"/>
              </w:rPr>
            </w:pPr>
          </w:p>
          <w:p w14:paraId="2DF7DD72" w14:textId="18F72047" w:rsidR="00DB68CC" w:rsidRPr="00DB68CC" w:rsidRDefault="00DB68CC" w:rsidP="00DB68CC">
            <w:pPr>
              <w:rPr>
                <w:lang w:val="es-ES_tradnl" w:eastAsia="en-US"/>
              </w:rPr>
            </w:pPr>
          </w:p>
          <w:p w14:paraId="5B9E10AB" w14:textId="59F257E5" w:rsidR="00DB68CC" w:rsidRPr="00DB68CC" w:rsidRDefault="00DB68CC" w:rsidP="00DB68CC">
            <w:pPr>
              <w:rPr>
                <w:lang w:val="es-ES_tradnl" w:eastAsia="en-US"/>
              </w:rPr>
            </w:pPr>
          </w:p>
          <w:p w14:paraId="4122DBFC" w14:textId="715E2CAF" w:rsidR="00DB68CC" w:rsidRPr="00DB68CC" w:rsidRDefault="00DB68CC" w:rsidP="00DB68CC">
            <w:pPr>
              <w:rPr>
                <w:lang w:val="es-ES_tradnl" w:eastAsia="en-US"/>
              </w:rPr>
            </w:pPr>
          </w:p>
          <w:p w14:paraId="44E5231F" w14:textId="25812552" w:rsidR="00DB68CC" w:rsidRPr="00DB68CC" w:rsidRDefault="00DB68CC" w:rsidP="00DB68CC">
            <w:pPr>
              <w:rPr>
                <w:lang w:val="es-ES_tradnl" w:eastAsia="en-US"/>
              </w:rPr>
            </w:pPr>
          </w:p>
          <w:p w14:paraId="66817216" w14:textId="0F0291C8" w:rsidR="00DB68CC" w:rsidRPr="00DB68CC" w:rsidRDefault="00DB68CC" w:rsidP="00DB68CC">
            <w:pPr>
              <w:rPr>
                <w:lang w:val="es-ES_tradnl" w:eastAsia="en-US"/>
              </w:rPr>
            </w:pPr>
          </w:p>
          <w:p w14:paraId="709F6CB0" w14:textId="77777777" w:rsidR="00DB68CC" w:rsidRPr="00DB68CC" w:rsidRDefault="00DB68CC" w:rsidP="00DB68CC">
            <w:pPr>
              <w:rPr>
                <w:lang w:val="es-ES_tradnl" w:eastAsia="en-US"/>
              </w:rPr>
            </w:pPr>
          </w:p>
          <w:p w14:paraId="0A2B926E" w14:textId="77777777" w:rsidR="00854B94" w:rsidRPr="00DB68CC" w:rsidRDefault="00854B94" w:rsidP="00854B94">
            <w:pPr>
              <w:pStyle w:val="Heading2"/>
              <w:numPr>
                <w:ilvl w:val="0"/>
                <w:numId w:val="0"/>
              </w:numPr>
              <w:ind w:left="720"/>
              <w:jc w:val="center"/>
              <w:rPr>
                <w:i w:val="0"/>
                <w:iCs/>
                <w:sz w:val="22"/>
                <w:szCs w:val="22"/>
                <w:lang w:val="es-ES_tradnl"/>
              </w:rPr>
            </w:pPr>
          </w:p>
          <w:p w14:paraId="5DBFDA39" w14:textId="77777777" w:rsidR="00854B94" w:rsidRPr="00DB68CC" w:rsidRDefault="00854B94" w:rsidP="00854B94">
            <w:pPr>
              <w:pStyle w:val="Heading2"/>
              <w:numPr>
                <w:ilvl w:val="0"/>
                <w:numId w:val="0"/>
              </w:numPr>
              <w:ind w:left="720"/>
              <w:jc w:val="center"/>
              <w:rPr>
                <w:i w:val="0"/>
                <w:iCs/>
                <w:sz w:val="22"/>
                <w:szCs w:val="22"/>
                <w:lang w:val="es-ES_tradnl"/>
              </w:rPr>
            </w:pPr>
          </w:p>
          <w:p w14:paraId="046489C2" w14:textId="77777777" w:rsidR="00854B94" w:rsidRPr="00DB68CC" w:rsidRDefault="00854B94" w:rsidP="00854B94">
            <w:pPr>
              <w:pStyle w:val="Heading2"/>
              <w:numPr>
                <w:ilvl w:val="0"/>
                <w:numId w:val="0"/>
              </w:numPr>
              <w:ind w:left="720"/>
              <w:jc w:val="center"/>
              <w:rPr>
                <w:i w:val="0"/>
                <w:iCs/>
                <w:sz w:val="22"/>
                <w:szCs w:val="22"/>
                <w:lang w:val="es-ES_tradnl"/>
              </w:rPr>
            </w:pPr>
          </w:p>
          <w:p w14:paraId="224E4ED9" w14:textId="5D0B113E" w:rsidR="00C00205" w:rsidRPr="00F25710" w:rsidRDefault="5A803077" w:rsidP="00854B94">
            <w:pPr>
              <w:pStyle w:val="Heading2"/>
              <w:numPr>
                <w:ilvl w:val="0"/>
                <w:numId w:val="0"/>
              </w:numPr>
              <w:ind w:left="720"/>
              <w:jc w:val="center"/>
              <w:rPr>
                <w:i w:val="0"/>
                <w:iCs/>
                <w:sz w:val="22"/>
                <w:szCs w:val="22"/>
                <w:lang w:val="pt-BR"/>
              </w:rPr>
            </w:pPr>
            <w:bookmarkStart w:id="109" w:name="_Toc37603076"/>
            <w:r w:rsidRPr="00F25710">
              <w:rPr>
                <w:i w:val="0"/>
                <w:iCs/>
                <w:sz w:val="22"/>
                <w:szCs w:val="22"/>
                <w:lang w:val="pt-BR"/>
              </w:rPr>
              <w:t>Anexo 3</w:t>
            </w:r>
            <w:r w:rsidR="00854B94" w:rsidRPr="00F25710">
              <w:rPr>
                <w:i w:val="0"/>
                <w:iCs/>
                <w:sz w:val="22"/>
                <w:szCs w:val="22"/>
                <w:lang w:val="pt-BR"/>
              </w:rPr>
              <w:t xml:space="preserve">: </w:t>
            </w:r>
            <w:r w:rsidRPr="00F25710">
              <w:rPr>
                <w:i w:val="0"/>
                <w:iCs/>
                <w:sz w:val="22"/>
                <w:szCs w:val="22"/>
                <w:lang w:val="pt-BR"/>
              </w:rPr>
              <w:t xml:space="preserve">Reporte de </w:t>
            </w:r>
            <w:proofErr w:type="spellStart"/>
            <w:r w:rsidR="00896614" w:rsidRPr="00F25710">
              <w:rPr>
                <w:i w:val="0"/>
                <w:iCs/>
                <w:sz w:val="22"/>
                <w:szCs w:val="22"/>
                <w:lang w:val="pt-BR"/>
              </w:rPr>
              <w:t>desempeño</w:t>
            </w:r>
            <w:proofErr w:type="spellEnd"/>
            <w:r w:rsidRPr="00F25710">
              <w:rPr>
                <w:i w:val="0"/>
                <w:iCs/>
                <w:sz w:val="22"/>
                <w:szCs w:val="22"/>
                <w:lang w:val="pt-BR"/>
              </w:rPr>
              <w:t xml:space="preserve"> socioambiental semestral</w:t>
            </w:r>
            <w:bookmarkEnd w:id="109"/>
            <w:r w:rsidRPr="00F25710">
              <w:rPr>
                <w:i w:val="0"/>
                <w:iCs/>
                <w:sz w:val="22"/>
                <w:szCs w:val="22"/>
                <w:lang w:val="pt-BR"/>
              </w:rPr>
              <w:t xml:space="preserve"> </w:t>
            </w:r>
          </w:p>
          <w:p w14:paraId="2951265F" w14:textId="5A5E1460" w:rsidR="00C00205" w:rsidRPr="00F25710" w:rsidRDefault="00C00205" w:rsidP="7B15385C">
            <w:pPr>
              <w:jc w:val="center"/>
              <w:rPr>
                <w:rFonts w:ascii="Arial" w:hAnsi="Arial" w:cs="Arial"/>
                <w:b/>
                <w:bCs/>
                <w:sz w:val="22"/>
                <w:szCs w:val="22"/>
                <w:lang w:val="pt-BR"/>
              </w:rPr>
            </w:pPr>
          </w:p>
          <w:p w14:paraId="323F0191" w14:textId="5A5E1460" w:rsidR="00C00205" w:rsidRPr="00F25710" w:rsidRDefault="00C00205" w:rsidP="7B15385C">
            <w:pPr>
              <w:jc w:val="center"/>
              <w:rPr>
                <w:rFonts w:ascii="Arial" w:hAnsi="Arial" w:cs="Arial"/>
                <w:b/>
                <w:bCs/>
                <w:sz w:val="22"/>
                <w:szCs w:val="22"/>
                <w:lang w:val="pt-BR"/>
              </w:rPr>
            </w:pPr>
          </w:p>
          <w:p w14:paraId="2D350E59" w14:textId="5A5E1460" w:rsidR="00C00205" w:rsidRPr="00F25710" w:rsidRDefault="00C00205" w:rsidP="7B15385C">
            <w:pPr>
              <w:jc w:val="center"/>
              <w:rPr>
                <w:rFonts w:ascii="Arial" w:hAnsi="Arial" w:cs="Arial"/>
                <w:b/>
                <w:bCs/>
                <w:sz w:val="22"/>
                <w:szCs w:val="22"/>
                <w:lang w:val="pt-BR"/>
              </w:rPr>
            </w:pPr>
          </w:p>
          <w:p w14:paraId="2489E25D" w14:textId="282D7B3F" w:rsidR="00C00205" w:rsidRPr="00DB68CC" w:rsidRDefault="5A803077" w:rsidP="7B15385C">
            <w:pPr>
              <w:jc w:val="both"/>
              <w:rPr>
                <w:rFonts w:ascii="Arial" w:eastAsia="Arial" w:hAnsi="Arial" w:cs="Arial"/>
                <w:sz w:val="22"/>
                <w:szCs w:val="22"/>
                <w:lang w:val="es-ES_tradnl"/>
              </w:rPr>
            </w:pPr>
            <w:r w:rsidRPr="00DB68CC">
              <w:rPr>
                <w:rFonts w:ascii="Arial" w:eastAsia="Arial" w:hAnsi="Arial" w:cs="Arial"/>
                <w:sz w:val="22"/>
                <w:szCs w:val="22"/>
                <w:lang w:val="es-ES_tradnl"/>
              </w:rPr>
              <w:t>El ejecutor deberá presentar semestralmente – dentro de las fechas limites establecidas para el ingreso del PMR – un Informe de Cumplimiento de Gestión de Riesgos Socioambientales que integre la información siguiente</w:t>
            </w:r>
          </w:p>
          <w:p w14:paraId="44C0B7DE" w14:textId="5A5E1460" w:rsidR="00C00205" w:rsidRPr="00DB68CC" w:rsidRDefault="5A803077" w:rsidP="7B15385C">
            <w:pPr>
              <w:jc w:val="both"/>
              <w:rPr>
                <w:rFonts w:ascii="Arial" w:eastAsia="Arial" w:hAnsi="Arial" w:cs="Arial"/>
                <w:sz w:val="22"/>
                <w:szCs w:val="22"/>
                <w:lang w:val="es-ES_tradnl"/>
              </w:rPr>
            </w:pPr>
            <w:r w:rsidRPr="00DB68CC">
              <w:rPr>
                <w:rFonts w:ascii="Arial" w:eastAsia="Arial" w:hAnsi="Arial" w:cs="Arial"/>
                <w:sz w:val="22"/>
                <w:szCs w:val="22"/>
                <w:lang w:val="es-ES_tradnl"/>
              </w:rPr>
              <w:t xml:space="preserve"> </w:t>
            </w:r>
          </w:p>
          <w:p w14:paraId="7F701A43" w14:textId="5A5E1460" w:rsidR="00C00205" w:rsidRPr="00DB68CC" w:rsidRDefault="5A803077" w:rsidP="7B15385C">
            <w:pPr>
              <w:pStyle w:val="ListParagraph"/>
              <w:numPr>
                <w:ilvl w:val="0"/>
                <w:numId w:val="1"/>
              </w:numPr>
              <w:rPr>
                <w:rFonts w:ascii="Arial" w:eastAsia="Arial" w:hAnsi="Arial" w:cs="Arial"/>
                <w:sz w:val="22"/>
                <w:szCs w:val="22"/>
                <w:lang w:val="es-ES_tradnl"/>
              </w:rPr>
            </w:pPr>
            <w:r w:rsidRPr="00DB68CC">
              <w:rPr>
                <w:rFonts w:ascii="Arial" w:eastAsia="Arial" w:hAnsi="Arial" w:cs="Arial"/>
                <w:sz w:val="22"/>
                <w:szCs w:val="22"/>
                <w:lang w:val="es-ES_tradnl"/>
              </w:rPr>
              <w:t xml:space="preserve">Montos desembolsados y repartición por sector </w:t>
            </w:r>
          </w:p>
          <w:p w14:paraId="6EBE1A0E" w14:textId="5A5E1460" w:rsidR="00C00205" w:rsidRPr="00DB68CC" w:rsidRDefault="5A803077" w:rsidP="7B15385C">
            <w:pPr>
              <w:pStyle w:val="ListParagraph"/>
              <w:numPr>
                <w:ilvl w:val="0"/>
                <w:numId w:val="1"/>
              </w:numPr>
              <w:rPr>
                <w:rFonts w:ascii="Arial" w:eastAsia="Arial" w:hAnsi="Arial" w:cs="Arial"/>
                <w:sz w:val="22"/>
                <w:szCs w:val="22"/>
                <w:lang w:val="es-ES_tradnl"/>
              </w:rPr>
            </w:pPr>
            <w:r w:rsidRPr="00DB68CC">
              <w:rPr>
                <w:rFonts w:ascii="Arial" w:eastAsia="Arial" w:hAnsi="Arial" w:cs="Arial"/>
                <w:sz w:val="22"/>
                <w:szCs w:val="22"/>
                <w:lang w:val="es-ES_tradnl"/>
              </w:rPr>
              <w:t>Monto promedio de financiamiento total y por sector</w:t>
            </w:r>
          </w:p>
          <w:p w14:paraId="44AFE3A8" w14:textId="2E67D76B" w:rsidR="00C00205" w:rsidRPr="00DB68CC" w:rsidRDefault="5A803077" w:rsidP="7B15385C">
            <w:pPr>
              <w:pStyle w:val="ListParagraph"/>
              <w:numPr>
                <w:ilvl w:val="0"/>
                <w:numId w:val="1"/>
              </w:numPr>
              <w:rPr>
                <w:rFonts w:ascii="Arial" w:eastAsia="Arial" w:hAnsi="Arial" w:cs="Arial"/>
                <w:sz w:val="22"/>
                <w:szCs w:val="22"/>
                <w:lang w:val="es-ES_tradnl"/>
              </w:rPr>
            </w:pPr>
            <w:r w:rsidRPr="00DB68CC">
              <w:rPr>
                <w:rFonts w:ascii="Arial" w:eastAsia="Arial" w:hAnsi="Arial" w:cs="Arial"/>
                <w:sz w:val="22"/>
                <w:szCs w:val="22"/>
                <w:lang w:val="es-ES_tradnl"/>
              </w:rPr>
              <w:t xml:space="preserve">Información relevante sobre temas socioambientales relacionados a </w:t>
            </w:r>
            <w:r w:rsidR="00743C06" w:rsidRPr="00DB68CC">
              <w:rPr>
                <w:rFonts w:ascii="Arial" w:eastAsia="Arial" w:hAnsi="Arial" w:cs="Arial"/>
                <w:sz w:val="22"/>
                <w:szCs w:val="22"/>
                <w:lang w:val="es-ES_tradnl"/>
              </w:rPr>
              <w:t>MIPE</w:t>
            </w:r>
            <w:r w:rsidRPr="00DB68CC">
              <w:rPr>
                <w:rFonts w:ascii="Arial" w:eastAsia="Arial" w:hAnsi="Arial" w:cs="Arial"/>
                <w:sz w:val="22"/>
                <w:szCs w:val="22"/>
                <w:lang w:val="es-ES_tradnl"/>
              </w:rPr>
              <w:t xml:space="preserve"> beneficiarias del programa (</w:t>
            </w:r>
            <w:proofErr w:type="spellStart"/>
            <w:r w:rsidRPr="00DB68CC">
              <w:rPr>
                <w:rFonts w:ascii="Arial" w:eastAsia="Arial" w:hAnsi="Arial" w:cs="Arial"/>
                <w:sz w:val="22"/>
                <w:szCs w:val="22"/>
                <w:lang w:val="es-ES_tradnl"/>
              </w:rPr>
              <w:t>if</w:t>
            </w:r>
            <w:proofErr w:type="spellEnd"/>
            <w:r w:rsidRPr="00DB68CC">
              <w:rPr>
                <w:rFonts w:ascii="Arial" w:eastAsia="Arial" w:hAnsi="Arial" w:cs="Arial"/>
                <w:sz w:val="22"/>
                <w:szCs w:val="22"/>
                <w:lang w:val="es-ES_tradnl"/>
              </w:rPr>
              <w:t xml:space="preserve"> </w:t>
            </w:r>
            <w:proofErr w:type="spellStart"/>
            <w:r w:rsidRPr="00DB68CC">
              <w:rPr>
                <w:rFonts w:ascii="Arial" w:eastAsia="Arial" w:hAnsi="Arial" w:cs="Arial"/>
                <w:sz w:val="22"/>
                <w:szCs w:val="22"/>
                <w:lang w:val="es-ES_tradnl"/>
              </w:rPr>
              <w:t>any</w:t>
            </w:r>
            <w:proofErr w:type="spellEnd"/>
            <w:r w:rsidRPr="00DB68CC">
              <w:rPr>
                <w:rFonts w:ascii="Arial" w:eastAsia="Arial" w:hAnsi="Arial" w:cs="Arial"/>
                <w:sz w:val="22"/>
                <w:szCs w:val="22"/>
                <w:lang w:val="es-ES_tradnl"/>
              </w:rPr>
              <w:t>)</w:t>
            </w:r>
          </w:p>
          <w:p w14:paraId="10F3E1D2" w14:textId="5A5E1460" w:rsidR="00C00205" w:rsidRPr="00DB68CC" w:rsidRDefault="5A803077" w:rsidP="7B15385C">
            <w:pPr>
              <w:pStyle w:val="ListParagraph"/>
              <w:numPr>
                <w:ilvl w:val="0"/>
                <w:numId w:val="1"/>
              </w:numPr>
              <w:rPr>
                <w:rFonts w:ascii="Arial" w:eastAsia="Arial" w:hAnsi="Arial" w:cs="Arial"/>
                <w:sz w:val="22"/>
                <w:szCs w:val="22"/>
                <w:lang w:val="es-ES_tradnl"/>
              </w:rPr>
            </w:pPr>
            <w:r w:rsidRPr="00DB68CC">
              <w:rPr>
                <w:rFonts w:ascii="Arial" w:eastAsia="Arial" w:hAnsi="Arial" w:cs="Arial"/>
                <w:sz w:val="22"/>
                <w:szCs w:val="22"/>
                <w:lang w:val="es-ES_tradnl"/>
              </w:rPr>
              <w:t>Información relevante sobre temas socioambientales dentro de la institución (cambios organizacionales etc.)</w:t>
            </w:r>
          </w:p>
          <w:p w14:paraId="11A9F958" w14:textId="5A5E1460" w:rsidR="00C00205" w:rsidRPr="00DB68CC" w:rsidRDefault="5A803077" w:rsidP="00E94E76">
            <w:pPr>
              <w:pStyle w:val="ListParagraph"/>
              <w:numPr>
                <w:ilvl w:val="0"/>
                <w:numId w:val="1"/>
              </w:numPr>
              <w:rPr>
                <w:rFonts w:ascii="Arial" w:eastAsia="Arial" w:hAnsi="Arial" w:cs="Arial"/>
                <w:sz w:val="22"/>
                <w:szCs w:val="22"/>
                <w:lang w:val="es-ES_tradnl"/>
              </w:rPr>
            </w:pPr>
            <w:r w:rsidRPr="00DB68CC">
              <w:rPr>
                <w:rFonts w:ascii="Arial" w:eastAsia="Arial" w:hAnsi="Arial" w:cs="Arial"/>
                <w:sz w:val="22"/>
                <w:szCs w:val="22"/>
                <w:lang w:val="es-ES_tradnl"/>
              </w:rPr>
              <w:t>Información relevante de regulación nacional o subnacional (cambios regulatorios etc.)</w:t>
            </w:r>
          </w:p>
          <w:p w14:paraId="4D2478D7" w14:textId="5A5E1460" w:rsidR="00C00205" w:rsidRPr="00DB68CC" w:rsidRDefault="00C00205" w:rsidP="7B15385C">
            <w:pPr>
              <w:rPr>
                <w:rFonts w:ascii="Arial" w:hAnsi="Arial" w:cs="Arial"/>
                <w:sz w:val="22"/>
                <w:szCs w:val="22"/>
                <w:lang w:val="es-ES_tradnl"/>
              </w:rPr>
            </w:pPr>
          </w:p>
        </w:tc>
      </w:tr>
    </w:tbl>
    <w:p w14:paraId="2F8A4F05" w14:textId="77777777" w:rsidR="00C00205" w:rsidRPr="00DB68CC" w:rsidRDefault="00C00205" w:rsidP="00C00205">
      <w:pPr>
        <w:rPr>
          <w:rFonts w:ascii="Arial" w:eastAsia="Batang" w:hAnsi="Arial" w:cs="Arial"/>
          <w:sz w:val="22"/>
          <w:szCs w:val="22"/>
          <w:lang w:val="es-ES_tradnl" w:eastAsia="es-ES_tradnl"/>
        </w:rPr>
      </w:pPr>
    </w:p>
    <w:p w14:paraId="394C22C6" w14:textId="7527107D" w:rsidR="00146AA8" w:rsidRPr="00DB68CC" w:rsidRDefault="00146AA8" w:rsidP="00C00205">
      <w:pPr>
        <w:jc w:val="center"/>
        <w:rPr>
          <w:rFonts w:ascii="Arial" w:eastAsia="Batang" w:hAnsi="Arial" w:cs="Arial"/>
          <w:sz w:val="22"/>
          <w:szCs w:val="22"/>
          <w:lang w:val="es-ES_tradnl" w:eastAsia="es-ES_tradnl"/>
        </w:rPr>
      </w:pPr>
    </w:p>
    <w:sectPr w:rsidR="00146AA8" w:rsidRPr="00DB68CC" w:rsidSect="00DB68CC">
      <w:headerReference w:type="default" r:id="rId48"/>
      <w:headerReference w:type="first" r:id="rId49"/>
      <w:footerReference w:type="first" r:id="rId50"/>
      <w:pgSz w:w="12240" w:h="15840"/>
      <w:pgMar w:top="1440" w:right="1800" w:bottom="144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62A04" w14:textId="77777777" w:rsidR="00D72792" w:rsidRDefault="00D72792" w:rsidP="00FA548F">
      <w:r>
        <w:separator/>
      </w:r>
    </w:p>
  </w:endnote>
  <w:endnote w:type="continuationSeparator" w:id="0">
    <w:p w14:paraId="26391137" w14:textId="77777777" w:rsidR="00D72792" w:rsidRDefault="00D72792" w:rsidP="00FA548F">
      <w:r>
        <w:continuationSeparator/>
      </w:r>
    </w:p>
  </w:endnote>
  <w:endnote w:type="continuationNotice" w:id="1">
    <w:p w14:paraId="61373C09" w14:textId="77777777" w:rsidR="00D72792" w:rsidRDefault="00D72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24E61" w14:textId="77777777" w:rsidR="00C96012" w:rsidRDefault="00C960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5A7C6" w14:textId="77777777" w:rsidR="00C96012" w:rsidRDefault="00C960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209510"/>
      <w:docPartObj>
        <w:docPartGallery w:val="Page Numbers (Bottom of Page)"/>
        <w:docPartUnique/>
      </w:docPartObj>
    </w:sdtPr>
    <w:sdtEndPr>
      <w:rPr>
        <w:rFonts w:ascii="Arial" w:hAnsi="Arial" w:cs="Arial"/>
        <w:noProof/>
        <w:sz w:val="18"/>
        <w:szCs w:val="18"/>
      </w:rPr>
    </w:sdtEndPr>
    <w:sdtContent>
      <w:p w14:paraId="2F7914D6" w14:textId="77777777" w:rsidR="00C96012" w:rsidRPr="00D410AB" w:rsidRDefault="00C96012">
        <w:pPr>
          <w:pStyle w:val="Footer"/>
          <w:jc w:val="center"/>
          <w:rPr>
            <w:rFonts w:ascii="Arial" w:hAnsi="Arial" w:cs="Arial"/>
            <w:sz w:val="18"/>
            <w:szCs w:val="18"/>
          </w:rPr>
        </w:pPr>
        <w:r w:rsidRPr="00D410AB">
          <w:rPr>
            <w:rFonts w:ascii="Arial" w:hAnsi="Arial" w:cs="Arial"/>
            <w:sz w:val="18"/>
            <w:szCs w:val="18"/>
          </w:rPr>
          <w:fldChar w:fldCharType="begin"/>
        </w:r>
        <w:r w:rsidRPr="00D410AB">
          <w:rPr>
            <w:rFonts w:ascii="Arial" w:hAnsi="Arial" w:cs="Arial"/>
            <w:sz w:val="18"/>
            <w:szCs w:val="18"/>
          </w:rPr>
          <w:instrText xml:space="preserve"> PAGE   \* MERGEFORMAT </w:instrText>
        </w:r>
        <w:r w:rsidRPr="00D410AB">
          <w:rPr>
            <w:rFonts w:ascii="Arial" w:hAnsi="Arial" w:cs="Arial"/>
            <w:sz w:val="18"/>
            <w:szCs w:val="18"/>
          </w:rPr>
          <w:fldChar w:fldCharType="separate"/>
        </w:r>
        <w:r>
          <w:rPr>
            <w:rFonts w:ascii="Arial" w:hAnsi="Arial" w:cs="Arial"/>
            <w:noProof/>
            <w:sz w:val="18"/>
            <w:szCs w:val="18"/>
          </w:rPr>
          <w:t>17</w:t>
        </w:r>
        <w:r w:rsidRPr="00D410AB">
          <w:rPr>
            <w:rFonts w:ascii="Arial" w:hAnsi="Arial" w:cs="Arial"/>
            <w:noProof/>
            <w:sz w:val="18"/>
            <w:szCs w:val="18"/>
          </w:rPr>
          <w:fldChar w:fldCharType="end"/>
        </w:r>
      </w:p>
    </w:sdtContent>
  </w:sdt>
  <w:p w14:paraId="53211A27" w14:textId="77777777" w:rsidR="00C96012" w:rsidRDefault="00C9601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C96012" w14:paraId="2F3C7126" w14:textId="77777777" w:rsidTr="007C42A0">
      <w:tc>
        <w:tcPr>
          <w:tcW w:w="2880" w:type="dxa"/>
        </w:tcPr>
        <w:p w14:paraId="6C2F4471" w14:textId="7C638C7F" w:rsidR="00C96012" w:rsidRDefault="00C96012" w:rsidP="007C42A0">
          <w:pPr>
            <w:pStyle w:val="Header"/>
            <w:ind w:left="-115"/>
          </w:pPr>
        </w:p>
      </w:tc>
      <w:tc>
        <w:tcPr>
          <w:tcW w:w="2880" w:type="dxa"/>
        </w:tcPr>
        <w:p w14:paraId="69EB96AF" w14:textId="36FE2DD1" w:rsidR="00C96012" w:rsidRDefault="00C96012" w:rsidP="007C42A0">
          <w:pPr>
            <w:pStyle w:val="Header"/>
            <w:jc w:val="center"/>
          </w:pPr>
        </w:p>
      </w:tc>
      <w:tc>
        <w:tcPr>
          <w:tcW w:w="2880" w:type="dxa"/>
        </w:tcPr>
        <w:p w14:paraId="633494D3" w14:textId="289BA75F" w:rsidR="00C96012" w:rsidRDefault="00C96012" w:rsidP="007C42A0">
          <w:pPr>
            <w:pStyle w:val="Header"/>
            <w:ind w:right="-115"/>
            <w:jc w:val="right"/>
          </w:pPr>
        </w:p>
      </w:tc>
    </w:tr>
  </w:tbl>
  <w:p w14:paraId="779E1B30" w14:textId="3235FAD0" w:rsidR="00C96012" w:rsidRDefault="00C96012" w:rsidP="007C42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C96012" w14:paraId="04C256EA" w14:textId="77777777" w:rsidTr="007C42A0">
      <w:tc>
        <w:tcPr>
          <w:tcW w:w="2880" w:type="dxa"/>
        </w:tcPr>
        <w:p w14:paraId="0BE8041C" w14:textId="5EF482D2" w:rsidR="00C96012" w:rsidRDefault="00C96012" w:rsidP="007C42A0">
          <w:pPr>
            <w:pStyle w:val="Header"/>
            <w:ind w:left="-115"/>
          </w:pPr>
        </w:p>
      </w:tc>
      <w:tc>
        <w:tcPr>
          <w:tcW w:w="2880" w:type="dxa"/>
        </w:tcPr>
        <w:p w14:paraId="6C0891E3" w14:textId="50EBD6CC" w:rsidR="00C96012" w:rsidRDefault="00C96012" w:rsidP="007C42A0">
          <w:pPr>
            <w:pStyle w:val="Header"/>
            <w:jc w:val="center"/>
          </w:pPr>
        </w:p>
      </w:tc>
      <w:tc>
        <w:tcPr>
          <w:tcW w:w="2880" w:type="dxa"/>
        </w:tcPr>
        <w:p w14:paraId="1B955525" w14:textId="0EC00329" w:rsidR="00C96012" w:rsidRDefault="00C96012" w:rsidP="007C42A0">
          <w:pPr>
            <w:pStyle w:val="Header"/>
            <w:ind w:right="-115"/>
            <w:jc w:val="right"/>
          </w:pPr>
        </w:p>
      </w:tc>
    </w:tr>
  </w:tbl>
  <w:p w14:paraId="74C81F09" w14:textId="786B907C" w:rsidR="00C96012" w:rsidRDefault="00C96012" w:rsidP="007C42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320"/>
      <w:gridCol w:w="4320"/>
      <w:gridCol w:w="4320"/>
    </w:tblGrid>
    <w:tr w:rsidR="00C96012" w14:paraId="328485E0" w14:textId="77777777" w:rsidTr="007C42A0">
      <w:tc>
        <w:tcPr>
          <w:tcW w:w="4320" w:type="dxa"/>
        </w:tcPr>
        <w:p w14:paraId="51A72846" w14:textId="70EB96A2" w:rsidR="00C96012" w:rsidRDefault="00C96012" w:rsidP="007C42A0">
          <w:pPr>
            <w:pStyle w:val="Header"/>
            <w:ind w:left="-115"/>
          </w:pPr>
        </w:p>
      </w:tc>
      <w:tc>
        <w:tcPr>
          <w:tcW w:w="4320" w:type="dxa"/>
        </w:tcPr>
        <w:p w14:paraId="68F1A3F6" w14:textId="4BF89A64" w:rsidR="00C96012" w:rsidRDefault="00C96012" w:rsidP="007C42A0">
          <w:pPr>
            <w:pStyle w:val="Header"/>
            <w:jc w:val="center"/>
          </w:pPr>
        </w:p>
      </w:tc>
      <w:tc>
        <w:tcPr>
          <w:tcW w:w="4320" w:type="dxa"/>
        </w:tcPr>
        <w:p w14:paraId="4E3EFDBC" w14:textId="7698D63F" w:rsidR="00C96012" w:rsidRDefault="00C96012" w:rsidP="007C42A0">
          <w:pPr>
            <w:pStyle w:val="Header"/>
            <w:ind w:right="-115"/>
            <w:jc w:val="right"/>
          </w:pPr>
        </w:p>
      </w:tc>
    </w:tr>
  </w:tbl>
  <w:p w14:paraId="69588198" w14:textId="7C4649BB" w:rsidR="00C96012" w:rsidRDefault="00C96012" w:rsidP="007C4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99F40" w14:textId="77777777" w:rsidR="00D72792" w:rsidRDefault="00D72792" w:rsidP="00FA548F">
      <w:r>
        <w:separator/>
      </w:r>
    </w:p>
  </w:footnote>
  <w:footnote w:type="continuationSeparator" w:id="0">
    <w:p w14:paraId="482B3DC1" w14:textId="77777777" w:rsidR="00D72792" w:rsidRDefault="00D72792" w:rsidP="00FA548F">
      <w:r>
        <w:continuationSeparator/>
      </w:r>
    </w:p>
  </w:footnote>
  <w:footnote w:type="continuationNotice" w:id="1">
    <w:p w14:paraId="45CB95FC" w14:textId="77777777" w:rsidR="00D72792" w:rsidRDefault="00D72792"/>
  </w:footnote>
  <w:footnote w:id="2">
    <w:p w14:paraId="3886E830" w14:textId="27272559" w:rsidR="00C96012" w:rsidRPr="00B6129E" w:rsidRDefault="00C96012" w:rsidP="005D6BCD">
      <w:pPr>
        <w:pStyle w:val="FootnoteText"/>
        <w:spacing w:after="0"/>
        <w:ind w:left="274" w:hanging="274"/>
        <w:rPr>
          <w:rFonts w:ascii="Arial" w:hAnsi="Arial" w:cs="Arial"/>
          <w:sz w:val="16"/>
          <w:szCs w:val="16"/>
        </w:rPr>
      </w:pPr>
      <w:r w:rsidRPr="005D6BCD">
        <w:rPr>
          <w:rStyle w:val="FootnoteReference"/>
          <w:rFonts w:ascii="Arial" w:hAnsi="Arial" w:cs="Arial"/>
          <w:sz w:val="18"/>
          <w:szCs w:val="18"/>
        </w:rPr>
        <w:footnoteRef/>
      </w:r>
      <w:r w:rsidRPr="005D6BCD">
        <w:rPr>
          <w:rFonts w:ascii="Arial" w:hAnsi="Arial" w:cs="Arial"/>
          <w:sz w:val="18"/>
          <w:szCs w:val="18"/>
        </w:rPr>
        <w:t xml:space="preserve"> </w:t>
      </w:r>
      <w:r w:rsidRPr="005D6BCD">
        <w:rPr>
          <w:rFonts w:ascii="Arial" w:hAnsi="Arial" w:cs="Arial"/>
          <w:sz w:val="18"/>
          <w:szCs w:val="18"/>
        </w:rPr>
        <w:tab/>
      </w:r>
      <w:r w:rsidRPr="005D6BCD">
        <w:rPr>
          <w:rFonts w:ascii="Arial" w:hAnsi="Arial" w:cs="Arial"/>
          <w:sz w:val="18"/>
          <w:szCs w:val="18"/>
          <w:lang w:val="es-ES"/>
        </w:rPr>
        <w:t>Para efectos de clasificación según tamaño de empresas, el programa de préstamo utilizará las definiciones vigentes y emitidas</w:t>
      </w:r>
      <w:r>
        <w:rPr>
          <w:rFonts w:ascii="Arial" w:hAnsi="Arial" w:cs="Arial"/>
          <w:sz w:val="18"/>
          <w:szCs w:val="18"/>
          <w:lang w:val="es-ES"/>
        </w:rPr>
        <w:t xml:space="preserve"> por </w:t>
      </w:r>
      <w:r w:rsidRPr="00A81493">
        <w:rPr>
          <w:rFonts w:ascii="Arial" w:hAnsi="Arial" w:cs="Arial"/>
          <w:sz w:val="18"/>
          <w:szCs w:val="18"/>
          <w:highlight w:val="cyan"/>
          <w:lang w:val="es-ES"/>
        </w:rPr>
        <w:t>[ÓRGANO COMPETENTE]</w:t>
      </w:r>
      <w:r w:rsidRPr="005D6BCD">
        <w:rPr>
          <w:rFonts w:ascii="Arial" w:hAnsi="Arial" w:cs="Arial"/>
          <w:sz w:val="18"/>
          <w:szCs w:val="18"/>
          <w:lang w:val="es-ES"/>
        </w:rPr>
        <w:t>.</w:t>
      </w:r>
    </w:p>
  </w:footnote>
  <w:footnote w:id="3">
    <w:p w14:paraId="7AA63ED3" w14:textId="77777777" w:rsidR="002E6EF1" w:rsidRPr="00294E3C" w:rsidRDefault="002E6EF1" w:rsidP="002E6EF1">
      <w:pPr>
        <w:pStyle w:val="FootnoteText"/>
        <w:spacing w:after="0"/>
        <w:rPr>
          <w:rFonts w:ascii="Arial" w:hAnsi="Arial" w:cs="Arial"/>
          <w:sz w:val="18"/>
          <w:szCs w:val="18"/>
        </w:rPr>
      </w:pPr>
      <w:r w:rsidRPr="00294E3C">
        <w:rPr>
          <w:rStyle w:val="FootnoteReference"/>
          <w:rFonts w:ascii="Arial" w:hAnsi="Arial" w:cs="Arial"/>
          <w:sz w:val="18"/>
          <w:szCs w:val="18"/>
        </w:rPr>
        <w:footnoteRef/>
      </w:r>
      <w:r w:rsidRPr="00294E3C">
        <w:rPr>
          <w:rFonts w:ascii="Arial" w:hAnsi="Arial" w:cs="Arial"/>
          <w:sz w:val="18"/>
          <w:szCs w:val="18"/>
        </w:rPr>
        <w:t xml:space="preserve"> </w:t>
      </w:r>
      <w:r w:rsidRPr="00294E3C">
        <w:rPr>
          <w:rFonts w:ascii="Arial" w:hAnsi="Arial" w:cs="Arial"/>
          <w:sz w:val="18"/>
          <w:szCs w:val="18"/>
        </w:rPr>
        <w:tab/>
        <w:t>Algunas de las principales variables que se definen en el RC con relación a los subpréstamos son: (i) costo máximo de los recursos de los préstamos y subpréstamos; (</w:t>
      </w:r>
      <w:proofErr w:type="spellStart"/>
      <w:r w:rsidRPr="00294E3C">
        <w:rPr>
          <w:rFonts w:ascii="Arial" w:hAnsi="Arial" w:cs="Arial"/>
          <w:sz w:val="18"/>
          <w:szCs w:val="18"/>
        </w:rPr>
        <w:t>ii</w:t>
      </w:r>
      <w:proofErr w:type="spellEnd"/>
      <w:r w:rsidRPr="00294E3C">
        <w:rPr>
          <w:rFonts w:ascii="Arial" w:hAnsi="Arial" w:cs="Arial"/>
          <w:sz w:val="18"/>
          <w:szCs w:val="18"/>
        </w:rPr>
        <w:t>) criterios de asignación de recursos y de elegibilidad de los intermediarios financieros (subprestamistas) y MIPE (</w:t>
      </w:r>
      <w:proofErr w:type="spellStart"/>
      <w:r w:rsidRPr="00294E3C">
        <w:rPr>
          <w:rFonts w:ascii="Arial" w:hAnsi="Arial" w:cs="Arial"/>
          <w:sz w:val="18"/>
          <w:szCs w:val="18"/>
        </w:rPr>
        <w:t>subprestatarios</w:t>
      </w:r>
      <w:proofErr w:type="spellEnd"/>
      <w:r w:rsidRPr="00294E3C">
        <w:rPr>
          <w:rFonts w:ascii="Arial" w:hAnsi="Arial" w:cs="Arial"/>
          <w:sz w:val="18"/>
          <w:szCs w:val="18"/>
        </w:rPr>
        <w:t xml:space="preserve">); (iii) niveles riesgo de los </w:t>
      </w:r>
      <w:proofErr w:type="spellStart"/>
      <w:r w:rsidRPr="00294E3C">
        <w:rPr>
          <w:rFonts w:ascii="Arial" w:hAnsi="Arial" w:cs="Arial"/>
          <w:sz w:val="18"/>
          <w:szCs w:val="18"/>
        </w:rPr>
        <w:t>subprestatarios</w:t>
      </w:r>
      <w:proofErr w:type="spellEnd"/>
      <w:r w:rsidRPr="00294E3C">
        <w:rPr>
          <w:rFonts w:ascii="Arial" w:hAnsi="Arial" w:cs="Arial"/>
          <w:sz w:val="18"/>
          <w:szCs w:val="18"/>
        </w:rPr>
        <w:t xml:space="preserve"> y subprestamistas: y (</w:t>
      </w:r>
      <w:proofErr w:type="spellStart"/>
      <w:r w:rsidRPr="00294E3C">
        <w:rPr>
          <w:rFonts w:ascii="Arial" w:hAnsi="Arial" w:cs="Arial"/>
          <w:sz w:val="18"/>
          <w:szCs w:val="18"/>
        </w:rPr>
        <w:t>iv</w:t>
      </w:r>
      <w:proofErr w:type="spellEnd"/>
      <w:r w:rsidRPr="00294E3C">
        <w:rPr>
          <w:rFonts w:ascii="Arial" w:hAnsi="Arial" w:cs="Arial"/>
          <w:sz w:val="18"/>
          <w:szCs w:val="18"/>
        </w:rPr>
        <w:t>) grado de apalancamiento del fondo de garantías; (v) limitaciones de usos de recursos; y (vi) sistema de indicadores y monitoreo de los recursos (</w:t>
      </w:r>
      <w:hyperlink r:id="rId1" w:history="1">
        <w:r w:rsidRPr="00294E3C">
          <w:rPr>
            <w:rStyle w:val="Hyperlink"/>
            <w:rFonts w:ascii="Arial" w:hAnsi="Arial" w:cs="Arial"/>
            <w:sz w:val="18"/>
            <w:szCs w:val="18"/>
          </w:rPr>
          <w:t>EEO#9</w:t>
        </w:r>
      </w:hyperlink>
      <w:r w:rsidRPr="00294E3C">
        <w:rPr>
          <w:rFonts w:ascii="Arial" w:hAnsi="Arial" w:cs="Arial"/>
          <w:sz w:val="18"/>
          <w:szCs w:val="18"/>
        </w:rPr>
        <w:t>).</w:t>
      </w:r>
    </w:p>
  </w:footnote>
  <w:footnote w:id="4">
    <w:p w14:paraId="20D40D3A"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5">
    <w:p w14:paraId="020C341B"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Convención sobre el Comercio Internacional de Especies Amenazadas de Fauna y Flora Silvestres (www.cites.org).</w:t>
      </w:r>
    </w:p>
  </w:footnote>
  <w:footnote w:id="6">
    <w:p w14:paraId="29378E9B"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Mm. de lluvia por mes durante dos de cada tres años con una temperatura media anual de 240 C o más.</w:t>
      </w:r>
    </w:p>
  </w:footnote>
  <w:footnote w:id="7">
    <w:p w14:paraId="53669CE3"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pais,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8">
    <w:p w14:paraId="229D935F" w14:textId="77777777" w:rsidR="00C96012" w:rsidRPr="00307787" w:rsidRDefault="00C96012" w:rsidP="00DB68CC">
      <w:pPr>
        <w:pStyle w:val="FootnoteText"/>
        <w:spacing w:after="0"/>
        <w:rPr>
          <w:rFonts w:ascii="Arial" w:hAnsi="Arial" w:cs="Arial"/>
          <w:sz w:val="16"/>
          <w:szCs w:val="16"/>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Especies invasivas se definen como especies que: (i) no son nativas del ecosistema bajo consideración: (ii) cuya introducción causa o tiene el potencial de causar daños económicos o ambientales, o daños a la salud humana.</w:t>
      </w:r>
    </w:p>
  </w:footnote>
  <w:footnote w:id="9">
    <w:p w14:paraId="122B745D"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PCBs son bifeniles polielorinados -un grupo de químicos altamente tóxicos. Los PCBs son comúnmente hallados en los transformadores eléctricos que emplean aceite, yen los capacitadores y aditamentos eléctricos construidos entre 1950 y 1985.</w:t>
      </w:r>
    </w:p>
  </w:footnote>
  <w:footnote w:id="10">
    <w:p w14:paraId="281BC6E3" w14:textId="77777777" w:rsidR="00C96012" w:rsidRPr="00DB68CC" w:rsidRDefault="00C96012" w:rsidP="00DB68CC">
      <w:pPr>
        <w:pStyle w:val="FootnoteText"/>
        <w:spacing w:after="0"/>
        <w:rPr>
          <w:rFonts w:ascii="Arial" w:hAnsi="Arial" w:cs="Arial"/>
          <w:sz w:val="18"/>
          <w:szCs w:val="18"/>
          <w:lang w:val="en-US"/>
        </w:rPr>
      </w:pPr>
      <w:r w:rsidRPr="00DB68CC">
        <w:rPr>
          <w:rStyle w:val="FootnoteReference"/>
          <w:rFonts w:ascii="Arial" w:hAnsi="Arial" w:cs="Arial"/>
          <w:sz w:val="18"/>
          <w:szCs w:val="18"/>
          <w:lang w:val="es-ES_tradnl"/>
        </w:rPr>
        <w:footnoteRef/>
      </w:r>
      <w:r w:rsidRPr="00DB68CC">
        <w:rPr>
          <w:rFonts w:ascii="Arial" w:hAnsi="Arial" w:cs="Arial"/>
          <w:sz w:val="18"/>
          <w:szCs w:val="18"/>
          <w:lang w:val="en-US"/>
        </w:rPr>
        <w:t xml:space="preserve"> Productos farmacéuticos incluidos en el libro titulado United Nations, Banned Products: Consolidated List of Products Whose Consumption and/or Sale Have Been Banned, Withdrawn, Severely Restricted or no, Approved by Governments) última versión 2003</w:t>
      </w:r>
    </w:p>
  </w:footnote>
  <w:footnote w:id="11">
    <w:p w14:paraId="4CA9C7A8"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Pesticidas y Herbicidas incluidos en el Convenio de Rotterdam (www.wipo.int) y el Convenio de Estocolmo (www.wipo.int).</w:t>
      </w:r>
    </w:p>
  </w:footnote>
  <w:footnote w:id="12">
    <w:p w14:paraId="285D6607"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clorobenceno (</w:t>
      </w:r>
      <w:hyperlink r:id="rId2" w:history="1">
        <w:r w:rsidRPr="00DB68CC">
          <w:rPr>
            <w:rStyle w:val="Hyperlink"/>
            <w:rFonts w:ascii="Arial" w:hAnsi="Arial" w:cs="Arial"/>
            <w:sz w:val="18"/>
            <w:szCs w:val="18"/>
            <w:lang w:val="es-ES_tradnl"/>
          </w:rPr>
          <w:t>www.pops.int/</w:t>
        </w:r>
      </w:hyperlink>
      <w:r w:rsidRPr="00DB68CC">
        <w:rPr>
          <w:rFonts w:ascii="Arial" w:hAnsi="Arial" w:cs="Arial"/>
          <w:sz w:val="18"/>
          <w:szCs w:val="18"/>
          <w:lang w:val="es-ES_tradnl"/>
        </w:rPr>
        <w:t>)</w:t>
      </w:r>
    </w:p>
  </w:footnote>
  <w:footnote w:id="13">
    <w:p w14:paraId="221FE6E6" w14:textId="77777777"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4">
    <w:p w14:paraId="3CE9BC8D" w14:textId="51EC6964" w:rsidR="00C96012" w:rsidRPr="00DB68CC" w:rsidRDefault="00C96012" w:rsidP="00DB68CC">
      <w:pPr>
        <w:pStyle w:val="FootnoteText"/>
        <w:spacing w:after="0"/>
        <w:rPr>
          <w:rFonts w:ascii="Arial" w:hAnsi="Arial" w:cs="Arial"/>
          <w:sz w:val="18"/>
          <w:szCs w:val="18"/>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w:t>
      </w:r>
      <w:r>
        <w:rPr>
          <w:rFonts w:ascii="Arial" w:hAnsi="Arial" w:cs="Arial"/>
          <w:sz w:val="18"/>
          <w:szCs w:val="18"/>
          <w:lang w:val="es-ES_tradnl"/>
        </w:rPr>
        <w:tab/>
      </w:r>
      <w:r w:rsidRPr="00DB68CC">
        <w:rPr>
          <w:rFonts w:ascii="Arial" w:hAnsi="Arial" w:cs="Arial"/>
          <w:sz w:val="18"/>
          <w:szCs w:val="18"/>
          <w:lang w:val="es-ES_tradnl"/>
        </w:rPr>
        <w:t>Definido en el Convenio de Basilea (www.basel.int)</w:t>
      </w:r>
    </w:p>
  </w:footnote>
  <w:footnote w:id="15">
    <w:p w14:paraId="2AD72D05" w14:textId="771DA3AC" w:rsidR="00C96012" w:rsidRPr="00307787" w:rsidRDefault="00C96012" w:rsidP="00907CFD">
      <w:pPr>
        <w:pStyle w:val="FootnoteText"/>
        <w:spacing w:after="0"/>
        <w:rPr>
          <w:lang w:val="es-ES_tradnl"/>
        </w:rPr>
      </w:pPr>
      <w:r w:rsidRPr="00DB68CC">
        <w:rPr>
          <w:rStyle w:val="FootnoteReference"/>
          <w:rFonts w:ascii="Arial" w:hAnsi="Arial" w:cs="Arial"/>
          <w:sz w:val="18"/>
          <w:szCs w:val="18"/>
        </w:rPr>
        <w:footnoteRef/>
      </w:r>
      <w:r w:rsidRPr="00DB68CC">
        <w:rPr>
          <w:rFonts w:ascii="Arial" w:hAnsi="Arial" w:cs="Arial"/>
          <w:sz w:val="18"/>
          <w:szCs w:val="18"/>
          <w:lang w:val="es-ES_tradnl"/>
        </w:rPr>
        <w:t xml:space="preserve"> 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F62DF" w14:textId="77777777" w:rsidR="00C96012" w:rsidRDefault="00C96012">
    <w:pPr>
      <w:pStyle w:val="Header"/>
      <w:jc w:val="center"/>
      <w:rPr>
        <w:rStyle w:val="PageNumber"/>
      </w:rPr>
    </w:pPr>
    <w:r>
      <w:rPr>
        <w:rStyle w:val="PageNumbe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C96012" w14:paraId="1CB16D2E" w14:textId="77777777" w:rsidTr="007C42A0">
      <w:tc>
        <w:tcPr>
          <w:tcW w:w="2880" w:type="dxa"/>
        </w:tcPr>
        <w:p w14:paraId="2DE233CB" w14:textId="11FA6300" w:rsidR="00C96012" w:rsidRDefault="00C96012" w:rsidP="007C42A0">
          <w:pPr>
            <w:pStyle w:val="Header"/>
            <w:ind w:left="-115"/>
          </w:pPr>
        </w:p>
      </w:tc>
      <w:tc>
        <w:tcPr>
          <w:tcW w:w="2880" w:type="dxa"/>
        </w:tcPr>
        <w:p w14:paraId="0871C134" w14:textId="36F52230" w:rsidR="00C96012" w:rsidRDefault="00C96012" w:rsidP="007C42A0">
          <w:pPr>
            <w:pStyle w:val="Header"/>
            <w:jc w:val="center"/>
          </w:pPr>
        </w:p>
      </w:tc>
      <w:tc>
        <w:tcPr>
          <w:tcW w:w="2880" w:type="dxa"/>
        </w:tcPr>
        <w:p w14:paraId="209C3C42" w14:textId="5DF8629E" w:rsidR="00C96012" w:rsidRDefault="00C96012" w:rsidP="007C42A0">
          <w:pPr>
            <w:pStyle w:val="Header"/>
            <w:ind w:right="-115"/>
            <w:jc w:val="right"/>
          </w:pPr>
        </w:p>
      </w:tc>
    </w:tr>
  </w:tbl>
  <w:p w14:paraId="7A92D1C1" w14:textId="2E73B6C0" w:rsidR="00C96012" w:rsidRDefault="00C96012" w:rsidP="007C42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C96012" w14:paraId="29A2DF22" w14:textId="77777777" w:rsidTr="007C42A0">
      <w:tc>
        <w:tcPr>
          <w:tcW w:w="2880" w:type="dxa"/>
        </w:tcPr>
        <w:p w14:paraId="134EB2E5" w14:textId="1416D33C" w:rsidR="00C96012" w:rsidRDefault="00C96012" w:rsidP="007C42A0">
          <w:pPr>
            <w:pStyle w:val="Header"/>
            <w:ind w:left="-115"/>
          </w:pPr>
        </w:p>
      </w:tc>
      <w:tc>
        <w:tcPr>
          <w:tcW w:w="2880" w:type="dxa"/>
        </w:tcPr>
        <w:p w14:paraId="0142598E" w14:textId="37CEA9CD" w:rsidR="00C96012" w:rsidRDefault="00C96012" w:rsidP="007C42A0">
          <w:pPr>
            <w:pStyle w:val="Header"/>
            <w:jc w:val="center"/>
          </w:pPr>
        </w:p>
      </w:tc>
      <w:tc>
        <w:tcPr>
          <w:tcW w:w="2880" w:type="dxa"/>
        </w:tcPr>
        <w:p w14:paraId="2E6B61BD" w14:textId="39D16F78" w:rsidR="00C96012" w:rsidRDefault="00C96012" w:rsidP="007C42A0">
          <w:pPr>
            <w:pStyle w:val="Header"/>
            <w:ind w:right="-115"/>
            <w:jc w:val="right"/>
          </w:pPr>
        </w:p>
      </w:tc>
    </w:tr>
  </w:tbl>
  <w:p w14:paraId="004B5655" w14:textId="306E98C7" w:rsidR="00C96012" w:rsidRDefault="00C96012" w:rsidP="007C42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C96012" w14:paraId="6F53320D" w14:textId="77777777" w:rsidTr="007C42A0">
      <w:tc>
        <w:tcPr>
          <w:tcW w:w="2880" w:type="dxa"/>
        </w:tcPr>
        <w:p w14:paraId="1EB2B3C7" w14:textId="338FF38A" w:rsidR="00C96012" w:rsidRDefault="00C96012" w:rsidP="007C42A0">
          <w:pPr>
            <w:pStyle w:val="Header"/>
            <w:ind w:left="-115"/>
          </w:pPr>
        </w:p>
      </w:tc>
      <w:tc>
        <w:tcPr>
          <w:tcW w:w="2880" w:type="dxa"/>
        </w:tcPr>
        <w:p w14:paraId="2F6B6289" w14:textId="1C0CC8FB" w:rsidR="00C96012" w:rsidRDefault="00C96012" w:rsidP="007C42A0">
          <w:pPr>
            <w:pStyle w:val="Header"/>
            <w:jc w:val="center"/>
          </w:pPr>
        </w:p>
      </w:tc>
      <w:tc>
        <w:tcPr>
          <w:tcW w:w="2880" w:type="dxa"/>
        </w:tcPr>
        <w:p w14:paraId="1B08956E" w14:textId="2DF3235E" w:rsidR="00C96012" w:rsidRDefault="00C96012" w:rsidP="007C42A0">
          <w:pPr>
            <w:pStyle w:val="Header"/>
            <w:ind w:right="-115"/>
            <w:jc w:val="right"/>
          </w:pPr>
        </w:p>
      </w:tc>
    </w:tr>
  </w:tbl>
  <w:p w14:paraId="20BE6CEB" w14:textId="1C4A00DD" w:rsidR="00C96012" w:rsidRDefault="00C96012" w:rsidP="007C42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C96012" w14:paraId="2F889040" w14:textId="77777777" w:rsidTr="007C42A0">
      <w:tc>
        <w:tcPr>
          <w:tcW w:w="2880" w:type="dxa"/>
        </w:tcPr>
        <w:p w14:paraId="5A3D649D" w14:textId="7E428598" w:rsidR="00C96012" w:rsidRDefault="00C96012" w:rsidP="007C42A0">
          <w:pPr>
            <w:pStyle w:val="Header"/>
            <w:ind w:left="-115"/>
          </w:pPr>
        </w:p>
      </w:tc>
      <w:tc>
        <w:tcPr>
          <w:tcW w:w="2880" w:type="dxa"/>
        </w:tcPr>
        <w:p w14:paraId="04C028B2" w14:textId="1A3CF340" w:rsidR="00C96012" w:rsidRDefault="00C96012" w:rsidP="007C42A0">
          <w:pPr>
            <w:pStyle w:val="Header"/>
            <w:jc w:val="center"/>
          </w:pPr>
        </w:p>
      </w:tc>
      <w:tc>
        <w:tcPr>
          <w:tcW w:w="2880" w:type="dxa"/>
        </w:tcPr>
        <w:p w14:paraId="6BC76018" w14:textId="04C68F91" w:rsidR="00C96012" w:rsidRDefault="00C96012" w:rsidP="007C42A0">
          <w:pPr>
            <w:pStyle w:val="Header"/>
            <w:ind w:right="-115"/>
            <w:jc w:val="right"/>
          </w:pPr>
        </w:p>
      </w:tc>
    </w:tr>
  </w:tbl>
  <w:p w14:paraId="61314F93" w14:textId="02C8B5BC" w:rsidR="00C96012" w:rsidRDefault="00C96012" w:rsidP="007C42A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320"/>
      <w:gridCol w:w="4320"/>
      <w:gridCol w:w="4320"/>
    </w:tblGrid>
    <w:tr w:rsidR="00C96012" w14:paraId="4D1B591E" w14:textId="77777777" w:rsidTr="007C42A0">
      <w:tc>
        <w:tcPr>
          <w:tcW w:w="4320" w:type="dxa"/>
        </w:tcPr>
        <w:p w14:paraId="0D263C22" w14:textId="783B15B1" w:rsidR="00C96012" w:rsidRDefault="00C96012" w:rsidP="007C42A0">
          <w:pPr>
            <w:pStyle w:val="Header"/>
            <w:ind w:left="-115"/>
          </w:pPr>
        </w:p>
      </w:tc>
      <w:tc>
        <w:tcPr>
          <w:tcW w:w="4320" w:type="dxa"/>
        </w:tcPr>
        <w:p w14:paraId="64795FD2" w14:textId="3D4C8E66" w:rsidR="00C96012" w:rsidRDefault="00C96012" w:rsidP="007C42A0">
          <w:pPr>
            <w:pStyle w:val="Header"/>
            <w:jc w:val="center"/>
          </w:pPr>
        </w:p>
      </w:tc>
      <w:tc>
        <w:tcPr>
          <w:tcW w:w="4320" w:type="dxa"/>
        </w:tcPr>
        <w:p w14:paraId="4A739425" w14:textId="72394FAF" w:rsidR="00C96012" w:rsidRDefault="00C96012" w:rsidP="007C42A0">
          <w:pPr>
            <w:pStyle w:val="Header"/>
            <w:ind w:right="-115"/>
            <w:jc w:val="right"/>
          </w:pPr>
        </w:p>
      </w:tc>
    </w:tr>
  </w:tbl>
  <w:p w14:paraId="4485A0A6" w14:textId="1F6EDC52" w:rsidR="00C96012" w:rsidRDefault="00C96012" w:rsidP="007C42A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8E1E2" w14:textId="77777777" w:rsidR="00C96012" w:rsidRDefault="00C9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73C34"/>
    <w:multiLevelType w:val="hybridMultilevel"/>
    <w:tmpl w:val="9D7054F0"/>
    <w:lvl w:ilvl="0" w:tplc="300A0019">
      <w:start w:val="1"/>
      <w:numFmt w:val="lowerLetter"/>
      <w:lvlText w:val="%1."/>
      <w:lvlJc w:val="left"/>
      <w:pPr>
        <w:ind w:left="1170" w:hanging="360"/>
      </w:pPr>
      <w:rPr>
        <w:rFonts w:hint="default"/>
      </w:rPr>
    </w:lvl>
    <w:lvl w:ilvl="1" w:tplc="300A0019" w:tentative="1">
      <w:start w:val="1"/>
      <w:numFmt w:val="lowerLetter"/>
      <w:lvlText w:val="%2."/>
      <w:lvlJc w:val="left"/>
      <w:pPr>
        <w:ind w:left="1890" w:hanging="360"/>
      </w:pPr>
    </w:lvl>
    <w:lvl w:ilvl="2" w:tplc="300A001B" w:tentative="1">
      <w:start w:val="1"/>
      <w:numFmt w:val="lowerRoman"/>
      <w:lvlText w:val="%3."/>
      <w:lvlJc w:val="right"/>
      <w:pPr>
        <w:ind w:left="2610" w:hanging="180"/>
      </w:pPr>
    </w:lvl>
    <w:lvl w:ilvl="3" w:tplc="300A000F" w:tentative="1">
      <w:start w:val="1"/>
      <w:numFmt w:val="decimal"/>
      <w:lvlText w:val="%4."/>
      <w:lvlJc w:val="left"/>
      <w:pPr>
        <w:ind w:left="3330" w:hanging="360"/>
      </w:pPr>
    </w:lvl>
    <w:lvl w:ilvl="4" w:tplc="300A0019" w:tentative="1">
      <w:start w:val="1"/>
      <w:numFmt w:val="lowerLetter"/>
      <w:lvlText w:val="%5."/>
      <w:lvlJc w:val="left"/>
      <w:pPr>
        <w:ind w:left="4050" w:hanging="360"/>
      </w:pPr>
    </w:lvl>
    <w:lvl w:ilvl="5" w:tplc="300A001B" w:tentative="1">
      <w:start w:val="1"/>
      <w:numFmt w:val="lowerRoman"/>
      <w:lvlText w:val="%6."/>
      <w:lvlJc w:val="right"/>
      <w:pPr>
        <w:ind w:left="4770" w:hanging="180"/>
      </w:pPr>
    </w:lvl>
    <w:lvl w:ilvl="6" w:tplc="300A000F" w:tentative="1">
      <w:start w:val="1"/>
      <w:numFmt w:val="decimal"/>
      <w:lvlText w:val="%7."/>
      <w:lvlJc w:val="left"/>
      <w:pPr>
        <w:ind w:left="5490" w:hanging="360"/>
      </w:pPr>
    </w:lvl>
    <w:lvl w:ilvl="7" w:tplc="300A0019" w:tentative="1">
      <w:start w:val="1"/>
      <w:numFmt w:val="lowerLetter"/>
      <w:lvlText w:val="%8."/>
      <w:lvlJc w:val="left"/>
      <w:pPr>
        <w:ind w:left="6210" w:hanging="360"/>
      </w:pPr>
    </w:lvl>
    <w:lvl w:ilvl="8" w:tplc="300A001B" w:tentative="1">
      <w:start w:val="1"/>
      <w:numFmt w:val="lowerRoman"/>
      <w:lvlText w:val="%9."/>
      <w:lvlJc w:val="right"/>
      <w:pPr>
        <w:ind w:left="6930" w:hanging="180"/>
      </w:pPr>
    </w:lvl>
  </w:abstractNum>
  <w:abstractNum w:abstractNumId="1" w15:restartNumberingAfterBreak="0">
    <w:nsid w:val="09B8025E"/>
    <w:multiLevelType w:val="hybridMultilevel"/>
    <w:tmpl w:val="225C9846"/>
    <w:lvl w:ilvl="0" w:tplc="253011CE">
      <w:start w:val="1"/>
      <w:numFmt w:val="lowerLetter"/>
      <w:lvlText w:val="%1."/>
      <w:lvlJc w:val="left"/>
      <w:pPr>
        <w:ind w:left="1152" w:hanging="360"/>
      </w:pPr>
      <w:rPr>
        <w:rFonts w:hint="default"/>
        <w:b w:val="0"/>
        <w:bCs w:val="0"/>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2" w15:restartNumberingAfterBreak="0">
    <w:nsid w:val="0A0216FB"/>
    <w:multiLevelType w:val="hybridMultilevel"/>
    <w:tmpl w:val="C35C1370"/>
    <w:lvl w:ilvl="0" w:tplc="300A0001">
      <w:start w:val="1"/>
      <w:numFmt w:val="bullet"/>
      <w:lvlText w:val=""/>
      <w:lvlJc w:val="left"/>
      <w:pPr>
        <w:ind w:left="1080" w:hanging="360"/>
      </w:pPr>
      <w:rPr>
        <w:rFonts w:ascii="Symbol" w:hAnsi="Symbol" w:cs="Symbol"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cs="Wingdings" w:hint="default"/>
      </w:rPr>
    </w:lvl>
    <w:lvl w:ilvl="3" w:tplc="300A0001" w:tentative="1">
      <w:start w:val="1"/>
      <w:numFmt w:val="bullet"/>
      <w:lvlText w:val=""/>
      <w:lvlJc w:val="left"/>
      <w:pPr>
        <w:ind w:left="3240" w:hanging="360"/>
      </w:pPr>
      <w:rPr>
        <w:rFonts w:ascii="Symbol" w:hAnsi="Symbol" w:cs="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cs="Wingdings" w:hint="default"/>
      </w:rPr>
    </w:lvl>
    <w:lvl w:ilvl="6" w:tplc="300A0001" w:tentative="1">
      <w:start w:val="1"/>
      <w:numFmt w:val="bullet"/>
      <w:lvlText w:val=""/>
      <w:lvlJc w:val="left"/>
      <w:pPr>
        <w:ind w:left="5400" w:hanging="360"/>
      </w:pPr>
      <w:rPr>
        <w:rFonts w:ascii="Symbol" w:hAnsi="Symbol" w:cs="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0B03244B"/>
    <w:multiLevelType w:val="hybridMultilevel"/>
    <w:tmpl w:val="FFFFFFFF"/>
    <w:lvl w:ilvl="0" w:tplc="22988544">
      <w:start w:val="1"/>
      <w:numFmt w:val="lowerLetter"/>
      <w:lvlText w:val="%1)"/>
      <w:lvlJc w:val="left"/>
      <w:pPr>
        <w:ind w:left="1082" w:hanging="362"/>
      </w:pPr>
      <w:rPr>
        <w:rFonts w:ascii="Arial" w:eastAsia="Arial" w:hAnsi="Arial" w:cs="Arial" w:hint="default"/>
        <w:spacing w:val="-1"/>
        <w:w w:val="105"/>
        <w:sz w:val="22"/>
        <w:szCs w:val="22"/>
        <w:lang w:val="es-ES" w:eastAsia="en-US" w:bidi="ar-SA"/>
      </w:rPr>
    </w:lvl>
    <w:lvl w:ilvl="1" w:tplc="EDA0A52E">
      <w:numFmt w:val="bullet"/>
      <w:lvlText w:val="•"/>
      <w:lvlJc w:val="left"/>
      <w:pPr>
        <w:ind w:left="1879" w:hanging="362"/>
      </w:pPr>
      <w:rPr>
        <w:rFonts w:hint="default"/>
        <w:lang w:val="es-ES" w:eastAsia="en-US" w:bidi="ar-SA"/>
      </w:rPr>
    </w:lvl>
    <w:lvl w:ilvl="2" w:tplc="3EA48004">
      <w:numFmt w:val="bullet"/>
      <w:lvlText w:val="•"/>
      <w:lvlJc w:val="left"/>
      <w:pPr>
        <w:ind w:left="2681" w:hanging="362"/>
      </w:pPr>
      <w:rPr>
        <w:rFonts w:hint="default"/>
        <w:lang w:val="es-ES" w:eastAsia="en-US" w:bidi="ar-SA"/>
      </w:rPr>
    </w:lvl>
    <w:lvl w:ilvl="3" w:tplc="AB9AD710">
      <w:numFmt w:val="bullet"/>
      <w:lvlText w:val="•"/>
      <w:lvlJc w:val="left"/>
      <w:pPr>
        <w:ind w:left="3483" w:hanging="362"/>
      </w:pPr>
      <w:rPr>
        <w:rFonts w:hint="default"/>
        <w:lang w:val="es-ES" w:eastAsia="en-US" w:bidi="ar-SA"/>
      </w:rPr>
    </w:lvl>
    <w:lvl w:ilvl="4" w:tplc="13D4033C">
      <w:numFmt w:val="bullet"/>
      <w:lvlText w:val="•"/>
      <w:lvlJc w:val="left"/>
      <w:pPr>
        <w:ind w:left="4285" w:hanging="362"/>
      </w:pPr>
      <w:rPr>
        <w:rFonts w:hint="default"/>
        <w:lang w:val="es-ES" w:eastAsia="en-US" w:bidi="ar-SA"/>
      </w:rPr>
    </w:lvl>
    <w:lvl w:ilvl="5" w:tplc="53043E5E">
      <w:numFmt w:val="bullet"/>
      <w:lvlText w:val="•"/>
      <w:lvlJc w:val="left"/>
      <w:pPr>
        <w:ind w:left="5087" w:hanging="362"/>
      </w:pPr>
      <w:rPr>
        <w:rFonts w:hint="default"/>
        <w:lang w:val="es-ES" w:eastAsia="en-US" w:bidi="ar-SA"/>
      </w:rPr>
    </w:lvl>
    <w:lvl w:ilvl="6" w:tplc="EA462A04">
      <w:numFmt w:val="bullet"/>
      <w:lvlText w:val="•"/>
      <w:lvlJc w:val="left"/>
      <w:pPr>
        <w:ind w:left="5889" w:hanging="362"/>
      </w:pPr>
      <w:rPr>
        <w:rFonts w:hint="default"/>
        <w:lang w:val="es-ES" w:eastAsia="en-US" w:bidi="ar-SA"/>
      </w:rPr>
    </w:lvl>
    <w:lvl w:ilvl="7" w:tplc="244E0702">
      <w:numFmt w:val="bullet"/>
      <w:lvlText w:val="•"/>
      <w:lvlJc w:val="left"/>
      <w:pPr>
        <w:ind w:left="6691" w:hanging="362"/>
      </w:pPr>
      <w:rPr>
        <w:rFonts w:hint="default"/>
        <w:lang w:val="es-ES" w:eastAsia="en-US" w:bidi="ar-SA"/>
      </w:rPr>
    </w:lvl>
    <w:lvl w:ilvl="8" w:tplc="1C80DFB6">
      <w:numFmt w:val="bullet"/>
      <w:lvlText w:val="•"/>
      <w:lvlJc w:val="left"/>
      <w:pPr>
        <w:ind w:left="7493" w:hanging="362"/>
      </w:pPr>
      <w:rPr>
        <w:rFonts w:hint="default"/>
        <w:lang w:val="es-ES" w:eastAsia="en-US" w:bidi="ar-SA"/>
      </w:rPr>
    </w:lvl>
  </w:abstractNum>
  <w:abstractNum w:abstractNumId="4" w15:restartNumberingAfterBreak="0">
    <w:nsid w:val="10065E6B"/>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5" w15:restartNumberingAfterBreak="0">
    <w:nsid w:val="15120A48"/>
    <w:multiLevelType w:val="hybridMultilevel"/>
    <w:tmpl w:val="9B269FB8"/>
    <w:lvl w:ilvl="0" w:tplc="F6861CC8">
      <w:start w:val="1"/>
      <w:numFmt w:val="lowerLetter"/>
      <w:lvlText w:val="%1."/>
      <w:lvlJc w:val="left"/>
      <w:pPr>
        <w:ind w:left="1267" w:hanging="360"/>
      </w:pPr>
      <w:rPr>
        <w:rFonts w:hint="default"/>
        <w:b w:val="0"/>
        <w:bCs/>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 w15:restartNumberingAfterBreak="0">
    <w:nsid w:val="15493AD4"/>
    <w:multiLevelType w:val="hybridMultilevel"/>
    <w:tmpl w:val="D898DE10"/>
    <w:lvl w:ilvl="0" w:tplc="E8BE53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66051"/>
    <w:multiLevelType w:val="multilevel"/>
    <w:tmpl w:val="0409001D"/>
    <w:lvl w:ilvl="0">
      <w:start w:val="1"/>
      <w:numFmt w:val="lowerRoman"/>
      <w:lvlText w:val="%1."/>
      <w:lvlJc w:val="right"/>
      <w:pPr>
        <w:tabs>
          <w:tab w:val="num" w:pos="1512"/>
        </w:tabs>
        <w:ind w:left="1512"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95A52AC"/>
    <w:multiLevelType w:val="multilevel"/>
    <w:tmpl w:val="642A2960"/>
    <w:lvl w:ilvl="0">
      <w:start w:val="1"/>
      <w:numFmt w:val="lowerRoman"/>
      <w:lvlText w:val="%1."/>
      <w:lvlJc w:val="right"/>
      <w:pPr>
        <w:tabs>
          <w:tab w:val="num" w:pos="1512"/>
        </w:tabs>
        <w:ind w:left="1512" w:hanging="288"/>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9" w15:restartNumberingAfterBreak="0">
    <w:nsid w:val="1983793F"/>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783396"/>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11" w15:restartNumberingAfterBreak="0">
    <w:nsid w:val="1FAE1009"/>
    <w:multiLevelType w:val="hybridMultilevel"/>
    <w:tmpl w:val="947E2EBC"/>
    <w:lvl w:ilvl="0" w:tplc="04090019">
      <w:start w:val="1"/>
      <w:numFmt w:val="lowerLetter"/>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2" w15:restartNumberingAfterBreak="0">
    <w:nsid w:val="2594635C"/>
    <w:multiLevelType w:val="multilevel"/>
    <w:tmpl w:val="D65C319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37E91D2D"/>
    <w:multiLevelType w:val="multilevel"/>
    <w:tmpl w:val="DBF4D4EC"/>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812202"/>
    <w:multiLevelType w:val="hybridMultilevel"/>
    <w:tmpl w:val="AA60D4B8"/>
    <w:lvl w:ilvl="0" w:tplc="300A0001">
      <w:start w:val="1"/>
      <w:numFmt w:val="bullet"/>
      <w:lvlText w:val=""/>
      <w:lvlJc w:val="left"/>
      <w:pPr>
        <w:ind w:left="1080" w:hanging="360"/>
      </w:pPr>
      <w:rPr>
        <w:rFonts w:ascii="Symbol" w:hAnsi="Symbol" w:cs="Symbol" w:hint="default"/>
      </w:rPr>
    </w:lvl>
    <w:lvl w:ilvl="1" w:tplc="300A0001">
      <w:start w:val="1"/>
      <w:numFmt w:val="bullet"/>
      <w:lvlText w:val=""/>
      <w:lvlJc w:val="left"/>
      <w:pPr>
        <w:ind w:left="1800" w:hanging="360"/>
      </w:pPr>
      <w:rPr>
        <w:rFonts w:ascii="Symbol" w:hAnsi="Symbol" w:cs="Symbol" w:hint="default"/>
      </w:rPr>
    </w:lvl>
    <w:lvl w:ilvl="2" w:tplc="300A0005">
      <w:start w:val="1"/>
      <w:numFmt w:val="bullet"/>
      <w:lvlText w:val=""/>
      <w:lvlJc w:val="left"/>
      <w:pPr>
        <w:ind w:left="2520" w:hanging="360"/>
      </w:pPr>
      <w:rPr>
        <w:rFonts w:ascii="Wingdings" w:hAnsi="Wingdings" w:cs="Wingdings" w:hint="default"/>
      </w:rPr>
    </w:lvl>
    <w:lvl w:ilvl="3" w:tplc="300A0001" w:tentative="1">
      <w:start w:val="1"/>
      <w:numFmt w:val="bullet"/>
      <w:lvlText w:val=""/>
      <w:lvlJc w:val="left"/>
      <w:pPr>
        <w:ind w:left="3240" w:hanging="360"/>
      </w:pPr>
      <w:rPr>
        <w:rFonts w:ascii="Symbol" w:hAnsi="Symbol" w:cs="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cs="Wingdings" w:hint="default"/>
      </w:rPr>
    </w:lvl>
    <w:lvl w:ilvl="6" w:tplc="300A0001" w:tentative="1">
      <w:start w:val="1"/>
      <w:numFmt w:val="bullet"/>
      <w:lvlText w:val=""/>
      <w:lvlJc w:val="left"/>
      <w:pPr>
        <w:ind w:left="5400" w:hanging="360"/>
      </w:pPr>
      <w:rPr>
        <w:rFonts w:ascii="Symbol" w:hAnsi="Symbol" w:cs="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cs="Wingdings" w:hint="default"/>
      </w:rPr>
    </w:lvl>
  </w:abstractNum>
  <w:abstractNum w:abstractNumId="15" w15:restartNumberingAfterBreak="0">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6" w15:restartNumberingAfterBreak="0">
    <w:nsid w:val="44594911"/>
    <w:multiLevelType w:val="multilevel"/>
    <w:tmpl w:val="BA6A2BA2"/>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rPr>
    </w:lvl>
    <w:lvl w:ilvl="2">
      <w:start w:val="1"/>
      <w:numFmt w:val="lowerLetter"/>
      <w:lvlText w:val="%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052DC1"/>
    <w:multiLevelType w:val="hybridMultilevel"/>
    <w:tmpl w:val="225C9846"/>
    <w:lvl w:ilvl="0" w:tplc="253011CE">
      <w:start w:val="1"/>
      <w:numFmt w:val="lowerLetter"/>
      <w:lvlText w:val="%1."/>
      <w:lvlJc w:val="left"/>
      <w:pPr>
        <w:ind w:left="1152" w:hanging="360"/>
      </w:pPr>
      <w:rPr>
        <w:rFonts w:hint="default"/>
        <w:b w:val="0"/>
        <w:bCs w:val="0"/>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18" w15:restartNumberingAfterBreak="0">
    <w:nsid w:val="4C90638F"/>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19" w15:restartNumberingAfterBreak="0">
    <w:nsid w:val="4EDD42D1"/>
    <w:multiLevelType w:val="hybridMultilevel"/>
    <w:tmpl w:val="14D0F27E"/>
    <w:lvl w:ilvl="0" w:tplc="56CC4A72">
      <w:start w:val="1"/>
      <w:numFmt w:val="bullet"/>
      <w:lvlText w:val=""/>
      <w:lvlJc w:val="left"/>
      <w:pPr>
        <w:ind w:left="720" w:hanging="360"/>
      </w:pPr>
      <w:rPr>
        <w:rFonts w:ascii="Symbol" w:hAnsi="Symbol" w:hint="default"/>
      </w:rPr>
    </w:lvl>
    <w:lvl w:ilvl="1" w:tplc="8E1AF284">
      <w:start w:val="1"/>
      <w:numFmt w:val="bullet"/>
      <w:lvlText w:val="o"/>
      <w:lvlJc w:val="left"/>
      <w:pPr>
        <w:ind w:left="1440" w:hanging="360"/>
      </w:pPr>
      <w:rPr>
        <w:rFonts w:ascii="Courier New" w:hAnsi="Courier New" w:hint="default"/>
      </w:rPr>
    </w:lvl>
    <w:lvl w:ilvl="2" w:tplc="5EAC4E1E">
      <w:start w:val="1"/>
      <w:numFmt w:val="bullet"/>
      <w:lvlText w:val=""/>
      <w:lvlJc w:val="left"/>
      <w:pPr>
        <w:ind w:left="2160" w:hanging="360"/>
      </w:pPr>
      <w:rPr>
        <w:rFonts w:ascii="Wingdings" w:hAnsi="Wingdings" w:hint="default"/>
      </w:rPr>
    </w:lvl>
    <w:lvl w:ilvl="3" w:tplc="2F3A4AE0">
      <w:start w:val="1"/>
      <w:numFmt w:val="bullet"/>
      <w:lvlText w:val=""/>
      <w:lvlJc w:val="left"/>
      <w:pPr>
        <w:ind w:left="2880" w:hanging="360"/>
      </w:pPr>
      <w:rPr>
        <w:rFonts w:ascii="Symbol" w:hAnsi="Symbol" w:hint="default"/>
      </w:rPr>
    </w:lvl>
    <w:lvl w:ilvl="4" w:tplc="CE74E142">
      <w:start w:val="1"/>
      <w:numFmt w:val="bullet"/>
      <w:lvlText w:val="o"/>
      <w:lvlJc w:val="left"/>
      <w:pPr>
        <w:ind w:left="3600" w:hanging="360"/>
      </w:pPr>
      <w:rPr>
        <w:rFonts w:ascii="Courier New" w:hAnsi="Courier New" w:hint="default"/>
      </w:rPr>
    </w:lvl>
    <w:lvl w:ilvl="5" w:tplc="5E74E1DE">
      <w:start w:val="1"/>
      <w:numFmt w:val="bullet"/>
      <w:lvlText w:val=""/>
      <w:lvlJc w:val="left"/>
      <w:pPr>
        <w:ind w:left="4320" w:hanging="360"/>
      </w:pPr>
      <w:rPr>
        <w:rFonts w:ascii="Wingdings" w:hAnsi="Wingdings" w:hint="default"/>
      </w:rPr>
    </w:lvl>
    <w:lvl w:ilvl="6" w:tplc="A2646696">
      <w:start w:val="1"/>
      <w:numFmt w:val="bullet"/>
      <w:lvlText w:val=""/>
      <w:lvlJc w:val="left"/>
      <w:pPr>
        <w:ind w:left="5040" w:hanging="360"/>
      </w:pPr>
      <w:rPr>
        <w:rFonts w:ascii="Symbol" w:hAnsi="Symbol" w:hint="default"/>
      </w:rPr>
    </w:lvl>
    <w:lvl w:ilvl="7" w:tplc="01AA15EC">
      <w:start w:val="1"/>
      <w:numFmt w:val="bullet"/>
      <w:lvlText w:val="o"/>
      <w:lvlJc w:val="left"/>
      <w:pPr>
        <w:ind w:left="5760" w:hanging="360"/>
      </w:pPr>
      <w:rPr>
        <w:rFonts w:ascii="Courier New" w:hAnsi="Courier New" w:hint="default"/>
      </w:rPr>
    </w:lvl>
    <w:lvl w:ilvl="8" w:tplc="50C61E82">
      <w:start w:val="1"/>
      <w:numFmt w:val="bullet"/>
      <w:lvlText w:val=""/>
      <w:lvlJc w:val="left"/>
      <w:pPr>
        <w:ind w:left="6480" w:hanging="360"/>
      </w:pPr>
      <w:rPr>
        <w:rFonts w:ascii="Wingdings" w:hAnsi="Wingdings" w:hint="default"/>
      </w:rPr>
    </w:lvl>
  </w:abstractNum>
  <w:abstractNum w:abstractNumId="20" w15:restartNumberingAfterBreak="0">
    <w:nsid w:val="565137A9"/>
    <w:multiLevelType w:val="hybridMultilevel"/>
    <w:tmpl w:val="FF8A119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1563A"/>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22"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C8F10E0"/>
    <w:multiLevelType w:val="hybridMultilevel"/>
    <w:tmpl w:val="1F04334A"/>
    <w:lvl w:ilvl="0" w:tplc="86FC0E24">
      <w:start w:val="1"/>
      <w:numFmt w:val="lowerLetter"/>
      <w:lvlText w:val="%1."/>
      <w:lvlJc w:val="left"/>
      <w:pPr>
        <w:ind w:left="1152"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68154C36"/>
    <w:multiLevelType w:val="hybridMultilevel"/>
    <w:tmpl w:val="F83A76EE"/>
    <w:lvl w:ilvl="0" w:tplc="2A962626">
      <w:start w:val="1"/>
      <w:numFmt w:val="bullet"/>
      <w:lvlText w:val="-"/>
      <w:lvlJc w:val="left"/>
      <w:pPr>
        <w:ind w:left="720" w:hanging="360"/>
      </w:pPr>
      <w:rPr>
        <w:rFonts w:ascii="Times New Roman" w:hAnsi="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cs="Wingdings" w:hint="default"/>
      </w:rPr>
    </w:lvl>
    <w:lvl w:ilvl="3" w:tplc="300A0001" w:tentative="1">
      <w:start w:val="1"/>
      <w:numFmt w:val="bullet"/>
      <w:lvlText w:val=""/>
      <w:lvlJc w:val="left"/>
      <w:pPr>
        <w:ind w:left="2880" w:hanging="360"/>
      </w:pPr>
      <w:rPr>
        <w:rFonts w:ascii="Symbol" w:hAnsi="Symbol" w:cs="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cs="Wingdings" w:hint="default"/>
      </w:rPr>
    </w:lvl>
    <w:lvl w:ilvl="6" w:tplc="300A0001" w:tentative="1">
      <w:start w:val="1"/>
      <w:numFmt w:val="bullet"/>
      <w:lvlText w:val=""/>
      <w:lvlJc w:val="left"/>
      <w:pPr>
        <w:ind w:left="5040" w:hanging="360"/>
      </w:pPr>
      <w:rPr>
        <w:rFonts w:ascii="Symbol" w:hAnsi="Symbol" w:cs="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559199E"/>
    <w:multiLevelType w:val="hybridMultilevel"/>
    <w:tmpl w:val="225C9846"/>
    <w:lvl w:ilvl="0" w:tplc="253011CE">
      <w:start w:val="1"/>
      <w:numFmt w:val="lowerLetter"/>
      <w:lvlText w:val="%1."/>
      <w:lvlJc w:val="left"/>
      <w:pPr>
        <w:ind w:left="1152" w:hanging="360"/>
      </w:pPr>
      <w:rPr>
        <w:rFonts w:hint="default"/>
        <w:b w:val="0"/>
        <w:bCs w:val="0"/>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27" w15:restartNumberingAfterBreak="0">
    <w:nsid w:val="7586563E"/>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28" w15:restartNumberingAfterBreak="0">
    <w:nsid w:val="7F414488"/>
    <w:multiLevelType w:val="hybridMultilevel"/>
    <w:tmpl w:val="246CCA1E"/>
    <w:lvl w:ilvl="0" w:tplc="944EEDBE">
      <w:start w:val="1"/>
      <w:numFmt w:val="upperLetter"/>
      <w:lvlText w:val="%1."/>
      <w:lvlJc w:val="left"/>
      <w:pPr>
        <w:ind w:left="720" w:hanging="360"/>
      </w:pPr>
      <w:rPr>
        <w:rFonts w:hint="default"/>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9"/>
  </w:num>
  <w:num w:numId="2">
    <w:abstractNumId w:val="25"/>
  </w:num>
  <w:num w:numId="3">
    <w:abstractNumId w:val="22"/>
  </w:num>
  <w:num w:numId="4">
    <w:abstractNumId w:val="15"/>
  </w:num>
  <w:num w:numId="5">
    <w:abstractNumId w:val="12"/>
  </w:num>
  <w:num w:numId="6">
    <w:abstractNumId w:val="20"/>
  </w:num>
  <w:num w:numId="7">
    <w:abstractNumId w:val="8"/>
  </w:num>
  <w:num w:numId="8">
    <w:abstractNumId w:val="7"/>
  </w:num>
  <w:num w:numId="9">
    <w:abstractNumId w:val="13"/>
  </w:num>
  <w:num w:numId="10">
    <w:abstractNumId w:val="9"/>
  </w:num>
  <w:num w:numId="11">
    <w:abstractNumId w:val="0"/>
  </w:num>
  <w:num w:numId="12">
    <w:abstractNumId w:val="21"/>
  </w:num>
  <w:num w:numId="13">
    <w:abstractNumId w:val="4"/>
  </w:num>
  <w:num w:numId="14">
    <w:abstractNumId w:val="2"/>
  </w:num>
  <w:num w:numId="15">
    <w:abstractNumId w:val="18"/>
  </w:num>
  <w:num w:numId="16">
    <w:abstractNumId w:val="27"/>
  </w:num>
  <w:num w:numId="17">
    <w:abstractNumId w:val="14"/>
  </w:num>
  <w:num w:numId="18">
    <w:abstractNumId w:val="28"/>
  </w:num>
  <w:num w:numId="19">
    <w:abstractNumId w:val="10"/>
  </w:num>
  <w:num w:numId="20">
    <w:abstractNumId w:val="26"/>
  </w:num>
  <w:num w:numId="21">
    <w:abstractNumId w:val="17"/>
  </w:num>
  <w:num w:numId="22">
    <w:abstractNumId w:val="1"/>
  </w:num>
  <w:num w:numId="23">
    <w:abstractNumId w:val="3"/>
  </w:num>
  <w:num w:numId="24">
    <w:abstractNumId w:val="24"/>
  </w:num>
  <w:num w:numId="25">
    <w:abstractNumId w:val="23"/>
  </w:num>
  <w:num w:numId="26">
    <w:abstractNumId w:val="11"/>
  </w:num>
  <w:num w:numId="27">
    <w:abstractNumId w:val="16"/>
  </w:num>
  <w:num w:numId="28">
    <w:abstractNumId w:val="6"/>
  </w:num>
  <w:num w:numId="29">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3tjQyMzI1sjQzsjRR0lEKTi0uzszPAykwNK8FAFcv8o8tAAAA"/>
  </w:docVars>
  <w:rsids>
    <w:rsidRoot w:val="00FA548F"/>
    <w:rsid w:val="0000066C"/>
    <w:rsid w:val="0000389C"/>
    <w:rsid w:val="0000753D"/>
    <w:rsid w:val="00014DAB"/>
    <w:rsid w:val="00021D87"/>
    <w:rsid w:val="000231E7"/>
    <w:rsid w:val="000237DF"/>
    <w:rsid w:val="00024C08"/>
    <w:rsid w:val="00026642"/>
    <w:rsid w:val="00030AC2"/>
    <w:rsid w:val="00033AE3"/>
    <w:rsid w:val="000345AC"/>
    <w:rsid w:val="0003616F"/>
    <w:rsid w:val="000367D0"/>
    <w:rsid w:val="0003713B"/>
    <w:rsid w:val="0004115B"/>
    <w:rsid w:val="00045A12"/>
    <w:rsid w:val="000467FB"/>
    <w:rsid w:val="00061C71"/>
    <w:rsid w:val="000649C4"/>
    <w:rsid w:val="00073C1D"/>
    <w:rsid w:val="00074201"/>
    <w:rsid w:val="0008249A"/>
    <w:rsid w:val="00082630"/>
    <w:rsid w:val="0008446B"/>
    <w:rsid w:val="00084827"/>
    <w:rsid w:val="00090501"/>
    <w:rsid w:val="00090A3F"/>
    <w:rsid w:val="00092CBA"/>
    <w:rsid w:val="00093F98"/>
    <w:rsid w:val="000A2F90"/>
    <w:rsid w:val="000A6FF7"/>
    <w:rsid w:val="000B0A47"/>
    <w:rsid w:val="000B0EAB"/>
    <w:rsid w:val="000B13C3"/>
    <w:rsid w:val="000B331B"/>
    <w:rsid w:val="000B4FA7"/>
    <w:rsid w:val="000C2C48"/>
    <w:rsid w:val="000C3A30"/>
    <w:rsid w:val="000C3BD7"/>
    <w:rsid w:val="000D09F2"/>
    <w:rsid w:val="000D413C"/>
    <w:rsid w:val="000E022C"/>
    <w:rsid w:val="000E22F3"/>
    <w:rsid w:val="000E265F"/>
    <w:rsid w:val="001000FF"/>
    <w:rsid w:val="0011100D"/>
    <w:rsid w:val="00111DC4"/>
    <w:rsid w:val="00115D7C"/>
    <w:rsid w:val="00117562"/>
    <w:rsid w:val="001239B3"/>
    <w:rsid w:val="00124928"/>
    <w:rsid w:val="00125BAC"/>
    <w:rsid w:val="00133215"/>
    <w:rsid w:val="00135F95"/>
    <w:rsid w:val="001367C7"/>
    <w:rsid w:val="00137F9C"/>
    <w:rsid w:val="001409DC"/>
    <w:rsid w:val="00142BB4"/>
    <w:rsid w:val="00146AA8"/>
    <w:rsid w:val="001477B5"/>
    <w:rsid w:val="00147A53"/>
    <w:rsid w:val="00147B15"/>
    <w:rsid w:val="00160A39"/>
    <w:rsid w:val="00172CEB"/>
    <w:rsid w:val="00176047"/>
    <w:rsid w:val="00177936"/>
    <w:rsid w:val="00180290"/>
    <w:rsid w:val="001821F8"/>
    <w:rsid w:val="00191610"/>
    <w:rsid w:val="00191A3D"/>
    <w:rsid w:val="00192789"/>
    <w:rsid w:val="001A02DB"/>
    <w:rsid w:val="001A20C7"/>
    <w:rsid w:val="001A4C6C"/>
    <w:rsid w:val="001A7254"/>
    <w:rsid w:val="001D47B2"/>
    <w:rsid w:val="001D7F8F"/>
    <w:rsid w:val="001E39CE"/>
    <w:rsid w:val="001E41E5"/>
    <w:rsid w:val="001F5C08"/>
    <w:rsid w:val="001F7122"/>
    <w:rsid w:val="0020541C"/>
    <w:rsid w:val="002057EE"/>
    <w:rsid w:val="002101BF"/>
    <w:rsid w:val="002120CC"/>
    <w:rsid w:val="002163F6"/>
    <w:rsid w:val="002176B0"/>
    <w:rsid w:val="0022398C"/>
    <w:rsid w:val="002250B2"/>
    <w:rsid w:val="0022565E"/>
    <w:rsid w:val="00232DB8"/>
    <w:rsid w:val="00235780"/>
    <w:rsid w:val="00235F38"/>
    <w:rsid w:val="00236A7B"/>
    <w:rsid w:val="00241789"/>
    <w:rsid w:val="002449C2"/>
    <w:rsid w:val="002509F1"/>
    <w:rsid w:val="002513CC"/>
    <w:rsid w:val="00251577"/>
    <w:rsid w:val="002518D6"/>
    <w:rsid w:val="00251DB4"/>
    <w:rsid w:val="00252BF4"/>
    <w:rsid w:val="00256C08"/>
    <w:rsid w:val="00257799"/>
    <w:rsid w:val="002669EF"/>
    <w:rsid w:val="00271B1B"/>
    <w:rsid w:val="0027375D"/>
    <w:rsid w:val="00280113"/>
    <w:rsid w:val="00280E54"/>
    <w:rsid w:val="00284C81"/>
    <w:rsid w:val="00286B0C"/>
    <w:rsid w:val="00290558"/>
    <w:rsid w:val="00292378"/>
    <w:rsid w:val="00296E81"/>
    <w:rsid w:val="00297B39"/>
    <w:rsid w:val="002A0B12"/>
    <w:rsid w:val="002A4DAF"/>
    <w:rsid w:val="002A50DB"/>
    <w:rsid w:val="002A6179"/>
    <w:rsid w:val="002A6771"/>
    <w:rsid w:val="002B1FA2"/>
    <w:rsid w:val="002B42C1"/>
    <w:rsid w:val="002B5447"/>
    <w:rsid w:val="002C5AEA"/>
    <w:rsid w:val="002D1422"/>
    <w:rsid w:val="002D32F9"/>
    <w:rsid w:val="002D6C03"/>
    <w:rsid w:val="002D7695"/>
    <w:rsid w:val="002E048A"/>
    <w:rsid w:val="002E1272"/>
    <w:rsid w:val="002E142D"/>
    <w:rsid w:val="002E3A79"/>
    <w:rsid w:val="002E4D58"/>
    <w:rsid w:val="002E64BF"/>
    <w:rsid w:val="002E6EF1"/>
    <w:rsid w:val="002F0772"/>
    <w:rsid w:val="002F52A2"/>
    <w:rsid w:val="00300EF5"/>
    <w:rsid w:val="00300F38"/>
    <w:rsid w:val="00311C29"/>
    <w:rsid w:val="0031555F"/>
    <w:rsid w:val="00317E5B"/>
    <w:rsid w:val="0032605C"/>
    <w:rsid w:val="00327017"/>
    <w:rsid w:val="00331960"/>
    <w:rsid w:val="003343BF"/>
    <w:rsid w:val="00336863"/>
    <w:rsid w:val="00352B29"/>
    <w:rsid w:val="00364129"/>
    <w:rsid w:val="00364A4D"/>
    <w:rsid w:val="00366FDA"/>
    <w:rsid w:val="0037132E"/>
    <w:rsid w:val="00374341"/>
    <w:rsid w:val="0038073E"/>
    <w:rsid w:val="00381360"/>
    <w:rsid w:val="00384BE6"/>
    <w:rsid w:val="00385024"/>
    <w:rsid w:val="00390661"/>
    <w:rsid w:val="003A0570"/>
    <w:rsid w:val="003A39B6"/>
    <w:rsid w:val="003A4975"/>
    <w:rsid w:val="003A6D14"/>
    <w:rsid w:val="003A7BB7"/>
    <w:rsid w:val="003B2306"/>
    <w:rsid w:val="003B7271"/>
    <w:rsid w:val="003B72E2"/>
    <w:rsid w:val="003B7417"/>
    <w:rsid w:val="003C0281"/>
    <w:rsid w:val="003C08B0"/>
    <w:rsid w:val="003C1EDE"/>
    <w:rsid w:val="003C46A6"/>
    <w:rsid w:val="003D2DF5"/>
    <w:rsid w:val="003D647F"/>
    <w:rsid w:val="003E0723"/>
    <w:rsid w:val="003E3972"/>
    <w:rsid w:val="003E4302"/>
    <w:rsid w:val="003F18AF"/>
    <w:rsid w:val="003F5BCD"/>
    <w:rsid w:val="00405D37"/>
    <w:rsid w:val="00406F84"/>
    <w:rsid w:val="00407090"/>
    <w:rsid w:val="00410896"/>
    <w:rsid w:val="0041106C"/>
    <w:rsid w:val="00411E0F"/>
    <w:rsid w:val="0042214E"/>
    <w:rsid w:val="0042253A"/>
    <w:rsid w:val="00422C4C"/>
    <w:rsid w:val="00423C54"/>
    <w:rsid w:val="00425239"/>
    <w:rsid w:val="004262EF"/>
    <w:rsid w:val="004263BB"/>
    <w:rsid w:val="00431EEA"/>
    <w:rsid w:val="00431FBC"/>
    <w:rsid w:val="004364F8"/>
    <w:rsid w:val="004373DD"/>
    <w:rsid w:val="00440BCD"/>
    <w:rsid w:val="00445553"/>
    <w:rsid w:val="00452377"/>
    <w:rsid w:val="004527FA"/>
    <w:rsid w:val="0045416D"/>
    <w:rsid w:val="00456851"/>
    <w:rsid w:val="00457172"/>
    <w:rsid w:val="00460F92"/>
    <w:rsid w:val="00461279"/>
    <w:rsid w:val="004625BE"/>
    <w:rsid w:val="00464C51"/>
    <w:rsid w:val="0046558A"/>
    <w:rsid w:val="004655C3"/>
    <w:rsid w:val="00466657"/>
    <w:rsid w:val="0047038D"/>
    <w:rsid w:val="00473A15"/>
    <w:rsid w:val="0047786D"/>
    <w:rsid w:val="004807BB"/>
    <w:rsid w:val="004820CB"/>
    <w:rsid w:val="004827F2"/>
    <w:rsid w:val="00487A24"/>
    <w:rsid w:val="00491132"/>
    <w:rsid w:val="00493B03"/>
    <w:rsid w:val="00497CC2"/>
    <w:rsid w:val="004A1070"/>
    <w:rsid w:val="004A2350"/>
    <w:rsid w:val="004B15F7"/>
    <w:rsid w:val="004C0EBE"/>
    <w:rsid w:val="004C224B"/>
    <w:rsid w:val="004D238D"/>
    <w:rsid w:val="004D420A"/>
    <w:rsid w:val="004D54BE"/>
    <w:rsid w:val="004E1224"/>
    <w:rsid w:val="004E1531"/>
    <w:rsid w:val="004E2966"/>
    <w:rsid w:val="004E346B"/>
    <w:rsid w:val="004E60E5"/>
    <w:rsid w:val="004E7353"/>
    <w:rsid w:val="004F66DC"/>
    <w:rsid w:val="004F6FF3"/>
    <w:rsid w:val="005019E3"/>
    <w:rsid w:val="00502725"/>
    <w:rsid w:val="00513D50"/>
    <w:rsid w:val="00520DD5"/>
    <w:rsid w:val="00523E45"/>
    <w:rsid w:val="00531232"/>
    <w:rsid w:val="00535BA3"/>
    <w:rsid w:val="00536312"/>
    <w:rsid w:val="005437AF"/>
    <w:rsid w:val="00544673"/>
    <w:rsid w:val="0054513A"/>
    <w:rsid w:val="005476B1"/>
    <w:rsid w:val="00553299"/>
    <w:rsid w:val="00556E95"/>
    <w:rsid w:val="00560D61"/>
    <w:rsid w:val="0056455D"/>
    <w:rsid w:val="0056624E"/>
    <w:rsid w:val="0056686C"/>
    <w:rsid w:val="00567EB9"/>
    <w:rsid w:val="00572A60"/>
    <w:rsid w:val="00575BE4"/>
    <w:rsid w:val="00581C1C"/>
    <w:rsid w:val="00582472"/>
    <w:rsid w:val="0058287C"/>
    <w:rsid w:val="00585345"/>
    <w:rsid w:val="00585D84"/>
    <w:rsid w:val="005869B6"/>
    <w:rsid w:val="0058717B"/>
    <w:rsid w:val="00587D46"/>
    <w:rsid w:val="0059100C"/>
    <w:rsid w:val="00597EA7"/>
    <w:rsid w:val="005A06BF"/>
    <w:rsid w:val="005A6A11"/>
    <w:rsid w:val="005A6F6A"/>
    <w:rsid w:val="005B0FC7"/>
    <w:rsid w:val="005B14C2"/>
    <w:rsid w:val="005B26A4"/>
    <w:rsid w:val="005B4609"/>
    <w:rsid w:val="005B6A83"/>
    <w:rsid w:val="005B6B79"/>
    <w:rsid w:val="005C1F98"/>
    <w:rsid w:val="005C21E6"/>
    <w:rsid w:val="005C3A3F"/>
    <w:rsid w:val="005C41A4"/>
    <w:rsid w:val="005C7ADB"/>
    <w:rsid w:val="005D09B6"/>
    <w:rsid w:val="005D1A96"/>
    <w:rsid w:val="005D6BCD"/>
    <w:rsid w:val="005D7750"/>
    <w:rsid w:val="005E120E"/>
    <w:rsid w:val="005E25D0"/>
    <w:rsid w:val="005E28B7"/>
    <w:rsid w:val="005E63B0"/>
    <w:rsid w:val="005E66B6"/>
    <w:rsid w:val="005E73D6"/>
    <w:rsid w:val="005E7E64"/>
    <w:rsid w:val="005F6CB8"/>
    <w:rsid w:val="005F74A8"/>
    <w:rsid w:val="006010C6"/>
    <w:rsid w:val="006048D7"/>
    <w:rsid w:val="00607300"/>
    <w:rsid w:val="00607400"/>
    <w:rsid w:val="0061131C"/>
    <w:rsid w:val="006148E8"/>
    <w:rsid w:val="006153B7"/>
    <w:rsid w:val="00615715"/>
    <w:rsid w:val="00615C79"/>
    <w:rsid w:val="00616DFB"/>
    <w:rsid w:val="006351B9"/>
    <w:rsid w:val="00635BF6"/>
    <w:rsid w:val="006407C4"/>
    <w:rsid w:val="006452AB"/>
    <w:rsid w:val="0065028A"/>
    <w:rsid w:val="006511BA"/>
    <w:rsid w:val="00651EC9"/>
    <w:rsid w:val="006545FE"/>
    <w:rsid w:val="00656228"/>
    <w:rsid w:val="0065714F"/>
    <w:rsid w:val="006573CC"/>
    <w:rsid w:val="006634C2"/>
    <w:rsid w:val="0066490A"/>
    <w:rsid w:val="006668EE"/>
    <w:rsid w:val="006720FF"/>
    <w:rsid w:val="00680065"/>
    <w:rsid w:val="00682AE8"/>
    <w:rsid w:val="006844EE"/>
    <w:rsid w:val="0068535F"/>
    <w:rsid w:val="00686B62"/>
    <w:rsid w:val="00690D98"/>
    <w:rsid w:val="00694486"/>
    <w:rsid w:val="00696648"/>
    <w:rsid w:val="0069739B"/>
    <w:rsid w:val="00697EF8"/>
    <w:rsid w:val="006A15DE"/>
    <w:rsid w:val="006A20B7"/>
    <w:rsid w:val="006A28F6"/>
    <w:rsid w:val="006B0C42"/>
    <w:rsid w:val="006B1F51"/>
    <w:rsid w:val="006B2549"/>
    <w:rsid w:val="006B2B79"/>
    <w:rsid w:val="006B2ED6"/>
    <w:rsid w:val="006B543A"/>
    <w:rsid w:val="006B5750"/>
    <w:rsid w:val="006B664C"/>
    <w:rsid w:val="006B6E76"/>
    <w:rsid w:val="006C0E2D"/>
    <w:rsid w:val="006C0FAC"/>
    <w:rsid w:val="006C3585"/>
    <w:rsid w:val="006D5748"/>
    <w:rsid w:val="006E03E9"/>
    <w:rsid w:val="006E49A0"/>
    <w:rsid w:val="006F04ED"/>
    <w:rsid w:val="006F2123"/>
    <w:rsid w:val="006F3D48"/>
    <w:rsid w:val="007024A0"/>
    <w:rsid w:val="00704437"/>
    <w:rsid w:val="00704D0B"/>
    <w:rsid w:val="00705C71"/>
    <w:rsid w:val="00706B09"/>
    <w:rsid w:val="00711B38"/>
    <w:rsid w:val="00711C83"/>
    <w:rsid w:val="00716E2A"/>
    <w:rsid w:val="00726B8B"/>
    <w:rsid w:val="00736094"/>
    <w:rsid w:val="00743011"/>
    <w:rsid w:val="00743C06"/>
    <w:rsid w:val="0074501A"/>
    <w:rsid w:val="007502E1"/>
    <w:rsid w:val="00755512"/>
    <w:rsid w:val="007565AF"/>
    <w:rsid w:val="0076571F"/>
    <w:rsid w:val="0077517D"/>
    <w:rsid w:val="007853B5"/>
    <w:rsid w:val="00786E3C"/>
    <w:rsid w:val="00790EB1"/>
    <w:rsid w:val="007A26BE"/>
    <w:rsid w:val="007A2EBB"/>
    <w:rsid w:val="007A31CC"/>
    <w:rsid w:val="007A3A39"/>
    <w:rsid w:val="007A4806"/>
    <w:rsid w:val="007A62A3"/>
    <w:rsid w:val="007A7EC0"/>
    <w:rsid w:val="007B0060"/>
    <w:rsid w:val="007B1089"/>
    <w:rsid w:val="007B2DB4"/>
    <w:rsid w:val="007C2D6A"/>
    <w:rsid w:val="007C42A0"/>
    <w:rsid w:val="007C46E8"/>
    <w:rsid w:val="007C6C61"/>
    <w:rsid w:val="007D2C77"/>
    <w:rsid w:val="007D7C4B"/>
    <w:rsid w:val="007E0C86"/>
    <w:rsid w:val="007E7614"/>
    <w:rsid w:val="007F15F9"/>
    <w:rsid w:val="007F3566"/>
    <w:rsid w:val="007F4B6B"/>
    <w:rsid w:val="007F7C35"/>
    <w:rsid w:val="007F7D3F"/>
    <w:rsid w:val="00802CC3"/>
    <w:rsid w:val="008038AF"/>
    <w:rsid w:val="00805263"/>
    <w:rsid w:val="008070A9"/>
    <w:rsid w:val="008070F0"/>
    <w:rsid w:val="00807209"/>
    <w:rsid w:val="00810049"/>
    <w:rsid w:val="00815B4A"/>
    <w:rsid w:val="00823077"/>
    <w:rsid w:val="00824843"/>
    <w:rsid w:val="00825B37"/>
    <w:rsid w:val="00831FB6"/>
    <w:rsid w:val="008409EA"/>
    <w:rsid w:val="00842332"/>
    <w:rsid w:val="00842C64"/>
    <w:rsid w:val="00845B18"/>
    <w:rsid w:val="00852B6C"/>
    <w:rsid w:val="00852D71"/>
    <w:rsid w:val="00852ECD"/>
    <w:rsid w:val="00854B94"/>
    <w:rsid w:val="0086140F"/>
    <w:rsid w:val="00863567"/>
    <w:rsid w:val="008653D7"/>
    <w:rsid w:val="00867555"/>
    <w:rsid w:val="00871F8B"/>
    <w:rsid w:val="00872862"/>
    <w:rsid w:val="00875011"/>
    <w:rsid w:val="0087684C"/>
    <w:rsid w:val="00882D6C"/>
    <w:rsid w:val="0088597A"/>
    <w:rsid w:val="00892197"/>
    <w:rsid w:val="00893BD3"/>
    <w:rsid w:val="00896614"/>
    <w:rsid w:val="008A46A7"/>
    <w:rsid w:val="008A524C"/>
    <w:rsid w:val="008A6BE8"/>
    <w:rsid w:val="008A7412"/>
    <w:rsid w:val="008B02D3"/>
    <w:rsid w:val="008B1266"/>
    <w:rsid w:val="008B2E58"/>
    <w:rsid w:val="008C1445"/>
    <w:rsid w:val="008C2A65"/>
    <w:rsid w:val="008C608E"/>
    <w:rsid w:val="008E17C0"/>
    <w:rsid w:val="008E2EC1"/>
    <w:rsid w:val="008E49C9"/>
    <w:rsid w:val="008E4CF9"/>
    <w:rsid w:val="008E58E5"/>
    <w:rsid w:val="008F0899"/>
    <w:rsid w:val="008F2F74"/>
    <w:rsid w:val="008F4526"/>
    <w:rsid w:val="008F695D"/>
    <w:rsid w:val="008F729E"/>
    <w:rsid w:val="009027F5"/>
    <w:rsid w:val="009056AA"/>
    <w:rsid w:val="0090571E"/>
    <w:rsid w:val="00907949"/>
    <w:rsid w:val="00907CFD"/>
    <w:rsid w:val="00911A58"/>
    <w:rsid w:val="009156E4"/>
    <w:rsid w:val="00917D38"/>
    <w:rsid w:val="00921DE6"/>
    <w:rsid w:val="009231F9"/>
    <w:rsid w:val="0093470C"/>
    <w:rsid w:val="00934C4C"/>
    <w:rsid w:val="009400B4"/>
    <w:rsid w:val="00947D9D"/>
    <w:rsid w:val="009506B4"/>
    <w:rsid w:val="00953A99"/>
    <w:rsid w:val="0095530B"/>
    <w:rsid w:val="00957211"/>
    <w:rsid w:val="009619A5"/>
    <w:rsid w:val="00966859"/>
    <w:rsid w:val="00973CD9"/>
    <w:rsid w:val="00975C8E"/>
    <w:rsid w:val="00976183"/>
    <w:rsid w:val="00981717"/>
    <w:rsid w:val="00983E37"/>
    <w:rsid w:val="00990968"/>
    <w:rsid w:val="00992109"/>
    <w:rsid w:val="0099496A"/>
    <w:rsid w:val="00996FC4"/>
    <w:rsid w:val="0099721A"/>
    <w:rsid w:val="009977F4"/>
    <w:rsid w:val="009A0AB1"/>
    <w:rsid w:val="009A2017"/>
    <w:rsid w:val="009A6DAC"/>
    <w:rsid w:val="009B1A9E"/>
    <w:rsid w:val="009B4891"/>
    <w:rsid w:val="009C2A13"/>
    <w:rsid w:val="009C3121"/>
    <w:rsid w:val="009C35E9"/>
    <w:rsid w:val="009C52AB"/>
    <w:rsid w:val="009C75F7"/>
    <w:rsid w:val="009C7BA6"/>
    <w:rsid w:val="009D0160"/>
    <w:rsid w:val="009D4E03"/>
    <w:rsid w:val="009E0BE4"/>
    <w:rsid w:val="009E2A6E"/>
    <w:rsid w:val="009E41F2"/>
    <w:rsid w:val="009E6B48"/>
    <w:rsid w:val="009F1BC0"/>
    <w:rsid w:val="009F2F68"/>
    <w:rsid w:val="009F4A97"/>
    <w:rsid w:val="009F5B10"/>
    <w:rsid w:val="009F6623"/>
    <w:rsid w:val="00A006CF"/>
    <w:rsid w:val="00A10146"/>
    <w:rsid w:val="00A1094D"/>
    <w:rsid w:val="00A11E83"/>
    <w:rsid w:val="00A1611A"/>
    <w:rsid w:val="00A173FC"/>
    <w:rsid w:val="00A3305E"/>
    <w:rsid w:val="00A334E4"/>
    <w:rsid w:val="00A35546"/>
    <w:rsid w:val="00A436AF"/>
    <w:rsid w:val="00A45007"/>
    <w:rsid w:val="00A45F28"/>
    <w:rsid w:val="00A46B46"/>
    <w:rsid w:val="00A52311"/>
    <w:rsid w:val="00A54996"/>
    <w:rsid w:val="00A54DFA"/>
    <w:rsid w:val="00A55AD3"/>
    <w:rsid w:val="00A62931"/>
    <w:rsid w:val="00A6360C"/>
    <w:rsid w:val="00A6413F"/>
    <w:rsid w:val="00A65465"/>
    <w:rsid w:val="00A65EB5"/>
    <w:rsid w:val="00A679A5"/>
    <w:rsid w:val="00A73683"/>
    <w:rsid w:val="00A74433"/>
    <w:rsid w:val="00A7510E"/>
    <w:rsid w:val="00A75820"/>
    <w:rsid w:val="00A75F64"/>
    <w:rsid w:val="00A77F6B"/>
    <w:rsid w:val="00A806FE"/>
    <w:rsid w:val="00A81493"/>
    <w:rsid w:val="00A816E6"/>
    <w:rsid w:val="00A831A3"/>
    <w:rsid w:val="00A84D6F"/>
    <w:rsid w:val="00A921F1"/>
    <w:rsid w:val="00A94F53"/>
    <w:rsid w:val="00A95EB7"/>
    <w:rsid w:val="00A979A5"/>
    <w:rsid w:val="00AA3F68"/>
    <w:rsid w:val="00AA6DD8"/>
    <w:rsid w:val="00AB68A4"/>
    <w:rsid w:val="00AC5D7B"/>
    <w:rsid w:val="00AD0735"/>
    <w:rsid w:val="00AD34AA"/>
    <w:rsid w:val="00AD4F7A"/>
    <w:rsid w:val="00AD54BA"/>
    <w:rsid w:val="00AD7D2E"/>
    <w:rsid w:val="00AE0592"/>
    <w:rsid w:val="00AE145B"/>
    <w:rsid w:val="00AE490C"/>
    <w:rsid w:val="00AF0DFB"/>
    <w:rsid w:val="00AF5012"/>
    <w:rsid w:val="00AF5E75"/>
    <w:rsid w:val="00B04F6A"/>
    <w:rsid w:val="00B05116"/>
    <w:rsid w:val="00B072CE"/>
    <w:rsid w:val="00B105FE"/>
    <w:rsid w:val="00B1360C"/>
    <w:rsid w:val="00B13D1F"/>
    <w:rsid w:val="00B14562"/>
    <w:rsid w:val="00B16252"/>
    <w:rsid w:val="00B16402"/>
    <w:rsid w:val="00B20BE0"/>
    <w:rsid w:val="00B21091"/>
    <w:rsid w:val="00B22C24"/>
    <w:rsid w:val="00B23EAA"/>
    <w:rsid w:val="00B30E68"/>
    <w:rsid w:val="00B33C8F"/>
    <w:rsid w:val="00B34AE8"/>
    <w:rsid w:val="00B35E12"/>
    <w:rsid w:val="00B36843"/>
    <w:rsid w:val="00B37170"/>
    <w:rsid w:val="00B4524D"/>
    <w:rsid w:val="00B6129E"/>
    <w:rsid w:val="00B6526E"/>
    <w:rsid w:val="00B71319"/>
    <w:rsid w:val="00B76AD9"/>
    <w:rsid w:val="00B77DE7"/>
    <w:rsid w:val="00B834E4"/>
    <w:rsid w:val="00B83DF3"/>
    <w:rsid w:val="00B848A9"/>
    <w:rsid w:val="00B84BD0"/>
    <w:rsid w:val="00B84F06"/>
    <w:rsid w:val="00B8534A"/>
    <w:rsid w:val="00B85B86"/>
    <w:rsid w:val="00B85C19"/>
    <w:rsid w:val="00B906EC"/>
    <w:rsid w:val="00B948F8"/>
    <w:rsid w:val="00B96CA7"/>
    <w:rsid w:val="00BA4083"/>
    <w:rsid w:val="00BA5DF9"/>
    <w:rsid w:val="00BB365C"/>
    <w:rsid w:val="00BB7981"/>
    <w:rsid w:val="00BC1A47"/>
    <w:rsid w:val="00BC2C2F"/>
    <w:rsid w:val="00BC7E91"/>
    <w:rsid w:val="00BD0133"/>
    <w:rsid w:val="00BD1094"/>
    <w:rsid w:val="00BD716E"/>
    <w:rsid w:val="00BD7617"/>
    <w:rsid w:val="00BE103D"/>
    <w:rsid w:val="00BE4107"/>
    <w:rsid w:val="00BE54C3"/>
    <w:rsid w:val="00BF012A"/>
    <w:rsid w:val="00BF2FD9"/>
    <w:rsid w:val="00BF58CE"/>
    <w:rsid w:val="00BF75AD"/>
    <w:rsid w:val="00C00205"/>
    <w:rsid w:val="00C00720"/>
    <w:rsid w:val="00C06A91"/>
    <w:rsid w:val="00C07FC4"/>
    <w:rsid w:val="00C13C56"/>
    <w:rsid w:val="00C14D0B"/>
    <w:rsid w:val="00C157FD"/>
    <w:rsid w:val="00C15D29"/>
    <w:rsid w:val="00C16B59"/>
    <w:rsid w:val="00C17DF1"/>
    <w:rsid w:val="00C217CD"/>
    <w:rsid w:val="00C32CDE"/>
    <w:rsid w:val="00C40CE8"/>
    <w:rsid w:val="00C43F9A"/>
    <w:rsid w:val="00C45E6D"/>
    <w:rsid w:val="00C5034F"/>
    <w:rsid w:val="00C50E88"/>
    <w:rsid w:val="00C5566F"/>
    <w:rsid w:val="00C57E98"/>
    <w:rsid w:val="00C63814"/>
    <w:rsid w:val="00C64CD0"/>
    <w:rsid w:val="00C70129"/>
    <w:rsid w:val="00C71C30"/>
    <w:rsid w:val="00C83689"/>
    <w:rsid w:val="00C83E45"/>
    <w:rsid w:val="00C9221E"/>
    <w:rsid w:val="00C94AB7"/>
    <w:rsid w:val="00C96012"/>
    <w:rsid w:val="00C97723"/>
    <w:rsid w:val="00CA31AE"/>
    <w:rsid w:val="00CA3713"/>
    <w:rsid w:val="00CA3DA1"/>
    <w:rsid w:val="00CB09AA"/>
    <w:rsid w:val="00CB10B5"/>
    <w:rsid w:val="00CB325C"/>
    <w:rsid w:val="00CB3897"/>
    <w:rsid w:val="00CB3E13"/>
    <w:rsid w:val="00CB5C55"/>
    <w:rsid w:val="00CC1F40"/>
    <w:rsid w:val="00CC397C"/>
    <w:rsid w:val="00CC7606"/>
    <w:rsid w:val="00CD0FC0"/>
    <w:rsid w:val="00CD2BB8"/>
    <w:rsid w:val="00CD7170"/>
    <w:rsid w:val="00CE50CF"/>
    <w:rsid w:val="00CE5B26"/>
    <w:rsid w:val="00CE6907"/>
    <w:rsid w:val="00CE7D2F"/>
    <w:rsid w:val="00CF1386"/>
    <w:rsid w:val="00CF3F86"/>
    <w:rsid w:val="00CF4C52"/>
    <w:rsid w:val="00D011D5"/>
    <w:rsid w:val="00D1099C"/>
    <w:rsid w:val="00D15372"/>
    <w:rsid w:val="00D22950"/>
    <w:rsid w:val="00D22B9E"/>
    <w:rsid w:val="00D234B1"/>
    <w:rsid w:val="00D23BF6"/>
    <w:rsid w:val="00D25596"/>
    <w:rsid w:val="00D25D01"/>
    <w:rsid w:val="00D26679"/>
    <w:rsid w:val="00D27876"/>
    <w:rsid w:val="00D3120E"/>
    <w:rsid w:val="00D315AC"/>
    <w:rsid w:val="00D40A4E"/>
    <w:rsid w:val="00D410AB"/>
    <w:rsid w:val="00D412AC"/>
    <w:rsid w:val="00D43E34"/>
    <w:rsid w:val="00D43FAE"/>
    <w:rsid w:val="00D45C96"/>
    <w:rsid w:val="00D46A3F"/>
    <w:rsid w:val="00D4706C"/>
    <w:rsid w:val="00D528FC"/>
    <w:rsid w:val="00D52B62"/>
    <w:rsid w:val="00D56C23"/>
    <w:rsid w:val="00D607D3"/>
    <w:rsid w:val="00D716D4"/>
    <w:rsid w:val="00D71CDF"/>
    <w:rsid w:val="00D71D14"/>
    <w:rsid w:val="00D72792"/>
    <w:rsid w:val="00D76D41"/>
    <w:rsid w:val="00D9122A"/>
    <w:rsid w:val="00D961FF"/>
    <w:rsid w:val="00DA5508"/>
    <w:rsid w:val="00DA6E18"/>
    <w:rsid w:val="00DA700A"/>
    <w:rsid w:val="00DA71DD"/>
    <w:rsid w:val="00DA733C"/>
    <w:rsid w:val="00DA781E"/>
    <w:rsid w:val="00DB4BC8"/>
    <w:rsid w:val="00DB68CC"/>
    <w:rsid w:val="00DC0D82"/>
    <w:rsid w:val="00DC0F8E"/>
    <w:rsid w:val="00DC24A7"/>
    <w:rsid w:val="00DC2F26"/>
    <w:rsid w:val="00DC62FF"/>
    <w:rsid w:val="00DD4D76"/>
    <w:rsid w:val="00DD6ED1"/>
    <w:rsid w:val="00DE1944"/>
    <w:rsid w:val="00DE3655"/>
    <w:rsid w:val="00E001B8"/>
    <w:rsid w:val="00E0085A"/>
    <w:rsid w:val="00E0560A"/>
    <w:rsid w:val="00E124DF"/>
    <w:rsid w:val="00E13EEB"/>
    <w:rsid w:val="00E14A2E"/>
    <w:rsid w:val="00E16467"/>
    <w:rsid w:val="00E174EF"/>
    <w:rsid w:val="00E2105E"/>
    <w:rsid w:val="00E21865"/>
    <w:rsid w:val="00E21AD9"/>
    <w:rsid w:val="00E25885"/>
    <w:rsid w:val="00E324AA"/>
    <w:rsid w:val="00E3433B"/>
    <w:rsid w:val="00E435A8"/>
    <w:rsid w:val="00E44F5D"/>
    <w:rsid w:val="00E453EF"/>
    <w:rsid w:val="00E479D0"/>
    <w:rsid w:val="00E54CC2"/>
    <w:rsid w:val="00E625AF"/>
    <w:rsid w:val="00E6528B"/>
    <w:rsid w:val="00E71CCE"/>
    <w:rsid w:val="00E81CDD"/>
    <w:rsid w:val="00E81E0F"/>
    <w:rsid w:val="00E82257"/>
    <w:rsid w:val="00E85B4B"/>
    <w:rsid w:val="00E872F2"/>
    <w:rsid w:val="00E8749E"/>
    <w:rsid w:val="00E87874"/>
    <w:rsid w:val="00E90C05"/>
    <w:rsid w:val="00E91D00"/>
    <w:rsid w:val="00E94325"/>
    <w:rsid w:val="00E94E76"/>
    <w:rsid w:val="00E9651B"/>
    <w:rsid w:val="00EA1FA0"/>
    <w:rsid w:val="00EA2B41"/>
    <w:rsid w:val="00EA58A8"/>
    <w:rsid w:val="00EB4CDB"/>
    <w:rsid w:val="00EB7F8C"/>
    <w:rsid w:val="00EC67B1"/>
    <w:rsid w:val="00EC7C33"/>
    <w:rsid w:val="00EE4F7D"/>
    <w:rsid w:val="00EF254A"/>
    <w:rsid w:val="00F00A19"/>
    <w:rsid w:val="00F01A37"/>
    <w:rsid w:val="00F035EB"/>
    <w:rsid w:val="00F05754"/>
    <w:rsid w:val="00F0799A"/>
    <w:rsid w:val="00F109A6"/>
    <w:rsid w:val="00F12590"/>
    <w:rsid w:val="00F12BB9"/>
    <w:rsid w:val="00F12C99"/>
    <w:rsid w:val="00F14864"/>
    <w:rsid w:val="00F1689C"/>
    <w:rsid w:val="00F17956"/>
    <w:rsid w:val="00F20033"/>
    <w:rsid w:val="00F20B3E"/>
    <w:rsid w:val="00F213BC"/>
    <w:rsid w:val="00F25710"/>
    <w:rsid w:val="00F258C5"/>
    <w:rsid w:val="00F259F2"/>
    <w:rsid w:val="00F42BF8"/>
    <w:rsid w:val="00F437B5"/>
    <w:rsid w:val="00F43DB1"/>
    <w:rsid w:val="00F47F4F"/>
    <w:rsid w:val="00F5287A"/>
    <w:rsid w:val="00F5482A"/>
    <w:rsid w:val="00F54FD8"/>
    <w:rsid w:val="00F56825"/>
    <w:rsid w:val="00F60DB0"/>
    <w:rsid w:val="00F614BA"/>
    <w:rsid w:val="00F61944"/>
    <w:rsid w:val="00F61F7A"/>
    <w:rsid w:val="00F714B0"/>
    <w:rsid w:val="00F715CD"/>
    <w:rsid w:val="00F721AA"/>
    <w:rsid w:val="00F723C2"/>
    <w:rsid w:val="00F74FAF"/>
    <w:rsid w:val="00F76720"/>
    <w:rsid w:val="00F77E68"/>
    <w:rsid w:val="00F9249F"/>
    <w:rsid w:val="00F931EB"/>
    <w:rsid w:val="00F952E6"/>
    <w:rsid w:val="00F96081"/>
    <w:rsid w:val="00F96D3F"/>
    <w:rsid w:val="00F9794E"/>
    <w:rsid w:val="00FA45CA"/>
    <w:rsid w:val="00FA548F"/>
    <w:rsid w:val="00FA79C7"/>
    <w:rsid w:val="00FB3E55"/>
    <w:rsid w:val="00FB50E0"/>
    <w:rsid w:val="00FC1592"/>
    <w:rsid w:val="00FC2F79"/>
    <w:rsid w:val="00FC53CA"/>
    <w:rsid w:val="00FC7271"/>
    <w:rsid w:val="00FD5A27"/>
    <w:rsid w:val="00FE2B83"/>
    <w:rsid w:val="00FE4F7E"/>
    <w:rsid w:val="00FE6C60"/>
    <w:rsid w:val="00FF28F0"/>
    <w:rsid w:val="035F0D77"/>
    <w:rsid w:val="03AE7519"/>
    <w:rsid w:val="0466474C"/>
    <w:rsid w:val="05FB99A7"/>
    <w:rsid w:val="05FBFA8D"/>
    <w:rsid w:val="064E4454"/>
    <w:rsid w:val="080F2107"/>
    <w:rsid w:val="0C3EED52"/>
    <w:rsid w:val="0E15EFBA"/>
    <w:rsid w:val="11C83F5B"/>
    <w:rsid w:val="121DDE49"/>
    <w:rsid w:val="15D81783"/>
    <w:rsid w:val="16754523"/>
    <w:rsid w:val="17F9585D"/>
    <w:rsid w:val="1851DB34"/>
    <w:rsid w:val="1AD0F3D8"/>
    <w:rsid w:val="1C94B548"/>
    <w:rsid w:val="1D176804"/>
    <w:rsid w:val="1EFA55A0"/>
    <w:rsid w:val="1FBE1476"/>
    <w:rsid w:val="202E0C30"/>
    <w:rsid w:val="21C608BB"/>
    <w:rsid w:val="245BD07A"/>
    <w:rsid w:val="24E529C4"/>
    <w:rsid w:val="275D8EE5"/>
    <w:rsid w:val="290F58B8"/>
    <w:rsid w:val="293B50DB"/>
    <w:rsid w:val="29C6B999"/>
    <w:rsid w:val="29F505E3"/>
    <w:rsid w:val="2A5C66E6"/>
    <w:rsid w:val="2ABB81B2"/>
    <w:rsid w:val="2B9BD3CB"/>
    <w:rsid w:val="2CFE9759"/>
    <w:rsid w:val="2CFFAD93"/>
    <w:rsid w:val="2F43DD54"/>
    <w:rsid w:val="305588AE"/>
    <w:rsid w:val="3095C22B"/>
    <w:rsid w:val="31D5876E"/>
    <w:rsid w:val="31D7D24A"/>
    <w:rsid w:val="32CCBEA8"/>
    <w:rsid w:val="33EE8DA4"/>
    <w:rsid w:val="34AB57EC"/>
    <w:rsid w:val="3569CE2D"/>
    <w:rsid w:val="36377FBB"/>
    <w:rsid w:val="39BBE9F8"/>
    <w:rsid w:val="3D00B874"/>
    <w:rsid w:val="3DE054CE"/>
    <w:rsid w:val="3E9BC8ED"/>
    <w:rsid w:val="3EFFC6BB"/>
    <w:rsid w:val="3F1BACC0"/>
    <w:rsid w:val="4018D50F"/>
    <w:rsid w:val="410755A2"/>
    <w:rsid w:val="412CF952"/>
    <w:rsid w:val="41BD2193"/>
    <w:rsid w:val="42CA1E70"/>
    <w:rsid w:val="42E13A64"/>
    <w:rsid w:val="45BE52B3"/>
    <w:rsid w:val="46325B01"/>
    <w:rsid w:val="4842A3EC"/>
    <w:rsid w:val="4937D6ED"/>
    <w:rsid w:val="494AD52C"/>
    <w:rsid w:val="4A003C36"/>
    <w:rsid w:val="4B87321E"/>
    <w:rsid w:val="4C55AD9B"/>
    <w:rsid w:val="4DF0AE1B"/>
    <w:rsid w:val="52DBCCFA"/>
    <w:rsid w:val="551A330C"/>
    <w:rsid w:val="55365AA4"/>
    <w:rsid w:val="558E0F18"/>
    <w:rsid w:val="5A1EB02B"/>
    <w:rsid w:val="5A803077"/>
    <w:rsid w:val="5AB76196"/>
    <w:rsid w:val="5BC27E86"/>
    <w:rsid w:val="5D95D9C7"/>
    <w:rsid w:val="65B4BA3A"/>
    <w:rsid w:val="65BCDE30"/>
    <w:rsid w:val="67E7F8EA"/>
    <w:rsid w:val="698E37EC"/>
    <w:rsid w:val="6BA9CEC9"/>
    <w:rsid w:val="6CD04D3C"/>
    <w:rsid w:val="6E80BAB0"/>
    <w:rsid w:val="710C475A"/>
    <w:rsid w:val="7167A7E6"/>
    <w:rsid w:val="7545568E"/>
    <w:rsid w:val="767A0646"/>
    <w:rsid w:val="78A729D1"/>
    <w:rsid w:val="7A2F5330"/>
    <w:rsid w:val="7B15385C"/>
    <w:rsid w:val="7CCFE8AD"/>
    <w:rsid w:val="7CFD03A7"/>
    <w:rsid w:val="7DF3B202"/>
    <w:rsid w:val="7DFAA6E5"/>
    <w:rsid w:val="7E9239DD"/>
    <w:rsid w:val="7EDBF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BC0A"/>
  <w15:docId w15:val="{FD17CB23-1FD4-4EA4-B375-6CB8E82E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2"/>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2"/>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2"/>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2"/>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link w:val="NewpageChar"/>
    <w:rsid w:val="00FA548F"/>
    <w:pPr>
      <w:tabs>
        <w:tab w:val="left" w:pos="1440"/>
        <w:tab w:val="left" w:pos="3060"/>
      </w:tabs>
      <w:jc w:val="center"/>
    </w:pPr>
    <w:rPr>
      <w:b/>
      <w:smallCaps/>
      <w:lang w:val="es-ES_tradnl"/>
    </w:rPr>
  </w:style>
  <w:style w:type="paragraph" w:customStyle="1" w:styleId="Chapter">
    <w:name w:val="Chapter"/>
    <w:basedOn w:val="Normal"/>
    <w:next w:val="Normal"/>
    <w:link w:val="ChapterChar"/>
    <w:qFormat/>
    <w:rsid w:val="00CA31AE"/>
    <w:pPr>
      <w:keepNext/>
      <w:numPr>
        <w:numId w:val="5"/>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uiPriority w:val="99"/>
    <w:rsid w:val="00FA548F"/>
    <w:pPr>
      <w:tabs>
        <w:tab w:val="center" w:pos="4320"/>
        <w:tab w:val="right" w:pos="8640"/>
      </w:tabs>
    </w:pPr>
  </w:style>
  <w:style w:type="character" w:customStyle="1" w:styleId="FooterChar">
    <w:name w:val="Footer Char"/>
    <w:link w:val="Footer"/>
    <w:uiPriority w:val="99"/>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f,ADB"/>
    <w:basedOn w:val="Normal"/>
    <w:link w:val="FootnoteTextChar"/>
    <w:uiPriority w:val="99"/>
    <w:qFormat/>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at Char"/>
    <w:basedOn w:val="BodyTextIndent"/>
    <w:link w:val="ParagraphChar"/>
    <w:qFormat/>
    <w:rsid w:val="00CA31AE"/>
    <w:pPr>
      <w:numPr>
        <w:ilvl w:val="1"/>
        <w:numId w:val="5"/>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5"/>
      </w:numPr>
      <w:spacing w:before="120"/>
      <w:jc w:val="both"/>
      <w:outlineLvl w:val="2"/>
    </w:pPr>
    <w:rPr>
      <w:szCs w:val="20"/>
      <w:lang w:val="es-ES_tradnl"/>
    </w:rPr>
  </w:style>
  <w:style w:type="paragraph" w:customStyle="1" w:styleId="SubSubPar">
    <w:name w:val="SubSubPar"/>
    <w:basedOn w:val="subpar"/>
    <w:uiPriority w:val="99"/>
    <w:rsid w:val="00CA31AE"/>
    <w:pPr>
      <w:numPr>
        <w:ilvl w:val="3"/>
      </w:numPr>
      <w:tabs>
        <w:tab w:val="left" w:pos="0"/>
      </w:tabs>
    </w:pPr>
  </w:style>
  <w:style w:type="paragraph" w:styleId="TOC1">
    <w:name w:val="toc 1"/>
    <w:basedOn w:val="Normal"/>
    <w:next w:val="Normal"/>
    <w:autoRedefine/>
    <w:uiPriority w:val="39"/>
    <w:rsid w:val="009231F9"/>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Footnote Referencefra,Ref. de nota al pie.,fr,Stinking Styles11,Texto de nota al pie"/>
    <w:uiPriority w:val="99"/>
    <w:qFormat/>
    <w:rsid w:val="00FA548F"/>
    <w:rPr>
      <w:vertAlign w:val="superscript"/>
    </w:rPr>
  </w:style>
  <w:style w:type="character" w:styleId="CommentReference">
    <w:name w:val="annotation reference"/>
    <w:uiPriority w:val="99"/>
    <w:rsid w:val="00FA548F"/>
    <w:rPr>
      <w:sz w:val="16"/>
      <w:szCs w:val="16"/>
    </w:rPr>
  </w:style>
  <w:style w:type="paragraph" w:styleId="CommentText">
    <w:name w:val="annotation text"/>
    <w:basedOn w:val="Normal"/>
    <w:link w:val="CommentTextChar"/>
    <w:uiPriority w:val="99"/>
    <w:rsid w:val="00FA548F"/>
    <w:rPr>
      <w:lang w:val="en-US" w:eastAsia="en-US"/>
    </w:rPr>
  </w:style>
  <w:style w:type="character" w:customStyle="1" w:styleId="CommentTextChar">
    <w:name w:val="Comment Text Char"/>
    <w:link w:val="CommentText"/>
    <w:uiPriority w:val="99"/>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iPriority w:val="99"/>
    <w:semiHidden/>
    <w:unhideWhenUsed/>
    <w:rsid w:val="00FA548F"/>
    <w:rPr>
      <w:rFonts w:ascii="Tahoma" w:hAnsi="Tahoma" w:cs="Tahoma"/>
      <w:sz w:val="16"/>
      <w:szCs w:val="16"/>
    </w:rPr>
  </w:style>
  <w:style w:type="character" w:customStyle="1" w:styleId="BalloonTextChar">
    <w:name w:val="Balloon Text Char"/>
    <w:link w:val="BalloonText"/>
    <w:uiPriority w:val="99"/>
    <w:semiHidden/>
    <w:rsid w:val="00FA548F"/>
    <w:rPr>
      <w:rFonts w:ascii="Tahoma" w:eastAsia="Times New Roman" w:hAnsi="Tahoma" w:cs="Tahoma"/>
      <w:sz w:val="16"/>
      <w:szCs w:val="16"/>
      <w:lang w:val="es-MX" w:eastAsia="es-MX"/>
    </w:rPr>
  </w:style>
  <w:style w:type="character" w:customStyle="1" w:styleId="ParagraphChar">
    <w:name w:val="Paragraph Char"/>
    <w:link w:val="Paragraph"/>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3"/>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unhideWhenUsed/>
    <w:rsid w:val="009231F9"/>
    <w:pPr>
      <w:ind w:left="600"/>
    </w:pPr>
  </w:style>
  <w:style w:type="paragraph" w:styleId="ListParagraph">
    <w:name w:val="List Paragraph"/>
    <w:aliases w:val="Bullets,References,Texto,List Paragraph1,Capítulo,titulo 5,Titulo parrafo,cS List Paragraph,TIT 2 IND,tEXTO,Lista vistosa - Énfasis 11"/>
    <w:basedOn w:val="Normal"/>
    <w:link w:val="ListParagraphChar"/>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paragraph" w:styleId="HTMLPreformatted">
    <w:name w:val="HTML Preformatted"/>
    <w:basedOn w:val="Normal"/>
    <w:link w:val="HTMLPreformattedChar"/>
    <w:uiPriority w:val="99"/>
    <w:semiHidden/>
    <w:unhideWhenUsed/>
    <w:rsid w:val="00FA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semiHidden/>
    <w:rsid w:val="00FA79C7"/>
    <w:rPr>
      <w:rFonts w:ascii="Courier New" w:eastAsia="Times New Roman" w:hAnsi="Courier New" w:cs="Courier New"/>
      <w:lang w:val="es-ES" w:eastAsia="es-ES"/>
    </w:rPr>
  </w:style>
  <w:style w:type="character" w:customStyle="1" w:styleId="ChapterChar">
    <w:name w:val="Chapter Char"/>
    <w:basedOn w:val="DefaultParagraphFont"/>
    <w:link w:val="Chapter"/>
    <w:rsid w:val="00AF0DFB"/>
    <w:rPr>
      <w:rFonts w:ascii="Times New Roman" w:eastAsia="Times New Roman" w:hAnsi="Times New Roman"/>
      <w:b/>
      <w:smallCaps/>
      <w:sz w:val="24"/>
      <w:lang w:val="es-ES_tradnl" w:eastAsia="es-MX"/>
    </w:rPr>
  </w:style>
  <w:style w:type="character" w:customStyle="1" w:styleId="ListParagraphChar">
    <w:name w:val="List Paragraph Char"/>
    <w:aliases w:val="Bullets Char,References Char,Texto Char,List Paragraph1 Char,Capítulo Char,titulo 5 Char,Titulo parrafo Char,cS List Paragraph Char,TIT 2 IND Char,tEXTO Char,Lista vistosa - Énfasis 11 Char"/>
    <w:link w:val="ListParagraph"/>
    <w:uiPriority w:val="34"/>
    <w:locked/>
    <w:rsid w:val="00842C64"/>
    <w:rPr>
      <w:rFonts w:ascii="Times New Roman" w:eastAsia="Times New Roman" w:hAnsi="Times New Roman"/>
      <w:lang w:val="es-MX" w:eastAsia="es-MX"/>
    </w:rPr>
  </w:style>
  <w:style w:type="character" w:customStyle="1" w:styleId="NewpageChar">
    <w:name w:val="Newpage Char"/>
    <w:basedOn w:val="DefaultParagraphFont"/>
    <w:link w:val="Newpage"/>
    <w:rsid w:val="00947D9D"/>
    <w:rPr>
      <w:rFonts w:ascii="Times New Roman" w:eastAsia="Times New Roman" w:hAnsi="Times New Roman"/>
      <w:b/>
      <w:smallCaps/>
      <w:lang w:val="es-ES_tradnl" w:eastAsia="es-MX"/>
    </w:rPr>
  </w:style>
  <w:style w:type="paragraph" w:customStyle="1" w:styleId="Default">
    <w:name w:val="Default"/>
    <w:rsid w:val="004263BB"/>
    <w:pPr>
      <w:widowControl w:val="0"/>
      <w:autoSpaceDE w:val="0"/>
      <w:autoSpaceDN w:val="0"/>
      <w:adjustRightInd w:val="0"/>
    </w:pPr>
    <w:rPr>
      <w:rFonts w:ascii="Times New Roman" w:eastAsiaTheme="minorEastAsia" w:hAnsi="Times New Roman"/>
      <w:color w:val="000000"/>
      <w:sz w:val="24"/>
      <w:szCs w:val="24"/>
    </w:rPr>
  </w:style>
  <w:style w:type="character" w:styleId="UnresolvedMention">
    <w:name w:val="Unresolved Mention"/>
    <w:basedOn w:val="DefaultParagraphFont"/>
    <w:uiPriority w:val="99"/>
    <w:semiHidden/>
    <w:unhideWhenUsed/>
    <w:rsid w:val="000D413C"/>
    <w:rPr>
      <w:color w:val="605E5C"/>
      <w:shd w:val="clear" w:color="auto" w:fill="E1DFDD"/>
    </w:rPr>
  </w:style>
  <w:style w:type="character" w:styleId="FollowedHyperlink">
    <w:name w:val="FollowedHyperlink"/>
    <w:basedOn w:val="DefaultParagraphFont"/>
    <w:uiPriority w:val="99"/>
    <w:semiHidden/>
    <w:unhideWhenUsed/>
    <w:rsid w:val="00D607D3"/>
    <w:rPr>
      <w:color w:val="800080" w:themeColor="followed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280E54"/>
  </w:style>
  <w:style w:type="character" w:customStyle="1" w:styleId="eop">
    <w:name w:val="eop"/>
    <w:basedOn w:val="DefaultParagraphFont"/>
    <w:rsid w:val="00280E54"/>
  </w:style>
  <w:style w:type="paragraph" w:styleId="TOCHeading">
    <w:name w:val="TOC Heading"/>
    <w:basedOn w:val="Heading1"/>
    <w:next w:val="Normal"/>
    <w:uiPriority w:val="39"/>
    <w:unhideWhenUsed/>
    <w:qFormat/>
    <w:rsid w:val="00115D7C"/>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EC" w:eastAsia="es-EC"/>
    </w:rPr>
  </w:style>
  <w:style w:type="paragraph" w:styleId="TOC5">
    <w:name w:val="toc 5"/>
    <w:basedOn w:val="Normal"/>
    <w:next w:val="Normal"/>
    <w:autoRedefine/>
    <w:uiPriority w:val="39"/>
    <w:unhideWhenUsed/>
    <w:rsid w:val="00115D7C"/>
    <w:pPr>
      <w:spacing w:after="100" w:line="259" w:lineRule="auto"/>
      <w:ind w:left="880"/>
    </w:pPr>
    <w:rPr>
      <w:rFonts w:asciiTheme="minorHAnsi" w:eastAsiaTheme="minorEastAsia" w:hAnsiTheme="minorHAnsi" w:cstheme="minorBidi"/>
      <w:sz w:val="22"/>
      <w:szCs w:val="22"/>
      <w:lang w:val="es-EC" w:eastAsia="es-EC"/>
    </w:rPr>
  </w:style>
  <w:style w:type="paragraph" w:styleId="TOC6">
    <w:name w:val="toc 6"/>
    <w:basedOn w:val="Normal"/>
    <w:next w:val="Normal"/>
    <w:autoRedefine/>
    <w:uiPriority w:val="39"/>
    <w:unhideWhenUsed/>
    <w:rsid w:val="00115D7C"/>
    <w:pPr>
      <w:spacing w:after="100" w:line="259" w:lineRule="auto"/>
      <w:ind w:left="1100"/>
    </w:pPr>
    <w:rPr>
      <w:rFonts w:asciiTheme="minorHAnsi" w:eastAsiaTheme="minorEastAsia" w:hAnsiTheme="minorHAnsi" w:cstheme="minorBidi"/>
      <w:sz w:val="22"/>
      <w:szCs w:val="22"/>
      <w:lang w:val="es-EC" w:eastAsia="es-EC"/>
    </w:rPr>
  </w:style>
  <w:style w:type="paragraph" w:styleId="TOC7">
    <w:name w:val="toc 7"/>
    <w:basedOn w:val="Normal"/>
    <w:next w:val="Normal"/>
    <w:autoRedefine/>
    <w:uiPriority w:val="39"/>
    <w:unhideWhenUsed/>
    <w:rsid w:val="00115D7C"/>
    <w:pPr>
      <w:spacing w:after="100" w:line="259" w:lineRule="auto"/>
      <w:ind w:left="1320"/>
    </w:pPr>
    <w:rPr>
      <w:rFonts w:asciiTheme="minorHAnsi" w:eastAsiaTheme="minorEastAsia" w:hAnsiTheme="minorHAnsi" w:cstheme="minorBidi"/>
      <w:sz w:val="22"/>
      <w:szCs w:val="22"/>
      <w:lang w:val="es-EC" w:eastAsia="es-EC"/>
    </w:rPr>
  </w:style>
  <w:style w:type="paragraph" w:styleId="TOC8">
    <w:name w:val="toc 8"/>
    <w:basedOn w:val="Normal"/>
    <w:next w:val="Normal"/>
    <w:autoRedefine/>
    <w:uiPriority w:val="39"/>
    <w:unhideWhenUsed/>
    <w:rsid w:val="00115D7C"/>
    <w:pPr>
      <w:spacing w:after="100" w:line="259" w:lineRule="auto"/>
      <w:ind w:left="1540"/>
    </w:pPr>
    <w:rPr>
      <w:rFonts w:asciiTheme="minorHAnsi" w:eastAsiaTheme="minorEastAsia" w:hAnsiTheme="minorHAnsi" w:cstheme="minorBidi"/>
      <w:sz w:val="22"/>
      <w:szCs w:val="22"/>
      <w:lang w:val="es-EC" w:eastAsia="es-EC"/>
    </w:rPr>
  </w:style>
  <w:style w:type="paragraph" w:styleId="TOC9">
    <w:name w:val="toc 9"/>
    <w:basedOn w:val="Normal"/>
    <w:next w:val="Normal"/>
    <w:autoRedefine/>
    <w:uiPriority w:val="39"/>
    <w:unhideWhenUsed/>
    <w:rsid w:val="00115D7C"/>
    <w:pPr>
      <w:spacing w:after="100" w:line="259" w:lineRule="auto"/>
      <w:ind w:left="1760"/>
    </w:pPr>
    <w:rPr>
      <w:rFonts w:asciiTheme="minorHAnsi" w:eastAsiaTheme="minorEastAsia" w:hAnsiTheme="minorHAnsi" w:cstheme="minorBidi"/>
      <w:sz w:val="22"/>
      <w:szCs w:val="22"/>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32242">
      <w:bodyDiv w:val="1"/>
      <w:marLeft w:val="0"/>
      <w:marRight w:val="0"/>
      <w:marTop w:val="0"/>
      <w:marBottom w:val="0"/>
      <w:divBdr>
        <w:top w:val="none" w:sz="0" w:space="0" w:color="auto"/>
        <w:left w:val="none" w:sz="0" w:space="0" w:color="auto"/>
        <w:bottom w:val="none" w:sz="0" w:space="0" w:color="auto"/>
        <w:right w:val="none" w:sz="0" w:space="0" w:color="auto"/>
      </w:divBdr>
      <w:divsChild>
        <w:div w:id="1258172668">
          <w:marLeft w:val="0"/>
          <w:marRight w:val="0"/>
          <w:marTop w:val="0"/>
          <w:marBottom w:val="0"/>
          <w:divBdr>
            <w:top w:val="none" w:sz="0" w:space="0" w:color="auto"/>
            <w:left w:val="none" w:sz="0" w:space="0" w:color="auto"/>
            <w:bottom w:val="none" w:sz="0" w:space="0" w:color="auto"/>
            <w:right w:val="none" w:sz="0" w:space="0" w:color="auto"/>
          </w:divBdr>
        </w:div>
        <w:div w:id="115757863">
          <w:marLeft w:val="0"/>
          <w:marRight w:val="0"/>
          <w:marTop w:val="0"/>
          <w:marBottom w:val="0"/>
          <w:divBdr>
            <w:top w:val="none" w:sz="0" w:space="0" w:color="auto"/>
            <w:left w:val="none" w:sz="0" w:space="0" w:color="auto"/>
            <w:bottom w:val="none" w:sz="0" w:space="0" w:color="auto"/>
            <w:right w:val="none" w:sz="0" w:space="0" w:color="auto"/>
          </w:divBdr>
        </w:div>
        <w:div w:id="1632831308">
          <w:marLeft w:val="0"/>
          <w:marRight w:val="0"/>
          <w:marTop w:val="0"/>
          <w:marBottom w:val="0"/>
          <w:divBdr>
            <w:top w:val="none" w:sz="0" w:space="0" w:color="auto"/>
            <w:left w:val="none" w:sz="0" w:space="0" w:color="auto"/>
            <w:bottom w:val="none" w:sz="0" w:space="0" w:color="auto"/>
            <w:right w:val="none" w:sz="0" w:space="0" w:color="auto"/>
          </w:divBdr>
        </w:div>
        <w:div w:id="1374647869">
          <w:marLeft w:val="0"/>
          <w:marRight w:val="0"/>
          <w:marTop w:val="0"/>
          <w:marBottom w:val="0"/>
          <w:divBdr>
            <w:top w:val="none" w:sz="0" w:space="0" w:color="auto"/>
            <w:left w:val="none" w:sz="0" w:space="0" w:color="auto"/>
            <w:bottom w:val="none" w:sz="0" w:space="0" w:color="auto"/>
            <w:right w:val="none" w:sz="0" w:space="0" w:color="auto"/>
          </w:divBdr>
        </w:div>
        <w:div w:id="2126120040">
          <w:marLeft w:val="0"/>
          <w:marRight w:val="0"/>
          <w:marTop w:val="0"/>
          <w:marBottom w:val="0"/>
          <w:divBdr>
            <w:top w:val="none" w:sz="0" w:space="0" w:color="auto"/>
            <w:left w:val="none" w:sz="0" w:space="0" w:color="auto"/>
            <w:bottom w:val="none" w:sz="0" w:space="0" w:color="auto"/>
            <w:right w:val="none" w:sz="0" w:space="0" w:color="auto"/>
          </w:divBdr>
        </w:div>
        <w:div w:id="1647514492">
          <w:marLeft w:val="0"/>
          <w:marRight w:val="0"/>
          <w:marTop w:val="0"/>
          <w:marBottom w:val="0"/>
          <w:divBdr>
            <w:top w:val="none" w:sz="0" w:space="0" w:color="auto"/>
            <w:left w:val="none" w:sz="0" w:space="0" w:color="auto"/>
            <w:bottom w:val="none" w:sz="0" w:space="0" w:color="auto"/>
            <w:right w:val="none" w:sz="0" w:space="0" w:color="auto"/>
          </w:divBdr>
        </w:div>
      </w:divsChild>
    </w:div>
    <w:div w:id="104738495">
      <w:bodyDiv w:val="1"/>
      <w:marLeft w:val="0"/>
      <w:marRight w:val="0"/>
      <w:marTop w:val="0"/>
      <w:marBottom w:val="0"/>
      <w:divBdr>
        <w:top w:val="none" w:sz="0" w:space="0" w:color="auto"/>
        <w:left w:val="none" w:sz="0" w:space="0" w:color="auto"/>
        <w:bottom w:val="none" w:sz="0" w:space="0" w:color="auto"/>
        <w:right w:val="none" w:sz="0" w:space="0" w:color="auto"/>
      </w:divBdr>
    </w:div>
    <w:div w:id="341472589">
      <w:bodyDiv w:val="1"/>
      <w:marLeft w:val="0"/>
      <w:marRight w:val="0"/>
      <w:marTop w:val="0"/>
      <w:marBottom w:val="0"/>
      <w:divBdr>
        <w:top w:val="none" w:sz="0" w:space="0" w:color="auto"/>
        <w:left w:val="none" w:sz="0" w:space="0" w:color="auto"/>
        <w:bottom w:val="none" w:sz="0" w:space="0" w:color="auto"/>
        <w:right w:val="none" w:sz="0" w:space="0" w:color="auto"/>
      </w:divBdr>
    </w:div>
    <w:div w:id="1829595759">
      <w:bodyDiv w:val="1"/>
      <w:marLeft w:val="0"/>
      <w:marRight w:val="0"/>
      <w:marTop w:val="0"/>
      <w:marBottom w:val="0"/>
      <w:divBdr>
        <w:top w:val="none" w:sz="0" w:space="0" w:color="auto"/>
        <w:left w:val="none" w:sz="0" w:space="0" w:color="auto"/>
        <w:bottom w:val="none" w:sz="0" w:space="0" w:color="auto"/>
        <w:right w:val="none" w:sz="0" w:space="0" w:color="auto"/>
      </w:divBdr>
    </w:div>
    <w:div w:id="1877040715">
      <w:bodyDiv w:val="1"/>
      <w:marLeft w:val="0"/>
      <w:marRight w:val="0"/>
      <w:marTop w:val="0"/>
      <w:marBottom w:val="0"/>
      <w:divBdr>
        <w:top w:val="none" w:sz="0" w:space="0" w:color="auto"/>
        <w:left w:val="none" w:sz="0" w:space="0" w:color="auto"/>
        <w:bottom w:val="none" w:sz="0" w:space="0" w:color="auto"/>
        <w:right w:val="none" w:sz="0" w:space="0" w:color="auto"/>
      </w:divBdr>
    </w:div>
    <w:div w:id="1947695048">
      <w:bodyDiv w:val="1"/>
      <w:marLeft w:val="0"/>
      <w:marRight w:val="0"/>
      <w:marTop w:val="0"/>
      <w:marBottom w:val="0"/>
      <w:divBdr>
        <w:top w:val="none" w:sz="0" w:space="0" w:color="auto"/>
        <w:left w:val="none" w:sz="0" w:space="0" w:color="auto"/>
        <w:bottom w:val="none" w:sz="0" w:space="0" w:color="auto"/>
        <w:right w:val="none" w:sz="0" w:space="0" w:color="auto"/>
      </w:divBdr>
      <w:divsChild>
        <w:div w:id="1101221222">
          <w:marLeft w:val="0"/>
          <w:marRight w:val="0"/>
          <w:marTop w:val="0"/>
          <w:marBottom w:val="0"/>
          <w:divBdr>
            <w:top w:val="none" w:sz="0" w:space="0" w:color="auto"/>
            <w:left w:val="none" w:sz="0" w:space="0" w:color="auto"/>
            <w:bottom w:val="none" w:sz="0" w:space="0" w:color="auto"/>
            <w:right w:val="none" w:sz="0" w:space="0" w:color="auto"/>
          </w:divBdr>
        </w:div>
        <w:div w:id="1469786445">
          <w:marLeft w:val="0"/>
          <w:marRight w:val="0"/>
          <w:marTop w:val="0"/>
          <w:marBottom w:val="0"/>
          <w:divBdr>
            <w:top w:val="none" w:sz="0" w:space="0" w:color="auto"/>
            <w:left w:val="none" w:sz="0" w:space="0" w:color="auto"/>
            <w:bottom w:val="none" w:sz="0" w:space="0" w:color="auto"/>
            <w:right w:val="none" w:sz="0" w:space="0" w:color="auto"/>
          </w:divBdr>
        </w:div>
        <w:div w:id="1914967159">
          <w:marLeft w:val="0"/>
          <w:marRight w:val="0"/>
          <w:marTop w:val="0"/>
          <w:marBottom w:val="0"/>
          <w:divBdr>
            <w:top w:val="none" w:sz="0" w:space="0" w:color="auto"/>
            <w:left w:val="none" w:sz="0" w:space="0" w:color="auto"/>
            <w:bottom w:val="none" w:sz="0" w:space="0" w:color="auto"/>
            <w:right w:val="none" w:sz="0" w:space="0" w:color="auto"/>
          </w:divBdr>
        </w:div>
        <w:div w:id="438567800">
          <w:marLeft w:val="0"/>
          <w:marRight w:val="0"/>
          <w:marTop w:val="0"/>
          <w:marBottom w:val="0"/>
          <w:divBdr>
            <w:top w:val="none" w:sz="0" w:space="0" w:color="auto"/>
            <w:left w:val="none" w:sz="0" w:space="0" w:color="auto"/>
            <w:bottom w:val="none" w:sz="0" w:space="0" w:color="auto"/>
            <w:right w:val="none" w:sz="0" w:space="0" w:color="auto"/>
          </w:divBdr>
        </w:div>
        <w:div w:id="568462378">
          <w:marLeft w:val="0"/>
          <w:marRight w:val="0"/>
          <w:marTop w:val="0"/>
          <w:marBottom w:val="0"/>
          <w:divBdr>
            <w:top w:val="none" w:sz="0" w:space="0" w:color="auto"/>
            <w:left w:val="none" w:sz="0" w:space="0" w:color="auto"/>
            <w:bottom w:val="none" w:sz="0" w:space="0" w:color="auto"/>
            <w:right w:val="none" w:sz="0" w:space="0" w:color="auto"/>
          </w:divBdr>
        </w:div>
        <w:div w:id="1012338253">
          <w:marLeft w:val="0"/>
          <w:marRight w:val="0"/>
          <w:marTop w:val="0"/>
          <w:marBottom w:val="0"/>
          <w:divBdr>
            <w:top w:val="none" w:sz="0" w:space="0" w:color="auto"/>
            <w:left w:val="none" w:sz="0" w:space="0" w:color="auto"/>
            <w:bottom w:val="none" w:sz="0" w:space="0" w:color="auto"/>
            <w:right w:val="none" w:sz="0" w:space="0" w:color="auto"/>
          </w:divBdr>
        </w:div>
        <w:div w:id="732846765">
          <w:marLeft w:val="0"/>
          <w:marRight w:val="0"/>
          <w:marTop w:val="0"/>
          <w:marBottom w:val="0"/>
          <w:divBdr>
            <w:top w:val="none" w:sz="0" w:space="0" w:color="auto"/>
            <w:left w:val="none" w:sz="0" w:space="0" w:color="auto"/>
            <w:bottom w:val="none" w:sz="0" w:space="0" w:color="auto"/>
            <w:right w:val="none" w:sz="0" w:space="0" w:color="auto"/>
          </w:divBdr>
        </w:div>
        <w:div w:id="1273127618">
          <w:marLeft w:val="0"/>
          <w:marRight w:val="0"/>
          <w:marTop w:val="0"/>
          <w:marBottom w:val="0"/>
          <w:divBdr>
            <w:top w:val="none" w:sz="0" w:space="0" w:color="auto"/>
            <w:left w:val="none" w:sz="0" w:space="0" w:color="auto"/>
            <w:bottom w:val="none" w:sz="0" w:space="0" w:color="auto"/>
            <w:right w:val="none" w:sz="0" w:space="0" w:color="auto"/>
          </w:divBdr>
        </w:div>
        <w:div w:id="1659187073">
          <w:marLeft w:val="0"/>
          <w:marRight w:val="0"/>
          <w:marTop w:val="0"/>
          <w:marBottom w:val="0"/>
          <w:divBdr>
            <w:top w:val="none" w:sz="0" w:space="0" w:color="auto"/>
            <w:left w:val="none" w:sz="0" w:space="0" w:color="auto"/>
            <w:bottom w:val="none" w:sz="0" w:space="0" w:color="auto"/>
            <w:right w:val="none" w:sz="0" w:space="0" w:color="auto"/>
          </w:divBdr>
        </w:div>
        <w:div w:id="1992516998">
          <w:marLeft w:val="0"/>
          <w:marRight w:val="0"/>
          <w:marTop w:val="0"/>
          <w:marBottom w:val="0"/>
          <w:divBdr>
            <w:top w:val="none" w:sz="0" w:space="0" w:color="auto"/>
            <w:left w:val="none" w:sz="0" w:space="0" w:color="auto"/>
            <w:bottom w:val="none" w:sz="0" w:space="0" w:color="auto"/>
            <w:right w:val="none" w:sz="0" w:space="0" w:color="auto"/>
          </w:divBdr>
        </w:div>
        <w:div w:id="1533571230">
          <w:marLeft w:val="0"/>
          <w:marRight w:val="0"/>
          <w:marTop w:val="0"/>
          <w:marBottom w:val="0"/>
          <w:divBdr>
            <w:top w:val="none" w:sz="0" w:space="0" w:color="auto"/>
            <w:left w:val="none" w:sz="0" w:space="0" w:color="auto"/>
            <w:bottom w:val="none" w:sz="0" w:space="0" w:color="auto"/>
            <w:right w:val="none" w:sz="0" w:space="0" w:color="auto"/>
          </w:divBdr>
        </w:div>
        <w:div w:id="162598135">
          <w:marLeft w:val="0"/>
          <w:marRight w:val="0"/>
          <w:marTop w:val="0"/>
          <w:marBottom w:val="0"/>
          <w:divBdr>
            <w:top w:val="none" w:sz="0" w:space="0" w:color="auto"/>
            <w:left w:val="none" w:sz="0" w:space="0" w:color="auto"/>
            <w:bottom w:val="none" w:sz="0" w:space="0" w:color="auto"/>
            <w:right w:val="none" w:sz="0" w:space="0" w:color="auto"/>
          </w:divBdr>
        </w:div>
        <w:div w:id="1791244898">
          <w:marLeft w:val="0"/>
          <w:marRight w:val="0"/>
          <w:marTop w:val="0"/>
          <w:marBottom w:val="0"/>
          <w:divBdr>
            <w:top w:val="none" w:sz="0" w:space="0" w:color="auto"/>
            <w:left w:val="none" w:sz="0" w:space="0" w:color="auto"/>
            <w:bottom w:val="none" w:sz="0" w:space="0" w:color="auto"/>
            <w:right w:val="none" w:sz="0" w:space="0" w:color="auto"/>
          </w:divBdr>
        </w:div>
        <w:div w:id="1408578679">
          <w:marLeft w:val="0"/>
          <w:marRight w:val="0"/>
          <w:marTop w:val="0"/>
          <w:marBottom w:val="0"/>
          <w:divBdr>
            <w:top w:val="none" w:sz="0" w:space="0" w:color="auto"/>
            <w:left w:val="none" w:sz="0" w:space="0" w:color="auto"/>
            <w:bottom w:val="none" w:sz="0" w:space="0" w:color="auto"/>
            <w:right w:val="none" w:sz="0" w:space="0" w:color="auto"/>
          </w:divBdr>
        </w:div>
        <w:div w:id="1417483910">
          <w:marLeft w:val="0"/>
          <w:marRight w:val="0"/>
          <w:marTop w:val="0"/>
          <w:marBottom w:val="0"/>
          <w:divBdr>
            <w:top w:val="none" w:sz="0" w:space="0" w:color="auto"/>
            <w:left w:val="none" w:sz="0" w:space="0" w:color="auto"/>
            <w:bottom w:val="none" w:sz="0" w:space="0" w:color="auto"/>
            <w:right w:val="none" w:sz="0" w:space="0" w:color="auto"/>
          </w:divBdr>
        </w:div>
        <w:div w:id="241375736">
          <w:marLeft w:val="0"/>
          <w:marRight w:val="0"/>
          <w:marTop w:val="0"/>
          <w:marBottom w:val="0"/>
          <w:divBdr>
            <w:top w:val="none" w:sz="0" w:space="0" w:color="auto"/>
            <w:left w:val="none" w:sz="0" w:space="0" w:color="auto"/>
            <w:bottom w:val="none" w:sz="0" w:space="0" w:color="auto"/>
            <w:right w:val="none" w:sz="0" w:space="0" w:color="auto"/>
          </w:divBdr>
        </w:div>
        <w:div w:id="1284919537">
          <w:marLeft w:val="0"/>
          <w:marRight w:val="0"/>
          <w:marTop w:val="0"/>
          <w:marBottom w:val="0"/>
          <w:divBdr>
            <w:top w:val="none" w:sz="0" w:space="0" w:color="auto"/>
            <w:left w:val="none" w:sz="0" w:space="0" w:color="auto"/>
            <w:bottom w:val="none" w:sz="0" w:space="0" w:color="auto"/>
            <w:right w:val="none" w:sz="0" w:space="0" w:color="auto"/>
          </w:divBdr>
        </w:div>
        <w:div w:id="1462533941">
          <w:marLeft w:val="0"/>
          <w:marRight w:val="0"/>
          <w:marTop w:val="0"/>
          <w:marBottom w:val="0"/>
          <w:divBdr>
            <w:top w:val="none" w:sz="0" w:space="0" w:color="auto"/>
            <w:left w:val="none" w:sz="0" w:space="0" w:color="auto"/>
            <w:bottom w:val="none" w:sz="0" w:space="0" w:color="auto"/>
            <w:right w:val="none" w:sz="0" w:space="0" w:color="auto"/>
          </w:divBdr>
        </w:div>
        <w:div w:id="1075544039">
          <w:marLeft w:val="0"/>
          <w:marRight w:val="0"/>
          <w:marTop w:val="0"/>
          <w:marBottom w:val="0"/>
          <w:divBdr>
            <w:top w:val="none" w:sz="0" w:space="0" w:color="auto"/>
            <w:left w:val="none" w:sz="0" w:space="0" w:color="auto"/>
            <w:bottom w:val="none" w:sz="0" w:space="0" w:color="auto"/>
            <w:right w:val="none" w:sz="0" w:space="0" w:color="auto"/>
          </w:divBdr>
        </w:div>
        <w:div w:id="2013097923">
          <w:marLeft w:val="0"/>
          <w:marRight w:val="0"/>
          <w:marTop w:val="0"/>
          <w:marBottom w:val="0"/>
          <w:divBdr>
            <w:top w:val="none" w:sz="0" w:space="0" w:color="auto"/>
            <w:left w:val="none" w:sz="0" w:space="0" w:color="auto"/>
            <w:bottom w:val="none" w:sz="0" w:space="0" w:color="auto"/>
            <w:right w:val="none" w:sz="0" w:space="0" w:color="auto"/>
          </w:divBdr>
        </w:div>
        <w:div w:id="1149788508">
          <w:marLeft w:val="0"/>
          <w:marRight w:val="0"/>
          <w:marTop w:val="0"/>
          <w:marBottom w:val="0"/>
          <w:divBdr>
            <w:top w:val="none" w:sz="0" w:space="0" w:color="auto"/>
            <w:left w:val="none" w:sz="0" w:space="0" w:color="auto"/>
            <w:bottom w:val="none" w:sz="0" w:space="0" w:color="auto"/>
            <w:right w:val="none" w:sz="0" w:space="0" w:color="auto"/>
          </w:divBdr>
        </w:div>
        <w:div w:id="600529779">
          <w:marLeft w:val="0"/>
          <w:marRight w:val="0"/>
          <w:marTop w:val="0"/>
          <w:marBottom w:val="0"/>
          <w:divBdr>
            <w:top w:val="none" w:sz="0" w:space="0" w:color="auto"/>
            <w:left w:val="none" w:sz="0" w:space="0" w:color="auto"/>
            <w:bottom w:val="none" w:sz="0" w:space="0" w:color="auto"/>
            <w:right w:val="none" w:sz="0" w:space="0" w:color="auto"/>
          </w:divBdr>
        </w:div>
        <w:div w:id="2134708180">
          <w:marLeft w:val="0"/>
          <w:marRight w:val="0"/>
          <w:marTop w:val="0"/>
          <w:marBottom w:val="0"/>
          <w:divBdr>
            <w:top w:val="none" w:sz="0" w:space="0" w:color="auto"/>
            <w:left w:val="none" w:sz="0" w:space="0" w:color="auto"/>
            <w:bottom w:val="none" w:sz="0" w:space="0" w:color="auto"/>
            <w:right w:val="none" w:sz="0" w:space="0" w:color="auto"/>
          </w:divBdr>
        </w:div>
        <w:div w:id="966279404">
          <w:marLeft w:val="0"/>
          <w:marRight w:val="0"/>
          <w:marTop w:val="0"/>
          <w:marBottom w:val="0"/>
          <w:divBdr>
            <w:top w:val="none" w:sz="0" w:space="0" w:color="auto"/>
            <w:left w:val="none" w:sz="0" w:space="0" w:color="auto"/>
            <w:bottom w:val="none" w:sz="0" w:space="0" w:color="auto"/>
            <w:right w:val="none" w:sz="0" w:space="0" w:color="auto"/>
          </w:divBdr>
        </w:div>
        <w:div w:id="923299946">
          <w:marLeft w:val="0"/>
          <w:marRight w:val="0"/>
          <w:marTop w:val="0"/>
          <w:marBottom w:val="0"/>
          <w:divBdr>
            <w:top w:val="none" w:sz="0" w:space="0" w:color="auto"/>
            <w:left w:val="none" w:sz="0" w:space="0" w:color="auto"/>
            <w:bottom w:val="none" w:sz="0" w:space="0" w:color="auto"/>
            <w:right w:val="none" w:sz="0" w:space="0" w:color="auto"/>
          </w:divBdr>
        </w:div>
        <w:div w:id="1124421220">
          <w:marLeft w:val="0"/>
          <w:marRight w:val="0"/>
          <w:marTop w:val="0"/>
          <w:marBottom w:val="0"/>
          <w:divBdr>
            <w:top w:val="none" w:sz="0" w:space="0" w:color="auto"/>
            <w:left w:val="none" w:sz="0" w:space="0" w:color="auto"/>
            <w:bottom w:val="none" w:sz="0" w:space="0" w:color="auto"/>
            <w:right w:val="none" w:sz="0" w:space="0" w:color="auto"/>
          </w:divBdr>
        </w:div>
        <w:div w:id="1971201366">
          <w:marLeft w:val="0"/>
          <w:marRight w:val="0"/>
          <w:marTop w:val="0"/>
          <w:marBottom w:val="0"/>
          <w:divBdr>
            <w:top w:val="none" w:sz="0" w:space="0" w:color="auto"/>
            <w:left w:val="none" w:sz="0" w:space="0" w:color="auto"/>
            <w:bottom w:val="none" w:sz="0" w:space="0" w:color="auto"/>
            <w:right w:val="none" w:sz="0" w:space="0" w:color="auto"/>
          </w:divBdr>
        </w:div>
        <w:div w:id="1589079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iadb.org/en/countries/bahamas/bahamas-and-the-idb,1035.html" TargetMode="External"/><Relationship Id="rId39" Type="http://schemas.openxmlformats.org/officeDocument/2006/relationships/hyperlink" Target="http://www.iadb.org/en/countries/chile/chile-and-the-idb,1090.html" TargetMode="External"/><Relationship Id="rId21" Type="http://schemas.openxmlformats.org/officeDocument/2006/relationships/hyperlink" Target="http://www.iadb.org/aboutus/VI/borrowing.cfm?lang=es" TargetMode="External"/><Relationship Id="rId34" Type="http://schemas.openxmlformats.org/officeDocument/2006/relationships/hyperlink" Target="http://www.iadb.org/en/countries/guyana/guyana-and-the-idb,1056.html" TargetMode="External"/><Relationship Id="rId42" Type="http://schemas.openxmlformats.org/officeDocument/2006/relationships/hyperlink" Target="http://www.iadb.org/en/countries/trinidad-and-tobago/trinidad-and-tobago-and-the-idb,1030.html" TargetMode="External"/><Relationship Id="rId47" Type="http://schemas.openxmlformats.org/officeDocument/2006/relationships/hyperlink" Target="http://www.iadb.org/en/countries/venezuela/venezuela-and-the-idb,1027.html" TargetMode="External"/><Relationship Id="rId50" Type="http://schemas.openxmlformats.org/officeDocument/2006/relationships/footer" Target="footer5.xml"/><Relationship Id="rId55" Type="http://schemas.openxmlformats.org/officeDocument/2006/relationships/customXml" Target="../customXml/item3.xml"/><Relationship Id="rId7" Type="http://schemas.openxmlformats.org/officeDocument/2006/relationships/settings" Target="settings.xml"/><Relationship Id="rId16" Type="http://schemas.openxmlformats.org/officeDocument/2006/relationships/footer" Target="footer3.xml"/><Relationship Id="rId29" Type="http://schemas.openxmlformats.org/officeDocument/2006/relationships/hyperlink" Target="http://www.iadb.org/en/countries/paraguay/paraguay-and-the-idb,1039.html" TargetMode="External"/><Relationship Id="rId11" Type="http://schemas.openxmlformats.org/officeDocument/2006/relationships/header" Target="header1.xml"/><Relationship Id="rId24" Type="http://schemas.openxmlformats.org/officeDocument/2006/relationships/hyperlink" Target="http://www.iadb.org/en/countries/nicaragua/nicaragua-and-the-idb,1045.html" TargetMode="External"/><Relationship Id="rId32" Type="http://schemas.openxmlformats.org/officeDocument/2006/relationships/hyperlink" Target="http://www.iadb.org/en/countries/guatemala/guatemala-and-the-idb,1059.html" TargetMode="External"/><Relationship Id="rId37" Type="http://schemas.openxmlformats.org/officeDocument/2006/relationships/hyperlink" Target="http://www.iadb.org/en/countries/honduras/honduras-and-the-idb,1053.html" TargetMode="External"/><Relationship Id="rId40" Type="http://schemas.openxmlformats.org/officeDocument/2006/relationships/hyperlink" Target="http://www.iadb.org/en/countries/colombia/colombia-and-the-idb,1026.html" TargetMode="External"/><Relationship Id="rId45" Type="http://schemas.openxmlformats.org/officeDocument/2006/relationships/hyperlink" Target="http://www.iadb.org/en/countries/uruguay/uruguay-and-the-idb,1028.html" TargetMode="External"/><Relationship Id="rId53" Type="http://schemas.openxmlformats.org/officeDocument/2006/relationships/customXml" Target="../customXml/item1.xml"/><Relationship Id="rId58" Type="http://schemas.openxmlformats.org/officeDocument/2006/relationships/customXml" Target="../customXml/item6.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www.iadb.org/en/countries/belize/belize-and-the-idb,1082.html" TargetMode="External"/><Relationship Id="rId44" Type="http://schemas.openxmlformats.org/officeDocument/2006/relationships/hyperlink" Target="http://www.iadb.org/en/countries/mexico/mexico-and-the-idb,1048.html" TargetMode="External"/><Relationship Id="rId52" Type="http://schemas.openxmlformats.org/officeDocument/2006/relationships/theme" Target="theme/theme1.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db.org/en/countries/argentina/argentina-and-the-idb,1011.html" TargetMode="External"/><Relationship Id="rId27" Type="http://schemas.openxmlformats.org/officeDocument/2006/relationships/hyperlink" Target="http://www.iadb.org/en/countries/panama/panama-and-the-idb,1042.html" TargetMode="External"/><Relationship Id="rId30" Type="http://schemas.openxmlformats.org/officeDocument/2006/relationships/hyperlink" Target="http://www.iadb.org/en/countries/peru/peru-and-the-idb,1037.html" TargetMode="External"/><Relationship Id="rId35" Type="http://schemas.openxmlformats.org/officeDocument/2006/relationships/hyperlink" Target="http://www.iadb.org/en/countries/brazil/brazil-and-the-idb,1002.html" TargetMode="External"/><Relationship Id="rId43" Type="http://schemas.openxmlformats.org/officeDocument/2006/relationships/hyperlink" Target="http://www.iadb.org/en/countries/costa-rica/costa-rica-and-the-idb,1068.html" TargetMode="External"/><Relationship Id="rId48" Type="http://schemas.openxmlformats.org/officeDocument/2006/relationships/header" Target="header6.xml"/><Relationship Id="rId56" Type="http://schemas.openxmlformats.org/officeDocument/2006/relationships/customXml" Target="../customXml/item4.xml"/><Relationship Id="rId8" Type="http://schemas.openxmlformats.org/officeDocument/2006/relationships/webSettings" Target="webSettings.xml"/><Relationship Id="rId51" Type="http://schemas.openxmlformats.org/officeDocument/2006/relationships/fontTable" Target="fontTable.xml"/><Relationship Id="rId12" Type="http://schemas.openxmlformats.org/officeDocument/2006/relationships/header" Target="header2.xml"/><Relationship Id="rId17" Type="http://schemas.openxmlformats.org/officeDocument/2006/relationships/hyperlink" Target="http://idbdocs.iadb.org/wsdocs/getDocument.aspx?DOCNUM=EZSHARE-1136483988-4" TargetMode="External"/><Relationship Id="rId25" Type="http://schemas.openxmlformats.org/officeDocument/2006/relationships/hyperlink" Target="http://www.iadb.org/en/countries/el-salvador/el-salvador-and-the-idb,1062.html" TargetMode="External"/><Relationship Id="rId33" Type="http://schemas.openxmlformats.org/officeDocument/2006/relationships/hyperlink" Target="http://www.iadb.org/en/countries/bolivia/bolivia-and-the-idb,1086.html" TargetMode="External"/><Relationship Id="rId38" Type="http://schemas.openxmlformats.org/officeDocument/2006/relationships/hyperlink" Target="http://www.iadb.org/en/countries/suriname/suriname-and-the-idb,1032.html" TargetMode="External"/><Relationship Id="rId46" Type="http://schemas.openxmlformats.org/officeDocument/2006/relationships/hyperlink" Target="http://www.iadb.org/en/countries/dominican-republic/dominican-republic-and-the-idb,1089.html" TargetMode="External"/><Relationship Id="rId20" Type="http://schemas.openxmlformats.org/officeDocument/2006/relationships/footer" Target="footer4.xml"/><Relationship Id="rId41" Type="http://schemas.openxmlformats.org/officeDocument/2006/relationships/hyperlink" Target="http://www.iadb.org/en/countries/jamaica/jamaica-and-the-idb,1051.html" TargetMode="External"/><Relationship Id="rId54" Type="http://schemas.openxmlformats.org/officeDocument/2006/relationships/customXml" Target="../customXml/item2.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www.iadb.org/en/countries/ecuador/ecuador-and-the-idb,1065.html" TargetMode="External"/><Relationship Id="rId28" Type="http://schemas.openxmlformats.org/officeDocument/2006/relationships/hyperlink" Target="http://www.iadb.org/en/countries/barbados/barbados-and-the-idb,1076.html" TargetMode="External"/><Relationship Id="rId36" Type="http://schemas.openxmlformats.org/officeDocument/2006/relationships/hyperlink" Target="http://www.iadb.org/en/countries/haiti/hope-for-haiti,1001.html" TargetMode="External"/><Relationship Id="rId49" Type="http://schemas.openxmlformats.org/officeDocument/2006/relationships/header" Target="header7.xml"/><Relationship Id="rId5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www.pops.int/" TargetMode="External"/><Relationship Id="rId1" Type="http://schemas.openxmlformats.org/officeDocument/2006/relationships/hyperlink" Target="http://idbdocs.iadb.org/wsdocs/getDocument.aspx?DOCNUM=EZSHARE-113648398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4E34C02EA580F4EA7037FB369790BBE" ma:contentTypeVersion="0" ma:contentTypeDescription="A content type to manage public (operations) IDB documents" ma:contentTypeScope="" ma:versionID="97ad1dc7501cbaeb602ecc796278c76c">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EZSHARE-1136483988-4</_dlc_DocId>
    <Document_x0020_Author xmlns="cdc7663a-08f0-4737-9e8c-148ce897a09c">Bernedo Cecilia</Document_x0020_Author>
    <TaxCatchAll xmlns="cdc7663a-08f0-4737-9e8c-148ce897a09c">
      <Value>268</Value>
      <Value>32</Value>
      <Value>108</Value>
      <Value>30</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EC-L1269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https://idbg.sharepoint.com/teams/EZ-EC-LON/EC-L1269/_layouts/15/DocIdRedir.aspx?ID=EZSHARE-1136483988-4</Url>
      <Description>EZSHARE-1136483988-4</Description>
    </_dlc_DocIdUrl>
    <Phase xmlns="cdc7663a-08f0-4737-9e8c-148ce897a09c">ACTIVE</Phase>
    <Other_x0020_Author xmlns="cdc7663a-08f0-4737-9e8c-148ce897a09c">Joan Prats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Development;Fiscal Issues and Public Finance;</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9BC463F-F5BE-426C-A83C-FCA8A0FA09E0}"/>
</file>

<file path=customXml/itemProps2.xml><?xml version="1.0" encoding="utf-8"?>
<ds:datastoreItem xmlns:ds="http://schemas.openxmlformats.org/officeDocument/2006/customXml" ds:itemID="{7D2BA9A1-A0D4-4DEE-8EED-21CB586E7E25}"/>
</file>

<file path=customXml/itemProps3.xml><?xml version="1.0" encoding="utf-8"?>
<ds:datastoreItem xmlns:ds="http://schemas.openxmlformats.org/officeDocument/2006/customXml" ds:itemID="{5B892AC4-BD9C-40FA-A058-B93F0DCF59FC}"/>
</file>

<file path=customXml/itemProps4.xml><?xml version="1.0" encoding="utf-8"?>
<ds:datastoreItem xmlns:ds="http://schemas.openxmlformats.org/officeDocument/2006/customXml" ds:itemID="{C4293401-1616-4F8E-BF3A-11073C34F2E4}"/>
</file>

<file path=customXml/itemProps5.xml><?xml version="1.0" encoding="utf-8"?>
<ds:datastoreItem xmlns:ds="http://schemas.openxmlformats.org/officeDocument/2006/customXml" ds:itemID="{3518A595-0361-4CEB-B7C6-A9E9A09FB905}"/>
</file>

<file path=customXml/itemProps6.xml><?xml version="1.0" encoding="utf-8"?>
<ds:datastoreItem xmlns:ds="http://schemas.openxmlformats.org/officeDocument/2006/customXml" ds:itemID="{4AFC8B1B-C12A-4DB9-9D3B-D0DAFB26950E}"/>
</file>

<file path=docProps/app.xml><?xml version="1.0" encoding="utf-8"?>
<Properties xmlns="http://schemas.openxmlformats.org/officeDocument/2006/extended-properties" xmlns:vt="http://schemas.openxmlformats.org/officeDocument/2006/docPropsVTypes">
  <Template>Normal</Template>
  <TotalTime>1</TotalTime>
  <Pages>24</Pages>
  <Words>7529</Words>
  <Characters>44050</Characters>
  <Application>Microsoft Office Word</Application>
  <DocSecurity>0</DocSecurity>
  <Lines>1295</Lines>
  <Paragraphs>669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Diego Mauricio Herrera Falla</dc:creator>
  <cp:keywords/>
  <cp:lastModifiedBy>Bernedo, Cecilia</cp:lastModifiedBy>
  <cp:revision>3</cp:revision>
  <cp:lastPrinted>2020-04-08T19:03:00Z</cp:lastPrinted>
  <dcterms:created xsi:type="dcterms:W3CDTF">2020-04-27T21:56:00Z</dcterms:created>
  <dcterms:modified xsi:type="dcterms:W3CDTF">2020-04-27T21:57:00Z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268;#BANKING MARKET DEVELOPMENT|5f08329b-f2bb-4342-ba75-eb4216b403d4</vt:lpwstr>
  </property>
  <property fmtid="{D5CDD505-2E9C-101B-9397-08002B2CF9AE}" pid="7" name="Country">
    <vt:lpwstr>32;#Ecuador|8f163189-00fa-4e7c-827d-28fb5798781c</vt:lpwstr>
  </property>
  <property fmtid="{D5CDD505-2E9C-101B-9397-08002B2CF9AE}" pid="8" name="_dlc_DocIdItemGuid">
    <vt:lpwstr>734d1e44-2007-4254-8eb1-8a268b3b2463</vt:lpwstr>
  </property>
  <property fmtid="{D5CDD505-2E9C-101B-9397-08002B2CF9AE}" pid="9" name="Fund IDB">
    <vt:lpwstr>30;#ORC|c028a4b2-ad8b-4cf4-9cac-a2ae6a778e23</vt:lpwstr>
  </property>
  <property fmtid="{D5CDD505-2E9C-101B-9397-08002B2CF9AE}" pid="10" name="Sector IDB">
    <vt:lpwstr>108;#FINANCIAL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0x0101001A458A224826124E8B45B1D613300CFC00D4E34C02EA580F4EA7037FB369790BBE</vt:lpwstr>
  </property>
</Properties>
</file>