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GoBack" w:displacedByCustomXml="next"/>
    <w:bookmarkEnd w:id="0" w:displacedByCustomXml="next"/>
    <w:sdt>
      <w:sdtPr>
        <w:rPr>
          <w:lang w:val="es-ES_tradnl"/>
        </w:rPr>
        <w:id w:val="-2042583060"/>
        <w:docPartObj>
          <w:docPartGallery w:val="Cover Pages"/>
          <w:docPartUnique/>
        </w:docPartObj>
      </w:sdtPr>
      <w:sdtEndPr/>
      <w:sdtContent>
        <w:p w14:paraId="104EDD7A" w14:textId="77777777" w:rsidR="00AE17AB" w:rsidRPr="00E83B7E" w:rsidRDefault="00AE17AB" w:rsidP="00AE17AB">
          <w:pPr>
            <w:rPr>
              <w:lang w:val="es-ES_tradnl"/>
            </w:rPr>
          </w:pPr>
        </w:p>
        <w:p w14:paraId="3C93458C" w14:textId="76B81A1A" w:rsidR="00AE17AB" w:rsidRPr="00E83B7E" w:rsidRDefault="00AE17AB" w:rsidP="00AE17AB">
          <w:pPr>
            <w:rPr>
              <w:rFonts w:asciiTheme="majorHAnsi" w:eastAsiaTheme="majorEastAsia" w:hAnsiTheme="majorHAnsi" w:cstheme="majorBidi"/>
              <w:spacing w:val="-10"/>
              <w:kern w:val="28"/>
              <w:sz w:val="56"/>
              <w:szCs w:val="56"/>
              <w:lang w:val="es-ES_tradnl"/>
            </w:rPr>
          </w:pPr>
          <w:r w:rsidRPr="00E83B7E">
            <w:rPr>
              <w:noProof/>
              <w:lang w:val="es-ES_tradnl"/>
            </w:rPr>
            <mc:AlternateContent>
              <mc:Choice Requires="wpg">
                <w:drawing>
                  <wp:anchor distT="0" distB="0" distL="114300" distR="114300" simplePos="0" relativeHeight="251658240" behindDoc="1" locked="0" layoutInCell="1" allowOverlap="1" wp14:anchorId="7C9D8C7E" wp14:editId="4323A879">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6858000" cy="7068185"/>
                    <wp:effectExtent l="0" t="0" r="0" b="0"/>
                    <wp:wrapNone/>
                    <wp:docPr id="125" name="Group 12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858000" cy="7068312"/>
                              <a:chOff x="0" y="0"/>
                              <a:chExt cx="5561330" cy="5404485"/>
                            </a:xfrm>
                          </wpg:grpSpPr>
                          <wps:wsp>
                            <wps:cNvPr id="126" name="Freeform 10"/>
                            <wps:cNvSpPr>
                              <a:spLocks/>
                            </wps:cNvSpPr>
                            <wps:spPr bwMode="auto">
                              <a:xfrm>
                                <a:off x="0" y="0"/>
                                <a:ext cx="5557520" cy="5404485"/>
                              </a:xfrm>
                              <a:custGeom>
                                <a:avLst/>
                                <a:gdLst>
                                  <a:gd name="T0" fmla="*/ 0 w 720"/>
                                  <a:gd name="T1" fmla="*/ 0 h 700"/>
                                  <a:gd name="T2" fmla="*/ 0 w 720"/>
                                  <a:gd name="T3" fmla="*/ 644 h 700"/>
                                  <a:gd name="T4" fmla="*/ 113 w 720"/>
                                  <a:gd name="T5" fmla="*/ 665 h 700"/>
                                  <a:gd name="T6" fmla="*/ 720 w 720"/>
                                  <a:gd name="T7" fmla="*/ 644 h 700"/>
                                  <a:gd name="T8" fmla="*/ 720 w 720"/>
                                  <a:gd name="T9" fmla="*/ 617 h 700"/>
                                  <a:gd name="T10" fmla="*/ 720 w 720"/>
                                  <a:gd name="T11" fmla="*/ 0 h 700"/>
                                  <a:gd name="T12" fmla="*/ 0 w 720"/>
                                  <a:gd name="T13" fmla="*/ 0 h 700"/>
                                </a:gdLst>
                                <a:ahLst/>
                                <a:cxnLst>
                                  <a:cxn ang="0">
                                    <a:pos x="T0" y="T1"/>
                                  </a:cxn>
                                  <a:cxn ang="0">
                                    <a:pos x="T2" y="T3"/>
                                  </a:cxn>
                                  <a:cxn ang="0">
                                    <a:pos x="T4" y="T5"/>
                                  </a:cxn>
                                  <a:cxn ang="0">
                                    <a:pos x="T6" y="T7"/>
                                  </a:cxn>
                                  <a:cxn ang="0">
                                    <a:pos x="T8" y="T9"/>
                                  </a:cxn>
                                  <a:cxn ang="0">
                                    <a:pos x="T10" y="T11"/>
                                  </a:cxn>
                                  <a:cxn ang="0">
                                    <a:pos x="T12" y="T13"/>
                                  </a:cxn>
                                </a:cxnLst>
                                <a:rect l="0" t="0" r="r" b="b"/>
                                <a:pathLst>
                                  <a:path w="720" h="700">
                                    <a:moveTo>
                                      <a:pt x="0" y="0"/>
                                    </a:moveTo>
                                    <a:cubicBezTo>
                                      <a:pt x="0" y="644"/>
                                      <a:pt x="0" y="644"/>
                                      <a:pt x="0" y="644"/>
                                    </a:cubicBezTo>
                                    <a:cubicBezTo>
                                      <a:pt x="23" y="650"/>
                                      <a:pt x="62" y="658"/>
                                      <a:pt x="113" y="665"/>
                                    </a:cubicBezTo>
                                    <a:cubicBezTo>
                                      <a:pt x="250" y="685"/>
                                      <a:pt x="476" y="700"/>
                                      <a:pt x="720" y="644"/>
                                    </a:cubicBezTo>
                                    <a:cubicBezTo>
                                      <a:pt x="720" y="617"/>
                                      <a:pt x="720" y="617"/>
                                      <a:pt x="720" y="617"/>
                                    </a:cubicBezTo>
                                    <a:cubicBezTo>
                                      <a:pt x="720" y="0"/>
                                      <a:pt x="720" y="0"/>
                                      <a:pt x="720" y="0"/>
                                    </a:cubicBezTo>
                                    <a:cubicBezTo>
                                      <a:pt x="0" y="0"/>
                                      <a:pt x="0" y="0"/>
                                      <a:pt x="0" y="0"/>
                                    </a:cubicBezTo>
                                  </a:path>
                                </a:pathLst>
                              </a:custGeom>
                              <a:ln>
                                <a:noFill/>
                              </a:ln>
                            </wps:spPr>
                            <wps:style>
                              <a:lnRef idx="0">
                                <a:scrgbClr r="0" g="0" b="0"/>
                              </a:lnRef>
                              <a:fillRef idx="1003">
                                <a:schemeClr val="dk2"/>
                              </a:fillRef>
                              <a:effectRef idx="0">
                                <a:scrgbClr r="0" g="0" b="0"/>
                              </a:effectRef>
                              <a:fontRef idx="major"/>
                            </wps:style>
                            <wps:txbx>
                              <w:txbxContent>
                                <w:p w14:paraId="0CB2A9E6" w14:textId="1DA22C97" w:rsidR="00AE17AB" w:rsidRPr="005D5E85" w:rsidRDefault="006F6A85" w:rsidP="00AE17AB">
                                  <w:pPr>
                                    <w:rPr>
                                      <w:color w:val="FFFFFF" w:themeColor="background1"/>
                                      <w:sz w:val="72"/>
                                      <w:szCs w:val="72"/>
                                      <w:lang w:val="es-AR"/>
                                    </w:rPr>
                                  </w:pPr>
                                  <w:r>
                                    <w:rPr>
                                      <w:color w:val="FFFFFF" w:themeColor="background1"/>
                                      <w:sz w:val="72"/>
                                      <w:szCs w:val="72"/>
                                      <w:lang w:val="es-AR"/>
                                    </w:rPr>
                                    <w:t>ECUADOR</w:t>
                                  </w:r>
                                  <w:r w:rsidR="00636076">
                                    <w:rPr>
                                      <w:color w:val="FFFFFF" w:themeColor="background1"/>
                                      <w:sz w:val="72"/>
                                      <w:szCs w:val="72"/>
                                      <w:lang w:val="es-AR"/>
                                    </w:rPr>
                                    <w:t>:</w:t>
                                  </w:r>
                                </w:p>
                                <w:p w14:paraId="0E96CD1D" w14:textId="533D9066" w:rsidR="00AE17AB" w:rsidRDefault="00AE17AB" w:rsidP="00AE17AB">
                                  <w:pPr>
                                    <w:rPr>
                                      <w:color w:val="FFFFFF" w:themeColor="background1"/>
                                      <w:sz w:val="72"/>
                                      <w:szCs w:val="72"/>
                                      <w:lang w:val="es-AR"/>
                                    </w:rPr>
                                  </w:pPr>
                                  <w:r w:rsidRPr="00AE17AB">
                                    <w:rPr>
                                      <w:color w:val="FFFFFF" w:themeColor="background1"/>
                                      <w:sz w:val="72"/>
                                      <w:szCs w:val="72"/>
                                      <w:lang w:val="es-AR"/>
                                    </w:rPr>
                                    <w:t>Vulnerabilidad de sectores productivos ante</w:t>
                                  </w:r>
                                  <w:r w:rsidR="00D34DFA">
                                    <w:rPr>
                                      <w:color w:val="FFFFFF" w:themeColor="background1"/>
                                      <w:sz w:val="72"/>
                                      <w:szCs w:val="72"/>
                                      <w:lang w:val="es-AR"/>
                                    </w:rPr>
                                    <w:t xml:space="preserve"> expansión del</w:t>
                                  </w:r>
                                  <w:r w:rsidRPr="00AE17AB">
                                    <w:rPr>
                                      <w:color w:val="FFFFFF" w:themeColor="background1"/>
                                      <w:sz w:val="72"/>
                                      <w:szCs w:val="72"/>
                                      <w:lang w:val="es-AR"/>
                                    </w:rPr>
                                    <w:t xml:space="preserve"> COVID-19 </w:t>
                                  </w:r>
                                </w:p>
                                <w:p w14:paraId="6A9A027A" w14:textId="2E33395F" w:rsidR="00AE17AB" w:rsidRPr="005D5E85" w:rsidRDefault="00AE17AB">
                                  <w:pPr>
                                    <w:rPr>
                                      <w:color w:val="FFFFFF" w:themeColor="background1"/>
                                      <w:sz w:val="72"/>
                                      <w:szCs w:val="72"/>
                                      <w:lang w:val="es-AR"/>
                                    </w:rPr>
                                  </w:pPr>
                                </w:p>
                              </w:txbxContent>
                            </wps:txbx>
                            <wps:bodyPr rot="0" vert="horz" wrap="square" lIns="914400" tIns="1097280" rIns="1097280" bIns="1097280" anchor="b" anchorCtr="0" upright="1">
                              <a:noAutofit/>
                            </wps:bodyPr>
                          </wps:wsp>
                          <wps:wsp>
                            <wps:cNvPr id="127" name="Freeform 11"/>
                            <wps:cNvSpPr>
                              <a:spLocks/>
                            </wps:cNvSpPr>
                            <wps:spPr bwMode="auto">
                              <a:xfrm>
                                <a:off x="876300" y="4769783"/>
                                <a:ext cx="4685030" cy="509905"/>
                              </a:xfrm>
                              <a:custGeom>
                                <a:avLst/>
                                <a:gdLst>
                                  <a:gd name="T0" fmla="*/ 607 w 607"/>
                                  <a:gd name="T1" fmla="*/ 0 h 66"/>
                                  <a:gd name="T2" fmla="*/ 176 w 607"/>
                                  <a:gd name="T3" fmla="*/ 57 h 66"/>
                                  <a:gd name="T4" fmla="*/ 0 w 607"/>
                                  <a:gd name="T5" fmla="*/ 48 h 66"/>
                                  <a:gd name="T6" fmla="*/ 251 w 607"/>
                                  <a:gd name="T7" fmla="*/ 66 h 66"/>
                                  <a:gd name="T8" fmla="*/ 607 w 607"/>
                                  <a:gd name="T9" fmla="*/ 27 h 66"/>
                                  <a:gd name="T10" fmla="*/ 607 w 607"/>
                                  <a:gd name="T11" fmla="*/ 0 h 66"/>
                                </a:gdLst>
                                <a:ahLst/>
                                <a:cxnLst>
                                  <a:cxn ang="0">
                                    <a:pos x="T0" y="T1"/>
                                  </a:cxn>
                                  <a:cxn ang="0">
                                    <a:pos x="T2" y="T3"/>
                                  </a:cxn>
                                  <a:cxn ang="0">
                                    <a:pos x="T4" y="T5"/>
                                  </a:cxn>
                                  <a:cxn ang="0">
                                    <a:pos x="T6" y="T7"/>
                                  </a:cxn>
                                  <a:cxn ang="0">
                                    <a:pos x="T8" y="T9"/>
                                  </a:cxn>
                                  <a:cxn ang="0">
                                    <a:pos x="T10" y="T11"/>
                                  </a:cxn>
                                </a:cxnLst>
                                <a:rect l="0" t="0" r="r" b="b"/>
                                <a:pathLst>
                                  <a:path w="607" h="66">
                                    <a:moveTo>
                                      <a:pt x="607" y="0"/>
                                    </a:moveTo>
                                    <a:cubicBezTo>
                                      <a:pt x="450" y="44"/>
                                      <a:pt x="300" y="57"/>
                                      <a:pt x="176" y="57"/>
                                    </a:cubicBezTo>
                                    <a:cubicBezTo>
                                      <a:pt x="109" y="57"/>
                                      <a:pt x="49" y="53"/>
                                      <a:pt x="0" y="48"/>
                                    </a:cubicBezTo>
                                    <a:cubicBezTo>
                                      <a:pt x="66" y="58"/>
                                      <a:pt x="152" y="66"/>
                                      <a:pt x="251" y="66"/>
                                    </a:cubicBezTo>
                                    <a:cubicBezTo>
                                      <a:pt x="358" y="66"/>
                                      <a:pt x="480" y="56"/>
                                      <a:pt x="607" y="27"/>
                                    </a:cubicBezTo>
                                    <a:cubicBezTo>
                                      <a:pt x="607" y="0"/>
                                      <a:pt x="607" y="0"/>
                                      <a:pt x="607" y="0"/>
                                    </a:cubicBezTo>
                                  </a:path>
                                </a:pathLst>
                              </a:custGeom>
                              <a:solidFill>
                                <a:schemeClr val="bg1">
                                  <a:alpha val="3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b" anchorCtr="0" upright="1">
                              <a:noAutofit/>
                            </wps:bodyPr>
                          </wps:wsp>
                        </wpg:wgp>
                      </a:graphicData>
                    </a:graphic>
                    <wp14:sizeRelH relativeFrom="margin">
                      <wp14:pctWidth>115400</wp14:pctWidth>
                    </wp14:sizeRelH>
                    <wp14:sizeRelV relativeFrom="page">
                      <wp14:pctHeight>0</wp14:pctHeight>
                    </wp14:sizeRelV>
                  </wp:anchor>
                </w:drawing>
              </mc:Choice>
              <mc:Fallback>
                <w:pict>
                  <v:group w14:anchorId="7C9D8C7E" id="Group 125" o:spid="_x0000_s1026" style="position:absolute;margin-left:0;margin-top:0;width:540pt;height:556.55pt;z-index:-251658240;mso-width-percent:1154;mso-top-percent:45;mso-position-horizontal:center;mso-position-horizontal-relative:margin;mso-position-vertical-relative:page;mso-width-percent:1154;mso-top-percent:45;mso-width-relative:margin" coordsize="55613,54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">
                    <o:lock v:ext="edit" aspectratio="t"/>
                    <v:shape id="Freeform 10" o:spid="_x0000_s1027" style="position:absolute;width:55575;height:54044;visibility:visible;mso-wrap-style:square;v-text-anchor:bottom" coordsize="720,7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" adj="-11796480,,5400" path="m,c,644,,644,,644v23,6,62,14,113,21c250,685,476,700,720,644v,-27,,-27,,-27c720,,720,,720,,,,,,,e" fillcolor="#4d5f78 [2994]" stroked="f">
                      <v:fill color2="#2a3442 [2018]" rotate="t" colors="0 #5d6d85;.5 #485972;1 #334258" focus="100%" type="gradient">
                        <o:fill v:ext="view" type="gradientUnscaled"/>
                      </v:fill>
                      <v:stroke joinstyle="miter"/>
                      <v:formulas/>
                      <v:path arrowok="t" o:connecttype="custom" o:connectlocs="0,0;0,4972126;872222,5134261;5557520,4972126;5557520,4763667;5557520,0;0,0" o:connectangles="0,0,0,0,0,0,0" textboxrect="0,0,720,700"/>
                      <v:textbox inset="1in,86.4pt,86.4pt,86.4pt">
                        <w:txbxContent>
                          <w:p w14:paraId="0CB2A9E6" w14:textId="1DA22C97" w:rsidR="00AE17AB" w:rsidRPr="005D5E85" w:rsidRDefault="006F6A85" w:rsidP="00AE17AB">
                            <w:pPr>
                              <w:rPr>
                                <w:color w:val="FFFFFF" w:themeColor="background1"/>
                                <w:sz w:val="72"/>
                                <w:szCs w:val="72"/>
                                <w:lang w:val="es-AR"/>
                              </w:rPr>
                            </w:pPr>
                            <w:r>
                              <w:rPr>
                                <w:color w:val="FFFFFF" w:themeColor="background1"/>
                                <w:sz w:val="72"/>
                                <w:szCs w:val="72"/>
                                <w:lang w:val="es-AR"/>
                              </w:rPr>
                              <w:t>ECUADOR</w:t>
                            </w:r>
                            <w:r w:rsidR="00636076">
                              <w:rPr>
                                <w:color w:val="FFFFFF" w:themeColor="background1"/>
                                <w:sz w:val="72"/>
                                <w:szCs w:val="72"/>
                                <w:lang w:val="es-AR"/>
                              </w:rPr>
                              <w:t>:</w:t>
                            </w:r>
                          </w:p>
                          <w:p w14:paraId="0E96CD1D" w14:textId="533D9066" w:rsidR="00AE17AB" w:rsidRDefault="00AE17AB" w:rsidP="00AE17AB">
                            <w:pPr>
                              <w:rPr>
                                <w:color w:val="FFFFFF" w:themeColor="background1"/>
                                <w:sz w:val="72"/>
                                <w:szCs w:val="72"/>
                                <w:lang w:val="es-AR"/>
                              </w:rPr>
                            </w:pPr>
                            <w:r w:rsidRPr="00AE17AB">
                              <w:rPr>
                                <w:color w:val="FFFFFF" w:themeColor="background1"/>
                                <w:sz w:val="72"/>
                                <w:szCs w:val="72"/>
                                <w:lang w:val="es-AR"/>
                              </w:rPr>
                              <w:t>Vulnerabilidad de sectores productivos ante</w:t>
                            </w:r>
                            <w:r w:rsidR="00D34DFA">
                              <w:rPr>
                                <w:color w:val="FFFFFF" w:themeColor="background1"/>
                                <w:sz w:val="72"/>
                                <w:szCs w:val="72"/>
                                <w:lang w:val="es-AR"/>
                              </w:rPr>
                              <w:t xml:space="preserve"> expansión del</w:t>
                            </w:r>
                            <w:r w:rsidRPr="00AE17AB">
                              <w:rPr>
                                <w:color w:val="FFFFFF" w:themeColor="background1"/>
                                <w:sz w:val="72"/>
                                <w:szCs w:val="72"/>
                                <w:lang w:val="es-AR"/>
                              </w:rPr>
                              <w:t xml:space="preserve"> COVID-19 </w:t>
                            </w:r>
                          </w:p>
                          <w:p w14:paraId="6A9A027A" w14:textId="2E33395F" w:rsidR="00AE17AB" w:rsidRPr="005D5E85" w:rsidRDefault="00AE17AB">
                            <w:pPr>
                              <w:rPr>
                                <w:color w:val="FFFFFF" w:themeColor="background1"/>
                                <w:sz w:val="72"/>
                                <w:szCs w:val="72"/>
                                <w:lang w:val="es-AR"/>
                              </w:rPr>
                            </w:pPr>
                          </w:p>
                        </w:txbxContent>
                      </v:textbox>
                    </v:shape>
                    <v:shape id="Freeform 11" o:spid="_x0000_s1028" style="position:absolute;left:8763;top:47697;width:46850;height:5099;visibility:visible;mso-wrap-style:square;v-text-anchor:bottom" coordsize="60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" path="m607,c450,44,300,57,176,57,109,57,49,53,,48,66,58,152,66,251,66,358,66,480,56,607,27,607,,607,,607,e" fillcolor="white [3212]" stroked="f">
                      <v:fill opacity="19789f"/>
                      <v:path arrowok="t" o:connecttype="custom" o:connectlocs="4685030,0;1358427,440373;0,370840;1937302,509905;4685030,208598;4685030,0" o:connectangles="0,0,0,0,0,0"/>
                    </v:shape>
                    <w10:wrap anchorx="margin" anchory="page"/>
                  </v:group>
                </w:pict>
              </mc:Fallback>
            </mc:AlternateContent>
          </w:r>
          <w:r w:rsidRPr="00E83B7E">
            <w:rPr>
              <w:noProof/>
              <w:lang w:val="es-ES_tradnl"/>
            </w:rPr>
            <mc:AlternateContent>
              <mc:Choice Requires="wps">
                <w:drawing>
                  <wp:anchor distT="0" distB="0" distL="114300" distR="114300" simplePos="0" relativeHeight="251658242" behindDoc="0" locked="0" layoutInCell="1" allowOverlap="1" wp14:anchorId="4A02F69C" wp14:editId="6EBB918A">
                    <wp:simplePos x="0" y="0"/>
                    <wp:positionH relativeFrom="page">
                      <wp:align>center</wp:align>
                    </wp:positionH>
                    <wp:positionV relativeFrom="margin">
                      <wp:align>bottom</wp:align>
                    </wp:positionV>
                    <wp:extent cx="5753100" cy="146304"/>
                    <wp:effectExtent l="0" t="0" r="0" b="5715"/>
                    <wp:wrapSquare wrapText="bothSides"/>
                    <wp:docPr id="128" name="Text Box 128"/>
                    <wp:cNvGraphicFramePr/>
                    <a:graphic xmlns:a="http://schemas.openxmlformats.org/drawingml/2006/main">
                      <a:graphicData uri="http://schemas.microsoft.com/office/word/2010/wordprocessingShape">
                        <wps:wsp>
                          <wps:cNvSpPr txBox="1"/>
                          <wps:spPr>
                            <a:xfrm>
                              <a:off x="0" y="0"/>
                              <a:ext cx="5753100" cy="1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AA2ADBE" w14:textId="77777777" w:rsidR="00AE17AB" w:rsidRPr="00BF5C4A" w:rsidRDefault="00CA4C20" w:rsidP="00AE17AB">
                                <w:pPr>
                                  <w:pStyle w:val="NoSpacing"/>
                                  <w:rPr>
                                    <w:color w:val="7F7F7F" w:themeColor="text1" w:themeTint="80"/>
                                    <w:sz w:val="18"/>
                                    <w:szCs w:val="18"/>
                                    <w:lang w:val="es-AR"/>
                                  </w:rPr>
                                </w:pPr>
                                <w:sdt>
                                  <w:sdtPr>
                                    <w:rPr>
                                      <w:caps/>
                                      <w:color w:val="7F7F7F" w:themeColor="text1" w:themeTint="80"/>
                                      <w:sz w:val="18"/>
                                      <w:szCs w:val="18"/>
                                      <w:lang w:val="es-AR"/>
                                    </w:rPr>
                                    <w:alias w:val="Company"/>
                                    <w:tag w:val=""/>
                                    <w:id w:val="-1880927279"/>
                                    <w:showingPlcHdr/>
                                    <w:dataBinding w:prefixMappings="xmlns:ns0='http://schemas.openxmlformats.org/officeDocument/2006/extended-properties' " w:xpath="/ns0:Properties[1]/ns0:Company[1]" w:storeItemID="{6668398D-A668-4E3E-A5EB-62B293D839F1}"/>
                                    <w:text/>
                                  </w:sdtPr>
                                  <w:sdtEndPr/>
                                  <w:sdtContent>
                                    <w:r w:rsidR="00AE17AB">
                                      <w:rPr>
                                        <w:caps/>
                                        <w:color w:val="7F7F7F" w:themeColor="text1" w:themeTint="80"/>
                                        <w:sz w:val="18"/>
                                        <w:szCs w:val="18"/>
                                        <w:lang w:val="es-AR"/>
                                      </w:rPr>
                                      <w:t xml:space="preserve">     </w:t>
                                    </w:r>
                                  </w:sdtContent>
                                </w:sdt>
                                <w:r w:rsidR="00AE17AB" w:rsidRPr="00BF5C4A">
                                  <w:rPr>
                                    <w:caps/>
                                    <w:color w:val="7F7F7F" w:themeColor="text1" w:themeTint="80"/>
                                    <w:sz w:val="18"/>
                                    <w:szCs w:val="18"/>
                                    <w:lang w:val="es-AR"/>
                                  </w:rPr>
                                  <w:t> </w:t>
                                </w:r>
                                <w:r w:rsidR="00AE17AB" w:rsidRPr="00BF5C4A">
                                  <w:rPr>
                                    <w:color w:val="7F7F7F" w:themeColor="text1" w:themeTint="80"/>
                                    <w:sz w:val="18"/>
                                    <w:szCs w:val="18"/>
                                    <w:lang w:val="es-AR"/>
                                  </w:rPr>
                                  <w:t>| </w:t>
                                </w:r>
                                <w:sdt>
                                  <w:sdtPr>
                                    <w:rPr>
                                      <w:color w:val="7F7F7F" w:themeColor="text1" w:themeTint="80"/>
                                      <w:sz w:val="18"/>
                                      <w:szCs w:val="18"/>
                                      <w:lang w:val="es-AR"/>
                                    </w:rPr>
                                    <w:alias w:val="Address"/>
                                    <w:tag w:val=""/>
                                    <w:id w:val="-1023088507"/>
                                    <w:showingPlcHdr/>
                                    <w:dataBinding w:prefixMappings="xmlns:ns0='http://schemas.microsoft.com/office/2006/coverPageProps' " w:xpath="/ns0:CoverPageProperties[1]/ns0:CompanyAddress[1]" w:storeItemID="{55AF091B-3C7A-41E3-B477-F2FDAA23CFDA}"/>
                                    <w:text/>
                                  </w:sdtPr>
                                  <w:sdtEndPr/>
                                  <w:sdtContent>
                                    <w:r w:rsidR="00AE17AB">
                                      <w:rPr>
                                        <w:color w:val="7F7F7F" w:themeColor="text1" w:themeTint="80"/>
                                        <w:sz w:val="18"/>
                                        <w:szCs w:val="18"/>
                                        <w:lang w:val="es-AR"/>
                                      </w:rPr>
                                      <w:t xml:space="preserve">     </w:t>
                                    </w:r>
                                  </w:sdtContent>
                                </w:sdt>
                              </w:p>
                            </w:txbxContent>
                          </wps:txbx>
                          <wps:bodyPr rot="0" spcFirstLastPara="0" vertOverflow="overflow" horzOverflow="overflow" vert="horz" wrap="square" lIns="914400" tIns="0" rIns="1097280" bIns="0" numCol="1" spcCol="0" rtlCol="0" fromWordArt="0" anchor="b"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type w14:anchorId="4A02F69C" id="_x0000_t202" coordsize="21600,21600" o:spt="202" path="m,l,21600r21600,l21600,xe">
                    <v:stroke joinstyle="miter"/>
                    <v:path gradientshapeok="t" o:connecttype="rect"/>
                  </v:shapetype>
                  <v:shape id="Text Box 128" o:spid="_x0000_s1029" type="#_x0000_t202" style="position:absolute;margin-left:0;margin-top:0;width:453pt;height:11.5pt;z-index:251658242;visibility:visible;mso-wrap-style:square;mso-width-percent:1154;mso-height-percent:0;mso-wrap-distance-left:9pt;mso-wrap-distance-top:0;mso-wrap-distance-right:9pt;mso-wrap-distance-bottom:0;mso-position-horizontal:center;mso-position-horizontal-relative:page;mso-position-vertical:bottom;mso-position-vertical-relative:margin;mso-width-percent:1154;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" filled="f" stroked="f" strokeweight=".5pt">
                    <v:textbox style="mso-fit-shape-to-text:t" inset="1in,0,86.4pt,0">
                      <w:txbxContent>
                        <w:p w14:paraId="7AA2ADBE" w14:textId="77777777" w:rsidR="00AE17AB" w:rsidRPr="00BF5C4A" w:rsidRDefault="00CA4C20" w:rsidP="00AE17AB">
                          <w:pPr>
                            <w:pStyle w:val="NoSpacing"/>
                            <w:rPr>
                              <w:color w:val="7F7F7F" w:themeColor="text1" w:themeTint="80"/>
                              <w:sz w:val="18"/>
                              <w:szCs w:val="18"/>
                              <w:lang w:val="es-AR"/>
                            </w:rPr>
                          </w:pPr>
                          <w:sdt>
                            <w:sdtPr>
                              <w:rPr>
                                <w:caps/>
                                <w:color w:val="7F7F7F" w:themeColor="text1" w:themeTint="80"/>
                                <w:sz w:val="18"/>
                                <w:szCs w:val="18"/>
                                <w:lang w:val="es-AR"/>
                              </w:rPr>
                              <w:alias w:val="Company"/>
                              <w:tag w:val=""/>
                              <w:id w:val="-1880927279"/>
                              <w:showingPlcHdr/>
                              <w:dataBinding w:prefixMappings="xmlns:ns0='http://schemas.openxmlformats.org/officeDocument/2006/extended-properties' " w:xpath="/ns0:Properties[1]/ns0:Company[1]" w:storeItemID="{6668398D-A668-4E3E-A5EB-62B293D839F1}"/>
                              <w:text/>
                            </w:sdtPr>
                            <w:sdtEndPr/>
                            <w:sdtContent>
                              <w:r w:rsidR="00AE17AB">
                                <w:rPr>
                                  <w:caps/>
                                  <w:color w:val="7F7F7F" w:themeColor="text1" w:themeTint="80"/>
                                  <w:sz w:val="18"/>
                                  <w:szCs w:val="18"/>
                                  <w:lang w:val="es-AR"/>
                                </w:rPr>
                                <w:t xml:space="preserve">     </w:t>
                              </w:r>
                            </w:sdtContent>
                          </w:sdt>
                          <w:r w:rsidR="00AE17AB" w:rsidRPr="00BF5C4A">
                            <w:rPr>
                              <w:caps/>
                              <w:color w:val="7F7F7F" w:themeColor="text1" w:themeTint="80"/>
                              <w:sz w:val="18"/>
                              <w:szCs w:val="18"/>
                              <w:lang w:val="es-AR"/>
                            </w:rPr>
                            <w:t> </w:t>
                          </w:r>
                          <w:r w:rsidR="00AE17AB" w:rsidRPr="00BF5C4A">
                            <w:rPr>
                              <w:color w:val="7F7F7F" w:themeColor="text1" w:themeTint="80"/>
                              <w:sz w:val="18"/>
                              <w:szCs w:val="18"/>
                              <w:lang w:val="es-AR"/>
                            </w:rPr>
                            <w:t>| </w:t>
                          </w:r>
                          <w:sdt>
                            <w:sdtPr>
                              <w:rPr>
                                <w:color w:val="7F7F7F" w:themeColor="text1" w:themeTint="80"/>
                                <w:sz w:val="18"/>
                                <w:szCs w:val="18"/>
                                <w:lang w:val="es-AR"/>
                              </w:rPr>
                              <w:alias w:val="Address"/>
                              <w:tag w:val=""/>
                              <w:id w:val="-1023088507"/>
                              <w:showingPlcHdr/>
                              <w:dataBinding w:prefixMappings="xmlns:ns0='http://schemas.microsoft.com/office/2006/coverPageProps' " w:xpath="/ns0:CoverPageProperties[1]/ns0:CompanyAddress[1]" w:storeItemID="{55AF091B-3C7A-41E3-B477-F2FDAA23CFDA}"/>
                              <w:text/>
                            </w:sdtPr>
                            <w:sdtEndPr/>
                            <w:sdtContent>
                              <w:r w:rsidR="00AE17AB">
                                <w:rPr>
                                  <w:color w:val="7F7F7F" w:themeColor="text1" w:themeTint="80"/>
                                  <w:sz w:val="18"/>
                                  <w:szCs w:val="18"/>
                                  <w:lang w:val="es-AR"/>
                                </w:rPr>
                                <w:t xml:space="preserve">     </w:t>
                              </w:r>
                            </w:sdtContent>
                          </w:sdt>
                        </w:p>
                      </w:txbxContent>
                    </v:textbox>
                    <w10:wrap type="square" anchorx="page" anchory="margin"/>
                  </v:shape>
                </w:pict>
              </mc:Fallback>
            </mc:AlternateContent>
          </w:r>
          <w:r w:rsidRPr="00E83B7E">
            <w:rPr>
              <w:noProof/>
              <w:lang w:val="es-ES_tradnl"/>
            </w:rPr>
            <mc:AlternateContent>
              <mc:Choice Requires="wps">
                <w:drawing>
                  <wp:anchor distT="0" distB="0" distL="114300" distR="114300" simplePos="0" relativeHeight="251658241" behindDoc="0" locked="0" layoutInCell="1" allowOverlap="1" wp14:anchorId="2CCB574A" wp14:editId="0FE08AFA">
                    <wp:simplePos x="0" y="0"/>
                    <wp:positionH relativeFrom="page">
                      <wp:align>center</wp:align>
                    </wp:positionH>
                    <mc:AlternateContent>
                      <mc:Choice Requires="wp14">
                        <wp:positionV relativeFrom="page">
                          <wp14:pctPosVOffset>79000</wp14:pctPosVOffset>
                        </wp:positionV>
                      </mc:Choice>
                      <mc:Fallback>
                        <wp:positionV relativeFrom="page">
                          <wp:posOffset>7945755</wp:posOffset>
                        </wp:positionV>
                      </mc:Fallback>
                    </mc:AlternateContent>
                    <wp:extent cx="5753100" cy="484632"/>
                    <wp:effectExtent l="0" t="0" r="0" b="7620"/>
                    <wp:wrapSquare wrapText="bothSides"/>
                    <wp:docPr id="129" name="Text Box 129"/>
                    <wp:cNvGraphicFramePr/>
                    <a:graphic xmlns:a="http://schemas.openxmlformats.org/drawingml/2006/main">
                      <a:graphicData uri="http://schemas.microsoft.com/office/word/2010/wordprocessingShape">
                        <wps:wsp>
                          <wps:cNvSpPr txBox="1"/>
                          <wps:spPr>
                            <a:xfrm>
                              <a:off x="0" y="0"/>
                              <a:ext cx="5753100" cy="48463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5CC0133" w14:textId="77777777" w:rsidR="00AE17AB" w:rsidRDefault="00AE17AB" w:rsidP="00AE17AB">
                                <w:pPr>
                                  <w:pStyle w:val="NoSpacing"/>
                                  <w:spacing w:before="40" w:after="40"/>
                                  <w:rPr>
                                    <w:caps/>
                                    <w:color w:val="4472C4" w:themeColor="accent1"/>
                                    <w:sz w:val="28"/>
                                    <w:szCs w:val="28"/>
                                  </w:rPr>
                                </w:pPr>
                              </w:p>
                              <w:sdt>
                                <w:sdtPr>
                                  <w:rPr>
                                    <w:caps/>
                                    <w:color w:val="5B9BD5" w:themeColor="accent5"/>
                                    <w:sz w:val="24"/>
                                    <w:szCs w:val="24"/>
                                  </w:rPr>
                                  <w:alias w:val="Author"/>
                                  <w:tag w:val=""/>
                                  <w:id w:val="-954487662"/>
                                  <w:dataBinding w:prefixMappings="xmlns:ns0='http://purl.org/dc/elements/1.1/' xmlns:ns1='http://schemas.openxmlformats.org/package/2006/metadata/core-properties' " w:xpath="/ns1:coreProperties[1]/ns0:creator[1]" w:storeItemID="{6C3C8BC8-F283-45AE-878A-BAB7291924A1}"/>
                                  <w:text/>
                                </w:sdtPr>
                                <w:sdtEndPr/>
                                <w:sdtContent>
                                  <w:p w14:paraId="4E56BD52" w14:textId="14F0A735" w:rsidR="00AE17AB" w:rsidRPr="00A5757F" w:rsidRDefault="003A6D81" w:rsidP="00AE17AB">
                                    <w:pPr>
                                      <w:pStyle w:val="NoSpacing"/>
                                      <w:spacing w:before="40" w:after="40"/>
                                      <w:rPr>
                                        <w:caps/>
                                        <w:color w:val="5B9BD5" w:themeColor="accent5"/>
                                        <w:sz w:val="24"/>
                                        <w:szCs w:val="24"/>
                                      </w:rPr>
                                    </w:pPr>
                                    <w:r w:rsidRPr="003A6D81">
                                      <w:rPr>
                                        <w:caps/>
                                        <w:color w:val="5B9BD5" w:themeColor="accent5"/>
                                        <w:sz w:val="24"/>
                                        <w:szCs w:val="24"/>
                                      </w:rPr>
                                      <w:t xml:space="preserve">m. Carmen Fernández díez (IFD/CMF), Alejandro TÁmola (IFD/CMF), Alexander vasa (IFD/CMF), Jean Paul Armijos (INE/TSP), Marisol </w:t>
                                    </w:r>
                                    <w:r w:rsidR="00E83B7E" w:rsidRPr="003A6D81">
                                      <w:rPr>
                                        <w:caps/>
                                        <w:color w:val="5B9BD5" w:themeColor="accent5"/>
                                        <w:sz w:val="24"/>
                                        <w:szCs w:val="24"/>
                                      </w:rPr>
                                      <w:t>INURRITEGUI (</w:t>
                                    </w:r>
                                    <w:r w:rsidRPr="003A6D81">
                                      <w:rPr>
                                        <w:caps/>
                                        <w:color w:val="5B9BD5" w:themeColor="accent5"/>
                                        <w:sz w:val="24"/>
                                        <w:szCs w:val="24"/>
                                      </w:rPr>
                                      <w:t>CSD/RND), Adela Moreda (CSD/RND) y Jorge Luis Pantoja (INT/TIN)</w:t>
                                    </w:r>
                                  </w:p>
                                </w:sdtContent>
                              </w:sdt>
                            </w:txbxContent>
                          </wps:txbx>
                          <wps:bodyPr rot="0" spcFirstLastPara="0" vertOverflow="overflow" horzOverflow="overflow" vert="horz" wrap="square" lIns="914400" tIns="0" rIns="1097280" bIns="0" numCol="1" spcCol="0" rtlCol="0" fromWordArt="0" anchor="t"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 w14:anchorId="2CCB574A" id="Text Box 129" o:spid="_x0000_s1030" type="#_x0000_t202" style="position:absolute;margin-left:0;margin-top:0;width:453pt;height:38.15pt;z-index:251658241;visibility:visible;mso-wrap-style:square;mso-width-percent:1154;mso-height-percent:0;mso-top-percent:790;mso-wrap-distance-left:9pt;mso-wrap-distance-top:0;mso-wrap-distance-right:9pt;mso-wrap-distance-bottom:0;mso-position-horizontal:center;mso-position-horizontal-relative:page;mso-position-vertical-relative:page;mso-width-percent:1154;mso-height-percent:0;mso-top-percent:79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" filled="f" stroked="f" strokeweight=".5pt">
                    <v:textbox style="mso-fit-shape-to-text:t" inset="1in,0,86.4pt,0">
                      <w:txbxContent>
                        <w:p w14:paraId="15CC0133" w14:textId="77777777" w:rsidR="00AE17AB" w:rsidRDefault="00AE17AB" w:rsidP="00AE17AB">
                          <w:pPr>
                            <w:pStyle w:val="NoSpacing"/>
                            <w:spacing w:before="40" w:after="40"/>
                            <w:rPr>
                              <w:caps/>
                              <w:color w:val="4472C4" w:themeColor="accent1"/>
                              <w:sz w:val="28"/>
                              <w:szCs w:val="28"/>
                            </w:rPr>
                          </w:pPr>
                        </w:p>
                        <w:sdt>
                          <w:sdtPr>
                            <w:rPr>
                              <w:caps/>
                              <w:color w:val="5B9BD5" w:themeColor="accent5"/>
                              <w:sz w:val="24"/>
                              <w:szCs w:val="24"/>
                            </w:rPr>
                            <w:alias w:val="Author"/>
                            <w:tag w:val=""/>
                            <w:id w:val="-954487662"/>
                            <w:dataBinding w:prefixMappings="xmlns:ns0='http://purl.org/dc/elements/1.1/' xmlns:ns1='http://schemas.openxmlformats.org/package/2006/metadata/core-properties' " w:xpath="/ns1:coreProperties[1]/ns0:creator[1]" w:storeItemID="{6C3C8BC8-F283-45AE-878A-BAB7291924A1}"/>
                            <w:text/>
                          </w:sdtPr>
                          <w:sdtEndPr/>
                          <w:sdtContent>
                            <w:p w14:paraId="4E56BD52" w14:textId="14F0A735" w:rsidR="00AE17AB" w:rsidRPr="00A5757F" w:rsidRDefault="003A6D81" w:rsidP="00AE17AB">
                              <w:pPr>
                                <w:pStyle w:val="NoSpacing"/>
                                <w:spacing w:before="40" w:after="40"/>
                                <w:rPr>
                                  <w:caps/>
                                  <w:color w:val="5B9BD5" w:themeColor="accent5"/>
                                  <w:sz w:val="24"/>
                                  <w:szCs w:val="24"/>
                                </w:rPr>
                              </w:pPr>
                              <w:r w:rsidRPr="003A6D81">
                                <w:rPr>
                                  <w:caps/>
                                  <w:color w:val="5B9BD5" w:themeColor="accent5"/>
                                  <w:sz w:val="24"/>
                                  <w:szCs w:val="24"/>
                                </w:rPr>
                                <w:t xml:space="preserve">m. Carmen Fernández díez (IFD/CMF), Alejandro TÁmola (IFD/CMF), Alexander vasa (IFD/CMF), Jean Paul Armijos (INE/TSP), Marisol </w:t>
                              </w:r>
                              <w:r w:rsidR="00E83B7E" w:rsidRPr="003A6D81">
                                <w:rPr>
                                  <w:caps/>
                                  <w:color w:val="5B9BD5" w:themeColor="accent5"/>
                                  <w:sz w:val="24"/>
                                  <w:szCs w:val="24"/>
                                </w:rPr>
                                <w:t>INURRITEGUI (</w:t>
                              </w:r>
                              <w:r w:rsidRPr="003A6D81">
                                <w:rPr>
                                  <w:caps/>
                                  <w:color w:val="5B9BD5" w:themeColor="accent5"/>
                                  <w:sz w:val="24"/>
                                  <w:szCs w:val="24"/>
                                </w:rPr>
                                <w:t>CSD/RND), Adela Moreda (CSD/RND) y Jorge Luis Pantoja (INT/TIN)</w:t>
                              </w:r>
                            </w:p>
                          </w:sdtContent>
                        </w:sdt>
                      </w:txbxContent>
                    </v:textbox>
                    <w10:wrap type="square" anchorx="page" anchory="page"/>
                  </v:shape>
                </w:pict>
              </mc:Fallback>
            </mc:AlternateContent>
          </w:r>
          <w:r w:rsidRPr="00E83B7E">
            <w:rPr>
              <w:lang w:val="es-ES_tradnl"/>
            </w:rPr>
            <w:br w:type="page"/>
          </w:r>
        </w:p>
      </w:sdtContent>
    </w:sdt>
    <w:sdt>
      <w:sdtPr>
        <w:rPr>
          <w:rFonts w:asciiTheme="minorHAnsi" w:eastAsiaTheme="minorHAnsi" w:hAnsiTheme="minorHAnsi" w:cstheme="minorBidi"/>
          <w:color w:val="auto"/>
          <w:sz w:val="22"/>
          <w:szCs w:val="22"/>
          <w:lang w:val="es-ES_tradnl"/>
        </w:rPr>
        <w:id w:val="2027203165"/>
        <w:docPartObj>
          <w:docPartGallery w:val="Table of Contents"/>
          <w:docPartUnique/>
        </w:docPartObj>
      </w:sdtPr>
      <w:sdtEndPr>
        <w:rPr>
          <w:b/>
          <w:bCs/>
        </w:rPr>
      </w:sdtEndPr>
      <w:sdtContent>
        <w:p w14:paraId="78DFD67C" w14:textId="77777777" w:rsidR="00AE17AB" w:rsidRPr="00E83B7E" w:rsidRDefault="00AE17AB" w:rsidP="00AE17AB">
          <w:pPr>
            <w:pStyle w:val="TOCHeading"/>
            <w:jc w:val="center"/>
            <w:rPr>
              <w:lang w:val="es-ES_tradnl"/>
            </w:rPr>
          </w:pPr>
          <w:r w:rsidRPr="00E83B7E">
            <w:rPr>
              <w:lang w:val="es-ES_tradnl"/>
            </w:rPr>
            <w:t>Índice</w:t>
          </w:r>
        </w:p>
        <w:p w14:paraId="6B35BA97" w14:textId="197C1C12" w:rsidR="00D316B0" w:rsidRPr="00E83B7E" w:rsidRDefault="00AE17AB">
          <w:pPr>
            <w:pStyle w:val="TOC1"/>
            <w:tabs>
              <w:tab w:val="right" w:leader="dot" w:pos="9350"/>
            </w:tabs>
            <w:rPr>
              <w:rFonts w:eastAsiaTheme="minorEastAsia"/>
              <w:lang w:val="es-ES_tradnl"/>
            </w:rPr>
          </w:pPr>
          <w:r w:rsidRPr="00E83B7E">
            <w:rPr>
              <w:lang w:val="es-ES_tradnl"/>
            </w:rPr>
            <w:fldChar w:fldCharType="begin"/>
          </w:r>
          <w:r w:rsidRPr="00E83B7E">
            <w:rPr>
              <w:lang w:val="es-ES_tradnl"/>
            </w:rPr>
            <w:instrText xml:space="preserve"> TOC \o "1-3" \h \z \u </w:instrText>
          </w:r>
          <w:r w:rsidRPr="00E83B7E">
            <w:rPr>
              <w:lang w:val="es-ES_tradnl"/>
            </w:rPr>
            <w:fldChar w:fldCharType="separate"/>
          </w:r>
          <w:hyperlink w:anchor="_Toc36834034" w:history="1">
            <w:r w:rsidR="00D316B0" w:rsidRPr="00E83B7E">
              <w:rPr>
                <w:rStyle w:val="Hyperlink"/>
                <w:lang w:val="es-ES_tradnl"/>
              </w:rPr>
              <w:t>Siglas y acrónimos</w:t>
            </w:r>
            <w:r w:rsidR="00D316B0" w:rsidRPr="00E83B7E">
              <w:rPr>
                <w:webHidden/>
                <w:lang w:val="es-ES_tradnl"/>
              </w:rPr>
              <w:tab/>
            </w:r>
            <w:r w:rsidR="00D316B0" w:rsidRPr="00E83B7E">
              <w:rPr>
                <w:webHidden/>
                <w:lang w:val="es-ES_tradnl"/>
              </w:rPr>
              <w:fldChar w:fldCharType="begin"/>
            </w:r>
            <w:r w:rsidR="00D316B0" w:rsidRPr="00E83B7E">
              <w:rPr>
                <w:webHidden/>
                <w:lang w:val="es-ES_tradnl"/>
              </w:rPr>
              <w:instrText xml:space="preserve"> PAGEREF _Toc36834034 \h </w:instrText>
            </w:r>
            <w:r w:rsidR="00D316B0" w:rsidRPr="00E83B7E">
              <w:rPr>
                <w:webHidden/>
                <w:lang w:val="es-ES_tradnl"/>
              </w:rPr>
            </w:r>
            <w:r w:rsidR="00D316B0" w:rsidRPr="00E83B7E">
              <w:rPr>
                <w:webHidden/>
                <w:lang w:val="es-ES_tradnl"/>
              </w:rPr>
              <w:fldChar w:fldCharType="separate"/>
            </w:r>
            <w:r w:rsidR="00D316B0" w:rsidRPr="00E83B7E">
              <w:rPr>
                <w:webHidden/>
                <w:lang w:val="es-ES_tradnl"/>
              </w:rPr>
              <w:t>3</w:t>
            </w:r>
            <w:r w:rsidR="00D316B0" w:rsidRPr="00E83B7E">
              <w:rPr>
                <w:webHidden/>
                <w:lang w:val="es-ES_tradnl"/>
              </w:rPr>
              <w:fldChar w:fldCharType="end"/>
            </w:r>
          </w:hyperlink>
        </w:p>
        <w:p w14:paraId="07441E9B" w14:textId="3454BE80" w:rsidR="00D316B0" w:rsidRPr="00E83B7E" w:rsidRDefault="00CA4C20">
          <w:pPr>
            <w:pStyle w:val="TOC1"/>
            <w:tabs>
              <w:tab w:val="right" w:leader="dot" w:pos="9350"/>
            </w:tabs>
            <w:rPr>
              <w:rFonts w:eastAsiaTheme="minorEastAsia"/>
              <w:lang w:val="es-ES_tradnl"/>
            </w:rPr>
          </w:pPr>
          <w:hyperlink w:anchor="_Toc36834035" w:history="1">
            <w:r w:rsidR="00D316B0" w:rsidRPr="00E83B7E">
              <w:rPr>
                <w:rStyle w:val="Hyperlink"/>
                <w:lang w:val="es-ES_tradnl"/>
              </w:rPr>
              <w:t>Resumen ejecutivo</w:t>
            </w:r>
            <w:r w:rsidR="00D316B0" w:rsidRPr="00E83B7E">
              <w:rPr>
                <w:webHidden/>
                <w:lang w:val="es-ES_tradnl"/>
              </w:rPr>
              <w:tab/>
            </w:r>
            <w:r w:rsidR="00D316B0" w:rsidRPr="00E83B7E">
              <w:rPr>
                <w:webHidden/>
                <w:lang w:val="es-ES_tradnl"/>
              </w:rPr>
              <w:fldChar w:fldCharType="begin"/>
            </w:r>
            <w:r w:rsidR="00D316B0" w:rsidRPr="00E83B7E">
              <w:rPr>
                <w:webHidden/>
                <w:lang w:val="es-ES_tradnl"/>
              </w:rPr>
              <w:instrText xml:space="preserve"> PAGEREF _Toc36834035 \h </w:instrText>
            </w:r>
            <w:r w:rsidR="00D316B0" w:rsidRPr="00E83B7E">
              <w:rPr>
                <w:webHidden/>
                <w:lang w:val="es-ES_tradnl"/>
              </w:rPr>
            </w:r>
            <w:r w:rsidR="00D316B0" w:rsidRPr="00E83B7E">
              <w:rPr>
                <w:webHidden/>
                <w:lang w:val="es-ES_tradnl"/>
              </w:rPr>
              <w:fldChar w:fldCharType="separate"/>
            </w:r>
            <w:r w:rsidR="00D316B0" w:rsidRPr="00E83B7E">
              <w:rPr>
                <w:webHidden/>
                <w:lang w:val="es-ES_tradnl"/>
              </w:rPr>
              <w:t>4</w:t>
            </w:r>
            <w:r w:rsidR="00D316B0" w:rsidRPr="00E83B7E">
              <w:rPr>
                <w:webHidden/>
                <w:lang w:val="es-ES_tradnl"/>
              </w:rPr>
              <w:fldChar w:fldCharType="end"/>
            </w:r>
          </w:hyperlink>
        </w:p>
        <w:p w14:paraId="5B56DB93" w14:textId="4EBDFBC2" w:rsidR="00D316B0" w:rsidRPr="00E83B7E" w:rsidRDefault="00CA4C20">
          <w:pPr>
            <w:pStyle w:val="TOC1"/>
            <w:tabs>
              <w:tab w:val="left" w:pos="440"/>
              <w:tab w:val="right" w:leader="dot" w:pos="9350"/>
            </w:tabs>
            <w:rPr>
              <w:rFonts w:eastAsiaTheme="minorEastAsia"/>
              <w:lang w:val="es-ES_tradnl"/>
            </w:rPr>
          </w:pPr>
          <w:hyperlink w:anchor="_Toc36834036" w:history="1">
            <w:r w:rsidR="00D316B0" w:rsidRPr="00E83B7E">
              <w:rPr>
                <w:rStyle w:val="Hyperlink"/>
                <w:lang w:val="es-ES_tradnl"/>
              </w:rPr>
              <w:t>I.</w:t>
            </w:r>
            <w:r w:rsidR="00D316B0" w:rsidRPr="00E83B7E">
              <w:rPr>
                <w:rFonts w:eastAsiaTheme="minorEastAsia"/>
                <w:lang w:val="es-ES_tradnl"/>
              </w:rPr>
              <w:tab/>
            </w:r>
            <w:r w:rsidR="00D316B0" w:rsidRPr="00E83B7E">
              <w:rPr>
                <w:rStyle w:val="Hyperlink"/>
                <w:lang w:val="es-ES_tradnl"/>
              </w:rPr>
              <w:t>Introducción y marco analítico</w:t>
            </w:r>
            <w:r w:rsidR="00D316B0" w:rsidRPr="00E83B7E">
              <w:rPr>
                <w:webHidden/>
                <w:lang w:val="es-ES_tradnl"/>
              </w:rPr>
              <w:tab/>
            </w:r>
            <w:r w:rsidR="00D316B0" w:rsidRPr="00E83B7E">
              <w:rPr>
                <w:webHidden/>
                <w:lang w:val="es-ES_tradnl"/>
              </w:rPr>
              <w:fldChar w:fldCharType="begin"/>
            </w:r>
            <w:r w:rsidR="00D316B0" w:rsidRPr="00E83B7E">
              <w:rPr>
                <w:webHidden/>
                <w:lang w:val="es-ES_tradnl"/>
              </w:rPr>
              <w:instrText xml:space="preserve"> PAGEREF _Toc36834036 \h </w:instrText>
            </w:r>
            <w:r w:rsidR="00D316B0" w:rsidRPr="00E83B7E">
              <w:rPr>
                <w:webHidden/>
                <w:lang w:val="es-ES_tradnl"/>
              </w:rPr>
            </w:r>
            <w:r w:rsidR="00D316B0" w:rsidRPr="00E83B7E">
              <w:rPr>
                <w:webHidden/>
                <w:lang w:val="es-ES_tradnl"/>
              </w:rPr>
              <w:fldChar w:fldCharType="separate"/>
            </w:r>
            <w:r w:rsidR="00D316B0" w:rsidRPr="00E83B7E">
              <w:rPr>
                <w:webHidden/>
                <w:lang w:val="es-ES_tradnl"/>
              </w:rPr>
              <w:t>4</w:t>
            </w:r>
            <w:r w:rsidR="00D316B0" w:rsidRPr="00E83B7E">
              <w:rPr>
                <w:webHidden/>
                <w:lang w:val="es-ES_tradnl"/>
              </w:rPr>
              <w:fldChar w:fldCharType="end"/>
            </w:r>
          </w:hyperlink>
        </w:p>
        <w:p w14:paraId="2E328A3E" w14:textId="2B120F6C" w:rsidR="00D316B0" w:rsidRPr="00E83B7E" w:rsidRDefault="00CA4C20">
          <w:pPr>
            <w:pStyle w:val="TOC1"/>
            <w:tabs>
              <w:tab w:val="left" w:pos="440"/>
              <w:tab w:val="right" w:leader="dot" w:pos="9350"/>
            </w:tabs>
            <w:rPr>
              <w:rFonts w:eastAsiaTheme="minorEastAsia"/>
              <w:lang w:val="es-ES_tradnl"/>
            </w:rPr>
          </w:pPr>
          <w:hyperlink w:anchor="_Toc36834037" w:history="1">
            <w:r w:rsidR="00D316B0" w:rsidRPr="00E83B7E">
              <w:rPr>
                <w:rStyle w:val="Hyperlink"/>
                <w:lang w:val="es-ES_tradnl"/>
              </w:rPr>
              <w:t>II.</w:t>
            </w:r>
            <w:r w:rsidR="00D316B0" w:rsidRPr="00E83B7E">
              <w:rPr>
                <w:rFonts w:eastAsiaTheme="minorEastAsia"/>
                <w:lang w:val="es-ES_tradnl"/>
              </w:rPr>
              <w:tab/>
            </w:r>
            <w:r w:rsidR="00D316B0" w:rsidRPr="00E83B7E">
              <w:rPr>
                <w:rStyle w:val="Hyperlink"/>
                <w:lang w:val="es-ES_tradnl"/>
              </w:rPr>
              <w:t>Situación de vulnerabilidad</w:t>
            </w:r>
            <w:r w:rsidR="00D316B0" w:rsidRPr="00E83B7E">
              <w:rPr>
                <w:webHidden/>
                <w:lang w:val="es-ES_tradnl"/>
              </w:rPr>
              <w:tab/>
            </w:r>
            <w:r w:rsidR="00D316B0" w:rsidRPr="00E83B7E">
              <w:rPr>
                <w:webHidden/>
                <w:lang w:val="es-ES_tradnl"/>
              </w:rPr>
              <w:fldChar w:fldCharType="begin"/>
            </w:r>
            <w:r w:rsidR="00D316B0" w:rsidRPr="00E83B7E">
              <w:rPr>
                <w:webHidden/>
                <w:lang w:val="es-ES_tradnl"/>
              </w:rPr>
              <w:instrText xml:space="preserve"> PAGEREF _Toc36834037 \h </w:instrText>
            </w:r>
            <w:r w:rsidR="00D316B0" w:rsidRPr="00E83B7E">
              <w:rPr>
                <w:webHidden/>
                <w:lang w:val="es-ES_tradnl"/>
              </w:rPr>
            </w:r>
            <w:r w:rsidR="00D316B0" w:rsidRPr="00E83B7E">
              <w:rPr>
                <w:webHidden/>
                <w:lang w:val="es-ES_tradnl"/>
              </w:rPr>
              <w:fldChar w:fldCharType="separate"/>
            </w:r>
            <w:r w:rsidR="00D316B0" w:rsidRPr="00E83B7E">
              <w:rPr>
                <w:webHidden/>
                <w:lang w:val="es-ES_tradnl"/>
              </w:rPr>
              <w:t>6</w:t>
            </w:r>
            <w:r w:rsidR="00D316B0" w:rsidRPr="00E83B7E">
              <w:rPr>
                <w:webHidden/>
                <w:lang w:val="es-ES_tradnl"/>
              </w:rPr>
              <w:fldChar w:fldCharType="end"/>
            </w:r>
          </w:hyperlink>
        </w:p>
        <w:p w14:paraId="63EE3F51" w14:textId="62DBD034" w:rsidR="00D316B0" w:rsidRPr="00E83B7E" w:rsidRDefault="00CA4C20">
          <w:pPr>
            <w:pStyle w:val="TOC2"/>
            <w:tabs>
              <w:tab w:val="left" w:pos="660"/>
              <w:tab w:val="right" w:leader="dot" w:pos="9350"/>
            </w:tabs>
            <w:rPr>
              <w:rFonts w:eastAsiaTheme="minorEastAsia"/>
              <w:lang w:val="es-ES_tradnl"/>
            </w:rPr>
          </w:pPr>
          <w:hyperlink w:anchor="_Toc36834038" w:history="1">
            <w:r w:rsidR="00D316B0" w:rsidRPr="00E83B7E">
              <w:rPr>
                <w:rStyle w:val="Hyperlink"/>
                <w:lang w:val="es-ES_tradnl"/>
              </w:rPr>
              <w:t>A.</w:t>
            </w:r>
            <w:r w:rsidR="00D316B0" w:rsidRPr="00E83B7E">
              <w:rPr>
                <w:rFonts w:eastAsiaTheme="minorEastAsia"/>
                <w:lang w:val="es-ES_tradnl"/>
              </w:rPr>
              <w:tab/>
            </w:r>
            <w:r w:rsidR="00D316B0" w:rsidRPr="00E83B7E">
              <w:rPr>
                <w:rStyle w:val="Hyperlink"/>
                <w:lang w:val="es-ES_tradnl"/>
              </w:rPr>
              <w:t>Situación general</w:t>
            </w:r>
            <w:r w:rsidR="00D316B0" w:rsidRPr="00E83B7E">
              <w:rPr>
                <w:webHidden/>
                <w:lang w:val="es-ES_tradnl"/>
              </w:rPr>
              <w:tab/>
            </w:r>
            <w:r w:rsidR="00D316B0" w:rsidRPr="00E83B7E">
              <w:rPr>
                <w:webHidden/>
                <w:lang w:val="es-ES_tradnl"/>
              </w:rPr>
              <w:fldChar w:fldCharType="begin"/>
            </w:r>
            <w:r w:rsidR="00D316B0" w:rsidRPr="00E83B7E">
              <w:rPr>
                <w:webHidden/>
                <w:lang w:val="es-ES_tradnl"/>
              </w:rPr>
              <w:instrText xml:space="preserve"> PAGEREF _Toc36834038 \h </w:instrText>
            </w:r>
            <w:r w:rsidR="00D316B0" w:rsidRPr="00E83B7E">
              <w:rPr>
                <w:webHidden/>
                <w:lang w:val="es-ES_tradnl"/>
              </w:rPr>
            </w:r>
            <w:r w:rsidR="00D316B0" w:rsidRPr="00E83B7E">
              <w:rPr>
                <w:webHidden/>
                <w:lang w:val="es-ES_tradnl"/>
              </w:rPr>
              <w:fldChar w:fldCharType="separate"/>
            </w:r>
            <w:r w:rsidR="00D316B0" w:rsidRPr="00E83B7E">
              <w:rPr>
                <w:webHidden/>
                <w:lang w:val="es-ES_tradnl"/>
              </w:rPr>
              <w:t>6</w:t>
            </w:r>
            <w:r w:rsidR="00D316B0" w:rsidRPr="00E83B7E">
              <w:rPr>
                <w:webHidden/>
                <w:lang w:val="es-ES_tradnl"/>
              </w:rPr>
              <w:fldChar w:fldCharType="end"/>
            </w:r>
          </w:hyperlink>
        </w:p>
        <w:p w14:paraId="45FFFB9D" w14:textId="126F84EB" w:rsidR="00D316B0" w:rsidRPr="00E83B7E" w:rsidRDefault="00CA4C20">
          <w:pPr>
            <w:pStyle w:val="TOC2"/>
            <w:tabs>
              <w:tab w:val="left" w:pos="660"/>
              <w:tab w:val="right" w:leader="dot" w:pos="9350"/>
            </w:tabs>
            <w:rPr>
              <w:rFonts w:eastAsiaTheme="minorEastAsia"/>
              <w:lang w:val="es-ES_tradnl"/>
            </w:rPr>
          </w:pPr>
          <w:hyperlink w:anchor="_Toc36834039" w:history="1">
            <w:r w:rsidR="00D316B0" w:rsidRPr="00E83B7E">
              <w:rPr>
                <w:rStyle w:val="Hyperlink"/>
                <w:lang w:val="es-ES_tradnl"/>
              </w:rPr>
              <w:t>B.</w:t>
            </w:r>
            <w:r w:rsidR="00D316B0" w:rsidRPr="00E83B7E">
              <w:rPr>
                <w:rFonts w:eastAsiaTheme="minorEastAsia"/>
                <w:lang w:val="es-ES_tradnl"/>
              </w:rPr>
              <w:tab/>
            </w:r>
            <w:r w:rsidR="00D316B0" w:rsidRPr="00E83B7E">
              <w:rPr>
                <w:rStyle w:val="Hyperlink"/>
                <w:lang w:val="es-ES_tradnl"/>
              </w:rPr>
              <w:t>Situación por sectores</w:t>
            </w:r>
            <w:r w:rsidR="00D316B0" w:rsidRPr="00E83B7E">
              <w:rPr>
                <w:webHidden/>
                <w:lang w:val="es-ES_tradnl"/>
              </w:rPr>
              <w:tab/>
            </w:r>
            <w:r w:rsidR="00D316B0" w:rsidRPr="00E83B7E">
              <w:rPr>
                <w:webHidden/>
                <w:lang w:val="es-ES_tradnl"/>
              </w:rPr>
              <w:fldChar w:fldCharType="begin"/>
            </w:r>
            <w:r w:rsidR="00D316B0" w:rsidRPr="00E83B7E">
              <w:rPr>
                <w:webHidden/>
                <w:lang w:val="es-ES_tradnl"/>
              </w:rPr>
              <w:instrText xml:space="preserve"> PAGEREF _Toc36834039 \h </w:instrText>
            </w:r>
            <w:r w:rsidR="00D316B0" w:rsidRPr="00E83B7E">
              <w:rPr>
                <w:webHidden/>
                <w:lang w:val="es-ES_tradnl"/>
              </w:rPr>
            </w:r>
            <w:r w:rsidR="00D316B0" w:rsidRPr="00E83B7E">
              <w:rPr>
                <w:webHidden/>
                <w:lang w:val="es-ES_tradnl"/>
              </w:rPr>
              <w:fldChar w:fldCharType="separate"/>
            </w:r>
            <w:r w:rsidR="00D316B0" w:rsidRPr="00E83B7E">
              <w:rPr>
                <w:webHidden/>
                <w:lang w:val="es-ES_tradnl"/>
              </w:rPr>
              <w:t>7</w:t>
            </w:r>
            <w:r w:rsidR="00D316B0" w:rsidRPr="00E83B7E">
              <w:rPr>
                <w:webHidden/>
                <w:lang w:val="es-ES_tradnl"/>
              </w:rPr>
              <w:fldChar w:fldCharType="end"/>
            </w:r>
          </w:hyperlink>
        </w:p>
        <w:p w14:paraId="0864932D" w14:textId="13A2A10E" w:rsidR="00D316B0" w:rsidRPr="00E83B7E" w:rsidRDefault="00CA4C20">
          <w:pPr>
            <w:pStyle w:val="TOC1"/>
            <w:tabs>
              <w:tab w:val="left" w:pos="660"/>
              <w:tab w:val="right" w:leader="dot" w:pos="9350"/>
            </w:tabs>
            <w:rPr>
              <w:rFonts w:eastAsiaTheme="minorEastAsia"/>
              <w:lang w:val="es-ES_tradnl"/>
            </w:rPr>
          </w:pPr>
          <w:hyperlink w:anchor="_Toc36834040" w:history="1">
            <w:r w:rsidR="00D316B0" w:rsidRPr="00E83B7E">
              <w:rPr>
                <w:rStyle w:val="Hyperlink"/>
                <w:lang w:val="es-ES_tradnl"/>
              </w:rPr>
              <w:t>III.</w:t>
            </w:r>
            <w:r w:rsidR="00D316B0" w:rsidRPr="00E83B7E">
              <w:rPr>
                <w:rFonts w:eastAsiaTheme="minorEastAsia"/>
                <w:lang w:val="es-ES_tradnl"/>
              </w:rPr>
              <w:tab/>
            </w:r>
            <w:r w:rsidR="00D316B0" w:rsidRPr="00E83B7E">
              <w:rPr>
                <w:rStyle w:val="Hyperlink"/>
                <w:lang w:val="es-ES_tradnl"/>
              </w:rPr>
              <w:t>Conclusión</w:t>
            </w:r>
            <w:r w:rsidR="00D316B0" w:rsidRPr="00E83B7E">
              <w:rPr>
                <w:webHidden/>
                <w:lang w:val="es-ES_tradnl"/>
              </w:rPr>
              <w:tab/>
            </w:r>
            <w:r w:rsidR="00D316B0" w:rsidRPr="00E83B7E">
              <w:rPr>
                <w:webHidden/>
                <w:lang w:val="es-ES_tradnl"/>
              </w:rPr>
              <w:fldChar w:fldCharType="begin"/>
            </w:r>
            <w:r w:rsidR="00D316B0" w:rsidRPr="00E83B7E">
              <w:rPr>
                <w:webHidden/>
                <w:lang w:val="es-ES_tradnl"/>
              </w:rPr>
              <w:instrText xml:space="preserve"> PAGEREF _Toc36834040 \h </w:instrText>
            </w:r>
            <w:r w:rsidR="00D316B0" w:rsidRPr="00E83B7E">
              <w:rPr>
                <w:webHidden/>
                <w:lang w:val="es-ES_tradnl"/>
              </w:rPr>
            </w:r>
            <w:r w:rsidR="00D316B0" w:rsidRPr="00E83B7E">
              <w:rPr>
                <w:webHidden/>
                <w:lang w:val="es-ES_tradnl"/>
              </w:rPr>
              <w:fldChar w:fldCharType="separate"/>
            </w:r>
            <w:r w:rsidR="00D316B0" w:rsidRPr="00E83B7E">
              <w:rPr>
                <w:webHidden/>
                <w:lang w:val="es-ES_tradnl"/>
              </w:rPr>
              <w:t>9</w:t>
            </w:r>
            <w:r w:rsidR="00D316B0" w:rsidRPr="00E83B7E">
              <w:rPr>
                <w:webHidden/>
                <w:lang w:val="es-ES_tradnl"/>
              </w:rPr>
              <w:fldChar w:fldCharType="end"/>
            </w:r>
          </w:hyperlink>
        </w:p>
        <w:p w14:paraId="156ED05C" w14:textId="5B3257D3" w:rsidR="00D316B0" w:rsidRPr="00E83B7E" w:rsidRDefault="00CA4C20">
          <w:pPr>
            <w:pStyle w:val="TOC1"/>
            <w:tabs>
              <w:tab w:val="right" w:leader="dot" w:pos="9350"/>
            </w:tabs>
            <w:rPr>
              <w:rFonts w:eastAsiaTheme="minorEastAsia"/>
              <w:lang w:val="es-ES_tradnl"/>
            </w:rPr>
          </w:pPr>
          <w:hyperlink w:anchor="_Toc36834041" w:history="1">
            <w:r w:rsidR="00D316B0" w:rsidRPr="00E83B7E">
              <w:rPr>
                <w:rStyle w:val="Hyperlink"/>
                <w:lang w:val="es-ES_tradnl"/>
              </w:rPr>
              <w:t>Anexo I: aspectos metodológicos</w:t>
            </w:r>
            <w:r w:rsidR="00D316B0" w:rsidRPr="00E83B7E">
              <w:rPr>
                <w:webHidden/>
                <w:lang w:val="es-ES_tradnl"/>
              </w:rPr>
              <w:tab/>
            </w:r>
            <w:r w:rsidR="00D316B0" w:rsidRPr="00E83B7E">
              <w:rPr>
                <w:webHidden/>
                <w:lang w:val="es-ES_tradnl"/>
              </w:rPr>
              <w:fldChar w:fldCharType="begin"/>
            </w:r>
            <w:r w:rsidR="00D316B0" w:rsidRPr="00E83B7E">
              <w:rPr>
                <w:webHidden/>
                <w:lang w:val="es-ES_tradnl"/>
              </w:rPr>
              <w:instrText xml:space="preserve"> PAGEREF _Toc36834041 \h </w:instrText>
            </w:r>
            <w:r w:rsidR="00D316B0" w:rsidRPr="00E83B7E">
              <w:rPr>
                <w:webHidden/>
                <w:lang w:val="es-ES_tradnl"/>
              </w:rPr>
            </w:r>
            <w:r w:rsidR="00D316B0" w:rsidRPr="00E83B7E">
              <w:rPr>
                <w:webHidden/>
                <w:lang w:val="es-ES_tradnl"/>
              </w:rPr>
              <w:fldChar w:fldCharType="separate"/>
            </w:r>
            <w:r w:rsidR="00D316B0" w:rsidRPr="00E83B7E">
              <w:rPr>
                <w:webHidden/>
                <w:lang w:val="es-ES_tradnl"/>
              </w:rPr>
              <w:t>11</w:t>
            </w:r>
            <w:r w:rsidR="00D316B0" w:rsidRPr="00E83B7E">
              <w:rPr>
                <w:webHidden/>
                <w:lang w:val="es-ES_tradnl"/>
              </w:rPr>
              <w:fldChar w:fldCharType="end"/>
            </w:r>
          </w:hyperlink>
        </w:p>
        <w:p w14:paraId="6B7682A5" w14:textId="16E85C9D" w:rsidR="00AE17AB" w:rsidRPr="00E83B7E" w:rsidRDefault="00AE17AB" w:rsidP="00AE17AB">
          <w:pPr>
            <w:rPr>
              <w:lang w:val="es-ES_tradnl"/>
            </w:rPr>
          </w:pPr>
          <w:r w:rsidRPr="00E83B7E">
            <w:rPr>
              <w:b/>
              <w:bCs/>
              <w:lang w:val="es-ES_tradnl"/>
            </w:rPr>
            <w:fldChar w:fldCharType="end"/>
          </w:r>
        </w:p>
      </w:sdtContent>
    </w:sdt>
    <w:p w14:paraId="5DD9F09A" w14:textId="77777777" w:rsidR="00D316B0" w:rsidRPr="00E83B7E" w:rsidRDefault="00D316B0">
      <w:pPr>
        <w:rPr>
          <w:rFonts w:asciiTheme="majorHAnsi" w:eastAsiaTheme="majorEastAsia" w:hAnsiTheme="majorHAnsi" w:cstheme="majorBidi"/>
          <w:color w:val="2F5496" w:themeColor="accent1" w:themeShade="BF"/>
          <w:sz w:val="32"/>
          <w:szCs w:val="32"/>
          <w:lang w:val="es-ES_tradnl"/>
        </w:rPr>
      </w:pPr>
      <w:bookmarkStart w:id="1" w:name="_Toc36834034"/>
      <w:bookmarkStart w:id="2" w:name="_Toc24900476"/>
      <w:r w:rsidRPr="00E83B7E">
        <w:rPr>
          <w:lang w:val="es-ES_tradnl"/>
        </w:rPr>
        <w:br w:type="page"/>
      </w:r>
    </w:p>
    <w:p w14:paraId="2237FD8E" w14:textId="18BE76A2" w:rsidR="00AE17AB" w:rsidRPr="00E83B7E" w:rsidRDefault="00AE17AB" w:rsidP="0007292C">
      <w:pPr>
        <w:pStyle w:val="Heading1"/>
        <w:numPr>
          <w:ilvl w:val="0"/>
          <w:numId w:val="0"/>
        </w:numPr>
        <w:rPr>
          <w:lang w:val="es-ES_tradnl"/>
        </w:rPr>
      </w:pPr>
      <w:r w:rsidRPr="00E83B7E">
        <w:rPr>
          <w:lang w:val="es-ES_tradnl"/>
        </w:rPr>
        <w:lastRenderedPageBreak/>
        <w:t>Siglas y acrónimos</w:t>
      </w:r>
      <w:bookmarkEnd w:id="1"/>
    </w:p>
    <w:tbl>
      <w:tblPr>
        <w:tblStyle w:val="TableGrid"/>
        <w:tblW w:w="0" w:type="auto"/>
        <w:tblLook w:val="04A0" w:firstRow="1" w:lastRow="0" w:firstColumn="1" w:lastColumn="0" w:noHBand="0" w:noVBand="1"/>
      </w:tblPr>
      <w:tblGrid>
        <w:gridCol w:w="4675"/>
        <w:gridCol w:w="4675"/>
      </w:tblGrid>
      <w:tr w:rsidR="00AE17AB" w:rsidRPr="00E83B7E" w14:paraId="3283999A" w14:textId="77777777" w:rsidTr="00C73800">
        <w:tc>
          <w:tcPr>
            <w:tcW w:w="4675" w:type="dxa"/>
          </w:tcPr>
          <w:p w14:paraId="5906F465" w14:textId="08B5FBE2" w:rsidR="00AE17AB" w:rsidRPr="00E83B7E" w:rsidRDefault="00376D7C" w:rsidP="00C73800">
            <w:pPr>
              <w:jc w:val="both"/>
              <w:rPr>
                <w:bCs/>
                <w:lang w:val="es-ES_tradnl"/>
              </w:rPr>
            </w:pPr>
            <w:r w:rsidRPr="00E83B7E">
              <w:rPr>
                <w:bCs/>
                <w:lang w:val="es-ES_tradnl"/>
              </w:rPr>
              <w:t>IV</w:t>
            </w:r>
          </w:p>
        </w:tc>
        <w:tc>
          <w:tcPr>
            <w:tcW w:w="4675" w:type="dxa"/>
          </w:tcPr>
          <w:p w14:paraId="7ADAAF4A" w14:textId="4A2E2C12" w:rsidR="00AE17AB" w:rsidRPr="00E83B7E" w:rsidRDefault="00376D7C" w:rsidP="00C73800">
            <w:pPr>
              <w:jc w:val="both"/>
              <w:rPr>
                <w:bCs/>
                <w:lang w:val="es-ES_tradnl"/>
              </w:rPr>
            </w:pPr>
            <w:r w:rsidRPr="00E83B7E">
              <w:rPr>
                <w:bCs/>
                <w:lang w:val="es-ES_tradnl"/>
              </w:rPr>
              <w:t>Índice de vulnerabilidad</w:t>
            </w:r>
          </w:p>
        </w:tc>
      </w:tr>
      <w:tr w:rsidR="00AE17AB" w:rsidRPr="00E83B7E" w14:paraId="00743B77" w14:textId="77777777" w:rsidTr="00C73800">
        <w:tc>
          <w:tcPr>
            <w:tcW w:w="4675" w:type="dxa"/>
          </w:tcPr>
          <w:p w14:paraId="7DA87C30" w14:textId="3B073F06" w:rsidR="00AE17AB" w:rsidRPr="00E83B7E" w:rsidRDefault="002F60E9" w:rsidP="00C73800">
            <w:pPr>
              <w:jc w:val="both"/>
              <w:rPr>
                <w:bCs/>
                <w:lang w:val="es-ES_tradnl"/>
              </w:rPr>
            </w:pPr>
            <w:r w:rsidRPr="00E83B7E">
              <w:rPr>
                <w:bCs/>
                <w:lang w:val="es-ES_tradnl"/>
              </w:rPr>
              <w:t>MiP</w:t>
            </w:r>
            <w:r w:rsidR="00E83B7E">
              <w:rPr>
                <w:bCs/>
                <w:lang w:val="es-ES_tradnl"/>
              </w:rPr>
              <w:t>y</w:t>
            </w:r>
            <w:r w:rsidRPr="00E83B7E">
              <w:rPr>
                <w:bCs/>
                <w:lang w:val="es-ES_tradnl"/>
              </w:rPr>
              <w:t>ME</w:t>
            </w:r>
          </w:p>
        </w:tc>
        <w:tc>
          <w:tcPr>
            <w:tcW w:w="4675" w:type="dxa"/>
          </w:tcPr>
          <w:p w14:paraId="43B13612" w14:textId="417AF084" w:rsidR="00AE17AB" w:rsidRPr="00E83B7E" w:rsidRDefault="002F60E9" w:rsidP="00C73800">
            <w:pPr>
              <w:jc w:val="both"/>
              <w:rPr>
                <w:bCs/>
                <w:lang w:val="es-ES_tradnl"/>
              </w:rPr>
            </w:pPr>
            <w:r w:rsidRPr="00E83B7E">
              <w:rPr>
                <w:bCs/>
                <w:lang w:val="es-ES_tradnl"/>
              </w:rPr>
              <w:t>Miro, pequeñas y medianas empresas</w:t>
            </w:r>
          </w:p>
        </w:tc>
      </w:tr>
      <w:tr w:rsidR="00AE17AB" w:rsidRPr="00E83B7E" w14:paraId="0378513A" w14:textId="77777777" w:rsidTr="00C73800">
        <w:tc>
          <w:tcPr>
            <w:tcW w:w="4675" w:type="dxa"/>
          </w:tcPr>
          <w:p w14:paraId="0619FF6D" w14:textId="4E16DEE9" w:rsidR="00AE17AB" w:rsidRPr="00E83B7E" w:rsidRDefault="00AE17AB" w:rsidP="00C73800">
            <w:pPr>
              <w:jc w:val="both"/>
              <w:rPr>
                <w:bCs/>
                <w:lang w:val="es-ES_tradnl"/>
              </w:rPr>
            </w:pPr>
          </w:p>
        </w:tc>
        <w:tc>
          <w:tcPr>
            <w:tcW w:w="4675" w:type="dxa"/>
          </w:tcPr>
          <w:p w14:paraId="2E68BF1C" w14:textId="362BEC59" w:rsidR="00AE17AB" w:rsidRPr="00E83B7E" w:rsidRDefault="00AE17AB" w:rsidP="00C73800">
            <w:pPr>
              <w:jc w:val="both"/>
              <w:rPr>
                <w:bCs/>
                <w:lang w:val="es-ES_tradnl"/>
              </w:rPr>
            </w:pPr>
          </w:p>
        </w:tc>
      </w:tr>
      <w:tr w:rsidR="00AE17AB" w:rsidRPr="00E83B7E" w14:paraId="45DA3D28" w14:textId="77777777" w:rsidTr="00C73800">
        <w:tc>
          <w:tcPr>
            <w:tcW w:w="4675" w:type="dxa"/>
          </w:tcPr>
          <w:p w14:paraId="39D0CD2A" w14:textId="645540C5" w:rsidR="00AE17AB" w:rsidRPr="00E83B7E" w:rsidRDefault="00AE17AB" w:rsidP="00C73800">
            <w:pPr>
              <w:jc w:val="both"/>
              <w:rPr>
                <w:bCs/>
                <w:lang w:val="es-ES_tradnl"/>
              </w:rPr>
            </w:pPr>
          </w:p>
        </w:tc>
        <w:tc>
          <w:tcPr>
            <w:tcW w:w="4675" w:type="dxa"/>
          </w:tcPr>
          <w:p w14:paraId="1A5B9119" w14:textId="5E725C8C" w:rsidR="00AE17AB" w:rsidRPr="00E83B7E" w:rsidRDefault="00AE17AB" w:rsidP="00C73800">
            <w:pPr>
              <w:jc w:val="both"/>
              <w:rPr>
                <w:bCs/>
                <w:lang w:val="es-ES_tradnl"/>
              </w:rPr>
            </w:pPr>
          </w:p>
        </w:tc>
      </w:tr>
      <w:tr w:rsidR="00AE17AB" w:rsidRPr="00E83B7E" w14:paraId="69B4517C" w14:textId="77777777" w:rsidTr="00C73800">
        <w:tc>
          <w:tcPr>
            <w:tcW w:w="4675" w:type="dxa"/>
          </w:tcPr>
          <w:p w14:paraId="6068EF89" w14:textId="405BEA4F" w:rsidR="00AE17AB" w:rsidRPr="00E83B7E" w:rsidRDefault="00AE17AB" w:rsidP="00C73800">
            <w:pPr>
              <w:jc w:val="both"/>
              <w:rPr>
                <w:bCs/>
                <w:lang w:val="es-ES_tradnl"/>
              </w:rPr>
            </w:pPr>
          </w:p>
        </w:tc>
        <w:tc>
          <w:tcPr>
            <w:tcW w:w="4675" w:type="dxa"/>
          </w:tcPr>
          <w:p w14:paraId="34BA49F7" w14:textId="35A2C492" w:rsidR="00AE17AB" w:rsidRPr="00E83B7E" w:rsidRDefault="00AE17AB" w:rsidP="00C73800">
            <w:pPr>
              <w:jc w:val="both"/>
              <w:rPr>
                <w:bCs/>
                <w:lang w:val="es-ES_tradnl"/>
              </w:rPr>
            </w:pPr>
          </w:p>
        </w:tc>
      </w:tr>
      <w:tr w:rsidR="00AE17AB" w:rsidRPr="00E83B7E" w14:paraId="7A13CA38" w14:textId="77777777" w:rsidTr="00C73800">
        <w:tc>
          <w:tcPr>
            <w:tcW w:w="4675" w:type="dxa"/>
          </w:tcPr>
          <w:p w14:paraId="45A6EA32" w14:textId="1576FD35" w:rsidR="00AE17AB" w:rsidRPr="00E83B7E" w:rsidRDefault="00AE17AB" w:rsidP="00C73800">
            <w:pPr>
              <w:jc w:val="both"/>
              <w:rPr>
                <w:bCs/>
                <w:lang w:val="es-ES_tradnl"/>
              </w:rPr>
            </w:pPr>
          </w:p>
        </w:tc>
        <w:tc>
          <w:tcPr>
            <w:tcW w:w="4675" w:type="dxa"/>
          </w:tcPr>
          <w:p w14:paraId="2F736C70" w14:textId="2138A74D" w:rsidR="00AE17AB" w:rsidRPr="00E83B7E" w:rsidRDefault="00AE17AB" w:rsidP="00C73800">
            <w:pPr>
              <w:jc w:val="both"/>
              <w:rPr>
                <w:bCs/>
                <w:lang w:val="es-ES_tradnl"/>
              </w:rPr>
            </w:pPr>
          </w:p>
        </w:tc>
      </w:tr>
      <w:tr w:rsidR="00AE17AB" w:rsidRPr="00E83B7E" w14:paraId="7DE90528" w14:textId="77777777" w:rsidTr="00C73800">
        <w:tc>
          <w:tcPr>
            <w:tcW w:w="4675" w:type="dxa"/>
          </w:tcPr>
          <w:p w14:paraId="6441B5C3" w14:textId="78CB89E1" w:rsidR="00AE17AB" w:rsidRPr="00E83B7E" w:rsidRDefault="00AE17AB" w:rsidP="00C73800">
            <w:pPr>
              <w:jc w:val="both"/>
              <w:rPr>
                <w:bCs/>
                <w:lang w:val="es-ES_tradnl"/>
              </w:rPr>
            </w:pPr>
          </w:p>
        </w:tc>
        <w:tc>
          <w:tcPr>
            <w:tcW w:w="4675" w:type="dxa"/>
          </w:tcPr>
          <w:p w14:paraId="47E6D793" w14:textId="10DC91A1" w:rsidR="00AE17AB" w:rsidRPr="00E83B7E" w:rsidRDefault="00AE17AB" w:rsidP="00C73800">
            <w:pPr>
              <w:jc w:val="both"/>
              <w:rPr>
                <w:bCs/>
                <w:lang w:val="es-ES_tradnl"/>
              </w:rPr>
            </w:pPr>
          </w:p>
        </w:tc>
      </w:tr>
      <w:tr w:rsidR="00AE17AB" w:rsidRPr="00E83B7E" w14:paraId="2860C0E3" w14:textId="77777777" w:rsidTr="00C73800">
        <w:tc>
          <w:tcPr>
            <w:tcW w:w="4675" w:type="dxa"/>
          </w:tcPr>
          <w:p w14:paraId="6F77B8CE" w14:textId="39D762DF" w:rsidR="00AE17AB" w:rsidRPr="00E83B7E" w:rsidRDefault="00AE17AB" w:rsidP="00C73800">
            <w:pPr>
              <w:jc w:val="both"/>
              <w:rPr>
                <w:bCs/>
                <w:lang w:val="es-ES_tradnl"/>
              </w:rPr>
            </w:pPr>
          </w:p>
        </w:tc>
        <w:tc>
          <w:tcPr>
            <w:tcW w:w="4675" w:type="dxa"/>
          </w:tcPr>
          <w:p w14:paraId="5EF9989E" w14:textId="33756603" w:rsidR="00AE17AB" w:rsidRPr="00E83B7E" w:rsidRDefault="00AE17AB" w:rsidP="00C73800">
            <w:pPr>
              <w:jc w:val="both"/>
              <w:rPr>
                <w:bCs/>
                <w:lang w:val="es-ES_tradnl"/>
              </w:rPr>
            </w:pPr>
          </w:p>
        </w:tc>
      </w:tr>
      <w:tr w:rsidR="00AE17AB" w:rsidRPr="00E83B7E" w14:paraId="794E8440" w14:textId="77777777" w:rsidTr="00C73800">
        <w:tc>
          <w:tcPr>
            <w:tcW w:w="4675" w:type="dxa"/>
          </w:tcPr>
          <w:p w14:paraId="22D495FD" w14:textId="64C68026" w:rsidR="00AE17AB" w:rsidRPr="00E83B7E" w:rsidRDefault="00AE17AB" w:rsidP="00C73800">
            <w:pPr>
              <w:jc w:val="both"/>
              <w:rPr>
                <w:bCs/>
                <w:lang w:val="es-ES_tradnl"/>
              </w:rPr>
            </w:pPr>
          </w:p>
        </w:tc>
        <w:tc>
          <w:tcPr>
            <w:tcW w:w="4675" w:type="dxa"/>
          </w:tcPr>
          <w:p w14:paraId="508AD65D" w14:textId="16F8E06D" w:rsidR="00AE17AB" w:rsidRPr="00E83B7E" w:rsidRDefault="00AE17AB" w:rsidP="00C73800">
            <w:pPr>
              <w:jc w:val="both"/>
              <w:rPr>
                <w:bCs/>
                <w:lang w:val="es-ES_tradnl"/>
              </w:rPr>
            </w:pPr>
          </w:p>
        </w:tc>
      </w:tr>
    </w:tbl>
    <w:p w14:paraId="54347C9E" w14:textId="77B247BE" w:rsidR="00AE17AB" w:rsidRPr="00E83B7E" w:rsidRDefault="00AE17AB" w:rsidP="00AE17AB">
      <w:pPr>
        <w:rPr>
          <w:rFonts w:asciiTheme="majorHAnsi" w:eastAsiaTheme="majorEastAsia" w:hAnsiTheme="majorHAnsi" w:cstheme="majorBidi"/>
          <w:b/>
          <w:sz w:val="32"/>
          <w:szCs w:val="32"/>
          <w:lang w:val="es-ES_tradnl"/>
        </w:rPr>
      </w:pPr>
    </w:p>
    <w:bookmarkEnd w:id="2"/>
    <w:p w14:paraId="0D496378" w14:textId="0FCE4824" w:rsidR="00AE17AB" w:rsidRPr="00E83B7E" w:rsidRDefault="00AE17AB">
      <w:pPr>
        <w:rPr>
          <w:b/>
          <w:bCs/>
          <w:sz w:val="24"/>
          <w:szCs w:val="24"/>
          <w:lang w:val="es-ES_tradnl"/>
        </w:rPr>
      </w:pPr>
    </w:p>
    <w:p w14:paraId="0048EB29" w14:textId="77777777" w:rsidR="00AE17AB" w:rsidRPr="00E83B7E" w:rsidRDefault="00AE17AB">
      <w:pPr>
        <w:rPr>
          <w:b/>
          <w:bCs/>
          <w:sz w:val="24"/>
          <w:szCs w:val="24"/>
          <w:lang w:val="es-ES_tradnl"/>
        </w:rPr>
      </w:pPr>
    </w:p>
    <w:p w14:paraId="73F439AD" w14:textId="77777777" w:rsidR="00AE17AB" w:rsidRPr="00E83B7E" w:rsidRDefault="00AE17AB">
      <w:pPr>
        <w:rPr>
          <w:b/>
          <w:bCs/>
          <w:sz w:val="24"/>
          <w:szCs w:val="24"/>
          <w:lang w:val="es-ES_tradnl"/>
        </w:rPr>
      </w:pPr>
      <w:bookmarkStart w:id="3" w:name="_Hlk36746411"/>
      <w:r w:rsidRPr="00E83B7E">
        <w:rPr>
          <w:b/>
          <w:bCs/>
          <w:sz w:val="24"/>
          <w:szCs w:val="24"/>
          <w:lang w:val="es-ES_tradnl"/>
        </w:rPr>
        <w:br w:type="page"/>
      </w:r>
    </w:p>
    <w:p w14:paraId="58DF5ADA" w14:textId="499BB100" w:rsidR="00D92E9C" w:rsidRPr="00E83B7E" w:rsidRDefault="00D41616" w:rsidP="0007292C">
      <w:pPr>
        <w:pStyle w:val="Heading1"/>
        <w:numPr>
          <w:ilvl w:val="0"/>
          <w:numId w:val="0"/>
        </w:numPr>
        <w:rPr>
          <w:lang w:val="es-ES_tradnl"/>
        </w:rPr>
      </w:pPr>
      <w:bookmarkStart w:id="4" w:name="_Toc36834035"/>
      <w:r w:rsidRPr="00E83B7E">
        <w:rPr>
          <w:lang w:val="es-ES_tradnl"/>
        </w:rPr>
        <w:lastRenderedPageBreak/>
        <w:t>Resumen ejecutivo</w:t>
      </w:r>
      <w:bookmarkEnd w:id="4"/>
    </w:p>
    <w:bookmarkEnd w:id="3"/>
    <w:p w14:paraId="457BBF67" w14:textId="5D6C8FBB" w:rsidR="00816025" w:rsidRPr="00E83B7E" w:rsidRDefault="00816025" w:rsidP="00816025">
      <w:pPr>
        <w:jc w:val="both"/>
        <w:rPr>
          <w:lang w:val="es-ES_tradnl"/>
        </w:rPr>
      </w:pPr>
      <w:r w:rsidRPr="00E83B7E">
        <w:rPr>
          <w:lang w:val="es-ES_tradnl"/>
        </w:rPr>
        <w:t>Este documento present</w:t>
      </w:r>
      <w:r w:rsidR="00043713" w:rsidRPr="00E83B7E">
        <w:rPr>
          <w:lang w:val="es-ES_tradnl"/>
        </w:rPr>
        <w:t>a</w:t>
      </w:r>
      <w:r w:rsidRPr="00E83B7E">
        <w:rPr>
          <w:lang w:val="es-ES_tradnl"/>
        </w:rPr>
        <w:t xml:space="preserve"> un análisis de vulnerabilidades desagregado por sectores y con referencia a la situación de las M</w:t>
      </w:r>
      <w:r w:rsidR="00043713" w:rsidRPr="00E83B7E">
        <w:rPr>
          <w:lang w:val="es-ES_tradnl"/>
        </w:rPr>
        <w:t>i</w:t>
      </w:r>
      <w:r w:rsidRPr="00E83B7E">
        <w:rPr>
          <w:lang w:val="es-ES_tradnl"/>
        </w:rPr>
        <w:t>P</w:t>
      </w:r>
      <w:r w:rsidR="00E83B7E">
        <w:rPr>
          <w:lang w:val="es-ES_tradnl"/>
        </w:rPr>
        <w:t>y</w:t>
      </w:r>
      <w:r w:rsidRPr="00E83B7E">
        <w:rPr>
          <w:lang w:val="es-ES_tradnl"/>
        </w:rPr>
        <w:t>ME en Ecuador. Los sectores analizados son: turismo, transporte, automotriz, maquinaria y equipos, textil y maquila y agropecuario. Para la determinación de la vulnerabilidad general de un sector se agruparon los factores de riesgo en cuatro áreas: (i) oferta; (ii) demanda; (iii) financiera y patrimonial; y (iv) y sistémico y regulatorio. A cada factor de riesgo se le asign</w:t>
      </w:r>
      <w:r w:rsidR="00043713" w:rsidRPr="00E83B7E">
        <w:rPr>
          <w:lang w:val="es-ES_tradnl"/>
        </w:rPr>
        <w:t>ó</w:t>
      </w:r>
      <w:r w:rsidRPr="00E83B7E">
        <w:rPr>
          <w:lang w:val="es-ES_tradnl"/>
        </w:rPr>
        <w:t xml:space="preserve"> un grado cualitativo de materialización potencial e impacto del riesgo, a saber: moderado, significativo, severo y extremo.</w:t>
      </w:r>
      <w:r w:rsidR="73C9812E" w:rsidRPr="00E83B7E">
        <w:rPr>
          <w:lang w:val="es-ES_tradnl"/>
        </w:rPr>
        <w:t xml:space="preserve"> </w:t>
      </w:r>
      <w:r w:rsidRPr="00E83B7E">
        <w:rPr>
          <w:lang w:val="es-ES_tradnl"/>
        </w:rPr>
        <w:t>Una vez asignada la calificación de riesgo/vulnerabilidad para cada factor, se eval</w:t>
      </w:r>
      <w:r w:rsidR="00043713" w:rsidRPr="00E83B7E">
        <w:rPr>
          <w:lang w:val="es-ES_tradnl"/>
        </w:rPr>
        <w:t>uaron</w:t>
      </w:r>
      <w:r w:rsidRPr="00E83B7E">
        <w:rPr>
          <w:lang w:val="es-ES_tradnl"/>
        </w:rPr>
        <w:t xml:space="preserve"> los resultados </w:t>
      </w:r>
      <w:r w:rsidR="00E83B7E" w:rsidRPr="00E83B7E">
        <w:rPr>
          <w:lang w:val="es-ES_tradnl"/>
        </w:rPr>
        <w:t>y se</w:t>
      </w:r>
      <w:r w:rsidRPr="00E83B7E">
        <w:rPr>
          <w:lang w:val="es-ES_tradnl"/>
        </w:rPr>
        <w:t xml:space="preserve"> agrega</w:t>
      </w:r>
      <w:r w:rsidR="00043713" w:rsidRPr="00E83B7E">
        <w:rPr>
          <w:lang w:val="es-ES_tradnl"/>
        </w:rPr>
        <w:t>ron</w:t>
      </w:r>
      <w:r w:rsidRPr="00E83B7E">
        <w:rPr>
          <w:lang w:val="es-ES_tradnl"/>
        </w:rPr>
        <w:t xml:space="preserve"> en un índice que asigna un peso de 30% respectivamente para los factores de oferta, demanda y financieros y patrimoniales y de 10% para los factores sistémicos y regulatorios. </w:t>
      </w:r>
    </w:p>
    <w:p w14:paraId="5C7B2407" w14:textId="6FE12ECC" w:rsidR="00043713" w:rsidRPr="00E83B7E" w:rsidRDefault="00816025" w:rsidP="00816025">
      <w:pPr>
        <w:jc w:val="both"/>
        <w:rPr>
          <w:lang w:val="es-ES_tradnl"/>
        </w:rPr>
      </w:pPr>
      <w:r w:rsidRPr="00E83B7E">
        <w:rPr>
          <w:lang w:val="es-ES_tradnl"/>
        </w:rPr>
        <w:t>El mayor índice de vulnerabilidad global se present</w:t>
      </w:r>
      <w:r w:rsidR="00043713" w:rsidRPr="00E83B7E">
        <w:rPr>
          <w:lang w:val="es-ES_tradnl"/>
        </w:rPr>
        <w:t>a</w:t>
      </w:r>
      <w:r w:rsidRPr="00E83B7E">
        <w:rPr>
          <w:lang w:val="es-ES_tradnl"/>
        </w:rPr>
        <w:t xml:space="preserve"> en el sector turismo</w:t>
      </w:r>
      <w:r w:rsidR="00043713" w:rsidRPr="00E83B7E">
        <w:rPr>
          <w:lang w:val="es-ES_tradnl"/>
        </w:rPr>
        <w:t>,</w:t>
      </w:r>
      <w:r w:rsidRPr="00E83B7E">
        <w:rPr>
          <w:lang w:val="es-ES_tradnl"/>
        </w:rPr>
        <w:t xml:space="preserve"> seguido por el sector de maquinarias y equipo (con índices de 78 y 69 respectivamente). Alternativamente, el sector de menor vulnerabilidad es el de textil y maquila, con un </w:t>
      </w:r>
      <w:r w:rsidR="05D548EB" w:rsidRPr="00E83B7E">
        <w:rPr>
          <w:lang w:val="es-ES_tradnl"/>
        </w:rPr>
        <w:t>índice</w:t>
      </w:r>
      <w:r w:rsidRPr="00E83B7E">
        <w:rPr>
          <w:lang w:val="es-ES_tradnl"/>
        </w:rPr>
        <w:t xml:space="preserve"> de 49. El </w:t>
      </w:r>
      <w:r w:rsidRPr="00E83B7E">
        <w:rPr>
          <w:b/>
          <w:bCs/>
          <w:lang w:val="es-ES_tradnl"/>
        </w:rPr>
        <w:t>sector turismo</w:t>
      </w:r>
      <w:r w:rsidRPr="00E83B7E">
        <w:rPr>
          <w:lang w:val="es-ES_tradnl"/>
        </w:rPr>
        <w:t>, present</w:t>
      </w:r>
      <w:r w:rsidR="00043713" w:rsidRPr="00E83B7E">
        <w:rPr>
          <w:lang w:val="es-ES_tradnl"/>
        </w:rPr>
        <w:t>a</w:t>
      </w:r>
      <w:r w:rsidRPr="00E83B7E">
        <w:rPr>
          <w:lang w:val="es-ES_tradnl"/>
        </w:rPr>
        <w:t xml:space="preserve"> un grado de vulnerabilidad severo, con un </w:t>
      </w:r>
      <w:r w:rsidR="0DE8370F" w:rsidRPr="00E83B7E">
        <w:rPr>
          <w:lang w:val="es-ES_tradnl"/>
        </w:rPr>
        <w:t>grado</w:t>
      </w:r>
      <w:r w:rsidRPr="00E83B7E">
        <w:rPr>
          <w:lang w:val="es-ES_tradnl"/>
        </w:rPr>
        <w:t xml:space="preserve"> de 78, mayormente guiado por factores de demanda (100), seguido de los factores financieros y patrimoniales y por factores de oferta. El sector incluye más de 24.000 </w:t>
      </w:r>
      <w:r w:rsidR="00043713" w:rsidRPr="00E83B7E">
        <w:rPr>
          <w:lang w:val="es-ES_tradnl"/>
        </w:rPr>
        <w:t>Mi</w:t>
      </w:r>
      <w:r w:rsidRPr="00E83B7E">
        <w:rPr>
          <w:lang w:val="es-ES_tradnl"/>
        </w:rPr>
        <w:t>P</w:t>
      </w:r>
      <w:r w:rsidR="00E83B7E">
        <w:rPr>
          <w:lang w:val="es-ES_tradnl"/>
        </w:rPr>
        <w:t>y</w:t>
      </w:r>
      <w:r w:rsidRPr="00E83B7E">
        <w:rPr>
          <w:lang w:val="es-ES_tradnl"/>
        </w:rPr>
        <w:t xml:space="preserve">ME (más del 99% del total de empresas del sector), contribuye un 3% al PIB y más del 64 % de su producción se orienta a la demanda externa. El sector </w:t>
      </w:r>
      <w:r w:rsidRPr="00E83B7E">
        <w:rPr>
          <w:b/>
          <w:bCs/>
          <w:lang w:val="es-ES_tradnl"/>
        </w:rPr>
        <w:t xml:space="preserve">maquinaria y equipos </w:t>
      </w:r>
      <w:r w:rsidRPr="00E83B7E">
        <w:rPr>
          <w:lang w:val="es-ES_tradnl"/>
        </w:rPr>
        <w:t xml:space="preserve">presenta un grado de vulnerabilidad elevado, con un </w:t>
      </w:r>
      <w:r w:rsidR="7F3A91B9" w:rsidRPr="00E83B7E">
        <w:rPr>
          <w:lang w:val="es-ES_tradnl"/>
        </w:rPr>
        <w:t>índice</w:t>
      </w:r>
      <w:r w:rsidRPr="00E83B7E">
        <w:rPr>
          <w:lang w:val="es-ES_tradnl"/>
        </w:rPr>
        <w:t xml:space="preserve"> de 69 en función del alto grado de percepción de riesgos de demanda e institucionales y, en menor medida, de oferta (59). El 98% de las empresas del sector son </w:t>
      </w:r>
      <w:r w:rsidR="003C6DCD" w:rsidRPr="00E83B7E">
        <w:rPr>
          <w:lang w:val="es-ES_tradnl"/>
        </w:rPr>
        <w:t>Mi</w:t>
      </w:r>
      <w:r w:rsidRPr="00E83B7E">
        <w:rPr>
          <w:lang w:val="es-ES_tradnl"/>
        </w:rPr>
        <w:t>P</w:t>
      </w:r>
      <w:r w:rsidR="00E83B7E">
        <w:rPr>
          <w:lang w:val="es-ES_tradnl"/>
        </w:rPr>
        <w:t>y</w:t>
      </w:r>
      <w:r w:rsidRPr="00E83B7E">
        <w:rPr>
          <w:lang w:val="es-ES_tradnl"/>
        </w:rPr>
        <w:t>ME con un total de 278, y contribuyen en un 13% al PIB</w:t>
      </w:r>
      <w:r w:rsidR="004C6262" w:rsidRPr="00E83B7E">
        <w:rPr>
          <w:rStyle w:val="FootnoteReference"/>
          <w:lang w:val="es-ES_tradnl"/>
        </w:rPr>
        <w:footnoteReference w:id="2"/>
      </w:r>
      <w:r w:rsidRPr="00E83B7E">
        <w:rPr>
          <w:lang w:val="es-ES_tradnl"/>
        </w:rPr>
        <w:t xml:space="preserve"> y en un 1</w:t>
      </w:r>
      <w:r w:rsidR="464C3263" w:rsidRPr="00E83B7E">
        <w:rPr>
          <w:lang w:val="es-ES_tradnl"/>
        </w:rPr>
        <w:t>,</w:t>
      </w:r>
      <w:r w:rsidRPr="00E83B7E">
        <w:rPr>
          <w:lang w:val="es-ES_tradnl"/>
        </w:rPr>
        <w:t>1% al empleo</w:t>
      </w:r>
      <w:r w:rsidR="003A6D81" w:rsidRPr="00E83B7E">
        <w:rPr>
          <w:lang w:val="es-ES_tradnl"/>
        </w:rPr>
        <w:t xml:space="preserve"> del sector manufacturero</w:t>
      </w:r>
      <w:r w:rsidRPr="00E83B7E">
        <w:rPr>
          <w:lang w:val="es-ES_tradnl"/>
        </w:rPr>
        <w:t xml:space="preserve">. </w:t>
      </w:r>
      <w:r w:rsidR="003C6DCD" w:rsidRPr="00E83B7E">
        <w:rPr>
          <w:lang w:val="es-ES_tradnl"/>
        </w:rPr>
        <w:t xml:space="preserve"> </w:t>
      </w:r>
      <w:r w:rsidR="003C6DCD" w:rsidRPr="00D42F82">
        <w:rPr>
          <w:lang w:val="es-ES_tradnl"/>
        </w:rPr>
        <w:t>El s</w:t>
      </w:r>
      <w:r w:rsidR="00043713" w:rsidRPr="00D42F82">
        <w:rPr>
          <w:lang w:val="es-ES_tradnl"/>
        </w:rPr>
        <w:t xml:space="preserve">ector </w:t>
      </w:r>
      <w:r w:rsidR="00043713" w:rsidRPr="00D42F82">
        <w:rPr>
          <w:b/>
          <w:bCs/>
          <w:lang w:val="es-ES_tradnl"/>
        </w:rPr>
        <w:t xml:space="preserve">transporte </w:t>
      </w:r>
      <w:r w:rsidR="00043713" w:rsidRPr="00D42F82">
        <w:rPr>
          <w:lang w:val="es-ES_tradnl"/>
        </w:rPr>
        <w:t>presenta un grado de vulnerabilidad elevado, con un IV de 56 como resultado de factores de oferta, de demanda e institucionales. El sector está constituido por más de 5.800 empresas, de las cuales el 99% son M</w:t>
      </w:r>
      <w:r w:rsidR="003C6DCD" w:rsidRPr="00D42F82">
        <w:rPr>
          <w:lang w:val="es-ES_tradnl"/>
        </w:rPr>
        <w:t>i</w:t>
      </w:r>
      <w:r w:rsidR="00043713" w:rsidRPr="00D42F82">
        <w:rPr>
          <w:lang w:val="es-ES_tradnl"/>
        </w:rPr>
        <w:t>P</w:t>
      </w:r>
      <w:r w:rsidR="00E83B7E" w:rsidRPr="00D42F82">
        <w:rPr>
          <w:lang w:val="es-ES_tradnl"/>
        </w:rPr>
        <w:t>y</w:t>
      </w:r>
      <w:r w:rsidR="00043713" w:rsidRPr="00D42F82">
        <w:rPr>
          <w:lang w:val="es-ES_tradnl"/>
        </w:rPr>
        <w:t>ME</w:t>
      </w:r>
      <w:r w:rsidR="00043713" w:rsidRPr="00E83B7E">
        <w:rPr>
          <w:lang w:val="es-ES_tradnl"/>
        </w:rPr>
        <w:t xml:space="preserve">. El sector contribuye al empleo en un 8% y al nivel de actividad en un </w:t>
      </w:r>
      <w:r w:rsidR="00517203">
        <w:rPr>
          <w:lang w:val="es-ES_tradnl"/>
        </w:rPr>
        <w:t>7</w:t>
      </w:r>
      <w:r w:rsidR="00D42F82">
        <w:rPr>
          <w:lang w:val="es-ES_tradnl"/>
        </w:rPr>
        <w:t>.</w:t>
      </w:r>
      <w:r w:rsidR="00517203">
        <w:rPr>
          <w:lang w:val="es-ES_tradnl"/>
        </w:rPr>
        <w:t>3</w:t>
      </w:r>
      <w:r w:rsidR="00043713" w:rsidRPr="00E83B7E">
        <w:rPr>
          <w:lang w:val="es-ES_tradnl"/>
        </w:rPr>
        <w:t>%.</w:t>
      </w:r>
      <w:r w:rsidR="003C6DCD" w:rsidRPr="00E83B7E">
        <w:rPr>
          <w:lang w:val="es-ES_tradnl"/>
        </w:rPr>
        <w:t xml:space="preserve"> El sector de </w:t>
      </w:r>
      <w:r w:rsidR="003C6DCD" w:rsidRPr="00E83B7E">
        <w:rPr>
          <w:b/>
          <w:bCs/>
          <w:i/>
          <w:iCs/>
          <w:lang w:val="es-ES_tradnl"/>
        </w:rPr>
        <w:t>commodities</w:t>
      </w:r>
      <w:r w:rsidR="003C6DCD" w:rsidRPr="00E83B7E">
        <w:rPr>
          <w:b/>
          <w:bCs/>
          <w:lang w:val="es-ES_tradnl"/>
        </w:rPr>
        <w:t xml:space="preserve"> agropecuarios </w:t>
      </w:r>
      <w:r w:rsidR="003C6DCD" w:rsidRPr="00E83B7E">
        <w:rPr>
          <w:lang w:val="es-ES_tradnl"/>
        </w:rPr>
        <w:t xml:space="preserve">tiene un alto grado de vulnerabilidad, con un IV de 50, como consecuencia de factores institucionales, financieros y patrimoniales, </w:t>
      </w:r>
      <w:proofErr w:type="gramStart"/>
      <w:r w:rsidR="003C6DCD" w:rsidRPr="00E83B7E">
        <w:rPr>
          <w:lang w:val="es-ES_tradnl"/>
        </w:rPr>
        <w:t>y</w:t>
      </w:r>
      <w:proofErr w:type="gramEnd"/>
      <w:r w:rsidR="003C6DCD" w:rsidRPr="00E83B7E">
        <w:rPr>
          <w:lang w:val="es-ES_tradnl"/>
        </w:rPr>
        <w:t xml:space="preserve"> por último, de demanda. El sector tiene una contribución alta al empleo, en un 29% con un total de más de 660.000 MiP</w:t>
      </w:r>
      <w:r w:rsidR="00E83B7E">
        <w:rPr>
          <w:lang w:val="es-ES_tradnl"/>
        </w:rPr>
        <w:t>y</w:t>
      </w:r>
      <w:r w:rsidR="003C6DCD" w:rsidRPr="00E83B7E">
        <w:rPr>
          <w:lang w:val="es-ES_tradnl"/>
        </w:rPr>
        <w:t>ME. En el sector más del 93% de los productores son pequeños productores o MiP</w:t>
      </w:r>
      <w:r w:rsidR="00E83B7E">
        <w:rPr>
          <w:lang w:val="es-ES_tradnl"/>
        </w:rPr>
        <w:t>y</w:t>
      </w:r>
      <w:r w:rsidR="003C6DCD" w:rsidRPr="00E83B7E">
        <w:rPr>
          <w:lang w:val="es-ES_tradnl"/>
        </w:rPr>
        <w:t xml:space="preserve">ME, y contribuyen en 7,8% al nivel de actividad. Además, más del 71% de su producción se destina a exportación. El sector </w:t>
      </w:r>
      <w:r w:rsidR="003C6DCD" w:rsidRPr="00E83B7E">
        <w:rPr>
          <w:b/>
          <w:bCs/>
          <w:lang w:val="es-ES_tradnl"/>
        </w:rPr>
        <w:t xml:space="preserve">automotriz </w:t>
      </w:r>
      <w:r w:rsidR="003C6DCD" w:rsidRPr="00E83B7E">
        <w:rPr>
          <w:lang w:val="es-ES_tradnl"/>
        </w:rPr>
        <w:t xml:space="preserve">presenta un grado de vulnerabilidad alto, con un índice de 50, motivado fundamentalmente por los factores de demanda. En particular, la reducción de la demanda interna y en menor medida la de exportación. El sector lo componen </w:t>
      </w:r>
      <w:r w:rsidR="00517203">
        <w:rPr>
          <w:lang w:val="es-ES_tradnl"/>
        </w:rPr>
        <w:t>307</w:t>
      </w:r>
      <w:r w:rsidR="003C6DCD" w:rsidRPr="00E83B7E">
        <w:rPr>
          <w:lang w:val="es-ES_tradnl"/>
        </w:rPr>
        <w:t xml:space="preserve"> empresas, de las cuales el </w:t>
      </w:r>
      <w:r w:rsidR="00517203">
        <w:rPr>
          <w:lang w:val="es-ES_tradnl"/>
        </w:rPr>
        <w:t>76.87</w:t>
      </w:r>
      <w:r w:rsidR="003C6DCD" w:rsidRPr="00E83B7E">
        <w:rPr>
          <w:lang w:val="es-ES_tradnl"/>
        </w:rPr>
        <w:t>% son MiP</w:t>
      </w:r>
      <w:r w:rsidR="00E83B7E">
        <w:rPr>
          <w:lang w:val="es-ES_tradnl"/>
        </w:rPr>
        <w:t>y</w:t>
      </w:r>
      <w:r w:rsidR="003C6DCD" w:rsidRPr="00E83B7E">
        <w:rPr>
          <w:lang w:val="es-ES_tradnl"/>
        </w:rPr>
        <w:t>ME. El sector contribuye en cerca del 1% al PIB y al empleo.</w:t>
      </w:r>
    </w:p>
    <w:p w14:paraId="2E4051EC" w14:textId="213EEFC5" w:rsidR="00043713" w:rsidRPr="00E83B7E" w:rsidRDefault="00816025" w:rsidP="00043713">
      <w:pPr>
        <w:jc w:val="both"/>
        <w:rPr>
          <w:lang w:val="es-ES_tradnl"/>
        </w:rPr>
      </w:pPr>
      <w:r w:rsidRPr="00E83B7E">
        <w:rPr>
          <w:lang w:val="es-ES_tradnl"/>
        </w:rPr>
        <w:t xml:space="preserve">El sector con menor grado de vulnerabilidad es el sector </w:t>
      </w:r>
      <w:r w:rsidRPr="00E83B7E">
        <w:rPr>
          <w:b/>
          <w:bCs/>
          <w:lang w:val="es-ES_tradnl"/>
        </w:rPr>
        <w:t xml:space="preserve">textil y maquila. </w:t>
      </w:r>
      <w:r w:rsidRPr="00E83B7E">
        <w:rPr>
          <w:lang w:val="es-ES_tradnl"/>
        </w:rPr>
        <w:t xml:space="preserve">Presenta un grado de vulnerabilidad medio, con un </w:t>
      </w:r>
      <w:r w:rsidR="6B2280BB" w:rsidRPr="00E83B7E">
        <w:rPr>
          <w:lang w:val="es-ES_tradnl"/>
        </w:rPr>
        <w:t>índice</w:t>
      </w:r>
      <w:r w:rsidRPr="00E83B7E">
        <w:rPr>
          <w:lang w:val="es-ES_tradnl"/>
        </w:rPr>
        <w:t xml:space="preserve"> de 49 debido a limitaciones en el uso de la fuerza de trabajo como factor de oferta restrictivo a la actividad del sector. La actividad de este sector contribuye en un 6% al PIB y lo conforma 280 empresas, casi el 90% son MIPYME.  </w:t>
      </w:r>
    </w:p>
    <w:p w14:paraId="106B0828" w14:textId="175E2B76" w:rsidR="00816025" w:rsidRPr="00E83B7E" w:rsidRDefault="00816025" w:rsidP="00816025">
      <w:pPr>
        <w:jc w:val="both"/>
        <w:rPr>
          <w:lang w:val="es-ES_tradnl"/>
        </w:rPr>
      </w:pPr>
      <w:r w:rsidRPr="00E83B7E">
        <w:rPr>
          <w:lang w:val="es-ES_tradnl"/>
        </w:rPr>
        <w:t>El análisis concluye que los sectores productivos que pueden considerarse de mayor vulnerabilidad en Ecuador ante la crisis del COVID-19 dentro de los analizados son: turismo y maquinaria y equipos</w:t>
      </w:r>
      <w:r w:rsidR="00043713" w:rsidRPr="00E83B7E">
        <w:rPr>
          <w:lang w:val="es-ES_tradnl"/>
        </w:rPr>
        <w:t xml:space="preserve">, el sector transporte, el sector de </w:t>
      </w:r>
      <w:r w:rsidR="00043713" w:rsidRPr="00E83B7E">
        <w:rPr>
          <w:i/>
          <w:iCs/>
          <w:lang w:val="es-ES_tradnl"/>
        </w:rPr>
        <w:t>commodities</w:t>
      </w:r>
      <w:r w:rsidR="00043713" w:rsidRPr="00E83B7E">
        <w:rPr>
          <w:lang w:val="es-ES_tradnl"/>
        </w:rPr>
        <w:t xml:space="preserve"> agropecuarios y el automotriz, </w:t>
      </w:r>
      <w:r w:rsidRPr="00E83B7E">
        <w:rPr>
          <w:lang w:val="es-ES_tradnl"/>
        </w:rPr>
        <w:t xml:space="preserve">y menor medida y textil y maquila. </w:t>
      </w:r>
    </w:p>
    <w:p w14:paraId="79F4E982" w14:textId="4AB5552B" w:rsidR="00D41616" w:rsidRPr="00E83B7E" w:rsidRDefault="00D316B0" w:rsidP="00B9430F">
      <w:pPr>
        <w:rPr>
          <w:lang w:val="es-ES_tradnl"/>
        </w:rPr>
      </w:pPr>
      <w:bookmarkStart w:id="5" w:name="_Toc36834036"/>
      <w:r w:rsidRPr="00E83B7E">
        <w:rPr>
          <w:lang w:val="es-ES_tradnl"/>
        </w:rPr>
        <w:br w:type="page"/>
      </w:r>
      <w:r w:rsidR="00D41616" w:rsidRPr="00E83B7E">
        <w:rPr>
          <w:lang w:val="es-ES_tradnl"/>
        </w:rPr>
        <w:lastRenderedPageBreak/>
        <w:t>Introducción</w:t>
      </w:r>
      <w:r w:rsidR="008F50E1" w:rsidRPr="00E83B7E">
        <w:rPr>
          <w:lang w:val="es-ES_tradnl"/>
        </w:rPr>
        <w:t xml:space="preserve"> y marco analítico</w:t>
      </w:r>
      <w:bookmarkEnd w:id="5"/>
    </w:p>
    <w:p w14:paraId="11706418" w14:textId="10DCD742" w:rsidR="00933DA6" w:rsidRPr="00E83B7E" w:rsidRDefault="00933DA6" w:rsidP="004656DB">
      <w:pPr>
        <w:jc w:val="both"/>
        <w:rPr>
          <w:lang w:val="es-ES_tradnl"/>
        </w:rPr>
      </w:pPr>
      <w:r w:rsidRPr="00E83B7E">
        <w:rPr>
          <w:lang w:val="es-ES_tradnl"/>
        </w:rPr>
        <w:t xml:space="preserve">Este documento presente un análisis de vulnerabilidades desagregado por sectores y con referencia a la situación de las </w:t>
      </w:r>
      <w:r w:rsidR="001570DD" w:rsidRPr="00E83B7E">
        <w:rPr>
          <w:lang w:val="es-ES_tradnl"/>
        </w:rPr>
        <w:t>M</w:t>
      </w:r>
      <w:r w:rsidR="00043713" w:rsidRPr="00E83B7E">
        <w:rPr>
          <w:lang w:val="es-ES_tradnl"/>
        </w:rPr>
        <w:t>i</w:t>
      </w:r>
      <w:r w:rsidRPr="00E83B7E">
        <w:rPr>
          <w:lang w:val="es-ES_tradnl"/>
        </w:rPr>
        <w:t>P</w:t>
      </w:r>
      <w:r w:rsidR="00E83B7E">
        <w:rPr>
          <w:lang w:val="es-ES_tradnl"/>
        </w:rPr>
        <w:t>y</w:t>
      </w:r>
      <w:r w:rsidRPr="00E83B7E">
        <w:rPr>
          <w:lang w:val="es-ES_tradnl"/>
        </w:rPr>
        <w:t xml:space="preserve">ME en </w:t>
      </w:r>
      <w:r w:rsidR="00A5757F" w:rsidRPr="00E83B7E">
        <w:rPr>
          <w:lang w:val="es-ES_tradnl"/>
        </w:rPr>
        <w:t>Ecuador</w:t>
      </w:r>
      <w:r w:rsidRPr="00E83B7E">
        <w:rPr>
          <w:lang w:val="es-ES_tradnl"/>
        </w:rPr>
        <w:t xml:space="preserve">. Se consideran en particular los siguientes </w:t>
      </w:r>
      <w:r w:rsidR="00A5757F" w:rsidRPr="00E83B7E">
        <w:rPr>
          <w:lang w:val="es-ES_tradnl"/>
        </w:rPr>
        <w:t xml:space="preserve">seis </w:t>
      </w:r>
      <w:r w:rsidRPr="00E83B7E">
        <w:rPr>
          <w:lang w:val="es-ES_tradnl"/>
        </w:rPr>
        <w:t>sectores:</w:t>
      </w:r>
      <w:r w:rsidR="00A5757F" w:rsidRPr="00E83B7E">
        <w:rPr>
          <w:lang w:val="es-ES_tradnl"/>
        </w:rPr>
        <w:t xml:space="preserve"> Turismo, Transporte, Automotriz, Maquinaria y equipos, Textil y maquila y Agropecuario.</w:t>
      </w:r>
    </w:p>
    <w:p w14:paraId="63A80D11" w14:textId="3976B0D2" w:rsidR="00E46B00" w:rsidRPr="00E83B7E" w:rsidRDefault="005D1844" w:rsidP="00E46B00">
      <w:pPr>
        <w:spacing w:after="0" w:line="240" w:lineRule="auto"/>
        <w:jc w:val="center"/>
        <w:rPr>
          <w:b/>
          <w:bCs/>
          <w:lang w:val="es-ES_tradnl"/>
        </w:rPr>
      </w:pPr>
      <w:r w:rsidRPr="00E83B7E">
        <w:rPr>
          <w:b/>
          <w:bCs/>
          <w:lang w:val="es-ES_tradnl"/>
        </w:rPr>
        <w:t>Tabla</w:t>
      </w:r>
      <w:r w:rsidR="00E46B00" w:rsidRPr="00E83B7E">
        <w:rPr>
          <w:b/>
          <w:bCs/>
          <w:lang w:val="es-ES_tradnl"/>
        </w:rPr>
        <w:t xml:space="preserve"> I.1</w:t>
      </w:r>
    </w:p>
    <w:p w14:paraId="1D22116A" w14:textId="1C25345B" w:rsidR="00E46B00" w:rsidRPr="00E83B7E" w:rsidRDefault="00E46B00" w:rsidP="0007292C">
      <w:pPr>
        <w:spacing w:after="0" w:line="240" w:lineRule="auto"/>
        <w:jc w:val="center"/>
        <w:rPr>
          <w:b/>
          <w:bCs/>
          <w:lang w:val="es-ES_tradnl"/>
        </w:rPr>
      </w:pPr>
      <w:r w:rsidRPr="00E83B7E">
        <w:rPr>
          <w:b/>
          <w:bCs/>
          <w:lang w:val="es-ES_tradnl"/>
        </w:rPr>
        <w:t xml:space="preserve">Sectores considerados </w:t>
      </w:r>
    </w:p>
    <w:tbl>
      <w:tblPr>
        <w:tblStyle w:val="TableGrid"/>
        <w:tblW w:w="0" w:type="auto"/>
        <w:jc w:val="center"/>
        <w:tblLook w:val="04A0" w:firstRow="1" w:lastRow="0" w:firstColumn="1" w:lastColumn="0" w:noHBand="0" w:noVBand="1"/>
      </w:tblPr>
      <w:tblGrid>
        <w:gridCol w:w="1710"/>
        <w:gridCol w:w="2520"/>
      </w:tblGrid>
      <w:tr w:rsidR="00933DA6" w:rsidRPr="00E83B7E" w14:paraId="5E7D590B" w14:textId="77777777" w:rsidTr="0007292C">
        <w:trPr>
          <w:jc w:val="center"/>
        </w:trPr>
        <w:tc>
          <w:tcPr>
            <w:tcW w:w="1710" w:type="dxa"/>
            <w:shd w:val="clear" w:color="auto" w:fill="D9E2F3" w:themeFill="accent1" w:themeFillTint="33"/>
          </w:tcPr>
          <w:p w14:paraId="0F24DF72" w14:textId="6B875490" w:rsidR="00933DA6" w:rsidRPr="00E83B7E" w:rsidRDefault="00E46B00" w:rsidP="0007292C">
            <w:pPr>
              <w:jc w:val="center"/>
              <w:rPr>
                <w:b/>
                <w:bCs/>
                <w:lang w:val="es-ES_tradnl"/>
              </w:rPr>
            </w:pPr>
            <w:r w:rsidRPr="00E83B7E">
              <w:rPr>
                <w:b/>
                <w:bCs/>
                <w:lang w:val="es-ES_tradnl"/>
              </w:rPr>
              <w:t>Sector</w:t>
            </w:r>
          </w:p>
        </w:tc>
        <w:tc>
          <w:tcPr>
            <w:tcW w:w="2520" w:type="dxa"/>
            <w:shd w:val="clear" w:color="auto" w:fill="D9E2F3" w:themeFill="accent1" w:themeFillTint="33"/>
          </w:tcPr>
          <w:p w14:paraId="149CCD51" w14:textId="17420C1E" w:rsidR="00933DA6" w:rsidRPr="00E83B7E" w:rsidRDefault="00BF3440" w:rsidP="0007292C">
            <w:pPr>
              <w:jc w:val="both"/>
              <w:rPr>
                <w:b/>
                <w:bCs/>
                <w:lang w:val="es-ES_tradnl"/>
              </w:rPr>
            </w:pPr>
            <w:r w:rsidRPr="00E83B7E">
              <w:rPr>
                <w:b/>
                <w:bCs/>
                <w:lang w:val="es-ES_tradnl"/>
              </w:rPr>
              <w:t>Rama</w:t>
            </w:r>
          </w:p>
        </w:tc>
      </w:tr>
      <w:tr w:rsidR="00BF3440" w:rsidRPr="00E83B7E" w14:paraId="4F519B63" w14:textId="77777777" w:rsidTr="00933DA6">
        <w:trPr>
          <w:jc w:val="center"/>
        </w:trPr>
        <w:tc>
          <w:tcPr>
            <w:tcW w:w="1710" w:type="dxa"/>
            <w:vMerge w:val="restart"/>
          </w:tcPr>
          <w:p w14:paraId="25E5B574" w14:textId="70E606B8" w:rsidR="00BF3440" w:rsidRPr="00E83B7E" w:rsidRDefault="00BF3440" w:rsidP="0007292C">
            <w:pPr>
              <w:jc w:val="center"/>
              <w:rPr>
                <w:b/>
                <w:bCs/>
                <w:lang w:val="es-ES_tradnl"/>
              </w:rPr>
            </w:pPr>
            <w:r w:rsidRPr="00E83B7E">
              <w:rPr>
                <w:b/>
                <w:bCs/>
                <w:lang w:val="es-ES_tradnl"/>
              </w:rPr>
              <w:t>Servicios</w:t>
            </w:r>
          </w:p>
        </w:tc>
        <w:tc>
          <w:tcPr>
            <w:tcW w:w="2520" w:type="dxa"/>
          </w:tcPr>
          <w:p w14:paraId="786ED796" w14:textId="0EA4B983" w:rsidR="00BF3440" w:rsidRPr="00E83B7E" w:rsidRDefault="00BF3440" w:rsidP="00E46B00">
            <w:pPr>
              <w:jc w:val="both"/>
              <w:rPr>
                <w:lang w:val="es-ES_tradnl"/>
              </w:rPr>
            </w:pPr>
            <w:r w:rsidRPr="00E83B7E">
              <w:rPr>
                <w:lang w:val="es-ES_tradnl"/>
              </w:rPr>
              <w:t xml:space="preserve">Turismo </w:t>
            </w:r>
          </w:p>
        </w:tc>
      </w:tr>
      <w:tr w:rsidR="00A5757F" w:rsidRPr="00E83B7E" w14:paraId="56CF7BD9" w14:textId="77777777" w:rsidTr="00B82748">
        <w:trPr>
          <w:jc w:val="center"/>
        </w:trPr>
        <w:tc>
          <w:tcPr>
            <w:tcW w:w="1710" w:type="dxa"/>
            <w:vMerge/>
          </w:tcPr>
          <w:p w14:paraId="09CDD2D1" w14:textId="77777777" w:rsidR="00A5757F" w:rsidRPr="00E83B7E" w:rsidRDefault="00A5757F" w:rsidP="0007292C">
            <w:pPr>
              <w:jc w:val="center"/>
              <w:rPr>
                <w:b/>
                <w:bCs/>
                <w:lang w:val="es-ES_tradnl"/>
              </w:rPr>
            </w:pPr>
          </w:p>
        </w:tc>
        <w:tc>
          <w:tcPr>
            <w:tcW w:w="2520" w:type="dxa"/>
          </w:tcPr>
          <w:p w14:paraId="381D4AE8" w14:textId="69DDBD1E" w:rsidR="00A5757F" w:rsidRPr="00E83B7E" w:rsidRDefault="00A5757F" w:rsidP="0007292C">
            <w:pPr>
              <w:jc w:val="both"/>
              <w:rPr>
                <w:lang w:val="es-ES_tradnl"/>
              </w:rPr>
            </w:pPr>
            <w:r w:rsidRPr="00E83B7E">
              <w:rPr>
                <w:lang w:val="es-ES_tradnl"/>
              </w:rPr>
              <w:t>Transporte</w:t>
            </w:r>
          </w:p>
        </w:tc>
      </w:tr>
      <w:tr w:rsidR="00A5757F" w:rsidRPr="00E83B7E" w14:paraId="21005F1B" w14:textId="77777777" w:rsidTr="004A49A8">
        <w:trPr>
          <w:jc w:val="center"/>
        </w:trPr>
        <w:tc>
          <w:tcPr>
            <w:tcW w:w="1710" w:type="dxa"/>
            <w:vMerge w:val="restart"/>
          </w:tcPr>
          <w:p w14:paraId="4F90D584" w14:textId="4A3C9C50" w:rsidR="00A5757F" w:rsidRPr="00E83B7E" w:rsidRDefault="00A5757F" w:rsidP="0007292C">
            <w:pPr>
              <w:jc w:val="center"/>
              <w:rPr>
                <w:b/>
                <w:bCs/>
                <w:lang w:val="es-ES_tradnl"/>
              </w:rPr>
            </w:pPr>
            <w:r w:rsidRPr="00E83B7E">
              <w:rPr>
                <w:b/>
                <w:bCs/>
                <w:lang w:val="es-ES_tradnl"/>
              </w:rPr>
              <w:t>Industria</w:t>
            </w:r>
          </w:p>
        </w:tc>
        <w:tc>
          <w:tcPr>
            <w:tcW w:w="2520" w:type="dxa"/>
          </w:tcPr>
          <w:p w14:paraId="025C10E2" w14:textId="73D2BB52" w:rsidR="00A5757F" w:rsidRPr="00E83B7E" w:rsidRDefault="00A5757F" w:rsidP="0007292C">
            <w:pPr>
              <w:jc w:val="both"/>
              <w:rPr>
                <w:lang w:val="es-ES_tradnl"/>
              </w:rPr>
            </w:pPr>
            <w:r w:rsidRPr="00E83B7E">
              <w:rPr>
                <w:lang w:val="es-ES_tradnl"/>
              </w:rPr>
              <w:t>Automotriz</w:t>
            </w:r>
          </w:p>
        </w:tc>
      </w:tr>
      <w:tr w:rsidR="00A5757F" w:rsidRPr="00E83B7E" w14:paraId="1AB1B24A" w14:textId="77777777" w:rsidTr="004A49A8">
        <w:trPr>
          <w:jc w:val="center"/>
        </w:trPr>
        <w:tc>
          <w:tcPr>
            <w:tcW w:w="1710" w:type="dxa"/>
            <w:vMerge/>
          </w:tcPr>
          <w:p w14:paraId="7DD86CF8" w14:textId="4752B027" w:rsidR="00A5757F" w:rsidRPr="00E83B7E" w:rsidRDefault="00A5757F" w:rsidP="0007292C">
            <w:pPr>
              <w:jc w:val="center"/>
              <w:rPr>
                <w:b/>
                <w:bCs/>
                <w:lang w:val="es-ES_tradnl"/>
              </w:rPr>
            </w:pPr>
          </w:p>
        </w:tc>
        <w:tc>
          <w:tcPr>
            <w:tcW w:w="2520" w:type="dxa"/>
          </w:tcPr>
          <w:p w14:paraId="72D9702F" w14:textId="2640FAEE" w:rsidR="00A5757F" w:rsidRPr="00E83B7E" w:rsidRDefault="00A5757F" w:rsidP="0007292C">
            <w:pPr>
              <w:jc w:val="both"/>
              <w:rPr>
                <w:lang w:val="es-ES_tradnl"/>
              </w:rPr>
            </w:pPr>
            <w:r w:rsidRPr="00E83B7E">
              <w:rPr>
                <w:lang w:val="es-ES_tradnl"/>
              </w:rPr>
              <w:t>Maquinaria y equipos</w:t>
            </w:r>
          </w:p>
        </w:tc>
      </w:tr>
      <w:tr w:rsidR="00A5757F" w:rsidRPr="00E83B7E" w14:paraId="47FB2D8C" w14:textId="77777777" w:rsidTr="004A49A8">
        <w:trPr>
          <w:jc w:val="center"/>
        </w:trPr>
        <w:tc>
          <w:tcPr>
            <w:tcW w:w="1710" w:type="dxa"/>
            <w:vMerge/>
          </w:tcPr>
          <w:p w14:paraId="2E11740F" w14:textId="77777777" w:rsidR="00A5757F" w:rsidRPr="00E83B7E" w:rsidRDefault="00A5757F" w:rsidP="0007292C">
            <w:pPr>
              <w:jc w:val="center"/>
              <w:rPr>
                <w:b/>
                <w:bCs/>
                <w:lang w:val="es-ES_tradnl"/>
              </w:rPr>
            </w:pPr>
          </w:p>
        </w:tc>
        <w:tc>
          <w:tcPr>
            <w:tcW w:w="2520" w:type="dxa"/>
          </w:tcPr>
          <w:p w14:paraId="6E9E3F9C" w14:textId="34293933" w:rsidR="00A5757F" w:rsidRPr="00E83B7E" w:rsidRDefault="00A5757F" w:rsidP="0007292C">
            <w:pPr>
              <w:jc w:val="both"/>
              <w:rPr>
                <w:lang w:val="es-ES_tradnl"/>
              </w:rPr>
            </w:pPr>
            <w:r w:rsidRPr="00E83B7E">
              <w:rPr>
                <w:lang w:val="es-ES_tradnl"/>
              </w:rPr>
              <w:t>Textil y maquila</w:t>
            </w:r>
          </w:p>
        </w:tc>
      </w:tr>
      <w:tr w:rsidR="00A5757F" w:rsidRPr="00E83B7E" w14:paraId="3E14A6F6" w14:textId="77777777" w:rsidTr="0007292C">
        <w:trPr>
          <w:jc w:val="center"/>
        </w:trPr>
        <w:tc>
          <w:tcPr>
            <w:tcW w:w="1710" w:type="dxa"/>
            <w:tcBorders>
              <w:bottom w:val="single" w:sz="4" w:space="0" w:color="auto"/>
            </w:tcBorders>
          </w:tcPr>
          <w:p w14:paraId="18865FB6" w14:textId="6F205659" w:rsidR="00A5757F" w:rsidRPr="00E83B7E" w:rsidRDefault="00A5757F" w:rsidP="0007292C">
            <w:pPr>
              <w:jc w:val="center"/>
              <w:rPr>
                <w:b/>
                <w:bCs/>
                <w:lang w:val="es-ES_tradnl"/>
              </w:rPr>
            </w:pPr>
            <w:r w:rsidRPr="00E83B7E">
              <w:rPr>
                <w:b/>
                <w:bCs/>
                <w:lang w:val="es-ES_tradnl"/>
              </w:rPr>
              <w:t>Agropecuario</w:t>
            </w:r>
          </w:p>
        </w:tc>
        <w:tc>
          <w:tcPr>
            <w:tcW w:w="2520" w:type="dxa"/>
            <w:tcBorders>
              <w:bottom w:val="single" w:sz="4" w:space="0" w:color="auto"/>
            </w:tcBorders>
          </w:tcPr>
          <w:p w14:paraId="76127B64" w14:textId="34F8C087" w:rsidR="00A5757F" w:rsidRPr="00E83B7E" w:rsidRDefault="00A5757F" w:rsidP="0007292C">
            <w:pPr>
              <w:jc w:val="both"/>
              <w:rPr>
                <w:i/>
                <w:iCs/>
                <w:lang w:val="es-ES_tradnl"/>
              </w:rPr>
            </w:pPr>
            <w:r w:rsidRPr="00E83B7E">
              <w:rPr>
                <w:i/>
                <w:iCs/>
                <w:lang w:val="es-ES_tradnl"/>
              </w:rPr>
              <w:t>Commodities</w:t>
            </w:r>
          </w:p>
        </w:tc>
      </w:tr>
      <w:tr w:rsidR="00A5757F" w:rsidRPr="00E83B7E" w14:paraId="79DB20BF" w14:textId="77777777" w:rsidTr="0007292C">
        <w:trPr>
          <w:jc w:val="center"/>
        </w:trPr>
        <w:tc>
          <w:tcPr>
            <w:tcW w:w="4230" w:type="dxa"/>
            <w:gridSpan w:val="2"/>
            <w:tcBorders>
              <w:top w:val="single" w:sz="4" w:space="0" w:color="auto"/>
              <w:left w:val="nil"/>
              <w:bottom w:val="nil"/>
              <w:right w:val="nil"/>
            </w:tcBorders>
          </w:tcPr>
          <w:p w14:paraId="599D127D" w14:textId="1079A57C" w:rsidR="00A5757F" w:rsidRPr="00E83B7E" w:rsidRDefault="00A5757F" w:rsidP="0007292C">
            <w:pPr>
              <w:rPr>
                <w:sz w:val="18"/>
                <w:szCs w:val="18"/>
                <w:lang w:val="es-ES_tradnl"/>
              </w:rPr>
            </w:pPr>
          </w:p>
        </w:tc>
      </w:tr>
    </w:tbl>
    <w:p w14:paraId="434A6927" w14:textId="1783480C" w:rsidR="00933DA6" w:rsidRPr="00E83B7E" w:rsidRDefault="00933DA6" w:rsidP="0007292C">
      <w:pPr>
        <w:jc w:val="both"/>
        <w:rPr>
          <w:lang w:val="es-ES_tradnl"/>
        </w:rPr>
      </w:pPr>
    </w:p>
    <w:p w14:paraId="308E244D" w14:textId="4AA7E7AA" w:rsidR="004656DB" w:rsidRPr="00E83B7E" w:rsidRDefault="004656DB" w:rsidP="004656DB">
      <w:pPr>
        <w:jc w:val="both"/>
        <w:rPr>
          <w:lang w:val="es-ES_tradnl"/>
        </w:rPr>
      </w:pPr>
      <w:r w:rsidRPr="00E83B7E">
        <w:rPr>
          <w:lang w:val="es-ES_tradnl"/>
        </w:rPr>
        <w:t>Para la determinación de la vulnerabilidad general de un sector se identifican cuatro áreas</w:t>
      </w:r>
      <w:r w:rsidR="0007292C" w:rsidRPr="00E83B7E">
        <w:rPr>
          <w:lang w:val="es-ES_tradnl"/>
        </w:rPr>
        <w:t xml:space="preserve"> o factores</w:t>
      </w:r>
      <w:r w:rsidRPr="00E83B7E">
        <w:rPr>
          <w:lang w:val="es-ES_tradnl"/>
        </w:rPr>
        <w:t xml:space="preserve">: </w:t>
      </w:r>
      <w:r w:rsidR="00E83B7E">
        <w:rPr>
          <w:lang w:val="es-ES_tradnl"/>
        </w:rPr>
        <w:t>(</w:t>
      </w:r>
      <w:r w:rsidR="0007292C" w:rsidRPr="00E83B7E">
        <w:rPr>
          <w:lang w:val="es-ES_tradnl"/>
        </w:rPr>
        <w:t>i)</w:t>
      </w:r>
      <w:r w:rsidR="00E83B7E">
        <w:rPr>
          <w:lang w:val="es-ES_tradnl"/>
        </w:rPr>
        <w:t> </w:t>
      </w:r>
      <w:r w:rsidRPr="00E83B7E">
        <w:rPr>
          <w:lang w:val="es-ES_tradnl"/>
        </w:rPr>
        <w:t>oferta</w:t>
      </w:r>
      <w:r w:rsidR="0007292C" w:rsidRPr="00E83B7E">
        <w:rPr>
          <w:lang w:val="es-ES_tradnl"/>
        </w:rPr>
        <w:t xml:space="preserve">; </w:t>
      </w:r>
      <w:r w:rsidR="00E83B7E">
        <w:rPr>
          <w:lang w:val="es-ES_tradnl"/>
        </w:rPr>
        <w:t>(</w:t>
      </w:r>
      <w:r w:rsidR="0007292C" w:rsidRPr="00E83B7E">
        <w:rPr>
          <w:lang w:val="es-ES_tradnl"/>
        </w:rPr>
        <w:t>ii)</w:t>
      </w:r>
      <w:r w:rsidRPr="00E83B7E">
        <w:rPr>
          <w:lang w:val="es-ES_tradnl"/>
        </w:rPr>
        <w:t xml:space="preserve"> demanda</w:t>
      </w:r>
      <w:r w:rsidR="0007292C" w:rsidRPr="00E83B7E">
        <w:rPr>
          <w:lang w:val="es-ES_tradnl"/>
        </w:rPr>
        <w:t xml:space="preserve">; </w:t>
      </w:r>
      <w:r w:rsidR="00E83B7E">
        <w:rPr>
          <w:lang w:val="es-ES_tradnl"/>
        </w:rPr>
        <w:t>(</w:t>
      </w:r>
      <w:r w:rsidR="0007292C" w:rsidRPr="00E83B7E">
        <w:rPr>
          <w:lang w:val="es-ES_tradnl"/>
        </w:rPr>
        <w:t>iii)</w:t>
      </w:r>
      <w:r w:rsidRPr="00E83B7E">
        <w:rPr>
          <w:lang w:val="es-ES_tradnl"/>
        </w:rPr>
        <w:t xml:space="preserve"> financiera y patrimonial</w:t>
      </w:r>
      <w:r w:rsidR="0007292C" w:rsidRPr="00E83B7E">
        <w:rPr>
          <w:lang w:val="es-ES_tradnl"/>
        </w:rPr>
        <w:t xml:space="preserve">; y </w:t>
      </w:r>
      <w:r w:rsidR="00E83B7E">
        <w:rPr>
          <w:lang w:val="es-ES_tradnl"/>
        </w:rPr>
        <w:t>(</w:t>
      </w:r>
      <w:r w:rsidR="0007292C" w:rsidRPr="00E83B7E">
        <w:rPr>
          <w:lang w:val="es-ES_tradnl"/>
        </w:rPr>
        <w:t>iv)</w:t>
      </w:r>
      <w:r w:rsidRPr="00E83B7E">
        <w:rPr>
          <w:lang w:val="es-ES_tradnl"/>
        </w:rPr>
        <w:t xml:space="preserve"> y sistémico y regulatorio. En estas cuatro áreas se identifican </w:t>
      </w:r>
      <w:r w:rsidR="0007292C" w:rsidRPr="00E83B7E">
        <w:rPr>
          <w:lang w:val="es-ES_tradnl"/>
        </w:rPr>
        <w:t>tipos</w:t>
      </w:r>
      <w:r w:rsidRPr="00E83B7E">
        <w:rPr>
          <w:lang w:val="es-ES_tradnl"/>
        </w:rPr>
        <w:t xml:space="preserve"> de riesgo y se los evalúa asignándoles un grado cualitativo de materialización potencial </w:t>
      </w:r>
      <w:r w:rsidR="0007292C" w:rsidRPr="00E83B7E">
        <w:rPr>
          <w:lang w:val="es-ES_tradnl"/>
        </w:rPr>
        <w:t>e impacto del riesgo</w:t>
      </w:r>
      <w:r w:rsidR="00794557" w:rsidRPr="00E83B7E">
        <w:rPr>
          <w:lang w:val="es-ES_tradnl"/>
        </w:rPr>
        <w:t xml:space="preserve">, a saber: moderado, significativo, severo y extremo. La calificación de cada componente </w:t>
      </w:r>
      <w:r w:rsidR="0007292C" w:rsidRPr="00E83B7E">
        <w:rPr>
          <w:lang w:val="es-ES_tradnl"/>
        </w:rPr>
        <w:t>h</w:t>
      </w:r>
      <w:r w:rsidR="00794557" w:rsidRPr="00E83B7E">
        <w:rPr>
          <w:lang w:val="es-ES_tradnl"/>
        </w:rPr>
        <w:t>a sido llevada adelante por expertos sectoriales del Banco Interamericano de Desarrollo</w:t>
      </w:r>
      <w:r w:rsidR="00A5757F" w:rsidRPr="00E83B7E">
        <w:rPr>
          <w:lang w:val="es-ES_tradnl"/>
        </w:rPr>
        <w:t>,</w:t>
      </w:r>
      <w:r w:rsidR="00794557" w:rsidRPr="00E83B7E">
        <w:rPr>
          <w:lang w:val="es-ES_tradnl"/>
        </w:rPr>
        <w:t xml:space="preserve"> quienes han generado una evaluación </w:t>
      </w:r>
      <w:r w:rsidR="00BF3440" w:rsidRPr="00E83B7E">
        <w:rPr>
          <w:lang w:val="es-ES_tradnl"/>
        </w:rPr>
        <w:t>general</w:t>
      </w:r>
      <w:r w:rsidR="0007292C" w:rsidRPr="00E83B7E">
        <w:rPr>
          <w:lang w:val="es-ES_tradnl"/>
        </w:rPr>
        <w:t xml:space="preserve"> al momento del inicio de la crisis del COVID-19, basada en sus percepciones, experiencia y</w:t>
      </w:r>
      <w:r w:rsidR="00794557" w:rsidRPr="00E83B7E">
        <w:rPr>
          <w:lang w:val="es-ES_tradnl"/>
        </w:rPr>
        <w:t xml:space="preserve"> utilizando distintas fuentes de información (incluyendo</w:t>
      </w:r>
      <w:r w:rsidR="0007292C" w:rsidRPr="00E83B7E">
        <w:rPr>
          <w:lang w:val="es-ES_tradnl"/>
        </w:rPr>
        <w:t xml:space="preserve"> entre otras, entrevistas a cámaras de comercio y actores relevantes,</w:t>
      </w:r>
      <w:r w:rsidR="00794557" w:rsidRPr="00E83B7E">
        <w:rPr>
          <w:lang w:val="es-ES_tradnl"/>
        </w:rPr>
        <w:t xml:space="preserve"> estadísticas de acceso público y otros informes especializados). Los factores considerados y las distintas áreas a las que pertenecen se detallan en el </w:t>
      </w:r>
      <w:r w:rsidR="005D1844" w:rsidRPr="00E83B7E">
        <w:rPr>
          <w:lang w:val="es-ES_tradnl"/>
        </w:rPr>
        <w:t>Tabla</w:t>
      </w:r>
      <w:r w:rsidR="00794557" w:rsidRPr="00E83B7E">
        <w:rPr>
          <w:lang w:val="es-ES_tradnl"/>
        </w:rPr>
        <w:t xml:space="preserve"> I.</w:t>
      </w:r>
      <w:r w:rsidR="005D1844" w:rsidRPr="00E83B7E">
        <w:rPr>
          <w:lang w:val="es-ES_tradnl"/>
        </w:rPr>
        <w:t>2</w:t>
      </w:r>
      <w:r w:rsidR="00794557" w:rsidRPr="00E83B7E">
        <w:rPr>
          <w:lang w:val="es-ES_tradnl"/>
        </w:rPr>
        <w:t>.</w:t>
      </w:r>
    </w:p>
    <w:p w14:paraId="6C77E1D3" w14:textId="6B7F7359" w:rsidR="00E46B00" w:rsidRPr="00E83B7E" w:rsidRDefault="005D1844" w:rsidP="0007292C">
      <w:pPr>
        <w:spacing w:after="0" w:line="240" w:lineRule="auto"/>
        <w:jc w:val="center"/>
        <w:rPr>
          <w:b/>
          <w:bCs/>
          <w:lang w:val="es-ES_tradnl"/>
        </w:rPr>
      </w:pPr>
      <w:bookmarkStart w:id="6" w:name="_Hlk36763214"/>
      <w:r w:rsidRPr="00E83B7E">
        <w:rPr>
          <w:b/>
          <w:bCs/>
          <w:lang w:val="es-ES_tradnl"/>
        </w:rPr>
        <w:t>Tabla</w:t>
      </w:r>
      <w:r w:rsidR="00E46B00" w:rsidRPr="00E83B7E">
        <w:rPr>
          <w:b/>
          <w:bCs/>
          <w:lang w:val="es-ES_tradnl"/>
        </w:rPr>
        <w:t xml:space="preserve"> I.</w:t>
      </w:r>
      <w:r w:rsidRPr="00E83B7E">
        <w:rPr>
          <w:b/>
          <w:bCs/>
          <w:lang w:val="es-ES_tradnl"/>
        </w:rPr>
        <w:t>2</w:t>
      </w:r>
    </w:p>
    <w:p w14:paraId="3C9B6E1D" w14:textId="77777777" w:rsidR="00E46B00" w:rsidRPr="00E83B7E" w:rsidRDefault="00E46B00" w:rsidP="00E46B00">
      <w:pPr>
        <w:spacing w:after="0" w:line="240" w:lineRule="auto"/>
        <w:jc w:val="center"/>
        <w:rPr>
          <w:b/>
          <w:bCs/>
          <w:lang w:val="es-ES_tradnl"/>
        </w:rPr>
      </w:pPr>
      <w:r w:rsidRPr="00E83B7E">
        <w:rPr>
          <w:b/>
          <w:bCs/>
          <w:lang w:val="es-ES_tradnl"/>
        </w:rPr>
        <w:t xml:space="preserve">Áreas de clasificación y factores identificados </w:t>
      </w:r>
    </w:p>
    <w:p w14:paraId="673B17E8" w14:textId="10F66785" w:rsidR="00E46B00" w:rsidRPr="00E83B7E" w:rsidRDefault="00E46B00" w:rsidP="0007292C">
      <w:pPr>
        <w:spacing w:after="0" w:line="240" w:lineRule="auto"/>
        <w:jc w:val="center"/>
        <w:rPr>
          <w:b/>
          <w:bCs/>
          <w:lang w:val="es-ES_tradnl"/>
        </w:rPr>
      </w:pPr>
      <w:r w:rsidRPr="00E83B7E">
        <w:rPr>
          <w:b/>
          <w:bCs/>
          <w:lang w:val="es-ES_tradnl"/>
        </w:rPr>
        <w:t>que contribuyen al índice de vulnerabilidad sectorial</w:t>
      </w:r>
      <w:r w:rsidR="00A40BFB" w:rsidRPr="00E83B7E">
        <w:rPr>
          <w:b/>
          <w:bCs/>
          <w:lang w:val="es-ES_tradnl"/>
        </w:rPr>
        <w:t xml:space="preserve"> </w:t>
      </w:r>
      <w:r w:rsidR="00BF3440" w:rsidRPr="00E83B7E">
        <w:rPr>
          <w:rStyle w:val="FootnoteReference"/>
          <w:b/>
          <w:bCs/>
          <w:lang w:val="es-ES_tradnl"/>
        </w:rPr>
        <w:footnoteReference w:id="3"/>
      </w:r>
    </w:p>
    <w:tbl>
      <w:tblPr>
        <w:tblStyle w:val="TableGrid"/>
        <w:tblW w:w="0" w:type="auto"/>
        <w:tblLook w:val="04A0" w:firstRow="1" w:lastRow="0" w:firstColumn="1" w:lastColumn="0" w:noHBand="0" w:noVBand="1"/>
      </w:tblPr>
      <w:tblGrid>
        <w:gridCol w:w="2515"/>
        <w:gridCol w:w="6835"/>
      </w:tblGrid>
      <w:tr w:rsidR="00794557" w:rsidRPr="00E83B7E" w14:paraId="7153C782" w14:textId="77777777" w:rsidTr="0007292C">
        <w:tc>
          <w:tcPr>
            <w:tcW w:w="2515" w:type="dxa"/>
            <w:shd w:val="clear" w:color="auto" w:fill="D9E2F3" w:themeFill="accent1" w:themeFillTint="33"/>
          </w:tcPr>
          <w:bookmarkEnd w:id="6"/>
          <w:p w14:paraId="23B0B0AB" w14:textId="5025DEED" w:rsidR="00794557" w:rsidRPr="00E83B7E" w:rsidRDefault="00AB05B2" w:rsidP="0007292C">
            <w:pPr>
              <w:jc w:val="center"/>
              <w:rPr>
                <w:b/>
                <w:bCs/>
                <w:lang w:val="es-ES_tradnl"/>
              </w:rPr>
            </w:pPr>
            <w:r w:rsidRPr="00E83B7E">
              <w:rPr>
                <w:b/>
                <w:bCs/>
                <w:lang w:val="es-ES_tradnl"/>
              </w:rPr>
              <w:t>Grupo analítico</w:t>
            </w:r>
          </w:p>
        </w:tc>
        <w:tc>
          <w:tcPr>
            <w:tcW w:w="6835" w:type="dxa"/>
            <w:shd w:val="clear" w:color="auto" w:fill="D9E2F3" w:themeFill="accent1" w:themeFillTint="33"/>
          </w:tcPr>
          <w:p w14:paraId="4C764C23" w14:textId="310ECF0F" w:rsidR="00794557" w:rsidRPr="00E83B7E" w:rsidRDefault="00794557" w:rsidP="0007292C">
            <w:pPr>
              <w:jc w:val="center"/>
              <w:rPr>
                <w:b/>
                <w:bCs/>
                <w:lang w:val="es-ES_tradnl"/>
              </w:rPr>
            </w:pPr>
            <w:r w:rsidRPr="00E83B7E">
              <w:rPr>
                <w:b/>
                <w:bCs/>
                <w:lang w:val="es-ES_tradnl"/>
              </w:rPr>
              <w:t>Factor</w:t>
            </w:r>
          </w:p>
        </w:tc>
      </w:tr>
      <w:tr w:rsidR="00794557" w:rsidRPr="00E83B7E" w14:paraId="02F8C9F9" w14:textId="77777777" w:rsidTr="0007292C">
        <w:tc>
          <w:tcPr>
            <w:tcW w:w="2515" w:type="dxa"/>
            <w:vMerge w:val="restart"/>
            <w:shd w:val="clear" w:color="auto" w:fill="FFFFFF" w:themeFill="background1"/>
          </w:tcPr>
          <w:p w14:paraId="2FB7619A" w14:textId="59331BF5" w:rsidR="00794557" w:rsidRPr="00E83B7E" w:rsidRDefault="00794557" w:rsidP="0007292C">
            <w:pPr>
              <w:jc w:val="center"/>
              <w:rPr>
                <w:b/>
                <w:bCs/>
                <w:lang w:val="es-ES_tradnl"/>
              </w:rPr>
            </w:pPr>
            <w:r w:rsidRPr="00E83B7E">
              <w:rPr>
                <w:b/>
                <w:bCs/>
                <w:lang w:val="es-ES_tradnl"/>
              </w:rPr>
              <w:t>Oferta</w:t>
            </w:r>
          </w:p>
        </w:tc>
        <w:tc>
          <w:tcPr>
            <w:tcW w:w="6835" w:type="dxa"/>
            <w:shd w:val="clear" w:color="auto" w:fill="FFFFFF" w:themeFill="background1"/>
          </w:tcPr>
          <w:p w14:paraId="29281D4D" w14:textId="4FDEC461" w:rsidR="00794557" w:rsidRPr="00E83B7E" w:rsidRDefault="00794557" w:rsidP="00794557">
            <w:pPr>
              <w:jc w:val="both"/>
              <w:rPr>
                <w:lang w:val="es-ES_tradnl"/>
              </w:rPr>
            </w:pPr>
            <w:r w:rsidRPr="00E83B7E">
              <w:rPr>
                <w:lang w:val="es-ES_tradnl"/>
              </w:rPr>
              <w:t>Limitaciones uso de fuerza de trabajo</w:t>
            </w:r>
          </w:p>
        </w:tc>
      </w:tr>
      <w:tr w:rsidR="00794557" w:rsidRPr="00E83B7E" w14:paraId="2D56D58C" w14:textId="77777777" w:rsidTr="0007292C">
        <w:tc>
          <w:tcPr>
            <w:tcW w:w="2515" w:type="dxa"/>
            <w:vMerge/>
            <w:shd w:val="clear" w:color="auto" w:fill="FFFFFF" w:themeFill="background1"/>
          </w:tcPr>
          <w:p w14:paraId="3619BC8A" w14:textId="77777777" w:rsidR="00794557" w:rsidRPr="00E83B7E" w:rsidRDefault="00794557" w:rsidP="0007292C">
            <w:pPr>
              <w:jc w:val="center"/>
              <w:rPr>
                <w:b/>
                <w:bCs/>
                <w:lang w:val="es-ES_tradnl"/>
              </w:rPr>
            </w:pPr>
          </w:p>
        </w:tc>
        <w:tc>
          <w:tcPr>
            <w:tcW w:w="6835" w:type="dxa"/>
            <w:shd w:val="clear" w:color="auto" w:fill="FFFFFF" w:themeFill="background1"/>
          </w:tcPr>
          <w:p w14:paraId="1462CCC8" w14:textId="56E3EDEC" w:rsidR="00794557" w:rsidRPr="00E83B7E" w:rsidRDefault="00794557" w:rsidP="00794557">
            <w:pPr>
              <w:jc w:val="both"/>
              <w:rPr>
                <w:lang w:val="es-ES_tradnl"/>
              </w:rPr>
            </w:pPr>
            <w:r w:rsidRPr="00E83B7E">
              <w:rPr>
                <w:lang w:val="es-ES_tradnl"/>
              </w:rPr>
              <w:t>Limitaciones al uso de capital fijo (oficinas, centros comerciales, maquinas, etc.)</w:t>
            </w:r>
          </w:p>
        </w:tc>
      </w:tr>
      <w:tr w:rsidR="00794557" w:rsidRPr="00E83B7E" w14:paraId="5F9BC88F" w14:textId="77777777" w:rsidTr="0007292C">
        <w:tc>
          <w:tcPr>
            <w:tcW w:w="2515" w:type="dxa"/>
            <w:vMerge/>
            <w:shd w:val="clear" w:color="auto" w:fill="FFFFFF" w:themeFill="background1"/>
          </w:tcPr>
          <w:p w14:paraId="774B1ADF" w14:textId="77777777" w:rsidR="00794557" w:rsidRPr="00E83B7E" w:rsidRDefault="00794557" w:rsidP="0007292C">
            <w:pPr>
              <w:jc w:val="center"/>
              <w:rPr>
                <w:b/>
                <w:bCs/>
                <w:lang w:val="es-ES_tradnl"/>
              </w:rPr>
            </w:pPr>
          </w:p>
        </w:tc>
        <w:tc>
          <w:tcPr>
            <w:tcW w:w="6835" w:type="dxa"/>
            <w:shd w:val="clear" w:color="auto" w:fill="FFFFFF" w:themeFill="background1"/>
          </w:tcPr>
          <w:p w14:paraId="1752D400" w14:textId="012B6BB4" w:rsidR="00794557" w:rsidRPr="00E83B7E" w:rsidRDefault="00794557" w:rsidP="00794557">
            <w:pPr>
              <w:jc w:val="both"/>
              <w:rPr>
                <w:lang w:val="es-ES_tradnl"/>
              </w:rPr>
            </w:pPr>
            <w:r w:rsidRPr="00E83B7E">
              <w:rPr>
                <w:lang w:val="es-ES_tradnl"/>
              </w:rPr>
              <w:t>Insuficiencia en cantidad y calidad de insumos físicos</w:t>
            </w:r>
          </w:p>
        </w:tc>
      </w:tr>
      <w:tr w:rsidR="00794557" w:rsidRPr="00E83B7E" w14:paraId="3D148F4A" w14:textId="77777777" w:rsidTr="0007292C">
        <w:tc>
          <w:tcPr>
            <w:tcW w:w="2515" w:type="dxa"/>
            <w:vMerge/>
            <w:shd w:val="clear" w:color="auto" w:fill="FFFFFF" w:themeFill="background1"/>
          </w:tcPr>
          <w:p w14:paraId="7669F781" w14:textId="77777777" w:rsidR="00794557" w:rsidRPr="00E83B7E" w:rsidRDefault="00794557" w:rsidP="0007292C">
            <w:pPr>
              <w:jc w:val="center"/>
              <w:rPr>
                <w:b/>
                <w:bCs/>
                <w:lang w:val="es-ES_tradnl"/>
              </w:rPr>
            </w:pPr>
          </w:p>
        </w:tc>
        <w:tc>
          <w:tcPr>
            <w:tcW w:w="6835" w:type="dxa"/>
            <w:shd w:val="clear" w:color="auto" w:fill="FFFFFF" w:themeFill="background1"/>
          </w:tcPr>
          <w:p w14:paraId="5A48FCBC" w14:textId="79CF7A41" w:rsidR="00794557" w:rsidRPr="00E83B7E" w:rsidRDefault="00794557" w:rsidP="00794557">
            <w:pPr>
              <w:jc w:val="both"/>
              <w:rPr>
                <w:lang w:val="es-ES_tradnl"/>
              </w:rPr>
            </w:pPr>
            <w:r w:rsidRPr="00E83B7E">
              <w:rPr>
                <w:lang w:val="es-ES_tradnl"/>
              </w:rPr>
              <w:t xml:space="preserve">Limitaciones al acceso a servicios (transporte, comunicación) </w:t>
            </w:r>
          </w:p>
        </w:tc>
      </w:tr>
      <w:tr w:rsidR="00794557" w:rsidRPr="00E83B7E" w14:paraId="33448694" w14:textId="77777777" w:rsidTr="0007292C">
        <w:tc>
          <w:tcPr>
            <w:tcW w:w="2515" w:type="dxa"/>
            <w:vMerge/>
            <w:shd w:val="clear" w:color="auto" w:fill="FFFFFF" w:themeFill="background1"/>
          </w:tcPr>
          <w:p w14:paraId="58C9DF4D" w14:textId="77777777" w:rsidR="00794557" w:rsidRPr="00E83B7E" w:rsidRDefault="00794557" w:rsidP="0007292C">
            <w:pPr>
              <w:jc w:val="center"/>
              <w:rPr>
                <w:b/>
                <w:bCs/>
                <w:lang w:val="es-ES_tradnl"/>
              </w:rPr>
            </w:pPr>
          </w:p>
        </w:tc>
        <w:tc>
          <w:tcPr>
            <w:tcW w:w="6835" w:type="dxa"/>
            <w:shd w:val="clear" w:color="auto" w:fill="FFFFFF" w:themeFill="background1"/>
          </w:tcPr>
          <w:p w14:paraId="53886982" w14:textId="279213B7" w:rsidR="00794557" w:rsidRPr="00E83B7E" w:rsidRDefault="00794557" w:rsidP="00794557">
            <w:pPr>
              <w:jc w:val="both"/>
              <w:rPr>
                <w:lang w:val="es-ES_tradnl"/>
              </w:rPr>
            </w:pPr>
            <w:r w:rsidRPr="00E83B7E">
              <w:rPr>
                <w:lang w:val="es-ES_tradnl"/>
              </w:rPr>
              <w:t>Aumento de los costos de insumos y de producción</w:t>
            </w:r>
          </w:p>
        </w:tc>
      </w:tr>
      <w:tr w:rsidR="00794557" w:rsidRPr="00E83B7E" w14:paraId="64AC37CB" w14:textId="77777777" w:rsidTr="0007292C">
        <w:tc>
          <w:tcPr>
            <w:tcW w:w="2515" w:type="dxa"/>
            <w:vMerge w:val="restart"/>
            <w:shd w:val="clear" w:color="auto" w:fill="FFFFFF" w:themeFill="background1"/>
          </w:tcPr>
          <w:p w14:paraId="66EBBA40" w14:textId="1111EE53" w:rsidR="00794557" w:rsidRPr="00E83B7E" w:rsidRDefault="00794557" w:rsidP="0007292C">
            <w:pPr>
              <w:jc w:val="center"/>
              <w:rPr>
                <w:b/>
                <w:bCs/>
                <w:lang w:val="es-ES_tradnl"/>
              </w:rPr>
            </w:pPr>
            <w:r w:rsidRPr="00E83B7E">
              <w:rPr>
                <w:b/>
                <w:bCs/>
                <w:lang w:val="es-ES_tradnl"/>
              </w:rPr>
              <w:t>Demanda</w:t>
            </w:r>
          </w:p>
        </w:tc>
        <w:tc>
          <w:tcPr>
            <w:tcW w:w="6835" w:type="dxa"/>
            <w:shd w:val="clear" w:color="auto" w:fill="FFFFFF" w:themeFill="background1"/>
          </w:tcPr>
          <w:p w14:paraId="7C5504F5" w14:textId="2A0B1B7D" w:rsidR="00794557" w:rsidRPr="00E83B7E" w:rsidRDefault="00794557" w:rsidP="00794557">
            <w:pPr>
              <w:jc w:val="both"/>
              <w:rPr>
                <w:lang w:val="es-ES_tradnl"/>
              </w:rPr>
            </w:pPr>
            <w:r w:rsidRPr="00E83B7E">
              <w:rPr>
                <w:lang w:val="es-ES_tradnl"/>
              </w:rPr>
              <w:t>Reducción de la demanda interna / domestica</w:t>
            </w:r>
          </w:p>
        </w:tc>
      </w:tr>
      <w:tr w:rsidR="00794557" w:rsidRPr="00E83B7E" w14:paraId="00558798" w14:textId="77777777" w:rsidTr="0007292C">
        <w:tc>
          <w:tcPr>
            <w:tcW w:w="2515" w:type="dxa"/>
            <w:vMerge/>
            <w:shd w:val="clear" w:color="auto" w:fill="FFFFFF" w:themeFill="background1"/>
          </w:tcPr>
          <w:p w14:paraId="3DE54C46" w14:textId="77777777" w:rsidR="00794557" w:rsidRPr="00E83B7E" w:rsidRDefault="00794557" w:rsidP="0007292C">
            <w:pPr>
              <w:jc w:val="center"/>
              <w:rPr>
                <w:b/>
                <w:bCs/>
                <w:lang w:val="es-ES_tradnl"/>
              </w:rPr>
            </w:pPr>
          </w:p>
        </w:tc>
        <w:tc>
          <w:tcPr>
            <w:tcW w:w="6835" w:type="dxa"/>
            <w:shd w:val="clear" w:color="auto" w:fill="FFFFFF" w:themeFill="background1"/>
          </w:tcPr>
          <w:p w14:paraId="20ABF7FE" w14:textId="072A533F" w:rsidR="00794557" w:rsidRPr="00E83B7E" w:rsidRDefault="00794557" w:rsidP="00794557">
            <w:pPr>
              <w:jc w:val="both"/>
              <w:rPr>
                <w:lang w:val="es-ES_tradnl"/>
              </w:rPr>
            </w:pPr>
            <w:r w:rsidRPr="00E83B7E">
              <w:rPr>
                <w:lang w:val="es-ES_tradnl"/>
              </w:rPr>
              <w:t xml:space="preserve">Reducción en la demanda de exportación o extranjera </w:t>
            </w:r>
          </w:p>
        </w:tc>
      </w:tr>
      <w:tr w:rsidR="00E46B00" w:rsidRPr="00E83B7E" w14:paraId="204BBBBD" w14:textId="77777777" w:rsidTr="0007292C">
        <w:tc>
          <w:tcPr>
            <w:tcW w:w="2515" w:type="dxa"/>
            <w:vMerge w:val="restart"/>
            <w:shd w:val="clear" w:color="auto" w:fill="FFFFFF" w:themeFill="background1"/>
          </w:tcPr>
          <w:p w14:paraId="6C3F8E29" w14:textId="33C0F037" w:rsidR="00E46B00" w:rsidRPr="00E83B7E" w:rsidRDefault="00E46B00" w:rsidP="0007292C">
            <w:pPr>
              <w:jc w:val="center"/>
              <w:rPr>
                <w:b/>
                <w:bCs/>
                <w:lang w:val="es-ES_tradnl"/>
              </w:rPr>
            </w:pPr>
            <w:r w:rsidRPr="00E83B7E">
              <w:rPr>
                <w:b/>
                <w:bCs/>
                <w:lang w:val="es-ES_tradnl"/>
              </w:rPr>
              <w:t>Financiera</w:t>
            </w:r>
          </w:p>
        </w:tc>
        <w:tc>
          <w:tcPr>
            <w:tcW w:w="6835" w:type="dxa"/>
            <w:shd w:val="clear" w:color="auto" w:fill="FFFFFF" w:themeFill="background1"/>
          </w:tcPr>
          <w:p w14:paraId="5D3DA0B9" w14:textId="7DC83A46" w:rsidR="00E46B00" w:rsidRPr="00E83B7E" w:rsidRDefault="00E46B00" w:rsidP="00794557">
            <w:pPr>
              <w:jc w:val="both"/>
              <w:rPr>
                <w:lang w:val="es-ES_tradnl"/>
              </w:rPr>
            </w:pPr>
            <w:r w:rsidRPr="00E83B7E">
              <w:rPr>
                <w:lang w:val="es-ES_tradnl"/>
              </w:rPr>
              <w:t>Retraso o interrupción del ciclo de pagos</w:t>
            </w:r>
          </w:p>
        </w:tc>
      </w:tr>
      <w:tr w:rsidR="00E46B00" w:rsidRPr="00E83B7E" w14:paraId="0AE51A61" w14:textId="77777777" w:rsidTr="0007292C">
        <w:tc>
          <w:tcPr>
            <w:tcW w:w="2515" w:type="dxa"/>
            <w:vMerge/>
            <w:shd w:val="clear" w:color="auto" w:fill="FFFFFF" w:themeFill="background1"/>
          </w:tcPr>
          <w:p w14:paraId="3DFD292E" w14:textId="77777777" w:rsidR="00E46B00" w:rsidRPr="00E83B7E" w:rsidRDefault="00E46B00" w:rsidP="0007292C">
            <w:pPr>
              <w:jc w:val="center"/>
              <w:rPr>
                <w:b/>
                <w:bCs/>
                <w:lang w:val="es-ES_tradnl"/>
              </w:rPr>
            </w:pPr>
          </w:p>
        </w:tc>
        <w:tc>
          <w:tcPr>
            <w:tcW w:w="6835" w:type="dxa"/>
            <w:shd w:val="clear" w:color="auto" w:fill="FFFFFF" w:themeFill="background1"/>
          </w:tcPr>
          <w:p w14:paraId="3421AC8B" w14:textId="05709DF2" w:rsidR="00E46B00" w:rsidRPr="00E83B7E" w:rsidRDefault="00E46B00" w:rsidP="00794557">
            <w:pPr>
              <w:jc w:val="both"/>
              <w:rPr>
                <w:lang w:val="es-ES_tradnl"/>
              </w:rPr>
            </w:pPr>
            <w:r w:rsidRPr="00E83B7E">
              <w:rPr>
                <w:lang w:val="es-ES_tradnl"/>
              </w:rPr>
              <w:t>Reducción o interrupción de financiamientos de corto plazo</w:t>
            </w:r>
          </w:p>
        </w:tc>
      </w:tr>
      <w:tr w:rsidR="00E46B00" w:rsidRPr="00E83B7E" w14:paraId="587A1FE7" w14:textId="77777777" w:rsidTr="0007292C">
        <w:tc>
          <w:tcPr>
            <w:tcW w:w="2515" w:type="dxa"/>
            <w:vMerge/>
            <w:shd w:val="clear" w:color="auto" w:fill="FFFFFF" w:themeFill="background1"/>
          </w:tcPr>
          <w:p w14:paraId="452CFD4C" w14:textId="77777777" w:rsidR="00E46B00" w:rsidRPr="00E83B7E" w:rsidRDefault="00E46B00" w:rsidP="0007292C">
            <w:pPr>
              <w:jc w:val="center"/>
              <w:rPr>
                <w:b/>
                <w:bCs/>
                <w:lang w:val="es-ES_tradnl"/>
              </w:rPr>
            </w:pPr>
          </w:p>
        </w:tc>
        <w:tc>
          <w:tcPr>
            <w:tcW w:w="6835" w:type="dxa"/>
            <w:shd w:val="clear" w:color="auto" w:fill="FFFFFF" w:themeFill="background1"/>
          </w:tcPr>
          <w:p w14:paraId="69FE3668" w14:textId="4C6812F9" w:rsidR="00E46B00" w:rsidRPr="00E83B7E" w:rsidRDefault="00E46B00" w:rsidP="00794557">
            <w:pPr>
              <w:jc w:val="both"/>
              <w:rPr>
                <w:lang w:val="es-ES_tradnl"/>
              </w:rPr>
            </w:pPr>
            <w:r w:rsidRPr="00E83B7E">
              <w:rPr>
                <w:lang w:val="es-ES_tradnl"/>
              </w:rPr>
              <w:t xml:space="preserve">Reducción o interrupción de financiamiento de mediano y largo plazo </w:t>
            </w:r>
          </w:p>
        </w:tc>
      </w:tr>
      <w:tr w:rsidR="00E46B00" w:rsidRPr="00E83B7E" w14:paraId="1B4DE62D" w14:textId="77777777" w:rsidTr="0007292C">
        <w:tc>
          <w:tcPr>
            <w:tcW w:w="2515" w:type="dxa"/>
            <w:vMerge/>
            <w:shd w:val="clear" w:color="auto" w:fill="FFFFFF" w:themeFill="background1"/>
          </w:tcPr>
          <w:p w14:paraId="631D2CCC" w14:textId="77777777" w:rsidR="00E46B00" w:rsidRPr="00E83B7E" w:rsidRDefault="00E46B00" w:rsidP="0007292C">
            <w:pPr>
              <w:jc w:val="center"/>
              <w:rPr>
                <w:b/>
                <w:bCs/>
                <w:lang w:val="es-ES_tradnl"/>
              </w:rPr>
            </w:pPr>
          </w:p>
        </w:tc>
        <w:tc>
          <w:tcPr>
            <w:tcW w:w="6835" w:type="dxa"/>
            <w:shd w:val="clear" w:color="auto" w:fill="FFFFFF" w:themeFill="background1"/>
          </w:tcPr>
          <w:p w14:paraId="714C6865" w14:textId="4FACADED" w:rsidR="00E46B00" w:rsidRPr="00E83B7E" w:rsidRDefault="00E46B00" w:rsidP="00794557">
            <w:pPr>
              <w:jc w:val="both"/>
              <w:rPr>
                <w:lang w:val="es-ES_tradnl"/>
              </w:rPr>
            </w:pPr>
            <w:r w:rsidRPr="00E83B7E">
              <w:rPr>
                <w:lang w:val="es-ES_tradnl"/>
              </w:rPr>
              <w:t>Aumento de los costos financieros y de intermediación (tasas de interés, comisiones, etc.)</w:t>
            </w:r>
          </w:p>
        </w:tc>
      </w:tr>
      <w:tr w:rsidR="00E46B00" w:rsidRPr="00E83B7E" w14:paraId="6EA176BD" w14:textId="77777777" w:rsidTr="0007292C">
        <w:tc>
          <w:tcPr>
            <w:tcW w:w="2515" w:type="dxa"/>
            <w:vMerge w:val="restart"/>
            <w:shd w:val="clear" w:color="auto" w:fill="FFFFFF" w:themeFill="background1"/>
          </w:tcPr>
          <w:p w14:paraId="79B919BB" w14:textId="3F858AFC" w:rsidR="00E46B00" w:rsidRPr="00E83B7E" w:rsidRDefault="00E46B00" w:rsidP="0007292C">
            <w:pPr>
              <w:jc w:val="center"/>
              <w:rPr>
                <w:b/>
                <w:bCs/>
                <w:lang w:val="es-ES_tradnl"/>
              </w:rPr>
            </w:pPr>
            <w:r w:rsidRPr="00E83B7E">
              <w:rPr>
                <w:b/>
                <w:bCs/>
                <w:lang w:val="es-ES_tradnl"/>
              </w:rPr>
              <w:lastRenderedPageBreak/>
              <w:t>Patrimonial</w:t>
            </w:r>
          </w:p>
        </w:tc>
        <w:tc>
          <w:tcPr>
            <w:tcW w:w="6835" w:type="dxa"/>
            <w:shd w:val="clear" w:color="auto" w:fill="FFFFFF" w:themeFill="background1"/>
          </w:tcPr>
          <w:p w14:paraId="4D1D0DA6" w14:textId="2E994446" w:rsidR="00E46B00" w:rsidRPr="00E83B7E" w:rsidRDefault="00E46B00" w:rsidP="00794557">
            <w:pPr>
              <w:jc w:val="both"/>
              <w:rPr>
                <w:lang w:val="es-ES_tradnl"/>
              </w:rPr>
            </w:pPr>
            <w:r w:rsidRPr="00E83B7E">
              <w:rPr>
                <w:lang w:val="es-ES_tradnl"/>
              </w:rPr>
              <w:t>Reducción del valor de los activos reales por retracción de la demanda</w:t>
            </w:r>
          </w:p>
        </w:tc>
      </w:tr>
      <w:tr w:rsidR="00E46B00" w:rsidRPr="00E83B7E" w14:paraId="076A2168" w14:textId="77777777" w:rsidTr="0007292C">
        <w:tc>
          <w:tcPr>
            <w:tcW w:w="2515" w:type="dxa"/>
            <w:vMerge/>
            <w:shd w:val="clear" w:color="auto" w:fill="FFFFFF" w:themeFill="background1"/>
          </w:tcPr>
          <w:p w14:paraId="07635BA3" w14:textId="77777777" w:rsidR="00E46B00" w:rsidRPr="00E83B7E" w:rsidRDefault="00E46B00" w:rsidP="0007292C">
            <w:pPr>
              <w:jc w:val="center"/>
              <w:rPr>
                <w:b/>
                <w:bCs/>
                <w:lang w:val="es-ES_tradnl"/>
              </w:rPr>
            </w:pPr>
          </w:p>
        </w:tc>
        <w:tc>
          <w:tcPr>
            <w:tcW w:w="6835" w:type="dxa"/>
            <w:shd w:val="clear" w:color="auto" w:fill="FFFFFF" w:themeFill="background1"/>
          </w:tcPr>
          <w:p w14:paraId="09BF353D" w14:textId="77777777" w:rsidR="00E46B00" w:rsidRPr="00E83B7E" w:rsidRDefault="00E46B00" w:rsidP="00794557">
            <w:pPr>
              <w:jc w:val="both"/>
              <w:rPr>
                <w:lang w:val="es-ES_tradnl"/>
              </w:rPr>
            </w:pPr>
          </w:p>
        </w:tc>
      </w:tr>
      <w:tr w:rsidR="00E46B00" w:rsidRPr="00E83B7E" w14:paraId="1B25F04E" w14:textId="77777777" w:rsidTr="0007292C">
        <w:tc>
          <w:tcPr>
            <w:tcW w:w="2515" w:type="dxa"/>
            <w:vMerge/>
            <w:shd w:val="clear" w:color="auto" w:fill="FFFFFF" w:themeFill="background1"/>
          </w:tcPr>
          <w:p w14:paraId="69875DCC" w14:textId="77777777" w:rsidR="00E46B00" w:rsidRPr="00E83B7E" w:rsidRDefault="00E46B00" w:rsidP="0007292C">
            <w:pPr>
              <w:jc w:val="center"/>
              <w:rPr>
                <w:b/>
                <w:bCs/>
                <w:lang w:val="es-ES_tradnl"/>
              </w:rPr>
            </w:pPr>
          </w:p>
        </w:tc>
        <w:tc>
          <w:tcPr>
            <w:tcW w:w="6835" w:type="dxa"/>
            <w:shd w:val="clear" w:color="auto" w:fill="FFFFFF" w:themeFill="background1"/>
          </w:tcPr>
          <w:p w14:paraId="09263E05" w14:textId="48DD0FD7" w:rsidR="00E46B00" w:rsidRPr="00E83B7E" w:rsidRDefault="00E46B00" w:rsidP="00794557">
            <w:pPr>
              <w:jc w:val="both"/>
              <w:rPr>
                <w:lang w:val="es-ES_tradnl"/>
              </w:rPr>
            </w:pPr>
            <w:r w:rsidRPr="00E83B7E">
              <w:rPr>
                <w:lang w:val="es-ES_tradnl"/>
              </w:rPr>
              <w:t>Acumulación de pasivos (alquileres, sueldos, etc.)</w:t>
            </w:r>
          </w:p>
        </w:tc>
      </w:tr>
      <w:tr w:rsidR="00E46B00" w:rsidRPr="00E83B7E" w14:paraId="287B5B50" w14:textId="77777777" w:rsidTr="0007292C">
        <w:tc>
          <w:tcPr>
            <w:tcW w:w="2515" w:type="dxa"/>
            <w:vMerge w:val="restart"/>
            <w:shd w:val="clear" w:color="auto" w:fill="FFFFFF" w:themeFill="background1"/>
          </w:tcPr>
          <w:p w14:paraId="086AABAE" w14:textId="1D29CA73" w:rsidR="00E46B00" w:rsidRPr="00E83B7E" w:rsidRDefault="00E46B00" w:rsidP="0007292C">
            <w:pPr>
              <w:jc w:val="center"/>
              <w:rPr>
                <w:b/>
                <w:bCs/>
                <w:lang w:val="es-ES_tradnl"/>
              </w:rPr>
            </w:pPr>
            <w:r w:rsidRPr="00E83B7E">
              <w:rPr>
                <w:b/>
                <w:bCs/>
                <w:lang w:val="es-ES_tradnl"/>
              </w:rPr>
              <w:t>Sistémico y regulatorio</w:t>
            </w:r>
          </w:p>
        </w:tc>
        <w:tc>
          <w:tcPr>
            <w:tcW w:w="6835" w:type="dxa"/>
            <w:shd w:val="clear" w:color="auto" w:fill="FFFFFF" w:themeFill="background1"/>
          </w:tcPr>
          <w:p w14:paraId="7F48D75F" w14:textId="713D0AD4" w:rsidR="00E46B00" w:rsidRPr="00E83B7E" w:rsidRDefault="00E46B00" w:rsidP="00794557">
            <w:pPr>
              <w:jc w:val="both"/>
              <w:rPr>
                <w:lang w:val="es-ES_tradnl"/>
              </w:rPr>
            </w:pPr>
            <w:r w:rsidRPr="00E83B7E">
              <w:rPr>
                <w:lang w:val="es-ES_tradnl"/>
              </w:rPr>
              <w:t>Inestabilidad política y social</w:t>
            </w:r>
          </w:p>
        </w:tc>
      </w:tr>
      <w:tr w:rsidR="00E46B00" w:rsidRPr="00E83B7E" w14:paraId="008A5CE7" w14:textId="77777777" w:rsidTr="0007292C">
        <w:trPr>
          <w:trHeight w:val="134"/>
        </w:trPr>
        <w:tc>
          <w:tcPr>
            <w:tcW w:w="2515" w:type="dxa"/>
            <w:vMerge/>
            <w:tcBorders>
              <w:bottom w:val="single" w:sz="4" w:space="0" w:color="auto"/>
            </w:tcBorders>
            <w:shd w:val="clear" w:color="auto" w:fill="E7E6E6" w:themeFill="background2"/>
          </w:tcPr>
          <w:p w14:paraId="70A69918" w14:textId="77777777" w:rsidR="00E46B00" w:rsidRPr="00E83B7E" w:rsidRDefault="00E46B00" w:rsidP="00794557">
            <w:pPr>
              <w:jc w:val="both"/>
              <w:rPr>
                <w:lang w:val="es-ES_tradnl"/>
              </w:rPr>
            </w:pPr>
          </w:p>
        </w:tc>
        <w:tc>
          <w:tcPr>
            <w:tcW w:w="6835" w:type="dxa"/>
            <w:tcBorders>
              <w:bottom w:val="single" w:sz="4" w:space="0" w:color="auto"/>
            </w:tcBorders>
            <w:shd w:val="clear" w:color="auto" w:fill="FFFFFF" w:themeFill="background1"/>
          </w:tcPr>
          <w:p w14:paraId="424C3497" w14:textId="44F69261" w:rsidR="00E46B00" w:rsidRPr="00E83B7E" w:rsidRDefault="00E46B00" w:rsidP="00794557">
            <w:pPr>
              <w:jc w:val="both"/>
              <w:rPr>
                <w:lang w:val="es-ES_tradnl"/>
              </w:rPr>
            </w:pPr>
            <w:r w:rsidRPr="00E83B7E">
              <w:rPr>
                <w:lang w:val="es-ES_tradnl"/>
              </w:rPr>
              <w:t>Incertidumbre institucional y legal</w:t>
            </w:r>
          </w:p>
        </w:tc>
      </w:tr>
      <w:tr w:rsidR="00E46B00" w:rsidRPr="00E83B7E" w14:paraId="3645FFFA" w14:textId="77777777" w:rsidTr="0007292C">
        <w:trPr>
          <w:trHeight w:val="134"/>
        </w:trPr>
        <w:tc>
          <w:tcPr>
            <w:tcW w:w="9350" w:type="dxa"/>
            <w:gridSpan w:val="2"/>
            <w:tcBorders>
              <w:top w:val="single" w:sz="4" w:space="0" w:color="auto"/>
              <w:left w:val="nil"/>
              <w:bottom w:val="nil"/>
              <w:right w:val="nil"/>
            </w:tcBorders>
            <w:shd w:val="clear" w:color="auto" w:fill="FFFFFF" w:themeFill="background1"/>
          </w:tcPr>
          <w:p w14:paraId="14A26D40" w14:textId="364554C7" w:rsidR="00E46B00" w:rsidRPr="00E83B7E" w:rsidRDefault="00E46B00" w:rsidP="00794557">
            <w:pPr>
              <w:jc w:val="both"/>
              <w:rPr>
                <w:sz w:val="18"/>
                <w:szCs w:val="18"/>
                <w:lang w:val="es-ES_tradnl"/>
              </w:rPr>
            </w:pPr>
            <w:r w:rsidRPr="00E83B7E">
              <w:rPr>
                <w:sz w:val="18"/>
                <w:szCs w:val="18"/>
                <w:lang w:val="es-ES_tradnl"/>
              </w:rPr>
              <w:t>Fuente: IFD/CMF.</w:t>
            </w:r>
          </w:p>
        </w:tc>
      </w:tr>
    </w:tbl>
    <w:p w14:paraId="410E9E54" w14:textId="77777777" w:rsidR="00794557" w:rsidRPr="00E83B7E" w:rsidRDefault="00794557" w:rsidP="0007292C">
      <w:pPr>
        <w:jc w:val="both"/>
        <w:rPr>
          <w:lang w:val="es-ES_tradnl"/>
        </w:rPr>
      </w:pPr>
    </w:p>
    <w:p w14:paraId="226FB7CC" w14:textId="4BF3B986" w:rsidR="004656DB" w:rsidRPr="00E83B7E" w:rsidRDefault="0007292C" w:rsidP="004656DB">
      <w:pPr>
        <w:jc w:val="both"/>
        <w:rPr>
          <w:lang w:val="es-ES_tradnl"/>
        </w:rPr>
      </w:pPr>
      <w:r w:rsidRPr="00E83B7E">
        <w:rPr>
          <w:lang w:val="es-ES_tradnl"/>
        </w:rPr>
        <w:t>Una vez</w:t>
      </w:r>
      <w:r w:rsidR="00E56942" w:rsidRPr="00E83B7E">
        <w:rPr>
          <w:lang w:val="es-ES_tradnl"/>
        </w:rPr>
        <w:t xml:space="preserve"> asigna</w:t>
      </w:r>
      <w:r w:rsidRPr="00E83B7E">
        <w:rPr>
          <w:lang w:val="es-ES_tradnl"/>
        </w:rPr>
        <w:t>da</w:t>
      </w:r>
      <w:r w:rsidR="00E56942" w:rsidRPr="00E83B7E">
        <w:rPr>
          <w:lang w:val="es-ES_tradnl"/>
        </w:rPr>
        <w:t xml:space="preserve"> </w:t>
      </w:r>
      <w:r w:rsidRPr="00E83B7E">
        <w:rPr>
          <w:lang w:val="es-ES_tradnl"/>
        </w:rPr>
        <w:t>la calificación de</w:t>
      </w:r>
      <w:r w:rsidR="00E56942" w:rsidRPr="00E83B7E">
        <w:rPr>
          <w:lang w:val="es-ES_tradnl"/>
        </w:rPr>
        <w:t xml:space="preserve"> riesgo/vulnerabilidad para cada factor, </w:t>
      </w:r>
      <w:r w:rsidRPr="00E83B7E">
        <w:rPr>
          <w:lang w:val="es-ES_tradnl"/>
        </w:rPr>
        <w:t xml:space="preserve">se evalúan los </w:t>
      </w:r>
      <w:r w:rsidR="00E56942" w:rsidRPr="00E83B7E">
        <w:rPr>
          <w:lang w:val="es-ES_tradnl"/>
        </w:rPr>
        <w:t xml:space="preserve">resultados </w:t>
      </w:r>
      <w:r w:rsidRPr="00E83B7E">
        <w:rPr>
          <w:lang w:val="es-ES_tradnl"/>
        </w:rPr>
        <w:t xml:space="preserve"> y  </w:t>
      </w:r>
      <w:r w:rsidR="00E56942" w:rsidRPr="00E83B7E">
        <w:rPr>
          <w:lang w:val="es-ES_tradnl"/>
        </w:rPr>
        <w:t>se agregan en un índice que asigna un peso de 30% respectivamente para los factores de oferta, demanda y financieros y patrimoniales y de 10% para los factores sistémicos y regulatorios.</w:t>
      </w:r>
      <w:r w:rsidR="00E56942" w:rsidRPr="00E83B7E">
        <w:rPr>
          <w:rStyle w:val="FootnoteReference"/>
          <w:lang w:val="es-ES_tradnl"/>
        </w:rPr>
        <w:footnoteReference w:id="4"/>
      </w:r>
      <w:r w:rsidR="00E56942" w:rsidRPr="00E83B7E">
        <w:rPr>
          <w:lang w:val="es-ES_tradnl"/>
        </w:rPr>
        <w:t xml:space="preserve"> </w:t>
      </w:r>
      <w:r w:rsidR="00AB05B2" w:rsidRPr="00E83B7E">
        <w:rPr>
          <w:lang w:val="es-ES_tradnl"/>
        </w:rPr>
        <w:t>De esta manera se obtiene un índice general de vulnerabilidad sectorial junto a índices parciales para los distintos grupos analíticos (</w:t>
      </w:r>
      <w:r w:rsidRPr="00E83B7E">
        <w:rPr>
          <w:lang w:val="es-ES_tradnl"/>
        </w:rPr>
        <w:t xml:space="preserve"> </w:t>
      </w:r>
      <w:r w:rsidR="00AB05B2" w:rsidRPr="00E83B7E">
        <w:rPr>
          <w:lang w:val="es-ES_tradnl"/>
        </w:rPr>
        <w:t xml:space="preserve">oferta, demanda, financieros y patrimoniales y sistémicos y regulatorios). Al momento de esta nota, se han realizado análisis similares para otros países de la región, lo cual permite dimensionar más claramente la distribución de vulnerabilidades entre países. </w:t>
      </w:r>
    </w:p>
    <w:p w14:paraId="7EE4C609" w14:textId="6DB831FA" w:rsidR="00024A68" w:rsidRPr="00E83B7E" w:rsidRDefault="00A700FB" w:rsidP="004656DB">
      <w:pPr>
        <w:jc w:val="both"/>
        <w:rPr>
          <w:lang w:val="es-ES_tradnl"/>
        </w:rPr>
      </w:pPr>
      <w:r w:rsidRPr="00E83B7E">
        <w:rPr>
          <w:lang w:val="es-ES_tradnl"/>
        </w:rPr>
        <w:t>De manera adicional, también se presenta el grado de vulnerabilidad agregado generado por dichos sectores productivos utilizando distintos ponderadores, entre los que se destacan: contribución al empleo, contribución al PIB, contribución al total de empresas M</w:t>
      </w:r>
      <w:r w:rsidR="00043713" w:rsidRPr="00E83B7E">
        <w:rPr>
          <w:lang w:val="es-ES_tradnl"/>
        </w:rPr>
        <w:t>i</w:t>
      </w:r>
      <w:r w:rsidRPr="00E83B7E">
        <w:rPr>
          <w:lang w:val="es-ES_tradnl"/>
        </w:rPr>
        <w:t>P</w:t>
      </w:r>
      <w:r w:rsidR="00E83B7E">
        <w:rPr>
          <w:lang w:val="es-ES_tradnl"/>
        </w:rPr>
        <w:t>y</w:t>
      </w:r>
      <w:r w:rsidRPr="00E83B7E">
        <w:rPr>
          <w:lang w:val="es-ES_tradnl"/>
        </w:rPr>
        <w:t>ME</w:t>
      </w:r>
      <w:r w:rsidRPr="00E83B7E">
        <w:rPr>
          <w:rStyle w:val="FootnoteReference"/>
          <w:lang w:val="es-ES_tradnl"/>
        </w:rPr>
        <w:footnoteReference w:id="5"/>
      </w:r>
      <w:r w:rsidR="00E83B7E">
        <w:rPr>
          <w:lang w:val="es-ES_tradnl"/>
        </w:rPr>
        <w:t>.</w:t>
      </w:r>
    </w:p>
    <w:p w14:paraId="2D268FF1" w14:textId="77777777" w:rsidR="00A700FB" w:rsidRPr="00E83B7E" w:rsidRDefault="00A700FB" w:rsidP="0007292C">
      <w:pPr>
        <w:jc w:val="both"/>
        <w:rPr>
          <w:lang w:val="es-ES_tradnl"/>
        </w:rPr>
      </w:pPr>
    </w:p>
    <w:p w14:paraId="124D52CE" w14:textId="4F82376F" w:rsidR="00AE17AB" w:rsidRPr="00E83B7E" w:rsidRDefault="00D41616" w:rsidP="0007292C">
      <w:pPr>
        <w:pStyle w:val="Heading1"/>
        <w:numPr>
          <w:ilvl w:val="0"/>
          <w:numId w:val="4"/>
        </w:numPr>
        <w:jc w:val="both"/>
        <w:rPr>
          <w:lang w:val="es-ES_tradnl"/>
        </w:rPr>
      </w:pPr>
      <w:bookmarkStart w:id="7" w:name="_Toc36834037"/>
      <w:r w:rsidRPr="00E83B7E">
        <w:rPr>
          <w:lang w:val="es-ES_tradnl"/>
        </w:rPr>
        <w:t>Situación de vulnerabilidad</w:t>
      </w:r>
      <w:bookmarkEnd w:id="7"/>
    </w:p>
    <w:p w14:paraId="4DC306A5" w14:textId="4AB1031F" w:rsidR="00681D94" w:rsidRPr="00E83B7E" w:rsidRDefault="00681D94" w:rsidP="00725F1A">
      <w:pPr>
        <w:pStyle w:val="Heading2"/>
        <w:ind w:left="0"/>
        <w:rPr>
          <w:lang w:val="es-ES_tradnl"/>
        </w:rPr>
      </w:pPr>
      <w:bookmarkStart w:id="8" w:name="_Toc36834038"/>
      <w:r w:rsidRPr="00E83B7E">
        <w:rPr>
          <w:lang w:val="es-ES_tradnl"/>
        </w:rPr>
        <w:t>Situación general</w:t>
      </w:r>
      <w:bookmarkEnd w:id="8"/>
    </w:p>
    <w:p w14:paraId="1C5EE5C9" w14:textId="29E6F6CB" w:rsidR="00CA665E" w:rsidRPr="00E83B7E" w:rsidRDefault="00F3704F" w:rsidP="00A700FB">
      <w:pPr>
        <w:jc w:val="both"/>
        <w:rPr>
          <w:lang w:val="es-ES_tradnl"/>
        </w:rPr>
      </w:pPr>
      <w:r w:rsidRPr="00E83B7E">
        <w:rPr>
          <w:lang w:val="es-ES_tradnl"/>
        </w:rPr>
        <w:t xml:space="preserve">Atendiendo a la importancia relativa de los sectores </w:t>
      </w:r>
      <w:r w:rsidR="5A1761A0" w:rsidRPr="00E83B7E">
        <w:rPr>
          <w:lang w:val="es-ES_tradnl"/>
        </w:rPr>
        <w:t>con relación a la</w:t>
      </w:r>
      <w:r w:rsidRPr="00E83B7E">
        <w:rPr>
          <w:lang w:val="es-ES_tradnl"/>
        </w:rPr>
        <w:t xml:space="preserve"> </w:t>
      </w:r>
      <w:r w:rsidR="00815C71" w:rsidRPr="00E83B7E">
        <w:rPr>
          <w:lang w:val="es-ES_tradnl"/>
        </w:rPr>
        <w:t xml:space="preserve">generación de empleo, </w:t>
      </w:r>
      <w:r w:rsidR="1B340F0C" w:rsidRPr="00E83B7E">
        <w:rPr>
          <w:lang w:val="es-ES_tradnl"/>
        </w:rPr>
        <w:t xml:space="preserve">la </w:t>
      </w:r>
      <w:r w:rsidR="00815C71" w:rsidRPr="00E83B7E">
        <w:rPr>
          <w:lang w:val="es-ES_tradnl"/>
        </w:rPr>
        <w:t xml:space="preserve">participación en el PIB y </w:t>
      </w:r>
      <w:r w:rsidR="39BE0D4D" w:rsidRPr="00E83B7E">
        <w:rPr>
          <w:lang w:val="es-ES_tradnl"/>
        </w:rPr>
        <w:t xml:space="preserve">el </w:t>
      </w:r>
      <w:r w:rsidR="00815C71" w:rsidRPr="00E83B7E">
        <w:rPr>
          <w:lang w:val="es-ES_tradnl"/>
        </w:rPr>
        <w:t>número de empresas M</w:t>
      </w:r>
      <w:r w:rsidR="00043713" w:rsidRPr="00E83B7E">
        <w:rPr>
          <w:lang w:val="es-ES_tradnl"/>
        </w:rPr>
        <w:t>i</w:t>
      </w:r>
      <w:r w:rsidR="00815C71" w:rsidRPr="00E83B7E">
        <w:rPr>
          <w:lang w:val="es-ES_tradnl"/>
        </w:rPr>
        <w:t>P</w:t>
      </w:r>
      <w:r w:rsidR="00E83B7E">
        <w:rPr>
          <w:lang w:val="es-ES_tradnl"/>
        </w:rPr>
        <w:t>y</w:t>
      </w:r>
      <w:r w:rsidR="00815C71" w:rsidRPr="00E83B7E">
        <w:rPr>
          <w:lang w:val="es-ES_tradnl"/>
        </w:rPr>
        <w:t xml:space="preserve">ME, como así también a la disponibilidad de información </w:t>
      </w:r>
      <w:r w:rsidR="00E26F82" w:rsidRPr="00E83B7E">
        <w:rPr>
          <w:lang w:val="es-ES_tradnl"/>
        </w:rPr>
        <w:t xml:space="preserve">adecuada para llevar adelante el análisis de vulnerabilidad, </w:t>
      </w:r>
      <w:r w:rsidR="00817E09" w:rsidRPr="00E83B7E">
        <w:rPr>
          <w:lang w:val="es-ES_tradnl"/>
        </w:rPr>
        <w:t xml:space="preserve">los sectores considerados en el análisis para el Ecuador incluyen </w:t>
      </w:r>
      <w:r w:rsidR="0094371B" w:rsidRPr="00E83B7E">
        <w:rPr>
          <w:lang w:val="es-ES_tradnl"/>
        </w:rPr>
        <w:t xml:space="preserve">a los siguientes sectores: turismo, transporte, </w:t>
      </w:r>
      <w:r w:rsidR="00FF1802" w:rsidRPr="00E83B7E">
        <w:rPr>
          <w:lang w:val="es-ES_tradnl"/>
        </w:rPr>
        <w:t xml:space="preserve">automotriz, maquinaria y equipos, textil y maquila y </w:t>
      </w:r>
      <w:r w:rsidR="00FF1802" w:rsidRPr="00E83B7E">
        <w:rPr>
          <w:i/>
          <w:iCs/>
          <w:lang w:val="es-ES_tradnl"/>
        </w:rPr>
        <w:t>commodities</w:t>
      </w:r>
      <w:r w:rsidR="00FF1802" w:rsidRPr="00E83B7E">
        <w:rPr>
          <w:lang w:val="es-ES_tradnl"/>
        </w:rPr>
        <w:t xml:space="preserve"> </w:t>
      </w:r>
      <w:r w:rsidR="00681B57" w:rsidRPr="00E83B7E">
        <w:rPr>
          <w:lang w:val="es-ES_tradnl"/>
        </w:rPr>
        <w:t>agropecuarios.</w:t>
      </w:r>
      <w:r w:rsidR="006F1929" w:rsidRPr="00E83B7E">
        <w:rPr>
          <w:rStyle w:val="FootnoteReference"/>
          <w:lang w:val="es-ES_tradnl"/>
        </w:rPr>
        <w:footnoteReference w:id="6"/>
      </w:r>
      <w:r w:rsidR="00BE4C81" w:rsidRPr="00E83B7E">
        <w:rPr>
          <w:lang w:val="es-ES_tradnl"/>
        </w:rPr>
        <w:t xml:space="preserve"> </w:t>
      </w:r>
    </w:p>
    <w:p w14:paraId="533462E0" w14:textId="037825FF" w:rsidR="00303A21" w:rsidRPr="00E83B7E" w:rsidRDefault="00BE4C81" w:rsidP="00A700FB">
      <w:pPr>
        <w:jc w:val="both"/>
        <w:rPr>
          <w:lang w:val="es-ES_tradnl"/>
        </w:rPr>
      </w:pPr>
      <w:r w:rsidRPr="00E83B7E">
        <w:rPr>
          <w:lang w:val="es-ES_tradnl"/>
        </w:rPr>
        <w:t>En la tabla II.</w:t>
      </w:r>
      <w:r w:rsidR="00C5740C" w:rsidRPr="00E83B7E">
        <w:rPr>
          <w:lang w:val="es-ES_tradnl"/>
        </w:rPr>
        <w:t>A.</w:t>
      </w:r>
      <w:r w:rsidRPr="00E83B7E">
        <w:rPr>
          <w:lang w:val="es-ES_tradnl"/>
        </w:rPr>
        <w:t>1 se presenta</w:t>
      </w:r>
      <w:r w:rsidR="00DC3871" w:rsidRPr="00E83B7E">
        <w:rPr>
          <w:lang w:val="es-ES_tradnl"/>
        </w:rPr>
        <w:t xml:space="preserve"> el grado de vulnerabilidad calculado para cada sector.</w:t>
      </w:r>
      <w:r w:rsidR="00CC1B3A" w:rsidRPr="00E83B7E">
        <w:rPr>
          <w:lang w:val="es-ES_tradnl"/>
        </w:rPr>
        <w:t xml:space="preserve"> Como puede observarse, </w:t>
      </w:r>
      <w:r w:rsidR="00E5440E" w:rsidRPr="00E83B7E">
        <w:rPr>
          <w:lang w:val="es-ES_tradnl"/>
        </w:rPr>
        <w:t>el mayor índice de vulnerabilidad</w:t>
      </w:r>
      <w:r w:rsidR="00C1409E" w:rsidRPr="00E83B7E">
        <w:rPr>
          <w:lang w:val="es-ES_tradnl"/>
        </w:rPr>
        <w:t xml:space="preserve"> global</w:t>
      </w:r>
      <w:r w:rsidR="00E5440E" w:rsidRPr="00E83B7E">
        <w:rPr>
          <w:lang w:val="es-ES_tradnl"/>
        </w:rPr>
        <w:t xml:space="preserve"> se presenta en el sector turismo</w:t>
      </w:r>
      <w:r w:rsidR="000E23D0" w:rsidRPr="00E83B7E">
        <w:rPr>
          <w:lang w:val="es-ES_tradnl"/>
        </w:rPr>
        <w:t xml:space="preserve"> </w:t>
      </w:r>
      <w:r w:rsidR="00C54B08" w:rsidRPr="00E83B7E">
        <w:rPr>
          <w:lang w:val="es-ES_tradnl"/>
        </w:rPr>
        <w:t>seguido por el sector de maquinarias y equipo (</w:t>
      </w:r>
      <w:r w:rsidR="000E23D0" w:rsidRPr="00E83B7E">
        <w:rPr>
          <w:lang w:val="es-ES_tradnl"/>
        </w:rPr>
        <w:t xml:space="preserve">con índices de </w:t>
      </w:r>
      <w:r w:rsidR="00EA4C51" w:rsidRPr="00E83B7E">
        <w:rPr>
          <w:lang w:val="es-ES_tradnl"/>
        </w:rPr>
        <w:t>78</w:t>
      </w:r>
      <w:r w:rsidR="00380CB5" w:rsidRPr="00E83B7E">
        <w:rPr>
          <w:lang w:val="es-ES_tradnl"/>
        </w:rPr>
        <w:t xml:space="preserve"> y </w:t>
      </w:r>
      <w:r w:rsidR="004D645F" w:rsidRPr="00E83B7E">
        <w:rPr>
          <w:lang w:val="es-ES_tradnl"/>
        </w:rPr>
        <w:t>69</w:t>
      </w:r>
      <w:r w:rsidR="00C1409E" w:rsidRPr="00E83B7E">
        <w:rPr>
          <w:lang w:val="es-ES_tradnl"/>
        </w:rPr>
        <w:t xml:space="preserve"> respectivamente).</w:t>
      </w:r>
      <w:r w:rsidR="00063F34" w:rsidRPr="00E83B7E">
        <w:rPr>
          <w:lang w:val="es-ES_tradnl"/>
        </w:rPr>
        <w:t xml:space="preserve"> </w:t>
      </w:r>
      <w:r w:rsidR="00C07C7C" w:rsidRPr="00E83B7E">
        <w:rPr>
          <w:lang w:val="es-ES_tradnl"/>
        </w:rPr>
        <w:t>Como puede inferirs</w:t>
      </w:r>
      <w:r w:rsidR="00ED6F69" w:rsidRPr="00E83B7E">
        <w:rPr>
          <w:lang w:val="es-ES_tradnl"/>
        </w:rPr>
        <w:t>e de la tabl</w:t>
      </w:r>
      <w:r w:rsidR="0050643B" w:rsidRPr="00E83B7E">
        <w:rPr>
          <w:lang w:val="es-ES_tradnl"/>
        </w:rPr>
        <w:t xml:space="preserve">a, </w:t>
      </w:r>
      <w:r w:rsidR="00DA3884" w:rsidRPr="00E83B7E">
        <w:rPr>
          <w:lang w:val="es-ES_tradnl"/>
        </w:rPr>
        <w:t xml:space="preserve">la vulnerabilidad del </w:t>
      </w:r>
      <w:r w:rsidR="00A330BA" w:rsidRPr="00E83B7E">
        <w:rPr>
          <w:lang w:val="es-ES_tradnl"/>
        </w:rPr>
        <w:t xml:space="preserve">sector turismo es un </w:t>
      </w:r>
      <w:r w:rsidR="007E7523" w:rsidRPr="00E83B7E">
        <w:rPr>
          <w:lang w:val="es-ES_tradnl"/>
        </w:rPr>
        <w:t>32% más alta que la vulnerabilidad promedio</w:t>
      </w:r>
      <w:r w:rsidR="009111B6" w:rsidRPr="00E83B7E">
        <w:rPr>
          <w:rStyle w:val="FootnoteReference"/>
          <w:lang w:val="es-ES_tradnl"/>
        </w:rPr>
        <w:footnoteReference w:id="7"/>
      </w:r>
      <w:r w:rsidR="007E7523" w:rsidRPr="00E83B7E">
        <w:rPr>
          <w:lang w:val="es-ES_tradnl"/>
        </w:rPr>
        <w:t xml:space="preserve"> de los sectores considerados</w:t>
      </w:r>
      <w:r w:rsidR="00D97C15" w:rsidRPr="00E83B7E">
        <w:rPr>
          <w:lang w:val="es-ES_tradnl"/>
        </w:rPr>
        <w:t xml:space="preserve"> y un </w:t>
      </w:r>
      <w:r w:rsidR="000F0075" w:rsidRPr="00E83B7E">
        <w:rPr>
          <w:lang w:val="es-ES_tradnl"/>
        </w:rPr>
        <w:t>59</w:t>
      </w:r>
      <w:r w:rsidR="00D97C15" w:rsidRPr="00E83B7E">
        <w:rPr>
          <w:lang w:val="es-ES_tradnl"/>
        </w:rPr>
        <w:t xml:space="preserve"> mayor que el de menor vulnerabilidad. Alternativamente, </w:t>
      </w:r>
      <w:r w:rsidR="003A5830" w:rsidRPr="00E83B7E">
        <w:rPr>
          <w:lang w:val="es-ES_tradnl"/>
        </w:rPr>
        <w:t>e</w:t>
      </w:r>
      <w:r w:rsidR="002104C9" w:rsidRPr="00E83B7E">
        <w:rPr>
          <w:lang w:val="es-ES_tradnl"/>
        </w:rPr>
        <w:t xml:space="preserve">l sector de menor vulnerabilidad es el </w:t>
      </w:r>
      <w:r w:rsidR="00364A96" w:rsidRPr="00E83B7E">
        <w:rPr>
          <w:lang w:val="es-ES_tradnl"/>
        </w:rPr>
        <w:t xml:space="preserve">de textil y maquila, con un </w:t>
      </w:r>
      <w:r w:rsidR="66AB0C64" w:rsidRPr="00E83B7E">
        <w:rPr>
          <w:lang w:val="es-ES_tradnl"/>
        </w:rPr>
        <w:t>índice</w:t>
      </w:r>
      <w:r w:rsidR="00364A96" w:rsidRPr="00E83B7E">
        <w:rPr>
          <w:lang w:val="es-ES_tradnl"/>
        </w:rPr>
        <w:t xml:space="preserve"> </w:t>
      </w:r>
      <w:r w:rsidR="003C033C" w:rsidRPr="00E83B7E">
        <w:rPr>
          <w:lang w:val="es-ES_tradnl"/>
        </w:rPr>
        <w:t xml:space="preserve">de </w:t>
      </w:r>
      <w:r w:rsidR="00E50C4A" w:rsidRPr="00E83B7E">
        <w:rPr>
          <w:lang w:val="es-ES_tradnl"/>
        </w:rPr>
        <w:t>4</w:t>
      </w:r>
      <w:r w:rsidR="003C033C" w:rsidRPr="00E83B7E">
        <w:rPr>
          <w:lang w:val="es-ES_tradnl"/>
        </w:rPr>
        <w:t>9</w:t>
      </w:r>
      <w:r w:rsidR="00A07C6D" w:rsidRPr="00E83B7E">
        <w:rPr>
          <w:lang w:val="es-ES_tradnl"/>
        </w:rPr>
        <w:t xml:space="preserve"> (16</w:t>
      </w:r>
      <w:r w:rsidR="00077DD7" w:rsidRPr="00E83B7E">
        <w:rPr>
          <w:lang w:val="es-ES_tradnl"/>
        </w:rPr>
        <w:t xml:space="preserve">% menor al valor promedio de los sectores). </w:t>
      </w:r>
    </w:p>
    <w:p w14:paraId="5D484AD4" w14:textId="77777777" w:rsidR="00D316B0" w:rsidRPr="00E83B7E" w:rsidRDefault="00D316B0" w:rsidP="00A55D13">
      <w:pPr>
        <w:spacing w:after="0" w:line="240" w:lineRule="auto"/>
        <w:jc w:val="center"/>
        <w:rPr>
          <w:b/>
          <w:bCs/>
          <w:lang w:val="es-ES_tradnl"/>
        </w:rPr>
      </w:pPr>
    </w:p>
    <w:p w14:paraId="6FC49A7D" w14:textId="77777777" w:rsidR="00D316B0" w:rsidRPr="00E83B7E" w:rsidRDefault="00D316B0" w:rsidP="00A55D13">
      <w:pPr>
        <w:spacing w:after="0" w:line="240" w:lineRule="auto"/>
        <w:jc w:val="center"/>
        <w:rPr>
          <w:b/>
          <w:bCs/>
          <w:lang w:val="es-ES_tradnl"/>
        </w:rPr>
      </w:pPr>
    </w:p>
    <w:p w14:paraId="795987BF" w14:textId="77777777" w:rsidR="00D316B0" w:rsidRPr="00E83B7E" w:rsidRDefault="00D316B0" w:rsidP="00A55D13">
      <w:pPr>
        <w:spacing w:after="0" w:line="240" w:lineRule="auto"/>
        <w:jc w:val="center"/>
        <w:rPr>
          <w:b/>
          <w:bCs/>
          <w:lang w:val="es-ES_tradnl"/>
        </w:rPr>
      </w:pPr>
    </w:p>
    <w:p w14:paraId="3E31676E" w14:textId="77777777" w:rsidR="00D316B0" w:rsidRPr="00E83B7E" w:rsidRDefault="00D316B0" w:rsidP="00A55D13">
      <w:pPr>
        <w:spacing w:after="0" w:line="240" w:lineRule="auto"/>
        <w:jc w:val="center"/>
        <w:rPr>
          <w:b/>
          <w:bCs/>
          <w:lang w:val="es-ES_tradnl"/>
        </w:rPr>
      </w:pPr>
    </w:p>
    <w:p w14:paraId="38B1F6E9" w14:textId="7AB99FB9" w:rsidR="00755EA6" w:rsidRPr="00E83B7E" w:rsidRDefault="00755EA6" w:rsidP="00A55D13">
      <w:pPr>
        <w:spacing w:after="0" w:line="240" w:lineRule="auto"/>
        <w:jc w:val="center"/>
        <w:rPr>
          <w:b/>
          <w:bCs/>
          <w:lang w:val="es-ES_tradnl"/>
        </w:rPr>
      </w:pPr>
      <w:r w:rsidRPr="00E83B7E">
        <w:rPr>
          <w:b/>
          <w:bCs/>
          <w:lang w:val="es-ES_tradnl"/>
        </w:rPr>
        <w:lastRenderedPageBreak/>
        <w:t>Tabla II</w:t>
      </w:r>
      <w:r w:rsidR="00C5740C" w:rsidRPr="00E83B7E">
        <w:rPr>
          <w:b/>
          <w:bCs/>
          <w:lang w:val="es-ES_tradnl"/>
        </w:rPr>
        <w:t>.A</w:t>
      </w:r>
      <w:r w:rsidRPr="00E83B7E">
        <w:rPr>
          <w:b/>
          <w:bCs/>
          <w:lang w:val="es-ES_tradnl"/>
        </w:rPr>
        <w:t>.1</w:t>
      </w:r>
    </w:p>
    <w:p w14:paraId="04794EBF" w14:textId="15E364A1" w:rsidR="00755EA6" w:rsidRPr="00E83B7E" w:rsidRDefault="00CE3E2B" w:rsidP="00A55D13">
      <w:pPr>
        <w:spacing w:after="0" w:line="240" w:lineRule="auto"/>
        <w:jc w:val="center"/>
        <w:rPr>
          <w:b/>
          <w:bCs/>
          <w:lang w:val="es-ES_tradnl"/>
        </w:rPr>
      </w:pPr>
      <w:r w:rsidRPr="00E83B7E">
        <w:rPr>
          <w:b/>
          <w:bCs/>
          <w:lang w:val="es-ES_tradnl"/>
        </w:rPr>
        <w:t>Índice de vulnerabilidad</w:t>
      </w:r>
      <w:r w:rsidR="00F86B31" w:rsidRPr="00E83B7E">
        <w:rPr>
          <w:b/>
          <w:bCs/>
          <w:lang w:val="es-ES_tradnl"/>
        </w:rPr>
        <w:t xml:space="preserve"> (IV)</w:t>
      </w:r>
      <w:r w:rsidRPr="00E83B7E">
        <w:rPr>
          <w:b/>
          <w:bCs/>
          <w:lang w:val="es-ES_tradnl"/>
        </w:rPr>
        <w:t xml:space="preserve"> por sectores.</w:t>
      </w:r>
    </w:p>
    <w:p w14:paraId="153A124C" w14:textId="77777777" w:rsidR="00A55D13" w:rsidRPr="00E83B7E" w:rsidRDefault="00F86B31" w:rsidP="00A55D13">
      <w:pPr>
        <w:spacing w:after="0" w:line="240" w:lineRule="auto"/>
        <w:jc w:val="center"/>
        <w:rPr>
          <w:b/>
          <w:bCs/>
          <w:lang w:val="es-ES_tradnl"/>
        </w:rPr>
      </w:pPr>
      <w:r w:rsidRPr="00E83B7E">
        <w:rPr>
          <w:b/>
          <w:bCs/>
          <w:lang w:val="es-ES_tradnl"/>
        </w:rPr>
        <w:t>El IV ha sido escalado para tomar valores entre 0 y 100.</w:t>
      </w:r>
    </w:p>
    <w:p w14:paraId="6C9CD196" w14:textId="58EA5C3C" w:rsidR="00AA0B5F" w:rsidRPr="00E83B7E" w:rsidRDefault="00A55D13" w:rsidP="00AA0B5F">
      <w:pPr>
        <w:spacing w:after="0" w:line="240" w:lineRule="auto"/>
        <w:jc w:val="center"/>
        <w:rPr>
          <w:lang w:val="es-ES_tradnl"/>
        </w:rPr>
      </w:pPr>
      <w:r w:rsidRPr="00E83B7E">
        <w:rPr>
          <w:b/>
          <w:bCs/>
          <w:lang w:val="es-ES_tradnl"/>
        </w:rPr>
        <w:t>Un valor más alto indica una mayor vulnerabilidad global del sector.</w:t>
      </w:r>
      <w:r w:rsidR="007C05F4" w:rsidRPr="00E83B7E">
        <w:rPr>
          <w:lang w:val="es-ES_tradnl"/>
        </w:rPr>
        <w:t xml:space="preserve"> </w:t>
      </w:r>
      <w:r w:rsidR="00AA0B5F" w:rsidRPr="00E83B7E">
        <w:rPr>
          <w:lang w:val="es-ES_tradnl"/>
        </w:rPr>
        <w:fldChar w:fldCharType="begin"/>
      </w:r>
      <w:r w:rsidR="00AA0B5F" w:rsidRPr="00E83B7E">
        <w:rPr>
          <w:lang w:val="es-ES_tradnl"/>
        </w:rPr>
        <w:instrText xml:space="preserve"> LINK </w:instrText>
      </w:r>
      <w:r w:rsidR="003A6D81" w:rsidRPr="00E83B7E">
        <w:rPr>
          <w:lang w:val="es-ES_tradnl"/>
        </w:rPr>
        <w:instrText xml:space="preserve">Excel.Sheet.12 https://idbg.sharepoint.com/sites/SectoresVulnerablesCOVID-PyMEsEmpleo/Shared%20Documents/General/2020-04-02%20COVID19%20-%20Ecuador%20Vunerabilidad.xlsx "EC prom x sectores!R3C3:R15C4" </w:instrText>
      </w:r>
      <w:r w:rsidR="00AA0B5F" w:rsidRPr="00E83B7E">
        <w:rPr>
          <w:lang w:val="es-ES_tradnl"/>
        </w:rPr>
        <w:instrText xml:space="preserve">\a \f 4 \h  \* MERGEFORMAT </w:instrText>
      </w:r>
      <w:r w:rsidR="00AA0B5F" w:rsidRPr="00E83B7E">
        <w:rPr>
          <w:lang w:val="es-ES_tradnl"/>
        </w:rPr>
        <w:fldChar w:fldCharType="separate"/>
      </w:r>
    </w:p>
    <w:tbl>
      <w:tblPr>
        <w:tblW w:w="8196" w:type="dxa"/>
        <w:jc w:val="center"/>
        <w:tblLook w:val="04A0" w:firstRow="1" w:lastRow="0" w:firstColumn="1" w:lastColumn="0" w:noHBand="0" w:noVBand="1"/>
      </w:tblPr>
      <w:tblGrid>
        <w:gridCol w:w="6096"/>
        <w:gridCol w:w="2100"/>
      </w:tblGrid>
      <w:tr w:rsidR="00AA0B5F" w:rsidRPr="00E83B7E" w14:paraId="44AF8C19" w14:textId="77777777" w:rsidTr="00AA0B5F">
        <w:trPr>
          <w:trHeight w:val="300"/>
          <w:jc w:val="center"/>
        </w:trPr>
        <w:tc>
          <w:tcPr>
            <w:tcW w:w="6096" w:type="dxa"/>
            <w:tcBorders>
              <w:top w:val="single" w:sz="4" w:space="0" w:color="auto"/>
              <w:left w:val="single" w:sz="4" w:space="0" w:color="auto"/>
              <w:bottom w:val="single" w:sz="4" w:space="0" w:color="auto"/>
              <w:right w:val="single" w:sz="4" w:space="0" w:color="auto"/>
            </w:tcBorders>
            <w:shd w:val="clear" w:color="000000" w:fill="DDEBF7"/>
            <w:noWrap/>
            <w:vAlign w:val="bottom"/>
            <w:hideMark/>
          </w:tcPr>
          <w:p w14:paraId="67CD0EF9" w14:textId="224282B3" w:rsidR="00AA0B5F" w:rsidRPr="00E83B7E" w:rsidRDefault="00AA0B5F" w:rsidP="00AA0B5F">
            <w:pPr>
              <w:jc w:val="center"/>
              <w:rPr>
                <w:rFonts w:ascii="Calibri" w:eastAsia="Times New Roman" w:hAnsi="Calibri" w:cs="Calibri"/>
                <w:b/>
                <w:bCs/>
                <w:color w:val="000000"/>
                <w:lang w:val="es-ES_tradnl"/>
              </w:rPr>
            </w:pPr>
            <w:r w:rsidRPr="00E83B7E">
              <w:rPr>
                <w:rFonts w:ascii="Calibri" w:eastAsia="Times New Roman" w:hAnsi="Calibri" w:cs="Calibri"/>
                <w:b/>
                <w:bCs/>
                <w:color w:val="000000"/>
                <w:lang w:val="es-ES_tradnl"/>
              </w:rPr>
              <w:t>Sector</w:t>
            </w:r>
          </w:p>
        </w:tc>
        <w:tc>
          <w:tcPr>
            <w:tcW w:w="2100" w:type="dxa"/>
            <w:tcBorders>
              <w:top w:val="single" w:sz="4" w:space="0" w:color="auto"/>
              <w:left w:val="nil"/>
              <w:bottom w:val="single" w:sz="4" w:space="0" w:color="auto"/>
              <w:right w:val="single" w:sz="4" w:space="0" w:color="auto"/>
            </w:tcBorders>
            <w:shd w:val="clear" w:color="000000" w:fill="DDEBF7"/>
            <w:noWrap/>
            <w:vAlign w:val="bottom"/>
            <w:hideMark/>
          </w:tcPr>
          <w:p w14:paraId="40C4459E" w14:textId="77777777" w:rsidR="00AA0B5F" w:rsidRPr="00E83B7E" w:rsidRDefault="00AA0B5F" w:rsidP="00AA0B5F">
            <w:pPr>
              <w:spacing w:after="0" w:line="240" w:lineRule="auto"/>
              <w:jc w:val="center"/>
              <w:rPr>
                <w:rFonts w:ascii="Calibri" w:eastAsia="Times New Roman" w:hAnsi="Calibri" w:cs="Calibri"/>
                <w:b/>
                <w:bCs/>
                <w:color w:val="000000"/>
                <w:lang w:val="es-ES_tradnl"/>
              </w:rPr>
            </w:pPr>
            <w:r w:rsidRPr="00E83B7E">
              <w:rPr>
                <w:rFonts w:ascii="Calibri" w:eastAsia="Times New Roman" w:hAnsi="Calibri" w:cs="Calibri"/>
                <w:b/>
                <w:bCs/>
                <w:color w:val="000000"/>
                <w:lang w:val="es-ES_tradnl"/>
              </w:rPr>
              <w:t>Índice vulnerabilidad</w:t>
            </w:r>
          </w:p>
        </w:tc>
      </w:tr>
      <w:tr w:rsidR="00AA0B5F" w:rsidRPr="00E83B7E" w14:paraId="1C871BF2" w14:textId="77777777" w:rsidTr="00AA0B5F">
        <w:trPr>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hideMark/>
          </w:tcPr>
          <w:p w14:paraId="1D9E82C9" w14:textId="77777777" w:rsidR="00AA0B5F" w:rsidRPr="00E83B7E" w:rsidRDefault="00AA0B5F" w:rsidP="00AA0B5F">
            <w:pPr>
              <w:spacing w:after="0" w:line="240" w:lineRule="auto"/>
              <w:rPr>
                <w:rFonts w:ascii="Calibri" w:eastAsia="Times New Roman" w:hAnsi="Calibri" w:cs="Calibri"/>
                <w:color w:val="000000"/>
                <w:lang w:val="es-ES_tradnl"/>
              </w:rPr>
            </w:pPr>
            <w:r w:rsidRPr="00E83B7E">
              <w:rPr>
                <w:rFonts w:ascii="Calibri" w:eastAsia="Times New Roman" w:hAnsi="Calibri" w:cs="Calibri"/>
                <w:color w:val="000000"/>
                <w:lang w:val="es-ES_tradnl"/>
              </w:rPr>
              <w:t>Turismo</w:t>
            </w:r>
          </w:p>
        </w:tc>
        <w:tc>
          <w:tcPr>
            <w:tcW w:w="2100" w:type="dxa"/>
            <w:tcBorders>
              <w:top w:val="nil"/>
              <w:left w:val="nil"/>
              <w:bottom w:val="single" w:sz="4" w:space="0" w:color="auto"/>
              <w:right w:val="single" w:sz="4" w:space="0" w:color="auto"/>
            </w:tcBorders>
            <w:shd w:val="clear" w:color="000000" w:fill="FFFFFF"/>
            <w:noWrap/>
            <w:vAlign w:val="bottom"/>
            <w:hideMark/>
          </w:tcPr>
          <w:p w14:paraId="650C1B7B" w14:textId="77777777" w:rsidR="00AA0B5F" w:rsidRPr="00E83B7E" w:rsidRDefault="00AA0B5F" w:rsidP="00AA0B5F">
            <w:pPr>
              <w:spacing w:after="0" w:line="240" w:lineRule="auto"/>
              <w:jc w:val="center"/>
              <w:rPr>
                <w:rFonts w:ascii="Calibri" w:eastAsia="Times New Roman" w:hAnsi="Calibri" w:cs="Calibri"/>
                <w:color w:val="000000"/>
                <w:lang w:val="es-ES_tradnl"/>
              </w:rPr>
            </w:pPr>
            <w:r w:rsidRPr="00E83B7E">
              <w:rPr>
                <w:rFonts w:ascii="Calibri" w:eastAsia="Times New Roman" w:hAnsi="Calibri" w:cs="Calibri"/>
                <w:color w:val="000000"/>
                <w:lang w:val="es-ES_tradnl"/>
              </w:rPr>
              <w:t>78</w:t>
            </w:r>
          </w:p>
        </w:tc>
      </w:tr>
      <w:tr w:rsidR="00AA0B5F" w:rsidRPr="00E83B7E" w14:paraId="5D39DD2E" w14:textId="77777777" w:rsidTr="00AA0B5F">
        <w:trPr>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hideMark/>
          </w:tcPr>
          <w:p w14:paraId="0647D9BA" w14:textId="77777777" w:rsidR="00AA0B5F" w:rsidRPr="00E83B7E" w:rsidRDefault="00AA0B5F" w:rsidP="00AA0B5F">
            <w:pPr>
              <w:spacing w:after="0" w:line="240" w:lineRule="auto"/>
              <w:rPr>
                <w:rFonts w:ascii="Calibri" w:eastAsia="Times New Roman" w:hAnsi="Calibri" w:cs="Calibri"/>
                <w:color w:val="000000"/>
                <w:lang w:val="es-ES_tradnl"/>
              </w:rPr>
            </w:pPr>
            <w:r w:rsidRPr="00E83B7E">
              <w:rPr>
                <w:rFonts w:ascii="Calibri" w:eastAsia="Times New Roman" w:hAnsi="Calibri" w:cs="Calibri"/>
                <w:color w:val="000000"/>
                <w:lang w:val="es-ES_tradnl"/>
              </w:rPr>
              <w:t>Maquinaria y equipos</w:t>
            </w:r>
          </w:p>
        </w:tc>
        <w:tc>
          <w:tcPr>
            <w:tcW w:w="2100" w:type="dxa"/>
            <w:tcBorders>
              <w:top w:val="nil"/>
              <w:left w:val="nil"/>
              <w:bottom w:val="single" w:sz="4" w:space="0" w:color="auto"/>
              <w:right w:val="single" w:sz="4" w:space="0" w:color="auto"/>
            </w:tcBorders>
            <w:shd w:val="clear" w:color="000000" w:fill="FFFFFF"/>
            <w:noWrap/>
            <w:vAlign w:val="bottom"/>
            <w:hideMark/>
          </w:tcPr>
          <w:p w14:paraId="0D785AA3" w14:textId="77777777" w:rsidR="00AA0B5F" w:rsidRPr="00E83B7E" w:rsidRDefault="00AA0B5F" w:rsidP="00AA0B5F">
            <w:pPr>
              <w:spacing w:after="0" w:line="240" w:lineRule="auto"/>
              <w:jc w:val="center"/>
              <w:rPr>
                <w:rFonts w:ascii="Calibri" w:eastAsia="Times New Roman" w:hAnsi="Calibri" w:cs="Calibri"/>
                <w:color w:val="000000"/>
                <w:lang w:val="es-ES_tradnl"/>
              </w:rPr>
            </w:pPr>
            <w:r w:rsidRPr="00E83B7E">
              <w:rPr>
                <w:rFonts w:ascii="Calibri" w:eastAsia="Times New Roman" w:hAnsi="Calibri" w:cs="Calibri"/>
                <w:color w:val="000000"/>
                <w:lang w:val="es-ES_tradnl"/>
              </w:rPr>
              <w:t>69</w:t>
            </w:r>
          </w:p>
        </w:tc>
      </w:tr>
      <w:tr w:rsidR="00AA0B5F" w:rsidRPr="00E83B7E" w14:paraId="16877D73" w14:textId="77777777" w:rsidTr="00AA0B5F">
        <w:trPr>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hideMark/>
          </w:tcPr>
          <w:p w14:paraId="0FE70FDF" w14:textId="77777777" w:rsidR="00AA0B5F" w:rsidRPr="00E83B7E" w:rsidRDefault="00AA0B5F" w:rsidP="00AA0B5F">
            <w:pPr>
              <w:spacing w:after="0" w:line="240" w:lineRule="auto"/>
              <w:rPr>
                <w:rFonts w:ascii="Calibri" w:eastAsia="Times New Roman" w:hAnsi="Calibri" w:cs="Calibri"/>
                <w:color w:val="000000"/>
                <w:lang w:val="es-ES_tradnl"/>
              </w:rPr>
            </w:pPr>
            <w:r w:rsidRPr="00E83B7E">
              <w:rPr>
                <w:rFonts w:ascii="Calibri" w:eastAsia="Times New Roman" w:hAnsi="Calibri" w:cs="Calibri"/>
                <w:color w:val="000000"/>
                <w:lang w:val="es-ES_tradnl"/>
              </w:rPr>
              <w:t>Transporte</w:t>
            </w:r>
          </w:p>
        </w:tc>
        <w:tc>
          <w:tcPr>
            <w:tcW w:w="2100" w:type="dxa"/>
            <w:tcBorders>
              <w:top w:val="nil"/>
              <w:left w:val="nil"/>
              <w:bottom w:val="single" w:sz="4" w:space="0" w:color="auto"/>
              <w:right w:val="single" w:sz="4" w:space="0" w:color="auto"/>
            </w:tcBorders>
            <w:shd w:val="clear" w:color="000000" w:fill="FFFFFF"/>
            <w:noWrap/>
            <w:vAlign w:val="bottom"/>
            <w:hideMark/>
          </w:tcPr>
          <w:p w14:paraId="2E588F8A" w14:textId="77777777" w:rsidR="00AA0B5F" w:rsidRPr="00E83B7E" w:rsidRDefault="00AA0B5F" w:rsidP="00AA0B5F">
            <w:pPr>
              <w:spacing w:after="0" w:line="240" w:lineRule="auto"/>
              <w:jc w:val="center"/>
              <w:rPr>
                <w:rFonts w:ascii="Calibri" w:eastAsia="Times New Roman" w:hAnsi="Calibri" w:cs="Calibri"/>
                <w:color w:val="000000"/>
                <w:lang w:val="es-ES_tradnl"/>
              </w:rPr>
            </w:pPr>
            <w:r w:rsidRPr="00E83B7E">
              <w:rPr>
                <w:rFonts w:ascii="Calibri" w:eastAsia="Times New Roman" w:hAnsi="Calibri" w:cs="Calibri"/>
                <w:color w:val="000000"/>
                <w:lang w:val="es-ES_tradnl"/>
              </w:rPr>
              <w:t>56</w:t>
            </w:r>
          </w:p>
        </w:tc>
      </w:tr>
      <w:tr w:rsidR="00AA0B5F" w:rsidRPr="00E83B7E" w14:paraId="12F68128" w14:textId="77777777" w:rsidTr="00AA0B5F">
        <w:trPr>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hideMark/>
          </w:tcPr>
          <w:p w14:paraId="66E44FDC" w14:textId="77777777" w:rsidR="00AA0B5F" w:rsidRPr="00E83B7E" w:rsidRDefault="00AA0B5F" w:rsidP="00AA0B5F">
            <w:pPr>
              <w:spacing w:after="0" w:line="240" w:lineRule="auto"/>
              <w:rPr>
                <w:rFonts w:ascii="Calibri" w:eastAsia="Times New Roman" w:hAnsi="Calibri" w:cs="Calibri"/>
                <w:color w:val="000000"/>
                <w:lang w:val="es-ES_tradnl"/>
              </w:rPr>
            </w:pPr>
            <w:proofErr w:type="spellStart"/>
            <w:r w:rsidRPr="00E83B7E">
              <w:rPr>
                <w:rFonts w:ascii="Calibri" w:eastAsia="Times New Roman" w:hAnsi="Calibri" w:cs="Calibri"/>
                <w:i/>
                <w:iCs/>
                <w:color w:val="000000"/>
                <w:lang w:val="es-ES_tradnl"/>
              </w:rPr>
              <w:t>Commoditie</w:t>
            </w:r>
            <w:r w:rsidRPr="00E83B7E">
              <w:rPr>
                <w:rFonts w:ascii="Calibri" w:eastAsia="Times New Roman" w:hAnsi="Calibri" w:cs="Calibri"/>
                <w:color w:val="000000"/>
                <w:lang w:val="es-ES_tradnl"/>
              </w:rPr>
              <w:t>s</w:t>
            </w:r>
            <w:proofErr w:type="spellEnd"/>
            <w:r w:rsidRPr="00E83B7E">
              <w:rPr>
                <w:rFonts w:ascii="Calibri" w:eastAsia="Times New Roman" w:hAnsi="Calibri" w:cs="Calibri"/>
                <w:color w:val="000000"/>
                <w:lang w:val="es-ES_tradnl"/>
              </w:rPr>
              <w:t xml:space="preserve"> agropecuarios</w:t>
            </w:r>
          </w:p>
        </w:tc>
        <w:tc>
          <w:tcPr>
            <w:tcW w:w="2100" w:type="dxa"/>
            <w:tcBorders>
              <w:top w:val="nil"/>
              <w:left w:val="nil"/>
              <w:bottom w:val="single" w:sz="4" w:space="0" w:color="auto"/>
              <w:right w:val="single" w:sz="4" w:space="0" w:color="auto"/>
            </w:tcBorders>
            <w:shd w:val="clear" w:color="000000" w:fill="FFFFFF"/>
            <w:noWrap/>
            <w:vAlign w:val="bottom"/>
            <w:hideMark/>
          </w:tcPr>
          <w:p w14:paraId="5FD895C5" w14:textId="77777777" w:rsidR="00AA0B5F" w:rsidRPr="00E83B7E" w:rsidRDefault="00AA0B5F" w:rsidP="00AA0B5F">
            <w:pPr>
              <w:spacing w:after="0" w:line="240" w:lineRule="auto"/>
              <w:jc w:val="center"/>
              <w:rPr>
                <w:rFonts w:ascii="Calibri" w:eastAsia="Times New Roman" w:hAnsi="Calibri" w:cs="Calibri"/>
                <w:color w:val="000000"/>
                <w:lang w:val="es-ES_tradnl"/>
              </w:rPr>
            </w:pPr>
            <w:r w:rsidRPr="00E83B7E">
              <w:rPr>
                <w:rFonts w:ascii="Calibri" w:eastAsia="Times New Roman" w:hAnsi="Calibri" w:cs="Calibri"/>
                <w:color w:val="000000"/>
                <w:lang w:val="es-ES_tradnl"/>
              </w:rPr>
              <w:t>50</w:t>
            </w:r>
          </w:p>
        </w:tc>
      </w:tr>
      <w:tr w:rsidR="00AA0B5F" w:rsidRPr="00E83B7E" w14:paraId="20021FA9" w14:textId="77777777" w:rsidTr="00AA0B5F">
        <w:trPr>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hideMark/>
          </w:tcPr>
          <w:p w14:paraId="15C5A62A" w14:textId="77777777" w:rsidR="00AA0B5F" w:rsidRPr="00E83B7E" w:rsidRDefault="00AA0B5F" w:rsidP="00AA0B5F">
            <w:pPr>
              <w:spacing w:after="0" w:line="240" w:lineRule="auto"/>
              <w:rPr>
                <w:rFonts w:ascii="Calibri" w:eastAsia="Times New Roman" w:hAnsi="Calibri" w:cs="Calibri"/>
                <w:color w:val="000000"/>
                <w:lang w:val="es-ES_tradnl"/>
              </w:rPr>
            </w:pPr>
            <w:r w:rsidRPr="00E83B7E">
              <w:rPr>
                <w:rFonts w:ascii="Calibri" w:eastAsia="Times New Roman" w:hAnsi="Calibri" w:cs="Calibri"/>
                <w:color w:val="000000"/>
                <w:lang w:val="es-ES_tradnl"/>
              </w:rPr>
              <w:t>Automotriz</w:t>
            </w:r>
          </w:p>
        </w:tc>
        <w:tc>
          <w:tcPr>
            <w:tcW w:w="2100" w:type="dxa"/>
            <w:tcBorders>
              <w:top w:val="nil"/>
              <w:left w:val="nil"/>
              <w:bottom w:val="single" w:sz="4" w:space="0" w:color="auto"/>
              <w:right w:val="single" w:sz="4" w:space="0" w:color="auto"/>
            </w:tcBorders>
            <w:shd w:val="clear" w:color="000000" w:fill="FFFFFF"/>
            <w:noWrap/>
            <w:vAlign w:val="bottom"/>
            <w:hideMark/>
          </w:tcPr>
          <w:p w14:paraId="5A84496F" w14:textId="77777777" w:rsidR="00AA0B5F" w:rsidRPr="00E83B7E" w:rsidRDefault="00AA0B5F" w:rsidP="00AA0B5F">
            <w:pPr>
              <w:spacing w:after="0" w:line="240" w:lineRule="auto"/>
              <w:jc w:val="center"/>
              <w:rPr>
                <w:rFonts w:ascii="Calibri" w:eastAsia="Times New Roman" w:hAnsi="Calibri" w:cs="Calibri"/>
                <w:color w:val="000000"/>
                <w:lang w:val="es-ES_tradnl"/>
              </w:rPr>
            </w:pPr>
            <w:r w:rsidRPr="00E83B7E">
              <w:rPr>
                <w:rFonts w:ascii="Calibri" w:eastAsia="Times New Roman" w:hAnsi="Calibri" w:cs="Calibri"/>
                <w:color w:val="000000"/>
                <w:lang w:val="es-ES_tradnl"/>
              </w:rPr>
              <w:t>50</w:t>
            </w:r>
          </w:p>
        </w:tc>
      </w:tr>
      <w:tr w:rsidR="00AA0B5F" w:rsidRPr="00E83B7E" w14:paraId="331193F3" w14:textId="77777777" w:rsidTr="00AA0B5F">
        <w:trPr>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hideMark/>
          </w:tcPr>
          <w:p w14:paraId="0C85654C" w14:textId="77777777" w:rsidR="00AA0B5F" w:rsidRPr="00E83B7E" w:rsidRDefault="00AA0B5F" w:rsidP="00AA0B5F">
            <w:pPr>
              <w:spacing w:after="0" w:line="240" w:lineRule="auto"/>
              <w:rPr>
                <w:rFonts w:ascii="Calibri" w:eastAsia="Times New Roman" w:hAnsi="Calibri" w:cs="Calibri"/>
                <w:color w:val="000000"/>
                <w:lang w:val="es-ES_tradnl"/>
              </w:rPr>
            </w:pPr>
            <w:r w:rsidRPr="00E83B7E">
              <w:rPr>
                <w:rFonts w:ascii="Calibri" w:eastAsia="Times New Roman" w:hAnsi="Calibri" w:cs="Calibri"/>
                <w:color w:val="000000"/>
                <w:lang w:val="es-ES_tradnl"/>
              </w:rPr>
              <w:t>Textil y maquila</w:t>
            </w:r>
          </w:p>
        </w:tc>
        <w:tc>
          <w:tcPr>
            <w:tcW w:w="2100" w:type="dxa"/>
            <w:tcBorders>
              <w:top w:val="nil"/>
              <w:left w:val="nil"/>
              <w:bottom w:val="single" w:sz="4" w:space="0" w:color="auto"/>
              <w:right w:val="single" w:sz="4" w:space="0" w:color="auto"/>
            </w:tcBorders>
            <w:shd w:val="clear" w:color="000000" w:fill="FFFFFF"/>
            <w:noWrap/>
            <w:vAlign w:val="bottom"/>
            <w:hideMark/>
          </w:tcPr>
          <w:p w14:paraId="748BD259" w14:textId="77777777" w:rsidR="00AA0B5F" w:rsidRPr="00E83B7E" w:rsidRDefault="00AA0B5F" w:rsidP="00AA0B5F">
            <w:pPr>
              <w:spacing w:after="0" w:line="240" w:lineRule="auto"/>
              <w:jc w:val="center"/>
              <w:rPr>
                <w:rFonts w:ascii="Calibri" w:eastAsia="Times New Roman" w:hAnsi="Calibri" w:cs="Calibri"/>
                <w:color w:val="000000"/>
                <w:lang w:val="es-ES_tradnl"/>
              </w:rPr>
            </w:pPr>
            <w:r w:rsidRPr="00E83B7E">
              <w:rPr>
                <w:rFonts w:ascii="Calibri" w:eastAsia="Times New Roman" w:hAnsi="Calibri" w:cs="Calibri"/>
                <w:color w:val="000000"/>
                <w:lang w:val="es-ES_tradnl"/>
              </w:rPr>
              <w:t>49</w:t>
            </w:r>
          </w:p>
        </w:tc>
      </w:tr>
      <w:tr w:rsidR="00AA0B5F" w:rsidRPr="00E83B7E" w14:paraId="1C0D2E1B" w14:textId="77777777" w:rsidTr="00AA0B5F">
        <w:trPr>
          <w:trHeight w:val="150"/>
          <w:jc w:val="center"/>
        </w:trPr>
        <w:tc>
          <w:tcPr>
            <w:tcW w:w="6096" w:type="dxa"/>
            <w:tcBorders>
              <w:top w:val="nil"/>
              <w:left w:val="single" w:sz="4" w:space="0" w:color="auto"/>
              <w:bottom w:val="single" w:sz="4" w:space="0" w:color="auto"/>
              <w:right w:val="nil"/>
            </w:tcBorders>
            <w:shd w:val="clear" w:color="000000" w:fill="FFFFFF"/>
            <w:noWrap/>
            <w:vAlign w:val="bottom"/>
            <w:hideMark/>
          </w:tcPr>
          <w:p w14:paraId="44658F3E" w14:textId="77777777" w:rsidR="00AA0B5F" w:rsidRPr="00E83B7E" w:rsidRDefault="00AA0B5F" w:rsidP="00AA0B5F">
            <w:pPr>
              <w:spacing w:after="0" w:line="240" w:lineRule="auto"/>
              <w:rPr>
                <w:rFonts w:ascii="Calibri" w:eastAsia="Times New Roman" w:hAnsi="Calibri" w:cs="Calibri"/>
                <w:color w:val="000000"/>
                <w:lang w:val="es-ES_tradnl"/>
              </w:rPr>
            </w:pPr>
            <w:r w:rsidRPr="00E83B7E">
              <w:rPr>
                <w:rFonts w:ascii="Calibri" w:eastAsia="Times New Roman" w:hAnsi="Calibri" w:cs="Calibri"/>
                <w:color w:val="000000"/>
                <w:lang w:val="es-ES_tradnl"/>
              </w:rPr>
              <w:t> </w:t>
            </w:r>
          </w:p>
        </w:tc>
        <w:tc>
          <w:tcPr>
            <w:tcW w:w="2100" w:type="dxa"/>
            <w:tcBorders>
              <w:top w:val="nil"/>
              <w:left w:val="nil"/>
              <w:bottom w:val="single" w:sz="4" w:space="0" w:color="auto"/>
              <w:right w:val="single" w:sz="4" w:space="0" w:color="auto"/>
            </w:tcBorders>
            <w:shd w:val="clear" w:color="000000" w:fill="FFFFFF"/>
            <w:noWrap/>
            <w:vAlign w:val="bottom"/>
            <w:hideMark/>
          </w:tcPr>
          <w:p w14:paraId="07351FAF" w14:textId="77777777" w:rsidR="00AA0B5F" w:rsidRPr="00E83B7E" w:rsidRDefault="00AA0B5F" w:rsidP="00AA0B5F">
            <w:pPr>
              <w:spacing w:after="0" w:line="240" w:lineRule="auto"/>
              <w:jc w:val="center"/>
              <w:rPr>
                <w:rFonts w:ascii="Calibri" w:eastAsia="Times New Roman" w:hAnsi="Calibri" w:cs="Calibri"/>
                <w:color w:val="000000"/>
                <w:lang w:val="es-ES_tradnl"/>
              </w:rPr>
            </w:pPr>
            <w:r w:rsidRPr="00E83B7E">
              <w:rPr>
                <w:rFonts w:ascii="Calibri" w:eastAsia="Times New Roman" w:hAnsi="Calibri" w:cs="Calibri"/>
                <w:color w:val="000000"/>
                <w:lang w:val="es-ES_tradnl"/>
              </w:rPr>
              <w:t> </w:t>
            </w:r>
          </w:p>
        </w:tc>
      </w:tr>
      <w:tr w:rsidR="00AA0B5F" w:rsidRPr="00E83B7E" w14:paraId="10F02E96" w14:textId="77777777" w:rsidTr="00AA0B5F">
        <w:trPr>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hideMark/>
          </w:tcPr>
          <w:p w14:paraId="40AE77C2" w14:textId="77777777" w:rsidR="00AA0B5F" w:rsidRPr="00E83B7E" w:rsidRDefault="00AA0B5F" w:rsidP="00AA0B5F">
            <w:pPr>
              <w:spacing w:after="0" w:line="240" w:lineRule="auto"/>
              <w:rPr>
                <w:rFonts w:ascii="Calibri" w:eastAsia="Times New Roman" w:hAnsi="Calibri" w:cs="Calibri"/>
                <w:i/>
                <w:iCs/>
                <w:color w:val="000000"/>
                <w:lang w:val="es-ES_tradnl"/>
              </w:rPr>
            </w:pPr>
            <w:r w:rsidRPr="00E83B7E">
              <w:rPr>
                <w:rFonts w:ascii="Calibri" w:eastAsia="Times New Roman" w:hAnsi="Calibri" w:cs="Calibri"/>
                <w:i/>
                <w:iCs/>
                <w:color w:val="000000"/>
                <w:lang w:val="es-ES_tradnl"/>
              </w:rPr>
              <w:t>Mediana sectores</w:t>
            </w:r>
          </w:p>
        </w:tc>
        <w:tc>
          <w:tcPr>
            <w:tcW w:w="2100" w:type="dxa"/>
            <w:tcBorders>
              <w:top w:val="nil"/>
              <w:left w:val="nil"/>
              <w:bottom w:val="single" w:sz="4" w:space="0" w:color="auto"/>
              <w:right w:val="single" w:sz="4" w:space="0" w:color="auto"/>
            </w:tcBorders>
            <w:shd w:val="clear" w:color="000000" w:fill="FFFFFF"/>
            <w:noWrap/>
            <w:vAlign w:val="bottom"/>
            <w:hideMark/>
          </w:tcPr>
          <w:p w14:paraId="00351EEE" w14:textId="77777777" w:rsidR="00AA0B5F" w:rsidRPr="00E83B7E" w:rsidRDefault="00AA0B5F" w:rsidP="00AA0B5F">
            <w:pPr>
              <w:spacing w:after="0" w:line="240" w:lineRule="auto"/>
              <w:jc w:val="center"/>
              <w:rPr>
                <w:rFonts w:ascii="Calibri" w:eastAsia="Times New Roman" w:hAnsi="Calibri" w:cs="Calibri"/>
                <w:i/>
                <w:iCs/>
                <w:color w:val="000000"/>
                <w:lang w:val="es-ES_tradnl"/>
              </w:rPr>
            </w:pPr>
            <w:r w:rsidRPr="00E83B7E">
              <w:rPr>
                <w:rFonts w:ascii="Calibri" w:eastAsia="Times New Roman" w:hAnsi="Calibri" w:cs="Calibri"/>
                <w:i/>
                <w:iCs/>
                <w:color w:val="000000"/>
                <w:lang w:val="es-ES_tradnl"/>
              </w:rPr>
              <w:t>53</w:t>
            </w:r>
          </w:p>
        </w:tc>
      </w:tr>
      <w:tr w:rsidR="00AA0B5F" w:rsidRPr="00E83B7E" w14:paraId="74F3F4B8" w14:textId="77777777" w:rsidTr="00AA0B5F">
        <w:trPr>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hideMark/>
          </w:tcPr>
          <w:p w14:paraId="6937E4B7" w14:textId="77777777" w:rsidR="00AA0B5F" w:rsidRPr="00E83B7E" w:rsidRDefault="00AA0B5F" w:rsidP="00AA0B5F">
            <w:pPr>
              <w:spacing w:after="0" w:line="240" w:lineRule="auto"/>
              <w:rPr>
                <w:rFonts w:ascii="Calibri" w:eastAsia="Times New Roman" w:hAnsi="Calibri" w:cs="Calibri"/>
                <w:i/>
                <w:iCs/>
                <w:color w:val="000000"/>
                <w:lang w:val="es-ES_tradnl"/>
              </w:rPr>
            </w:pPr>
            <w:r w:rsidRPr="00E83B7E">
              <w:rPr>
                <w:rFonts w:ascii="Calibri" w:eastAsia="Times New Roman" w:hAnsi="Calibri" w:cs="Calibri"/>
                <w:i/>
                <w:iCs/>
                <w:color w:val="000000"/>
                <w:lang w:val="es-ES_tradnl"/>
              </w:rPr>
              <w:t>Promedio simple sectores</w:t>
            </w:r>
          </w:p>
        </w:tc>
        <w:tc>
          <w:tcPr>
            <w:tcW w:w="2100" w:type="dxa"/>
            <w:tcBorders>
              <w:top w:val="nil"/>
              <w:left w:val="nil"/>
              <w:bottom w:val="single" w:sz="4" w:space="0" w:color="auto"/>
              <w:right w:val="single" w:sz="4" w:space="0" w:color="auto"/>
            </w:tcBorders>
            <w:shd w:val="clear" w:color="000000" w:fill="FFFFFF"/>
            <w:noWrap/>
            <w:vAlign w:val="bottom"/>
            <w:hideMark/>
          </w:tcPr>
          <w:p w14:paraId="204E3FD8" w14:textId="77777777" w:rsidR="00AA0B5F" w:rsidRPr="00E83B7E" w:rsidRDefault="00AA0B5F" w:rsidP="00AA0B5F">
            <w:pPr>
              <w:spacing w:after="0" w:line="240" w:lineRule="auto"/>
              <w:jc w:val="center"/>
              <w:rPr>
                <w:rFonts w:ascii="Calibri" w:eastAsia="Times New Roman" w:hAnsi="Calibri" w:cs="Calibri"/>
                <w:i/>
                <w:iCs/>
                <w:color w:val="000000"/>
                <w:lang w:val="es-ES_tradnl"/>
              </w:rPr>
            </w:pPr>
            <w:r w:rsidRPr="00E83B7E">
              <w:rPr>
                <w:rFonts w:ascii="Calibri" w:eastAsia="Times New Roman" w:hAnsi="Calibri" w:cs="Calibri"/>
                <w:i/>
                <w:iCs/>
                <w:color w:val="000000"/>
                <w:lang w:val="es-ES_tradnl"/>
              </w:rPr>
              <w:t>59</w:t>
            </w:r>
          </w:p>
        </w:tc>
      </w:tr>
      <w:tr w:rsidR="00AA0B5F" w:rsidRPr="00E83B7E" w14:paraId="67E20396" w14:textId="77777777" w:rsidTr="00AA0B5F">
        <w:trPr>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hideMark/>
          </w:tcPr>
          <w:p w14:paraId="4E0019F9" w14:textId="77777777" w:rsidR="00AA0B5F" w:rsidRPr="00E83B7E" w:rsidRDefault="00AA0B5F" w:rsidP="00AA0B5F">
            <w:pPr>
              <w:spacing w:after="0" w:line="240" w:lineRule="auto"/>
              <w:rPr>
                <w:rFonts w:ascii="Calibri" w:eastAsia="Times New Roman" w:hAnsi="Calibri" w:cs="Calibri"/>
                <w:i/>
                <w:iCs/>
                <w:color w:val="000000"/>
                <w:lang w:val="es-ES_tradnl"/>
              </w:rPr>
            </w:pPr>
            <w:r w:rsidRPr="00E83B7E">
              <w:rPr>
                <w:rFonts w:ascii="Calibri" w:eastAsia="Times New Roman" w:hAnsi="Calibri" w:cs="Calibri"/>
                <w:i/>
                <w:iCs/>
                <w:color w:val="000000"/>
                <w:lang w:val="es-ES_tradnl"/>
              </w:rPr>
              <w:t>Promedio sectores (ponderado por contribución al PIB) (*)</w:t>
            </w:r>
          </w:p>
        </w:tc>
        <w:tc>
          <w:tcPr>
            <w:tcW w:w="2100" w:type="dxa"/>
            <w:tcBorders>
              <w:top w:val="nil"/>
              <w:left w:val="nil"/>
              <w:bottom w:val="single" w:sz="4" w:space="0" w:color="auto"/>
              <w:right w:val="single" w:sz="4" w:space="0" w:color="auto"/>
            </w:tcBorders>
            <w:shd w:val="clear" w:color="000000" w:fill="FFFFFF"/>
            <w:noWrap/>
            <w:vAlign w:val="bottom"/>
            <w:hideMark/>
          </w:tcPr>
          <w:p w14:paraId="74F14B48" w14:textId="77777777" w:rsidR="00AA0B5F" w:rsidRPr="00E83B7E" w:rsidRDefault="00AA0B5F" w:rsidP="00AA0B5F">
            <w:pPr>
              <w:spacing w:after="0" w:line="240" w:lineRule="auto"/>
              <w:jc w:val="center"/>
              <w:rPr>
                <w:rFonts w:ascii="Calibri" w:eastAsia="Times New Roman" w:hAnsi="Calibri" w:cs="Calibri"/>
                <w:i/>
                <w:iCs/>
                <w:color w:val="000000"/>
                <w:lang w:val="es-ES_tradnl"/>
              </w:rPr>
            </w:pPr>
            <w:r w:rsidRPr="00E83B7E">
              <w:rPr>
                <w:rFonts w:ascii="Calibri" w:eastAsia="Times New Roman" w:hAnsi="Calibri" w:cs="Calibri"/>
                <w:i/>
                <w:iCs/>
                <w:color w:val="000000"/>
                <w:lang w:val="es-ES_tradnl"/>
              </w:rPr>
              <w:t>61</w:t>
            </w:r>
          </w:p>
        </w:tc>
      </w:tr>
      <w:tr w:rsidR="00AA0B5F" w:rsidRPr="00E83B7E" w14:paraId="5A53FE90" w14:textId="77777777" w:rsidTr="00AA0B5F">
        <w:trPr>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hideMark/>
          </w:tcPr>
          <w:p w14:paraId="64B08A33" w14:textId="77777777" w:rsidR="00AA0B5F" w:rsidRPr="00E83B7E" w:rsidRDefault="00AA0B5F" w:rsidP="00AA0B5F">
            <w:pPr>
              <w:spacing w:after="0" w:line="240" w:lineRule="auto"/>
              <w:rPr>
                <w:rFonts w:ascii="Calibri" w:eastAsia="Times New Roman" w:hAnsi="Calibri" w:cs="Calibri"/>
                <w:i/>
                <w:iCs/>
                <w:color w:val="000000"/>
                <w:lang w:val="es-ES_tradnl"/>
              </w:rPr>
            </w:pPr>
            <w:r w:rsidRPr="00E83B7E">
              <w:rPr>
                <w:rFonts w:ascii="Calibri" w:eastAsia="Times New Roman" w:hAnsi="Calibri" w:cs="Calibri"/>
                <w:i/>
                <w:iCs/>
                <w:color w:val="000000"/>
                <w:lang w:val="es-ES_tradnl"/>
              </w:rPr>
              <w:t>Promedio sectores (ponderado por contribución al empleo) (*)</w:t>
            </w:r>
          </w:p>
        </w:tc>
        <w:tc>
          <w:tcPr>
            <w:tcW w:w="2100" w:type="dxa"/>
            <w:tcBorders>
              <w:top w:val="nil"/>
              <w:left w:val="nil"/>
              <w:bottom w:val="single" w:sz="4" w:space="0" w:color="auto"/>
              <w:right w:val="single" w:sz="4" w:space="0" w:color="auto"/>
            </w:tcBorders>
            <w:shd w:val="clear" w:color="000000" w:fill="FFFFFF"/>
            <w:noWrap/>
            <w:vAlign w:val="bottom"/>
            <w:hideMark/>
          </w:tcPr>
          <w:p w14:paraId="63B2B844" w14:textId="77777777" w:rsidR="00AA0B5F" w:rsidRPr="00E83B7E" w:rsidRDefault="00AA0B5F" w:rsidP="00AA0B5F">
            <w:pPr>
              <w:spacing w:after="0" w:line="240" w:lineRule="auto"/>
              <w:jc w:val="center"/>
              <w:rPr>
                <w:rFonts w:ascii="Calibri" w:eastAsia="Times New Roman" w:hAnsi="Calibri" w:cs="Calibri"/>
                <w:i/>
                <w:iCs/>
                <w:color w:val="000000"/>
                <w:lang w:val="es-ES_tradnl"/>
              </w:rPr>
            </w:pPr>
            <w:r w:rsidRPr="00E83B7E">
              <w:rPr>
                <w:rFonts w:ascii="Calibri" w:eastAsia="Times New Roman" w:hAnsi="Calibri" w:cs="Calibri"/>
                <w:i/>
                <w:iCs/>
                <w:color w:val="000000"/>
                <w:lang w:val="es-ES_tradnl"/>
              </w:rPr>
              <w:t>56</w:t>
            </w:r>
          </w:p>
        </w:tc>
      </w:tr>
      <w:tr w:rsidR="00AA0B5F" w:rsidRPr="00E83B7E" w14:paraId="0785BE1F" w14:textId="77777777" w:rsidTr="00AA0B5F">
        <w:trPr>
          <w:trHeight w:val="975"/>
          <w:jc w:val="center"/>
        </w:trPr>
        <w:tc>
          <w:tcPr>
            <w:tcW w:w="8196" w:type="dxa"/>
            <w:gridSpan w:val="2"/>
            <w:tcBorders>
              <w:top w:val="single" w:sz="4" w:space="0" w:color="auto"/>
              <w:left w:val="nil"/>
              <w:bottom w:val="nil"/>
              <w:right w:val="nil"/>
            </w:tcBorders>
            <w:shd w:val="clear" w:color="000000" w:fill="FFFFFF"/>
            <w:vAlign w:val="bottom"/>
            <w:hideMark/>
          </w:tcPr>
          <w:p w14:paraId="6359CFCC" w14:textId="77777777" w:rsidR="00AA0B5F" w:rsidRPr="00E83B7E" w:rsidRDefault="00AA0B5F" w:rsidP="00AA0B5F">
            <w:pPr>
              <w:spacing w:after="0" w:line="240" w:lineRule="auto"/>
              <w:rPr>
                <w:rFonts w:ascii="Calibri" w:eastAsia="Times New Roman" w:hAnsi="Calibri" w:cs="Calibri"/>
                <w:color w:val="000000"/>
                <w:sz w:val="18"/>
                <w:szCs w:val="18"/>
                <w:lang w:val="es-ES_tradnl"/>
              </w:rPr>
            </w:pPr>
            <w:r w:rsidRPr="00E83B7E">
              <w:rPr>
                <w:rFonts w:ascii="Calibri" w:eastAsia="Times New Roman" w:hAnsi="Calibri" w:cs="Calibri"/>
                <w:color w:val="000000"/>
                <w:sz w:val="18"/>
                <w:szCs w:val="18"/>
                <w:lang w:val="es-ES_tradnl"/>
              </w:rPr>
              <w:t xml:space="preserve">Fuente: IFD/CMF. </w:t>
            </w:r>
            <w:r w:rsidRPr="00E83B7E">
              <w:rPr>
                <w:rFonts w:ascii="Calibri" w:eastAsia="Times New Roman" w:hAnsi="Calibri" w:cs="Calibri"/>
                <w:color w:val="000000"/>
                <w:sz w:val="18"/>
                <w:szCs w:val="18"/>
                <w:lang w:val="es-ES_tradnl"/>
              </w:rPr>
              <w:br/>
            </w:r>
            <w:r w:rsidRPr="00E83B7E">
              <w:rPr>
                <w:rFonts w:ascii="Calibri" w:eastAsia="Times New Roman" w:hAnsi="Calibri" w:cs="Calibri"/>
                <w:i/>
                <w:iCs/>
                <w:color w:val="000000"/>
                <w:sz w:val="18"/>
                <w:szCs w:val="18"/>
                <w:lang w:val="es-ES_tradnl"/>
              </w:rPr>
              <w:t>(*) La ponderación considera sólo los sectores enumerados.</w:t>
            </w:r>
            <w:r w:rsidRPr="00E83B7E">
              <w:rPr>
                <w:rFonts w:ascii="Calibri" w:eastAsia="Times New Roman" w:hAnsi="Calibri" w:cs="Calibri"/>
                <w:i/>
                <w:iCs/>
                <w:color w:val="000000"/>
                <w:sz w:val="18"/>
                <w:szCs w:val="18"/>
                <w:lang w:val="es-ES_tradnl"/>
              </w:rPr>
              <w:br/>
              <w:t>El IV ha sido escalado para tomar valores entre 0 y 100. Un valor más alto indica una mayor vulnerabilidad global del sector.</w:t>
            </w:r>
          </w:p>
        </w:tc>
      </w:tr>
    </w:tbl>
    <w:p w14:paraId="3C106EF7" w14:textId="67ED55B8" w:rsidR="00303A21" w:rsidRPr="00E83B7E" w:rsidRDefault="00AA0B5F" w:rsidP="00A700FB">
      <w:pPr>
        <w:jc w:val="both"/>
        <w:rPr>
          <w:lang w:val="es-ES_tradnl"/>
        </w:rPr>
      </w:pPr>
      <w:r w:rsidRPr="00E83B7E">
        <w:rPr>
          <w:lang w:val="es-ES_tradnl"/>
        </w:rPr>
        <w:fldChar w:fldCharType="end"/>
      </w:r>
    </w:p>
    <w:p w14:paraId="23669336" w14:textId="7B04D128" w:rsidR="00725F1A" w:rsidRPr="00E83B7E" w:rsidRDefault="00725F1A" w:rsidP="00725F1A">
      <w:pPr>
        <w:pStyle w:val="Heading2"/>
        <w:ind w:left="0"/>
        <w:rPr>
          <w:lang w:val="es-ES_tradnl"/>
        </w:rPr>
      </w:pPr>
      <w:bookmarkStart w:id="9" w:name="_Toc36834039"/>
      <w:r w:rsidRPr="00E83B7E">
        <w:rPr>
          <w:lang w:val="es-ES_tradnl"/>
        </w:rPr>
        <w:t>Situación por sectores</w:t>
      </w:r>
      <w:bookmarkEnd w:id="9"/>
    </w:p>
    <w:p w14:paraId="7C4A546B" w14:textId="3FF232F9" w:rsidR="00DA5A02" w:rsidRPr="00E83B7E" w:rsidRDefault="003B358E" w:rsidP="00E3628F">
      <w:pPr>
        <w:jc w:val="both"/>
        <w:rPr>
          <w:lang w:val="es-ES_tradnl"/>
        </w:rPr>
      </w:pPr>
      <w:r w:rsidRPr="00E83B7E">
        <w:rPr>
          <w:lang w:val="es-ES_tradnl"/>
        </w:rPr>
        <w:t xml:space="preserve">El </w:t>
      </w:r>
      <w:r w:rsidRPr="00E83B7E">
        <w:rPr>
          <w:b/>
          <w:bCs/>
          <w:lang w:val="es-ES_tradnl"/>
        </w:rPr>
        <w:t>sector turismo</w:t>
      </w:r>
      <w:r w:rsidRPr="00E83B7E">
        <w:rPr>
          <w:lang w:val="es-ES_tradnl"/>
        </w:rPr>
        <w:t xml:space="preserve">, presenta un </w:t>
      </w:r>
      <w:r w:rsidR="00D66202" w:rsidRPr="00E83B7E">
        <w:rPr>
          <w:lang w:val="es-ES_tradnl"/>
        </w:rPr>
        <w:t>grado</w:t>
      </w:r>
      <w:r w:rsidRPr="00E83B7E">
        <w:rPr>
          <w:lang w:val="es-ES_tradnl"/>
        </w:rPr>
        <w:t xml:space="preserve"> de vulnerabilidad </w:t>
      </w:r>
      <w:r w:rsidR="00994BAE" w:rsidRPr="00E83B7E">
        <w:rPr>
          <w:lang w:val="es-ES_tradnl"/>
        </w:rPr>
        <w:t>severo</w:t>
      </w:r>
      <w:r w:rsidR="00D85674" w:rsidRPr="00E83B7E">
        <w:rPr>
          <w:lang w:val="es-ES_tradnl"/>
        </w:rPr>
        <w:t xml:space="preserve">, con un </w:t>
      </w:r>
      <w:r w:rsidR="792EC07A" w:rsidRPr="00E83B7E">
        <w:rPr>
          <w:lang w:val="es-ES_tradnl"/>
        </w:rPr>
        <w:t>índice de vulnerab</w:t>
      </w:r>
      <w:r w:rsidR="76C1505E" w:rsidRPr="00E83B7E">
        <w:rPr>
          <w:lang w:val="es-ES_tradnl"/>
        </w:rPr>
        <w:t>i</w:t>
      </w:r>
      <w:r w:rsidR="792EC07A" w:rsidRPr="00E83B7E">
        <w:rPr>
          <w:lang w:val="es-ES_tradnl"/>
        </w:rPr>
        <w:t>lidad (</w:t>
      </w:r>
      <w:r w:rsidR="00D66202" w:rsidRPr="00E83B7E">
        <w:rPr>
          <w:lang w:val="es-ES_tradnl"/>
        </w:rPr>
        <w:t>IV</w:t>
      </w:r>
      <w:r w:rsidR="75BE55CF" w:rsidRPr="00E83B7E">
        <w:rPr>
          <w:lang w:val="es-ES_tradnl"/>
        </w:rPr>
        <w:t>)</w:t>
      </w:r>
      <w:r w:rsidR="00D66202" w:rsidRPr="00E83B7E">
        <w:rPr>
          <w:lang w:val="es-ES_tradnl"/>
        </w:rPr>
        <w:t xml:space="preserve"> de </w:t>
      </w:r>
      <w:r w:rsidR="0081327D" w:rsidRPr="00E83B7E">
        <w:rPr>
          <w:lang w:val="es-ES_tradnl"/>
        </w:rPr>
        <w:t>78</w:t>
      </w:r>
      <w:r w:rsidR="006D4EEB" w:rsidRPr="00E83B7E">
        <w:rPr>
          <w:lang w:val="es-ES_tradnl"/>
        </w:rPr>
        <w:t>.</w:t>
      </w:r>
      <w:r w:rsidRPr="00E83B7E">
        <w:rPr>
          <w:lang w:val="es-ES_tradnl"/>
        </w:rPr>
        <w:t xml:space="preserve"> </w:t>
      </w:r>
      <w:r w:rsidR="00C044A5" w:rsidRPr="00E83B7E">
        <w:rPr>
          <w:lang w:val="es-ES_tradnl"/>
        </w:rPr>
        <w:t>Según</w:t>
      </w:r>
      <w:r w:rsidR="00AD7842" w:rsidRPr="00E83B7E">
        <w:rPr>
          <w:lang w:val="es-ES_tradnl"/>
        </w:rPr>
        <w:t xml:space="preserve"> la contribución de los distintos factores al índice global para el sector, se </w:t>
      </w:r>
      <w:r w:rsidR="6BEB82F3" w:rsidRPr="00E83B7E">
        <w:rPr>
          <w:lang w:val="es-ES_tradnl"/>
        </w:rPr>
        <w:t>observa</w:t>
      </w:r>
      <w:r w:rsidR="00AD7842" w:rsidRPr="00E83B7E">
        <w:rPr>
          <w:lang w:val="es-ES_tradnl"/>
        </w:rPr>
        <w:t xml:space="preserve"> que </w:t>
      </w:r>
      <w:r w:rsidR="00A0202B" w:rsidRPr="00E83B7E">
        <w:rPr>
          <w:lang w:val="es-ES_tradnl"/>
        </w:rPr>
        <w:t xml:space="preserve">el mayor </w:t>
      </w:r>
      <w:r w:rsidR="00EC2E9B" w:rsidRPr="00E83B7E">
        <w:rPr>
          <w:lang w:val="es-ES_tradnl"/>
        </w:rPr>
        <w:t xml:space="preserve">índice de </w:t>
      </w:r>
      <w:r w:rsidRPr="00E83B7E">
        <w:rPr>
          <w:lang w:val="es-ES_tradnl"/>
        </w:rPr>
        <w:t>precepción de la materialización de riesgos</w:t>
      </w:r>
      <w:r w:rsidR="00EC2E9B" w:rsidRPr="00E83B7E">
        <w:rPr>
          <w:lang w:val="es-ES_tradnl"/>
        </w:rPr>
        <w:t xml:space="preserve"> se encuentra en los factores de demanda (</w:t>
      </w:r>
      <w:r w:rsidR="0082722B" w:rsidRPr="00E83B7E">
        <w:rPr>
          <w:lang w:val="es-ES_tradnl"/>
        </w:rPr>
        <w:t>100)</w:t>
      </w:r>
      <w:r w:rsidR="00746F48" w:rsidRPr="00E83B7E">
        <w:rPr>
          <w:lang w:val="es-ES_tradnl"/>
        </w:rPr>
        <w:t>, seguido de los factores financieros y patrimoniales (</w:t>
      </w:r>
      <w:r w:rsidR="00872C9D" w:rsidRPr="00E83B7E">
        <w:rPr>
          <w:lang w:val="es-ES_tradnl"/>
        </w:rPr>
        <w:t>78</w:t>
      </w:r>
      <w:r w:rsidR="00BB09E7" w:rsidRPr="00E83B7E">
        <w:rPr>
          <w:lang w:val="es-ES_tradnl"/>
        </w:rPr>
        <w:t>) y</w:t>
      </w:r>
      <w:r w:rsidR="000E6E1E" w:rsidRPr="00E83B7E">
        <w:rPr>
          <w:lang w:val="es-ES_tradnl"/>
        </w:rPr>
        <w:t xml:space="preserve"> luego </w:t>
      </w:r>
      <w:r w:rsidR="00566663" w:rsidRPr="00E83B7E">
        <w:rPr>
          <w:lang w:val="es-ES_tradnl"/>
        </w:rPr>
        <w:t xml:space="preserve">por factores de oferta (66). </w:t>
      </w:r>
      <w:r w:rsidR="006809DE" w:rsidRPr="00E83B7E">
        <w:rPr>
          <w:lang w:val="es-ES_tradnl"/>
        </w:rPr>
        <w:t>Los factores</w:t>
      </w:r>
      <w:r w:rsidR="00AA1A09" w:rsidRPr="00E83B7E">
        <w:rPr>
          <w:lang w:val="es-ES_tradnl"/>
        </w:rPr>
        <w:t xml:space="preserve"> que menos contribuyen a la volatilidad sectorial </w:t>
      </w:r>
      <w:r w:rsidR="001E5AD1" w:rsidRPr="00E83B7E">
        <w:rPr>
          <w:lang w:val="es-ES_tradnl"/>
        </w:rPr>
        <w:t>son los institucionales (</w:t>
      </w:r>
      <w:r w:rsidR="00953364" w:rsidRPr="00E83B7E">
        <w:rPr>
          <w:lang w:val="es-ES_tradnl"/>
        </w:rPr>
        <w:t xml:space="preserve">50). </w:t>
      </w:r>
    </w:p>
    <w:p w14:paraId="489091AC" w14:textId="24732929" w:rsidR="003B358E" w:rsidRPr="00E83B7E" w:rsidRDefault="00F61082" w:rsidP="00C7727D">
      <w:pPr>
        <w:jc w:val="both"/>
        <w:rPr>
          <w:lang w:val="es-ES_tradnl"/>
        </w:rPr>
      </w:pPr>
      <w:r w:rsidRPr="00E83B7E">
        <w:rPr>
          <w:lang w:val="es-ES_tradnl"/>
        </w:rPr>
        <w:t>A nivel más granular, l</w:t>
      </w:r>
      <w:r w:rsidR="003B358E" w:rsidRPr="00E83B7E">
        <w:rPr>
          <w:lang w:val="es-ES_tradnl"/>
        </w:rPr>
        <w:t>os factores de riesgo más relevantes están relacionados con la reducción de la demanda</w:t>
      </w:r>
      <w:r w:rsidR="00B604EF" w:rsidRPr="00E83B7E">
        <w:rPr>
          <w:lang w:val="es-ES_tradnl"/>
        </w:rPr>
        <w:t>, tanto</w:t>
      </w:r>
      <w:r w:rsidR="003B358E" w:rsidRPr="00E83B7E">
        <w:rPr>
          <w:lang w:val="es-ES_tradnl"/>
        </w:rPr>
        <w:t xml:space="preserve"> interna </w:t>
      </w:r>
      <w:r w:rsidR="00B604EF" w:rsidRPr="00E83B7E">
        <w:rPr>
          <w:lang w:val="es-ES_tradnl"/>
        </w:rPr>
        <w:t>como externa</w:t>
      </w:r>
      <w:r w:rsidR="0048150E" w:rsidRPr="00E83B7E">
        <w:rPr>
          <w:lang w:val="es-ES_tradnl"/>
        </w:rPr>
        <w:t xml:space="preserve">. </w:t>
      </w:r>
      <w:r w:rsidR="3E377DAC" w:rsidRPr="00E83B7E">
        <w:rPr>
          <w:lang w:val="es-ES_tradnl"/>
        </w:rPr>
        <w:t>P</w:t>
      </w:r>
      <w:r w:rsidR="0048150E" w:rsidRPr="00E83B7E">
        <w:rPr>
          <w:lang w:val="es-ES_tradnl"/>
        </w:rPr>
        <w:t>or el lado de los factores financieros y patrimoniales</w:t>
      </w:r>
      <w:r w:rsidR="007D7E6F" w:rsidRPr="00E83B7E">
        <w:rPr>
          <w:lang w:val="es-ES_tradnl"/>
        </w:rPr>
        <w:t>,</w:t>
      </w:r>
      <w:r w:rsidR="003B358E" w:rsidRPr="00E83B7E">
        <w:rPr>
          <w:lang w:val="es-ES_tradnl"/>
        </w:rPr>
        <w:t xml:space="preserve"> </w:t>
      </w:r>
      <w:r w:rsidR="661FEBC4" w:rsidRPr="00E83B7E">
        <w:rPr>
          <w:lang w:val="es-ES_tradnl"/>
        </w:rPr>
        <w:t>destaca e</w:t>
      </w:r>
      <w:r w:rsidR="00FE550B" w:rsidRPr="00E83B7E">
        <w:rPr>
          <w:lang w:val="es-ES_tradnl"/>
        </w:rPr>
        <w:t>l retraso o interrupción del ciclo de pagos</w:t>
      </w:r>
      <w:r w:rsidR="003E7003" w:rsidRPr="00E83B7E">
        <w:rPr>
          <w:lang w:val="es-ES_tradnl"/>
        </w:rPr>
        <w:t>,</w:t>
      </w:r>
      <w:r w:rsidR="00FE550B" w:rsidRPr="00E83B7E">
        <w:rPr>
          <w:lang w:val="es-ES_tradnl"/>
        </w:rPr>
        <w:t xml:space="preserve"> la reducción o interrupción de financiamientos de corto plazo</w:t>
      </w:r>
      <w:r w:rsidR="003E7003" w:rsidRPr="00E83B7E">
        <w:rPr>
          <w:lang w:val="es-ES_tradnl"/>
        </w:rPr>
        <w:t xml:space="preserve"> y la acumulación de pasivos por atrasos en pagos </w:t>
      </w:r>
      <w:r w:rsidR="009B6E24" w:rsidRPr="00E83B7E">
        <w:rPr>
          <w:lang w:val="es-ES_tradnl"/>
        </w:rPr>
        <w:t>de sueldos, alquileres, etc.</w:t>
      </w:r>
      <w:r w:rsidR="00A460CE" w:rsidRPr="00E83B7E">
        <w:rPr>
          <w:lang w:val="es-ES_tradnl"/>
        </w:rPr>
        <w:t xml:space="preserve"> El sector incluye más de 24.000 </w:t>
      </w:r>
      <w:r w:rsidR="00C7727D" w:rsidRPr="00E83B7E">
        <w:rPr>
          <w:lang w:val="es-ES_tradnl"/>
        </w:rPr>
        <w:t>MIPYME</w:t>
      </w:r>
      <w:r w:rsidR="00A460CE" w:rsidRPr="00E83B7E">
        <w:rPr>
          <w:lang w:val="es-ES_tradnl"/>
        </w:rPr>
        <w:t xml:space="preserve"> (más del 99% del total de empresas del sector), contribuye un 3% al PIB y más del 64 % de su producción</w:t>
      </w:r>
      <w:r w:rsidR="00C24074" w:rsidRPr="00E83B7E">
        <w:rPr>
          <w:lang w:val="es-ES_tradnl"/>
        </w:rPr>
        <w:t xml:space="preserve"> se orienta a la demanda externa</w:t>
      </w:r>
      <w:r w:rsidR="00A460CE" w:rsidRPr="00E83B7E">
        <w:rPr>
          <w:lang w:val="es-ES_tradnl"/>
        </w:rPr>
        <w:t xml:space="preserve">. A nivel general, la capacidad de la </w:t>
      </w:r>
      <w:r w:rsidR="49E642BF" w:rsidRPr="00E83B7E">
        <w:rPr>
          <w:lang w:val="es-ES_tradnl"/>
        </w:rPr>
        <w:t>MiPy</w:t>
      </w:r>
      <w:r w:rsidR="00A460CE" w:rsidRPr="00E83B7E">
        <w:rPr>
          <w:lang w:val="es-ES_tradnl"/>
        </w:rPr>
        <w:t xml:space="preserve">ME de realizar transferencias por otros canales como el comercio electrónico es bajo. </w:t>
      </w:r>
    </w:p>
    <w:p w14:paraId="51A6B116" w14:textId="1A1FAC1B" w:rsidR="00994BAE" w:rsidRPr="00E83B7E" w:rsidRDefault="00994BAE" w:rsidP="00A700FB">
      <w:pPr>
        <w:jc w:val="both"/>
        <w:rPr>
          <w:lang w:val="es-ES_tradnl"/>
        </w:rPr>
      </w:pPr>
      <w:r w:rsidRPr="00E83B7E">
        <w:rPr>
          <w:lang w:val="es-ES_tradnl"/>
        </w:rPr>
        <w:t xml:space="preserve">El sector </w:t>
      </w:r>
      <w:r w:rsidRPr="00E83B7E">
        <w:rPr>
          <w:b/>
          <w:bCs/>
          <w:lang w:val="es-ES_tradnl"/>
        </w:rPr>
        <w:t xml:space="preserve">maquinaria y equipos </w:t>
      </w:r>
      <w:r w:rsidRPr="00E83B7E">
        <w:rPr>
          <w:lang w:val="es-ES_tradnl"/>
        </w:rPr>
        <w:t>presenta un grado de vulnerabilidad elevado</w:t>
      </w:r>
      <w:r w:rsidR="00E613E4" w:rsidRPr="00E83B7E">
        <w:rPr>
          <w:lang w:val="es-ES_tradnl"/>
        </w:rPr>
        <w:t xml:space="preserve">, con un IV de </w:t>
      </w:r>
      <w:r w:rsidR="00B31740" w:rsidRPr="00E83B7E">
        <w:rPr>
          <w:lang w:val="es-ES_tradnl"/>
        </w:rPr>
        <w:t>6</w:t>
      </w:r>
      <w:r w:rsidR="001B58F2" w:rsidRPr="00E83B7E">
        <w:rPr>
          <w:lang w:val="es-ES_tradnl"/>
        </w:rPr>
        <w:t>9</w:t>
      </w:r>
      <w:r w:rsidR="004F0E70" w:rsidRPr="00E83B7E">
        <w:rPr>
          <w:lang w:val="es-ES_tradnl"/>
        </w:rPr>
        <w:t xml:space="preserve"> en función del alto grado de percepción de riesgos de demanda (</w:t>
      </w:r>
      <w:r w:rsidR="000B0EA0" w:rsidRPr="00E83B7E">
        <w:rPr>
          <w:lang w:val="es-ES_tradnl"/>
        </w:rPr>
        <w:t>83</w:t>
      </w:r>
      <w:r w:rsidR="004F0E70" w:rsidRPr="00E83B7E">
        <w:rPr>
          <w:lang w:val="es-ES_tradnl"/>
        </w:rPr>
        <w:t>) e institucionales (</w:t>
      </w:r>
      <w:r w:rsidR="0018115D" w:rsidRPr="00E83B7E">
        <w:rPr>
          <w:lang w:val="es-ES_tradnl"/>
        </w:rPr>
        <w:t>100</w:t>
      </w:r>
      <w:r w:rsidR="004F0E70" w:rsidRPr="00E83B7E">
        <w:rPr>
          <w:lang w:val="es-ES_tradnl"/>
        </w:rPr>
        <w:t xml:space="preserve">), y en menor medida </w:t>
      </w:r>
      <w:r w:rsidR="00C07272" w:rsidRPr="00E83B7E">
        <w:rPr>
          <w:lang w:val="es-ES_tradnl"/>
        </w:rPr>
        <w:t xml:space="preserve">de oferta (59) y </w:t>
      </w:r>
      <w:r w:rsidR="004F0E70" w:rsidRPr="00E83B7E">
        <w:rPr>
          <w:lang w:val="es-ES_tradnl"/>
        </w:rPr>
        <w:t>financieros y patrimoniales (</w:t>
      </w:r>
      <w:r w:rsidR="001C6940" w:rsidRPr="00E83B7E">
        <w:rPr>
          <w:lang w:val="es-ES_tradnl"/>
        </w:rPr>
        <w:t>5</w:t>
      </w:r>
      <w:r w:rsidR="00F24416" w:rsidRPr="00E83B7E">
        <w:rPr>
          <w:lang w:val="es-ES_tradnl"/>
        </w:rPr>
        <w:t>5</w:t>
      </w:r>
      <w:r w:rsidR="004F0E70" w:rsidRPr="00E83B7E">
        <w:rPr>
          <w:lang w:val="es-ES_tradnl"/>
        </w:rPr>
        <w:t xml:space="preserve">). Se consideraron como factores de riesgo más relevantes la reducción en la demanda de exportación, el retraso o interrupción en los ciclos de pago, la inestabilidad política y social y la incertidumbre institucional y legal que pueda afectar al sector. El 98% de las empresas </w:t>
      </w:r>
      <w:r w:rsidR="004F0E70" w:rsidRPr="00E83B7E">
        <w:rPr>
          <w:lang w:val="es-ES_tradnl"/>
        </w:rPr>
        <w:lastRenderedPageBreak/>
        <w:t>del sector son</w:t>
      </w:r>
      <w:r w:rsidR="002C1F33" w:rsidRPr="00E83B7E">
        <w:rPr>
          <w:lang w:val="es-ES_tradnl"/>
        </w:rPr>
        <w:t xml:space="preserve"> </w:t>
      </w:r>
      <w:r w:rsidR="007F33A0" w:rsidRPr="00E83B7E">
        <w:rPr>
          <w:lang w:val="es-ES_tradnl"/>
        </w:rPr>
        <w:t>MIPYME</w:t>
      </w:r>
      <w:r w:rsidR="004F0E70" w:rsidRPr="00E83B7E">
        <w:rPr>
          <w:lang w:val="es-ES_tradnl"/>
        </w:rPr>
        <w:t xml:space="preserve"> </w:t>
      </w:r>
      <w:r w:rsidR="00280514" w:rsidRPr="00E83B7E">
        <w:rPr>
          <w:lang w:val="es-ES_tradnl"/>
        </w:rPr>
        <w:t xml:space="preserve">con </w:t>
      </w:r>
      <w:r w:rsidR="004F0E70" w:rsidRPr="00E83B7E">
        <w:rPr>
          <w:lang w:val="es-ES_tradnl"/>
        </w:rPr>
        <w:t xml:space="preserve">un total de 278, y contribuyen </w:t>
      </w:r>
      <w:r w:rsidR="00B506B7" w:rsidRPr="00E83B7E">
        <w:rPr>
          <w:lang w:val="es-ES_tradnl"/>
        </w:rPr>
        <w:t xml:space="preserve">en un 13% al PIB </w:t>
      </w:r>
      <w:r w:rsidR="001570DD" w:rsidRPr="00E83B7E">
        <w:rPr>
          <w:lang w:val="es-ES_tradnl"/>
        </w:rPr>
        <w:t>según datos de 2019</w:t>
      </w:r>
      <w:r w:rsidR="00421C29" w:rsidRPr="00E83B7E">
        <w:rPr>
          <w:rStyle w:val="FootnoteReference"/>
          <w:lang w:val="es-ES_tradnl"/>
        </w:rPr>
        <w:footnoteReference w:id="8"/>
      </w:r>
      <w:r w:rsidR="001570DD" w:rsidRPr="00E83B7E">
        <w:rPr>
          <w:lang w:val="es-ES_tradnl"/>
        </w:rPr>
        <w:t xml:space="preserve">, </w:t>
      </w:r>
      <w:r w:rsidR="00B506B7" w:rsidRPr="00E83B7E">
        <w:rPr>
          <w:lang w:val="es-ES_tradnl"/>
        </w:rPr>
        <w:t>y en un 1.1% al empleo</w:t>
      </w:r>
      <w:r w:rsidR="001570DD" w:rsidRPr="00E83B7E">
        <w:rPr>
          <w:lang w:val="es-ES_tradnl"/>
        </w:rPr>
        <w:t xml:space="preserve"> respecto al total del sector manufacturero</w:t>
      </w:r>
      <w:r w:rsidR="004F0E70" w:rsidRPr="00E83B7E">
        <w:rPr>
          <w:lang w:val="es-ES_tradnl"/>
        </w:rPr>
        <w:t xml:space="preserve">. </w:t>
      </w:r>
    </w:p>
    <w:p w14:paraId="09066D0C" w14:textId="2CCD35F5" w:rsidR="00A14F89" w:rsidRPr="00E83B7E" w:rsidRDefault="00A14F89" w:rsidP="00A700FB">
      <w:pPr>
        <w:jc w:val="both"/>
        <w:rPr>
          <w:lang w:val="es-ES_tradnl"/>
        </w:rPr>
      </w:pPr>
      <w:r w:rsidRPr="00E83B7E">
        <w:rPr>
          <w:lang w:val="es-ES_tradnl"/>
        </w:rPr>
        <w:t xml:space="preserve">Sector </w:t>
      </w:r>
      <w:r w:rsidRPr="00E83B7E">
        <w:rPr>
          <w:b/>
          <w:bCs/>
          <w:lang w:val="es-ES_tradnl"/>
        </w:rPr>
        <w:t xml:space="preserve">transporte </w:t>
      </w:r>
      <w:r w:rsidRPr="00E83B7E">
        <w:rPr>
          <w:lang w:val="es-ES_tradnl"/>
        </w:rPr>
        <w:t xml:space="preserve">presenta un grado de vulnerabilidad elevado, con un IV de 56 como resultado de factores de oferta, de demanda e institucionales. Del lado de la oferta se considera como riesgo con alto grado de materialización las limitaciones de la oferta de trabajo y del acceso a servicios. Como factores de oferta más restrictivos se identificó la reducción de la demanda interna. Entre los factores financieros y patrimoniales destacan la acumulación de pasivos y la interrupción de los ciclos de pagos. El sector está constituido por más de 5.800 empresas, de las cuales el 99% son </w:t>
      </w:r>
      <w:r w:rsidR="00E83B7E">
        <w:rPr>
          <w:lang w:val="es-ES_tradnl"/>
        </w:rPr>
        <w:t xml:space="preserve">las </w:t>
      </w:r>
      <w:r w:rsidR="00FD7E3E" w:rsidRPr="00E83B7E">
        <w:rPr>
          <w:lang w:val="es-ES_tradnl"/>
        </w:rPr>
        <w:t>M</w:t>
      </w:r>
      <w:r w:rsidR="00E83B7E">
        <w:rPr>
          <w:lang w:val="es-ES_tradnl"/>
        </w:rPr>
        <w:t>i</w:t>
      </w:r>
      <w:r w:rsidR="00FD7E3E" w:rsidRPr="00E83B7E">
        <w:rPr>
          <w:lang w:val="es-ES_tradnl"/>
        </w:rPr>
        <w:t>P</w:t>
      </w:r>
      <w:r w:rsidR="00E83B7E">
        <w:rPr>
          <w:lang w:val="es-ES_tradnl"/>
        </w:rPr>
        <w:t>y</w:t>
      </w:r>
      <w:r w:rsidR="00FD7E3E" w:rsidRPr="00E83B7E">
        <w:rPr>
          <w:lang w:val="es-ES_tradnl"/>
        </w:rPr>
        <w:t>ME</w:t>
      </w:r>
      <w:r w:rsidRPr="00E83B7E">
        <w:rPr>
          <w:lang w:val="es-ES_tradnl"/>
        </w:rPr>
        <w:t xml:space="preserve">. El sector contribuye al empleo en un 8% y al nivel de actividad en un </w:t>
      </w:r>
      <w:r w:rsidR="00B9430F">
        <w:rPr>
          <w:lang w:val="es-ES_tradnl"/>
        </w:rPr>
        <w:t>7.3</w:t>
      </w:r>
      <w:r w:rsidRPr="00E83B7E">
        <w:rPr>
          <w:lang w:val="es-ES_tradnl"/>
        </w:rPr>
        <w:t xml:space="preserve">%. </w:t>
      </w:r>
    </w:p>
    <w:p w14:paraId="75F10554" w14:textId="70C6B26E" w:rsidR="00FF5330" w:rsidRPr="00E83B7E" w:rsidRDefault="00B506B7" w:rsidP="00A700FB">
      <w:pPr>
        <w:jc w:val="both"/>
        <w:rPr>
          <w:lang w:val="es-ES_tradnl"/>
        </w:rPr>
      </w:pPr>
      <w:r w:rsidRPr="00E83B7E">
        <w:rPr>
          <w:lang w:val="es-ES_tradnl"/>
        </w:rPr>
        <w:t xml:space="preserve">El sector </w:t>
      </w:r>
      <w:r w:rsidR="00C45AE8" w:rsidRPr="00E83B7E">
        <w:rPr>
          <w:lang w:val="es-ES_tradnl"/>
        </w:rPr>
        <w:t xml:space="preserve">de </w:t>
      </w:r>
      <w:r w:rsidR="00C45AE8" w:rsidRPr="00E83B7E">
        <w:rPr>
          <w:b/>
          <w:bCs/>
          <w:i/>
          <w:iCs/>
          <w:lang w:val="es-ES_tradnl"/>
        </w:rPr>
        <w:t>commodities</w:t>
      </w:r>
      <w:r w:rsidR="00C45AE8" w:rsidRPr="00E83B7E">
        <w:rPr>
          <w:b/>
          <w:bCs/>
          <w:lang w:val="es-ES_tradnl"/>
        </w:rPr>
        <w:t xml:space="preserve"> </w:t>
      </w:r>
      <w:r w:rsidR="000A742C" w:rsidRPr="00E83B7E">
        <w:rPr>
          <w:b/>
          <w:bCs/>
          <w:lang w:val="es-ES_tradnl"/>
        </w:rPr>
        <w:t>agropecuario</w:t>
      </w:r>
      <w:r w:rsidR="002C1F33" w:rsidRPr="00E83B7E">
        <w:rPr>
          <w:b/>
          <w:bCs/>
          <w:lang w:val="es-ES_tradnl"/>
        </w:rPr>
        <w:t>s</w:t>
      </w:r>
      <w:r w:rsidR="000A742C" w:rsidRPr="00E83B7E">
        <w:rPr>
          <w:b/>
          <w:bCs/>
          <w:lang w:val="es-ES_tradnl"/>
        </w:rPr>
        <w:t xml:space="preserve"> </w:t>
      </w:r>
      <w:r w:rsidR="000A742C" w:rsidRPr="00E83B7E">
        <w:rPr>
          <w:lang w:val="es-ES_tradnl"/>
        </w:rPr>
        <w:t>tiene un alto grado de vulnerabilidad</w:t>
      </w:r>
      <w:r w:rsidR="005617F8" w:rsidRPr="00E83B7E">
        <w:rPr>
          <w:lang w:val="es-ES_tradnl"/>
        </w:rPr>
        <w:t xml:space="preserve">, con un IV de </w:t>
      </w:r>
      <w:r w:rsidR="00EE704E" w:rsidRPr="00E83B7E">
        <w:rPr>
          <w:lang w:val="es-ES_tradnl"/>
        </w:rPr>
        <w:t>5</w:t>
      </w:r>
      <w:r w:rsidR="00A33B4C" w:rsidRPr="00E83B7E">
        <w:rPr>
          <w:lang w:val="es-ES_tradnl"/>
        </w:rPr>
        <w:t>0</w:t>
      </w:r>
      <w:r w:rsidR="00C45AE8" w:rsidRPr="00E83B7E">
        <w:rPr>
          <w:lang w:val="es-ES_tradnl"/>
        </w:rPr>
        <w:t>,</w:t>
      </w:r>
      <w:r w:rsidR="000A742C" w:rsidRPr="00E83B7E">
        <w:rPr>
          <w:lang w:val="es-ES_tradnl"/>
        </w:rPr>
        <w:t xml:space="preserve"> como consecuencia </w:t>
      </w:r>
      <w:r w:rsidR="00913238" w:rsidRPr="00E83B7E">
        <w:rPr>
          <w:lang w:val="es-ES_tradnl"/>
        </w:rPr>
        <w:t>de factores</w:t>
      </w:r>
      <w:r w:rsidR="00C9667A" w:rsidRPr="00E83B7E">
        <w:rPr>
          <w:lang w:val="es-ES_tradnl"/>
        </w:rPr>
        <w:t xml:space="preserve"> institucionales, financieros y patrimoniales</w:t>
      </w:r>
      <w:r w:rsidR="40F25CF6" w:rsidRPr="00E83B7E">
        <w:rPr>
          <w:lang w:val="es-ES_tradnl"/>
        </w:rPr>
        <w:t>,</w:t>
      </w:r>
      <w:r w:rsidR="00C9667A" w:rsidRPr="00E83B7E">
        <w:rPr>
          <w:lang w:val="es-ES_tradnl"/>
        </w:rPr>
        <w:t xml:space="preserve"> </w:t>
      </w:r>
      <w:r w:rsidR="00E83B7E" w:rsidRPr="00E83B7E">
        <w:rPr>
          <w:lang w:val="es-ES_tradnl"/>
        </w:rPr>
        <w:t>y,</w:t>
      </w:r>
      <w:r w:rsidR="00C9667A" w:rsidRPr="00E83B7E">
        <w:rPr>
          <w:lang w:val="es-ES_tradnl"/>
        </w:rPr>
        <w:t xml:space="preserve"> </w:t>
      </w:r>
      <w:r w:rsidR="6A881B99" w:rsidRPr="00E83B7E">
        <w:rPr>
          <w:lang w:val="es-ES_tradnl"/>
        </w:rPr>
        <w:t>p</w:t>
      </w:r>
      <w:r w:rsidR="00C9667A" w:rsidRPr="00E83B7E">
        <w:rPr>
          <w:lang w:val="es-ES_tradnl"/>
        </w:rPr>
        <w:t>o</w:t>
      </w:r>
      <w:r w:rsidR="6A881B99" w:rsidRPr="00E83B7E">
        <w:rPr>
          <w:lang w:val="es-ES_tradnl"/>
        </w:rPr>
        <w:t>r último,</w:t>
      </w:r>
      <w:r w:rsidR="00C9667A" w:rsidRPr="00E83B7E">
        <w:rPr>
          <w:lang w:val="es-ES_tradnl"/>
        </w:rPr>
        <w:t xml:space="preserve"> de demanda. </w:t>
      </w:r>
      <w:r w:rsidR="006D0655" w:rsidRPr="00E83B7E">
        <w:rPr>
          <w:lang w:val="es-ES_tradnl"/>
        </w:rPr>
        <w:t xml:space="preserve">A un mayor nivel de desagregación, los factores individuales más relevantes son </w:t>
      </w:r>
      <w:r w:rsidR="002B3175" w:rsidRPr="00E83B7E">
        <w:rPr>
          <w:lang w:val="es-ES_tradnl"/>
        </w:rPr>
        <w:t xml:space="preserve">la reducción de la demanda externa y </w:t>
      </w:r>
      <w:r w:rsidR="00143DE2" w:rsidRPr="00E83B7E">
        <w:rPr>
          <w:lang w:val="es-ES_tradnl"/>
        </w:rPr>
        <w:t>las limitaciones al acceso de servicios de transporte.</w:t>
      </w:r>
      <w:r w:rsidR="000130CF" w:rsidRPr="00E83B7E">
        <w:rPr>
          <w:lang w:val="es-ES_tradnl"/>
        </w:rPr>
        <w:t xml:space="preserve"> </w:t>
      </w:r>
      <w:r w:rsidR="4BEBFC7E" w:rsidRPr="00E83B7E">
        <w:rPr>
          <w:lang w:val="es-ES_tradnl"/>
        </w:rPr>
        <w:t>A estos factores le siguen los</w:t>
      </w:r>
      <w:r w:rsidR="000A742C" w:rsidRPr="00E83B7E">
        <w:rPr>
          <w:lang w:val="es-ES_tradnl"/>
        </w:rPr>
        <w:t xml:space="preserve"> problemas financieros y patrimoniales relacionados con el ciclo de pagos, las limitaciones en o interrupciones en financiamiento de corto plazo o de mediano plazo, aumento de costos financieros y acumulaciones de pasivos. El sector tiene una contribución alta al empleo, en un 29%</w:t>
      </w:r>
      <w:r w:rsidR="006249A6" w:rsidRPr="00E83B7E">
        <w:rPr>
          <w:lang w:val="es-ES_tradnl"/>
        </w:rPr>
        <w:t xml:space="preserve"> con un total de más de 660.000 MiP</w:t>
      </w:r>
      <w:r w:rsidR="00E83B7E">
        <w:rPr>
          <w:lang w:val="es-ES_tradnl"/>
        </w:rPr>
        <w:t>y</w:t>
      </w:r>
      <w:r w:rsidR="006249A6" w:rsidRPr="00E83B7E">
        <w:rPr>
          <w:lang w:val="es-ES_tradnl"/>
        </w:rPr>
        <w:t xml:space="preserve">ME. En el sector </w:t>
      </w:r>
      <w:r w:rsidR="007F55F8" w:rsidRPr="00E83B7E">
        <w:rPr>
          <w:lang w:val="es-ES_tradnl"/>
        </w:rPr>
        <w:t>más del 93% de los productores son pequeños productores o MiP</w:t>
      </w:r>
      <w:r w:rsidR="00E83B7E">
        <w:rPr>
          <w:lang w:val="es-ES_tradnl"/>
        </w:rPr>
        <w:t>y</w:t>
      </w:r>
      <w:r w:rsidR="007F55F8" w:rsidRPr="00E83B7E">
        <w:rPr>
          <w:lang w:val="es-ES_tradnl"/>
        </w:rPr>
        <w:t>ME</w:t>
      </w:r>
      <w:r w:rsidR="000A742C" w:rsidRPr="00E83B7E">
        <w:rPr>
          <w:lang w:val="es-ES_tradnl"/>
        </w:rPr>
        <w:t xml:space="preserve">, </w:t>
      </w:r>
      <w:r w:rsidR="006249A6" w:rsidRPr="00E83B7E">
        <w:rPr>
          <w:lang w:val="es-ES_tradnl"/>
        </w:rPr>
        <w:t>y</w:t>
      </w:r>
      <w:r w:rsidR="007F55F8" w:rsidRPr="00E83B7E">
        <w:rPr>
          <w:lang w:val="es-ES_tradnl"/>
        </w:rPr>
        <w:t xml:space="preserve"> contribuyen en 7,8% al nivel de actividad. Además, más del 71% de su producción se destina a exportación.</w:t>
      </w:r>
    </w:p>
    <w:p w14:paraId="2FDD7400" w14:textId="0BB7CC38" w:rsidR="0020497F" w:rsidRPr="00E83B7E" w:rsidRDefault="0020497F" w:rsidP="00A700FB">
      <w:pPr>
        <w:jc w:val="both"/>
        <w:rPr>
          <w:lang w:val="es-ES_tradnl"/>
        </w:rPr>
      </w:pPr>
      <w:r w:rsidRPr="00E83B7E">
        <w:rPr>
          <w:lang w:val="es-ES_tradnl"/>
        </w:rPr>
        <w:t xml:space="preserve">El sector </w:t>
      </w:r>
      <w:r w:rsidRPr="00E83B7E">
        <w:rPr>
          <w:b/>
          <w:bCs/>
          <w:lang w:val="es-ES_tradnl"/>
        </w:rPr>
        <w:t xml:space="preserve">automotriz </w:t>
      </w:r>
      <w:r w:rsidR="0078223F" w:rsidRPr="00E83B7E">
        <w:rPr>
          <w:lang w:val="es-ES_tradnl"/>
        </w:rPr>
        <w:t xml:space="preserve">presenta un grado de vulnerabilidad alto, </w:t>
      </w:r>
      <w:r w:rsidR="008614E1" w:rsidRPr="00E83B7E">
        <w:rPr>
          <w:lang w:val="es-ES_tradnl"/>
        </w:rPr>
        <w:t xml:space="preserve">con un índice de 50, motivado fundamentalmente por los factores de demanda. En particular, la reducción de la demanda interna y en menor medida la de exportación. También se considera un factor de riesgo severo la acumulación de pasivos como alquileres y sueldos y salarios. Otros factores considerados de alto riesgo para el sector son la insuficiencia en la calidad y cantidad de insumos para el sector, las limitaciones en el uso de servicios como el transporte y la incertidumbre institucional y legal. El sector lo componen </w:t>
      </w:r>
      <w:r w:rsidR="00B9430F">
        <w:rPr>
          <w:lang w:val="es-ES_tradnl"/>
        </w:rPr>
        <w:t>307</w:t>
      </w:r>
      <w:r w:rsidR="008614E1" w:rsidRPr="00E83B7E">
        <w:rPr>
          <w:lang w:val="es-ES_tradnl"/>
        </w:rPr>
        <w:t xml:space="preserve"> empresas, de las cuales </w:t>
      </w:r>
      <w:r w:rsidR="00B9430F">
        <w:rPr>
          <w:lang w:val="es-ES_tradnl"/>
        </w:rPr>
        <w:t>el 77%</w:t>
      </w:r>
      <w:r w:rsidR="008614E1" w:rsidRPr="00E83B7E">
        <w:rPr>
          <w:lang w:val="es-ES_tradnl"/>
        </w:rPr>
        <w:t xml:space="preserve"> son MiP</w:t>
      </w:r>
      <w:r w:rsidR="00E83B7E">
        <w:rPr>
          <w:lang w:val="es-ES_tradnl"/>
        </w:rPr>
        <w:t>y</w:t>
      </w:r>
      <w:r w:rsidR="008614E1" w:rsidRPr="00E83B7E">
        <w:rPr>
          <w:lang w:val="es-ES_tradnl"/>
        </w:rPr>
        <w:t xml:space="preserve">ME. El sector contribuye </w:t>
      </w:r>
      <w:r w:rsidR="006249A6" w:rsidRPr="00E83B7E">
        <w:rPr>
          <w:lang w:val="es-ES_tradnl"/>
        </w:rPr>
        <w:t>en cerca del 1% al PIB y al empleo.</w:t>
      </w:r>
    </w:p>
    <w:p w14:paraId="52AA055E" w14:textId="55259DBD" w:rsidR="00231254" w:rsidRPr="00E83B7E" w:rsidRDefault="009B6388" w:rsidP="00A700FB">
      <w:pPr>
        <w:jc w:val="both"/>
        <w:rPr>
          <w:lang w:val="es-ES_tradnl"/>
        </w:rPr>
      </w:pPr>
      <w:r w:rsidRPr="00E83B7E">
        <w:rPr>
          <w:lang w:val="es-ES_tradnl"/>
        </w:rPr>
        <w:t>El se</w:t>
      </w:r>
      <w:r w:rsidR="00F657E7" w:rsidRPr="00E83B7E">
        <w:rPr>
          <w:lang w:val="es-ES_tradnl"/>
        </w:rPr>
        <w:t xml:space="preserve">ctor </w:t>
      </w:r>
      <w:r w:rsidR="00F657E7" w:rsidRPr="00E83B7E">
        <w:rPr>
          <w:b/>
          <w:bCs/>
          <w:lang w:val="es-ES_tradnl"/>
        </w:rPr>
        <w:t xml:space="preserve">textil y maquila </w:t>
      </w:r>
      <w:r w:rsidRPr="00E83B7E">
        <w:rPr>
          <w:lang w:val="es-ES_tradnl"/>
        </w:rPr>
        <w:t>presenta</w:t>
      </w:r>
      <w:r w:rsidR="00F657E7" w:rsidRPr="00E83B7E">
        <w:rPr>
          <w:lang w:val="es-ES_tradnl"/>
        </w:rPr>
        <w:t xml:space="preserve"> un grado de vulnerabilidad </w:t>
      </w:r>
      <w:r w:rsidR="00651B7E" w:rsidRPr="00E83B7E">
        <w:rPr>
          <w:lang w:val="es-ES_tradnl"/>
        </w:rPr>
        <w:t>medio</w:t>
      </w:r>
      <w:r w:rsidRPr="00E83B7E">
        <w:rPr>
          <w:lang w:val="es-ES_tradnl"/>
        </w:rPr>
        <w:t xml:space="preserve">, con un IV de </w:t>
      </w:r>
      <w:r w:rsidR="00FF4E49" w:rsidRPr="00E83B7E">
        <w:rPr>
          <w:lang w:val="es-ES_tradnl"/>
        </w:rPr>
        <w:t>49</w:t>
      </w:r>
      <w:r w:rsidR="00F657E7" w:rsidRPr="00E83B7E">
        <w:rPr>
          <w:lang w:val="es-ES_tradnl"/>
        </w:rPr>
        <w:t xml:space="preserve"> debido a limitaciones en el uso de la fuerza de trabajo como factor de oferta restrictivo a la actividad del sector. Además, se considera relevante la limitación del uso de capital fijo y el incremento de los costes de los insumos. Del lado de la demanda se considera un riesgo percibido elevado las restricciones de la demanda interna y externa. Otros factores financieros como el retraso en la interrupción de los ciclos de pago, y patrimoniales como la reducción en el valor de los activos reales y la acumulación de pasivos son considerados como factores de alto riesgo</w:t>
      </w:r>
      <w:r w:rsidR="00933D73" w:rsidRPr="00E83B7E">
        <w:rPr>
          <w:lang w:val="es-ES_tradnl"/>
        </w:rPr>
        <w:t xml:space="preserve"> para el sector</w:t>
      </w:r>
      <w:r w:rsidR="00F657E7" w:rsidRPr="00E83B7E">
        <w:rPr>
          <w:lang w:val="es-ES_tradnl"/>
        </w:rPr>
        <w:t>.</w:t>
      </w:r>
      <w:r w:rsidR="00933D73" w:rsidRPr="00E83B7E">
        <w:rPr>
          <w:lang w:val="es-ES_tradnl"/>
        </w:rPr>
        <w:t xml:space="preserve"> La actividad de este sector contribuye en un 6% al PIB y lo conforma 280 empresas, casi el 90% son </w:t>
      </w:r>
      <w:r w:rsidR="000B35B1" w:rsidRPr="00E83B7E">
        <w:rPr>
          <w:lang w:val="es-ES_tradnl"/>
        </w:rPr>
        <w:t>MIPYME</w:t>
      </w:r>
      <w:r w:rsidR="00933D73" w:rsidRPr="00E83B7E">
        <w:rPr>
          <w:lang w:val="es-ES_tradnl"/>
        </w:rPr>
        <w:t xml:space="preserve">. </w:t>
      </w:r>
      <w:r w:rsidR="00F657E7" w:rsidRPr="00E83B7E">
        <w:rPr>
          <w:lang w:val="es-ES_tradnl"/>
        </w:rPr>
        <w:t xml:space="preserve"> </w:t>
      </w:r>
    </w:p>
    <w:p w14:paraId="25A92A5C" w14:textId="77777777" w:rsidR="0033629B" w:rsidRPr="00E83B7E" w:rsidRDefault="0033629B">
      <w:pPr>
        <w:rPr>
          <w:b/>
          <w:bCs/>
          <w:lang w:val="es-ES_tradnl"/>
        </w:rPr>
      </w:pPr>
      <w:r w:rsidRPr="00E83B7E">
        <w:rPr>
          <w:b/>
          <w:bCs/>
          <w:lang w:val="es-ES_tradnl"/>
        </w:rPr>
        <w:br w:type="page"/>
      </w:r>
    </w:p>
    <w:p w14:paraId="7C473A84" w14:textId="0C8D5958" w:rsidR="004F54FB" w:rsidRPr="00E83B7E" w:rsidRDefault="00DF757D" w:rsidP="0033629B">
      <w:pPr>
        <w:spacing w:after="0" w:line="240" w:lineRule="auto"/>
        <w:jc w:val="center"/>
        <w:rPr>
          <w:b/>
          <w:bCs/>
          <w:lang w:val="es-ES_tradnl"/>
        </w:rPr>
      </w:pPr>
      <w:r w:rsidRPr="00E83B7E">
        <w:rPr>
          <w:b/>
          <w:bCs/>
          <w:lang w:val="es-ES_tradnl"/>
        </w:rPr>
        <w:lastRenderedPageBreak/>
        <w:t>Tabla II.B.1</w:t>
      </w:r>
    </w:p>
    <w:p w14:paraId="18468152" w14:textId="399BCE8D" w:rsidR="00DF757D" w:rsidRPr="00E83B7E" w:rsidRDefault="0033629B" w:rsidP="0033629B">
      <w:pPr>
        <w:spacing w:after="0" w:line="240" w:lineRule="auto"/>
        <w:jc w:val="center"/>
        <w:rPr>
          <w:b/>
          <w:bCs/>
          <w:lang w:val="es-ES_tradnl"/>
        </w:rPr>
      </w:pPr>
      <w:r w:rsidRPr="00E83B7E">
        <w:rPr>
          <w:b/>
          <w:bCs/>
          <w:lang w:val="es-ES_tradnl"/>
        </w:rPr>
        <w:t>Situación por sectores</w:t>
      </w:r>
    </w:p>
    <w:p w14:paraId="31B644F0" w14:textId="3A6BB0FD" w:rsidR="0033629B" w:rsidRPr="00E83B7E" w:rsidRDefault="00404E61" w:rsidP="0033629B">
      <w:pPr>
        <w:spacing w:after="0" w:line="240" w:lineRule="auto"/>
        <w:jc w:val="center"/>
        <w:rPr>
          <w:b/>
          <w:bCs/>
          <w:lang w:val="es-ES_tradnl"/>
        </w:rPr>
      </w:pPr>
      <w:r w:rsidRPr="00E83B7E">
        <w:rPr>
          <w:noProof/>
          <w:lang w:val="es-ES_tradnl"/>
        </w:rPr>
        <w:drawing>
          <wp:inline distT="0" distB="0" distL="0" distR="0" wp14:anchorId="77C32CF4" wp14:editId="53217223">
            <wp:extent cx="5943600" cy="49961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4996180"/>
                    </a:xfrm>
                    <a:prstGeom prst="rect">
                      <a:avLst/>
                    </a:prstGeom>
                    <a:noFill/>
                    <a:ln>
                      <a:noFill/>
                    </a:ln>
                  </pic:spPr>
                </pic:pic>
              </a:graphicData>
            </a:graphic>
          </wp:inline>
        </w:drawing>
      </w:r>
    </w:p>
    <w:p w14:paraId="23D11D59" w14:textId="306B6C9D" w:rsidR="00404E61" w:rsidRPr="00E83B7E" w:rsidRDefault="00404E61" w:rsidP="00404E61">
      <w:pPr>
        <w:spacing w:after="0" w:line="240" w:lineRule="auto"/>
        <w:rPr>
          <w:sz w:val="18"/>
          <w:szCs w:val="18"/>
          <w:lang w:val="es-ES_tradnl"/>
        </w:rPr>
      </w:pPr>
      <w:r w:rsidRPr="00E83B7E">
        <w:rPr>
          <w:sz w:val="18"/>
          <w:szCs w:val="18"/>
          <w:lang w:val="es-ES_tradnl"/>
        </w:rPr>
        <w:t>Fuente: IFD/CMF.</w:t>
      </w:r>
    </w:p>
    <w:p w14:paraId="43F989F6" w14:textId="77777777" w:rsidR="00B506B7" w:rsidRPr="00E83B7E" w:rsidRDefault="00B506B7" w:rsidP="00A700FB">
      <w:pPr>
        <w:jc w:val="both"/>
        <w:rPr>
          <w:lang w:val="es-ES_tradnl"/>
        </w:rPr>
      </w:pPr>
    </w:p>
    <w:p w14:paraId="0CA925C5" w14:textId="318E5DBA" w:rsidR="00AB05B2" w:rsidRPr="00E83B7E" w:rsidRDefault="00AB05B2" w:rsidP="0007292C">
      <w:pPr>
        <w:pStyle w:val="Heading1"/>
        <w:jc w:val="both"/>
        <w:rPr>
          <w:lang w:val="es-ES_tradnl"/>
        </w:rPr>
      </w:pPr>
      <w:bookmarkStart w:id="10" w:name="_Toc36834040"/>
      <w:r w:rsidRPr="00E83B7E">
        <w:rPr>
          <w:lang w:val="es-ES_tradnl"/>
        </w:rPr>
        <w:t>Conclusión</w:t>
      </w:r>
      <w:bookmarkEnd w:id="10"/>
      <w:r w:rsidRPr="00E83B7E">
        <w:rPr>
          <w:lang w:val="es-ES_tradnl"/>
        </w:rPr>
        <w:t xml:space="preserve"> </w:t>
      </w:r>
    </w:p>
    <w:p w14:paraId="65A8F1B5" w14:textId="28F86CE8" w:rsidR="00A700FB" w:rsidRPr="00E83B7E" w:rsidRDefault="00A700FB" w:rsidP="00A700FB">
      <w:pPr>
        <w:jc w:val="both"/>
        <w:rPr>
          <w:lang w:val="es-ES_tradnl"/>
        </w:rPr>
      </w:pPr>
      <w:r w:rsidRPr="00E83B7E">
        <w:rPr>
          <w:lang w:val="es-ES_tradnl"/>
        </w:rPr>
        <w:t xml:space="preserve">El análisis concluye que los sectores productivos que pueden considerarse de mayor vulnerabilidad en </w:t>
      </w:r>
      <w:r w:rsidR="00A460CE" w:rsidRPr="00E83B7E">
        <w:rPr>
          <w:lang w:val="es-ES_tradnl"/>
        </w:rPr>
        <w:t>Ecuador</w:t>
      </w:r>
      <w:r w:rsidRPr="00E83B7E">
        <w:rPr>
          <w:lang w:val="es-ES_tradnl"/>
        </w:rPr>
        <w:t xml:space="preserve"> ante la crisis del COVID-19</w:t>
      </w:r>
      <w:r w:rsidR="00994BAE" w:rsidRPr="00E83B7E">
        <w:rPr>
          <w:lang w:val="es-ES_tradnl"/>
        </w:rPr>
        <w:t xml:space="preserve"> dentro de los analizados</w:t>
      </w:r>
      <w:r w:rsidRPr="00E83B7E">
        <w:rPr>
          <w:lang w:val="es-ES_tradnl"/>
        </w:rPr>
        <w:t xml:space="preserve"> son: </w:t>
      </w:r>
      <w:r w:rsidR="00A460CE" w:rsidRPr="00E83B7E">
        <w:rPr>
          <w:lang w:val="es-ES_tradnl"/>
        </w:rPr>
        <w:t>turismo</w:t>
      </w:r>
      <w:r w:rsidR="0A291431" w:rsidRPr="00E83B7E">
        <w:rPr>
          <w:lang w:val="es-ES_tradnl"/>
        </w:rPr>
        <w:t>, con un impacto severo,</w:t>
      </w:r>
      <w:r w:rsidR="00C658C9" w:rsidRPr="00E83B7E">
        <w:rPr>
          <w:lang w:val="es-ES_tradnl"/>
        </w:rPr>
        <w:t xml:space="preserve"> </w:t>
      </w:r>
      <w:r w:rsidR="46BE3271" w:rsidRPr="00E83B7E">
        <w:rPr>
          <w:lang w:val="es-ES_tradnl"/>
        </w:rPr>
        <w:t xml:space="preserve">seguidos de </w:t>
      </w:r>
      <w:r w:rsidR="17206411" w:rsidRPr="00E83B7E">
        <w:rPr>
          <w:lang w:val="es-ES_tradnl"/>
        </w:rPr>
        <w:t xml:space="preserve">altos impactos en </w:t>
      </w:r>
      <w:r w:rsidR="00A460CE" w:rsidRPr="00E83B7E">
        <w:rPr>
          <w:lang w:val="es-ES_tradnl"/>
        </w:rPr>
        <w:t>maquinaria y equipos</w:t>
      </w:r>
      <w:r w:rsidR="7A9CAA33" w:rsidRPr="00E83B7E">
        <w:rPr>
          <w:lang w:val="es-ES_tradnl"/>
        </w:rPr>
        <w:t>,</w:t>
      </w:r>
      <w:r w:rsidR="00A460CE" w:rsidRPr="00E83B7E">
        <w:rPr>
          <w:lang w:val="es-ES_tradnl"/>
        </w:rPr>
        <w:t xml:space="preserve"> </w:t>
      </w:r>
      <w:r w:rsidR="0020497F" w:rsidRPr="00E83B7E">
        <w:rPr>
          <w:lang w:val="es-ES_tradnl"/>
        </w:rPr>
        <w:t xml:space="preserve">transporte, </w:t>
      </w:r>
      <w:r w:rsidR="00A460CE" w:rsidRPr="00E83B7E">
        <w:rPr>
          <w:lang w:val="es-ES_tradnl"/>
        </w:rPr>
        <w:t>sector</w:t>
      </w:r>
      <w:r w:rsidR="00046679" w:rsidRPr="00E83B7E">
        <w:rPr>
          <w:lang w:val="es-ES_tradnl"/>
        </w:rPr>
        <w:t xml:space="preserve"> de </w:t>
      </w:r>
      <w:r w:rsidR="00046679" w:rsidRPr="00E83B7E">
        <w:rPr>
          <w:i/>
          <w:iCs/>
          <w:lang w:val="es-ES_tradnl"/>
        </w:rPr>
        <w:t>commodities</w:t>
      </w:r>
      <w:r w:rsidR="00A460CE" w:rsidRPr="00E83B7E">
        <w:rPr>
          <w:lang w:val="es-ES_tradnl"/>
        </w:rPr>
        <w:t xml:space="preserve"> agropecuario</w:t>
      </w:r>
      <w:r w:rsidR="00046679" w:rsidRPr="00E83B7E">
        <w:rPr>
          <w:lang w:val="es-ES_tradnl"/>
        </w:rPr>
        <w:t>s</w:t>
      </w:r>
      <w:r w:rsidR="0020497F" w:rsidRPr="00E83B7E">
        <w:rPr>
          <w:lang w:val="es-ES_tradnl"/>
        </w:rPr>
        <w:t xml:space="preserve"> y</w:t>
      </w:r>
      <w:r w:rsidR="00A460CE" w:rsidRPr="00E83B7E">
        <w:rPr>
          <w:lang w:val="es-ES_tradnl"/>
        </w:rPr>
        <w:t xml:space="preserve"> </w:t>
      </w:r>
      <w:r w:rsidR="009E655F" w:rsidRPr="00E83B7E">
        <w:rPr>
          <w:lang w:val="es-ES_tradnl"/>
        </w:rPr>
        <w:t>automotriz</w:t>
      </w:r>
      <w:r w:rsidR="0077797C" w:rsidRPr="00E83B7E">
        <w:rPr>
          <w:lang w:val="es-ES_tradnl"/>
        </w:rPr>
        <w:t xml:space="preserve">. El sector </w:t>
      </w:r>
      <w:r w:rsidR="0020497F" w:rsidRPr="00E83B7E">
        <w:rPr>
          <w:lang w:val="es-ES_tradnl"/>
        </w:rPr>
        <w:t>textil y maquila</w:t>
      </w:r>
      <w:r w:rsidR="0077797C" w:rsidRPr="00E83B7E">
        <w:rPr>
          <w:lang w:val="es-ES_tradnl"/>
        </w:rPr>
        <w:t xml:space="preserve"> se encuentra en una situación intermedia (ver tabla II.A.1).</w:t>
      </w:r>
    </w:p>
    <w:p w14:paraId="1D4D8D30" w14:textId="77777777" w:rsidR="00A700FB" w:rsidRPr="00E83B7E" w:rsidRDefault="00A700FB" w:rsidP="00A700FB">
      <w:pPr>
        <w:jc w:val="both"/>
        <w:rPr>
          <w:lang w:val="es-ES_tradnl"/>
        </w:rPr>
      </w:pPr>
      <w:r w:rsidRPr="00E83B7E">
        <w:rPr>
          <w:lang w:val="es-ES_tradnl"/>
        </w:rPr>
        <w:t xml:space="preserve">Este diagnóstico toma en consideración los sectores que presentan una mayor probabilidad de verse afectados en términos de pérdidas de empleo en función de la posible materialización de los siguientes riesgos identificados ante la crisis del COVID-19: (i) factores de contracción de la oferta (como limitaciones al uso del factor trabajo, insuficiencia en la cantidad y calidad de insumos variables, aumentos en los costes de factores de producción, disrupciones en la cadena de valor, entre otros; (ii) factores de contracción de la demanda (como los cambios en los comportamientos y preferencias del consumo, restricciones de liquidez de demandantes, reducción en la demanda de exportación, entre otros); (iii) </w:t>
      </w:r>
      <w:r w:rsidRPr="00E83B7E">
        <w:rPr>
          <w:lang w:val="es-ES_tradnl"/>
        </w:rPr>
        <w:lastRenderedPageBreak/>
        <w:t>factores financieros (como retraso e interrupción en los ciclos de pago, reducción o interrupción de financiamiento, incremento en los costos de financiamiento) y patrimoniales (reducción en el valor de activos y acumulación de pasivos); y (iv) otros riesgos sistémicos y del entorno regulatorio (incertidumbre institucional y legal e inestabilidad política y social).</w:t>
      </w:r>
    </w:p>
    <w:p w14:paraId="31851136" w14:textId="77777777" w:rsidR="00D4307D" w:rsidRPr="00E83B7E" w:rsidRDefault="00D4307D">
      <w:pPr>
        <w:rPr>
          <w:rFonts w:asciiTheme="majorHAnsi" w:eastAsiaTheme="majorEastAsia" w:hAnsiTheme="majorHAnsi" w:cstheme="majorBidi"/>
          <w:sz w:val="32"/>
          <w:szCs w:val="32"/>
          <w:lang w:val="es-ES_tradnl"/>
        </w:rPr>
      </w:pPr>
      <w:r w:rsidRPr="00E83B7E">
        <w:rPr>
          <w:lang w:val="es-ES_tradnl"/>
        </w:rPr>
        <w:br w:type="page"/>
      </w:r>
    </w:p>
    <w:p w14:paraId="6222AD1D" w14:textId="201B9F1B" w:rsidR="00945B21" w:rsidRPr="00E83B7E" w:rsidRDefault="00945B21" w:rsidP="0007292C">
      <w:pPr>
        <w:pStyle w:val="Heading1"/>
        <w:numPr>
          <w:ilvl w:val="0"/>
          <w:numId w:val="0"/>
        </w:numPr>
        <w:jc w:val="both"/>
        <w:rPr>
          <w:lang w:val="es-ES_tradnl"/>
        </w:rPr>
      </w:pPr>
      <w:bookmarkStart w:id="11" w:name="_Toc36834041"/>
      <w:r w:rsidRPr="00E83B7E">
        <w:rPr>
          <w:lang w:val="es-ES_tradnl"/>
        </w:rPr>
        <w:lastRenderedPageBreak/>
        <w:t>Anexo</w:t>
      </w:r>
      <w:r w:rsidR="00BF3440" w:rsidRPr="00E83B7E">
        <w:rPr>
          <w:lang w:val="es-ES_tradnl"/>
        </w:rPr>
        <w:t xml:space="preserve"> I: </w:t>
      </w:r>
      <w:r w:rsidRPr="00E83B7E">
        <w:rPr>
          <w:lang w:val="es-ES_tradnl"/>
        </w:rPr>
        <w:t>aspectos metodológicos</w:t>
      </w:r>
      <w:bookmarkEnd w:id="11"/>
    </w:p>
    <w:p w14:paraId="5059A126" w14:textId="5776AAF6" w:rsidR="00C705C2" w:rsidRPr="00E83B7E" w:rsidRDefault="00A87C9A" w:rsidP="00A87C9A">
      <w:pPr>
        <w:jc w:val="both"/>
        <w:rPr>
          <w:lang w:val="es-ES_tradnl"/>
        </w:rPr>
      </w:pPr>
      <w:r w:rsidRPr="00E83B7E">
        <w:rPr>
          <w:lang w:val="es-ES_tradnl"/>
        </w:rPr>
        <w:t>Este documento presente un análisis de vulnerabilidades desagregado por sectores y con referencia a la situación de las MIPYME. Se consideran en particular los siguientes seis sectores: Turismo, Transporte, Automotriz, Maquinaria y equipos, Textil y maquila y Agropecuario.</w:t>
      </w:r>
      <w:r w:rsidR="003426B4" w:rsidRPr="00E83B7E">
        <w:rPr>
          <w:lang w:val="es-ES_tradnl"/>
        </w:rPr>
        <w:t xml:space="preserve"> </w:t>
      </w:r>
    </w:p>
    <w:p w14:paraId="682A224F" w14:textId="77777777" w:rsidR="00781E24" w:rsidRPr="00E83B7E" w:rsidRDefault="00A87C9A" w:rsidP="00A87C9A">
      <w:pPr>
        <w:jc w:val="both"/>
        <w:rPr>
          <w:lang w:val="es-ES_tradnl"/>
        </w:rPr>
      </w:pPr>
      <w:r w:rsidRPr="00E83B7E">
        <w:rPr>
          <w:lang w:val="es-ES_tradnl"/>
        </w:rPr>
        <w:t>Para la determinación de la vulnerabilidad general de un sector se identifican</w:t>
      </w:r>
      <w:r w:rsidR="00C705C2" w:rsidRPr="00E83B7E">
        <w:rPr>
          <w:lang w:val="es-ES_tradnl"/>
        </w:rPr>
        <w:t xml:space="preserve"> factores agrupados en</w:t>
      </w:r>
      <w:r w:rsidRPr="00E83B7E">
        <w:rPr>
          <w:lang w:val="es-ES_tradnl"/>
        </w:rPr>
        <w:t xml:space="preserve"> cuatro áreas</w:t>
      </w:r>
      <w:r w:rsidR="00C705C2" w:rsidRPr="00E83B7E">
        <w:rPr>
          <w:lang w:val="es-ES_tradnl"/>
        </w:rPr>
        <w:t>:</w:t>
      </w:r>
      <w:r w:rsidRPr="00E83B7E">
        <w:rPr>
          <w:lang w:val="es-ES_tradnl"/>
        </w:rPr>
        <w:t xml:space="preserve"> oferta</w:t>
      </w:r>
      <w:r w:rsidR="002145E1" w:rsidRPr="00E83B7E">
        <w:rPr>
          <w:lang w:val="es-ES_tradnl"/>
        </w:rPr>
        <w:t>,</w:t>
      </w:r>
      <w:r w:rsidRPr="00E83B7E">
        <w:rPr>
          <w:lang w:val="es-ES_tradnl"/>
        </w:rPr>
        <w:t xml:space="preserve"> demanda</w:t>
      </w:r>
      <w:r w:rsidR="002145E1" w:rsidRPr="00E83B7E">
        <w:rPr>
          <w:lang w:val="es-ES_tradnl"/>
        </w:rPr>
        <w:t>,</w:t>
      </w:r>
      <w:r w:rsidRPr="00E83B7E">
        <w:rPr>
          <w:lang w:val="es-ES_tradnl"/>
        </w:rPr>
        <w:t xml:space="preserve"> financiera y patrimonial y sistémico y regulatorio. En estas cuatro áreas se identifican tipos de riesgo y se los evalúa asignándoles un grado cualitativo de materialización potencial e impacto del riesgo, a saber: moderado, significativo, severo y extremo.</w:t>
      </w:r>
    </w:p>
    <w:p w14:paraId="2BF9AE76" w14:textId="7863E4C2" w:rsidR="00A87C9A" w:rsidRPr="00E83B7E" w:rsidRDefault="00A87C9A" w:rsidP="00A87C9A">
      <w:pPr>
        <w:jc w:val="both"/>
        <w:rPr>
          <w:lang w:val="es-ES_tradnl"/>
        </w:rPr>
      </w:pPr>
      <w:r w:rsidRPr="00E83B7E">
        <w:rPr>
          <w:lang w:val="es-ES_tradnl"/>
        </w:rPr>
        <w:t>La calificación de cada componente ha sido llevada adelante por expertos sectoriales del Banco Interamericano de Desarrollo, quienes han generado una evaluación general al momento del inicio de la crisis del COVID-19, basada en sus percepciones, experiencia y utilizando distintas fuentes de información (incluyendo entre otras, entrevistas a cámaras de comercio y actores relevantes, estadísticas de acceso público y otros informes especializados). Los factores considerados y las distintas áreas a las que pertenecen</w:t>
      </w:r>
      <w:r w:rsidR="00E54526" w:rsidRPr="00E83B7E">
        <w:rPr>
          <w:lang w:val="es-ES_tradnl"/>
        </w:rPr>
        <w:t>, junto con una descripción del concepto se incluyen en el cuadro A.</w:t>
      </w:r>
      <w:r w:rsidR="00FE18AA" w:rsidRPr="00E83B7E">
        <w:rPr>
          <w:lang w:val="es-ES_tradnl"/>
        </w:rPr>
        <w:t>I.</w:t>
      </w:r>
      <w:r w:rsidR="00E54526" w:rsidRPr="00E83B7E">
        <w:rPr>
          <w:lang w:val="es-ES_tradnl"/>
        </w:rPr>
        <w:t>1</w:t>
      </w:r>
      <w:r w:rsidR="00FE18AA" w:rsidRPr="00E83B7E">
        <w:rPr>
          <w:lang w:val="es-ES_tradnl"/>
        </w:rPr>
        <w:t>.</w:t>
      </w:r>
    </w:p>
    <w:p w14:paraId="24A6AD40" w14:textId="4770015A" w:rsidR="00A87C9A" w:rsidRPr="00E83B7E" w:rsidRDefault="00A87C9A" w:rsidP="00667CD9">
      <w:pPr>
        <w:jc w:val="both"/>
        <w:rPr>
          <w:lang w:val="es-ES_tradnl"/>
        </w:rPr>
      </w:pPr>
      <w:r w:rsidRPr="00E83B7E">
        <w:rPr>
          <w:lang w:val="es-ES_tradnl"/>
        </w:rPr>
        <w:t>Una vez asignada la calificación de riesgo/vulnerabilidad para cada factor, se evalúan los resultados y se agregan en un índice que asigna un peso de 30% respectivamente para los factores de oferta, demanda y financieros y patrimoniales y de 10% para los factores sistémicos y regulatorios.</w:t>
      </w:r>
      <w:r w:rsidR="001321AA" w:rsidRPr="00E83B7E">
        <w:rPr>
          <w:lang w:val="es-ES_tradnl"/>
        </w:rPr>
        <w:t xml:space="preserve"> Se le ha dado mayor ponderación relativa a los factores que se consideran más volátiles </w:t>
      </w:r>
      <w:r w:rsidR="00DE5A58" w:rsidRPr="00E83B7E">
        <w:rPr>
          <w:lang w:val="es-ES_tradnl"/>
        </w:rPr>
        <w:t>en el corto plazo</w:t>
      </w:r>
      <w:r w:rsidR="00C21AD8" w:rsidRPr="00E83B7E">
        <w:rPr>
          <w:lang w:val="es-ES_tradnl"/>
        </w:rPr>
        <w:t xml:space="preserve"> (oferta, demanda, factores patrimoniales y financieros), pero también se ha decidido la inclusión de factores institucionales debido al riesgo en esa dimensión que emerge por la significatividad del problema generado por la pandemia del COVID-19.</w:t>
      </w:r>
      <w:r w:rsidRPr="00E83B7E">
        <w:rPr>
          <w:lang w:val="es-ES_tradnl"/>
        </w:rPr>
        <w:t xml:space="preserve"> </w:t>
      </w:r>
    </w:p>
    <w:p w14:paraId="20A3C259" w14:textId="5402A2A8" w:rsidR="00D755A2" w:rsidRPr="00E83B7E" w:rsidRDefault="00A87C9A" w:rsidP="00A87C9A">
      <w:pPr>
        <w:jc w:val="both"/>
        <w:rPr>
          <w:lang w:val="es-ES_tradnl"/>
        </w:rPr>
      </w:pPr>
      <w:r w:rsidRPr="00E83B7E">
        <w:rPr>
          <w:lang w:val="es-ES_tradnl"/>
        </w:rPr>
        <w:t xml:space="preserve">De manera adicional, también se presenta el grado de vulnerabilidad agregado generado por dichos sectores productivos utilizando </w:t>
      </w:r>
      <w:r w:rsidR="00D755A2" w:rsidRPr="00E83B7E">
        <w:rPr>
          <w:lang w:val="es-ES_tradnl"/>
        </w:rPr>
        <w:t xml:space="preserve">la contribución al PIB y al empleo como ponderadores alternativos. En este caso (ver tabla </w:t>
      </w:r>
      <w:r w:rsidR="005D1844" w:rsidRPr="00E83B7E">
        <w:rPr>
          <w:lang w:val="es-ES_tradnl"/>
        </w:rPr>
        <w:t xml:space="preserve">II.A.1), </w:t>
      </w:r>
      <w:r w:rsidR="00825D67" w:rsidRPr="00E83B7E">
        <w:rPr>
          <w:lang w:val="es-ES_tradnl"/>
        </w:rPr>
        <w:t xml:space="preserve">se están considerando las contribuciones sólo de los sectores bajo análisis, con lo cual </w:t>
      </w:r>
      <w:r w:rsidR="00F95A60" w:rsidRPr="00E83B7E">
        <w:rPr>
          <w:lang w:val="es-ES_tradnl"/>
        </w:rPr>
        <w:t xml:space="preserve">los ponderadores se recalculan para llegar al 100 a pesar de que la contribución al PIB esté en torno al 35% y del empleo </w:t>
      </w:r>
      <w:r w:rsidR="0091146C" w:rsidRPr="00E83B7E">
        <w:rPr>
          <w:lang w:val="es-ES_tradnl"/>
        </w:rPr>
        <w:t>cerca del 41%.</w:t>
      </w:r>
    </w:p>
    <w:p w14:paraId="50FC7E5B" w14:textId="77777777" w:rsidR="003708D1" w:rsidRPr="00E83B7E" w:rsidRDefault="003708D1" w:rsidP="003708D1">
      <w:pPr>
        <w:rPr>
          <w:lang w:val="es-ES_tradnl"/>
        </w:rPr>
      </w:pPr>
    </w:p>
    <w:p w14:paraId="652B671E" w14:textId="77777777" w:rsidR="00366688" w:rsidRPr="00E83B7E" w:rsidRDefault="00366688" w:rsidP="003708D1">
      <w:pPr>
        <w:rPr>
          <w:lang w:val="es-ES_tradnl"/>
        </w:rPr>
      </w:pPr>
    </w:p>
    <w:p w14:paraId="57EF8C75" w14:textId="77777777" w:rsidR="00366688" w:rsidRPr="00E83B7E" w:rsidRDefault="00366688" w:rsidP="003708D1">
      <w:pPr>
        <w:rPr>
          <w:lang w:val="es-ES_tradnl"/>
        </w:rPr>
      </w:pPr>
    </w:p>
    <w:p w14:paraId="54C6BD9C" w14:textId="77777777" w:rsidR="00366688" w:rsidRPr="00E83B7E" w:rsidRDefault="00366688" w:rsidP="003708D1">
      <w:pPr>
        <w:rPr>
          <w:lang w:val="es-ES_tradnl"/>
        </w:rPr>
      </w:pPr>
    </w:p>
    <w:p w14:paraId="24E90538" w14:textId="77777777" w:rsidR="00366688" w:rsidRPr="00E83B7E" w:rsidRDefault="00366688" w:rsidP="003708D1">
      <w:pPr>
        <w:rPr>
          <w:lang w:val="es-ES_tradnl"/>
        </w:rPr>
      </w:pPr>
    </w:p>
    <w:p w14:paraId="567D3D11" w14:textId="77777777" w:rsidR="00366688" w:rsidRPr="00E83B7E" w:rsidRDefault="00366688" w:rsidP="003708D1">
      <w:pPr>
        <w:rPr>
          <w:lang w:val="es-ES_tradnl"/>
        </w:rPr>
      </w:pPr>
    </w:p>
    <w:p w14:paraId="1A74FAA3" w14:textId="77777777" w:rsidR="00366688" w:rsidRPr="00E83B7E" w:rsidRDefault="00366688" w:rsidP="003708D1">
      <w:pPr>
        <w:rPr>
          <w:lang w:val="es-ES_tradnl"/>
        </w:rPr>
      </w:pPr>
    </w:p>
    <w:p w14:paraId="234F9C28" w14:textId="77777777" w:rsidR="00366688" w:rsidRPr="00E83B7E" w:rsidRDefault="00366688" w:rsidP="003708D1">
      <w:pPr>
        <w:rPr>
          <w:lang w:val="es-ES_tradnl"/>
        </w:rPr>
      </w:pPr>
    </w:p>
    <w:p w14:paraId="1BD45A2F" w14:textId="77777777" w:rsidR="00366688" w:rsidRPr="00E83B7E" w:rsidRDefault="00366688" w:rsidP="003708D1">
      <w:pPr>
        <w:rPr>
          <w:lang w:val="es-ES_tradnl"/>
        </w:rPr>
      </w:pPr>
    </w:p>
    <w:p w14:paraId="289161A9" w14:textId="77777777" w:rsidR="00366688" w:rsidRPr="00E83B7E" w:rsidRDefault="00366688" w:rsidP="003708D1">
      <w:pPr>
        <w:rPr>
          <w:lang w:val="es-ES_tradnl"/>
        </w:rPr>
      </w:pPr>
    </w:p>
    <w:p w14:paraId="02FD0D32" w14:textId="01DBA46B" w:rsidR="00C4729C" w:rsidRPr="00E83B7E" w:rsidRDefault="00C4729C" w:rsidP="00C4729C">
      <w:pPr>
        <w:spacing w:after="0" w:line="240" w:lineRule="auto"/>
        <w:jc w:val="center"/>
        <w:rPr>
          <w:b/>
          <w:bCs/>
          <w:lang w:val="es-ES_tradnl"/>
        </w:rPr>
      </w:pPr>
      <w:r w:rsidRPr="00E83B7E">
        <w:rPr>
          <w:b/>
          <w:bCs/>
          <w:lang w:val="es-ES_tradnl"/>
        </w:rPr>
        <w:lastRenderedPageBreak/>
        <w:t>Cuadro A.I.1</w:t>
      </w:r>
    </w:p>
    <w:p w14:paraId="12BF60EB" w14:textId="6B943098" w:rsidR="00C4729C" w:rsidRPr="00E83B7E" w:rsidRDefault="00C4729C" w:rsidP="0007292C">
      <w:pPr>
        <w:spacing w:after="0" w:line="240" w:lineRule="auto"/>
        <w:jc w:val="center"/>
        <w:rPr>
          <w:b/>
          <w:bCs/>
          <w:lang w:val="es-ES_tradnl"/>
        </w:rPr>
      </w:pPr>
      <w:r w:rsidRPr="00E83B7E">
        <w:rPr>
          <w:b/>
          <w:bCs/>
          <w:lang w:val="es-ES_tradnl"/>
        </w:rPr>
        <w:t>Descripción componentes índice de vulnerabilidad</w:t>
      </w:r>
    </w:p>
    <w:tbl>
      <w:tblPr>
        <w:tblStyle w:val="TableGrid"/>
        <w:tblW w:w="0" w:type="auto"/>
        <w:tblLook w:val="04A0" w:firstRow="1" w:lastRow="0" w:firstColumn="1" w:lastColumn="0" w:noHBand="0" w:noVBand="1"/>
      </w:tblPr>
      <w:tblGrid>
        <w:gridCol w:w="498"/>
        <w:gridCol w:w="498"/>
        <w:gridCol w:w="1647"/>
        <w:gridCol w:w="6707"/>
      </w:tblGrid>
      <w:tr w:rsidR="00C4729C" w:rsidRPr="00E83B7E" w14:paraId="78D47CF3" w14:textId="77777777" w:rsidTr="00C4729C">
        <w:trPr>
          <w:trHeight w:val="300"/>
        </w:trPr>
        <w:tc>
          <w:tcPr>
            <w:tcW w:w="498" w:type="dxa"/>
            <w:noWrap/>
            <w:hideMark/>
          </w:tcPr>
          <w:p w14:paraId="79275396" w14:textId="77777777" w:rsidR="00C4729C" w:rsidRPr="00E83B7E" w:rsidRDefault="00C4729C" w:rsidP="00C4729C">
            <w:pPr>
              <w:jc w:val="both"/>
              <w:rPr>
                <w:b/>
                <w:bCs/>
                <w:lang w:val="es-ES_tradnl"/>
              </w:rPr>
            </w:pPr>
            <w:r w:rsidRPr="00E83B7E">
              <w:rPr>
                <w:b/>
                <w:bCs/>
                <w:lang w:val="es-ES_tradnl"/>
              </w:rPr>
              <w:t> </w:t>
            </w:r>
          </w:p>
        </w:tc>
        <w:tc>
          <w:tcPr>
            <w:tcW w:w="498" w:type="dxa"/>
            <w:noWrap/>
            <w:hideMark/>
          </w:tcPr>
          <w:p w14:paraId="74BE89B7" w14:textId="77777777" w:rsidR="00C4729C" w:rsidRPr="00E83B7E" w:rsidRDefault="00C4729C" w:rsidP="00C4729C">
            <w:pPr>
              <w:jc w:val="both"/>
              <w:rPr>
                <w:b/>
                <w:bCs/>
                <w:lang w:val="es-ES_tradnl"/>
              </w:rPr>
            </w:pPr>
            <w:r w:rsidRPr="00E83B7E">
              <w:rPr>
                <w:b/>
                <w:bCs/>
                <w:lang w:val="es-ES_tradnl"/>
              </w:rPr>
              <w:t> </w:t>
            </w:r>
          </w:p>
        </w:tc>
        <w:tc>
          <w:tcPr>
            <w:tcW w:w="1647" w:type="dxa"/>
            <w:hideMark/>
          </w:tcPr>
          <w:p w14:paraId="4CB624CB" w14:textId="77777777" w:rsidR="00C4729C" w:rsidRPr="00E83B7E" w:rsidRDefault="00C4729C" w:rsidP="00C4729C">
            <w:pPr>
              <w:jc w:val="both"/>
              <w:rPr>
                <w:b/>
                <w:bCs/>
                <w:lang w:val="es-ES_tradnl"/>
              </w:rPr>
            </w:pPr>
            <w:r w:rsidRPr="00E83B7E">
              <w:rPr>
                <w:b/>
                <w:bCs/>
                <w:lang w:val="es-ES_tradnl"/>
              </w:rPr>
              <w:t>Riesgo</w:t>
            </w:r>
          </w:p>
        </w:tc>
        <w:tc>
          <w:tcPr>
            <w:tcW w:w="6707" w:type="dxa"/>
            <w:hideMark/>
          </w:tcPr>
          <w:p w14:paraId="02AE6E92" w14:textId="77777777" w:rsidR="00C4729C" w:rsidRPr="00E83B7E" w:rsidRDefault="00C4729C" w:rsidP="00C4729C">
            <w:pPr>
              <w:jc w:val="both"/>
              <w:rPr>
                <w:b/>
                <w:bCs/>
                <w:lang w:val="es-ES_tradnl"/>
              </w:rPr>
            </w:pPr>
            <w:r w:rsidRPr="00E83B7E">
              <w:rPr>
                <w:b/>
                <w:bCs/>
                <w:lang w:val="es-ES_tradnl"/>
              </w:rPr>
              <w:t>Descripción</w:t>
            </w:r>
          </w:p>
        </w:tc>
      </w:tr>
      <w:tr w:rsidR="00C4729C" w:rsidRPr="00E83B7E" w14:paraId="3DC80164" w14:textId="77777777" w:rsidTr="00C4729C">
        <w:trPr>
          <w:trHeight w:val="3600"/>
        </w:trPr>
        <w:tc>
          <w:tcPr>
            <w:tcW w:w="498" w:type="dxa"/>
            <w:noWrap/>
            <w:textDirection w:val="btLr"/>
            <w:hideMark/>
          </w:tcPr>
          <w:p w14:paraId="0ACA730A" w14:textId="77777777" w:rsidR="00C4729C" w:rsidRPr="00E83B7E" w:rsidRDefault="00C4729C" w:rsidP="0007292C">
            <w:pPr>
              <w:jc w:val="center"/>
              <w:rPr>
                <w:lang w:val="es-ES_tradnl"/>
              </w:rPr>
            </w:pPr>
            <w:r w:rsidRPr="00E83B7E">
              <w:rPr>
                <w:lang w:val="es-ES_tradnl"/>
              </w:rPr>
              <w:t>Oferta</w:t>
            </w:r>
          </w:p>
        </w:tc>
        <w:tc>
          <w:tcPr>
            <w:tcW w:w="498" w:type="dxa"/>
            <w:noWrap/>
            <w:textDirection w:val="btLr"/>
            <w:hideMark/>
          </w:tcPr>
          <w:p w14:paraId="13ABFB4F" w14:textId="77777777" w:rsidR="00C4729C" w:rsidRPr="00E83B7E" w:rsidRDefault="00C4729C" w:rsidP="0007292C">
            <w:pPr>
              <w:jc w:val="center"/>
              <w:rPr>
                <w:lang w:val="es-ES_tradnl"/>
              </w:rPr>
            </w:pPr>
            <w:r w:rsidRPr="00E83B7E">
              <w:rPr>
                <w:lang w:val="es-ES_tradnl"/>
              </w:rPr>
              <w:t>Operativo</w:t>
            </w:r>
          </w:p>
        </w:tc>
        <w:tc>
          <w:tcPr>
            <w:tcW w:w="1647" w:type="dxa"/>
            <w:hideMark/>
          </w:tcPr>
          <w:p w14:paraId="47D4D3C6" w14:textId="77777777" w:rsidR="00C4729C" w:rsidRPr="00E83B7E" w:rsidRDefault="00C4729C" w:rsidP="0007292C">
            <w:pPr>
              <w:rPr>
                <w:lang w:val="es-ES_tradnl"/>
              </w:rPr>
            </w:pPr>
            <w:r w:rsidRPr="00E83B7E">
              <w:rPr>
                <w:lang w:val="es-ES_tradnl"/>
              </w:rPr>
              <w:t>Limitaciones uso de fuerza de trabajo</w:t>
            </w:r>
          </w:p>
        </w:tc>
        <w:tc>
          <w:tcPr>
            <w:tcW w:w="6707" w:type="dxa"/>
            <w:hideMark/>
          </w:tcPr>
          <w:p w14:paraId="4ACD371C" w14:textId="77777777" w:rsidR="00C4729C" w:rsidRPr="00E83B7E" w:rsidRDefault="00C4729C" w:rsidP="0007292C">
            <w:pPr>
              <w:rPr>
                <w:lang w:val="es-ES_tradnl"/>
              </w:rPr>
            </w:pPr>
            <w:r w:rsidRPr="00E83B7E">
              <w:rPr>
                <w:lang w:val="es-ES_tradnl"/>
              </w:rPr>
              <w:t xml:space="preserve">Indica las limitaciones en la disponibilidad efectiva de la fuerza de trabajo, con relación a la disponibilidad habitual en condiciones normales. </w:t>
            </w:r>
            <w:r w:rsidRPr="00E83B7E">
              <w:rPr>
                <w:lang w:val="es-ES_tradnl"/>
              </w:rPr>
              <w:br/>
            </w:r>
            <w:r w:rsidRPr="00E83B7E">
              <w:rPr>
                <w:lang w:val="es-ES_tradnl"/>
              </w:rPr>
              <w:br/>
              <w:t>La disponibilidad efectiva ha de tratar de considerar el uso efectivo de la fuerza de trabajo. Así, por ejemplo, si nominalmente se cuenta con el 100% de la fuerza de trabajo, pero solo pueden trabajar una jornada reducida de medio día, la disponibilidad efectiva puede ser del 50% (o todavía menor si se considera un grado de pérdida de eficiencia en la organización del trabajo.</w:t>
            </w:r>
            <w:r w:rsidRPr="00E83B7E">
              <w:rPr>
                <w:lang w:val="es-ES_tradnl"/>
              </w:rPr>
              <w:br/>
            </w:r>
            <w:r w:rsidRPr="00E83B7E">
              <w:rPr>
                <w:lang w:val="es-ES_tradnl"/>
              </w:rPr>
              <w:br/>
              <w:t>Considerar la posibilidad de hacer uso de teletrabajo, turnos alternativos/extendidos y otras soluciones que puedan presentarse.</w:t>
            </w:r>
          </w:p>
        </w:tc>
      </w:tr>
      <w:tr w:rsidR="00C4729C" w:rsidRPr="00E83B7E" w14:paraId="45C51843" w14:textId="77777777" w:rsidTr="00C4729C">
        <w:trPr>
          <w:trHeight w:val="2100"/>
        </w:trPr>
        <w:tc>
          <w:tcPr>
            <w:tcW w:w="498" w:type="dxa"/>
            <w:noWrap/>
            <w:textDirection w:val="btLr"/>
            <w:hideMark/>
          </w:tcPr>
          <w:p w14:paraId="3CEA3976" w14:textId="77777777" w:rsidR="00C4729C" w:rsidRPr="00E83B7E" w:rsidRDefault="00C4729C" w:rsidP="0007292C">
            <w:pPr>
              <w:jc w:val="center"/>
              <w:rPr>
                <w:lang w:val="es-ES_tradnl"/>
              </w:rPr>
            </w:pPr>
            <w:r w:rsidRPr="00E83B7E">
              <w:rPr>
                <w:lang w:val="es-ES_tradnl"/>
              </w:rPr>
              <w:t>Oferta</w:t>
            </w:r>
          </w:p>
        </w:tc>
        <w:tc>
          <w:tcPr>
            <w:tcW w:w="498" w:type="dxa"/>
            <w:noWrap/>
            <w:textDirection w:val="btLr"/>
            <w:hideMark/>
          </w:tcPr>
          <w:p w14:paraId="00AB3F6F" w14:textId="77777777" w:rsidR="00C4729C" w:rsidRPr="00E83B7E" w:rsidRDefault="00C4729C" w:rsidP="0007292C">
            <w:pPr>
              <w:jc w:val="center"/>
              <w:rPr>
                <w:lang w:val="es-ES_tradnl"/>
              </w:rPr>
            </w:pPr>
            <w:r w:rsidRPr="00E83B7E">
              <w:rPr>
                <w:lang w:val="es-ES_tradnl"/>
              </w:rPr>
              <w:t>Operativo</w:t>
            </w:r>
          </w:p>
        </w:tc>
        <w:tc>
          <w:tcPr>
            <w:tcW w:w="1647" w:type="dxa"/>
            <w:hideMark/>
          </w:tcPr>
          <w:p w14:paraId="44AD3774" w14:textId="77777777" w:rsidR="00C4729C" w:rsidRPr="00E83B7E" w:rsidRDefault="00C4729C" w:rsidP="0007292C">
            <w:pPr>
              <w:rPr>
                <w:lang w:val="es-ES_tradnl"/>
              </w:rPr>
            </w:pPr>
            <w:r w:rsidRPr="00E83B7E">
              <w:rPr>
                <w:lang w:val="es-ES_tradnl"/>
              </w:rPr>
              <w:t>Limitaciones al uso de capital fijo (oficinas, centros comerciales, maquinas, etc.)</w:t>
            </w:r>
          </w:p>
        </w:tc>
        <w:tc>
          <w:tcPr>
            <w:tcW w:w="6707" w:type="dxa"/>
            <w:hideMark/>
          </w:tcPr>
          <w:p w14:paraId="44352479" w14:textId="77777777" w:rsidR="00C4729C" w:rsidRPr="00E83B7E" w:rsidRDefault="00C4729C" w:rsidP="0007292C">
            <w:pPr>
              <w:rPr>
                <w:lang w:val="es-ES_tradnl"/>
              </w:rPr>
            </w:pPr>
            <w:r w:rsidRPr="00E83B7E">
              <w:rPr>
                <w:lang w:val="es-ES_tradnl"/>
              </w:rPr>
              <w:t xml:space="preserve">Refiere a las limitaciones al uso de activos necesarios para la producción. </w:t>
            </w:r>
            <w:r w:rsidRPr="00E83B7E">
              <w:rPr>
                <w:lang w:val="es-ES_tradnl"/>
              </w:rPr>
              <w:br/>
            </w:r>
            <w:r w:rsidRPr="00E83B7E">
              <w:rPr>
                <w:lang w:val="es-ES_tradnl"/>
              </w:rPr>
              <w:br/>
              <w:t>Atender especialmente la posibilidad o grado de continuidad que pueda lograrse mediante arreglos alternativos (por ej.: uso de turnos para minimizar número de empleados en un horario) y la importancia relativa de comercialización digital (presencia digital y capacidad logística). Considerar la disponibilidad equivalente de manera similar a las limitaciones de trabajo (arreglo de turnos, canales digitales, otros).</w:t>
            </w:r>
          </w:p>
        </w:tc>
      </w:tr>
      <w:tr w:rsidR="00C4729C" w:rsidRPr="00E83B7E" w14:paraId="2A30ED4B" w14:textId="77777777" w:rsidTr="00C4729C">
        <w:trPr>
          <w:trHeight w:val="2100"/>
        </w:trPr>
        <w:tc>
          <w:tcPr>
            <w:tcW w:w="498" w:type="dxa"/>
            <w:noWrap/>
            <w:textDirection w:val="btLr"/>
            <w:hideMark/>
          </w:tcPr>
          <w:p w14:paraId="3540A82B" w14:textId="77777777" w:rsidR="00C4729C" w:rsidRPr="00E83B7E" w:rsidRDefault="00C4729C" w:rsidP="0007292C">
            <w:pPr>
              <w:jc w:val="center"/>
              <w:rPr>
                <w:lang w:val="es-ES_tradnl"/>
              </w:rPr>
            </w:pPr>
            <w:r w:rsidRPr="00E83B7E">
              <w:rPr>
                <w:lang w:val="es-ES_tradnl"/>
              </w:rPr>
              <w:t>Oferta</w:t>
            </w:r>
          </w:p>
        </w:tc>
        <w:tc>
          <w:tcPr>
            <w:tcW w:w="498" w:type="dxa"/>
            <w:noWrap/>
            <w:textDirection w:val="btLr"/>
            <w:hideMark/>
          </w:tcPr>
          <w:p w14:paraId="0C804DB2" w14:textId="77777777" w:rsidR="00C4729C" w:rsidRPr="00E83B7E" w:rsidRDefault="00C4729C" w:rsidP="0007292C">
            <w:pPr>
              <w:jc w:val="center"/>
              <w:rPr>
                <w:lang w:val="es-ES_tradnl"/>
              </w:rPr>
            </w:pPr>
            <w:r w:rsidRPr="00E83B7E">
              <w:rPr>
                <w:lang w:val="es-ES_tradnl"/>
              </w:rPr>
              <w:t>Operativo</w:t>
            </w:r>
          </w:p>
        </w:tc>
        <w:tc>
          <w:tcPr>
            <w:tcW w:w="1647" w:type="dxa"/>
            <w:hideMark/>
          </w:tcPr>
          <w:p w14:paraId="31315180" w14:textId="77777777" w:rsidR="00C4729C" w:rsidRPr="00E83B7E" w:rsidRDefault="00C4729C" w:rsidP="0007292C">
            <w:pPr>
              <w:rPr>
                <w:lang w:val="es-ES_tradnl"/>
              </w:rPr>
            </w:pPr>
            <w:r w:rsidRPr="00E83B7E">
              <w:rPr>
                <w:lang w:val="es-ES_tradnl"/>
              </w:rPr>
              <w:t>Insuficiencia en cantidad y calidad de insumos físicos</w:t>
            </w:r>
          </w:p>
        </w:tc>
        <w:tc>
          <w:tcPr>
            <w:tcW w:w="6707" w:type="dxa"/>
            <w:hideMark/>
          </w:tcPr>
          <w:p w14:paraId="4C1058F1" w14:textId="6C403BDA" w:rsidR="00C4729C" w:rsidRPr="00E83B7E" w:rsidRDefault="00C4729C" w:rsidP="0007292C">
            <w:pPr>
              <w:rPr>
                <w:lang w:val="es-ES_tradnl"/>
              </w:rPr>
            </w:pPr>
            <w:r w:rsidRPr="00E83B7E">
              <w:rPr>
                <w:lang w:val="es-ES_tradnl"/>
              </w:rPr>
              <w:t xml:space="preserve">Limitaciones al acceso de insumos de producción (de bienes o servicios). </w:t>
            </w:r>
            <w:r w:rsidRPr="00E83B7E">
              <w:rPr>
                <w:lang w:val="es-ES_tradnl"/>
              </w:rPr>
              <w:br/>
            </w:r>
            <w:r w:rsidRPr="00E83B7E">
              <w:rPr>
                <w:lang w:val="es-ES_tradnl"/>
              </w:rPr>
              <w:br/>
              <w:t>Considerar, energía, materias primas e insumos físicos en general. No considerar servicios como transporte, comunicaciones ni financieros (considerados aparte).</w:t>
            </w:r>
            <w:r w:rsidRPr="00E83B7E">
              <w:rPr>
                <w:lang w:val="es-ES_tradnl"/>
              </w:rPr>
              <w:br/>
            </w:r>
            <w:r w:rsidRPr="00E83B7E">
              <w:rPr>
                <w:lang w:val="es-ES_tradnl"/>
              </w:rPr>
              <w:br/>
              <w:t>Considerar la posibilidad de utilizar insumos de menor calidad o cambios en las relaciones de uso.</w:t>
            </w:r>
          </w:p>
        </w:tc>
      </w:tr>
      <w:tr w:rsidR="00C4729C" w:rsidRPr="00E83B7E" w14:paraId="0B3FB335" w14:textId="77777777" w:rsidTr="00C4729C">
        <w:trPr>
          <w:trHeight w:val="1500"/>
        </w:trPr>
        <w:tc>
          <w:tcPr>
            <w:tcW w:w="498" w:type="dxa"/>
            <w:noWrap/>
            <w:textDirection w:val="btLr"/>
            <w:hideMark/>
          </w:tcPr>
          <w:p w14:paraId="320C249F" w14:textId="77777777" w:rsidR="00C4729C" w:rsidRPr="00E83B7E" w:rsidRDefault="00C4729C" w:rsidP="0007292C">
            <w:pPr>
              <w:jc w:val="center"/>
              <w:rPr>
                <w:lang w:val="es-ES_tradnl"/>
              </w:rPr>
            </w:pPr>
            <w:r w:rsidRPr="00E83B7E">
              <w:rPr>
                <w:lang w:val="es-ES_tradnl"/>
              </w:rPr>
              <w:t>Oferta</w:t>
            </w:r>
          </w:p>
        </w:tc>
        <w:tc>
          <w:tcPr>
            <w:tcW w:w="498" w:type="dxa"/>
            <w:noWrap/>
            <w:textDirection w:val="btLr"/>
            <w:hideMark/>
          </w:tcPr>
          <w:p w14:paraId="16E5C174" w14:textId="77777777" w:rsidR="00C4729C" w:rsidRPr="00E83B7E" w:rsidRDefault="00C4729C" w:rsidP="0007292C">
            <w:pPr>
              <w:jc w:val="center"/>
              <w:rPr>
                <w:lang w:val="es-ES_tradnl"/>
              </w:rPr>
            </w:pPr>
            <w:r w:rsidRPr="00E83B7E">
              <w:rPr>
                <w:lang w:val="es-ES_tradnl"/>
              </w:rPr>
              <w:t>Operativo</w:t>
            </w:r>
          </w:p>
        </w:tc>
        <w:tc>
          <w:tcPr>
            <w:tcW w:w="1647" w:type="dxa"/>
            <w:hideMark/>
          </w:tcPr>
          <w:p w14:paraId="073B42E1" w14:textId="7744FCCC" w:rsidR="00C4729C" w:rsidRPr="00E83B7E" w:rsidRDefault="00C4729C" w:rsidP="0007292C">
            <w:pPr>
              <w:rPr>
                <w:lang w:val="es-ES_tradnl"/>
              </w:rPr>
            </w:pPr>
            <w:r w:rsidRPr="00E83B7E">
              <w:rPr>
                <w:lang w:val="es-ES_tradnl"/>
              </w:rPr>
              <w:t>Limitaciones al acceso a servicios (transporte, comunicación)</w:t>
            </w:r>
          </w:p>
        </w:tc>
        <w:tc>
          <w:tcPr>
            <w:tcW w:w="6707" w:type="dxa"/>
            <w:hideMark/>
          </w:tcPr>
          <w:p w14:paraId="07816D03" w14:textId="4E17E248" w:rsidR="00C4729C" w:rsidRPr="00E83B7E" w:rsidRDefault="00C4729C" w:rsidP="0007292C">
            <w:pPr>
              <w:rPr>
                <w:lang w:val="es-ES_tradnl"/>
              </w:rPr>
            </w:pPr>
            <w:r w:rsidRPr="00E83B7E">
              <w:rPr>
                <w:lang w:val="es-ES_tradnl"/>
              </w:rPr>
              <w:t>Limitaciones logísticas y de servicios de comunicación.</w:t>
            </w:r>
            <w:r w:rsidRPr="00E83B7E">
              <w:rPr>
                <w:lang w:val="es-ES_tradnl"/>
              </w:rPr>
              <w:br/>
            </w:r>
            <w:r w:rsidRPr="00E83B7E">
              <w:rPr>
                <w:lang w:val="es-ES_tradnl"/>
              </w:rPr>
              <w:br/>
              <w:t>Considerar las limitaciones a la logística (en particular a los servicios de transporte y distribución) y a los servicios de comunicaciones.</w:t>
            </w:r>
          </w:p>
        </w:tc>
      </w:tr>
      <w:tr w:rsidR="00C4729C" w:rsidRPr="00E83B7E" w14:paraId="73B3AAD4" w14:textId="77777777" w:rsidTr="00C4729C">
        <w:trPr>
          <w:trHeight w:val="2100"/>
        </w:trPr>
        <w:tc>
          <w:tcPr>
            <w:tcW w:w="498" w:type="dxa"/>
            <w:noWrap/>
            <w:textDirection w:val="btLr"/>
            <w:hideMark/>
          </w:tcPr>
          <w:p w14:paraId="25CAA4B0" w14:textId="77777777" w:rsidR="00C4729C" w:rsidRPr="00E83B7E" w:rsidRDefault="00C4729C" w:rsidP="0007292C">
            <w:pPr>
              <w:jc w:val="center"/>
              <w:rPr>
                <w:lang w:val="es-ES_tradnl"/>
              </w:rPr>
            </w:pPr>
            <w:r w:rsidRPr="00E83B7E">
              <w:rPr>
                <w:lang w:val="es-ES_tradnl"/>
              </w:rPr>
              <w:t>Oferta</w:t>
            </w:r>
          </w:p>
        </w:tc>
        <w:tc>
          <w:tcPr>
            <w:tcW w:w="498" w:type="dxa"/>
            <w:noWrap/>
            <w:textDirection w:val="btLr"/>
            <w:hideMark/>
          </w:tcPr>
          <w:p w14:paraId="6A1CC2C3" w14:textId="77777777" w:rsidR="00C4729C" w:rsidRPr="00E83B7E" w:rsidRDefault="00C4729C" w:rsidP="0007292C">
            <w:pPr>
              <w:jc w:val="center"/>
              <w:rPr>
                <w:lang w:val="es-ES_tradnl"/>
              </w:rPr>
            </w:pPr>
            <w:r w:rsidRPr="00E83B7E">
              <w:rPr>
                <w:lang w:val="es-ES_tradnl"/>
              </w:rPr>
              <w:t>De mercado</w:t>
            </w:r>
          </w:p>
        </w:tc>
        <w:tc>
          <w:tcPr>
            <w:tcW w:w="1647" w:type="dxa"/>
            <w:hideMark/>
          </w:tcPr>
          <w:p w14:paraId="6C688FF9" w14:textId="77777777" w:rsidR="00C4729C" w:rsidRPr="00E83B7E" w:rsidRDefault="00C4729C" w:rsidP="0007292C">
            <w:pPr>
              <w:rPr>
                <w:lang w:val="es-ES_tradnl"/>
              </w:rPr>
            </w:pPr>
            <w:r w:rsidRPr="00E83B7E">
              <w:rPr>
                <w:lang w:val="es-ES_tradnl"/>
              </w:rPr>
              <w:t>Aumento de los costos de insumos y de producción</w:t>
            </w:r>
          </w:p>
        </w:tc>
        <w:tc>
          <w:tcPr>
            <w:tcW w:w="6707" w:type="dxa"/>
            <w:hideMark/>
          </w:tcPr>
          <w:p w14:paraId="02683B32" w14:textId="77777777" w:rsidR="00C4729C" w:rsidRPr="00E83B7E" w:rsidRDefault="00C4729C" w:rsidP="0007292C">
            <w:pPr>
              <w:rPr>
                <w:lang w:val="es-ES_tradnl"/>
              </w:rPr>
            </w:pPr>
            <w:r w:rsidRPr="00E83B7E">
              <w:rPr>
                <w:lang w:val="es-ES_tradnl"/>
              </w:rPr>
              <w:t>Aumento de los costos de producción de bienes y servicios (mano de obra, servicios del capital, transporte, energía, comunicaciones, etc.).</w:t>
            </w:r>
            <w:r w:rsidRPr="00E83B7E">
              <w:rPr>
                <w:lang w:val="es-ES_tradnl"/>
              </w:rPr>
              <w:br/>
            </w:r>
            <w:r w:rsidRPr="00E83B7E">
              <w:rPr>
                <w:lang w:val="es-ES_tradnl"/>
              </w:rPr>
              <w:br/>
              <w:t>En términos reales.</w:t>
            </w:r>
            <w:r w:rsidRPr="00E83B7E">
              <w:rPr>
                <w:lang w:val="es-ES_tradnl"/>
              </w:rPr>
              <w:br/>
            </w:r>
            <w:r w:rsidRPr="00E83B7E">
              <w:rPr>
                <w:lang w:val="es-ES_tradnl"/>
              </w:rPr>
              <w:br/>
              <w:t>Considerar costos de manera global aun cuando insumos particulares puedan tener incrementos muy significativos.</w:t>
            </w:r>
          </w:p>
        </w:tc>
      </w:tr>
      <w:tr w:rsidR="00C4729C" w:rsidRPr="00E83B7E" w14:paraId="263C2690" w14:textId="77777777" w:rsidTr="00C4729C">
        <w:trPr>
          <w:trHeight w:val="1215"/>
        </w:trPr>
        <w:tc>
          <w:tcPr>
            <w:tcW w:w="498" w:type="dxa"/>
            <w:noWrap/>
            <w:textDirection w:val="btLr"/>
            <w:hideMark/>
          </w:tcPr>
          <w:p w14:paraId="4EAD73AA" w14:textId="77777777" w:rsidR="00C4729C" w:rsidRPr="00E83B7E" w:rsidRDefault="00C4729C" w:rsidP="0007292C">
            <w:pPr>
              <w:jc w:val="center"/>
              <w:rPr>
                <w:lang w:val="es-ES_tradnl"/>
              </w:rPr>
            </w:pPr>
            <w:r w:rsidRPr="00E83B7E">
              <w:rPr>
                <w:lang w:val="es-ES_tradnl"/>
              </w:rPr>
              <w:lastRenderedPageBreak/>
              <w:t>Demanda</w:t>
            </w:r>
          </w:p>
        </w:tc>
        <w:tc>
          <w:tcPr>
            <w:tcW w:w="498" w:type="dxa"/>
            <w:noWrap/>
            <w:textDirection w:val="btLr"/>
            <w:hideMark/>
          </w:tcPr>
          <w:p w14:paraId="6F3B19D8" w14:textId="77777777" w:rsidR="00C4729C" w:rsidRPr="00E83B7E" w:rsidRDefault="00C4729C" w:rsidP="0007292C">
            <w:pPr>
              <w:jc w:val="center"/>
              <w:rPr>
                <w:lang w:val="es-ES_tradnl"/>
              </w:rPr>
            </w:pPr>
            <w:r w:rsidRPr="00E83B7E">
              <w:rPr>
                <w:lang w:val="es-ES_tradnl"/>
              </w:rPr>
              <w:t>De mercado</w:t>
            </w:r>
          </w:p>
        </w:tc>
        <w:tc>
          <w:tcPr>
            <w:tcW w:w="1647" w:type="dxa"/>
            <w:hideMark/>
          </w:tcPr>
          <w:p w14:paraId="495B728C" w14:textId="77777777" w:rsidR="00C4729C" w:rsidRPr="00E83B7E" w:rsidRDefault="00C4729C" w:rsidP="0007292C">
            <w:pPr>
              <w:rPr>
                <w:lang w:val="es-ES_tradnl"/>
              </w:rPr>
            </w:pPr>
            <w:r w:rsidRPr="00E83B7E">
              <w:rPr>
                <w:lang w:val="es-ES_tradnl"/>
              </w:rPr>
              <w:t>Reducción de la demanda interna / domestica</w:t>
            </w:r>
          </w:p>
        </w:tc>
        <w:tc>
          <w:tcPr>
            <w:tcW w:w="6707" w:type="dxa"/>
            <w:hideMark/>
          </w:tcPr>
          <w:p w14:paraId="54464118" w14:textId="77777777" w:rsidR="00C4729C" w:rsidRPr="00E83B7E" w:rsidRDefault="00C4729C" w:rsidP="0007292C">
            <w:pPr>
              <w:rPr>
                <w:lang w:val="es-ES_tradnl"/>
              </w:rPr>
            </w:pPr>
            <w:r w:rsidRPr="00E83B7E">
              <w:rPr>
                <w:lang w:val="es-ES_tradnl"/>
              </w:rPr>
              <w:t>Reducción de la demanda interna por los bienes y/o servicios producidos. Incluye demanda de consumidores (familias o empresas) y del gobierno.</w:t>
            </w:r>
          </w:p>
        </w:tc>
      </w:tr>
      <w:tr w:rsidR="00C4729C" w:rsidRPr="00E83B7E" w14:paraId="13379CD2" w14:textId="77777777" w:rsidTr="00C4729C">
        <w:trPr>
          <w:trHeight w:val="1215"/>
        </w:trPr>
        <w:tc>
          <w:tcPr>
            <w:tcW w:w="498" w:type="dxa"/>
            <w:noWrap/>
            <w:textDirection w:val="btLr"/>
            <w:hideMark/>
          </w:tcPr>
          <w:p w14:paraId="6CA02AEA" w14:textId="77777777" w:rsidR="00C4729C" w:rsidRPr="00E83B7E" w:rsidRDefault="00C4729C" w:rsidP="0007292C">
            <w:pPr>
              <w:jc w:val="center"/>
              <w:rPr>
                <w:lang w:val="es-ES_tradnl"/>
              </w:rPr>
            </w:pPr>
            <w:r w:rsidRPr="00E83B7E">
              <w:rPr>
                <w:lang w:val="es-ES_tradnl"/>
              </w:rPr>
              <w:t>Demanda</w:t>
            </w:r>
          </w:p>
        </w:tc>
        <w:tc>
          <w:tcPr>
            <w:tcW w:w="498" w:type="dxa"/>
            <w:noWrap/>
            <w:textDirection w:val="btLr"/>
            <w:hideMark/>
          </w:tcPr>
          <w:p w14:paraId="579B5395" w14:textId="77777777" w:rsidR="00C4729C" w:rsidRPr="00E83B7E" w:rsidRDefault="00C4729C" w:rsidP="0007292C">
            <w:pPr>
              <w:jc w:val="center"/>
              <w:rPr>
                <w:lang w:val="es-ES_tradnl"/>
              </w:rPr>
            </w:pPr>
            <w:r w:rsidRPr="00E83B7E">
              <w:rPr>
                <w:lang w:val="es-ES_tradnl"/>
              </w:rPr>
              <w:t>De mercado</w:t>
            </w:r>
          </w:p>
        </w:tc>
        <w:tc>
          <w:tcPr>
            <w:tcW w:w="1647" w:type="dxa"/>
            <w:hideMark/>
          </w:tcPr>
          <w:p w14:paraId="7CE26FA4" w14:textId="0908323A" w:rsidR="00C4729C" w:rsidRPr="00E83B7E" w:rsidRDefault="00C4729C" w:rsidP="0007292C">
            <w:pPr>
              <w:rPr>
                <w:lang w:val="es-ES_tradnl"/>
              </w:rPr>
            </w:pPr>
            <w:r w:rsidRPr="00E83B7E">
              <w:rPr>
                <w:lang w:val="es-ES_tradnl"/>
              </w:rPr>
              <w:t>Reducción en la demanda de exportación o extranjera</w:t>
            </w:r>
          </w:p>
        </w:tc>
        <w:tc>
          <w:tcPr>
            <w:tcW w:w="6707" w:type="dxa"/>
            <w:hideMark/>
          </w:tcPr>
          <w:p w14:paraId="15E1D1BA" w14:textId="77777777" w:rsidR="00C4729C" w:rsidRPr="00E83B7E" w:rsidRDefault="00C4729C" w:rsidP="0007292C">
            <w:pPr>
              <w:rPr>
                <w:lang w:val="es-ES_tradnl"/>
              </w:rPr>
            </w:pPr>
            <w:r w:rsidRPr="00E83B7E">
              <w:rPr>
                <w:lang w:val="es-ES_tradnl"/>
              </w:rPr>
              <w:t>Reducción de la demanda externa por los bienes y/o servicios producidos. Considerar la demanda de turistas por bienes y servicios provistos dentro del país como demanda externa.</w:t>
            </w:r>
          </w:p>
        </w:tc>
      </w:tr>
      <w:tr w:rsidR="00C4729C" w:rsidRPr="00E83B7E" w14:paraId="1752AC31" w14:textId="77777777" w:rsidTr="00C4729C">
        <w:trPr>
          <w:trHeight w:val="1170"/>
        </w:trPr>
        <w:tc>
          <w:tcPr>
            <w:tcW w:w="498" w:type="dxa"/>
            <w:noWrap/>
            <w:textDirection w:val="btLr"/>
            <w:hideMark/>
          </w:tcPr>
          <w:p w14:paraId="5787EC5E" w14:textId="77777777" w:rsidR="00C4729C" w:rsidRPr="00E83B7E" w:rsidRDefault="00C4729C" w:rsidP="0007292C">
            <w:pPr>
              <w:jc w:val="center"/>
              <w:rPr>
                <w:lang w:val="es-ES_tradnl"/>
              </w:rPr>
            </w:pPr>
            <w:r w:rsidRPr="00E83B7E">
              <w:rPr>
                <w:lang w:val="es-ES_tradnl"/>
              </w:rPr>
              <w:t>Financiero</w:t>
            </w:r>
          </w:p>
        </w:tc>
        <w:tc>
          <w:tcPr>
            <w:tcW w:w="498" w:type="dxa"/>
            <w:noWrap/>
            <w:textDirection w:val="btLr"/>
            <w:hideMark/>
          </w:tcPr>
          <w:p w14:paraId="1483C850" w14:textId="77777777" w:rsidR="00C4729C" w:rsidRPr="00E83B7E" w:rsidRDefault="00C4729C" w:rsidP="0007292C">
            <w:pPr>
              <w:jc w:val="center"/>
              <w:rPr>
                <w:lang w:val="es-ES_tradnl"/>
              </w:rPr>
            </w:pPr>
            <w:r w:rsidRPr="00E83B7E">
              <w:rPr>
                <w:lang w:val="es-ES_tradnl"/>
              </w:rPr>
              <w:t>de Liquidez</w:t>
            </w:r>
          </w:p>
        </w:tc>
        <w:tc>
          <w:tcPr>
            <w:tcW w:w="1647" w:type="dxa"/>
            <w:hideMark/>
          </w:tcPr>
          <w:p w14:paraId="1EA869B3" w14:textId="77777777" w:rsidR="00C4729C" w:rsidRPr="00E83B7E" w:rsidRDefault="00C4729C" w:rsidP="0007292C">
            <w:pPr>
              <w:rPr>
                <w:lang w:val="es-ES_tradnl"/>
              </w:rPr>
            </w:pPr>
            <w:r w:rsidRPr="00E83B7E">
              <w:rPr>
                <w:lang w:val="es-ES_tradnl"/>
              </w:rPr>
              <w:t>Retraso o interrupción del ciclo de pagos</w:t>
            </w:r>
          </w:p>
        </w:tc>
        <w:tc>
          <w:tcPr>
            <w:tcW w:w="6707" w:type="dxa"/>
            <w:hideMark/>
          </w:tcPr>
          <w:p w14:paraId="3DEBBA31" w14:textId="77777777" w:rsidR="00C4729C" w:rsidRPr="00E83B7E" w:rsidRDefault="00C4729C" w:rsidP="0007292C">
            <w:pPr>
              <w:rPr>
                <w:lang w:val="es-ES_tradnl"/>
              </w:rPr>
            </w:pPr>
            <w:r w:rsidRPr="00E83B7E">
              <w:rPr>
                <w:lang w:val="es-ES_tradnl"/>
              </w:rPr>
              <w:t>Grado de retracción o demora en los pagos por ventas de bienes y servicios realizados. con relación a las condiciones usuales</w:t>
            </w:r>
          </w:p>
        </w:tc>
      </w:tr>
      <w:tr w:rsidR="00C4729C" w:rsidRPr="00E83B7E" w14:paraId="5517B61E" w14:textId="77777777" w:rsidTr="00C4729C">
        <w:trPr>
          <w:trHeight w:val="1200"/>
        </w:trPr>
        <w:tc>
          <w:tcPr>
            <w:tcW w:w="498" w:type="dxa"/>
            <w:noWrap/>
            <w:textDirection w:val="btLr"/>
            <w:hideMark/>
          </w:tcPr>
          <w:p w14:paraId="59A484BA" w14:textId="77777777" w:rsidR="00C4729C" w:rsidRPr="00E83B7E" w:rsidRDefault="00C4729C" w:rsidP="0007292C">
            <w:pPr>
              <w:jc w:val="center"/>
              <w:rPr>
                <w:lang w:val="es-ES_tradnl"/>
              </w:rPr>
            </w:pPr>
            <w:r w:rsidRPr="00E83B7E">
              <w:rPr>
                <w:lang w:val="es-ES_tradnl"/>
              </w:rPr>
              <w:t>Financiero</w:t>
            </w:r>
          </w:p>
        </w:tc>
        <w:tc>
          <w:tcPr>
            <w:tcW w:w="498" w:type="dxa"/>
            <w:noWrap/>
            <w:textDirection w:val="btLr"/>
            <w:hideMark/>
          </w:tcPr>
          <w:p w14:paraId="1784C4DD" w14:textId="77777777" w:rsidR="00C4729C" w:rsidRPr="00E83B7E" w:rsidRDefault="00C4729C" w:rsidP="0007292C">
            <w:pPr>
              <w:jc w:val="center"/>
              <w:rPr>
                <w:lang w:val="es-ES_tradnl"/>
              </w:rPr>
            </w:pPr>
            <w:r w:rsidRPr="00E83B7E">
              <w:rPr>
                <w:lang w:val="es-ES_tradnl"/>
              </w:rPr>
              <w:t>de Liquidez</w:t>
            </w:r>
          </w:p>
        </w:tc>
        <w:tc>
          <w:tcPr>
            <w:tcW w:w="1647" w:type="dxa"/>
            <w:hideMark/>
          </w:tcPr>
          <w:p w14:paraId="5B811E56" w14:textId="77777777" w:rsidR="00C4729C" w:rsidRPr="00E83B7E" w:rsidRDefault="00C4729C" w:rsidP="0007292C">
            <w:pPr>
              <w:rPr>
                <w:lang w:val="es-ES_tradnl"/>
              </w:rPr>
            </w:pPr>
            <w:r w:rsidRPr="00E83B7E">
              <w:rPr>
                <w:lang w:val="es-ES_tradnl"/>
              </w:rPr>
              <w:t>Reducción o interrupción de financiamientos de corto plazo</w:t>
            </w:r>
          </w:p>
        </w:tc>
        <w:tc>
          <w:tcPr>
            <w:tcW w:w="6707" w:type="dxa"/>
            <w:hideMark/>
          </w:tcPr>
          <w:p w14:paraId="0375B119" w14:textId="77777777" w:rsidR="00C4729C" w:rsidRPr="00E83B7E" w:rsidRDefault="00C4729C" w:rsidP="0007292C">
            <w:pPr>
              <w:rPr>
                <w:lang w:val="es-ES_tradnl"/>
              </w:rPr>
            </w:pPr>
            <w:r w:rsidRPr="00E83B7E">
              <w:rPr>
                <w:lang w:val="es-ES_tradnl"/>
              </w:rPr>
              <w:t>Reducción o interrupción de financiamientos de corto plazo (crédito de proveedores, factoreo, capital de trabajo, otros financiamientos de corto plazo (ej. tarjetas de crédito)</w:t>
            </w:r>
          </w:p>
        </w:tc>
      </w:tr>
      <w:tr w:rsidR="00C4729C" w:rsidRPr="00E83B7E" w14:paraId="74E2622D" w14:textId="77777777" w:rsidTr="00C4729C">
        <w:trPr>
          <w:trHeight w:val="1500"/>
        </w:trPr>
        <w:tc>
          <w:tcPr>
            <w:tcW w:w="498" w:type="dxa"/>
            <w:noWrap/>
            <w:textDirection w:val="btLr"/>
            <w:hideMark/>
          </w:tcPr>
          <w:p w14:paraId="09B272EB" w14:textId="77777777" w:rsidR="00C4729C" w:rsidRPr="00E83B7E" w:rsidRDefault="00C4729C" w:rsidP="0007292C">
            <w:pPr>
              <w:jc w:val="center"/>
              <w:rPr>
                <w:lang w:val="es-ES_tradnl"/>
              </w:rPr>
            </w:pPr>
            <w:r w:rsidRPr="00E83B7E">
              <w:rPr>
                <w:lang w:val="es-ES_tradnl"/>
              </w:rPr>
              <w:t>Financiero</w:t>
            </w:r>
          </w:p>
        </w:tc>
        <w:tc>
          <w:tcPr>
            <w:tcW w:w="498" w:type="dxa"/>
            <w:noWrap/>
            <w:textDirection w:val="btLr"/>
            <w:hideMark/>
          </w:tcPr>
          <w:p w14:paraId="1DEF68EE" w14:textId="77777777" w:rsidR="00C4729C" w:rsidRPr="00E83B7E" w:rsidRDefault="00C4729C" w:rsidP="0007292C">
            <w:pPr>
              <w:jc w:val="center"/>
              <w:rPr>
                <w:lang w:val="es-ES_tradnl"/>
              </w:rPr>
            </w:pPr>
            <w:r w:rsidRPr="00E83B7E">
              <w:rPr>
                <w:lang w:val="es-ES_tradnl"/>
              </w:rPr>
              <w:t>Crédito</w:t>
            </w:r>
          </w:p>
        </w:tc>
        <w:tc>
          <w:tcPr>
            <w:tcW w:w="1647" w:type="dxa"/>
            <w:hideMark/>
          </w:tcPr>
          <w:p w14:paraId="049937D9" w14:textId="1A7B8F5F" w:rsidR="00C4729C" w:rsidRPr="00E83B7E" w:rsidRDefault="00C4729C" w:rsidP="0007292C">
            <w:pPr>
              <w:rPr>
                <w:lang w:val="es-ES_tradnl"/>
              </w:rPr>
            </w:pPr>
            <w:r w:rsidRPr="00E83B7E">
              <w:rPr>
                <w:lang w:val="es-ES_tradnl"/>
              </w:rPr>
              <w:t>Reducción o interrupción de financiamiento de mediano y largo plazo</w:t>
            </w:r>
          </w:p>
        </w:tc>
        <w:tc>
          <w:tcPr>
            <w:tcW w:w="6707" w:type="dxa"/>
            <w:hideMark/>
          </w:tcPr>
          <w:p w14:paraId="05003AF4" w14:textId="77777777" w:rsidR="00C4729C" w:rsidRPr="00E83B7E" w:rsidRDefault="00C4729C" w:rsidP="0007292C">
            <w:pPr>
              <w:rPr>
                <w:lang w:val="es-ES_tradnl"/>
              </w:rPr>
            </w:pPr>
            <w:r w:rsidRPr="00E83B7E">
              <w:rPr>
                <w:lang w:val="es-ES_tradnl"/>
              </w:rPr>
              <w:t>Reducción o interrupción de financiamientos de mediano y largo plazo (incluye comercio exterior e inversión)</w:t>
            </w:r>
          </w:p>
        </w:tc>
      </w:tr>
      <w:tr w:rsidR="00C4729C" w:rsidRPr="00E83B7E" w14:paraId="7C241AEA" w14:textId="77777777" w:rsidTr="00C4729C">
        <w:trPr>
          <w:trHeight w:val="2400"/>
        </w:trPr>
        <w:tc>
          <w:tcPr>
            <w:tcW w:w="498" w:type="dxa"/>
            <w:noWrap/>
            <w:textDirection w:val="btLr"/>
            <w:hideMark/>
          </w:tcPr>
          <w:p w14:paraId="2BDD59C0" w14:textId="77777777" w:rsidR="00C4729C" w:rsidRPr="00E83B7E" w:rsidRDefault="00C4729C" w:rsidP="0007292C">
            <w:pPr>
              <w:jc w:val="center"/>
              <w:rPr>
                <w:lang w:val="es-ES_tradnl"/>
              </w:rPr>
            </w:pPr>
            <w:r w:rsidRPr="00E83B7E">
              <w:rPr>
                <w:lang w:val="es-ES_tradnl"/>
              </w:rPr>
              <w:t>Financiero</w:t>
            </w:r>
          </w:p>
        </w:tc>
        <w:tc>
          <w:tcPr>
            <w:tcW w:w="498" w:type="dxa"/>
            <w:noWrap/>
            <w:textDirection w:val="btLr"/>
            <w:hideMark/>
          </w:tcPr>
          <w:p w14:paraId="65C8E8E6" w14:textId="77777777" w:rsidR="00C4729C" w:rsidRPr="00E83B7E" w:rsidRDefault="00C4729C" w:rsidP="0007292C">
            <w:pPr>
              <w:jc w:val="center"/>
              <w:rPr>
                <w:lang w:val="es-ES_tradnl"/>
              </w:rPr>
            </w:pPr>
            <w:r w:rsidRPr="00E83B7E">
              <w:rPr>
                <w:lang w:val="es-ES_tradnl"/>
              </w:rPr>
              <w:t>Operativo</w:t>
            </w:r>
          </w:p>
        </w:tc>
        <w:tc>
          <w:tcPr>
            <w:tcW w:w="1647" w:type="dxa"/>
            <w:hideMark/>
          </w:tcPr>
          <w:p w14:paraId="679BAAB3" w14:textId="77777777" w:rsidR="00C4729C" w:rsidRPr="00E83B7E" w:rsidRDefault="00C4729C" w:rsidP="0007292C">
            <w:pPr>
              <w:rPr>
                <w:lang w:val="es-ES_tradnl"/>
              </w:rPr>
            </w:pPr>
            <w:r w:rsidRPr="00E83B7E">
              <w:rPr>
                <w:lang w:val="es-ES_tradnl"/>
              </w:rPr>
              <w:t>Aumento de los costos financieros y de intermediación (tasas de interés, comisiones, etc.)</w:t>
            </w:r>
          </w:p>
        </w:tc>
        <w:tc>
          <w:tcPr>
            <w:tcW w:w="6707" w:type="dxa"/>
            <w:hideMark/>
          </w:tcPr>
          <w:p w14:paraId="59F08B7D" w14:textId="77777777" w:rsidR="00C4729C" w:rsidRPr="00E83B7E" w:rsidRDefault="00C4729C" w:rsidP="0007292C">
            <w:pPr>
              <w:rPr>
                <w:lang w:val="es-ES_tradnl"/>
              </w:rPr>
            </w:pPr>
            <w:r w:rsidRPr="00E83B7E">
              <w:rPr>
                <w:lang w:val="es-ES_tradnl"/>
              </w:rPr>
              <w:t>Aumento de los costos financieros y de intermediación (tasas de interés, comisiones, etc.). Considerar costos de todas las fuentes (proveedores, bancarios, tarjetas de crédito, etc.)</w:t>
            </w:r>
            <w:r w:rsidRPr="00E83B7E">
              <w:rPr>
                <w:lang w:val="es-ES_tradnl"/>
              </w:rPr>
              <w:br/>
            </w:r>
            <w:r w:rsidRPr="00E83B7E">
              <w:rPr>
                <w:lang w:val="es-ES_tradnl"/>
              </w:rPr>
              <w:br/>
              <w:t>Considerar costos y tasas en términos reales (prestar atención a la inflación)</w:t>
            </w:r>
          </w:p>
        </w:tc>
      </w:tr>
      <w:tr w:rsidR="00C4729C" w:rsidRPr="00E83B7E" w14:paraId="7BFB4721" w14:textId="77777777" w:rsidTr="00C4729C">
        <w:trPr>
          <w:trHeight w:val="1500"/>
        </w:trPr>
        <w:tc>
          <w:tcPr>
            <w:tcW w:w="498" w:type="dxa"/>
            <w:noWrap/>
            <w:textDirection w:val="btLr"/>
            <w:hideMark/>
          </w:tcPr>
          <w:p w14:paraId="1029816A" w14:textId="77777777" w:rsidR="00C4729C" w:rsidRPr="00E83B7E" w:rsidRDefault="00C4729C" w:rsidP="0007292C">
            <w:pPr>
              <w:jc w:val="center"/>
              <w:rPr>
                <w:lang w:val="es-ES_tradnl"/>
              </w:rPr>
            </w:pPr>
            <w:r w:rsidRPr="00E83B7E">
              <w:rPr>
                <w:lang w:val="es-ES_tradnl"/>
              </w:rPr>
              <w:t>Patrimonial</w:t>
            </w:r>
          </w:p>
        </w:tc>
        <w:tc>
          <w:tcPr>
            <w:tcW w:w="498" w:type="dxa"/>
            <w:noWrap/>
            <w:textDirection w:val="btLr"/>
            <w:hideMark/>
          </w:tcPr>
          <w:p w14:paraId="23568378" w14:textId="77777777" w:rsidR="00C4729C" w:rsidRPr="00E83B7E" w:rsidRDefault="00C4729C" w:rsidP="0007292C">
            <w:pPr>
              <w:jc w:val="center"/>
              <w:rPr>
                <w:lang w:val="es-ES_tradnl"/>
              </w:rPr>
            </w:pPr>
            <w:r w:rsidRPr="00E83B7E">
              <w:rPr>
                <w:lang w:val="es-ES_tradnl"/>
              </w:rPr>
              <w:t>Patrimonial</w:t>
            </w:r>
          </w:p>
        </w:tc>
        <w:tc>
          <w:tcPr>
            <w:tcW w:w="1647" w:type="dxa"/>
            <w:hideMark/>
          </w:tcPr>
          <w:p w14:paraId="48FE62C4" w14:textId="77777777" w:rsidR="00C4729C" w:rsidRPr="00E83B7E" w:rsidRDefault="00C4729C" w:rsidP="0007292C">
            <w:pPr>
              <w:rPr>
                <w:lang w:val="es-ES_tradnl"/>
              </w:rPr>
            </w:pPr>
            <w:r w:rsidRPr="00E83B7E">
              <w:rPr>
                <w:lang w:val="es-ES_tradnl"/>
              </w:rPr>
              <w:t>Reducción del valor de los activos reales por retracción de la demanda</w:t>
            </w:r>
          </w:p>
        </w:tc>
        <w:tc>
          <w:tcPr>
            <w:tcW w:w="6707" w:type="dxa"/>
            <w:hideMark/>
          </w:tcPr>
          <w:p w14:paraId="621FE0AD" w14:textId="77777777" w:rsidR="00C4729C" w:rsidRPr="00E83B7E" w:rsidRDefault="00C4729C" w:rsidP="0007292C">
            <w:pPr>
              <w:rPr>
                <w:lang w:val="es-ES_tradnl"/>
              </w:rPr>
            </w:pPr>
            <w:r w:rsidRPr="00E83B7E">
              <w:rPr>
                <w:lang w:val="es-ES_tradnl"/>
              </w:rPr>
              <w:t>Reducción del valor de los activos reales por retracción de la demanda (valor edificios, terrenos, inventarios, etc.) y depreciación (ej. vencimientos de mercadería).</w:t>
            </w:r>
            <w:r w:rsidRPr="00E83B7E">
              <w:rPr>
                <w:lang w:val="es-ES_tradnl"/>
              </w:rPr>
              <w:br/>
            </w:r>
            <w:r w:rsidRPr="00E83B7E">
              <w:rPr>
                <w:lang w:val="es-ES_tradnl"/>
              </w:rPr>
              <w:br/>
              <w:t>Considerar en términos reales.</w:t>
            </w:r>
          </w:p>
        </w:tc>
      </w:tr>
      <w:tr w:rsidR="00C4729C" w:rsidRPr="00E83B7E" w14:paraId="7774CA64" w14:textId="77777777" w:rsidTr="00C4729C">
        <w:trPr>
          <w:trHeight w:val="1500"/>
        </w:trPr>
        <w:tc>
          <w:tcPr>
            <w:tcW w:w="498" w:type="dxa"/>
            <w:noWrap/>
            <w:textDirection w:val="btLr"/>
            <w:hideMark/>
          </w:tcPr>
          <w:p w14:paraId="71E4A79C" w14:textId="77777777" w:rsidR="00C4729C" w:rsidRPr="00E83B7E" w:rsidRDefault="00C4729C" w:rsidP="0007292C">
            <w:pPr>
              <w:jc w:val="center"/>
              <w:rPr>
                <w:lang w:val="es-ES_tradnl"/>
              </w:rPr>
            </w:pPr>
            <w:r w:rsidRPr="00E83B7E">
              <w:rPr>
                <w:lang w:val="es-ES_tradnl"/>
              </w:rPr>
              <w:t>Patrimonial</w:t>
            </w:r>
          </w:p>
        </w:tc>
        <w:tc>
          <w:tcPr>
            <w:tcW w:w="498" w:type="dxa"/>
            <w:noWrap/>
            <w:textDirection w:val="btLr"/>
            <w:hideMark/>
          </w:tcPr>
          <w:p w14:paraId="6BFEF7CB" w14:textId="77777777" w:rsidR="00C4729C" w:rsidRPr="00E83B7E" w:rsidRDefault="00C4729C" w:rsidP="0007292C">
            <w:pPr>
              <w:jc w:val="center"/>
              <w:rPr>
                <w:lang w:val="es-ES_tradnl"/>
              </w:rPr>
            </w:pPr>
            <w:r w:rsidRPr="00E83B7E">
              <w:rPr>
                <w:lang w:val="es-ES_tradnl"/>
              </w:rPr>
              <w:t>Operativo</w:t>
            </w:r>
          </w:p>
        </w:tc>
        <w:tc>
          <w:tcPr>
            <w:tcW w:w="1647" w:type="dxa"/>
            <w:hideMark/>
          </w:tcPr>
          <w:p w14:paraId="2F7504C8" w14:textId="77777777" w:rsidR="00C4729C" w:rsidRPr="00E83B7E" w:rsidRDefault="00C4729C" w:rsidP="0007292C">
            <w:pPr>
              <w:rPr>
                <w:lang w:val="es-ES_tradnl"/>
              </w:rPr>
            </w:pPr>
            <w:r w:rsidRPr="00E83B7E">
              <w:rPr>
                <w:lang w:val="es-ES_tradnl"/>
              </w:rPr>
              <w:t>Acumulación de pasivos (alquileres, sueldos, etc.)</w:t>
            </w:r>
          </w:p>
        </w:tc>
        <w:tc>
          <w:tcPr>
            <w:tcW w:w="6707" w:type="dxa"/>
            <w:hideMark/>
          </w:tcPr>
          <w:p w14:paraId="374544FF" w14:textId="77777777" w:rsidR="00C4729C" w:rsidRPr="00E83B7E" w:rsidRDefault="00C4729C" w:rsidP="0007292C">
            <w:pPr>
              <w:rPr>
                <w:lang w:val="es-ES_tradnl"/>
              </w:rPr>
            </w:pPr>
            <w:r w:rsidRPr="00E83B7E">
              <w:rPr>
                <w:lang w:val="es-ES_tradnl"/>
              </w:rPr>
              <w:t>Considerar principalmente el aumento de pasivos asociados a la falta de ingresos por ventas que normalmente se utilizarían, por ejemplo, pago de salarios, alquileres, obligaciones impositivas, pago de servicios (energía, comunicaciones), etc. Considerar los endeudamientos incurridos para mantener dichos pagos (ejemplo, préstamos para pago de sueldos y jornales).</w:t>
            </w:r>
          </w:p>
        </w:tc>
      </w:tr>
      <w:tr w:rsidR="00C4729C" w:rsidRPr="00E83B7E" w14:paraId="148667C4" w14:textId="77777777" w:rsidTr="00C4729C">
        <w:trPr>
          <w:trHeight w:val="2100"/>
        </w:trPr>
        <w:tc>
          <w:tcPr>
            <w:tcW w:w="498" w:type="dxa"/>
            <w:noWrap/>
            <w:textDirection w:val="btLr"/>
            <w:hideMark/>
          </w:tcPr>
          <w:p w14:paraId="568563C6" w14:textId="77777777" w:rsidR="00C4729C" w:rsidRPr="00E83B7E" w:rsidRDefault="00C4729C" w:rsidP="0007292C">
            <w:pPr>
              <w:jc w:val="center"/>
              <w:rPr>
                <w:lang w:val="es-ES_tradnl"/>
              </w:rPr>
            </w:pPr>
            <w:r w:rsidRPr="00E83B7E">
              <w:rPr>
                <w:lang w:val="es-ES_tradnl"/>
              </w:rPr>
              <w:lastRenderedPageBreak/>
              <w:t>Institucionales</w:t>
            </w:r>
          </w:p>
        </w:tc>
        <w:tc>
          <w:tcPr>
            <w:tcW w:w="498" w:type="dxa"/>
            <w:noWrap/>
            <w:textDirection w:val="btLr"/>
            <w:hideMark/>
          </w:tcPr>
          <w:p w14:paraId="56519019" w14:textId="77777777" w:rsidR="00C4729C" w:rsidRPr="00E83B7E" w:rsidRDefault="00C4729C" w:rsidP="0007292C">
            <w:pPr>
              <w:jc w:val="center"/>
              <w:rPr>
                <w:lang w:val="es-ES_tradnl"/>
              </w:rPr>
            </w:pPr>
            <w:r w:rsidRPr="00E83B7E">
              <w:rPr>
                <w:lang w:val="es-ES_tradnl"/>
              </w:rPr>
              <w:t>Sist y reg.</w:t>
            </w:r>
          </w:p>
        </w:tc>
        <w:tc>
          <w:tcPr>
            <w:tcW w:w="1647" w:type="dxa"/>
            <w:hideMark/>
          </w:tcPr>
          <w:p w14:paraId="121201E0" w14:textId="654DB5F5" w:rsidR="00C4729C" w:rsidRPr="00E83B7E" w:rsidRDefault="00C4729C" w:rsidP="0007292C">
            <w:pPr>
              <w:rPr>
                <w:lang w:val="es-ES_tradnl"/>
              </w:rPr>
            </w:pPr>
            <w:r w:rsidRPr="00E83B7E">
              <w:rPr>
                <w:lang w:val="es-ES_tradnl"/>
              </w:rPr>
              <w:t>Inestabilidad política y social</w:t>
            </w:r>
          </w:p>
        </w:tc>
        <w:tc>
          <w:tcPr>
            <w:tcW w:w="6707" w:type="dxa"/>
            <w:hideMark/>
          </w:tcPr>
          <w:p w14:paraId="57DEAC57" w14:textId="77777777" w:rsidR="00C4729C" w:rsidRPr="00E83B7E" w:rsidRDefault="00C4729C" w:rsidP="0007292C">
            <w:pPr>
              <w:rPr>
                <w:lang w:val="es-ES_tradnl"/>
              </w:rPr>
            </w:pPr>
            <w:r w:rsidRPr="00E83B7E">
              <w:rPr>
                <w:lang w:val="es-ES_tradnl"/>
              </w:rPr>
              <w:t xml:space="preserve">Impacto que la inestabilidad política y social puede tener en el giro de negocios. </w:t>
            </w:r>
            <w:r w:rsidRPr="00E83B7E">
              <w:rPr>
                <w:lang w:val="es-ES_tradnl"/>
              </w:rPr>
              <w:br/>
            </w:r>
            <w:r w:rsidRPr="00E83B7E">
              <w:rPr>
                <w:lang w:val="es-ES_tradnl"/>
              </w:rPr>
              <w:br/>
              <w:t>Considerar un escenario moderado de inestabilidad política y social (desordenes sociales localizados y contenidos; saqueos y aumento de la violencia y criminalidad localizado y contenido).</w:t>
            </w:r>
          </w:p>
        </w:tc>
      </w:tr>
      <w:tr w:rsidR="00C4729C" w:rsidRPr="00E83B7E" w14:paraId="451F8475" w14:textId="77777777" w:rsidTr="00CE223E">
        <w:trPr>
          <w:cantSplit/>
          <w:trHeight w:val="2115"/>
        </w:trPr>
        <w:tc>
          <w:tcPr>
            <w:tcW w:w="498" w:type="dxa"/>
            <w:tcBorders>
              <w:bottom w:val="single" w:sz="4" w:space="0" w:color="auto"/>
            </w:tcBorders>
            <w:noWrap/>
            <w:textDirection w:val="btLr"/>
            <w:hideMark/>
          </w:tcPr>
          <w:p w14:paraId="03477BBC" w14:textId="77777777" w:rsidR="00C4729C" w:rsidRPr="00E83B7E" w:rsidRDefault="00C4729C" w:rsidP="00CE223E">
            <w:pPr>
              <w:ind w:left="113" w:right="113"/>
              <w:jc w:val="center"/>
              <w:rPr>
                <w:lang w:val="es-ES_tradnl"/>
              </w:rPr>
            </w:pPr>
            <w:r w:rsidRPr="00E83B7E">
              <w:rPr>
                <w:lang w:val="es-ES_tradnl"/>
              </w:rPr>
              <w:t>Institucionales</w:t>
            </w:r>
          </w:p>
        </w:tc>
        <w:tc>
          <w:tcPr>
            <w:tcW w:w="498" w:type="dxa"/>
            <w:tcBorders>
              <w:bottom w:val="single" w:sz="4" w:space="0" w:color="auto"/>
            </w:tcBorders>
            <w:noWrap/>
            <w:textDirection w:val="btLr"/>
            <w:hideMark/>
          </w:tcPr>
          <w:p w14:paraId="6862913E" w14:textId="77777777" w:rsidR="00C4729C" w:rsidRPr="00E83B7E" w:rsidRDefault="00C4729C" w:rsidP="00CE223E">
            <w:pPr>
              <w:ind w:left="113" w:right="113"/>
              <w:jc w:val="center"/>
              <w:rPr>
                <w:lang w:val="es-ES_tradnl"/>
              </w:rPr>
            </w:pPr>
            <w:r w:rsidRPr="00E83B7E">
              <w:rPr>
                <w:lang w:val="es-ES_tradnl"/>
              </w:rPr>
              <w:t>Sist y reg.</w:t>
            </w:r>
          </w:p>
        </w:tc>
        <w:tc>
          <w:tcPr>
            <w:tcW w:w="1647" w:type="dxa"/>
            <w:tcBorders>
              <w:bottom w:val="single" w:sz="4" w:space="0" w:color="auto"/>
            </w:tcBorders>
            <w:hideMark/>
          </w:tcPr>
          <w:p w14:paraId="286AEF56" w14:textId="77777777" w:rsidR="00C4729C" w:rsidRPr="00E83B7E" w:rsidRDefault="00C4729C" w:rsidP="0007292C">
            <w:pPr>
              <w:rPr>
                <w:lang w:val="es-ES_tradnl"/>
              </w:rPr>
            </w:pPr>
            <w:r w:rsidRPr="00E83B7E">
              <w:rPr>
                <w:lang w:val="es-ES_tradnl"/>
              </w:rPr>
              <w:t>Incertidumbre institucional y legal</w:t>
            </w:r>
          </w:p>
        </w:tc>
        <w:tc>
          <w:tcPr>
            <w:tcW w:w="6707" w:type="dxa"/>
            <w:tcBorders>
              <w:bottom w:val="single" w:sz="4" w:space="0" w:color="auto"/>
            </w:tcBorders>
            <w:hideMark/>
          </w:tcPr>
          <w:p w14:paraId="296C91BB" w14:textId="6D718C0C" w:rsidR="00C4729C" w:rsidRPr="00E83B7E" w:rsidRDefault="00C4729C" w:rsidP="0007292C">
            <w:pPr>
              <w:rPr>
                <w:lang w:val="es-ES_tradnl"/>
              </w:rPr>
            </w:pPr>
            <w:r w:rsidRPr="00E83B7E">
              <w:rPr>
                <w:lang w:val="es-ES_tradnl"/>
              </w:rPr>
              <w:t xml:space="preserve">Impacto que la inestabilidad institucional y legal puede tener en el giro de negocios. </w:t>
            </w:r>
            <w:r w:rsidRPr="00E83B7E">
              <w:rPr>
                <w:lang w:val="es-ES_tradnl"/>
              </w:rPr>
              <w:br/>
            </w:r>
            <w:r w:rsidRPr="00E83B7E">
              <w:rPr>
                <w:lang w:val="es-ES_tradnl"/>
              </w:rPr>
              <w:br/>
              <w:t>Considerar un escenario moderado de inestabilidad institucional y legal de mantenimiento general del orden constitucional, estado de derecho y protección de la propiedad privada y derechos civiles, pero con avances sobre la propiedad privada y los contratos entre privados.</w:t>
            </w:r>
          </w:p>
        </w:tc>
      </w:tr>
      <w:tr w:rsidR="00C4729C" w:rsidRPr="00E83B7E" w14:paraId="42B382D8" w14:textId="77777777" w:rsidTr="00CE223E">
        <w:trPr>
          <w:trHeight w:val="197"/>
        </w:trPr>
        <w:tc>
          <w:tcPr>
            <w:tcW w:w="9350" w:type="dxa"/>
            <w:gridSpan w:val="4"/>
            <w:tcBorders>
              <w:top w:val="single" w:sz="4" w:space="0" w:color="auto"/>
              <w:left w:val="nil"/>
              <w:bottom w:val="nil"/>
              <w:right w:val="nil"/>
            </w:tcBorders>
            <w:noWrap/>
          </w:tcPr>
          <w:p w14:paraId="3213F53A" w14:textId="657A0839" w:rsidR="00C4729C" w:rsidRPr="00E83B7E" w:rsidRDefault="00C4729C" w:rsidP="00C4729C">
            <w:pPr>
              <w:rPr>
                <w:sz w:val="18"/>
                <w:szCs w:val="18"/>
                <w:lang w:val="es-ES_tradnl"/>
              </w:rPr>
            </w:pPr>
            <w:r w:rsidRPr="00E83B7E">
              <w:rPr>
                <w:sz w:val="18"/>
                <w:szCs w:val="18"/>
                <w:lang w:val="es-ES_tradnl"/>
              </w:rPr>
              <w:t>Fuente: IFD/CMF.</w:t>
            </w:r>
          </w:p>
        </w:tc>
      </w:tr>
    </w:tbl>
    <w:p w14:paraId="19CCDAB1" w14:textId="77777777" w:rsidR="00C42147" w:rsidRPr="00E83B7E" w:rsidRDefault="00C42147" w:rsidP="0007292C">
      <w:pPr>
        <w:jc w:val="both"/>
        <w:rPr>
          <w:b/>
          <w:bCs/>
          <w:sz w:val="24"/>
          <w:szCs w:val="24"/>
          <w:lang w:val="es-ES_tradnl"/>
        </w:rPr>
      </w:pPr>
    </w:p>
    <w:sectPr w:rsidR="00C42147" w:rsidRPr="00E83B7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A46D7B" w14:textId="77777777" w:rsidR="00CA4C20" w:rsidRDefault="00CA4C20" w:rsidP="00BF3440">
      <w:pPr>
        <w:spacing w:after="0" w:line="240" w:lineRule="auto"/>
      </w:pPr>
      <w:r>
        <w:separator/>
      </w:r>
    </w:p>
  </w:endnote>
  <w:endnote w:type="continuationSeparator" w:id="0">
    <w:p w14:paraId="24137D13" w14:textId="77777777" w:rsidR="00CA4C20" w:rsidRDefault="00CA4C20" w:rsidP="00BF3440">
      <w:pPr>
        <w:spacing w:after="0" w:line="240" w:lineRule="auto"/>
      </w:pPr>
      <w:r>
        <w:continuationSeparator/>
      </w:r>
    </w:p>
  </w:endnote>
  <w:endnote w:type="continuationNotice" w:id="1">
    <w:p w14:paraId="39390F3D" w14:textId="77777777" w:rsidR="00CA4C20" w:rsidRDefault="00CA4C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F69914" w14:textId="77777777" w:rsidR="00CA4C20" w:rsidRDefault="00CA4C20" w:rsidP="00BF3440">
      <w:pPr>
        <w:spacing w:after="0" w:line="240" w:lineRule="auto"/>
      </w:pPr>
      <w:r>
        <w:separator/>
      </w:r>
    </w:p>
  </w:footnote>
  <w:footnote w:type="continuationSeparator" w:id="0">
    <w:p w14:paraId="48DECA0E" w14:textId="77777777" w:rsidR="00CA4C20" w:rsidRDefault="00CA4C20" w:rsidP="00BF3440">
      <w:pPr>
        <w:spacing w:after="0" w:line="240" w:lineRule="auto"/>
      </w:pPr>
      <w:r>
        <w:continuationSeparator/>
      </w:r>
    </w:p>
  </w:footnote>
  <w:footnote w:type="continuationNotice" w:id="1">
    <w:p w14:paraId="11704490" w14:textId="77777777" w:rsidR="00CA4C20" w:rsidRDefault="00CA4C20">
      <w:pPr>
        <w:spacing w:after="0" w:line="240" w:lineRule="auto"/>
      </w:pPr>
    </w:p>
  </w:footnote>
  <w:footnote w:id="2">
    <w:p w14:paraId="645C92CB" w14:textId="593B90D4" w:rsidR="004C6262" w:rsidRPr="004C6262" w:rsidRDefault="004C6262">
      <w:pPr>
        <w:pStyle w:val="FootnoteText"/>
        <w:rPr>
          <w:lang w:val="es-ES"/>
        </w:rPr>
      </w:pPr>
      <w:r>
        <w:rPr>
          <w:rStyle w:val="FootnoteReference"/>
        </w:rPr>
        <w:footnoteRef/>
      </w:r>
      <w:r w:rsidRPr="004C6262">
        <w:rPr>
          <w:lang w:val="es-ES"/>
        </w:rPr>
        <w:t xml:space="preserve"> </w:t>
      </w:r>
      <w:r>
        <w:rPr>
          <w:lang w:val="es-ES"/>
        </w:rPr>
        <w:t>Correspondiente al sector manufacturero en su conjunto respecto al PIB en 2019.</w:t>
      </w:r>
    </w:p>
  </w:footnote>
  <w:footnote w:id="3">
    <w:p w14:paraId="0FB5163B" w14:textId="5C64EA52" w:rsidR="00BF3440" w:rsidRPr="0007292C" w:rsidRDefault="00BF3440">
      <w:pPr>
        <w:pStyle w:val="FootnoteText"/>
        <w:rPr>
          <w:lang w:val="es-AR"/>
        </w:rPr>
      </w:pPr>
      <w:r>
        <w:rPr>
          <w:rStyle w:val="FootnoteReference"/>
        </w:rPr>
        <w:footnoteRef/>
      </w:r>
      <w:r w:rsidRPr="0007292C">
        <w:rPr>
          <w:lang w:val="es-AR"/>
        </w:rPr>
        <w:t xml:space="preserve"> </w:t>
      </w:r>
      <w:r>
        <w:rPr>
          <w:lang w:val="es-AR"/>
        </w:rPr>
        <w:t>Una descripción detallada de estos factores se da en el Anexo I</w:t>
      </w:r>
      <w:r w:rsidR="00E56942">
        <w:rPr>
          <w:lang w:val="es-AR"/>
        </w:rPr>
        <w:t>.</w:t>
      </w:r>
    </w:p>
  </w:footnote>
  <w:footnote w:id="4">
    <w:p w14:paraId="4E678BF6" w14:textId="640E3DDF" w:rsidR="00E56942" w:rsidRPr="0007292C" w:rsidRDefault="00E56942">
      <w:pPr>
        <w:pStyle w:val="FootnoteText"/>
        <w:rPr>
          <w:lang w:val="es-AR"/>
        </w:rPr>
      </w:pPr>
      <w:r>
        <w:rPr>
          <w:rStyle w:val="FootnoteReference"/>
        </w:rPr>
        <w:footnoteRef/>
      </w:r>
      <w:r w:rsidRPr="00E97C66">
        <w:rPr>
          <w:lang w:val="es-AR"/>
        </w:rPr>
        <w:t xml:space="preserve"> </w:t>
      </w:r>
      <w:r>
        <w:rPr>
          <w:lang w:val="es-AR"/>
        </w:rPr>
        <w:t xml:space="preserve">Para mayor detalle </w:t>
      </w:r>
      <w:r w:rsidR="00A700FB">
        <w:rPr>
          <w:lang w:val="es-AR"/>
        </w:rPr>
        <w:t xml:space="preserve">analítico </w:t>
      </w:r>
      <w:r>
        <w:rPr>
          <w:lang w:val="es-AR"/>
        </w:rPr>
        <w:t>ver Anexo I.</w:t>
      </w:r>
    </w:p>
  </w:footnote>
  <w:footnote w:id="5">
    <w:p w14:paraId="32143FE8" w14:textId="2E5B66C7" w:rsidR="00A700FB" w:rsidRPr="0007292C" w:rsidRDefault="00A700FB">
      <w:pPr>
        <w:pStyle w:val="FootnoteText"/>
        <w:rPr>
          <w:lang w:val="es-AR"/>
        </w:rPr>
      </w:pPr>
      <w:r>
        <w:rPr>
          <w:rStyle w:val="FootnoteReference"/>
        </w:rPr>
        <w:footnoteRef/>
      </w:r>
      <w:r w:rsidRPr="00E97C66">
        <w:rPr>
          <w:lang w:val="es-AR"/>
        </w:rPr>
        <w:t xml:space="preserve"> </w:t>
      </w:r>
      <w:r>
        <w:rPr>
          <w:lang w:val="es-AR"/>
        </w:rPr>
        <w:t>Para mayor detalle analítico ver Anexo I.</w:t>
      </w:r>
    </w:p>
  </w:footnote>
  <w:footnote w:id="6">
    <w:p w14:paraId="45EB5A0C" w14:textId="5225BC34" w:rsidR="006F1929" w:rsidRPr="006F1929" w:rsidRDefault="006F1929">
      <w:pPr>
        <w:pStyle w:val="FootnoteText"/>
        <w:rPr>
          <w:lang w:val="es-AR"/>
        </w:rPr>
      </w:pPr>
      <w:r>
        <w:rPr>
          <w:rStyle w:val="FootnoteReference"/>
        </w:rPr>
        <w:footnoteRef/>
      </w:r>
      <w:r w:rsidRPr="0001715E">
        <w:rPr>
          <w:lang w:val="es-AR"/>
        </w:rPr>
        <w:t xml:space="preserve"> </w:t>
      </w:r>
      <w:r>
        <w:rPr>
          <w:lang w:val="es-AR"/>
        </w:rPr>
        <w:t xml:space="preserve">No se incluye al sector </w:t>
      </w:r>
      <w:r w:rsidR="0001715E">
        <w:rPr>
          <w:lang w:val="es-AR"/>
        </w:rPr>
        <w:t>de comercio minorista.</w:t>
      </w:r>
    </w:p>
  </w:footnote>
  <w:footnote w:id="7">
    <w:p w14:paraId="2336BADE" w14:textId="66305761" w:rsidR="009111B6" w:rsidRPr="009111B6" w:rsidRDefault="009111B6">
      <w:pPr>
        <w:pStyle w:val="FootnoteText"/>
        <w:rPr>
          <w:lang w:val="es-AR"/>
        </w:rPr>
      </w:pPr>
      <w:r>
        <w:rPr>
          <w:rStyle w:val="FootnoteReference"/>
        </w:rPr>
        <w:footnoteRef/>
      </w:r>
      <w:r w:rsidRPr="009111B6">
        <w:rPr>
          <w:lang w:val="es-AR"/>
        </w:rPr>
        <w:t xml:space="preserve"> </w:t>
      </w:r>
      <w:r>
        <w:rPr>
          <w:lang w:val="es-AR"/>
        </w:rPr>
        <w:t xml:space="preserve">Considera el promedio simple o aritmético. </w:t>
      </w:r>
      <w:r w:rsidR="00AB406C">
        <w:rPr>
          <w:lang w:val="es-AR"/>
        </w:rPr>
        <w:t xml:space="preserve">Como se observa en la tabla, </w:t>
      </w:r>
      <w:r w:rsidR="00182894">
        <w:rPr>
          <w:lang w:val="es-AR"/>
        </w:rPr>
        <w:t>el promedio ponderado (ya sea por PIB o por empleo) resulta similar al promedio simple.</w:t>
      </w:r>
    </w:p>
  </w:footnote>
  <w:footnote w:id="8">
    <w:p w14:paraId="4C1A3A46" w14:textId="22FBAA83" w:rsidR="00421C29" w:rsidRPr="00421C29" w:rsidRDefault="00421C29">
      <w:pPr>
        <w:pStyle w:val="FootnoteText"/>
        <w:rPr>
          <w:lang w:val="es-ES"/>
        </w:rPr>
      </w:pPr>
      <w:r>
        <w:rPr>
          <w:rStyle w:val="FootnoteReference"/>
        </w:rPr>
        <w:footnoteRef/>
      </w:r>
      <w:r w:rsidRPr="00421C29">
        <w:rPr>
          <w:lang w:val="es-ES"/>
        </w:rPr>
        <w:t xml:space="preserve"> Referida a la contribución del s</w:t>
      </w:r>
      <w:r>
        <w:rPr>
          <w:lang w:val="es-ES"/>
        </w:rPr>
        <w:t>ector manufacturero en su conjunto.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A2F7A41"/>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num w:numId="1">
    <w:abstractNumId w:val="0"/>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4"/>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147"/>
    <w:rsid w:val="000130CF"/>
    <w:rsid w:val="000153AA"/>
    <w:rsid w:val="0001715E"/>
    <w:rsid w:val="00024A68"/>
    <w:rsid w:val="00043713"/>
    <w:rsid w:val="00046679"/>
    <w:rsid w:val="00054F6D"/>
    <w:rsid w:val="00063F34"/>
    <w:rsid w:val="0007292C"/>
    <w:rsid w:val="00077DD7"/>
    <w:rsid w:val="000A2F6D"/>
    <w:rsid w:val="000A742C"/>
    <w:rsid w:val="000B0EA0"/>
    <w:rsid w:val="000B2210"/>
    <w:rsid w:val="000B35B1"/>
    <w:rsid w:val="000E23D0"/>
    <w:rsid w:val="000E6E1E"/>
    <w:rsid w:val="000F0075"/>
    <w:rsid w:val="000F3D91"/>
    <w:rsid w:val="000F59E6"/>
    <w:rsid w:val="00101F9B"/>
    <w:rsid w:val="001321AA"/>
    <w:rsid w:val="00132CB7"/>
    <w:rsid w:val="00143DE2"/>
    <w:rsid w:val="001470EC"/>
    <w:rsid w:val="001570DD"/>
    <w:rsid w:val="0017060A"/>
    <w:rsid w:val="0018115D"/>
    <w:rsid w:val="00182894"/>
    <w:rsid w:val="001953C0"/>
    <w:rsid w:val="001A2D24"/>
    <w:rsid w:val="001B58F2"/>
    <w:rsid w:val="001C6940"/>
    <w:rsid w:val="001E5AD1"/>
    <w:rsid w:val="001E6937"/>
    <w:rsid w:val="00202828"/>
    <w:rsid w:val="0020497F"/>
    <w:rsid w:val="002104C9"/>
    <w:rsid w:val="002145E1"/>
    <w:rsid w:val="002263BE"/>
    <w:rsid w:val="00231254"/>
    <w:rsid w:val="00263A04"/>
    <w:rsid w:val="00280514"/>
    <w:rsid w:val="002844AD"/>
    <w:rsid w:val="00285CD3"/>
    <w:rsid w:val="002B3175"/>
    <w:rsid w:val="002C1F33"/>
    <w:rsid w:val="002E4B4A"/>
    <w:rsid w:val="002F60E9"/>
    <w:rsid w:val="00303A21"/>
    <w:rsid w:val="003124BB"/>
    <w:rsid w:val="003202C0"/>
    <w:rsid w:val="0033629B"/>
    <w:rsid w:val="003426B4"/>
    <w:rsid w:val="003625CE"/>
    <w:rsid w:val="00364A96"/>
    <w:rsid w:val="00366688"/>
    <w:rsid w:val="003708D1"/>
    <w:rsid w:val="00376D7C"/>
    <w:rsid w:val="00380CB5"/>
    <w:rsid w:val="003845F7"/>
    <w:rsid w:val="003871AA"/>
    <w:rsid w:val="0039233C"/>
    <w:rsid w:val="003A5830"/>
    <w:rsid w:val="003A6D81"/>
    <w:rsid w:val="003B358E"/>
    <w:rsid w:val="003B4323"/>
    <w:rsid w:val="003C033C"/>
    <w:rsid w:val="003C6DCD"/>
    <w:rsid w:val="003E1812"/>
    <w:rsid w:val="003E2301"/>
    <w:rsid w:val="003E7003"/>
    <w:rsid w:val="00404E61"/>
    <w:rsid w:val="0041747A"/>
    <w:rsid w:val="00421C29"/>
    <w:rsid w:val="0043226E"/>
    <w:rsid w:val="004467EE"/>
    <w:rsid w:val="004656DB"/>
    <w:rsid w:val="004732C1"/>
    <w:rsid w:val="0048150E"/>
    <w:rsid w:val="00491164"/>
    <w:rsid w:val="004B3258"/>
    <w:rsid w:val="004B789A"/>
    <w:rsid w:val="004C6262"/>
    <w:rsid w:val="004D645F"/>
    <w:rsid w:val="004F0E70"/>
    <w:rsid w:val="004F54FB"/>
    <w:rsid w:val="0050208F"/>
    <w:rsid w:val="0050643B"/>
    <w:rsid w:val="00517203"/>
    <w:rsid w:val="00550023"/>
    <w:rsid w:val="00553C9F"/>
    <w:rsid w:val="00556998"/>
    <w:rsid w:val="00560F55"/>
    <w:rsid w:val="005617F8"/>
    <w:rsid w:val="00566663"/>
    <w:rsid w:val="00567FA8"/>
    <w:rsid w:val="0059582D"/>
    <w:rsid w:val="005C49E3"/>
    <w:rsid w:val="005C6CA8"/>
    <w:rsid w:val="005D1844"/>
    <w:rsid w:val="00611B36"/>
    <w:rsid w:val="006221D8"/>
    <w:rsid w:val="006239C6"/>
    <w:rsid w:val="006249A6"/>
    <w:rsid w:val="00636076"/>
    <w:rsid w:val="00651B7E"/>
    <w:rsid w:val="00667CD9"/>
    <w:rsid w:val="006809DE"/>
    <w:rsid w:val="00680EB8"/>
    <w:rsid w:val="00681B57"/>
    <w:rsid w:val="00681D94"/>
    <w:rsid w:val="00697AEF"/>
    <w:rsid w:val="006B79AB"/>
    <w:rsid w:val="006D0655"/>
    <w:rsid w:val="006D4EEB"/>
    <w:rsid w:val="006F1929"/>
    <w:rsid w:val="006F6A85"/>
    <w:rsid w:val="00702813"/>
    <w:rsid w:val="00710EE5"/>
    <w:rsid w:val="007216B6"/>
    <w:rsid w:val="00725F1A"/>
    <w:rsid w:val="00746F48"/>
    <w:rsid w:val="00755EA6"/>
    <w:rsid w:val="0077797C"/>
    <w:rsid w:val="00781E24"/>
    <w:rsid w:val="0078223F"/>
    <w:rsid w:val="00794557"/>
    <w:rsid w:val="007B6C0F"/>
    <w:rsid w:val="007C05F4"/>
    <w:rsid w:val="007D7E6F"/>
    <w:rsid w:val="007E4C60"/>
    <w:rsid w:val="007E7523"/>
    <w:rsid w:val="007E7BA1"/>
    <w:rsid w:val="007F33A0"/>
    <w:rsid w:val="007F55F8"/>
    <w:rsid w:val="0081327D"/>
    <w:rsid w:val="00815C71"/>
    <w:rsid w:val="00816025"/>
    <w:rsid w:val="00816670"/>
    <w:rsid w:val="00817E09"/>
    <w:rsid w:val="00825D67"/>
    <w:rsid w:val="0082722B"/>
    <w:rsid w:val="00861224"/>
    <w:rsid w:val="008614E1"/>
    <w:rsid w:val="00872C9D"/>
    <w:rsid w:val="008973CA"/>
    <w:rsid w:val="008B19F4"/>
    <w:rsid w:val="008C0398"/>
    <w:rsid w:val="008C0FCF"/>
    <w:rsid w:val="008D0AB6"/>
    <w:rsid w:val="008E02A8"/>
    <w:rsid w:val="008F3CE9"/>
    <w:rsid w:val="008F48D9"/>
    <w:rsid w:val="008F50E1"/>
    <w:rsid w:val="009111B6"/>
    <w:rsid w:val="0091146C"/>
    <w:rsid w:val="00913238"/>
    <w:rsid w:val="00933D73"/>
    <w:rsid w:val="00933DA6"/>
    <w:rsid w:val="0094371B"/>
    <w:rsid w:val="00945B21"/>
    <w:rsid w:val="00947AA8"/>
    <w:rsid w:val="00953364"/>
    <w:rsid w:val="00994BAE"/>
    <w:rsid w:val="009B6388"/>
    <w:rsid w:val="009B6E24"/>
    <w:rsid w:val="009E655F"/>
    <w:rsid w:val="00A0202B"/>
    <w:rsid w:val="00A07C6D"/>
    <w:rsid w:val="00A14F89"/>
    <w:rsid w:val="00A17353"/>
    <w:rsid w:val="00A330BA"/>
    <w:rsid w:val="00A33B4C"/>
    <w:rsid w:val="00A40BFB"/>
    <w:rsid w:val="00A4357D"/>
    <w:rsid w:val="00A460CE"/>
    <w:rsid w:val="00A55D13"/>
    <w:rsid w:val="00A5757F"/>
    <w:rsid w:val="00A60952"/>
    <w:rsid w:val="00A60EBD"/>
    <w:rsid w:val="00A700FB"/>
    <w:rsid w:val="00A81985"/>
    <w:rsid w:val="00A87C9A"/>
    <w:rsid w:val="00AA0B5F"/>
    <w:rsid w:val="00AA1A09"/>
    <w:rsid w:val="00AB05B2"/>
    <w:rsid w:val="00AB406C"/>
    <w:rsid w:val="00AC0CAA"/>
    <w:rsid w:val="00AD37D8"/>
    <w:rsid w:val="00AD7842"/>
    <w:rsid w:val="00AE17AB"/>
    <w:rsid w:val="00B31740"/>
    <w:rsid w:val="00B506B7"/>
    <w:rsid w:val="00B604EF"/>
    <w:rsid w:val="00B62285"/>
    <w:rsid w:val="00B85ED7"/>
    <w:rsid w:val="00B90260"/>
    <w:rsid w:val="00B905DF"/>
    <w:rsid w:val="00B9430F"/>
    <w:rsid w:val="00BB09E7"/>
    <w:rsid w:val="00BD6E18"/>
    <w:rsid w:val="00BE4C81"/>
    <w:rsid w:val="00BF3440"/>
    <w:rsid w:val="00C044A5"/>
    <w:rsid w:val="00C07272"/>
    <w:rsid w:val="00C07C7C"/>
    <w:rsid w:val="00C1409E"/>
    <w:rsid w:val="00C21AD8"/>
    <w:rsid w:val="00C24074"/>
    <w:rsid w:val="00C42147"/>
    <w:rsid w:val="00C42BBE"/>
    <w:rsid w:val="00C45A49"/>
    <w:rsid w:val="00C45AE8"/>
    <w:rsid w:val="00C4729C"/>
    <w:rsid w:val="00C53D5D"/>
    <w:rsid w:val="00C54B08"/>
    <w:rsid w:val="00C5740C"/>
    <w:rsid w:val="00C658C9"/>
    <w:rsid w:val="00C705C2"/>
    <w:rsid w:val="00C7727D"/>
    <w:rsid w:val="00C85F68"/>
    <w:rsid w:val="00C9667A"/>
    <w:rsid w:val="00CA4C20"/>
    <w:rsid w:val="00CA665E"/>
    <w:rsid w:val="00CC1B3A"/>
    <w:rsid w:val="00CD4B33"/>
    <w:rsid w:val="00CE223E"/>
    <w:rsid w:val="00CE3E2B"/>
    <w:rsid w:val="00D316B0"/>
    <w:rsid w:val="00D34DFA"/>
    <w:rsid w:val="00D41616"/>
    <w:rsid w:val="00D42F82"/>
    <w:rsid w:val="00D4307D"/>
    <w:rsid w:val="00D46351"/>
    <w:rsid w:val="00D66202"/>
    <w:rsid w:val="00D755A2"/>
    <w:rsid w:val="00D85674"/>
    <w:rsid w:val="00D92E9C"/>
    <w:rsid w:val="00D97C15"/>
    <w:rsid w:val="00DA3884"/>
    <w:rsid w:val="00DA5A02"/>
    <w:rsid w:val="00DC3871"/>
    <w:rsid w:val="00DE17A5"/>
    <w:rsid w:val="00DE241A"/>
    <w:rsid w:val="00DE5A58"/>
    <w:rsid w:val="00DF757D"/>
    <w:rsid w:val="00E05E9E"/>
    <w:rsid w:val="00E1357D"/>
    <w:rsid w:val="00E26F82"/>
    <w:rsid w:val="00E356BD"/>
    <w:rsid w:val="00E3628F"/>
    <w:rsid w:val="00E3658E"/>
    <w:rsid w:val="00E46B00"/>
    <w:rsid w:val="00E5067B"/>
    <w:rsid w:val="00E50C4A"/>
    <w:rsid w:val="00E5440E"/>
    <w:rsid w:val="00E54526"/>
    <w:rsid w:val="00E56942"/>
    <w:rsid w:val="00E613E4"/>
    <w:rsid w:val="00E72BE4"/>
    <w:rsid w:val="00E83B7E"/>
    <w:rsid w:val="00E97C66"/>
    <w:rsid w:val="00EA4C51"/>
    <w:rsid w:val="00EA71EF"/>
    <w:rsid w:val="00EC2E9B"/>
    <w:rsid w:val="00ED27CF"/>
    <w:rsid w:val="00ED6F69"/>
    <w:rsid w:val="00EE704E"/>
    <w:rsid w:val="00F03FC6"/>
    <w:rsid w:val="00F24416"/>
    <w:rsid w:val="00F3704F"/>
    <w:rsid w:val="00F6028B"/>
    <w:rsid w:val="00F61082"/>
    <w:rsid w:val="00F657E7"/>
    <w:rsid w:val="00F7216E"/>
    <w:rsid w:val="00F86B31"/>
    <w:rsid w:val="00F95A60"/>
    <w:rsid w:val="00FD7E3E"/>
    <w:rsid w:val="00FE18AA"/>
    <w:rsid w:val="00FE550B"/>
    <w:rsid w:val="00FF1802"/>
    <w:rsid w:val="00FF21F3"/>
    <w:rsid w:val="00FF3D6E"/>
    <w:rsid w:val="00FF4E49"/>
    <w:rsid w:val="00FF5330"/>
    <w:rsid w:val="05D548EB"/>
    <w:rsid w:val="0A291431"/>
    <w:rsid w:val="0A81EE1D"/>
    <w:rsid w:val="0B269FCD"/>
    <w:rsid w:val="0DE8370F"/>
    <w:rsid w:val="17206411"/>
    <w:rsid w:val="17251BEA"/>
    <w:rsid w:val="1B340F0C"/>
    <w:rsid w:val="27356D79"/>
    <w:rsid w:val="388D4838"/>
    <w:rsid w:val="39BE0D4D"/>
    <w:rsid w:val="3A3DE7C2"/>
    <w:rsid w:val="3C122E93"/>
    <w:rsid w:val="3E377DAC"/>
    <w:rsid w:val="40F25CF6"/>
    <w:rsid w:val="464C3263"/>
    <w:rsid w:val="46BE3271"/>
    <w:rsid w:val="47636CBB"/>
    <w:rsid w:val="49E642BF"/>
    <w:rsid w:val="4BEBFC7E"/>
    <w:rsid w:val="4C6478FC"/>
    <w:rsid w:val="4C86B6B0"/>
    <w:rsid w:val="53A60544"/>
    <w:rsid w:val="56F10468"/>
    <w:rsid w:val="5A1761A0"/>
    <w:rsid w:val="5ED60937"/>
    <w:rsid w:val="661FEBC4"/>
    <w:rsid w:val="66AB0C64"/>
    <w:rsid w:val="6A881B99"/>
    <w:rsid w:val="6B2280BB"/>
    <w:rsid w:val="6BEB82F3"/>
    <w:rsid w:val="6EADD849"/>
    <w:rsid w:val="73C9812E"/>
    <w:rsid w:val="74C6EF87"/>
    <w:rsid w:val="74DF2FA9"/>
    <w:rsid w:val="75BE55CF"/>
    <w:rsid w:val="76C1505E"/>
    <w:rsid w:val="792EC07A"/>
    <w:rsid w:val="7A9CAA33"/>
    <w:rsid w:val="7BD03FAF"/>
    <w:rsid w:val="7D4C5BEE"/>
    <w:rsid w:val="7F3A91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6549D"/>
  <w15:chartTrackingRefBased/>
  <w15:docId w15:val="{98BA54C0-07E3-49E2-8AC8-20FE0CD3E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E17AB"/>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45B21"/>
    <w:pPr>
      <w:keepNext/>
      <w:keepLines/>
      <w:numPr>
        <w:ilvl w:val="1"/>
        <w:numId w:val="1"/>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945B21"/>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945B21"/>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45B21"/>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45B21"/>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45B21"/>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45B21"/>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45B21"/>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421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2147"/>
    <w:rPr>
      <w:rFonts w:ascii="Segoe UI" w:hAnsi="Segoe UI" w:cs="Segoe UI"/>
      <w:sz w:val="18"/>
      <w:szCs w:val="18"/>
    </w:rPr>
  </w:style>
  <w:style w:type="table" w:styleId="TableGrid">
    <w:name w:val="Table Grid"/>
    <w:basedOn w:val="TableNormal"/>
    <w:uiPriority w:val="39"/>
    <w:rsid w:val="00AE17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AE17AB"/>
    <w:pPr>
      <w:spacing w:after="0" w:line="240" w:lineRule="auto"/>
    </w:pPr>
    <w:rPr>
      <w:rFonts w:eastAsiaTheme="minorEastAsia"/>
    </w:rPr>
  </w:style>
  <w:style w:type="character" w:customStyle="1" w:styleId="NoSpacingChar">
    <w:name w:val="No Spacing Char"/>
    <w:basedOn w:val="DefaultParagraphFont"/>
    <w:link w:val="NoSpacing"/>
    <w:uiPriority w:val="1"/>
    <w:rsid w:val="00AE17AB"/>
    <w:rPr>
      <w:rFonts w:eastAsiaTheme="minorEastAsia"/>
    </w:rPr>
  </w:style>
  <w:style w:type="character" w:customStyle="1" w:styleId="Heading1Char">
    <w:name w:val="Heading 1 Char"/>
    <w:basedOn w:val="DefaultParagraphFont"/>
    <w:link w:val="Heading1"/>
    <w:uiPriority w:val="9"/>
    <w:rsid w:val="00AE17A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AE17AB"/>
    <w:pPr>
      <w:outlineLvl w:val="9"/>
    </w:pPr>
  </w:style>
  <w:style w:type="paragraph" w:styleId="TOC1">
    <w:name w:val="toc 1"/>
    <w:basedOn w:val="Normal"/>
    <w:next w:val="Normal"/>
    <w:autoRedefine/>
    <w:uiPriority w:val="39"/>
    <w:unhideWhenUsed/>
    <w:rsid w:val="00AE17AB"/>
    <w:pPr>
      <w:spacing w:after="100"/>
    </w:pPr>
  </w:style>
  <w:style w:type="paragraph" w:styleId="TOC2">
    <w:name w:val="toc 2"/>
    <w:basedOn w:val="Normal"/>
    <w:next w:val="Normal"/>
    <w:autoRedefine/>
    <w:uiPriority w:val="39"/>
    <w:unhideWhenUsed/>
    <w:rsid w:val="00AE17AB"/>
    <w:pPr>
      <w:spacing w:after="100"/>
      <w:ind w:left="220"/>
    </w:pPr>
  </w:style>
  <w:style w:type="paragraph" w:styleId="TOC3">
    <w:name w:val="toc 3"/>
    <w:basedOn w:val="Normal"/>
    <w:next w:val="Normal"/>
    <w:autoRedefine/>
    <w:uiPriority w:val="39"/>
    <w:unhideWhenUsed/>
    <w:rsid w:val="00AE17AB"/>
    <w:pPr>
      <w:spacing w:after="100"/>
      <w:ind w:left="440"/>
    </w:pPr>
  </w:style>
  <w:style w:type="character" w:styleId="Hyperlink">
    <w:name w:val="Hyperlink"/>
    <w:basedOn w:val="DefaultParagraphFont"/>
    <w:uiPriority w:val="99"/>
    <w:unhideWhenUsed/>
    <w:rsid w:val="00AE17AB"/>
    <w:rPr>
      <w:color w:val="0563C1" w:themeColor="hyperlink"/>
      <w:u w:val="single"/>
    </w:rPr>
  </w:style>
  <w:style w:type="character" w:customStyle="1" w:styleId="Heading2Char">
    <w:name w:val="Heading 2 Char"/>
    <w:basedOn w:val="DefaultParagraphFont"/>
    <w:link w:val="Heading2"/>
    <w:uiPriority w:val="9"/>
    <w:rsid w:val="00945B21"/>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945B21"/>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945B21"/>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945B21"/>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945B21"/>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945B21"/>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945B2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45B21"/>
    <w:rPr>
      <w:rFonts w:asciiTheme="majorHAnsi" w:eastAsiaTheme="majorEastAsia" w:hAnsiTheme="majorHAnsi" w:cstheme="majorBidi"/>
      <w:i/>
      <w:iCs/>
      <w:color w:val="272727" w:themeColor="text1" w:themeTint="D8"/>
      <w:sz w:val="21"/>
      <w:szCs w:val="21"/>
    </w:rPr>
  </w:style>
  <w:style w:type="paragraph" w:styleId="FootnoteText">
    <w:name w:val="footnote text"/>
    <w:basedOn w:val="Normal"/>
    <w:link w:val="FootnoteTextChar"/>
    <w:uiPriority w:val="99"/>
    <w:semiHidden/>
    <w:unhideWhenUsed/>
    <w:rsid w:val="00BF344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3440"/>
    <w:rPr>
      <w:sz w:val="20"/>
      <w:szCs w:val="20"/>
    </w:rPr>
  </w:style>
  <w:style w:type="character" w:styleId="FootnoteReference">
    <w:name w:val="footnote reference"/>
    <w:basedOn w:val="DefaultParagraphFont"/>
    <w:uiPriority w:val="99"/>
    <w:semiHidden/>
    <w:unhideWhenUsed/>
    <w:rsid w:val="00BF3440"/>
    <w:rPr>
      <w:vertAlign w:val="superscript"/>
    </w:rPr>
  </w:style>
  <w:style w:type="paragraph" w:styleId="Header">
    <w:name w:val="header"/>
    <w:basedOn w:val="Normal"/>
    <w:link w:val="HeaderChar"/>
    <w:uiPriority w:val="99"/>
    <w:semiHidden/>
    <w:unhideWhenUsed/>
    <w:rsid w:val="00C42BB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42BBE"/>
  </w:style>
  <w:style w:type="paragraph" w:styleId="Footer">
    <w:name w:val="footer"/>
    <w:basedOn w:val="Normal"/>
    <w:link w:val="FooterChar"/>
    <w:uiPriority w:val="99"/>
    <w:semiHidden/>
    <w:unhideWhenUsed/>
    <w:rsid w:val="00C42BB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42BBE"/>
  </w:style>
  <w:style w:type="character" w:styleId="CommentReference">
    <w:name w:val="annotation reference"/>
    <w:basedOn w:val="DefaultParagraphFont"/>
    <w:uiPriority w:val="99"/>
    <w:semiHidden/>
    <w:unhideWhenUsed/>
    <w:rsid w:val="007E4C60"/>
    <w:rPr>
      <w:sz w:val="16"/>
      <w:szCs w:val="16"/>
    </w:rPr>
  </w:style>
  <w:style w:type="paragraph" w:styleId="CommentText">
    <w:name w:val="annotation text"/>
    <w:basedOn w:val="Normal"/>
    <w:link w:val="CommentTextChar"/>
    <w:uiPriority w:val="99"/>
    <w:semiHidden/>
    <w:unhideWhenUsed/>
    <w:rsid w:val="007E4C60"/>
    <w:pPr>
      <w:spacing w:line="240" w:lineRule="auto"/>
    </w:pPr>
    <w:rPr>
      <w:sz w:val="20"/>
      <w:szCs w:val="20"/>
    </w:rPr>
  </w:style>
  <w:style w:type="character" w:customStyle="1" w:styleId="CommentTextChar">
    <w:name w:val="Comment Text Char"/>
    <w:basedOn w:val="DefaultParagraphFont"/>
    <w:link w:val="CommentText"/>
    <w:uiPriority w:val="99"/>
    <w:semiHidden/>
    <w:rsid w:val="007E4C60"/>
    <w:rPr>
      <w:sz w:val="20"/>
      <w:szCs w:val="20"/>
    </w:rPr>
  </w:style>
  <w:style w:type="paragraph" w:styleId="CommentSubject">
    <w:name w:val="annotation subject"/>
    <w:basedOn w:val="CommentText"/>
    <w:next w:val="CommentText"/>
    <w:link w:val="CommentSubjectChar"/>
    <w:uiPriority w:val="99"/>
    <w:semiHidden/>
    <w:unhideWhenUsed/>
    <w:rsid w:val="007E4C60"/>
    <w:rPr>
      <w:b/>
      <w:bCs/>
    </w:rPr>
  </w:style>
  <w:style w:type="character" w:customStyle="1" w:styleId="CommentSubjectChar">
    <w:name w:val="Comment Subject Char"/>
    <w:basedOn w:val="CommentTextChar"/>
    <w:link w:val="CommentSubject"/>
    <w:uiPriority w:val="99"/>
    <w:semiHidden/>
    <w:rsid w:val="007E4C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658117">
      <w:bodyDiv w:val="1"/>
      <w:marLeft w:val="0"/>
      <w:marRight w:val="0"/>
      <w:marTop w:val="0"/>
      <w:marBottom w:val="0"/>
      <w:divBdr>
        <w:top w:val="none" w:sz="0" w:space="0" w:color="auto"/>
        <w:left w:val="none" w:sz="0" w:space="0" w:color="auto"/>
        <w:bottom w:val="none" w:sz="0" w:space="0" w:color="auto"/>
        <w:right w:val="none" w:sz="0" w:space="0" w:color="auto"/>
      </w:divBdr>
    </w:div>
    <w:div w:id="1443455184">
      <w:bodyDiv w:val="1"/>
      <w:marLeft w:val="0"/>
      <w:marRight w:val="0"/>
      <w:marTop w:val="0"/>
      <w:marBottom w:val="0"/>
      <w:divBdr>
        <w:top w:val="none" w:sz="0" w:space="0" w:color="auto"/>
        <w:left w:val="none" w:sz="0" w:space="0" w:color="auto"/>
        <w:bottom w:val="none" w:sz="0" w:space="0" w:color="auto"/>
        <w:right w:val="none" w:sz="0" w:space="0" w:color="auto"/>
      </w:divBdr>
    </w:div>
    <w:div w:id="1558128332">
      <w:bodyDiv w:val="1"/>
      <w:marLeft w:val="0"/>
      <w:marRight w:val="0"/>
      <w:marTop w:val="0"/>
      <w:marBottom w:val="0"/>
      <w:divBdr>
        <w:top w:val="none" w:sz="0" w:space="0" w:color="auto"/>
        <w:left w:val="none" w:sz="0" w:space="0" w:color="auto"/>
        <w:bottom w:val="none" w:sz="0" w:space="0" w:color="auto"/>
        <w:right w:val="none" w:sz="0" w:space="0" w:color="auto"/>
      </w:divBdr>
    </w:div>
    <w:div w:id="1689982660">
      <w:bodyDiv w:val="1"/>
      <w:marLeft w:val="0"/>
      <w:marRight w:val="0"/>
      <w:marTop w:val="0"/>
      <w:marBottom w:val="0"/>
      <w:divBdr>
        <w:top w:val="none" w:sz="0" w:space="0" w:color="auto"/>
        <w:left w:val="none" w:sz="0" w:space="0" w:color="auto"/>
        <w:bottom w:val="none" w:sz="0" w:space="0" w:color="auto"/>
        <w:right w:val="none" w:sz="0" w:space="0" w:color="auto"/>
      </w:divBdr>
    </w:div>
    <w:div w:id="1722512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emf"/><Relationship Id="rId18"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ustomXml" Target="../customXml/item2.xml"/><Relationship Id="rId16" Type="http://schemas.openxmlformats.org/officeDocument/2006/relationships/customXml" Target="../customXml/item1.xml"/><Relationship Id="rId11"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4E34C02EA580F4EA7037FB369790BBE" ma:contentTypeVersion="0" ma:contentTypeDescription="A content type to manage public (operations) IDB documents" ma:contentTypeScope="" ma:versionID="97ad1dc7501cbaeb602ecc796278c76c">
  <xsd:schema xmlns:xsd="http://www.w3.org/2001/XMLSchema" xmlns:xs="http://www.w3.org/2001/XMLSchema" xmlns:p="http://schemas.microsoft.com/office/2006/metadata/properties" xmlns:ns2="cdc7663a-08f0-4737-9e8c-148ce897a09c" targetNamespace="http://schemas.microsoft.com/office/2006/metadata/properties" ma:root="true" ma:fieldsID="88175d51e1797af223cc37070fea672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IFD/CMF</Division_x0020_or_x0020_Unit>
    <_dlc_DocId xmlns="cdc7663a-08f0-4737-9e8c-148ce897a09c">EZSHARE-1136483988-5</_dlc_DocId>
    <Document_x0020_Author xmlns="cdc7663a-08f0-4737-9e8c-148ce897a09c">Bernedo Cecilia</Document_x0020_Author>
    <TaxCatchAll xmlns="cdc7663a-08f0-4737-9e8c-148ce897a09c">
      <Value>268</Value>
      <Value>32</Value>
      <Value>108</Value>
      <Value>30</Value>
      <Value>1</Value>
    </TaxCatchAll>
    <Fiscal_x0020_Year_x0020_IDB xmlns="cdc7663a-08f0-4737-9e8c-148ce897a09c">2020</Fiscal_x0020_Year_x0020_IDB>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Operation_x0020_Type xmlns="cdc7663a-08f0-4737-9e8c-148ce897a09c">LON</Operation_x0020_Type>
    <b26cdb1da78c4bb4b1c1bac2f6ac5911 xmlns="cdc7663a-08f0-4737-9e8c-148ce897a09c">
      <Terms xmlns="http://schemas.microsoft.com/office/infopath/2007/PartnerControls"/>
    </b26cdb1da78c4bb4b1c1bac2f6ac5911>
    <Project_x0020_Number xmlns="cdc7663a-08f0-4737-9e8c-148ce897a09c">EC-L1269</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 - Simultaneous Disclosure</Access_x0020_to_x0020_Information_x00a0_Policy>
    <Identifier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BANKING MARKET DEVELOPMENT</TermName>
          <TermId xmlns="http://schemas.microsoft.com/office/infopath/2007/PartnerControls">5f08329b-f2bb-4342-ba75-eb4216b403d4</TermId>
        </TermInfo>
      </Terms>
    </b2ec7cfb18674cb8803df6b262e8b107>
    <Document_x0020_Language_x0020_IDB xmlns="cdc7663a-08f0-4737-9e8c-148ce897a09c">English</Document_x0020_Language_x0020_IDB>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_dlc_DocIdUrl xmlns="cdc7663a-08f0-4737-9e8c-148ce897a09c">
      <Url>https://idbg.sharepoint.com/teams/EZ-EC-LON/EC-L1269/_layouts/15/DocIdRedir.aspx?ID=EZSHARE-1136483988-5</Url>
      <Description>EZSHARE-1136483988-5</Description>
    </_dlc_DocIdUrl>
    <Phase xmlns="cdc7663a-08f0-4737-9e8c-148ce897a09c">ACTIVE</Phase>
    <Other_x0020_Author xmlns="cdc7663a-08f0-4737-9e8c-148ce897a09c" xsi:nil="true"/>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E68B6F4D-0566-4FCD-93DB-7429253637F8}"/>
</file>

<file path=customXml/itemProps2.xml><?xml version="1.0" encoding="utf-8"?>
<ds:datastoreItem xmlns:ds="http://schemas.openxmlformats.org/officeDocument/2006/customXml" ds:itemID="{77BFED69-9AEF-47D4-8F60-0D873F587F4E}"/>
</file>

<file path=customXml/itemProps3.xml><?xml version="1.0" encoding="utf-8"?>
<ds:datastoreItem xmlns:ds="http://schemas.openxmlformats.org/officeDocument/2006/customXml" ds:itemID="{5B6D3689-804E-45CB-B744-6C27E2C7C151}"/>
</file>

<file path=customXml/itemProps4.xml><?xml version="1.0" encoding="utf-8"?>
<ds:datastoreItem xmlns:ds="http://schemas.openxmlformats.org/officeDocument/2006/customXml" ds:itemID="{7F73442F-5986-4318-BED4-810FE97AC837}"/>
</file>

<file path=customXml/itemProps5.xml><?xml version="1.0" encoding="utf-8"?>
<ds:datastoreItem xmlns:ds="http://schemas.openxmlformats.org/officeDocument/2006/customXml" ds:itemID="{9D4FBE4B-9707-4B40-A9CC-FBEB736B4CF3}"/>
</file>

<file path=customXml/itemProps6.xml><?xml version="1.0" encoding="utf-8"?>
<ds:datastoreItem xmlns:ds="http://schemas.openxmlformats.org/officeDocument/2006/customXml" ds:itemID="{3B3D2744-264B-429E-B7F1-8345ED620D13}"/>
</file>

<file path=docProps/app.xml><?xml version="1.0" encoding="utf-8"?>
<Properties xmlns="http://schemas.openxmlformats.org/officeDocument/2006/extended-properties" xmlns:vt="http://schemas.openxmlformats.org/officeDocument/2006/docPropsVTypes">
  <Template>Normal</Template>
  <TotalTime>2</TotalTime>
  <Pages>14</Pages>
  <Words>3666</Words>
  <Characters>20897</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Carmen Fernández díez (IFD/CMF), Alejandro TÁmola (IFD/CMF), Alexander vasa (IFD/CMF), Jean Paul Armijos (INE/TSP), Marisol INURRITEGUI (CSD/RND), Adela Moreda (CSD/RND) y Jorge Luis Pantoja (INT/TIN)</dc:creator>
  <cp:keywords/>
  <dc:description/>
  <cp:lastModifiedBy>Bernedo, Cecilia</cp:lastModifiedBy>
  <cp:revision>2</cp:revision>
  <dcterms:created xsi:type="dcterms:W3CDTF">2020-04-10T11:24:00Z</dcterms:created>
  <dcterms:modified xsi:type="dcterms:W3CDTF">2020-04-10T11:24:00Z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268;#BANKING MARKET DEVELOPMENT|5f08329b-f2bb-4342-ba75-eb4216b403d4</vt:lpwstr>
  </property>
  <property fmtid="{D5CDD505-2E9C-101B-9397-08002B2CF9AE}" pid="7" name="Country">
    <vt:lpwstr>32;#Ecuador|8f163189-00fa-4e7c-827d-28fb5798781c</vt:lpwstr>
  </property>
  <property fmtid="{D5CDD505-2E9C-101B-9397-08002B2CF9AE}" pid="8" name="_dlc_DocIdItemGuid">
    <vt:lpwstr>fd0f7b20-7dfb-4218-97ab-e389590eeee1</vt:lpwstr>
  </property>
  <property fmtid="{D5CDD505-2E9C-101B-9397-08002B2CF9AE}" pid="9" name="Fund IDB">
    <vt:lpwstr>30;#ORC|c028a4b2-ad8b-4cf4-9cac-a2ae6a778e23</vt:lpwstr>
  </property>
  <property fmtid="{D5CDD505-2E9C-101B-9397-08002B2CF9AE}" pid="10" name="Sector IDB">
    <vt:lpwstr>108;#FINANCIAL MARKETS|75500f29-2419-473a-bcd8-84901ddc2aa7</vt:lpwstr>
  </property>
  <property fmtid="{D5CDD505-2E9C-101B-9397-08002B2CF9AE}" pid="11" name="Function Operations IDB">
    <vt:lpwstr>1;#Project Preparation, Planning and Design|29ca0c72-1fc4-435f-a09c-28585cb5eac9</vt:lpwstr>
  </property>
  <property fmtid="{D5CDD505-2E9C-101B-9397-08002B2CF9AE}" pid="13" name="Disclosure Activity">
    <vt:lpwstr>Loan Proposal</vt:lpwstr>
  </property>
  <property fmtid="{D5CDD505-2E9C-101B-9397-08002B2CF9AE}" pid="14" name="ContentTypeId">
    <vt:lpwstr>0x0101001A458A224826124E8B45B1D613300CFC00D4E34C02EA580F4EA7037FB369790BBE</vt:lpwstr>
  </property>
</Properties>
</file>