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6" w:rsidRPr="008E725E" w:rsidRDefault="002730FC" w:rsidP="008E725E">
      <w:pPr>
        <w:pStyle w:val="Paragraph"/>
        <w:numPr>
          <w:ilvl w:val="0"/>
          <w:numId w:val="0"/>
        </w:numPr>
        <w:spacing w:before="0"/>
        <w:ind w:left="2016" w:hanging="2826"/>
        <w:jc w:val="center"/>
        <w:rPr>
          <w:b/>
          <w:smallCaps/>
          <w:sz w:val="28"/>
          <w:szCs w:val="24"/>
          <w:lang w:val="fr-FR"/>
        </w:rPr>
      </w:pPr>
      <w:r w:rsidRPr="008E725E">
        <w:rPr>
          <w:b/>
          <w:smallCaps/>
          <w:sz w:val="28"/>
          <w:szCs w:val="24"/>
          <w:lang w:val="fr-FR"/>
        </w:rPr>
        <w:t>Procurement Plan</w:t>
      </w:r>
    </w:p>
    <w:tbl>
      <w:tblPr>
        <w:tblW w:w="13113" w:type="dxa"/>
        <w:jc w:val="center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309"/>
        <w:gridCol w:w="742"/>
        <w:gridCol w:w="900"/>
        <w:gridCol w:w="810"/>
        <w:gridCol w:w="810"/>
        <w:gridCol w:w="1080"/>
        <w:gridCol w:w="1440"/>
        <w:gridCol w:w="1260"/>
        <w:gridCol w:w="1080"/>
        <w:gridCol w:w="1314"/>
      </w:tblGrid>
      <w:tr w:rsidR="009F66BE" w:rsidRPr="00161516" w:rsidTr="00161516">
        <w:trPr>
          <w:cantSplit/>
          <w:trHeight w:val="422"/>
          <w:tblHeader/>
          <w:jc w:val="center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161516" w:rsidRDefault="00710952" w:rsidP="00161516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No.</w:t>
            </w:r>
            <w:r w:rsidRPr="00161516">
              <w:rPr>
                <w:rStyle w:val="FootnoteReference"/>
                <w:b/>
                <w:bCs/>
                <w:sz w:val="20"/>
              </w:rPr>
              <w:footnoteReference w:id="1"/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Description of the contract and estimated cost of procurement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Procurement method</w:t>
            </w:r>
            <w:r w:rsidRPr="00161516">
              <w:rPr>
                <w:rStyle w:val="FootnoteReference"/>
                <w:b/>
                <w:bCs/>
                <w:sz w:val="20"/>
              </w:rPr>
              <w:footnoteReference w:id="2"/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Review (prior or post)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Source of financingand percentage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Pre</w:t>
            </w:r>
            <w:r w:rsidR="00E652EF" w:rsidRPr="00161516">
              <w:rPr>
                <w:b/>
                <w:bCs/>
                <w:sz w:val="20"/>
              </w:rPr>
              <w:t>-</w:t>
            </w:r>
            <w:r w:rsidRPr="00161516">
              <w:rPr>
                <w:b/>
                <w:bCs/>
                <w:sz w:val="20"/>
              </w:rPr>
              <w:t>qualification</w:t>
            </w:r>
            <w:r w:rsidR="009F66BE" w:rsidRPr="00161516">
              <w:rPr>
                <w:b/>
                <w:bCs/>
                <w:sz w:val="20"/>
              </w:rPr>
              <w:t xml:space="preserve"> </w:t>
            </w:r>
            <w:r w:rsidRPr="00161516">
              <w:rPr>
                <w:b/>
                <w:bCs/>
                <w:sz w:val="20"/>
              </w:rPr>
              <w:t>(Yes/No)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Estimated dates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Status (pending, in process, awarded, cancelled)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Comments</w:t>
            </w:r>
          </w:p>
        </w:tc>
      </w:tr>
      <w:tr w:rsidR="009F66BE" w:rsidRPr="00161516" w:rsidTr="00161516">
        <w:trPr>
          <w:cantSplit/>
          <w:trHeight w:val="890"/>
          <w:tblHeader/>
          <w:jc w:val="center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IDB%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Local/</w:t>
            </w:r>
            <w:r w:rsidR="00B42E4D" w:rsidRPr="00161516">
              <w:rPr>
                <w:b/>
                <w:bCs/>
                <w:sz w:val="20"/>
              </w:rPr>
              <w:t xml:space="preserve"> </w:t>
            </w:r>
            <w:r w:rsidRPr="00161516">
              <w:rPr>
                <w:b/>
                <w:bCs/>
                <w:sz w:val="20"/>
              </w:rPr>
              <w:t>other</w:t>
            </w:r>
            <w:r w:rsidR="00B42E4D" w:rsidRPr="00161516">
              <w:rPr>
                <w:b/>
                <w:bCs/>
                <w:sz w:val="20"/>
              </w:rPr>
              <w:t xml:space="preserve"> </w:t>
            </w:r>
            <w:r w:rsidRPr="00161516">
              <w:rPr>
                <w:b/>
                <w:bCs/>
                <w:sz w:val="20"/>
              </w:rPr>
              <w:t>%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Publication of specific procurement notice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Completion of contract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F66BE" w:rsidRPr="00161516" w:rsidTr="00161516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161516" w:rsidRDefault="004034C3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74" w:rsidRPr="00161516" w:rsidRDefault="00141CB0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Climate c</w:t>
            </w:r>
            <w:r w:rsidR="00FF5F74" w:rsidRPr="00161516">
              <w:rPr>
                <w:bCs/>
                <w:sz w:val="20"/>
                <w:lang w:val="en-US"/>
              </w:rPr>
              <w:t xml:space="preserve">hange and </w:t>
            </w:r>
            <w:r w:rsidRPr="00161516">
              <w:rPr>
                <w:bCs/>
                <w:sz w:val="20"/>
                <w:lang w:val="en-US"/>
              </w:rPr>
              <w:t>urban development s</w:t>
            </w:r>
            <w:r w:rsidR="00FF5F74" w:rsidRPr="00161516">
              <w:rPr>
                <w:bCs/>
                <w:sz w:val="20"/>
                <w:lang w:val="en-US"/>
              </w:rPr>
              <w:t xml:space="preserve">tudies </w:t>
            </w:r>
          </w:p>
          <w:p w:rsidR="0087123A" w:rsidRPr="00161516" w:rsidRDefault="000C6394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Estimated cost: $2</w:t>
            </w:r>
            <w:r w:rsidR="006219BE" w:rsidRPr="00161516">
              <w:rPr>
                <w:bCs/>
                <w:sz w:val="20"/>
                <w:lang w:val="en-US"/>
              </w:rPr>
              <w:t>6</w:t>
            </w:r>
            <w:r w:rsidR="00DD0ACD" w:rsidRPr="00161516">
              <w:rPr>
                <w:bCs/>
                <w:sz w:val="20"/>
                <w:lang w:val="en-US"/>
              </w:rPr>
              <w:t>0,000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4034C3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161516" w:rsidRDefault="00DD0ACD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 Quarter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161516" w:rsidRDefault="004034C3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</w:t>
            </w:r>
            <w:r w:rsidR="00DD0ACD" w:rsidRPr="00161516">
              <w:rPr>
                <w:sz w:val="20"/>
                <w:lang w:val="en-US"/>
              </w:rPr>
              <w:t xml:space="preserve">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161516" w:rsidRDefault="00DD0ACD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In process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161516" w:rsidRDefault="009C3F28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Component 1</w:t>
            </w:r>
          </w:p>
        </w:tc>
      </w:tr>
      <w:tr w:rsidR="009F66BE" w:rsidRPr="00161516" w:rsidTr="00161516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690CF7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FF5F74" w:rsidP="00161516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 xml:space="preserve">Rapid </w:t>
            </w:r>
            <w:r w:rsidR="00141CB0" w:rsidRPr="00161516">
              <w:rPr>
                <w:bCs/>
                <w:sz w:val="20"/>
                <w:lang w:val="en-US"/>
              </w:rPr>
              <w:t>e</w:t>
            </w:r>
            <w:r w:rsidRPr="00161516">
              <w:rPr>
                <w:bCs/>
                <w:sz w:val="20"/>
                <w:lang w:val="en-US"/>
              </w:rPr>
              <w:t xml:space="preserve">valuation of the </w:t>
            </w:r>
            <w:r w:rsidR="00141CB0" w:rsidRPr="00161516">
              <w:rPr>
                <w:bCs/>
                <w:sz w:val="20"/>
                <w:lang w:val="en-US"/>
              </w:rPr>
              <w:t>fiscal and f</w:t>
            </w:r>
            <w:r w:rsidRPr="00161516">
              <w:rPr>
                <w:bCs/>
                <w:sz w:val="20"/>
                <w:lang w:val="en-US"/>
              </w:rPr>
              <w:t xml:space="preserve">inancial </w:t>
            </w:r>
            <w:r w:rsidR="00141CB0" w:rsidRPr="00161516">
              <w:rPr>
                <w:bCs/>
                <w:sz w:val="20"/>
                <w:lang w:val="en-US"/>
              </w:rPr>
              <w:t>c</w:t>
            </w:r>
            <w:r w:rsidRPr="00161516">
              <w:rPr>
                <w:bCs/>
                <w:sz w:val="20"/>
                <w:lang w:val="en-US"/>
              </w:rPr>
              <w:t xml:space="preserve">apacity of Bridgetown </w:t>
            </w:r>
            <w:r w:rsidR="00690CF7" w:rsidRPr="00161516">
              <w:rPr>
                <w:bCs/>
                <w:sz w:val="20"/>
                <w:lang w:val="en-US"/>
              </w:rPr>
              <w:t>Estimated cost: $10,000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690CF7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690CF7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IV Quarter 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690CF7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690CF7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Component 1</w:t>
            </w:r>
          </w:p>
        </w:tc>
      </w:tr>
      <w:tr w:rsidR="009F66BE" w:rsidRPr="00161516" w:rsidTr="00161516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16" w:rsidRDefault="00C1553F" w:rsidP="00161516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 xml:space="preserve">Support to the implementation of the ESCI methodology in Bridgetown: individual local consultant </w:t>
            </w:r>
          </w:p>
          <w:p w:rsidR="00C1553F" w:rsidRPr="00161516" w:rsidRDefault="00C1553F" w:rsidP="00161516">
            <w:pPr>
              <w:spacing w:before="20" w:after="20"/>
              <w:rPr>
                <w:bCs/>
                <w:sz w:val="20"/>
                <w:lang w:val="en-US"/>
              </w:rPr>
            </w:pPr>
            <w:bookmarkStart w:id="0" w:name="_GoBack"/>
            <w:bookmarkEnd w:id="0"/>
            <w:r w:rsidRPr="00161516">
              <w:rPr>
                <w:bCs/>
                <w:sz w:val="20"/>
                <w:lang w:val="en-US"/>
              </w:rPr>
              <w:t>Estimated cost: $55,000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NICQ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Component 1</w:t>
            </w:r>
          </w:p>
        </w:tc>
      </w:tr>
      <w:tr w:rsidR="009F66BE" w:rsidRPr="00161516" w:rsidTr="00161516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 xml:space="preserve">Administration and analysis of a public opinion survey in the Greater Bridgetown Area </w:t>
            </w:r>
          </w:p>
          <w:p w:rsidR="00C1553F" w:rsidRPr="00161516" w:rsidRDefault="00C1553F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Estimated cost: $25,000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IV Quarter 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Component 1</w:t>
            </w:r>
          </w:p>
        </w:tc>
      </w:tr>
      <w:tr w:rsidR="009F66BE" w:rsidRPr="00161516" w:rsidTr="00161516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lastRenderedPageBreak/>
              <w:t>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Pre</w:t>
            </w:r>
            <w:r w:rsidR="00883BF1" w:rsidRPr="00161516">
              <w:rPr>
                <w:bCs/>
                <w:sz w:val="20"/>
                <w:lang w:val="en-US"/>
              </w:rPr>
              <w:t>-</w:t>
            </w:r>
            <w:r w:rsidRPr="00161516">
              <w:rPr>
                <w:bCs/>
                <w:sz w:val="20"/>
                <w:lang w:val="en-US"/>
              </w:rPr>
              <w:t xml:space="preserve">investment studies </w:t>
            </w:r>
            <w:r w:rsidR="00883BF1" w:rsidRPr="00161516">
              <w:rPr>
                <w:bCs/>
                <w:sz w:val="20"/>
                <w:lang w:val="en-US"/>
              </w:rPr>
              <w:t xml:space="preserve">for prioritized interventions </w:t>
            </w:r>
          </w:p>
          <w:p w:rsidR="00C1553F" w:rsidRPr="00161516" w:rsidRDefault="00C1553F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Estimated cost: $550,000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QCBS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Component 2</w:t>
            </w:r>
            <w:r w:rsidR="006A063D" w:rsidRPr="00161516">
              <w:rPr>
                <w:sz w:val="20"/>
                <w:lang w:val="en-US"/>
              </w:rPr>
              <w:t xml:space="preserve"> Specific studies to be determined by action plan</w:t>
            </w:r>
          </w:p>
        </w:tc>
      </w:tr>
      <w:tr w:rsidR="009F66BE" w:rsidRPr="00161516" w:rsidTr="00161516">
        <w:trPr>
          <w:cantSplit/>
          <w:trHeight w:val="467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7B7363" w:rsidP="008E725E">
            <w:pPr>
              <w:spacing w:before="20" w:after="20"/>
              <w:rPr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Establishment of a monitoring system for the Greater Bridgetown Area</w:t>
            </w:r>
          </w:p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Cs/>
                <w:sz w:val="20"/>
                <w:lang w:val="en-US"/>
              </w:rPr>
              <w:t>Estimated cost: $100,000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IICQ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 Quarter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 Quarter 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Component 3</w:t>
            </w:r>
          </w:p>
        </w:tc>
      </w:tr>
    </w:tbl>
    <w:p w:rsidR="00710952" w:rsidRPr="00C2703B" w:rsidRDefault="00710952" w:rsidP="004A17B6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b/>
          <w:smallCaps/>
          <w:szCs w:val="24"/>
          <w:lang w:val="en-US"/>
        </w:rPr>
      </w:pPr>
    </w:p>
    <w:sectPr w:rsidR="00710952" w:rsidRPr="00C2703B" w:rsidSect="008E725E">
      <w:headerReference w:type="default" r:id="rId9"/>
      <w:footerReference w:type="even" r:id="rId10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A7" w:rsidRDefault="008006A7">
      <w:r>
        <w:separator/>
      </w:r>
    </w:p>
  </w:endnote>
  <w:endnote w:type="continuationSeparator" w:id="0">
    <w:p w:rsidR="008006A7" w:rsidRDefault="0080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F4" w:rsidRDefault="006156F4" w:rsidP="006156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156F4" w:rsidRDefault="006156F4" w:rsidP="006156F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A7" w:rsidRDefault="008006A7">
      <w:r>
        <w:separator/>
      </w:r>
    </w:p>
  </w:footnote>
  <w:footnote w:type="continuationSeparator" w:id="0">
    <w:p w:rsidR="008006A7" w:rsidRDefault="008006A7">
      <w:r>
        <w:continuationSeparator/>
      </w:r>
    </w:p>
  </w:footnote>
  <w:footnote w:id="1">
    <w:p w:rsidR="00710952" w:rsidRPr="008E725E" w:rsidRDefault="00710952" w:rsidP="008E725E">
      <w:pPr>
        <w:pStyle w:val="FootnoteText"/>
        <w:ind w:left="357" w:hanging="357"/>
        <w:jc w:val="both"/>
        <w:rPr>
          <w:lang w:val="en-US"/>
        </w:rPr>
      </w:pPr>
      <w:r w:rsidRPr="009F66BE">
        <w:rPr>
          <w:rStyle w:val="FootnoteReference"/>
        </w:rPr>
        <w:footnoteRef/>
      </w:r>
      <w:r w:rsidRPr="008E725E">
        <w:rPr>
          <w:lang w:val="en-US"/>
        </w:rPr>
        <w:t xml:space="preserve"> </w:t>
      </w:r>
      <w:r w:rsidRPr="008E725E">
        <w:rPr>
          <w:lang w:val="en-US"/>
        </w:rPr>
        <w:tab/>
        <w:t>If there are a number of similar individual contracts to be executed in different places or at different times, these can be grouped together under a single heading, with an explanation in the comments column indicating the average individual amount and the period during which the contracts would be executed. For example: an education project that includes school construction might include an item “school construction”, for a total value of US$20 million, and an explanation in the comments column such as: “This encompasses some 200 contracts for school construction averaging US$100,000 each to be awarded individually by the participating municipal governments over a three-year period between January 2006 and December 2008.”</w:t>
      </w:r>
    </w:p>
  </w:footnote>
  <w:footnote w:id="2">
    <w:p w:rsidR="00710952" w:rsidRPr="008E725E" w:rsidRDefault="00710952" w:rsidP="008E725E">
      <w:pPr>
        <w:autoSpaceDE w:val="0"/>
        <w:autoSpaceDN w:val="0"/>
        <w:adjustRightInd w:val="0"/>
        <w:ind w:left="360" w:hanging="360"/>
        <w:rPr>
          <w:sz w:val="20"/>
          <w:lang w:val="en-US"/>
        </w:rPr>
      </w:pPr>
      <w:r w:rsidRPr="008E725E">
        <w:rPr>
          <w:rStyle w:val="FootnoteReference"/>
          <w:sz w:val="20"/>
        </w:rPr>
        <w:footnoteRef/>
      </w:r>
      <w:r w:rsidR="00631864" w:rsidRPr="008E725E">
        <w:rPr>
          <w:sz w:val="20"/>
          <w:lang w:val="en-US"/>
        </w:rPr>
        <w:t xml:space="preserve"> </w:t>
      </w:r>
      <w:r w:rsidR="009F66BE">
        <w:rPr>
          <w:sz w:val="20"/>
          <w:lang w:val="en-US"/>
        </w:rPr>
        <w:tab/>
      </w:r>
      <w:r w:rsidR="00631864" w:rsidRPr="008E725E">
        <w:rPr>
          <w:rFonts w:eastAsiaTheme="minorHAnsi"/>
          <w:b/>
          <w:bCs/>
          <w:sz w:val="20"/>
          <w:u w:val="single"/>
          <w:lang w:val="en-US"/>
        </w:rPr>
        <w:t>Consulting Firms</w:t>
      </w:r>
      <w:r w:rsidR="00631864" w:rsidRPr="008E725E">
        <w:rPr>
          <w:rFonts w:eastAsiaTheme="minorHAnsi"/>
          <w:sz w:val="20"/>
          <w:lang w:val="en-US"/>
        </w:rPr>
        <w:t xml:space="preserve">: </w:t>
      </w:r>
      <w:r w:rsidR="00631864" w:rsidRPr="008E725E">
        <w:rPr>
          <w:rFonts w:eastAsiaTheme="minorHAnsi"/>
          <w:b/>
          <w:bCs/>
          <w:sz w:val="20"/>
          <w:lang w:val="en-US"/>
        </w:rPr>
        <w:t>QCBS</w:t>
      </w:r>
      <w:r w:rsidR="00631864" w:rsidRPr="008E725E">
        <w:rPr>
          <w:rFonts w:eastAsiaTheme="minorHAnsi"/>
          <w:sz w:val="20"/>
          <w:lang w:val="en-US"/>
        </w:rPr>
        <w:t xml:space="preserve">: Quality- and Cost-Based Selection </w:t>
      </w:r>
      <w:r w:rsidR="00631864" w:rsidRPr="008E725E">
        <w:rPr>
          <w:rFonts w:eastAsiaTheme="minorHAnsi"/>
          <w:b/>
          <w:bCs/>
          <w:sz w:val="20"/>
          <w:lang w:val="en-US"/>
        </w:rPr>
        <w:t>QBS</w:t>
      </w:r>
      <w:r w:rsidR="00631864" w:rsidRPr="008E725E">
        <w:rPr>
          <w:rFonts w:eastAsiaTheme="minorHAnsi"/>
          <w:sz w:val="20"/>
          <w:lang w:val="en-US"/>
        </w:rPr>
        <w:t xml:space="preserve">: Quality-Based Selection </w:t>
      </w:r>
      <w:r w:rsidR="00631864" w:rsidRPr="008E725E">
        <w:rPr>
          <w:rFonts w:eastAsiaTheme="minorHAnsi"/>
          <w:b/>
          <w:bCs/>
          <w:sz w:val="20"/>
          <w:lang w:val="en-US"/>
        </w:rPr>
        <w:t>FBS</w:t>
      </w:r>
      <w:r w:rsidR="00631864" w:rsidRPr="008E725E">
        <w:rPr>
          <w:rFonts w:eastAsiaTheme="minorHAnsi"/>
          <w:sz w:val="20"/>
          <w:lang w:val="en-US"/>
        </w:rPr>
        <w:t xml:space="preserve">: Selection under a Fixed Budget; </w:t>
      </w:r>
      <w:r w:rsidR="00631864" w:rsidRPr="008E725E">
        <w:rPr>
          <w:rFonts w:eastAsiaTheme="minorHAnsi"/>
          <w:b/>
          <w:bCs/>
          <w:sz w:val="20"/>
          <w:lang w:val="en-US"/>
        </w:rPr>
        <w:t>LCS</w:t>
      </w:r>
      <w:r w:rsidR="00631864" w:rsidRPr="008E725E">
        <w:rPr>
          <w:rFonts w:eastAsiaTheme="minorHAnsi"/>
          <w:sz w:val="20"/>
          <w:lang w:val="en-US"/>
        </w:rPr>
        <w:t xml:space="preserve">: Least-Cost Selection; </w:t>
      </w:r>
      <w:r w:rsidR="00631864" w:rsidRPr="008E725E">
        <w:rPr>
          <w:rFonts w:eastAsiaTheme="minorHAnsi"/>
          <w:b/>
          <w:bCs/>
          <w:sz w:val="20"/>
          <w:lang w:val="en-US"/>
        </w:rPr>
        <w:t>CQS</w:t>
      </w:r>
      <w:r w:rsidR="00631864" w:rsidRPr="008E725E">
        <w:rPr>
          <w:rFonts w:eastAsiaTheme="minorHAnsi"/>
          <w:sz w:val="20"/>
          <w:lang w:val="en-US"/>
        </w:rPr>
        <w:t xml:space="preserve">: Selection based on the Consultants’ Qualifications; </w:t>
      </w:r>
      <w:r w:rsidR="00631864" w:rsidRPr="008E725E">
        <w:rPr>
          <w:rFonts w:eastAsiaTheme="minorHAnsi"/>
          <w:b/>
          <w:bCs/>
          <w:sz w:val="20"/>
          <w:lang w:val="en-US"/>
        </w:rPr>
        <w:t xml:space="preserve">SSS: </w:t>
      </w:r>
      <w:r w:rsidR="00631864" w:rsidRPr="008E725E">
        <w:rPr>
          <w:rFonts w:eastAsiaTheme="minorHAnsi"/>
          <w:sz w:val="20"/>
          <w:lang w:val="en-US"/>
        </w:rPr>
        <w:t xml:space="preserve">Single-Source Selection. </w:t>
      </w:r>
      <w:r w:rsidR="00631864" w:rsidRPr="008E725E">
        <w:rPr>
          <w:rFonts w:eastAsiaTheme="minorHAnsi"/>
          <w:b/>
          <w:bCs/>
          <w:sz w:val="20"/>
          <w:u w:val="single"/>
          <w:lang w:val="en-US"/>
        </w:rPr>
        <w:t>Individual Consultants</w:t>
      </w:r>
      <w:r w:rsidR="00631864" w:rsidRPr="008E725E">
        <w:rPr>
          <w:rFonts w:eastAsiaTheme="minorHAnsi"/>
          <w:sz w:val="20"/>
          <w:lang w:val="en-US"/>
        </w:rPr>
        <w:t xml:space="preserve">: </w:t>
      </w:r>
      <w:r w:rsidR="00631864" w:rsidRPr="008E725E">
        <w:rPr>
          <w:rFonts w:eastAsiaTheme="minorHAnsi"/>
          <w:b/>
          <w:bCs/>
          <w:sz w:val="20"/>
          <w:lang w:val="en-US"/>
        </w:rPr>
        <w:t>NICQ</w:t>
      </w:r>
      <w:r w:rsidR="00631864" w:rsidRPr="008E725E">
        <w:rPr>
          <w:rFonts w:eastAsiaTheme="minorHAnsi"/>
          <w:sz w:val="20"/>
          <w:lang w:val="en-US"/>
        </w:rPr>
        <w:t xml:space="preserve">: National Individual Consultant selection based on Qualifications; </w:t>
      </w:r>
      <w:r w:rsidR="00631864" w:rsidRPr="008E725E">
        <w:rPr>
          <w:rFonts w:eastAsiaTheme="minorHAnsi"/>
          <w:b/>
          <w:bCs/>
          <w:sz w:val="20"/>
          <w:lang w:val="en-US"/>
        </w:rPr>
        <w:t>IICC</w:t>
      </w:r>
      <w:r w:rsidR="00631864" w:rsidRPr="008E725E">
        <w:rPr>
          <w:rFonts w:eastAsiaTheme="minorHAnsi"/>
          <w:sz w:val="20"/>
          <w:lang w:val="en-US"/>
        </w:rPr>
        <w:t>: International Individual Consultant selection based on Qualifications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6156F4" w:rsidRPr="00F43F3F" w:rsidRDefault="00B0250B">
        <w:pPr>
          <w:pStyle w:val="Header"/>
          <w:jc w:val="right"/>
          <w:rPr>
            <w:b/>
            <w:lang w:val="fr-FR"/>
          </w:rPr>
        </w:pPr>
        <w:r>
          <w:rPr>
            <w:b/>
            <w:lang w:val="fr-FR"/>
          </w:rPr>
          <w:t xml:space="preserve">Annex </w:t>
        </w:r>
        <w:r w:rsidR="00B42E4D">
          <w:rPr>
            <w:b/>
            <w:lang w:val="fr-FR"/>
          </w:rPr>
          <w:t>II</w:t>
        </w:r>
        <w:r>
          <w:rPr>
            <w:b/>
            <w:lang w:val="fr-FR"/>
          </w:rPr>
          <w:t>I</w:t>
        </w:r>
        <w:r w:rsidR="001C3DF4">
          <w:rPr>
            <w:b/>
            <w:lang w:val="fr-FR"/>
          </w:rPr>
          <w:t xml:space="preserve"> </w:t>
        </w:r>
        <w:r>
          <w:rPr>
            <w:b/>
            <w:lang w:val="fr-FR"/>
          </w:rPr>
          <w:t>– B</w:t>
        </w:r>
        <w:r w:rsidR="006156F4" w:rsidRPr="00F43F3F">
          <w:rPr>
            <w:b/>
            <w:lang w:val="fr-FR"/>
          </w:rPr>
          <w:t>A-T10</w:t>
        </w:r>
        <w:r>
          <w:rPr>
            <w:b/>
            <w:lang w:val="fr-FR"/>
          </w:rPr>
          <w:t>30</w:t>
        </w:r>
      </w:p>
      <w:p w:rsidR="006156F4" w:rsidRPr="00F43F3F" w:rsidRDefault="006156F4" w:rsidP="00F43F3F">
        <w:pPr>
          <w:pStyle w:val="Header"/>
          <w:jc w:val="right"/>
          <w:rPr>
            <w:lang w:val="fr-FR"/>
          </w:rPr>
        </w:pPr>
        <w:r w:rsidRPr="00F43F3F">
          <w:rPr>
            <w:lang w:val="fr-FR"/>
          </w:rPr>
          <w:t xml:space="preserve">Page </w:t>
        </w:r>
        <w:r w:rsidRPr="00F43F3F">
          <w:rPr>
            <w:bCs/>
            <w:szCs w:val="24"/>
          </w:rPr>
          <w:fldChar w:fldCharType="begin"/>
        </w:r>
        <w:r w:rsidRPr="00F43F3F">
          <w:rPr>
            <w:bCs/>
            <w:lang w:val="fr-FR"/>
          </w:rPr>
          <w:instrText xml:space="preserve"> PAGE </w:instrText>
        </w:r>
        <w:r w:rsidRPr="00F43F3F">
          <w:rPr>
            <w:bCs/>
            <w:szCs w:val="24"/>
          </w:rPr>
          <w:fldChar w:fldCharType="separate"/>
        </w:r>
        <w:r w:rsidR="00161516">
          <w:rPr>
            <w:bCs/>
            <w:noProof/>
            <w:lang w:val="fr-FR"/>
          </w:rPr>
          <w:t>1</w:t>
        </w:r>
        <w:r w:rsidRPr="00F43F3F">
          <w:rPr>
            <w:bCs/>
            <w:szCs w:val="24"/>
          </w:rPr>
          <w:fldChar w:fldCharType="end"/>
        </w:r>
        <w:r w:rsidRPr="00F43F3F">
          <w:rPr>
            <w:lang w:val="fr-FR"/>
          </w:rPr>
          <w:t xml:space="preserve"> </w:t>
        </w:r>
        <w:r w:rsidR="00B0250B">
          <w:rPr>
            <w:lang w:val="fr-FR"/>
          </w:rPr>
          <w:t>of</w:t>
        </w:r>
        <w:r w:rsidRPr="00F43F3F">
          <w:rPr>
            <w:lang w:val="fr-FR"/>
          </w:rPr>
          <w:t xml:space="preserve"> </w:t>
        </w:r>
        <w:r w:rsidRPr="00F43F3F">
          <w:rPr>
            <w:bCs/>
            <w:szCs w:val="24"/>
          </w:rPr>
          <w:fldChar w:fldCharType="begin"/>
        </w:r>
        <w:r w:rsidRPr="00F43F3F">
          <w:rPr>
            <w:bCs/>
            <w:lang w:val="fr-FR"/>
          </w:rPr>
          <w:instrText xml:space="preserve"> NUMPAGES  </w:instrText>
        </w:r>
        <w:r w:rsidRPr="00F43F3F">
          <w:rPr>
            <w:bCs/>
            <w:szCs w:val="24"/>
          </w:rPr>
          <w:fldChar w:fldCharType="separate"/>
        </w:r>
        <w:r w:rsidR="00161516">
          <w:rPr>
            <w:bCs/>
            <w:noProof/>
            <w:lang w:val="fr-FR"/>
          </w:rPr>
          <w:t>2</w:t>
        </w:r>
        <w:r w:rsidRPr="00F43F3F">
          <w:rPr>
            <w:bCs/>
            <w:szCs w:val="24"/>
          </w:rPr>
          <w:fldChar w:fldCharType="end"/>
        </w:r>
      </w:p>
    </w:sdtContent>
  </w:sdt>
  <w:p w:rsidR="006156F4" w:rsidRPr="0034206F" w:rsidRDefault="006156F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10604B"/>
    <w:multiLevelType w:val="multilevel"/>
    <w:tmpl w:val="3D1263D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E"/>
    <w:rsid w:val="00007068"/>
    <w:rsid w:val="0006764E"/>
    <w:rsid w:val="00072833"/>
    <w:rsid w:val="00076A36"/>
    <w:rsid w:val="000C6394"/>
    <w:rsid w:val="00100E57"/>
    <w:rsid w:val="00141CB0"/>
    <w:rsid w:val="001472EB"/>
    <w:rsid w:val="00161516"/>
    <w:rsid w:val="00161BC0"/>
    <w:rsid w:val="00191462"/>
    <w:rsid w:val="00196E95"/>
    <w:rsid w:val="001C3DF4"/>
    <w:rsid w:val="001C680B"/>
    <w:rsid w:val="001E1187"/>
    <w:rsid w:val="0023445E"/>
    <w:rsid w:val="00241086"/>
    <w:rsid w:val="002730D4"/>
    <w:rsid w:val="002730FC"/>
    <w:rsid w:val="00276E34"/>
    <w:rsid w:val="002E6968"/>
    <w:rsid w:val="002F0385"/>
    <w:rsid w:val="00333317"/>
    <w:rsid w:val="0034206F"/>
    <w:rsid w:val="003C0062"/>
    <w:rsid w:val="003C79ED"/>
    <w:rsid w:val="003F66CF"/>
    <w:rsid w:val="004034C3"/>
    <w:rsid w:val="004335A0"/>
    <w:rsid w:val="00457591"/>
    <w:rsid w:val="004A17B6"/>
    <w:rsid w:val="004E24EA"/>
    <w:rsid w:val="00576446"/>
    <w:rsid w:val="005A3E8C"/>
    <w:rsid w:val="005B0977"/>
    <w:rsid w:val="005B3BEA"/>
    <w:rsid w:val="005C4CB7"/>
    <w:rsid w:val="006156F4"/>
    <w:rsid w:val="006219BE"/>
    <w:rsid w:val="00631864"/>
    <w:rsid w:val="00635ED7"/>
    <w:rsid w:val="00690CF7"/>
    <w:rsid w:val="006A063D"/>
    <w:rsid w:val="00704E6B"/>
    <w:rsid w:val="00710952"/>
    <w:rsid w:val="0072571C"/>
    <w:rsid w:val="0079379F"/>
    <w:rsid w:val="007B7363"/>
    <w:rsid w:val="007B7B08"/>
    <w:rsid w:val="007D3B26"/>
    <w:rsid w:val="007E6AD0"/>
    <w:rsid w:val="007F7345"/>
    <w:rsid w:val="008006A7"/>
    <w:rsid w:val="0087123A"/>
    <w:rsid w:val="00883BF1"/>
    <w:rsid w:val="008B5200"/>
    <w:rsid w:val="008E5B51"/>
    <w:rsid w:val="008E725E"/>
    <w:rsid w:val="009006E5"/>
    <w:rsid w:val="00930D7A"/>
    <w:rsid w:val="00957F27"/>
    <w:rsid w:val="009C3F28"/>
    <w:rsid w:val="009D5AC6"/>
    <w:rsid w:val="009E38BC"/>
    <w:rsid w:val="009F66BE"/>
    <w:rsid w:val="00A35549"/>
    <w:rsid w:val="00A8072C"/>
    <w:rsid w:val="00A873C6"/>
    <w:rsid w:val="00AE7093"/>
    <w:rsid w:val="00B0250B"/>
    <w:rsid w:val="00B24404"/>
    <w:rsid w:val="00B42E4D"/>
    <w:rsid w:val="00B834D3"/>
    <w:rsid w:val="00C1360E"/>
    <w:rsid w:val="00C1553F"/>
    <w:rsid w:val="00C2703B"/>
    <w:rsid w:val="00C915CF"/>
    <w:rsid w:val="00CD0832"/>
    <w:rsid w:val="00D06FCE"/>
    <w:rsid w:val="00D707E4"/>
    <w:rsid w:val="00D70916"/>
    <w:rsid w:val="00D96B27"/>
    <w:rsid w:val="00DA1647"/>
    <w:rsid w:val="00DD0ACD"/>
    <w:rsid w:val="00DD764A"/>
    <w:rsid w:val="00DF75E3"/>
    <w:rsid w:val="00E063BD"/>
    <w:rsid w:val="00E30E6A"/>
    <w:rsid w:val="00E652EF"/>
    <w:rsid w:val="00E96540"/>
    <w:rsid w:val="00EA174E"/>
    <w:rsid w:val="00EC4181"/>
    <w:rsid w:val="00EF6A30"/>
    <w:rsid w:val="00F07937"/>
    <w:rsid w:val="00F07F45"/>
    <w:rsid w:val="00F43F3F"/>
    <w:rsid w:val="00F552BA"/>
    <w:rsid w:val="00FA0544"/>
    <w:rsid w:val="00FB267E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69760689F9C224BB627E0159185A055" ma:contentTypeVersion="0" ma:contentTypeDescription="A content type to manage public (operations) IDB documents" ma:contentTypeScope="" ma:versionID="b0a8004ec882a404433f1b7d19d5f7a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56d0dbe4fde755785e8ba72da0bc2c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e59d2a-2fd3-447f-8c32-b2d4c97c319f}" ma:internalName="TaxCatchAll" ma:showField="CatchAllData" ma:web="3e3ae99b-bd9a-4429-a046-ff53a907c9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e59d2a-2fd3-447f-8c32-b2d4c97c319f}" ma:internalName="TaxCatchAllLabel" ma:readOnly="true" ma:showField="CatchAllDataLabel" ma:web="3e3ae99b-bd9a-4429-a046-ff53a907c9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>gilberto chona</Other_x0020_Author>
    <Region xmlns="9c571b2f-e523-4ab2-ba2e-09e151a03ef4" xsi:nil="true"/>
    <IDBDocs_x0020_Number xmlns="9c571b2f-e523-4ab2-ba2e-09e151a03ef4">38821171</IDBDocs_x0020_Number>
    <Document_x0020_Author xmlns="9c571b2f-e523-4ab2-ba2e-09e151a03ef4">Eguino, Huascar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BA-T1030,BA-T1031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ATN/OC-14528-BA,ATN/SS-14529-BA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DU-MUN</Webtopic>
    <Identifier xmlns="9c571b2f-e523-4ab2-ba2e-09e151a03ef4"> ANNEX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8D4E72E3-1544-4BF6-AF03-A8F3DF9DFAD2}"/>
</file>

<file path=customXml/itemProps2.xml><?xml version="1.0" encoding="utf-8"?>
<ds:datastoreItem xmlns:ds="http://schemas.openxmlformats.org/officeDocument/2006/customXml" ds:itemID="{783C0968-B574-4657-A93C-7C45E634392A}"/>
</file>

<file path=customXml/itemProps3.xml><?xml version="1.0" encoding="utf-8"?>
<ds:datastoreItem xmlns:ds="http://schemas.openxmlformats.org/officeDocument/2006/customXml" ds:itemID="{C9A1CED8-EC67-4782-A339-1B46DE8265E0}"/>
</file>

<file path=customXml/itemProps4.xml><?xml version="1.0" encoding="utf-8"?>
<ds:datastoreItem xmlns:ds="http://schemas.openxmlformats.org/officeDocument/2006/customXml" ds:itemID="{CDC57780-7113-4F7C-A598-0B5F01BC5A3F}"/>
</file>

<file path=customXml/itemProps5.xml><?xml version="1.0" encoding="utf-8"?>
<ds:datastoreItem xmlns:ds="http://schemas.openxmlformats.org/officeDocument/2006/customXml" ds:itemID="{DD15DEBE-1CB3-4E3B-B351-B6BA4B1E13EE}"/>
</file>

<file path=customXml/itemProps6.xml><?xml version="1.0" encoding="utf-8"?>
<ds:datastoreItem xmlns:ds="http://schemas.openxmlformats.org/officeDocument/2006/customXml" ds:itemID="{9BC6F91A-2F69-45EB-9B48-DB7A2B0667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1218</Characters>
  <Application>Microsoft Office Word</Application>
  <DocSecurity>0</DocSecurity>
  <Lines>67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</dc:title>
  <dc:creator>Federico Scodelaro</dc:creator>
  <cp:lastModifiedBy>Dianela Avila</cp:lastModifiedBy>
  <cp:revision>3</cp:revision>
  <cp:lastPrinted>2014-07-17T18:19:00Z</cp:lastPrinted>
  <dcterms:created xsi:type="dcterms:W3CDTF">2014-07-17T18:19:00Z</dcterms:created>
  <dcterms:modified xsi:type="dcterms:W3CDTF">2014-07-23T20:46:00Z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0x01010046CF21643EE8D14686A648AA6DAD089200069760689F9C224BB627E0159185A055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>gilberto chona</vt:lpwstr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