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CF1" w:rsidRPr="00023818" w:rsidRDefault="00643CF9" w:rsidP="0002381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lang w:val="es-ES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lang w:val="es-ES"/>
        </w:rPr>
        <w:t>COSTA RICA</w:t>
      </w:r>
    </w:p>
    <w:p w:rsidR="00633CF1" w:rsidRPr="002F63D4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023818" w:rsidRDefault="009F17C8" w:rsidP="00023818">
      <w:pPr>
        <w:spacing w:after="0" w:line="240" w:lineRule="auto"/>
        <w:jc w:val="both"/>
        <w:rPr>
          <w:rFonts w:ascii="Times New Roman" w:hAnsi="Times New Roman"/>
          <w:b/>
          <w:sz w:val="24"/>
          <w:lang w:val="es-ES"/>
        </w:rPr>
      </w:pPr>
      <w:r>
        <w:rPr>
          <w:rFonts w:ascii="Times New Roman" w:hAnsi="Times New Roman"/>
          <w:b/>
          <w:sz w:val="24"/>
          <w:lang w:val="es-ES"/>
        </w:rPr>
        <w:t>FORTALECIMIENTO DE LA INSTITUCIONALIDAD FISCAL EN COSTA RICA</w:t>
      </w:r>
      <w:r w:rsidR="00B57389" w:rsidRPr="00023818">
        <w:rPr>
          <w:rFonts w:ascii="Times New Roman" w:hAnsi="Times New Roman"/>
          <w:b/>
          <w:sz w:val="24"/>
          <w:lang w:val="es-ES"/>
        </w:rPr>
        <w:t xml:space="preserve"> </w:t>
      </w:r>
      <w:r w:rsidR="00606168">
        <w:rPr>
          <w:rFonts w:ascii="Times New Roman" w:hAnsi="Times New Roman"/>
          <w:b/>
          <w:sz w:val="24"/>
          <w:lang w:val="es-ES"/>
        </w:rPr>
        <w:t>(</w:t>
      </w:r>
      <w:r>
        <w:rPr>
          <w:rFonts w:ascii="Times New Roman" w:hAnsi="Times New Roman"/>
          <w:b/>
          <w:sz w:val="24"/>
          <w:lang w:val="es-ES"/>
        </w:rPr>
        <w:t>CR</w:t>
      </w:r>
      <w:r w:rsidR="00606168">
        <w:rPr>
          <w:rFonts w:ascii="Times New Roman" w:hAnsi="Times New Roman"/>
          <w:b/>
          <w:sz w:val="24"/>
          <w:lang w:val="es-ES"/>
        </w:rPr>
        <w:t>-T</w:t>
      </w:r>
      <w:r>
        <w:rPr>
          <w:rFonts w:ascii="Times New Roman" w:hAnsi="Times New Roman"/>
          <w:b/>
          <w:sz w:val="24"/>
          <w:lang w:val="es-ES"/>
        </w:rPr>
        <w:t>1097</w:t>
      </w:r>
      <w:r w:rsidR="00633CF1" w:rsidRPr="00023818">
        <w:rPr>
          <w:rFonts w:ascii="Times New Roman" w:hAnsi="Times New Roman"/>
          <w:b/>
          <w:sz w:val="24"/>
          <w:lang w:val="es-ES"/>
        </w:rPr>
        <w:t>)</w:t>
      </w:r>
    </w:p>
    <w:p w:rsidR="00633CF1" w:rsidRPr="002F63D4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023818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lang w:val="es-ES"/>
        </w:rPr>
      </w:pPr>
      <w:r w:rsidRPr="00023818">
        <w:rPr>
          <w:rFonts w:ascii="Times New Roman" w:hAnsi="Times New Roman"/>
          <w:b/>
          <w:color w:val="000000"/>
          <w:sz w:val="24"/>
          <w:lang w:val="es-ES"/>
        </w:rPr>
        <w:t>Términos de Referencia</w:t>
      </w:r>
    </w:p>
    <w:p w:rsidR="00633CF1" w:rsidRPr="00B83E51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7F7548" w:rsidRDefault="004C5CAA" w:rsidP="00023818">
      <w:pPr>
        <w:spacing w:after="0" w:line="240" w:lineRule="auto"/>
        <w:jc w:val="both"/>
        <w:rPr>
          <w:rFonts w:ascii="Times New Roman" w:hAnsi="Times New Roman"/>
          <w:b/>
          <w:sz w:val="24"/>
          <w:lang w:val="es-ES"/>
        </w:rPr>
      </w:pPr>
      <w:r>
        <w:rPr>
          <w:rFonts w:ascii="Times New Roman" w:hAnsi="Times New Roman"/>
          <w:b/>
          <w:sz w:val="24"/>
          <w:lang w:val="es-ES"/>
        </w:rPr>
        <w:t xml:space="preserve">ESTUDIO DE PROPUESTA DE </w:t>
      </w:r>
      <w:r w:rsidR="00E104B0">
        <w:rPr>
          <w:rFonts w:ascii="Times New Roman" w:hAnsi="Times New Roman"/>
          <w:b/>
          <w:sz w:val="24"/>
          <w:lang w:val="es-ES"/>
        </w:rPr>
        <w:t>REFORMA DE LA POLITICA SALARIAL DEL SECTOR PUBLICO EN COSTA RICA</w:t>
      </w:r>
    </w:p>
    <w:p w:rsidR="00633CF1" w:rsidRPr="00B83E51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ANTECEDENTES Y JUSTIFICACION</w:t>
      </w:r>
    </w:p>
    <w:p w:rsidR="00212000" w:rsidRPr="00212000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 xml:space="preserve">La política fiscal expansiva adoptada por el Gobierno de Costa Rica en respuesta a la crisis financiera de 2008, llevó al déficit fiscal a 5,1% del PIB en 2010. Desde entonces, el país ha registrado déficits superiores al 4%, llegando en 2013 el déficit primario del Gobierno Central (GC) al 2,9% del PIB, y el déficit total al 5,4% del PIB. Estos resultados se explican por la reducción de los ingresos tributarios, que en 2013 alcanzaron el 13,3% del PIB, 2,1 puntos porcentuales menos que en 2008. Esta caída en la recaudación fue acompañada por un fuerte incremento del gasto público, que sumó 19,6% del PIB en 2013, 4,0 puntos porcentuales respecto al 2008. Por su parte, la deuda del GC como porcentaje del producto alcanzó el 36,2% en 2013, lo que representó un aumento de 11,5 puntos porcentuales con relación al 2008. Las estimaciones previstas por el Ministerio de Hacienda (MH) hasta el 2018 sitúan el déficit y la deuda en una trayectoria ascendente, hasta 7,6% y 54,0% del PIB, respectivamente, bajo un escenario en el que no se aplica un Plan de Consolidación Fiscal. </w:t>
      </w:r>
    </w:p>
    <w:p w:rsidR="00212000" w:rsidRPr="00212000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 xml:space="preserve">El intento de reforma fiscal mediante la Ley de Solidaridad Tributaria, que incluía una serie de medidas para mejorar la recaudación tributaria y llevar el déficit a niveles manejables, no fue aprobado por la Sala Constitucional en abril de 2012. Dado el contexto económico actual, el apoyo a la recuperación de la sostenibilidad fiscal es sumamente relevante. Las reformas pendientes en materia de política tributaria tendrán que ser complementadas con otras medidas que contribuyan a acortar la brecha fiscal, entre ellas acciones que coadyuven a una gestión más eficiente de la administración tributaria, a la responsabilidad hacendaria, y a la mejora de la eficiencia del gasto público. </w:t>
      </w:r>
    </w:p>
    <w:p w:rsidR="00CA4F7A" w:rsidRDefault="00480CB3" w:rsidP="00CA4F7A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>
        <w:rPr>
          <w:szCs w:val="24"/>
        </w:rPr>
        <w:t>En materia de gasto público, e</w:t>
      </w:r>
      <w:r w:rsidR="00CA4F7A" w:rsidRPr="00CA4F7A">
        <w:rPr>
          <w:szCs w:val="24"/>
        </w:rPr>
        <w:t xml:space="preserve">ntre 2008 y 2012 el gasto total en Costa Rica se incrementó en 98%, principalmente en ítems inflexibles a la baja. El gasto corriente representa el 92% del presupuesto total, y entre 2008 y 2013 creció 111%, explicado en gran medida por el aumento en remuneraciones (112%). </w:t>
      </w:r>
      <w:r w:rsidR="00CA4F7A" w:rsidRPr="00F05BEE">
        <w:rPr>
          <w:szCs w:val="24"/>
        </w:rPr>
        <w:t>En 2013, la nómina salarial representó el 37.3% del gasto total del GC, equivalente a 7,3% del PIB, y entre 2008 y 2013 el salario promedio del GC creció en alrededor del 50%. Esto es resultado de una política de incrementos salariales orientada a atraer personal altamente calificado y a equiparar los salarios con los de las entidades públicas fuera del GC</w:t>
      </w:r>
      <w:r w:rsidR="00CA4F7A">
        <w:rPr>
          <w:szCs w:val="24"/>
        </w:rPr>
        <w:t>,</w:t>
      </w:r>
      <w:r w:rsidR="00CA4F7A" w:rsidRPr="00F05BEE">
        <w:rPr>
          <w:szCs w:val="24"/>
        </w:rPr>
        <w:t xml:space="preserve"> sin tomar en consideración criterios ligados al desempeño. Los salarios públicos son ahora significativamente mayores al nivel requerido para mantener la competitividad del sector y, dad</w:t>
      </w:r>
      <w:r w:rsidR="00CA4F7A">
        <w:rPr>
          <w:szCs w:val="24"/>
        </w:rPr>
        <w:t>o el contexto fiscal,</w:t>
      </w:r>
      <w:r w:rsidR="00CA4F7A" w:rsidRPr="00F05BEE">
        <w:rPr>
          <w:szCs w:val="24"/>
        </w:rPr>
        <w:t xml:space="preserve"> deben establecerse mecanismos remunerativos ligados al mérito para asegurar una nómina salarial fiscalmente sostenible. </w:t>
      </w:r>
    </w:p>
    <w:p w:rsidR="009F0465" w:rsidRPr="00F05BEE" w:rsidRDefault="009F0465" w:rsidP="009F0465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</w:p>
    <w:p w:rsidR="00A662CE" w:rsidRPr="00A662CE" w:rsidRDefault="00A662CE" w:rsidP="00A662CE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A662CE">
        <w:rPr>
          <w:szCs w:val="24"/>
        </w:rPr>
        <w:lastRenderedPageBreak/>
        <w:t xml:space="preserve">Para abordar este tema, el proyecto </w:t>
      </w:r>
      <w:r w:rsidR="00D130F4">
        <w:rPr>
          <w:szCs w:val="24"/>
        </w:rPr>
        <w:t>CR</w:t>
      </w:r>
      <w:r w:rsidRPr="00A662CE">
        <w:rPr>
          <w:szCs w:val="24"/>
        </w:rPr>
        <w:t>-T</w:t>
      </w:r>
      <w:r w:rsidR="00D130F4">
        <w:rPr>
          <w:szCs w:val="24"/>
        </w:rPr>
        <w:t>1097</w:t>
      </w:r>
      <w:r w:rsidRPr="00A662CE">
        <w:rPr>
          <w:szCs w:val="24"/>
        </w:rPr>
        <w:t xml:space="preserve"> “</w:t>
      </w:r>
      <w:r w:rsidR="00D130F4">
        <w:rPr>
          <w:szCs w:val="24"/>
        </w:rPr>
        <w:t>Fortalecimiento de la Institucionalidad Fiscal en Costa Rica</w:t>
      </w:r>
      <w:r w:rsidRPr="00A662CE">
        <w:rPr>
          <w:szCs w:val="24"/>
        </w:rPr>
        <w:t>” proveerá apoyo técnico y financiero para la elaboración de un</w:t>
      </w:r>
      <w:r w:rsidR="008D2021">
        <w:rPr>
          <w:szCs w:val="24"/>
        </w:rPr>
        <w:t>a</w:t>
      </w:r>
      <w:r w:rsidRPr="00A662CE">
        <w:rPr>
          <w:szCs w:val="24"/>
        </w:rPr>
        <w:t xml:space="preserve"> </w:t>
      </w:r>
      <w:r w:rsidR="008D2021">
        <w:rPr>
          <w:szCs w:val="24"/>
        </w:rPr>
        <w:t>pr</w:t>
      </w:r>
      <w:r w:rsidR="00D130F4">
        <w:rPr>
          <w:szCs w:val="24"/>
        </w:rPr>
        <w:t>opuesta de</w:t>
      </w:r>
      <w:r w:rsidR="00B604AD">
        <w:rPr>
          <w:szCs w:val="24"/>
        </w:rPr>
        <w:t xml:space="preserve"> reforma de la política salarial del sector público en Costa Rica</w:t>
      </w:r>
      <w:r>
        <w:rPr>
          <w:szCs w:val="24"/>
        </w:rPr>
        <w:t>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  <w:rPr>
          <w:color w:val="FF0000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OBJETIVO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B83E51">
        <w:t>El objetivo de esta consultoría es</w:t>
      </w:r>
      <w:r w:rsidR="00B53552">
        <w:t xml:space="preserve"> </w:t>
      </w:r>
      <w:r w:rsidR="00B53552" w:rsidRPr="00B53552">
        <w:t xml:space="preserve">la elaboración de una </w:t>
      </w:r>
      <w:r w:rsidR="001634F6" w:rsidRPr="001E21BE">
        <w:t xml:space="preserve">propuesta de reforma </w:t>
      </w:r>
      <w:r w:rsidR="001634F6">
        <w:t>detallada</w:t>
      </w:r>
      <w:r w:rsidR="001634F6" w:rsidRPr="001E21BE">
        <w:t xml:space="preserve"> de la política salarial del sector público en Costa Rica</w:t>
      </w:r>
      <w:r w:rsidR="001634F6">
        <w:t xml:space="preserve">, </w:t>
      </w:r>
      <w:r w:rsidR="001634F6" w:rsidRPr="001E21BE">
        <w:t>que asegure la consecución de una masa salarial fiscalmente</w:t>
      </w:r>
      <w:r w:rsidR="001634F6">
        <w:t xml:space="preserve"> sostenible</w:t>
      </w:r>
      <w:r w:rsidR="000E44F7">
        <w:t xml:space="preserve"> </w:t>
      </w:r>
      <w:r w:rsidR="000E44F7" w:rsidRPr="001E21BE">
        <w:t>y que tenga en cuenta consideraciones de eficiencia y desempeño</w:t>
      </w:r>
      <w:r w:rsidR="001634F6">
        <w:t>.</w:t>
      </w:r>
    </w:p>
    <w:p w:rsidR="001634F6" w:rsidRPr="00B83E51" w:rsidRDefault="001634F6" w:rsidP="00023818">
      <w:pPr>
        <w:pStyle w:val="Paragraph"/>
        <w:numPr>
          <w:ilvl w:val="0"/>
          <w:numId w:val="0"/>
        </w:num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ACTIVIDADES</w:t>
      </w:r>
    </w:p>
    <w:p w:rsidR="00B77400" w:rsidRDefault="00B77400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bCs/>
          <w:szCs w:val="24"/>
        </w:rPr>
      </w:pPr>
      <w:r>
        <w:rPr>
          <w:bCs/>
          <w:szCs w:val="24"/>
        </w:rPr>
        <w:t xml:space="preserve">Proponer recomendaciones </w:t>
      </w:r>
      <w:r w:rsidR="00683A71">
        <w:rPr>
          <w:bCs/>
          <w:szCs w:val="24"/>
        </w:rPr>
        <w:t xml:space="preserve">de política </w:t>
      </w:r>
      <w:r>
        <w:rPr>
          <w:bCs/>
          <w:szCs w:val="24"/>
        </w:rPr>
        <w:t xml:space="preserve">con medidas de corto plazo que contribuyan a una </w:t>
      </w:r>
      <w:r w:rsidR="00A67147">
        <w:rPr>
          <w:bCs/>
          <w:szCs w:val="24"/>
        </w:rPr>
        <w:t>reducción</w:t>
      </w:r>
      <w:r>
        <w:rPr>
          <w:bCs/>
          <w:szCs w:val="24"/>
        </w:rPr>
        <w:t xml:space="preserve"> del</w:t>
      </w:r>
      <w:r w:rsidR="00A67147">
        <w:rPr>
          <w:bCs/>
          <w:szCs w:val="24"/>
        </w:rPr>
        <w:t xml:space="preserve"> costo fiscal</w:t>
      </w:r>
      <w:r>
        <w:rPr>
          <w:bCs/>
          <w:szCs w:val="24"/>
        </w:rPr>
        <w:t xml:space="preserve"> nómina del gobierno central. </w:t>
      </w:r>
    </w:p>
    <w:p w:rsidR="00865012" w:rsidRDefault="00B77400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bCs/>
          <w:szCs w:val="24"/>
        </w:rPr>
      </w:pPr>
      <w:r>
        <w:rPr>
          <w:bCs/>
          <w:szCs w:val="24"/>
        </w:rPr>
        <w:t xml:space="preserve">Proponer recomendaciones </w:t>
      </w:r>
      <w:r w:rsidR="00683A71">
        <w:rPr>
          <w:bCs/>
          <w:szCs w:val="24"/>
        </w:rPr>
        <w:t xml:space="preserve">de política </w:t>
      </w:r>
      <w:r>
        <w:rPr>
          <w:bCs/>
          <w:szCs w:val="24"/>
        </w:rPr>
        <w:t xml:space="preserve">con medidas de mediano </w:t>
      </w:r>
      <w:r w:rsidR="00683A71">
        <w:rPr>
          <w:bCs/>
          <w:szCs w:val="24"/>
        </w:rPr>
        <w:t>a</w:t>
      </w:r>
      <w:r>
        <w:rPr>
          <w:bCs/>
          <w:szCs w:val="24"/>
        </w:rPr>
        <w:t xml:space="preserve"> largo plazo enfocadas en mejorar la gestión de</w:t>
      </w:r>
      <w:r w:rsidR="00683A71">
        <w:rPr>
          <w:bCs/>
          <w:szCs w:val="24"/>
        </w:rPr>
        <w:t xml:space="preserve"> </w:t>
      </w:r>
      <w:r>
        <w:rPr>
          <w:bCs/>
          <w:szCs w:val="24"/>
        </w:rPr>
        <w:t>la política salarial en el sector público de Costa Rica</w:t>
      </w:r>
      <w:r w:rsidR="00A67147">
        <w:rPr>
          <w:bCs/>
          <w:szCs w:val="24"/>
        </w:rPr>
        <w:t>, tomando en cuenta no solo consideraciones fiscales, sino además aspectos vinculados a la eficiencia, desempeño y mérito</w:t>
      </w:r>
      <w:r>
        <w:rPr>
          <w:bCs/>
          <w:szCs w:val="24"/>
        </w:rPr>
        <w:t xml:space="preserve">.  </w:t>
      </w:r>
    </w:p>
    <w:p w:rsidR="00A67147" w:rsidRDefault="00A67147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bCs/>
          <w:szCs w:val="24"/>
        </w:rPr>
      </w:pPr>
      <w:r>
        <w:rPr>
          <w:bCs/>
          <w:szCs w:val="24"/>
        </w:rPr>
        <w:t>Analizar los aspectos institucionales, legales y de economía política que podrían obstaculizar la aplicación de las recomendaciones propuestas, proponer medidas para mitigar/superar estos obstáculos, y proponer un plan con cronograma de implementación de las medidas propuestas.</w:t>
      </w:r>
    </w:p>
    <w:p w:rsidR="00873E34" w:rsidRPr="00873E34" w:rsidRDefault="000F4274" w:rsidP="00873E34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bCs/>
          <w:szCs w:val="24"/>
        </w:rPr>
      </w:pPr>
      <w:r>
        <w:rPr>
          <w:bCs/>
          <w:szCs w:val="24"/>
        </w:rPr>
        <w:t xml:space="preserve">El consultor utilizará como base </w:t>
      </w:r>
      <w:r w:rsidR="00873E34" w:rsidRPr="00873E34">
        <w:rPr>
          <w:bCs/>
          <w:szCs w:val="24"/>
        </w:rPr>
        <w:t>la nota de política ya realizada</w:t>
      </w:r>
      <w:r>
        <w:rPr>
          <w:bCs/>
          <w:szCs w:val="24"/>
        </w:rPr>
        <w:t xml:space="preserve"> por el Banco sobre la materia.</w:t>
      </w:r>
    </w:p>
    <w:p w:rsidR="00C86BE7" w:rsidRPr="00155099" w:rsidRDefault="00C86BE7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155099">
        <w:rPr>
          <w:szCs w:val="24"/>
        </w:rPr>
        <w:t>Sostener reuniones con representantes del Ministerio de Hacienda de Costa Rica.</w:t>
      </w:r>
    </w:p>
    <w:p w:rsidR="007F0B09" w:rsidRPr="007F0B09" w:rsidRDefault="007F0B09" w:rsidP="007F0B09">
      <w:pPr>
        <w:pStyle w:val="Paragraph"/>
        <w:numPr>
          <w:ilvl w:val="0"/>
          <w:numId w:val="0"/>
        </w:num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CARACTERISTICAS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Tipo de consultoría</w:t>
      </w:r>
      <w:r w:rsidRPr="00B83E51">
        <w:t>: individual internacional.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Calificaciones</w:t>
      </w:r>
      <w:r w:rsidRPr="00B83E51">
        <w:t xml:space="preserve">: </w:t>
      </w:r>
      <w:r w:rsidR="00926746" w:rsidRPr="00532C6C">
        <w:t xml:space="preserve">El consultor debe ser experto con formación profesional superior con experiencia en el área de economía y finanzas no menor de quince años, siendo por lo menos de diez años en el tema de finanzas públicas </w:t>
      </w:r>
      <w:r w:rsidR="002D5760">
        <w:t xml:space="preserve">y empleo </w:t>
      </w:r>
      <w:r w:rsidR="00926746" w:rsidRPr="00532C6C">
        <w:t>en países de América Latina y el Caribe.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Fecha de comienzo y duración</w:t>
      </w:r>
      <w:r w:rsidRPr="00B83E51">
        <w:t xml:space="preserve">: La consultoría tendrá un plazo estimado de </w:t>
      </w:r>
      <w:r w:rsidR="002A3CE4">
        <w:t>5</w:t>
      </w:r>
      <w:r w:rsidRPr="00B83E51">
        <w:t xml:space="preserve"> meses a partir de la firma del contrato.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Lugar de trabajo</w:t>
      </w:r>
      <w:r w:rsidRPr="00B83E51">
        <w:t>: Lugar de residencia del consultor</w:t>
      </w:r>
      <w:r w:rsidR="002A3CE4">
        <w:t xml:space="preserve"> y Costa Rica</w:t>
      </w:r>
      <w:r w:rsidRPr="00B83E51">
        <w:t>.</w:t>
      </w:r>
    </w:p>
    <w:p w:rsidR="00926746" w:rsidRPr="00824B36" w:rsidRDefault="00926746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PRODUCTOS Y FORMA DE PAGO</w:t>
      </w:r>
    </w:p>
    <w:p w:rsidR="00C436F6" w:rsidRDefault="00633CF1" w:rsidP="00023818">
      <w:pPr>
        <w:pStyle w:val="Paragraph"/>
        <w:numPr>
          <w:ilvl w:val="0"/>
          <w:numId w:val="0"/>
        </w:numPr>
      </w:pPr>
      <w:r w:rsidRPr="00B83E51">
        <w:t>El pago se realizará</w:t>
      </w:r>
      <w:r w:rsidR="00C436F6">
        <w:t>:</w:t>
      </w:r>
    </w:p>
    <w:p w:rsidR="00C436F6" w:rsidRDefault="005F04A1" w:rsidP="00C436F6">
      <w:pPr>
        <w:pStyle w:val="Paragraph"/>
        <w:numPr>
          <w:ilvl w:val="0"/>
          <w:numId w:val="18"/>
        </w:numPr>
      </w:pPr>
      <w:r>
        <w:t>2</w:t>
      </w:r>
      <w:r w:rsidR="00C436F6">
        <w:t>0% a la firma del contrato.</w:t>
      </w:r>
    </w:p>
    <w:p w:rsidR="00633CF1" w:rsidRDefault="00C436F6" w:rsidP="00C436F6">
      <w:pPr>
        <w:pStyle w:val="Paragraph"/>
        <w:numPr>
          <w:ilvl w:val="0"/>
          <w:numId w:val="18"/>
        </w:numPr>
      </w:pPr>
      <w:r>
        <w:t>El saldo contra</w:t>
      </w:r>
      <w:r w:rsidR="00633CF1" w:rsidRPr="00B83E51">
        <w:t xml:space="preserve"> la entrega y aprobación por parte del</w:t>
      </w:r>
      <w:r w:rsidR="00633CF1">
        <w:t xml:space="preserve"> BID del</w:t>
      </w:r>
      <w:r w:rsidR="00633CF1" w:rsidRPr="00B83E51">
        <w:t xml:space="preserve"> informe final conteniendo los resultados y conclusiones de las actividades mencionadas en la sección </w:t>
      </w:r>
      <w:r w:rsidR="00824B36">
        <w:t>“Actividades”</w:t>
      </w:r>
      <w:r w:rsidR="00633CF1">
        <w:t>.</w:t>
      </w:r>
    </w:p>
    <w:p w:rsidR="00A67147" w:rsidRPr="00B83E51" w:rsidRDefault="00A67147" w:rsidP="00A67147">
      <w:pPr>
        <w:pStyle w:val="Paragraph"/>
        <w:numPr>
          <w:ilvl w:val="0"/>
          <w:numId w:val="0"/>
        </w:numPr>
        <w:ind w:left="720"/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lastRenderedPageBreak/>
        <w:t>COORDINACIÓN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B83E51">
        <w:t>La consultoría en el BID estará a cargo de la División de Gestión Fiscal y Municipal (FMM), bajo la coordinación del Sr. Alberto Barreix (E-mail: albertoba@iadb.org, Teléfono: +1 (202) 623-1601).</w:t>
      </w:r>
    </w:p>
    <w:sectPr w:rsidR="00633CF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389" w:rsidRDefault="00B57389" w:rsidP="00B57389">
      <w:pPr>
        <w:spacing w:after="0" w:line="240" w:lineRule="auto"/>
      </w:pPr>
      <w:r>
        <w:separator/>
      </w:r>
    </w:p>
  </w:endnote>
  <w:endnote w:type="continuationSeparator" w:id="0">
    <w:p w:rsidR="00B57389" w:rsidRDefault="00B57389" w:rsidP="00B5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389" w:rsidRDefault="00B57389" w:rsidP="00B57389">
      <w:pPr>
        <w:spacing w:after="0" w:line="240" w:lineRule="auto"/>
      </w:pPr>
      <w:r>
        <w:separator/>
      </w:r>
    </w:p>
  </w:footnote>
  <w:footnote w:type="continuationSeparator" w:id="0">
    <w:p w:rsidR="00B57389" w:rsidRDefault="00B57389" w:rsidP="00B5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7389" w:rsidRPr="00E104B0" w:rsidRDefault="00B57389" w:rsidP="00B5738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fr-FR"/>
          </w:rPr>
        </w:pPr>
        <w:r w:rsidRPr="00E104B0">
          <w:rPr>
            <w:rFonts w:ascii="Times New Roman" w:hAnsi="Times New Roman" w:cs="Times New Roman"/>
            <w:sz w:val="24"/>
            <w:szCs w:val="24"/>
            <w:lang w:val="fr-FR"/>
          </w:rPr>
          <w:t xml:space="preserve">Anexo II- </w:t>
        </w:r>
        <w:r w:rsidR="00E104B0" w:rsidRPr="00E104B0">
          <w:rPr>
            <w:rFonts w:ascii="Times New Roman" w:hAnsi="Times New Roman" w:cs="Times New Roman"/>
            <w:sz w:val="24"/>
            <w:szCs w:val="24"/>
            <w:lang w:val="fr-FR"/>
          </w:rPr>
          <w:t>D</w:t>
        </w:r>
        <w:r w:rsidRPr="00E104B0">
          <w:rPr>
            <w:rFonts w:ascii="Times New Roman" w:hAnsi="Times New Roman" w:cs="Times New Roman"/>
            <w:sz w:val="24"/>
            <w:szCs w:val="24"/>
            <w:lang w:val="fr-FR"/>
          </w:rPr>
          <w:t xml:space="preserve">. </w:t>
        </w:r>
        <w:r w:rsidR="00643CF9" w:rsidRPr="00E104B0">
          <w:rPr>
            <w:rFonts w:ascii="Times New Roman" w:hAnsi="Times New Roman" w:cs="Times New Roman"/>
            <w:sz w:val="24"/>
            <w:szCs w:val="24"/>
            <w:lang w:val="fr-FR"/>
          </w:rPr>
          <w:t>CR</w:t>
        </w:r>
        <w:r w:rsidRPr="00E104B0">
          <w:rPr>
            <w:rFonts w:ascii="Times New Roman" w:hAnsi="Times New Roman" w:cs="Times New Roman"/>
            <w:sz w:val="24"/>
            <w:szCs w:val="24"/>
            <w:lang w:val="fr-FR"/>
          </w:rPr>
          <w:t>-T</w:t>
        </w:r>
        <w:r w:rsidR="00643CF9" w:rsidRPr="00E104B0">
          <w:rPr>
            <w:rFonts w:ascii="Times New Roman" w:hAnsi="Times New Roman" w:cs="Times New Roman"/>
            <w:sz w:val="24"/>
            <w:szCs w:val="24"/>
            <w:lang w:val="fr-FR"/>
          </w:rPr>
          <w:t>1097</w:t>
        </w:r>
      </w:p>
      <w:p w:rsidR="00B57389" w:rsidRPr="00B57389" w:rsidRDefault="00B57389" w:rsidP="00B5738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pt-BR"/>
          </w:rPr>
        </w:pP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Página 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  <w:lang w:val="pt-BR"/>
          </w:rPr>
          <w:instrText xml:space="preserve"> PAGE </w:instrTex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FA651B">
          <w:rPr>
            <w:rFonts w:ascii="Times New Roman" w:hAnsi="Times New Roman" w:cs="Times New Roman"/>
            <w:b/>
            <w:bCs/>
            <w:noProof/>
            <w:sz w:val="24"/>
            <w:szCs w:val="24"/>
            <w:lang w:val="pt-BR"/>
          </w:rPr>
          <w:t>1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 de 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  <w:lang w:val="pt-BR"/>
          </w:rPr>
          <w:instrText xml:space="preserve"> NUMPAGES  </w:instrTex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FA651B">
          <w:rPr>
            <w:rFonts w:ascii="Times New Roman" w:hAnsi="Times New Roman" w:cs="Times New Roman"/>
            <w:b/>
            <w:bCs/>
            <w:noProof/>
            <w:sz w:val="24"/>
            <w:szCs w:val="24"/>
            <w:lang w:val="pt-BR"/>
          </w:rPr>
          <w:t>3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BF7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">
    <w:nsid w:val="0DAB7FC9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2">
    <w:nsid w:val="1794445A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3">
    <w:nsid w:val="19225AE5"/>
    <w:multiLevelType w:val="hybridMultilevel"/>
    <w:tmpl w:val="0074C89C"/>
    <w:lvl w:ilvl="0" w:tplc="F2901AE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B4974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5">
    <w:nsid w:val="3EAE5A28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6">
    <w:nsid w:val="43F255FC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7">
    <w:nsid w:val="4D2F4D25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8">
    <w:nsid w:val="51E22089"/>
    <w:multiLevelType w:val="hybridMultilevel"/>
    <w:tmpl w:val="1CE6F87C"/>
    <w:lvl w:ilvl="0" w:tplc="31AE5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CD1F8F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0">
    <w:nsid w:val="5EB330D6"/>
    <w:multiLevelType w:val="multilevel"/>
    <w:tmpl w:val="3CD4F956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>
    <w:nsid w:val="76340336"/>
    <w:multiLevelType w:val="multilevel"/>
    <w:tmpl w:val="49FA895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11"/>
  </w:num>
  <w:num w:numId="13">
    <w:abstractNumId w:val="11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3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F1"/>
    <w:rsid w:val="00023818"/>
    <w:rsid w:val="00083FB6"/>
    <w:rsid w:val="000C319F"/>
    <w:rsid w:val="000E44F7"/>
    <w:rsid w:val="000F3E1E"/>
    <w:rsid w:val="000F4274"/>
    <w:rsid w:val="00155099"/>
    <w:rsid w:val="001634F6"/>
    <w:rsid w:val="00163604"/>
    <w:rsid w:val="001C5A1E"/>
    <w:rsid w:val="00212000"/>
    <w:rsid w:val="002A3CE4"/>
    <w:rsid w:val="002D31BE"/>
    <w:rsid w:val="002D5760"/>
    <w:rsid w:val="002F63D4"/>
    <w:rsid w:val="003750C5"/>
    <w:rsid w:val="0039051B"/>
    <w:rsid w:val="003A6760"/>
    <w:rsid w:val="003C2579"/>
    <w:rsid w:val="003C465E"/>
    <w:rsid w:val="003E563B"/>
    <w:rsid w:val="003E786A"/>
    <w:rsid w:val="004112A7"/>
    <w:rsid w:val="00414FDF"/>
    <w:rsid w:val="00480CB3"/>
    <w:rsid w:val="004C5CAA"/>
    <w:rsid w:val="00553D0B"/>
    <w:rsid w:val="00567369"/>
    <w:rsid w:val="005E0B41"/>
    <w:rsid w:val="005F04A1"/>
    <w:rsid w:val="00606168"/>
    <w:rsid w:val="00633CF1"/>
    <w:rsid w:val="00643CF9"/>
    <w:rsid w:val="00683A71"/>
    <w:rsid w:val="00695593"/>
    <w:rsid w:val="006E4B17"/>
    <w:rsid w:val="007F0B09"/>
    <w:rsid w:val="007F7548"/>
    <w:rsid w:val="00824B36"/>
    <w:rsid w:val="00846AC2"/>
    <w:rsid w:val="00865012"/>
    <w:rsid w:val="0087332E"/>
    <w:rsid w:val="00873E34"/>
    <w:rsid w:val="00876E53"/>
    <w:rsid w:val="008941D2"/>
    <w:rsid w:val="008D2021"/>
    <w:rsid w:val="00926746"/>
    <w:rsid w:val="009F0465"/>
    <w:rsid w:val="009F17C8"/>
    <w:rsid w:val="00A04ECF"/>
    <w:rsid w:val="00A662CE"/>
    <w:rsid w:val="00A67147"/>
    <w:rsid w:val="00AA67F0"/>
    <w:rsid w:val="00AB2A7A"/>
    <w:rsid w:val="00AE2CD4"/>
    <w:rsid w:val="00B07A53"/>
    <w:rsid w:val="00B47858"/>
    <w:rsid w:val="00B53552"/>
    <w:rsid w:val="00B57389"/>
    <w:rsid w:val="00B604AD"/>
    <w:rsid w:val="00B77400"/>
    <w:rsid w:val="00BB6610"/>
    <w:rsid w:val="00BE48BE"/>
    <w:rsid w:val="00C436F6"/>
    <w:rsid w:val="00C86BE7"/>
    <w:rsid w:val="00CA4F7A"/>
    <w:rsid w:val="00D130F4"/>
    <w:rsid w:val="00D23C91"/>
    <w:rsid w:val="00D44E09"/>
    <w:rsid w:val="00D51C51"/>
    <w:rsid w:val="00DD449D"/>
    <w:rsid w:val="00E104B0"/>
    <w:rsid w:val="00E17877"/>
    <w:rsid w:val="00E17DE1"/>
    <w:rsid w:val="00EA6A73"/>
    <w:rsid w:val="00F41B06"/>
    <w:rsid w:val="00F55F5E"/>
    <w:rsid w:val="00F70D21"/>
    <w:rsid w:val="00FA651B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C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633CF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633CF1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633CF1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633CF1"/>
    <w:pPr>
      <w:numPr>
        <w:ilvl w:val="2"/>
        <w:numId w:val="1"/>
      </w:numPr>
      <w:tabs>
        <w:tab w:val="clear" w:pos="2304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hAnsi="Times New Roman" w:cs="Times New Roman"/>
      <w:sz w:val="24"/>
      <w:lang w:val="es-ES"/>
    </w:rPr>
  </w:style>
  <w:style w:type="paragraph" w:customStyle="1" w:styleId="SubSubPar">
    <w:name w:val="SubSubPar"/>
    <w:basedOn w:val="subpar"/>
    <w:rsid w:val="00633CF1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ChapterChar">
    <w:name w:val="Chapter Char"/>
    <w:basedOn w:val="DefaultParagraphFont"/>
    <w:link w:val="Chapter"/>
    <w:rsid w:val="00633CF1"/>
    <w:rPr>
      <w:rFonts w:ascii="Times New Roman" w:eastAsiaTheme="minorEastAsia" w:hAnsi="Times New Roman" w:cs="Times New Roman"/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C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CF1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C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F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381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E48B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8B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48BE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8BE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C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633CF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633CF1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633CF1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633CF1"/>
    <w:pPr>
      <w:numPr>
        <w:ilvl w:val="2"/>
        <w:numId w:val="1"/>
      </w:numPr>
      <w:tabs>
        <w:tab w:val="clear" w:pos="2304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hAnsi="Times New Roman" w:cs="Times New Roman"/>
      <w:sz w:val="24"/>
      <w:lang w:val="es-ES"/>
    </w:rPr>
  </w:style>
  <w:style w:type="paragraph" w:customStyle="1" w:styleId="SubSubPar">
    <w:name w:val="SubSubPar"/>
    <w:basedOn w:val="subpar"/>
    <w:rsid w:val="00633CF1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ChapterChar">
    <w:name w:val="Chapter Char"/>
    <w:basedOn w:val="DefaultParagraphFont"/>
    <w:link w:val="Chapter"/>
    <w:rsid w:val="00633CF1"/>
    <w:rPr>
      <w:rFonts w:ascii="Times New Roman" w:eastAsiaTheme="minorEastAsia" w:hAnsi="Times New Roman" w:cs="Times New Roman"/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C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CF1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C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F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381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E48B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8B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48BE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8B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38870665</IDBDocs_x0020_Number>
    <TaxCatchAll xmlns="9c571b2f-e523-4ab2-ba2e-09e151a03ef4">
      <Value>10</Value>
      <Value>1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Meeting, Minute and Agenda</TermName>
          <TermId xmlns="http://schemas.microsoft.com/office/infopath/2007/PartnerControls">531aa465-40e4-4f83-8a1f-e8429f09d7e7</TermId>
        </TermInfo>
      </Terms>
    </o5138a91267540169645e33d09c9ddc6>
    <Approval_x0020_Number xmlns="9c571b2f-e523-4ab2-ba2e-09e151a03ef4">ATN/FI-14553-CR</Approval_x0020_Number>
    <Document_x0020_Author xmlns="9c571b2f-e523-4ab2-ba2e-09e151a03ef4">Barreix, Alberto Daniel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fd0e48b6a66848a9885f717e5bbf40c4>
    <Project_x0020_Number xmlns="9c571b2f-e523-4ab2-ba2e-09e151a03ef4">CR-T1097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document&lt;/USER_STAGE&gt;&lt;PD_OBJ_TYPE&gt;0&lt;/PD_OBJ_TYPE&gt;&lt;MAKERECORD&gt;N&lt;/MAKERECORD&gt;&lt;PD_FILEPT_NO&gt;PO-CR-Adm&lt;/PD_FILEPT_NO&gt;&lt;/Data&gt;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RM-FIS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DD9E14A3F740449A611F6C0ED02F43" ma:contentTypeVersion="0" ma:contentTypeDescription="A content type to manage public (operations) IDB documents" ma:contentTypeScope="" ma:versionID="145c95ece99dc3d1aa396a13f6a5faf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96ae2e624e7d310f1e6430ec192223d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db6c033-4b73-40ff-9740-b50d2208f1e8}" ma:internalName="TaxCatchAll" ma:showField="CatchAllData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db6c033-4b73-40ff-9740-b50d2208f1e8}" ma:internalName="TaxCatchAllLabel" ma:readOnly="true" ma:showField="CatchAllDataLabel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ED1246-F01D-4C5A-97FE-016F6B346BDB}"/>
</file>

<file path=customXml/itemProps2.xml><?xml version="1.0" encoding="utf-8"?>
<ds:datastoreItem xmlns:ds="http://schemas.openxmlformats.org/officeDocument/2006/customXml" ds:itemID="{80B660FD-1AB3-4F4C-9024-5DC9BB3BBF83}"/>
</file>

<file path=customXml/itemProps3.xml><?xml version="1.0" encoding="utf-8"?>
<ds:datastoreItem xmlns:ds="http://schemas.openxmlformats.org/officeDocument/2006/customXml" ds:itemID="{77C9F84A-E7AD-41FC-BBCE-839D538FA1ED}"/>
</file>

<file path=customXml/itemProps4.xml><?xml version="1.0" encoding="utf-8"?>
<ds:datastoreItem xmlns:ds="http://schemas.openxmlformats.org/officeDocument/2006/customXml" ds:itemID="{FF98AB68-15D5-4AE7-9372-13A6DCA5359E}"/>
</file>

<file path=customXml/itemProps5.xml><?xml version="1.0" encoding="utf-8"?>
<ds:datastoreItem xmlns:ds="http://schemas.openxmlformats.org/officeDocument/2006/customXml" ds:itemID="{913EAA48-441D-4300-93E3-A23B0F634F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4614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de propuesta de Reforma de la Politica salarial del Sector Público en Costa Rica</dc:title>
  <dc:creator>Test</dc:creator>
  <cp:lastModifiedBy>marinam</cp:lastModifiedBy>
  <cp:revision>2</cp:revision>
  <dcterms:created xsi:type="dcterms:W3CDTF">2014-06-19T16:04:00Z</dcterms:created>
  <dcterms:modified xsi:type="dcterms:W3CDTF">2014-06-19T16:04:00Z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0x01010046CF21643EE8D14686A648AA6DAD0892009CDD9E14A3F740449A611F6C0ED02F43</vt:lpwstr>
  </property>
  <property fmtid="{D5CDD505-2E9C-101B-9397-08002B2CF9AE}" pid="3" name="TaxKeyword">
    <vt:lpwstr/>
  </property>
  <property fmtid="{D5CDD505-2E9C-101B-9397-08002B2CF9AE}" pid="4" name="Function Operations IDB">
    <vt:lpwstr>1;#Project Administration|751f71fd-1433-4702-a2db-ff12a4e45594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10;#Meeting, Minute and Agenda|531aa465-40e4-4f83-8a1f-e8429f09d7e7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10;#Meeting, Minute and Agenda|531aa465-40e4-4f83-8a1f-e8429f09d7e7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