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D54A89" w14:textId="77777777" w:rsidR="00D429F7" w:rsidRDefault="00BB1CF9">
      <w:pPr>
        <w:spacing w:before="200" w:after="200"/>
        <w:jc w:val="center"/>
      </w:pPr>
      <w:r>
        <w:rPr>
          <w:rFonts w:ascii="Arial" w:hAnsi="Arial" w:cs="Arial"/>
          <w:b/>
        </w:rPr>
        <w:t>TC ABSTRACT</w:t>
      </w:r>
    </w:p>
    <w:p w14:paraId="62991C58" w14:textId="77777777" w:rsidR="00D429F7" w:rsidRDefault="00BB1CF9">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46"/>
        <w:gridCol w:w="4974"/>
      </w:tblGrid>
      <w:tr w:rsidR="00D429F7" w14:paraId="495D4366" w14:textId="77777777">
        <w:trPr>
          <w:jc w:val="center"/>
        </w:trPr>
        <w:tc>
          <w:tcPr>
            <w:tcW w:w="5250" w:type="dxa"/>
          </w:tcPr>
          <w:p w14:paraId="26E14D1D" w14:textId="77777777" w:rsidR="00D429F7" w:rsidRDefault="00BB1CF9">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6750" w:type="dxa"/>
          </w:tcPr>
          <w:p w14:paraId="2C580FA7" w14:textId="77777777" w:rsidR="00D429F7" w:rsidRDefault="00BB1CF9">
            <w:pPr>
              <w:spacing w:before="40" w:after="40"/>
            </w:pPr>
            <w:r>
              <w:rPr>
                <w:rFonts w:ascii="Arial" w:hAnsi="Arial" w:cs="Arial"/>
                <w:sz w:val="18"/>
                <w:szCs w:val="18"/>
              </w:rPr>
              <w:t>CHILE/CSC - Southern Cone</w:t>
            </w:r>
          </w:p>
        </w:tc>
      </w:tr>
      <w:tr w:rsidR="00D429F7" w14:paraId="554C118B" w14:textId="77777777">
        <w:trPr>
          <w:jc w:val="center"/>
        </w:trPr>
        <w:tc>
          <w:tcPr>
            <w:tcW w:w="5250" w:type="dxa"/>
          </w:tcPr>
          <w:p w14:paraId="19EF6FB5" w14:textId="77777777" w:rsidR="00D429F7" w:rsidRDefault="00BB1CF9">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6750" w:type="dxa"/>
          </w:tcPr>
          <w:p w14:paraId="119D2974" w14:textId="77777777" w:rsidR="00D429F7" w:rsidRDefault="00BB1CF9">
            <w:pPr>
              <w:spacing w:before="40" w:after="40"/>
            </w:pPr>
            <w:r>
              <w:rPr>
                <w:rFonts w:ascii="Arial" w:hAnsi="Arial" w:cs="Arial"/>
                <w:sz w:val="18"/>
                <w:szCs w:val="18"/>
              </w:rPr>
              <w:t>Connecting Opportunities in the COVID Age</w:t>
            </w:r>
          </w:p>
        </w:tc>
      </w:tr>
      <w:tr w:rsidR="00D429F7" w14:paraId="45E66EBC" w14:textId="77777777">
        <w:trPr>
          <w:jc w:val="center"/>
        </w:trPr>
        <w:tc>
          <w:tcPr>
            <w:tcW w:w="5250" w:type="dxa"/>
          </w:tcPr>
          <w:p w14:paraId="6249E97F" w14:textId="77777777" w:rsidR="00D429F7" w:rsidRDefault="00BB1CF9">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6750" w:type="dxa"/>
          </w:tcPr>
          <w:p w14:paraId="488F8B79" w14:textId="77777777" w:rsidR="00D429F7" w:rsidRDefault="00BB1CF9">
            <w:pPr>
              <w:spacing w:before="40" w:after="40"/>
            </w:pPr>
            <w:r>
              <w:rPr>
                <w:rFonts w:ascii="Arial" w:hAnsi="Arial" w:cs="Arial"/>
                <w:sz w:val="18"/>
                <w:szCs w:val="18"/>
              </w:rPr>
              <w:t>CH-T1233</w:t>
            </w:r>
          </w:p>
        </w:tc>
      </w:tr>
      <w:tr w:rsidR="00D429F7" w14:paraId="76C290F0" w14:textId="77777777">
        <w:trPr>
          <w:jc w:val="center"/>
        </w:trPr>
        <w:tc>
          <w:tcPr>
            <w:tcW w:w="5250" w:type="dxa"/>
          </w:tcPr>
          <w:p w14:paraId="3432EA9B" w14:textId="77777777" w:rsidR="00D429F7" w:rsidRDefault="00BB1CF9">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6750" w:type="dxa"/>
          </w:tcPr>
          <w:p w14:paraId="205EFAA7" w14:textId="365C65C3" w:rsidR="00D429F7" w:rsidRPr="0057702C" w:rsidRDefault="0057702C" w:rsidP="0057702C">
            <w:pPr>
              <w:spacing w:before="40" w:after="40"/>
              <w:jc w:val="both"/>
              <w:rPr>
                <w:rFonts w:ascii="Arial" w:hAnsi="Arial" w:cs="Arial"/>
                <w:sz w:val="18"/>
                <w:szCs w:val="18"/>
              </w:rPr>
            </w:pPr>
            <w:r>
              <w:rPr>
                <w:rFonts w:ascii="Arial" w:hAnsi="Arial" w:cs="Arial"/>
                <w:sz w:val="18"/>
                <w:szCs w:val="18"/>
              </w:rPr>
              <w:t xml:space="preserve">Alaimo, Veronica </w:t>
            </w:r>
            <w:r w:rsidR="00BB1CF9">
              <w:rPr>
                <w:rFonts w:ascii="Arial" w:hAnsi="Arial" w:cs="Arial"/>
                <w:sz w:val="18"/>
                <w:szCs w:val="18"/>
              </w:rPr>
              <w:t xml:space="preserve">(SCL/LMK) Team Leader; </w:t>
            </w:r>
            <w:r>
              <w:rPr>
                <w:rFonts w:ascii="Arial" w:hAnsi="Arial" w:cs="Arial"/>
                <w:sz w:val="18"/>
                <w:szCs w:val="18"/>
              </w:rPr>
              <w:t xml:space="preserve">Rucci, Graciana </w:t>
            </w:r>
            <w:r w:rsidR="00BB1CF9">
              <w:rPr>
                <w:rFonts w:ascii="Arial" w:hAnsi="Arial" w:cs="Arial"/>
                <w:sz w:val="18"/>
                <w:szCs w:val="18"/>
              </w:rPr>
              <w:t xml:space="preserve">(SCL/LMK) </w:t>
            </w:r>
            <w:r w:rsidR="00BB1CF9">
              <w:rPr>
                <w:rFonts w:ascii="Arial" w:hAnsi="Arial" w:cs="Arial"/>
                <w:sz w:val="18"/>
                <w:szCs w:val="18"/>
              </w:rPr>
              <w:t xml:space="preserve">Alternate Team Leader; </w:t>
            </w:r>
            <w:r>
              <w:rPr>
                <w:rFonts w:ascii="Arial" w:hAnsi="Arial" w:cs="Arial"/>
                <w:sz w:val="18"/>
                <w:szCs w:val="18"/>
              </w:rPr>
              <w:t xml:space="preserve">Muhlstein, Ethel Rosa </w:t>
            </w:r>
            <w:r w:rsidR="00BB1CF9">
              <w:rPr>
                <w:rFonts w:ascii="Arial" w:hAnsi="Arial" w:cs="Arial"/>
                <w:sz w:val="18"/>
                <w:szCs w:val="18"/>
              </w:rPr>
              <w:t xml:space="preserve">(SCL/LMK); </w:t>
            </w:r>
            <w:r>
              <w:rPr>
                <w:rFonts w:ascii="Arial" w:hAnsi="Arial" w:cs="Arial"/>
                <w:sz w:val="18"/>
                <w:szCs w:val="18"/>
              </w:rPr>
              <w:t xml:space="preserve">Ospino Hernandez, Carlos Gustavo </w:t>
            </w:r>
            <w:r w:rsidR="00BB1CF9">
              <w:rPr>
                <w:rFonts w:ascii="Arial" w:hAnsi="Arial" w:cs="Arial"/>
                <w:sz w:val="18"/>
                <w:szCs w:val="18"/>
              </w:rPr>
              <w:t xml:space="preserve">(SCL/LMK); </w:t>
            </w:r>
            <w:r>
              <w:rPr>
                <w:rFonts w:ascii="Arial" w:hAnsi="Arial" w:cs="Arial"/>
                <w:sz w:val="18"/>
                <w:szCs w:val="18"/>
              </w:rPr>
              <w:t xml:space="preserve">Garcia Valero, Andrea Carolina </w:t>
            </w:r>
            <w:r w:rsidR="00BB1CF9">
              <w:rPr>
                <w:rFonts w:ascii="Arial" w:hAnsi="Arial" w:cs="Arial"/>
                <w:sz w:val="18"/>
                <w:szCs w:val="18"/>
              </w:rPr>
              <w:t xml:space="preserve">(SCL/LMK); </w:t>
            </w:r>
            <w:r>
              <w:rPr>
                <w:rFonts w:ascii="Arial" w:hAnsi="Arial" w:cs="Arial"/>
                <w:sz w:val="18"/>
                <w:szCs w:val="18"/>
              </w:rPr>
              <w:t>y Casalino Franciskovic, Juan Manuel</w:t>
            </w:r>
            <w:r w:rsidR="00BB1CF9">
              <w:rPr>
                <w:rFonts w:ascii="Arial" w:hAnsi="Arial" w:cs="Arial"/>
                <w:sz w:val="18"/>
                <w:szCs w:val="18"/>
              </w:rPr>
              <w:t xml:space="preserve"> (LEG/SGO)</w:t>
            </w:r>
            <w:r>
              <w:rPr>
                <w:rFonts w:ascii="Arial" w:hAnsi="Arial" w:cs="Arial"/>
                <w:sz w:val="18"/>
                <w:szCs w:val="18"/>
              </w:rPr>
              <w:t>.</w:t>
            </w:r>
          </w:p>
        </w:tc>
      </w:tr>
      <w:tr w:rsidR="00D429F7" w14:paraId="370FAD0B" w14:textId="77777777">
        <w:trPr>
          <w:jc w:val="center"/>
        </w:trPr>
        <w:tc>
          <w:tcPr>
            <w:tcW w:w="5250" w:type="dxa"/>
          </w:tcPr>
          <w:p w14:paraId="213F30D7" w14:textId="77777777" w:rsidR="00D429F7" w:rsidRDefault="00BB1CF9">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6750" w:type="dxa"/>
          </w:tcPr>
          <w:p w14:paraId="10416015" w14:textId="77777777" w:rsidR="00D429F7" w:rsidRDefault="00BB1CF9">
            <w:pPr>
              <w:spacing w:before="40" w:after="40"/>
            </w:pPr>
            <w:r>
              <w:rPr>
                <w:rFonts w:ascii="Arial" w:hAnsi="Arial" w:cs="Arial"/>
                <w:sz w:val="18"/>
                <w:szCs w:val="18"/>
              </w:rPr>
              <w:t>Research and Dissemination</w:t>
            </w:r>
          </w:p>
        </w:tc>
      </w:tr>
      <w:tr w:rsidR="00D429F7" w14:paraId="745B807B" w14:textId="77777777">
        <w:trPr>
          <w:jc w:val="center"/>
        </w:trPr>
        <w:tc>
          <w:tcPr>
            <w:tcW w:w="5250" w:type="dxa"/>
          </w:tcPr>
          <w:p w14:paraId="6F6E474D" w14:textId="77777777" w:rsidR="00D429F7" w:rsidRDefault="00BB1CF9">
            <w:pPr>
              <w:spacing w:before="40" w:after="40"/>
              <w:ind w:left="115" w:hanging="115"/>
            </w:pPr>
            <w:r>
              <w:rPr>
                <w:rFonts w:ascii="Arial" w:hAnsi="Arial" w:cs="Arial"/>
                <w:sz w:val="18"/>
                <w:szCs w:val="18"/>
              </w:rPr>
              <w:t>▪</w:t>
            </w:r>
            <w:r>
              <w:rPr>
                <w:rFonts w:ascii="Arial" w:hAnsi="Arial" w:cs="Arial"/>
                <w:sz w:val="18"/>
                <w:szCs w:val="18"/>
              </w:rPr>
              <w:t xml:space="preserve"> Number and name of </w:t>
            </w:r>
            <w:r>
              <w:rPr>
                <w:rFonts w:ascii="Arial" w:hAnsi="Arial" w:cs="Arial"/>
                <w:sz w:val="18"/>
                <w:szCs w:val="18"/>
              </w:rPr>
              <w:t>operation supported by the TC:</w:t>
            </w:r>
          </w:p>
        </w:tc>
        <w:tc>
          <w:tcPr>
            <w:tcW w:w="6750" w:type="dxa"/>
          </w:tcPr>
          <w:p w14:paraId="74B239AC" w14:textId="77777777" w:rsidR="00D429F7" w:rsidRDefault="00BB1CF9">
            <w:pPr>
              <w:spacing w:before="40" w:after="40"/>
            </w:pPr>
            <w:r>
              <w:rPr>
                <w:rFonts w:ascii="Arial" w:hAnsi="Arial" w:cs="Arial"/>
                <w:sz w:val="18"/>
                <w:szCs w:val="18"/>
              </w:rPr>
              <w:t>N/A</w:t>
            </w:r>
          </w:p>
        </w:tc>
      </w:tr>
      <w:tr w:rsidR="00D429F7" w14:paraId="08057CDB" w14:textId="77777777">
        <w:trPr>
          <w:jc w:val="center"/>
        </w:trPr>
        <w:tc>
          <w:tcPr>
            <w:tcW w:w="5250" w:type="dxa"/>
          </w:tcPr>
          <w:p w14:paraId="755CD868" w14:textId="77777777" w:rsidR="00D429F7" w:rsidRDefault="00BB1CF9">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6750" w:type="dxa"/>
          </w:tcPr>
          <w:p w14:paraId="05E6F303" w14:textId="77777777" w:rsidR="00D429F7" w:rsidRDefault="00BB1CF9">
            <w:pPr>
              <w:spacing w:before="40" w:after="40"/>
            </w:pPr>
            <w:r>
              <w:rPr>
                <w:rFonts w:ascii="Arial" w:hAnsi="Arial" w:cs="Arial"/>
                <w:sz w:val="18"/>
                <w:szCs w:val="18"/>
              </w:rPr>
              <w:t>10 Apr 2020</w:t>
            </w:r>
          </w:p>
        </w:tc>
      </w:tr>
      <w:tr w:rsidR="00D429F7" w14:paraId="773490CB" w14:textId="77777777">
        <w:trPr>
          <w:jc w:val="center"/>
        </w:trPr>
        <w:tc>
          <w:tcPr>
            <w:tcW w:w="5250" w:type="dxa"/>
          </w:tcPr>
          <w:p w14:paraId="55938AF7" w14:textId="77777777" w:rsidR="00D429F7" w:rsidRDefault="00BB1CF9">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6750" w:type="dxa"/>
          </w:tcPr>
          <w:p w14:paraId="1847026B" w14:textId="77777777" w:rsidR="00D429F7" w:rsidRDefault="00BB1CF9">
            <w:pPr>
              <w:spacing w:before="40" w:after="40"/>
            </w:pPr>
            <w:r>
              <w:rPr>
                <w:rFonts w:ascii="Arial" w:hAnsi="Arial" w:cs="Arial"/>
                <w:sz w:val="18"/>
                <w:szCs w:val="18"/>
              </w:rPr>
              <w:t>Workers</w:t>
            </w:r>
          </w:p>
        </w:tc>
      </w:tr>
      <w:tr w:rsidR="00D429F7" w14:paraId="6A418AC9" w14:textId="77777777">
        <w:trPr>
          <w:jc w:val="center"/>
        </w:trPr>
        <w:tc>
          <w:tcPr>
            <w:tcW w:w="5250" w:type="dxa"/>
          </w:tcPr>
          <w:p w14:paraId="36A3B85A" w14:textId="77777777" w:rsidR="00D429F7" w:rsidRDefault="00BB1CF9">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6750" w:type="dxa"/>
          </w:tcPr>
          <w:p w14:paraId="41E4313B" w14:textId="77777777" w:rsidR="00D429F7" w:rsidRDefault="00BB1CF9">
            <w:pPr>
              <w:spacing w:before="40" w:after="40"/>
            </w:pPr>
            <w:r>
              <w:rPr>
                <w:rFonts w:ascii="Arial" w:hAnsi="Arial" w:cs="Arial"/>
                <w:sz w:val="18"/>
                <w:szCs w:val="18"/>
              </w:rPr>
              <w:t>INTER-AMERICAN DEVELOPMENT BANK</w:t>
            </w:r>
          </w:p>
        </w:tc>
      </w:tr>
      <w:tr w:rsidR="00D429F7" w14:paraId="1695B4D5" w14:textId="77777777">
        <w:trPr>
          <w:jc w:val="center"/>
        </w:trPr>
        <w:tc>
          <w:tcPr>
            <w:tcW w:w="5250" w:type="dxa"/>
          </w:tcPr>
          <w:p w14:paraId="6F761F80" w14:textId="77777777" w:rsidR="00D429F7" w:rsidRDefault="00BB1CF9">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6750" w:type="dxa"/>
          </w:tcPr>
          <w:p w14:paraId="21A37394" w14:textId="77777777" w:rsidR="00D429F7" w:rsidRDefault="00BB1CF9">
            <w:pPr>
              <w:bidi/>
              <w:spacing w:before="40" w:after="40"/>
            </w:pPr>
            <w:r>
              <w:rPr>
                <w:rFonts w:ascii="Arial" w:hAnsi="Arial" w:cs="Arial"/>
                <w:sz w:val="18"/>
                <w:szCs w:val="18"/>
              </w:rPr>
              <w:t>US$250,000.00</w:t>
            </w:r>
          </w:p>
        </w:tc>
      </w:tr>
      <w:tr w:rsidR="00D429F7" w14:paraId="6FB896E0" w14:textId="77777777">
        <w:trPr>
          <w:jc w:val="center"/>
        </w:trPr>
        <w:tc>
          <w:tcPr>
            <w:tcW w:w="5250" w:type="dxa"/>
          </w:tcPr>
          <w:p w14:paraId="08470E79" w14:textId="77777777" w:rsidR="00D429F7" w:rsidRDefault="00BB1CF9">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6750" w:type="dxa"/>
          </w:tcPr>
          <w:p w14:paraId="2902E930" w14:textId="77777777" w:rsidR="00D429F7" w:rsidRDefault="00BB1CF9">
            <w:pPr>
              <w:bidi/>
              <w:spacing w:before="40" w:after="40"/>
            </w:pPr>
            <w:r>
              <w:rPr>
                <w:rFonts w:ascii="Arial" w:hAnsi="Arial" w:cs="Arial"/>
                <w:sz w:val="18"/>
                <w:szCs w:val="18"/>
              </w:rPr>
              <w:t>US$0.00</w:t>
            </w:r>
          </w:p>
        </w:tc>
      </w:tr>
      <w:tr w:rsidR="00D429F7" w14:paraId="0EF9D01F" w14:textId="77777777">
        <w:trPr>
          <w:jc w:val="center"/>
        </w:trPr>
        <w:tc>
          <w:tcPr>
            <w:tcW w:w="5250" w:type="dxa"/>
          </w:tcPr>
          <w:p w14:paraId="1780F14F" w14:textId="77777777" w:rsidR="00D429F7" w:rsidRDefault="00BB1CF9">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6750" w:type="dxa"/>
          </w:tcPr>
          <w:p w14:paraId="48B626C3" w14:textId="77777777" w:rsidR="00D429F7" w:rsidRDefault="00BB1CF9">
            <w:pPr>
              <w:bidi/>
              <w:spacing w:before="40" w:after="40"/>
            </w:pPr>
            <w:r>
              <w:rPr>
                <w:rFonts w:ascii="Arial" w:hAnsi="Arial" w:cs="Arial"/>
                <w:sz w:val="18"/>
                <w:szCs w:val="18"/>
              </w:rPr>
              <w:t xml:space="preserve">24 </w:t>
            </w:r>
            <w:r>
              <w:rPr>
                <w:rFonts w:ascii="Arial" w:hAnsi="Arial" w:cs="Arial"/>
                <w:sz w:val="18"/>
                <w:szCs w:val="18"/>
              </w:rPr>
              <w:t>months</w:t>
            </w:r>
          </w:p>
        </w:tc>
      </w:tr>
      <w:tr w:rsidR="00D429F7" w14:paraId="571F5230" w14:textId="77777777">
        <w:trPr>
          <w:jc w:val="center"/>
        </w:trPr>
        <w:tc>
          <w:tcPr>
            <w:tcW w:w="5250" w:type="dxa"/>
          </w:tcPr>
          <w:p w14:paraId="20B20177" w14:textId="77777777" w:rsidR="00D429F7" w:rsidRDefault="00BB1CF9">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6750" w:type="dxa"/>
          </w:tcPr>
          <w:p w14:paraId="67EF01A7" w14:textId="77777777" w:rsidR="00D429F7" w:rsidRDefault="00BB1CF9">
            <w:pPr>
              <w:spacing w:before="40" w:after="40"/>
            </w:pPr>
            <w:r>
              <w:rPr>
                <w:rFonts w:ascii="Arial" w:hAnsi="Arial" w:cs="Arial"/>
                <w:sz w:val="18"/>
                <w:szCs w:val="18"/>
              </w:rPr>
              <w:t>Firms</w:t>
            </w:r>
          </w:p>
        </w:tc>
      </w:tr>
      <w:tr w:rsidR="00D429F7" w14:paraId="4A43771A" w14:textId="77777777">
        <w:trPr>
          <w:jc w:val="center"/>
        </w:trPr>
        <w:tc>
          <w:tcPr>
            <w:tcW w:w="5250" w:type="dxa"/>
          </w:tcPr>
          <w:p w14:paraId="67A0D234" w14:textId="77777777" w:rsidR="00D429F7" w:rsidRDefault="00BB1CF9">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6750" w:type="dxa"/>
          </w:tcPr>
          <w:p w14:paraId="1FACFBC5" w14:textId="77777777" w:rsidR="00D429F7" w:rsidRDefault="00BB1CF9">
            <w:pPr>
              <w:spacing w:before="40" w:after="40"/>
            </w:pPr>
            <w:r>
              <w:rPr>
                <w:rFonts w:ascii="Arial" w:hAnsi="Arial" w:cs="Arial"/>
                <w:sz w:val="18"/>
                <w:szCs w:val="18"/>
              </w:rPr>
              <w:t>SCL/LMK - Labor Markets</w:t>
            </w:r>
          </w:p>
        </w:tc>
      </w:tr>
      <w:tr w:rsidR="00D429F7" w14:paraId="4EC2D492" w14:textId="77777777">
        <w:trPr>
          <w:jc w:val="center"/>
        </w:trPr>
        <w:tc>
          <w:tcPr>
            <w:tcW w:w="5250" w:type="dxa"/>
          </w:tcPr>
          <w:p w14:paraId="193D05AD" w14:textId="77777777" w:rsidR="00D429F7" w:rsidRDefault="00BB1CF9">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6750" w:type="dxa"/>
          </w:tcPr>
          <w:p w14:paraId="550F8088" w14:textId="77777777" w:rsidR="00D429F7" w:rsidRDefault="00BB1CF9">
            <w:pPr>
              <w:spacing w:before="40" w:after="40"/>
            </w:pPr>
            <w:r>
              <w:rPr>
                <w:rFonts w:ascii="Arial" w:hAnsi="Arial" w:cs="Arial"/>
                <w:sz w:val="18"/>
                <w:szCs w:val="18"/>
              </w:rPr>
              <w:t>SCL - Social Sector</w:t>
            </w:r>
          </w:p>
        </w:tc>
      </w:tr>
      <w:tr w:rsidR="00D429F7" w14:paraId="25F3005E" w14:textId="77777777">
        <w:trPr>
          <w:jc w:val="center"/>
        </w:trPr>
        <w:tc>
          <w:tcPr>
            <w:tcW w:w="5250" w:type="dxa"/>
          </w:tcPr>
          <w:p w14:paraId="2361C5D9" w14:textId="77777777" w:rsidR="00D429F7" w:rsidRDefault="00BB1CF9">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r>
            <w:r>
              <w:rPr>
                <w:rFonts w:ascii="Arial" w:hAnsi="Arial" w:cs="Arial"/>
                <w:sz w:val="18"/>
                <w:szCs w:val="18"/>
              </w:rPr>
              <w:br/>
              <w:t>▪ TC included in CPD (y/n):</w:t>
            </w:r>
          </w:p>
        </w:tc>
        <w:tc>
          <w:tcPr>
            <w:tcW w:w="6750" w:type="dxa"/>
          </w:tcPr>
          <w:p w14:paraId="78EFE361" w14:textId="77777777" w:rsidR="00D429F7" w:rsidRDefault="00BB1CF9">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t>Yes</w:t>
            </w:r>
          </w:p>
        </w:tc>
      </w:tr>
      <w:tr w:rsidR="00D429F7" w14:paraId="6EA80988" w14:textId="77777777">
        <w:trPr>
          <w:jc w:val="center"/>
        </w:trPr>
        <w:tc>
          <w:tcPr>
            <w:tcW w:w="5250" w:type="dxa"/>
          </w:tcPr>
          <w:p w14:paraId="7661E100" w14:textId="77777777" w:rsidR="00D429F7" w:rsidRDefault="00BB1CF9">
            <w:pPr>
              <w:spacing w:before="40" w:after="40"/>
              <w:ind w:left="115" w:hanging="115"/>
            </w:pPr>
            <w:r>
              <w:rPr>
                <w:rFonts w:ascii="Arial" w:hAnsi="Arial" w:cs="Arial"/>
                <w:sz w:val="18"/>
                <w:szCs w:val="18"/>
              </w:rPr>
              <w:t>▪</w:t>
            </w:r>
            <w:r>
              <w:rPr>
                <w:rFonts w:ascii="Arial" w:hAnsi="Arial" w:cs="Arial"/>
                <w:sz w:val="18"/>
                <w:szCs w:val="18"/>
              </w:rPr>
              <w:t xml:space="preserve"> Alignment to the Update to </w:t>
            </w:r>
            <w:r>
              <w:rPr>
                <w:rFonts w:ascii="Arial" w:hAnsi="Arial" w:cs="Arial"/>
                <w:sz w:val="18"/>
                <w:szCs w:val="18"/>
              </w:rPr>
              <w:t>the Institutional Strategy 2010-2020:</w:t>
            </w:r>
          </w:p>
        </w:tc>
        <w:tc>
          <w:tcPr>
            <w:tcW w:w="6750" w:type="dxa"/>
          </w:tcPr>
          <w:p w14:paraId="2401A873" w14:textId="27F7A1C8" w:rsidR="00D429F7" w:rsidRDefault="00BB1CF9">
            <w:pPr>
              <w:spacing w:before="40" w:after="40"/>
            </w:pPr>
            <w:r>
              <w:rPr>
                <w:rFonts w:ascii="Arial" w:hAnsi="Arial" w:cs="Arial"/>
                <w:sz w:val="18"/>
                <w:szCs w:val="18"/>
              </w:rPr>
              <w:t xml:space="preserve">Productivity and </w:t>
            </w:r>
            <w:r w:rsidR="0057702C">
              <w:rPr>
                <w:rFonts w:ascii="Arial" w:hAnsi="Arial" w:cs="Arial"/>
                <w:sz w:val="18"/>
                <w:szCs w:val="18"/>
              </w:rPr>
              <w:t>innovation;</w:t>
            </w:r>
            <w:r>
              <w:rPr>
                <w:rFonts w:ascii="Arial" w:hAnsi="Arial" w:cs="Arial"/>
                <w:sz w:val="18"/>
                <w:szCs w:val="18"/>
              </w:rPr>
              <w:t xml:space="preserve"> </w:t>
            </w:r>
            <w:r w:rsidR="0057702C">
              <w:rPr>
                <w:rFonts w:ascii="Arial" w:hAnsi="Arial" w:cs="Arial"/>
                <w:sz w:val="18"/>
                <w:szCs w:val="18"/>
              </w:rPr>
              <w:t xml:space="preserve">and </w:t>
            </w:r>
            <w:r>
              <w:rPr>
                <w:rFonts w:ascii="Arial" w:hAnsi="Arial" w:cs="Arial"/>
                <w:sz w:val="18"/>
                <w:szCs w:val="18"/>
              </w:rPr>
              <w:t>Gender equality</w:t>
            </w:r>
            <w:r w:rsidR="0057702C">
              <w:rPr>
                <w:rFonts w:ascii="Arial" w:hAnsi="Arial" w:cs="Arial"/>
                <w:sz w:val="18"/>
                <w:szCs w:val="18"/>
              </w:rPr>
              <w:t>.</w:t>
            </w:r>
          </w:p>
        </w:tc>
      </w:tr>
      <w:tr w:rsidR="00D429F7" w14:paraId="33F50916" w14:textId="77777777">
        <w:trPr>
          <w:jc w:val="center"/>
        </w:trPr>
        <w:tc>
          <w:tcPr>
            <w:tcW w:w="5250" w:type="dxa"/>
          </w:tcPr>
          <w:p w14:paraId="3F82AABB" w14:textId="77777777" w:rsidR="00D429F7" w:rsidRDefault="00D429F7"/>
        </w:tc>
        <w:tc>
          <w:tcPr>
            <w:tcW w:w="6750" w:type="dxa"/>
          </w:tcPr>
          <w:p w14:paraId="12DC9962" w14:textId="77777777" w:rsidR="00D429F7" w:rsidRDefault="00D429F7"/>
        </w:tc>
      </w:tr>
    </w:tbl>
    <w:p w14:paraId="5A6A6B94" w14:textId="77777777" w:rsidR="00D429F7" w:rsidRDefault="00BB1CF9">
      <w:pPr>
        <w:spacing w:before="120" w:after="120"/>
        <w:ind w:left="579" w:hanging="579"/>
      </w:pPr>
      <w:r>
        <w:rPr>
          <w:rFonts w:ascii="Arial" w:hAnsi="Arial" w:cs="Arial"/>
          <w:b/>
        </w:rPr>
        <w:t>II.</w:t>
      </w:r>
      <w:r>
        <w:rPr>
          <w:rFonts w:ascii="Arial" w:hAnsi="Arial" w:cs="Arial"/>
          <w:b/>
        </w:rPr>
        <w:tab/>
        <w:t>Objective and Justification</w:t>
      </w:r>
    </w:p>
    <w:p w14:paraId="3FADFDC2" w14:textId="23367A13" w:rsidR="00D429F7" w:rsidRDefault="00BB1CF9">
      <w:pPr>
        <w:spacing w:before="120" w:after="120"/>
        <w:ind w:left="579" w:hanging="579"/>
        <w:jc w:val="both"/>
      </w:pPr>
      <w:r>
        <w:rPr>
          <w:rFonts w:ascii="Arial" w:hAnsi="Arial" w:cs="Arial"/>
        </w:rPr>
        <w:t>2.1</w:t>
      </w:r>
      <w:r>
        <w:rPr>
          <w:rFonts w:ascii="Arial" w:hAnsi="Arial" w:cs="Arial"/>
        </w:rPr>
        <w:tab/>
        <w:t xml:space="preserve">The objective of the TC is to support the development </w:t>
      </w:r>
      <w:r w:rsidR="0057702C">
        <w:rPr>
          <w:rFonts w:ascii="Arial" w:hAnsi="Arial" w:cs="Arial"/>
        </w:rPr>
        <w:t>of online</w:t>
      </w:r>
      <w:r>
        <w:rPr>
          <w:rFonts w:ascii="Arial" w:hAnsi="Arial" w:cs="Arial"/>
        </w:rPr>
        <w:t xml:space="preserve"> tools that will provide working age individuals </w:t>
      </w:r>
      <w:r>
        <w:rPr>
          <w:rFonts w:ascii="Arial" w:hAnsi="Arial" w:cs="Arial"/>
        </w:rPr>
        <w:t>information on jobs and skills demanded and training opportunities for job insertion during and after COVID pandemic.</w:t>
      </w:r>
    </w:p>
    <w:p w14:paraId="38F0DB62" w14:textId="3CD37A82" w:rsidR="0057702C" w:rsidRDefault="00BB1CF9">
      <w:pPr>
        <w:spacing w:before="120" w:after="120"/>
        <w:ind w:left="579" w:hanging="579"/>
        <w:jc w:val="both"/>
        <w:rPr>
          <w:rFonts w:ascii="Arial" w:hAnsi="Arial" w:cs="Arial"/>
        </w:rPr>
      </w:pPr>
      <w:r>
        <w:rPr>
          <w:rFonts w:ascii="Arial" w:hAnsi="Arial" w:cs="Arial"/>
        </w:rPr>
        <w:t>2.2</w:t>
      </w:r>
      <w:r>
        <w:rPr>
          <w:rFonts w:ascii="Arial" w:hAnsi="Arial" w:cs="Arial"/>
        </w:rPr>
        <w:tab/>
        <w:t xml:space="preserve">In 2019, the Chilean private sector was demanding support to reskill and upskill personnel to avoid dismissals related to the digital </w:t>
      </w:r>
      <w:r>
        <w:rPr>
          <w:rFonts w:ascii="Arial" w:hAnsi="Arial" w:cs="Arial"/>
        </w:rPr>
        <w:t xml:space="preserve">transformation of the economy, especially in retail and banking. It was estimated that 2 million people had highly routine jobs with great potential to be automated by technological change. </w:t>
      </w:r>
      <w:r>
        <w:rPr>
          <w:rFonts w:ascii="Arial" w:hAnsi="Arial" w:cs="Arial"/>
        </w:rPr>
        <w:t>Suddenly, in October 2019 the country suffered a major social cri</w:t>
      </w:r>
      <w:r>
        <w:rPr>
          <w:rFonts w:ascii="Arial" w:hAnsi="Arial" w:cs="Arial"/>
        </w:rPr>
        <w:t>sis that disrupted normal operations of public transportation and forced the closing of many stores. For the first 3-4 weeks after the crisis, many workers started teleworking while others lost their jobs. The Government and private sector started collabor</w:t>
      </w:r>
      <w:r>
        <w:rPr>
          <w:rFonts w:ascii="Arial" w:hAnsi="Arial" w:cs="Arial"/>
        </w:rPr>
        <w:t>ating to recover from the crisis with a social and a private sector agenda. Only 5</w:t>
      </w:r>
      <w:r w:rsidR="0057702C">
        <w:rPr>
          <w:rFonts w:ascii="Arial" w:hAnsi="Arial" w:cs="Arial"/>
        </w:rPr>
        <w:t> </w:t>
      </w:r>
      <w:r>
        <w:rPr>
          <w:rFonts w:ascii="Arial" w:hAnsi="Arial" w:cs="Arial"/>
        </w:rPr>
        <w:t>months later, the COVID pandemic paralyzed the country (and the world) and preliminary estimations suggest formal jobs could fall between 4.6% and 15.7% (Azuara et al, 2020)</w:t>
      </w:r>
      <w:r>
        <w:rPr>
          <w:rFonts w:ascii="Arial" w:hAnsi="Arial" w:cs="Arial"/>
        </w:rPr>
        <w:t xml:space="preserve">. These estimates put pressure on the need to be prepared to support job seekers during and after the COVID crisis to be ready to find a job. </w:t>
      </w:r>
    </w:p>
    <w:p w14:paraId="10ECD206" w14:textId="297C6CCC" w:rsidR="00D429F7" w:rsidRDefault="0057702C">
      <w:pPr>
        <w:spacing w:before="120" w:after="120"/>
        <w:ind w:left="579" w:hanging="579"/>
        <w:jc w:val="both"/>
      </w:pPr>
      <w:r>
        <w:rPr>
          <w:rFonts w:ascii="Arial" w:hAnsi="Arial" w:cs="Arial"/>
        </w:rPr>
        <w:t>2.3</w:t>
      </w:r>
      <w:r>
        <w:rPr>
          <w:rFonts w:ascii="Arial" w:hAnsi="Arial" w:cs="Arial"/>
        </w:rPr>
        <w:tab/>
      </w:r>
      <w:r w:rsidR="00BB1CF9">
        <w:rPr>
          <w:rFonts w:ascii="Arial" w:hAnsi="Arial" w:cs="Arial"/>
        </w:rPr>
        <w:t>In 2019, the Bank started to collaborate with Fundación Telefonica and the Government of Chile in the development</w:t>
      </w:r>
      <w:r w:rsidR="00BB1CF9">
        <w:rPr>
          <w:rFonts w:ascii="Arial" w:hAnsi="Arial" w:cs="Arial"/>
        </w:rPr>
        <w:t xml:space="preserve"> of two platform solutions that will use Big Data technology and Artificial Intelligence (AI) mechanisms to analyze the labor market of Chile. Both tools will be open, published as a public good. On the one hand, </w:t>
      </w:r>
      <w:r w:rsidR="00BB1CF9">
        <w:rPr>
          <w:rFonts w:ascii="Arial" w:hAnsi="Arial" w:cs="Arial"/>
        </w:rPr>
        <w:lastRenderedPageBreak/>
        <w:t>a web platform (Employment Map) that offers</w:t>
      </w:r>
      <w:r w:rsidR="00BB1CF9">
        <w:rPr>
          <w:rFonts w:ascii="Arial" w:hAnsi="Arial" w:cs="Arial"/>
        </w:rPr>
        <w:t xml:space="preserve"> information on the demand of the different professions in the country and the most requested digital skills, and on the other, a chatbot (Virtual Professional Counselor) that offers labor and training advice to improve the employability of the general pop</w:t>
      </w:r>
      <w:r w:rsidR="00BB1CF9">
        <w:rPr>
          <w:rFonts w:ascii="Arial" w:hAnsi="Arial" w:cs="Arial"/>
        </w:rPr>
        <w:t>ulation. Both tools offer recent labor market information, useful not only for decision-making of people without work (or at risk of losing it), but also for governments and training entities in policy design and public and private programs for more effici</w:t>
      </w:r>
      <w:r w:rsidR="00BB1CF9">
        <w:rPr>
          <w:rFonts w:ascii="Arial" w:hAnsi="Arial" w:cs="Arial"/>
        </w:rPr>
        <w:t>ent guidance, training and intermediation based on data on the needs of individuals and companies. The benefits of these tools are enhanced by the current situation: these are online tools, available from any digital device, and the need to have informatio</w:t>
      </w:r>
      <w:r w:rsidR="00BB1CF9">
        <w:rPr>
          <w:rFonts w:ascii="Arial" w:hAnsi="Arial" w:cs="Arial"/>
        </w:rPr>
        <w:t>n about the labor market will increase in the coming months.</w:t>
      </w:r>
    </w:p>
    <w:p w14:paraId="6841DBC9" w14:textId="77777777" w:rsidR="00D429F7" w:rsidRDefault="00BB1CF9">
      <w:pPr>
        <w:spacing w:before="120" w:after="120"/>
        <w:ind w:left="579" w:hanging="579"/>
      </w:pPr>
      <w:r>
        <w:rPr>
          <w:rFonts w:ascii="Arial" w:hAnsi="Arial" w:cs="Arial"/>
          <w:b/>
        </w:rPr>
        <w:t>III.</w:t>
      </w:r>
      <w:r>
        <w:rPr>
          <w:rFonts w:ascii="Arial" w:hAnsi="Arial" w:cs="Arial"/>
          <w:b/>
        </w:rPr>
        <w:tab/>
        <w:t>Description of Activities and Outputs</w:t>
      </w:r>
    </w:p>
    <w:p w14:paraId="4199A348" w14:textId="2C6EFE81" w:rsidR="00D429F7" w:rsidRDefault="00BB1CF9">
      <w:pPr>
        <w:spacing w:before="120" w:after="120"/>
        <w:ind w:left="579" w:hanging="579"/>
        <w:jc w:val="both"/>
      </w:pPr>
      <w:r>
        <w:rPr>
          <w:rFonts w:ascii="Arial" w:hAnsi="Arial" w:cs="Arial"/>
        </w:rPr>
        <w:t>3.1</w:t>
      </w:r>
      <w:r>
        <w:rPr>
          <w:rFonts w:ascii="Arial" w:hAnsi="Arial" w:cs="Arial"/>
        </w:rPr>
        <w:tab/>
      </w:r>
      <w:r>
        <w:rPr>
          <w:rFonts w:ascii="Arial" w:hAnsi="Arial" w:cs="Arial"/>
          <w:b/>
        </w:rPr>
        <w:t xml:space="preserve">Component I: Platform </w:t>
      </w:r>
      <w:r w:rsidR="0057702C">
        <w:rPr>
          <w:rFonts w:ascii="Arial" w:hAnsi="Arial" w:cs="Arial"/>
          <w:b/>
        </w:rPr>
        <w:t>development.</w:t>
      </w:r>
      <w:r>
        <w:rPr>
          <w:rFonts w:ascii="Arial" w:hAnsi="Arial" w:cs="Arial"/>
          <w:b/>
        </w:rPr>
        <w:t xml:space="preserve"> </w:t>
      </w:r>
      <w:r>
        <w:rPr>
          <w:rFonts w:ascii="Arial" w:hAnsi="Arial" w:cs="Arial"/>
        </w:rPr>
        <w:t>This component will support the development of the Employment Map and the Virtual Professional Guidance chatbot.</w:t>
      </w:r>
      <w:r>
        <w:rPr>
          <w:rFonts w:ascii="Arial" w:hAnsi="Arial" w:cs="Arial"/>
        </w:rPr>
        <w:t xml:space="preserve"> This includes consultancies to document everything (architecture, processes, etc.) so that any developer who enters the project can see where each block has come from (it is a key input for transfer and sustainability) and to evaluate the customer experie</w:t>
      </w:r>
      <w:r>
        <w:rPr>
          <w:rFonts w:ascii="Arial" w:hAnsi="Arial" w:cs="Arial"/>
        </w:rPr>
        <w:t>nce.</w:t>
      </w:r>
    </w:p>
    <w:p w14:paraId="3E19E543" w14:textId="311FE603" w:rsidR="00D429F7" w:rsidRDefault="00BB1CF9">
      <w:pPr>
        <w:spacing w:before="120" w:after="120"/>
        <w:ind w:left="579" w:hanging="579"/>
        <w:jc w:val="both"/>
      </w:pPr>
      <w:r>
        <w:rPr>
          <w:rFonts w:ascii="Arial" w:hAnsi="Arial" w:cs="Arial"/>
        </w:rPr>
        <w:t>3.2</w:t>
      </w:r>
      <w:r>
        <w:rPr>
          <w:rFonts w:ascii="Arial" w:hAnsi="Arial" w:cs="Arial"/>
        </w:rPr>
        <w:tab/>
      </w:r>
      <w:r>
        <w:rPr>
          <w:rFonts w:ascii="Arial" w:hAnsi="Arial" w:cs="Arial"/>
          <w:b/>
        </w:rPr>
        <w:t xml:space="preserve">Component II: Training, monitoring and </w:t>
      </w:r>
      <w:r w:rsidR="0057702C">
        <w:rPr>
          <w:rFonts w:ascii="Arial" w:hAnsi="Arial" w:cs="Arial"/>
          <w:b/>
        </w:rPr>
        <w:t>communication.</w:t>
      </w:r>
      <w:r>
        <w:rPr>
          <w:rFonts w:ascii="Arial" w:hAnsi="Arial" w:cs="Arial"/>
          <w:b/>
        </w:rPr>
        <w:t xml:space="preserve"> </w:t>
      </w:r>
      <w:r>
        <w:rPr>
          <w:rFonts w:ascii="Arial" w:hAnsi="Arial" w:cs="Arial"/>
        </w:rPr>
        <w:t>This component will support (i)</w:t>
      </w:r>
      <w:r w:rsidR="0057702C">
        <w:rPr>
          <w:rFonts w:ascii="Arial" w:hAnsi="Arial" w:cs="Arial"/>
        </w:rPr>
        <w:t> </w:t>
      </w:r>
      <w:r>
        <w:rPr>
          <w:rFonts w:ascii="Arial" w:hAnsi="Arial" w:cs="Arial"/>
        </w:rPr>
        <w:t>the design of materials and development of training workshops for government teams and training providers to appropriate the solutions; (ii)</w:t>
      </w:r>
      <w:r w:rsidR="0057702C">
        <w:rPr>
          <w:rFonts w:ascii="Arial" w:hAnsi="Arial" w:cs="Arial"/>
        </w:rPr>
        <w:t> </w:t>
      </w:r>
      <w:r>
        <w:rPr>
          <w:rFonts w:ascii="Arial" w:hAnsi="Arial" w:cs="Arial"/>
        </w:rPr>
        <w:t xml:space="preserve">the </w:t>
      </w:r>
      <w:r>
        <w:rPr>
          <w:rFonts w:ascii="Arial" w:hAnsi="Arial" w:cs="Arial"/>
        </w:rPr>
        <w:t>generation of monitoring reports, whose data will arise from the same tools, and (iii)</w:t>
      </w:r>
      <w:r w:rsidR="0057702C">
        <w:rPr>
          <w:rFonts w:ascii="Arial" w:hAnsi="Arial" w:cs="Arial"/>
        </w:rPr>
        <w:t> </w:t>
      </w:r>
      <w:r>
        <w:rPr>
          <w:rFonts w:ascii="Arial" w:hAnsi="Arial" w:cs="Arial"/>
        </w:rPr>
        <w:t>communication materials.</w:t>
      </w:r>
    </w:p>
    <w:p w14:paraId="027D0898" w14:textId="77777777" w:rsidR="00D429F7" w:rsidRDefault="00BB1CF9">
      <w:pPr>
        <w:spacing w:before="120" w:after="120"/>
        <w:ind w:left="579" w:hanging="579"/>
      </w:pPr>
      <w:r>
        <w:rPr>
          <w:rFonts w:ascii="Arial" w:hAnsi="Arial" w:cs="Arial"/>
          <w:b/>
        </w:rPr>
        <w:t>IV.</w:t>
      </w:r>
      <w:r>
        <w:rPr>
          <w:rFonts w:ascii="Arial" w:hAnsi="Arial" w:cs="Arial"/>
          <w:b/>
        </w:rPr>
        <w:tab/>
        <w:t>Budget</w:t>
      </w:r>
    </w:p>
    <w:p w14:paraId="11BF6D1D" w14:textId="7A669626" w:rsidR="00D429F7" w:rsidRDefault="00BB1CF9">
      <w:pPr>
        <w:spacing w:before="240" w:after="120"/>
        <w:jc w:val="center"/>
      </w:pPr>
      <w:r>
        <w:rPr>
          <w:rFonts w:ascii="Arial" w:hAnsi="Arial" w:cs="Arial"/>
          <w:b/>
          <w:sz w:val="18"/>
          <w:szCs w:val="18"/>
        </w:rPr>
        <w:t>Indicative Budget</w:t>
      </w:r>
      <w:r w:rsidR="0057702C">
        <w:rPr>
          <w:rFonts w:ascii="Arial" w:hAnsi="Arial" w:cs="Arial"/>
          <w:b/>
          <w:sz w:val="18"/>
          <w:szCs w:val="18"/>
        </w:rPr>
        <w:t xml:space="preserve"> (US$)</w:t>
      </w:r>
    </w:p>
    <w:tbl>
      <w:tblPr>
        <w:tblStyle w:val="TableGrid"/>
        <w:tblW w:w="0" w:type="auto"/>
        <w:tblInd w:w="738" w:type="dxa"/>
        <w:tblLook w:val="04A0" w:firstRow="1" w:lastRow="0" w:firstColumn="1" w:lastColumn="0" w:noHBand="0" w:noVBand="1"/>
      </w:tblPr>
      <w:tblGrid>
        <w:gridCol w:w="3528"/>
        <w:gridCol w:w="2310"/>
        <w:gridCol w:w="2310"/>
      </w:tblGrid>
      <w:tr w:rsidR="0057702C" w14:paraId="5151F7EE" w14:textId="77777777" w:rsidTr="0057702C">
        <w:tc>
          <w:tcPr>
            <w:tcW w:w="3528" w:type="dxa"/>
            <w:shd w:val="clear" w:color="auto" w:fill="B4C6E7" w:themeFill="accent1" w:themeFillTint="66"/>
            <w:vAlign w:val="center"/>
          </w:tcPr>
          <w:p w14:paraId="77C9A65C" w14:textId="77777777" w:rsidR="0057702C" w:rsidRDefault="0057702C">
            <w:pPr>
              <w:spacing w:before="40" w:after="40"/>
              <w:jc w:val="center"/>
            </w:pPr>
            <w:r>
              <w:rPr>
                <w:rFonts w:ascii="Arial" w:hAnsi="Arial" w:cs="Arial"/>
                <w:b/>
                <w:sz w:val="18"/>
                <w:szCs w:val="18"/>
              </w:rPr>
              <w:t>Activity/Component</w:t>
            </w:r>
          </w:p>
        </w:tc>
        <w:tc>
          <w:tcPr>
            <w:tcW w:w="2310" w:type="dxa"/>
            <w:shd w:val="clear" w:color="auto" w:fill="B4C6E7" w:themeFill="accent1" w:themeFillTint="66"/>
          </w:tcPr>
          <w:p w14:paraId="0E000A71" w14:textId="59A17ED2" w:rsidR="0057702C" w:rsidRDefault="0057702C">
            <w:pPr>
              <w:spacing w:before="40" w:after="40"/>
              <w:jc w:val="center"/>
            </w:pPr>
            <w:r>
              <w:rPr>
                <w:rFonts w:ascii="Arial" w:hAnsi="Arial" w:cs="Arial"/>
                <w:b/>
                <w:sz w:val="18"/>
                <w:szCs w:val="18"/>
              </w:rPr>
              <w:t>IDB/Fund Funding (SOC)</w:t>
            </w:r>
          </w:p>
        </w:tc>
        <w:tc>
          <w:tcPr>
            <w:tcW w:w="2310" w:type="dxa"/>
            <w:shd w:val="clear" w:color="auto" w:fill="B4C6E7" w:themeFill="accent1" w:themeFillTint="66"/>
          </w:tcPr>
          <w:p w14:paraId="55524C9D" w14:textId="77777777" w:rsidR="0057702C" w:rsidRDefault="0057702C">
            <w:pPr>
              <w:spacing w:before="40" w:after="40"/>
              <w:jc w:val="center"/>
            </w:pPr>
            <w:r>
              <w:rPr>
                <w:rFonts w:ascii="Arial" w:hAnsi="Arial" w:cs="Arial"/>
                <w:b/>
                <w:sz w:val="18"/>
                <w:szCs w:val="18"/>
              </w:rPr>
              <w:t>Total Funding</w:t>
            </w:r>
          </w:p>
        </w:tc>
      </w:tr>
      <w:tr w:rsidR="0057702C" w14:paraId="71DA508D" w14:textId="77777777" w:rsidTr="0057702C">
        <w:tc>
          <w:tcPr>
            <w:tcW w:w="3528" w:type="dxa"/>
            <w:vAlign w:val="center"/>
          </w:tcPr>
          <w:p w14:paraId="50A13795" w14:textId="77777777" w:rsidR="0057702C" w:rsidRDefault="0057702C">
            <w:pPr>
              <w:spacing w:before="40" w:after="40"/>
            </w:pPr>
            <w:r>
              <w:rPr>
                <w:rFonts w:ascii="Arial" w:hAnsi="Arial" w:cs="Arial"/>
                <w:sz w:val="18"/>
                <w:szCs w:val="18"/>
              </w:rPr>
              <w:t>Platform development.</w:t>
            </w:r>
          </w:p>
        </w:tc>
        <w:tc>
          <w:tcPr>
            <w:tcW w:w="2310" w:type="dxa"/>
            <w:vAlign w:val="center"/>
          </w:tcPr>
          <w:p w14:paraId="53DE2BF7" w14:textId="77777777" w:rsidR="0057702C" w:rsidRDefault="0057702C">
            <w:pPr>
              <w:spacing w:before="40" w:after="40"/>
              <w:jc w:val="right"/>
            </w:pPr>
            <w:r>
              <w:rPr>
                <w:rFonts w:ascii="Arial" w:hAnsi="Arial" w:cs="Arial"/>
                <w:sz w:val="18"/>
                <w:szCs w:val="18"/>
              </w:rPr>
              <w:t>US$200,000.00</w:t>
            </w:r>
          </w:p>
        </w:tc>
        <w:tc>
          <w:tcPr>
            <w:tcW w:w="2310" w:type="dxa"/>
            <w:vAlign w:val="center"/>
          </w:tcPr>
          <w:p w14:paraId="578A5B38" w14:textId="77777777" w:rsidR="0057702C" w:rsidRDefault="0057702C">
            <w:pPr>
              <w:spacing w:before="40" w:after="40"/>
              <w:jc w:val="right"/>
            </w:pPr>
            <w:r>
              <w:rPr>
                <w:rFonts w:ascii="Arial" w:hAnsi="Arial" w:cs="Arial"/>
                <w:sz w:val="18"/>
                <w:szCs w:val="18"/>
              </w:rPr>
              <w:t>US$200,000.00</w:t>
            </w:r>
          </w:p>
        </w:tc>
      </w:tr>
      <w:tr w:rsidR="0057702C" w14:paraId="375C0083" w14:textId="77777777" w:rsidTr="0057702C">
        <w:tc>
          <w:tcPr>
            <w:tcW w:w="3528" w:type="dxa"/>
            <w:vAlign w:val="center"/>
          </w:tcPr>
          <w:p w14:paraId="5F512FED" w14:textId="77777777" w:rsidR="0057702C" w:rsidRDefault="0057702C">
            <w:pPr>
              <w:spacing w:before="40" w:after="40"/>
            </w:pPr>
            <w:r>
              <w:rPr>
                <w:rFonts w:ascii="Arial" w:hAnsi="Arial" w:cs="Arial"/>
                <w:sz w:val="18"/>
                <w:szCs w:val="18"/>
              </w:rPr>
              <w:t>Training, monitoring and communication.</w:t>
            </w:r>
          </w:p>
        </w:tc>
        <w:tc>
          <w:tcPr>
            <w:tcW w:w="2310" w:type="dxa"/>
            <w:vAlign w:val="center"/>
          </w:tcPr>
          <w:p w14:paraId="48A876EE" w14:textId="77777777" w:rsidR="0057702C" w:rsidRDefault="0057702C">
            <w:pPr>
              <w:spacing w:before="40" w:after="40"/>
              <w:jc w:val="right"/>
            </w:pPr>
            <w:r>
              <w:rPr>
                <w:rFonts w:ascii="Arial" w:hAnsi="Arial" w:cs="Arial"/>
                <w:sz w:val="18"/>
                <w:szCs w:val="18"/>
              </w:rPr>
              <w:t>US$50,000.00</w:t>
            </w:r>
          </w:p>
        </w:tc>
        <w:tc>
          <w:tcPr>
            <w:tcW w:w="2310" w:type="dxa"/>
            <w:vAlign w:val="center"/>
          </w:tcPr>
          <w:p w14:paraId="26878091" w14:textId="77777777" w:rsidR="0057702C" w:rsidRDefault="0057702C">
            <w:pPr>
              <w:spacing w:before="40" w:after="40"/>
              <w:jc w:val="right"/>
            </w:pPr>
            <w:r>
              <w:rPr>
                <w:rFonts w:ascii="Arial" w:hAnsi="Arial" w:cs="Arial"/>
                <w:sz w:val="18"/>
                <w:szCs w:val="18"/>
              </w:rPr>
              <w:t>US$50,000.00</w:t>
            </w:r>
          </w:p>
        </w:tc>
      </w:tr>
      <w:tr w:rsidR="0057702C" w14:paraId="229E6179" w14:textId="77777777" w:rsidTr="0057702C">
        <w:tc>
          <w:tcPr>
            <w:tcW w:w="3528" w:type="dxa"/>
            <w:vAlign w:val="center"/>
          </w:tcPr>
          <w:p w14:paraId="5F8C7728" w14:textId="77777777" w:rsidR="0057702C" w:rsidRDefault="0057702C">
            <w:pPr>
              <w:spacing w:before="40" w:after="40"/>
            </w:pPr>
            <w:r>
              <w:rPr>
                <w:rFonts w:ascii="Arial" w:hAnsi="Arial" w:cs="Arial"/>
                <w:b/>
                <w:sz w:val="18"/>
                <w:szCs w:val="18"/>
              </w:rPr>
              <w:t>Total</w:t>
            </w:r>
          </w:p>
        </w:tc>
        <w:tc>
          <w:tcPr>
            <w:tcW w:w="2310" w:type="dxa"/>
            <w:vAlign w:val="center"/>
          </w:tcPr>
          <w:p w14:paraId="2AC42402" w14:textId="77777777" w:rsidR="0057702C" w:rsidRDefault="0057702C">
            <w:pPr>
              <w:spacing w:before="40" w:after="40"/>
              <w:jc w:val="right"/>
            </w:pPr>
            <w:r>
              <w:rPr>
                <w:rFonts w:ascii="Arial" w:hAnsi="Arial" w:cs="Arial"/>
                <w:b/>
                <w:sz w:val="18"/>
                <w:szCs w:val="18"/>
              </w:rPr>
              <w:t>US$250,000.00</w:t>
            </w:r>
          </w:p>
        </w:tc>
        <w:tc>
          <w:tcPr>
            <w:tcW w:w="2310" w:type="dxa"/>
            <w:vAlign w:val="center"/>
          </w:tcPr>
          <w:p w14:paraId="1C05B932" w14:textId="77777777" w:rsidR="0057702C" w:rsidRDefault="0057702C">
            <w:pPr>
              <w:spacing w:before="40" w:after="40"/>
              <w:jc w:val="right"/>
            </w:pPr>
            <w:r>
              <w:rPr>
                <w:rFonts w:ascii="Arial" w:hAnsi="Arial" w:cs="Arial"/>
                <w:b/>
                <w:sz w:val="18"/>
                <w:szCs w:val="18"/>
              </w:rPr>
              <w:t>US$250,000.00</w:t>
            </w:r>
          </w:p>
        </w:tc>
      </w:tr>
    </w:tbl>
    <w:p w14:paraId="310E1C2D" w14:textId="77777777" w:rsidR="00D429F7" w:rsidRDefault="00BB1CF9">
      <w:pPr>
        <w:spacing w:before="120" w:after="120"/>
        <w:ind w:left="579" w:hanging="579"/>
      </w:pPr>
      <w:r>
        <w:rPr>
          <w:rFonts w:ascii="Arial" w:hAnsi="Arial" w:cs="Arial"/>
          <w:b/>
        </w:rPr>
        <w:t>V.</w:t>
      </w:r>
      <w:r>
        <w:rPr>
          <w:rFonts w:ascii="Arial" w:hAnsi="Arial" w:cs="Arial"/>
          <w:b/>
        </w:rPr>
        <w:tab/>
        <w:t>Executing Agency and Execution Structure</w:t>
      </w:r>
    </w:p>
    <w:p w14:paraId="055BAD30" w14:textId="76B1AC50" w:rsidR="00D429F7" w:rsidRDefault="00BB1CF9">
      <w:pPr>
        <w:spacing w:before="200" w:after="200"/>
        <w:ind w:left="579" w:hanging="579"/>
        <w:jc w:val="both"/>
      </w:pPr>
      <w:r>
        <w:rPr>
          <w:rFonts w:ascii="Arial" w:hAnsi="Arial" w:cs="Arial"/>
        </w:rPr>
        <w:t>5.1</w:t>
      </w:r>
      <w:r>
        <w:rPr>
          <w:rFonts w:ascii="Arial" w:hAnsi="Arial" w:cs="Arial"/>
        </w:rPr>
        <w:tab/>
        <w:t>The Labor Markets Division (SCL</w:t>
      </w:r>
      <w:r>
        <w:rPr>
          <w:rFonts w:ascii="Arial" w:hAnsi="Arial" w:cs="Arial"/>
        </w:rPr>
        <w:t>/</w:t>
      </w:r>
      <w:r>
        <w:rPr>
          <w:rFonts w:ascii="Arial" w:hAnsi="Arial" w:cs="Arial"/>
        </w:rPr>
        <w:t>LMK) of the Bank will have overall respon</w:t>
      </w:r>
      <w:r>
        <w:rPr>
          <w:rFonts w:ascii="Arial" w:hAnsi="Arial" w:cs="Arial"/>
        </w:rPr>
        <w:t xml:space="preserve">sibility for the direction, supervision, coordination and evaluation of this </w:t>
      </w:r>
      <w:r w:rsidR="0057702C">
        <w:rPr>
          <w:rFonts w:ascii="Arial" w:hAnsi="Arial" w:cs="Arial"/>
        </w:rPr>
        <w:t>Research</w:t>
      </w:r>
      <w:r>
        <w:rPr>
          <w:rFonts w:ascii="Arial" w:hAnsi="Arial" w:cs="Arial"/>
        </w:rPr>
        <w:t xml:space="preserve"> </w:t>
      </w:r>
      <w:r w:rsidR="0057702C">
        <w:rPr>
          <w:rFonts w:ascii="Arial" w:hAnsi="Arial" w:cs="Arial"/>
        </w:rPr>
        <w:t>and</w:t>
      </w:r>
      <w:r>
        <w:rPr>
          <w:rFonts w:ascii="Arial" w:hAnsi="Arial" w:cs="Arial"/>
        </w:rPr>
        <w:t xml:space="preserve"> Dissemination CT. The Bank will have the collaboration and coordination of the Ministry of Labor and Social Welfare (MTPS) and Fundación Telefónica.</w:t>
      </w:r>
    </w:p>
    <w:p w14:paraId="290FBED0" w14:textId="7CF69FDB" w:rsidR="00D429F7" w:rsidRDefault="00BB1CF9">
      <w:pPr>
        <w:spacing w:before="200" w:after="200"/>
        <w:ind w:left="579" w:hanging="579"/>
        <w:jc w:val="both"/>
      </w:pPr>
      <w:r>
        <w:rPr>
          <w:rFonts w:ascii="Arial" w:hAnsi="Arial" w:cs="Arial"/>
        </w:rPr>
        <w:t>5.2</w:t>
      </w:r>
      <w:r>
        <w:rPr>
          <w:rFonts w:ascii="Arial" w:hAnsi="Arial" w:cs="Arial"/>
        </w:rPr>
        <w:tab/>
        <w:t>SCL / LMK has</w:t>
      </w:r>
      <w:r>
        <w:rPr>
          <w:rFonts w:ascii="Arial" w:hAnsi="Arial" w:cs="Arial"/>
        </w:rPr>
        <w:t xml:space="preserve"> the knowledge and experience in the topics covered by the TC and the development of labor market operations in 20 countries and is therefore in the best conditions to fulfill the functions.  In addition, the context of the COVID </w:t>
      </w:r>
      <w:r w:rsidR="0057702C">
        <w:rPr>
          <w:rFonts w:ascii="Arial" w:hAnsi="Arial" w:cs="Arial"/>
        </w:rPr>
        <w:t>pandemic</w:t>
      </w:r>
      <w:r>
        <w:rPr>
          <w:rFonts w:ascii="Arial" w:hAnsi="Arial" w:cs="Arial"/>
        </w:rPr>
        <w:t xml:space="preserve"> reinforces the im</w:t>
      </w:r>
      <w:r>
        <w:rPr>
          <w:rFonts w:ascii="Arial" w:hAnsi="Arial" w:cs="Arial"/>
        </w:rPr>
        <w:t>portance of this TC and having the Bank as executor, to ensure lessons learned are shared and used in other countries. The execution by the IDB will include: (i) coordinating project implementation; (ii) carry</w:t>
      </w:r>
      <w:r w:rsidR="00662F4A">
        <w:rPr>
          <w:rFonts w:ascii="Arial" w:hAnsi="Arial" w:cs="Arial"/>
        </w:rPr>
        <w:t>ing</w:t>
      </w:r>
      <w:r>
        <w:rPr>
          <w:rFonts w:ascii="Arial" w:hAnsi="Arial" w:cs="Arial"/>
        </w:rPr>
        <w:t xml:space="preserve"> out the contracting processes of the consultin</w:t>
      </w:r>
      <w:r>
        <w:rPr>
          <w:rFonts w:ascii="Arial" w:hAnsi="Arial" w:cs="Arial"/>
        </w:rPr>
        <w:t>g services; and (iii) supervis</w:t>
      </w:r>
      <w:r w:rsidR="00662F4A">
        <w:rPr>
          <w:rFonts w:ascii="Arial" w:hAnsi="Arial" w:cs="Arial"/>
        </w:rPr>
        <w:t>ing</w:t>
      </w:r>
      <w:r>
        <w:rPr>
          <w:rFonts w:ascii="Arial" w:hAnsi="Arial" w:cs="Arial"/>
        </w:rPr>
        <w:t xml:space="preserve"> the activities to be carried out by the consulting firms and individual consultants and the implementation of the events.</w:t>
      </w:r>
    </w:p>
    <w:p w14:paraId="5C180A20" w14:textId="77777777" w:rsidR="00D429F7" w:rsidRDefault="00BB1CF9">
      <w:pPr>
        <w:spacing w:before="120" w:after="120"/>
        <w:ind w:left="579" w:hanging="579"/>
      </w:pPr>
      <w:r>
        <w:rPr>
          <w:rFonts w:ascii="Arial" w:hAnsi="Arial" w:cs="Arial"/>
          <w:b/>
        </w:rPr>
        <w:t>VI.</w:t>
      </w:r>
      <w:r>
        <w:rPr>
          <w:rFonts w:ascii="Arial" w:hAnsi="Arial" w:cs="Arial"/>
          <w:b/>
        </w:rPr>
        <w:tab/>
        <w:t>Project Risks and Issues</w:t>
      </w:r>
    </w:p>
    <w:p w14:paraId="2149624A" w14:textId="77777777" w:rsidR="00D429F7" w:rsidRDefault="00BB1CF9">
      <w:pPr>
        <w:spacing w:before="200" w:after="200"/>
        <w:ind w:left="579" w:hanging="579"/>
        <w:jc w:val="both"/>
      </w:pPr>
      <w:r>
        <w:rPr>
          <w:rFonts w:ascii="Arial" w:hAnsi="Arial" w:cs="Arial"/>
        </w:rPr>
        <w:t>6.1</w:t>
      </w:r>
      <w:r>
        <w:rPr>
          <w:rFonts w:ascii="Arial" w:hAnsi="Arial" w:cs="Arial"/>
        </w:rPr>
        <w:tab/>
        <w:t>Job portals share their information with a 3-months delay. If the cri</w:t>
      </w:r>
      <w:r>
        <w:rPr>
          <w:rFonts w:ascii="Arial" w:hAnsi="Arial" w:cs="Arial"/>
        </w:rPr>
        <w:t xml:space="preserve">sis generates a disruption of job opportunities and skills demand in some economic sectors or regions, the tools will show these changes with a delay. To mitigate this risk, the project plans </w:t>
      </w:r>
      <w:r>
        <w:rPr>
          <w:rFonts w:ascii="Arial" w:hAnsi="Arial" w:cs="Arial"/>
        </w:rPr>
        <w:lastRenderedPageBreak/>
        <w:t>to work with job portals to facilitate this information in short</w:t>
      </w:r>
      <w:r>
        <w:rPr>
          <w:rFonts w:ascii="Arial" w:hAnsi="Arial" w:cs="Arial"/>
        </w:rPr>
        <w:t>er periods given the public good nature of this information in the current environment.</w:t>
      </w:r>
    </w:p>
    <w:p w14:paraId="174C839B" w14:textId="77777777" w:rsidR="00D429F7" w:rsidRDefault="00BB1CF9">
      <w:pPr>
        <w:spacing w:before="120" w:after="120"/>
        <w:ind w:left="579" w:hanging="579"/>
      </w:pPr>
      <w:r>
        <w:rPr>
          <w:rFonts w:ascii="Arial" w:hAnsi="Arial" w:cs="Arial"/>
          <w:b/>
        </w:rPr>
        <w:t>VII.</w:t>
      </w:r>
      <w:r>
        <w:rPr>
          <w:rFonts w:ascii="Arial" w:hAnsi="Arial" w:cs="Arial"/>
          <w:b/>
        </w:rPr>
        <w:tab/>
        <w:t>Environmental and Social Classification</w:t>
      </w:r>
    </w:p>
    <w:p w14:paraId="6D61992A" w14:textId="64FC30B8" w:rsidR="00D429F7" w:rsidRDefault="00BB1CF9">
      <w:pPr>
        <w:spacing w:before="240" w:after="120"/>
        <w:ind w:left="579" w:hanging="579"/>
        <w:jc w:val="both"/>
      </w:pPr>
      <w:r>
        <w:rPr>
          <w:rFonts w:ascii="Arial" w:hAnsi="Arial" w:cs="Arial"/>
        </w:rPr>
        <w:t>7.1</w:t>
      </w:r>
      <w:r>
        <w:rPr>
          <w:rFonts w:ascii="Arial" w:hAnsi="Arial" w:cs="Arial"/>
        </w:rPr>
        <w:tab/>
        <w:t>The ESG classification for this operation is "</w:t>
      </w:r>
      <w:r w:rsidR="0057702C">
        <w:rPr>
          <w:rFonts w:ascii="Arial" w:hAnsi="Arial" w:cs="Arial"/>
        </w:rPr>
        <w:t>C</w:t>
      </w:r>
      <w:r>
        <w:rPr>
          <w:rFonts w:ascii="Arial" w:hAnsi="Arial" w:cs="Arial"/>
        </w:rPr>
        <w:t>".</w:t>
      </w:r>
    </w:p>
    <w:sectPr w:rsidR="00D429F7"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75E97C" w14:textId="77777777" w:rsidR="00BB1CF9" w:rsidRDefault="00BB1CF9">
      <w:r>
        <w:separator/>
      </w:r>
    </w:p>
  </w:endnote>
  <w:endnote w:type="continuationSeparator" w:id="0">
    <w:p w14:paraId="0F2AC147" w14:textId="77777777" w:rsidR="00BB1CF9" w:rsidRDefault="00BB1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587DF" w14:textId="77777777" w:rsidR="00D429F7" w:rsidRDefault="00BB1CF9">
    <w:pPr>
      <w:pStyle w:val="FooterStyle"/>
      <w:jc w:val="center"/>
    </w:pPr>
    <w:r>
      <w:t xml:space="preserve"> - </w:t>
    </w:r>
    <w:r>
      <w:fldChar w:fldCharType="begin"/>
    </w:r>
    <w:r>
      <w:instrText xml:space="preserve"> PAGE </w:instrText>
    </w:r>
    <w:r w:rsidR="0057702C">
      <w:fldChar w:fldCharType="separate"/>
    </w:r>
    <w:r w:rsidR="0057702C">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8FB3EB" w14:textId="77777777" w:rsidR="00BB1CF9" w:rsidRDefault="00BB1CF9">
      <w:r>
        <w:separator/>
      </w:r>
    </w:p>
  </w:footnote>
  <w:footnote w:type="continuationSeparator" w:id="0">
    <w:p w14:paraId="198A729F" w14:textId="77777777" w:rsidR="00BB1CF9" w:rsidRDefault="00BB1C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17F62"/>
    <w:rsid w:val="0057702C"/>
    <w:rsid w:val="00662F4A"/>
    <w:rsid w:val="00A906D8"/>
    <w:rsid w:val="00AB5A74"/>
    <w:rsid w:val="00BB1CF9"/>
    <w:rsid w:val="00C44498"/>
    <w:rsid w:val="00D429F7"/>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0AF0A"/>
  <w15:docId w15:val="{898BE55A-E184-4728-938B-F07576206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D048ECEC9A7ABE4091D0863EE3103947" ma:contentTypeVersion="0" ma:contentTypeDescription="The base project type from which other project content types inherit their information." ma:contentTypeScope="" ma:versionID="6e26af7eb502306520c226bc59df4ef6">
  <xsd:schema xmlns:xsd="http://www.w3.org/2001/XMLSchema" xmlns:xs="http://www.w3.org/2001/XMLSchema" xmlns:p="http://schemas.microsoft.com/office/2006/metadata/properties" xmlns:ns2="cdc7663a-08f0-4737-9e8c-148ce897a09c" targetNamespace="http://schemas.microsoft.com/office/2006/metadata/properties" ma:root="true" ma:fieldsID="c37010917976801220b9dc653f9a48f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A28AAFAE02BAE43B5F4986D7E405BCC" ma:contentTypeVersion="0" ma:contentTypeDescription="A content type to manage public (operations) IDB documents" ma:contentTypeScope="" ma:versionID="c91029dc1cf7629c59fced7f8213c1a6">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TermName>
          <TermId xmlns="http://schemas.microsoft.com/office/infopath/2007/PartnerControls">0646c65c-e431-42e3-a932-0671c6b608b9</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Alaimo Veronica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IS-LIS</TermName>
          <TermId xmlns="http://schemas.microsoft.com/office/infopath/2007/PartnerControls">72d0edb0-5336-43b6-bb2f-05b457738b24</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26</Value>
      <Value>39</Value>
      <Value>2</Value>
      <Value>113</Value>
      <Value>44</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CH-T1233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EZSHARE-1140622191-7</_dlc_DocId>
    <_dlc_DocIdUrl xmlns="cdc7663a-08f0-4737-9e8c-148ce897a09c">
      <Url>https://idbg.sharepoint.com/teams/EZ-CH-TCP/CH-T1233/_layouts/15/DocIdRedir.aspx?ID=EZSHARE-1140622191-7</Url>
      <Description>EZSHARE-1140622191-7</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C3BBD03E-014C-4418-B881-A18467D94006}"/>
</file>

<file path=customXml/itemProps2.xml><?xml version="1.0" encoding="utf-8"?>
<ds:datastoreItem xmlns:ds="http://schemas.openxmlformats.org/officeDocument/2006/customXml" ds:itemID="{75B0F909-8242-455B-B394-CDFA0A7F6BCA}"/>
</file>

<file path=customXml/itemProps3.xml><?xml version="1.0" encoding="utf-8"?>
<ds:datastoreItem xmlns:ds="http://schemas.openxmlformats.org/officeDocument/2006/customXml" ds:itemID="{30A7CC2A-D73C-4A83-A3C4-03CDAC872C68}"/>
</file>

<file path=customXml/itemProps4.xml><?xml version="1.0" encoding="utf-8"?>
<ds:datastoreItem xmlns:ds="http://schemas.openxmlformats.org/officeDocument/2006/customXml" ds:itemID="{42751F71-7629-4B3D-A025-004CECC57C68}"/>
</file>

<file path=customXml/itemProps5.xml><?xml version="1.0" encoding="utf-8"?>
<ds:datastoreItem xmlns:ds="http://schemas.openxmlformats.org/officeDocument/2006/customXml" ds:itemID="{7341A5F3-E410-4D7E-8804-37BA12EBE34D}"/>
</file>

<file path=customXml/itemProps6.xml><?xml version="1.0" encoding="utf-8"?>
<ds:datastoreItem xmlns:ds="http://schemas.openxmlformats.org/officeDocument/2006/customXml" ds:itemID="{279EB736-01EE-4ADE-9812-EC0F342C235B}"/>
</file>

<file path=docProps/app.xml><?xml version="1.0" encoding="utf-8"?>
<Properties xmlns="http://schemas.openxmlformats.org/officeDocument/2006/extended-properties" xmlns:vt="http://schemas.openxmlformats.org/officeDocument/2006/docPropsVTypes">
  <Template>Normal</Template>
  <TotalTime>2</TotalTime>
  <Pages>3</Pages>
  <Words>932</Words>
  <Characters>5318</Characters>
  <Application>Microsoft Office Word</Application>
  <DocSecurity>0</DocSecurity>
  <Lines>44</Lines>
  <Paragraphs>12</Paragraphs>
  <ScaleCrop>false</ScaleCrop>
  <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Muhlstein, Ethel Rosa</dc:creator>
  <cp:keywords/>
  <cp:lastModifiedBy>Muhlstein, Ethel Rosa</cp:lastModifiedBy>
  <cp:revision>2</cp:revision>
  <dcterms:created xsi:type="dcterms:W3CDTF">2020-06-16T21:39:00Z</dcterms:created>
  <dcterms:modified xsi:type="dcterms:W3CDTF">2020-06-16T21:39:00Z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44;#IS-LIS|72d0edb0-5336-43b6-bb2f-05b457738b24</vt:lpwstr>
  </property>
  <property fmtid="{D5CDD505-2E9C-101B-9397-08002B2CF9AE}" pid="7" name="Fund IDB">
    <vt:lpwstr>113;#SOC|3086ce3f-38db-462a-ad79-6fb1ca9264c8</vt:lpwstr>
  </property>
  <property fmtid="{D5CDD505-2E9C-101B-9397-08002B2CF9AE}" pid="8" name="Country">
    <vt:lpwstr>26;#CH|0646c65c-e431-42e3-a932-0671c6b608b9</vt:lpwstr>
  </property>
  <property fmtid="{D5CDD505-2E9C-101B-9397-08002B2CF9AE}" pid="9" name="Sector IDB">
    <vt:lpwstr>39;#IS|3f908695-d5b5-49f6-941f-76876b39564f</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1f16eb70-2e52-42fc-b833-8390e9a7758f</vt:lpwstr>
  </property>
  <property fmtid="{D5CDD505-2E9C-101B-9397-08002B2CF9AE}" pid="12" name="ContentTypeId">
    <vt:lpwstr>0x0101001A458A224826124E8B45B1D613300CFC00DA28AAFAE02BAE43B5F4986D7E405BCC</vt:lpwstr>
  </property>
</Properties>
</file>